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C278B" w:rsidRDefault="008673AE" w:rsidP="00DC278B">
      <w:pPr>
        <w:jc w:val="both"/>
        <w:rPr>
          <w:rFonts w:ascii="Cambria" w:hAnsi="Cambria" w:cs="Univers"/>
          <w:b/>
          <w:bCs/>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7216" behindDoc="0" locked="0" layoutInCell="1" allowOverlap="1" wp14:anchorId="66846D42" wp14:editId="01606009">
                <wp:simplePos x="0" y="0"/>
                <wp:positionH relativeFrom="column">
                  <wp:posOffset>1282065</wp:posOffset>
                </wp:positionH>
                <wp:positionV relativeFrom="paragraph">
                  <wp:posOffset>-373380</wp:posOffset>
                </wp:positionV>
                <wp:extent cx="5248275" cy="9023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06E" w:rsidRDefault="0006606E" w:rsidP="00AE5488">
                            <w:r>
                              <w:rPr>
                                <w:noProof/>
                              </w:rPr>
                              <w:drawing>
                                <wp:inline distT="0" distB="0" distL="0" distR="0" wp14:anchorId="5F6FB7C5" wp14:editId="5BE9FB86">
                                  <wp:extent cx="2647950" cy="511810"/>
                                  <wp:effectExtent l="0" t="0" r="0" b="2540"/>
                                  <wp:docPr id="3"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1181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H8beSuKAgAAfQUAAA4AAAAAAAAAAAAAAAAALgIAAGRycy9lMm9Eb2MueG1sUEsBAi0A&#10;FAAGAAgAAAAhABJFe5fhAAAACwEAAA8AAAAAAAAAAAAAAAAA5AQAAGRycy9kb3ducmV2LnhtbFBL&#10;BQYAAAAABAAEAPMAAADyBQAAAAA=&#10;" filled="f" stroked="f" strokeweight=".5pt">
                <v:path arrowok="t"/>
                <v:textbox>
                  <w:txbxContent>
                    <w:p w:rsidR="0006606E" w:rsidRDefault="0006606E" w:rsidP="00AE5488">
                      <w:r>
                        <w:rPr>
                          <w:noProof/>
                        </w:rPr>
                        <w:drawing>
                          <wp:inline distT="0" distB="0" distL="0" distR="0" wp14:anchorId="5F6FB7C5" wp14:editId="5BE9FB86">
                            <wp:extent cx="2647950" cy="511810"/>
                            <wp:effectExtent l="0" t="0" r="0" b="2540"/>
                            <wp:docPr id="3"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11810"/>
                                    </a:xfrm>
                                    <a:prstGeom prst="rect">
                                      <a:avLst/>
                                    </a:prstGeom>
                                    <a:noFill/>
                                    <a:ln>
                                      <a:noFill/>
                                    </a:ln>
                                  </pic:spPr>
                                </pic:pic>
                              </a:graphicData>
                            </a:graphic>
                          </wp:inline>
                        </w:drawing>
                      </w:r>
                      <w:r>
                        <w:tab/>
                        <w:t xml:space="preserve">                              </w:t>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3120" behindDoc="0" locked="0" layoutInCell="1" allowOverlap="1" wp14:anchorId="6950F1B0" wp14:editId="6154E486">
                <wp:simplePos x="0" y="0"/>
                <wp:positionH relativeFrom="column">
                  <wp:posOffset>-415925</wp:posOffset>
                </wp:positionH>
                <wp:positionV relativeFrom="paragraph">
                  <wp:posOffset>-439420</wp:posOffset>
                </wp:positionV>
                <wp:extent cx="1543050" cy="9096375"/>
                <wp:effectExtent l="0" t="0" r="0" b="952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NFowIAAKA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" fillcolor="#4a7194" stroked="f" strokeweight="2pt">
                <v:path arrowok="t"/>
              </v:rect>
            </w:pict>
          </mc:Fallback>
        </mc:AlternateContent>
      </w:r>
    </w:p>
    <w:p w:rsidR="00040C3A" w:rsidRPr="00DC278B" w:rsidRDefault="00040C3A" w:rsidP="00DC278B">
      <w:pPr>
        <w:tabs>
          <w:tab w:val="center" w:pos="5400"/>
        </w:tabs>
        <w:suppressAutoHyphens/>
        <w:jc w:val="both"/>
        <w:rPr>
          <w:rFonts w:ascii="Cambria" w:hAnsi="Cambria"/>
          <w:sz w:val="20"/>
          <w:szCs w:val="20"/>
          <w:lang w:val="es-ES_tradnl"/>
        </w:rPr>
      </w:pPr>
    </w:p>
    <w:p w:rsidR="00040C3A" w:rsidRPr="00DC278B" w:rsidRDefault="00040C3A" w:rsidP="00DC278B">
      <w:pPr>
        <w:tabs>
          <w:tab w:val="center" w:pos="5400"/>
        </w:tabs>
        <w:suppressAutoHyphens/>
        <w:jc w:val="both"/>
        <w:rPr>
          <w:rFonts w:ascii="Cambria" w:hAnsi="Cambria"/>
          <w:sz w:val="20"/>
          <w:szCs w:val="20"/>
          <w:lang w:val="es-ES_tradnl"/>
        </w:rPr>
      </w:pPr>
    </w:p>
    <w:p w:rsidR="005128E4" w:rsidRPr="00DC278B" w:rsidRDefault="005128E4" w:rsidP="00DC278B">
      <w:pPr>
        <w:tabs>
          <w:tab w:val="center" w:pos="5400"/>
        </w:tabs>
        <w:suppressAutoHyphens/>
        <w:rPr>
          <w:rFonts w:ascii="Cambria" w:hAnsi="Cambria"/>
          <w:sz w:val="20"/>
          <w:szCs w:val="20"/>
          <w:lang w:val="es-ES_tradnl"/>
        </w:rPr>
      </w:pPr>
    </w:p>
    <w:p w:rsidR="005128E4" w:rsidRPr="00DC278B" w:rsidRDefault="005128E4" w:rsidP="00DC278B">
      <w:pPr>
        <w:tabs>
          <w:tab w:val="center" w:pos="5400"/>
        </w:tabs>
        <w:suppressAutoHyphens/>
        <w:rPr>
          <w:rFonts w:ascii="Cambria" w:hAnsi="Cambria"/>
          <w:sz w:val="20"/>
          <w:szCs w:val="20"/>
          <w:lang w:val="es-ES_tradnl"/>
        </w:rPr>
      </w:pPr>
    </w:p>
    <w:p w:rsidR="005128E4" w:rsidRPr="00DC278B" w:rsidRDefault="005128E4" w:rsidP="00DC278B">
      <w:pPr>
        <w:tabs>
          <w:tab w:val="center" w:pos="5400"/>
        </w:tabs>
        <w:suppressAutoHyphens/>
        <w:rPr>
          <w:rFonts w:ascii="Cambria" w:hAnsi="Cambria"/>
          <w:sz w:val="20"/>
          <w:szCs w:val="20"/>
          <w:lang w:val="es-ES_tradnl"/>
        </w:rPr>
      </w:pPr>
    </w:p>
    <w:p w:rsidR="005B52B0" w:rsidRPr="00DC278B" w:rsidRDefault="005B52B0" w:rsidP="009C4A30">
      <w:pPr>
        <w:tabs>
          <w:tab w:val="center" w:pos="5400"/>
        </w:tabs>
        <w:suppressAutoHyphens/>
        <w:rPr>
          <w:rFonts w:ascii="Cambria" w:hAnsi="Cambria"/>
          <w:sz w:val="20"/>
          <w:szCs w:val="20"/>
          <w:lang w:val="es-ES_tradnl"/>
        </w:rPr>
      </w:pPr>
    </w:p>
    <w:p w:rsidR="005B52B0" w:rsidRPr="00DC278B" w:rsidRDefault="005B52B0" w:rsidP="00DC278B">
      <w:pPr>
        <w:tabs>
          <w:tab w:val="center" w:pos="5400"/>
        </w:tabs>
        <w:suppressAutoHyphens/>
        <w:jc w:val="center"/>
        <w:rPr>
          <w:rFonts w:ascii="Cambria" w:hAnsi="Cambria"/>
          <w:sz w:val="20"/>
          <w:szCs w:val="20"/>
          <w:lang w:val="es-ES_tradnl"/>
        </w:rPr>
      </w:pPr>
    </w:p>
    <w:p w:rsidR="005B52B0" w:rsidRPr="00DC278B" w:rsidRDefault="005B52B0"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8673AE" w:rsidP="00DC278B">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4144" behindDoc="0" locked="0" layoutInCell="1" allowOverlap="1" wp14:anchorId="10CFCA17" wp14:editId="0E888CEE">
                <wp:simplePos x="0" y="0"/>
                <wp:positionH relativeFrom="column">
                  <wp:posOffset>1352550</wp:posOffset>
                </wp:positionH>
                <wp:positionV relativeFrom="paragraph">
                  <wp:posOffset>107315</wp:posOffset>
                </wp:positionV>
                <wp:extent cx="4441190" cy="218122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06E" w:rsidRPr="001B4214" w:rsidRDefault="0006606E" w:rsidP="00997BC5">
                            <w:pPr>
                              <w:spacing w:line="276" w:lineRule="auto"/>
                              <w:rPr>
                                <w:rFonts w:ascii="Cambria" w:hAnsi="Cambria" w:cs="Arial"/>
                                <w:b/>
                                <w:bCs/>
                                <w:color w:val="0D0D0D"/>
                                <w:sz w:val="36"/>
                                <w:szCs w:val="22"/>
                                <w:lang w:val="es-ES"/>
                              </w:rPr>
                            </w:pPr>
                            <w:r w:rsidRPr="001B4214">
                              <w:rPr>
                                <w:rFonts w:ascii="Cambria" w:hAnsi="Cambria" w:cs="Arial"/>
                                <w:b/>
                                <w:bCs/>
                                <w:color w:val="0D0D0D"/>
                                <w:sz w:val="36"/>
                                <w:szCs w:val="22"/>
                                <w:lang w:val="es-ES"/>
                              </w:rPr>
                              <w:t xml:space="preserve">INFORME </w:t>
                            </w:r>
                            <w:r w:rsidRPr="001B4214">
                              <w:rPr>
                                <w:rFonts w:ascii="Cambria" w:hAnsi="Cambria" w:cs="Arial"/>
                                <w:b/>
                                <w:bCs/>
                                <w:color w:val="0D0D0D"/>
                                <w:sz w:val="36"/>
                                <w:szCs w:val="40"/>
                                <w:lang w:val="es-ES"/>
                              </w:rPr>
                              <w:t>No.</w:t>
                            </w:r>
                            <w:r>
                              <w:rPr>
                                <w:rFonts w:ascii="Cambria" w:hAnsi="Cambria" w:cs="Arial"/>
                                <w:b/>
                                <w:bCs/>
                                <w:color w:val="0D0D0D"/>
                                <w:sz w:val="36"/>
                                <w:szCs w:val="22"/>
                                <w:lang w:val="es-ES"/>
                              </w:rPr>
                              <w:t xml:space="preserve"> 52/16</w:t>
                            </w:r>
                          </w:p>
                          <w:p w:rsidR="0006606E" w:rsidRPr="001B4214" w:rsidRDefault="0006606E" w:rsidP="00997BC5">
                            <w:pPr>
                              <w:spacing w:line="276" w:lineRule="auto"/>
                              <w:rPr>
                                <w:rFonts w:ascii="Cambria" w:hAnsi="Cambria" w:cs="Arial"/>
                                <w:b/>
                                <w:color w:val="0D0D0D"/>
                                <w:sz w:val="36"/>
                                <w:szCs w:val="22"/>
                                <w:lang w:val="es-ES"/>
                              </w:rPr>
                            </w:pPr>
                            <w:r w:rsidRPr="001B4214">
                              <w:rPr>
                                <w:rFonts w:ascii="Cambria" w:hAnsi="Cambria" w:cs="Arial"/>
                                <w:b/>
                                <w:color w:val="0D0D0D"/>
                                <w:sz w:val="36"/>
                                <w:szCs w:val="22"/>
                                <w:lang w:val="es-ES"/>
                              </w:rPr>
                              <w:t>CASO 12.521</w:t>
                            </w:r>
                          </w:p>
                          <w:p w:rsidR="0006606E" w:rsidRPr="001B4214" w:rsidRDefault="0006606E" w:rsidP="00997BC5">
                            <w:pPr>
                              <w:spacing w:line="276" w:lineRule="auto"/>
                              <w:rPr>
                                <w:rFonts w:ascii="Cambria" w:hAnsi="Cambria" w:cs="Arial"/>
                                <w:color w:val="0D0D0D"/>
                                <w:szCs w:val="22"/>
                                <w:lang w:val="es-ES_tradnl"/>
                              </w:rPr>
                            </w:pPr>
                            <w:r w:rsidRPr="001B4214">
                              <w:rPr>
                                <w:rFonts w:ascii="Cambria" w:hAnsi="Cambria" w:cs="Arial"/>
                                <w:color w:val="0D0D0D"/>
                                <w:szCs w:val="22"/>
                                <w:lang w:val="es-ES_tradnl"/>
                              </w:rPr>
                              <w:t xml:space="preserve">INFORME DE FONDO </w:t>
                            </w:r>
                          </w:p>
                          <w:p w:rsidR="0006606E" w:rsidRPr="001B4214" w:rsidRDefault="0006606E" w:rsidP="00997BC5">
                            <w:pPr>
                              <w:spacing w:line="276" w:lineRule="auto"/>
                              <w:rPr>
                                <w:rFonts w:ascii="Cambria" w:hAnsi="Cambria" w:cs="Arial"/>
                                <w:color w:val="0D0D0D"/>
                                <w:szCs w:val="22"/>
                                <w:lang w:val="es-ES_tradnl"/>
                              </w:rPr>
                            </w:pPr>
                            <w:bookmarkStart w:id="0" w:name="_ftnref1"/>
                          </w:p>
                          <w:bookmarkEnd w:id="0"/>
                          <w:p w:rsidR="0006606E" w:rsidRPr="001B4214" w:rsidRDefault="0006606E" w:rsidP="00997BC5">
                            <w:pPr>
                              <w:spacing w:line="276" w:lineRule="auto"/>
                              <w:rPr>
                                <w:rFonts w:ascii="Cambria" w:hAnsi="Cambria" w:cs="Arial"/>
                                <w:color w:val="0D0D0D"/>
                                <w:szCs w:val="22"/>
                                <w:lang w:val="es-ES_tradnl"/>
                              </w:rPr>
                            </w:pPr>
                            <w:r w:rsidRPr="001B4214">
                              <w:rPr>
                                <w:rFonts w:ascii="Cambria" w:hAnsi="Cambria" w:cs="Arial"/>
                                <w:color w:val="0D0D0D"/>
                                <w:szCs w:val="22"/>
                                <w:lang w:val="es-ES_tradnl"/>
                              </w:rPr>
                              <w:t>MARIA LAURA ORDENES GUERRA Y OTROS</w:t>
                            </w:r>
                          </w:p>
                          <w:p w:rsidR="0006606E" w:rsidRPr="001B4214" w:rsidRDefault="0006606E" w:rsidP="00997BC5">
                            <w:pPr>
                              <w:spacing w:line="276" w:lineRule="auto"/>
                              <w:rPr>
                                <w:rFonts w:ascii="Cambria" w:hAnsi="Cambria" w:cs="Arial"/>
                                <w:color w:val="0D0D0D"/>
                                <w:szCs w:val="22"/>
                                <w:lang w:val="es-ES"/>
                              </w:rPr>
                            </w:pPr>
                            <w:r w:rsidRPr="001B4214">
                              <w:rPr>
                                <w:rFonts w:ascii="Cambria" w:hAnsi="Cambria" w:cs="Arial"/>
                                <w:color w:val="0D0D0D"/>
                                <w:szCs w:val="22"/>
                                <w:lang w:val="es-ES"/>
                              </w:rPr>
                              <w:t>CHILE</w:t>
                            </w:r>
                          </w:p>
                          <w:p w:rsidR="0006606E" w:rsidRPr="001B4214" w:rsidRDefault="0006606E"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m1jgIAAIQ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" filled="f" stroked="f" strokeweight=".5pt">
                <v:path arrowok="t"/>
                <v:textbox>
                  <w:txbxContent>
                    <w:p w:rsidR="0006606E" w:rsidRPr="001B4214" w:rsidRDefault="0006606E" w:rsidP="00997BC5">
                      <w:pPr>
                        <w:spacing w:line="276" w:lineRule="auto"/>
                        <w:rPr>
                          <w:rFonts w:ascii="Cambria" w:hAnsi="Cambria" w:cs="Arial"/>
                          <w:b/>
                          <w:bCs/>
                          <w:color w:val="0D0D0D"/>
                          <w:sz w:val="36"/>
                          <w:szCs w:val="22"/>
                          <w:lang w:val="es-ES"/>
                        </w:rPr>
                      </w:pPr>
                      <w:r w:rsidRPr="001B4214">
                        <w:rPr>
                          <w:rFonts w:ascii="Cambria" w:hAnsi="Cambria" w:cs="Arial"/>
                          <w:b/>
                          <w:bCs/>
                          <w:color w:val="0D0D0D"/>
                          <w:sz w:val="36"/>
                          <w:szCs w:val="22"/>
                          <w:lang w:val="es-ES"/>
                        </w:rPr>
                        <w:t xml:space="preserve">INFORME </w:t>
                      </w:r>
                      <w:r w:rsidRPr="001B4214">
                        <w:rPr>
                          <w:rFonts w:ascii="Cambria" w:hAnsi="Cambria" w:cs="Arial"/>
                          <w:b/>
                          <w:bCs/>
                          <w:color w:val="0D0D0D"/>
                          <w:sz w:val="36"/>
                          <w:szCs w:val="40"/>
                          <w:lang w:val="es-ES"/>
                        </w:rPr>
                        <w:t>No.</w:t>
                      </w:r>
                      <w:r>
                        <w:rPr>
                          <w:rFonts w:ascii="Cambria" w:hAnsi="Cambria" w:cs="Arial"/>
                          <w:b/>
                          <w:bCs/>
                          <w:color w:val="0D0D0D"/>
                          <w:sz w:val="36"/>
                          <w:szCs w:val="22"/>
                          <w:lang w:val="es-ES"/>
                        </w:rPr>
                        <w:t xml:space="preserve"> 52/16</w:t>
                      </w:r>
                    </w:p>
                    <w:p w:rsidR="0006606E" w:rsidRPr="001B4214" w:rsidRDefault="0006606E" w:rsidP="00997BC5">
                      <w:pPr>
                        <w:spacing w:line="276" w:lineRule="auto"/>
                        <w:rPr>
                          <w:rFonts w:ascii="Cambria" w:hAnsi="Cambria" w:cs="Arial"/>
                          <w:b/>
                          <w:color w:val="0D0D0D"/>
                          <w:sz w:val="36"/>
                          <w:szCs w:val="22"/>
                          <w:lang w:val="es-ES"/>
                        </w:rPr>
                      </w:pPr>
                      <w:r w:rsidRPr="001B4214">
                        <w:rPr>
                          <w:rFonts w:ascii="Cambria" w:hAnsi="Cambria" w:cs="Arial"/>
                          <w:b/>
                          <w:color w:val="0D0D0D"/>
                          <w:sz w:val="36"/>
                          <w:szCs w:val="22"/>
                          <w:lang w:val="es-ES"/>
                        </w:rPr>
                        <w:t>CASO 12.521</w:t>
                      </w:r>
                    </w:p>
                    <w:p w:rsidR="0006606E" w:rsidRPr="001B4214" w:rsidRDefault="0006606E" w:rsidP="00997BC5">
                      <w:pPr>
                        <w:spacing w:line="276" w:lineRule="auto"/>
                        <w:rPr>
                          <w:rFonts w:ascii="Cambria" w:hAnsi="Cambria" w:cs="Arial"/>
                          <w:color w:val="0D0D0D"/>
                          <w:szCs w:val="22"/>
                          <w:lang w:val="es-ES_tradnl"/>
                        </w:rPr>
                      </w:pPr>
                      <w:r w:rsidRPr="001B4214">
                        <w:rPr>
                          <w:rFonts w:ascii="Cambria" w:hAnsi="Cambria" w:cs="Arial"/>
                          <w:color w:val="0D0D0D"/>
                          <w:szCs w:val="22"/>
                          <w:lang w:val="es-ES_tradnl"/>
                        </w:rPr>
                        <w:t xml:space="preserve">INFORME DE FONDO </w:t>
                      </w:r>
                    </w:p>
                    <w:p w:rsidR="0006606E" w:rsidRPr="001B4214" w:rsidRDefault="0006606E" w:rsidP="00997BC5">
                      <w:pPr>
                        <w:spacing w:line="276" w:lineRule="auto"/>
                        <w:rPr>
                          <w:rFonts w:ascii="Cambria" w:hAnsi="Cambria" w:cs="Arial"/>
                          <w:color w:val="0D0D0D"/>
                          <w:szCs w:val="22"/>
                          <w:lang w:val="es-ES_tradnl"/>
                        </w:rPr>
                      </w:pPr>
                      <w:bookmarkStart w:id="1" w:name="_ftnref1"/>
                    </w:p>
                    <w:bookmarkEnd w:id="1"/>
                    <w:p w:rsidR="0006606E" w:rsidRPr="001B4214" w:rsidRDefault="0006606E" w:rsidP="00997BC5">
                      <w:pPr>
                        <w:spacing w:line="276" w:lineRule="auto"/>
                        <w:rPr>
                          <w:rFonts w:ascii="Cambria" w:hAnsi="Cambria" w:cs="Arial"/>
                          <w:color w:val="0D0D0D"/>
                          <w:szCs w:val="22"/>
                          <w:lang w:val="es-ES_tradnl"/>
                        </w:rPr>
                      </w:pPr>
                      <w:r w:rsidRPr="001B4214">
                        <w:rPr>
                          <w:rFonts w:ascii="Cambria" w:hAnsi="Cambria" w:cs="Arial"/>
                          <w:color w:val="0D0D0D"/>
                          <w:szCs w:val="22"/>
                          <w:lang w:val="es-ES_tradnl"/>
                        </w:rPr>
                        <w:t>MARIA LAURA ORDENES GUERRA Y OTROS</w:t>
                      </w:r>
                    </w:p>
                    <w:p w:rsidR="0006606E" w:rsidRPr="001B4214" w:rsidRDefault="0006606E" w:rsidP="00997BC5">
                      <w:pPr>
                        <w:spacing w:line="276" w:lineRule="auto"/>
                        <w:rPr>
                          <w:rFonts w:ascii="Cambria" w:hAnsi="Cambria" w:cs="Arial"/>
                          <w:color w:val="0D0D0D"/>
                          <w:szCs w:val="22"/>
                          <w:lang w:val="es-ES"/>
                        </w:rPr>
                      </w:pPr>
                      <w:r w:rsidRPr="001B4214">
                        <w:rPr>
                          <w:rFonts w:ascii="Cambria" w:hAnsi="Cambria" w:cs="Arial"/>
                          <w:color w:val="0D0D0D"/>
                          <w:szCs w:val="22"/>
                          <w:lang w:val="es-ES"/>
                        </w:rPr>
                        <w:t>CHILE</w:t>
                      </w:r>
                    </w:p>
                    <w:p w:rsidR="0006606E" w:rsidRPr="001B4214" w:rsidRDefault="0006606E" w:rsidP="007A5817">
                      <w:pPr>
                        <w:rPr>
                          <w:color w:val="0D0D0D"/>
                          <w:lang w:val="es-ES_tradnl"/>
                        </w:rPr>
                      </w:pP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6192" behindDoc="0" locked="0" layoutInCell="1" allowOverlap="1" wp14:anchorId="27933F42" wp14:editId="56EE94AD">
                <wp:simplePos x="0" y="0"/>
                <wp:positionH relativeFrom="column">
                  <wp:posOffset>-342900</wp:posOffset>
                </wp:positionH>
                <wp:positionV relativeFrom="paragraph">
                  <wp:posOffset>164465</wp:posOffset>
                </wp:positionV>
                <wp:extent cx="1390650" cy="137731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06E" w:rsidRPr="001B4214" w:rsidRDefault="0006606E" w:rsidP="007A5817">
                            <w:pPr>
                              <w:spacing w:line="276" w:lineRule="auto"/>
                              <w:jc w:val="right"/>
                              <w:rPr>
                                <w:rFonts w:ascii="Calibri" w:hAnsi="Calibri"/>
                                <w:color w:val="FFFFFF"/>
                                <w:sz w:val="22"/>
                                <w:lang w:val="pt-BR"/>
                              </w:rPr>
                            </w:pPr>
                            <w:r w:rsidRPr="001B4214">
                              <w:rPr>
                                <w:rFonts w:ascii="Calibri" w:hAnsi="Calibri"/>
                                <w:color w:val="FFFFFF"/>
                                <w:sz w:val="22"/>
                                <w:lang w:val="pt-BR"/>
                              </w:rPr>
                              <w:t>OEA/Ser.L/V/II.15</w:t>
                            </w:r>
                            <w:r>
                              <w:rPr>
                                <w:rFonts w:ascii="Calibri" w:hAnsi="Calibri"/>
                                <w:color w:val="FFFFFF"/>
                                <w:sz w:val="22"/>
                                <w:lang w:val="pt-BR"/>
                              </w:rPr>
                              <w:t>9</w:t>
                            </w:r>
                          </w:p>
                          <w:p w:rsidR="0006606E" w:rsidRPr="00980930" w:rsidRDefault="0006606E" w:rsidP="007A5817">
                            <w:pPr>
                              <w:spacing w:line="276" w:lineRule="auto"/>
                              <w:jc w:val="right"/>
                              <w:rPr>
                                <w:rFonts w:ascii="Calibri" w:hAnsi="Calibri"/>
                                <w:color w:val="FFFFFF"/>
                                <w:sz w:val="22"/>
                                <w:lang w:val="pt-BR"/>
                              </w:rPr>
                            </w:pPr>
                            <w:r w:rsidRPr="00980930">
                              <w:rPr>
                                <w:rFonts w:ascii="Calibri" w:hAnsi="Calibri"/>
                                <w:color w:val="FFFFFF"/>
                                <w:sz w:val="22"/>
                                <w:lang w:val="pt-BR"/>
                              </w:rPr>
                              <w:t>Doc. 61</w:t>
                            </w:r>
                          </w:p>
                          <w:p w:rsidR="0006606E" w:rsidRPr="00193B22" w:rsidRDefault="0006606E" w:rsidP="007A5817">
                            <w:pPr>
                              <w:spacing w:line="276" w:lineRule="auto"/>
                              <w:jc w:val="right"/>
                              <w:rPr>
                                <w:rFonts w:ascii="Calibri" w:hAnsi="Calibri"/>
                                <w:color w:val="FFFFFF"/>
                                <w:sz w:val="22"/>
                                <w:lang w:val="es-VE"/>
                              </w:rPr>
                            </w:pPr>
                            <w:r w:rsidRPr="00193B22">
                              <w:rPr>
                                <w:rFonts w:ascii="Calibri" w:hAnsi="Calibri"/>
                                <w:color w:val="FFFFFF"/>
                                <w:sz w:val="22"/>
                                <w:lang w:val="es-VE"/>
                              </w:rPr>
                              <w:t>30 de noviembre de 2016</w:t>
                            </w:r>
                          </w:p>
                          <w:p w:rsidR="0006606E" w:rsidRPr="001B4214" w:rsidRDefault="0006606E" w:rsidP="007A5817">
                            <w:pPr>
                              <w:spacing w:line="276" w:lineRule="auto"/>
                              <w:jc w:val="right"/>
                              <w:rPr>
                                <w:rFonts w:ascii="Calibri" w:hAnsi="Calibri"/>
                                <w:color w:val="FFFFFF"/>
                                <w:sz w:val="22"/>
                                <w:lang w:val="es-ES"/>
                              </w:rPr>
                            </w:pPr>
                            <w:r w:rsidRPr="001B4214">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CKNyXijAIAAIMFAAAOAAAAAAAAAAAAAAAAAC4CAABkcnMvZTJvRG9jLnhtbFBLAQIt&#10;ABQABgAIAAAAIQDcgcxX4AAAAAoBAAAPAAAAAAAAAAAAAAAAAOYEAABkcnMvZG93bnJldi54bWxQ&#10;SwUGAAAAAAQABADzAAAA8wUAAAAA&#10;" filled="f" stroked="f" strokeweight=".5pt">
                <v:path arrowok="t"/>
                <v:textbox>
                  <w:txbxContent>
                    <w:p w:rsidR="0006606E" w:rsidRPr="001B4214" w:rsidRDefault="0006606E" w:rsidP="007A5817">
                      <w:pPr>
                        <w:spacing w:line="276" w:lineRule="auto"/>
                        <w:jc w:val="right"/>
                        <w:rPr>
                          <w:rFonts w:ascii="Calibri" w:hAnsi="Calibri"/>
                          <w:color w:val="FFFFFF"/>
                          <w:sz w:val="22"/>
                          <w:lang w:val="pt-BR"/>
                        </w:rPr>
                      </w:pPr>
                      <w:r w:rsidRPr="001B4214">
                        <w:rPr>
                          <w:rFonts w:ascii="Calibri" w:hAnsi="Calibri"/>
                          <w:color w:val="FFFFFF"/>
                          <w:sz w:val="22"/>
                          <w:lang w:val="pt-BR"/>
                        </w:rPr>
                        <w:t>OEA/Ser.L/V/II.15</w:t>
                      </w:r>
                      <w:r>
                        <w:rPr>
                          <w:rFonts w:ascii="Calibri" w:hAnsi="Calibri"/>
                          <w:color w:val="FFFFFF"/>
                          <w:sz w:val="22"/>
                          <w:lang w:val="pt-BR"/>
                        </w:rPr>
                        <w:t>9</w:t>
                      </w:r>
                    </w:p>
                    <w:p w:rsidR="0006606E" w:rsidRPr="00980930" w:rsidRDefault="0006606E" w:rsidP="007A5817">
                      <w:pPr>
                        <w:spacing w:line="276" w:lineRule="auto"/>
                        <w:jc w:val="right"/>
                        <w:rPr>
                          <w:rFonts w:ascii="Calibri" w:hAnsi="Calibri"/>
                          <w:color w:val="FFFFFF"/>
                          <w:sz w:val="22"/>
                          <w:lang w:val="pt-BR"/>
                        </w:rPr>
                      </w:pPr>
                      <w:r w:rsidRPr="00980930">
                        <w:rPr>
                          <w:rFonts w:ascii="Calibri" w:hAnsi="Calibri"/>
                          <w:color w:val="FFFFFF"/>
                          <w:sz w:val="22"/>
                          <w:lang w:val="pt-BR"/>
                        </w:rPr>
                        <w:t>Doc. 61</w:t>
                      </w:r>
                    </w:p>
                    <w:p w:rsidR="0006606E" w:rsidRPr="00193B22" w:rsidRDefault="0006606E" w:rsidP="007A5817">
                      <w:pPr>
                        <w:spacing w:line="276" w:lineRule="auto"/>
                        <w:jc w:val="right"/>
                        <w:rPr>
                          <w:rFonts w:ascii="Calibri" w:hAnsi="Calibri"/>
                          <w:color w:val="FFFFFF"/>
                          <w:sz w:val="22"/>
                          <w:lang w:val="es-VE"/>
                        </w:rPr>
                      </w:pPr>
                      <w:r w:rsidRPr="00193B22">
                        <w:rPr>
                          <w:rFonts w:ascii="Calibri" w:hAnsi="Calibri"/>
                          <w:color w:val="FFFFFF"/>
                          <w:sz w:val="22"/>
                          <w:lang w:val="es-VE"/>
                        </w:rPr>
                        <w:t>30 de noviembre de 2016</w:t>
                      </w:r>
                    </w:p>
                    <w:p w:rsidR="0006606E" w:rsidRPr="001B4214" w:rsidRDefault="0006606E" w:rsidP="007A5817">
                      <w:pPr>
                        <w:spacing w:line="276" w:lineRule="auto"/>
                        <w:jc w:val="right"/>
                        <w:rPr>
                          <w:rFonts w:ascii="Calibri" w:hAnsi="Calibri"/>
                          <w:color w:val="FFFFFF"/>
                          <w:sz w:val="22"/>
                          <w:lang w:val="es-ES"/>
                        </w:rPr>
                      </w:pPr>
                      <w:r w:rsidRPr="001B4214">
                        <w:rPr>
                          <w:rFonts w:ascii="Calibri" w:hAnsi="Calibri"/>
                          <w:color w:val="FFFFFF"/>
                          <w:sz w:val="22"/>
                          <w:lang w:val="es-ES"/>
                        </w:rPr>
                        <w:t>Original: español</w:t>
                      </w:r>
                    </w:p>
                  </w:txbxContent>
                </v:textbox>
              </v:shape>
            </w:pict>
          </mc:Fallback>
        </mc:AlternateContent>
      </w: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cs="Arial"/>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5128E4" w:rsidRPr="00DC278B" w:rsidRDefault="005128E4"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5128E4" w:rsidRPr="00DC278B" w:rsidRDefault="005128E4" w:rsidP="00DC278B">
      <w:pPr>
        <w:tabs>
          <w:tab w:val="center" w:pos="5400"/>
        </w:tabs>
        <w:suppressAutoHyphens/>
        <w:jc w:val="center"/>
        <w:rPr>
          <w:rFonts w:ascii="Cambria" w:hAnsi="Cambria"/>
          <w:sz w:val="20"/>
          <w:szCs w:val="20"/>
          <w:lang w:val="es-ES_tradnl"/>
        </w:rPr>
      </w:pPr>
    </w:p>
    <w:p w:rsidR="005128E4" w:rsidRPr="00DC278B" w:rsidRDefault="005128E4" w:rsidP="00DC278B">
      <w:pPr>
        <w:tabs>
          <w:tab w:val="center" w:pos="5400"/>
        </w:tabs>
        <w:suppressAutoHyphens/>
        <w:jc w:val="center"/>
        <w:rPr>
          <w:rFonts w:ascii="Cambria" w:hAnsi="Cambria"/>
          <w:sz w:val="20"/>
          <w:szCs w:val="20"/>
          <w:lang w:val="es-ES_tradnl"/>
        </w:rPr>
      </w:pPr>
    </w:p>
    <w:p w:rsidR="005128E4" w:rsidRPr="00DC278B" w:rsidRDefault="005128E4"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040C3A" w:rsidRPr="00DC278B" w:rsidRDefault="00040C3A"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8673AE" w:rsidP="00DC278B">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5168" behindDoc="0" locked="0" layoutInCell="1" allowOverlap="1" wp14:anchorId="19CA988D" wp14:editId="0C4B1BB0">
                <wp:simplePos x="0" y="0"/>
                <wp:positionH relativeFrom="column">
                  <wp:posOffset>1257300</wp:posOffset>
                </wp:positionH>
                <wp:positionV relativeFrom="paragraph">
                  <wp:posOffset>33020</wp:posOffset>
                </wp:positionV>
                <wp:extent cx="4933950" cy="664845"/>
                <wp:effectExtent l="0" t="0" r="0" b="19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06E" w:rsidRPr="001B4214" w:rsidRDefault="0006606E" w:rsidP="00247403">
                            <w:pPr>
                              <w:tabs>
                                <w:tab w:val="center" w:pos="5400"/>
                              </w:tabs>
                              <w:suppressAutoHyphens/>
                              <w:spacing w:before="60"/>
                              <w:rPr>
                                <w:rFonts w:ascii="Cambria" w:hAnsi="Cambria" w:cs="Univers"/>
                                <w:color w:val="0D0D0D"/>
                                <w:sz w:val="18"/>
                                <w:szCs w:val="20"/>
                                <w:lang w:val="es-ES_tradnl"/>
                              </w:rPr>
                            </w:pPr>
                            <w:r w:rsidRPr="001B4214">
                              <w:rPr>
                                <w:rFonts w:ascii="Cambria" w:hAnsi="Cambria"/>
                                <w:color w:val="0D0D0D"/>
                                <w:sz w:val="18"/>
                                <w:szCs w:val="20"/>
                                <w:lang w:val="es-ES"/>
                              </w:rPr>
                              <w:t xml:space="preserve">Aprobado por </w:t>
                            </w:r>
                            <w:r>
                              <w:rPr>
                                <w:rFonts w:ascii="Cambria" w:hAnsi="Cambria"/>
                                <w:color w:val="0D0D0D"/>
                                <w:sz w:val="18"/>
                                <w:szCs w:val="20"/>
                                <w:lang w:val="es-ES"/>
                              </w:rPr>
                              <w:t>la Comisión en su sesión No. 206</w:t>
                            </w:r>
                            <w:r w:rsidR="00B02C3B">
                              <w:rPr>
                                <w:rFonts w:ascii="Cambria" w:hAnsi="Cambria"/>
                                <w:color w:val="0D0D0D"/>
                                <w:sz w:val="18"/>
                                <w:szCs w:val="20"/>
                                <w:lang w:val="es-ES"/>
                              </w:rPr>
                              <w:t>9</w:t>
                            </w:r>
                            <w:r>
                              <w:rPr>
                                <w:rFonts w:ascii="Cambria" w:hAnsi="Cambria"/>
                                <w:color w:val="0D0D0D"/>
                                <w:sz w:val="18"/>
                                <w:szCs w:val="20"/>
                                <w:lang w:val="es-ES"/>
                              </w:rPr>
                              <w:t xml:space="preserve"> celebrada el 30 de noviembre de 2016</w:t>
                            </w:r>
                            <w:r w:rsidRPr="001B4214">
                              <w:rPr>
                                <w:rFonts w:ascii="Cambria" w:hAnsi="Cambria"/>
                                <w:color w:val="0D0D0D"/>
                                <w:sz w:val="18"/>
                                <w:szCs w:val="20"/>
                                <w:lang w:val="es-ES"/>
                              </w:rPr>
                              <w:br/>
                            </w:r>
                            <w:r>
                              <w:rPr>
                                <w:rFonts w:ascii="Cambria" w:hAnsi="Cambria" w:cs="Univers"/>
                                <w:color w:val="0D0D0D"/>
                                <w:sz w:val="18"/>
                                <w:szCs w:val="20"/>
                                <w:lang w:val="es-ES_tradnl"/>
                              </w:rPr>
                              <w:t>159</w:t>
                            </w:r>
                            <w:r w:rsidRPr="001B4214">
                              <w:rPr>
                                <w:rFonts w:ascii="Cambria" w:hAnsi="Cambria" w:cs="Univers"/>
                                <w:color w:val="0D0D0D"/>
                                <w:sz w:val="18"/>
                                <w:szCs w:val="20"/>
                                <w:lang w:val="es-ES_tradnl"/>
                              </w:rPr>
                              <w:t xml:space="preserve"> período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9pt;margin-top:2.6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uE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" filled="f" stroked="f" strokeweight=".5pt">
                <v:path arrowok="t"/>
                <v:textbox>
                  <w:txbxContent>
                    <w:p w:rsidR="0006606E" w:rsidRPr="001B4214" w:rsidRDefault="0006606E" w:rsidP="00247403">
                      <w:pPr>
                        <w:tabs>
                          <w:tab w:val="center" w:pos="5400"/>
                        </w:tabs>
                        <w:suppressAutoHyphens/>
                        <w:spacing w:before="60"/>
                        <w:rPr>
                          <w:rFonts w:ascii="Cambria" w:hAnsi="Cambria" w:cs="Univers"/>
                          <w:color w:val="0D0D0D"/>
                          <w:sz w:val="18"/>
                          <w:szCs w:val="20"/>
                          <w:lang w:val="es-ES_tradnl"/>
                        </w:rPr>
                      </w:pPr>
                      <w:r w:rsidRPr="001B4214">
                        <w:rPr>
                          <w:rFonts w:ascii="Cambria" w:hAnsi="Cambria"/>
                          <w:color w:val="0D0D0D"/>
                          <w:sz w:val="18"/>
                          <w:szCs w:val="20"/>
                          <w:lang w:val="es-ES"/>
                        </w:rPr>
                        <w:t xml:space="preserve">Aprobado por </w:t>
                      </w:r>
                      <w:r>
                        <w:rPr>
                          <w:rFonts w:ascii="Cambria" w:hAnsi="Cambria"/>
                          <w:color w:val="0D0D0D"/>
                          <w:sz w:val="18"/>
                          <w:szCs w:val="20"/>
                          <w:lang w:val="es-ES"/>
                        </w:rPr>
                        <w:t>la Comisión en su sesión No. 206</w:t>
                      </w:r>
                      <w:r w:rsidR="00B02C3B">
                        <w:rPr>
                          <w:rFonts w:ascii="Cambria" w:hAnsi="Cambria"/>
                          <w:color w:val="0D0D0D"/>
                          <w:sz w:val="18"/>
                          <w:szCs w:val="20"/>
                          <w:lang w:val="es-ES"/>
                        </w:rPr>
                        <w:t>9</w:t>
                      </w:r>
                      <w:r>
                        <w:rPr>
                          <w:rFonts w:ascii="Cambria" w:hAnsi="Cambria"/>
                          <w:color w:val="0D0D0D"/>
                          <w:sz w:val="18"/>
                          <w:szCs w:val="20"/>
                          <w:lang w:val="es-ES"/>
                        </w:rPr>
                        <w:t xml:space="preserve"> celebrada el 30 de noviembre de 2016</w:t>
                      </w:r>
                      <w:r w:rsidRPr="001B4214">
                        <w:rPr>
                          <w:rFonts w:ascii="Cambria" w:hAnsi="Cambria"/>
                          <w:color w:val="0D0D0D"/>
                          <w:sz w:val="18"/>
                          <w:szCs w:val="20"/>
                          <w:lang w:val="es-ES"/>
                        </w:rPr>
                        <w:br/>
                      </w:r>
                      <w:r>
                        <w:rPr>
                          <w:rFonts w:ascii="Cambria" w:hAnsi="Cambria" w:cs="Univers"/>
                          <w:color w:val="0D0D0D"/>
                          <w:sz w:val="18"/>
                          <w:szCs w:val="20"/>
                          <w:lang w:val="es-ES_tradnl"/>
                        </w:rPr>
                        <w:t>159</w:t>
                      </w:r>
                      <w:r w:rsidRPr="001B4214">
                        <w:rPr>
                          <w:rFonts w:ascii="Cambria" w:hAnsi="Cambria" w:cs="Univers"/>
                          <w:color w:val="0D0D0D"/>
                          <w:sz w:val="18"/>
                          <w:szCs w:val="20"/>
                          <w:lang w:val="es-ES_tradnl"/>
                        </w:rPr>
                        <w:t xml:space="preserve"> período ordinario de sesiones</w:t>
                      </w:r>
                    </w:p>
                  </w:txbxContent>
                </v:textbox>
              </v:shape>
            </w:pict>
          </mc:Fallback>
        </mc:AlternateContent>
      </w: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A50FCF" w:rsidP="00DC278B">
      <w:pPr>
        <w:tabs>
          <w:tab w:val="center" w:pos="5400"/>
        </w:tabs>
        <w:suppressAutoHyphens/>
        <w:jc w:val="center"/>
        <w:rPr>
          <w:rFonts w:ascii="Cambria" w:hAnsi="Cambria"/>
          <w:sz w:val="20"/>
          <w:szCs w:val="20"/>
          <w:lang w:val="es-ES_tradnl"/>
        </w:rPr>
      </w:pPr>
    </w:p>
    <w:p w:rsidR="00A50FCF" w:rsidRPr="00DC278B" w:rsidRDefault="008673AE" w:rsidP="00DC278B">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8240" behindDoc="0" locked="0" layoutInCell="1" allowOverlap="1" wp14:anchorId="3871E6D6" wp14:editId="04B1668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06E" w:rsidRPr="001B4214" w:rsidRDefault="0006606E" w:rsidP="00113F73">
                            <w:pPr>
                              <w:spacing w:line="276" w:lineRule="auto"/>
                              <w:rPr>
                                <w:rFonts w:ascii="Cambria" w:hAnsi="Cambria"/>
                                <w:color w:val="595959"/>
                                <w:sz w:val="18"/>
                                <w:szCs w:val="18"/>
                                <w:lang w:val="es-ES_tradnl"/>
                              </w:rPr>
                            </w:pPr>
                            <w:r w:rsidRPr="001B4214">
                              <w:rPr>
                                <w:rFonts w:ascii="Cambria" w:hAnsi="Cambria"/>
                                <w:b/>
                                <w:color w:val="595959"/>
                                <w:sz w:val="18"/>
                                <w:szCs w:val="18"/>
                                <w:lang w:val="pt-BR"/>
                              </w:rPr>
                              <w:t>Citar como:</w:t>
                            </w:r>
                            <w:r w:rsidRPr="001B4214">
                              <w:rPr>
                                <w:rFonts w:ascii="Cambria" w:hAnsi="Cambria"/>
                                <w:color w:val="595959"/>
                                <w:sz w:val="18"/>
                                <w:szCs w:val="18"/>
                                <w:lang w:val="pt-BR"/>
                              </w:rPr>
                              <w:t xml:space="preserve"> CIDH, Informe No.  </w:t>
                            </w:r>
                            <w:r>
                              <w:rPr>
                                <w:rFonts w:ascii="Cambria" w:hAnsi="Cambria"/>
                                <w:color w:val="595959"/>
                                <w:sz w:val="18"/>
                                <w:szCs w:val="18"/>
                                <w:lang w:val="es-ES"/>
                              </w:rPr>
                              <w:t>52</w:t>
                            </w:r>
                            <w:r>
                              <w:rPr>
                                <w:rFonts w:ascii="Cambria" w:hAnsi="Cambria"/>
                                <w:color w:val="595959"/>
                                <w:sz w:val="18"/>
                                <w:szCs w:val="18"/>
                                <w:lang w:val="es-ES_tradnl"/>
                              </w:rPr>
                              <w:t>/16</w:t>
                            </w:r>
                            <w:r w:rsidRPr="001B4214">
                              <w:rPr>
                                <w:rFonts w:ascii="Cambria" w:hAnsi="Cambria"/>
                                <w:color w:val="595959"/>
                                <w:sz w:val="18"/>
                                <w:szCs w:val="18"/>
                                <w:lang w:val="es-ES_tradnl"/>
                              </w:rPr>
                              <w:t>, Caso 12.521.</w:t>
                            </w:r>
                          </w:p>
                          <w:p w:rsidR="0006606E" w:rsidRPr="001B4214" w:rsidRDefault="0006606E" w:rsidP="00093196">
                            <w:pPr>
                              <w:spacing w:line="276" w:lineRule="auto"/>
                              <w:rPr>
                                <w:rFonts w:ascii="Cambria" w:hAnsi="Cambria"/>
                                <w:color w:val="595959"/>
                                <w:sz w:val="18"/>
                                <w:szCs w:val="18"/>
                                <w:lang w:val="es-ES"/>
                              </w:rPr>
                            </w:pPr>
                            <w:r w:rsidRPr="001B4214">
                              <w:rPr>
                                <w:rFonts w:ascii="Cambria" w:hAnsi="Cambria"/>
                                <w:color w:val="595959"/>
                                <w:sz w:val="18"/>
                                <w:szCs w:val="18"/>
                                <w:lang w:val="es-ES_tradnl"/>
                              </w:rPr>
                              <w:t xml:space="preserve">Fondo. </w:t>
                            </w:r>
                            <w:r>
                              <w:rPr>
                                <w:rFonts w:ascii="Cambria" w:hAnsi="Cambria"/>
                                <w:color w:val="595959"/>
                                <w:sz w:val="18"/>
                                <w:szCs w:val="18"/>
                                <w:lang w:val="es-ES_tradnl"/>
                              </w:rPr>
                              <w:t>Maria Laura Ordenes Guerra y otros.</w:t>
                            </w:r>
                          </w:p>
                          <w:p w:rsidR="0006606E" w:rsidRPr="001B4214" w:rsidRDefault="0006606E" w:rsidP="00113F73">
                            <w:pPr>
                              <w:spacing w:line="276" w:lineRule="auto"/>
                              <w:rPr>
                                <w:rFonts w:ascii="Cambria" w:hAnsi="Cambria"/>
                                <w:color w:val="595959"/>
                                <w:sz w:val="18"/>
                                <w:szCs w:val="18"/>
                                <w:lang w:val="es-ES_tradnl"/>
                              </w:rPr>
                            </w:pPr>
                            <w:r>
                              <w:rPr>
                                <w:rFonts w:ascii="Cambria" w:hAnsi="Cambria"/>
                                <w:color w:val="595959"/>
                                <w:sz w:val="18"/>
                                <w:szCs w:val="18"/>
                                <w:lang w:val="es-ES_tradnl"/>
                              </w:rPr>
                              <w:t>Chile. 30 de noviembre de 2016</w:t>
                            </w:r>
                            <w:r w:rsidRPr="001B4214">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06606E" w:rsidRPr="001B4214" w:rsidRDefault="0006606E" w:rsidP="00113F73">
                      <w:pPr>
                        <w:spacing w:line="276" w:lineRule="auto"/>
                        <w:rPr>
                          <w:rFonts w:ascii="Cambria" w:hAnsi="Cambria"/>
                          <w:color w:val="595959"/>
                          <w:sz w:val="18"/>
                          <w:szCs w:val="18"/>
                          <w:lang w:val="es-ES_tradnl"/>
                        </w:rPr>
                      </w:pPr>
                      <w:r w:rsidRPr="001B4214">
                        <w:rPr>
                          <w:rFonts w:ascii="Cambria" w:hAnsi="Cambria"/>
                          <w:b/>
                          <w:color w:val="595959"/>
                          <w:sz w:val="18"/>
                          <w:szCs w:val="18"/>
                          <w:lang w:val="pt-BR"/>
                        </w:rPr>
                        <w:t>Citar como:</w:t>
                      </w:r>
                      <w:r w:rsidRPr="001B4214">
                        <w:rPr>
                          <w:rFonts w:ascii="Cambria" w:hAnsi="Cambria"/>
                          <w:color w:val="595959"/>
                          <w:sz w:val="18"/>
                          <w:szCs w:val="18"/>
                          <w:lang w:val="pt-BR"/>
                        </w:rPr>
                        <w:t xml:space="preserve"> CIDH, Informe No.  </w:t>
                      </w:r>
                      <w:r>
                        <w:rPr>
                          <w:rFonts w:ascii="Cambria" w:hAnsi="Cambria"/>
                          <w:color w:val="595959"/>
                          <w:sz w:val="18"/>
                          <w:szCs w:val="18"/>
                          <w:lang w:val="es-ES"/>
                        </w:rPr>
                        <w:t>52</w:t>
                      </w:r>
                      <w:r>
                        <w:rPr>
                          <w:rFonts w:ascii="Cambria" w:hAnsi="Cambria"/>
                          <w:color w:val="595959"/>
                          <w:sz w:val="18"/>
                          <w:szCs w:val="18"/>
                          <w:lang w:val="es-ES_tradnl"/>
                        </w:rPr>
                        <w:t>/16</w:t>
                      </w:r>
                      <w:r w:rsidRPr="001B4214">
                        <w:rPr>
                          <w:rFonts w:ascii="Cambria" w:hAnsi="Cambria"/>
                          <w:color w:val="595959"/>
                          <w:sz w:val="18"/>
                          <w:szCs w:val="18"/>
                          <w:lang w:val="es-ES_tradnl"/>
                        </w:rPr>
                        <w:t>, Caso 12.521.</w:t>
                      </w:r>
                    </w:p>
                    <w:p w:rsidR="0006606E" w:rsidRPr="001B4214" w:rsidRDefault="0006606E" w:rsidP="00093196">
                      <w:pPr>
                        <w:spacing w:line="276" w:lineRule="auto"/>
                        <w:rPr>
                          <w:rFonts w:ascii="Cambria" w:hAnsi="Cambria"/>
                          <w:color w:val="595959"/>
                          <w:sz w:val="18"/>
                          <w:szCs w:val="18"/>
                          <w:lang w:val="es-ES"/>
                        </w:rPr>
                      </w:pPr>
                      <w:r w:rsidRPr="001B4214">
                        <w:rPr>
                          <w:rFonts w:ascii="Cambria" w:hAnsi="Cambria"/>
                          <w:color w:val="595959"/>
                          <w:sz w:val="18"/>
                          <w:szCs w:val="18"/>
                          <w:lang w:val="es-ES_tradnl"/>
                        </w:rPr>
                        <w:t xml:space="preserve">Fondo. </w:t>
                      </w:r>
                      <w:r>
                        <w:rPr>
                          <w:rFonts w:ascii="Cambria" w:hAnsi="Cambria"/>
                          <w:color w:val="595959"/>
                          <w:sz w:val="18"/>
                          <w:szCs w:val="18"/>
                          <w:lang w:val="es-ES_tradnl"/>
                        </w:rPr>
                        <w:t>Maria Laura Ordenes Guerra y otros.</w:t>
                      </w:r>
                    </w:p>
                    <w:p w:rsidR="0006606E" w:rsidRPr="001B4214" w:rsidRDefault="0006606E" w:rsidP="00113F73">
                      <w:pPr>
                        <w:spacing w:line="276" w:lineRule="auto"/>
                        <w:rPr>
                          <w:rFonts w:ascii="Cambria" w:hAnsi="Cambria"/>
                          <w:color w:val="595959"/>
                          <w:sz w:val="18"/>
                          <w:szCs w:val="18"/>
                          <w:lang w:val="es-ES_tradnl"/>
                        </w:rPr>
                      </w:pPr>
                      <w:r>
                        <w:rPr>
                          <w:rFonts w:ascii="Cambria" w:hAnsi="Cambria"/>
                          <w:color w:val="595959"/>
                          <w:sz w:val="18"/>
                          <w:szCs w:val="18"/>
                          <w:lang w:val="es-ES_tradnl"/>
                        </w:rPr>
                        <w:t>Chile. 30 de noviembre de 2016</w:t>
                      </w:r>
                      <w:r w:rsidRPr="001B4214">
                        <w:rPr>
                          <w:rFonts w:ascii="Cambria" w:hAnsi="Cambria"/>
                          <w:color w:val="595959"/>
                          <w:sz w:val="18"/>
                          <w:szCs w:val="18"/>
                          <w:lang w:val="es-ES"/>
                        </w:rPr>
                        <w:t>.</w:t>
                      </w:r>
                    </w:p>
                  </w:txbxContent>
                </v:textbox>
              </v:shape>
            </w:pict>
          </mc:Fallback>
        </mc:AlternateContent>
      </w:r>
    </w:p>
    <w:p w:rsidR="00A50FCF" w:rsidRPr="00DC278B" w:rsidRDefault="00A50FCF" w:rsidP="00DC278B">
      <w:pPr>
        <w:tabs>
          <w:tab w:val="center" w:pos="5400"/>
        </w:tabs>
        <w:suppressAutoHyphens/>
        <w:jc w:val="center"/>
        <w:rPr>
          <w:rFonts w:ascii="Cambria" w:hAnsi="Cambria"/>
          <w:sz w:val="20"/>
          <w:szCs w:val="20"/>
          <w:lang w:val="es-ES_tradnl"/>
        </w:rPr>
      </w:pPr>
    </w:p>
    <w:p w:rsidR="0090270B" w:rsidRPr="00DC278B" w:rsidRDefault="008673AE" w:rsidP="00DC278B">
      <w:pPr>
        <w:tabs>
          <w:tab w:val="center" w:pos="5400"/>
        </w:tabs>
        <w:suppressAutoHyphens/>
        <w:jc w:val="center"/>
        <w:rPr>
          <w:rFonts w:ascii="Cambria" w:hAnsi="Cambria"/>
          <w:b/>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9264" behindDoc="0" locked="0" layoutInCell="1" allowOverlap="1" wp14:anchorId="24B7FBA7" wp14:editId="413DF3A2">
                <wp:simplePos x="0" y="0"/>
                <wp:positionH relativeFrom="column">
                  <wp:posOffset>1329690</wp:posOffset>
                </wp:positionH>
                <wp:positionV relativeFrom="paragraph">
                  <wp:posOffset>638810</wp:posOffset>
                </wp:positionV>
                <wp:extent cx="4096385" cy="567055"/>
                <wp:effectExtent l="0" t="635" r="3175" b="381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6606E" w:rsidRPr="001B4214" w:rsidRDefault="0006606E" w:rsidP="00F02AD1">
                            <w:pPr>
                              <w:rPr>
                                <w:color w:val="FFFFFF"/>
                              </w:rPr>
                            </w:pPr>
                            <w:r>
                              <w:rPr>
                                <w:noProof/>
                                <w:color w:val="FFFFFF"/>
                              </w:rPr>
                              <w:drawing>
                                <wp:inline distT="0" distB="0" distL="0" distR="0" wp14:anchorId="3A63204B" wp14:editId="07DAA435">
                                  <wp:extent cx="1337310" cy="38925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389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AZ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Fg0w&#10;GYUCAAAWBQAADgAAAAAAAAAAAAAAAAAuAgAAZHJzL2Uyb0RvYy54bWxQSwECLQAUAAYACAAAACEA&#10;KY2WJNwAAAALAQAADwAAAAAAAAAAAAAAAADfBAAAZHJzL2Rvd25yZXYueG1sUEsFBgAAAAAEAAQA&#10;8wAAAOgFAAAAAA==&#10;" stroked="f" strokeweight=".5pt">
                <v:textbox>
                  <w:txbxContent>
                    <w:p w:rsidR="0006606E" w:rsidRPr="001B4214" w:rsidRDefault="0006606E" w:rsidP="00F02AD1">
                      <w:pPr>
                        <w:rPr>
                          <w:color w:val="FFFFFF"/>
                        </w:rPr>
                      </w:pPr>
                      <w:r>
                        <w:rPr>
                          <w:noProof/>
                          <w:color w:val="FFFFFF"/>
                        </w:rPr>
                        <w:drawing>
                          <wp:inline distT="0" distB="0" distL="0" distR="0" wp14:anchorId="3A63204B" wp14:editId="07DAA435">
                            <wp:extent cx="1337310" cy="38925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389255"/>
                                    </a:xfrm>
                                    <a:prstGeom prst="rect">
                                      <a:avLst/>
                                    </a:prstGeom>
                                    <a:noFill/>
                                    <a:ln>
                                      <a:noFill/>
                                    </a:ln>
                                  </pic:spPr>
                                </pic:pic>
                              </a:graphicData>
                            </a:graphic>
                          </wp:inline>
                        </w:drawing>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60288" behindDoc="0" locked="0" layoutInCell="1" allowOverlap="1" wp14:anchorId="00B87003" wp14:editId="3EADD49E">
                <wp:simplePos x="0" y="0"/>
                <wp:positionH relativeFrom="column">
                  <wp:posOffset>-272415</wp:posOffset>
                </wp:positionH>
                <wp:positionV relativeFrom="paragraph">
                  <wp:posOffset>915035</wp:posOffset>
                </wp:positionV>
                <wp:extent cx="1181100" cy="3327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06E" w:rsidRPr="001B4214" w:rsidRDefault="0006606E" w:rsidP="00D306D1">
                            <w:pPr>
                              <w:jc w:val="center"/>
                              <w:rPr>
                                <w:rFonts w:ascii="Calibri" w:hAnsi="Calibri"/>
                                <w:b/>
                                <w:color w:val="FFFFFF"/>
                              </w:rPr>
                            </w:pPr>
                            <w:r w:rsidRPr="001B4214">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Kk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PEkIqSOAgAAggUAAA4AAAAAAAAAAAAAAAAALgIAAGRycy9lMm9Eb2MueG1sUEsB&#10;Ai0AFAAGAAgAAAAhACDAf2/gAAAACwEAAA8AAAAAAAAAAAAAAAAA6AQAAGRycy9kb3ducmV2Lnht&#10;bFBLBQYAAAAABAAEAPMAAAD1BQAAAAA=&#10;" filled="f" stroked="f" strokeweight=".5pt">
                <v:path arrowok="t"/>
                <v:textbox>
                  <w:txbxContent>
                    <w:p w:rsidR="0006606E" w:rsidRPr="001B4214" w:rsidRDefault="0006606E" w:rsidP="00D306D1">
                      <w:pPr>
                        <w:jc w:val="center"/>
                        <w:rPr>
                          <w:rFonts w:ascii="Calibri" w:hAnsi="Calibri"/>
                          <w:b/>
                          <w:color w:val="FFFFFF"/>
                        </w:rPr>
                      </w:pPr>
                      <w:r w:rsidRPr="001B4214">
                        <w:rPr>
                          <w:rFonts w:ascii="Calibri" w:hAnsi="Calibri"/>
                          <w:b/>
                          <w:color w:val="FFFFFF"/>
                          <w:lang w:val="pt-BR"/>
                        </w:rPr>
                        <w:t>www.cidh.org</w:t>
                      </w:r>
                    </w:p>
                  </w:txbxContent>
                </v:textbox>
              </v:shape>
            </w:pict>
          </mc:Fallback>
        </mc:AlternateContent>
      </w:r>
    </w:p>
    <w:p w:rsidR="0070697F" w:rsidRPr="00DC278B" w:rsidRDefault="0070697F" w:rsidP="00DC278B">
      <w:pPr>
        <w:tabs>
          <w:tab w:val="center" w:pos="5400"/>
        </w:tabs>
        <w:suppressAutoHyphens/>
        <w:jc w:val="center"/>
        <w:rPr>
          <w:rFonts w:ascii="Cambria" w:hAnsi="Cambria"/>
          <w:b/>
          <w:sz w:val="20"/>
          <w:szCs w:val="20"/>
          <w:lang w:val="es-ES_tradnl"/>
        </w:rPr>
        <w:sectPr w:rsidR="0070697F" w:rsidRPr="00DC278B"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4B316C" w:rsidRPr="00DC278B" w:rsidRDefault="00193B22"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lang w:val="es-ES_tradnl"/>
        </w:rPr>
      </w:pPr>
      <w:r>
        <w:rPr>
          <w:rFonts w:ascii="Cambria" w:eastAsia="Times New Roman" w:hAnsi="Cambria"/>
          <w:b/>
          <w:sz w:val="18"/>
          <w:szCs w:val="18"/>
          <w:bdr w:val="none" w:sz="0" w:space="0" w:color="auto"/>
          <w:lang w:val="es-ES_tradnl"/>
        </w:rPr>
        <w:lastRenderedPageBreak/>
        <w:t>INFORME No. 52</w:t>
      </w:r>
      <w:r w:rsidR="00B01E46" w:rsidRPr="00DC278B">
        <w:rPr>
          <w:rFonts w:ascii="Cambria" w:eastAsia="Times New Roman" w:hAnsi="Cambria"/>
          <w:b/>
          <w:sz w:val="18"/>
          <w:szCs w:val="18"/>
          <w:bdr w:val="none" w:sz="0" w:space="0" w:color="auto"/>
          <w:lang w:val="es-ES_tradnl"/>
        </w:rPr>
        <w:t>/16</w:t>
      </w:r>
    </w:p>
    <w:p w:rsidR="004B316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lang w:val="es-ES_tradnl"/>
        </w:rPr>
      </w:pPr>
      <w:r w:rsidRPr="00DC278B">
        <w:rPr>
          <w:rFonts w:ascii="Cambria" w:eastAsia="Times New Roman" w:hAnsi="Cambria"/>
          <w:b/>
          <w:sz w:val="18"/>
          <w:szCs w:val="18"/>
          <w:bdr w:val="none" w:sz="0" w:space="0" w:color="auto"/>
          <w:lang w:val="es-ES_tradnl"/>
        </w:rPr>
        <w:t>CASO 12.521</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sidRPr="00DC278B">
        <w:rPr>
          <w:rFonts w:ascii="Cambria" w:eastAsia="Times New Roman" w:hAnsi="Cambria"/>
          <w:sz w:val="18"/>
          <w:szCs w:val="18"/>
          <w:bdr w:val="none" w:sz="0" w:space="0" w:color="auto"/>
          <w:lang w:val="es-ES_tradnl"/>
        </w:rPr>
        <w:t>FONDO</w:t>
      </w:r>
    </w:p>
    <w:p w:rsidR="00B06C1C" w:rsidRPr="00DC278B" w:rsidRDefault="00E07F44"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sidRPr="00DC278B">
        <w:rPr>
          <w:rFonts w:ascii="Cambria" w:eastAsia="Times New Roman" w:hAnsi="Cambria"/>
          <w:sz w:val="18"/>
          <w:szCs w:val="18"/>
          <w:bdr w:val="none" w:sz="0" w:space="0" w:color="auto"/>
          <w:lang w:val="es-ES_tradnl"/>
        </w:rPr>
        <w:t>MARIA LAURA Ó</w:t>
      </w:r>
      <w:r w:rsidR="00B06C1C" w:rsidRPr="00DC278B">
        <w:rPr>
          <w:rFonts w:ascii="Cambria" w:eastAsia="Times New Roman" w:hAnsi="Cambria"/>
          <w:sz w:val="18"/>
          <w:szCs w:val="18"/>
          <w:bdr w:val="none" w:sz="0" w:space="0" w:color="auto"/>
          <w:lang w:val="es-ES_tradnl"/>
        </w:rPr>
        <w:t>RDENES GUERRA Y OTROS</w:t>
      </w:r>
    </w:p>
    <w:p w:rsidR="00B06C1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sidRPr="00DC278B">
        <w:rPr>
          <w:rFonts w:ascii="Cambria" w:eastAsia="Times New Roman" w:hAnsi="Cambria"/>
          <w:sz w:val="18"/>
          <w:szCs w:val="18"/>
          <w:bdr w:val="none" w:sz="0" w:space="0" w:color="auto"/>
          <w:lang w:val="es-ES_tradnl"/>
        </w:rPr>
        <w:t>CHILE</w:t>
      </w:r>
    </w:p>
    <w:p w:rsidR="0073741F" w:rsidRPr="00DC278B" w:rsidRDefault="00193B22"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Pr>
          <w:rFonts w:ascii="Cambria" w:eastAsia="Times New Roman" w:hAnsi="Cambria"/>
          <w:sz w:val="18"/>
          <w:szCs w:val="18"/>
          <w:bdr w:val="none" w:sz="0" w:space="0" w:color="auto"/>
          <w:lang w:val="es-ES_tradnl"/>
        </w:rPr>
        <w:t>30</w:t>
      </w:r>
      <w:r w:rsidR="00E24E60" w:rsidRPr="00DC278B">
        <w:rPr>
          <w:rFonts w:ascii="Cambria" w:eastAsia="Times New Roman" w:hAnsi="Cambria"/>
          <w:sz w:val="18"/>
          <w:szCs w:val="18"/>
          <w:bdr w:val="none" w:sz="0" w:space="0" w:color="auto"/>
          <w:lang w:val="es-ES_tradnl"/>
        </w:rPr>
        <w:t xml:space="preserve"> DE </w:t>
      </w:r>
      <w:r>
        <w:rPr>
          <w:rFonts w:ascii="Cambria" w:eastAsia="Times New Roman" w:hAnsi="Cambria"/>
          <w:sz w:val="18"/>
          <w:szCs w:val="18"/>
          <w:bdr w:val="none" w:sz="0" w:space="0" w:color="auto"/>
          <w:lang w:val="es-ES_tradnl"/>
        </w:rPr>
        <w:t xml:space="preserve">NOVIEMBRE </w:t>
      </w:r>
      <w:r w:rsidR="00E9616C" w:rsidRPr="00DC278B">
        <w:rPr>
          <w:rFonts w:ascii="Cambria" w:eastAsia="Times New Roman" w:hAnsi="Cambria"/>
          <w:sz w:val="18"/>
          <w:szCs w:val="18"/>
          <w:bdr w:val="none" w:sz="0" w:space="0" w:color="auto"/>
          <w:lang w:val="es-ES_tradnl"/>
        </w:rPr>
        <w:t>DE 2016</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20"/>
          <w:szCs w:val="20"/>
          <w:lang w:val="es-ES_tradnl"/>
        </w:rPr>
      </w:pPr>
    </w:p>
    <w:p w:rsidR="00F37106" w:rsidRPr="00DC278B" w:rsidRDefault="00AA09A2" w:rsidP="00DC278B">
      <w:pPr>
        <w:tabs>
          <w:tab w:val="center" w:pos="5400"/>
        </w:tabs>
        <w:suppressAutoHyphens/>
        <w:spacing w:line="276" w:lineRule="auto"/>
        <w:jc w:val="center"/>
        <w:rPr>
          <w:rFonts w:ascii="Cambria" w:hAnsi="Cambria"/>
          <w:b/>
          <w:sz w:val="20"/>
          <w:szCs w:val="20"/>
          <w:lang w:val="es-ES_tradnl"/>
        </w:rPr>
      </w:pPr>
      <w:r w:rsidRPr="00DC278B">
        <w:rPr>
          <w:rFonts w:ascii="Cambria" w:hAnsi="Cambria"/>
          <w:b/>
          <w:sz w:val="20"/>
          <w:szCs w:val="20"/>
          <w:lang w:val="es-ES_tradnl"/>
        </w:rPr>
        <w:t>Í</w:t>
      </w:r>
      <w:r w:rsidR="00DC7023" w:rsidRPr="00DC278B">
        <w:rPr>
          <w:rFonts w:ascii="Cambria" w:hAnsi="Cambria"/>
          <w:b/>
          <w:sz w:val="20"/>
          <w:szCs w:val="20"/>
          <w:lang w:val="es-ES_tradnl"/>
        </w:rPr>
        <w:t>NDICE</w:t>
      </w:r>
    </w:p>
    <w:p w:rsidR="00DC7023" w:rsidRPr="00DC278B" w:rsidRDefault="00DC7023" w:rsidP="00DC278B">
      <w:pPr>
        <w:tabs>
          <w:tab w:val="center" w:pos="5400"/>
        </w:tabs>
        <w:suppressAutoHyphens/>
        <w:spacing w:line="276" w:lineRule="auto"/>
        <w:jc w:val="center"/>
        <w:rPr>
          <w:rFonts w:ascii="Cambria" w:hAnsi="Cambria"/>
          <w:b/>
          <w:sz w:val="20"/>
          <w:szCs w:val="20"/>
          <w:lang w:val="es-ES_tradnl"/>
        </w:rPr>
      </w:pPr>
    </w:p>
    <w:p w:rsidR="0070697F" w:rsidRPr="00DC278B" w:rsidRDefault="0070697F" w:rsidP="00DC278B">
      <w:pPr>
        <w:tabs>
          <w:tab w:val="left" w:pos="720"/>
          <w:tab w:val="center" w:pos="5400"/>
        </w:tabs>
        <w:suppressAutoHyphens/>
        <w:rPr>
          <w:rFonts w:ascii="Cambria" w:hAnsi="Cambria"/>
          <w:sz w:val="20"/>
          <w:szCs w:val="20"/>
          <w:lang w:val="es-ES_tradnl"/>
        </w:rPr>
      </w:pPr>
    </w:p>
    <w:p w:rsidR="0070697F" w:rsidRPr="00DC278B" w:rsidRDefault="0070697F" w:rsidP="00DC278B">
      <w:pPr>
        <w:tabs>
          <w:tab w:val="left" w:pos="720"/>
          <w:tab w:val="center" w:pos="5400"/>
        </w:tabs>
        <w:suppressAutoHyphens/>
        <w:rPr>
          <w:rFonts w:ascii="Cambria" w:hAnsi="Cambria"/>
          <w:sz w:val="20"/>
          <w:szCs w:val="20"/>
          <w:lang w:val="es-ES_tradnl"/>
        </w:rPr>
      </w:pPr>
    </w:p>
    <w:p w:rsidR="00585E67" w:rsidRPr="00DC278B" w:rsidRDefault="00585E67" w:rsidP="00DC278B">
      <w:pPr>
        <w:pStyle w:val="TOC1"/>
        <w:tabs>
          <w:tab w:val="left" w:pos="720"/>
          <w:tab w:val="left" w:pos="1440"/>
          <w:tab w:val="right" w:leader="dot" w:pos="9350"/>
        </w:tabs>
        <w:rPr>
          <w:rFonts w:ascii="Cambria" w:eastAsia="Times New Roman" w:hAnsi="Cambria"/>
          <w:noProof/>
          <w:sz w:val="20"/>
          <w:szCs w:val="20"/>
          <w:bdr w:val="none" w:sz="0" w:space="0" w:color="auto"/>
        </w:rPr>
      </w:pPr>
      <w:r w:rsidRPr="00DC278B">
        <w:rPr>
          <w:rFonts w:ascii="Cambria" w:hAnsi="Cambria"/>
          <w:sz w:val="20"/>
          <w:szCs w:val="20"/>
          <w:lang w:val="es-ES_tradnl"/>
        </w:rPr>
        <w:fldChar w:fldCharType="begin"/>
      </w:r>
      <w:r w:rsidRPr="00DC278B">
        <w:rPr>
          <w:rFonts w:ascii="Cambria" w:hAnsi="Cambria"/>
          <w:sz w:val="20"/>
          <w:szCs w:val="20"/>
          <w:lang w:val="es-ES_tradnl"/>
        </w:rPr>
        <w:instrText xml:space="preserve"> TOC \o "1-3" \h \z \u </w:instrText>
      </w:r>
      <w:r w:rsidRPr="00DC278B">
        <w:rPr>
          <w:rFonts w:ascii="Cambria" w:hAnsi="Cambria"/>
          <w:sz w:val="20"/>
          <w:szCs w:val="20"/>
          <w:lang w:val="es-ES_tradnl"/>
        </w:rPr>
        <w:fldChar w:fldCharType="separate"/>
      </w:r>
      <w:hyperlink w:anchor="_Toc413397460" w:history="1">
        <w:r w:rsidRPr="00E419AB">
          <w:rPr>
            <w:rStyle w:val="Hyperlink"/>
            <w:rFonts w:ascii="Cambria" w:hAnsi="Cambria"/>
            <w:b/>
            <w:noProof/>
            <w:sz w:val="20"/>
            <w:szCs w:val="20"/>
          </w:rPr>
          <w:t>I.</w:t>
        </w:r>
        <w:r w:rsidRPr="00E419AB">
          <w:rPr>
            <w:rFonts w:ascii="Cambria" w:eastAsia="Times New Roman" w:hAnsi="Cambria"/>
            <w:b/>
            <w:noProof/>
            <w:sz w:val="20"/>
            <w:szCs w:val="20"/>
            <w:bdr w:val="none" w:sz="0" w:space="0" w:color="auto"/>
          </w:rPr>
          <w:tab/>
        </w:r>
        <w:r w:rsidRPr="00E419AB">
          <w:rPr>
            <w:rStyle w:val="Hyperlink"/>
            <w:rFonts w:ascii="Cambria" w:hAnsi="Cambria"/>
            <w:b/>
            <w:noProof/>
            <w:sz w:val="20"/>
            <w:szCs w:val="20"/>
          </w:rPr>
          <w:t>RESUMEN</w:t>
        </w:r>
        <w:r w:rsidRPr="00DC278B">
          <w:rPr>
            <w:rFonts w:ascii="Cambria" w:hAnsi="Cambria"/>
            <w:noProof/>
            <w:webHidden/>
            <w:sz w:val="20"/>
            <w:szCs w:val="20"/>
          </w:rPr>
          <w:tab/>
        </w:r>
        <w:r w:rsidRPr="00DC278B">
          <w:rPr>
            <w:rFonts w:ascii="Cambria" w:hAnsi="Cambria"/>
            <w:noProof/>
            <w:webHidden/>
            <w:sz w:val="20"/>
            <w:szCs w:val="20"/>
          </w:rPr>
          <w:fldChar w:fldCharType="begin"/>
        </w:r>
        <w:r w:rsidRPr="00DC278B">
          <w:rPr>
            <w:rFonts w:ascii="Cambria" w:hAnsi="Cambria"/>
            <w:noProof/>
            <w:webHidden/>
            <w:sz w:val="20"/>
            <w:szCs w:val="20"/>
          </w:rPr>
          <w:instrText xml:space="preserve"> PAGEREF _Toc413397460 \h </w:instrText>
        </w:r>
        <w:r w:rsidRPr="00DC278B">
          <w:rPr>
            <w:rFonts w:ascii="Cambria" w:hAnsi="Cambria"/>
            <w:noProof/>
            <w:webHidden/>
            <w:sz w:val="20"/>
            <w:szCs w:val="20"/>
          </w:rPr>
        </w:r>
        <w:r w:rsidRPr="00DC278B">
          <w:rPr>
            <w:rFonts w:ascii="Cambria" w:hAnsi="Cambria"/>
            <w:noProof/>
            <w:webHidden/>
            <w:sz w:val="20"/>
            <w:szCs w:val="20"/>
          </w:rPr>
          <w:fldChar w:fldCharType="separate"/>
        </w:r>
        <w:r w:rsidR="00A82D33">
          <w:rPr>
            <w:rFonts w:ascii="Cambria" w:hAnsi="Cambria"/>
            <w:noProof/>
            <w:webHidden/>
            <w:sz w:val="20"/>
            <w:szCs w:val="20"/>
          </w:rPr>
          <w:t>2</w:t>
        </w:r>
        <w:r w:rsidRPr="00DC278B">
          <w:rPr>
            <w:rFonts w:ascii="Cambria" w:hAnsi="Cambria"/>
            <w:noProof/>
            <w:webHidden/>
            <w:sz w:val="20"/>
            <w:szCs w:val="20"/>
          </w:rPr>
          <w:fldChar w:fldCharType="end"/>
        </w:r>
      </w:hyperlink>
    </w:p>
    <w:p w:rsidR="00585E67" w:rsidRPr="00DC278B" w:rsidRDefault="0006606E" w:rsidP="00DC278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13397461" w:history="1">
        <w:r w:rsidR="00585E67" w:rsidRPr="00E419AB">
          <w:rPr>
            <w:rStyle w:val="Hyperlink"/>
            <w:rFonts w:ascii="Cambria" w:hAnsi="Cambria"/>
            <w:b/>
            <w:noProof/>
            <w:sz w:val="20"/>
            <w:szCs w:val="20"/>
          </w:rPr>
          <w:t>II.</w:t>
        </w:r>
        <w:r w:rsidR="00585E67" w:rsidRPr="00E419AB">
          <w:rPr>
            <w:rFonts w:ascii="Cambria" w:eastAsia="Times New Roman" w:hAnsi="Cambria"/>
            <w:b/>
            <w:noProof/>
            <w:sz w:val="20"/>
            <w:szCs w:val="20"/>
            <w:bdr w:val="none" w:sz="0" w:space="0" w:color="auto"/>
          </w:rPr>
          <w:tab/>
        </w:r>
        <w:r w:rsidR="00585E67" w:rsidRPr="00E419AB">
          <w:rPr>
            <w:rStyle w:val="Hyperlink"/>
            <w:rFonts w:ascii="Cambria" w:hAnsi="Cambria"/>
            <w:b/>
            <w:noProof/>
            <w:sz w:val="20"/>
            <w:szCs w:val="20"/>
          </w:rPr>
          <w:t>TRÁMITE ANTE LA COMISIÓN POSTERIOR A LOS INFORMES DE ADMISIBILIDAD</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_Toc413397461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3</w:t>
        </w:r>
        <w:r w:rsidR="00585E67" w:rsidRPr="00DC278B">
          <w:rPr>
            <w:rFonts w:ascii="Cambria" w:hAnsi="Cambria"/>
            <w:noProof/>
            <w:webHidden/>
            <w:sz w:val="20"/>
            <w:szCs w:val="20"/>
          </w:rPr>
          <w:fldChar w:fldCharType="end"/>
        </w:r>
      </w:hyperlink>
    </w:p>
    <w:p w:rsidR="00585E67" w:rsidRPr="00DC278B" w:rsidRDefault="0006606E" w:rsidP="00DC278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13397462" w:history="1">
        <w:r w:rsidR="00585E67" w:rsidRPr="00E419AB">
          <w:rPr>
            <w:rStyle w:val="Hyperlink"/>
            <w:rFonts w:ascii="Cambria" w:hAnsi="Cambria"/>
            <w:b/>
            <w:noProof/>
            <w:sz w:val="20"/>
            <w:szCs w:val="20"/>
          </w:rPr>
          <w:t>III.</w:t>
        </w:r>
        <w:r w:rsidR="00585E67" w:rsidRPr="00E419AB">
          <w:rPr>
            <w:rFonts w:ascii="Cambria" w:eastAsia="Times New Roman" w:hAnsi="Cambria"/>
            <w:b/>
            <w:noProof/>
            <w:sz w:val="20"/>
            <w:szCs w:val="20"/>
            <w:bdr w:val="none" w:sz="0" w:space="0" w:color="auto"/>
          </w:rPr>
          <w:tab/>
        </w:r>
        <w:r w:rsidR="00585E67" w:rsidRPr="00E419AB">
          <w:rPr>
            <w:rStyle w:val="Hyperlink"/>
            <w:rFonts w:ascii="Cambria" w:hAnsi="Cambria"/>
            <w:b/>
            <w:noProof/>
            <w:sz w:val="20"/>
            <w:szCs w:val="20"/>
          </w:rPr>
          <w:t>POSICIONES DE LAS PARTES SOBRE EL FONDO</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_Toc413397462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4</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63" w:history="1">
        <w:r w:rsidR="00585E67" w:rsidRPr="00DC278B">
          <w:rPr>
            <w:rStyle w:val="Hyperlink"/>
            <w:rFonts w:ascii="Cambria" w:hAnsi="Cambria"/>
            <w:noProof/>
            <w:sz w:val="20"/>
            <w:szCs w:val="20"/>
          </w:rPr>
          <w:t>A.</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Posición del peticionario</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_Toc413397463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4</w:t>
        </w:r>
        <w:r w:rsidR="00585E67" w:rsidRPr="00DC278B">
          <w:rPr>
            <w:rFonts w:ascii="Cambria" w:hAnsi="Cambria"/>
            <w:noProof/>
            <w:webHidden/>
            <w:sz w:val="20"/>
            <w:szCs w:val="20"/>
          </w:rPr>
          <w:fldChar w:fldCharType="end"/>
        </w:r>
      </w:hyperlink>
    </w:p>
    <w:p w:rsidR="00585E67" w:rsidRPr="00DC278B" w:rsidRDefault="0006606E" w:rsidP="00DC278B">
      <w:pPr>
        <w:pStyle w:val="TOC3"/>
        <w:tabs>
          <w:tab w:val="clear" w:pos="880"/>
          <w:tab w:val="left" w:pos="720"/>
        </w:tabs>
        <w:ind w:left="1440" w:firstLine="0"/>
        <w:rPr>
          <w:rFonts w:ascii="Cambria" w:eastAsia="Times New Roman" w:hAnsi="Cambria"/>
          <w:noProof/>
          <w:sz w:val="20"/>
          <w:szCs w:val="20"/>
          <w:bdr w:val="none" w:sz="0" w:space="0" w:color="auto"/>
        </w:rPr>
      </w:pPr>
      <w:hyperlink w:anchor="_Toc413397464" w:history="1">
        <w:r w:rsidR="00585E67" w:rsidRPr="00DC278B">
          <w:rPr>
            <w:rStyle w:val="Hyperlink"/>
            <w:rFonts w:ascii="Cambria" w:eastAsia="Times New Roman" w:hAnsi="Cambria"/>
            <w:noProof/>
            <w:sz w:val="20"/>
            <w:szCs w:val="20"/>
            <w:lang w:val="es-ES_tradnl"/>
          </w:rPr>
          <w:t>Caso 12.521 – Alegatos específicos – María Laura Órdenes Guerra e hijos (familiares de Augusto Andino Alcalaya Aldunate)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_Toc413397464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4</w:t>
        </w:r>
        <w:r w:rsidR="00585E67" w:rsidRPr="00DC278B">
          <w:rPr>
            <w:rFonts w:ascii="Cambria" w:hAnsi="Cambria"/>
            <w:noProof/>
            <w:webHidden/>
            <w:sz w:val="20"/>
            <w:szCs w:val="20"/>
          </w:rPr>
          <w:fldChar w:fldCharType="end"/>
        </w:r>
      </w:hyperlink>
    </w:p>
    <w:p w:rsidR="00585E67" w:rsidRPr="00DC278B" w:rsidRDefault="0006606E" w:rsidP="00DC278B">
      <w:pPr>
        <w:pStyle w:val="TOC3"/>
        <w:tabs>
          <w:tab w:val="clear" w:pos="880"/>
          <w:tab w:val="left" w:pos="720"/>
        </w:tabs>
        <w:ind w:left="1440" w:firstLine="0"/>
        <w:rPr>
          <w:rFonts w:ascii="Cambria" w:eastAsia="Times New Roman" w:hAnsi="Cambria"/>
          <w:noProof/>
          <w:sz w:val="20"/>
          <w:szCs w:val="20"/>
          <w:bdr w:val="none" w:sz="0" w:space="0" w:color="auto"/>
        </w:rPr>
      </w:pPr>
      <w:hyperlink w:anchor="_Toc413397465" w:history="1">
        <w:r w:rsidR="00585E67" w:rsidRPr="00DC278B">
          <w:rPr>
            <w:rStyle w:val="Hyperlink"/>
            <w:rFonts w:ascii="Cambria" w:eastAsia="Times New Roman" w:hAnsi="Cambria"/>
            <w:noProof/>
            <w:sz w:val="20"/>
            <w:szCs w:val="20"/>
            <w:lang w:val="es-ES_tradnl"/>
          </w:rPr>
          <w:t>Caso 12.522 – Alegatos Específicos – Lucía Morales Compagnon y otros (familiares de Jorge Ovidio Osorio Zamora)</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_Toc413397465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5</w:t>
        </w:r>
        <w:r w:rsidR="00585E67" w:rsidRPr="00DC278B">
          <w:rPr>
            <w:rFonts w:ascii="Cambria" w:hAnsi="Cambria"/>
            <w:noProof/>
            <w:webHidden/>
            <w:sz w:val="20"/>
            <w:szCs w:val="20"/>
          </w:rPr>
          <w:fldChar w:fldCharType="end"/>
        </w:r>
      </w:hyperlink>
    </w:p>
    <w:p w:rsidR="00585E67" w:rsidRPr="00DC278B" w:rsidRDefault="0006606E" w:rsidP="00DC278B">
      <w:pPr>
        <w:pStyle w:val="TOC3"/>
        <w:tabs>
          <w:tab w:val="clear" w:pos="880"/>
          <w:tab w:val="left" w:pos="720"/>
        </w:tabs>
        <w:ind w:left="1440" w:firstLine="0"/>
        <w:rPr>
          <w:rFonts w:ascii="Cambria" w:eastAsia="Times New Roman" w:hAnsi="Cambria"/>
          <w:noProof/>
          <w:sz w:val="20"/>
          <w:szCs w:val="20"/>
          <w:bdr w:val="none" w:sz="0" w:space="0" w:color="auto"/>
        </w:rPr>
      </w:pPr>
      <w:hyperlink w:anchor="_Toc413397466" w:history="1">
        <w:r w:rsidR="00585E67" w:rsidRPr="00DC278B">
          <w:rPr>
            <w:rStyle w:val="Hyperlink"/>
            <w:rFonts w:ascii="Cambria" w:eastAsia="Times New Roman" w:hAnsi="Cambria"/>
            <w:noProof/>
            <w:sz w:val="20"/>
            <w:szCs w:val="20"/>
            <w:lang w:val="es-ES_tradnl"/>
          </w:rPr>
          <w:t>Caso 12.523 – Alegatos Específicos – Alina Barraza Codeceo y otros (familiares de Hipólito Cortés Alvarez)</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_Toc413397466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5</w:t>
        </w:r>
        <w:r w:rsidR="00585E67" w:rsidRPr="00DC278B">
          <w:rPr>
            <w:rFonts w:ascii="Cambria" w:hAnsi="Cambria"/>
            <w:noProof/>
            <w:webHidden/>
            <w:sz w:val="20"/>
            <w:szCs w:val="20"/>
          </w:rPr>
          <w:fldChar w:fldCharType="end"/>
        </w:r>
      </w:hyperlink>
    </w:p>
    <w:p w:rsidR="00585E67" w:rsidRPr="00DC278B" w:rsidRDefault="0006606E" w:rsidP="00DC278B">
      <w:pPr>
        <w:pStyle w:val="TOC3"/>
        <w:tabs>
          <w:tab w:val="clear" w:pos="880"/>
          <w:tab w:val="left" w:pos="720"/>
        </w:tabs>
        <w:ind w:left="1440" w:firstLine="0"/>
        <w:rPr>
          <w:rFonts w:ascii="Cambria" w:eastAsia="Times New Roman" w:hAnsi="Cambria"/>
          <w:noProof/>
          <w:sz w:val="20"/>
          <w:szCs w:val="20"/>
          <w:bdr w:val="none" w:sz="0" w:space="0" w:color="auto"/>
        </w:rPr>
      </w:pPr>
      <w:hyperlink w:anchor="_Toc413397467" w:history="1">
        <w:r w:rsidR="00585E67" w:rsidRPr="00DC278B">
          <w:rPr>
            <w:rStyle w:val="Hyperlink"/>
            <w:rFonts w:ascii="Cambria" w:eastAsia="Times New Roman" w:hAnsi="Cambria"/>
            <w:noProof/>
            <w:sz w:val="20"/>
            <w:szCs w:val="20"/>
            <w:lang w:val="es-ES_tradnl"/>
          </w:rPr>
          <w:t>Caso 12.520 – Alegatos Específicos – Magdalena Mercedes Navarrete y otros (familiares de Mario Melo Pradenas, Ramón Luis Vivanco, Rodolfo Alejandro Espejo Gómez y Sergio Alfonso Reyes Navarrete)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_Toc413397467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6</w:t>
        </w:r>
        <w:r w:rsidR="00585E67" w:rsidRPr="00DC278B">
          <w:rPr>
            <w:rFonts w:ascii="Cambria" w:hAnsi="Cambria"/>
            <w:noProof/>
            <w:webHidden/>
            <w:sz w:val="20"/>
            <w:szCs w:val="20"/>
          </w:rPr>
          <w:fldChar w:fldCharType="end"/>
        </w:r>
      </w:hyperlink>
    </w:p>
    <w:p w:rsidR="00585E67" w:rsidRPr="00DC278B" w:rsidRDefault="0006606E" w:rsidP="00DC278B">
      <w:pPr>
        <w:pStyle w:val="TOC3"/>
        <w:tabs>
          <w:tab w:val="left" w:pos="720"/>
        </w:tabs>
        <w:rPr>
          <w:rFonts w:ascii="Cambria" w:eastAsia="Times New Roman" w:hAnsi="Cambria"/>
          <w:noProof/>
          <w:sz w:val="20"/>
          <w:szCs w:val="20"/>
          <w:bdr w:val="none" w:sz="0" w:space="0" w:color="auto"/>
        </w:rPr>
      </w:pPr>
      <w:hyperlink w:anchor="_Toc413397468" w:history="1">
        <w:r w:rsidR="00585E67" w:rsidRPr="00DC278B">
          <w:rPr>
            <w:rStyle w:val="Hyperlink"/>
            <w:rFonts w:ascii="Cambria" w:eastAsia="Times New Roman" w:hAnsi="Cambria"/>
            <w:noProof/>
            <w:sz w:val="20"/>
            <w:szCs w:val="20"/>
            <w:lang w:val="es-ES_tradnl"/>
          </w:rPr>
          <w:t>Alegatos generales</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_Toc413397468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4</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69" w:history="1">
        <w:r w:rsidR="00585E67" w:rsidRPr="00DC278B">
          <w:rPr>
            <w:rStyle w:val="Hyperlink"/>
            <w:rFonts w:ascii="Cambria" w:hAnsi="Cambria"/>
            <w:noProof/>
            <w:sz w:val="20"/>
            <w:szCs w:val="20"/>
          </w:rPr>
          <w:t>B.</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Posición del Estado</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_Toc413397469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6</w:t>
        </w:r>
        <w:r w:rsidR="00585E67" w:rsidRPr="00DC278B">
          <w:rPr>
            <w:rFonts w:ascii="Cambria" w:hAnsi="Cambria"/>
            <w:noProof/>
            <w:webHidden/>
            <w:sz w:val="20"/>
            <w:szCs w:val="20"/>
          </w:rPr>
          <w:fldChar w:fldCharType="end"/>
        </w:r>
      </w:hyperlink>
    </w:p>
    <w:p w:rsidR="00585E67" w:rsidRPr="00DC278B" w:rsidRDefault="0006606E" w:rsidP="00DC278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13397470" w:history="1">
        <w:r w:rsidR="00585E67" w:rsidRPr="00E419AB">
          <w:rPr>
            <w:rStyle w:val="Hyperlink"/>
            <w:rFonts w:ascii="Cambria" w:hAnsi="Cambria"/>
            <w:b/>
            <w:noProof/>
            <w:sz w:val="20"/>
            <w:szCs w:val="20"/>
          </w:rPr>
          <w:t>IV.</w:t>
        </w:r>
        <w:r w:rsidR="00585E67" w:rsidRPr="00E419AB">
          <w:rPr>
            <w:rFonts w:ascii="Cambria" w:eastAsia="Times New Roman" w:hAnsi="Cambria"/>
            <w:b/>
            <w:noProof/>
            <w:sz w:val="20"/>
            <w:szCs w:val="20"/>
            <w:bdr w:val="none" w:sz="0" w:space="0" w:color="auto"/>
          </w:rPr>
          <w:tab/>
        </w:r>
        <w:r w:rsidR="00585E67" w:rsidRPr="00E419AB">
          <w:rPr>
            <w:rStyle w:val="Hyperlink"/>
            <w:rFonts w:ascii="Cambria" w:hAnsi="Cambria"/>
            <w:b/>
            <w:noProof/>
            <w:sz w:val="20"/>
            <w:szCs w:val="20"/>
          </w:rPr>
          <w:t>HECHOS PROBADOS</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_Toc413397470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9</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1" w:history="1">
        <w:r w:rsidR="00585E67" w:rsidRPr="00DC278B">
          <w:rPr>
            <w:rStyle w:val="Hyperlink"/>
            <w:rFonts w:ascii="Cambria" w:hAnsi="Cambria"/>
            <w:noProof/>
            <w:sz w:val="20"/>
            <w:szCs w:val="20"/>
          </w:rPr>
          <w:t>A.</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Régimen de reparaciones del Estado chileno</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_Toc413397471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9</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2" w:history="1">
        <w:r w:rsidR="00585E67" w:rsidRPr="00DC278B">
          <w:rPr>
            <w:rStyle w:val="Hyperlink"/>
            <w:rFonts w:ascii="Cambria" w:hAnsi="Cambria"/>
            <w:noProof/>
            <w:sz w:val="20"/>
            <w:szCs w:val="20"/>
          </w:rPr>
          <w:t>B.</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Normativa del Código Civil relevante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_Toc413397472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11</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3" w:history="1">
        <w:r w:rsidR="00585E67" w:rsidRPr="00DC278B">
          <w:rPr>
            <w:rStyle w:val="Hyperlink"/>
            <w:rFonts w:ascii="Cambria" w:hAnsi="Cambria"/>
            <w:noProof/>
            <w:sz w:val="20"/>
            <w:szCs w:val="20"/>
          </w:rPr>
          <w:t>C.</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Situación de María Órdenes e hijos y su causa contra el Fisco de Chile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_Toc413397473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12</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4" w:history="1">
        <w:r w:rsidR="00585E67" w:rsidRPr="00DC278B">
          <w:rPr>
            <w:rStyle w:val="Hyperlink"/>
            <w:rFonts w:ascii="Cambria" w:hAnsi="Cambria"/>
            <w:noProof/>
            <w:sz w:val="20"/>
            <w:szCs w:val="20"/>
          </w:rPr>
          <w:t>D.</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Situación de los grupos familiares de</w:t>
        </w:r>
        <w:r w:rsidR="00B125B3" w:rsidRPr="00DC278B">
          <w:rPr>
            <w:rStyle w:val="Hyperlink"/>
            <w:rFonts w:ascii="Cambria" w:hAnsi="Cambria"/>
            <w:noProof/>
            <w:sz w:val="20"/>
            <w:szCs w:val="20"/>
          </w:rPr>
          <w:t xml:space="preserve"> Lucía Morales y Patricia </w:t>
        </w:r>
        <w:r w:rsidR="00516BD4" w:rsidRPr="00DC278B">
          <w:rPr>
            <w:rStyle w:val="Hyperlink"/>
            <w:rFonts w:ascii="Cambria" w:hAnsi="Cambria"/>
            <w:noProof/>
            <w:sz w:val="20"/>
            <w:szCs w:val="20"/>
          </w:rPr>
          <w:t>Cortés</w:t>
        </w:r>
        <w:r w:rsidR="00585E67" w:rsidRPr="00DC278B">
          <w:rPr>
            <w:rStyle w:val="Hyperlink"/>
            <w:rFonts w:ascii="Cambria" w:hAnsi="Cambria"/>
            <w:noProof/>
            <w:sz w:val="20"/>
            <w:szCs w:val="20"/>
          </w:rPr>
          <w:t xml:space="preserve"> y sus causas contra el Fisco de Chile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_Toc413397474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13</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5" w:history="1">
        <w:r w:rsidR="00585E67" w:rsidRPr="00DC278B">
          <w:rPr>
            <w:rStyle w:val="Hyperlink"/>
            <w:rFonts w:ascii="Cambria" w:hAnsi="Cambria"/>
            <w:noProof/>
            <w:sz w:val="20"/>
            <w:szCs w:val="20"/>
          </w:rPr>
          <w:t>E.</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Situación de Pamela Vivanco y su causa contra el Fisco de Chile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_Toc413397475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15</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6" w:history="1">
        <w:r w:rsidR="00585E67" w:rsidRPr="00DC278B">
          <w:rPr>
            <w:rStyle w:val="Hyperlink"/>
            <w:rFonts w:ascii="Cambria" w:hAnsi="Cambria"/>
            <w:noProof/>
            <w:sz w:val="20"/>
            <w:szCs w:val="20"/>
          </w:rPr>
          <w:t>F.</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Situación del grupo familiar de Carlos Melo y su causa contra el Fisco de Chile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_Toc413397476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16</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7" w:history="1">
        <w:r w:rsidR="00585E67" w:rsidRPr="00DC278B">
          <w:rPr>
            <w:rStyle w:val="Hyperlink"/>
            <w:rFonts w:ascii="Cambria" w:hAnsi="Cambria"/>
            <w:noProof/>
            <w:sz w:val="20"/>
            <w:szCs w:val="20"/>
          </w:rPr>
          <w:t>G.</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Situación de Katia Ximena Espejo y su madre, y su causa contra el Fisco de Chile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_Toc413397477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17</w:t>
        </w:r>
        <w:r w:rsidR="00585E67" w:rsidRPr="00DC278B">
          <w:rPr>
            <w:rFonts w:ascii="Cambria" w:hAnsi="Cambria"/>
            <w:noProof/>
            <w:webHidden/>
            <w:sz w:val="20"/>
            <w:szCs w:val="20"/>
          </w:rPr>
          <w:fldChar w:fldCharType="end"/>
        </w:r>
      </w:hyperlink>
    </w:p>
    <w:p w:rsidR="00585E67" w:rsidRPr="00DC278B" w:rsidRDefault="0006606E" w:rsidP="00DC278B">
      <w:pPr>
        <w:pStyle w:val="TOC2"/>
        <w:tabs>
          <w:tab w:val="left" w:pos="720"/>
        </w:tabs>
        <w:rPr>
          <w:rFonts w:ascii="Cambria" w:eastAsia="Times New Roman" w:hAnsi="Cambria"/>
          <w:noProof/>
          <w:sz w:val="20"/>
          <w:szCs w:val="20"/>
          <w:bdr w:val="none" w:sz="0" w:space="0" w:color="auto"/>
        </w:rPr>
      </w:pPr>
      <w:hyperlink w:anchor="_Toc413397478" w:history="1">
        <w:r w:rsidR="00585E67" w:rsidRPr="00DC278B">
          <w:rPr>
            <w:rStyle w:val="Hyperlink"/>
            <w:rFonts w:ascii="Cambria" w:hAnsi="Cambria"/>
            <w:noProof/>
            <w:sz w:val="20"/>
            <w:szCs w:val="20"/>
          </w:rPr>
          <w:t>H.</w:t>
        </w:r>
        <w:r w:rsidR="00585E67" w:rsidRPr="00DC278B">
          <w:rPr>
            <w:rFonts w:ascii="Cambria" w:eastAsia="Times New Roman" w:hAnsi="Cambria"/>
            <w:noProof/>
            <w:sz w:val="20"/>
            <w:szCs w:val="20"/>
            <w:bdr w:val="none" w:sz="0" w:space="0" w:color="auto"/>
          </w:rPr>
          <w:tab/>
        </w:r>
        <w:r w:rsidR="00585E67" w:rsidRPr="00DC278B">
          <w:rPr>
            <w:rStyle w:val="Hyperlink"/>
            <w:rFonts w:ascii="Cambria" w:hAnsi="Cambria"/>
            <w:noProof/>
            <w:sz w:val="20"/>
            <w:szCs w:val="20"/>
          </w:rPr>
          <w:t>Situación del grupo familiar de Magdalena Navarrete y su causa contra el Fisco de Chile</w:t>
        </w:r>
        <w:r w:rsidR="00585E67" w:rsidRPr="00DC278B">
          <w:rPr>
            <w:rFonts w:ascii="Cambria" w:hAnsi="Cambria"/>
            <w:noProof/>
            <w:webHidden/>
            <w:sz w:val="20"/>
            <w:szCs w:val="20"/>
          </w:rPr>
          <w:tab/>
        </w:r>
        <w:r w:rsidR="00585E67" w:rsidRPr="00DC278B">
          <w:rPr>
            <w:rFonts w:ascii="Cambria" w:hAnsi="Cambria"/>
            <w:noProof/>
            <w:webHidden/>
            <w:sz w:val="20"/>
            <w:szCs w:val="20"/>
          </w:rPr>
          <w:fldChar w:fldCharType="begin"/>
        </w:r>
        <w:r w:rsidR="00585E67" w:rsidRPr="00DC278B">
          <w:rPr>
            <w:rFonts w:ascii="Cambria" w:hAnsi="Cambria"/>
            <w:noProof/>
            <w:webHidden/>
            <w:sz w:val="20"/>
            <w:szCs w:val="20"/>
          </w:rPr>
          <w:instrText xml:space="preserve"> PAGEREF _Toc413397478 \h </w:instrText>
        </w:r>
        <w:r w:rsidR="00585E67" w:rsidRPr="00DC278B">
          <w:rPr>
            <w:rFonts w:ascii="Cambria" w:hAnsi="Cambria"/>
            <w:noProof/>
            <w:webHidden/>
            <w:sz w:val="20"/>
            <w:szCs w:val="20"/>
          </w:rPr>
        </w:r>
        <w:r w:rsidR="00585E67" w:rsidRPr="00DC278B">
          <w:rPr>
            <w:rFonts w:ascii="Cambria" w:hAnsi="Cambria"/>
            <w:noProof/>
            <w:webHidden/>
            <w:sz w:val="20"/>
            <w:szCs w:val="20"/>
          </w:rPr>
          <w:fldChar w:fldCharType="separate"/>
        </w:r>
        <w:r w:rsidR="00A82D33">
          <w:rPr>
            <w:rFonts w:ascii="Cambria" w:hAnsi="Cambria"/>
            <w:noProof/>
            <w:webHidden/>
            <w:sz w:val="20"/>
            <w:szCs w:val="20"/>
          </w:rPr>
          <w:t>18</w:t>
        </w:r>
        <w:r w:rsidR="00585E67" w:rsidRPr="00DC278B">
          <w:rPr>
            <w:rFonts w:ascii="Cambria" w:hAnsi="Cambria"/>
            <w:noProof/>
            <w:webHidden/>
            <w:sz w:val="20"/>
            <w:szCs w:val="20"/>
          </w:rPr>
          <w:fldChar w:fldCharType="end"/>
        </w:r>
      </w:hyperlink>
    </w:p>
    <w:p w:rsidR="00585E67" w:rsidRPr="00E419AB" w:rsidRDefault="0006606E" w:rsidP="00DC278B">
      <w:pPr>
        <w:pStyle w:val="TOC1"/>
        <w:tabs>
          <w:tab w:val="left" w:pos="720"/>
          <w:tab w:val="left" w:pos="1440"/>
          <w:tab w:val="right" w:leader="dot" w:pos="9350"/>
        </w:tabs>
        <w:rPr>
          <w:rFonts w:ascii="Cambria" w:eastAsia="Times New Roman" w:hAnsi="Cambria"/>
          <w:b/>
          <w:noProof/>
          <w:sz w:val="20"/>
          <w:szCs w:val="20"/>
          <w:bdr w:val="none" w:sz="0" w:space="0" w:color="auto"/>
        </w:rPr>
      </w:pPr>
      <w:hyperlink w:anchor="_Toc413397479" w:history="1">
        <w:r w:rsidR="00585E67" w:rsidRPr="00E419AB">
          <w:rPr>
            <w:rStyle w:val="Hyperlink"/>
            <w:rFonts w:ascii="Cambria" w:hAnsi="Cambria"/>
            <w:b/>
            <w:noProof/>
            <w:sz w:val="20"/>
            <w:szCs w:val="20"/>
          </w:rPr>
          <w:t>V.</w:t>
        </w:r>
        <w:r w:rsidR="00585E67" w:rsidRPr="00E419AB">
          <w:rPr>
            <w:rFonts w:ascii="Cambria" w:eastAsia="Times New Roman" w:hAnsi="Cambria"/>
            <w:b/>
            <w:noProof/>
            <w:sz w:val="20"/>
            <w:szCs w:val="20"/>
            <w:bdr w:val="none" w:sz="0" w:space="0" w:color="auto"/>
          </w:rPr>
          <w:tab/>
        </w:r>
        <w:r w:rsidR="00585E67" w:rsidRPr="00E419AB">
          <w:rPr>
            <w:rStyle w:val="Hyperlink"/>
            <w:rFonts w:ascii="Cambria" w:hAnsi="Cambria"/>
            <w:b/>
            <w:noProof/>
            <w:sz w:val="20"/>
            <w:szCs w:val="20"/>
          </w:rPr>
          <w:t>ANALISIS DE DERECHO</w:t>
        </w:r>
        <w:r w:rsidR="00585E67" w:rsidRPr="00E419AB">
          <w:rPr>
            <w:rFonts w:ascii="Cambria" w:hAnsi="Cambria"/>
            <w:b/>
            <w:noProof/>
            <w:webHidden/>
            <w:sz w:val="20"/>
            <w:szCs w:val="20"/>
          </w:rPr>
          <w:tab/>
        </w:r>
        <w:r w:rsidR="00585E67" w:rsidRPr="00E419AB">
          <w:rPr>
            <w:rFonts w:ascii="Cambria" w:hAnsi="Cambria"/>
            <w:b/>
            <w:noProof/>
            <w:webHidden/>
            <w:sz w:val="20"/>
            <w:szCs w:val="20"/>
          </w:rPr>
          <w:fldChar w:fldCharType="begin"/>
        </w:r>
        <w:r w:rsidR="00585E67" w:rsidRPr="00E419AB">
          <w:rPr>
            <w:rFonts w:ascii="Cambria" w:hAnsi="Cambria"/>
            <w:b/>
            <w:noProof/>
            <w:webHidden/>
            <w:sz w:val="20"/>
            <w:szCs w:val="20"/>
          </w:rPr>
          <w:instrText xml:space="preserve"> PAGEREF _Toc413397479 \h </w:instrText>
        </w:r>
        <w:r w:rsidR="00585E67" w:rsidRPr="00E419AB">
          <w:rPr>
            <w:rFonts w:ascii="Cambria" w:hAnsi="Cambria"/>
            <w:b/>
            <w:noProof/>
            <w:webHidden/>
            <w:sz w:val="20"/>
            <w:szCs w:val="20"/>
          </w:rPr>
        </w:r>
        <w:r w:rsidR="00585E67" w:rsidRPr="00E419AB">
          <w:rPr>
            <w:rFonts w:ascii="Cambria" w:hAnsi="Cambria"/>
            <w:b/>
            <w:noProof/>
            <w:webHidden/>
            <w:sz w:val="20"/>
            <w:szCs w:val="20"/>
          </w:rPr>
          <w:fldChar w:fldCharType="separate"/>
        </w:r>
        <w:r w:rsidR="00A82D33">
          <w:rPr>
            <w:rFonts w:ascii="Cambria" w:hAnsi="Cambria"/>
            <w:b/>
            <w:noProof/>
            <w:webHidden/>
            <w:sz w:val="20"/>
            <w:szCs w:val="20"/>
          </w:rPr>
          <w:t>18</w:t>
        </w:r>
        <w:r w:rsidR="00585E67" w:rsidRPr="00E419AB">
          <w:rPr>
            <w:rFonts w:ascii="Cambria" w:hAnsi="Cambria"/>
            <w:b/>
            <w:noProof/>
            <w:webHidden/>
            <w:sz w:val="20"/>
            <w:szCs w:val="20"/>
          </w:rPr>
          <w:fldChar w:fldCharType="end"/>
        </w:r>
      </w:hyperlink>
    </w:p>
    <w:p w:rsidR="00585E67" w:rsidRPr="00E419AB" w:rsidRDefault="0006606E" w:rsidP="00DC278B">
      <w:pPr>
        <w:pStyle w:val="TOC1"/>
        <w:tabs>
          <w:tab w:val="left" w:pos="720"/>
          <w:tab w:val="left" w:pos="1440"/>
          <w:tab w:val="right" w:leader="dot" w:pos="9350"/>
        </w:tabs>
        <w:rPr>
          <w:rFonts w:ascii="Cambria" w:eastAsia="Times New Roman" w:hAnsi="Cambria"/>
          <w:b/>
          <w:noProof/>
          <w:sz w:val="20"/>
          <w:szCs w:val="20"/>
          <w:bdr w:val="none" w:sz="0" w:space="0" w:color="auto"/>
        </w:rPr>
      </w:pPr>
      <w:hyperlink w:anchor="_Toc413397480" w:history="1">
        <w:r w:rsidR="00585E67" w:rsidRPr="00E419AB">
          <w:rPr>
            <w:rStyle w:val="Hyperlink"/>
            <w:rFonts w:ascii="Cambria" w:hAnsi="Cambria"/>
            <w:b/>
            <w:bCs/>
            <w:noProof/>
            <w:sz w:val="20"/>
            <w:szCs w:val="20"/>
          </w:rPr>
          <w:t>VI.</w:t>
        </w:r>
        <w:r w:rsidR="00585E67" w:rsidRPr="00E419AB">
          <w:rPr>
            <w:rFonts w:ascii="Cambria" w:eastAsia="Times New Roman" w:hAnsi="Cambria"/>
            <w:b/>
            <w:noProof/>
            <w:sz w:val="20"/>
            <w:szCs w:val="20"/>
            <w:bdr w:val="none" w:sz="0" w:space="0" w:color="auto"/>
          </w:rPr>
          <w:tab/>
        </w:r>
        <w:r w:rsidR="00585E67" w:rsidRPr="00E419AB">
          <w:rPr>
            <w:rStyle w:val="Hyperlink"/>
            <w:rFonts w:ascii="Cambria" w:hAnsi="Cambria"/>
            <w:b/>
            <w:noProof/>
            <w:sz w:val="20"/>
            <w:szCs w:val="20"/>
          </w:rPr>
          <w:t>CONCLUSIONES</w:t>
        </w:r>
        <w:r w:rsidR="00585E67" w:rsidRPr="00E419AB">
          <w:rPr>
            <w:rFonts w:ascii="Cambria" w:hAnsi="Cambria"/>
            <w:b/>
            <w:noProof/>
            <w:webHidden/>
            <w:sz w:val="20"/>
            <w:szCs w:val="20"/>
          </w:rPr>
          <w:tab/>
        </w:r>
        <w:r w:rsidR="00585E67" w:rsidRPr="00E419AB">
          <w:rPr>
            <w:rFonts w:ascii="Cambria" w:hAnsi="Cambria"/>
            <w:b/>
            <w:noProof/>
            <w:webHidden/>
            <w:sz w:val="20"/>
            <w:szCs w:val="20"/>
          </w:rPr>
          <w:fldChar w:fldCharType="begin"/>
        </w:r>
        <w:r w:rsidR="00585E67" w:rsidRPr="00E419AB">
          <w:rPr>
            <w:rFonts w:ascii="Cambria" w:hAnsi="Cambria"/>
            <w:b/>
            <w:noProof/>
            <w:webHidden/>
            <w:sz w:val="20"/>
            <w:szCs w:val="20"/>
          </w:rPr>
          <w:instrText xml:space="preserve"> PAGEREF _Toc413397480 \h </w:instrText>
        </w:r>
        <w:r w:rsidR="00585E67" w:rsidRPr="00E419AB">
          <w:rPr>
            <w:rFonts w:ascii="Cambria" w:hAnsi="Cambria"/>
            <w:b/>
            <w:noProof/>
            <w:webHidden/>
            <w:sz w:val="20"/>
            <w:szCs w:val="20"/>
          </w:rPr>
        </w:r>
        <w:r w:rsidR="00585E67" w:rsidRPr="00E419AB">
          <w:rPr>
            <w:rFonts w:ascii="Cambria" w:hAnsi="Cambria"/>
            <w:b/>
            <w:noProof/>
            <w:webHidden/>
            <w:sz w:val="20"/>
            <w:szCs w:val="20"/>
          </w:rPr>
          <w:fldChar w:fldCharType="separate"/>
        </w:r>
        <w:r w:rsidR="00A82D33">
          <w:rPr>
            <w:rFonts w:ascii="Cambria" w:hAnsi="Cambria"/>
            <w:b/>
            <w:noProof/>
            <w:webHidden/>
            <w:sz w:val="20"/>
            <w:szCs w:val="20"/>
          </w:rPr>
          <w:t>29</w:t>
        </w:r>
        <w:r w:rsidR="00585E67" w:rsidRPr="00E419AB">
          <w:rPr>
            <w:rFonts w:ascii="Cambria" w:hAnsi="Cambria"/>
            <w:b/>
            <w:noProof/>
            <w:webHidden/>
            <w:sz w:val="20"/>
            <w:szCs w:val="20"/>
          </w:rPr>
          <w:fldChar w:fldCharType="end"/>
        </w:r>
      </w:hyperlink>
    </w:p>
    <w:p w:rsidR="00585E67" w:rsidRPr="00E419AB" w:rsidRDefault="0006606E" w:rsidP="00DC278B">
      <w:pPr>
        <w:pStyle w:val="TOC1"/>
        <w:tabs>
          <w:tab w:val="left" w:pos="720"/>
          <w:tab w:val="left" w:pos="1440"/>
          <w:tab w:val="right" w:leader="dot" w:pos="9350"/>
        </w:tabs>
        <w:rPr>
          <w:rFonts w:ascii="Cambria" w:eastAsia="Times New Roman" w:hAnsi="Cambria"/>
          <w:b/>
          <w:noProof/>
          <w:sz w:val="20"/>
          <w:szCs w:val="20"/>
          <w:bdr w:val="none" w:sz="0" w:space="0" w:color="auto"/>
        </w:rPr>
      </w:pPr>
      <w:hyperlink w:anchor="_Toc413397481" w:history="1">
        <w:r w:rsidR="00585E67" w:rsidRPr="00E419AB">
          <w:rPr>
            <w:rStyle w:val="Hyperlink"/>
            <w:rFonts w:ascii="Cambria" w:hAnsi="Cambria"/>
            <w:b/>
            <w:noProof/>
            <w:sz w:val="20"/>
            <w:szCs w:val="20"/>
          </w:rPr>
          <w:t>VII.</w:t>
        </w:r>
        <w:r w:rsidR="00585E67" w:rsidRPr="00E419AB">
          <w:rPr>
            <w:rFonts w:ascii="Cambria" w:eastAsia="Times New Roman" w:hAnsi="Cambria"/>
            <w:b/>
            <w:noProof/>
            <w:sz w:val="20"/>
            <w:szCs w:val="20"/>
            <w:bdr w:val="none" w:sz="0" w:space="0" w:color="auto"/>
          </w:rPr>
          <w:tab/>
        </w:r>
        <w:r w:rsidR="00585E67" w:rsidRPr="00E419AB">
          <w:rPr>
            <w:rStyle w:val="Hyperlink"/>
            <w:rFonts w:ascii="Cambria" w:hAnsi="Cambria"/>
            <w:b/>
            <w:noProof/>
            <w:sz w:val="20"/>
            <w:szCs w:val="20"/>
          </w:rPr>
          <w:t>RECOMENDACIONES</w:t>
        </w:r>
        <w:r w:rsidR="00585E67" w:rsidRPr="00E419AB">
          <w:rPr>
            <w:rFonts w:ascii="Cambria" w:hAnsi="Cambria"/>
            <w:b/>
            <w:noProof/>
            <w:webHidden/>
            <w:sz w:val="20"/>
            <w:szCs w:val="20"/>
          </w:rPr>
          <w:tab/>
        </w:r>
        <w:r w:rsidR="00585E67" w:rsidRPr="00E419AB">
          <w:rPr>
            <w:rFonts w:ascii="Cambria" w:hAnsi="Cambria"/>
            <w:b/>
            <w:noProof/>
            <w:webHidden/>
            <w:sz w:val="20"/>
            <w:szCs w:val="20"/>
          </w:rPr>
          <w:fldChar w:fldCharType="begin"/>
        </w:r>
        <w:r w:rsidR="00585E67" w:rsidRPr="00E419AB">
          <w:rPr>
            <w:rFonts w:ascii="Cambria" w:hAnsi="Cambria"/>
            <w:b/>
            <w:noProof/>
            <w:webHidden/>
            <w:sz w:val="20"/>
            <w:szCs w:val="20"/>
          </w:rPr>
          <w:instrText xml:space="preserve"> PAGEREF _Toc413397481 \h </w:instrText>
        </w:r>
        <w:r w:rsidR="00585E67" w:rsidRPr="00E419AB">
          <w:rPr>
            <w:rFonts w:ascii="Cambria" w:hAnsi="Cambria"/>
            <w:b/>
            <w:noProof/>
            <w:webHidden/>
            <w:sz w:val="20"/>
            <w:szCs w:val="20"/>
          </w:rPr>
        </w:r>
        <w:r w:rsidR="00585E67" w:rsidRPr="00E419AB">
          <w:rPr>
            <w:rFonts w:ascii="Cambria" w:hAnsi="Cambria"/>
            <w:b/>
            <w:noProof/>
            <w:webHidden/>
            <w:sz w:val="20"/>
            <w:szCs w:val="20"/>
          </w:rPr>
          <w:fldChar w:fldCharType="separate"/>
        </w:r>
        <w:r w:rsidR="00A82D33">
          <w:rPr>
            <w:rFonts w:ascii="Cambria" w:hAnsi="Cambria"/>
            <w:b/>
            <w:noProof/>
            <w:webHidden/>
            <w:sz w:val="20"/>
            <w:szCs w:val="20"/>
          </w:rPr>
          <w:t>30</w:t>
        </w:r>
        <w:r w:rsidR="00585E67" w:rsidRPr="00E419AB">
          <w:rPr>
            <w:rFonts w:ascii="Cambria" w:hAnsi="Cambria"/>
            <w:b/>
            <w:noProof/>
            <w:webHidden/>
            <w:sz w:val="20"/>
            <w:szCs w:val="20"/>
          </w:rPr>
          <w:fldChar w:fldCharType="end"/>
        </w:r>
      </w:hyperlink>
    </w:p>
    <w:p w:rsidR="0010177D" w:rsidRDefault="00585E67" w:rsidP="00DC278B">
      <w:pPr>
        <w:tabs>
          <w:tab w:val="left" w:pos="720"/>
          <w:tab w:val="center" w:pos="5400"/>
        </w:tabs>
        <w:suppressAutoHyphens/>
        <w:rPr>
          <w:rFonts w:ascii="Cambria" w:hAnsi="Cambria"/>
          <w:sz w:val="20"/>
          <w:szCs w:val="20"/>
          <w:lang w:val="es-ES_tradnl"/>
        </w:rPr>
      </w:pPr>
      <w:r w:rsidRPr="00DC278B">
        <w:rPr>
          <w:rFonts w:ascii="Cambria" w:hAnsi="Cambria"/>
          <w:sz w:val="20"/>
          <w:szCs w:val="20"/>
          <w:lang w:val="es-ES_tradnl"/>
        </w:rPr>
        <w:fldChar w:fldCharType="end"/>
      </w:r>
    </w:p>
    <w:p w:rsidR="0010177D" w:rsidRDefault="0010177D" w:rsidP="0010177D">
      <w:pPr>
        <w:tabs>
          <w:tab w:val="left" w:pos="720"/>
          <w:tab w:val="center" w:pos="5400"/>
        </w:tabs>
        <w:suppressAutoHyphens/>
        <w:rPr>
          <w:rFonts w:ascii="Cambria" w:hAnsi="Cambria"/>
          <w:sz w:val="20"/>
          <w:szCs w:val="20"/>
          <w:lang w:val="es-ES_tradnl"/>
        </w:rPr>
      </w:pPr>
    </w:p>
    <w:p w:rsidR="0010177D" w:rsidRDefault="0010177D" w:rsidP="0010177D">
      <w:pPr>
        <w:tabs>
          <w:tab w:val="left" w:pos="720"/>
          <w:tab w:val="center" w:pos="5400"/>
        </w:tabs>
        <w:suppressAutoHyphens/>
        <w:rPr>
          <w:rFonts w:ascii="Cambria" w:hAnsi="Cambria"/>
          <w:sz w:val="20"/>
          <w:szCs w:val="20"/>
          <w:lang w:val="es-ES_tradnl"/>
        </w:rPr>
      </w:pPr>
    </w:p>
    <w:p w:rsidR="0010177D" w:rsidRDefault="0010177D" w:rsidP="0010177D">
      <w:pPr>
        <w:tabs>
          <w:tab w:val="left" w:pos="720"/>
          <w:tab w:val="center" w:pos="5400"/>
        </w:tabs>
        <w:suppressAutoHyphens/>
        <w:rPr>
          <w:rFonts w:ascii="Cambria" w:hAnsi="Cambria"/>
          <w:sz w:val="20"/>
          <w:szCs w:val="20"/>
          <w:lang w:val="es-ES_tradnl"/>
        </w:rPr>
      </w:pPr>
    </w:p>
    <w:p w:rsidR="0010177D" w:rsidRDefault="0010177D" w:rsidP="0010177D">
      <w:pPr>
        <w:tabs>
          <w:tab w:val="left" w:pos="720"/>
          <w:tab w:val="center" w:pos="5400"/>
        </w:tabs>
        <w:suppressAutoHyphens/>
        <w:rPr>
          <w:rFonts w:ascii="Cambria" w:hAnsi="Cambria"/>
          <w:sz w:val="20"/>
          <w:szCs w:val="20"/>
          <w:lang w:val="es-ES_tradnl"/>
        </w:rPr>
      </w:pPr>
    </w:p>
    <w:p w:rsidR="0010177D" w:rsidRDefault="0010177D" w:rsidP="0010177D">
      <w:pPr>
        <w:tabs>
          <w:tab w:val="left" w:pos="720"/>
          <w:tab w:val="center" w:pos="5400"/>
        </w:tabs>
        <w:suppressAutoHyphens/>
        <w:rPr>
          <w:rFonts w:ascii="Cambria" w:hAnsi="Cambria"/>
          <w:sz w:val="20"/>
          <w:szCs w:val="20"/>
          <w:lang w:val="es-ES_tradnl"/>
        </w:rPr>
      </w:pPr>
    </w:p>
    <w:p w:rsidR="0010177D" w:rsidRPr="00DC278B" w:rsidRDefault="0010177D" w:rsidP="0010177D">
      <w:pPr>
        <w:tabs>
          <w:tab w:val="left" w:pos="720"/>
          <w:tab w:val="center" w:pos="5400"/>
        </w:tabs>
        <w:suppressAutoHyphens/>
        <w:rPr>
          <w:rFonts w:ascii="Cambria" w:hAnsi="Cambria"/>
          <w:sz w:val="20"/>
          <w:szCs w:val="20"/>
          <w:lang w:val="es-ES_tradnl"/>
        </w:rPr>
      </w:pPr>
    </w:p>
    <w:p w:rsidR="004B316C" w:rsidRPr="00DC278B" w:rsidRDefault="00BF29A0"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lang w:val="es-ES_tradnl"/>
        </w:rPr>
      </w:pPr>
      <w:r>
        <w:rPr>
          <w:rFonts w:ascii="Cambria" w:eastAsia="Times New Roman" w:hAnsi="Cambria"/>
          <w:b/>
          <w:sz w:val="18"/>
          <w:szCs w:val="18"/>
          <w:bdr w:val="none" w:sz="0" w:space="0" w:color="auto"/>
          <w:lang w:val="es-ES_tradnl"/>
        </w:rPr>
        <w:t>INFORME No. 52</w:t>
      </w:r>
      <w:r w:rsidR="00D0541B" w:rsidRPr="00DC278B">
        <w:rPr>
          <w:rFonts w:ascii="Cambria" w:eastAsia="Times New Roman" w:hAnsi="Cambria"/>
          <w:b/>
          <w:sz w:val="18"/>
          <w:szCs w:val="18"/>
          <w:bdr w:val="none" w:sz="0" w:space="0" w:color="auto"/>
          <w:lang w:val="es-ES_tradnl"/>
        </w:rPr>
        <w:t>/16</w:t>
      </w:r>
    </w:p>
    <w:p w:rsidR="004B316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18"/>
          <w:szCs w:val="18"/>
          <w:bdr w:val="none" w:sz="0" w:space="0" w:color="auto"/>
          <w:lang w:val="es-ES_tradnl"/>
        </w:rPr>
      </w:pPr>
      <w:r w:rsidRPr="00DC278B">
        <w:rPr>
          <w:rFonts w:ascii="Cambria" w:eastAsia="Times New Roman" w:hAnsi="Cambria"/>
          <w:b/>
          <w:sz w:val="18"/>
          <w:szCs w:val="18"/>
          <w:bdr w:val="none" w:sz="0" w:space="0" w:color="auto"/>
          <w:lang w:val="es-ES_tradnl"/>
        </w:rPr>
        <w:t>CASO 12.521</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sidRPr="00DC278B">
        <w:rPr>
          <w:rFonts w:ascii="Cambria" w:eastAsia="Times New Roman" w:hAnsi="Cambria"/>
          <w:sz w:val="18"/>
          <w:szCs w:val="18"/>
          <w:bdr w:val="none" w:sz="0" w:space="0" w:color="auto"/>
          <w:lang w:val="es-ES_tradnl"/>
        </w:rPr>
        <w:t>FONDO</w:t>
      </w:r>
    </w:p>
    <w:p w:rsidR="00B06C1C" w:rsidRPr="00DC278B" w:rsidRDefault="00E07F44"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sidRPr="00DC278B">
        <w:rPr>
          <w:rFonts w:ascii="Cambria" w:eastAsia="Times New Roman" w:hAnsi="Cambria"/>
          <w:sz w:val="18"/>
          <w:szCs w:val="18"/>
          <w:bdr w:val="none" w:sz="0" w:space="0" w:color="auto"/>
          <w:lang w:val="es-ES_tradnl"/>
        </w:rPr>
        <w:t>MARIA LAURA Ó</w:t>
      </w:r>
      <w:r w:rsidR="00B06C1C" w:rsidRPr="00DC278B">
        <w:rPr>
          <w:rFonts w:ascii="Cambria" w:eastAsia="Times New Roman" w:hAnsi="Cambria"/>
          <w:sz w:val="18"/>
          <w:szCs w:val="18"/>
          <w:bdr w:val="none" w:sz="0" w:space="0" w:color="auto"/>
          <w:lang w:val="es-ES_tradnl"/>
        </w:rPr>
        <w:t>RDENES GUERRA Y OTROS</w:t>
      </w:r>
    </w:p>
    <w:p w:rsidR="00B06C1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sidRPr="00DC278B">
        <w:rPr>
          <w:rFonts w:ascii="Cambria" w:eastAsia="Times New Roman" w:hAnsi="Cambria"/>
          <w:sz w:val="18"/>
          <w:szCs w:val="18"/>
          <w:bdr w:val="none" w:sz="0" w:space="0" w:color="auto"/>
          <w:lang w:val="es-ES_tradnl"/>
        </w:rPr>
        <w:t>CHILE</w:t>
      </w:r>
    </w:p>
    <w:p w:rsidR="004B316C" w:rsidRPr="00DC278B" w:rsidRDefault="00BF29A0"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18"/>
          <w:szCs w:val="18"/>
          <w:bdr w:val="none" w:sz="0" w:space="0" w:color="auto"/>
          <w:lang w:val="es-ES_tradnl"/>
        </w:rPr>
      </w:pPr>
      <w:r>
        <w:rPr>
          <w:rFonts w:ascii="Cambria" w:eastAsia="Times New Roman" w:hAnsi="Cambria"/>
          <w:sz w:val="18"/>
          <w:szCs w:val="18"/>
          <w:bdr w:val="none" w:sz="0" w:space="0" w:color="auto"/>
          <w:lang w:val="es-ES_tradnl"/>
        </w:rPr>
        <w:t>30</w:t>
      </w:r>
      <w:r w:rsidR="00E24E60" w:rsidRPr="00DC278B">
        <w:rPr>
          <w:rFonts w:ascii="Cambria" w:eastAsia="Times New Roman" w:hAnsi="Cambria"/>
          <w:sz w:val="18"/>
          <w:szCs w:val="18"/>
          <w:bdr w:val="none" w:sz="0" w:space="0" w:color="auto"/>
          <w:lang w:val="es-ES_tradnl"/>
        </w:rPr>
        <w:t xml:space="preserve"> DE </w:t>
      </w:r>
      <w:r>
        <w:rPr>
          <w:rFonts w:ascii="Cambria" w:eastAsia="Times New Roman" w:hAnsi="Cambria"/>
          <w:sz w:val="18"/>
          <w:szCs w:val="18"/>
          <w:bdr w:val="none" w:sz="0" w:space="0" w:color="auto"/>
          <w:lang w:val="es-ES_tradnl"/>
        </w:rPr>
        <w:t>NOVIEMBRE</w:t>
      </w:r>
      <w:r w:rsidR="00423E1B" w:rsidRPr="00DC278B">
        <w:rPr>
          <w:rFonts w:ascii="Cambria" w:eastAsia="Times New Roman" w:hAnsi="Cambria"/>
          <w:sz w:val="18"/>
          <w:szCs w:val="18"/>
          <w:bdr w:val="none" w:sz="0" w:space="0" w:color="auto"/>
          <w:lang w:val="es-ES_tradnl"/>
        </w:rPr>
        <w:t xml:space="preserve"> DE 2016</w:t>
      </w:r>
    </w:p>
    <w:p w:rsidR="004B316C" w:rsidRPr="00DC278B" w:rsidRDefault="004B316C" w:rsidP="00DC278B">
      <w:pPr>
        <w:rPr>
          <w:rFonts w:ascii="Cambria" w:eastAsia="Times New Roman" w:hAnsi="Cambria"/>
          <w:b/>
          <w:sz w:val="20"/>
          <w:szCs w:val="20"/>
          <w:bdr w:val="none" w:sz="0" w:space="0" w:color="auto"/>
          <w:lang w:val="es-ES_tradnl"/>
        </w:rPr>
      </w:pP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_tradnl"/>
        </w:rPr>
      </w:pPr>
    </w:p>
    <w:p w:rsidR="004B316C" w:rsidRPr="00DC278B" w:rsidRDefault="004B316C" w:rsidP="00DC278B">
      <w:pPr>
        <w:pStyle w:val="Heading1"/>
      </w:pPr>
      <w:bookmarkStart w:id="2" w:name="_Toc338425797"/>
      <w:bookmarkStart w:id="3" w:name="_Toc413397460"/>
      <w:r w:rsidRPr="00DC278B">
        <w:t>RESUMEN</w:t>
      </w:r>
      <w:bookmarkEnd w:id="2"/>
      <w:bookmarkEnd w:id="3"/>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_tradnl"/>
        </w:rPr>
      </w:pPr>
    </w:p>
    <w:p w:rsidR="00E3282D" w:rsidRPr="00DC278B" w:rsidRDefault="00A46BA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14 de julio</w:t>
      </w:r>
      <w:r w:rsidR="00B06C1C"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3 de septiembre</w:t>
      </w:r>
      <w:r w:rsidR="00D050C7" w:rsidRPr="00DC278B">
        <w:rPr>
          <w:rFonts w:ascii="Cambria" w:eastAsia="Times New Roman" w:hAnsi="Cambria"/>
          <w:sz w:val="20"/>
          <w:szCs w:val="20"/>
          <w:bdr w:val="none" w:sz="0" w:space="0" w:color="auto"/>
          <w:lang w:val="es-ES_tradnl"/>
        </w:rPr>
        <w:t xml:space="preserve"> y</w:t>
      </w:r>
      <w:r w:rsidRPr="00DC278B">
        <w:rPr>
          <w:rFonts w:ascii="Cambria" w:eastAsia="Times New Roman" w:hAnsi="Cambria"/>
          <w:sz w:val="20"/>
          <w:szCs w:val="20"/>
          <w:bdr w:val="none" w:sz="0" w:space="0" w:color="auto"/>
          <w:lang w:val="es-ES_tradnl"/>
        </w:rPr>
        <w:t xml:space="preserve"> 24 de octubre de 2003</w:t>
      </w:r>
      <w:r w:rsidR="00D050C7" w:rsidRPr="00DC278B">
        <w:rPr>
          <w:rFonts w:ascii="Cambria" w:eastAsia="Times New Roman" w:hAnsi="Cambria"/>
          <w:sz w:val="20"/>
          <w:szCs w:val="20"/>
          <w:bdr w:val="none" w:sz="0" w:space="0" w:color="auto"/>
          <w:lang w:val="es-ES_tradnl"/>
        </w:rPr>
        <w:t xml:space="preserve"> así como el </w:t>
      </w:r>
      <w:r w:rsidRPr="00DC278B">
        <w:rPr>
          <w:rFonts w:ascii="Cambria" w:eastAsia="Times New Roman" w:hAnsi="Cambria"/>
          <w:sz w:val="20"/>
          <w:szCs w:val="20"/>
          <w:bdr w:val="none" w:sz="0" w:space="0" w:color="auto"/>
          <w:lang w:val="es-ES_tradnl"/>
        </w:rPr>
        <w:t xml:space="preserve">22 de enero de 2004 </w:t>
      </w:r>
      <w:r w:rsidR="00B06C1C" w:rsidRPr="00DC278B">
        <w:rPr>
          <w:rFonts w:ascii="Cambria" w:eastAsia="Times New Roman" w:hAnsi="Cambria"/>
          <w:sz w:val="20"/>
          <w:szCs w:val="20"/>
          <w:bdr w:val="none" w:sz="0" w:space="0" w:color="auto"/>
          <w:lang w:val="es-ES_tradnl"/>
        </w:rPr>
        <w:t>la Comisión Interamericana de Derechos Humanos (en adelante "la Co</w:t>
      </w:r>
      <w:r w:rsidRPr="00DC278B">
        <w:rPr>
          <w:rFonts w:ascii="Cambria" w:eastAsia="Times New Roman" w:hAnsi="Cambria"/>
          <w:sz w:val="20"/>
          <w:szCs w:val="20"/>
          <w:bdr w:val="none" w:sz="0" w:space="0" w:color="auto"/>
          <w:lang w:val="es-ES_tradnl"/>
        </w:rPr>
        <w:t>misi</w:t>
      </w:r>
      <w:r w:rsidR="004D6DF5" w:rsidRPr="00DC278B">
        <w:rPr>
          <w:rFonts w:ascii="Cambria" w:eastAsia="Times New Roman" w:hAnsi="Cambria"/>
          <w:sz w:val="20"/>
          <w:szCs w:val="20"/>
          <w:bdr w:val="none" w:sz="0" w:space="0" w:color="auto"/>
          <w:lang w:val="es-ES_tradnl"/>
        </w:rPr>
        <w:t>ón"</w:t>
      </w:r>
      <w:r w:rsidR="00D050C7" w:rsidRPr="00DC278B">
        <w:rPr>
          <w:rFonts w:ascii="Cambria" w:eastAsia="Times New Roman" w:hAnsi="Cambria"/>
          <w:sz w:val="20"/>
          <w:szCs w:val="20"/>
          <w:bdr w:val="none" w:sz="0" w:space="0" w:color="auto"/>
          <w:lang w:val="es-ES_tradnl"/>
        </w:rPr>
        <w:t>, “la Comisión Interame</w:t>
      </w:r>
      <w:r w:rsidR="00AF46CA" w:rsidRPr="00DC278B">
        <w:rPr>
          <w:rFonts w:ascii="Cambria" w:eastAsia="Times New Roman" w:hAnsi="Cambria"/>
          <w:sz w:val="20"/>
          <w:szCs w:val="20"/>
          <w:bdr w:val="none" w:sz="0" w:space="0" w:color="auto"/>
          <w:lang w:val="es-ES_tradnl"/>
        </w:rPr>
        <w:t>r</w:t>
      </w:r>
      <w:r w:rsidR="00D050C7" w:rsidRPr="00DC278B">
        <w:rPr>
          <w:rFonts w:ascii="Cambria" w:eastAsia="Times New Roman" w:hAnsi="Cambria"/>
          <w:sz w:val="20"/>
          <w:szCs w:val="20"/>
          <w:bdr w:val="none" w:sz="0" w:space="0" w:color="auto"/>
          <w:lang w:val="es-ES_tradnl"/>
        </w:rPr>
        <w:t>icana”</w:t>
      </w:r>
      <w:r w:rsidR="004D6DF5" w:rsidRPr="00DC278B">
        <w:rPr>
          <w:rFonts w:ascii="Cambria" w:eastAsia="Times New Roman" w:hAnsi="Cambria"/>
          <w:sz w:val="20"/>
          <w:szCs w:val="20"/>
          <w:bdr w:val="none" w:sz="0" w:space="0" w:color="auto"/>
          <w:lang w:val="es-ES_tradnl"/>
        </w:rPr>
        <w:t xml:space="preserve"> o “la CIDH”) recibió cuatro</w:t>
      </w:r>
      <w:r w:rsidRPr="00DC278B">
        <w:rPr>
          <w:rFonts w:ascii="Cambria" w:eastAsia="Times New Roman" w:hAnsi="Cambria"/>
          <w:sz w:val="20"/>
          <w:szCs w:val="20"/>
          <w:bdr w:val="none" w:sz="0" w:space="0" w:color="auto"/>
          <w:lang w:val="es-ES_tradnl"/>
        </w:rPr>
        <w:t xml:space="preserve"> peticio</w:t>
      </w:r>
      <w:r w:rsidR="00B06C1C" w:rsidRPr="00DC278B">
        <w:rPr>
          <w:rFonts w:ascii="Cambria" w:eastAsia="Times New Roman" w:hAnsi="Cambria"/>
          <w:sz w:val="20"/>
          <w:szCs w:val="20"/>
          <w:bdr w:val="none" w:sz="0" w:space="0" w:color="auto"/>
          <w:lang w:val="es-ES_tradnl"/>
        </w:rPr>
        <w:t>n</w:t>
      </w:r>
      <w:r w:rsidRPr="00DC278B">
        <w:rPr>
          <w:rFonts w:ascii="Cambria" w:eastAsia="Times New Roman" w:hAnsi="Cambria"/>
          <w:sz w:val="20"/>
          <w:szCs w:val="20"/>
          <w:bdr w:val="none" w:sz="0" w:space="0" w:color="auto"/>
          <w:lang w:val="es-ES_tradnl"/>
        </w:rPr>
        <w:t>es</w:t>
      </w:r>
      <w:r w:rsidR="00B06C1C" w:rsidRPr="00DC278B">
        <w:rPr>
          <w:rFonts w:ascii="Cambria" w:eastAsia="Times New Roman" w:hAnsi="Cambria"/>
          <w:sz w:val="20"/>
          <w:szCs w:val="20"/>
          <w:bdr w:val="none" w:sz="0" w:space="0" w:color="auto"/>
          <w:lang w:val="es-ES_tradnl"/>
        </w:rPr>
        <w:t xml:space="preserve"> presentada</w:t>
      </w:r>
      <w:r w:rsidRPr="00DC278B">
        <w:rPr>
          <w:rFonts w:ascii="Cambria" w:eastAsia="Times New Roman" w:hAnsi="Cambria"/>
          <w:sz w:val="20"/>
          <w:szCs w:val="20"/>
          <w:bdr w:val="none" w:sz="0" w:space="0" w:color="auto"/>
          <w:lang w:val="es-ES_tradnl"/>
        </w:rPr>
        <w:t>s por</w:t>
      </w:r>
      <w:r w:rsidR="00B06C1C" w:rsidRPr="00DC278B">
        <w:rPr>
          <w:rFonts w:ascii="Cambria" w:eastAsia="Times New Roman" w:hAnsi="Cambria"/>
          <w:sz w:val="20"/>
          <w:szCs w:val="20"/>
          <w:bdr w:val="none" w:sz="0" w:space="0" w:color="auto"/>
          <w:lang w:val="es-ES_tradnl"/>
        </w:rPr>
        <w:t xml:space="preserve"> el abogado Nelson </w:t>
      </w:r>
      <w:proofErr w:type="spellStart"/>
      <w:r w:rsidR="00B06C1C" w:rsidRPr="00DC278B">
        <w:rPr>
          <w:rFonts w:ascii="Cambria" w:eastAsia="Times New Roman" w:hAnsi="Cambria"/>
          <w:sz w:val="20"/>
          <w:szCs w:val="20"/>
          <w:bdr w:val="none" w:sz="0" w:space="0" w:color="auto"/>
          <w:lang w:val="es-ES_tradnl"/>
        </w:rPr>
        <w:t>Caucoto</w:t>
      </w:r>
      <w:proofErr w:type="spellEnd"/>
      <w:r w:rsidR="00B06C1C" w:rsidRPr="00DC278B">
        <w:rPr>
          <w:rFonts w:ascii="Cambria" w:eastAsia="Times New Roman" w:hAnsi="Cambria"/>
          <w:sz w:val="20"/>
          <w:szCs w:val="20"/>
          <w:bdr w:val="none" w:sz="0" w:space="0" w:color="auto"/>
          <w:lang w:val="es-ES_tradnl"/>
        </w:rPr>
        <w:t xml:space="preserve"> (en adelante “el peticionario”), en contra de la República de Chile (en adelante "el Estado"</w:t>
      </w:r>
      <w:r w:rsidR="00AF46CA" w:rsidRPr="00DC278B">
        <w:rPr>
          <w:rFonts w:ascii="Cambria" w:eastAsia="Times New Roman" w:hAnsi="Cambria"/>
          <w:sz w:val="20"/>
          <w:szCs w:val="20"/>
          <w:bdr w:val="none" w:sz="0" w:space="0" w:color="auto"/>
          <w:lang w:val="es-ES_tradnl"/>
        </w:rPr>
        <w:t>, “el Estado chileno”</w:t>
      </w:r>
      <w:r w:rsidR="00B06C1C" w:rsidRPr="00DC278B">
        <w:rPr>
          <w:rFonts w:ascii="Cambria" w:eastAsia="Times New Roman" w:hAnsi="Cambria"/>
          <w:sz w:val="20"/>
          <w:szCs w:val="20"/>
          <w:bdr w:val="none" w:sz="0" w:space="0" w:color="auto"/>
          <w:lang w:val="es-ES_tradnl"/>
        </w:rPr>
        <w:t xml:space="preserve"> o “Chile”), por la presunta falta de reparación e indemnización del da</w:t>
      </w:r>
      <w:r w:rsidRPr="00DC278B">
        <w:rPr>
          <w:rFonts w:ascii="Cambria" w:eastAsia="Times New Roman" w:hAnsi="Cambria"/>
          <w:sz w:val="20"/>
          <w:szCs w:val="20"/>
          <w:bdr w:val="none" w:sz="0" w:space="0" w:color="auto"/>
          <w:lang w:val="es-ES_tradnl"/>
        </w:rPr>
        <w:t xml:space="preserve">ño sufrido por </w:t>
      </w:r>
      <w:r w:rsidR="00D34291" w:rsidRPr="00DC278B">
        <w:rPr>
          <w:rFonts w:ascii="Cambria" w:eastAsia="Times New Roman" w:hAnsi="Cambria"/>
          <w:sz w:val="20"/>
          <w:szCs w:val="20"/>
          <w:bdr w:val="none" w:sz="0" w:space="0" w:color="auto"/>
          <w:lang w:val="es-ES_tradnl"/>
        </w:rPr>
        <w:t>Maria Laura Órdenes Guerra</w:t>
      </w:r>
      <w:r w:rsidR="00CB5024" w:rsidRPr="00DC278B">
        <w:rPr>
          <w:rFonts w:ascii="Cambria" w:eastAsia="Times New Roman" w:hAnsi="Cambria"/>
          <w:sz w:val="20"/>
          <w:szCs w:val="20"/>
          <w:bdr w:val="none" w:sz="0" w:space="0" w:color="auto"/>
          <w:lang w:val="es-ES_tradnl"/>
        </w:rPr>
        <w:t xml:space="preserve">, </w:t>
      </w:r>
      <w:r w:rsidR="00CB5024" w:rsidRPr="00DC278B">
        <w:rPr>
          <w:rFonts w:ascii="Cambria" w:hAnsi="Cambria"/>
          <w:sz w:val="20"/>
          <w:szCs w:val="20"/>
          <w:lang w:val="es-CO"/>
        </w:rPr>
        <w:t xml:space="preserve">Ariel Luis Antonio, Marta Elizabeth, Augusto Oscar, Gloria Laura </w:t>
      </w:r>
      <w:proofErr w:type="spellStart"/>
      <w:r w:rsidR="00CB5024" w:rsidRPr="00DC278B">
        <w:rPr>
          <w:rFonts w:ascii="Cambria" w:hAnsi="Cambria"/>
          <w:sz w:val="20"/>
          <w:szCs w:val="20"/>
          <w:lang w:val="es-CO"/>
        </w:rPr>
        <w:t>Astris</w:t>
      </w:r>
      <w:proofErr w:type="spellEnd"/>
      <w:r w:rsidR="00CB5024" w:rsidRPr="00DC278B">
        <w:rPr>
          <w:rFonts w:ascii="Cambria" w:hAnsi="Cambria"/>
          <w:sz w:val="20"/>
          <w:szCs w:val="20"/>
          <w:lang w:val="es-CO"/>
        </w:rPr>
        <w:t xml:space="preserve"> y Maria Laura Elena </w:t>
      </w:r>
      <w:proofErr w:type="spellStart"/>
      <w:r w:rsidR="00CB5024" w:rsidRPr="00DC278B">
        <w:rPr>
          <w:rFonts w:ascii="Cambria" w:hAnsi="Cambria"/>
          <w:sz w:val="20"/>
          <w:szCs w:val="20"/>
          <w:lang w:val="es-CO"/>
        </w:rPr>
        <w:t>Alcayaga</w:t>
      </w:r>
      <w:proofErr w:type="spellEnd"/>
      <w:r w:rsidR="00CB5024" w:rsidRPr="00DC278B">
        <w:rPr>
          <w:rFonts w:ascii="Cambria" w:hAnsi="Cambria"/>
          <w:sz w:val="20"/>
          <w:szCs w:val="20"/>
          <w:lang w:val="es-CO"/>
        </w:rPr>
        <w:t xml:space="preserve"> Órdenes</w:t>
      </w:r>
      <w:r w:rsidR="00AA25CC" w:rsidRPr="00DC278B">
        <w:rPr>
          <w:rStyle w:val="FootnoteReference"/>
          <w:rFonts w:ascii="Cambria" w:hAnsi="Cambria"/>
          <w:sz w:val="20"/>
          <w:szCs w:val="20"/>
          <w:lang w:val="es-CO"/>
        </w:rPr>
        <w:footnoteReference w:id="2"/>
      </w:r>
      <w:r w:rsidR="00D34291" w:rsidRPr="00DC278B">
        <w:rPr>
          <w:rFonts w:ascii="Cambria" w:eastAsia="Times New Roman" w:hAnsi="Cambria"/>
          <w:sz w:val="20"/>
          <w:szCs w:val="20"/>
          <w:bdr w:val="none" w:sz="0" w:space="0" w:color="auto"/>
          <w:lang w:val="es-ES_tradnl"/>
        </w:rPr>
        <w:t xml:space="preserve">; Lucía Morales </w:t>
      </w:r>
      <w:proofErr w:type="spellStart"/>
      <w:r w:rsidR="00D34291" w:rsidRPr="00DC278B">
        <w:rPr>
          <w:rFonts w:ascii="Cambria" w:eastAsia="Times New Roman" w:hAnsi="Cambria"/>
          <w:sz w:val="20"/>
          <w:szCs w:val="20"/>
          <w:bdr w:val="none" w:sz="0" w:space="0" w:color="auto"/>
          <w:lang w:val="es-ES_tradnl"/>
        </w:rPr>
        <w:t>Compagnon</w:t>
      </w:r>
      <w:proofErr w:type="spellEnd"/>
      <w:r w:rsidR="00D34291" w:rsidRPr="00DC278B">
        <w:rPr>
          <w:rFonts w:ascii="Cambria" w:eastAsia="Times New Roman" w:hAnsi="Cambria"/>
          <w:sz w:val="20"/>
          <w:szCs w:val="20"/>
          <w:bdr w:val="none" w:sz="0" w:space="0" w:color="auto"/>
          <w:lang w:val="es-ES_tradnl"/>
        </w:rPr>
        <w:t xml:space="preserve">, Jorge Roberto, Carolina Andrea, Lucía </w:t>
      </w:r>
      <w:proofErr w:type="spellStart"/>
      <w:r w:rsidR="00D34291" w:rsidRPr="00DC278B">
        <w:rPr>
          <w:rFonts w:ascii="Cambria" w:eastAsia="Times New Roman" w:hAnsi="Cambria"/>
          <w:sz w:val="20"/>
          <w:szCs w:val="20"/>
          <w:bdr w:val="none" w:sz="0" w:space="0" w:color="auto"/>
          <w:lang w:val="es-ES_tradnl"/>
        </w:rPr>
        <w:t>Odette</w:t>
      </w:r>
      <w:proofErr w:type="spellEnd"/>
      <w:r w:rsidR="00D34291" w:rsidRPr="00DC278B">
        <w:rPr>
          <w:rFonts w:ascii="Cambria" w:eastAsia="Times New Roman" w:hAnsi="Cambria"/>
          <w:sz w:val="20"/>
          <w:szCs w:val="20"/>
          <w:bdr w:val="none" w:sz="0" w:space="0" w:color="auto"/>
          <w:lang w:val="es-ES_tradnl"/>
        </w:rPr>
        <w:t xml:space="preserve"> y María Teresa Morales Osorio</w:t>
      </w:r>
      <w:r w:rsidR="00EC0C52" w:rsidRPr="00DC278B">
        <w:rPr>
          <w:rStyle w:val="FootnoteReference"/>
          <w:rFonts w:ascii="Cambria" w:eastAsia="Times New Roman" w:hAnsi="Cambria"/>
          <w:sz w:val="20"/>
          <w:szCs w:val="20"/>
          <w:bdr w:val="none" w:sz="0" w:space="0" w:color="auto"/>
          <w:lang w:val="es-ES_tradnl"/>
        </w:rPr>
        <w:footnoteReference w:id="3"/>
      </w:r>
      <w:r w:rsidR="00D34291" w:rsidRPr="00DC278B">
        <w:rPr>
          <w:rFonts w:ascii="Cambria" w:eastAsia="Times New Roman" w:hAnsi="Cambria"/>
          <w:sz w:val="20"/>
          <w:szCs w:val="20"/>
          <w:bdr w:val="none" w:sz="0" w:space="0" w:color="auto"/>
          <w:lang w:val="es-ES_tradnl"/>
        </w:rPr>
        <w:t xml:space="preserve">; Alina María Barraza </w:t>
      </w:r>
      <w:proofErr w:type="spellStart"/>
      <w:r w:rsidR="00D34291" w:rsidRPr="00DC278B">
        <w:rPr>
          <w:rFonts w:ascii="Cambria" w:eastAsia="Times New Roman" w:hAnsi="Cambria"/>
          <w:sz w:val="20"/>
          <w:szCs w:val="20"/>
          <w:bdr w:val="none" w:sz="0" w:space="0" w:color="auto"/>
          <w:lang w:val="es-ES_tradnl"/>
        </w:rPr>
        <w:t>Codoceo</w:t>
      </w:r>
      <w:proofErr w:type="spellEnd"/>
      <w:r w:rsidR="00D34291" w:rsidRPr="00DC278B">
        <w:rPr>
          <w:rFonts w:ascii="Cambria" w:eastAsia="Times New Roman" w:hAnsi="Cambria"/>
          <w:sz w:val="20"/>
          <w:szCs w:val="20"/>
          <w:bdr w:val="none" w:sz="0" w:space="0" w:color="auto"/>
          <w:lang w:val="es-ES_tradnl"/>
        </w:rPr>
        <w:t xml:space="preserve">, Eduardo Patricio, Marcia Alejandra, Patricia </w:t>
      </w:r>
      <w:proofErr w:type="spellStart"/>
      <w:r w:rsidR="00D34291" w:rsidRPr="00DC278B">
        <w:rPr>
          <w:rFonts w:ascii="Cambria" w:eastAsia="Times New Roman" w:hAnsi="Cambria"/>
          <w:sz w:val="20"/>
          <w:szCs w:val="20"/>
          <w:bdr w:val="none" w:sz="0" w:space="0" w:color="auto"/>
          <w:lang w:val="es-ES_tradnl"/>
        </w:rPr>
        <w:t>Auristela</w:t>
      </w:r>
      <w:proofErr w:type="spellEnd"/>
      <w:r w:rsidR="00D34291" w:rsidRPr="00DC278B">
        <w:rPr>
          <w:rFonts w:ascii="Cambria" w:eastAsia="Times New Roman" w:hAnsi="Cambria"/>
          <w:sz w:val="20"/>
          <w:szCs w:val="20"/>
          <w:bdr w:val="none" w:sz="0" w:space="0" w:color="auto"/>
          <w:lang w:val="es-ES_tradnl"/>
        </w:rPr>
        <w:t>, Nora Isabel, Hernán Alejandro Cortés Barraza</w:t>
      </w:r>
      <w:r w:rsidR="00E34783" w:rsidRPr="00DC278B">
        <w:rPr>
          <w:rStyle w:val="FootnoteReference"/>
          <w:rFonts w:ascii="Cambria" w:eastAsia="Times New Roman" w:hAnsi="Cambria"/>
          <w:sz w:val="20"/>
          <w:szCs w:val="20"/>
          <w:bdr w:val="none" w:sz="0" w:space="0" w:color="auto"/>
          <w:lang w:val="es-ES_tradnl"/>
        </w:rPr>
        <w:footnoteReference w:id="4"/>
      </w:r>
      <w:r w:rsidR="00D34291" w:rsidRPr="00DC278B">
        <w:rPr>
          <w:rFonts w:ascii="Cambria" w:eastAsia="Times New Roman" w:hAnsi="Cambria"/>
          <w:sz w:val="20"/>
          <w:szCs w:val="20"/>
          <w:bdr w:val="none" w:sz="0" w:space="0" w:color="auto"/>
          <w:lang w:val="es-ES_tradnl"/>
        </w:rPr>
        <w:t xml:space="preserve">; Mario Melo Acuña, Ilia María </w:t>
      </w:r>
      <w:proofErr w:type="spellStart"/>
      <w:r w:rsidR="00D34291" w:rsidRPr="00DC278B">
        <w:rPr>
          <w:rFonts w:ascii="Cambria" w:eastAsia="Times New Roman" w:hAnsi="Cambria"/>
          <w:sz w:val="20"/>
          <w:szCs w:val="20"/>
          <w:bdr w:val="none" w:sz="0" w:space="0" w:color="auto"/>
          <w:lang w:val="es-ES_tradnl"/>
        </w:rPr>
        <w:t>Pradenas</w:t>
      </w:r>
      <w:proofErr w:type="spellEnd"/>
      <w:r w:rsidR="00D34291" w:rsidRPr="00DC278B">
        <w:rPr>
          <w:rFonts w:ascii="Cambria" w:eastAsia="Times New Roman" w:hAnsi="Cambria"/>
          <w:sz w:val="20"/>
          <w:szCs w:val="20"/>
          <w:bdr w:val="none" w:sz="0" w:space="0" w:color="auto"/>
          <w:lang w:val="es-ES_tradnl"/>
        </w:rPr>
        <w:t xml:space="preserve"> Pérez y Carlos Gustavo Melo</w:t>
      </w:r>
      <w:r w:rsidR="00EB0C85" w:rsidRPr="00DC278B">
        <w:rPr>
          <w:rStyle w:val="FootnoteReference"/>
          <w:rFonts w:ascii="Cambria" w:eastAsia="Times New Roman" w:hAnsi="Cambria"/>
          <w:sz w:val="20"/>
          <w:szCs w:val="20"/>
          <w:bdr w:val="none" w:sz="0" w:space="0" w:color="auto"/>
          <w:lang w:val="es-ES_tradnl"/>
        </w:rPr>
        <w:footnoteReference w:id="5"/>
      </w:r>
      <w:r w:rsidR="00D34291" w:rsidRPr="00DC278B">
        <w:rPr>
          <w:rFonts w:ascii="Cambria" w:eastAsia="Times New Roman" w:hAnsi="Cambria"/>
          <w:sz w:val="20"/>
          <w:szCs w:val="20"/>
          <w:bdr w:val="none" w:sz="0" w:space="0" w:color="auto"/>
          <w:lang w:val="es-ES_tradnl"/>
        </w:rPr>
        <w:t>; Pamela Adriana Vivanco</w:t>
      </w:r>
      <w:r w:rsidR="006B0F85" w:rsidRPr="00DC278B">
        <w:rPr>
          <w:rStyle w:val="FootnoteReference"/>
          <w:rFonts w:ascii="Cambria" w:eastAsia="Times New Roman" w:hAnsi="Cambria"/>
          <w:sz w:val="20"/>
          <w:szCs w:val="20"/>
          <w:bdr w:val="none" w:sz="0" w:space="0" w:color="auto"/>
          <w:lang w:val="es-ES_tradnl"/>
        </w:rPr>
        <w:footnoteReference w:id="6"/>
      </w:r>
      <w:r w:rsidR="00D34291" w:rsidRPr="00DC278B">
        <w:rPr>
          <w:rFonts w:ascii="Cambria" w:eastAsia="Times New Roman" w:hAnsi="Cambria"/>
          <w:sz w:val="20"/>
          <w:szCs w:val="20"/>
          <w:bdr w:val="none" w:sz="0" w:space="0" w:color="auto"/>
          <w:lang w:val="es-ES_tradnl"/>
        </w:rPr>
        <w:t>; Elena Alejandrina Vargas</w:t>
      </w:r>
      <w:r w:rsidR="00D44A7F" w:rsidRPr="00DC278B">
        <w:rPr>
          <w:rStyle w:val="FootnoteReference"/>
          <w:rFonts w:ascii="Cambria" w:eastAsia="Times New Roman" w:hAnsi="Cambria"/>
          <w:sz w:val="20"/>
          <w:szCs w:val="20"/>
          <w:bdr w:val="none" w:sz="0" w:space="0" w:color="auto"/>
          <w:lang w:val="es-ES_tradnl"/>
        </w:rPr>
        <w:footnoteReference w:id="7"/>
      </w:r>
      <w:r w:rsidR="00D34291" w:rsidRPr="00DC278B">
        <w:rPr>
          <w:rFonts w:ascii="Cambria" w:eastAsia="Times New Roman" w:hAnsi="Cambria"/>
          <w:sz w:val="20"/>
          <w:szCs w:val="20"/>
          <w:bdr w:val="none" w:sz="0" w:space="0" w:color="auto"/>
          <w:lang w:val="es-ES_tradnl"/>
        </w:rPr>
        <w:t>; y Magdalena Mercedes Navarrete y Alberto, Patricio Hernán y Víctor Eduardo Reyes Navarrete</w:t>
      </w:r>
      <w:r w:rsidR="005B3203" w:rsidRPr="00DC278B">
        <w:rPr>
          <w:rStyle w:val="FootnoteReference"/>
          <w:rFonts w:ascii="Cambria" w:eastAsia="Times New Roman" w:hAnsi="Cambria"/>
          <w:sz w:val="20"/>
          <w:szCs w:val="20"/>
          <w:bdr w:val="none" w:sz="0" w:space="0" w:color="auto"/>
          <w:lang w:val="es-ES_tradnl"/>
        </w:rPr>
        <w:footnoteReference w:id="8"/>
      </w:r>
      <w:r w:rsidR="00D34291" w:rsidRPr="00DC278B">
        <w:rPr>
          <w:rFonts w:ascii="Cambria" w:eastAsia="Times New Roman" w:hAnsi="Cambria"/>
          <w:sz w:val="20"/>
          <w:szCs w:val="20"/>
          <w:bdr w:val="none" w:sz="0" w:space="0" w:color="auto"/>
          <w:lang w:val="es-ES_tradnl"/>
        </w:rPr>
        <w:t xml:space="preserve">, </w:t>
      </w:r>
      <w:r w:rsidR="005C7488" w:rsidRPr="00DC278B">
        <w:rPr>
          <w:rFonts w:ascii="Cambria" w:eastAsia="Times New Roman" w:hAnsi="Cambria"/>
          <w:sz w:val="20"/>
          <w:szCs w:val="20"/>
          <w:bdr w:val="none" w:sz="0" w:space="0" w:color="auto"/>
          <w:lang w:val="es-ES_tradnl"/>
        </w:rPr>
        <w:t>en razón de</w:t>
      </w:r>
      <w:r w:rsidR="00D34291" w:rsidRPr="00DC278B">
        <w:rPr>
          <w:rFonts w:ascii="Cambria" w:eastAsia="Times New Roman" w:hAnsi="Cambria"/>
          <w:sz w:val="20"/>
          <w:szCs w:val="20"/>
          <w:bdr w:val="none" w:sz="0" w:space="0" w:color="auto"/>
          <w:lang w:val="es-ES_tradnl"/>
        </w:rPr>
        <w:t>l</w:t>
      </w:r>
      <w:r w:rsidR="002F225F" w:rsidRPr="00DC278B">
        <w:rPr>
          <w:rFonts w:ascii="Cambria" w:eastAsia="Times New Roman" w:hAnsi="Cambria"/>
          <w:sz w:val="20"/>
          <w:szCs w:val="20"/>
          <w:bdr w:val="none" w:sz="0" w:space="0" w:color="auto"/>
          <w:lang w:val="es-ES_tradnl"/>
        </w:rPr>
        <w:t xml:space="preserve"> </w:t>
      </w:r>
      <w:r w:rsidR="005C7488" w:rsidRPr="00DC278B">
        <w:rPr>
          <w:rFonts w:ascii="Cambria" w:eastAsia="Times New Roman" w:hAnsi="Cambria"/>
          <w:sz w:val="20"/>
          <w:szCs w:val="20"/>
          <w:bdr w:val="none" w:sz="0" w:space="0" w:color="auto"/>
          <w:lang w:val="es-ES_tradnl"/>
        </w:rPr>
        <w:t>secuestro y asesinato</w:t>
      </w:r>
      <w:r w:rsidR="00D34291" w:rsidRPr="00DC278B">
        <w:rPr>
          <w:rFonts w:ascii="Cambria" w:eastAsia="Times New Roman" w:hAnsi="Cambria"/>
          <w:sz w:val="20"/>
          <w:szCs w:val="20"/>
          <w:bdr w:val="none" w:sz="0" w:space="0" w:color="auto"/>
          <w:lang w:val="es-ES_tradnl"/>
        </w:rPr>
        <w:t xml:space="preserve"> o </w:t>
      </w:r>
      <w:r w:rsidR="005C7488" w:rsidRPr="00DC278B">
        <w:rPr>
          <w:rFonts w:ascii="Cambria" w:eastAsia="Times New Roman" w:hAnsi="Cambria"/>
          <w:sz w:val="20"/>
          <w:szCs w:val="20"/>
          <w:bdr w:val="none" w:sz="0" w:space="0" w:color="auto"/>
          <w:lang w:val="es-ES_tradnl"/>
        </w:rPr>
        <w:t>desaparición</w:t>
      </w:r>
      <w:r w:rsidR="00D34291" w:rsidRPr="00DC278B">
        <w:rPr>
          <w:rFonts w:ascii="Cambria" w:eastAsia="Times New Roman" w:hAnsi="Cambria"/>
          <w:sz w:val="20"/>
          <w:szCs w:val="20"/>
          <w:bdr w:val="none" w:sz="0" w:space="0" w:color="auto"/>
          <w:lang w:val="es-ES_tradnl"/>
        </w:rPr>
        <w:t xml:space="preserve"> de sus familiares</w:t>
      </w:r>
      <w:r w:rsidR="005C7488" w:rsidRPr="00DC278B">
        <w:rPr>
          <w:rFonts w:ascii="Cambria" w:eastAsia="Times New Roman" w:hAnsi="Cambria"/>
          <w:sz w:val="20"/>
          <w:szCs w:val="20"/>
          <w:bdr w:val="none" w:sz="0" w:space="0" w:color="auto"/>
          <w:lang w:val="es-ES_tradnl"/>
        </w:rPr>
        <w:t>;</w:t>
      </w:r>
      <w:r w:rsidR="00E3282D" w:rsidRPr="00DC278B">
        <w:rPr>
          <w:rFonts w:ascii="Cambria" w:eastAsia="Times New Roman" w:hAnsi="Cambria"/>
          <w:sz w:val="20"/>
          <w:szCs w:val="20"/>
          <w:bdr w:val="none" w:sz="0" w:space="0" w:color="auto"/>
          <w:lang w:val="es-ES_tradnl"/>
        </w:rPr>
        <w:t xml:space="preserve"> </w:t>
      </w:r>
      <w:r w:rsidR="0042699F" w:rsidRPr="00DC278B">
        <w:rPr>
          <w:rFonts w:ascii="Cambria" w:eastAsia="Times New Roman" w:hAnsi="Cambria"/>
          <w:sz w:val="20"/>
          <w:szCs w:val="20"/>
          <w:bdr w:val="none" w:sz="0" w:space="0" w:color="auto"/>
          <w:lang w:val="es-ES_tradnl"/>
        </w:rPr>
        <w:t xml:space="preserve">presuntamente </w:t>
      </w:r>
      <w:r w:rsidR="004E1D1E" w:rsidRPr="00DC278B">
        <w:rPr>
          <w:rFonts w:ascii="Cambria" w:eastAsia="Times New Roman" w:hAnsi="Cambria"/>
          <w:sz w:val="20"/>
          <w:szCs w:val="20"/>
          <w:bdr w:val="none" w:sz="0" w:space="0" w:color="auto"/>
          <w:lang w:val="es-ES_tradnl"/>
        </w:rPr>
        <w:t>a manos de</w:t>
      </w:r>
      <w:r w:rsidR="00E3282D" w:rsidRPr="00DC278B">
        <w:rPr>
          <w:rFonts w:ascii="Cambria" w:eastAsia="Times New Roman" w:hAnsi="Cambria"/>
          <w:sz w:val="20"/>
          <w:szCs w:val="20"/>
          <w:bdr w:val="none" w:sz="0" w:space="0" w:color="auto"/>
          <w:lang w:val="es-ES_tradnl"/>
        </w:rPr>
        <w:t xml:space="preserve"> agentes estatales</w:t>
      </w:r>
      <w:r w:rsidR="004E1D1E" w:rsidRPr="00DC278B">
        <w:rPr>
          <w:rFonts w:ascii="Cambria" w:eastAsia="Times New Roman" w:hAnsi="Cambria"/>
          <w:sz w:val="20"/>
          <w:szCs w:val="20"/>
          <w:bdr w:val="none" w:sz="0" w:space="0" w:color="auto"/>
          <w:lang w:val="es-ES_tradnl"/>
        </w:rPr>
        <w:t>,</w:t>
      </w:r>
      <w:r w:rsidR="00E3282D" w:rsidRPr="00DC278B">
        <w:rPr>
          <w:rFonts w:ascii="Cambria" w:eastAsia="Times New Roman" w:hAnsi="Cambria"/>
          <w:sz w:val="20"/>
          <w:szCs w:val="20"/>
          <w:bdr w:val="none" w:sz="0" w:space="0" w:color="auto"/>
          <w:lang w:val="es-ES_tradnl"/>
        </w:rPr>
        <w:t xml:space="preserve"> </w:t>
      </w:r>
      <w:r w:rsidR="004E1D1E" w:rsidRPr="00DC278B">
        <w:rPr>
          <w:rFonts w:ascii="Cambria" w:eastAsia="Times New Roman" w:hAnsi="Cambria"/>
          <w:sz w:val="20"/>
          <w:szCs w:val="20"/>
          <w:bdr w:val="none" w:sz="0" w:space="0" w:color="auto"/>
          <w:lang w:val="es-ES_tradnl"/>
        </w:rPr>
        <w:t xml:space="preserve">en 1973 y 1974, </w:t>
      </w:r>
      <w:r w:rsidR="00E3282D" w:rsidRPr="00DC278B">
        <w:rPr>
          <w:rFonts w:ascii="Cambria" w:eastAsia="Times New Roman" w:hAnsi="Cambria"/>
          <w:sz w:val="20"/>
          <w:szCs w:val="20"/>
          <w:bdr w:val="none" w:sz="0" w:space="0" w:color="auto"/>
          <w:lang w:val="es-ES_tradnl"/>
        </w:rPr>
        <w:t>durante la dictadura militar.</w:t>
      </w:r>
      <w:r w:rsidR="00193B22">
        <w:rPr>
          <w:rFonts w:ascii="Cambria" w:eastAsia="Times New Roman" w:hAnsi="Cambria"/>
          <w:sz w:val="20"/>
          <w:szCs w:val="20"/>
          <w:bdr w:val="none" w:sz="0" w:space="0" w:color="auto"/>
          <w:lang w:val="es-ES_tradnl"/>
        </w:rPr>
        <w:t xml:space="preserve"> </w:t>
      </w:r>
    </w:p>
    <w:p w:rsidR="00612699" w:rsidRPr="00DC278B" w:rsidRDefault="00612699"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612699" w:rsidRPr="00DC278B" w:rsidRDefault="0061269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peticionario alega que la aplicación de la prescripción por los tri</w:t>
      </w:r>
      <w:r w:rsidR="00160CA0" w:rsidRPr="00DC278B">
        <w:rPr>
          <w:rFonts w:ascii="Cambria" w:eastAsia="Times New Roman" w:hAnsi="Cambria"/>
          <w:sz w:val="20"/>
          <w:szCs w:val="20"/>
          <w:bdr w:val="none" w:sz="0" w:space="0" w:color="auto"/>
          <w:lang w:val="es-ES_tradnl"/>
        </w:rPr>
        <w:t>bunales judiciales chilenos</w:t>
      </w:r>
      <w:r w:rsidRPr="00DC278B">
        <w:rPr>
          <w:rFonts w:ascii="Cambria" w:eastAsia="Times New Roman" w:hAnsi="Cambria"/>
          <w:sz w:val="20"/>
          <w:szCs w:val="20"/>
          <w:bdr w:val="none" w:sz="0" w:space="0" w:color="auto"/>
          <w:lang w:val="es-ES_tradnl"/>
        </w:rPr>
        <w:t xml:space="preserve"> para</w:t>
      </w:r>
      <w:r w:rsidR="003F7E40" w:rsidRPr="00DC278B">
        <w:rPr>
          <w:rFonts w:ascii="Cambria" w:eastAsia="Times New Roman" w:hAnsi="Cambria"/>
          <w:sz w:val="20"/>
          <w:szCs w:val="20"/>
          <w:bdr w:val="none" w:sz="0" w:space="0" w:color="auto"/>
          <w:lang w:val="es-ES_tradnl"/>
        </w:rPr>
        <w:t xml:space="preserve"> decidir las acciones </w:t>
      </w:r>
      <w:r w:rsidR="000A13C7" w:rsidRPr="00DC278B">
        <w:rPr>
          <w:rFonts w:ascii="Cambria" w:eastAsia="Times New Roman" w:hAnsi="Cambria"/>
          <w:sz w:val="20"/>
          <w:szCs w:val="20"/>
          <w:bdr w:val="none" w:sz="0" w:space="0" w:color="auto"/>
          <w:lang w:val="es-ES_tradnl"/>
        </w:rPr>
        <w:t xml:space="preserve">judiciales </w:t>
      </w:r>
      <w:r w:rsidR="003F7E40" w:rsidRPr="00DC278B">
        <w:rPr>
          <w:rFonts w:ascii="Cambria" w:eastAsia="Times New Roman" w:hAnsi="Cambria"/>
          <w:sz w:val="20"/>
          <w:szCs w:val="20"/>
          <w:bdr w:val="none" w:sz="0" w:space="0" w:color="auto"/>
          <w:lang w:val="es-ES_tradnl"/>
        </w:rPr>
        <w:t>por indemnización de</w:t>
      </w:r>
      <w:r w:rsidRPr="00DC278B">
        <w:rPr>
          <w:rFonts w:ascii="Cambria" w:eastAsia="Times New Roman" w:hAnsi="Cambria"/>
          <w:sz w:val="20"/>
          <w:szCs w:val="20"/>
          <w:bdr w:val="none" w:sz="0" w:space="0" w:color="auto"/>
          <w:lang w:val="es-ES_tradnl"/>
        </w:rPr>
        <w:t xml:space="preserve"> perjuicios adelantadas por</w:t>
      </w:r>
      <w:r w:rsidR="002F225F" w:rsidRPr="00DC278B">
        <w:rPr>
          <w:rFonts w:ascii="Cambria" w:eastAsia="Times New Roman" w:hAnsi="Cambria"/>
          <w:sz w:val="20"/>
          <w:szCs w:val="20"/>
          <w:bdr w:val="none" w:sz="0" w:space="0" w:color="auto"/>
          <w:lang w:val="es-ES_tradnl"/>
        </w:rPr>
        <w:t xml:space="preserve"> las presuntas víctimas</w:t>
      </w:r>
      <w:r w:rsidRPr="00DC278B">
        <w:rPr>
          <w:rFonts w:ascii="Cambria" w:eastAsia="Times New Roman" w:hAnsi="Cambria"/>
          <w:sz w:val="20"/>
          <w:szCs w:val="20"/>
          <w:bdr w:val="none" w:sz="0" w:space="0" w:color="auto"/>
          <w:lang w:val="es-ES_tradnl"/>
        </w:rPr>
        <w:t xml:space="preserve">, vulneraría las obligaciones del Estado bajo la Convención Americana, en vista de que dichas </w:t>
      </w:r>
      <w:r w:rsidR="00193B22">
        <w:rPr>
          <w:rFonts w:ascii="Cambria" w:eastAsia="Times New Roman" w:hAnsi="Cambria"/>
          <w:sz w:val="20"/>
          <w:szCs w:val="20"/>
          <w:bdr w:val="none" w:sz="0" w:space="0" w:color="auto"/>
          <w:lang w:val="es-ES_tradnl"/>
        </w:rPr>
        <w:t xml:space="preserve">acciones son imprescriptibles. </w:t>
      </w:r>
      <w:r w:rsidRPr="00DC278B">
        <w:rPr>
          <w:rFonts w:ascii="Cambria" w:eastAsia="Times New Roman" w:hAnsi="Cambria"/>
          <w:sz w:val="20"/>
          <w:szCs w:val="20"/>
          <w:bdr w:val="none" w:sz="0" w:space="0" w:color="auto"/>
          <w:lang w:val="es-ES_tradnl"/>
        </w:rPr>
        <w:t xml:space="preserve">Afirma que </w:t>
      </w:r>
      <w:r w:rsidR="0003606B" w:rsidRPr="00DC278B">
        <w:rPr>
          <w:rFonts w:ascii="Cambria" w:eastAsia="Times New Roman" w:hAnsi="Cambria"/>
          <w:sz w:val="20"/>
          <w:szCs w:val="20"/>
          <w:bdr w:val="none" w:sz="0" w:space="0" w:color="auto"/>
          <w:lang w:val="es-ES_tradnl"/>
        </w:rPr>
        <w:t xml:space="preserve">la reparación integral de una grave violación de derechos humanos es un derecho, mientras que </w:t>
      </w:r>
      <w:r w:rsidRPr="00DC278B">
        <w:rPr>
          <w:rFonts w:ascii="Cambria" w:eastAsia="Times New Roman" w:hAnsi="Cambria"/>
          <w:sz w:val="20"/>
          <w:szCs w:val="20"/>
          <w:bdr w:val="none" w:sz="0" w:space="0" w:color="auto"/>
          <w:lang w:val="es-ES_tradnl"/>
        </w:rPr>
        <w:t>la compensación económica recibida por algunos familiares por el programa</w:t>
      </w:r>
      <w:r w:rsidR="005C2271" w:rsidRPr="00DC278B">
        <w:rPr>
          <w:rFonts w:ascii="Cambria" w:eastAsia="Times New Roman" w:hAnsi="Cambria"/>
          <w:sz w:val="20"/>
          <w:szCs w:val="20"/>
          <w:bdr w:val="none" w:sz="0" w:space="0" w:color="auto"/>
          <w:lang w:val="es-ES_tradnl"/>
        </w:rPr>
        <w:t xml:space="preserve"> administrativo</w:t>
      </w:r>
      <w:r w:rsidRPr="00DC278B">
        <w:rPr>
          <w:rFonts w:ascii="Cambria" w:eastAsia="Times New Roman" w:hAnsi="Cambria"/>
          <w:sz w:val="20"/>
          <w:szCs w:val="20"/>
          <w:bdr w:val="none" w:sz="0" w:space="0" w:color="auto"/>
          <w:lang w:val="es-ES_tradnl"/>
        </w:rPr>
        <w:t xml:space="preserve"> de reparaciones creado por el Estado s</w:t>
      </w:r>
      <w:r w:rsidR="000A13C7" w:rsidRPr="00DC278B">
        <w:rPr>
          <w:rFonts w:ascii="Cambria" w:eastAsia="Times New Roman" w:hAnsi="Cambria"/>
          <w:sz w:val="20"/>
          <w:szCs w:val="20"/>
          <w:bdr w:val="none" w:sz="0" w:space="0" w:color="auto"/>
          <w:lang w:val="es-ES_tradnl"/>
        </w:rPr>
        <w:t xml:space="preserve">on </w:t>
      </w:r>
      <w:r w:rsidR="00F257B1" w:rsidRPr="00DC278B">
        <w:rPr>
          <w:rFonts w:ascii="Cambria" w:eastAsia="Times New Roman" w:hAnsi="Cambria"/>
          <w:sz w:val="20"/>
          <w:szCs w:val="20"/>
          <w:bdr w:val="none" w:sz="0" w:space="0" w:color="auto"/>
          <w:lang w:val="es-ES_tradnl"/>
        </w:rPr>
        <w:t>asistenciales</w:t>
      </w:r>
      <w:r w:rsidR="000A13C7" w:rsidRPr="00DC278B">
        <w:rPr>
          <w:rFonts w:ascii="Cambria" w:eastAsia="Times New Roman" w:hAnsi="Cambria"/>
          <w:sz w:val="20"/>
          <w:szCs w:val="20"/>
          <w:bdr w:val="none" w:sz="0" w:space="0" w:color="auto"/>
          <w:lang w:val="es-ES_tradnl"/>
        </w:rPr>
        <w:t xml:space="preserve"> y no responden</w:t>
      </w:r>
      <w:r w:rsidR="00D84275" w:rsidRPr="00DC278B">
        <w:rPr>
          <w:rFonts w:ascii="Cambria" w:eastAsia="Times New Roman" w:hAnsi="Cambria"/>
          <w:sz w:val="20"/>
          <w:szCs w:val="20"/>
          <w:bdr w:val="none" w:sz="0" w:space="0" w:color="auto"/>
          <w:lang w:val="es-ES_tradnl"/>
        </w:rPr>
        <w:t xml:space="preserve"> de manera integral</w:t>
      </w:r>
      <w:r w:rsidR="000A13C7" w:rsidRPr="00DC278B">
        <w:rPr>
          <w:rFonts w:ascii="Cambria" w:eastAsia="Times New Roman" w:hAnsi="Cambria"/>
          <w:sz w:val="20"/>
          <w:szCs w:val="20"/>
          <w:bdr w:val="none" w:sz="0" w:space="0" w:color="auto"/>
          <w:lang w:val="es-ES_tradnl"/>
        </w:rPr>
        <w:t xml:space="preserve"> al daño individual causado como consecuencia de las violaciones de derechos humanos cometidas. Agrega que bajo la Convención Americana los familiares tienen derecho a que dicho daño sea determinado judicialmente, especialmente tomando en cuenta que los beneficios otorgados no responden a los </w:t>
      </w:r>
      <w:r w:rsidRPr="00DC278B">
        <w:rPr>
          <w:rFonts w:ascii="Cambria" w:eastAsia="Times New Roman" w:hAnsi="Cambria"/>
          <w:sz w:val="20"/>
          <w:szCs w:val="20"/>
          <w:bdr w:val="none" w:sz="0" w:space="0" w:color="auto"/>
          <w:lang w:val="es-ES_tradnl"/>
        </w:rPr>
        <w:t>estándares inter</w:t>
      </w:r>
      <w:r w:rsidR="000A13C7" w:rsidRPr="00DC278B">
        <w:rPr>
          <w:rFonts w:ascii="Cambria" w:eastAsia="Times New Roman" w:hAnsi="Cambria"/>
          <w:sz w:val="20"/>
          <w:szCs w:val="20"/>
          <w:bdr w:val="none" w:sz="0" w:space="0" w:color="auto"/>
          <w:lang w:val="es-ES_tradnl"/>
        </w:rPr>
        <w:t xml:space="preserve">americanos de </w:t>
      </w:r>
      <w:r w:rsidR="00BB11A2" w:rsidRPr="00DC278B">
        <w:rPr>
          <w:rFonts w:ascii="Cambria" w:eastAsia="Times New Roman" w:hAnsi="Cambria"/>
          <w:sz w:val="20"/>
          <w:szCs w:val="20"/>
          <w:bdr w:val="none" w:sz="0" w:space="0" w:color="auto"/>
          <w:lang w:val="es-ES_tradnl"/>
        </w:rPr>
        <w:t xml:space="preserve">reparación en casos análogos. </w:t>
      </w:r>
    </w:p>
    <w:p w:rsidR="008A75D0" w:rsidRPr="00DC278B" w:rsidRDefault="008A75D0" w:rsidP="00DC278B">
      <w:pPr>
        <w:pStyle w:val="MediumGrid1-Accent21"/>
        <w:rPr>
          <w:rFonts w:eastAsia="Times New Roman"/>
          <w:color w:val="auto"/>
          <w:sz w:val="20"/>
          <w:szCs w:val="20"/>
          <w:bdr w:val="none" w:sz="0" w:space="0" w:color="auto"/>
          <w:lang w:val="es-ES_tradnl"/>
        </w:rPr>
      </w:pPr>
    </w:p>
    <w:p w:rsidR="008A75D0" w:rsidRPr="00DC278B" w:rsidRDefault="008A75D0" w:rsidP="00DC278B">
      <w:pPr>
        <w:pStyle w:val="MediumGrid1-Accent21"/>
        <w:numPr>
          <w:ilvl w:val="0"/>
          <w:numId w:val="54"/>
        </w:numPr>
        <w:jc w:val="both"/>
        <w:rPr>
          <w:rFonts w:eastAsia="Times New Roman" w:cs="Times New Roman"/>
          <w:color w:val="auto"/>
          <w:sz w:val="20"/>
          <w:szCs w:val="20"/>
          <w:bdr w:val="none" w:sz="0" w:space="0" w:color="auto"/>
          <w:lang w:val="es-ES_tradnl" w:eastAsia="en-US"/>
        </w:rPr>
      </w:pPr>
      <w:r w:rsidRPr="00DC278B">
        <w:rPr>
          <w:rFonts w:eastAsia="Times New Roman" w:cs="Times New Roman"/>
          <w:color w:val="auto"/>
          <w:sz w:val="20"/>
          <w:szCs w:val="20"/>
          <w:bdr w:val="none" w:sz="0" w:space="0" w:color="auto"/>
          <w:lang w:val="es-ES_tradnl" w:eastAsia="en-US"/>
        </w:rPr>
        <w:t xml:space="preserve">Por su parte, el Estado argumenta que ha </w:t>
      </w:r>
      <w:r w:rsidR="00264C08" w:rsidRPr="00DC278B">
        <w:rPr>
          <w:rFonts w:eastAsia="Times New Roman" w:cs="Times New Roman"/>
          <w:color w:val="auto"/>
          <w:sz w:val="20"/>
          <w:szCs w:val="20"/>
          <w:bdr w:val="none" w:sz="0" w:space="0" w:color="auto"/>
          <w:lang w:val="es-ES_tradnl" w:eastAsia="en-US"/>
        </w:rPr>
        <w:t xml:space="preserve">desplegado esfuerzos destinados a </w:t>
      </w:r>
      <w:r w:rsidRPr="00DC278B">
        <w:rPr>
          <w:rFonts w:eastAsia="Times New Roman" w:cs="Times New Roman"/>
          <w:color w:val="auto"/>
          <w:sz w:val="20"/>
          <w:szCs w:val="20"/>
          <w:bdr w:val="none" w:sz="0" w:space="0" w:color="auto"/>
          <w:lang w:val="es-ES_tradnl" w:eastAsia="en-US"/>
        </w:rPr>
        <w:t xml:space="preserve">reparar </w:t>
      </w:r>
      <w:r w:rsidR="00264C08" w:rsidRPr="00DC278B">
        <w:rPr>
          <w:rFonts w:eastAsia="Times New Roman" w:cs="Times New Roman"/>
          <w:color w:val="auto"/>
          <w:sz w:val="20"/>
          <w:szCs w:val="20"/>
          <w:bdr w:val="none" w:sz="0" w:space="0" w:color="auto"/>
          <w:lang w:val="es-ES_tradnl" w:eastAsia="en-US"/>
        </w:rPr>
        <w:t xml:space="preserve">a </w:t>
      </w:r>
      <w:r w:rsidRPr="00DC278B">
        <w:rPr>
          <w:rFonts w:eastAsia="Times New Roman" w:cs="Times New Roman"/>
          <w:color w:val="auto"/>
          <w:sz w:val="20"/>
          <w:szCs w:val="20"/>
          <w:bdr w:val="none" w:sz="0" w:space="0" w:color="auto"/>
          <w:lang w:val="es-ES_tradnl" w:eastAsia="en-US"/>
        </w:rPr>
        <w:t xml:space="preserve">las víctimas </w:t>
      </w:r>
      <w:r w:rsidR="00264C08" w:rsidRPr="00DC278B">
        <w:rPr>
          <w:rFonts w:eastAsia="Times New Roman" w:cs="Times New Roman"/>
          <w:color w:val="auto"/>
          <w:sz w:val="20"/>
          <w:szCs w:val="20"/>
          <w:bdr w:val="none" w:sz="0" w:space="0" w:color="auto"/>
          <w:lang w:val="es-ES_tradnl" w:eastAsia="en-US"/>
        </w:rPr>
        <w:t xml:space="preserve">de la violencia política durante la </w:t>
      </w:r>
      <w:r w:rsidR="007F0264" w:rsidRPr="00DC278B">
        <w:rPr>
          <w:rFonts w:eastAsia="Times New Roman" w:cs="Times New Roman"/>
          <w:color w:val="auto"/>
          <w:sz w:val="20"/>
          <w:szCs w:val="20"/>
          <w:bdr w:val="none" w:sz="0" w:space="0" w:color="auto"/>
          <w:lang w:val="es-ES_tradnl" w:eastAsia="en-US"/>
        </w:rPr>
        <w:t>dictadura, enfocados en reparacio</w:t>
      </w:r>
      <w:r w:rsidRPr="00DC278B">
        <w:rPr>
          <w:rFonts w:eastAsia="Times New Roman" w:cs="Times New Roman"/>
          <w:color w:val="auto"/>
          <w:sz w:val="20"/>
          <w:szCs w:val="20"/>
          <w:bdr w:val="none" w:sz="0" w:space="0" w:color="auto"/>
          <w:lang w:val="es-ES_tradnl" w:eastAsia="en-US"/>
        </w:rPr>
        <w:t>n</w:t>
      </w:r>
      <w:r w:rsidR="007F0264" w:rsidRPr="00DC278B">
        <w:rPr>
          <w:rFonts w:eastAsia="Times New Roman" w:cs="Times New Roman"/>
          <w:color w:val="auto"/>
          <w:sz w:val="20"/>
          <w:szCs w:val="20"/>
          <w:bdr w:val="none" w:sz="0" w:space="0" w:color="auto"/>
          <w:lang w:val="es-ES_tradnl" w:eastAsia="en-US"/>
        </w:rPr>
        <w:t>es</w:t>
      </w:r>
      <w:r w:rsidRPr="00DC278B">
        <w:rPr>
          <w:rFonts w:eastAsia="Times New Roman" w:cs="Times New Roman"/>
          <w:color w:val="auto"/>
          <w:sz w:val="20"/>
          <w:szCs w:val="20"/>
          <w:bdr w:val="none" w:sz="0" w:space="0" w:color="auto"/>
          <w:lang w:val="es-ES_tradnl" w:eastAsia="en-US"/>
        </w:rPr>
        <w:t xml:space="preserve"> </w:t>
      </w:r>
      <w:r w:rsidR="007F0264" w:rsidRPr="00DC278B">
        <w:rPr>
          <w:rFonts w:eastAsia="Times New Roman" w:cs="Times New Roman"/>
          <w:color w:val="auto"/>
          <w:sz w:val="20"/>
          <w:szCs w:val="20"/>
          <w:bdr w:val="none" w:sz="0" w:space="0" w:color="auto"/>
          <w:lang w:val="es-ES_tradnl" w:eastAsia="en-US"/>
        </w:rPr>
        <w:t>individuales, colectivas, materiales e inmateriales, así como ayuda social y memoria</w:t>
      </w:r>
      <w:r w:rsidR="00AF46CA" w:rsidRPr="00DC278B">
        <w:rPr>
          <w:rFonts w:eastAsia="Times New Roman" w:cs="Times New Roman"/>
          <w:color w:val="auto"/>
          <w:sz w:val="20"/>
          <w:szCs w:val="20"/>
          <w:bdr w:val="none" w:sz="0" w:space="0" w:color="auto"/>
          <w:lang w:val="es-ES_tradnl" w:eastAsia="en-US"/>
        </w:rPr>
        <w:t xml:space="preserve">. Detalla </w:t>
      </w:r>
      <w:r w:rsidR="00975F13" w:rsidRPr="00DC278B">
        <w:rPr>
          <w:rFonts w:eastAsia="Times New Roman" w:cs="Times New Roman"/>
          <w:color w:val="auto"/>
          <w:sz w:val="20"/>
          <w:szCs w:val="20"/>
          <w:bdr w:val="none" w:sz="0" w:space="0" w:color="auto"/>
          <w:lang w:val="es-ES_tradnl" w:eastAsia="en-US"/>
        </w:rPr>
        <w:t xml:space="preserve">las leyes y programas correspondientes. </w:t>
      </w:r>
      <w:r w:rsidRPr="00DC278B">
        <w:rPr>
          <w:rFonts w:eastAsia="Times New Roman" w:cs="Times New Roman"/>
          <w:color w:val="auto"/>
          <w:sz w:val="20"/>
          <w:szCs w:val="20"/>
          <w:bdr w:val="none" w:sz="0" w:space="0" w:color="auto"/>
          <w:lang w:val="es-ES_tradnl" w:eastAsia="en-US"/>
        </w:rPr>
        <w:t xml:space="preserve"> </w:t>
      </w:r>
      <w:r w:rsidR="001B58DF" w:rsidRPr="00DC278B">
        <w:rPr>
          <w:rFonts w:eastAsia="Times New Roman" w:cs="Times New Roman"/>
          <w:color w:val="auto"/>
          <w:sz w:val="20"/>
          <w:szCs w:val="20"/>
          <w:bdr w:val="none" w:sz="0" w:space="0" w:color="auto"/>
          <w:lang w:val="es-ES_tradnl" w:eastAsia="en-US"/>
        </w:rPr>
        <w:t xml:space="preserve">Alega que la Corte Interamericana </w:t>
      </w:r>
      <w:r w:rsidR="003661B2" w:rsidRPr="00DC278B">
        <w:rPr>
          <w:rFonts w:eastAsia="Times New Roman" w:cs="Times New Roman"/>
          <w:color w:val="auto"/>
          <w:sz w:val="20"/>
          <w:szCs w:val="20"/>
          <w:bdr w:val="none" w:sz="0" w:space="0" w:color="auto"/>
          <w:lang w:val="es-ES_tradnl" w:eastAsia="en-US"/>
        </w:rPr>
        <w:t xml:space="preserve">de Derechos Humanos </w:t>
      </w:r>
      <w:r w:rsidR="001B58DF" w:rsidRPr="00DC278B">
        <w:rPr>
          <w:rFonts w:eastAsia="Times New Roman" w:cs="Times New Roman"/>
          <w:color w:val="auto"/>
          <w:sz w:val="20"/>
          <w:szCs w:val="20"/>
          <w:bdr w:val="none" w:sz="0" w:space="0" w:color="auto"/>
          <w:lang w:val="es-ES_tradnl" w:eastAsia="en-US"/>
        </w:rPr>
        <w:t>valoró la política chilena de reparaciones y consider</w:t>
      </w:r>
      <w:r w:rsidR="003661B2" w:rsidRPr="00DC278B">
        <w:rPr>
          <w:rFonts w:eastAsia="Times New Roman" w:cs="Times New Roman"/>
          <w:color w:val="auto"/>
          <w:sz w:val="20"/>
          <w:szCs w:val="20"/>
          <w:bdr w:val="none" w:sz="0" w:space="0" w:color="auto"/>
          <w:lang w:val="es-ES_tradnl" w:eastAsia="en-US"/>
        </w:rPr>
        <w:t>ó que é</w:t>
      </w:r>
      <w:r w:rsidR="001B58DF" w:rsidRPr="00DC278B">
        <w:rPr>
          <w:rFonts w:eastAsia="Times New Roman" w:cs="Times New Roman"/>
          <w:color w:val="auto"/>
          <w:sz w:val="20"/>
          <w:szCs w:val="20"/>
          <w:bdr w:val="none" w:sz="0" w:space="0" w:color="auto"/>
          <w:lang w:val="es-ES_tradnl" w:eastAsia="en-US"/>
        </w:rPr>
        <w:t xml:space="preserve">stas eran suficientes. </w:t>
      </w:r>
      <w:r w:rsidR="00250332">
        <w:rPr>
          <w:rFonts w:eastAsia="Times New Roman" w:cs="Times New Roman"/>
          <w:color w:val="auto"/>
          <w:sz w:val="20"/>
          <w:szCs w:val="20"/>
          <w:bdr w:val="none" w:sz="0" w:space="0" w:color="auto"/>
          <w:lang w:val="es-ES_tradnl" w:eastAsia="en-US"/>
        </w:rPr>
        <w:t>Ind</w:t>
      </w:r>
      <w:r w:rsidR="00975F13" w:rsidRPr="00DC278B">
        <w:rPr>
          <w:rFonts w:eastAsia="Times New Roman" w:cs="Times New Roman"/>
          <w:color w:val="auto"/>
          <w:sz w:val="20"/>
          <w:szCs w:val="20"/>
          <w:bdr w:val="none" w:sz="0" w:space="0" w:color="auto"/>
          <w:lang w:val="es-ES_tradnl" w:eastAsia="en-US"/>
        </w:rPr>
        <w:t xml:space="preserve">ica que </w:t>
      </w:r>
      <w:r w:rsidRPr="00DC278B">
        <w:rPr>
          <w:rFonts w:eastAsia="Times New Roman" w:cs="Times New Roman"/>
          <w:color w:val="auto"/>
          <w:sz w:val="20"/>
          <w:szCs w:val="20"/>
          <w:bdr w:val="none" w:sz="0" w:space="0" w:color="auto"/>
          <w:lang w:val="es-ES_tradnl" w:eastAsia="en-US"/>
        </w:rPr>
        <w:t xml:space="preserve">en estos casos los familiares </w:t>
      </w:r>
      <w:r w:rsidR="00975F13" w:rsidRPr="00DC278B">
        <w:rPr>
          <w:rFonts w:eastAsia="Times New Roman" w:cs="Times New Roman"/>
          <w:color w:val="auto"/>
          <w:sz w:val="20"/>
          <w:szCs w:val="20"/>
          <w:bdr w:val="none" w:sz="0" w:space="0" w:color="auto"/>
          <w:lang w:val="es-ES_tradnl" w:eastAsia="en-US"/>
        </w:rPr>
        <w:t>han recibido dichas reparaciones</w:t>
      </w:r>
      <w:r w:rsidR="003661B2" w:rsidRPr="00DC278B">
        <w:rPr>
          <w:rFonts w:eastAsia="Times New Roman" w:cs="Times New Roman"/>
          <w:color w:val="auto"/>
          <w:sz w:val="20"/>
          <w:szCs w:val="20"/>
          <w:bdr w:val="none" w:sz="0" w:space="0" w:color="auto"/>
          <w:lang w:val="es-ES_tradnl" w:eastAsia="en-US"/>
        </w:rPr>
        <w:t>.</w:t>
      </w:r>
      <w:r w:rsidR="00250332">
        <w:rPr>
          <w:rFonts w:eastAsia="Times New Roman" w:cs="Times New Roman"/>
          <w:color w:val="auto"/>
          <w:sz w:val="20"/>
          <w:szCs w:val="20"/>
          <w:bdr w:val="none" w:sz="0" w:space="0" w:color="auto"/>
          <w:lang w:val="es-ES_tradnl" w:eastAsia="en-US"/>
        </w:rPr>
        <w:t xml:space="preserve"> </w:t>
      </w:r>
    </w:p>
    <w:p w:rsidR="00612699" w:rsidRPr="00DC278B" w:rsidRDefault="00612699"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B316C" w:rsidRPr="00DC278B" w:rsidRDefault="00B06C1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Tras examinar las pruebas y los argumentos de las partes, la Comisión concluye en el presente informe que el Estado de Chile es responsable por las violaciones de los derechos</w:t>
      </w:r>
      <w:r w:rsidR="001E040F" w:rsidRPr="00DC278B">
        <w:rPr>
          <w:rFonts w:ascii="Cambria" w:eastAsia="Times New Roman" w:hAnsi="Cambria"/>
          <w:sz w:val="20"/>
          <w:szCs w:val="20"/>
          <w:bdr w:val="none" w:sz="0" w:space="0" w:color="auto"/>
          <w:lang w:val="es-ES_tradnl"/>
        </w:rPr>
        <w:t xml:space="preserve"> a las garantías judiciales y protección judicial establecidos en los artículos 8.1 y 25.1 de la Convención Americana sobre Derechos Humanos (en adelante “la Convención” o “la Convención Americana”) en relación con las obligaciones establecidas en los a</w:t>
      </w:r>
      <w:r w:rsidR="00273D36" w:rsidRPr="00DC278B">
        <w:rPr>
          <w:rFonts w:ascii="Cambria" w:eastAsia="Times New Roman" w:hAnsi="Cambria"/>
          <w:sz w:val="20"/>
          <w:szCs w:val="20"/>
          <w:bdr w:val="none" w:sz="0" w:space="0" w:color="auto"/>
          <w:lang w:val="es-ES_tradnl"/>
        </w:rPr>
        <w:t>rtículos 1.1 y 2 del mismo instrumento.</w:t>
      </w:r>
      <w:r w:rsidR="00250332">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En consecuencia, la Comisión Interamericana </w:t>
      </w:r>
      <w:r w:rsidR="006B21B2" w:rsidRPr="00DC278B">
        <w:rPr>
          <w:rFonts w:ascii="Cambria" w:eastAsia="Times New Roman" w:hAnsi="Cambria"/>
          <w:sz w:val="20"/>
          <w:szCs w:val="20"/>
          <w:bdr w:val="none" w:sz="0" w:space="0" w:color="auto"/>
          <w:lang w:val="es-ES_tradnl"/>
        </w:rPr>
        <w:t xml:space="preserve">formuló las respectivas </w:t>
      </w:r>
      <w:r w:rsidRPr="00DC278B">
        <w:rPr>
          <w:rFonts w:ascii="Cambria" w:eastAsia="Times New Roman" w:hAnsi="Cambria"/>
          <w:sz w:val="20"/>
          <w:szCs w:val="20"/>
          <w:bdr w:val="none" w:sz="0" w:space="0" w:color="auto"/>
          <w:lang w:val="es-ES_tradnl"/>
        </w:rPr>
        <w:t>recomendaciones al Estado de Chile</w:t>
      </w:r>
      <w:r w:rsidR="008C6598"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B316C" w:rsidRPr="00DC278B" w:rsidRDefault="004B316C" w:rsidP="00DC278B">
      <w:pPr>
        <w:pStyle w:val="Heading1"/>
      </w:pPr>
      <w:bookmarkStart w:id="4" w:name="_Toc338425798"/>
      <w:bookmarkStart w:id="5" w:name="_Toc413397461"/>
      <w:r w:rsidRPr="00DC278B">
        <w:t>TRÁMITE ANTE LA COMISIÓN POSTERIOR A</w:t>
      </w:r>
      <w:r w:rsidR="00DE2DCE" w:rsidRPr="00DC278B">
        <w:t xml:space="preserve"> </w:t>
      </w:r>
      <w:r w:rsidRPr="00DC278B">
        <w:t>L</w:t>
      </w:r>
      <w:r w:rsidR="00DE2DCE" w:rsidRPr="00DC278B">
        <w:t>OS</w:t>
      </w:r>
      <w:r w:rsidRPr="00DC278B">
        <w:t xml:space="preserve"> INFORME</w:t>
      </w:r>
      <w:r w:rsidR="00DE2DCE" w:rsidRPr="00DC278B">
        <w:t>S</w:t>
      </w:r>
      <w:r w:rsidRPr="00DC278B">
        <w:t xml:space="preserve"> DE ADMISIBILIDAD</w:t>
      </w:r>
      <w:bookmarkEnd w:id="4"/>
      <w:bookmarkEnd w:id="5"/>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_tradnl"/>
        </w:rPr>
      </w:pPr>
    </w:p>
    <w:p w:rsidR="00B06C1C" w:rsidRPr="00DC278B" w:rsidRDefault="001E040F"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14 de julio, 3 de septiembre y 24 de octubre de 2003 así como el 22 de enero de 2004</w:t>
      </w:r>
      <w:r w:rsidR="003E4145" w:rsidRPr="00DC278B">
        <w:rPr>
          <w:rFonts w:ascii="Cambria" w:eastAsia="Times New Roman" w:hAnsi="Cambria"/>
          <w:sz w:val="20"/>
          <w:szCs w:val="20"/>
          <w:bdr w:val="none" w:sz="0" w:space="0" w:color="auto"/>
          <w:lang w:val="es-ES_tradnl"/>
        </w:rPr>
        <w:t xml:space="preserve"> se recibieron las peticiones iniciales. </w:t>
      </w:r>
      <w:r w:rsidRPr="00DC278B">
        <w:rPr>
          <w:rFonts w:ascii="Cambria" w:eastAsia="Times New Roman" w:hAnsi="Cambria"/>
          <w:sz w:val="20"/>
          <w:szCs w:val="20"/>
          <w:bdr w:val="none" w:sz="0" w:space="0" w:color="auto"/>
          <w:lang w:val="es-ES_tradnl"/>
        </w:rPr>
        <w:t>El 12 de octubre de 2005</w:t>
      </w:r>
      <w:r w:rsidR="003E4145" w:rsidRPr="00DC278B">
        <w:rPr>
          <w:rFonts w:ascii="Cambria" w:eastAsia="Times New Roman" w:hAnsi="Cambria"/>
          <w:sz w:val="20"/>
          <w:szCs w:val="20"/>
          <w:bdr w:val="none" w:sz="0" w:space="0" w:color="auto"/>
          <w:lang w:val="es-ES_tradnl"/>
        </w:rPr>
        <w:t xml:space="preserve"> la Comisión emitió sus </w:t>
      </w:r>
      <w:r w:rsidRPr="00DC278B">
        <w:rPr>
          <w:rFonts w:ascii="Cambria" w:eastAsia="Times New Roman" w:hAnsi="Cambria"/>
          <w:sz w:val="20"/>
          <w:szCs w:val="20"/>
          <w:bdr w:val="none" w:sz="0" w:space="0" w:color="auto"/>
          <w:lang w:val="es-ES_tradnl"/>
        </w:rPr>
        <w:t>informes sobre admisibilidad No. 60/05</w:t>
      </w:r>
      <w:r w:rsidRPr="00DC278B">
        <w:rPr>
          <w:rFonts w:ascii="Cambria" w:eastAsia="Times New Roman" w:hAnsi="Cambria"/>
          <w:sz w:val="20"/>
          <w:szCs w:val="20"/>
          <w:bdr w:val="none" w:sz="0" w:space="0" w:color="auto"/>
          <w:vertAlign w:val="superscript"/>
          <w:lang w:val="es-ES"/>
        </w:rPr>
        <w:footnoteReference w:id="9"/>
      </w:r>
      <w:r w:rsidRPr="00DC278B">
        <w:rPr>
          <w:rFonts w:ascii="Cambria" w:eastAsia="Times New Roman" w:hAnsi="Cambria"/>
          <w:sz w:val="20"/>
          <w:szCs w:val="20"/>
          <w:bdr w:val="none" w:sz="0" w:space="0" w:color="auto"/>
          <w:lang w:val="es-ES_tradnl"/>
        </w:rPr>
        <w:t>, 61/05</w:t>
      </w:r>
      <w:r w:rsidRPr="00DC278B">
        <w:rPr>
          <w:rFonts w:ascii="Cambria" w:eastAsia="Times New Roman" w:hAnsi="Cambria"/>
          <w:sz w:val="20"/>
          <w:szCs w:val="20"/>
          <w:bdr w:val="none" w:sz="0" w:space="0" w:color="auto"/>
          <w:vertAlign w:val="superscript"/>
          <w:lang w:val="es-ES"/>
        </w:rPr>
        <w:footnoteReference w:id="10"/>
      </w:r>
      <w:r w:rsidRPr="00DC278B">
        <w:rPr>
          <w:rFonts w:ascii="Cambria" w:eastAsia="Times New Roman" w:hAnsi="Cambria"/>
          <w:sz w:val="20"/>
          <w:szCs w:val="20"/>
          <w:bdr w:val="none" w:sz="0" w:space="0" w:color="auto"/>
          <w:lang w:val="es-ES_tradnl"/>
        </w:rPr>
        <w:t>, 62/05</w:t>
      </w:r>
      <w:r w:rsidRPr="00DC278B">
        <w:rPr>
          <w:rFonts w:ascii="Cambria" w:eastAsia="Times New Roman" w:hAnsi="Cambria"/>
          <w:sz w:val="20"/>
          <w:szCs w:val="20"/>
          <w:bdr w:val="none" w:sz="0" w:space="0" w:color="auto"/>
          <w:vertAlign w:val="superscript"/>
          <w:lang w:val="es-ES"/>
        </w:rPr>
        <w:footnoteReference w:id="11"/>
      </w:r>
      <w:r w:rsidRPr="00DC278B">
        <w:rPr>
          <w:rFonts w:ascii="Cambria" w:eastAsia="Times New Roman" w:hAnsi="Cambria"/>
          <w:sz w:val="20"/>
          <w:szCs w:val="20"/>
          <w:bdr w:val="none" w:sz="0" w:space="0" w:color="auto"/>
          <w:lang w:val="es-ES_tradnl"/>
        </w:rPr>
        <w:t xml:space="preserve"> y 59/05</w:t>
      </w:r>
      <w:r w:rsidRPr="00DC278B">
        <w:rPr>
          <w:rFonts w:ascii="Cambria" w:eastAsia="Times New Roman" w:hAnsi="Cambria"/>
          <w:sz w:val="20"/>
          <w:szCs w:val="20"/>
          <w:bdr w:val="none" w:sz="0" w:space="0" w:color="auto"/>
          <w:vertAlign w:val="superscript"/>
          <w:lang w:val="es-ES"/>
        </w:rPr>
        <w:footnoteReference w:id="12"/>
      </w:r>
      <w:r w:rsidR="003E4145" w:rsidRPr="00DC278B">
        <w:rPr>
          <w:rFonts w:ascii="Cambria" w:eastAsia="Times New Roman" w:hAnsi="Cambria"/>
          <w:sz w:val="20"/>
          <w:szCs w:val="20"/>
          <w:bdr w:val="none" w:sz="0" w:space="0" w:color="auto"/>
          <w:lang w:val="es-ES_tradnl"/>
        </w:rPr>
        <w:t xml:space="preserve">. </w:t>
      </w:r>
      <w:r w:rsidR="00634931" w:rsidRPr="00DC278B">
        <w:rPr>
          <w:rFonts w:ascii="Cambria" w:eastAsia="Times New Roman" w:hAnsi="Cambria"/>
          <w:sz w:val="20"/>
          <w:szCs w:val="20"/>
          <w:bdr w:val="none" w:sz="0" w:space="0" w:color="auto"/>
          <w:lang w:val="es-ES_tradnl"/>
        </w:rPr>
        <w:t xml:space="preserve">El trámite desde la recepción de las peticiones hasta la decisión de admisibilidad se encuentra detallado en los informes respectivos. Los informes de admisibilidad fueron </w:t>
      </w:r>
      <w:r w:rsidR="00C533FC" w:rsidRPr="00DC278B">
        <w:rPr>
          <w:rFonts w:ascii="Cambria" w:eastAsia="Times New Roman" w:hAnsi="Cambria"/>
          <w:sz w:val="20"/>
          <w:szCs w:val="20"/>
          <w:bdr w:val="none" w:sz="0" w:space="0" w:color="auto"/>
          <w:lang w:val="es-ES_tradnl"/>
        </w:rPr>
        <w:t xml:space="preserve">notificados el </w:t>
      </w:r>
      <w:r w:rsidR="00B06C1C" w:rsidRPr="00DC278B">
        <w:rPr>
          <w:rFonts w:ascii="Cambria" w:eastAsia="Times New Roman" w:hAnsi="Cambria"/>
          <w:sz w:val="20"/>
          <w:szCs w:val="20"/>
          <w:bdr w:val="none" w:sz="0" w:space="0" w:color="auto"/>
          <w:lang w:val="es-ES_tradnl"/>
        </w:rPr>
        <w:t>5 de diciembre de 2005 (Informes 59/05 y 61/05); 3 de noviembre de 2005 (Informe 60/05) y 14 de no</w:t>
      </w:r>
      <w:r w:rsidR="00C533FC" w:rsidRPr="00DC278B">
        <w:rPr>
          <w:rFonts w:ascii="Cambria" w:eastAsia="Times New Roman" w:hAnsi="Cambria"/>
          <w:sz w:val="20"/>
          <w:szCs w:val="20"/>
          <w:bdr w:val="none" w:sz="0" w:space="0" w:color="auto"/>
          <w:lang w:val="es-ES_tradnl"/>
        </w:rPr>
        <w:t>vi</w:t>
      </w:r>
      <w:r w:rsidR="00193B22">
        <w:rPr>
          <w:rFonts w:ascii="Cambria" w:eastAsia="Times New Roman" w:hAnsi="Cambria"/>
          <w:sz w:val="20"/>
          <w:szCs w:val="20"/>
          <w:bdr w:val="none" w:sz="0" w:space="0" w:color="auto"/>
          <w:lang w:val="es-ES_tradnl"/>
        </w:rPr>
        <w:t xml:space="preserve">embre de 2005 (Informe 62/05). </w:t>
      </w:r>
      <w:r w:rsidR="00C533FC" w:rsidRPr="00DC278B">
        <w:rPr>
          <w:rFonts w:ascii="Cambria" w:eastAsia="Times New Roman" w:hAnsi="Cambria"/>
          <w:sz w:val="20"/>
          <w:szCs w:val="20"/>
          <w:bdr w:val="none" w:sz="0" w:space="0" w:color="auto"/>
          <w:lang w:val="es-ES_tradnl"/>
        </w:rPr>
        <w:t>L</w:t>
      </w:r>
      <w:r w:rsidR="00B06C1C" w:rsidRPr="00DC278B">
        <w:rPr>
          <w:rFonts w:ascii="Cambria" w:eastAsia="Times New Roman" w:hAnsi="Cambria"/>
          <w:sz w:val="20"/>
          <w:szCs w:val="20"/>
          <w:bdr w:val="none" w:sz="0" w:space="0" w:color="auto"/>
          <w:lang w:val="es-ES_tradnl"/>
        </w:rPr>
        <w:t xml:space="preserve">a Comisión informó a las partes que los casos habían sido registrados con los números </w:t>
      </w:r>
      <w:r w:rsidR="00160CA0" w:rsidRPr="00DC278B">
        <w:rPr>
          <w:rFonts w:ascii="Cambria" w:eastAsia="Times New Roman" w:hAnsi="Cambria"/>
          <w:sz w:val="20"/>
          <w:szCs w:val="20"/>
          <w:bdr w:val="none" w:sz="0" w:space="0" w:color="auto"/>
          <w:lang w:val="es-ES_tradnl"/>
        </w:rPr>
        <w:t>12.520, 12.521, 12.522 y 12.523 respectivamente</w:t>
      </w:r>
      <w:r w:rsidR="00B06C1C" w:rsidRPr="00DC278B">
        <w:rPr>
          <w:rFonts w:ascii="Cambria" w:eastAsia="Times New Roman" w:hAnsi="Cambria"/>
          <w:sz w:val="20"/>
          <w:szCs w:val="20"/>
          <w:bdr w:val="none" w:sz="0" w:space="0" w:color="auto"/>
          <w:lang w:val="es-ES_tradnl"/>
        </w:rPr>
        <w:t xml:space="preserve"> y</w:t>
      </w:r>
      <w:r w:rsidR="00160CA0" w:rsidRPr="00DC278B">
        <w:rPr>
          <w:rFonts w:ascii="Cambria" w:eastAsia="Times New Roman" w:hAnsi="Cambria"/>
          <w:sz w:val="20"/>
          <w:szCs w:val="20"/>
          <w:bdr w:val="none" w:sz="0" w:space="0" w:color="auto"/>
          <w:lang w:val="es-ES_tradnl"/>
        </w:rPr>
        <w:t>,</w:t>
      </w:r>
      <w:r w:rsidR="00B06C1C" w:rsidRPr="00DC278B">
        <w:rPr>
          <w:rFonts w:ascii="Cambria" w:eastAsia="Times New Roman" w:hAnsi="Cambria"/>
          <w:sz w:val="20"/>
          <w:szCs w:val="20"/>
          <w:bdr w:val="none" w:sz="0" w:space="0" w:color="auto"/>
          <w:lang w:val="es-ES_tradnl"/>
        </w:rPr>
        <w:t xml:space="preserve"> en virtud del artículo 38.1 de su Reglamento, fijó plazos de dos meses para que los peticionarios presentaran sus observaciones adicionales sobre el f</w:t>
      </w:r>
      <w:r w:rsidR="002878DF">
        <w:rPr>
          <w:rFonts w:ascii="Cambria" w:eastAsia="Times New Roman" w:hAnsi="Cambria"/>
          <w:sz w:val="20"/>
          <w:szCs w:val="20"/>
          <w:bdr w:val="none" w:sz="0" w:space="0" w:color="auto"/>
          <w:lang w:val="es-ES_tradnl"/>
        </w:rPr>
        <w:t xml:space="preserve">ondo en cada uno de los casos. </w:t>
      </w:r>
      <w:r w:rsidR="00B06C1C" w:rsidRPr="00DC278B">
        <w:rPr>
          <w:rFonts w:ascii="Cambria" w:eastAsia="Times New Roman" w:hAnsi="Cambria"/>
          <w:sz w:val="20"/>
          <w:szCs w:val="20"/>
          <w:bdr w:val="none" w:sz="0" w:space="0" w:color="auto"/>
          <w:lang w:val="es-ES_tradnl"/>
        </w:rPr>
        <w:t>Asimismo, de conformidad con el artículo 48.1.f) de la Convención, se puso a disposición de las partes a fin de llegar a una solu</w:t>
      </w:r>
      <w:r w:rsidR="00193B22">
        <w:rPr>
          <w:rFonts w:ascii="Cambria" w:eastAsia="Times New Roman" w:hAnsi="Cambria"/>
          <w:sz w:val="20"/>
          <w:szCs w:val="20"/>
          <w:bdr w:val="none" w:sz="0" w:space="0" w:color="auto"/>
          <w:lang w:val="es-ES_tradnl"/>
        </w:rPr>
        <w:t>ción amistosa en cada asunto.</w:t>
      </w:r>
    </w:p>
    <w:p w:rsidR="00B06C1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B06C1C" w:rsidRPr="00DC278B" w:rsidRDefault="00CD5E4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Entre enero</w:t>
      </w:r>
      <w:r w:rsidR="000333B4" w:rsidRPr="00DC278B">
        <w:rPr>
          <w:rFonts w:ascii="Cambria" w:eastAsia="Times New Roman" w:hAnsi="Cambria"/>
          <w:sz w:val="20"/>
          <w:szCs w:val="20"/>
          <w:bdr w:val="none" w:sz="0" w:space="0" w:color="auto"/>
          <w:lang w:val="es-ES_tradnl"/>
        </w:rPr>
        <w:t xml:space="preserve"> de 2006 y junio de 2007</w:t>
      </w:r>
      <w:r w:rsidRPr="00DC278B">
        <w:rPr>
          <w:rFonts w:ascii="Cambria" w:eastAsia="Times New Roman" w:hAnsi="Cambria"/>
          <w:sz w:val="20"/>
          <w:szCs w:val="20"/>
          <w:bdr w:val="none" w:sz="0" w:space="0" w:color="auto"/>
          <w:lang w:val="es-ES_tradnl"/>
        </w:rPr>
        <w:t xml:space="preserve"> las partes manifestaron su voluntad </w:t>
      </w:r>
      <w:r w:rsidR="00B06C1C" w:rsidRPr="00DC278B">
        <w:rPr>
          <w:rFonts w:ascii="Cambria" w:eastAsia="Times New Roman" w:hAnsi="Cambria"/>
          <w:sz w:val="20"/>
          <w:szCs w:val="20"/>
          <w:bdr w:val="none" w:sz="0" w:space="0" w:color="auto"/>
          <w:lang w:val="es-ES_tradnl"/>
        </w:rPr>
        <w:t>para participar en un proceso de solución amistosa</w:t>
      </w:r>
      <w:r w:rsidR="002C04F4" w:rsidRPr="00DC278B">
        <w:rPr>
          <w:rFonts w:ascii="Cambria" w:eastAsia="Times New Roman" w:hAnsi="Cambria"/>
          <w:sz w:val="20"/>
          <w:szCs w:val="20"/>
          <w:bdr w:val="none" w:sz="0" w:space="0" w:color="auto"/>
          <w:lang w:val="es-ES_tradnl"/>
        </w:rPr>
        <w:t>.</w:t>
      </w:r>
      <w:r w:rsidR="00B06C1C"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Sin embargo, como se indica más adelante y ante la falta de información concreta sobre avances en dicho proceso, la Comisión decidió continuar con el trámite de fondo. </w:t>
      </w:r>
    </w:p>
    <w:p w:rsidR="00DD4B1F" w:rsidRPr="00DC278B" w:rsidRDefault="00DD4B1F"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D4B1F" w:rsidRPr="00DC278B" w:rsidRDefault="000333B4"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8 de abril de 2008</w:t>
      </w:r>
      <w:r w:rsidR="00DD4B1F" w:rsidRPr="00DC278B">
        <w:rPr>
          <w:rFonts w:ascii="Cambria" w:eastAsia="Times New Roman" w:hAnsi="Cambria"/>
          <w:sz w:val="20"/>
          <w:szCs w:val="20"/>
          <w:bdr w:val="none" w:sz="0" w:space="0" w:color="auto"/>
          <w:lang w:val="es-ES_tradnl"/>
        </w:rPr>
        <w:t xml:space="preserve"> la Comisión decidió acumular los casos No 12.522 (Lucía Morales </w:t>
      </w:r>
      <w:proofErr w:type="spellStart"/>
      <w:r w:rsidR="00DD4B1F" w:rsidRPr="00DC278B">
        <w:rPr>
          <w:rFonts w:ascii="Cambria" w:eastAsia="Times New Roman" w:hAnsi="Cambria"/>
          <w:sz w:val="20"/>
          <w:szCs w:val="20"/>
          <w:bdr w:val="none" w:sz="0" w:space="0" w:color="auto"/>
          <w:lang w:val="es-ES_tradnl"/>
        </w:rPr>
        <w:t>Compagnon</w:t>
      </w:r>
      <w:proofErr w:type="spellEnd"/>
      <w:r w:rsidR="00DD4B1F" w:rsidRPr="00DC278B">
        <w:rPr>
          <w:rFonts w:ascii="Cambria" w:eastAsia="Times New Roman" w:hAnsi="Cambria"/>
          <w:sz w:val="20"/>
          <w:szCs w:val="20"/>
          <w:bdr w:val="none" w:sz="0" w:space="0" w:color="auto"/>
          <w:lang w:val="es-ES_tradnl"/>
        </w:rPr>
        <w:t xml:space="preserve"> y otros) y No 12.523 (Alina María Barraza y otros) al caso No 12.521 (María Laura Órdenes Guerra y otros), en aplicación del artículo 29.1.d) de su Reglamento vigente en ese momento, dado que versan sobre hechos similares.</w:t>
      </w:r>
    </w:p>
    <w:p w:rsidR="00DD4B1F" w:rsidRPr="00DC278B" w:rsidRDefault="00DD4B1F"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B06C1C" w:rsidRPr="00DC278B" w:rsidRDefault="00A7776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w:t>
      </w:r>
      <w:r w:rsidR="00B06C1C" w:rsidRPr="00DC278B">
        <w:rPr>
          <w:rFonts w:ascii="Cambria" w:eastAsia="Times New Roman" w:hAnsi="Cambria"/>
          <w:sz w:val="20"/>
          <w:szCs w:val="20"/>
          <w:bdr w:val="none" w:sz="0" w:space="0" w:color="auto"/>
          <w:lang w:val="es-ES_tradnl"/>
        </w:rPr>
        <w:t>l 29 de mayo de 2008 la CIDH reiteró a los peticionarios su solicitud de observaciones adicionales sobre el fondo.</w:t>
      </w:r>
      <w:r w:rsidR="00193B22">
        <w:rPr>
          <w:rFonts w:ascii="Cambria" w:eastAsia="Times New Roman" w:hAnsi="Cambria"/>
          <w:sz w:val="20"/>
          <w:szCs w:val="20"/>
          <w:bdr w:val="none" w:sz="0" w:space="0" w:color="auto"/>
          <w:lang w:val="es-ES_tradnl"/>
        </w:rPr>
        <w:t xml:space="preserve"> </w:t>
      </w:r>
      <w:r w:rsidR="00B06C1C" w:rsidRPr="00DC278B">
        <w:rPr>
          <w:rFonts w:ascii="Cambria" w:eastAsia="Times New Roman" w:hAnsi="Cambria"/>
          <w:sz w:val="20"/>
          <w:szCs w:val="20"/>
          <w:bdr w:val="none" w:sz="0" w:space="0" w:color="auto"/>
          <w:lang w:val="es-ES_tradnl"/>
        </w:rPr>
        <w:t>El 17 de junio de 2008 el peticionario solicitó a la CIDH que proceda co</w:t>
      </w:r>
      <w:r w:rsidR="000A7EA7" w:rsidRPr="00DC278B">
        <w:rPr>
          <w:rFonts w:ascii="Cambria" w:eastAsia="Times New Roman" w:hAnsi="Cambria"/>
          <w:sz w:val="20"/>
          <w:szCs w:val="20"/>
          <w:bdr w:val="none" w:sz="0" w:space="0" w:color="auto"/>
          <w:lang w:val="es-ES_tradnl"/>
        </w:rPr>
        <w:t>n el examen de fondo del asunto</w:t>
      </w:r>
      <w:r w:rsidR="00193B22">
        <w:rPr>
          <w:rFonts w:ascii="Cambria" w:eastAsia="Times New Roman" w:hAnsi="Cambria"/>
          <w:sz w:val="20"/>
          <w:szCs w:val="20"/>
          <w:bdr w:val="none" w:sz="0" w:space="0" w:color="auto"/>
          <w:lang w:val="es-ES_tradnl"/>
        </w:rPr>
        <w:t>.</w:t>
      </w:r>
      <w:r w:rsidR="00B06C1C" w:rsidRPr="00DC278B">
        <w:rPr>
          <w:rFonts w:ascii="Cambria" w:eastAsia="Times New Roman" w:hAnsi="Cambria"/>
          <w:sz w:val="20"/>
          <w:szCs w:val="20"/>
          <w:bdr w:val="none" w:sz="0" w:space="0" w:color="auto"/>
          <w:lang w:val="es-ES_tradnl"/>
        </w:rPr>
        <w:t xml:space="preserve"> El 21 de noviembre de 2008, el Estado presentó sus observaciones sobre los </w:t>
      </w:r>
      <w:r w:rsidR="000A7EA7" w:rsidRPr="00DC278B">
        <w:rPr>
          <w:rFonts w:ascii="Cambria" w:eastAsia="Times New Roman" w:hAnsi="Cambria"/>
          <w:sz w:val="20"/>
          <w:szCs w:val="20"/>
          <w:bdr w:val="none" w:sz="0" w:space="0" w:color="auto"/>
          <w:lang w:val="es-ES_tradnl"/>
        </w:rPr>
        <w:t>cuatro</w:t>
      </w:r>
      <w:r w:rsidR="00B06C1C" w:rsidRPr="00DC278B">
        <w:rPr>
          <w:rFonts w:ascii="Cambria" w:eastAsia="Times New Roman" w:hAnsi="Cambria"/>
          <w:sz w:val="20"/>
          <w:szCs w:val="20"/>
          <w:bdr w:val="none" w:sz="0" w:space="0" w:color="auto"/>
          <w:lang w:val="es-ES_tradnl"/>
        </w:rPr>
        <w:t xml:space="preserve"> casos, las cuales fuero</w:t>
      </w:r>
      <w:r w:rsidR="00193B22">
        <w:rPr>
          <w:rFonts w:ascii="Cambria" w:eastAsia="Times New Roman" w:hAnsi="Cambria"/>
          <w:sz w:val="20"/>
          <w:szCs w:val="20"/>
          <w:bdr w:val="none" w:sz="0" w:space="0" w:color="auto"/>
          <w:lang w:val="es-ES_tradnl"/>
        </w:rPr>
        <w:t xml:space="preserve">n trasladadas al peticionario. </w:t>
      </w:r>
      <w:r w:rsidR="00B06C1C" w:rsidRPr="00DC278B">
        <w:rPr>
          <w:rFonts w:ascii="Cambria" w:eastAsia="Times New Roman" w:hAnsi="Cambria"/>
          <w:sz w:val="20"/>
          <w:szCs w:val="20"/>
          <w:bdr w:val="none" w:sz="0" w:space="0" w:color="auto"/>
          <w:lang w:val="es-ES_tradnl"/>
        </w:rPr>
        <w:t>El 23 de febrero de 2009 el peticionar</w:t>
      </w:r>
      <w:r w:rsidR="00193B22">
        <w:rPr>
          <w:rFonts w:ascii="Cambria" w:eastAsia="Times New Roman" w:hAnsi="Cambria"/>
          <w:sz w:val="20"/>
          <w:szCs w:val="20"/>
          <w:bdr w:val="none" w:sz="0" w:space="0" w:color="auto"/>
          <w:lang w:val="es-ES_tradnl"/>
        </w:rPr>
        <w:t xml:space="preserve">io presentó sus observaciones. </w:t>
      </w:r>
    </w:p>
    <w:p w:rsidR="00B06C1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C533FC" w:rsidRPr="00DC278B" w:rsidRDefault="00B06C1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21 de marzo de 2009, en el 134º Periodo de Sesiones de la CIDH</w:t>
      </w:r>
      <w:r w:rsidR="00634931"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se llevó a cabo una audiencia sobre los casos No. 12.520 y 12.521, en la cual las partes expusieron sus observaciones adicionales sobre </w:t>
      </w:r>
      <w:r w:rsidR="00193B22">
        <w:rPr>
          <w:rFonts w:ascii="Cambria" w:eastAsia="Times New Roman" w:hAnsi="Cambria"/>
          <w:sz w:val="20"/>
          <w:szCs w:val="20"/>
          <w:bdr w:val="none" w:sz="0" w:space="0" w:color="auto"/>
          <w:lang w:val="es-ES_tradnl"/>
        </w:rPr>
        <w:t>el fondo</w:t>
      </w:r>
      <w:r w:rsidRPr="00DC278B">
        <w:rPr>
          <w:rFonts w:ascii="Cambria" w:eastAsia="Times New Roman" w:hAnsi="Cambria"/>
          <w:sz w:val="20"/>
          <w:szCs w:val="20"/>
          <w:bdr w:val="none" w:sz="0" w:space="0" w:color="auto"/>
          <w:lang w:val="es-ES_tradnl"/>
        </w:rPr>
        <w:t xml:space="preserve"> del caso y el peticionario presentó información adicional, l</w:t>
      </w:r>
      <w:r w:rsidR="00160CA0" w:rsidRPr="00DC278B">
        <w:rPr>
          <w:rFonts w:ascii="Cambria" w:eastAsia="Times New Roman" w:hAnsi="Cambria"/>
          <w:sz w:val="20"/>
          <w:szCs w:val="20"/>
          <w:bdr w:val="none" w:sz="0" w:space="0" w:color="auto"/>
          <w:lang w:val="es-ES_tradnl"/>
        </w:rPr>
        <w:t>a cual fue trasladada al Estado</w:t>
      </w:r>
      <w:r w:rsidR="00193B22">
        <w:rPr>
          <w:rFonts w:ascii="Cambria" w:eastAsia="Times New Roman" w:hAnsi="Cambria"/>
          <w:sz w:val="20"/>
          <w:szCs w:val="20"/>
          <w:bdr w:val="none" w:sz="0" w:space="0" w:color="auto"/>
          <w:lang w:val="es-ES_tradnl"/>
        </w:rPr>
        <w:t xml:space="preserve"> el 6 de abril de 2009.</w:t>
      </w:r>
    </w:p>
    <w:p w:rsidR="00C533FC" w:rsidRPr="00DC278B" w:rsidRDefault="00C533FC" w:rsidP="00DC278B">
      <w:pPr>
        <w:pStyle w:val="MediumGrid1-Accent21"/>
        <w:rPr>
          <w:rFonts w:eastAsia="Times New Roman"/>
          <w:color w:val="auto"/>
          <w:sz w:val="20"/>
          <w:szCs w:val="20"/>
          <w:bdr w:val="none" w:sz="0" w:space="0" w:color="auto"/>
          <w:lang w:val="es-ES_tradnl"/>
        </w:rPr>
      </w:pPr>
    </w:p>
    <w:p w:rsidR="00C533FC" w:rsidRPr="00DC278B" w:rsidRDefault="00160CA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30 de abril de 2009</w:t>
      </w:r>
      <w:r w:rsidR="00B06C1C" w:rsidRPr="00DC278B">
        <w:rPr>
          <w:rFonts w:ascii="Cambria" w:eastAsia="Times New Roman" w:hAnsi="Cambria"/>
          <w:sz w:val="20"/>
          <w:szCs w:val="20"/>
          <w:bdr w:val="none" w:sz="0" w:space="0" w:color="auto"/>
          <w:lang w:val="es-ES_tradnl"/>
        </w:rPr>
        <w:t xml:space="preserve"> la Comisión comunicó a las partes su decisión de acumular el</w:t>
      </w:r>
      <w:r w:rsidR="007A17E4" w:rsidRPr="00DC278B">
        <w:rPr>
          <w:rFonts w:ascii="Cambria" w:eastAsia="Times New Roman" w:hAnsi="Cambria"/>
          <w:sz w:val="20"/>
          <w:szCs w:val="20"/>
          <w:bdr w:val="none" w:sz="0" w:space="0" w:color="auto"/>
          <w:lang w:val="es-ES_tradnl"/>
        </w:rPr>
        <w:t xml:space="preserve"> caso No. 12.520 (Mario Melo </w:t>
      </w:r>
      <w:proofErr w:type="spellStart"/>
      <w:r w:rsidR="007A17E4" w:rsidRPr="00DC278B">
        <w:rPr>
          <w:rFonts w:ascii="Cambria" w:eastAsia="Times New Roman" w:hAnsi="Cambria"/>
          <w:sz w:val="20"/>
          <w:szCs w:val="20"/>
          <w:bdr w:val="none" w:sz="0" w:space="0" w:color="auto"/>
          <w:lang w:val="es-ES_tradnl"/>
        </w:rPr>
        <w:t>Pra</w:t>
      </w:r>
      <w:r w:rsidR="00B06C1C" w:rsidRPr="00DC278B">
        <w:rPr>
          <w:rFonts w:ascii="Cambria" w:eastAsia="Times New Roman" w:hAnsi="Cambria"/>
          <w:sz w:val="20"/>
          <w:szCs w:val="20"/>
          <w:bdr w:val="none" w:sz="0" w:space="0" w:color="auto"/>
          <w:lang w:val="es-ES_tradnl"/>
        </w:rPr>
        <w:t>denas</w:t>
      </w:r>
      <w:proofErr w:type="spellEnd"/>
      <w:r w:rsidR="00B06C1C" w:rsidRPr="00DC278B">
        <w:rPr>
          <w:rFonts w:ascii="Cambria" w:eastAsia="Times New Roman" w:hAnsi="Cambria"/>
          <w:sz w:val="20"/>
          <w:szCs w:val="20"/>
          <w:bdr w:val="none" w:sz="0" w:space="0" w:color="auto"/>
          <w:lang w:val="es-ES_tradnl"/>
        </w:rPr>
        <w:t xml:space="preserve"> y ot</w:t>
      </w:r>
      <w:r w:rsidR="00E07F44" w:rsidRPr="00DC278B">
        <w:rPr>
          <w:rFonts w:ascii="Cambria" w:eastAsia="Times New Roman" w:hAnsi="Cambria"/>
          <w:sz w:val="20"/>
          <w:szCs w:val="20"/>
          <w:bdr w:val="none" w:sz="0" w:space="0" w:color="auto"/>
          <w:lang w:val="es-ES_tradnl"/>
        </w:rPr>
        <w:t>ros) al caso No. 12.521 (María Ó</w:t>
      </w:r>
      <w:r w:rsidR="00B06C1C" w:rsidRPr="00DC278B">
        <w:rPr>
          <w:rFonts w:ascii="Cambria" w:eastAsia="Times New Roman" w:hAnsi="Cambria"/>
          <w:sz w:val="20"/>
          <w:szCs w:val="20"/>
          <w:bdr w:val="none" w:sz="0" w:space="0" w:color="auto"/>
          <w:lang w:val="es-ES_tradnl"/>
        </w:rPr>
        <w:t xml:space="preserve">rdenes Guerra y otros), en base al artículo 29.1.d) de su Reglamento, por referirse a hechos similares. </w:t>
      </w:r>
    </w:p>
    <w:p w:rsidR="00C533FC" w:rsidRPr="00DC278B" w:rsidRDefault="00C533FC" w:rsidP="00DC278B">
      <w:pPr>
        <w:pStyle w:val="MediumGrid1-Accent21"/>
        <w:rPr>
          <w:rFonts w:eastAsia="Times New Roman"/>
          <w:color w:val="auto"/>
          <w:sz w:val="20"/>
          <w:szCs w:val="20"/>
          <w:bdr w:val="none" w:sz="0" w:space="0" w:color="auto"/>
          <w:lang w:val="es-ES_tradnl"/>
        </w:rPr>
      </w:pPr>
    </w:p>
    <w:p w:rsidR="00B06C1C" w:rsidRPr="00DC278B" w:rsidRDefault="00160CA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4 de enero de 2012</w:t>
      </w:r>
      <w:r w:rsidR="00C533FC" w:rsidRPr="00DC278B">
        <w:rPr>
          <w:rFonts w:ascii="Cambria" w:eastAsia="Times New Roman" w:hAnsi="Cambria"/>
          <w:sz w:val="20"/>
          <w:szCs w:val="20"/>
          <w:bdr w:val="none" w:sz="0" w:space="0" w:color="auto"/>
          <w:lang w:val="es-ES_tradnl"/>
        </w:rPr>
        <w:t xml:space="preserve"> la CIDH recibió información respecto a dos de lo</w:t>
      </w:r>
      <w:r w:rsidR="00847AD3" w:rsidRPr="00DC278B">
        <w:rPr>
          <w:rFonts w:ascii="Cambria" w:eastAsia="Times New Roman" w:hAnsi="Cambria"/>
          <w:sz w:val="20"/>
          <w:szCs w:val="20"/>
          <w:bdr w:val="none" w:sz="0" w:space="0" w:color="auto"/>
          <w:lang w:val="es-ES_tradnl"/>
        </w:rPr>
        <w:t xml:space="preserve">s hijos de Hipólito Pedro </w:t>
      </w:r>
      <w:r w:rsidR="00516BD4" w:rsidRPr="00DC278B">
        <w:rPr>
          <w:rFonts w:ascii="Cambria" w:eastAsia="Times New Roman" w:hAnsi="Cambria"/>
          <w:sz w:val="20"/>
          <w:szCs w:val="20"/>
          <w:bdr w:val="none" w:sz="0" w:space="0" w:color="auto"/>
          <w:lang w:val="es-ES_tradnl"/>
        </w:rPr>
        <w:t>Cortés</w:t>
      </w:r>
      <w:r w:rsidR="00C533FC" w:rsidRPr="00DC278B">
        <w:rPr>
          <w:rFonts w:ascii="Cambria" w:eastAsia="Times New Roman" w:hAnsi="Cambria"/>
          <w:sz w:val="20"/>
          <w:szCs w:val="20"/>
          <w:bdr w:val="none" w:sz="0" w:space="0" w:color="auto"/>
          <w:lang w:val="es-ES_tradnl"/>
        </w:rPr>
        <w:t xml:space="preserve"> Álvarez, solicitando ser considerados en el trámite del reclamo ante la Comisión.</w:t>
      </w:r>
    </w:p>
    <w:p w:rsidR="00B06C1C" w:rsidRPr="00DC278B" w:rsidRDefault="00B06C1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B06C1C" w:rsidRPr="00DC278B" w:rsidRDefault="00B06C1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21 de febre</w:t>
      </w:r>
      <w:r w:rsidR="00160CA0" w:rsidRPr="00DC278B">
        <w:rPr>
          <w:rFonts w:ascii="Cambria" w:eastAsia="Times New Roman" w:hAnsi="Cambria"/>
          <w:sz w:val="20"/>
          <w:szCs w:val="20"/>
          <w:bdr w:val="none" w:sz="0" w:space="0" w:color="auto"/>
          <w:lang w:val="es-ES_tradnl"/>
        </w:rPr>
        <w:t>ro de 2013</w:t>
      </w:r>
      <w:r w:rsidR="002F225F" w:rsidRPr="00DC278B">
        <w:rPr>
          <w:rFonts w:ascii="Cambria" w:eastAsia="Times New Roman" w:hAnsi="Cambria"/>
          <w:sz w:val="20"/>
          <w:szCs w:val="20"/>
          <w:bdr w:val="none" w:sz="0" w:space="0" w:color="auto"/>
          <w:lang w:val="es-ES_tradnl"/>
        </w:rPr>
        <w:t xml:space="preserve"> la Comisión solicitó</w:t>
      </w:r>
      <w:r w:rsidRPr="00DC278B">
        <w:rPr>
          <w:rFonts w:ascii="Cambria" w:eastAsia="Times New Roman" w:hAnsi="Cambria"/>
          <w:sz w:val="20"/>
          <w:szCs w:val="20"/>
          <w:bdr w:val="none" w:sz="0" w:space="0" w:color="auto"/>
          <w:lang w:val="es-ES_tradnl"/>
        </w:rPr>
        <w:t xml:space="preserve"> al peticionario la remisión de los datos de los familiares de las presuntas ví</w:t>
      </w:r>
      <w:r w:rsidR="00FA7864">
        <w:rPr>
          <w:rFonts w:ascii="Cambria" w:eastAsia="Times New Roman" w:hAnsi="Cambria"/>
          <w:sz w:val="20"/>
          <w:szCs w:val="20"/>
          <w:bdr w:val="none" w:sz="0" w:space="0" w:color="auto"/>
          <w:lang w:val="es-ES_tradnl"/>
        </w:rPr>
        <w:t xml:space="preserve">ctimas. </w:t>
      </w:r>
      <w:r w:rsidR="00160CA0" w:rsidRPr="00DC278B">
        <w:rPr>
          <w:rFonts w:ascii="Cambria" w:eastAsia="Times New Roman" w:hAnsi="Cambria"/>
          <w:sz w:val="20"/>
          <w:szCs w:val="20"/>
          <w:bdr w:val="none" w:sz="0" w:space="0" w:color="auto"/>
          <w:lang w:val="es-ES_tradnl"/>
        </w:rPr>
        <w:t>El 21 de marzo de 2013</w:t>
      </w:r>
      <w:r w:rsidRPr="00DC278B">
        <w:rPr>
          <w:rFonts w:ascii="Cambria" w:eastAsia="Times New Roman" w:hAnsi="Cambria"/>
          <w:sz w:val="20"/>
          <w:szCs w:val="20"/>
          <w:bdr w:val="none" w:sz="0" w:space="0" w:color="auto"/>
          <w:lang w:val="es-ES_tradnl"/>
        </w:rPr>
        <w:t xml:space="preserve"> el peticionario solici</w:t>
      </w:r>
      <w:r w:rsidR="002F225F" w:rsidRPr="00DC278B">
        <w:rPr>
          <w:rFonts w:ascii="Cambria" w:eastAsia="Times New Roman" w:hAnsi="Cambria"/>
          <w:sz w:val="20"/>
          <w:szCs w:val="20"/>
          <w:bdr w:val="none" w:sz="0" w:space="0" w:color="auto"/>
          <w:lang w:val="es-ES_tradnl"/>
        </w:rPr>
        <w:t>tó</w:t>
      </w:r>
      <w:r w:rsidRPr="00DC278B">
        <w:rPr>
          <w:rFonts w:ascii="Cambria" w:eastAsia="Times New Roman" w:hAnsi="Cambria"/>
          <w:sz w:val="20"/>
          <w:szCs w:val="20"/>
          <w:bdr w:val="none" w:sz="0" w:space="0" w:color="auto"/>
          <w:lang w:val="es-ES_tradnl"/>
        </w:rPr>
        <w:t xml:space="preserve"> una prórroga a fin de aportar los da</w:t>
      </w:r>
      <w:r w:rsidR="00E07F44" w:rsidRPr="00DC278B">
        <w:rPr>
          <w:rFonts w:ascii="Cambria" w:eastAsia="Times New Roman" w:hAnsi="Cambria"/>
          <w:sz w:val="20"/>
          <w:szCs w:val="20"/>
          <w:bdr w:val="none" w:sz="0" w:space="0" w:color="auto"/>
          <w:lang w:val="es-ES_tradnl"/>
        </w:rPr>
        <w:t>tos de los familiares de María Ó</w:t>
      </w:r>
      <w:r w:rsidRPr="00DC278B">
        <w:rPr>
          <w:rFonts w:ascii="Cambria" w:eastAsia="Times New Roman" w:hAnsi="Cambria"/>
          <w:sz w:val="20"/>
          <w:szCs w:val="20"/>
          <w:bdr w:val="none" w:sz="0" w:space="0" w:color="auto"/>
          <w:lang w:val="es-ES_tradnl"/>
        </w:rPr>
        <w:t>rdenes Guerra, la cual fue otorgada por la CIDH el 9 de julio de 2013 por un mes.</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bookmarkStart w:id="6" w:name="_Toc338425800"/>
    </w:p>
    <w:p w:rsidR="004B316C" w:rsidRPr="00DC278B" w:rsidRDefault="004B316C" w:rsidP="00DC278B">
      <w:pPr>
        <w:pStyle w:val="Heading1"/>
      </w:pPr>
      <w:bookmarkStart w:id="7" w:name="_Toc413397462"/>
      <w:r w:rsidRPr="00DC278B">
        <w:t>POSICIONES DE LAS PARTES SOBRE EL FONDO</w:t>
      </w:r>
      <w:bookmarkEnd w:id="6"/>
      <w:bookmarkEnd w:id="7"/>
      <w:r w:rsidRPr="00DC278B">
        <w:t xml:space="preserve"> </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F74FD" w:rsidRPr="00DC278B" w:rsidRDefault="00FE45EF" w:rsidP="00DC278B">
      <w:pPr>
        <w:pStyle w:val="Heading2"/>
      </w:pPr>
      <w:bookmarkStart w:id="8" w:name="_Toc338425801"/>
      <w:bookmarkStart w:id="9" w:name="_Toc413397463"/>
      <w:r w:rsidRPr="00DC278B">
        <w:t>A.</w:t>
      </w:r>
      <w:r w:rsidRPr="00DC278B">
        <w:tab/>
        <w:t>Posición del</w:t>
      </w:r>
      <w:r w:rsidR="004B316C" w:rsidRPr="00DC278B">
        <w:t xml:space="preserve"> peticionario</w:t>
      </w:r>
      <w:bookmarkEnd w:id="8"/>
      <w:bookmarkEnd w:id="9"/>
      <w:r w:rsidR="004B316C" w:rsidRPr="00DC278B">
        <w:t xml:space="preserve">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A442B" w:rsidRPr="00DC278B" w:rsidRDefault="00DA442B" w:rsidP="00DC278B">
      <w:pPr>
        <w:pStyle w:val="Heading3"/>
        <w:spacing w:before="0"/>
        <w:ind w:left="720"/>
        <w:rPr>
          <w:color w:val="auto"/>
          <w:sz w:val="20"/>
          <w:szCs w:val="20"/>
          <w:bdr w:val="none" w:sz="0" w:space="0" w:color="auto"/>
          <w:lang w:val="es-ES_tradnl"/>
        </w:rPr>
      </w:pPr>
      <w:bookmarkStart w:id="10" w:name="_Toc413397468"/>
      <w:r w:rsidRPr="00DC278B">
        <w:rPr>
          <w:color w:val="auto"/>
          <w:sz w:val="20"/>
          <w:szCs w:val="20"/>
          <w:bdr w:val="none" w:sz="0" w:space="0" w:color="auto"/>
          <w:lang w:val="es-ES_tradnl"/>
        </w:rPr>
        <w:t>Alegatos generales</w:t>
      </w:r>
      <w:bookmarkEnd w:id="10"/>
    </w:p>
    <w:p w:rsidR="00DA442B" w:rsidRPr="00DC278B" w:rsidRDefault="00DA442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A442B" w:rsidRPr="00DC278B" w:rsidRDefault="00DA442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peticionario alega que</w:t>
      </w:r>
      <w:r w:rsidR="0024609E" w:rsidRPr="00DC278B">
        <w:rPr>
          <w:rFonts w:ascii="Cambria" w:eastAsia="Times New Roman" w:hAnsi="Cambria"/>
          <w:sz w:val="20"/>
          <w:szCs w:val="20"/>
          <w:bdr w:val="none" w:sz="0" w:space="0" w:color="auto"/>
          <w:lang w:val="es-ES_tradnl"/>
        </w:rPr>
        <w:t xml:space="preserve"> en todos los casos se cometieron crímenes de lesa humanidad – secuestro seguido de asesinato </w:t>
      </w:r>
      <w:r w:rsidR="00537F8A" w:rsidRPr="00DC278B">
        <w:rPr>
          <w:rFonts w:ascii="Cambria" w:eastAsia="Times New Roman" w:hAnsi="Cambria"/>
          <w:sz w:val="20"/>
          <w:szCs w:val="20"/>
          <w:bdr w:val="none" w:sz="0" w:space="0" w:color="auto"/>
          <w:lang w:val="es-ES_tradnl"/>
        </w:rPr>
        <w:t>o</w:t>
      </w:r>
      <w:r w:rsidR="0024609E" w:rsidRPr="00DC278B">
        <w:rPr>
          <w:rFonts w:ascii="Cambria" w:eastAsia="Times New Roman" w:hAnsi="Cambria"/>
          <w:sz w:val="20"/>
          <w:szCs w:val="20"/>
          <w:bdr w:val="none" w:sz="0" w:space="0" w:color="auto"/>
          <w:lang w:val="es-ES_tradnl"/>
        </w:rPr>
        <w:t xml:space="preserve"> desaparición forzada </w:t>
      </w:r>
      <w:r w:rsidR="00431645" w:rsidRPr="00DC278B">
        <w:rPr>
          <w:rFonts w:ascii="Cambria" w:eastAsia="Times New Roman" w:hAnsi="Cambria"/>
          <w:sz w:val="20"/>
          <w:szCs w:val="20"/>
          <w:bdr w:val="none" w:sz="0" w:space="0" w:color="auto"/>
          <w:lang w:val="es-ES_tradnl"/>
        </w:rPr>
        <w:t xml:space="preserve">– </w:t>
      </w:r>
      <w:r w:rsidR="0077707F" w:rsidRPr="00DC278B">
        <w:rPr>
          <w:rFonts w:ascii="Cambria" w:eastAsia="Times New Roman" w:hAnsi="Cambria"/>
          <w:sz w:val="20"/>
          <w:szCs w:val="20"/>
          <w:bdr w:val="none" w:sz="0" w:space="0" w:color="auto"/>
          <w:lang w:val="es-ES_tradnl"/>
        </w:rPr>
        <w:t xml:space="preserve">cometidos por las fuerzas de seguridad del Estado durante la dictadura militar. </w:t>
      </w:r>
      <w:r w:rsidR="00FA384C" w:rsidRPr="00DC278B">
        <w:rPr>
          <w:rFonts w:ascii="Cambria" w:eastAsia="Times New Roman" w:hAnsi="Cambria"/>
          <w:sz w:val="20"/>
          <w:szCs w:val="20"/>
          <w:bdr w:val="none" w:sz="0" w:space="0" w:color="auto"/>
          <w:lang w:val="es-ES_tradnl"/>
        </w:rPr>
        <w:t xml:space="preserve">Indica que se </w:t>
      </w:r>
      <w:r w:rsidR="0024609E" w:rsidRPr="00DC278B">
        <w:rPr>
          <w:rFonts w:ascii="Cambria" w:eastAsia="Times New Roman" w:hAnsi="Cambria"/>
          <w:sz w:val="20"/>
          <w:szCs w:val="20"/>
          <w:bdr w:val="none" w:sz="0" w:space="0" w:color="auto"/>
          <w:lang w:val="es-ES_tradnl"/>
        </w:rPr>
        <w:t>interpusieron acciones civiles de reparación pecuniaria</w:t>
      </w:r>
      <w:r w:rsidR="006E5BA8" w:rsidRPr="00DC278B">
        <w:rPr>
          <w:rFonts w:ascii="Cambria" w:eastAsia="Times New Roman" w:hAnsi="Cambria"/>
          <w:sz w:val="20"/>
          <w:szCs w:val="20"/>
          <w:bdr w:val="none" w:sz="0" w:space="0" w:color="auto"/>
          <w:lang w:val="es-ES_tradnl"/>
        </w:rPr>
        <w:t xml:space="preserve"> contra el Estado,</w:t>
      </w:r>
      <w:r w:rsidR="009B58EB" w:rsidRPr="00DC278B">
        <w:rPr>
          <w:rFonts w:ascii="Cambria" w:eastAsia="Times New Roman" w:hAnsi="Cambria"/>
          <w:sz w:val="20"/>
          <w:szCs w:val="20"/>
          <w:bdr w:val="none" w:sz="0" w:space="0" w:color="auto"/>
          <w:lang w:val="es-ES_tradnl"/>
        </w:rPr>
        <w:t xml:space="preserve"> las cuales fueron rechazas en aplicación del periodo de prescripci</w:t>
      </w:r>
      <w:r w:rsidR="001352D9" w:rsidRPr="00DC278B">
        <w:rPr>
          <w:rFonts w:ascii="Cambria" w:eastAsia="Times New Roman" w:hAnsi="Cambria"/>
          <w:sz w:val="20"/>
          <w:szCs w:val="20"/>
          <w:bdr w:val="none" w:sz="0" w:space="0" w:color="auto"/>
          <w:lang w:val="es-ES_tradnl"/>
        </w:rPr>
        <w:t xml:space="preserve">ón establecido en el Código Civil. </w:t>
      </w:r>
    </w:p>
    <w:p w:rsidR="00DA442B" w:rsidRPr="00DC278B" w:rsidRDefault="00DA442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A442B" w:rsidRPr="00DC278B" w:rsidRDefault="00DA442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peticionario </w:t>
      </w:r>
      <w:r w:rsidR="00E61B3B" w:rsidRPr="00DC278B">
        <w:rPr>
          <w:rFonts w:ascii="Cambria" w:eastAsia="Times New Roman" w:hAnsi="Cambria"/>
          <w:sz w:val="20"/>
          <w:szCs w:val="20"/>
          <w:bdr w:val="none" w:sz="0" w:space="0" w:color="auto"/>
          <w:lang w:val="es-ES_tradnl"/>
        </w:rPr>
        <w:t xml:space="preserve">argumenta </w:t>
      </w:r>
      <w:r w:rsidRPr="00DC278B">
        <w:rPr>
          <w:rFonts w:ascii="Cambria" w:eastAsia="Times New Roman" w:hAnsi="Cambria"/>
          <w:sz w:val="20"/>
          <w:szCs w:val="20"/>
          <w:bdr w:val="none" w:sz="0" w:space="0" w:color="auto"/>
          <w:lang w:val="es-ES_tradnl"/>
        </w:rPr>
        <w:t>que los casos presentados en las peticiones son crímenes de lesa humanidad, por lo que las acciones civiles y penales son imprescriptibles</w:t>
      </w:r>
      <w:r w:rsidR="00C930A7" w:rsidRPr="00DC278B">
        <w:rPr>
          <w:rFonts w:ascii="Cambria" w:eastAsia="Times New Roman" w:hAnsi="Cambria"/>
          <w:sz w:val="20"/>
          <w:szCs w:val="20"/>
          <w:bdr w:val="none" w:sz="0" w:space="0" w:color="auto"/>
          <w:lang w:val="es-ES_tradnl"/>
        </w:rPr>
        <w:t xml:space="preserve"> bajo el derecho internacional</w:t>
      </w:r>
      <w:r w:rsidRPr="00DC278B">
        <w:rPr>
          <w:rFonts w:ascii="Cambria" w:eastAsia="Times New Roman" w:hAnsi="Cambria"/>
          <w:sz w:val="20"/>
          <w:szCs w:val="20"/>
          <w:bdr w:val="none" w:sz="0" w:space="0" w:color="auto"/>
          <w:lang w:val="es-ES_tradnl"/>
        </w:rPr>
        <w:t>. Al respecto, argumentó que la aplicación de la prescripción a crímenes de lesa humanidad es contraria a los derechos a la protección judicial y a las garantías judiciales. Asimismo, argumenta que la aplicación de la prescripción es contraria a la obligación de adoptar medidas de derecho interno, prevista en el artículo</w:t>
      </w:r>
      <w:r w:rsidR="00FA7864">
        <w:rPr>
          <w:rFonts w:ascii="Cambria" w:eastAsia="Times New Roman" w:hAnsi="Cambria"/>
          <w:sz w:val="20"/>
          <w:szCs w:val="20"/>
          <w:bdr w:val="none" w:sz="0" w:space="0" w:color="auto"/>
          <w:lang w:val="es-ES_tradnl"/>
        </w:rPr>
        <w:t xml:space="preserve"> 2 de la Convención Americana. A</w:t>
      </w:r>
      <w:r w:rsidRPr="00DC278B">
        <w:rPr>
          <w:rFonts w:ascii="Cambria" w:eastAsia="Times New Roman" w:hAnsi="Cambria"/>
          <w:sz w:val="20"/>
          <w:szCs w:val="20"/>
          <w:bdr w:val="none" w:sz="0" w:space="0" w:color="auto"/>
          <w:lang w:val="es-ES_tradnl"/>
        </w:rPr>
        <w:t xml:space="preserve">l respecto, alega que una norma consuetudinaria establece que el Estado que firma un tratado debe adoptar medidas de derecho interno para adecuar su legislación a sus obligaciones internacionales. En sentido similar, alega que la aplicación de la prescripción también desconoce el artículo 27 de la Convención de Viena sobre el Derecho de los Tratados, que establece que los Estados no pueden invocar normas de derecho interno como justificación del incumplimiento de un tratado internacional. </w:t>
      </w:r>
    </w:p>
    <w:p w:rsidR="00DA442B" w:rsidRPr="00DC278B" w:rsidRDefault="00DA442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A442B" w:rsidRPr="00DC278B" w:rsidRDefault="00DA442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 relación con la obligación de reparar prevista en el artículo 1.1 de la Convención Americana, el peticionario alega que las pensiones y bonos de compensación otorgadas a las presuntas víctimas son pagos asistenciales que no podrían sustituir una autentica indemnizació</w:t>
      </w:r>
      <w:r w:rsidR="00FA7864">
        <w:rPr>
          <w:rFonts w:ascii="Cambria" w:eastAsia="Times New Roman" w:hAnsi="Cambria"/>
          <w:sz w:val="20"/>
          <w:szCs w:val="20"/>
          <w:bdr w:val="none" w:sz="0" w:space="0" w:color="auto"/>
          <w:lang w:val="es-ES_tradnl"/>
        </w:rPr>
        <w:t xml:space="preserve">n de perjuicios. </w:t>
      </w:r>
      <w:r w:rsidRPr="00DC278B">
        <w:rPr>
          <w:rFonts w:ascii="Cambria" w:eastAsia="Times New Roman" w:hAnsi="Cambria"/>
          <w:sz w:val="20"/>
          <w:szCs w:val="20"/>
          <w:bdr w:val="none" w:sz="0" w:space="0" w:color="auto"/>
          <w:lang w:val="es-ES_tradnl"/>
        </w:rPr>
        <w:t>En ese sentido, señala que los tribunales chilenos han declarado de manera explícita que tales beneficios legales s</w:t>
      </w:r>
      <w:r w:rsidR="00FA7864">
        <w:rPr>
          <w:rFonts w:ascii="Cambria" w:eastAsia="Times New Roman" w:hAnsi="Cambria"/>
          <w:sz w:val="20"/>
          <w:szCs w:val="20"/>
          <w:bdr w:val="none" w:sz="0" w:space="0" w:color="auto"/>
          <w:lang w:val="es-ES_tradnl"/>
        </w:rPr>
        <w:t xml:space="preserve">on sólo medidas asistenciales. </w:t>
      </w:r>
      <w:r w:rsidRPr="00DC278B">
        <w:rPr>
          <w:rFonts w:ascii="Cambria" w:eastAsia="Times New Roman" w:hAnsi="Cambria"/>
          <w:sz w:val="20"/>
          <w:szCs w:val="20"/>
          <w:bdr w:val="none" w:sz="0" w:space="0" w:color="auto"/>
          <w:lang w:val="es-ES_tradnl"/>
        </w:rPr>
        <w:t>También indica que de conformidad con la Ley No. 19.123 las pensiones son compatibles con o</w:t>
      </w:r>
      <w:r w:rsidR="00FA7864">
        <w:rPr>
          <w:rFonts w:ascii="Cambria" w:eastAsia="Times New Roman" w:hAnsi="Cambria"/>
          <w:sz w:val="20"/>
          <w:szCs w:val="20"/>
          <w:bdr w:val="none" w:sz="0" w:space="0" w:color="auto"/>
          <w:lang w:val="es-ES_tradnl"/>
        </w:rPr>
        <w:t xml:space="preserve">tro tipo de reparación. </w:t>
      </w:r>
      <w:r w:rsidRPr="00DC278B">
        <w:rPr>
          <w:rFonts w:ascii="Cambria" w:eastAsia="Times New Roman" w:hAnsi="Cambria"/>
          <w:sz w:val="20"/>
          <w:szCs w:val="20"/>
          <w:bdr w:val="none" w:sz="0" w:space="0" w:color="auto"/>
          <w:lang w:val="es-ES_tradnl"/>
        </w:rPr>
        <w:t>Al respecto, señala que los montos de las pensiones y bonos de reparación son insuficientes e inferiores a los criterios fijados por los estándares internacionales en materia de indemnización de perjuicios en casos de graves violaciones a los derechos humanos.</w:t>
      </w:r>
    </w:p>
    <w:p w:rsidR="00DA442B" w:rsidRPr="00DC278B" w:rsidRDefault="00DA442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A442B" w:rsidRPr="00DC278B" w:rsidRDefault="00DA442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peticionario argumenta que la indemnización de perjuicios debe incluir la reparación tanto del daño emergente, como del lucro cesante, el daño moral </w:t>
      </w:r>
      <w:r w:rsidR="00FA7864">
        <w:rPr>
          <w:rFonts w:ascii="Cambria" w:eastAsia="Times New Roman" w:hAnsi="Cambria"/>
          <w:sz w:val="20"/>
          <w:szCs w:val="20"/>
          <w:bdr w:val="none" w:sz="0" w:space="0" w:color="auto"/>
          <w:lang w:val="es-ES_tradnl"/>
        </w:rPr>
        <w:t xml:space="preserve">y el daño al proyecto de vida. </w:t>
      </w:r>
      <w:r w:rsidRPr="00DC278B">
        <w:rPr>
          <w:rFonts w:ascii="Cambria" w:eastAsia="Times New Roman" w:hAnsi="Cambria"/>
          <w:sz w:val="20"/>
          <w:szCs w:val="20"/>
          <w:bdr w:val="none" w:sz="0" w:space="0" w:color="auto"/>
          <w:lang w:val="es-ES_tradnl"/>
        </w:rPr>
        <w:t>Agrega que estos aspectos sólo pueden ser valorados en sede judicial para que se pueda realizar un análisis de las circunstancias particulares y concretas de la situación de cada víctima.</w:t>
      </w:r>
    </w:p>
    <w:p w:rsidR="00DA442B" w:rsidRPr="00DC278B" w:rsidRDefault="00DA442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A442B" w:rsidRPr="00DC278B" w:rsidRDefault="00DA442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eastAsia="es-ES"/>
        </w:rPr>
      </w:pPr>
      <w:r w:rsidRPr="00DC278B">
        <w:rPr>
          <w:rFonts w:ascii="Cambria" w:eastAsia="Times New Roman" w:hAnsi="Cambria"/>
          <w:sz w:val="20"/>
          <w:szCs w:val="20"/>
          <w:bdr w:val="none" w:sz="0" w:space="0" w:color="auto"/>
          <w:lang w:val="es-ES_tradnl"/>
        </w:rPr>
        <w:t>El peticionario denuncia que esta aplicación de normas del derecho civil, destinadas a las relaciones entre particulares, a un conflicto de derecho público reg</w:t>
      </w:r>
      <w:r w:rsidR="00166E75" w:rsidRPr="00DC278B">
        <w:rPr>
          <w:rFonts w:ascii="Cambria" w:eastAsia="Times New Roman" w:hAnsi="Cambria"/>
          <w:sz w:val="20"/>
          <w:szCs w:val="20"/>
          <w:bdr w:val="none" w:sz="0" w:space="0" w:color="auto"/>
          <w:lang w:val="es-ES_tradnl"/>
        </w:rPr>
        <w:t>u</w:t>
      </w:r>
      <w:r w:rsidRPr="00DC278B">
        <w:rPr>
          <w:rFonts w:ascii="Cambria" w:eastAsia="Times New Roman" w:hAnsi="Cambria"/>
          <w:sz w:val="20"/>
          <w:szCs w:val="20"/>
          <w:bdr w:val="none" w:sz="0" w:space="0" w:color="auto"/>
          <w:lang w:val="es-ES_tradnl"/>
        </w:rPr>
        <w:t>lado por la Constitución y los tratados internacionales de derechos humanos es “extraordinariamente errónea, perjudicial para el interés de las víctimas, sus familiares y violatorio del derecho internacio</w:t>
      </w:r>
      <w:r w:rsidR="00FA7864">
        <w:rPr>
          <w:rFonts w:ascii="Cambria" w:eastAsia="Times New Roman" w:hAnsi="Cambria"/>
          <w:sz w:val="20"/>
          <w:szCs w:val="20"/>
          <w:bdr w:val="none" w:sz="0" w:space="0" w:color="auto"/>
          <w:lang w:val="es-ES_tradnl"/>
        </w:rPr>
        <w:t xml:space="preserve">nal de los derechos humanos”. </w:t>
      </w:r>
      <w:r w:rsidRPr="00DC278B">
        <w:rPr>
          <w:rFonts w:ascii="Cambria" w:eastAsia="Times New Roman" w:hAnsi="Cambria"/>
          <w:sz w:val="20"/>
          <w:szCs w:val="20"/>
          <w:bdr w:val="none" w:sz="0" w:space="0" w:color="auto"/>
          <w:lang w:val="es-ES_tradnl"/>
        </w:rPr>
        <w:t>Así, al aplicar estas disposiciones los jueces niegan el derecho a la reparación y ponen al Estado en una flagrante situación de vulneración de la Convención Americana, puesto que de acuerdo con su artículo 2 los Estados deben adecuar su derecho interno a las disposiciones de esta Convención.</w:t>
      </w:r>
    </w:p>
    <w:p w:rsidR="00DA442B" w:rsidRPr="00DC278B" w:rsidRDefault="00DA442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pStyle w:val="Heading3"/>
        <w:spacing w:before="0"/>
        <w:ind w:left="720"/>
        <w:rPr>
          <w:color w:val="auto"/>
          <w:sz w:val="20"/>
          <w:szCs w:val="20"/>
          <w:bdr w:val="none" w:sz="0" w:space="0" w:color="auto"/>
          <w:lang w:val="es-ES_tradnl"/>
        </w:rPr>
      </w:pPr>
      <w:bookmarkStart w:id="11" w:name="_Toc413397464"/>
      <w:r w:rsidRPr="00DC278B">
        <w:rPr>
          <w:color w:val="auto"/>
          <w:sz w:val="20"/>
          <w:szCs w:val="20"/>
          <w:bdr w:val="none" w:sz="0" w:space="0" w:color="auto"/>
          <w:lang w:val="es-ES_tradnl"/>
        </w:rPr>
        <w:t>Caso 12.521 – Aleg</w:t>
      </w:r>
      <w:r w:rsidR="00E07F44" w:rsidRPr="00DC278B">
        <w:rPr>
          <w:color w:val="auto"/>
          <w:sz w:val="20"/>
          <w:szCs w:val="20"/>
          <w:bdr w:val="none" w:sz="0" w:space="0" w:color="auto"/>
          <w:lang w:val="es-ES_tradnl"/>
        </w:rPr>
        <w:t>atos específicos – María Laura Ó</w:t>
      </w:r>
      <w:r w:rsidRPr="00DC278B">
        <w:rPr>
          <w:color w:val="auto"/>
          <w:sz w:val="20"/>
          <w:szCs w:val="20"/>
          <w:bdr w:val="none" w:sz="0" w:space="0" w:color="auto"/>
          <w:lang w:val="es-ES_tradnl"/>
        </w:rPr>
        <w:t>rdenes Guerra</w:t>
      </w:r>
      <w:r w:rsidR="004C609C" w:rsidRPr="00DC278B">
        <w:rPr>
          <w:color w:val="auto"/>
          <w:sz w:val="20"/>
          <w:szCs w:val="20"/>
          <w:bdr w:val="none" w:sz="0" w:space="0" w:color="auto"/>
          <w:lang w:val="es-ES_tradnl"/>
        </w:rPr>
        <w:t xml:space="preserve"> e hijos (familiares de</w:t>
      </w:r>
      <w:r w:rsidRPr="00DC278B">
        <w:rPr>
          <w:color w:val="auto"/>
          <w:sz w:val="20"/>
          <w:szCs w:val="20"/>
          <w:bdr w:val="none" w:sz="0" w:space="0" w:color="auto"/>
          <w:lang w:val="es-ES_tradnl"/>
        </w:rPr>
        <w:t xml:space="preserve"> Augusto Andino </w:t>
      </w:r>
      <w:proofErr w:type="spellStart"/>
      <w:r w:rsidRPr="00DC278B">
        <w:rPr>
          <w:color w:val="auto"/>
          <w:sz w:val="20"/>
          <w:szCs w:val="20"/>
          <w:bdr w:val="none" w:sz="0" w:space="0" w:color="auto"/>
          <w:lang w:val="es-ES_tradnl"/>
        </w:rPr>
        <w:t>Alcalaya</w:t>
      </w:r>
      <w:proofErr w:type="spellEnd"/>
      <w:r w:rsidRPr="00DC278B">
        <w:rPr>
          <w:color w:val="auto"/>
          <w:sz w:val="20"/>
          <w:szCs w:val="20"/>
          <w:bdr w:val="none" w:sz="0" w:space="0" w:color="auto"/>
          <w:lang w:val="es-ES_tradnl"/>
        </w:rPr>
        <w:t xml:space="preserve"> </w:t>
      </w:r>
      <w:proofErr w:type="spellStart"/>
      <w:r w:rsidRPr="00DC278B">
        <w:rPr>
          <w:color w:val="auto"/>
          <w:sz w:val="20"/>
          <w:szCs w:val="20"/>
          <w:bdr w:val="none" w:sz="0" w:space="0" w:color="auto"/>
          <w:lang w:val="es-ES_tradnl"/>
        </w:rPr>
        <w:t>Aldunate</w:t>
      </w:r>
      <w:proofErr w:type="spellEnd"/>
      <w:r w:rsidRPr="00DC278B">
        <w:rPr>
          <w:color w:val="auto"/>
          <w:sz w:val="20"/>
          <w:szCs w:val="20"/>
          <w:bdr w:val="none" w:sz="0" w:space="0" w:color="auto"/>
          <w:lang w:val="es-ES_tradnl"/>
        </w:rPr>
        <w:t>)</w:t>
      </w:r>
      <w:bookmarkEnd w:id="11"/>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20078A"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peticionario a</w:t>
      </w:r>
      <w:r w:rsidR="005F74FD" w:rsidRPr="00DC278B">
        <w:rPr>
          <w:rFonts w:ascii="Cambria" w:eastAsia="Times New Roman" w:hAnsi="Cambria"/>
          <w:sz w:val="20"/>
          <w:szCs w:val="20"/>
          <w:bdr w:val="none" w:sz="0" w:space="0" w:color="auto"/>
          <w:lang w:val="es-ES_tradnl"/>
        </w:rPr>
        <w:t>lega que para la búsqueda de una reparación integral establecid</w:t>
      </w:r>
      <w:r w:rsidR="00E07F44" w:rsidRPr="00DC278B">
        <w:rPr>
          <w:rFonts w:ascii="Cambria" w:eastAsia="Times New Roman" w:hAnsi="Cambria"/>
          <w:sz w:val="20"/>
          <w:szCs w:val="20"/>
          <w:bdr w:val="none" w:sz="0" w:space="0" w:color="auto"/>
          <w:lang w:val="es-ES_tradnl"/>
        </w:rPr>
        <w:t>a judicialmente, en 1997 María Ó</w:t>
      </w:r>
      <w:r w:rsidR="005F74FD" w:rsidRPr="00DC278B">
        <w:rPr>
          <w:rFonts w:ascii="Cambria" w:eastAsia="Times New Roman" w:hAnsi="Cambria"/>
          <w:sz w:val="20"/>
          <w:szCs w:val="20"/>
          <w:bdr w:val="none" w:sz="0" w:space="0" w:color="auto"/>
          <w:lang w:val="es-ES_tradnl"/>
        </w:rPr>
        <w:t>rdenes presentó una demanda de indemnización ante el Octavo Juzgado Civil de Santia</w:t>
      </w:r>
      <w:r w:rsidR="00A97FB6" w:rsidRPr="00DC278B">
        <w:rPr>
          <w:rFonts w:ascii="Cambria" w:eastAsia="Times New Roman" w:hAnsi="Cambria"/>
          <w:sz w:val="20"/>
          <w:szCs w:val="20"/>
          <w:bdr w:val="none" w:sz="0" w:space="0" w:color="auto"/>
          <w:lang w:val="es-ES_tradnl"/>
        </w:rPr>
        <w:t>go de Chile (en adelante “</w:t>
      </w:r>
      <w:r w:rsidR="005A68B1" w:rsidRPr="00DC278B">
        <w:rPr>
          <w:rFonts w:ascii="Cambria" w:eastAsia="Times New Roman" w:hAnsi="Cambria"/>
          <w:sz w:val="20"/>
          <w:szCs w:val="20"/>
          <w:bdr w:val="none" w:sz="0" w:space="0" w:color="auto"/>
          <w:lang w:val="es-ES_tradnl"/>
        </w:rPr>
        <w:t xml:space="preserve">el </w:t>
      </w:r>
      <w:r w:rsidR="00BA0A5E" w:rsidRPr="00DC278B">
        <w:rPr>
          <w:rFonts w:ascii="Cambria" w:eastAsia="Times New Roman" w:hAnsi="Cambria"/>
          <w:sz w:val="20"/>
          <w:szCs w:val="20"/>
          <w:bdr w:val="none" w:sz="0" w:space="0" w:color="auto"/>
          <w:lang w:val="es-ES_tradnl"/>
        </w:rPr>
        <w:t>8º</w:t>
      </w:r>
      <w:r w:rsidR="005F74FD" w:rsidRPr="00DC278B">
        <w:rPr>
          <w:rFonts w:ascii="Cambria" w:eastAsia="Times New Roman" w:hAnsi="Cambria"/>
          <w:sz w:val="20"/>
          <w:szCs w:val="20"/>
          <w:bdr w:val="none" w:sz="0" w:space="0" w:color="auto"/>
          <w:lang w:val="es-ES_tradnl"/>
        </w:rPr>
        <w:t xml:space="preserve"> Juzgado Civil”), por el daño moral ocasionado por los agentes estatales por el secuestro y asesinato de su esposo</w:t>
      </w:r>
      <w:r w:rsidR="003555B8" w:rsidRPr="00DC278B">
        <w:rPr>
          <w:rFonts w:ascii="Cambria" w:eastAsia="Times New Roman" w:hAnsi="Cambria"/>
          <w:sz w:val="20"/>
          <w:szCs w:val="20"/>
          <w:bdr w:val="none" w:sz="0" w:space="0" w:color="auto"/>
          <w:lang w:val="es-ES_tradnl"/>
        </w:rPr>
        <w:t xml:space="preserve"> Augusto </w:t>
      </w:r>
      <w:proofErr w:type="spellStart"/>
      <w:r w:rsidR="003555B8" w:rsidRPr="00DC278B">
        <w:rPr>
          <w:rFonts w:ascii="Cambria" w:eastAsia="Times New Roman" w:hAnsi="Cambria"/>
          <w:sz w:val="20"/>
          <w:szCs w:val="20"/>
          <w:bdr w:val="none" w:sz="0" w:space="0" w:color="auto"/>
          <w:lang w:val="es-ES_tradnl"/>
        </w:rPr>
        <w:t>Alcayaga</w:t>
      </w:r>
      <w:proofErr w:type="spellEnd"/>
      <w:r w:rsidRPr="00DC278B">
        <w:rPr>
          <w:rFonts w:ascii="Cambria" w:eastAsia="Times New Roman" w:hAnsi="Cambria"/>
          <w:sz w:val="20"/>
          <w:szCs w:val="20"/>
          <w:bdr w:val="none" w:sz="0" w:space="0" w:color="auto"/>
          <w:lang w:val="es-ES_tradnl"/>
        </w:rPr>
        <w:t>,</w:t>
      </w:r>
      <w:r w:rsidR="003555B8" w:rsidRPr="00DC278B">
        <w:rPr>
          <w:rFonts w:ascii="Cambria" w:eastAsia="Times New Roman" w:hAnsi="Cambria"/>
          <w:sz w:val="20"/>
          <w:szCs w:val="20"/>
          <w:bdr w:val="none" w:sz="0" w:space="0" w:color="auto"/>
          <w:lang w:val="es-ES_tradnl"/>
        </w:rPr>
        <w:t xml:space="preserve"> ocurrido en 1973</w:t>
      </w:r>
      <w:r w:rsidR="005F74FD" w:rsidRPr="00DC278B">
        <w:rPr>
          <w:rFonts w:ascii="Cambria" w:eastAsia="Times New Roman" w:hAnsi="Cambria"/>
          <w:sz w:val="20"/>
          <w:szCs w:val="20"/>
          <w:bdr w:val="none" w:sz="0" w:space="0" w:color="auto"/>
          <w:lang w:val="es-ES_tradnl"/>
        </w:rPr>
        <w:t xml:space="preserve">, así como por la denegación de justicia y falta de </w:t>
      </w:r>
      <w:r w:rsidRPr="00DC278B">
        <w:rPr>
          <w:rFonts w:ascii="Cambria" w:eastAsia="Times New Roman" w:hAnsi="Cambria"/>
          <w:sz w:val="20"/>
          <w:szCs w:val="20"/>
          <w:bdr w:val="none" w:sz="0" w:space="0" w:color="auto"/>
          <w:lang w:val="es-ES_tradnl"/>
        </w:rPr>
        <w:t>información sobre dichos hechos;</w:t>
      </w:r>
      <w:r w:rsidR="00E07F44" w:rsidRPr="00DC278B">
        <w:rPr>
          <w:rFonts w:ascii="Cambria" w:eastAsia="Times New Roman" w:hAnsi="Cambria"/>
          <w:sz w:val="20"/>
          <w:szCs w:val="20"/>
          <w:bdr w:val="none" w:sz="0" w:space="0" w:color="auto"/>
          <w:lang w:val="es-ES_tradnl"/>
        </w:rPr>
        <w:t xml:space="preserve"> dándose inicio al proceso “Ó</w:t>
      </w:r>
      <w:r w:rsidR="005F74FD" w:rsidRPr="00DC278B">
        <w:rPr>
          <w:rFonts w:ascii="Cambria" w:eastAsia="Times New Roman" w:hAnsi="Cambria"/>
          <w:sz w:val="20"/>
          <w:szCs w:val="20"/>
          <w:bdr w:val="none" w:sz="0" w:space="0" w:color="auto"/>
          <w:lang w:val="es-ES_tradnl"/>
        </w:rPr>
        <w:t>rde</w:t>
      </w:r>
      <w:r w:rsidR="00FA7864">
        <w:rPr>
          <w:rFonts w:ascii="Cambria" w:eastAsia="Times New Roman" w:hAnsi="Cambria"/>
          <w:sz w:val="20"/>
          <w:szCs w:val="20"/>
          <w:bdr w:val="none" w:sz="0" w:space="0" w:color="auto"/>
          <w:lang w:val="es-ES_tradnl"/>
        </w:rPr>
        <w:t xml:space="preserve">nes María con Fisco de Chile”. </w:t>
      </w:r>
      <w:r w:rsidR="00DD79A0" w:rsidRPr="00DC278B">
        <w:rPr>
          <w:rFonts w:ascii="Cambria" w:eastAsia="Times New Roman" w:hAnsi="Cambria"/>
          <w:sz w:val="20"/>
          <w:szCs w:val="20"/>
          <w:bdr w:val="none" w:sz="0" w:space="0" w:color="auto"/>
          <w:lang w:val="es-ES_tradnl"/>
        </w:rPr>
        <w:t>Señala que</w:t>
      </w:r>
      <w:r w:rsidR="002420FF" w:rsidRPr="00DC278B">
        <w:rPr>
          <w:rFonts w:ascii="Cambria" w:eastAsia="Times New Roman" w:hAnsi="Cambria"/>
          <w:sz w:val="20"/>
          <w:szCs w:val="20"/>
          <w:bdr w:val="none" w:sz="0" w:space="0" w:color="auto"/>
          <w:lang w:val="es-ES_tradnl"/>
        </w:rPr>
        <w:t xml:space="preserve"> la</w:t>
      </w:r>
      <w:r w:rsidR="00DD79A0" w:rsidRPr="00DC278B">
        <w:rPr>
          <w:rFonts w:ascii="Cambria" w:eastAsia="Times New Roman" w:hAnsi="Cambria"/>
          <w:sz w:val="20"/>
          <w:szCs w:val="20"/>
          <w:bdr w:val="none" w:sz="0" w:space="0" w:color="auto"/>
          <w:lang w:val="es-ES_tradnl"/>
        </w:rPr>
        <w:t xml:space="preserve"> </w:t>
      </w:r>
      <w:r w:rsidR="005F74FD" w:rsidRPr="00DC278B">
        <w:rPr>
          <w:rFonts w:ascii="Cambria" w:eastAsia="Times New Roman" w:hAnsi="Cambria"/>
          <w:sz w:val="20"/>
          <w:szCs w:val="20"/>
          <w:bdr w:val="none" w:sz="0" w:space="0" w:color="auto"/>
          <w:lang w:val="es-ES_tradnl"/>
        </w:rPr>
        <w:t xml:space="preserve">demanda se </w:t>
      </w:r>
      <w:r w:rsidR="00DD79A0" w:rsidRPr="00DC278B">
        <w:rPr>
          <w:rFonts w:ascii="Cambria" w:eastAsia="Times New Roman" w:hAnsi="Cambria"/>
          <w:sz w:val="20"/>
          <w:szCs w:val="20"/>
          <w:bdr w:val="none" w:sz="0" w:space="0" w:color="auto"/>
          <w:lang w:val="es-ES_tradnl"/>
        </w:rPr>
        <w:t xml:space="preserve">basó </w:t>
      </w:r>
      <w:r w:rsidR="005F74FD" w:rsidRPr="00DC278B">
        <w:rPr>
          <w:rFonts w:ascii="Cambria" w:eastAsia="Times New Roman" w:hAnsi="Cambria"/>
          <w:sz w:val="20"/>
          <w:szCs w:val="20"/>
          <w:bdr w:val="none" w:sz="0" w:space="0" w:color="auto"/>
          <w:lang w:val="es-ES_tradnl"/>
        </w:rPr>
        <w:t>en el informe de la Comisión Nacional de Verdad y Reconciliación (en adelante “</w:t>
      </w:r>
      <w:r w:rsidR="00DD79A0" w:rsidRPr="00DC278B">
        <w:rPr>
          <w:rFonts w:ascii="Cambria" w:eastAsia="Times New Roman" w:hAnsi="Cambria"/>
          <w:sz w:val="20"/>
          <w:szCs w:val="20"/>
          <w:bdr w:val="none" w:sz="0" w:space="0" w:color="auto"/>
          <w:lang w:val="es-ES_tradnl"/>
        </w:rPr>
        <w:t xml:space="preserve">la </w:t>
      </w:r>
      <w:r w:rsidR="005F74FD" w:rsidRPr="00DC278B">
        <w:rPr>
          <w:rFonts w:ascii="Cambria" w:eastAsia="Times New Roman" w:hAnsi="Cambria"/>
          <w:sz w:val="20"/>
          <w:szCs w:val="20"/>
          <w:bdr w:val="none" w:sz="0" w:space="0" w:color="auto"/>
          <w:lang w:val="es-ES_tradnl"/>
        </w:rPr>
        <w:t xml:space="preserve">Comisión </w:t>
      </w:r>
      <w:proofErr w:type="spellStart"/>
      <w:r w:rsidR="005F74FD" w:rsidRPr="00DC278B">
        <w:rPr>
          <w:rFonts w:ascii="Cambria" w:eastAsia="Times New Roman" w:hAnsi="Cambria"/>
          <w:sz w:val="20"/>
          <w:szCs w:val="20"/>
          <w:bdr w:val="none" w:sz="0" w:space="0" w:color="auto"/>
          <w:lang w:val="es-ES_tradnl"/>
        </w:rPr>
        <w:t>Rettig</w:t>
      </w:r>
      <w:proofErr w:type="spellEnd"/>
      <w:r w:rsidR="005F74FD" w:rsidRPr="00DC278B">
        <w:rPr>
          <w:rFonts w:ascii="Cambria" w:eastAsia="Times New Roman" w:hAnsi="Cambria"/>
          <w:sz w:val="20"/>
          <w:szCs w:val="20"/>
          <w:bdr w:val="none" w:sz="0" w:space="0" w:color="auto"/>
          <w:lang w:val="es-ES_tradnl"/>
        </w:rPr>
        <w:t xml:space="preserve">”), en el cual se reconoció a Augusto </w:t>
      </w:r>
      <w:proofErr w:type="spellStart"/>
      <w:r w:rsidR="005F74FD" w:rsidRPr="00DC278B">
        <w:rPr>
          <w:rFonts w:ascii="Cambria" w:eastAsia="Times New Roman" w:hAnsi="Cambria"/>
          <w:sz w:val="20"/>
          <w:szCs w:val="20"/>
          <w:bdr w:val="none" w:sz="0" w:space="0" w:color="auto"/>
          <w:lang w:val="es-ES_tradnl"/>
        </w:rPr>
        <w:t>Alcayaga</w:t>
      </w:r>
      <w:proofErr w:type="spellEnd"/>
      <w:r w:rsidR="005F74FD" w:rsidRPr="00DC278B">
        <w:rPr>
          <w:rFonts w:ascii="Cambria" w:eastAsia="Times New Roman" w:hAnsi="Cambria"/>
          <w:sz w:val="20"/>
          <w:szCs w:val="20"/>
          <w:bdr w:val="none" w:sz="0" w:space="0" w:color="auto"/>
          <w:lang w:val="es-ES_tradnl"/>
        </w:rPr>
        <w:t xml:space="preserve"> como víctima de </w:t>
      </w:r>
      <w:r w:rsidR="00DD7305" w:rsidRPr="00DC278B">
        <w:rPr>
          <w:rFonts w:ascii="Cambria" w:eastAsia="Times New Roman" w:hAnsi="Cambria"/>
          <w:sz w:val="20"/>
          <w:szCs w:val="20"/>
          <w:bdr w:val="none" w:sz="0" w:space="0" w:color="auto"/>
          <w:lang w:val="es-ES_tradnl"/>
        </w:rPr>
        <w:t xml:space="preserve">secuestro y asesinato </w:t>
      </w:r>
      <w:r w:rsidR="00FA7864">
        <w:rPr>
          <w:rFonts w:ascii="Cambria" w:eastAsia="Times New Roman" w:hAnsi="Cambria"/>
          <w:sz w:val="20"/>
          <w:szCs w:val="20"/>
          <w:bdr w:val="none" w:sz="0" w:space="0" w:color="auto"/>
          <w:lang w:val="es-ES_tradnl"/>
        </w:rPr>
        <w:t>durante la dictadura militar.</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Indica que e</w:t>
      </w:r>
      <w:r w:rsidR="00817E57" w:rsidRPr="00DC278B">
        <w:rPr>
          <w:rFonts w:ascii="Cambria" w:eastAsia="Times New Roman" w:hAnsi="Cambria"/>
          <w:sz w:val="20"/>
          <w:szCs w:val="20"/>
          <w:bdr w:val="none" w:sz="0" w:space="0" w:color="auto"/>
          <w:lang w:val="es-ES_tradnl"/>
        </w:rPr>
        <w:t>l 28 de enero de 1999, el 8º</w:t>
      </w:r>
      <w:r w:rsidRPr="00DC278B">
        <w:rPr>
          <w:rFonts w:ascii="Cambria" w:eastAsia="Times New Roman" w:hAnsi="Cambria"/>
          <w:sz w:val="20"/>
          <w:szCs w:val="20"/>
          <w:bdr w:val="none" w:sz="0" w:space="0" w:color="auto"/>
          <w:lang w:val="es-ES_tradnl"/>
        </w:rPr>
        <w:t xml:space="preserve"> Juzgado Civil negó las pretensiones de la demanda al considerar que “el hecho del cual deriva la acción indemnizatoria acaeció en determinada fecha del año 1973, desde la cual, hasta la fecha de notificación de la demanda de autos, transcurrió en exceso el plazo de prescripción de cinco años que el tribunal ha estimado aplicable en la especie”.  El peticionario indic</w:t>
      </w:r>
      <w:r w:rsidR="00E07F44" w:rsidRPr="00DC278B">
        <w:rPr>
          <w:rFonts w:ascii="Cambria" w:eastAsia="Times New Roman" w:hAnsi="Cambria"/>
          <w:sz w:val="20"/>
          <w:szCs w:val="20"/>
          <w:bdr w:val="none" w:sz="0" w:space="0" w:color="auto"/>
          <w:lang w:val="es-ES_tradnl"/>
        </w:rPr>
        <w:t>a que esto significa que María Ó</w:t>
      </w:r>
      <w:r w:rsidRPr="00DC278B">
        <w:rPr>
          <w:rFonts w:ascii="Cambria" w:eastAsia="Times New Roman" w:hAnsi="Cambria"/>
          <w:sz w:val="20"/>
          <w:szCs w:val="20"/>
          <w:bdr w:val="none" w:sz="0" w:space="0" w:color="auto"/>
          <w:lang w:val="es-ES_tradnl"/>
        </w:rPr>
        <w:t>rdenes debió haber deman</w:t>
      </w:r>
      <w:r w:rsidR="00AE67E1" w:rsidRPr="00DC278B">
        <w:rPr>
          <w:rFonts w:ascii="Cambria" w:eastAsia="Times New Roman" w:hAnsi="Cambria"/>
          <w:sz w:val="20"/>
          <w:szCs w:val="20"/>
          <w:bdr w:val="none" w:sz="0" w:space="0" w:color="auto"/>
          <w:lang w:val="es-ES_tradnl"/>
        </w:rPr>
        <w:t>dado al Estado en 1977, durante la misma dictadura,</w:t>
      </w:r>
      <w:r w:rsidRPr="00DC278B">
        <w:rPr>
          <w:rFonts w:ascii="Cambria" w:eastAsia="Times New Roman" w:hAnsi="Cambria"/>
          <w:sz w:val="20"/>
          <w:szCs w:val="20"/>
          <w:bdr w:val="none" w:sz="0" w:space="0" w:color="auto"/>
          <w:lang w:val="es-ES_tradnl"/>
        </w:rPr>
        <w:t xml:space="preserve"> para que su solicitud fuera atendida.  Señala que la demandante presentó recurso de apelación contra dicha sentencia, la cual fue denegada, el 24 de octubre de 2002, por la Cuarta Sala de la </w:t>
      </w:r>
      <w:r w:rsidR="00BA0A5E" w:rsidRPr="00DC278B">
        <w:rPr>
          <w:rFonts w:ascii="Cambria" w:eastAsia="Times New Roman" w:hAnsi="Cambria"/>
          <w:sz w:val="20"/>
          <w:szCs w:val="20"/>
          <w:bdr w:val="none" w:sz="0" w:space="0" w:color="auto"/>
          <w:lang w:val="es-ES_tradnl"/>
        </w:rPr>
        <w:t>Corte de Apelaciones de Santiago (en adelante “</w:t>
      </w:r>
      <w:r w:rsidR="00955C93" w:rsidRPr="00DC278B">
        <w:rPr>
          <w:rFonts w:ascii="Cambria" w:eastAsia="Times New Roman" w:hAnsi="Cambria"/>
          <w:sz w:val="20"/>
          <w:szCs w:val="20"/>
          <w:bdr w:val="none" w:sz="0" w:space="0" w:color="auto"/>
          <w:lang w:val="es-ES_tradnl"/>
        </w:rPr>
        <w:t xml:space="preserve">la </w:t>
      </w:r>
      <w:r w:rsidR="00BA0A5E" w:rsidRPr="00DC278B">
        <w:rPr>
          <w:rFonts w:ascii="Cambria" w:eastAsia="Times New Roman" w:hAnsi="Cambria"/>
          <w:sz w:val="20"/>
          <w:szCs w:val="20"/>
          <w:bdr w:val="none" w:sz="0" w:space="0" w:color="auto"/>
          <w:lang w:val="es-ES_tradnl"/>
        </w:rPr>
        <w:t>CAS”)</w:t>
      </w:r>
      <w:r w:rsidRPr="00DC278B">
        <w:rPr>
          <w:rFonts w:ascii="Cambria" w:eastAsia="Times New Roman" w:hAnsi="Cambria"/>
          <w:sz w:val="20"/>
          <w:szCs w:val="20"/>
          <w:bdr w:val="none" w:sz="0" w:space="0" w:color="auto"/>
          <w:lang w:val="es-ES_tradnl"/>
        </w:rPr>
        <w:t>, compartiendo el ar</w:t>
      </w:r>
      <w:r w:rsidR="00377BCD">
        <w:rPr>
          <w:rFonts w:ascii="Cambria" w:eastAsia="Times New Roman" w:hAnsi="Cambria"/>
          <w:sz w:val="20"/>
          <w:szCs w:val="20"/>
          <w:bdr w:val="none" w:sz="0" w:space="0" w:color="auto"/>
          <w:lang w:val="es-ES_tradnl"/>
        </w:rPr>
        <w:t>gumento de la prescripción del Juzgado de P</w:t>
      </w:r>
      <w:r w:rsidRPr="00DC278B">
        <w:rPr>
          <w:rFonts w:ascii="Cambria" w:eastAsia="Times New Roman" w:hAnsi="Cambria"/>
          <w:sz w:val="20"/>
          <w:szCs w:val="20"/>
          <w:bdr w:val="none" w:sz="0" w:space="0" w:color="auto"/>
          <w:lang w:val="es-ES_tradnl"/>
        </w:rPr>
        <w:t>rimer</w:t>
      </w:r>
      <w:r w:rsidR="00377BCD">
        <w:rPr>
          <w:rFonts w:ascii="Cambria" w:eastAsia="Times New Roman" w:hAnsi="Cambria"/>
          <w:sz w:val="20"/>
          <w:szCs w:val="20"/>
          <w:bdr w:val="none" w:sz="0" w:space="0" w:color="auto"/>
          <w:lang w:val="es-ES_tradnl"/>
        </w:rPr>
        <w:t>a I</w:t>
      </w:r>
      <w:r w:rsidRPr="00DC278B">
        <w:rPr>
          <w:rFonts w:ascii="Cambria" w:eastAsia="Times New Roman" w:hAnsi="Cambria"/>
          <w:sz w:val="20"/>
          <w:szCs w:val="20"/>
          <w:bdr w:val="none" w:sz="0" w:space="0" w:color="auto"/>
          <w:lang w:val="es-ES_tradnl"/>
        </w:rPr>
        <w:t>nstancia.</w:t>
      </w:r>
      <w:r w:rsidR="00B24174" w:rsidRPr="00DC278B">
        <w:rPr>
          <w:rFonts w:ascii="Cambria" w:eastAsia="Times New Roman" w:hAnsi="Cambria"/>
          <w:sz w:val="20"/>
          <w:szCs w:val="20"/>
          <w:bdr w:val="none" w:sz="0" w:space="0" w:color="auto"/>
          <w:lang w:val="es-ES_tradnl"/>
        </w:rPr>
        <w:t xml:space="preserve"> Indicó que c</w:t>
      </w:r>
      <w:r w:rsidRPr="00DC278B">
        <w:rPr>
          <w:rFonts w:ascii="Cambria" w:eastAsia="Times New Roman" w:hAnsi="Cambria"/>
          <w:sz w:val="20"/>
          <w:szCs w:val="20"/>
          <w:bdr w:val="none" w:sz="0" w:space="0" w:color="auto"/>
          <w:lang w:val="es-ES_tradnl"/>
        </w:rPr>
        <w:t xml:space="preserve">ontra dicha decisión </w:t>
      </w:r>
      <w:r w:rsidR="00B24174" w:rsidRPr="00DC278B">
        <w:rPr>
          <w:rFonts w:ascii="Cambria" w:eastAsia="Times New Roman" w:hAnsi="Cambria"/>
          <w:sz w:val="20"/>
          <w:szCs w:val="20"/>
          <w:bdr w:val="none" w:sz="0" w:space="0" w:color="auto"/>
          <w:lang w:val="es-ES_tradnl"/>
        </w:rPr>
        <w:t xml:space="preserve">se </w:t>
      </w:r>
      <w:r w:rsidRPr="00DC278B">
        <w:rPr>
          <w:rFonts w:ascii="Cambria" w:eastAsia="Times New Roman" w:hAnsi="Cambria"/>
          <w:sz w:val="20"/>
          <w:szCs w:val="20"/>
          <w:bdr w:val="none" w:sz="0" w:space="0" w:color="auto"/>
          <w:lang w:val="es-ES_tradnl"/>
        </w:rPr>
        <w:t xml:space="preserve">interpuso un recurso de casación en el fondo, el cual fue declarado “desierto” por la </w:t>
      </w:r>
      <w:r w:rsidR="00BA0A5E" w:rsidRPr="00DC278B">
        <w:rPr>
          <w:rFonts w:ascii="Cambria" w:eastAsia="Times New Roman" w:hAnsi="Cambria"/>
          <w:sz w:val="20"/>
          <w:szCs w:val="20"/>
          <w:bdr w:val="none" w:sz="0" w:space="0" w:color="auto"/>
          <w:lang w:val="es-ES_tradnl"/>
        </w:rPr>
        <w:t>Corte Suprema de Justicia (en adelante “</w:t>
      </w:r>
      <w:r w:rsidR="00B24174" w:rsidRPr="00DC278B">
        <w:rPr>
          <w:rFonts w:ascii="Cambria" w:eastAsia="Times New Roman" w:hAnsi="Cambria"/>
          <w:sz w:val="20"/>
          <w:szCs w:val="20"/>
          <w:bdr w:val="none" w:sz="0" w:space="0" w:color="auto"/>
          <w:lang w:val="es-ES_tradnl"/>
        </w:rPr>
        <w:t xml:space="preserve">la </w:t>
      </w:r>
      <w:r w:rsidR="00BA0A5E" w:rsidRPr="00DC278B">
        <w:rPr>
          <w:rFonts w:ascii="Cambria" w:eastAsia="Times New Roman" w:hAnsi="Cambria"/>
          <w:sz w:val="20"/>
          <w:szCs w:val="20"/>
          <w:bdr w:val="none" w:sz="0" w:space="0" w:color="auto"/>
          <w:lang w:val="es-ES_tradnl"/>
        </w:rPr>
        <w:t>CSJ”)</w:t>
      </w:r>
      <w:r w:rsidRPr="00DC278B">
        <w:rPr>
          <w:rFonts w:ascii="Cambria" w:eastAsia="Times New Roman" w:hAnsi="Cambria"/>
          <w:sz w:val="20"/>
          <w:szCs w:val="20"/>
          <w:bdr w:val="none" w:sz="0" w:space="0" w:color="auto"/>
          <w:lang w:val="es-ES_tradnl"/>
        </w:rPr>
        <w:t>, el 7 de enero de 2003, por lo que el expediente fue devuelto al tribunal de origen, el cual dictó resolución de “cúmplase”, el 17 de marzo de 2003, siendo ésta la última resolución pronunciada en la causa.</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pStyle w:val="Heading3"/>
        <w:spacing w:before="0"/>
        <w:ind w:left="720"/>
        <w:rPr>
          <w:color w:val="auto"/>
          <w:sz w:val="20"/>
          <w:szCs w:val="20"/>
          <w:bdr w:val="none" w:sz="0" w:space="0" w:color="auto"/>
          <w:lang w:val="es-ES_tradnl"/>
        </w:rPr>
      </w:pPr>
      <w:bookmarkStart w:id="12" w:name="_Toc413397465"/>
      <w:r w:rsidRPr="00DC278B">
        <w:rPr>
          <w:color w:val="auto"/>
          <w:sz w:val="20"/>
          <w:szCs w:val="20"/>
          <w:bdr w:val="none" w:sz="0" w:space="0" w:color="auto"/>
          <w:lang w:val="es-ES_tradnl"/>
        </w:rPr>
        <w:t xml:space="preserve">Caso 12.522 – Alegatos Específicos – Lucía Morales </w:t>
      </w:r>
      <w:proofErr w:type="spellStart"/>
      <w:r w:rsidRPr="00DC278B">
        <w:rPr>
          <w:color w:val="auto"/>
          <w:sz w:val="20"/>
          <w:szCs w:val="20"/>
          <w:bdr w:val="none" w:sz="0" w:space="0" w:color="auto"/>
          <w:lang w:val="es-ES_tradnl"/>
        </w:rPr>
        <w:t>Compagnon</w:t>
      </w:r>
      <w:proofErr w:type="spellEnd"/>
      <w:r w:rsidRPr="00DC278B">
        <w:rPr>
          <w:color w:val="auto"/>
          <w:sz w:val="20"/>
          <w:szCs w:val="20"/>
          <w:bdr w:val="none" w:sz="0" w:space="0" w:color="auto"/>
          <w:lang w:val="es-ES_tradnl"/>
        </w:rPr>
        <w:t xml:space="preserve"> y otros (familiares de Jorge Ovidio Osorio Zamora)</w:t>
      </w:r>
      <w:bookmarkEnd w:id="12"/>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Alega que para la búsqueda de una reparación integral establecida judicialmente, en</w:t>
      </w:r>
      <w:r w:rsidR="0081449E" w:rsidRPr="00DC278B">
        <w:rPr>
          <w:rFonts w:ascii="Cambria" w:eastAsia="Times New Roman" w:hAnsi="Cambria"/>
          <w:sz w:val="20"/>
          <w:szCs w:val="20"/>
          <w:bdr w:val="none" w:sz="0" w:space="0" w:color="auto"/>
          <w:lang w:val="es-ES_tradnl"/>
        </w:rPr>
        <w:t xml:space="preserve"> 1997, la esposa y los hijos de</w:t>
      </w:r>
      <w:r w:rsidRPr="00DC278B">
        <w:rPr>
          <w:rFonts w:ascii="Cambria" w:eastAsia="Times New Roman" w:hAnsi="Cambria"/>
          <w:sz w:val="20"/>
          <w:szCs w:val="20"/>
          <w:bdr w:val="none" w:sz="0" w:space="0" w:color="auto"/>
          <w:lang w:val="es-ES_tradnl"/>
        </w:rPr>
        <w:t xml:space="preserve"> Jorge Osorio presentaron una acción ci</w:t>
      </w:r>
      <w:r w:rsidR="00BA0A5E" w:rsidRPr="00DC278B">
        <w:rPr>
          <w:rFonts w:ascii="Cambria" w:eastAsia="Times New Roman" w:hAnsi="Cambria"/>
          <w:sz w:val="20"/>
          <w:szCs w:val="20"/>
          <w:bdr w:val="none" w:sz="0" w:space="0" w:color="auto"/>
          <w:lang w:val="es-ES_tradnl"/>
        </w:rPr>
        <w:t>vil de perjuicios ante el 8º</w:t>
      </w:r>
      <w:r w:rsidRPr="00DC278B">
        <w:rPr>
          <w:rFonts w:ascii="Cambria" w:eastAsia="Times New Roman" w:hAnsi="Cambria"/>
          <w:sz w:val="20"/>
          <w:szCs w:val="20"/>
          <w:bdr w:val="none" w:sz="0" w:space="0" w:color="auto"/>
          <w:lang w:val="es-ES_tradnl"/>
        </w:rPr>
        <w:t xml:space="preserve"> Juzgado Civil, dándose inicio al proceso “Morales con</w:t>
      </w:r>
      <w:r w:rsidR="000A73B5" w:rsidRPr="00DC278B">
        <w:rPr>
          <w:rFonts w:ascii="Cambria" w:eastAsia="Times New Roman" w:hAnsi="Cambria"/>
          <w:sz w:val="20"/>
          <w:szCs w:val="20"/>
          <w:bdr w:val="none" w:sz="0" w:space="0" w:color="auto"/>
          <w:lang w:val="es-ES_tradnl"/>
        </w:rPr>
        <w:t xml:space="preserve"> Fisco de Chile”, Rol 4720-97</w:t>
      </w:r>
      <w:r w:rsidR="0081449E" w:rsidRPr="00DC278B">
        <w:rPr>
          <w:rFonts w:ascii="Cambria" w:eastAsia="Times New Roman" w:hAnsi="Cambria"/>
          <w:sz w:val="20"/>
          <w:szCs w:val="20"/>
          <w:bdr w:val="none" w:sz="0" w:space="0" w:color="auto"/>
          <w:lang w:val="es-ES_tradnl"/>
        </w:rPr>
        <w:t>, por su</w:t>
      </w:r>
      <w:r w:rsidR="000A73B5" w:rsidRPr="00DC278B">
        <w:rPr>
          <w:rFonts w:ascii="Cambria" w:eastAsia="Times New Roman" w:hAnsi="Cambria"/>
          <w:sz w:val="20"/>
          <w:szCs w:val="20"/>
          <w:bdr w:val="none" w:sz="0" w:space="0" w:color="auto"/>
          <w:lang w:val="es-ES_tradnl"/>
        </w:rPr>
        <w:t xml:space="preserve"> detención y ejecución en 1973</w:t>
      </w:r>
      <w:r w:rsidR="00EA0D25" w:rsidRPr="00DC278B">
        <w:rPr>
          <w:rFonts w:ascii="Cambria" w:eastAsia="Times New Roman" w:hAnsi="Cambria"/>
          <w:sz w:val="20"/>
          <w:szCs w:val="20"/>
          <w:bdr w:val="none" w:sz="0" w:space="0" w:color="auto"/>
          <w:lang w:val="es-ES_tradnl"/>
        </w:rPr>
        <w:t xml:space="preserve"> por parte de agentes de seguridad del Estado</w:t>
      </w:r>
      <w:r w:rsidR="00EC4F92" w:rsidRPr="00DC278B">
        <w:rPr>
          <w:rFonts w:ascii="Cambria" w:eastAsia="Times New Roman" w:hAnsi="Cambria"/>
          <w:sz w:val="20"/>
          <w:szCs w:val="20"/>
          <w:bdr w:val="none" w:sz="0" w:space="0" w:color="auto"/>
          <w:lang w:val="es-ES_tradnl"/>
        </w:rPr>
        <w:t xml:space="preserve">, tal como fue reconocido por el </w:t>
      </w:r>
      <w:r w:rsidR="00FA7864">
        <w:rPr>
          <w:rFonts w:ascii="Cambria" w:eastAsia="Times New Roman" w:hAnsi="Cambria"/>
          <w:sz w:val="20"/>
          <w:szCs w:val="20"/>
          <w:bdr w:val="none" w:sz="0" w:space="0" w:color="auto"/>
          <w:lang w:val="es-ES_tradnl"/>
        </w:rPr>
        <w:t xml:space="preserve">informe de la Comisión </w:t>
      </w:r>
      <w:proofErr w:type="spellStart"/>
      <w:r w:rsidR="00FA7864">
        <w:rPr>
          <w:rFonts w:ascii="Cambria" w:eastAsia="Times New Roman" w:hAnsi="Cambria"/>
          <w:sz w:val="20"/>
          <w:szCs w:val="20"/>
          <w:bdr w:val="none" w:sz="0" w:space="0" w:color="auto"/>
          <w:lang w:val="es-ES_tradnl"/>
        </w:rPr>
        <w:t>Rettig</w:t>
      </w:r>
      <w:proofErr w:type="spellEnd"/>
      <w:r w:rsidR="00FA786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Indica que e</w:t>
      </w:r>
      <w:r w:rsidR="00BA0A5E" w:rsidRPr="00DC278B">
        <w:rPr>
          <w:rFonts w:ascii="Cambria" w:eastAsia="Times New Roman" w:hAnsi="Cambria"/>
          <w:sz w:val="20"/>
          <w:szCs w:val="20"/>
          <w:bdr w:val="none" w:sz="0" w:space="0" w:color="auto"/>
          <w:lang w:val="es-ES_tradnl"/>
        </w:rPr>
        <w:t>l 27 de enero de 1999, el 8º</w:t>
      </w:r>
      <w:r w:rsidRPr="00DC278B">
        <w:rPr>
          <w:rFonts w:ascii="Cambria" w:eastAsia="Times New Roman" w:hAnsi="Cambria"/>
          <w:sz w:val="20"/>
          <w:szCs w:val="20"/>
          <w:bdr w:val="none" w:sz="0" w:space="0" w:color="auto"/>
          <w:lang w:val="es-ES_tradnl"/>
        </w:rPr>
        <w:t xml:space="preserve"> Juzgado Civil negó la reparación solicitada, al considerar que conforme a las normas de derecho civil, la acción indemnizatoria estaba prescrita. </w:t>
      </w:r>
      <w:r w:rsidR="00B24174" w:rsidRPr="00DC278B">
        <w:rPr>
          <w:rFonts w:ascii="Cambria" w:eastAsia="Times New Roman" w:hAnsi="Cambria"/>
          <w:sz w:val="20"/>
          <w:szCs w:val="20"/>
          <w:bdr w:val="none" w:sz="0" w:space="0" w:color="auto"/>
          <w:lang w:val="es-ES_tradnl"/>
        </w:rPr>
        <w:t>Señala que l</w:t>
      </w:r>
      <w:r w:rsidRPr="00DC278B">
        <w:rPr>
          <w:rFonts w:ascii="Cambria" w:eastAsia="Times New Roman" w:hAnsi="Cambria"/>
          <w:sz w:val="20"/>
          <w:szCs w:val="20"/>
          <w:bdr w:val="none" w:sz="0" w:space="0" w:color="auto"/>
          <w:lang w:val="es-ES_tradnl"/>
        </w:rPr>
        <w:t xml:space="preserve">os demandantes apelaron dicho fallo ante la CAS, la cual confirmó el fallo de primera instancia, </w:t>
      </w:r>
      <w:r w:rsidR="00FA7864">
        <w:rPr>
          <w:rFonts w:ascii="Cambria" w:eastAsia="Times New Roman" w:hAnsi="Cambria"/>
          <w:sz w:val="20"/>
          <w:szCs w:val="20"/>
          <w:bdr w:val="none" w:sz="0" w:space="0" w:color="auto"/>
          <w:lang w:val="es-ES_tradnl"/>
        </w:rPr>
        <w:t>el 10 de diciembre de 2002.</w:t>
      </w:r>
      <w:r w:rsidRPr="00DC278B">
        <w:rPr>
          <w:rFonts w:ascii="Cambria" w:eastAsia="Times New Roman" w:hAnsi="Cambria"/>
          <w:sz w:val="20"/>
          <w:szCs w:val="20"/>
          <w:bdr w:val="none" w:sz="0" w:space="0" w:color="auto"/>
          <w:lang w:val="es-ES_tradnl"/>
        </w:rPr>
        <w:t xml:space="preserve"> </w:t>
      </w:r>
      <w:r w:rsidR="00F00623" w:rsidRPr="00DC278B">
        <w:rPr>
          <w:rFonts w:ascii="Cambria" w:eastAsia="Times New Roman" w:hAnsi="Cambria"/>
          <w:sz w:val="20"/>
          <w:szCs w:val="20"/>
          <w:bdr w:val="none" w:sz="0" w:space="0" w:color="auto"/>
          <w:lang w:val="es-ES_tradnl"/>
        </w:rPr>
        <w:t>Menciona que c</w:t>
      </w:r>
      <w:r w:rsidRPr="00DC278B">
        <w:rPr>
          <w:rFonts w:ascii="Cambria" w:eastAsia="Times New Roman" w:hAnsi="Cambria"/>
          <w:sz w:val="20"/>
          <w:szCs w:val="20"/>
          <w:bdr w:val="none" w:sz="0" w:space="0" w:color="auto"/>
          <w:lang w:val="es-ES_tradnl"/>
        </w:rPr>
        <w:t>ontra este fallo, los demandantes interpu</w:t>
      </w:r>
      <w:r w:rsidR="00F00623" w:rsidRPr="00DC278B">
        <w:rPr>
          <w:rFonts w:ascii="Cambria" w:eastAsia="Times New Roman" w:hAnsi="Cambria"/>
          <w:sz w:val="20"/>
          <w:szCs w:val="20"/>
          <w:bdr w:val="none" w:sz="0" w:space="0" w:color="auto"/>
          <w:lang w:val="es-ES_tradnl"/>
        </w:rPr>
        <w:t>sieron</w:t>
      </w:r>
      <w:r w:rsidRPr="00DC278B">
        <w:rPr>
          <w:rFonts w:ascii="Cambria" w:eastAsia="Times New Roman" w:hAnsi="Cambria"/>
          <w:sz w:val="20"/>
          <w:szCs w:val="20"/>
          <w:bdr w:val="none" w:sz="0" w:space="0" w:color="auto"/>
          <w:lang w:val="es-ES_tradnl"/>
        </w:rPr>
        <w:t xml:space="preserve"> un recurso </w:t>
      </w:r>
      <w:r w:rsidR="00F00623" w:rsidRPr="00DC278B">
        <w:rPr>
          <w:rFonts w:ascii="Cambria" w:eastAsia="Times New Roman" w:hAnsi="Cambria"/>
          <w:sz w:val="20"/>
          <w:szCs w:val="20"/>
          <w:bdr w:val="none" w:sz="0" w:space="0" w:color="auto"/>
          <w:lang w:val="es-ES_tradnl"/>
        </w:rPr>
        <w:t xml:space="preserve">de casación ante la CSJ, el cual </w:t>
      </w:r>
      <w:r w:rsidRPr="00DC278B">
        <w:rPr>
          <w:rFonts w:ascii="Cambria" w:eastAsia="Times New Roman" w:hAnsi="Cambria"/>
          <w:sz w:val="20"/>
          <w:szCs w:val="20"/>
          <w:bdr w:val="none" w:sz="0" w:space="0" w:color="auto"/>
          <w:lang w:val="es-ES_tradnl"/>
        </w:rPr>
        <w:t>fue declarado desierto el 25 de marzo de 2003, al no haberse cumplido con el pago de unas fotocopias</w:t>
      </w:r>
      <w:r w:rsidR="005A68B1"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por lo que el expediente</w:t>
      </w:r>
      <w:r w:rsidR="00FA7864">
        <w:rPr>
          <w:rFonts w:ascii="Cambria" w:eastAsia="Times New Roman" w:hAnsi="Cambria"/>
          <w:sz w:val="20"/>
          <w:szCs w:val="20"/>
          <w:bdr w:val="none" w:sz="0" w:space="0" w:color="auto"/>
          <w:lang w:val="es-ES_tradnl"/>
        </w:rPr>
        <w:t xml:space="preserve"> volvió al tribunal de origen. </w:t>
      </w:r>
      <w:r w:rsidRPr="00DC278B">
        <w:rPr>
          <w:rFonts w:ascii="Cambria" w:eastAsia="Times New Roman" w:hAnsi="Cambria"/>
          <w:sz w:val="20"/>
          <w:szCs w:val="20"/>
          <w:bdr w:val="none" w:sz="0" w:space="0" w:color="auto"/>
          <w:lang w:val="es-ES_tradnl"/>
        </w:rPr>
        <w:t xml:space="preserve">Señala que el 2 de abril de 2003 se dictó la resolución de “cúmplase”, siendo ésta la última decisión pronunciada en la causa.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pStyle w:val="Heading3"/>
        <w:spacing w:before="0"/>
        <w:ind w:left="720"/>
        <w:rPr>
          <w:color w:val="auto"/>
          <w:sz w:val="20"/>
          <w:szCs w:val="20"/>
          <w:bdr w:val="none" w:sz="0" w:space="0" w:color="auto"/>
          <w:lang w:val="es-ES_tradnl"/>
        </w:rPr>
      </w:pPr>
      <w:bookmarkStart w:id="13" w:name="_Toc413397466"/>
      <w:r w:rsidRPr="00DC278B">
        <w:rPr>
          <w:color w:val="auto"/>
          <w:sz w:val="20"/>
          <w:szCs w:val="20"/>
          <w:bdr w:val="none" w:sz="0" w:space="0" w:color="auto"/>
          <w:lang w:val="es-ES_tradnl"/>
        </w:rPr>
        <w:t xml:space="preserve">Caso 12.523 – Alegatos Específicos – Alina Barraza </w:t>
      </w:r>
      <w:proofErr w:type="spellStart"/>
      <w:r w:rsidRPr="00DC278B">
        <w:rPr>
          <w:color w:val="auto"/>
          <w:sz w:val="20"/>
          <w:szCs w:val="20"/>
          <w:bdr w:val="none" w:sz="0" w:space="0" w:color="auto"/>
          <w:lang w:val="es-ES_tradnl"/>
        </w:rPr>
        <w:t>Codeceo</w:t>
      </w:r>
      <w:proofErr w:type="spellEnd"/>
      <w:r w:rsidRPr="00DC278B">
        <w:rPr>
          <w:color w:val="auto"/>
          <w:sz w:val="20"/>
          <w:szCs w:val="20"/>
          <w:bdr w:val="none" w:sz="0" w:space="0" w:color="auto"/>
          <w:lang w:val="es-ES_tradnl"/>
        </w:rPr>
        <w:t xml:space="preserve"> y otros (familiares de Hipólito Cortés Alvarez)</w:t>
      </w:r>
      <w:bookmarkEnd w:id="13"/>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Alega que para la búsqueda de una reparación integral establecida judicialmente</w:t>
      </w:r>
      <w:r w:rsidR="00CB75DC"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w:t>
      </w:r>
      <w:r w:rsidR="0081449E" w:rsidRPr="00DC278B">
        <w:rPr>
          <w:rFonts w:ascii="Cambria" w:eastAsia="Times New Roman" w:hAnsi="Cambria"/>
          <w:sz w:val="20"/>
          <w:szCs w:val="20"/>
          <w:bdr w:val="none" w:sz="0" w:space="0" w:color="auto"/>
          <w:lang w:val="es-ES_tradnl"/>
        </w:rPr>
        <w:t>en 1999</w:t>
      </w:r>
      <w:r w:rsidRPr="00DC278B">
        <w:rPr>
          <w:rFonts w:ascii="Cambria" w:eastAsia="Times New Roman" w:hAnsi="Cambria"/>
          <w:sz w:val="20"/>
          <w:szCs w:val="20"/>
          <w:bdr w:val="none" w:sz="0" w:space="0" w:color="auto"/>
          <w:lang w:val="es-ES_tradnl"/>
        </w:rPr>
        <w:t xml:space="preserve">, la esposa y los hijos de Jorge Cortés presentaron una demanda por perjuicios ante el Segundo Juzgado Civil de “La Serena”, </w:t>
      </w:r>
      <w:r w:rsidR="0016081C" w:rsidRPr="00DC278B">
        <w:rPr>
          <w:rFonts w:ascii="Cambria" w:eastAsia="Times New Roman" w:hAnsi="Cambria"/>
          <w:sz w:val="20"/>
          <w:szCs w:val="20"/>
          <w:bdr w:val="none" w:sz="0" w:space="0" w:color="auto"/>
          <w:lang w:val="es-ES_tradnl"/>
        </w:rPr>
        <w:t>(en adelante “</w:t>
      </w:r>
      <w:r w:rsidR="005A68B1" w:rsidRPr="00DC278B">
        <w:rPr>
          <w:rFonts w:ascii="Cambria" w:eastAsia="Times New Roman" w:hAnsi="Cambria"/>
          <w:sz w:val="20"/>
          <w:szCs w:val="20"/>
          <w:bdr w:val="none" w:sz="0" w:space="0" w:color="auto"/>
          <w:lang w:val="es-ES_tradnl"/>
        </w:rPr>
        <w:t xml:space="preserve">el </w:t>
      </w:r>
      <w:r w:rsidR="0016081C" w:rsidRPr="00DC278B">
        <w:rPr>
          <w:rFonts w:ascii="Cambria" w:eastAsia="Times New Roman" w:hAnsi="Cambria"/>
          <w:sz w:val="20"/>
          <w:szCs w:val="20"/>
          <w:bdr w:val="none" w:sz="0" w:space="0" w:color="auto"/>
          <w:lang w:val="es-ES_tradnl"/>
        </w:rPr>
        <w:t>2</w:t>
      </w:r>
      <w:r w:rsidR="00B25D62" w:rsidRPr="00DC278B">
        <w:rPr>
          <w:rFonts w:ascii="Cambria" w:hAnsi="Cambria"/>
          <w:sz w:val="20"/>
          <w:szCs w:val="20"/>
          <w:lang w:val="es-ES"/>
        </w:rPr>
        <w:t>º</w:t>
      </w:r>
      <w:r w:rsidR="0016081C" w:rsidRPr="00DC278B">
        <w:rPr>
          <w:rFonts w:ascii="Cambria" w:eastAsia="Times New Roman" w:hAnsi="Cambria"/>
          <w:sz w:val="20"/>
          <w:szCs w:val="20"/>
          <w:bdr w:val="none" w:sz="0" w:space="0" w:color="auto"/>
          <w:lang w:val="es-ES_tradnl"/>
        </w:rPr>
        <w:t xml:space="preserve"> Juzgado Civil”) </w:t>
      </w:r>
      <w:r w:rsidRPr="00DC278B">
        <w:rPr>
          <w:rFonts w:ascii="Cambria" w:eastAsia="Times New Roman" w:hAnsi="Cambria"/>
          <w:sz w:val="20"/>
          <w:szCs w:val="20"/>
          <w:bdr w:val="none" w:sz="0" w:space="0" w:color="auto"/>
          <w:lang w:val="es-ES_tradnl"/>
        </w:rPr>
        <w:t xml:space="preserve">dándose inicio al proceso </w:t>
      </w:r>
      <w:r w:rsidR="002F225F" w:rsidRPr="00DC278B">
        <w:rPr>
          <w:rFonts w:ascii="Cambria" w:eastAsia="Times New Roman" w:hAnsi="Cambria"/>
          <w:sz w:val="20"/>
          <w:szCs w:val="20"/>
          <w:bdr w:val="none" w:sz="0" w:space="0" w:color="auto"/>
          <w:lang w:val="es-ES_tradnl"/>
        </w:rPr>
        <w:t>“Corté</w:t>
      </w:r>
      <w:r w:rsidRPr="00DC278B">
        <w:rPr>
          <w:rFonts w:ascii="Cambria" w:eastAsia="Times New Roman" w:hAnsi="Cambria"/>
          <w:sz w:val="20"/>
          <w:szCs w:val="20"/>
          <w:bdr w:val="none" w:sz="0" w:space="0" w:color="auto"/>
          <w:lang w:val="es-ES_tradnl"/>
        </w:rPr>
        <w:t>s con Fisco de Chile”, Rol 1122-99</w:t>
      </w:r>
      <w:r w:rsidR="00CB75DC" w:rsidRPr="00DC278B">
        <w:rPr>
          <w:rFonts w:ascii="Cambria" w:eastAsia="Times New Roman" w:hAnsi="Cambria"/>
          <w:sz w:val="20"/>
          <w:szCs w:val="20"/>
          <w:bdr w:val="none" w:sz="0" w:space="0" w:color="auto"/>
          <w:lang w:val="es-ES_tradnl"/>
        </w:rPr>
        <w:t>, por su detención y ejecución</w:t>
      </w:r>
      <w:r w:rsidR="0081449E" w:rsidRPr="00DC278B">
        <w:rPr>
          <w:rFonts w:ascii="Cambria" w:eastAsia="Times New Roman" w:hAnsi="Cambria"/>
          <w:sz w:val="20"/>
          <w:szCs w:val="20"/>
          <w:bdr w:val="none" w:sz="0" w:space="0" w:color="auto"/>
          <w:lang w:val="es-ES_tradnl"/>
        </w:rPr>
        <w:t xml:space="preserve"> en 1973</w:t>
      </w:r>
      <w:r w:rsidR="00044991" w:rsidRPr="00DC278B">
        <w:rPr>
          <w:rFonts w:ascii="Cambria" w:eastAsia="Times New Roman" w:hAnsi="Cambria"/>
          <w:sz w:val="20"/>
          <w:szCs w:val="20"/>
          <w:bdr w:val="none" w:sz="0" w:space="0" w:color="auto"/>
          <w:lang w:val="es-ES_tradnl"/>
        </w:rPr>
        <w:t xml:space="preserve">, tal como fue reconocido por el informe de la Comisión </w:t>
      </w:r>
      <w:proofErr w:type="spellStart"/>
      <w:r w:rsidR="00044991" w:rsidRPr="00DC278B">
        <w:rPr>
          <w:rFonts w:ascii="Cambria" w:eastAsia="Times New Roman" w:hAnsi="Cambria"/>
          <w:sz w:val="20"/>
          <w:szCs w:val="20"/>
          <w:bdr w:val="none" w:sz="0" w:space="0" w:color="auto"/>
          <w:lang w:val="es-ES_tradnl"/>
        </w:rPr>
        <w:t>Rettig</w:t>
      </w:r>
      <w:proofErr w:type="spellEnd"/>
      <w:r w:rsidR="00044991" w:rsidRPr="00DC278B">
        <w:rPr>
          <w:rFonts w:ascii="Cambria" w:eastAsia="Times New Roman" w:hAnsi="Cambria"/>
          <w:sz w:val="20"/>
          <w:szCs w:val="20"/>
          <w:bdr w:val="none" w:sz="0" w:space="0" w:color="auto"/>
          <w:lang w:val="es-ES_tradnl"/>
        </w:rPr>
        <w:t>.</w:t>
      </w:r>
      <w:r w:rsidR="00FA786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Indica que e</w:t>
      </w:r>
      <w:r w:rsidR="0016081C" w:rsidRPr="00DC278B">
        <w:rPr>
          <w:rFonts w:ascii="Cambria" w:eastAsia="Times New Roman" w:hAnsi="Cambria"/>
          <w:sz w:val="20"/>
          <w:szCs w:val="20"/>
          <w:bdr w:val="none" w:sz="0" w:space="0" w:color="auto"/>
          <w:lang w:val="es-ES_tradnl"/>
        </w:rPr>
        <w:t>l 9 de marzo de 2001, el 2</w:t>
      </w:r>
      <w:r w:rsidR="00B25D62" w:rsidRPr="00DC278B">
        <w:rPr>
          <w:rFonts w:ascii="Cambria" w:hAnsi="Cambria"/>
          <w:sz w:val="20"/>
          <w:szCs w:val="20"/>
          <w:lang w:val="es-ES"/>
        </w:rPr>
        <w:t>º</w:t>
      </w:r>
      <w:r w:rsidRPr="00DC278B">
        <w:rPr>
          <w:rFonts w:ascii="Cambria" w:eastAsia="Times New Roman" w:hAnsi="Cambria"/>
          <w:sz w:val="20"/>
          <w:szCs w:val="20"/>
          <w:bdr w:val="none" w:sz="0" w:space="0" w:color="auto"/>
          <w:lang w:val="es-ES_tradnl"/>
        </w:rPr>
        <w:t xml:space="preserve"> Juzgado Civil acogió la demanda y condenó al Estado a pagar la suma de quince millones de pesos para cada </w:t>
      </w:r>
      <w:r w:rsidR="00FA7864">
        <w:rPr>
          <w:rFonts w:ascii="Cambria" w:eastAsia="Times New Roman" w:hAnsi="Cambria"/>
          <w:sz w:val="20"/>
          <w:szCs w:val="20"/>
          <w:bdr w:val="none" w:sz="0" w:space="0" w:color="auto"/>
          <w:lang w:val="es-ES_tradnl"/>
        </w:rPr>
        <w:t>uno de los demandantes.</w:t>
      </w:r>
      <w:r w:rsidRPr="00DC278B">
        <w:rPr>
          <w:rFonts w:ascii="Cambria" w:eastAsia="Times New Roman" w:hAnsi="Cambria"/>
          <w:sz w:val="20"/>
          <w:szCs w:val="20"/>
          <w:bdr w:val="none" w:sz="0" w:space="0" w:color="auto"/>
          <w:lang w:val="es-ES_tradnl"/>
        </w:rPr>
        <w:t xml:space="preserve"> </w:t>
      </w:r>
      <w:r w:rsidR="00D174CB" w:rsidRPr="00DC278B">
        <w:rPr>
          <w:rFonts w:ascii="Cambria" w:eastAsia="Times New Roman" w:hAnsi="Cambria"/>
          <w:sz w:val="20"/>
          <w:szCs w:val="20"/>
          <w:bdr w:val="none" w:sz="0" w:space="0" w:color="auto"/>
          <w:lang w:val="es-ES_tradnl"/>
        </w:rPr>
        <w:t>Señala que c</w:t>
      </w:r>
      <w:r w:rsidRPr="00DC278B">
        <w:rPr>
          <w:rFonts w:ascii="Cambria" w:eastAsia="Times New Roman" w:hAnsi="Cambria"/>
          <w:sz w:val="20"/>
          <w:szCs w:val="20"/>
          <w:bdr w:val="none" w:sz="0" w:space="0" w:color="auto"/>
          <w:lang w:val="es-ES_tradnl"/>
        </w:rPr>
        <w:t>ontra este fallo, el Fisco de Chile interpu</w:t>
      </w:r>
      <w:r w:rsidR="00D174CB" w:rsidRPr="00DC278B">
        <w:rPr>
          <w:rFonts w:ascii="Cambria" w:eastAsia="Times New Roman" w:hAnsi="Cambria"/>
          <w:sz w:val="20"/>
          <w:szCs w:val="20"/>
          <w:bdr w:val="none" w:sz="0" w:space="0" w:color="auto"/>
          <w:lang w:val="es-ES_tradnl"/>
        </w:rPr>
        <w:t xml:space="preserve">so </w:t>
      </w:r>
      <w:r w:rsidRPr="00DC278B">
        <w:rPr>
          <w:rFonts w:ascii="Cambria" w:eastAsia="Times New Roman" w:hAnsi="Cambria"/>
          <w:sz w:val="20"/>
          <w:szCs w:val="20"/>
          <w:bdr w:val="none" w:sz="0" w:space="0" w:color="auto"/>
          <w:lang w:val="es-ES_tradnl"/>
        </w:rPr>
        <w:t xml:space="preserve">un recurso de apelación ante la CAS de “La Serena” la cual </w:t>
      </w:r>
      <w:r w:rsidR="00D174CB" w:rsidRPr="00DC278B">
        <w:rPr>
          <w:rFonts w:ascii="Cambria" w:eastAsia="Times New Roman" w:hAnsi="Cambria"/>
          <w:sz w:val="20"/>
          <w:szCs w:val="20"/>
          <w:bdr w:val="none" w:sz="0" w:space="0" w:color="auto"/>
          <w:lang w:val="es-ES_tradnl"/>
        </w:rPr>
        <w:t xml:space="preserve">revocó </w:t>
      </w:r>
      <w:r w:rsidRPr="00DC278B">
        <w:rPr>
          <w:rFonts w:ascii="Cambria" w:eastAsia="Times New Roman" w:hAnsi="Cambria"/>
          <w:sz w:val="20"/>
          <w:szCs w:val="20"/>
          <w:bdr w:val="none" w:sz="0" w:space="0" w:color="auto"/>
          <w:lang w:val="es-ES_tradnl"/>
        </w:rPr>
        <w:t xml:space="preserve">el fallo de primera instancia, </w:t>
      </w:r>
      <w:r w:rsidR="00DE2DCE" w:rsidRPr="00DC278B">
        <w:rPr>
          <w:rFonts w:ascii="Cambria" w:eastAsia="Times New Roman" w:hAnsi="Cambria"/>
          <w:sz w:val="20"/>
          <w:szCs w:val="20"/>
          <w:bdr w:val="none" w:sz="0" w:space="0" w:color="auto"/>
          <w:lang w:val="es-ES_tradnl"/>
        </w:rPr>
        <w:t xml:space="preserve">el </w:t>
      </w:r>
      <w:r w:rsidRPr="00DC278B">
        <w:rPr>
          <w:rFonts w:ascii="Cambria" w:eastAsia="Times New Roman" w:hAnsi="Cambria"/>
          <w:sz w:val="20"/>
          <w:szCs w:val="20"/>
          <w:bdr w:val="none" w:sz="0" w:space="0" w:color="auto"/>
          <w:lang w:val="es-ES_tradnl"/>
        </w:rPr>
        <w:t>9 de abril de 2002, acogiendo el planteamiento de prescripción presentado</w:t>
      </w:r>
      <w:r w:rsidR="00FA7864">
        <w:rPr>
          <w:rFonts w:ascii="Cambria" w:eastAsia="Times New Roman" w:hAnsi="Cambria"/>
          <w:sz w:val="20"/>
          <w:szCs w:val="20"/>
          <w:bdr w:val="none" w:sz="0" w:space="0" w:color="auto"/>
          <w:lang w:val="es-ES_tradnl"/>
        </w:rPr>
        <w:t xml:space="preserve"> por el Estado.</w:t>
      </w:r>
      <w:r w:rsidRPr="00DC278B">
        <w:rPr>
          <w:rFonts w:ascii="Cambria" w:eastAsia="Times New Roman" w:hAnsi="Cambria"/>
          <w:sz w:val="20"/>
          <w:szCs w:val="20"/>
          <w:bdr w:val="none" w:sz="0" w:space="0" w:color="auto"/>
          <w:lang w:val="es-ES_tradnl"/>
        </w:rPr>
        <w:t xml:space="preserve"> Indica que contra este fallo los demandantes interpusieron un recurso de casación ante la CSJ, el cual fue rechazado el 7 de mayo de 2003, dejando en firme el rechazo de la indem</w:t>
      </w:r>
      <w:r w:rsidR="00FA7864">
        <w:rPr>
          <w:rFonts w:ascii="Cambria" w:eastAsia="Times New Roman" w:hAnsi="Cambria"/>
          <w:sz w:val="20"/>
          <w:szCs w:val="20"/>
          <w:bdr w:val="none" w:sz="0" w:space="0" w:color="auto"/>
          <w:lang w:val="es-ES_tradnl"/>
        </w:rPr>
        <w:t xml:space="preserve">nización para los demandantes. </w:t>
      </w:r>
      <w:r w:rsidRPr="00DC278B">
        <w:rPr>
          <w:rFonts w:ascii="Cambria" w:eastAsia="Times New Roman" w:hAnsi="Cambria"/>
          <w:sz w:val="20"/>
          <w:szCs w:val="20"/>
          <w:bdr w:val="none" w:sz="0" w:space="0" w:color="auto"/>
          <w:lang w:val="es-ES_tradnl"/>
        </w:rPr>
        <w:t xml:space="preserve">Señala que el expediente volvió a su tribunal de origen y en junio de 2003 se habría dictado resolución de “cúmplase”, siendo ésta la última decisión pronunciada en la causa, la cual pone término al proceso y ordena su archivo.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DC278B" w:rsidP="00DC278B">
      <w:pPr>
        <w:pStyle w:val="Heading3"/>
        <w:spacing w:before="0"/>
        <w:ind w:left="720"/>
        <w:jc w:val="both"/>
        <w:rPr>
          <w:color w:val="auto"/>
          <w:sz w:val="20"/>
          <w:szCs w:val="20"/>
          <w:bdr w:val="none" w:sz="0" w:space="0" w:color="auto"/>
          <w:lang w:val="es-ES_tradnl"/>
        </w:rPr>
      </w:pPr>
      <w:bookmarkStart w:id="14" w:name="_Toc413397467"/>
      <w:r w:rsidRPr="00DC278B">
        <w:rPr>
          <w:color w:val="auto"/>
          <w:sz w:val="20"/>
          <w:szCs w:val="20"/>
          <w:bdr w:val="none" w:sz="0" w:space="0" w:color="auto"/>
          <w:lang w:val="es-ES_tradnl"/>
        </w:rPr>
        <w:br w:type="page"/>
      </w:r>
      <w:r w:rsidR="005F74FD" w:rsidRPr="00DC278B">
        <w:rPr>
          <w:color w:val="auto"/>
          <w:sz w:val="20"/>
          <w:szCs w:val="20"/>
          <w:bdr w:val="none" w:sz="0" w:space="0" w:color="auto"/>
          <w:lang w:val="es-ES_tradnl"/>
        </w:rPr>
        <w:t>Caso 12.520 – Alegatos Específicos – Magdalena Mercedes Navarrete y otr</w:t>
      </w:r>
      <w:r w:rsidR="007A17E4" w:rsidRPr="00DC278B">
        <w:rPr>
          <w:color w:val="auto"/>
          <w:sz w:val="20"/>
          <w:szCs w:val="20"/>
          <w:bdr w:val="none" w:sz="0" w:space="0" w:color="auto"/>
          <w:lang w:val="es-ES_tradnl"/>
        </w:rPr>
        <w:t xml:space="preserve">os (familiares de Mario Melo </w:t>
      </w:r>
      <w:proofErr w:type="spellStart"/>
      <w:r w:rsidR="007A17E4" w:rsidRPr="00DC278B">
        <w:rPr>
          <w:color w:val="auto"/>
          <w:sz w:val="20"/>
          <w:szCs w:val="20"/>
          <w:bdr w:val="none" w:sz="0" w:space="0" w:color="auto"/>
          <w:lang w:val="es-ES_tradnl"/>
        </w:rPr>
        <w:t>Pra</w:t>
      </w:r>
      <w:r w:rsidR="005F74FD" w:rsidRPr="00DC278B">
        <w:rPr>
          <w:color w:val="auto"/>
          <w:sz w:val="20"/>
          <w:szCs w:val="20"/>
          <w:bdr w:val="none" w:sz="0" w:space="0" w:color="auto"/>
          <w:lang w:val="es-ES_tradnl"/>
        </w:rPr>
        <w:t>denas</w:t>
      </w:r>
      <w:proofErr w:type="spellEnd"/>
      <w:r w:rsidR="005F74FD" w:rsidRPr="00DC278B">
        <w:rPr>
          <w:color w:val="auto"/>
          <w:sz w:val="20"/>
          <w:szCs w:val="20"/>
          <w:bdr w:val="none" w:sz="0" w:space="0" w:color="auto"/>
          <w:lang w:val="es-ES_tradnl"/>
        </w:rPr>
        <w:t xml:space="preserve">, Ramón Luis Vivanco, Rodolfo Alejandro Espejo </w:t>
      </w:r>
      <w:r w:rsidR="00C96C27" w:rsidRPr="00DC278B">
        <w:rPr>
          <w:color w:val="auto"/>
          <w:sz w:val="20"/>
          <w:szCs w:val="20"/>
          <w:bdr w:val="none" w:sz="0" w:space="0" w:color="auto"/>
          <w:lang w:val="es-ES_tradnl"/>
        </w:rPr>
        <w:t>Gómez</w:t>
      </w:r>
      <w:r w:rsidR="005F74FD" w:rsidRPr="00DC278B">
        <w:rPr>
          <w:color w:val="auto"/>
          <w:sz w:val="20"/>
          <w:szCs w:val="20"/>
          <w:bdr w:val="none" w:sz="0" w:space="0" w:color="auto"/>
          <w:lang w:val="es-ES_tradnl"/>
        </w:rPr>
        <w:t xml:space="preserve"> y Sergio Alfonso Reyes Navarrete)</w:t>
      </w:r>
      <w:bookmarkEnd w:id="14"/>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Indica que para </w:t>
      </w:r>
      <w:r w:rsidR="00C96C27" w:rsidRPr="00DC278B">
        <w:rPr>
          <w:rFonts w:ascii="Cambria" w:eastAsia="Times New Roman" w:hAnsi="Cambria"/>
          <w:sz w:val="20"/>
          <w:szCs w:val="20"/>
          <w:bdr w:val="none" w:sz="0" w:space="0" w:color="auto"/>
          <w:lang w:val="es-ES_tradnl"/>
        </w:rPr>
        <w:t xml:space="preserve">la </w:t>
      </w:r>
      <w:r w:rsidRPr="00DC278B">
        <w:rPr>
          <w:rFonts w:ascii="Cambria" w:eastAsia="Times New Roman" w:hAnsi="Cambria"/>
          <w:sz w:val="20"/>
          <w:szCs w:val="20"/>
          <w:bdr w:val="none" w:sz="0" w:space="0" w:color="auto"/>
          <w:lang w:val="es-ES_tradnl"/>
        </w:rPr>
        <w:t>búsqueda de una reparación integral establecida judicialmente</w:t>
      </w:r>
      <w:r w:rsidR="0052356C" w:rsidRPr="00DC278B">
        <w:rPr>
          <w:rFonts w:ascii="Cambria" w:eastAsia="Times New Roman" w:hAnsi="Cambria"/>
          <w:sz w:val="20"/>
          <w:szCs w:val="20"/>
          <w:bdr w:val="none" w:sz="0" w:space="0" w:color="auto"/>
          <w:lang w:val="es-ES_tradnl"/>
        </w:rPr>
        <w:t>,</w:t>
      </w:r>
      <w:r w:rsidR="00DC6F6C" w:rsidRPr="00DC278B">
        <w:rPr>
          <w:rFonts w:ascii="Cambria" w:eastAsia="Times New Roman" w:hAnsi="Cambria"/>
          <w:sz w:val="20"/>
          <w:szCs w:val="20"/>
          <w:bdr w:val="none" w:sz="0" w:space="0" w:color="auto"/>
          <w:lang w:val="es-ES_tradnl"/>
        </w:rPr>
        <w:t xml:space="preserve"> </w:t>
      </w:r>
      <w:r w:rsidR="00CB75DC" w:rsidRPr="00DC278B">
        <w:rPr>
          <w:rFonts w:ascii="Cambria" w:eastAsia="Times New Roman" w:hAnsi="Cambria"/>
          <w:sz w:val="20"/>
          <w:szCs w:val="20"/>
          <w:bdr w:val="none" w:sz="0" w:space="0" w:color="auto"/>
          <w:lang w:val="es-ES_tradnl"/>
        </w:rPr>
        <w:t>la</w:t>
      </w:r>
      <w:r w:rsidR="00DC6F6C" w:rsidRPr="00DC278B">
        <w:rPr>
          <w:rFonts w:ascii="Cambria" w:eastAsia="Times New Roman" w:hAnsi="Cambria"/>
          <w:sz w:val="20"/>
          <w:szCs w:val="20"/>
          <w:bdr w:val="none" w:sz="0" w:space="0" w:color="auto"/>
          <w:lang w:val="es-ES_tradnl"/>
        </w:rPr>
        <w:t xml:space="preserve"> madre y hermanos</w:t>
      </w:r>
      <w:r w:rsidR="00CB75DC" w:rsidRPr="00DC278B">
        <w:rPr>
          <w:rFonts w:ascii="Cambria" w:eastAsia="Times New Roman" w:hAnsi="Cambria"/>
          <w:sz w:val="20"/>
          <w:szCs w:val="20"/>
          <w:bdr w:val="none" w:sz="0" w:space="0" w:color="auto"/>
          <w:lang w:val="es-ES_tradnl"/>
        </w:rPr>
        <w:t xml:space="preserve"> de Sergio Reyes</w:t>
      </w:r>
      <w:r w:rsidR="006F47F5" w:rsidRPr="00DC278B">
        <w:rPr>
          <w:rFonts w:ascii="Cambria" w:eastAsia="Times New Roman" w:hAnsi="Cambria"/>
          <w:sz w:val="20"/>
          <w:szCs w:val="20"/>
          <w:bdr w:val="none" w:sz="0" w:space="0" w:color="auto"/>
          <w:lang w:val="es-ES_tradnl"/>
        </w:rPr>
        <w:t xml:space="preserve"> -</w:t>
      </w:r>
      <w:r w:rsidR="00DC6F6C"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Magdalena Mercedes Navarrete, Alberto Reyes Navarrete, Víctor Eduardo Reyes Navarrete y Patricio Hernán Reyes Navarrete</w:t>
      </w:r>
      <w:r w:rsidR="006F47F5"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 demandaron reparación por el daño moral por </w:t>
      </w:r>
      <w:r w:rsidR="00CB75DC" w:rsidRPr="00DC278B">
        <w:rPr>
          <w:rFonts w:ascii="Cambria" w:eastAsia="Times New Roman" w:hAnsi="Cambria"/>
          <w:sz w:val="20"/>
          <w:szCs w:val="20"/>
          <w:bdr w:val="none" w:sz="0" w:space="0" w:color="auto"/>
          <w:lang w:val="es-ES_tradnl"/>
        </w:rPr>
        <w:t xml:space="preserve">su secuestro y desaparición </w:t>
      </w:r>
      <w:r w:rsidR="0081449E" w:rsidRPr="00DC278B">
        <w:rPr>
          <w:rFonts w:ascii="Cambria" w:eastAsia="Times New Roman" w:hAnsi="Cambria"/>
          <w:sz w:val="20"/>
          <w:szCs w:val="20"/>
          <w:bdr w:val="none" w:sz="0" w:space="0" w:color="auto"/>
          <w:lang w:val="es-ES_tradnl"/>
        </w:rPr>
        <w:t>en 1974</w:t>
      </w:r>
      <w:r w:rsidR="00133B71" w:rsidRPr="00DC278B">
        <w:rPr>
          <w:rFonts w:ascii="Cambria" w:eastAsia="Times New Roman" w:hAnsi="Cambria"/>
          <w:sz w:val="20"/>
          <w:szCs w:val="20"/>
          <w:bdr w:val="none" w:sz="0" w:space="0" w:color="auto"/>
          <w:lang w:val="es-ES_tradnl"/>
        </w:rPr>
        <w:t xml:space="preserve">, tal como fue reconocido por el informe de la Comisión </w:t>
      </w:r>
      <w:proofErr w:type="spellStart"/>
      <w:r w:rsidR="00133B71" w:rsidRPr="00DC278B">
        <w:rPr>
          <w:rFonts w:ascii="Cambria" w:eastAsia="Times New Roman" w:hAnsi="Cambria"/>
          <w:sz w:val="20"/>
          <w:szCs w:val="20"/>
          <w:bdr w:val="none" w:sz="0" w:space="0" w:color="auto"/>
          <w:lang w:val="es-ES_tradnl"/>
        </w:rPr>
        <w:t>Rettig</w:t>
      </w:r>
      <w:proofErr w:type="spellEnd"/>
      <w:r w:rsidR="00133B71" w:rsidRPr="00DC278B">
        <w:rPr>
          <w:rFonts w:ascii="Cambria" w:eastAsia="Times New Roman" w:hAnsi="Cambria"/>
          <w:sz w:val="20"/>
          <w:szCs w:val="20"/>
          <w:bdr w:val="none" w:sz="0" w:space="0" w:color="auto"/>
          <w:lang w:val="es-ES_tradnl"/>
        </w:rPr>
        <w:t>.</w:t>
      </w:r>
      <w:r w:rsidR="0081449E"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y</w:t>
      </w:r>
      <w:r w:rsidR="004F5006" w:rsidRPr="00DC278B">
        <w:rPr>
          <w:rFonts w:ascii="Cambria" w:eastAsia="Times New Roman" w:hAnsi="Cambria"/>
          <w:sz w:val="20"/>
          <w:szCs w:val="20"/>
          <w:bdr w:val="none" w:sz="0" w:space="0" w:color="auto"/>
          <w:lang w:val="es-ES_tradnl"/>
        </w:rPr>
        <w:t xml:space="preserve"> que el 19 de junio de 2002, </w:t>
      </w:r>
      <w:r w:rsidR="0052356C" w:rsidRPr="00DC278B">
        <w:rPr>
          <w:rFonts w:ascii="Cambria" w:eastAsia="Times New Roman" w:hAnsi="Cambria"/>
          <w:sz w:val="20"/>
          <w:szCs w:val="20"/>
          <w:bdr w:val="none" w:sz="0" w:space="0" w:color="auto"/>
          <w:lang w:val="es-ES_tradnl"/>
        </w:rPr>
        <w:t xml:space="preserve">el </w:t>
      </w:r>
      <w:r w:rsidR="004F5006" w:rsidRPr="00DC278B">
        <w:rPr>
          <w:rFonts w:ascii="Cambria" w:eastAsia="Times New Roman" w:hAnsi="Cambria"/>
          <w:sz w:val="20"/>
          <w:szCs w:val="20"/>
          <w:bdr w:val="none" w:sz="0" w:space="0" w:color="auto"/>
          <w:lang w:val="es-ES_tradnl"/>
        </w:rPr>
        <w:t>Décimo Séptimo</w:t>
      </w:r>
      <w:r w:rsidRPr="00DC278B">
        <w:rPr>
          <w:rFonts w:ascii="Cambria" w:eastAsia="Times New Roman" w:hAnsi="Cambria"/>
          <w:sz w:val="20"/>
          <w:szCs w:val="20"/>
          <w:bdr w:val="none" w:sz="0" w:space="0" w:color="auto"/>
          <w:lang w:val="es-ES_tradnl"/>
        </w:rPr>
        <w:t xml:space="preserve"> Juzgado Civil de Santiago</w:t>
      </w:r>
      <w:r w:rsidR="004F5006" w:rsidRPr="00DC278B">
        <w:rPr>
          <w:rFonts w:ascii="Cambria" w:eastAsia="Times New Roman" w:hAnsi="Cambria"/>
          <w:sz w:val="20"/>
          <w:szCs w:val="20"/>
          <w:bdr w:val="none" w:sz="0" w:space="0" w:color="auto"/>
          <w:lang w:val="es-ES_tradnl"/>
        </w:rPr>
        <w:t xml:space="preserve"> (en adelante “</w:t>
      </w:r>
      <w:r w:rsidR="00D174CB" w:rsidRPr="00DC278B">
        <w:rPr>
          <w:rFonts w:ascii="Cambria" w:eastAsia="Times New Roman" w:hAnsi="Cambria"/>
          <w:sz w:val="20"/>
          <w:szCs w:val="20"/>
          <w:bdr w:val="none" w:sz="0" w:space="0" w:color="auto"/>
          <w:lang w:val="es-ES_tradnl"/>
        </w:rPr>
        <w:t xml:space="preserve">el </w:t>
      </w:r>
      <w:r w:rsidR="004F5006" w:rsidRPr="00DC278B">
        <w:rPr>
          <w:rFonts w:ascii="Cambria" w:eastAsia="Times New Roman" w:hAnsi="Cambria"/>
          <w:sz w:val="20"/>
          <w:szCs w:val="20"/>
          <w:bdr w:val="none" w:sz="0" w:space="0" w:color="auto"/>
          <w:lang w:val="es-ES_tradnl"/>
        </w:rPr>
        <w:t>17</w:t>
      </w:r>
      <w:r w:rsidR="004F5006" w:rsidRPr="00DC278B">
        <w:rPr>
          <w:rFonts w:ascii="Cambria" w:hAnsi="Cambria"/>
          <w:sz w:val="20"/>
          <w:szCs w:val="20"/>
          <w:lang w:val="es-ES"/>
        </w:rPr>
        <w:t>º</w:t>
      </w:r>
      <w:r w:rsidR="004F5006" w:rsidRPr="00DC278B">
        <w:rPr>
          <w:rFonts w:ascii="Cambria" w:eastAsia="Times New Roman" w:hAnsi="Cambria"/>
          <w:sz w:val="20"/>
          <w:szCs w:val="20"/>
          <w:bdr w:val="none" w:sz="0" w:space="0" w:color="auto"/>
          <w:lang w:val="es-ES_tradnl"/>
        </w:rPr>
        <w:t xml:space="preserve"> Juzgado Civil”)</w:t>
      </w:r>
      <w:r w:rsidRPr="00DC278B">
        <w:rPr>
          <w:rFonts w:ascii="Cambria" w:eastAsia="Times New Roman" w:hAnsi="Cambria"/>
          <w:sz w:val="20"/>
          <w:szCs w:val="20"/>
          <w:bdr w:val="none" w:sz="0" w:space="0" w:color="auto"/>
          <w:lang w:val="es-ES_tradnl"/>
        </w:rPr>
        <w:t xml:space="preserve">, en el juicio </w:t>
      </w:r>
      <w:r w:rsidR="00F97E62" w:rsidRPr="00DC278B">
        <w:rPr>
          <w:rFonts w:ascii="Cambria" w:eastAsia="Times New Roman" w:hAnsi="Cambria"/>
          <w:sz w:val="20"/>
          <w:szCs w:val="20"/>
          <w:bdr w:val="none" w:sz="0" w:space="0" w:color="auto"/>
          <w:lang w:val="es-ES_tradnl"/>
        </w:rPr>
        <w:t>“Navarrete con Fisco de Chile”, Rol 3118-2000,</w:t>
      </w:r>
      <w:r w:rsidR="00CB75DC" w:rsidRPr="00DC278B">
        <w:rPr>
          <w:rFonts w:ascii="Cambria" w:eastAsia="Times New Roman" w:hAnsi="Cambria"/>
          <w:sz w:val="20"/>
          <w:szCs w:val="20"/>
          <w:bdr w:val="none" w:sz="0" w:space="0" w:color="auto"/>
          <w:lang w:val="es-ES_tradnl"/>
        </w:rPr>
        <w:t xml:space="preserve"> negó dicha</w:t>
      </w:r>
      <w:r w:rsidRPr="00DC278B">
        <w:rPr>
          <w:rFonts w:ascii="Cambria" w:eastAsia="Times New Roman" w:hAnsi="Cambria"/>
          <w:sz w:val="20"/>
          <w:szCs w:val="20"/>
          <w:bdr w:val="none" w:sz="0" w:space="0" w:color="auto"/>
          <w:lang w:val="es-ES_tradnl"/>
        </w:rPr>
        <w:t xml:space="preserve"> reparación</w:t>
      </w:r>
      <w:r w:rsidR="003F0C00" w:rsidRPr="00DC278B">
        <w:rPr>
          <w:rFonts w:ascii="Cambria" w:eastAsia="Times New Roman" w:hAnsi="Cambria"/>
          <w:sz w:val="20"/>
          <w:szCs w:val="20"/>
          <w:bdr w:val="none" w:sz="0" w:space="0" w:color="auto"/>
          <w:lang w:val="es-ES_tradnl"/>
        </w:rPr>
        <w:t xml:space="preserve"> en aplicación del plazo de prescripción.</w:t>
      </w:r>
      <w:r w:rsidR="00FA786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Indica que el 7 de noviembre de 2002, los demandantes presentaron un recurso de apelación, el cual fue declarado desierto por</w:t>
      </w:r>
      <w:r w:rsidR="00D94A3B" w:rsidRPr="00DC278B">
        <w:rPr>
          <w:rFonts w:ascii="Cambria" w:eastAsia="Times New Roman" w:hAnsi="Cambria"/>
          <w:sz w:val="20"/>
          <w:szCs w:val="20"/>
          <w:bdr w:val="none" w:sz="0" w:space="0" w:color="auto"/>
          <w:lang w:val="es-ES_tradnl"/>
        </w:rPr>
        <w:t xml:space="preserve"> la CAS</w:t>
      </w:r>
      <w:r w:rsidRPr="00DC278B">
        <w:rPr>
          <w:rFonts w:ascii="Cambria" w:eastAsia="Times New Roman" w:hAnsi="Cambria"/>
          <w:sz w:val="20"/>
          <w:szCs w:val="20"/>
          <w:bdr w:val="none" w:sz="0" w:space="0" w:color="auto"/>
          <w:lang w:val="es-ES_tradnl"/>
        </w:rPr>
        <w:t xml:space="preserve">, la cual devolvió el expediente al </w:t>
      </w:r>
      <w:r w:rsidR="002878DF">
        <w:rPr>
          <w:rFonts w:ascii="Cambria" w:eastAsia="Times New Roman" w:hAnsi="Cambria"/>
          <w:sz w:val="20"/>
          <w:szCs w:val="20"/>
          <w:bdr w:val="none" w:sz="0" w:space="0" w:color="auto"/>
          <w:lang w:val="es-ES_tradnl"/>
        </w:rPr>
        <w:t xml:space="preserve">tribunal de primera instancia. </w:t>
      </w:r>
      <w:r w:rsidRPr="00DC278B">
        <w:rPr>
          <w:rFonts w:ascii="Cambria" w:eastAsia="Times New Roman" w:hAnsi="Cambria"/>
          <w:sz w:val="20"/>
          <w:szCs w:val="20"/>
          <w:bdr w:val="none" w:sz="0" w:space="0" w:color="auto"/>
          <w:lang w:val="es-ES_tradnl"/>
        </w:rPr>
        <w:t>Indica que el 26 de junio de 2003 se dictó orden de “cúmplase”, siendo ésta la última resolución dictada en el proceso.</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4E1D1E"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Indica que en el caso de </w:t>
      </w:r>
      <w:r w:rsidR="005F74FD" w:rsidRPr="00DC278B">
        <w:rPr>
          <w:rFonts w:ascii="Cambria" w:eastAsia="Times New Roman" w:hAnsi="Cambria"/>
          <w:sz w:val="20"/>
          <w:szCs w:val="20"/>
          <w:bdr w:val="none" w:sz="0" w:space="0" w:color="auto"/>
          <w:lang w:val="es-ES_tradnl"/>
        </w:rPr>
        <w:t>Ramón Luís Vivanco, su hija Pamela Adriana Vivanco Medida solicitó una indemnización por el daño sufrido</w:t>
      </w:r>
      <w:r w:rsidR="00BA7F1C" w:rsidRPr="00DC278B">
        <w:rPr>
          <w:rFonts w:ascii="Cambria" w:eastAsia="Times New Roman" w:hAnsi="Cambria"/>
          <w:sz w:val="20"/>
          <w:szCs w:val="20"/>
          <w:bdr w:val="none" w:sz="0" w:space="0" w:color="auto"/>
          <w:lang w:val="es-ES_tradnl"/>
        </w:rPr>
        <w:t xml:space="preserve"> por la de</w:t>
      </w:r>
      <w:r w:rsidR="00702D07" w:rsidRPr="00DC278B">
        <w:rPr>
          <w:rFonts w:ascii="Cambria" w:eastAsia="Times New Roman" w:hAnsi="Cambria"/>
          <w:sz w:val="20"/>
          <w:szCs w:val="20"/>
          <w:bdr w:val="none" w:sz="0" w:space="0" w:color="auto"/>
          <w:lang w:val="es-ES_tradnl"/>
        </w:rPr>
        <w:t xml:space="preserve">tención y ejecución de su padre - tal como fue reconocido por el informe de la Comisión </w:t>
      </w:r>
      <w:proofErr w:type="spellStart"/>
      <w:r w:rsidR="00702D07" w:rsidRPr="00DC278B">
        <w:rPr>
          <w:rFonts w:ascii="Cambria" w:eastAsia="Times New Roman" w:hAnsi="Cambria"/>
          <w:sz w:val="20"/>
          <w:szCs w:val="20"/>
          <w:bdr w:val="none" w:sz="0" w:space="0" w:color="auto"/>
          <w:lang w:val="es-ES_tradnl"/>
        </w:rPr>
        <w:t>Rettig</w:t>
      </w:r>
      <w:proofErr w:type="spellEnd"/>
      <w:r w:rsidR="00702D07" w:rsidRPr="00DC278B">
        <w:rPr>
          <w:rFonts w:ascii="Cambria" w:eastAsia="Times New Roman" w:hAnsi="Cambria"/>
          <w:sz w:val="20"/>
          <w:szCs w:val="20"/>
          <w:bdr w:val="none" w:sz="0" w:space="0" w:color="auto"/>
          <w:lang w:val="es-ES_tradnl"/>
        </w:rPr>
        <w:t xml:space="preserve"> -</w:t>
      </w:r>
      <w:r w:rsidR="005F74FD" w:rsidRPr="00DC278B">
        <w:rPr>
          <w:rFonts w:ascii="Cambria" w:eastAsia="Times New Roman" w:hAnsi="Cambria"/>
          <w:sz w:val="20"/>
          <w:szCs w:val="20"/>
          <w:bdr w:val="none" w:sz="0" w:space="0" w:color="auto"/>
          <w:lang w:val="es-ES_tradnl"/>
        </w:rPr>
        <w:t xml:space="preserve"> ante el </w:t>
      </w:r>
      <w:r w:rsidR="00653C47" w:rsidRPr="00DC278B">
        <w:rPr>
          <w:rFonts w:ascii="Cambria" w:eastAsia="Times New Roman" w:hAnsi="Cambria"/>
          <w:sz w:val="20"/>
          <w:szCs w:val="20"/>
          <w:bdr w:val="none" w:sz="0" w:space="0" w:color="auto"/>
          <w:lang w:val="es-ES_tradnl"/>
        </w:rPr>
        <w:t>Décimo Sexto</w:t>
      </w:r>
      <w:r w:rsidR="005F74FD" w:rsidRPr="00DC278B">
        <w:rPr>
          <w:rFonts w:ascii="Cambria" w:eastAsia="Times New Roman" w:hAnsi="Cambria"/>
          <w:sz w:val="20"/>
          <w:szCs w:val="20"/>
          <w:bdr w:val="none" w:sz="0" w:space="0" w:color="auto"/>
          <w:lang w:val="es-ES_tradnl"/>
        </w:rPr>
        <w:t xml:space="preserve"> Juzgado Civil de Santiago</w:t>
      </w:r>
      <w:r w:rsidR="00653C47" w:rsidRPr="00DC278B">
        <w:rPr>
          <w:rFonts w:ascii="Cambria" w:eastAsia="Times New Roman" w:hAnsi="Cambria"/>
          <w:sz w:val="20"/>
          <w:szCs w:val="20"/>
          <w:bdr w:val="none" w:sz="0" w:space="0" w:color="auto"/>
          <w:lang w:val="es-ES_tradnl"/>
        </w:rPr>
        <w:t xml:space="preserve"> (en adelante “16</w:t>
      </w:r>
      <w:r w:rsidR="00653C47" w:rsidRPr="00DC278B">
        <w:rPr>
          <w:rFonts w:ascii="Cambria" w:hAnsi="Cambria"/>
          <w:sz w:val="20"/>
          <w:szCs w:val="20"/>
          <w:lang w:val="es-ES"/>
        </w:rPr>
        <w:t>º Juzgado Civil”)</w:t>
      </w:r>
      <w:r w:rsidR="005F74FD" w:rsidRPr="00DC278B">
        <w:rPr>
          <w:rFonts w:ascii="Cambria" w:eastAsia="Times New Roman" w:hAnsi="Cambria"/>
          <w:sz w:val="20"/>
          <w:szCs w:val="20"/>
          <w:bdr w:val="none" w:sz="0" w:space="0" w:color="auto"/>
          <w:lang w:val="es-ES_tradnl"/>
        </w:rPr>
        <w:t>, con lo cual se dio inicio al proceso “Vivan</w:t>
      </w:r>
      <w:r w:rsidR="00F97E62" w:rsidRPr="00DC278B">
        <w:rPr>
          <w:rFonts w:ascii="Cambria" w:eastAsia="Times New Roman" w:hAnsi="Cambria"/>
          <w:sz w:val="20"/>
          <w:szCs w:val="20"/>
          <w:bdr w:val="none" w:sz="0" w:space="0" w:color="auto"/>
          <w:lang w:val="es-ES_tradnl"/>
        </w:rPr>
        <w:t>co Medina con Fisco de Chile”, R</w:t>
      </w:r>
      <w:r w:rsidR="00FA7864">
        <w:rPr>
          <w:rFonts w:ascii="Cambria" w:eastAsia="Times New Roman" w:hAnsi="Cambria"/>
          <w:sz w:val="20"/>
          <w:szCs w:val="20"/>
          <w:bdr w:val="none" w:sz="0" w:space="0" w:color="auto"/>
          <w:lang w:val="es-ES_tradnl"/>
        </w:rPr>
        <w:t xml:space="preserve">ol 3245-2000. </w:t>
      </w:r>
      <w:r w:rsidR="005F74FD" w:rsidRPr="00DC278B">
        <w:rPr>
          <w:rFonts w:ascii="Cambria" w:eastAsia="Times New Roman" w:hAnsi="Cambria"/>
          <w:sz w:val="20"/>
          <w:szCs w:val="20"/>
          <w:bdr w:val="none" w:sz="0" w:space="0" w:color="auto"/>
          <w:lang w:val="es-ES_tradnl"/>
        </w:rPr>
        <w:t>Indica que el 4 de</w:t>
      </w:r>
      <w:r w:rsidR="003A723B" w:rsidRPr="00DC278B">
        <w:rPr>
          <w:rFonts w:ascii="Cambria" w:eastAsia="Times New Roman" w:hAnsi="Cambria"/>
          <w:sz w:val="20"/>
          <w:szCs w:val="20"/>
          <w:bdr w:val="none" w:sz="0" w:space="0" w:color="auto"/>
          <w:lang w:val="es-ES_tradnl"/>
        </w:rPr>
        <w:t xml:space="preserve"> octubre de 2002, en</w:t>
      </w:r>
      <w:r w:rsidR="005F74FD" w:rsidRPr="00DC278B">
        <w:rPr>
          <w:rFonts w:ascii="Cambria" w:eastAsia="Times New Roman" w:hAnsi="Cambria"/>
          <w:sz w:val="20"/>
          <w:szCs w:val="20"/>
          <w:bdr w:val="none" w:sz="0" w:space="0" w:color="auto"/>
          <w:lang w:val="es-ES_tradnl"/>
        </w:rPr>
        <w:t xml:space="preserve"> primera instancia </w:t>
      </w:r>
      <w:r w:rsidR="003A723B" w:rsidRPr="00DC278B">
        <w:rPr>
          <w:rFonts w:ascii="Cambria" w:eastAsia="Times New Roman" w:hAnsi="Cambria"/>
          <w:sz w:val="20"/>
          <w:szCs w:val="20"/>
          <w:bdr w:val="none" w:sz="0" w:space="0" w:color="auto"/>
          <w:lang w:val="es-ES_tradnl"/>
        </w:rPr>
        <w:t xml:space="preserve">se </w:t>
      </w:r>
      <w:r w:rsidR="005F74FD" w:rsidRPr="00DC278B">
        <w:rPr>
          <w:rFonts w:ascii="Cambria" w:eastAsia="Times New Roman" w:hAnsi="Cambria"/>
          <w:sz w:val="20"/>
          <w:szCs w:val="20"/>
          <w:bdr w:val="none" w:sz="0" w:space="0" w:color="auto"/>
          <w:lang w:val="es-ES_tradnl"/>
        </w:rPr>
        <w:t>negó la solicitud de reparación</w:t>
      </w:r>
      <w:r w:rsidR="00623FE7" w:rsidRPr="00DC278B">
        <w:rPr>
          <w:rFonts w:ascii="Cambria" w:eastAsia="Times New Roman" w:hAnsi="Cambria"/>
          <w:sz w:val="20"/>
          <w:szCs w:val="20"/>
          <w:bdr w:val="none" w:sz="0" w:space="0" w:color="auto"/>
          <w:lang w:val="es-ES_tradnl"/>
        </w:rPr>
        <w:t xml:space="preserve"> en aplicación del plazo de prescripción. Agrega que </w:t>
      </w:r>
      <w:r w:rsidR="0016081C" w:rsidRPr="00DC278B">
        <w:rPr>
          <w:rFonts w:ascii="Cambria" w:eastAsia="Times New Roman" w:hAnsi="Cambria"/>
          <w:sz w:val="20"/>
          <w:szCs w:val="20"/>
          <w:bdr w:val="none" w:sz="0" w:space="0" w:color="auto"/>
          <w:lang w:val="es-ES_tradnl"/>
        </w:rPr>
        <w:t xml:space="preserve">la apelación al fallo fue declarada </w:t>
      </w:r>
      <w:r w:rsidR="00FA7864">
        <w:rPr>
          <w:rFonts w:ascii="Cambria" w:eastAsia="Times New Roman" w:hAnsi="Cambria"/>
          <w:sz w:val="20"/>
          <w:szCs w:val="20"/>
          <w:bdr w:val="none" w:sz="0" w:space="0" w:color="auto"/>
          <w:lang w:val="es-ES_tradnl"/>
        </w:rPr>
        <w:t>desierta.</w:t>
      </w:r>
      <w:r w:rsidR="005F74FD" w:rsidRPr="00DC278B">
        <w:rPr>
          <w:rFonts w:ascii="Cambria" w:eastAsia="Times New Roman" w:hAnsi="Cambria"/>
          <w:sz w:val="20"/>
          <w:szCs w:val="20"/>
          <w:bdr w:val="none" w:sz="0" w:space="0" w:color="auto"/>
          <w:lang w:val="es-ES_tradnl"/>
        </w:rPr>
        <w:t xml:space="preserve"> Indica que el expediente fue devuelto al juzgado de origen, el cual dictó resolución de “cúmplase”, el 3 de junio de 2003.</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4E1D1E"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Señala que en el caso de </w:t>
      </w:r>
      <w:r w:rsidR="005F74FD" w:rsidRPr="00DC278B">
        <w:rPr>
          <w:rFonts w:ascii="Cambria" w:eastAsia="Times New Roman" w:hAnsi="Cambria"/>
          <w:sz w:val="20"/>
          <w:szCs w:val="20"/>
          <w:bdr w:val="none" w:sz="0" w:space="0" w:color="auto"/>
          <w:lang w:val="es-ES_tradnl"/>
        </w:rPr>
        <w:t>Rodolfo Alejandro Espejo Gómez, la hermana, Katia Espejo Gómez y la madre, Elena Alejandrina Vargas iniciaron la demanda por daño moral</w:t>
      </w:r>
      <w:r w:rsidR="00BA7F1C" w:rsidRPr="00DC278B">
        <w:rPr>
          <w:rFonts w:ascii="Cambria" w:eastAsia="Times New Roman" w:hAnsi="Cambria"/>
          <w:sz w:val="20"/>
          <w:szCs w:val="20"/>
          <w:bdr w:val="none" w:sz="0" w:space="0" w:color="auto"/>
          <w:lang w:val="es-ES_tradnl"/>
        </w:rPr>
        <w:t xml:space="preserve"> causado por el secuestro y desaparición de su familiar</w:t>
      </w:r>
      <w:r w:rsidR="00F96BAF" w:rsidRPr="00DC278B">
        <w:rPr>
          <w:rFonts w:ascii="Cambria" w:eastAsia="Times New Roman" w:hAnsi="Cambria"/>
          <w:sz w:val="20"/>
          <w:szCs w:val="20"/>
          <w:bdr w:val="none" w:sz="0" w:space="0" w:color="auto"/>
          <w:lang w:val="es-ES_tradnl"/>
        </w:rPr>
        <w:t xml:space="preserve"> - tal como fue reconocido por el informe de la Comisión </w:t>
      </w:r>
      <w:proofErr w:type="spellStart"/>
      <w:r w:rsidR="00F96BAF" w:rsidRPr="00DC278B">
        <w:rPr>
          <w:rFonts w:ascii="Cambria" w:eastAsia="Times New Roman" w:hAnsi="Cambria"/>
          <w:sz w:val="20"/>
          <w:szCs w:val="20"/>
          <w:bdr w:val="none" w:sz="0" w:space="0" w:color="auto"/>
          <w:lang w:val="es-ES_tradnl"/>
        </w:rPr>
        <w:t>Rettig</w:t>
      </w:r>
      <w:proofErr w:type="spellEnd"/>
      <w:r w:rsidR="00F96BAF" w:rsidRPr="00DC278B">
        <w:rPr>
          <w:rFonts w:ascii="Cambria" w:eastAsia="Times New Roman" w:hAnsi="Cambria"/>
          <w:sz w:val="20"/>
          <w:szCs w:val="20"/>
          <w:bdr w:val="none" w:sz="0" w:space="0" w:color="auto"/>
          <w:lang w:val="es-ES_tradnl"/>
        </w:rPr>
        <w:t xml:space="preserve"> -</w:t>
      </w:r>
      <w:r w:rsidR="005F74FD" w:rsidRPr="00DC278B">
        <w:rPr>
          <w:rFonts w:ascii="Cambria" w:eastAsia="Times New Roman" w:hAnsi="Cambria"/>
          <w:sz w:val="20"/>
          <w:szCs w:val="20"/>
          <w:bdr w:val="none" w:sz="0" w:space="0" w:color="auto"/>
          <w:lang w:val="es-ES_tradnl"/>
        </w:rPr>
        <w:t xml:space="preserve"> iniciándose la causa “Esp</w:t>
      </w:r>
      <w:r w:rsidR="00B25D62" w:rsidRPr="00DC278B">
        <w:rPr>
          <w:rFonts w:ascii="Cambria" w:eastAsia="Times New Roman" w:hAnsi="Cambria"/>
          <w:sz w:val="20"/>
          <w:szCs w:val="20"/>
          <w:bdr w:val="none" w:sz="0" w:space="0" w:color="auto"/>
          <w:lang w:val="es-ES_tradnl"/>
        </w:rPr>
        <w:t>ejo Gómez con Fisco de Chile”, R</w:t>
      </w:r>
      <w:r w:rsidR="00FA7864">
        <w:rPr>
          <w:rFonts w:ascii="Cambria" w:eastAsia="Times New Roman" w:hAnsi="Cambria"/>
          <w:sz w:val="20"/>
          <w:szCs w:val="20"/>
          <w:bdr w:val="none" w:sz="0" w:space="0" w:color="auto"/>
          <w:lang w:val="es-ES_tradnl"/>
        </w:rPr>
        <w:t xml:space="preserve">ol 2918-2000. </w:t>
      </w:r>
      <w:r w:rsidR="005F74FD" w:rsidRPr="00DC278B">
        <w:rPr>
          <w:rFonts w:ascii="Cambria" w:eastAsia="Times New Roman" w:hAnsi="Cambria"/>
          <w:sz w:val="20"/>
          <w:szCs w:val="20"/>
          <w:bdr w:val="none" w:sz="0" w:space="0" w:color="auto"/>
          <w:lang w:val="es-ES_tradnl"/>
        </w:rPr>
        <w:t xml:space="preserve">Indica que el 19 de junio de </w:t>
      </w:r>
      <w:r w:rsidR="00B25D62" w:rsidRPr="00DC278B">
        <w:rPr>
          <w:rFonts w:ascii="Cambria" w:eastAsia="Times New Roman" w:hAnsi="Cambria"/>
          <w:sz w:val="20"/>
          <w:szCs w:val="20"/>
          <w:bdr w:val="none" w:sz="0" w:space="0" w:color="auto"/>
          <w:lang w:val="es-ES_tradnl"/>
        </w:rPr>
        <w:t xml:space="preserve">2002 </w:t>
      </w:r>
      <w:r w:rsidR="005F74FD" w:rsidRPr="00DC278B">
        <w:rPr>
          <w:rFonts w:ascii="Cambria" w:eastAsia="Times New Roman" w:hAnsi="Cambria"/>
          <w:sz w:val="20"/>
          <w:szCs w:val="20"/>
          <w:bdr w:val="none" w:sz="0" w:space="0" w:color="auto"/>
          <w:lang w:val="es-ES_tradnl"/>
        </w:rPr>
        <w:t>el 17</w:t>
      </w:r>
      <w:r w:rsidR="00B25D62" w:rsidRPr="00DC278B">
        <w:rPr>
          <w:rFonts w:ascii="Cambria" w:hAnsi="Cambria"/>
          <w:sz w:val="20"/>
          <w:szCs w:val="20"/>
          <w:lang w:val="es-ES"/>
        </w:rPr>
        <w:t>º</w:t>
      </w:r>
      <w:r w:rsidR="005F74FD" w:rsidRPr="00DC278B">
        <w:rPr>
          <w:rFonts w:ascii="Cambria" w:eastAsia="Times New Roman" w:hAnsi="Cambria"/>
          <w:sz w:val="20"/>
          <w:szCs w:val="20"/>
          <w:bdr w:val="none" w:sz="0" w:space="0" w:color="auto"/>
          <w:lang w:val="es-ES_tradnl"/>
        </w:rPr>
        <w:t xml:space="preserve"> </w:t>
      </w:r>
      <w:r w:rsidR="00F62D1E" w:rsidRPr="00DC278B">
        <w:rPr>
          <w:rFonts w:ascii="Cambria" w:eastAsia="Times New Roman" w:hAnsi="Cambria"/>
          <w:sz w:val="20"/>
          <w:szCs w:val="20"/>
          <w:bdr w:val="none" w:sz="0" w:space="0" w:color="auto"/>
          <w:lang w:val="es-ES_tradnl"/>
        </w:rPr>
        <w:t>Juzgado Civil</w:t>
      </w:r>
      <w:r w:rsidR="005F74FD" w:rsidRPr="00DC278B">
        <w:rPr>
          <w:rFonts w:ascii="Cambria" w:eastAsia="Times New Roman" w:hAnsi="Cambria"/>
          <w:sz w:val="20"/>
          <w:szCs w:val="20"/>
          <w:bdr w:val="none" w:sz="0" w:space="0" w:color="auto"/>
          <w:lang w:val="es-ES_tradnl"/>
        </w:rPr>
        <w:t xml:space="preserve"> negó la so</w:t>
      </w:r>
      <w:r w:rsidR="0016081C" w:rsidRPr="00DC278B">
        <w:rPr>
          <w:rFonts w:ascii="Cambria" w:eastAsia="Times New Roman" w:hAnsi="Cambria"/>
          <w:sz w:val="20"/>
          <w:szCs w:val="20"/>
          <w:bdr w:val="none" w:sz="0" w:space="0" w:color="auto"/>
          <w:lang w:val="es-ES_tradnl"/>
        </w:rPr>
        <w:t>licitud de reparaciones</w:t>
      </w:r>
      <w:r w:rsidR="00E101DA" w:rsidRPr="00DC278B">
        <w:rPr>
          <w:rFonts w:ascii="Cambria" w:eastAsia="Times New Roman" w:hAnsi="Cambria"/>
          <w:sz w:val="20"/>
          <w:szCs w:val="20"/>
          <w:bdr w:val="none" w:sz="0" w:space="0" w:color="auto"/>
          <w:lang w:val="es-ES_tradnl"/>
        </w:rPr>
        <w:t xml:space="preserve"> en aplicación del plazo de prescripción. Agrega que </w:t>
      </w:r>
      <w:r w:rsidR="0016081C" w:rsidRPr="00DC278B">
        <w:rPr>
          <w:rFonts w:ascii="Cambria" w:eastAsia="Times New Roman" w:hAnsi="Cambria"/>
          <w:sz w:val="20"/>
          <w:szCs w:val="20"/>
          <w:bdr w:val="none" w:sz="0" w:space="0" w:color="auto"/>
          <w:lang w:val="es-ES_tradnl"/>
        </w:rPr>
        <w:t>la</w:t>
      </w:r>
      <w:r w:rsidR="005F74FD" w:rsidRPr="00DC278B">
        <w:rPr>
          <w:rFonts w:ascii="Cambria" w:eastAsia="Times New Roman" w:hAnsi="Cambria"/>
          <w:sz w:val="20"/>
          <w:szCs w:val="20"/>
          <w:bdr w:val="none" w:sz="0" w:space="0" w:color="auto"/>
          <w:lang w:val="es-ES_tradnl"/>
        </w:rPr>
        <w:t xml:space="preserve"> apelación </w:t>
      </w:r>
      <w:r w:rsidR="0016081C" w:rsidRPr="00DC278B">
        <w:rPr>
          <w:rFonts w:ascii="Cambria" w:eastAsia="Times New Roman" w:hAnsi="Cambria"/>
          <w:sz w:val="20"/>
          <w:szCs w:val="20"/>
          <w:bdr w:val="none" w:sz="0" w:space="0" w:color="auto"/>
          <w:lang w:val="es-ES_tradnl"/>
        </w:rPr>
        <w:t>al fallo fue declarada</w:t>
      </w:r>
      <w:r w:rsidR="005F74FD" w:rsidRPr="00DC278B">
        <w:rPr>
          <w:rFonts w:ascii="Cambria" w:eastAsia="Times New Roman" w:hAnsi="Cambria"/>
          <w:sz w:val="20"/>
          <w:szCs w:val="20"/>
          <w:bdr w:val="none" w:sz="0" w:space="0" w:color="auto"/>
          <w:lang w:val="es-ES_tradnl"/>
        </w:rPr>
        <w:t xml:space="preserve"> desiert</w:t>
      </w:r>
      <w:r w:rsidR="0016081C" w:rsidRPr="00DC278B">
        <w:rPr>
          <w:rFonts w:ascii="Cambria" w:eastAsia="Times New Roman" w:hAnsi="Cambria"/>
          <w:sz w:val="20"/>
          <w:szCs w:val="20"/>
          <w:bdr w:val="none" w:sz="0" w:space="0" w:color="auto"/>
          <w:lang w:val="es-ES_tradnl"/>
        </w:rPr>
        <w:t>a</w:t>
      </w:r>
      <w:r w:rsidR="005F74FD" w:rsidRPr="00DC278B">
        <w:rPr>
          <w:rFonts w:ascii="Cambria" w:eastAsia="Times New Roman" w:hAnsi="Cambria"/>
          <w:sz w:val="20"/>
          <w:szCs w:val="20"/>
          <w:bdr w:val="none" w:sz="0" w:space="0" w:color="auto"/>
          <w:lang w:val="es-ES_tradnl"/>
        </w:rPr>
        <w:t xml:space="preserve"> y devuelto al 17</w:t>
      </w:r>
      <w:r w:rsidR="00B25D62" w:rsidRPr="00DC278B">
        <w:rPr>
          <w:rFonts w:ascii="Cambria" w:hAnsi="Cambria"/>
          <w:sz w:val="20"/>
          <w:szCs w:val="20"/>
          <w:lang w:val="es-ES"/>
        </w:rPr>
        <w:t>º</w:t>
      </w:r>
      <w:r w:rsidR="005F74FD" w:rsidRPr="00DC278B">
        <w:rPr>
          <w:rFonts w:ascii="Cambria" w:eastAsia="Times New Roman" w:hAnsi="Cambria"/>
          <w:sz w:val="20"/>
          <w:szCs w:val="20"/>
          <w:bdr w:val="none" w:sz="0" w:space="0" w:color="auto"/>
          <w:lang w:val="es-ES_tradnl"/>
        </w:rPr>
        <w:t xml:space="preserve"> Juzgado Civil, el cual emitió resolución de “cúmplase” el 9 de julio de 2003, dándose fin al proceso.</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4E1D1E"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Indica que en el caso </w:t>
      </w:r>
      <w:r w:rsidR="007A17E4" w:rsidRPr="00DC278B">
        <w:rPr>
          <w:rFonts w:ascii="Cambria" w:eastAsia="Times New Roman" w:hAnsi="Cambria"/>
          <w:sz w:val="20"/>
          <w:szCs w:val="20"/>
          <w:bdr w:val="none" w:sz="0" w:space="0" w:color="auto"/>
          <w:lang w:val="es-ES_tradnl"/>
        </w:rPr>
        <w:t xml:space="preserve">de Mario Melo </w:t>
      </w:r>
      <w:proofErr w:type="spellStart"/>
      <w:r w:rsidR="007A17E4" w:rsidRPr="00DC278B">
        <w:rPr>
          <w:rFonts w:ascii="Cambria" w:eastAsia="Times New Roman" w:hAnsi="Cambria"/>
          <w:sz w:val="20"/>
          <w:szCs w:val="20"/>
          <w:bdr w:val="none" w:sz="0" w:space="0" w:color="auto"/>
          <w:lang w:val="es-ES_tradnl"/>
        </w:rPr>
        <w:t>Pra</w:t>
      </w:r>
      <w:r w:rsidR="005F74FD" w:rsidRPr="00DC278B">
        <w:rPr>
          <w:rFonts w:ascii="Cambria" w:eastAsia="Times New Roman" w:hAnsi="Cambria"/>
          <w:sz w:val="20"/>
          <w:szCs w:val="20"/>
          <w:bdr w:val="none" w:sz="0" w:space="0" w:color="auto"/>
          <w:lang w:val="es-ES_tradnl"/>
        </w:rPr>
        <w:t>denas</w:t>
      </w:r>
      <w:proofErr w:type="spellEnd"/>
      <w:r w:rsidR="005F74FD" w:rsidRPr="00DC278B">
        <w:rPr>
          <w:rFonts w:ascii="Cambria" w:eastAsia="Times New Roman" w:hAnsi="Cambria"/>
          <w:sz w:val="20"/>
          <w:szCs w:val="20"/>
          <w:bdr w:val="none" w:sz="0" w:space="0" w:color="auto"/>
          <w:lang w:val="es-ES_tradnl"/>
        </w:rPr>
        <w:t xml:space="preserve">, Carlos Gustavo Melo </w:t>
      </w:r>
      <w:proofErr w:type="spellStart"/>
      <w:r w:rsidR="005F74FD" w:rsidRPr="00DC278B">
        <w:rPr>
          <w:rFonts w:ascii="Cambria" w:eastAsia="Times New Roman" w:hAnsi="Cambria"/>
          <w:sz w:val="20"/>
          <w:szCs w:val="20"/>
          <w:bdr w:val="none" w:sz="0" w:space="0" w:color="auto"/>
          <w:lang w:val="es-ES_tradnl"/>
        </w:rPr>
        <w:t>Pr</w:t>
      </w:r>
      <w:r w:rsidR="007A17E4" w:rsidRPr="00DC278B">
        <w:rPr>
          <w:rFonts w:ascii="Cambria" w:eastAsia="Times New Roman" w:hAnsi="Cambria"/>
          <w:sz w:val="20"/>
          <w:szCs w:val="20"/>
          <w:bdr w:val="none" w:sz="0" w:space="0" w:color="auto"/>
          <w:lang w:val="es-ES_tradnl"/>
        </w:rPr>
        <w:t>a</w:t>
      </w:r>
      <w:r w:rsidR="005F74FD" w:rsidRPr="00DC278B">
        <w:rPr>
          <w:rFonts w:ascii="Cambria" w:eastAsia="Times New Roman" w:hAnsi="Cambria"/>
          <w:sz w:val="20"/>
          <w:szCs w:val="20"/>
          <w:bdr w:val="none" w:sz="0" w:space="0" w:color="auto"/>
          <w:lang w:val="es-ES_tradnl"/>
        </w:rPr>
        <w:t>denas</w:t>
      </w:r>
      <w:proofErr w:type="spellEnd"/>
      <w:r w:rsidR="005F74FD" w:rsidRPr="00DC278B">
        <w:rPr>
          <w:rFonts w:ascii="Cambria" w:eastAsia="Times New Roman" w:hAnsi="Cambria"/>
          <w:sz w:val="20"/>
          <w:szCs w:val="20"/>
          <w:bdr w:val="none" w:sz="0" w:space="0" w:color="auto"/>
          <w:lang w:val="es-ES_tradnl"/>
        </w:rPr>
        <w:t>, hermano y M</w:t>
      </w:r>
      <w:r w:rsidR="007A17E4" w:rsidRPr="00DC278B">
        <w:rPr>
          <w:rFonts w:ascii="Cambria" w:eastAsia="Times New Roman" w:hAnsi="Cambria"/>
          <w:sz w:val="20"/>
          <w:szCs w:val="20"/>
          <w:bdr w:val="none" w:sz="0" w:space="0" w:color="auto"/>
          <w:lang w:val="es-ES_tradnl"/>
        </w:rPr>
        <w:t xml:space="preserve">ario Melo Acuña e Ilia María </w:t>
      </w:r>
      <w:proofErr w:type="spellStart"/>
      <w:r w:rsidR="007A17E4" w:rsidRPr="00DC278B">
        <w:rPr>
          <w:rFonts w:ascii="Cambria" w:eastAsia="Times New Roman" w:hAnsi="Cambria"/>
          <w:sz w:val="20"/>
          <w:szCs w:val="20"/>
          <w:bdr w:val="none" w:sz="0" w:space="0" w:color="auto"/>
          <w:lang w:val="es-ES_tradnl"/>
        </w:rPr>
        <w:t>Pra</w:t>
      </w:r>
      <w:r w:rsidR="005F74FD" w:rsidRPr="00DC278B">
        <w:rPr>
          <w:rFonts w:ascii="Cambria" w:eastAsia="Times New Roman" w:hAnsi="Cambria"/>
          <w:sz w:val="20"/>
          <w:szCs w:val="20"/>
          <w:bdr w:val="none" w:sz="0" w:space="0" w:color="auto"/>
          <w:lang w:val="es-ES_tradnl"/>
        </w:rPr>
        <w:t>denas</w:t>
      </w:r>
      <w:proofErr w:type="spellEnd"/>
      <w:r w:rsidR="005F74FD" w:rsidRPr="00DC278B">
        <w:rPr>
          <w:rFonts w:ascii="Cambria" w:eastAsia="Times New Roman" w:hAnsi="Cambria"/>
          <w:sz w:val="20"/>
          <w:szCs w:val="20"/>
          <w:bdr w:val="none" w:sz="0" w:space="0" w:color="auto"/>
          <w:lang w:val="es-ES_tradnl"/>
        </w:rPr>
        <w:t xml:space="preserve"> Pérez, padres</w:t>
      </w:r>
      <w:r w:rsidR="004C609C" w:rsidRPr="00DC278B">
        <w:rPr>
          <w:rFonts w:ascii="Cambria" w:eastAsia="Times New Roman" w:hAnsi="Cambria"/>
          <w:sz w:val="20"/>
          <w:szCs w:val="20"/>
          <w:bdr w:val="none" w:sz="0" w:space="0" w:color="auto"/>
          <w:lang w:val="es-ES_tradnl"/>
        </w:rPr>
        <w:t>,</w:t>
      </w:r>
      <w:r w:rsidR="005F74FD" w:rsidRPr="00DC278B">
        <w:rPr>
          <w:rFonts w:ascii="Cambria" w:eastAsia="Times New Roman" w:hAnsi="Cambria"/>
          <w:sz w:val="20"/>
          <w:szCs w:val="20"/>
          <w:bdr w:val="none" w:sz="0" w:space="0" w:color="auto"/>
          <w:lang w:val="es-ES_tradnl"/>
        </w:rPr>
        <w:t xml:space="preserve"> demandaron indemnización por el daño</w:t>
      </w:r>
      <w:r w:rsidR="00BA7F1C" w:rsidRPr="00DC278B">
        <w:rPr>
          <w:rFonts w:ascii="Cambria" w:eastAsia="Times New Roman" w:hAnsi="Cambria"/>
          <w:sz w:val="20"/>
          <w:szCs w:val="20"/>
          <w:bdr w:val="none" w:sz="0" w:space="0" w:color="auto"/>
          <w:lang w:val="es-ES_tradnl"/>
        </w:rPr>
        <w:t xml:space="preserve"> sufrido por el secuestro y desaparición de su familiar</w:t>
      </w:r>
      <w:r w:rsidR="008C60CB" w:rsidRPr="00DC278B">
        <w:rPr>
          <w:rFonts w:ascii="Cambria" w:eastAsia="Times New Roman" w:hAnsi="Cambria"/>
          <w:sz w:val="20"/>
          <w:szCs w:val="20"/>
          <w:bdr w:val="none" w:sz="0" w:space="0" w:color="auto"/>
          <w:lang w:val="es-ES_tradnl"/>
        </w:rPr>
        <w:t xml:space="preserve"> - tal como fue reconocido por el informe de la Comisión </w:t>
      </w:r>
      <w:proofErr w:type="spellStart"/>
      <w:r w:rsidR="008C60CB" w:rsidRPr="00DC278B">
        <w:rPr>
          <w:rFonts w:ascii="Cambria" w:eastAsia="Times New Roman" w:hAnsi="Cambria"/>
          <w:sz w:val="20"/>
          <w:szCs w:val="20"/>
          <w:bdr w:val="none" w:sz="0" w:space="0" w:color="auto"/>
          <w:lang w:val="es-ES_tradnl"/>
        </w:rPr>
        <w:t>Rettig</w:t>
      </w:r>
      <w:proofErr w:type="spellEnd"/>
      <w:r w:rsidR="008C60CB" w:rsidRPr="00DC278B">
        <w:rPr>
          <w:rFonts w:ascii="Cambria" w:eastAsia="Times New Roman" w:hAnsi="Cambria"/>
          <w:sz w:val="20"/>
          <w:szCs w:val="20"/>
          <w:bdr w:val="none" w:sz="0" w:space="0" w:color="auto"/>
          <w:lang w:val="es-ES_tradnl"/>
        </w:rPr>
        <w:t xml:space="preserve"> -</w:t>
      </w:r>
      <w:r w:rsidR="005F74FD" w:rsidRPr="00DC278B">
        <w:rPr>
          <w:rFonts w:ascii="Cambria" w:eastAsia="Times New Roman" w:hAnsi="Cambria"/>
          <w:sz w:val="20"/>
          <w:szCs w:val="20"/>
          <w:bdr w:val="none" w:sz="0" w:space="0" w:color="auto"/>
          <w:lang w:val="es-ES_tradnl"/>
        </w:rPr>
        <w:t xml:space="preserve"> dándose inicio a la causa “M</w:t>
      </w:r>
      <w:r w:rsidR="00B25D62" w:rsidRPr="00DC278B">
        <w:rPr>
          <w:rFonts w:ascii="Cambria" w:eastAsia="Times New Roman" w:hAnsi="Cambria"/>
          <w:sz w:val="20"/>
          <w:szCs w:val="20"/>
          <w:bdr w:val="none" w:sz="0" w:space="0" w:color="auto"/>
          <w:lang w:val="es-ES_tradnl"/>
        </w:rPr>
        <w:t>elo Acuña con Fisco de Chile”, R</w:t>
      </w:r>
      <w:r w:rsidR="00FA7864">
        <w:rPr>
          <w:rFonts w:ascii="Cambria" w:eastAsia="Times New Roman" w:hAnsi="Cambria"/>
          <w:sz w:val="20"/>
          <w:szCs w:val="20"/>
          <w:bdr w:val="none" w:sz="0" w:space="0" w:color="auto"/>
          <w:lang w:val="es-ES_tradnl"/>
        </w:rPr>
        <w:t xml:space="preserve">ol 3830-2001. </w:t>
      </w:r>
      <w:r w:rsidR="005F74FD" w:rsidRPr="00DC278B">
        <w:rPr>
          <w:rFonts w:ascii="Cambria" w:eastAsia="Times New Roman" w:hAnsi="Cambria"/>
          <w:sz w:val="20"/>
          <w:szCs w:val="20"/>
          <w:bdr w:val="none" w:sz="0" w:space="0" w:color="auto"/>
          <w:lang w:val="es-ES_tradnl"/>
        </w:rPr>
        <w:t>Señala que e</w:t>
      </w:r>
      <w:r w:rsidR="0016081C" w:rsidRPr="00DC278B">
        <w:rPr>
          <w:rFonts w:ascii="Cambria" w:eastAsia="Times New Roman" w:hAnsi="Cambria"/>
          <w:sz w:val="20"/>
          <w:szCs w:val="20"/>
          <w:bdr w:val="none" w:sz="0" w:space="0" w:color="auto"/>
          <w:lang w:val="es-ES_tradnl"/>
        </w:rPr>
        <w:t>l 27 de septiembre de 2002, el 8</w:t>
      </w:r>
      <w:r w:rsidR="00B25D62" w:rsidRPr="00DC278B">
        <w:rPr>
          <w:rFonts w:ascii="Cambria" w:hAnsi="Cambria"/>
          <w:sz w:val="20"/>
          <w:szCs w:val="20"/>
          <w:lang w:val="es-ES"/>
        </w:rPr>
        <w:t>º</w:t>
      </w:r>
      <w:r w:rsidR="0016081C" w:rsidRPr="00DC278B">
        <w:rPr>
          <w:rFonts w:ascii="Cambria" w:eastAsia="Times New Roman" w:hAnsi="Cambria"/>
          <w:sz w:val="20"/>
          <w:szCs w:val="20"/>
          <w:bdr w:val="none" w:sz="0" w:space="0" w:color="auto"/>
          <w:lang w:val="es-ES_tradnl"/>
        </w:rPr>
        <w:t xml:space="preserve"> </w:t>
      </w:r>
      <w:r w:rsidR="005F74FD" w:rsidRPr="00DC278B">
        <w:rPr>
          <w:rFonts w:ascii="Cambria" w:eastAsia="Times New Roman" w:hAnsi="Cambria"/>
          <w:sz w:val="20"/>
          <w:szCs w:val="20"/>
          <w:bdr w:val="none" w:sz="0" w:space="0" w:color="auto"/>
          <w:lang w:val="es-ES_tradnl"/>
        </w:rPr>
        <w:t xml:space="preserve">Juzgado </w:t>
      </w:r>
      <w:r w:rsidR="0016081C" w:rsidRPr="00DC278B">
        <w:rPr>
          <w:rFonts w:ascii="Cambria" w:eastAsia="Times New Roman" w:hAnsi="Cambria"/>
          <w:sz w:val="20"/>
          <w:szCs w:val="20"/>
          <w:bdr w:val="none" w:sz="0" w:space="0" w:color="auto"/>
          <w:lang w:val="es-ES_tradnl"/>
        </w:rPr>
        <w:t>Civil</w:t>
      </w:r>
      <w:r w:rsidR="005F74FD" w:rsidRPr="00DC278B">
        <w:rPr>
          <w:rFonts w:ascii="Cambria" w:eastAsia="Times New Roman" w:hAnsi="Cambria"/>
          <w:sz w:val="20"/>
          <w:szCs w:val="20"/>
          <w:bdr w:val="none" w:sz="0" w:space="0" w:color="auto"/>
          <w:lang w:val="es-ES_tradnl"/>
        </w:rPr>
        <w:t xml:space="preserve"> negó las pretensiones de</w:t>
      </w:r>
      <w:r w:rsidR="0016081C" w:rsidRPr="00DC278B">
        <w:rPr>
          <w:rFonts w:ascii="Cambria" w:eastAsia="Times New Roman" w:hAnsi="Cambria"/>
          <w:sz w:val="20"/>
          <w:szCs w:val="20"/>
          <w:bdr w:val="none" w:sz="0" w:space="0" w:color="auto"/>
          <w:lang w:val="es-ES_tradnl"/>
        </w:rPr>
        <w:t xml:space="preserve"> los demandantes</w:t>
      </w:r>
      <w:r w:rsidR="00034B2E" w:rsidRPr="00DC278B">
        <w:rPr>
          <w:rFonts w:ascii="Cambria" w:eastAsia="Times New Roman" w:hAnsi="Cambria"/>
          <w:sz w:val="20"/>
          <w:szCs w:val="20"/>
          <w:bdr w:val="none" w:sz="0" w:space="0" w:color="auto"/>
          <w:lang w:val="es-ES_tradnl"/>
        </w:rPr>
        <w:t xml:space="preserve"> por considerar que no se probaron los hechos y en aplicación del plazo de prescripción</w:t>
      </w:r>
      <w:r w:rsidR="0016081C" w:rsidRPr="00DC278B">
        <w:rPr>
          <w:rFonts w:ascii="Cambria" w:eastAsia="Times New Roman" w:hAnsi="Cambria"/>
          <w:sz w:val="20"/>
          <w:szCs w:val="20"/>
          <w:bdr w:val="none" w:sz="0" w:space="0" w:color="auto"/>
          <w:lang w:val="es-ES_tradnl"/>
        </w:rPr>
        <w:t>. Indica que la</w:t>
      </w:r>
      <w:r w:rsidR="005F74FD" w:rsidRPr="00DC278B">
        <w:rPr>
          <w:rFonts w:ascii="Cambria" w:eastAsia="Times New Roman" w:hAnsi="Cambria"/>
          <w:sz w:val="20"/>
          <w:szCs w:val="20"/>
          <w:bdr w:val="none" w:sz="0" w:space="0" w:color="auto"/>
          <w:lang w:val="es-ES_tradnl"/>
        </w:rPr>
        <w:t xml:space="preserve"> apelación </w:t>
      </w:r>
      <w:r w:rsidR="0016081C" w:rsidRPr="00DC278B">
        <w:rPr>
          <w:rFonts w:ascii="Cambria" w:eastAsia="Times New Roman" w:hAnsi="Cambria"/>
          <w:sz w:val="20"/>
          <w:szCs w:val="20"/>
          <w:bdr w:val="none" w:sz="0" w:space="0" w:color="auto"/>
          <w:lang w:val="es-ES_tradnl"/>
        </w:rPr>
        <w:t>al fallo fue declarada desierta</w:t>
      </w:r>
      <w:r w:rsidR="005F74FD" w:rsidRPr="00DC278B">
        <w:rPr>
          <w:rFonts w:ascii="Cambria" w:eastAsia="Times New Roman" w:hAnsi="Cambria"/>
          <w:sz w:val="20"/>
          <w:szCs w:val="20"/>
          <w:bdr w:val="none" w:sz="0" w:space="0" w:color="auto"/>
          <w:lang w:val="es-ES_tradnl"/>
        </w:rPr>
        <w:t>.  Señala que el expediente retornó al juzgado de origen en donde se dictó resolución de “cúmplase” el 23 de enero de 2003, dándose fin al proceso.</w:t>
      </w:r>
    </w:p>
    <w:p w:rsidR="00CB75DC" w:rsidRPr="00DC278B" w:rsidRDefault="00CB75DC" w:rsidP="00DC278B">
      <w:pPr>
        <w:pStyle w:val="MediumGrid1-Accent21"/>
        <w:rPr>
          <w:rFonts w:eastAsia="Times New Roman"/>
          <w:color w:val="auto"/>
          <w:sz w:val="20"/>
          <w:szCs w:val="20"/>
          <w:bdr w:val="none" w:sz="0" w:space="0" w:color="auto"/>
          <w:lang w:val="es-ES_tradnl"/>
        </w:rPr>
      </w:pPr>
    </w:p>
    <w:bookmarkStart w:id="15" w:name="_Toc338425802"/>
    <w:bookmarkStart w:id="16" w:name="_Toc413397469"/>
    <w:p w:rsidR="004B316C" w:rsidRPr="00DC278B" w:rsidRDefault="008673AE" w:rsidP="00DC278B">
      <w:pPr>
        <w:pStyle w:val="Heading2"/>
      </w:pPr>
      <w:r>
        <w:rPr>
          <w:noProof/>
          <w:lang w:val="en-US"/>
        </w:rPr>
        <mc:AlternateContent>
          <mc:Choice Requires="wps">
            <w:drawing>
              <wp:anchor distT="4294967295" distB="4294967295" distL="114300" distR="114300" simplePos="0" relativeHeight="251662336" behindDoc="0" locked="0" layoutInCell="1" allowOverlap="1" wp14:anchorId="2DC28DB6" wp14:editId="1BC35C08">
                <wp:simplePos x="0" y="0"/>
                <wp:positionH relativeFrom="column">
                  <wp:posOffset>3657600</wp:posOffset>
                </wp:positionH>
                <wp:positionV relativeFrom="paragraph">
                  <wp:posOffset>41274</wp:posOffset>
                </wp:positionV>
                <wp:extent cx="6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3.25pt" to="28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9r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WcYKdL7&#10;Fu2cIaLtHKpAKS8gGDQL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" strokeweight=".7pt"/>
            </w:pict>
          </mc:Fallback>
        </mc:AlternateContent>
      </w:r>
      <w:r>
        <w:rPr>
          <w:noProof/>
          <w:lang w:val="en-US"/>
        </w:rPr>
        <mc:AlternateContent>
          <mc:Choice Requires="wps">
            <w:drawing>
              <wp:anchor distT="4294967295" distB="4294967295" distL="114300" distR="114300" simplePos="0" relativeHeight="251661312" behindDoc="0" locked="0" layoutInCell="1" allowOverlap="1" wp14:anchorId="30AE5B60" wp14:editId="2BF43BC1">
                <wp:simplePos x="0" y="0"/>
                <wp:positionH relativeFrom="column">
                  <wp:posOffset>1943100</wp:posOffset>
                </wp:positionH>
                <wp:positionV relativeFrom="paragraph">
                  <wp:posOffset>345439</wp:posOffset>
                </wp:positionV>
                <wp:extent cx="6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7.2pt" to="153.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" strokeweight=".7pt"/>
            </w:pict>
          </mc:Fallback>
        </mc:AlternateContent>
      </w:r>
      <w:r w:rsidR="004B316C" w:rsidRPr="00DC278B">
        <w:t>B.</w:t>
      </w:r>
      <w:r w:rsidR="004B316C" w:rsidRPr="00DC278B">
        <w:tab/>
        <w:t>Posición del Estado</w:t>
      </w:r>
      <w:bookmarkEnd w:id="15"/>
      <w:bookmarkEnd w:id="16"/>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Estado alega que desde l</w:t>
      </w:r>
      <w:r w:rsidR="0091085A" w:rsidRPr="00DC278B">
        <w:rPr>
          <w:rFonts w:ascii="Cambria" w:eastAsia="Times New Roman" w:hAnsi="Cambria"/>
          <w:sz w:val="20"/>
          <w:szCs w:val="20"/>
          <w:bdr w:val="none" w:sz="0" w:space="0" w:color="auto"/>
          <w:lang w:val="es-ES_tradnl"/>
        </w:rPr>
        <w:t>a recuperación de la democracia</w:t>
      </w:r>
      <w:r w:rsidRPr="00DC278B">
        <w:rPr>
          <w:rFonts w:ascii="Cambria" w:eastAsia="Times New Roman" w:hAnsi="Cambria"/>
          <w:sz w:val="20"/>
          <w:szCs w:val="20"/>
          <w:bdr w:val="none" w:sz="0" w:space="0" w:color="auto"/>
          <w:lang w:val="es-ES_tradnl"/>
        </w:rPr>
        <w:t xml:space="preserve"> asumió el compromiso de buscar verdad y justicia en torno a las violaciones a los derechos humanos cometid</w:t>
      </w:r>
      <w:r w:rsidR="00FA7864">
        <w:rPr>
          <w:rFonts w:ascii="Cambria" w:eastAsia="Times New Roman" w:hAnsi="Cambria"/>
          <w:sz w:val="20"/>
          <w:szCs w:val="20"/>
          <w:bdr w:val="none" w:sz="0" w:space="0" w:color="auto"/>
          <w:lang w:val="es-ES_tradnl"/>
        </w:rPr>
        <w:t xml:space="preserve">os entre los años 1973 y 1990. </w:t>
      </w:r>
      <w:r w:rsidRPr="00DC278B">
        <w:rPr>
          <w:rFonts w:ascii="Cambria" w:eastAsia="Times New Roman" w:hAnsi="Cambria"/>
          <w:sz w:val="20"/>
          <w:szCs w:val="20"/>
          <w:bdr w:val="none" w:sz="0" w:space="0" w:color="auto"/>
          <w:lang w:val="es-ES_tradnl"/>
        </w:rPr>
        <w:t>Indicó que como consecuencia de ello, se creó la Comis</w:t>
      </w:r>
      <w:r w:rsidR="00912B46" w:rsidRPr="00DC278B">
        <w:rPr>
          <w:rFonts w:ascii="Cambria" w:eastAsia="Times New Roman" w:hAnsi="Cambria"/>
          <w:sz w:val="20"/>
          <w:szCs w:val="20"/>
          <w:bdr w:val="none" w:sz="0" w:space="0" w:color="auto"/>
          <w:lang w:val="es-ES_tradnl"/>
        </w:rPr>
        <w:t xml:space="preserve">ión </w:t>
      </w:r>
      <w:proofErr w:type="spellStart"/>
      <w:r w:rsidR="00912B46" w:rsidRPr="00DC278B">
        <w:rPr>
          <w:rFonts w:ascii="Cambria" w:eastAsia="Times New Roman" w:hAnsi="Cambria"/>
          <w:sz w:val="20"/>
          <w:szCs w:val="20"/>
          <w:bdr w:val="none" w:sz="0" w:space="0" w:color="auto"/>
          <w:lang w:val="es-ES_tradnl"/>
        </w:rPr>
        <w:t>Rettig</w:t>
      </w:r>
      <w:proofErr w:type="spellEnd"/>
      <w:r w:rsidR="00912B46" w:rsidRPr="00DC278B">
        <w:rPr>
          <w:rFonts w:ascii="Cambria" w:eastAsia="Times New Roman" w:hAnsi="Cambria"/>
          <w:sz w:val="20"/>
          <w:szCs w:val="20"/>
          <w:bdr w:val="none" w:sz="0" w:space="0" w:color="auto"/>
          <w:lang w:val="es-ES_tradnl"/>
        </w:rPr>
        <w:t xml:space="preserve">, la cual emitió </w:t>
      </w:r>
      <w:r w:rsidRPr="00DC278B">
        <w:rPr>
          <w:rFonts w:ascii="Cambria" w:eastAsia="Times New Roman" w:hAnsi="Cambria"/>
          <w:sz w:val="20"/>
          <w:szCs w:val="20"/>
          <w:bdr w:val="none" w:sz="0" w:space="0" w:color="auto"/>
          <w:lang w:val="es-ES_tradnl"/>
        </w:rPr>
        <w:t>u</w:t>
      </w:r>
      <w:r w:rsidR="00912B46" w:rsidRPr="00DC278B">
        <w:rPr>
          <w:rFonts w:ascii="Cambria" w:eastAsia="Times New Roman" w:hAnsi="Cambria"/>
          <w:sz w:val="20"/>
          <w:szCs w:val="20"/>
          <w:bdr w:val="none" w:sz="0" w:space="0" w:color="auto"/>
          <w:lang w:val="es-ES_tradnl"/>
        </w:rPr>
        <w:t>n</w:t>
      </w:r>
      <w:r w:rsidRPr="00DC278B">
        <w:rPr>
          <w:rFonts w:ascii="Cambria" w:eastAsia="Times New Roman" w:hAnsi="Cambria"/>
          <w:sz w:val="20"/>
          <w:szCs w:val="20"/>
          <w:bdr w:val="none" w:sz="0" w:space="0" w:color="auto"/>
          <w:lang w:val="es-ES_tradnl"/>
        </w:rPr>
        <w:t xml:space="preserve"> informe </w:t>
      </w:r>
      <w:r w:rsidR="0091085A" w:rsidRPr="00DC278B">
        <w:rPr>
          <w:rFonts w:ascii="Cambria" w:eastAsia="Times New Roman" w:hAnsi="Cambria"/>
          <w:sz w:val="20"/>
          <w:szCs w:val="20"/>
          <w:bdr w:val="none" w:sz="0" w:space="0" w:color="auto"/>
          <w:lang w:val="es-ES_tradnl"/>
        </w:rPr>
        <w:t xml:space="preserve">que </w:t>
      </w:r>
      <w:r w:rsidRPr="00DC278B">
        <w:rPr>
          <w:rFonts w:ascii="Cambria" w:eastAsia="Times New Roman" w:hAnsi="Cambria"/>
          <w:sz w:val="20"/>
          <w:szCs w:val="20"/>
          <w:bdr w:val="none" w:sz="0" w:space="0" w:color="auto"/>
          <w:lang w:val="es-ES_tradnl"/>
        </w:rPr>
        <w:t>documentó graves violaciones a derechos humanos que tuvieron lug</w:t>
      </w:r>
      <w:r w:rsidR="00FA7864">
        <w:rPr>
          <w:rFonts w:ascii="Cambria" w:eastAsia="Times New Roman" w:hAnsi="Cambria"/>
          <w:sz w:val="20"/>
          <w:szCs w:val="20"/>
          <w:bdr w:val="none" w:sz="0" w:space="0" w:color="auto"/>
          <w:lang w:val="es-ES_tradnl"/>
        </w:rPr>
        <w:t xml:space="preserve">ar durante el régimen militar. </w:t>
      </w:r>
      <w:r w:rsidRPr="00DC278B">
        <w:rPr>
          <w:rFonts w:ascii="Cambria" w:eastAsia="Times New Roman" w:hAnsi="Cambria"/>
          <w:sz w:val="20"/>
          <w:szCs w:val="20"/>
          <w:bdr w:val="none" w:sz="0" w:space="0" w:color="auto"/>
          <w:lang w:val="es-ES_tradnl"/>
        </w:rPr>
        <w:t>Asimismo, indica que en 1991 el Presidente de la República, Patricio Aylwin</w:t>
      </w:r>
      <w:r w:rsidR="008504EE"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pidió perdón a los familiares de las víctimas.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Indica que en 1992 se expidió la Ley No 19.123 que creó la Corporación Nacional de Reparación y Reconciliación (en adelante “</w:t>
      </w:r>
      <w:r w:rsidR="008504EE" w:rsidRPr="00DC278B">
        <w:rPr>
          <w:rFonts w:ascii="Cambria" w:eastAsia="Times New Roman" w:hAnsi="Cambria"/>
          <w:sz w:val="20"/>
          <w:szCs w:val="20"/>
          <w:bdr w:val="none" w:sz="0" w:space="0" w:color="auto"/>
          <w:lang w:val="es-ES_tradnl"/>
        </w:rPr>
        <w:t xml:space="preserve">la </w:t>
      </w:r>
      <w:r w:rsidRPr="00DC278B">
        <w:rPr>
          <w:rFonts w:ascii="Cambria" w:eastAsia="Times New Roman" w:hAnsi="Cambria"/>
          <w:sz w:val="20"/>
          <w:szCs w:val="20"/>
          <w:bdr w:val="none" w:sz="0" w:space="0" w:color="auto"/>
          <w:lang w:val="es-ES_tradnl"/>
        </w:rPr>
        <w:t xml:space="preserve">CNRR”), con el fin de analizar los casos que la Comisión </w:t>
      </w:r>
      <w:proofErr w:type="spellStart"/>
      <w:r w:rsidRPr="00DC278B">
        <w:rPr>
          <w:rFonts w:ascii="Cambria" w:eastAsia="Times New Roman" w:hAnsi="Cambria"/>
          <w:sz w:val="20"/>
          <w:szCs w:val="20"/>
          <w:bdr w:val="none" w:sz="0" w:space="0" w:color="auto"/>
          <w:lang w:val="es-ES_tradnl"/>
        </w:rPr>
        <w:t>Rettig</w:t>
      </w:r>
      <w:proofErr w:type="spellEnd"/>
      <w:r w:rsidRPr="00DC278B">
        <w:rPr>
          <w:rFonts w:ascii="Cambria" w:eastAsia="Times New Roman" w:hAnsi="Cambria"/>
          <w:sz w:val="20"/>
          <w:szCs w:val="20"/>
          <w:bdr w:val="none" w:sz="0" w:space="0" w:color="auto"/>
          <w:lang w:val="es-ES_tradnl"/>
        </w:rPr>
        <w:t xml:space="preserve"> no alcanzó a conocer en profundidad, así como los nuevo</w:t>
      </w:r>
      <w:r w:rsidR="00FA7864">
        <w:rPr>
          <w:rFonts w:ascii="Cambria" w:eastAsia="Times New Roman" w:hAnsi="Cambria"/>
          <w:sz w:val="20"/>
          <w:szCs w:val="20"/>
          <w:bdr w:val="none" w:sz="0" w:space="0" w:color="auto"/>
          <w:lang w:val="es-ES_tradnl"/>
        </w:rPr>
        <w:t xml:space="preserve">s casos que se le presentaron. </w:t>
      </w:r>
      <w:r w:rsidRPr="00DC278B">
        <w:rPr>
          <w:rFonts w:ascii="Cambria" w:eastAsia="Times New Roman" w:hAnsi="Cambria"/>
          <w:sz w:val="20"/>
          <w:szCs w:val="20"/>
          <w:bdr w:val="none" w:sz="0" w:space="0" w:color="auto"/>
          <w:lang w:val="es-ES_tradnl"/>
        </w:rPr>
        <w:t>Asimismo, señala que la CNRR también se encargaría de prestar asistencia social y legal a los familiares de las víctimas; y precisa que dicha Comisión diseñó las siguientes seis líneas de acción para realizar su trabajo, programas de: a) calificación de víctimas; b) investigación del destino final de las víctimas; c) atención social y legal a los familiares de las víctimas y apoyo a las acciones de reparación; d) educación y promoción cultural; e) estudios e investigaciones jurídicas; y f) el centro de documentaci</w:t>
      </w:r>
      <w:r w:rsidR="00902F13" w:rsidRPr="00DC278B">
        <w:rPr>
          <w:rFonts w:ascii="Cambria" w:eastAsia="Times New Roman" w:hAnsi="Cambria"/>
          <w:sz w:val="20"/>
          <w:szCs w:val="20"/>
          <w:bdr w:val="none" w:sz="0" w:space="0" w:color="auto"/>
          <w:lang w:val="es-ES_tradnl"/>
        </w:rPr>
        <w:t>ón y archivos de la corporación</w:t>
      </w:r>
      <w:r w:rsidRPr="00DC278B">
        <w:rPr>
          <w:rFonts w:ascii="Cambria" w:eastAsia="Times New Roman" w:hAnsi="Cambria"/>
          <w:sz w:val="20"/>
          <w:szCs w:val="20"/>
          <w:bdr w:val="none" w:sz="0" w:space="0" w:color="auto"/>
          <w:lang w:val="es-ES_tradnl"/>
        </w:rPr>
        <w:t xml:space="preserve">. </w:t>
      </w:r>
      <w:r w:rsidR="00E42AB4" w:rsidRPr="00DC278B">
        <w:rPr>
          <w:rFonts w:ascii="Cambria" w:hAnsi="Cambria"/>
          <w:sz w:val="20"/>
          <w:szCs w:val="20"/>
          <w:lang w:val="es-ES"/>
        </w:rPr>
        <w:t>El Estado indica que en el año 1996, la CNRR entregó su informe sobre “Calificación de víctimas de violaciones de Derechos Humanos y de la Violencia Política”.</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Agrega que en el año 1997, y haciendo un nuevo esfuerzo para avanzar en la ubicación de las personas detenidas desaparecidas y ejecutados políticos, el Gobierno dictó el Decreto Supremo No. 1005, estableciendo </w:t>
      </w:r>
      <w:r w:rsidR="00912B46" w:rsidRPr="00DC278B">
        <w:rPr>
          <w:rFonts w:ascii="Cambria" w:eastAsia="Times New Roman" w:hAnsi="Cambria"/>
          <w:sz w:val="20"/>
          <w:szCs w:val="20"/>
          <w:bdr w:val="none" w:sz="0" w:space="0" w:color="auto"/>
          <w:lang w:val="es-ES_tradnl"/>
        </w:rPr>
        <w:t xml:space="preserve">el </w:t>
      </w:r>
      <w:r w:rsidRPr="00DC278B">
        <w:rPr>
          <w:rFonts w:ascii="Cambria" w:eastAsia="Times New Roman" w:hAnsi="Cambria"/>
          <w:sz w:val="20"/>
          <w:szCs w:val="20"/>
          <w:bdr w:val="none" w:sz="0" w:space="0" w:color="auto"/>
          <w:lang w:val="es-ES_tradnl"/>
        </w:rPr>
        <w:t xml:space="preserve">“Programa Continuación de la Ley No. 19.123 dependiente del Ministerio del Interior” con el objetivo de intervenir en los procesos judiciales relacionados con las violaciones cometidas durante la dictadura, ya sea en forma directa presentando denuncias o como parte coadyuvante; o en forma de intervención indirecta, mediante la entrega de información solicitada por los jueces.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Estado sostiene que en 2003 el Gobierno y los representantes de agrupaciones de familiares de las víctimas, firmaron un Acta de Acuerdo para construir obras de reparación simbólica</w:t>
      </w:r>
      <w:r w:rsidR="00FA7864">
        <w:rPr>
          <w:rFonts w:ascii="Cambria" w:eastAsia="Times New Roman" w:hAnsi="Cambria"/>
          <w:sz w:val="20"/>
          <w:szCs w:val="20"/>
          <w:bdr w:val="none" w:sz="0" w:space="0" w:color="auto"/>
          <w:lang w:val="es-ES_tradnl"/>
        </w:rPr>
        <w:t xml:space="preserve"> en diversos lugares del país. </w:t>
      </w:r>
      <w:r w:rsidRPr="00DC278B">
        <w:rPr>
          <w:rFonts w:ascii="Cambria" w:eastAsia="Times New Roman" w:hAnsi="Cambria"/>
          <w:sz w:val="20"/>
          <w:szCs w:val="20"/>
          <w:bdr w:val="none" w:sz="0" w:space="0" w:color="auto"/>
          <w:lang w:val="es-ES_tradnl"/>
        </w:rPr>
        <w:t>Agrega que a finales de ese año, se procedió en la creación de la Comisión Nacional Sobre Prisión Política y Tortura (en adelante “</w:t>
      </w:r>
      <w:r w:rsidR="008504EE" w:rsidRPr="00DC278B">
        <w:rPr>
          <w:rFonts w:ascii="Cambria" w:eastAsia="Times New Roman" w:hAnsi="Cambria"/>
          <w:sz w:val="20"/>
          <w:szCs w:val="20"/>
          <w:bdr w:val="none" w:sz="0" w:space="0" w:color="auto"/>
          <w:lang w:val="es-ES_tradnl"/>
        </w:rPr>
        <w:t xml:space="preserve">la </w:t>
      </w:r>
      <w:r w:rsidRPr="00DC278B">
        <w:rPr>
          <w:rFonts w:ascii="Cambria" w:eastAsia="Times New Roman" w:hAnsi="Cambria"/>
          <w:sz w:val="20"/>
          <w:szCs w:val="20"/>
          <w:bdr w:val="none" w:sz="0" w:space="0" w:color="auto"/>
          <w:lang w:val="es-ES_tradnl"/>
        </w:rPr>
        <w:t>Co</w:t>
      </w:r>
      <w:r w:rsidR="008A2B89" w:rsidRPr="00DC278B">
        <w:rPr>
          <w:rFonts w:ascii="Cambria" w:eastAsia="Times New Roman" w:hAnsi="Cambria"/>
          <w:sz w:val="20"/>
          <w:szCs w:val="20"/>
          <w:bdr w:val="none" w:sz="0" w:space="0" w:color="auto"/>
          <w:lang w:val="es-ES_tradnl"/>
        </w:rPr>
        <w:t xml:space="preserve">misión </w:t>
      </w:r>
      <w:proofErr w:type="spellStart"/>
      <w:r w:rsidR="008A2B89" w:rsidRPr="00DC278B">
        <w:rPr>
          <w:rFonts w:ascii="Cambria" w:eastAsia="Times New Roman" w:hAnsi="Cambria"/>
          <w:sz w:val="20"/>
          <w:szCs w:val="20"/>
          <w:bdr w:val="none" w:sz="0" w:space="0" w:color="auto"/>
          <w:lang w:val="es-ES_tradnl"/>
        </w:rPr>
        <w:t>Va</w:t>
      </w:r>
      <w:r w:rsidRPr="00DC278B">
        <w:rPr>
          <w:rFonts w:ascii="Cambria" w:eastAsia="Times New Roman" w:hAnsi="Cambria"/>
          <w:sz w:val="20"/>
          <w:szCs w:val="20"/>
          <w:bdr w:val="none" w:sz="0" w:space="0" w:color="auto"/>
          <w:lang w:val="es-ES_tradnl"/>
        </w:rPr>
        <w:t>lech</w:t>
      </w:r>
      <w:proofErr w:type="spellEnd"/>
      <w:r w:rsidRPr="00DC278B">
        <w:rPr>
          <w:rFonts w:ascii="Cambria" w:eastAsia="Times New Roman" w:hAnsi="Cambria"/>
          <w:sz w:val="20"/>
          <w:szCs w:val="20"/>
          <w:bdr w:val="none" w:sz="0" w:space="0" w:color="auto"/>
          <w:lang w:val="es-ES_tradnl"/>
        </w:rPr>
        <w:t>”), la cual, re</w:t>
      </w:r>
      <w:r w:rsidR="009A09E9" w:rsidRPr="00DC278B">
        <w:rPr>
          <w:rFonts w:ascii="Cambria" w:eastAsia="Times New Roman" w:hAnsi="Cambria"/>
          <w:sz w:val="20"/>
          <w:szCs w:val="20"/>
          <w:bdr w:val="none" w:sz="0" w:space="0" w:color="auto"/>
          <w:lang w:val="es-ES_tradnl"/>
        </w:rPr>
        <w:t>cibió más de 35 mil testimonios</w:t>
      </w:r>
      <w:r w:rsidRPr="00DC278B">
        <w:rPr>
          <w:rFonts w:ascii="Cambria" w:eastAsia="Times New Roman" w:hAnsi="Cambria"/>
          <w:sz w:val="20"/>
          <w:szCs w:val="20"/>
          <w:bdr w:val="none" w:sz="0" w:space="0" w:color="auto"/>
          <w:lang w:val="es-ES_tradnl"/>
        </w:rPr>
        <w:t xml:space="preserve"> y habría calificado como víctimas a más de 28 mil personas.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Estado indica que, con dicho marco, durante 2004 los esfuerzos estatales se intensificaron y se promulgaron dos leyes de </w:t>
      </w:r>
      <w:r w:rsidR="00FA7864">
        <w:rPr>
          <w:rFonts w:ascii="Cambria" w:eastAsia="Times New Roman" w:hAnsi="Cambria"/>
          <w:sz w:val="20"/>
          <w:szCs w:val="20"/>
          <w:bdr w:val="none" w:sz="0" w:space="0" w:color="auto"/>
          <w:lang w:val="es-ES_tradnl"/>
        </w:rPr>
        <w:t xml:space="preserve">reparación. </w:t>
      </w:r>
      <w:r w:rsidR="00587D9C" w:rsidRPr="00DC278B">
        <w:rPr>
          <w:rFonts w:ascii="Cambria" w:eastAsia="Times New Roman" w:hAnsi="Cambria"/>
          <w:sz w:val="20"/>
          <w:szCs w:val="20"/>
          <w:bdr w:val="none" w:sz="0" w:space="0" w:color="auto"/>
          <w:lang w:val="es-ES_tradnl"/>
        </w:rPr>
        <w:t>La primera fue la L</w:t>
      </w:r>
      <w:r w:rsidRPr="00DC278B">
        <w:rPr>
          <w:rFonts w:ascii="Cambria" w:eastAsia="Times New Roman" w:hAnsi="Cambria"/>
          <w:sz w:val="20"/>
          <w:szCs w:val="20"/>
          <w:bdr w:val="none" w:sz="0" w:space="0" w:color="auto"/>
          <w:lang w:val="es-ES_tradnl"/>
        </w:rPr>
        <w:t>ey No 19.980 que modificó la Ley No. 19.123 ampliando o estableciendo beneficios a favor de los familiares de las víctimas ejecutadas y detenidas desapareci</w:t>
      </w:r>
      <w:r w:rsidR="00FA7864">
        <w:rPr>
          <w:rFonts w:ascii="Cambria" w:eastAsia="Times New Roman" w:hAnsi="Cambria"/>
          <w:sz w:val="20"/>
          <w:szCs w:val="20"/>
          <w:bdr w:val="none" w:sz="0" w:space="0" w:color="auto"/>
          <w:lang w:val="es-ES_tradnl"/>
        </w:rPr>
        <w:t xml:space="preserve">das. </w:t>
      </w:r>
      <w:r w:rsidRPr="00DC278B">
        <w:rPr>
          <w:rFonts w:ascii="Cambria" w:eastAsia="Times New Roman" w:hAnsi="Cambria"/>
          <w:sz w:val="20"/>
          <w:szCs w:val="20"/>
          <w:bdr w:val="none" w:sz="0" w:space="0" w:color="auto"/>
          <w:lang w:val="es-ES_tradnl"/>
        </w:rPr>
        <w:t>El Estado resalta que dicha ley comprendía entre otros beneficios: (i) el bono único de reparación a los hijos que no percibieron pensión de reparación; y (ii) el otorgamiento de 200 pensiones de gracia a familiares en situaciones especiales establec</w:t>
      </w:r>
      <w:r w:rsidR="00FA7864">
        <w:rPr>
          <w:rFonts w:ascii="Cambria" w:eastAsia="Times New Roman" w:hAnsi="Cambria"/>
          <w:sz w:val="20"/>
          <w:szCs w:val="20"/>
          <w:bdr w:val="none" w:sz="0" w:space="0" w:color="auto"/>
          <w:lang w:val="es-ES_tradnl"/>
        </w:rPr>
        <w:t xml:space="preserve">idas en la ley. </w:t>
      </w:r>
      <w:r w:rsidRPr="00DC278B">
        <w:rPr>
          <w:rFonts w:ascii="Cambria" w:eastAsia="Times New Roman" w:hAnsi="Cambria"/>
          <w:sz w:val="20"/>
          <w:szCs w:val="20"/>
          <w:bdr w:val="none" w:sz="0" w:space="0" w:color="auto"/>
          <w:lang w:val="es-ES_tradnl"/>
        </w:rPr>
        <w:t>Agrega que dicha ley también otorgó recursos especiales para la atención en salud a través del Programa de Reparación y Atención Integral de Salud (PRAIS) y que amplió los recursos destinados por el Ministerio del Interior para la construcción y mejoramiento de memoriales y sitios históricos</w:t>
      </w:r>
      <w:r w:rsidR="00401D94">
        <w:rPr>
          <w:rFonts w:ascii="Cambria" w:eastAsia="Times New Roman" w:hAnsi="Cambria"/>
          <w:sz w:val="20"/>
          <w:szCs w:val="20"/>
          <w:bdr w:val="none" w:sz="0" w:space="0" w:color="auto"/>
          <w:lang w:val="es-ES_tradnl"/>
        </w:rPr>
        <w:t xml:space="preserve"> para recordar a las víctimas.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Sostiene que la segunda ley de reparación fue la No. 19.992, la cual estableció una pensión de reparación y otorgó otros beneficios en materia de educación, salud y vivienda en favor de aquellas personas que fueron calificadas como víctimas de la prisión y tortura por motivos políticos, en el periodo comprendido entre el 11 de septiembre de 1973 y el 10 de marzo de 1990, cometidas por agentes del Estado.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3661B2"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Respecto de las anteriores medidas de reparación, el Estado alega que éstas se han enfocado en cuatro aspectos fundamentales: (i) reparaciones colectivas e individuales; (ii) reparaciones materiales e inmateriales; (iii) planes de</w:t>
      </w:r>
      <w:r w:rsidR="00FA7864">
        <w:rPr>
          <w:rFonts w:ascii="Cambria" w:eastAsia="Times New Roman" w:hAnsi="Cambria"/>
          <w:sz w:val="20"/>
          <w:szCs w:val="20"/>
          <w:bdr w:val="none" w:sz="0" w:space="0" w:color="auto"/>
          <w:lang w:val="es-ES_tradnl"/>
        </w:rPr>
        <w:t xml:space="preserve"> ayuda social; y (iv) memoria. </w:t>
      </w:r>
      <w:r w:rsidRPr="00DC278B">
        <w:rPr>
          <w:rFonts w:ascii="Cambria" w:eastAsia="Times New Roman" w:hAnsi="Cambria"/>
          <w:sz w:val="20"/>
          <w:szCs w:val="20"/>
          <w:bdr w:val="none" w:sz="0" w:space="0" w:color="auto"/>
          <w:lang w:val="es-ES_tradnl"/>
        </w:rPr>
        <w:t xml:space="preserve">Asimismo, indica que la política implementada en ese sentido fue materia de análisis de la propia Corte Interamericana, la cual habría valorado la política estatal de reparaciones en su sentencia </w:t>
      </w:r>
      <w:proofErr w:type="spellStart"/>
      <w:r w:rsidRPr="00DC278B">
        <w:rPr>
          <w:rFonts w:ascii="Cambria" w:eastAsia="Times New Roman" w:hAnsi="Cambria"/>
          <w:i/>
          <w:sz w:val="20"/>
          <w:szCs w:val="20"/>
          <w:bdr w:val="none" w:sz="0" w:space="0" w:color="auto"/>
          <w:lang w:val="es-ES_tradnl"/>
        </w:rPr>
        <w:t>Almonacid</w:t>
      </w:r>
      <w:proofErr w:type="spellEnd"/>
      <w:r w:rsidRPr="00DC278B">
        <w:rPr>
          <w:rFonts w:ascii="Cambria" w:eastAsia="Times New Roman" w:hAnsi="Cambria"/>
          <w:i/>
          <w:sz w:val="20"/>
          <w:szCs w:val="20"/>
          <w:bdr w:val="none" w:sz="0" w:space="0" w:color="auto"/>
          <w:lang w:val="es-ES_tradnl"/>
        </w:rPr>
        <w:t xml:space="preserve"> vs. Chile</w:t>
      </w:r>
      <w:r w:rsidR="003661B2" w:rsidRPr="00DC278B">
        <w:rPr>
          <w:rFonts w:ascii="Cambria" w:eastAsia="Times New Roman" w:hAnsi="Cambria"/>
          <w:sz w:val="20"/>
          <w:szCs w:val="20"/>
          <w:bdr w:val="none" w:sz="0" w:space="0" w:color="auto"/>
          <w:lang w:val="es-ES_tradnl"/>
        </w:rPr>
        <w:t>.</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Por otra parte, el Estado indica que la Ley No 19.123</w:t>
      </w:r>
      <w:r w:rsidR="009E60A2" w:rsidRPr="00DC278B">
        <w:rPr>
          <w:rFonts w:ascii="Cambria" w:eastAsia="Times New Roman" w:hAnsi="Cambria"/>
          <w:sz w:val="20"/>
          <w:szCs w:val="20"/>
          <w:bdr w:val="none" w:sz="0" w:space="0" w:color="auto"/>
          <w:lang w:val="es-ES_tradnl"/>
        </w:rPr>
        <w:t>, modificada por la L</w:t>
      </w:r>
      <w:r w:rsidRPr="00DC278B">
        <w:rPr>
          <w:rFonts w:ascii="Cambria" w:eastAsia="Times New Roman" w:hAnsi="Cambria"/>
          <w:sz w:val="20"/>
          <w:szCs w:val="20"/>
          <w:bdr w:val="none" w:sz="0" w:space="0" w:color="auto"/>
          <w:lang w:val="es-ES_tradnl"/>
        </w:rPr>
        <w:t xml:space="preserve">ey No 19.980, estableció beneficios </w:t>
      </w:r>
      <w:proofErr w:type="spellStart"/>
      <w:r w:rsidRPr="00DC278B">
        <w:rPr>
          <w:rFonts w:ascii="Cambria" w:eastAsia="Times New Roman" w:hAnsi="Cambria"/>
          <w:sz w:val="20"/>
          <w:szCs w:val="20"/>
          <w:bdr w:val="none" w:sz="0" w:space="0" w:color="auto"/>
          <w:lang w:val="es-ES_tradnl"/>
        </w:rPr>
        <w:t>reparatorios</w:t>
      </w:r>
      <w:proofErr w:type="spellEnd"/>
      <w:r w:rsidRPr="00DC278B">
        <w:rPr>
          <w:rFonts w:ascii="Cambria" w:eastAsia="Times New Roman" w:hAnsi="Cambria"/>
          <w:sz w:val="20"/>
          <w:szCs w:val="20"/>
          <w:bdr w:val="none" w:sz="0" w:space="0" w:color="auto"/>
          <w:lang w:val="es-ES_tradnl"/>
        </w:rPr>
        <w:t xml:space="preserve"> a los familiares de los detenidos desaparecidos y de ejecutados políticos de los casos bajo análisis, calificados por la Comisión</w:t>
      </w:r>
      <w:r w:rsidR="00FA7864">
        <w:rPr>
          <w:rFonts w:ascii="Cambria" w:eastAsia="Times New Roman" w:hAnsi="Cambria"/>
          <w:sz w:val="20"/>
          <w:szCs w:val="20"/>
          <w:bdr w:val="none" w:sz="0" w:space="0" w:color="auto"/>
          <w:lang w:val="es-ES_tradnl"/>
        </w:rPr>
        <w:t xml:space="preserve"> </w:t>
      </w:r>
      <w:proofErr w:type="spellStart"/>
      <w:r w:rsidR="00FA7864">
        <w:rPr>
          <w:rFonts w:ascii="Cambria" w:eastAsia="Times New Roman" w:hAnsi="Cambria"/>
          <w:sz w:val="20"/>
          <w:szCs w:val="20"/>
          <w:bdr w:val="none" w:sz="0" w:space="0" w:color="auto"/>
          <w:lang w:val="es-ES_tradnl"/>
        </w:rPr>
        <w:t>Rettig</w:t>
      </w:r>
      <w:proofErr w:type="spellEnd"/>
      <w:r w:rsidR="00FA7864">
        <w:rPr>
          <w:rFonts w:ascii="Cambria" w:eastAsia="Times New Roman" w:hAnsi="Cambria"/>
          <w:sz w:val="20"/>
          <w:szCs w:val="20"/>
          <w:bdr w:val="none" w:sz="0" w:space="0" w:color="auto"/>
          <w:lang w:val="es-ES_tradnl"/>
        </w:rPr>
        <w:t xml:space="preserve"> y a través de la CNRR. </w:t>
      </w:r>
      <w:r w:rsidRPr="00DC278B">
        <w:rPr>
          <w:rFonts w:ascii="Cambria" w:eastAsia="Times New Roman" w:hAnsi="Cambria"/>
          <w:sz w:val="20"/>
          <w:szCs w:val="20"/>
          <w:bdr w:val="none" w:sz="0" w:space="0" w:color="auto"/>
          <w:lang w:val="es-ES_tradnl"/>
        </w:rPr>
        <w:t xml:space="preserve">Asimismo, alega que se le brindó atención de salud para todo el grupo familiar a través del PRAIS, becas de estudio para los hijos menores de 35 años, </w:t>
      </w:r>
      <w:r w:rsidR="00AA09B7" w:rsidRPr="00DC278B">
        <w:rPr>
          <w:rFonts w:ascii="Cambria" w:eastAsia="Times New Roman" w:hAnsi="Cambria"/>
          <w:sz w:val="20"/>
          <w:szCs w:val="20"/>
          <w:bdr w:val="none" w:sz="0" w:space="0" w:color="auto"/>
          <w:lang w:val="es-ES_tradnl"/>
        </w:rPr>
        <w:t>exención</w:t>
      </w:r>
      <w:r w:rsidRPr="00DC278B">
        <w:rPr>
          <w:rFonts w:ascii="Cambria" w:eastAsia="Times New Roman" w:hAnsi="Cambria"/>
          <w:sz w:val="20"/>
          <w:szCs w:val="20"/>
          <w:bdr w:val="none" w:sz="0" w:space="0" w:color="auto"/>
          <w:lang w:val="es-ES_tradnl"/>
        </w:rPr>
        <w:t xml:space="preserve"> del servicio militar obliga</w:t>
      </w:r>
      <w:r w:rsidR="00FA7864">
        <w:rPr>
          <w:rFonts w:ascii="Cambria" w:eastAsia="Times New Roman" w:hAnsi="Cambria"/>
          <w:sz w:val="20"/>
          <w:szCs w:val="20"/>
          <w:bdr w:val="none" w:sz="0" w:space="0" w:color="auto"/>
          <w:lang w:val="es-ES_tradnl"/>
        </w:rPr>
        <w:t xml:space="preserve">torio y pensión de reparación. </w:t>
      </w:r>
      <w:r w:rsidRPr="00DC278B">
        <w:rPr>
          <w:rFonts w:ascii="Cambria" w:eastAsia="Times New Roman" w:hAnsi="Cambria"/>
          <w:sz w:val="20"/>
          <w:szCs w:val="20"/>
          <w:bdr w:val="none" w:sz="0" w:space="0" w:color="auto"/>
          <w:lang w:val="es-ES_tradnl"/>
        </w:rPr>
        <w:t>El Estado señala que la suma mensual de las pensiones de reparación entregada a las presuntas víctimas-familiares de las víctimas de la dictadura varía dependiend</w:t>
      </w:r>
      <w:r w:rsidR="00FA7864">
        <w:rPr>
          <w:rFonts w:ascii="Cambria" w:eastAsia="Times New Roman" w:hAnsi="Cambria"/>
          <w:sz w:val="20"/>
          <w:szCs w:val="20"/>
          <w:bdr w:val="none" w:sz="0" w:space="0" w:color="auto"/>
          <w:lang w:val="es-ES_tradnl"/>
        </w:rPr>
        <w:t xml:space="preserve">o del número de beneficiarios. </w:t>
      </w:r>
      <w:r w:rsidRPr="00DC278B">
        <w:rPr>
          <w:rFonts w:ascii="Cambria" w:eastAsia="Times New Roman" w:hAnsi="Cambria"/>
          <w:sz w:val="20"/>
          <w:szCs w:val="20"/>
          <w:bdr w:val="none" w:sz="0" w:space="0" w:color="auto"/>
          <w:lang w:val="es-ES_tradnl"/>
        </w:rPr>
        <w:t>Indica que cuando se trata de un solo beneficiario se entrega</w:t>
      </w:r>
      <w:r w:rsidR="00173BFF" w:rsidRPr="00DC278B">
        <w:rPr>
          <w:rFonts w:ascii="Cambria" w:eastAsia="Times New Roman" w:hAnsi="Cambria"/>
          <w:sz w:val="20"/>
          <w:szCs w:val="20"/>
          <w:bdr w:val="none" w:sz="0" w:space="0" w:color="auto"/>
          <w:lang w:val="es-ES_tradnl"/>
        </w:rPr>
        <w:t xml:space="preserve"> un monto de $360.674 Pesos c</w:t>
      </w:r>
      <w:r w:rsidRPr="00DC278B">
        <w:rPr>
          <w:rFonts w:ascii="Cambria" w:eastAsia="Times New Roman" w:hAnsi="Cambria"/>
          <w:sz w:val="20"/>
          <w:szCs w:val="20"/>
          <w:bdr w:val="none" w:sz="0" w:space="0" w:color="auto"/>
          <w:lang w:val="es-ES_tradnl"/>
        </w:rPr>
        <w:t xml:space="preserve">hilenos y de $504,903 Pesos chilenos, cuando hay más de uno.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 cuanto a los beneficios previsionales, el Estado señala que las presuntas víctimas de este caso habrían sido beneficiarias de pe</w:t>
      </w:r>
      <w:r w:rsidR="00FA7864">
        <w:rPr>
          <w:rFonts w:ascii="Cambria" w:eastAsia="Times New Roman" w:hAnsi="Cambria"/>
          <w:sz w:val="20"/>
          <w:szCs w:val="20"/>
          <w:bdr w:val="none" w:sz="0" w:space="0" w:color="auto"/>
          <w:lang w:val="es-ES_tradnl"/>
        </w:rPr>
        <w:t xml:space="preserve">nsiones y bonos de reparación. </w:t>
      </w:r>
      <w:r w:rsidRPr="00DC278B">
        <w:rPr>
          <w:rFonts w:ascii="Cambria" w:eastAsia="Times New Roman" w:hAnsi="Cambria"/>
          <w:sz w:val="20"/>
          <w:szCs w:val="20"/>
          <w:bdr w:val="none" w:sz="0" w:space="0" w:color="auto"/>
          <w:lang w:val="es-ES_tradnl"/>
        </w:rPr>
        <w:t>Al respecto afirma que en</w:t>
      </w:r>
      <w:r w:rsidR="00912B46"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la causa “</w:t>
      </w:r>
      <w:proofErr w:type="spellStart"/>
      <w:r w:rsidRPr="00DC278B">
        <w:rPr>
          <w:rFonts w:ascii="Cambria" w:eastAsia="Times New Roman" w:hAnsi="Cambria"/>
          <w:sz w:val="20"/>
          <w:szCs w:val="20"/>
          <w:bdr w:val="none" w:sz="0" w:space="0" w:color="auto"/>
          <w:lang w:val="es-ES_tradnl"/>
        </w:rPr>
        <w:t>Codoceo</w:t>
      </w:r>
      <w:proofErr w:type="spellEnd"/>
      <w:r w:rsidRPr="00DC278B">
        <w:rPr>
          <w:rFonts w:ascii="Cambria" w:eastAsia="Times New Roman" w:hAnsi="Cambria"/>
          <w:sz w:val="20"/>
          <w:szCs w:val="20"/>
          <w:bdr w:val="none" w:sz="0" w:space="0" w:color="auto"/>
          <w:lang w:val="es-ES_tradnl"/>
        </w:rPr>
        <w:t xml:space="preserve"> y otros” desde julio de 1991, la cónyuge de Hipólito Cortés, Alina Barraza </w:t>
      </w:r>
      <w:proofErr w:type="spellStart"/>
      <w:r w:rsidRPr="00DC278B">
        <w:rPr>
          <w:rFonts w:ascii="Cambria" w:eastAsia="Times New Roman" w:hAnsi="Cambria"/>
          <w:sz w:val="20"/>
          <w:szCs w:val="20"/>
          <w:bdr w:val="none" w:sz="0" w:space="0" w:color="auto"/>
          <w:lang w:val="es-ES_tradnl"/>
        </w:rPr>
        <w:t>Codoceo</w:t>
      </w:r>
      <w:proofErr w:type="spellEnd"/>
      <w:r w:rsidRPr="00DC278B">
        <w:rPr>
          <w:rFonts w:ascii="Cambria" w:eastAsia="Times New Roman" w:hAnsi="Cambria"/>
          <w:sz w:val="20"/>
          <w:szCs w:val="20"/>
          <w:bdr w:val="none" w:sz="0" w:space="0" w:color="auto"/>
          <w:lang w:val="es-ES_tradnl"/>
        </w:rPr>
        <w:t>, recibe una pensión mensual</w:t>
      </w:r>
      <w:r w:rsidR="00902F13" w:rsidRPr="00DC278B">
        <w:rPr>
          <w:rFonts w:ascii="Cambria" w:eastAsia="Times New Roman" w:hAnsi="Cambria"/>
          <w:sz w:val="20"/>
          <w:szCs w:val="20"/>
          <w:bdr w:val="none" w:sz="0" w:space="0" w:color="auto"/>
          <w:vertAlign w:val="superscript"/>
          <w:lang w:val="es-ES_tradnl"/>
        </w:rPr>
        <w:footnoteReference w:id="13"/>
      </w:r>
      <w:r w:rsidRPr="00DC278B">
        <w:rPr>
          <w:rFonts w:ascii="Cambria" w:eastAsia="Times New Roman" w:hAnsi="Cambria"/>
          <w:sz w:val="20"/>
          <w:szCs w:val="20"/>
          <w:bdr w:val="none" w:sz="0" w:space="0" w:color="auto"/>
          <w:lang w:val="es-ES_tradnl"/>
        </w:rPr>
        <w:t>; y sus siete hijos recibieron bonos de reparación que oscilan entre</w:t>
      </w:r>
      <w:r w:rsidR="00F97E62" w:rsidRPr="00DC278B">
        <w:rPr>
          <w:rFonts w:ascii="Cambria" w:eastAsia="Times New Roman" w:hAnsi="Cambria"/>
          <w:sz w:val="20"/>
          <w:szCs w:val="20"/>
          <w:bdr w:val="none" w:sz="0" w:space="0" w:color="auto"/>
          <w:lang w:val="es-ES_tradnl"/>
        </w:rPr>
        <w:t xml:space="preserve"> ocho y diez millones de Pesos c</w:t>
      </w:r>
      <w:r w:rsidRPr="00DC278B">
        <w:rPr>
          <w:rFonts w:ascii="Cambria" w:eastAsia="Times New Roman" w:hAnsi="Cambria"/>
          <w:sz w:val="20"/>
          <w:szCs w:val="20"/>
          <w:bdr w:val="none" w:sz="0" w:space="0" w:color="auto"/>
          <w:lang w:val="es-ES_tradnl"/>
        </w:rPr>
        <w:t>hilenos.</w:t>
      </w:r>
      <w:r w:rsidR="00705668" w:rsidRPr="00DC278B">
        <w:rPr>
          <w:rFonts w:ascii="Cambria" w:eastAsia="Times New Roman" w:hAnsi="Cambria"/>
          <w:sz w:val="20"/>
          <w:szCs w:val="20"/>
          <w:bdr w:val="none" w:sz="0" w:space="0" w:color="auto"/>
          <w:lang w:val="es-ES_tradnl"/>
        </w:rPr>
        <w:t xml:space="preserve"> </w:t>
      </w:r>
      <w:r w:rsidR="009E60A2" w:rsidRPr="00DC278B">
        <w:rPr>
          <w:rFonts w:ascii="Cambria" w:eastAsia="Times New Roman" w:hAnsi="Cambria"/>
          <w:sz w:val="20"/>
          <w:szCs w:val="20"/>
          <w:bdr w:val="none" w:sz="0" w:space="0" w:color="auto"/>
          <w:lang w:val="es-ES_tradnl"/>
        </w:rPr>
        <w:t>D</w:t>
      </w:r>
      <w:r w:rsidR="00705668" w:rsidRPr="00DC278B">
        <w:rPr>
          <w:rFonts w:ascii="Cambria" w:eastAsia="Times New Roman" w:hAnsi="Cambria"/>
          <w:sz w:val="20"/>
          <w:szCs w:val="20"/>
          <w:bdr w:val="none" w:sz="0" w:space="0" w:color="auto"/>
          <w:lang w:val="es-ES_tradnl"/>
        </w:rPr>
        <w:t>urante la audiencia pública sostenida ante la CIDH el 21 de marzo de 2009, el re</w:t>
      </w:r>
      <w:r w:rsidR="00885CA7" w:rsidRPr="00DC278B">
        <w:rPr>
          <w:rFonts w:ascii="Cambria" w:eastAsia="Times New Roman" w:hAnsi="Cambria"/>
          <w:sz w:val="20"/>
          <w:szCs w:val="20"/>
          <w:bdr w:val="none" w:sz="0" w:space="0" w:color="auto"/>
          <w:lang w:val="es-ES_tradnl"/>
        </w:rPr>
        <w:t>presentante del Estado detalló</w:t>
      </w:r>
      <w:r w:rsidR="00705668" w:rsidRPr="00DC278B">
        <w:rPr>
          <w:rFonts w:ascii="Cambria" w:eastAsia="Times New Roman" w:hAnsi="Cambria"/>
          <w:sz w:val="20"/>
          <w:szCs w:val="20"/>
          <w:bdr w:val="none" w:sz="0" w:space="0" w:color="auto"/>
          <w:lang w:val="es-ES_tradnl"/>
        </w:rPr>
        <w:t xml:space="preserve"> que Alina Barraza </w:t>
      </w:r>
      <w:proofErr w:type="spellStart"/>
      <w:r w:rsidR="00705668" w:rsidRPr="00DC278B">
        <w:rPr>
          <w:rFonts w:ascii="Cambria" w:eastAsia="Times New Roman" w:hAnsi="Cambria"/>
          <w:sz w:val="20"/>
          <w:szCs w:val="20"/>
          <w:bdr w:val="none" w:sz="0" w:space="0" w:color="auto"/>
          <w:lang w:val="es-ES_tradnl"/>
        </w:rPr>
        <w:t>Codoceo</w:t>
      </w:r>
      <w:proofErr w:type="spellEnd"/>
      <w:r w:rsidR="00705668" w:rsidRPr="00DC278B">
        <w:rPr>
          <w:rFonts w:ascii="Cambria" w:eastAsia="Times New Roman" w:hAnsi="Cambria"/>
          <w:sz w:val="20"/>
          <w:szCs w:val="20"/>
          <w:bdr w:val="none" w:sz="0" w:space="0" w:color="auto"/>
          <w:lang w:val="es-ES_tradnl"/>
        </w:rPr>
        <w:t xml:space="preserve"> continuaba recibiendo una pensión actual de US$600 y desde 1991 había recibido </w:t>
      </w:r>
      <w:r w:rsidR="00885CA7" w:rsidRPr="00DC278B">
        <w:rPr>
          <w:rFonts w:ascii="Cambria" w:eastAsia="Times New Roman" w:hAnsi="Cambria"/>
          <w:sz w:val="20"/>
          <w:szCs w:val="20"/>
          <w:bdr w:val="none" w:sz="0" w:space="0" w:color="auto"/>
          <w:lang w:val="es-ES_tradnl"/>
        </w:rPr>
        <w:t xml:space="preserve">un total de </w:t>
      </w:r>
      <w:r w:rsidR="00705668" w:rsidRPr="00DC278B">
        <w:rPr>
          <w:rFonts w:ascii="Cambria" w:eastAsia="Times New Roman" w:hAnsi="Cambria"/>
          <w:sz w:val="20"/>
          <w:szCs w:val="20"/>
          <w:bdr w:val="none" w:sz="0" w:space="0" w:color="auto"/>
          <w:lang w:val="es-ES_tradnl"/>
        </w:rPr>
        <w:t>US$</w:t>
      </w:r>
      <w:r w:rsidR="002275B6" w:rsidRPr="00DC278B">
        <w:rPr>
          <w:rFonts w:ascii="Cambria" w:eastAsia="Times New Roman" w:hAnsi="Cambria"/>
          <w:sz w:val="20"/>
          <w:szCs w:val="20"/>
          <w:bdr w:val="none" w:sz="0" w:space="0" w:color="auto"/>
          <w:lang w:val="es-ES_tradnl"/>
        </w:rPr>
        <w:t xml:space="preserve"> </w:t>
      </w:r>
      <w:r w:rsidR="002878DF">
        <w:rPr>
          <w:rFonts w:ascii="Cambria" w:eastAsia="Times New Roman" w:hAnsi="Cambria"/>
          <w:sz w:val="20"/>
          <w:szCs w:val="20"/>
          <w:bdr w:val="none" w:sz="0" w:space="0" w:color="auto"/>
          <w:lang w:val="es-ES_tradnl"/>
        </w:rPr>
        <w:t xml:space="preserve">25.000. </w:t>
      </w:r>
      <w:r w:rsidR="00705668" w:rsidRPr="00DC278B">
        <w:rPr>
          <w:rFonts w:ascii="Cambria" w:eastAsia="Times New Roman" w:hAnsi="Cambria"/>
          <w:sz w:val="20"/>
          <w:szCs w:val="20"/>
          <w:bdr w:val="none" w:sz="0" w:space="0" w:color="auto"/>
          <w:lang w:val="es-ES_tradnl"/>
        </w:rPr>
        <w:t>Indicó que s</w:t>
      </w:r>
      <w:r w:rsidR="00845447" w:rsidRPr="00DC278B">
        <w:rPr>
          <w:rFonts w:ascii="Cambria" w:eastAsia="Times New Roman" w:hAnsi="Cambria"/>
          <w:sz w:val="20"/>
          <w:szCs w:val="20"/>
          <w:bdr w:val="none" w:sz="0" w:space="0" w:color="auto"/>
          <w:lang w:val="es-ES_tradnl"/>
        </w:rPr>
        <w:t>us</w:t>
      </w:r>
      <w:r w:rsidR="00705668" w:rsidRPr="00DC278B">
        <w:rPr>
          <w:rFonts w:ascii="Cambria" w:eastAsia="Times New Roman" w:hAnsi="Cambria"/>
          <w:sz w:val="20"/>
          <w:szCs w:val="20"/>
          <w:bdr w:val="none" w:sz="0" w:space="0" w:color="auto"/>
          <w:lang w:val="es-ES_tradnl"/>
        </w:rPr>
        <w:t xml:space="preserve"> hijos recibieron una reparación total aproximada de US$ 6.000</w:t>
      </w:r>
      <w:r w:rsidR="00885CA7" w:rsidRPr="00DC278B">
        <w:rPr>
          <w:rStyle w:val="FootnoteReference"/>
          <w:rFonts w:ascii="Cambria" w:eastAsia="Times New Roman" w:hAnsi="Cambria"/>
          <w:sz w:val="20"/>
          <w:szCs w:val="20"/>
          <w:bdr w:val="none" w:sz="0" w:space="0" w:color="auto"/>
          <w:lang w:val="es-ES_tradnl"/>
        </w:rPr>
        <w:footnoteReference w:id="14"/>
      </w:r>
      <w:r w:rsidR="00705668" w:rsidRPr="00DC278B">
        <w:rPr>
          <w:rFonts w:ascii="Cambria" w:eastAsia="Times New Roman" w:hAnsi="Cambria"/>
          <w:sz w:val="20"/>
          <w:szCs w:val="20"/>
          <w:bdr w:val="none" w:sz="0" w:space="0" w:color="auto"/>
          <w:lang w:val="es-ES_tradnl"/>
        </w:rPr>
        <w:t xml:space="preserve">. </w:t>
      </w:r>
      <w:r w:rsidR="008668F6" w:rsidRPr="00DC278B">
        <w:rPr>
          <w:rFonts w:ascii="Cambria" w:eastAsia="Times New Roman" w:hAnsi="Cambria"/>
          <w:sz w:val="20"/>
          <w:szCs w:val="20"/>
          <w:bdr w:val="none" w:sz="0" w:space="0" w:color="auto"/>
          <w:lang w:val="es-ES_tradnl"/>
        </w:rPr>
        <w:t>Asimismo indicó que la familia está</w:t>
      </w:r>
      <w:r w:rsidR="00912B46" w:rsidRPr="00DC278B">
        <w:rPr>
          <w:rFonts w:ascii="Cambria" w:eastAsia="Times New Roman" w:hAnsi="Cambria"/>
          <w:sz w:val="20"/>
          <w:szCs w:val="20"/>
          <w:bdr w:val="none" w:sz="0" w:space="0" w:color="auto"/>
          <w:lang w:val="es-ES_tradnl"/>
        </w:rPr>
        <w:t xml:space="preserve"> incorporada</w:t>
      </w:r>
      <w:r w:rsidR="00705668" w:rsidRPr="00DC278B">
        <w:rPr>
          <w:rFonts w:ascii="Cambria" w:eastAsia="Times New Roman" w:hAnsi="Cambria"/>
          <w:sz w:val="20"/>
          <w:szCs w:val="20"/>
          <w:bdr w:val="none" w:sz="0" w:space="0" w:color="auto"/>
          <w:lang w:val="es-ES_tradnl"/>
        </w:rPr>
        <w:t xml:space="preserve"> </w:t>
      </w:r>
      <w:r w:rsidR="008668F6" w:rsidRPr="00DC278B">
        <w:rPr>
          <w:rFonts w:ascii="Cambria" w:eastAsia="Times New Roman" w:hAnsi="Cambria"/>
          <w:sz w:val="20"/>
          <w:szCs w:val="20"/>
          <w:bdr w:val="none" w:sz="0" w:space="0" w:color="auto"/>
          <w:lang w:val="es-ES_tradnl"/>
        </w:rPr>
        <w:t xml:space="preserve">en el PRAIS </w:t>
      </w:r>
      <w:r w:rsidR="00705668" w:rsidRPr="00DC278B">
        <w:rPr>
          <w:rFonts w:ascii="Cambria" w:eastAsia="Times New Roman" w:hAnsi="Cambria"/>
          <w:sz w:val="20"/>
          <w:szCs w:val="20"/>
          <w:bdr w:val="none" w:sz="0" w:space="0" w:color="auto"/>
          <w:lang w:val="es-ES_tradnl"/>
        </w:rPr>
        <w:t xml:space="preserve">y </w:t>
      </w:r>
      <w:r w:rsidR="008668F6" w:rsidRPr="00DC278B">
        <w:rPr>
          <w:rFonts w:ascii="Cambria" w:eastAsia="Times New Roman" w:hAnsi="Cambria"/>
          <w:sz w:val="20"/>
          <w:szCs w:val="20"/>
          <w:bdr w:val="none" w:sz="0" w:space="0" w:color="auto"/>
          <w:lang w:val="es-ES_tradnl"/>
        </w:rPr>
        <w:t>que se le</w:t>
      </w:r>
      <w:r w:rsidR="00705668" w:rsidRPr="00DC278B">
        <w:rPr>
          <w:rFonts w:ascii="Cambria" w:eastAsia="Times New Roman" w:hAnsi="Cambria"/>
          <w:sz w:val="20"/>
          <w:szCs w:val="20"/>
          <w:bdr w:val="none" w:sz="0" w:space="0" w:color="auto"/>
          <w:lang w:val="es-ES_tradnl"/>
        </w:rPr>
        <w:t xml:space="preserve"> brinda un subsidio mensual de </w:t>
      </w:r>
      <w:r w:rsidR="008668F6" w:rsidRPr="00DC278B">
        <w:rPr>
          <w:rFonts w:ascii="Cambria" w:eastAsia="Times New Roman" w:hAnsi="Cambria"/>
          <w:sz w:val="20"/>
          <w:szCs w:val="20"/>
          <w:bdr w:val="none" w:sz="0" w:space="0" w:color="auto"/>
          <w:lang w:val="es-ES_tradnl"/>
        </w:rPr>
        <w:t xml:space="preserve">US$ </w:t>
      </w:r>
      <w:r w:rsidR="00705668" w:rsidRPr="00DC278B">
        <w:rPr>
          <w:rFonts w:ascii="Cambria" w:eastAsia="Times New Roman" w:hAnsi="Cambria"/>
          <w:sz w:val="20"/>
          <w:szCs w:val="20"/>
          <w:bdr w:val="none" w:sz="0" w:space="0" w:color="auto"/>
          <w:lang w:val="es-ES_tradnl"/>
        </w:rPr>
        <w:t xml:space="preserve">35 a </w:t>
      </w:r>
      <w:r w:rsidR="008668F6" w:rsidRPr="00DC278B">
        <w:rPr>
          <w:rFonts w:ascii="Cambria" w:eastAsia="Times New Roman" w:hAnsi="Cambria"/>
          <w:sz w:val="20"/>
          <w:szCs w:val="20"/>
          <w:bdr w:val="none" w:sz="0" w:space="0" w:color="auto"/>
          <w:lang w:val="es-ES_tradnl"/>
        </w:rPr>
        <w:t xml:space="preserve">US$ </w:t>
      </w:r>
      <w:r w:rsidR="00705668" w:rsidRPr="00DC278B">
        <w:rPr>
          <w:rFonts w:ascii="Cambria" w:eastAsia="Times New Roman" w:hAnsi="Cambria"/>
          <w:sz w:val="20"/>
          <w:szCs w:val="20"/>
          <w:bdr w:val="none" w:sz="0" w:space="0" w:color="auto"/>
          <w:lang w:val="es-ES_tradnl"/>
        </w:rPr>
        <w:t xml:space="preserve">40 para </w:t>
      </w:r>
      <w:r w:rsidR="008668F6" w:rsidRPr="00DC278B">
        <w:rPr>
          <w:rFonts w:ascii="Cambria" w:eastAsia="Times New Roman" w:hAnsi="Cambria"/>
          <w:sz w:val="20"/>
          <w:szCs w:val="20"/>
          <w:bdr w:val="none" w:sz="0" w:space="0" w:color="auto"/>
          <w:lang w:val="es-ES_tradnl"/>
        </w:rPr>
        <w:t xml:space="preserve">la continuación de </w:t>
      </w:r>
      <w:r w:rsidR="00705668" w:rsidRPr="00DC278B">
        <w:rPr>
          <w:rFonts w:ascii="Cambria" w:eastAsia="Times New Roman" w:hAnsi="Cambria"/>
          <w:sz w:val="20"/>
          <w:szCs w:val="20"/>
          <w:bdr w:val="none" w:sz="0" w:space="0" w:color="auto"/>
          <w:lang w:val="es-ES_tradnl"/>
        </w:rPr>
        <w:t>estudios en la enseñanza media y superior.</w:t>
      </w:r>
    </w:p>
    <w:p w:rsidR="00705668" w:rsidRPr="00DC278B" w:rsidRDefault="00705668"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Indica que en la causa “Morales </w:t>
      </w:r>
      <w:proofErr w:type="spellStart"/>
      <w:r w:rsidRPr="00DC278B">
        <w:rPr>
          <w:rFonts w:ascii="Cambria" w:eastAsia="Times New Roman" w:hAnsi="Cambria"/>
          <w:sz w:val="20"/>
          <w:szCs w:val="20"/>
          <w:bdr w:val="none" w:sz="0" w:space="0" w:color="auto"/>
          <w:lang w:val="es-ES_tradnl"/>
        </w:rPr>
        <w:t>Compagnon</w:t>
      </w:r>
      <w:proofErr w:type="spellEnd"/>
      <w:r w:rsidRPr="00DC278B">
        <w:rPr>
          <w:rFonts w:ascii="Cambria" w:eastAsia="Times New Roman" w:hAnsi="Cambria"/>
          <w:sz w:val="20"/>
          <w:szCs w:val="20"/>
          <w:bdr w:val="none" w:sz="0" w:space="0" w:color="auto"/>
          <w:lang w:val="es-ES_tradnl"/>
        </w:rPr>
        <w:t xml:space="preserve"> y otros” desde julio de 1991 la cónyuge de Jorge Osorio, Lucia Morales </w:t>
      </w:r>
      <w:proofErr w:type="spellStart"/>
      <w:r w:rsidRPr="00DC278B">
        <w:rPr>
          <w:rFonts w:ascii="Cambria" w:eastAsia="Times New Roman" w:hAnsi="Cambria"/>
          <w:sz w:val="20"/>
          <w:szCs w:val="20"/>
          <w:bdr w:val="none" w:sz="0" w:space="0" w:color="auto"/>
          <w:lang w:val="es-ES_tradnl"/>
        </w:rPr>
        <w:t>Compagnon</w:t>
      </w:r>
      <w:proofErr w:type="spellEnd"/>
      <w:r w:rsidRPr="00DC278B">
        <w:rPr>
          <w:rFonts w:ascii="Cambria" w:eastAsia="Times New Roman" w:hAnsi="Cambria"/>
          <w:sz w:val="20"/>
          <w:szCs w:val="20"/>
          <w:bdr w:val="none" w:sz="0" w:space="0" w:color="auto"/>
          <w:lang w:val="es-ES_tradnl"/>
        </w:rPr>
        <w:t>, recibe una pensión mensual</w:t>
      </w:r>
      <w:r w:rsidR="00902F13" w:rsidRPr="00DC278B">
        <w:rPr>
          <w:rFonts w:ascii="Cambria" w:eastAsia="Times New Roman" w:hAnsi="Cambria"/>
          <w:sz w:val="20"/>
          <w:szCs w:val="20"/>
          <w:bdr w:val="none" w:sz="0" w:space="0" w:color="auto"/>
          <w:vertAlign w:val="superscript"/>
          <w:lang w:val="es-ES"/>
        </w:rPr>
        <w:footnoteReference w:id="15"/>
      </w:r>
      <w:r w:rsidRPr="00DC278B">
        <w:rPr>
          <w:rFonts w:ascii="Cambria" w:eastAsia="Times New Roman" w:hAnsi="Cambria"/>
          <w:sz w:val="20"/>
          <w:szCs w:val="20"/>
          <w:bdr w:val="none" w:sz="0" w:space="0" w:color="auto"/>
          <w:lang w:val="es-ES_tradnl"/>
        </w:rPr>
        <w:t>; y cada uno de los cuatro hijos recibieron bonos de reparación que oscilan entre siete y diez millones de pesos.</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E07F44"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Indica que en la causa “Ó</w:t>
      </w:r>
      <w:r w:rsidR="005F74FD" w:rsidRPr="00DC278B">
        <w:rPr>
          <w:rFonts w:ascii="Cambria" w:eastAsia="Times New Roman" w:hAnsi="Cambria"/>
          <w:sz w:val="20"/>
          <w:szCs w:val="20"/>
          <w:bdr w:val="none" w:sz="0" w:space="0" w:color="auto"/>
          <w:lang w:val="es-ES_tradnl"/>
        </w:rPr>
        <w:t xml:space="preserve">rdenes Guerra y otro” desde el 1˚ de julio de 1991, la cónyuge de Augusto </w:t>
      </w:r>
      <w:proofErr w:type="spellStart"/>
      <w:r w:rsidR="005F74FD" w:rsidRPr="00DC278B">
        <w:rPr>
          <w:rFonts w:ascii="Cambria" w:eastAsia="Times New Roman" w:hAnsi="Cambria"/>
          <w:sz w:val="20"/>
          <w:szCs w:val="20"/>
          <w:bdr w:val="none" w:sz="0" w:space="0" w:color="auto"/>
          <w:lang w:val="es-ES_tradnl"/>
        </w:rPr>
        <w:t>Alcayaga</w:t>
      </w:r>
      <w:proofErr w:type="spellEnd"/>
      <w:r w:rsidR="005F74FD" w:rsidRPr="00DC278B">
        <w:rPr>
          <w:rFonts w:ascii="Cambria" w:eastAsia="Times New Roman" w:hAnsi="Cambria"/>
          <w:sz w:val="20"/>
          <w:szCs w:val="20"/>
          <w:bdr w:val="none" w:sz="0" w:space="0" w:color="auto"/>
          <w:lang w:val="es-ES_tradnl"/>
        </w:rPr>
        <w:t xml:space="preserve">, María Laura </w:t>
      </w:r>
      <w:r w:rsidRPr="00DC278B">
        <w:rPr>
          <w:rFonts w:ascii="Cambria" w:eastAsia="Times New Roman" w:hAnsi="Cambria"/>
          <w:sz w:val="20"/>
          <w:szCs w:val="20"/>
          <w:bdr w:val="none" w:sz="0" w:space="0" w:color="auto"/>
          <w:lang w:val="es-ES_tradnl"/>
        </w:rPr>
        <w:t>Ó</w:t>
      </w:r>
      <w:r w:rsidR="005F74FD" w:rsidRPr="00DC278B">
        <w:rPr>
          <w:rFonts w:ascii="Cambria" w:eastAsia="Times New Roman" w:hAnsi="Cambria"/>
          <w:sz w:val="20"/>
          <w:szCs w:val="20"/>
          <w:bdr w:val="none" w:sz="0" w:space="0" w:color="auto"/>
          <w:lang w:val="es-ES_tradnl"/>
        </w:rPr>
        <w:t>rdenes Guerra, recibe una pen</w:t>
      </w:r>
      <w:r w:rsidR="008563A3" w:rsidRPr="00DC278B">
        <w:rPr>
          <w:rFonts w:ascii="Cambria" w:eastAsia="Times New Roman" w:hAnsi="Cambria"/>
          <w:sz w:val="20"/>
          <w:szCs w:val="20"/>
          <w:bdr w:val="none" w:sz="0" w:space="0" w:color="auto"/>
          <w:lang w:val="es-ES_tradnl"/>
        </w:rPr>
        <w:t xml:space="preserve">sión mensual de </w:t>
      </w:r>
      <w:r w:rsidR="00F97E62" w:rsidRPr="00DC278B">
        <w:rPr>
          <w:rFonts w:ascii="Cambria" w:eastAsia="Times New Roman" w:hAnsi="Cambria"/>
          <w:sz w:val="20"/>
          <w:szCs w:val="20"/>
          <w:bdr w:val="none" w:sz="0" w:space="0" w:color="auto"/>
          <w:lang w:val="es-ES_tradnl"/>
        </w:rPr>
        <w:t>360.674 Pesos c</w:t>
      </w:r>
      <w:r w:rsidR="005F74FD" w:rsidRPr="00DC278B">
        <w:rPr>
          <w:rFonts w:ascii="Cambria" w:eastAsia="Times New Roman" w:hAnsi="Cambria"/>
          <w:sz w:val="20"/>
          <w:szCs w:val="20"/>
          <w:bdr w:val="none" w:sz="0" w:space="0" w:color="auto"/>
          <w:lang w:val="es-ES_tradnl"/>
        </w:rPr>
        <w:t xml:space="preserve">hilenos y que cada uno de sus cinco hijos tuvieron derecho a percibir, el 15% del monto total de la pensión, hasta los 25 años de edad.  Indica que en noviembre de 2005 a los hijos que por edad no le correspondía pensión, se les otorgó un bono de reparación por </w:t>
      </w:r>
      <w:r w:rsidR="00F97E62" w:rsidRPr="00DC278B">
        <w:rPr>
          <w:rFonts w:ascii="Cambria" w:eastAsia="Times New Roman" w:hAnsi="Cambria"/>
          <w:sz w:val="20"/>
          <w:szCs w:val="20"/>
          <w:bdr w:val="none" w:sz="0" w:space="0" w:color="auto"/>
          <w:lang w:val="es-ES_tradnl"/>
        </w:rPr>
        <w:t>única vez de $10.000.000 Pesos c</w:t>
      </w:r>
      <w:r w:rsidR="00D30856">
        <w:rPr>
          <w:rFonts w:ascii="Cambria" w:eastAsia="Times New Roman" w:hAnsi="Cambria"/>
          <w:sz w:val="20"/>
          <w:szCs w:val="20"/>
          <w:bdr w:val="none" w:sz="0" w:space="0" w:color="auto"/>
          <w:lang w:val="es-ES_tradnl"/>
        </w:rPr>
        <w:t xml:space="preserve">hilenos. </w:t>
      </w:r>
      <w:r w:rsidR="005F74FD" w:rsidRPr="00DC278B">
        <w:rPr>
          <w:rFonts w:ascii="Cambria" w:eastAsia="Times New Roman" w:hAnsi="Cambria"/>
          <w:sz w:val="20"/>
          <w:szCs w:val="20"/>
          <w:bdr w:val="none" w:sz="0" w:space="0" w:color="auto"/>
          <w:lang w:val="es-ES_tradnl"/>
        </w:rPr>
        <w:t>Precisa además que a los hijos que por edad recibieron pensiones de reparación, se les otorgó la diferencia entre lo que habían recibido por pensión y el monto de la bonificación única.</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Seña</w:t>
      </w:r>
      <w:r w:rsidR="00790F8B" w:rsidRPr="00DC278B">
        <w:rPr>
          <w:rFonts w:ascii="Cambria" w:eastAsia="Times New Roman" w:hAnsi="Cambria"/>
          <w:sz w:val="20"/>
          <w:szCs w:val="20"/>
          <w:bdr w:val="none" w:sz="0" w:space="0" w:color="auto"/>
          <w:lang w:val="es-ES_tradnl"/>
        </w:rPr>
        <w:t xml:space="preserve">la que en la causas “Melo </w:t>
      </w:r>
      <w:proofErr w:type="spellStart"/>
      <w:r w:rsidR="00790F8B" w:rsidRPr="00DC278B">
        <w:rPr>
          <w:rFonts w:ascii="Cambria" w:eastAsia="Times New Roman" w:hAnsi="Cambria"/>
          <w:sz w:val="20"/>
          <w:szCs w:val="20"/>
          <w:bdr w:val="none" w:sz="0" w:space="0" w:color="auto"/>
          <w:lang w:val="es-ES_tradnl"/>
        </w:rPr>
        <w:t>Pr</w:t>
      </w:r>
      <w:r w:rsidR="00EC75CD" w:rsidRPr="00DC278B">
        <w:rPr>
          <w:rFonts w:ascii="Cambria" w:eastAsia="Times New Roman" w:hAnsi="Cambria"/>
          <w:sz w:val="20"/>
          <w:szCs w:val="20"/>
          <w:bdr w:val="none" w:sz="0" w:space="0" w:color="auto"/>
          <w:lang w:val="es-ES_tradnl"/>
        </w:rPr>
        <w:t>a</w:t>
      </w:r>
      <w:r w:rsidR="00790F8B" w:rsidRPr="00DC278B">
        <w:rPr>
          <w:rFonts w:ascii="Cambria" w:eastAsia="Times New Roman" w:hAnsi="Cambria"/>
          <w:sz w:val="20"/>
          <w:szCs w:val="20"/>
          <w:bdr w:val="none" w:sz="0" w:space="0" w:color="auto"/>
          <w:lang w:val="es-ES_tradnl"/>
        </w:rPr>
        <w:t>den</w:t>
      </w:r>
      <w:r w:rsidRPr="00DC278B">
        <w:rPr>
          <w:rFonts w:ascii="Cambria" w:eastAsia="Times New Roman" w:hAnsi="Cambria"/>
          <w:sz w:val="20"/>
          <w:szCs w:val="20"/>
          <w:bdr w:val="none" w:sz="0" w:space="0" w:color="auto"/>
          <w:lang w:val="es-ES_tradnl"/>
        </w:rPr>
        <w:t>as</w:t>
      </w:r>
      <w:proofErr w:type="spellEnd"/>
      <w:r w:rsidRPr="00DC278B">
        <w:rPr>
          <w:rFonts w:ascii="Cambria" w:eastAsia="Times New Roman" w:hAnsi="Cambria"/>
          <w:sz w:val="20"/>
          <w:szCs w:val="20"/>
          <w:bdr w:val="none" w:sz="0" w:space="0" w:color="auto"/>
          <w:lang w:val="es-ES_tradnl"/>
        </w:rPr>
        <w:t>, Vivanco, Espejo Gómez y Reyes Navarrete” desde el 1˚ de julio de 1991 hasta el día de su muerte, el 29 de mayo de 2006, la mad</w:t>
      </w:r>
      <w:r w:rsidR="00720893" w:rsidRPr="00DC278B">
        <w:rPr>
          <w:rFonts w:ascii="Cambria" w:eastAsia="Times New Roman" w:hAnsi="Cambria"/>
          <w:sz w:val="20"/>
          <w:szCs w:val="20"/>
          <w:bdr w:val="none" w:sz="0" w:space="0" w:color="auto"/>
          <w:lang w:val="es-ES_tradnl"/>
        </w:rPr>
        <w:t xml:space="preserve">re de Mario Melo, Ilia María </w:t>
      </w:r>
      <w:proofErr w:type="spellStart"/>
      <w:r w:rsidR="00720893" w:rsidRPr="00DC278B">
        <w:rPr>
          <w:rFonts w:ascii="Cambria" w:eastAsia="Times New Roman" w:hAnsi="Cambria"/>
          <w:sz w:val="20"/>
          <w:szCs w:val="20"/>
          <w:bdr w:val="none" w:sz="0" w:space="0" w:color="auto"/>
          <w:lang w:val="es-ES_tradnl"/>
        </w:rPr>
        <w:t>Pr</w:t>
      </w:r>
      <w:r w:rsidR="00EC75CD" w:rsidRPr="00DC278B">
        <w:rPr>
          <w:rFonts w:ascii="Cambria" w:eastAsia="Times New Roman" w:hAnsi="Cambria"/>
          <w:sz w:val="20"/>
          <w:szCs w:val="20"/>
          <w:bdr w:val="none" w:sz="0" w:space="0" w:color="auto"/>
          <w:lang w:val="es-ES_tradnl"/>
        </w:rPr>
        <w:t>a</w:t>
      </w:r>
      <w:r w:rsidRPr="00DC278B">
        <w:rPr>
          <w:rFonts w:ascii="Cambria" w:eastAsia="Times New Roman" w:hAnsi="Cambria"/>
          <w:sz w:val="20"/>
          <w:szCs w:val="20"/>
          <w:bdr w:val="none" w:sz="0" w:space="0" w:color="auto"/>
          <w:lang w:val="es-ES_tradnl"/>
        </w:rPr>
        <w:t>denas</w:t>
      </w:r>
      <w:proofErr w:type="spellEnd"/>
      <w:r w:rsidRPr="00DC278B">
        <w:rPr>
          <w:rFonts w:ascii="Cambria" w:eastAsia="Times New Roman" w:hAnsi="Cambria"/>
          <w:sz w:val="20"/>
          <w:szCs w:val="20"/>
          <w:bdr w:val="none" w:sz="0" w:space="0" w:color="auto"/>
          <w:lang w:val="es-ES_tradnl"/>
        </w:rPr>
        <w:t xml:space="preserve"> Pérez, recibió una bonificación compensatoria, ascendiente al 40% mensual correspondiente a la de </w:t>
      </w:r>
      <w:r w:rsidR="00D30856">
        <w:rPr>
          <w:rFonts w:ascii="Cambria" w:eastAsia="Times New Roman" w:hAnsi="Cambria"/>
          <w:sz w:val="20"/>
          <w:szCs w:val="20"/>
          <w:bdr w:val="none" w:sz="0" w:space="0" w:color="auto"/>
          <w:lang w:val="es-ES_tradnl"/>
        </w:rPr>
        <w:t xml:space="preserve">más de un beneficiario. </w:t>
      </w:r>
      <w:r w:rsidR="008563A3" w:rsidRPr="00DC278B">
        <w:rPr>
          <w:rFonts w:ascii="Cambria" w:eastAsia="Times New Roman" w:hAnsi="Cambria"/>
          <w:sz w:val="20"/>
          <w:szCs w:val="20"/>
          <w:bdr w:val="none" w:sz="0" w:space="0" w:color="auto"/>
          <w:lang w:val="es-ES_tradnl"/>
        </w:rPr>
        <w:t>Indica</w:t>
      </w:r>
      <w:r w:rsidRPr="00DC278B">
        <w:rPr>
          <w:rFonts w:ascii="Cambria" w:eastAsia="Times New Roman" w:hAnsi="Cambria"/>
          <w:sz w:val="20"/>
          <w:szCs w:val="20"/>
          <w:bdr w:val="none" w:sz="0" w:space="0" w:color="auto"/>
          <w:lang w:val="es-ES_tradnl"/>
        </w:rPr>
        <w:t xml:space="preserve"> que el padre de Mario Melo, Mario Melo Acuña, percibe pensión de reparación desde el 1˚ de agosto de 2006; con </w:t>
      </w:r>
      <w:r w:rsidR="008563A3" w:rsidRPr="00DC278B">
        <w:rPr>
          <w:rFonts w:ascii="Cambria" w:eastAsia="Times New Roman" w:hAnsi="Cambria"/>
          <w:sz w:val="20"/>
          <w:szCs w:val="20"/>
          <w:bdr w:val="none" w:sz="0" w:space="0" w:color="auto"/>
          <w:lang w:val="es-ES_tradnl"/>
        </w:rPr>
        <w:t xml:space="preserve">monto de beneficiario único de </w:t>
      </w:r>
      <w:r w:rsidRPr="00DC278B">
        <w:rPr>
          <w:rFonts w:ascii="Cambria" w:eastAsia="Times New Roman" w:hAnsi="Cambria"/>
          <w:sz w:val="20"/>
          <w:szCs w:val="20"/>
          <w:bdr w:val="none" w:sz="0" w:space="0" w:color="auto"/>
          <w:lang w:val="es-ES_tradnl"/>
        </w:rPr>
        <w:t xml:space="preserve">360.674 Pesos chilenos.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Señala que la hija de Ramón Luis Vivanco, Pamela Adriana Vivanco, percibió pensión desde el 1˚ de julio de 1991 hasta el 31 de diciembre de 1993; y bono de compensación por la suma total diez mi</w:t>
      </w:r>
      <w:r w:rsidR="00F97E62" w:rsidRPr="00DC278B">
        <w:rPr>
          <w:rFonts w:ascii="Cambria" w:eastAsia="Times New Roman" w:hAnsi="Cambria"/>
          <w:sz w:val="20"/>
          <w:szCs w:val="20"/>
          <w:bdr w:val="none" w:sz="0" w:space="0" w:color="auto"/>
          <w:lang w:val="es-ES_tradnl"/>
        </w:rPr>
        <w:t>llones de Pesos c</w:t>
      </w:r>
      <w:r w:rsidRPr="00DC278B">
        <w:rPr>
          <w:rFonts w:ascii="Cambria" w:eastAsia="Times New Roman" w:hAnsi="Cambria"/>
          <w:sz w:val="20"/>
          <w:szCs w:val="20"/>
          <w:bdr w:val="none" w:sz="0" w:space="0" w:color="auto"/>
          <w:lang w:val="es-ES_tradnl"/>
        </w:rPr>
        <w:t>hilenos; de conformidad a lo señalado por ley.</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Indica que la madre de Rodolfo Alejandro Espejo Gómez, Alejandrina Gómez, recibió bonificación compensatoria y pensión mensual, desde el 1˚ de julio de 1991,</w:t>
      </w:r>
      <w:r w:rsidR="008563A3" w:rsidRPr="00DC278B">
        <w:rPr>
          <w:rFonts w:ascii="Cambria" w:eastAsia="Times New Roman" w:hAnsi="Cambria"/>
          <w:sz w:val="20"/>
          <w:szCs w:val="20"/>
          <w:bdr w:val="none" w:sz="0" w:space="0" w:color="auto"/>
          <w:lang w:val="es-ES_tradnl"/>
        </w:rPr>
        <w:t xml:space="preserve"> por la suma de </w:t>
      </w:r>
      <w:r w:rsidRPr="00DC278B">
        <w:rPr>
          <w:rFonts w:ascii="Cambria" w:eastAsia="Times New Roman" w:hAnsi="Cambria"/>
          <w:sz w:val="20"/>
          <w:szCs w:val="20"/>
          <w:bdr w:val="none" w:sz="0" w:space="0" w:color="auto"/>
          <w:lang w:val="es-ES_tradnl"/>
        </w:rPr>
        <w:t xml:space="preserve">360.674 Pesos chilenos. </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D30856"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Pr>
          <w:rFonts w:ascii="Cambria" w:eastAsia="Times New Roman" w:hAnsi="Cambria"/>
          <w:sz w:val="20"/>
          <w:szCs w:val="20"/>
          <w:bdr w:val="none" w:sz="0" w:space="0" w:color="auto"/>
          <w:lang w:val="es-ES_tradnl"/>
        </w:rPr>
        <w:t xml:space="preserve">Agrega </w:t>
      </w:r>
      <w:r w:rsidR="009A09E9" w:rsidRPr="00DC278B">
        <w:rPr>
          <w:rFonts w:ascii="Cambria" w:eastAsia="Times New Roman" w:hAnsi="Cambria"/>
          <w:sz w:val="20"/>
          <w:szCs w:val="20"/>
          <w:bdr w:val="none" w:sz="0" w:space="0" w:color="auto"/>
          <w:lang w:val="es-ES_tradnl"/>
        </w:rPr>
        <w:t xml:space="preserve">que </w:t>
      </w:r>
      <w:r w:rsidR="005F74FD" w:rsidRPr="00DC278B">
        <w:rPr>
          <w:rFonts w:ascii="Cambria" w:eastAsia="Times New Roman" w:hAnsi="Cambria"/>
          <w:sz w:val="20"/>
          <w:szCs w:val="20"/>
          <w:bdr w:val="none" w:sz="0" w:space="0" w:color="auto"/>
          <w:lang w:val="es-ES_tradnl"/>
        </w:rPr>
        <w:t>la madre de Sergio Alonso Reyes Navarrete, María Elisa Zepeda Rojas, recibe pensión mensual, desde el 1˚ de julio de 1991, correspond</w:t>
      </w:r>
      <w:r w:rsidR="008563A3" w:rsidRPr="00DC278B">
        <w:rPr>
          <w:rFonts w:ascii="Cambria" w:eastAsia="Times New Roman" w:hAnsi="Cambria"/>
          <w:sz w:val="20"/>
          <w:szCs w:val="20"/>
          <w:bdr w:val="none" w:sz="0" w:space="0" w:color="auto"/>
          <w:lang w:val="es-ES_tradnl"/>
        </w:rPr>
        <w:t xml:space="preserve">iente al 30% de </w:t>
      </w:r>
      <w:r w:rsidR="00F97E62" w:rsidRPr="00DC278B">
        <w:rPr>
          <w:rFonts w:ascii="Cambria" w:eastAsia="Times New Roman" w:hAnsi="Cambria"/>
          <w:sz w:val="20"/>
          <w:szCs w:val="20"/>
          <w:bdr w:val="none" w:sz="0" w:space="0" w:color="auto"/>
          <w:lang w:val="es-ES_tradnl"/>
        </w:rPr>
        <w:t>504.943 Pesos c</w:t>
      </w:r>
      <w:r w:rsidR="005F74FD" w:rsidRPr="00DC278B">
        <w:rPr>
          <w:rFonts w:ascii="Cambria" w:eastAsia="Times New Roman" w:hAnsi="Cambria"/>
          <w:sz w:val="20"/>
          <w:szCs w:val="20"/>
          <w:bdr w:val="none" w:sz="0" w:space="0" w:color="auto"/>
          <w:lang w:val="es-ES_tradnl"/>
        </w:rPr>
        <w:t xml:space="preserve">hilenos; que su cónyuge, Magdalena Mercedes Navarrete </w:t>
      </w:r>
      <w:proofErr w:type="spellStart"/>
      <w:r w:rsidR="005F74FD" w:rsidRPr="00DC278B">
        <w:rPr>
          <w:rFonts w:ascii="Cambria" w:eastAsia="Times New Roman" w:hAnsi="Cambria"/>
          <w:sz w:val="20"/>
          <w:szCs w:val="20"/>
          <w:bdr w:val="none" w:sz="0" w:space="0" w:color="auto"/>
          <w:lang w:val="es-ES_tradnl"/>
        </w:rPr>
        <w:t>Faroldo</w:t>
      </w:r>
      <w:proofErr w:type="spellEnd"/>
      <w:r w:rsidR="005F74FD" w:rsidRPr="00DC278B">
        <w:rPr>
          <w:rFonts w:ascii="Cambria" w:eastAsia="Times New Roman" w:hAnsi="Cambria"/>
          <w:sz w:val="20"/>
          <w:szCs w:val="20"/>
          <w:bdr w:val="none" w:sz="0" w:space="0" w:color="auto"/>
          <w:lang w:val="es-ES_tradnl"/>
        </w:rPr>
        <w:t xml:space="preserve">, recibió bonificación compensatoria y recibe pensión mensual </w:t>
      </w:r>
      <w:r w:rsidR="006565CC" w:rsidRPr="00DC278B">
        <w:rPr>
          <w:rFonts w:ascii="Cambria" w:eastAsia="Times New Roman" w:hAnsi="Cambria"/>
          <w:sz w:val="20"/>
          <w:szCs w:val="20"/>
          <w:bdr w:val="none" w:sz="0" w:space="0" w:color="auto"/>
          <w:lang w:val="es-ES_tradnl"/>
        </w:rPr>
        <w:t xml:space="preserve">que rige </w:t>
      </w:r>
      <w:r w:rsidR="005F74FD" w:rsidRPr="00DC278B">
        <w:rPr>
          <w:rFonts w:ascii="Cambria" w:eastAsia="Times New Roman" w:hAnsi="Cambria"/>
          <w:sz w:val="20"/>
          <w:szCs w:val="20"/>
          <w:bdr w:val="none" w:sz="0" w:space="0" w:color="auto"/>
          <w:lang w:val="es-ES_tradnl"/>
        </w:rPr>
        <w:t>desde el 1˚ de julio de 1991, correspondiente al 40% d</w:t>
      </w:r>
      <w:r w:rsidR="008563A3" w:rsidRPr="00DC278B">
        <w:rPr>
          <w:rFonts w:ascii="Cambria" w:eastAsia="Times New Roman" w:hAnsi="Cambria"/>
          <w:sz w:val="20"/>
          <w:szCs w:val="20"/>
          <w:bdr w:val="none" w:sz="0" w:space="0" w:color="auto"/>
          <w:lang w:val="es-ES_tradnl"/>
        </w:rPr>
        <w:t xml:space="preserve">e </w:t>
      </w:r>
      <w:r w:rsidR="005F74FD" w:rsidRPr="00DC278B">
        <w:rPr>
          <w:rFonts w:ascii="Cambria" w:eastAsia="Times New Roman" w:hAnsi="Cambria"/>
          <w:sz w:val="20"/>
          <w:szCs w:val="20"/>
          <w:bdr w:val="none" w:sz="0" w:space="0" w:color="auto"/>
          <w:lang w:val="es-ES_tradnl"/>
        </w:rPr>
        <w:t xml:space="preserve">504.943 Pesos </w:t>
      </w:r>
      <w:r w:rsidR="00F97E62" w:rsidRPr="00DC278B">
        <w:rPr>
          <w:rFonts w:ascii="Cambria" w:eastAsia="Times New Roman" w:hAnsi="Cambria"/>
          <w:sz w:val="20"/>
          <w:szCs w:val="20"/>
          <w:bdr w:val="none" w:sz="0" w:space="0" w:color="auto"/>
          <w:lang w:val="es-ES_tradnl"/>
        </w:rPr>
        <w:t>c</w:t>
      </w:r>
      <w:r w:rsidR="005F74FD" w:rsidRPr="00DC278B">
        <w:rPr>
          <w:rFonts w:ascii="Cambria" w:eastAsia="Times New Roman" w:hAnsi="Cambria"/>
          <w:sz w:val="20"/>
          <w:szCs w:val="20"/>
          <w:bdr w:val="none" w:sz="0" w:space="0" w:color="auto"/>
          <w:lang w:val="es-ES_tradnl"/>
        </w:rPr>
        <w:t>hilenos y que su hijo tuvo acceso a la pensión y bono de reparación.</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Con respecto a las becas educacionales, el Estado afirma que los montos destinados ascienden a un subsidio aproximado de </w:t>
      </w:r>
      <w:r w:rsidR="008563A3" w:rsidRPr="00DC278B">
        <w:rPr>
          <w:rFonts w:ascii="Cambria" w:eastAsia="Times New Roman" w:hAnsi="Cambria"/>
          <w:sz w:val="20"/>
          <w:szCs w:val="20"/>
          <w:bdr w:val="none" w:sz="0" w:space="0" w:color="auto"/>
          <w:lang w:val="es-ES_tradnl"/>
        </w:rPr>
        <w:t xml:space="preserve">US$ </w:t>
      </w:r>
      <w:r w:rsidRPr="00DC278B">
        <w:rPr>
          <w:rFonts w:ascii="Cambria" w:eastAsia="Times New Roman" w:hAnsi="Cambria"/>
          <w:sz w:val="20"/>
          <w:szCs w:val="20"/>
          <w:bdr w:val="none" w:sz="0" w:space="0" w:color="auto"/>
          <w:lang w:val="es-ES_tradnl"/>
        </w:rPr>
        <w:t xml:space="preserve">35 mensuales que se otorgan para </w:t>
      </w:r>
      <w:r w:rsidR="00980930">
        <w:rPr>
          <w:rFonts w:ascii="Cambria" w:eastAsia="Times New Roman" w:hAnsi="Cambria"/>
          <w:sz w:val="20"/>
          <w:szCs w:val="20"/>
          <w:bdr w:val="none" w:sz="0" w:space="0" w:color="auto"/>
          <w:lang w:val="es-ES_tradnl"/>
        </w:rPr>
        <w:t xml:space="preserve">la enseñanza media y superior. </w:t>
      </w:r>
      <w:r w:rsidRPr="00DC278B">
        <w:rPr>
          <w:rFonts w:ascii="Cambria" w:eastAsia="Times New Roman" w:hAnsi="Cambria"/>
          <w:sz w:val="20"/>
          <w:szCs w:val="20"/>
          <w:bdr w:val="none" w:sz="0" w:space="0" w:color="auto"/>
          <w:lang w:val="es-ES_tradnl"/>
        </w:rPr>
        <w:t>Agrega que los hijos de las víctimas aceptados en universidades, institutos profesionales o centros de formación técnica reconocidos por el Estado, tienen derecho a</w:t>
      </w:r>
      <w:r w:rsidR="00D30856">
        <w:rPr>
          <w:rFonts w:ascii="Cambria" w:eastAsia="Times New Roman" w:hAnsi="Cambria"/>
          <w:sz w:val="20"/>
          <w:szCs w:val="20"/>
          <w:bdr w:val="none" w:sz="0" w:space="0" w:color="auto"/>
          <w:lang w:val="es-ES_tradnl"/>
        </w:rPr>
        <w:t xml:space="preserve">l pago de matrícula y arancel. </w:t>
      </w:r>
      <w:r w:rsidRPr="00DC278B">
        <w:rPr>
          <w:rFonts w:ascii="Cambria" w:eastAsia="Times New Roman" w:hAnsi="Cambria"/>
          <w:sz w:val="20"/>
          <w:szCs w:val="20"/>
          <w:bdr w:val="none" w:sz="0" w:space="0" w:color="auto"/>
          <w:lang w:val="es-ES_tradnl"/>
        </w:rPr>
        <w:t>Indica que este beneficio se extiende hasta la edad de 35 años.</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 relación con los beneficios en materia de salud, el Estado señala que de acuerdo con la Ley No 19.123 los familiares de las víctimas tienen derecho a recibir gratuitamente prestaciones médicas públicas en consultorios de atención primaria, hospitales pú</w:t>
      </w:r>
      <w:r w:rsidR="00D30856">
        <w:rPr>
          <w:rFonts w:ascii="Cambria" w:eastAsia="Times New Roman" w:hAnsi="Cambria"/>
          <w:sz w:val="20"/>
          <w:szCs w:val="20"/>
          <w:bdr w:val="none" w:sz="0" w:space="0" w:color="auto"/>
          <w:lang w:val="es-ES_tradnl"/>
        </w:rPr>
        <w:t>blicos y servicios de urgencia.</w:t>
      </w:r>
      <w:r w:rsidRPr="00DC278B">
        <w:rPr>
          <w:rFonts w:ascii="Cambria" w:eastAsia="Times New Roman" w:hAnsi="Cambria"/>
          <w:sz w:val="20"/>
          <w:szCs w:val="20"/>
          <w:bdr w:val="none" w:sz="0" w:space="0" w:color="auto"/>
          <w:lang w:val="es-ES_tradnl"/>
        </w:rPr>
        <w:t xml:space="preserve"> Agrega que se trata de un beneficio gratuito y que la modalidad principal de atención es el PRAIS, programa al que pueden acceder los cónyuges, hijos, padres y hermanos de las víctimas.</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4B316C"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 suma, el Estado alega que el sufrimiento psíquico, físico y moral experimentado por las víctimas de las violaciones a los derechos humanos y sus familias, no puede ser remediado desde un punto de vista material, por lo cual considera que la política del Estado debe apuntar a generar una política de reparaciones de carácter integral, que involucre aspectos de memoria, justicia y reparación, otorgando beneficios sociales a los familiares de las víctimas y compens</w:t>
      </w:r>
      <w:r w:rsidR="00D30856">
        <w:rPr>
          <w:rFonts w:ascii="Cambria" w:eastAsia="Times New Roman" w:hAnsi="Cambria"/>
          <w:sz w:val="20"/>
          <w:szCs w:val="20"/>
          <w:bdr w:val="none" w:sz="0" w:space="0" w:color="auto"/>
          <w:lang w:val="es-ES_tradnl"/>
        </w:rPr>
        <w:t xml:space="preserve">aciones económicas para ellas. </w:t>
      </w:r>
      <w:r w:rsidRPr="00DC278B">
        <w:rPr>
          <w:rFonts w:ascii="Cambria" w:eastAsia="Times New Roman" w:hAnsi="Cambria"/>
          <w:sz w:val="20"/>
          <w:szCs w:val="20"/>
          <w:bdr w:val="none" w:sz="0" w:space="0" w:color="auto"/>
          <w:lang w:val="es-ES_tradnl"/>
        </w:rPr>
        <w:t>El Estado concluye que cualquier medida que se adopte a favor de las víctimas de prisión política y tortura, debe ser de carácter universal, dado que beneficios especiales y diferenciados, que favorezcan a algunos en detrimento de otros, afectaría la política pública de Chile en materia de reparaciones</w:t>
      </w:r>
      <w:r w:rsidR="004B316C" w:rsidRPr="00DC278B">
        <w:rPr>
          <w:rFonts w:ascii="Cambria" w:eastAsia="Times New Roman" w:hAnsi="Cambria"/>
          <w:sz w:val="20"/>
          <w:szCs w:val="20"/>
          <w:bdr w:val="none" w:sz="0" w:space="0" w:color="auto"/>
          <w:lang w:val="es-ES_tradnl"/>
        </w:rPr>
        <w:t xml:space="preserve">. </w:t>
      </w:r>
      <w:r w:rsidR="00845447" w:rsidRPr="00DC278B">
        <w:rPr>
          <w:rFonts w:ascii="Cambria" w:eastAsia="Times New Roman" w:hAnsi="Cambria"/>
          <w:sz w:val="20"/>
          <w:szCs w:val="20"/>
          <w:bdr w:val="none" w:sz="0" w:space="0" w:color="auto"/>
          <w:lang w:val="es-ES_tradnl"/>
        </w:rPr>
        <w:t>El Estado no se ha pronunciado sobre la aplicación de la prescripción civil</w:t>
      </w:r>
      <w:r w:rsidR="009A09E9" w:rsidRPr="00DC278B">
        <w:rPr>
          <w:rFonts w:ascii="Cambria" w:eastAsia="Times New Roman" w:hAnsi="Cambria"/>
          <w:sz w:val="20"/>
          <w:szCs w:val="20"/>
          <w:bdr w:val="none" w:sz="0" w:space="0" w:color="auto"/>
          <w:lang w:val="es-ES_tradnl"/>
        </w:rPr>
        <w:t xml:space="preserve"> a las acciones judiciales</w:t>
      </w:r>
      <w:r w:rsidR="00D30856">
        <w:rPr>
          <w:rFonts w:ascii="Cambria" w:eastAsia="Times New Roman" w:hAnsi="Cambria"/>
          <w:sz w:val="20"/>
          <w:szCs w:val="20"/>
          <w:bdr w:val="none" w:sz="0" w:space="0" w:color="auto"/>
          <w:lang w:val="es-ES_tradnl"/>
        </w:rPr>
        <w:t xml:space="preserve"> en estos casos. </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B316C" w:rsidRPr="00DC278B" w:rsidRDefault="001302EC" w:rsidP="00DC278B">
      <w:pPr>
        <w:pStyle w:val="Heading1"/>
      </w:pPr>
      <w:bookmarkStart w:id="17" w:name="_Toc413397470"/>
      <w:r w:rsidRPr="00DC278B">
        <w:t>HECHOS PROBADOS</w:t>
      </w:r>
      <w:bookmarkEnd w:id="17"/>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sz w:val="20"/>
          <w:szCs w:val="20"/>
          <w:bdr w:val="none" w:sz="0" w:space="0" w:color="auto"/>
          <w:lang w:val="es-ES_tradnl"/>
        </w:rPr>
      </w:pPr>
    </w:p>
    <w:p w:rsidR="005F74FD" w:rsidRPr="00DC278B" w:rsidRDefault="005F74F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cs="Garamond"/>
          <w:sz w:val="20"/>
          <w:szCs w:val="20"/>
          <w:bdr w:val="none" w:sz="0" w:space="0" w:color="auto"/>
          <w:lang w:val="es-ES_tradnl"/>
        </w:rPr>
        <w:t>En su análisis y de conformidad con el artículo 43.1 de su Reglamento, la Comisión basa sus conclusiones en los argumentos y las pruebas presentadas por las partes, en la informaci</w:t>
      </w:r>
      <w:r w:rsidR="002F3F97" w:rsidRPr="00DC278B">
        <w:rPr>
          <w:rFonts w:ascii="Cambria" w:eastAsia="Times New Roman" w:hAnsi="Cambria" w:cs="Garamond"/>
          <w:sz w:val="20"/>
          <w:szCs w:val="20"/>
          <w:bdr w:val="none" w:sz="0" w:space="0" w:color="auto"/>
          <w:lang w:val="es-ES_tradnl"/>
        </w:rPr>
        <w:t>ón recopilada en el curso de la</w:t>
      </w:r>
      <w:r w:rsidRPr="00DC278B">
        <w:rPr>
          <w:rFonts w:ascii="Cambria" w:eastAsia="Times New Roman" w:hAnsi="Cambria" w:cs="Garamond"/>
          <w:sz w:val="20"/>
          <w:szCs w:val="20"/>
          <w:bdr w:val="none" w:sz="0" w:space="0" w:color="auto"/>
          <w:lang w:val="es-ES_tradnl"/>
        </w:rPr>
        <w:t xml:space="preserve"> audiencia </w:t>
      </w:r>
      <w:r w:rsidR="002F3F97" w:rsidRPr="00DC278B">
        <w:rPr>
          <w:rFonts w:ascii="Cambria" w:eastAsia="Times New Roman" w:hAnsi="Cambria" w:cs="Garamond"/>
          <w:sz w:val="20"/>
          <w:szCs w:val="20"/>
          <w:bdr w:val="none" w:sz="0" w:space="0" w:color="auto"/>
          <w:lang w:val="es-ES_tradnl"/>
        </w:rPr>
        <w:t xml:space="preserve">sostenida </w:t>
      </w:r>
      <w:r w:rsidRPr="00DC278B">
        <w:rPr>
          <w:rFonts w:ascii="Cambria" w:eastAsia="Times New Roman" w:hAnsi="Cambria" w:cs="Garamond"/>
          <w:sz w:val="20"/>
          <w:szCs w:val="20"/>
          <w:bdr w:val="none" w:sz="0" w:space="0" w:color="auto"/>
          <w:lang w:val="es-ES_tradnl"/>
        </w:rPr>
        <w:t>ante la</w:t>
      </w:r>
      <w:r w:rsidR="00902F13" w:rsidRPr="00DC278B">
        <w:rPr>
          <w:rFonts w:ascii="Cambria" w:eastAsia="Times New Roman" w:hAnsi="Cambria" w:cs="Garamond"/>
          <w:sz w:val="20"/>
          <w:szCs w:val="20"/>
          <w:bdr w:val="none" w:sz="0" w:space="0" w:color="auto"/>
          <w:lang w:val="es-ES_tradnl"/>
        </w:rPr>
        <w:t xml:space="preserve"> CIDH </w:t>
      </w:r>
      <w:r w:rsidR="002F3F97" w:rsidRPr="00DC278B">
        <w:rPr>
          <w:rFonts w:ascii="Cambria" w:eastAsia="Times New Roman" w:hAnsi="Cambria" w:cs="Garamond"/>
          <w:sz w:val="20"/>
          <w:szCs w:val="20"/>
          <w:bdr w:val="none" w:sz="0" w:space="0" w:color="auto"/>
          <w:lang w:val="es-ES_tradnl"/>
        </w:rPr>
        <w:t>en su 134</w:t>
      </w:r>
      <w:r w:rsidR="00BA0A5E" w:rsidRPr="00DC278B">
        <w:rPr>
          <w:rFonts w:ascii="Cambria" w:eastAsia="Times New Roman" w:hAnsi="Cambria" w:cs="Garamond"/>
          <w:sz w:val="20"/>
          <w:szCs w:val="20"/>
          <w:bdr w:val="none" w:sz="0" w:space="0" w:color="auto"/>
          <w:lang w:val="es-ES_tradnl"/>
        </w:rPr>
        <w:t>˚</w:t>
      </w:r>
      <w:r w:rsidR="002F3F97" w:rsidRPr="00DC278B">
        <w:rPr>
          <w:rFonts w:ascii="Cambria" w:eastAsia="Times New Roman" w:hAnsi="Cambria" w:cs="Garamond"/>
          <w:sz w:val="20"/>
          <w:szCs w:val="20"/>
          <w:bdr w:val="none" w:sz="0" w:space="0" w:color="auto"/>
          <w:lang w:val="es-ES_tradnl"/>
        </w:rPr>
        <w:t xml:space="preserve"> Periodo de Sesiones, </w:t>
      </w:r>
      <w:r w:rsidR="00902F13" w:rsidRPr="00DC278B">
        <w:rPr>
          <w:rFonts w:ascii="Cambria" w:eastAsia="Times New Roman" w:hAnsi="Cambria" w:cs="Garamond"/>
          <w:sz w:val="20"/>
          <w:szCs w:val="20"/>
          <w:bdr w:val="none" w:sz="0" w:space="0" w:color="auto"/>
          <w:lang w:val="es-ES_tradnl"/>
        </w:rPr>
        <w:t>relacionada con este caso</w:t>
      </w:r>
      <w:r w:rsidR="00902F13" w:rsidRPr="00DC278B">
        <w:rPr>
          <w:rFonts w:ascii="Cambria" w:eastAsia="Times New Roman" w:hAnsi="Cambria"/>
          <w:sz w:val="20"/>
          <w:szCs w:val="20"/>
          <w:bdr w:val="none" w:sz="0" w:space="0" w:color="auto"/>
          <w:vertAlign w:val="superscript"/>
        </w:rPr>
        <w:footnoteReference w:id="16"/>
      </w:r>
      <w:r w:rsidRPr="00DC278B">
        <w:rPr>
          <w:rFonts w:ascii="Cambria" w:eastAsia="Times New Roman" w:hAnsi="Cambria" w:cs="Garamond"/>
          <w:sz w:val="20"/>
          <w:szCs w:val="20"/>
          <w:bdr w:val="none" w:sz="0" w:space="0" w:color="auto"/>
          <w:lang w:val="es-ES_tradnl"/>
        </w:rPr>
        <w:t>, y en información que es de conocimiento público</w:t>
      </w:r>
      <w:r w:rsidR="00902F13" w:rsidRPr="00DC278B">
        <w:rPr>
          <w:rFonts w:ascii="Cambria" w:eastAsia="Times New Roman" w:hAnsi="Cambria"/>
          <w:sz w:val="20"/>
          <w:szCs w:val="20"/>
          <w:bdr w:val="none" w:sz="0" w:space="0" w:color="auto"/>
          <w:vertAlign w:val="superscript"/>
        </w:rPr>
        <w:footnoteReference w:id="17"/>
      </w:r>
      <w:r w:rsidR="00D30856">
        <w:rPr>
          <w:rFonts w:ascii="Cambria" w:eastAsia="Times New Roman" w:hAnsi="Cambria" w:cs="Garamond"/>
          <w:sz w:val="20"/>
          <w:szCs w:val="20"/>
          <w:bdr w:val="none" w:sz="0" w:space="0" w:color="auto"/>
          <w:lang w:val="es-ES_tradnl"/>
        </w:rPr>
        <w:t>.</w:t>
      </w:r>
      <w:r w:rsidRPr="00DC278B">
        <w:rPr>
          <w:rFonts w:ascii="Cambria" w:eastAsia="Times New Roman" w:hAnsi="Cambria" w:cs="Garamond"/>
          <w:sz w:val="20"/>
          <w:szCs w:val="20"/>
          <w:bdr w:val="none" w:sz="0" w:space="0" w:color="auto"/>
          <w:lang w:val="es-ES_tradnl"/>
        </w:rPr>
        <w:t xml:space="preserve"> </w:t>
      </w:r>
      <w:r w:rsidR="002F3F97" w:rsidRPr="00DC278B">
        <w:rPr>
          <w:rFonts w:ascii="Cambria" w:eastAsia="Times New Roman" w:hAnsi="Cambria" w:cs="Garamond"/>
          <w:sz w:val="20"/>
          <w:szCs w:val="20"/>
          <w:bdr w:val="none" w:sz="0" w:space="0" w:color="auto"/>
          <w:lang w:val="es-ES_tradnl"/>
        </w:rPr>
        <w:t xml:space="preserve">Asimismo, </w:t>
      </w:r>
      <w:r w:rsidR="00DD410F" w:rsidRPr="00DC278B">
        <w:rPr>
          <w:rFonts w:ascii="Cambria" w:eastAsia="Times New Roman" w:hAnsi="Cambria" w:cs="Garamond"/>
          <w:sz w:val="20"/>
          <w:szCs w:val="20"/>
          <w:bdr w:val="none" w:sz="0" w:space="0" w:color="auto"/>
          <w:lang w:val="es-ES_tradnl"/>
        </w:rPr>
        <w:t xml:space="preserve">la Comisión </w:t>
      </w:r>
      <w:r w:rsidR="002F3F97" w:rsidRPr="00DC278B">
        <w:rPr>
          <w:rFonts w:ascii="Cambria" w:eastAsia="Times New Roman" w:hAnsi="Cambria" w:cs="Garamond"/>
          <w:sz w:val="20"/>
          <w:szCs w:val="20"/>
          <w:bdr w:val="none" w:sz="0" w:space="0" w:color="auto"/>
          <w:lang w:val="es-ES_tradnl"/>
        </w:rPr>
        <w:t xml:space="preserve">tendrá en cuenta los informes </w:t>
      </w:r>
      <w:r w:rsidR="00D373F6" w:rsidRPr="00DC278B">
        <w:rPr>
          <w:rFonts w:ascii="Cambria" w:eastAsia="Times New Roman" w:hAnsi="Cambria" w:cs="Garamond"/>
          <w:sz w:val="20"/>
          <w:szCs w:val="20"/>
          <w:bdr w:val="none" w:sz="0" w:space="0" w:color="auto"/>
          <w:lang w:val="es-ES_tradnl"/>
        </w:rPr>
        <w:t xml:space="preserve">oficiales </w:t>
      </w:r>
      <w:r w:rsidR="002F3F97" w:rsidRPr="00DC278B">
        <w:rPr>
          <w:rFonts w:ascii="Cambria" w:eastAsia="Times New Roman" w:hAnsi="Cambria" w:cs="Garamond"/>
          <w:sz w:val="20"/>
          <w:szCs w:val="20"/>
          <w:bdr w:val="none" w:sz="0" w:space="0" w:color="auto"/>
          <w:lang w:val="es-ES_tradnl"/>
        </w:rPr>
        <w:t xml:space="preserve">de la Comisión </w:t>
      </w:r>
      <w:proofErr w:type="spellStart"/>
      <w:r w:rsidR="002F3F97" w:rsidRPr="00DC278B">
        <w:rPr>
          <w:rFonts w:ascii="Cambria" w:eastAsia="Times New Roman" w:hAnsi="Cambria" w:cs="Garamond"/>
          <w:sz w:val="20"/>
          <w:szCs w:val="20"/>
          <w:bdr w:val="none" w:sz="0" w:space="0" w:color="auto"/>
          <w:lang w:val="es-ES_tradnl"/>
        </w:rPr>
        <w:t>Rettig</w:t>
      </w:r>
      <w:proofErr w:type="spellEnd"/>
      <w:r w:rsidR="002F3F97" w:rsidRPr="00DC278B">
        <w:rPr>
          <w:rFonts w:ascii="Cambria" w:eastAsia="Times New Roman" w:hAnsi="Cambria" w:cs="Garamond"/>
          <w:sz w:val="20"/>
          <w:szCs w:val="20"/>
          <w:bdr w:val="none" w:sz="0" w:space="0" w:color="auto"/>
          <w:lang w:val="es-ES_tradnl"/>
        </w:rPr>
        <w:t xml:space="preserve"> y de la Comisión </w:t>
      </w:r>
      <w:proofErr w:type="spellStart"/>
      <w:r w:rsidR="008A2B89" w:rsidRPr="00DC278B">
        <w:rPr>
          <w:rFonts w:ascii="Cambria" w:eastAsia="Times New Roman" w:hAnsi="Cambria" w:cs="Garamond"/>
          <w:sz w:val="20"/>
          <w:szCs w:val="20"/>
          <w:bdr w:val="none" w:sz="0" w:space="0" w:color="auto"/>
          <w:lang w:val="es-ES_tradnl"/>
        </w:rPr>
        <w:t>Val</w:t>
      </w:r>
      <w:r w:rsidR="002F3F97" w:rsidRPr="00DC278B">
        <w:rPr>
          <w:rFonts w:ascii="Cambria" w:eastAsia="Times New Roman" w:hAnsi="Cambria" w:cs="Garamond"/>
          <w:sz w:val="20"/>
          <w:szCs w:val="20"/>
          <w:bdr w:val="none" w:sz="0" w:space="0" w:color="auto"/>
          <w:lang w:val="es-ES_tradnl"/>
        </w:rPr>
        <w:t>ech</w:t>
      </w:r>
      <w:proofErr w:type="spellEnd"/>
      <w:r w:rsidR="00D373F6" w:rsidRPr="00DC278B">
        <w:rPr>
          <w:rStyle w:val="FootnoteReference"/>
          <w:rFonts w:ascii="Cambria" w:eastAsia="Times New Roman" w:hAnsi="Cambria" w:cs="Garamond"/>
          <w:sz w:val="20"/>
          <w:szCs w:val="20"/>
          <w:bdr w:val="none" w:sz="0" w:space="0" w:color="auto"/>
          <w:lang w:val="es-ES_tradnl"/>
        </w:rPr>
        <w:footnoteReference w:id="18"/>
      </w:r>
      <w:r w:rsidR="002F3F97" w:rsidRPr="00DC278B">
        <w:rPr>
          <w:rFonts w:ascii="Cambria" w:eastAsia="Times New Roman" w:hAnsi="Cambria" w:cs="Garamond"/>
          <w:sz w:val="20"/>
          <w:szCs w:val="20"/>
          <w:bdr w:val="none" w:sz="0" w:space="0" w:color="auto"/>
          <w:lang w:val="es-ES_tradnl"/>
        </w:rPr>
        <w:t>.</w:t>
      </w:r>
    </w:p>
    <w:p w:rsidR="005F74FD" w:rsidRPr="00DC278B" w:rsidRDefault="005F74FD"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lang w:val="es-ES_tradnl"/>
        </w:rPr>
      </w:pPr>
    </w:p>
    <w:p w:rsidR="004719E3" w:rsidRPr="00DC278B" w:rsidRDefault="00DF01D3"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Cabe resaltar que en sus informes de admisibilidad relativos a los casos bajo análisis, la Comisión, aclaró que el objeto de la denuncia no concierne </w:t>
      </w:r>
      <w:r w:rsidR="00D30856">
        <w:rPr>
          <w:rFonts w:ascii="Cambria" w:eastAsia="Times New Roman" w:hAnsi="Cambria"/>
          <w:sz w:val="20"/>
          <w:szCs w:val="20"/>
          <w:bdr w:val="none" w:sz="0" w:space="0" w:color="auto"/>
          <w:lang w:val="es-ES_tradnl"/>
        </w:rPr>
        <w:t xml:space="preserve">a </w:t>
      </w:r>
      <w:r w:rsidRPr="00DC278B">
        <w:rPr>
          <w:rFonts w:ascii="Cambria" w:eastAsia="Times New Roman" w:hAnsi="Cambria"/>
          <w:sz w:val="20"/>
          <w:szCs w:val="20"/>
          <w:bdr w:val="none" w:sz="0" w:space="0" w:color="auto"/>
          <w:lang w:val="es-ES_tradnl"/>
        </w:rPr>
        <w:t>la investigación penal de los hechos ocurridos durante la dictadura militar sino “la negativa de los tribunales chilenos de conceder una indemnización”</w:t>
      </w:r>
      <w:r w:rsidR="009D3A41" w:rsidRPr="00DC278B">
        <w:rPr>
          <w:rStyle w:val="FootnoteReference"/>
          <w:rFonts w:ascii="Cambria" w:eastAsia="Times New Roman" w:hAnsi="Cambria"/>
          <w:sz w:val="20"/>
          <w:szCs w:val="20"/>
          <w:bdr w:val="none" w:sz="0" w:space="0" w:color="auto"/>
          <w:lang w:val="es-ES_tradnl"/>
        </w:rPr>
        <w:footnoteReference w:id="19"/>
      </w:r>
      <w:r w:rsidRPr="00DC278B">
        <w:rPr>
          <w:rFonts w:ascii="Cambria" w:eastAsia="Times New Roman" w:hAnsi="Cambria"/>
          <w:sz w:val="20"/>
          <w:szCs w:val="20"/>
          <w:bdr w:val="none" w:sz="0" w:space="0" w:color="auto"/>
          <w:lang w:val="es-ES_tradnl"/>
        </w:rPr>
        <w:t xml:space="preserve"> a las víctimas en el presente caso, sobre todo después del reconocimiento de l</w:t>
      </w:r>
      <w:r w:rsidR="00E054BE" w:rsidRPr="00DC278B">
        <w:rPr>
          <w:rFonts w:ascii="Cambria" w:eastAsia="Times New Roman" w:hAnsi="Cambria"/>
          <w:sz w:val="20"/>
          <w:szCs w:val="20"/>
          <w:bdr w:val="none" w:sz="0" w:space="0" w:color="auto"/>
          <w:lang w:val="es-ES_tradnl"/>
        </w:rPr>
        <w:t>a responsabilidad estatal por</w:t>
      </w:r>
      <w:r w:rsidRPr="00DC278B">
        <w:rPr>
          <w:rFonts w:ascii="Cambria" w:eastAsia="Times New Roman" w:hAnsi="Cambria"/>
          <w:sz w:val="20"/>
          <w:szCs w:val="20"/>
          <w:bdr w:val="none" w:sz="0" w:space="0" w:color="auto"/>
          <w:lang w:val="es-ES_tradnl"/>
        </w:rPr>
        <w:t xml:space="preserve"> </w:t>
      </w:r>
      <w:r w:rsidR="00466977" w:rsidRPr="00DC278B">
        <w:rPr>
          <w:rFonts w:ascii="Cambria" w:eastAsia="Times New Roman" w:hAnsi="Cambria"/>
          <w:sz w:val="20"/>
          <w:szCs w:val="20"/>
          <w:bdr w:val="none" w:sz="0" w:space="0" w:color="auto"/>
          <w:lang w:val="es-ES_tradnl"/>
        </w:rPr>
        <w:t xml:space="preserve">las </w:t>
      </w:r>
      <w:r w:rsidR="00E054BE" w:rsidRPr="00DC278B">
        <w:rPr>
          <w:rFonts w:ascii="Cambria" w:eastAsia="Times New Roman" w:hAnsi="Cambria"/>
          <w:sz w:val="20"/>
          <w:szCs w:val="20"/>
          <w:bdr w:val="none" w:sz="0" w:space="0" w:color="auto"/>
          <w:lang w:val="es-ES_tradnl"/>
        </w:rPr>
        <w:t xml:space="preserve">graves </w:t>
      </w:r>
      <w:r w:rsidR="00466977" w:rsidRPr="00DC278B">
        <w:rPr>
          <w:rFonts w:ascii="Cambria" w:eastAsia="Times New Roman" w:hAnsi="Cambria"/>
          <w:sz w:val="20"/>
          <w:szCs w:val="20"/>
          <w:bdr w:val="none" w:sz="0" w:space="0" w:color="auto"/>
          <w:lang w:val="es-ES_tradnl"/>
        </w:rPr>
        <w:t xml:space="preserve">violaciones </w:t>
      </w:r>
      <w:r w:rsidR="0068001B" w:rsidRPr="00DC278B">
        <w:rPr>
          <w:rFonts w:ascii="Cambria" w:eastAsia="Times New Roman" w:hAnsi="Cambria"/>
          <w:sz w:val="20"/>
          <w:szCs w:val="20"/>
          <w:bdr w:val="none" w:sz="0" w:space="0" w:color="auto"/>
          <w:lang w:val="es-ES_tradnl"/>
        </w:rPr>
        <w:t xml:space="preserve">de los derechos humanos </w:t>
      </w:r>
      <w:r w:rsidRPr="00DC278B">
        <w:rPr>
          <w:rFonts w:ascii="Cambria" w:eastAsia="Times New Roman" w:hAnsi="Cambria"/>
          <w:sz w:val="20"/>
          <w:szCs w:val="20"/>
          <w:bdr w:val="none" w:sz="0" w:space="0" w:color="auto"/>
          <w:lang w:val="es-ES_tradnl"/>
        </w:rPr>
        <w:t xml:space="preserve">de sus familiares en el </w:t>
      </w:r>
      <w:r w:rsidR="00D30856">
        <w:rPr>
          <w:rFonts w:ascii="Cambria" w:eastAsia="Times New Roman" w:hAnsi="Cambria"/>
          <w:sz w:val="20"/>
          <w:szCs w:val="20"/>
          <w:bdr w:val="none" w:sz="0" w:space="0" w:color="auto"/>
          <w:lang w:val="es-ES_tradnl"/>
        </w:rPr>
        <w:t xml:space="preserve">Informe de la Comisión </w:t>
      </w:r>
      <w:proofErr w:type="spellStart"/>
      <w:r w:rsidR="00D30856">
        <w:rPr>
          <w:rFonts w:ascii="Cambria" w:eastAsia="Times New Roman" w:hAnsi="Cambria"/>
          <w:sz w:val="20"/>
          <w:szCs w:val="20"/>
          <w:bdr w:val="none" w:sz="0" w:space="0" w:color="auto"/>
          <w:lang w:val="es-ES_tradnl"/>
        </w:rPr>
        <w:t>Rettig</w:t>
      </w:r>
      <w:proofErr w:type="spellEnd"/>
      <w:r w:rsidR="00D30856">
        <w:rPr>
          <w:rFonts w:ascii="Cambria" w:eastAsia="Times New Roman" w:hAnsi="Cambria"/>
          <w:sz w:val="20"/>
          <w:szCs w:val="20"/>
          <w:bdr w:val="none" w:sz="0" w:space="0" w:color="auto"/>
          <w:lang w:val="es-ES_tradnl"/>
        </w:rPr>
        <w:t xml:space="preserve">. </w:t>
      </w:r>
      <w:r w:rsidR="00CE547B" w:rsidRPr="00DC278B">
        <w:rPr>
          <w:rFonts w:ascii="Cambria" w:eastAsia="Times New Roman" w:hAnsi="Cambria"/>
          <w:sz w:val="20"/>
          <w:szCs w:val="20"/>
          <w:bdr w:val="none" w:sz="0" w:space="0" w:color="auto"/>
          <w:lang w:val="es-ES_tradnl"/>
        </w:rPr>
        <w:t xml:space="preserve">Asimismo, la Comisión consideró que en el caso de autos </w:t>
      </w:r>
      <w:r w:rsidR="00BF03D8" w:rsidRPr="00DC278B">
        <w:rPr>
          <w:rFonts w:ascii="Cambria" w:eastAsia="Times New Roman" w:hAnsi="Cambria"/>
          <w:sz w:val="20"/>
          <w:szCs w:val="20"/>
          <w:bdr w:val="none" w:sz="0" w:space="0" w:color="auto"/>
          <w:lang w:val="es-ES_tradnl"/>
        </w:rPr>
        <w:t>“</w:t>
      </w:r>
      <w:r w:rsidR="00CE547B" w:rsidRPr="00DC278B">
        <w:rPr>
          <w:rFonts w:ascii="Cambria" w:eastAsia="Times New Roman" w:hAnsi="Cambria"/>
          <w:sz w:val="20"/>
          <w:szCs w:val="20"/>
          <w:bdr w:val="none" w:sz="0" w:space="0" w:color="auto"/>
          <w:lang w:val="es-ES_tradnl"/>
        </w:rPr>
        <w:t>las alegaciones sólo se refieren a las sentencias adoptadas por el poder judicial de Chile entre 1999 y 2003”</w:t>
      </w:r>
      <w:r w:rsidR="000832CE" w:rsidRPr="00DC278B">
        <w:rPr>
          <w:rStyle w:val="FootnoteReference"/>
          <w:rFonts w:ascii="Cambria" w:eastAsia="Times New Roman" w:hAnsi="Cambria"/>
          <w:sz w:val="20"/>
          <w:szCs w:val="20"/>
          <w:bdr w:val="none" w:sz="0" w:space="0" w:color="auto"/>
          <w:lang w:val="es-ES_tradnl"/>
        </w:rPr>
        <w:footnoteReference w:id="20"/>
      </w:r>
      <w:r w:rsidR="00D30856">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Por lo tanto, los hechos que a continuación se detallan </w:t>
      </w:r>
      <w:r w:rsidR="00E21F0D" w:rsidRPr="00DC278B">
        <w:rPr>
          <w:rFonts w:ascii="Cambria" w:eastAsia="Times New Roman" w:hAnsi="Cambria"/>
          <w:sz w:val="20"/>
          <w:szCs w:val="20"/>
          <w:bdr w:val="none" w:sz="0" w:space="0" w:color="auto"/>
          <w:lang w:val="es-ES_tradnl"/>
        </w:rPr>
        <w:t>giran</w:t>
      </w:r>
      <w:r w:rsidRPr="00DC278B">
        <w:rPr>
          <w:rFonts w:ascii="Cambria" w:eastAsia="Times New Roman" w:hAnsi="Cambria"/>
          <w:sz w:val="20"/>
          <w:szCs w:val="20"/>
          <w:bdr w:val="none" w:sz="0" w:space="0" w:color="auto"/>
          <w:lang w:val="es-ES_tradnl"/>
        </w:rPr>
        <w:t xml:space="preserve"> únicamente </w:t>
      </w:r>
      <w:r w:rsidR="00E21F0D" w:rsidRPr="00DC278B">
        <w:rPr>
          <w:rFonts w:ascii="Cambria" w:eastAsia="Times New Roman" w:hAnsi="Cambria"/>
          <w:sz w:val="20"/>
          <w:szCs w:val="20"/>
          <w:bdr w:val="none" w:sz="0" w:space="0" w:color="auto"/>
          <w:lang w:val="es-ES_tradnl"/>
        </w:rPr>
        <w:t xml:space="preserve">en torno a los </w:t>
      </w:r>
      <w:r w:rsidR="002E11D8" w:rsidRPr="00DC278B">
        <w:rPr>
          <w:rFonts w:ascii="Cambria" w:eastAsia="Times New Roman" w:hAnsi="Cambria" w:cs="Garamond"/>
          <w:sz w:val="20"/>
          <w:szCs w:val="20"/>
          <w:bdr w:val="none" w:sz="0" w:space="0" w:color="auto"/>
          <w:lang w:val="es-ES_tradnl"/>
        </w:rPr>
        <w:t>procesos j</w:t>
      </w:r>
      <w:r w:rsidR="00E21F0D" w:rsidRPr="00DC278B">
        <w:rPr>
          <w:rFonts w:ascii="Cambria" w:eastAsia="Times New Roman" w:hAnsi="Cambria" w:cs="Garamond"/>
          <w:sz w:val="20"/>
          <w:szCs w:val="20"/>
          <w:bdr w:val="none" w:sz="0" w:space="0" w:color="auto"/>
          <w:lang w:val="es-ES_tradnl"/>
        </w:rPr>
        <w:t xml:space="preserve">udiciales iniciados a fin </w:t>
      </w:r>
      <w:r w:rsidR="00E611C5" w:rsidRPr="00DC278B">
        <w:rPr>
          <w:rFonts w:ascii="Cambria" w:eastAsia="Times New Roman" w:hAnsi="Cambria" w:cs="Garamond"/>
          <w:sz w:val="20"/>
          <w:szCs w:val="20"/>
          <w:bdr w:val="none" w:sz="0" w:space="0" w:color="auto"/>
          <w:lang w:val="es-ES_tradnl"/>
        </w:rPr>
        <w:t xml:space="preserve">de obtener </w:t>
      </w:r>
      <w:r w:rsidR="00E21F0D" w:rsidRPr="00DC278B">
        <w:rPr>
          <w:rFonts w:ascii="Cambria" w:eastAsia="Times New Roman" w:hAnsi="Cambria" w:cs="Garamond"/>
          <w:sz w:val="20"/>
          <w:szCs w:val="20"/>
          <w:bdr w:val="none" w:sz="0" w:space="0" w:color="auto"/>
          <w:lang w:val="es-ES_tradnl"/>
        </w:rPr>
        <w:t>reparaciones</w:t>
      </w:r>
      <w:r w:rsidRPr="00DC278B">
        <w:rPr>
          <w:rFonts w:ascii="Cambria" w:eastAsia="Times New Roman" w:hAnsi="Cambria" w:cs="Garamond"/>
          <w:sz w:val="20"/>
          <w:szCs w:val="20"/>
          <w:bdr w:val="none" w:sz="0" w:space="0" w:color="auto"/>
          <w:lang w:val="es-ES_tradnl"/>
        </w:rPr>
        <w:t xml:space="preserve"> por </w:t>
      </w:r>
      <w:r w:rsidR="007518E6" w:rsidRPr="00DC278B">
        <w:rPr>
          <w:rFonts w:ascii="Cambria" w:eastAsia="Times New Roman" w:hAnsi="Cambria" w:cs="Garamond"/>
          <w:sz w:val="20"/>
          <w:szCs w:val="20"/>
          <w:bdr w:val="none" w:sz="0" w:space="0" w:color="auto"/>
          <w:lang w:val="es-ES_tradnl"/>
        </w:rPr>
        <w:t xml:space="preserve">parte de </w:t>
      </w:r>
      <w:r w:rsidRPr="00DC278B">
        <w:rPr>
          <w:rFonts w:ascii="Cambria" w:eastAsia="Times New Roman" w:hAnsi="Cambria" w:cs="Garamond"/>
          <w:sz w:val="20"/>
          <w:szCs w:val="20"/>
          <w:bdr w:val="none" w:sz="0" w:space="0" w:color="auto"/>
          <w:lang w:val="es-ES_tradnl"/>
        </w:rPr>
        <w:t xml:space="preserve">las </w:t>
      </w:r>
      <w:r w:rsidR="00654110" w:rsidRPr="00DC278B">
        <w:rPr>
          <w:rFonts w:ascii="Cambria" w:eastAsia="Times New Roman" w:hAnsi="Cambria" w:cs="Garamond"/>
          <w:sz w:val="20"/>
          <w:szCs w:val="20"/>
          <w:bdr w:val="none" w:sz="0" w:space="0" w:color="auto"/>
          <w:lang w:val="es-ES_tradnl"/>
        </w:rPr>
        <w:t xml:space="preserve">presuntas </w:t>
      </w:r>
      <w:r w:rsidRPr="00DC278B">
        <w:rPr>
          <w:rFonts w:ascii="Cambria" w:eastAsia="Times New Roman" w:hAnsi="Cambria" w:cs="Garamond"/>
          <w:sz w:val="20"/>
          <w:szCs w:val="20"/>
          <w:bdr w:val="none" w:sz="0" w:space="0" w:color="auto"/>
          <w:lang w:val="es-ES_tradnl"/>
        </w:rPr>
        <w:t>víctimas en</w:t>
      </w:r>
      <w:r w:rsidR="00E611C5" w:rsidRPr="00DC278B">
        <w:rPr>
          <w:rFonts w:ascii="Cambria" w:eastAsia="Times New Roman" w:hAnsi="Cambria" w:cs="Garamond"/>
          <w:sz w:val="20"/>
          <w:szCs w:val="20"/>
          <w:bdr w:val="none" w:sz="0" w:space="0" w:color="auto"/>
          <w:lang w:val="es-ES_tradnl"/>
        </w:rPr>
        <w:t xml:space="preserve"> este</w:t>
      </w:r>
      <w:r w:rsidRPr="00DC278B">
        <w:rPr>
          <w:rFonts w:ascii="Cambria" w:eastAsia="Times New Roman" w:hAnsi="Cambria" w:cs="Garamond"/>
          <w:sz w:val="20"/>
          <w:szCs w:val="20"/>
          <w:bdr w:val="none" w:sz="0" w:space="0" w:color="auto"/>
          <w:lang w:val="es-ES_tradnl"/>
        </w:rPr>
        <w:t xml:space="preserve"> caso</w:t>
      </w:r>
      <w:r w:rsidR="007518E6" w:rsidRPr="00DC278B">
        <w:rPr>
          <w:rFonts w:ascii="Cambria" w:eastAsia="Times New Roman" w:hAnsi="Cambria" w:cs="Garamond"/>
          <w:sz w:val="20"/>
          <w:szCs w:val="20"/>
          <w:bdr w:val="none" w:sz="0" w:space="0" w:color="auto"/>
          <w:lang w:val="es-ES_tradnl"/>
        </w:rPr>
        <w:t xml:space="preserve"> </w:t>
      </w:r>
      <w:r w:rsidR="000E7DBD" w:rsidRPr="00DC278B">
        <w:rPr>
          <w:rFonts w:ascii="Cambria" w:eastAsia="Times New Roman" w:hAnsi="Cambria" w:cs="Garamond"/>
          <w:sz w:val="20"/>
          <w:szCs w:val="20"/>
          <w:bdr w:val="none" w:sz="0" w:space="0" w:color="auto"/>
          <w:lang w:val="es-ES_tradnl"/>
        </w:rPr>
        <w:t xml:space="preserve">y las respuestas </w:t>
      </w:r>
      <w:r w:rsidR="007518E6" w:rsidRPr="00DC278B">
        <w:rPr>
          <w:rFonts w:ascii="Cambria" w:eastAsia="Times New Roman" w:hAnsi="Cambria" w:cs="Garamond"/>
          <w:sz w:val="20"/>
          <w:szCs w:val="20"/>
          <w:bdr w:val="none" w:sz="0" w:space="0" w:color="auto"/>
          <w:lang w:val="es-ES_tradnl"/>
        </w:rPr>
        <w:t>obtenidas</w:t>
      </w:r>
      <w:r w:rsidRPr="00DC278B">
        <w:rPr>
          <w:rFonts w:ascii="Cambria" w:eastAsia="Times New Roman" w:hAnsi="Cambria" w:cs="Garamond"/>
          <w:sz w:val="20"/>
          <w:szCs w:val="20"/>
          <w:bdr w:val="none" w:sz="0" w:space="0" w:color="auto"/>
          <w:lang w:val="es-ES_tradnl"/>
        </w:rPr>
        <w:t>.</w:t>
      </w:r>
    </w:p>
    <w:p w:rsidR="00E24E60" w:rsidRPr="00DC278B" w:rsidRDefault="00E24E6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p>
    <w:p w:rsidR="004719E3" w:rsidRPr="00DC278B" w:rsidRDefault="00E24E60" w:rsidP="00DC278B">
      <w:pPr>
        <w:pStyle w:val="Heading2"/>
      </w:pPr>
      <w:bookmarkStart w:id="18" w:name="_Toc413397471"/>
      <w:r w:rsidRPr="00DC278B">
        <w:t>A.</w:t>
      </w:r>
      <w:r w:rsidRPr="00DC278B">
        <w:tab/>
      </w:r>
      <w:r w:rsidR="00D202AC" w:rsidRPr="00DC278B">
        <w:t>Régimen</w:t>
      </w:r>
      <w:r w:rsidR="006565CC" w:rsidRPr="00DC278B">
        <w:t xml:space="preserve"> de reparaciones</w:t>
      </w:r>
      <w:r w:rsidR="00E21F0D" w:rsidRPr="00DC278B">
        <w:t xml:space="preserve"> del Estado c</w:t>
      </w:r>
      <w:r w:rsidR="004719E3" w:rsidRPr="00DC278B">
        <w:t>hileno</w:t>
      </w:r>
      <w:bookmarkEnd w:id="18"/>
    </w:p>
    <w:p w:rsidR="004719E3" w:rsidRPr="00DC278B" w:rsidRDefault="004719E3"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lang w:val="es-ES_tradnl"/>
        </w:rPr>
      </w:pPr>
    </w:p>
    <w:p w:rsidR="004719E3" w:rsidRPr="00DC278B" w:rsidRDefault="00D202A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cs="Garamond"/>
          <w:sz w:val="20"/>
          <w:szCs w:val="20"/>
          <w:bdr w:val="none" w:sz="0" w:space="0" w:color="auto"/>
          <w:lang w:val="es-ES_tradnl"/>
        </w:rPr>
        <w:t>Luego de finalizada la dictadura m</w:t>
      </w:r>
      <w:r w:rsidR="004719E3" w:rsidRPr="00DC278B">
        <w:rPr>
          <w:rFonts w:ascii="Cambria" w:eastAsia="Times New Roman" w:hAnsi="Cambria" w:cs="Garamond"/>
          <w:sz w:val="20"/>
          <w:szCs w:val="20"/>
          <w:bdr w:val="none" w:sz="0" w:space="0" w:color="auto"/>
          <w:lang w:val="es-ES_tradnl"/>
        </w:rPr>
        <w:t xml:space="preserve">ilitar, el 25 de abril de 1990, el Presidente </w:t>
      </w:r>
      <w:r w:rsidRPr="00DC278B">
        <w:rPr>
          <w:rFonts w:ascii="Cambria" w:eastAsia="Times New Roman" w:hAnsi="Cambria" w:cs="Garamond"/>
          <w:sz w:val="20"/>
          <w:szCs w:val="20"/>
          <w:bdr w:val="none" w:sz="0" w:space="0" w:color="auto"/>
          <w:lang w:val="es-ES_tradnl"/>
        </w:rPr>
        <w:t>Patricio Aylwin Azocar, dictó</w:t>
      </w:r>
      <w:r w:rsidR="004719E3" w:rsidRPr="00DC278B">
        <w:rPr>
          <w:rFonts w:ascii="Cambria" w:eastAsia="Times New Roman" w:hAnsi="Cambria" w:cs="Garamond"/>
          <w:sz w:val="20"/>
          <w:szCs w:val="20"/>
          <w:bdr w:val="none" w:sz="0" w:space="0" w:color="auto"/>
          <w:lang w:val="es-ES_tradnl"/>
        </w:rPr>
        <w:t xml:space="preserve"> el Decreto Supremo </w:t>
      </w:r>
      <w:r w:rsidR="00A16B1B" w:rsidRPr="00DC278B">
        <w:rPr>
          <w:rFonts w:ascii="Cambria" w:eastAsia="Times New Roman" w:hAnsi="Cambria" w:cs="Garamond"/>
          <w:sz w:val="20"/>
          <w:szCs w:val="20"/>
          <w:bdr w:val="none" w:sz="0" w:space="0" w:color="auto"/>
          <w:lang w:val="es-ES_tradnl"/>
        </w:rPr>
        <w:t xml:space="preserve">(D.S.) </w:t>
      </w:r>
      <w:r w:rsidR="004719E3" w:rsidRPr="00DC278B">
        <w:rPr>
          <w:rFonts w:ascii="Cambria" w:eastAsia="Times New Roman" w:hAnsi="Cambria" w:cs="Garamond"/>
          <w:sz w:val="20"/>
          <w:szCs w:val="20"/>
          <w:bdr w:val="none" w:sz="0" w:space="0" w:color="auto"/>
          <w:lang w:val="es-ES_tradnl"/>
        </w:rPr>
        <w:t xml:space="preserve">No. 355 que creó la Comisión </w:t>
      </w:r>
      <w:proofErr w:type="spellStart"/>
      <w:r w:rsidRPr="00DC278B">
        <w:rPr>
          <w:rFonts w:ascii="Cambria" w:eastAsia="Times New Roman" w:hAnsi="Cambria" w:cs="Garamond"/>
          <w:sz w:val="20"/>
          <w:szCs w:val="20"/>
          <w:bdr w:val="none" w:sz="0" w:space="0" w:color="auto"/>
          <w:lang w:val="es-ES_tradnl"/>
        </w:rPr>
        <w:t>Rettig</w:t>
      </w:r>
      <w:proofErr w:type="spellEnd"/>
      <w:r w:rsidRPr="00DC278B">
        <w:rPr>
          <w:rFonts w:ascii="Cambria" w:eastAsia="Times New Roman" w:hAnsi="Cambria" w:cs="Garamond"/>
          <w:sz w:val="20"/>
          <w:szCs w:val="20"/>
          <w:bdr w:val="none" w:sz="0" w:space="0" w:color="auto"/>
          <w:lang w:val="es-ES_tradnl"/>
        </w:rPr>
        <w:t xml:space="preserve"> </w:t>
      </w:r>
      <w:r w:rsidR="004719E3" w:rsidRPr="00DC278B">
        <w:rPr>
          <w:rFonts w:ascii="Cambria" w:eastAsia="Times New Roman" w:hAnsi="Cambria" w:cs="Garamond"/>
          <w:sz w:val="20"/>
          <w:szCs w:val="20"/>
          <w:bdr w:val="none" w:sz="0" w:space="0" w:color="auto"/>
          <w:lang w:val="es-ES_tradnl"/>
        </w:rPr>
        <w:t>con base en que “la conciencia moral de la Nación requiere el esclarecimiento de la verdad sobre las graves violaciones a los derechos humanos cometidas en el país entre el 11 de septiembre de 1973 y el 11 de marzo de 1990”</w:t>
      </w:r>
      <w:r w:rsidR="004719E3" w:rsidRPr="00DC278B">
        <w:rPr>
          <w:rFonts w:ascii="Cambria" w:eastAsia="Times New Roman" w:hAnsi="Cambria"/>
          <w:sz w:val="20"/>
          <w:szCs w:val="20"/>
          <w:bdr w:val="none" w:sz="0" w:space="0" w:color="auto"/>
          <w:vertAlign w:val="superscript"/>
          <w:lang w:val="es-ES_tradnl"/>
        </w:rPr>
        <w:footnoteReference w:id="21"/>
      </w:r>
      <w:r w:rsidR="004719E3" w:rsidRPr="00DC278B">
        <w:rPr>
          <w:rFonts w:ascii="Cambria" w:eastAsia="Times New Roman" w:hAnsi="Cambria" w:cs="Garamond"/>
          <w:sz w:val="20"/>
          <w:szCs w:val="20"/>
          <w:bdr w:val="none" w:sz="0" w:space="0" w:color="auto"/>
          <w:lang w:val="es-ES_tradnl"/>
        </w:rPr>
        <w:t xml:space="preserve">. La </w:t>
      </w:r>
      <w:r w:rsidRPr="00DC278B">
        <w:rPr>
          <w:rFonts w:ascii="Cambria" w:eastAsia="Times New Roman" w:hAnsi="Cambria" w:cs="Garamond"/>
          <w:sz w:val="20"/>
          <w:szCs w:val="20"/>
          <w:bdr w:val="none" w:sz="0" w:space="0" w:color="auto"/>
          <w:lang w:val="es-ES_tradnl"/>
        </w:rPr>
        <w:t>f</w:t>
      </w:r>
      <w:r w:rsidR="004719E3" w:rsidRPr="00DC278B">
        <w:rPr>
          <w:rFonts w:ascii="Cambria" w:eastAsia="Times New Roman" w:hAnsi="Cambria" w:cs="Garamond"/>
          <w:sz w:val="20"/>
          <w:szCs w:val="20"/>
          <w:bdr w:val="none" w:sz="0" w:space="0" w:color="auto"/>
          <w:lang w:val="es-ES_tradnl"/>
        </w:rPr>
        <w:t>inalidad de dicha Comisión era la de: “a) Establecer un cuadro lo más completo posible sobre los graves hechos referidos, sus antecedentes y circunstancias; b) Reunir antecedentes que permitan individualizar a sus víctimas y establecer su suerte o paradero; c) Recomendar medidas de reparación y reivindicación que crea de justicia; y d) Recomendar las medidas legales y administrativas que a su juicio deben adoptarse para impedir o prevenir la comisión de los hechos a que este artículo se refiere”</w:t>
      </w:r>
      <w:r w:rsidR="004719E3" w:rsidRPr="00DC278B">
        <w:rPr>
          <w:rFonts w:ascii="Cambria" w:eastAsia="Times New Roman" w:hAnsi="Cambria"/>
          <w:sz w:val="20"/>
          <w:szCs w:val="20"/>
          <w:bdr w:val="none" w:sz="0" w:space="0" w:color="auto"/>
          <w:vertAlign w:val="superscript"/>
          <w:lang w:val="es-ES_tradnl"/>
        </w:rPr>
        <w:footnoteReference w:id="22"/>
      </w:r>
      <w:r w:rsidR="004719E3" w:rsidRPr="00DC278B">
        <w:rPr>
          <w:rFonts w:ascii="Cambria" w:eastAsia="Times New Roman" w:hAnsi="Cambria" w:cs="Garamond"/>
          <w:sz w:val="20"/>
          <w:szCs w:val="20"/>
          <w:bdr w:val="none" w:sz="0" w:space="0" w:color="auto"/>
          <w:lang w:val="es-ES_tradnl"/>
        </w:rPr>
        <w:t>.</w:t>
      </w:r>
    </w:p>
    <w:p w:rsidR="004719E3" w:rsidRPr="00DC278B" w:rsidRDefault="004719E3"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lang w:val="es-ES_tradnl"/>
        </w:rPr>
      </w:pPr>
    </w:p>
    <w:p w:rsidR="004719E3" w:rsidRPr="00DC278B" w:rsidRDefault="00D202A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cs="Garamond"/>
          <w:sz w:val="20"/>
          <w:szCs w:val="20"/>
          <w:bdr w:val="none" w:sz="0" w:space="0" w:color="auto"/>
          <w:lang w:val="es-ES_tradnl"/>
        </w:rPr>
        <w:t>En e</w:t>
      </w:r>
      <w:r w:rsidR="004719E3" w:rsidRPr="00DC278B">
        <w:rPr>
          <w:rFonts w:ascii="Cambria" w:eastAsia="Times New Roman" w:hAnsi="Cambria" w:cs="Garamond"/>
          <w:sz w:val="20"/>
          <w:szCs w:val="20"/>
          <w:bdr w:val="none" w:sz="0" w:space="0" w:color="auto"/>
          <w:lang w:val="es-ES_tradnl"/>
        </w:rPr>
        <w:t xml:space="preserve">l </w:t>
      </w:r>
      <w:r w:rsidR="00A16B1B" w:rsidRPr="00DC278B">
        <w:rPr>
          <w:rFonts w:ascii="Cambria" w:eastAsia="Times New Roman" w:hAnsi="Cambria" w:cs="Garamond"/>
          <w:sz w:val="20"/>
          <w:szCs w:val="20"/>
          <w:bdr w:val="none" w:sz="0" w:space="0" w:color="auto"/>
          <w:lang w:val="es-ES_tradnl"/>
        </w:rPr>
        <w:t xml:space="preserve">D.S. </w:t>
      </w:r>
      <w:r w:rsidR="004719E3" w:rsidRPr="00DC278B">
        <w:rPr>
          <w:rFonts w:ascii="Cambria" w:eastAsia="Times New Roman" w:hAnsi="Cambria" w:cs="Garamond"/>
          <w:sz w:val="20"/>
          <w:szCs w:val="20"/>
          <w:bdr w:val="none" w:sz="0" w:space="0" w:color="auto"/>
          <w:lang w:val="es-ES_tradnl"/>
        </w:rPr>
        <w:t xml:space="preserve">No. 355 </w:t>
      </w:r>
      <w:r w:rsidRPr="00DC278B">
        <w:rPr>
          <w:rFonts w:ascii="Cambria" w:eastAsia="Times New Roman" w:hAnsi="Cambria" w:cs="Garamond"/>
          <w:sz w:val="20"/>
          <w:szCs w:val="20"/>
          <w:bdr w:val="none" w:sz="0" w:space="0" w:color="auto"/>
          <w:lang w:val="es-ES_tradnl"/>
        </w:rPr>
        <w:t xml:space="preserve">se </w:t>
      </w:r>
      <w:r w:rsidR="004719E3" w:rsidRPr="00DC278B">
        <w:rPr>
          <w:rFonts w:ascii="Cambria" w:eastAsia="Times New Roman" w:hAnsi="Cambria" w:cs="Garamond"/>
          <w:sz w:val="20"/>
          <w:szCs w:val="20"/>
          <w:bdr w:val="none" w:sz="0" w:space="0" w:color="auto"/>
          <w:lang w:val="es-ES_tradnl"/>
        </w:rPr>
        <w:t>entendió por grave violaciones</w:t>
      </w:r>
      <w:r w:rsidR="004719E3" w:rsidRPr="00DC278B">
        <w:rPr>
          <w:rFonts w:ascii="Cambria" w:eastAsia="Times New Roman" w:hAnsi="Cambria" w:cs="Garamond"/>
          <w:sz w:val="20"/>
          <w:szCs w:val="20"/>
          <w:bdr w:val="none" w:sz="0" w:space="0" w:color="auto"/>
          <w:vertAlign w:val="superscript"/>
          <w:lang w:val="es-ES_tradnl"/>
        </w:rPr>
        <w:footnoteReference w:id="23"/>
      </w:r>
      <w:r w:rsidR="004719E3" w:rsidRPr="00DC278B">
        <w:rPr>
          <w:rFonts w:ascii="Cambria" w:eastAsia="Times New Roman" w:hAnsi="Cambria" w:cs="Garamond"/>
          <w:sz w:val="20"/>
          <w:szCs w:val="20"/>
          <w:bdr w:val="none" w:sz="0" w:space="0" w:color="auto"/>
          <w:lang w:val="es-ES_tradnl"/>
        </w:rPr>
        <w:t xml:space="preserve"> “las situaciones de detenidos desaparecidos, ejecutados y torturados con resultado de muerte, en que aparezca comprometida la responsabilidad moral del Estado por actos de sus agentes o de personas a su servicio, como asimismo los secuestros y los atentados contra la vida de personas cometidos por particulares bajo pretextos políticos”</w:t>
      </w:r>
      <w:r w:rsidR="004719E3" w:rsidRPr="00DC278B">
        <w:rPr>
          <w:rFonts w:ascii="Cambria" w:eastAsia="Times New Roman" w:hAnsi="Cambria" w:cs="Garamond"/>
          <w:sz w:val="20"/>
          <w:szCs w:val="20"/>
          <w:bdr w:val="none" w:sz="0" w:space="0" w:color="auto"/>
          <w:vertAlign w:val="superscript"/>
          <w:lang w:val="es-ES_tradnl"/>
        </w:rPr>
        <w:footnoteReference w:id="24"/>
      </w:r>
      <w:r w:rsidR="004719E3" w:rsidRPr="00DC278B">
        <w:rPr>
          <w:rFonts w:ascii="Cambria" w:eastAsia="Times New Roman" w:hAnsi="Cambria" w:cs="Garamond"/>
          <w:sz w:val="20"/>
          <w:szCs w:val="20"/>
          <w:bdr w:val="none" w:sz="0" w:space="0" w:color="auto"/>
          <w:lang w:val="es-ES_tradnl"/>
        </w:rPr>
        <w:t>.</w:t>
      </w:r>
    </w:p>
    <w:p w:rsidR="00F12E5C" w:rsidRPr="00DC278B" w:rsidRDefault="00F12E5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p>
    <w:p w:rsidR="004719E3" w:rsidRPr="00DC278B" w:rsidRDefault="004719E3"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cs="Garamond"/>
          <w:sz w:val="20"/>
          <w:szCs w:val="20"/>
          <w:bdr w:val="none" w:sz="0" w:space="0" w:color="auto"/>
          <w:lang w:val="es-ES_tradnl"/>
        </w:rPr>
        <w:t>Concluida su</w:t>
      </w:r>
      <w:r w:rsidR="00D202AC" w:rsidRPr="00DC278B">
        <w:rPr>
          <w:rFonts w:ascii="Cambria" w:eastAsia="Times New Roman" w:hAnsi="Cambria" w:cs="Garamond"/>
          <w:sz w:val="20"/>
          <w:szCs w:val="20"/>
          <w:bdr w:val="none" w:sz="0" w:space="0" w:color="auto"/>
          <w:lang w:val="es-ES_tradnl"/>
        </w:rPr>
        <w:t xml:space="preserve"> misión</w:t>
      </w:r>
      <w:r w:rsidR="00BE1783" w:rsidRPr="00DC278B">
        <w:rPr>
          <w:rFonts w:ascii="Cambria" w:eastAsia="Times New Roman" w:hAnsi="Cambria" w:cs="Garamond"/>
          <w:sz w:val="20"/>
          <w:szCs w:val="20"/>
          <w:bdr w:val="none" w:sz="0" w:space="0" w:color="auto"/>
          <w:lang w:val="es-ES_tradnl"/>
        </w:rPr>
        <w:t>,</w:t>
      </w:r>
      <w:r w:rsidR="00D202AC" w:rsidRPr="00DC278B">
        <w:rPr>
          <w:rFonts w:ascii="Cambria" w:eastAsia="Times New Roman" w:hAnsi="Cambria" w:cs="Garamond"/>
          <w:sz w:val="20"/>
          <w:szCs w:val="20"/>
          <w:bdr w:val="none" w:sz="0" w:space="0" w:color="auto"/>
          <w:lang w:val="es-ES_tradnl"/>
        </w:rPr>
        <w:t xml:space="preserve"> la Comisión </w:t>
      </w:r>
      <w:proofErr w:type="spellStart"/>
      <w:r w:rsidR="00D202AC" w:rsidRPr="00DC278B">
        <w:rPr>
          <w:rFonts w:ascii="Cambria" w:eastAsia="Times New Roman" w:hAnsi="Cambria" w:cs="Garamond"/>
          <w:sz w:val="20"/>
          <w:szCs w:val="20"/>
          <w:bdr w:val="none" w:sz="0" w:space="0" w:color="auto"/>
          <w:lang w:val="es-ES_tradnl"/>
        </w:rPr>
        <w:t>Rettig</w:t>
      </w:r>
      <w:proofErr w:type="spellEnd"/>
      <w:r w:rsidRPr="00DC278B">
        <w:rPr>
          <w:rFonts w:ascii="Cambria" w:eastAsia="Times New Roman" w:hAnsi="Cambria" w:cs="Garamond"/>
          <w:sz w:val="20"/>
          <w:szCs w:val="20"/>
          <w:bdr w:val="none" w:sz="0" w:space="0" w:color="auto"/>
          <w:lang w:val="es-ES_tradnl"/>
        </w:rPr>
        <w:t xml:space="preserve"> emitió </w:t>
      </w:r>
      <w:r w:rsidR="00D202AC" w:rsidRPr="00DC278B">
        <w:rPr>
          <w:rFonts w:ascii="Cambria" w:eastAsia="Times New Roman" w:hAnsi="Cambria" w:cs="Garamond"/>
          <w:sz w:val="20"/>
          <w:szCs w:val="20"/>
          <w:bdr w:val="none" w:sz="0" w:space="0" w:color="auto"/>
          <w:lang w:val="es-ES_tradnl"/>
        </w:rPr>
        <w:t xml:space="preserve">su </w:t>
      </w:r>
      <w:r w:rsidRPr="00DC278B">
        <w:rPr>
          <w:rFonts w:ascii="Cambria" w:eastAsia="Times New Roman" w:hAnsi="Cambria" w:cs="Garamond"/>
          <w:sz w:val="20"/>
          <w:szCs w:val="20"/>
          <w:bdr w:val="none" w:sz="0" w:space="0" w:color="auto"/>
          <w:lang w:val="es-ES_tradnl"/>
        </w:rPr>
        <w:t>informe aprobado por unanimidad</w:t>
      </w:r>
      <w:r w:rsidR="00D202AC" w:rsidRPr="00DC278B">
        <w:rPr>
          <w:rFonts w:ascii="Cambria" w:eastAsia="Times New Roman" w:hAnsi="Cambria" w:cs="Garamond"/>
          <w:sz w:val="20"/>
          <w:szCs w:val="20"/>
          <w:bdr w:val="none" w:sz="0" w:space="0" w:color="auto"/>
          <w:lang w:val="es-ES_tradnl"/>
        </w:rPr>
        <w:t>; el cual fue entregado al P</w:t>
      </w:r>
      <w:r w:rsidRPr="00DC278B">
        <w:rPr>
          <w:rFonts w:ascii="Cambria" w:eastAsia="Times New Roman" w:hAnsi="Cambria" w:cs="Garamond"/>
          <w:sz w:val="20"/>
          <w:szCs w:val="20"/>
          <w:bdr w:val="none" w:sz="0" w:space="0" w:color="auto"/>
          <w:lang w:val="es-ES_tradnl"/>
        </w:rPr>
        <w:t>residente Aylwin el 8 de febrero de 1991</w:t>
      </w:r>
      <w:r w:rsidRPr="00DC278B">
        <w:rPr>
          <w:rFonts w:ascii="Cambria" w:eastAsia="Times New Roman" w:hAnsi="Cambria" w:cs="Garamond"/>
          <w:sz w:val="20"/>
          <w:szCs w:val="20"/>
          <w:bdr w:val="none" w:sz="0" w:space="0" w:color="auto"/>
          <w:vertAlign w:val="superscript"/>
          <w:lang w:val="es-ES_tradnl"/>
        </w:rPr>
        <w:footnoteReference w:id="25"/>
      </w:r>
      <w:r w:rsidR="00D202AC" w:rsidRPr="00DC278B">
        <w:rPr>
          <w:rFonts w:ascii="Cambria" w:eastAsia="Times New Roman" w:hAnsi="Cambria" w:cs="Garamond"/>
          <w:sz w:val="20"/>
          <w:szCs w:val="20"/>
          <w:bdr w:val="none" w:sz="0" w:space="0" w:color="auto"/>
          <w:lang w:val="es-ES_tradnl"/>
        </w:rPr>
        <w:t>;</w:t>
      </w:r>
      <w:r w:rsidRPr="00DC278B">
        <w:rPr>
          <w:rFonts w:ascii="Cambria" w:eastAsia="Times New Roman" w:hAnsi="Cambria" w:cs="Garamond"/>
          <w:sz w:val="20"/>
          <w:szCs w:val="20"/>
          <w:bdr w:val="none" w:sz="0" w:space="0" w:color="auto"/>
          <w:lang w:val="es-ES_tradnl"/>
        </w:rPr>
        <w:t xml:space="preserve"> quien a su vez lo dio a conocer el 4 de marzo de 1991</w:t>
      </w:r>
      <w:r w:rsidR="008F2478" w:rsidRPr="00DC278B">
        <w:rPr>
          <w:rFonts w:ascii="Cambria" w:eastAsia="Times New Roman" w:hAnsi="Cambria" w:cs="Garamond"/>
          <w:sz w:val="20"/>
          <w:szCs w:val="20"/>
          <w:bdr w:val="none" w:sz="0" w:space="0" w:color="auto"/>
          <w:lang w:val="es-ES_tradnl"/>
        </w:rPr>
        <w:t xml:space="preserve"> </w:t>
      </w:r>
      <w:r w:rsidRPr="00DC278B">
        <w:rPr>
          <w:rFonts w:ascii="Cambria" w:eastAsia="Times New Roman" w:hAnsi="Cambria" w:cs="Garamond"/>
          <w:sz w:val="20"/>
          <w:szCs w:val="20"/>
          <w:bdr w:val="none" w:sz="0" w:space="0" w:color="auto"/>
          <w:lang w:val="es-ES_tradnl"/>
        </w:rPr>
        <w:t xml:space="preserve">y ofreció perdón a las víctimas de tales violaciones.  </w:t>
      </w:r>
      <w:r w:rsidR="0083613A" w:rsidRPr="00DC278B">
        <w:rPr>
          <w:rFonts w:ascii="Cambria" w:eastAsia="Times New Roman" w:hAnsi="Cambria" w:cs="Garamond"/>
          <w:sz w:val="20"/>
          <w:szCs w:val="20"/>
          <w:bdr w:val="none" w:sz="0" w:space="0" w:color="auto"/>
          <w:lang w:val="es-ES_tradnl"/>
        </w:rPr>
        <w:t>Al respecto, el Presidente expresó</w:t>
      </w:r>
    </w:p>
    <w:p w:rsidR="00F12E5C" w:rsidRPr="00DC278B" w:rsidRDefault="00F12E5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p>
    <w:p w:rsidR="004378F2" w:rsidRPr="00DC278B" w:rsidRDefault="004378F2" w:rsidP="00DC27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right="720"/>
        <w:jc w:val="both"/>
        <w:rPr>
          <w:color w:val="auto"/>
          <w:sz w:val="20"/>
          <w:szCs w:val="20"/>
          <w:lang w:val="es-ES"/>
        </w:rPr>
      </w:pPr>
      <w:r w:rsidRPr="00DC278B">
        <w:rPr>
          <w:color w:val="auto"/>
          <w:sz w:val="20"/>
          <w:szCs w:val="20"/>
          <w:lang w:val="es-ES"/>
        </w:rPr>
        <w:t>Como Presidente de República, me atrevo a asumir la representación de la nación entera para, en su nombre, pedir perdón a los familiares de las víctimas [...] [reivindicando] pública y solemnemente la dignidad personal de las víctimas, en cuanto hayan sido denigradas por acusaciones de delitos que nunca les fueron probados y de los cuales nunca tuvieron oportunidad ni medios adecuados para defenderse</w:t>
      </w:r>
      <w:r w:rsidR="00585FFF" w:rsidRPr="00DC278B">
        <w:rPr>
          <w:rFonts w:eastAsia="Times New Roman"/>
          <w:color w:val="auto"/>
          <w:sz w:val="20"/>
          <w:szCs w:val="20"/>
          <w:bdr w:val="none" w:sz="0" w:space="0" w:color="auto"/>
          <w:vertAlign w:val="superscript"/>
          <w:lang w:val="es-ES_tradnl"/>
        </w:rPr>
        <w:footnoteReference w:id="26"/>
      </w:r>
      <w:r w:rsidRPr="00DC278B">
        <w:rPr>
          <w:color w:val="auto"/>
          <w:sz w:val="20"/>
          <w:szCs w:val="20"/>
          <w:lang w:val="es-ES"/>
        </w:rPr>
        <w:t>.</w:t>
      </w:r>
    </w:p>
    <w:p w:rsidR="00E24E60" w:rsidRPr="00DC278B" w:rsidRDefault="00E24E60" w:rsidP="00DC278B">
      <w:pPr>
        <w:pStyle w:val="MediumGrid1-Accent21"/>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Times New Roman"/>
          <w:color w:val="auto"/>
          <w:sz w:val="20"/>
          <w:szCs w:val="20"/>
          <w:bdr w:val="none" w:sz="0" w:space="0" w:color="auto"/>
          <w:lang w:val="es-ES_tradnl"/>
        </w:rPr>
      </w:pPr>
    </w:p>
    <w:p w:rsidR="00A16B1B" w:rsidRPr="00DC278B" w:rsidRDefault="00A16B1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cs="Garamond"/>
          <w:sz w:val="20"/>
          <w:szCs w:val="20"/>
          <w:bdr w:val="none" w:sz="0" w:space="0" w:color="auto"/>
          <w:lang w:val="es-ES_tradnl"/>
        </w:rPr>
        <w:t>E</w:t>
      </w:r>
      <w:r w:rsidR="00D202AC" w:rsidRPr="00DC278B">
        <w:rPr>
          <w:rFonts w:ascii="Cambria" w:eastAsia="Times New Roman" w:hAnsi="Cambria" w:cs="Garamond"/>
          <w:sz w:val="20"/>
          <w:szCs w:val="20"/>
          <w:bdr w:val="none" w:sz="0" w:space="0" w:color="auto"/>
          <w:lang w:val="es-ES_tradnl"/>
        </w:rPr>
        <w:t xml:space="preserve">sta Comisión </w:t>
      </w:r>
      <w:r w:rsidR="007E5009" w:rsidRPr="00DC278B">
        <w:rPr>
          <w:rFonts w:ascii="Cambria" w:eastAsia="Times New Roman" w:hAnsi="Cambria" w:cs="Garamond"/>
          <w:sz w:val="20"/>
          <w:szCs w:val="20"/>
          <w:bdr w:val="none" w:sz="0" w:space="0" w:color="auto"/>
          <w:lang w:val="es-ES_tradnl"/>
        </w:rPr>
        <w:t>propuso sugerencias</w:t>
      </w:r>
      <w:r w:rsidR="004719E3" w:rsidRPr="00DC278B">
        <w:rPr>
          <w:rFonts w:ascii="Cambria" w:eastAsia="Times New Roman" w:hAnsi="Cambria" w:cs="Garamond"/>
          <w:sz w:val="20"/>
          <w:szCs w:val="20"/>
          <w:bdr w:val="none" w:sz="0" w:space="0" w:color="auto"/>
          <w:lang w:val="es-ES_tradnl"/>
        </w:rPr>
        <w:t xml:space="preserve"> de reivindicación y reparación simbólica</w:t>
      </w:r>
      <w:r w:rsidR="004719E3" w:rsidRPr="00DC278B">
        <w:rPr>
          <w:rFonts w:ascii="Cambria" w:eastAsia="Times New Roman" w:hAnsi="Cambria" w:cs="Garamond"/>
          <w:sz w:val="20"/>
          <w:szCs w:val="20"/>
          <w:bdr w:val="none" w:sz="0" w:space="0" w:color="auto"/>
          <w:vertAlign w:val="superscript"/>
          <w:lang w:val="es-ES_tradnl"/>
        </w:rPr>
        <w:footnoteReference w:id="27"/>
      </w:r>
      <w:r w:rsidR="00BE1783" w:rsidRPr="00DC278B">
        <w:rPr>
          <w:rFonts w:ascii="Cambria" w:eastAsia="Times New Roman" w:hAnsi="Cambria" w:cs="Garamond"/>
          <w:sz w:val="20"/>
          <w:szCs w:val="20"/>
          <w:bdr w:val="none" w:sz="0" w:space="0" w:color="auto"/>
          <w:lang w:val="es-ES_tradnl"/>
        </w:rPr>
        <w:t>;</w:t>
      </w:r>
      <w:r w:rsidR="004719E3" w:rsidRPr="00DC278B">
        <w:rPr>
          <w:rFonts w:ascii="Cambria" w:eastAsia="Times New Roman" w:hAnsi="Cambria" w:cs="Garamond"/>
          <w:sz w:val="20"/>
          <w:szCs w:val="20"/>
          <w:bdr w:val="none" w:sz="0" w:space="0" w:color="auto"/>
          <w:lang w:val="es-ES_tradnl"/>
        </w:rPr>
        <w:t xml:space="preserve"> de </w:t>
      </w:r>
      <w:r w:rsidR="00D202AC" w:rsidRPr="00DC278B">
        <w:rPr>
          <w:rFonts w:ascii="Cambria" w:eastAsia="Times New Roman" w:hAnsi="Cambria" w:cs="Garamond"/>
          <w:sz w:val="20"/>
          <w:szCs w:val="20"/>
          <w:bdr w:val="none" w:sz="0" w:space="0" w:color="auto"/>
          <w:lang w:val="es-ES_tradnl"/>
        </w:rPr>
        <w:t>carácter legal y administrativo</w:t>
      </w:r>
      <w:r w:rsidR="004719E3" w:rsidRPr="00DC278B">
        <w:rPr>
          <w:rFonts w:ascii="Cambria" w:eastAsia="Times New Roman" w:hAnsi="Cambria" w:cs="Garamond"/>
          <w:sz w:val="20"/>
          <w:szCs w:val="20"/>
          <w:bdr w:val="none" w:sz="0" w:space="0" w:color="auto"/>
          <w:vertAlign w:val="superscript"/>
          <w:lang w:val="es-ES_tradnl"/>
        </w:rPr>
        <w:footnoteReference w:id="28"/>
      </w:r>
      <w:r w:rsidR="00D202AC" w:rsidRPr="00DC278B">
        <w:rPr>
          <w:rFonts w:ascii="Cambria" w:eastAsia="Times New Roman" w:hAnsi="Cambria" w:cs="Garamond"/>
          <w:sz w:val="20"/>
          <w:szCs w:val="20"/>
          <w:bdr w:val="none" w:sz="0" w:space="0" w:color="auto"/>
          <w:lang w:val="es-ES_tradnl"/>
        </w:rPr>
        <w:t xml:space="preserve">; </w:t>
      </w:r>
      <w:r w:rsidR="004719E3" w:rsidRPr="00DC278B">
        <w:rPr>
          <w:rFonts w:ascii="Cambria" w:eastAsia="Times New Roman" w:hAnsi="Cambria" w:cs="Garamond"/>
          <w:sz w:val="20"/>
          <w:szCs w:val="20"/>
          <w:bdr w:val="none" w:sz="0" w:space="0" w:color="auto"/>
          <w:lang w:val="es-ES_tradnl"/>
        </w:rPr>
        <w:t>y relativas al bienestar social</w:t>
      </w:r>
      <w:r w:rsidR="004719E3" w:rsidRPr="00DC278B">
        <w:rPr>
          <w:rFonts w:ascii="Cambria" w:eastAsia="Times New Roman" w:hAnsi="Cambria" w:cs="Garamond"/>
          <w:sz w:val="20"/>
          <w:szCs w:val="20"/>
          <w:bdr w:val="none" w:sz="0" w:space="0" w:color="auto"/>
          <w:vertAlign w:val="superscript"/>
          <w:lang w:val="es-ES_tradnl"/>
        </w:rPr>
        <w:footnoteReference w:id="29"/>
      </w:r>
      <w:r w:rsidR="004719E3" w:rsidRPr="00DC278B">
        <w:rPr>
          <w:rFonts w:ascii="Cambria" w:eastAsia="Times New Roman" w:hAnsi="Cambria" w:cs="Garamond"/>
          <w:sz w:val="20"/>
          <w:szCs w:val="20"/>
          <w:bdr w:val="none" w:sz="0" w:space="0" w:color="auto"/>
          <w:lang w:val="es-ES_tradnl"/>
        </w:rPr>
        <w:t>.</w:t>
      </w:r>
      <w:r w:rsidRPr="00DC278B">
        <w:rPr>
          <w:rFonts w:ascii="Cambria" w:eastAsia="Times New Roman" w:hAnsi="Cambria" w:cs="Garamond"/>
          <w:sz w:val="20"/>
          <w:szCs w:val="20"/>
          <w:bdr w:val="none" w:sz="0" w:space="0" w:color="auto"/>
          <w:lang w:val="es-ES_tradnl"/>
        </w:rPr>
        <w:t xml:space="preserve"> </w:t>
      </w:r>
      <w:r w:rsidR="00587C05" w:rsidRPr="00DC278B">
        <w:rPr>
          <w:rFonts w:ascii="Cambria" w:eastAsia="Times New Roman" w:hAnsi="Cambria" w:cs="Garamond"/>
          <w:sz w:val="20"/>
          <w:szCs w:val="20"/>
          <w:bdr w:val="none" w:sz="0" w:space="0" w:color="auto"/>
          <w:lang w:val="es-ES_tradnl"/>
        </w:rPr>
        <w:t>El 8 de febrero de 1992</w:t>
      </w:r>
      <w:r w:rsidR="009A1B4C" w:rsidRPr="00DC278B">
        <w:rPr>
          <w:rFonts w:ascii="Cambria" w:eastAsia="Times New Roman" w:hAnsi="Cambria" w:cs="Garamond"/>
          <w:sz w:val="20"/>
          <w:szCs w:val="20"/>
          <w:bdr w:val="none" w:sz="0" w:space="0" w:color="auto"/>
          <w:lang w:val="es-ES_tradnl"/>
        </w:rPr>
        <w:t>,</w:t>
      </w:r>
      <w:r w:rsidR="00587C05" w:rsidRPr="00DC278B">
        <w:rPr>
          <w:rFonts w:ascii="Cambria" w:eastAsia="Times New Roman" w:hAnsi="Cambria" w:cs="Garamond"/>
          <w:sz w:val="20"/>
          <w:szCs w:val="20"/>
          <w:bdr w:val="none" w:sz="0" w:space="0" w:color="auto"/>
          <w:lang w:val="es-ES_tradnl"/>
        </w:rPr>
        <w:t xml:space="preserve"> </w:t>
      </w:r>
      <w:r w:rsidR="009A1B4C" w:rsidRPr="00DC278B">
        <w:rPr>
          <w:rFonts w:ascii="Cambria" w:eastAsia="Times New Roman" w:hAnsi="Cambria" w:cs="Garamond"/>
          <w:sz w:val="20"/>
          <w:szCs w:val="20"/>
          <w:bdr w:val="none" w:sz="0" w:space="0" w:color="auto"/>
          <w:lang w:val="es-ES_tradnl"/>
        </w:rPr>
        <w:t xml:space="preserve">mediante la Ley No. 19.123, </w:t>
      </w:r>
      <w:r w:rsidR="00AF0DA1" w:rsidRPr="00DC278B">
        <w:rPr>
          <w:rFonts w:ascii="Cambria" w:eastAsia="Times New Roman" w:hAnsi="Cambria" w:cs="Garamond"/>
          <w:sz w:val="20"/>
          <w:szCs w:val="20"/>
          <w:bdr w:val="none" w:sz="0" w:space="0" w:color="auto"/>
          <w:lang w:val="es-ES_tradnl"/>
        </w:rPr>
        <w:t>se</w:t>
      </w:r>
      <w:r w:rsidR="00DF1B4B" w:rsidRPr="00DC278B">
        <w:rPr>
          <w:rFonts w:ascii="Cambria" w:eastAsia="Times New Roman" w:hAnsi="Cambria" w:cs="Garamond"/>
          <w:sz w:val="20"/>
          <w:szCs w:val="20"/>
          <w:bdr w:val="none" w:sz="0" w:space="0" w:color="auto"/>
          <w:lang w:val="es-ES_tradnl"/>
        </w:rPr>
        <w:t xml:space="preserve"> creó</w:t>
      </w:r>
      <w:r w:rsidR="004719E3" w:rsidRPr="00DC278B">
        <w:rPr>
          <w:rFonts w:ascii="Cambria" w:eastAsia="Times New Roman" w:hAnsi="Cambria" w:cs="Garamond"/>
          <w:sz w:val="20"/>
          <w:szCs w:val="20"/>
          <w:bdr w:val="none" w:sz="0" w:space="0" w:color="auto"/>
          <w:lang w:val="es-ES_tradnl"/>
        </w:rPr>
        <w:t xml:space="preserve"> la</w:t>
      </w:r>
      <w:r w:rsidR="00DF1B4B" w:rsidRPr="00DC278B">
        <w:rPr>
          <w:rFonts w:ascii="Cambria" w:eastAsia="Times New Roman" w:hAnsi="Cambria" w:cs="Garamond"/>
          <w:sz w:val="20"/>
          <w:szCs w:val="20"/>
          <w:bdr w:val="none" w:sz="0" w:space="0" w:color="auto"/>
          <w:lang w:val="es-ES_tradnl"/>
        </w:rPr>
        <w:t xml:space="preserve"> CNRR</w:t>
      </w:r>
      <w:r w:rsidR="00587C05" w:rsidRPr="00DC278B">
        <w:rPr>
          <w:rFonts w:ascii="Cambria" w:eastAsia="Times New Roman" w:hAnsi="Cambria" w:cs="Garamond"/>
          <w:sz w:val="20"/>
          <w:szCs w:val="20"/>
          <w:bdr w:val="none" w:sz="0" w:space="0" w:color="auto"/>
          <w:lang w:val="es-ES_tradnl"/>
        </w:rPr>
        <w:t xml:space="preserve"> </w:t>
      </w:r>
      <w:r w:rsidR="009A1B4C" w:rsidRPr="00DC278B">
        <w:rPr>
          <w:rFonts w:ascii="Cambria" w:eastAsia="Times New Roman" w:hAnsi="Cambria" w:cs="Garamond"/>
          <w:sz w:val="20"/>
          <w:szCs w:val="20"/>
          <w:bdr w:val="none" w:sz="0" w:space="0" w:color="auto"/>
          <w:lang w:val="es-ES_tradnl"/>
        </w:rPr>
        <w:t xml:space="preserve">cuyo </w:t>
      </w:r>
      <w:r w:rsidR="00DF1B4B" w:rsidRPr="00DC278B">
        <w:rPr>
          <w:rFonts w:ascii="Cambria" w:eastAsia="Times New Roman" w:hAnsi="Cambria" w:cs="Garamond"/>
          <w:sz w:val="20"/>
          <w:szCs w:val="20"/>
          <w:bdr w:val="none" w:sz="0" w:space="0" w:color="auto"/>
          <w:lang w:val="es-ES_tradnl"/>
        </w:rPr>
        <w:t xml:space="preserve">objeto </w:t>
      </w:r>
      <w:r w:rsidR="004719E3" w:rsidRPr="00DC278B">
        <w:rPr>
          <w:rFonts w:ascii="Cambria" w:eastAsia="Times New Roman" w:hAnsi="Cambria" w:cs="Garamond"/>
          <w:sz w:val="20"/>
          <w:szCs w:val="20"/>
          <w:bdr w:val="none" w:sz="0" w:space="0" w:color="auto"/>
          <w:lang w:val="es-ES_tradnl"/>
        </w:rPr>
        <w:t>era “la coordinación, ejecución y promoción de las acciones necesarias para el cumplimiento de las recomendaciones contenidas en el Informe de la Comisión Nacional de Verdad y Reconciliación”</w:t>
      </w:r>
      <w:r w:rsidR="004719E3" w:rsidRPr="00DC278B">
        <w:rPr>
          <w:rFonts w:ascii="Cambria" w:eastAsia="Times New Roman" w:hAnsi="Cambria" w:cs="Garamond"/>
          <w:sz w:val="20"/>
          <w:szCs w:val="20"/>
          <w:bdr w:val="none" w:sz="0" w:space="0" w:color="auto"/>
          <w:vertAlign w:val="superscript"/>
          <w:lang w:val="es-ES_tradnl"/>
        </w:rPr>
        <w:footnoteReference w:id="30"/>
      </w:r>
      <w:r w:rsidR="004719E3" w:rsidRPr="00DC278B">
        <w:rPr>
          <w:rFonts w:ascii="Cambria" w:eastAsia="Times New Roman" w:hAnsi="Cambria" w:cs="Garamond"/>
          <w:sz w:val="20"/>
          <w:szCs w:val="20"/>
          <w:bdr w:val="none" w:sz="0" w:space="0" w:color="auto"/>
          <w:lang w:val="es-ES_tradnl"/>
        </w:rPr>
        <w:t xml:space="preserve">. </w:t>
      </w:r>
      <w:r w:rsidR="002A0C80" w:rsidRPr="00DC278B">
        <w:rPr>
          <w:rFonts w:ascii="Cambria" w:eastAsia="Times New Roman" w:hAnsi="Cambria" w:cs="Garamond"/>
          <w:sz w:val="20"/>
          <w:szCs w:val="20"/>
          <w:bdr w:val="none" w:sz="0" w:space="0" w:color="auto"/>
          <w:lang w:val="es-ES_tradnl"/>
        </w:rPr>
        <w:t xml:space="preserve">Asimismo, </w:t>
      </w:r>
      <w:r w:rsidRPr="00DC278B">
        <w:rPr>
          <w:rFonts w:ascii="Cambria" w:eastAsia="Times New Roman" w:hAnsi="Cambria" w:cs="Garamond"/>
          <w:sz w:val="20"/>
          <w:szCs w:val="20"/>
          <w:bdr w:val="none" w:sz="0" w:space="0" w:color="auto"/>
          <w:lang w:val="es-ES_tradnl"/>
        </w:rPr>
        <w:t xml:space="preserve">esta ley establece </w:t>
      </w:r>
      <w:r w:rsidR="002A0C80" w:rsidRPr="00DC278B">
        <w:rPr>
          <w:rFonts w:ascii="Cambria" w:eastAsia="Times New Roman" w:hAnsi="Cambria" w:cs="Garamond"/>
          <w:sz w:val="20"/>
          <w:szCs w:val="20"/>
          <w:bdr w:val="none" w:sz="0" w:space="0" w:color="auto"/>
          <w:lang w:val="es-ES_tradnl"/>
        </w:rPr>
        <w:t xml:space="preserve">que </w:t>
      </w:r>
      <w:r w:rsidR="00BE1783" w:rsidRPr="00DC278B">
        <w:rPr>
          <w:rFonts w:ascii="Cambria" w:eastAsia="Times New Roman" w:hAnsi="Cambria" w:cs="Garamond"/>
          <w:sz w:val="20"/>
          <w:szCs w:val="20"/>
          <w:bdr w:val="none" w:sz="0" w:space="0" w:color="auto"/>
          <w:lang w:val="es-ES_tradnl"/>
        </w:rPr>
        <w:t xml:space="preserve">a </w:t>
      </w:r>
      <w:r w:rsidRPr="00DC278B">
        <w:rPr>
          <w:rFonts w:ascii="Cambria" w:eastAsia="Times New Roman" w:hAnsi="Cambria" w:cs="Garamond"/>
          <w:sz w:val="20"/>
          <w:szCs w:val="20"/>
          <w:bdr w:val="none" w:sz="0" w:space="0" w:color="auto"/>
          <w:lang w:val="es-ES_tradnl"/>
        </w:rPr>
        <w:t xml:space="preserve">la CNRR, </w:t>
      </w:r>
      <w:r w:rsidR="002A0C80" w:rsidRPr="00DC278B">
        <w:rPr>
          <w:rFonts w:ascii="Cambria" w:eastAsia="Times New Roman" w:hAnsi="Cambria" w:cs="Garamond"/>
          <w:sz w:val="20"/>
          <w:szCs w:val="20"/>
          <w:bdr w:val="none" w:sz="0" w:space="0" w:color="auto"/>
          <w:lang w:val="es-ES_tradnl"/>
        </w:rPr>
        <w:t>le corresponderá, entre otras funciones, p</w:t>
      </w:r>
      <w:r w:rsidRPr="00DC278B">
        <w:rPr>
          <w:rFonts w:ascii="Cambria" w:eastAsia="Times New Roman" w:hAnsi="Cambria" w:cs="Garamond"/>
          <w:sz w:val="20"/>
          <w:szCs w:val="20"/>
          <w:bdr w:val="none" w:sz="0" w:space="0" w:color="auto"/>
          <w:lang w:val="es-ES_tradnl"/>
        </w:rPr>
        <w:t xml:space="preserve">romover la reparación del daño moral de las víctimas y otorgar asistencia social y legal que requieran los familiares de éstas para acceder a los beneficios contemplados en </w:t>
      </w:r>
      <w:r w:rsidR="00BE1783" w:rsidRPr="00DC278B">
        <w:rPr>
          <w:rFonts w:ascii="Cambria" w:eastAsia="Times New Roman" w:hAnsi="Cambria" w:cs="Garamond"/>
          <w:sz w:val="20"/>
          <w:szCs w:val="20"/>
          <w:bdr w:val="none" w:sz="0" w:space="0" w:color="auto"/>
          <w:lang w:val="es-ES_tradnl"/>
        </w:rPr>
        <w:t>l</w:t>
      </w:r>
      <w:r w:rsidRPr="00DC278B">
        <w:rPr>
          <w:rFonts w:ascii="Cambria" w:eastAsia="Times New Roman" w:hAnsi="Cambria" w:cs="Garamond"/>
          <w:sz w:val="20"/>
          <w:szCs w:val="20"/>
          <w:bdr w:val="none" w:sz="0" w:space="0" w:color="auto"/>
          <w:lang w:val="es-ES_tradnl"/>
        </w:rPr>
        <w:t>a ley</w:t>
      </w:r>
      <w:r w:rsidR="002A0C80" w:rsidRPr="00DC278B">
        <w:rPr>
          <w:rFonts w:ascii="Cambria" w:eastAsia="Times New Roman" w:hAnsi="Cambria" w:cs="Garamond"/>
          <w:sz w:val="20"/>
          <w:szCs w:val="20"/>
          <w:bdr w:val="none" w:sz="0" w:space="0" w:color="auto"/>
          <w:vertAlign w:val="superscript"/>
          <w:lang w:val="es-ES_tradnl"/>
        </w:rPr>
        <w:footnoteReference w:id="31"/>
      </w:r>
      <w:r w:rsidRPr="00DC278B">
        <w:rPr>
          <w:rFonts w:ascii="Cambria" w:eastAsia="Times New Roman" w:hAnsi="Cambria" w:cs="Garamond"/>
          <w:sz w:val="20"/>
          <w:szCs w:val="20"/>
          <w:bdr w:val="none" w:sz="0" w:space="0" w:color="auto"/>
          <w:lang w:val="es-ES_tradnl"/>
        </w:rPr>
        <w:t>.</w:t>
      </w:r>
      <w:r w:rsidR="00D30856">
        <w:rPr>
          <w:rFonts w:ascii="Cambria" w:eastAsia="Times New Roman" w:hAnsi="Cambria" w:cs="Garamond"/>
          <w:sz w:val="20"/>
          <w:szCs w:val="20"/>
          <w:bdr w:val="none" w:sz="0" w:space="0" w:color="auto"/>
          <w:lang w:val="es-ES_tradnl"/>
        </w:rPr>
        <w:t xml:space="preserve"> </w:t>
      </w:r>
    </w:p>
    <w:p w:rsidR="008F1F8A" w:rsidRPr="00DC278B" w:rsidRDefault="008F1F8A"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Garamond"/>
          <w:sz w:val="20"/>
          <w:szCs w:val="20"/>
          <w:bdr w:val="none" w:sz="0" w:space="0" w:color="auto"/>
          <w:lang w:val="es-ES_tradnl"/>
        </w:rPr>
      </w:pPr>
    </w:p>
    <w:p w:rsidR="002A0C80" w:rsidRPr="00DC278B" w:rsidRDefault="002A0C8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r w:rsidRPr="00DC278B">
        <w:rPr>
          <w:rFonts w:ascii="Cambria" w:eastAsia="Times New Roman" w:hAnsi="Cambria" w:cs="Garamond"/>
          <w:sz w:val="20"/>
          <w:szCs w:val="20"/>
          <w:bdr w:val="none" w:sz="0" w:space="0" w:color="auto"/>
          <w:lang w:val="es-ES_tradnl"/>
        </w:rPr>
        <w:t>A tal efecto, se estableció una pensión mensual en beneficio de los familiares de las víctimas de violaciones a los derechos humanos o de la violencia política</w:t>
      </w:r>
      <w:r w:rsidRPr="00DC278B">
        <w:rPr>
          <w:rFonts w:ascii="Cambria" w:eastAsia="Times New Roman" w:hAnsi="Cambria" w:cs="Garamond"/>
          <w:sz w:val="20"/>
          <w:szCs w:val="20"/>
          <w:bdr w:val="none" w:sz="0" w:space="0" w:color="auto"/>
          <w:vertAlign w:val="superscript"/>
          <w:lang w:val="es-ES_tradnl"/>
        </w:rPr>
        <w:footnoteReference w:id="32"/>
      </w:r>
      <w:r w:rsidRPr="00DC278B">
        <w:rPr>
          <w:rFonts w:ascii="Cambria" w:eastAsia="Times New Roman" w:hAnsi="Cambria" w:cs="Garamond"/>
          <w:sz w:val="20"/>
          <w:szCs w:val="20"/>
          <w:bdr w:val="none" w:sz="0" w:space="0" w:color="auto"/>
          <w:lang w:val="es-ES_tradnl"/>
        </w:rPr>
        <w:t>, se les otorgó el derecho a recibir gratuitamente ciertos beneficios médicos</w:t>
      </w:r>
      <w:r w:rsidRPr="00DC278B">
        <w:rPr>
          <w:rFonts w:ascii="Cambria" w:eastAsia="Times New Roman" w:hAnsi="Cambria" w:cs="Garamond"/>
          <w:sz w:val="20"/>
          <w:szCs w:val="20"/>
          <w:bdr w:val="none" w:sz="0" w:space="0" w:color="auto"/>
          <w:vertAlign w:val="superscript"/>
          <w:lang w:val="es-ES_tradnl"/>
        </w:rPr>
        <w:footnoteReference w:id="33"/>
      </w:r>
      <w:r w:rsidRPr="00DC278B">
        <w:rPr>
          <w:rFonts w:ascii="Cambria" w:eastAsia="Times New Roman" w:hAnsi="Cambria" w:cs="Garamond"/>
          <w:sz w:val="20"/>
          <w:szCs w:val="20"/>
          <w:bdr w:val="none" w:sz="0" w:space="0" w:color="auto"/>
          <w:lang w:val="es-ES_tradnl"/>
        </w:rPr>
        <w:t xml:space="preserve"> y beneficios educacionales</w:t>
      </w:r>
      <w:r w:rsidRPr="00DC278B">
        <w:rPr>
          <w:rFonts w:ascii="Cambria" w:eastAsia="Times New Roman" w:hAnsi="Cambria" w:cs="Garamond"/>
          <w:sz w:val="20"/>
          <w:szCs w:val="20"/>
          <w:bdr w:val="none" w:sz="0" w:space="0" w:color="auto"/>
          <w:vertAlign w:val="superscript"/>
          <w:lang w:val="es-ES_tradnl"/>
        </w:rPr>
        <w:footnoteReference w:id="34"/>
      </w:r>
      <w:r w:rsidRPr="00DC278B">
        <w:rPr>
          <w:rFonts w:ascii="Cambria" w:eastAsia="Times New Roman" w:hAnsi="Cambria" w:cs="Garamond"/>
          <w:sz w:val="20"/>
          <w:szCs w:val="20"/>
          <w:bdr w:val="none" w:sz="0" w:space="0" w:color="auto"/>
          <w:lang w:val="es-ES_tradnl"/>
        </w:rPr>
        <w:t>, y se eximió a los hijos de las víctimas de realizar el servicio militar obligatorio, si así lo solicitaren</w:t>
      </w:r>
      <w:r w:rsidRPr="00DC278B">
        <w:rPr>
          <w:rFonts w:ascii="Cambria" w:eastAsia="Times New Roman" w:hAnsi="Cambria" w:cs="Garamond"/>
          <w:sz w:val="20"/>
          <w:szCs w:val="20"/>
          <w:bdr w:val="none" w:sz="0" w:space="0" w:color="auto"/>
          <w:vertAlign w:val="superscript"/>
          <w:lang w:val="es-ES_tradnl"/>
        </w:rPr>
        <w:footnoteReference w:id="35"/>
      </w:r>
      <w:r w:rsidRPr="00DC278B">
        <w:rPr>
          <w:rFonts w:ascii="Cambria" w:eastAsia="Times New Roman" w:hAnsi="Cambria" w:cs="Garamond"/>
          <w:sz w:val="20"/>
          <w:szCs w:val="20"/>
          <w:bdr w:val="none" w:sz="0" w:space="0" w:color="auto"/>
          <w:lang w:val="es-ES_tradnl"/>
        </w:rPr>
        <w:t>.</w:t>
      </w:r>
      <w:r w:rsidR="00D30856">
        <w:rPr>
          <w:rFonts w:ascii="Cambria" w:eastAsia="Times New Roman" w:hAnsi="Cambria" w:cs="Garamond"/>
          <w:sz w:val="20"/>
          <w:szCs w:val="20"/>
          <w:bdr w:val="none" w:sz="0" w:space="0" w:color="auto"/>
          <w:lang w:val="es-ES_tradnl"/>
        </w:rPr>
        <w:t xml:space="preserve"> </w:t>
      </w:r>
      <w:r w:rsidR="00BF03D8" w:rsidRPr="00DC278B">
        <w:rPr>
          <w:rFonts w:ascii="Cambria" w:eastAsia="Times New Roman" w:hAnsi="Cambria" w:cs="Garamond"/>
          <w:sz w:val="20"/>
          <w:szCs w:val="20"/>
          <w:bdr w:val="none" w:sz="0" w:space="0" w:color="auto"/>
          <w:lang w:val="es-ES_tradnl"/>
        </w:rPr>
        <w:t>Cabe señalar además que su artículo 24 de la citada ley establece que la pensión de reparación será compatible con cualquiera otra de cualquier carácter de que goce o pudiere corresponder al respectivo beneficiario.</w:t>
      </w:r>
    </w:p>
    <w:p w:rsidR="008F1F8A" w:rsidRPr="00DC278B" w:rsidRDefault="008F1F8A"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p>
    <w:p w:rsidR="004719E3" w:rsidRPr="00DC278B" w:rsidRDefault="00A411B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Por otro lado, e</w:t>
      </w:r>
      <w:r w:rsidR="004719E3" w:rsidRPr="00DC278B">
        <w:rPr>
          <w:rFonts w:ascii="Cambria" w:eastAsia="Times New Roman" w:hAnsi="Cambria"/>
          <w:sz w:val="20"/>
          <w:szCs w:val="20"/>
          <w:bdr w:val="none" w:sz="0" w:space="0" w:color="auto"/>
          <w:lang w:val="es-ES_tradnl"/>
        </w:rPr>
        <w:t xml:space="preserve">l 11 de noviembre de 2003 </w:t>
      </w:r>
      <w:r w:rsidR="003A6220" w:rsidRPr="00DC278B">
        <w:rPr>
          <w:rFonts w:ascii="Cambria" w:eastAsia="Times New Roman" w:hAnsi="Cambria"/>
          <w:sz w:val="20"/>
          <w:szCs w:val="20"/>
          <w:bdr w:val="none" w:sz="0" w:space="0" w:color="auto"/>
          <w:lang w:val="es-ES_tradnl"/>
        </w:rPr>
        <w:t xml:space="preserve">el Gobierno </w:t>
      </w:r>
      <w:r w:rsidR="00AF0DA1" w:rsidRPr="00DC278B">
        <w:rPr>
          <w:rFonts w:ascii="Cambria" w:eastAsia="Times New Roman" w:hAnsi="Cambria"/>
          <w:sz w:val="20"/>
          <w:szCs w:val="20"/>
          <w:bdr w:val="none" w:sz="0" w:space="0" w:color="auto"/>
          <w:lang w:val="es-ES_tradnl"/>
        </w:rPr>
        <w:t>creó</w:t>
      </w:r>
      <w:r w:rsidR="004719E3" w:rsidRPr="00DC278B">
        <w:rPr>
          <w:rFonts w:ascii="Cambria" w:eastAsia="Times New Roman" w:hAnsi="Cambria"/>
          <w:sz w:val="20"/>
          <w:szCs w:val="20"/>
          <w:bdr w:val="none" w:sz="0" w:space="0" w:color="auto"/>
          <w:lang w:val="es-ES_tradnl"/>
        </w:rPr>
        <w:t xml:space="preserve"> la Comisión </w:t>
      </w:r>
      <w:proofErr w:type="spellStart"/>
      <w:r w:rsidR="008A2B89" w:rsidRPr="00DC278B">
        <w:rPr>
          <w:rFonts w:ascii="Cambria" w:eastAsia="Times New Roman" w:hAnsi="Cambria"/>
          <w:sz w:val="20"/>
          <w:szCs w:val="20"/>
          <w:bdr w:val="none" w:sz="0" w:space="0" w:color="auto"/>
          <w:lang w:val="es-ES_tradnl"/>
        </w:rPr>
        <w:t>Val</w:t>
      </w:r>
      <w:r w:rsidR="003A6220" w:rsidRPr="00DC278B">
        <w:rPr>
          <w:rFonts w:ascii="Cambria" w:eastAsia="Times New Roman" w:hAnsi="Cambria"/>
          <w:sz w:val="20"/>
          <w:szCs w:val="20"/>
          <w:bdr w:val="none" w:sz="0" w:space="0" w:color="auto"/>
          <w:lang w:val="es-ES_tradnl"/>
        </w:rPr>
        <w:t>ech</w:t>
      </w:r>
      <w:proofErr w:type="spellEnd"/>
      <w:r w:rsidR="004719E3" w:rsidRPr="00DC278B">
        <w:rPr>
          <w:rFonts w:ascii="Cambria" w:eastAsia="Times New Roman" w:hAnsi="Cambria"/>
          <w:sz w:val="20"/>
          <w:szCs w:val="20"/>
          <w:bdr w:val="none" w:sz="0" w:space="0" w:color="auto"/>
          <w:lang w:val="es-ES_tradnl"/>
        </w:rPr>
        <w:t xml:space="preserve">, </w:t>
      </w:r>
      <w:r w:rsidR="002E67C3" w:rsidRPr="00DC278B">
        <w:rPr>
          <w:rFonts w:ascii="Cambria" w:eastAsia="Times New Roman" w:hAnsi="Cambria"/>
          <w:sz w:val="20"/>
          <w:szCs w:val="20"/>
          <w:bdr w:val="none" w:sz="0" w:space="0" w:color="auto"/>
          <w:lang w:val="es-ES_tradnl"/>
        </w:rPr>
        <w:t>mediante D.S.</w:t>
      </w:r>
      <w:r w:rsidR="003A6220" w:rsidRPr="00DC278B">
        <w:rPr>
          <w:rFonts w:ascii="Cambria" w:eastAsia="Times New Roman" w:hAnsi="Cambria"/>
          <w:sz w:val="20"/>
          <w:szCs w:val="20"/>
          <w:bdr w:val="none" w:sz="0" w:space="0" w:color="auto"/>
          <w:lang w:val="es-ES_tradnl"/>
        </w:rPr>
        <w:t xml:space="preserve"> No. 1.040, </w:t>
      </w:r>
      <w:r w:rsidR="004719E3" w:rsidRPr="00DC278B">
        <w:rPr>
          <w:rFonts w:ascii="Cambria" w:eastAsia="Times New Roman" w:hAnsi="Cambria"/>
          <w:sz w:val="20"/>
          <w:szCs w:val="20"/>
          <w:bdr w:val="none" w:sz="0" w:space="0" w:color="auto"/>
          <w:lang w:val="es-ES_tradnl"/>
        </w:rPr>
        <w:t xml:space="preserve">cuyo fin era </w:t>
      </w:r>
      <w:r w:rsidR="00CB6A15" w:rsidRPr="00DC278B">
        <w:rPr>
          <w:rFonts w:ascii="Cambria" w:eastAsia="Times New Roman" w:hAnsi="Cambria"/>
          <w:sz w:val="20"/>
          <w:szCs w:val="20"/>
          <w:bdr w:val="none" w:sz="0" w:space="0" w:color="auto"/>
          <w:lang w:val="es-ES_tradnl"/>
        </w:rPr>
        <w:t>determinar quiénes</w:t>
      </w:r>
      <w:r w:rsidR="004719E3" w:rsidRPr="00DC278B">
        <w:rPr>
          <w:rFonts w:ascii="Cambria" w:eastAsia="Times New Roman" w:hAnsi="Cambria"/>
          <w:sz w:val="20"/>
          <w:szCs w:val="20"/>
          <w:bdr w:val="none" w:sz="0" w:space="0" w:color="auto"/>
          <w:lang w:val="es-ES_tradnl"/>
        </w:rPr>
        <w:t xml:space="preserve"> fueron las personas que</w:t>
      </w:r>
      <w:r w:rsidR="00AF0DA1" w:rsidRPr="00DC278B">
        <w:rPr>
          <w:rFonts w:ascii="Cambria" w:eastAsia="Times New Roman" w:hAnsi="Cambria"/>
          <w:sz w:val="20"/>
          <w:szCs w:val="20"/>
          <w:bdr w:val="none" w:sz="0" w:space="0" w:color="auto"/>
          <w:lang w:val="es-ES_tradnl"/>
        </w:rPr>
        <w:t xml:space="preserve"> sufrieron privación de libertad</w:t>
      </w:r>
      <w:r w:rsidR="004719E3" w:rsidRPr="00DC278B">
        <w:rPr>
          <w:rFonts w:ascii="Cambria" w:eastAsia="Times New Roman" w:hAnsi="Cambria"/>
          <w:sz w:val="20"/>
          <w:szCs w:val="20"/>
          <w:bdr w:val="none" w:sz="0" w:space="0" w:color="auto"/>
          <w:lang w:val="es-ES_tradnl"/>
        </w:rPr>
        <w:t xml:space="preserve"> y tortura</w:t>
      </w:r>
      <w:r w:rsidR="003A6220" w:rsidRPr="00DC278B">
        <w:rPr>
          <w:rFonts w:ascii="Cambria" w:eastAsia="Times New Roman" w:hAnsi="Cambria"/>
          <w:sz w:val="20"/>
          <w:szCs w:val="20"/>
          <w:bdr w:val="none" w:sz="0" w:space="0" w:color="auto"/>
          <w:lang w:val="es-ES_tradnl"/>
        </w:rPr>
        <w:t>,</w:t>
      </w:r>
      <w:r w:rsidR="004719E3" w:rsidRPr="00DC278B">
        <w:rPr>
          <w:rFonts w:ascii="Cambria" w:eastAsia="Times New Roman" w:hAnsi="Cambria"/>
          <w:sz w:val="20"/>
          <w:szCs w:val="20"/>
          <w:bdr w:val="none" w:sz="0" w:space="0" w:color="auto"/>
          <w:lang w:val="es-ES_tradnl"/>
        </w:rPr>
        <w:t xml:space="preserve"> por razones</w:t>
      </w:r>
      <w:r w:rsidR="003A6220" w:rsidRPr="00DC278B">
        <w:rPr>
          <w:rFonts w:ascii="Cambria" w:eastAsia="Times New Roman" w:hAnsi="Cambria"/>
          <w:sz w:val="20"/>
          <w:szCs w:val="20"/>
          <w:bdr w:val="none" w:sz="0" w:space="0" w:color="auto"/>
          <w:lang w:val="es-ES_tradnl"/>
        </w:rPr>
        <w:t xml:space="preserve"> políticas</w:t>
      </w:r>
      <w:r w:rsidR="00AF0DA1" w:rsidRPr="00DC278B">
        <w:rPr>
          <w:rFonts w:ascii="Cambria" w:eastAsia="Times New Roman" w:hAnsi="Cambria"/>
          <w:sz w:val="20"/>
          <w:szCs w:val="20"/>
          <w:bdr w:val="none" w:sz="0" w:space="0" w:color="auto"/>
          <w:lang w:val="es-ES_tradnl"/>
        </w:rPr>
        <w:t>,</w:t>
      </w:r>
      <w:r w:rsidR="003A6220" w:rsidRPr="00DC278B">
        <w:rPr>
          <w:rFonts w:ascii="Cambria" w:eastAsia="Times New Roman" w:hAnsi="Cambria"/>
          <w:sz w:val="20"/>
          <w:szCs w:val="20"/>
          <w:bdr w:val="none" w:sz="0" w:space="0" w:color="auto"/>
          <w:lang w:val="es-ES_tradnl"/>
        </w:rPr>
        <w:t xml:space="preserve"> en el periodo de la d</w:t>
      </w:r>
      <w:r w:rsidR="004719E3" w:rsidRPr="00DC278B">
        <w:rPr>
          <w:rFonts w:ascii="Cambria" w:eastAsia="Times New Roman" w:hAnsi="Cambria"/>
          <w:sz w:val="20"/>
          <w:szCs w:val="20"/>
          <w:bdr w:val="none" w:sz="0" w:space="0" w:color="auto"/>
          <w:lang w:val="es-ES_tradnl"/>
        </w:rPr>
        <w:t>ictadura militar</w:t>
      </w:r>
      <w:r w:rsidR="00FA5957" w:rsidRPr="00DC278B">
        <w:rPr>
          <w:rFonts w:ascii="Cambria" w:eastAsia="Times New Roman" w:hAnsi="Cambria"/>
          <w:sz w:val="20"/>
          <w:szCs w:val="20"/>
          <w:bdr w:val="none" w:sz="0" w:space="0" w:color="auto"/>
          <w:lang w:val="es-ES_tradnl"/>
        </w:rPr>
        <w:t xml:space="preserve"> y proponer medidas de reparación</w:t>
      </w:r>
      <w:r w:rsidR="0025035A" w:rsidRPr="00DC278B">
        <w:rPr>
          <w:rFonts w:ascii="Cambria" w:eastAsia="Times New Roman" w:hAnsi="Cambria"/>
          <w:sz w:val="20"/>
          <w:szCs w:val="20"/>
          <w:bdr w:val="none" w:sz="0" w:space="0" w:color="auto"/>
          <w:lang w:val="es-ES_tradnl"/>
        </w:rPr>
        <w:t>,</w:t>
      </w:r>
      <w:r w:rsidR="00FA5957" w:rsidRPr="00DC278B">
        <w:rPr>
          <w:rFonts w:ascii="Cambria" w:eastAsia="Times New Roman" w:hAnsi="Cambria"/>
          <w:sz w:val="20"/>
          <w:szCs w:val="20"/>
          <w:bdr w:val="none" w:sz="0" w:space="0" w:color="auto"/>
          <w:lang w:val="es-ES_tradnl"/>
        </w:rPr>
        <w:t xml:space="preserve"> austeras y simbólicas para las víctimas</w:t>
      </w:r>
      <w:r w:rsidR="004719E3" w:rsidRPr="00DC278B">
        <w:rPr>
          <w:rFonts w:ascii="Cambria" w:eastAsia="Times New Roman" w:hAnsi="Cambria"/>
          <w:sz w:val="20"/>
          <w:szCs w:val="20"/>
          <w:bdr w:val="none" w:sz="0" w:space="0" w:color="auto"/>
          <w:vertAlign w:val="superscript"/>
          <w:lang w:val="es-ES_tradnl"/>
        </w:rPr>
        <w:footnoteReference w:id="36"/>
      </w:r>
      <w:r w:rsidR="004719E3" w:rsidRPr="00DC278B">
        <w:rPr>
          <w:rFonts w:ascii="Cambria" w:eastAsia="Times New Roman" w:hAnsi="Cambria"/>
          <w:sz w:val="20"/>
          <w:szCs w:val="20"/>
          <w:bdr w:val="none" w:sz="0" w:space="0" w:color="auto"/>
          <w:lang w:val="es-ES_tradnl"/>
        </w:rPr>
        <w:t>. Asimismo, la Comisión</w:t>
      </w:r>
      <w:r w:rsidR="008A2B89" w:rsidRPr="00DC278B">
        <w:rPr>
          <w:rFonts w:ascii="Cambria" w:eastAsia="Times New Roman" w:hAnsi="Cambria"/>
          <w:sz w:val="20"/>
          <w:szCs w:val="20"/>
          <w:bdr w:val="none" w:sz="0" w:space="0" w:color="auto"/>
          <w:lang w:val="es-ES_tradnl"/>
        </w:rPr>
        <w:t xml:space="preserve"> </w:t>
      </w:r>
      <w:proofErr w:type="spellStart"/>
      <w:r w:rsidR="008A2B89" w:rsidRPr="00DC278B">
        <w:rPr>
          <w:rFonts w:ascii="Cambria" w:eastAsia="Times New Roman" w:hAnsi="Cambria"/>
          <w:sz w:val="20"/>
          <w:szCs w:val="20"/>
          <w:bdr w:val="none" w:sz="0" w:space="0" w:color="auto"/>
          <w:lang w:val="es-ES_tradnl"/>
        </w:rPr>
        <w:t>Val</w:t>
      </w:r>
      <w:r w:rsidR="003A6220" w:rsidRPr="00DC278B">
        <w:rPr>
          <w:rFonts w:ascii="Cambria" w:eastAsia="Times New Roman" w:hAnsi="Cambria"/>
          <w:sz w:val="20"/>
          <w:szCs w:val="20"/>
          <w:bdr w:val="none" w:sz="0" w:space="0" w:color="auto"/>
          <w:lang w:val="es-ES_tradnl"/>
        </w:rPr>
        <w:t>ech</w:t>
      </w:r>
      <w:proofErr w:type="spellEnd"/>
      <w:r w:rsidR="003A6220" w:rsidRPr="00DC278B">
        <w:rPr>
          <w:rFonts w:ascii="Cambria" w:eastAsia="Times New Roman" w:hAnsi="Cambria"/>
          <w:sz w:val="20"/>
          <w:szCs w:val="20"/>
          <w:bdr w:val="none" w:sz="0" w:space="0" w:color="auto"/>
          <w:lang w:val="es-ES_tradnl"/>
        </w:rPr>
        <w:t>,</w:t>
      </w:r>
      <w:r w:rsidR="008F2478" w:rsidRPr="00DC278B">
        <w:rPr>
          <w:rFonts w:ascii="Cambria" w:eastAsia="Times New Roman" w:hAnsi="Cambria"/>
          <w:sz w:val="20"/>
          <w:szCs w:val="20"/>
          <w:bdr w:val="none" w:sz="0" w:space="0" w:color="auto"/>
          <w:lang w:val="es-ES_tradnl"/>
        </w:rPr>
        <w:t xml:space="preserve"> emitió un</w:t>
      </w:r>
      <w:r w:rsidR="004719E3" w:rsidRPr="00DC278B">
        <w:rPr>
          <w:rFonts w:ascii="Cambria" w:eastAsia="Times New Roman" w:hAnsi="Cambria"/>
          <w:sz w:val="20"/>
          <w:szCs w:val="20"/>
          <w:bdr w:val="none" w:sz="0" w:space="0" w:color="auto"/>
          <w:lang w:val="es-ES_tradnl"/>
        </w:rPr>
        <w:t xml:space="preserve"> informe final</w:t>
      </w:r>
      <w:r w:rsidR="003A6220" w:rsidRPr="00DC278B">
        <w:rPr>
          <w:rFonts w:ascii="Cambria" w:eastAsia="Times New Roman" w:hAnsi="Cambria"/>
          <w:sz w:val="20"/>
          <w:szCs w:val="20"/>
          <w:bdr w:val="none" w:sz="0" w:space="0" w:color="auto"/>
          <w:lang w:val="es-ES_tradnl"/>
        </w:rPr>
        <w:t>,</w:t>
      </w:r>
      <w:r w:rsidR="004719E3" w:rsidRPr="00DC278B">
        <w:rPr>
          <w:rFonts w:ascii="Cambria" w:eastAsia="Times New Roman" w:hAnsi="Cambria"/>
          <w:sz w:val="20"/>
          <w:szCs w:val="20"/>
          <w:bdr w:val="none" w:sz="0" w:space="0" w:color="auto"/>
          <w:lang w:val="es-ES_tradnl"/>
        </w:rPr>
        <w:t xml:space="preserve"> </w:t>
      </w:r>
      <w:r w:rsidR="008A2B89" w:rsidRPr="00DC278B">
        <w:rPr>
          <w:rFonts w:ascii="Cambria" w:eastAsia="Times New Roman" w:hAnsi="Cambria"/>
          <w:sz w:val="20"/>
          <w:szCs w:val="20"/>
          <w:bdr w:val="none" w:sz="0" w:space="0" w:color="auto"/>
          <w:lang w:val="es-ES_tradnl"/>
        </w:rPr>
        <w:t>publi</w:t>
      </w:r>
      <w:r w:rsidR="00FA5957" w:rsidRPr="00DC278B">
        <w:rPr>
          <w:rFonts w:ascii="Cambria" w:eastAsia="Times New Roman" w:hAnsi="Cambria"/>
          <w:sz w:val="20"/>
          <w:szCs w:val="20"/>
          <w:bdr w:val="none" w:sz="0" w:space="0" w:color="auto"/>
          <w:lang w:val="es-ES_tradnl"/>
        </w:rPr>
        <w:t>cado el 29 de noviembre de 2004</w:t>
      </w:r>
      <w:r w:rsidR="004719E3" w:rsidRPr="00DC278B">
        <w:rPr>
          <w:rFonts w:ascii="Cambria" w:eastAsia="Times New Roman" w:hAnsi="Cambria"/>
          <w:sz w:val="20"/>
          <w:szCs w:val="20"/>
          <w:bdr w:val="none" w:sz="0" w:space="0" w:color="auto"/>
          <w:vertAlign w:val="superscript"/>
          <w:lang w:val="es-ES_tradnl"/>
        </w:rPr>
        <w:footnoteReference w:id="37"/>
      </w:r>
      <w:r w:rsidR="004719E3" w:rsidRPr="00DC278B">
        <w:rPr>
          <w:rFonts w:ascii="Cambria" w:eastAsia="Times New Roman" w:hAnsi="Cambria"/>
          <w:sz w:val="20"/>
          <w:szCs w:val="20"/>
          <w:bdr w:val="none" w:sz="0" w:space="0" w:color="auto"/>
          <w:lang w:val="es-ES_tradnl"/>
        </w:rPr>
        <w:t>.</w:t>
      </w:r>
    </w:p>
    <w:p w:rsidR="00DE09A5" w:rsidRPr="00DC278B" w:rsidRDefault="00DE09A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7D33BB" w:rsidRPr="00DC278B" w:rsidRDefault="004719E3"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29 de octubre de 2004 se promulgó la Ley No. 19.980 que modificó la Ley No. 19.123, ampliando y estableciendo nuevos beneficios a favor de los familiares de las v</w:t>
      </w:r>
      <w:r w:rsidR="00F05752" w:rsidRPr="00DC278B">
        <w:rPr>
          <w:rFonts w:ascii="Cambria" w:eastAsia="Times New Roman" w:hAnsi="Cambria"/>
          <w:sz w:val="20"/>
          <w:szCs w:val="20"/>
          <w:bdr w:val="none" w:sz="0" w:space="0" w:color="auto"/>
          <w:lang w:val="es-ES_tradnl"/>
        </w:rPr>
        <w:t>íctimas, entre los que destacan:</w:t>
      </w:r>
      <w:r w:rsidRPr="00DC278B">
        <w:rPr>
          <w:rFonts w:ascii="Cambria" w:eastAsia="Times New Roman" w:hAnsi="Cambria"/>
          <w:sz w:val="20"/>
          <w:szCs w:val="20"/>
          <w:bdr w:val="none" w:sz="0" w:space="0" w:color="auto"/>
          <w:lang w:val="es-ES_tradnl"/>
        </w:rPr>
        <w:t xml:space="preserve"> el incremento del 50 por ciento del monto de la pensión de reparación mensual, </w:t>
      </w:r>
      <w:r w:rsidR="002D18B6" w:rsidRPr="00DC278B">
        <w:rPr>
          <w:rFonts w:ascii="Cambria" w:eastAsia="Times New Roman" w:hAnsi="Cambria"/>
          <w:sz w:val="20"/>
          <w:szCs w:val="20"/>
          <w:bdr w:val="none" w:sz="0" w:space="0" w:color="auto"/>
          <w:lang w:val="es-ES_tradnl"/>
        </w:rPr>
        <w:t>la concesión de un bono de reparación</w:t>
      </w:r>
      <w:r w:rsidR="002D18B6" w:rsidRPr="00DC278B">
        <w:rPr>
          <w:rStyle w:val="FootnoteReference"/>
          <w:rFonts w:ascii="Cambria" w:eastAsia="Times New Roman" w:hAnsi="Cambria"/>
          <w:sz w:val="20"/>
          <w:szCs w:val="20"/>
          <w:bdr w:val="none" w:sz="0" w:space="0" w:color="auto"/>
          <w:lang w:val="es-ES_tradnl"/>
        </w:rPr>
        <w:footnoteReference w:id="38"/>
      </w:r>
      <w:r w:rsidR="002D18B6"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la concesión al Presidente de la República de la facultad para otorgar un máximo de 200 pensiones de gracia y la ampliación de los beneficios en salud</w:t>
      </w:r>
      <w:r w:rsidRPr="00DC278B">
        <w:rPr>
          <w:rFonts w:ascii="Cambria" w:eastAsia="Times New Roman" w:hAnsi="Cambria"/>
          <w:sz w:val="20"/>
          <w:szCs w:val="20"/>
          <w:bdr w:val="none" w:sz="0" w:space="0" w:color="auto"/>
          <w:vertAlign w:val="superscript"/>
          <w:lang w:val="es-ES_tradnl"/>
        </w:rPr>
        <w:footnoteReference w:id="39"/>
      </w:r>
      <w:r w:rsidRPr="00DC278B">
        <w:rPr>
          <w:rFonts w:ascii="Cambria" w:eastAsia="Times New Roman" w:hAnsi="Cambria"/>
          <w:sz w:val="20"/>
          <w:szCs w:val="20"/>
          <w:bdr w:val="none" w:sz="0" w:space="0" w:color="auto"/>
          <w:lang w:val="es-ES_tradnl"/>
        </w:rPr>
        <w:t xml:space="preserve">. </w:t>
      </w:r>
    </w:p>
    <w:p w:rsidR="00DE09A5" w:rsidRPr="00DC278B" w:rsidRDefault="00DE09A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719E3" w:rsidRPr="00DC278B" w:rsidRDefault="004719E3"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Además de las citadas medidas d</w:t>
      </w:r>
      <w:r w:rsidR="003A6220" w:rsidRPr="00DC278B">
        <w:rPr>
          <w:rFonts w:ascii="Cambria" w:eastAsia="Times New Roman" w:hAnsi="Cambria"/>
          <w:sz w:val="20"/>
          <w:szCs w:val="20"/>
          <w:bdr w:val="none" w:sz="0" w:space="0" w:color="auto"/>
          <w:lang w:val="es-ES_tradnl"/>
        </w:rPr>
        <w:t xml:space="preserve">e reparación el Estado </w:t>
      </w:r>
      <w:r w:rsidR="00F84D44" w:rsidRPr="00DC278B">
        <w:rPr>
          <w:rFonts w:ascii="Cambria" w:eastAsia="Times New Roman" w:hAnsi="Cambria"/>
          <w:sz w:val="20"/>
          <w:szCs w:val="20"/>
          <w:bdr w:val="none" w:sz="0" w:space="0" w:color="auto"/>
          <w:lang w:val="es-ES_tradnl"/>
        </w:rPr>
        <w:t>creó e implementó</w:t>
      </w:r>
      <w:r w:rsidR="003A6220"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i) </w:t>
      </w:r>
      <w:r w:rsidR="003A6220" w:rsidRPr="00DC278B">
        <w:rPr>
          <w:rFonts w:ascii="Cambria" w:eastAsia="Times New Roman" w:hAnsi="Cambria"/>
          <w:sz w:val="20"/>
          <w:szCs w:val="20"/>
          <w:bdr w:val="none" w:sz="0" w:space="0" w:color="auto"/>
          <w:lang w:val="es-ES_tradnl"/>
        </w:rPr>
        <w:t xml:space="preserve">el Programa </w:t>
      </w:r>
      <w:r w:rsidRPr="00DC278B">
        <w:rPr>
          <w:rFonts w:ascii="Cambria" w:eastAsia="Times New Roman" w:hAnsi="Cambria"/>
          <w:sz w:val="20"/>
          <w:szCs w:val="20"/>
          <w:bdr w:val="none" w:sz="0" w:space="0" w:color="auto"/>
          <w:lang w:val="es-ES_tradnl"/>
        </w:rPr>
        <w:t>de Apoyo a los Presos Políticos que al 11 de marzo de 1990 se encontraban privad</w:t>
      </w:r>
      <w:r w:rsidR="003A6220" w:rsidRPr="00DC278B">
        <w:rPr>
          <w:rFonts w:ascii="Cambria" w:eastAsia="Times New Roman" w:hAnsi="Cambria"/>
          <w:sz w:val="20"/>
          <w:szCs w:val="20"/>
          <w:bdr w:val="none" w:sz="0" w:space="0" w:color="auto"/>
          <w:lang w:val="es-ES_tradnl"/>
        </w:rPr>
        <w:t>os de la libertad; ii) el PRAIS</w:t>
      </w:r>
      <w:r w:rsidRPr="00DC278B">
        <w:rPr>
          <w:rFonts w:ascii="Cambria" w:eastAsia="Times New Roman" w:hAnsi="Cambria"/>
          <w:sz w:val="20"/>
          <w:szCs w:val="20"/>
          <w:bdr w:val="none" w:sz="0" w:space="0" w:color="auto"/>
          <w:lang w:val="es-ES_tradnl"/>
        </w:rPr>
        <w:t xml:space="preserve">; iii) </w:t>
      </w:r>
      <w:r w:rsidR="003A6220" w:rsidRPr="00DC278B">
        <w:rPr>
          <w:rFonts w:ascii="Cambria" w:eastAsia="Times New Roman" w:hAnsi="Cambria"/>
          <w:sz w:val="20"/>
          <w:szCs w:val="20"/>
          <w:bdr w:val="none" w:sz="0" w:space="0" w:color="auto"/>
          <w:lang w:val="es-ES_tradnl"/>
        </w:rPr>
        <w:t xml:space="preserve">el Programa </w:t>
      </w:r>
      <w:r w:rsidRPr="00DC278B">
        <w:rPr>
          <w:rFonts w:ascii="Cambria" w:eastAsia="Times New Roman" w:hAnsi="Cambria"/>
          <w:sz w:val="20"/>
          <w:szCs w:val="20"/>
          <w:bdr w:val="none" w:sz="0" w:space="0" w:color="auto"/>
          <w:lang w:val="es-ES_tradnl"/>
        </w:rPr>
        <w:t xml:space="preserve">de Derechos Humanos del Ministerio del Interior; iv) mejoras tecnológicas al Servicio Médico Legal; v) la Oficina Nacional del Retorno; vi) el Programa para Exonerados Políticos; vii) la restitución o indemnización por bienes confiscados y adquiridos por </w:t>
      </w:r>
      <w:r w:rsidR="00F84D44" w:rsidRPr="00DC278B">
        <w:rPr>
          <w:rFonts w:ascii="Cambria" w:eastAsia="Times New Roman" w:hAnsi="Cambria"/>
          <w:sz w:val="20"/>
          <w:szCs w:val="20"/>
          <w:bdr w:val="none" w:sz="0" w:space="0" w:color="auto"/>
          <w:lang w:val="es-ES_tradnl"/>
        </w:rPr>
        <w:t xml:space="preserve">el Estado; viii) </w:t>
      </w:r>
      <w:r w:rsidRPr="00DC278B">
        <w:rPr>
          <w:rFonts w:ascii="Cambria" w:eastAsia="Times New Roman" w:hAnsi="Cambria"/>
          <w:sz w:val="20"/>
          <w:szCs w:val="20"/>
          <w:bdr w:val="none" w:sz="0" w:space="0" w:color="auto"/>
          <w:lang w:val="es-ES_tradnl"/>
        </w:rPr>
        <w:t>la Mesa de Diálogo sobre Derechos Humanos, y ix) la iniciativa presidencial “No hay mañana sin ayer” del Presidente Ricardo La</w:t>
      </w:r>
      <w:r w:rsidR="00B26FB4" w:rsidRPr="00DC278B">
        <w:rPr>
          <w:rFonts w:ascii="Cambria" w:eastAsia="Times New Roman" w:hAnsi="Cambria"/>
          <w:sz w:val="20"/>
          <w:szCs w:val="20"/>
          <w:bdr w:val="none" w:sz="0" w:space="0" w:color="auto"/>
          <w:lang w:val="es-ES_tradnl"/>
        </w:rPr>
        <w:t>gos</w:t>
      </w:r>
      <w:r w:rsidRPr="00DC278B">
        <w:rPr>
          <w:rFonts w:ascii="Cambria" w:eastAsia="Times New Roman" w:hAnsi="Cambria"/>
          <w:sz w:val="20"/>
          <w:szCs w:val="20"/>
          <w:bdr w:val="none" w:sz="0" w:space="0" w:color="auto"/>
          <w:vertAlign w:val="superscript"/>
          <w:lang w:val="es-ES_tradnl"/>
        </w:rPr>
        <w:footnoteReference w:id="40"/>
      </w:r>
      <w:r w:rsidR="00B26FB4" w:rsidRPr="00DC278B">
        <w:rPr>
          <w:rFonts w:ascii="Cambria" w:eastAsia="Times New Roman" w:hAnsi="Cambria"/>
          <w:sz w:val="20"/>
          <w:szCs w:val="20"/>
          <w:bdr w:val="none" w:sz="0" w:space="0" w:color="auto"/>
          <w:lang w:val="es-ES_tradnl"/>
        </w:rPr>
        <w:t>.</w:t>
      </w:r>
    </w:p>
    <w:p w:rsidR="000E7F36" w:rsidRPr="00DC278B" w:rsidRDefault="000E7F36" w:rsidP="00DC278B">
      <w:pPr>
        <w:rPr>
          <w:rFonts w:ascii="Cambria" w:eastAsia="Times New Roman" w:hAnsi="Cambria"/>
          <w:b/>
          <w:sz w:val="20"/>
          <w:szCs w:val="20"/>
          <w:bdr w:val="none" w:sz="0" w:space="0" w:color="auto"/>
          <w:lang w:val="es-ES_tradnl"/>
        </w:rPr>
      </w:pPr>
    </w:p>
    <w:p w:rsidR="002E11D8" w:rsidRPr="00DC278B" w:rsidRDefault="00E24E60" w:rsidP="00DC278B">
      <w:pPr>
        <w:pStyle w:val="Heading2"/>
      </w:pPr>
      <w:bookmarkStart w:id="19" w:name="_Toc413397472"/>
      <w:r w:rsidRPr="00DC278B">
        <w:t>B.</w:t>
      </w:r>
      <w:r w:rsidRPr="00DC278B">
        <w:tab/>
      </w:r>
      <w:r w:rsidR="00C72736" w:rsidRPr="00DC278B">
        <w:t>Normativa del Código Civil relevante</w:t>
      </w:r>
      <w:bookmarkEnd w:id="19"/>
    </w:p>
    <w:p w:rsidR="000B60D1" w:rsidRPr="00DC278B" w:rsidRDefault="000B60D1"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974F6" w:rsidRPr="00DC278B" w:rsidRDefault="00495F3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Código Civil de Chile</w:t>
      </w:r>
      <w:r w:rsidR="00B90EC1" w:rsidRPr="00DC278B">
        <w:rPr>
          <w:rFonts w:ascii="Cambria" w:eastAsia="Times New Roman" w:hAnsi="Cambria"/>
          <w:sz w:val="20"/>
          <w:szCs w:val="20"/>
          <w:bdr w:val="none" w:sz="0" w:space="0" w:color="auto"/>
          <w:lang w:val="es-ES_tradnl"/>
        </w:rPr>
        <w:t xml:space="preserve">, </w:t>
      </w:r>
      <w:r w:rsidR="00D974F6" w:rsidRPr="00DC278B">
        <w:rPr>
          <w:rFonts w:ascii="Cambria" w:eastAsia="Times New Roman" w:hAnsi="Cambria"/>
          <w:sz w:val="20"/>
          <w:szCs w:val="20"/>
          <w:bdr w:val="none" w:sz="0" w:space="0" w:color="auto"/>
          <w:lang w:val="es-ES_tradnl"/>
        </w:rPr>
        <w:t>en su Libro Cuarto De las Obligaciones en General y de los Contratos, Título XXXV De los Delitos y Cuasi Delitos, artículo 2332 establece que “[l]as acciones que concede este título por daño o dolo, prescriben en cuatro años contados desde la perpetración del acto”</w:t>
      </w:r>
      <w:r w:rsidR="00E054BE" w:rsidRPr="00DC278B">
        <w:rPr>
          <w:rStyle w:val="FootnoteReference"/>
          <w:rFonts w:ascii="Cambria" w:eastAsia="Times New Roman" w:hAnsi="Cambria"/>
          <w:sz w:val="20"/>
          <w:szCs w:val="20"/>
          <w:bdr w:val="none" w:sz="0" w:space="0" w:color="auto"/>
          <w:lang w:val="es-ES_tradnl"/>
        </w:rPr>
        <w:footnoteReference w:id="41"/>
      </w:r>
      <w:r w:rsidR="00D974F6" w:rsidRPr="00DC278B">
        <w:rPr>
          <w:rFonts w:ascii="Cambria" w:eastAsia="Times New Roman" w:hAnsi="Cambria"/>
          <w:sz w:val="20"/>
          <w:szCs w:val="20"/>
          <w:bdr w:val="none" w:sz="0" w:space="0" w:color="auto"/>
          <w:lang w:val="es-ES_tradnl"/>
        </w:rPr>
        <w:t>.</w:t>
      </w:r>
    </w:p>
    <w:p w:rsidR="00DE09A5" w:rsidRPr="00DC278B" w:rsidRDefault="00DE09A5"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B732CC" w:rsidRPr="00DC278B" w:rsidRDefault="00D974F6"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Asimismo, </w:t>
      </w:r>
      <w:r w:rsidR="00C9176B" w:rsidRPr="00DC278B">
        <w:rPr>
          <w:rFonts w:ascii="Cambria" w:eastAsia="Times New Roman" w:hAnsi="Cambria"/>
          <w:sz w:val="20"/>
          <w:szCs w:val="20"/>
          <w:bdr w:val="none" w:sz="0" w:space="0" w:color="auto"/>
          <w:lang w:val="es-ES_tradnl"/>
        </w:rPr>
        <w:t xml:space="preserve">en su </w:t>
      </w:r>
      <w:r w:rsidR="00495F35" w:rsidRPr="00DC278B">
        <w:rPr>
          <w:rFonts w:ascii="Cambria" w:eastAsia="Times New Roman" w:hAnsi="Cambria"/>
          <w:sz w:val="20"/>
          <w:szCs w:val="20"/>
          <w:bdr w:val="none" w:sz="0" w:space="0" w:color="auto"/>
          <w:lang w:val="es-ES_tradnl"/>
        </w:rPr>
        <w:t>T</w:t>
      </w:r>
      <w:r w:rsidR="00B732CC" w:rsidRPr="00DC278B">
        <w:rPr>
          <w:rFonts w:ascii="Cambria" w:eastAsia="Times New Roman" w:hAnsi="Cambria"/>
          <w:sz w:val="20"/>
          <w:szCs w:val="20"/>
          <w:bdr w:val="none" w:sz="0" w:space="0" w:color="auto"/>
          <w:lang w:val="es-ES_tradnl"/>
        </w:rPr>
        <w:t>ítulo XLII</w:t>
      </w:r>
      <w:r w:rsidR="00495F35" w:rsidRPr="00DC278B">
        <w:rPr>
          <w:rFonts w:ascii="Cambria" w:eastAsia="Times New Roman" w:hAnsi="Cambria"/>
          <w:sz w:val="20"/>
          <w:szCs w:val="20"/>
          <w:bdr w:val="none" w:sz="0" w:space="0" w:color="auto"/>
          <w:lang w:val="es-ES_tradnl"/>
        </w:rPr>
        <w:t xml:space="preserve"> “De la Prescripción”, artículo</w:t>
      </w:r>
      <w:r w:rsidR="00B732CC" w:rsidRPr="00DC278B">
        <w:rPr>
          <w:rFonts w:ascii="Cambria" w:eastAsia="Times New Roman" w:hAnsi="Cambria"/>
          <w:sz w:val="20"/>
          <w:szCs w:val="20"/>
          <w:bdr w:val="none" w:sz="0" w:space="0" w:color="auto"/>
          <w:lang w:val="es-ES_tradnl"/>
        </w:rPr>
        <w:t xml:space="preserve"> 2514</w:t>
      </w:r>
      <w:r w:rsidR="00495F35" w:rsidRPr="00DC278B">
        <w:rPr>
          <w:rFonts w:ascii="Cambria" w:eastAsia="Times New Roman" w:hAnsi="Cambria"/>
          <w:sz w:val="20"/>
          <w:szCs w:val="20"/>
          <w:bdr w:val="none" w:sz="0" w:space="0" w:color="auto"/>
          <w:lang w:val="es-ES_tradnl"/>
        </w:rPr>
        <w:t xml:space="preserve"> establece</w:t>
      </w:r>
      <w:r w:rsidRPr="00DC278B">
        <w:rPr>
          <w:rFonts w:ascii="Cambria" w:eastAsia="Times New Roman" w:hAnsi="Cambria"/>
          <w:sz w:val="20"/>
          <w:szCs w:val="20"/>
          <w:bdr w:val="none" w:sz="0" w:space="0" w:color="auto"/>
          <w:lang w:val="es-ES_tradnl"/>
        </w:rPr>
        <w:t xml:space="preserve"> que “[l]</w:t>
      </w:r>
      <w:r w:rsidR="00B732CC" w:rsidRPr="00DC278B">
        <w:rPr>
          <w:rFonts w:ascii="Cambria" w:eastAsia="Times New Roman" w:hAnsi="Cambria"/>
          <w:sz w:val="20"/>
          <w:szCs w:val="20"/>
          <w:bdr w:val="none" w:sz="0" w:space="0" w:color="auto"/>
          <w:lang w:val="es-ES_tradnl"/>
        </w:rPr>
        <w:t>a prescripción que extingue las acciones y derechos ajenos exige solamente cierto lapso de tiempo, durante el cual no se hayan ejercido dichas acciones. Se cuenta este tiempo desde que la obligación se haya hecho exigible</w:t>
      </w:r>
      <w:r w:rsidRPr="00DC278B">
        <w:rPr>
          <w:rFonts w:ascii="Cambria" w:eastAsia="Times New Roman" w:hAnsi="Cambria"/>
          <w:sz w:val="20"/>
          <w:szCs w:val="20"/>
          <w:bdr w:val="none" w:sz="0" w:space="0" w:color="auto"/>
          <w:lang w:val="es-ES_tradnl"/>
        </w:rPr>
        <w:t>”</w:t>
      </w:r>
      <w:r w:rsidR="00B732CC" w:rsidRPr="00DC278B">
        <w:rPr>
          <w:rFonts w:ascii="Cambria" w:eastAsia="Times New Roman" w:hAnsi="Cambria"/>
          <w:sz w:val="20"/>
          <w:szCs w:val="20"/>
          <w:bdr w:val="none" w:sz="0" w:space="0" w:color="auto"/>
          <w:lang w:val="es-ES_tradnl"/>
        </w:rPr>
        <w:t>.</w:t>
      </w:r>
    </w:p>
    <w:p w:rsidR="00DE09A5" w:rsidRPr="00DC278B" w:rsidRDefault="00DE09A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E07F44" w:rsidRPr="00DC278B" w:rsidRDefault="00C9176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w:t>
      </w:r>
      <w:r w:rsidR="00495F35" w:rsidRPr="00DC278B">
        <w:rPr>
          <w:rFonts w:ascii="Cambria" w:eastAsia="Times New Roman" w:hAnsi="Cambria"/>
          <w:sz w:val="20"/>
          <w:szCs w:val="20"/>
          <w:bdr w:val="none" w:sz="0" w:space="0" w:color="auto"/>
          <w:lang w:val="es-ES_tradnl"/>
        </w:rPr>
        <w:t xml:space="preserve">n su </w:t>
      </w:r>
      <w:r w:rsidR="00C72736" w:rsidRPr="00DC278B">
        <w:rPr>
          <w:rFonts w:ascii="Cambria" w:eastAsia="Times New Roman" w:hAnsi="Cambria"/>
          <w:sz w:val="20"/>
          <w:szCs w:val="20"/>
          <w:bdr w:val="none" w:sz="0" w:space="0" w:color="auto"/>
          <w:lang w:val="es-ES_tradnl"/>
        </w:rPr>
        <w:t xml:space="preserve">artículo 2515 </w:t>
      </w:r>
      <w:r w:rsidRPr="00DC278B">
        <w:rPr>
          <w:rFonts w:ascii="Cambria" w:eastAsia="Times New Roman" w:hAnsi="Cambria"/>
          <w:sz w:val="20"/>
          <w:szCs w:val="20"/>
          <w:bdr w:val="none" w:sz="0" w:space="0" w:color="auto"/>
          <w:lang w:val="es-ES_tradnl"/>
        </w:rPr>
        <w:t>complementa</w:t>
      </w:r>
      <w:r w:rsidR="00C72736" w:rsidRPr="00DC278B">
        <w:rPr>
          <w:rFonts w:ascii="Cambria" w:eastAsia="Times New Roman" w:hAnsi="Cambria"/>
          <w:sz w:val="20"/>
          <w:szCs w:val="20"/>
          <w:bdr w:val="none" w:sz="0" w:space="0" w:color="auto"/>
          <w:lang w:val="es-ES_tradnl"/>
        </w:rPr>
        <w:t xml:space="preserve"> </w:t>
      </w:r>
      <w:r w:rsidR="00D974F6" w:rsidRPr="00DC278B">
        <w:rPr>
          <w:rFonts w:ascii="Cambria" w:eastAsia="Times New Roman" w:hAnsi="Cambria"/>
          <w:sz w:val="20"/>
          <w:szCs w:val="20"/>
          <w:bdr w:val="none" w:sz="0" w:space="0" w:color="auto"/>
          <w:lang w:val="es-ES_tradnl"/>
        </w:rPr>
        <w:t>que “[e]</w:t>
      </w:r>
      <w:proofErr w:type="spellStart"/>
      <w:r w:rsidR="00B732CC" w:rsidRPr="00DC278B">
        <w:rPr>
          <w:rFonts w:ascii="Cambria" w:eastAsia="Times New Roman" w:hAnsi="Cambria"/>
          <w:sz w:val="20"/>
          <w:szCs w:val="20"/>
          <w:bdr w:val="none" w:sz="0" w:space="0" w:color="auto"/>
          <w:lang w:val="es-ES_tradnl"/>
        </w:rPr>
        <w:t>ste</w:t>
      </w:r>
      <w:proofErr w:type="spellEnd"/>
      <w:r w:rsidR="00B732CC" w:rsidRPr="00DC278B">
        <w:rPr>
          <w:rFonts w:ascii="Cambria" w:eastAsia="Times New Roman" w:hAnsi="Cambria"/>
          <w:sz w:val="20"/>
          <w:szCs w:val="20"/>
          <w:bdr w:val="none" w:sz="0" w:space="0" w:color="auto"/>
          <w:lang w:val="es-ES_tradnl"/>
        </w:rPr>
        <w:t xml:space="preserve"> tiempo es en general de tres años para las acciones ejecutivas y de cinco para las ordinarias. La acción ejecutiva se convierte en ordinaria por el lapso de tres años, y convertida en ordinaria durará solamente otros dos</w:t>
      </w:r>
      <w:r w:rsidR="00D974F6" w:rsidRPr="00DC278B">
        <w:rPr>
          <w:rFonts w:ascii="Cambria" w:eastAsia="Times New Roman" w:hAnsi="Cambria"/>
          <w:sz w:val="20"/>
          <w:szCs w:val="20"/>
          <w:bdr w:val="none" w:sz="0" w:space="0" w:color="auto"/>
          <w:lang w:val="es-ES_tradnl"/>
        </w:rPr>
        <w:t>”</w:t>
      </w:r>
      <w:r w:rsidR="00B732CC" w:rsidRPr="00DC278B">
        <w:rPr>
          <w:rFonts w:ascii="Cambria" w:eastAsia="Times New Roman" w:hAnsi="Cambria"/>
          <w:sz w:val="20"/>
          <w:szCs w:val="20"/>
          <w:bdr w:val="none" w:sz="0" w:space="0" w:color="auto"/>
          <w:lang w:val="es-ES_tradnl"/>
        </w:rPr>
        <w:t>.</w:t>
      </w:r>
    </w:p>
    <w:p w:rsidR="00E07F44" w:rsidRPr="00DC278B" w:rsidRDefault="00E07F44"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2E11D8" w:rsidRPr="00DC278B" w:rsidRDefault="00E24E60" w:rsidP="00DC278B">
      <w:pPr>
        <w:pStyle w:val="Heading2"/>
      </w:pPr>
      <w:bookmarkStart w:id="20" w:name="_Toc413397473"/>
      <w:r w:rsidRPr="00DC278B">
        <w:t>C.</w:t>
      </w:r>
      <w:r w:rsidRPr="00DC278B">
        <w:tab/>
      </w:r>
      <w:r w:rsidR="005E63E4" w:rsidRPr="00DC278B">
        <w:t xml:space="preserve">Situación de </w:t>
      </w:r>
      <w:r w:rsidR="007301C7" w:rsidRPr="00DC278B">
        <w:t xml:space="preserve">María </w:t>
      </w:r>
      <w:r w:rsidR="00E07F44" w:rsidRPr="00DC278B">
        <w:t>Órdenes</w:t>
      </w:r>
      <w:r w:rsidR="007301C7" w:rsidRPr="00DC278B">
        <w:t xml:space="preserve"> </w:t>
      </w:r>
      <w:r w:rsidR="008902F5" w:rsidRPr="00DC278B">
        <w:t xml:space="preserve">e hijos </w:t>
      </w:r>
      <w:r w:rsidR="007301C7" w:rsidRPr="00DC278B">
        <w:t xml:space="preserve">y </w:t>
      </w:r>
      <w:r w:rsidR="005E63E4" w:rsidRPr="00DC278B">
        <w:t>su causa</w:t>
      </w:r>
      <w:r w:rsidR="007301C7" w:rsidRPr="00DC278B">
        <w:t xml:space="preserve"> </w:t>
      </w:r>
      <w:r w:rsidR="002E11D8" w:rsidRPr="00DC278B">
        <w:t>con</w:t>
      </w:r>
      <w:r w:rsidR="00CB7019" w:rsidRPr="00DC278B">
        <w:t>tra</w:t>
      </w:r>
      <w:r w:rsidR="002E11D8" w:rsidRPr="00DC278B">
        <w:t xml:space="preserve"> </w:t>
      </w:r>
      <w:r w:rsidR="00F640C5" w:rsidRPr="00DC278B">
        <w:t xml:space="preserve">el </w:t>
      </w:r>
      <w:r w:rsidR="002E11D8" w:rsidRPr="00DC278B">
        <w:t>Fisco de Chile</w:t>
      </w:r>
      <w:bookmarkEnd w:id="20"/>
    </w:p>
    <w:p w:rsidR="005A46A2" w:rsidRPr="00DC278B" w:rsidRDefault="005A46A2" w:rsidP="00DC278B">
      <w:pPr>
        <w:rPr>
          <w:rFonts w:ascii="Cambria" w:hAnsi="Cambria"/>
          <w:sz w:val="20"/>
          <w:szCs w:val="20"/>
          <w:lang w:val="es-ES_tradnl"/>
        </w:rPr>
      </w:pPr>
    </w:p>
    <w:p w:rsidR="00FA4293" w:rsidRPr="00DC278B" w:rsidRDefault="00EE1F51"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Según</w:t>
      </w:r>
      <w:r w:rsidR="00316517" w:rsidRPr="00DC278B">
        <w:rPr>
          <w:rFonts w:ascii="Cambria" w:eastAsia="Times New Roman" w:hAnsi="Cambria"/>
          <w:sz w:val="20"/>
          <w:szCs w:val="20"/>
          <w:bdr w:val="none" w:sz="0" w:space="0" w:color="auto"/>
          <w:lang w:val="es-ES_tradnl"/>
        </w:rPr>
        <w:t xml:space="preserve"> el Informe </w:t>
      </w:r>
      <w:r w:rsidR="00793CB7" w:rsidRPr="00DC278B">
        <w:rPr>
          <w:rFonts w:ascii="Cambria" w:eastAsia="Times New Roman" w:hAnsi="Cambria"/>
          <w:sz w:val="20"/>
          <w:szCs w:val="20"/>
          <w:bdr w:val="none" w:sz="0" w:space="0" w:color="auto"/>
          <w:lang w:val="es-ES_tradnl"/>
        </w:rPr>
        <w:t xml:space="preserve">de la Comisión </w:t>
      </w:r>
      <w:proofErr w:type="spellStart"/>
      <w:r w:rsidR="00316517" w:rsidRPr="00DC278B">
        <w:rPr>
          <w:rFonts w:ascii="Cambria" w:eastAsia="Times New Roman" w:hAnsi="Cambria"/>
          <w:sz w:val="20"/>
          <w:szCs w:val="20"/>
          <w:bdr w:val="none" w:sz="0" w:space="0" w:color="auto"/>
          <w:lang w:val="es-ES_tradnl"/>
        </w:rPr>
        <w:t>Rettig</w:t>
      </w:r>
      <w:proofErr w:type="spellEnd"/>
      <w:r w:rsidR="00C13281" w:rsidRPr="00DC278B">
        <w:rPr>
          <w:rFonts w:ascii="Cambria" w:eastAsia="Times New Roman" w:hAnsi="Cambria"/>
          <w:sz w:val="20"/>
          <w:szCs w:val="20"/>
          <w:bdr w:val="none" w:sz="0" w:space="0" w:color="auto"/>
          <w:lang w:val="es-ES_tradnl"/>
        </w:rPr>
        <w:t>,</w:t>
      </w:r>
      <w:r w:rsidR="00316517" w:rsidRPr="00DC278B">
        <w:rPr>
          <w:rFonts w:ascii="Cambria" w:eastAsia="Times New Roman" w:hAnsi="Cambria"/>
          <w:sz w:val="20"/>
          <w:szCs w:val="20"/>
          <w:bdr w:val="none" w:sz="0" w:space="0" w:color="auto"/>
          <w:lang w:val="es-ES_tradnl"/>
        </w:rPr>
        <w:t xml:space="preserve"> e</w:t>
      </w:r>
      <w:r w:rsidR="005A46A2" w:rsidRPr="00DC278B">
        <w:rPr>
          <w:rFonts w:ascii="Cambria" w:eastAsia="Times New Roman" w:hAnsi="Cambria"/>
          <w:sz w:val="20"/>
          <w:szCs w:val="20"/>
          <w:bdr w:val="none" w:sz="0" w:space="0" w:color="auto"/>
          <w:lang w:val="es-ES_tradnl"/>
        </w:rPr>
        <w:t>l 17 de septiembre de</w:t>
      </w:r>
      <w:r w:rsidR="00C13281" w:rsidRPr="00DC278B">
        <w:rPr>
          <w:rFonts w:ascii="Cambria" w:eastAsia="Times New Roman" w:hAnsi="Cambria"/>
          <w:sz w:val="20"/>
          <w:szCs w:val="20"/>
          <w:bdr w:val="none" w:sz="0" w:space="0" w:color="auto"/>
          <w:lang w:val="es-ES_tradnl"/>
        </w:rPr>
        <w:t xml:space="preserve"> 1973, Augusto </w:t>
      </w:r>
      <w:proofErr w:type="spellStart"/>
      <w:r w:rsidR="00C13281" w:rsidRPr="00DC278B">
        <w:rPr>
          <w:rFonts w:ascii="Cambria" w:eastAsia="Times New Roman" w:hAnsi="Cambria"/>
          <w:sz w:val="20"/>
          <w:szCs w:val="20"/>
          <w:bdr w:val="none" w:sz="0" w:space="0" w:color="auto"/>
          <w:lang w:val="es-ES_tradnl"/>
        </w:rPr>
        <w:t>Alcayaga</w:t>
      </w:r>
      <w:proofErr w:type="spellEnd"/>
      <w:r w:rsidR="005A46A2" w:rsidRPr="00DC278B">
        <w:rPr>
          <w:rFonts w:ascii="Cambria" w:eastAsia="Times New Roman" w:hAnsi="Cambria"/>
          <w:sz w:val="20"/>
          <w:szCs w:val="20"/>
          <w:bdr w:val="none" w:sz="0" w:space="0" w:color="auto"/>
          <w:lang w:val="es-ES_tradnl"/>
        </w:rPr>
        <w:t xml:space="preserve">, </w:t>
      </w:r>
      <w:r w:rsidR="00C433C4" w:rsidRPr="00DC278B">
        <w:rPr>
          <w:rFonts w:ascii="Cambria" w:eastAsia="Times New Roman" w:hAnsi="Cambria"/>
          <w:sz w:val="20"/>
          <w:szCs w:val="20"/>
          <w:bdr w:val="none" w:sz="0" w:space="0" w:color="auto"/>
          <w:lang w:val="es-ES_tradnl"/>
        </w:rPr>
        <w:t xml:space="preserve">militante del partido radical, </w:t>
      </w:r>
      <w:r w:rsidR="005A46A2" w:rsidRPr="00DC278B">
        <w:rPr>
          <w:rFonts w:ascii="Cambria" w:eastAsia="Times New Roman" w:hAnsi="Cambria"/>
          <w:sz w:val="20"/>
          <w:szCs w:val="20"/>
          <w:bdr w:val="none" w:sz="0" w:space="0" w:color="auto"/>
          <w:lang w:val="es-ES_tradnl"/>
        </w:rPr>
        <w:t xml:space="preserve">presidente del Sindicato de Trabajadores de la Empresa </w:t>
      </w:r>
      <w:proofErr w:type="spellStart"/>
      <w:r w:rsidR="005A46A2" w:rsidRPr="00DC278B">
        <w:rPr>
          <w:rFonts w:ascii="Cambria" w:eastAsia="Times New Roman" w:hAnsi="Cambria"/>
          <w:sz w:val="20"/>
          <w:szCs w:val="20"/>
          <w:bdr w:val="none" w:sz="0" w:space="0" w:color="auto"/>
          <w:lang w:val="es-ES_tradnl"/>
        </w:rPr>
        <w:t>Elecmetal</w:t>
      </w:r>
      <w:proofErr w:type="spellEnd"/>
      <w:r w:rsidR="005A46A2" w:rsidRPr="00DC278B">
        <w:rPr>
          <w:rFonts w:ascii="Cambria" w:eastAsia="Times New Roman" w:hAnsi="Cambria"/>
          <w:sz w:val="20"/>
          <w:szCs w:val="20"/>
          <w:bdr w:val="none" w:sz="0" w:space="0" w:color="auto"/>
          <w:lang w:val="es-ES_tradnl"/>
        </w:rPr>
        <w:t>,</w:t>
      </w:r>
      <w:r w:rsidR="00C433C4" w:rsidRPr="00DC278B">
        <w:rPr>
          <w:rFonts w:ascii="Cambria" w:eastAsia="Times New Roman" w:hAnsi="Cambria"/>
          <w:sz w:val="20"/>
          <w:szCs w:val="20"/>
          <w:bdr w:val="none" w:sz="0" w:space="0" w:color="auto"/>
          <w:lang w:val="es-ES_tradnl"/>
        </w:rPr>
        <w:t xml:space="preserve"> fue detenido al interior de la empresa por un contingente de carabineros y militares, fue ejecutado por agentes del Estado</w:t>
      </w:r>
      <w:r w:rsidR="00C13281" w:rsidRPr="00DC278B">
        <w:rPr>
          <w:rFonts w:ascii="Cambria" w:eastAsia="Times New Roman" w:hAnsi="Cambria"/>
          <w:sz w:val="20"/>
          <w:szCs w:val="20"/>
          <w:bdr w:val="none" w:sz="0" w:space="0" w:color="auto"/>
          <w:lang w:val="es-ES_tradnl"/>
        </w:rPr>
        <w:t>,</w:t>
      </w:r>
      <w:r w:rsidR="00C433C4" w:rsidRPr="00DC278B">
        <w:rPr>
          <w:rFonts w:ascii="Cambria" w:eastAsia="Times New Roman" w:hAnsi="Cambria"/>
          <w:sz w:val="20"/>
          <w:szCs w:val="20"/>
          <w:bdr w:val="none" w:sz="0" w:space="0" w:color="auto"/>
          <w:lang w:val="es-ES_tradnl"/>
        </w:rPr>
        <w:t xml:space="preserve"> el 18 de septiembre del mismo año y su cuerpo fue encontrado en la vía pública</w:t>
      </w:r>
      <w:r w:rsidR="00C13281" w:rsidRPr="00DC278B">
        <w:rPr>
          <w:rFonts w:ascii="Cambria" w:eastAsia="Times New Roman" w:hAnsi="Cambria"/>
          <w:sz w:val="20"/>
          <w:szCs w:val="20"/>
          <w:bdr w:val="none" w:sz="0" w:space="0" w:color="auto"/>
          <w:lang w:val="es-ES_tradnl"/>
        </w:rPr>
        <w:t xml:space="preserve"> con heridas de bala</w:t>
      </w:r>
      <w:r w:rsidR="005A46A2" w:rsidRPr="00DC278B">
        <w:rPr>
          <w:rFonts w:ascii="Cambria" w:eastAsia="Calibri" w:hAnsi="Cambria"/>
          <w:sz w:val="20"/>
          <w:szCs w:val="20"/>
          <w:bdr w:val="none" w:sz="0" w:space="0" w:color="auto"/>
          <w:vertAlign w:val="superscript"/>
          <w:lang w:val="es-CO"/>
        </w:rPr>
        <w:footnoteReference w:id="42"/>
      </w:r>
      <w:r w:rsidR="00D30856">
        <w:rPr>
          <w:rFonts w:ascii="Cambria" w:eastAsia="Times New Roman" w:hAnsi="Cambria"/>
          <w:sz w:val="20"/>
          <w:szCs w:val="20"/>
          <w:bdr w:val="none" w:sz="0" w:space="0" w:color="auto"/>
          <w:lang w:val="es-ES_tradnl"/>
        </w:rPr>
        <w:t xml:space="preserve">. </w:t>
      </w:r>
      <w:r w:rsidR="005A545C" w:rsidRPr="00DC278B">
        <w:rPr>
          <w:rFonts w:ascii="Cambria" w:eastAsia="Times New Roman" w:hAnsi="Cambria"/>
          <w:sz w:val="20"/>
          <w:szCs w:val="20"/>
          <w:bdr w:val="none" w:sz="0" w:space="0" w:color="auto"/>
          <w:lang w:val="es-ES_tradnl"/>
        </w:rPr>
        <w:t>En febrero de 1991, l</w:t>
      </w:r>
      <w:r w:rsidR="006F241B" w:rsidRPr="00DC278B">
        <w:rPr>
          <w:rFonts w:ascii="Cambria" w:eastAsia="Times New Roman" w:hAnsi="Cambria"/>
          <w:sz w:val="20"/>
          <w:szCs w:val="20"/>
          <w:bdr w:val="none" w:sz="0" w:space="0" w:color="auto"/>
          <w:lang w:val="es-ES_tradnl"/>
        </w:rPr>
        <w:t xml:space="preserve">a Comisión </w:t>
      </w:r>
      <w:proofErr w:type="spellStart"/>
      <w:r w:rsidR="006F241B" w:rsidRPr="00DC278B">
        <w:rPr>
          <w:rFonts w:ascii="Cambria" w:eastAsia="Times New Roman" w:hAnsi="Cambria"/>
          <w:sz w:val="20"/>
          <w:szCs w:val="20"/>
          <w:bdr w:val="none" w:sz="0" w:space="0" w:color="auto"/>
          <w:lang w:val="es-ES_tradnl"/>
        </w:rPr>
        <w:t>Rettig</w:t>
      </w:r>
      <w:proofErr w:type="spellEnd"/>
      <w:r w:rsidR="006F241B" w:rsidRPr="00DC278B">
        <w:rPr>
          <w:rFonts w:ascii="Cambria" w:eastAsia="Times New Roman" w:hAnsi="Cambria"/>
          <w:sz w:val="20"/>
          <w:szCs w:val="20"/>
          <w:bdr w:val="none" w:sz="0" w:space="0" w:color="auto"/>
          <w:lang w:val="es-ES_tradnl"/>
        </w:rPr>
        <w:t xml:space="preserve"> consider</w:t>
      </w:r>
      <w:r w:rsidR="005A545C" w:rsidRPr="00DC278B">
        <w:rPr>
          <w:rFonts w:ascii="Cambria" w:eastAsia="Times New Roman" w:hAnsi="Cambria"/>
          <w:sz w:val="20"/>
          <w:szCs w:val="20"/>
          <w:bdr w:val="none" w:sz="0" w:space="0" w:color="auto"/>
          <w:lang w:val="es-ES_tradnl"/>
        </w:rPr>
        <w:t>ó que estos</w:t>
      </w:r>
      <w:r w:rsidR="006F241B" w:rsidRPr="00DC278B">
        <w:rPr>
          <w:rFonts w:ascii="Cambria" w:eastAsia="Times New Roman" w:hAnsi="Cambria"/>
          <w:sz w:val="20"/>
          <w:szCs w:val="20"/>
          <w:bdr w:val="none" w:sz="0" w:space="0" w:color="auto"/>
          <w:lang w:val="es-ES_tradnl"/>
        </w:rPr>
        <w:t xml:space="preserve"> hechos constituyen una violación de los derechos fundamentales al margen de todo proceso y justificación</w:t>
      </w:r>
      <w:r w:rsidR="007146D8" w:rsidRPr="00DC278B">
        <w:rPr>
          <w:rFonts w:ascii="Cambria" w:eastAsia="Calibri" w:hAnsi="Cambria"/>
          <w:sz w:val="20"/>
          <w:szCs w:val="20"/>
          <w:bdr w:val="none" w:sz="0" w:space="0" w:color="auto"/>
          <w:vertAlign w:val="superscript"/>
          <w:lang w:val="es-CO"/>
        </w:rPr>
        <w:footnoteReference w:id="43"/>
      </w:r>
      <w:r w:rsidR="002878DF">
        <w:rPr>
          <w:rFonts w:ascii="Cambria" w:eastAsia="Times New Roman" w:hAnsi="Cambria"/>
          <w:sz w:val="20"/>
          <w:szCs w:val="20"/>
          <w:bdr w:val="none" w:sz="0" w:space="0" w:color="auto"/>
          <w:lang w:val="es-ES_tradnl"/>
        </w:rPr>
        <w:t>.</w:t>
      </w:r>
    </w:p>
    <w:p w:rsidR="00DE09A5" w:rsidRPr="00DC278B" w:rsidRDefault="00DE09A5"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91D12" w:rsidRPr="00DC278B" w:rsidRDefault="00802E76"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Mediante la Ley 19.123</w:t>
      </w:r>
      <w:r w:rsidR="009C3BA8" w:rsidRPr="00DC278B">
        <w:rPr>
          <w:rFonts w:ascii="Cambria" w:eastAsia="Times New Roman" w:hAnsi="Cambria"/>
          <w:sz w:val="20"/>
          <w:szCs w:val="20"/>
          <w:bdr w:val="none" w:sz="0" w:space="0" w:color="auto"/>
          <w:lang w:val="es-ES_tradnl"/>
        </w:rPr>
        <w:t xml:space="preserve"> de </w:t>
      </w:r>
      <w:r w:rsidR="00132556" w:rsidRPr="00DC278B">
        <w:rPr>
          <w:rFonts w:ascii="Cambria" w:eastAsia="Times New Roman" w:hAnsi="Cambria"/>
          <w:sz w:val="20"/>
          <w:szCs w:val="20"/>
          <w:bdr w:val="none" w:sz="0" w:space="0" w:color="auto"/>
          <w:lang w:val="es-ES_tradnl"/>
        </w:rPr>
        <w:t>1992</w:t>
      </w:r>
      <w:r w:rsidR="00A34625" w:rsidRPr="00DC278B">
        <w:rPr>
          <w:rFonts w:ascii="Cambria" w:eastAsia="Times New Roman" w:hAnsi="Cambria"/>
          <w:sz w:val="20"/>
          <w:szCs w:val="20"/>
          <w:bdr w:val="none" w:sz="0" w:space="0" w:color="auto"/>
          <w:lang w:val="es-ES_tradnl"/>
        </w:rPr>
        <w:t xml:space="preserve">, </w:t>
      </w:r>
      <w:r w:rsidR="00E07F44" w:rsidRPr="00DC278B">
        <w:rPr>
          <w:rFonts w:ascii="Cambria" w:eastAsia="Times New Roman" w:hAnsi="Cambria"/>
          <w:sz w:val="20"/>
          <w:szCs w:val="20"/>
          <w:bdr w:val="none" w:sz="0" w:space="0" w:color="auto"/>
          <w:lang w:val="es-ES_tradnl"/>
        </w:rPr>
        <w:t>María Ó</w:t>
      </w:r>
      <w:r w:rsidR="0054741E" w:rsidRPr="00DC278B">
        <w:rPr>
          <w:rFonts w:ascii="Cambria" w:eastAsia="Times New Roman" w:hAnsi="Cambria"/>
          <w:sz w:val="20"/>
          <w:szCs w:val="20"/>
          <w:bdr w:val="none" w:sz="0" w:space="0" w:color="auto"/>
          <w:lang w:val="es-ES_tradnl"/>
        </w:rPr>
        <w:t>rdenes</w:t>
      </w:r>
      <w:r w:rsidR="00FA4293" w:rsidRPr="00DC278B">
        <w:rPr>
          <w:rFonts w:ascii="Cambria" w:eastAsia="Times New Roman" w:hAnsi="Cambria"/>
          <w:sz w:val="20"/>
          <w:szCs w:val="20"/>
          <w:bdr w:val="none" w:sz="0" w:space="0" w:color="auto"/>
          <w:lang w:val="es-ES_tradnl"/>
        </w:rPr>
        <w:t>, recibe una pensión mensual</w:t>
      </w:r>
      <w:r w:rsidR="00144E97" w:rsidRPr="00DC278B">
        <w:rPr>
          <w:rFonts w:ascii="Cambria" w:eastAsia="Times New Roman" w:hAnsi="Cambria"/>
          <w:sz w:val="20"/>
          <w:szCs w:val="20"/>
          <w:bdr w:val="none" w:sz="0" w:space="0" w:color="auto"/>
          <w:lang w:val="es-ES_tradnl"/>
        </w:rPr>
        <w:t xml:space="preserve"> de 360.674 Pesos c</w:t>
      </w:r>
      <w:r w:rsidR="0054741E" w:rsidRPr="00DC278B">
        <w:rPr>
          <w:rFonts w:ascii="Cambria" w:eastAsia="Times New Roman" w:hAnsi="Cambria"/>
          <w:sz w:val="20"/>
          <w:szCs w:val="20"/>
          <w:bdr w:val="none" w:sz="0" w:space="0" w:color="auto"/>
          <w:lang w:val="es-ES_tradnl"/>
        </w:rPr>
        <w:t>hilenos</w:t>
      </w:r>
      <w:r w:rsidR="00144E97" w:rsidRPr="00DC278B">
        <w:rPr>
          <w:rFonts w:ascii="Cambria" w:eastAsia="Times New Roman" w:hAnsi="Cambria"/>
          <w:sz w:val="20"/>
          <w:szCs w:val="20"/>
          <w:bdr w:val="none" w:sz="0" w:space="0" w:color="auto"/>
          <w:lang w:val="es-ES_tradnl"/>
        </w:rPr>
        <w:t>, que rige desde el 1˚ de julio de 1991</w:t>
      </w:r>
      <w:r w:rsidR="00136BFD" w:rsidRPr="00DC278B">
        <w:rPr>
          <w:rFonts w:ascii="Cambria" w:eastAsia="Times New Roman" w:hAnsi="Cambria"/>
          <w:sz w:val="20"/>
          <w:szCs w:val="20"/>
          <w:bdr w:val="none" w:sz="0" w:space="0" w:color="auto"/>
          <w:lang w:val="es-ES_tradnl"/>
        </w:rPr>
        <w:t>, (en adelante los montos en Pesos chilenos corresponden al equivalente de US$1 por 550 Pesos chilenos)</w:t>
      </w:r>
      <w:r w:rsidR="00144E97" w:rsidRPr="00DC278B">
        <w:rPr>
          <w:rFonts w:ascii="Cambria" w:eastAsia="Times New Roman" w:hAnsi="Cambria"/>
          <w:sz w:val="20"/>
          <w:szCs w:val="20"/>
          <w:bdr w:val="none" w:sz="0" w:space="0" w:color="auto"/>
          <w:vertAlign w:val="superscript"/>
          <w:lang w:val="es-ES_tradnl"/>
        </w:rPr>
        <w:footnoteReference w:id="44"/>
      </w:r>
      <w:r w:rsidR="00144E97" w:rsidRPr="00DC278B">
        <w:rPr>
          <w:rFonts w:ascii="Cambria" w:eastAsia="Times New Roman" w:hAnsi="Cambria"/>
          <w:sz w:val="20"/>
          <w:szCs w:val="20"/>
          <w:bdr w:val="none" w:sz="0" w:space="0" w:color="auto"/>
          <w:lang w:val="es-ES_tradnl"/>
        </w:rPr>
        <w:t>.</w:t>
      </w:r>
      <w:r w:rsidR="00591D12" w:rsidRPr="00DC278B">
        <w:rPr>
          <w:rFonts w:ascii="Cambria" w:eastAsia="Times New Roman" w:hAnsi="Cambria"/>
          <w:sz w:val="20"/>
          <w:szCs w:val="20"/>
          <w:bdr w:val="none" w:sz="0" w:space="0" w:color="auto"/>
          <w:lang w:val="es-ES_tradnl"/>
        </w:rPr>
        <w:t xml:space="preserve"> </w:t>
      </w:r>
      <w:r w:rsidR="00144E97" w:rsidRPr="00DC278B">
        <w:rPr>
          <w:rFonts w:ascii="Cambria" w:eastAsia="Times New Roman" w:hAnsi="Cambria"/>
          <w:sz w:val="20"/>
          <w:szCs w:val="20"/>
          <w:bdr w:val="none" w:sz="0" w:space="0" w:color="auto"/>
          <w:lang w:val="es-ES_tradnl"/>
        </w:rPr>
        <w:t>C</w:t>
      </w:r>
      <w:r w:rsidR="00591D12" w:rsidRPr="00DC278B">
        <w:rPr>
          <w:rFonts w:ascii="Cambria" w:eastAsia="Times New Roman" w:hAnsi="Cambria"/>
          <w:sz w:val="20"/>
          <w:szCs w:val="20"/>
          <w:bdr w:val="none" w:sz="0" w:space="0" w:color="auto"/>
          <w:lang w:val="es-ES_tradnl"/>
        </w:rPr>
        <w:t>ada uno de sus cinco hijos tuvieron derecho a percibir, el 15% del monto total de la pensión, hasta los 25 años de edad</w:t>
      </w:r>
      <w:r w:rsidR="00591D12" w:rsidRPr="00DC278B">
        <w:rPr>
          <w:rFonts w:ascii="Cambria" w:eastAsia="Times New Roman" w:hAnsi="Cambria"/>
          <w:sz w:val="20"/>
          <w:szCs w:val="20"/>
          <w:bdr w:val="none" w:sz="0" w:space="0" w:color="auto"/>
          <w:vertAlign w:val="superscript"/>
          <w:lang w:val="es-ES_tradnl"/>
        </w:rPr>
        <w:footnoteReference w:id="45"/>
      </w:r>
      <w:r w:rsidR="002878DF">
        <w:rPr>
          <w:rFonts w:ascii="Cambria" w:eastAsia="Times New Roman" w:hAnsi="Cambria"/>
          <w:sz w:val="20"/>
          <w:szCs w:val="20"/>
          <w:bdr w:val="none" w:sz="0" w:space="0" w:color="auto"/>
          <w:lang w:val="es-ES_tradnl"/>
        </w:rPr>
        <w:t>.</w:t>
      </w:r>
    </w:p>
    <w:p w:rsidR="00DE09A5" w:rsidRPr="00DC278B" w:rsidRDefault="00DE09A5"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6427A2" w:rsidRPr="00DC278B" w:rsidRDefault="006427A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w:t>
      </w:r>
      <w:r w:rsidR="00E07F44" w:rsidRPr="00DC278B">
        <w:rPr>
          <w:rFonts w:ascii="Cambria" w:eastAsia="Times New Roman" w:hAnsi="Cambria"/>
          <w:sz w:val="20"/>
          <w:szCs w:val="20"/>
          <w:bdr w:val="none" w:sz="0" w:space="0" w:color="auto"/>
          <w:lang w:val="es-ES_tradnl"/>
        </w:rPr>
        <w:t>n 1997 María Ó</w:t>
      </w:r>
      <w:r w:rsidRPr="00DC278B">
        <w:rPr>
          <w:rFonts w:ascii="Cambria" w:eastAsia="Times New Roman" w:hAnsi="Cambria"/>
          <w:sz w:val="20"/>
          <w:szCs w:val="20"/>
          <w:bdr w:val="none" w:sz="0" w:space="0" w:color="auto"/>
          <w:lang w:val="es-ES_tradnl"/>
        </w:rPr>
        <w:t xml:space="preserve">rdenes presentó una demanda </w:t>
      </w:r>
      <w:r w:rsidR="006F241B" w:rsidRPr="00DC278B">
        <w:rPr>
          <w:rFonts w:ascii="Cambria" w:eastAsia="Times New Roman" w:hAnsi="Cambria"/>
          <w:sz w:val="20"/>
          <w:szCs w:val="20"/>
          <w:bdr w:val="none" w:sz="0" w:space="0" w:color="auto"/>
          <w:lang w:val="es-ES_tradnl"/>
        </w:rPr>
        <w:t xml:space="preserve">civil </w:t>
      </w:r>
      <w:r w:rsidRPr="00DC278B">
        <w:rPr>
          <w:rFonts w:ascii="Cambria" w:eastAsia="Times New Roman" w:hAnsi="Cambria"/>
          <w:sz w:val="20"/>
          <w:szCs w:val="20"/>
          <w:bdr w:val="none" w:sz="0" w:space="0" w:color="auto"/>
          <w:lang w:val="es-ES_tradnl"/>
        </w:rPr>
        <w:t>de indemnización</w:t>
      </w:r>
      <w:r w:rsidR="00D91F0B" w:rsidRPr="00DC278B">
        <w:rPr>
          <w:rFonts w:ascii="Cambria" w:eastAsia="Times New Roman" w:hAnsi="Cambria"/>
          <w:sz w:val="20"/>
          <w:szCs w:val="20"/>
          <w:bdr w:val="none" w:sz="0" w:space="0" w:color="auto"/>
          <w:lang w:val="es-ES_tradnl"/>
        </w:rPr>
        <w:t xml:space="preserve"> de perjuicios</w:t>
      </w:r>
      <w:r w:rsidR="0015623F" w:rsidRPr="00DC278B">
        <w:rPr>
          <w:rFonts w:ascii="Cambria" w:eastAsia="Times New Roman" w:hAnsi="Cambria"/>
          <w:sz w:val="20"/>
          <w:szCs w:val="20"/>
          <w:bdr w:val="none" w:sz="0" w:space="0" w:color="auto"/>
          <w:lang w:val="es-ES_tradnl"/>
        </w:rPr>
        <w:t xml:space="preserve"> ante el Octavo Juzgado Civil, </w:t>
      </w:r>
      <w:r w:rsidRPr="00DC278B">
        <w:rPr>
          <w:rFonts w:ascii="Cambria" w:eastAsia="Times New Roman" w:hAnsi="Cambria"/>
          <w:sz w:val="20"/>
          <w:szCs w:val="20"/>
          <w:bdr w:val="none" w:sz="0" w:space="0" w:color="auto"/>
          <w:lang w:val="es-ES_tradnl"/>
        </w:rPr>
        <w:t xml:space="preserve">por el daño moral ocasionado por los agentes estatales por el secuestro y asesinato de su esposo Augusto </w:t>
      </w:r>
      <w:proofErr w:type="spellStart"/>
      <w:r w:rsidRPr="00DC278B">
        <w:rPr>
          <w:rFonts w:ascii="Cambria" w:eastAsia="Times New Roman" w:hAnsi="Cambria"/>
          <w:sz w:val="20"/>
          <w:szCs w:val="20"/>
          <w:bdr w:val="none" w:sz="0" w:space="0" w:color="auto"/>
          <w:lang w:val="es-ES_tradnl"/>
        </w:rPr>
        <w:t>Alcayaga</w:t>
      </w:r>
      <w:proofErr w:type="spellEnd"/>
      <w:r w:rsidRPr="00DC278B">
        <w:rPr>
          <w:rFonts w:ascii="Cambria" w:eastAsia="Times New Roman" w:hAnsi="Cambria"/>
          <w:sz w:val="20"/>
          <w:szCs w:val="20"/>
          <w:bdr w:val="none" w:sz="0" w:space="0" w:color="auto"/>
          <w:lang w:val="es-ES_tradnl"/>
        </w:rPr>
        <w:t>, así como por la denegación de justicia y falta de información sobre dichos hechos;</w:t>
      </w:r>
      <w:r w:rsidR="00E07F44" w:rsidRPr="00DC278B">
        <w:rPr>
          <w:rFonts w:ascii="Cambria" w:eastAsia="Times New Roman" w:hAnsi="Cambria"/>
          <w:sz w:val="20"/>
          <w:szCs w:val="20"/>
          <w:bdr w:val="none" w:sz="0" w:space="0" w:color="auto"/>
          <w:lang w:val="es-ES_tradnl"/>
        </w:rPr>
        <w:t xml:space="preserve"> dándose inicio al proceso “Ó</w:t>
      </w:r>
      <w:r w:rsidRPr="00DC278B">
        <w:rPr>
          <w:rFonts w:ascii="Cambria" w:eastAsia="Times New Roman" w:hAnsi="Cambria"/>
          <w:sz w:val="20"/>
          <w:szCs w:val="20"/>
          <w:bdr w:val="none" w:sz="0" w:space="0" w:color="auto"/>
          <w:lang w:val="es-ES_tradnl"/>
        </w:rPr>
        <w:t>rdenes María con Fisco de Chile”</w:t>
      </w:r>
      <w:r w:rsidR="00FE1F1B" w:rsidRPr="00DC278B">
        <w:rPr>
          <w:rFonts w:ascii="Cambria" w:eastAsia="Calibri" w:hAnsi="Cambria"/>
          <w:sz w:val="20"/>
          <w:szCs w:val="20"/>
          <w:bdr w:val="none" w:sz="0" w:space="0" w:color="auto"/>
          <w:vertAlign w:val="superscript"/>
          <w:lang w:val="es-CO"/>
        </w:rPr>
        <w:footnoteReference w:id="46"/>
      </w:r>
      <w:r w:rsidR="002878DF">
        <w:rPr>
          <w:rFonts w:ascii="Cambria" w:eastAsia="Times New Roman" w:hAnsi="Cambria"/>
          <w:sz w:val="20"/>
          <w:szCs w:val="20"/>
          <w:bdr w:val="none" w:sz="0" w:space="0" w:color="auto"/>
          <w:lang w:val="es-ES_tradnl"/>
        </w:rPr>
        <w:t>.</w:t>
      </w:r>
    </w:p>
    <w:p w:rsidR="006427A2" w:rsidRPr="00DC278B" w:rsidRDefault="006427A2"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6427A2" w:rsidRPr="00DC278B" w:rsidRDefault="00E94A36"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w:t>
      </w:r>
      <w:r w:rsidR="004910CC" w:rsidRPr="00DC278B">
        <w:rPr>
          <w:rFonts w:ascii="Cambria" w:eastAsia="Times New Roman" w:hAnsi="Cambria"/>
          <w:sz w:val="20"/>
          <w:szCs w:val="20"/>
          <w:bdr w:val="none" w:sz="0" w:space="0" w:color="auto"/>
          <w:lang w:val="es-ES_tradnl"/>
        </w:rPr>
        <w:t xml:space="preserve"> 28 de enero de 1999 el 8º</w:t>
      </w:r>
      <w:r w:rsidR="006427A2" w:rsidRPr="00DC278B">
        <w:rPr>
          <w:rFonts w:ascii="Cambria" w:eastAsia="Times New Roman" w:hAnsi="Cambria"/>
          <w:sz w:val="20"/>
          <w:szCs w:val="20"/>
          <w:bdr w:val="none" w:sz="0" w:space="0" w:color="auto"/>
          <w:lang w:val="es-ES_tradnl"/>
        </w:rPr>
        <w:t xml:space="preserve"> Juzgado Civil</w:t>
      </w:r>
      <w:r w:rsidR="006D5ED9" w:rsidRPr="00DC278B">
        <w:rPr>
          <w:rFonts w:ascii="Cambria" w:eastAsia="Times New Roman" w:hAnsi="Cambria"/>
          <w:sz w:val="20"/>
          <w:szCs w:val="20"/>
          <w:bdr w:val="none" w:sz="0" w:space="0" w:color="auto"/>
          <w:lang w:val="es-ES_tradnl"/>
        </w:rPr>
        <w:t>,</w:t>
      </w:r>
      <w:r w:rsidR="006427A2" w:rsidRPr="00DC278B">
        <w:rPr>
          <w:rFonts w:ascii="Cambria" w:eastAsia="Times New Roman" w:hAnsi="Cambria"/>
          <w:sz w:val="20"/>
          <w:szCs w:val="20"/>
          <w:bdr w:val="none" w:sz="0" w:space="0" w:color="auto"/>
          <w:lang w:val="es-ES_tradnl"/>
        </w:rPr>
        <w:t xml:space="preserve"> </w:t>
      </w:r>
      <w:r w:rsidR="006D5ED9" w:rsidRPr="00DC278B">
        <w:rPr>
          <w:rFonts w:ascii="Cambria" w:eastAsia="Times New Roman" w:hAnsi="Cambria"/>
          <w:sz w:val="20"/>
          <w:szCs w:val="20"/>
          <w:bdr w:val="none" w:sz="0" w:space="0" w:color="auto"/>
          <w:lang w:val="es-ES_tradnl"/>
        </w:rPr>
        <w:t xml:space="preserve">aunque declaró probado que la ejecución extrajudicial de Augusto </w:t>
      </w:r>
      <w:proofErr w:type="spellStart"/>
      <w:r w:rsidR="006D5ED9" w:rsidRPr="00DC278B">
        <w:rPr>
          <w:rFonts w:ascii="Cambria" w:eastAsia="Times New Roman" w:hAnsi="Cambria"/>
          <w:sz w:val="20"/>
          <w:szCs w:val="20"/>
          <w:bdr w:val="none" w:sz="0" w:space="0" w:color="auto"/>
          <w:lang w:val="es-ES_tradnl"/>
        </w:rPr>
        <w:t>Alcayaga</w:t>
      </w:r>
      <w:proofErr w:type="spellEnd"/>
      <w:r w:rsidR="006D5ED9" w:rsidRPr="00DC278B">
        <w:rPr>
          <w:rFonts w:ascii="Cambria" w:eastAsia="Times New Roman" w:hAnsi="Cambria"/>
          <w:sz w:val="20"/>
          <w:szCs w:val="20"/>
          <w:bdr w:val="none" w:sz="0" w:space="0" w:color="auto"/>
          <w:lang w:val="es-ES_tradnl"/>
        </w:rPr>
        <w:t xml:space="preserve"> fue cometida por agentes del Estado, declaró la prescripción de la acción </w:t>
      </w:r>
      <w:r w:rsidR="00D149F1" w:rsidRPr="00DC278B">
        <w:rPr>
          <w:rFonts w:ascii="Cambria" w:eastAsia="Times New Roman" w:hAnsi="Cambria"/>
          <w:sz w:val="20"/>
          <w:szCs w:val="20"/>
          <w:bdr w:val="none" w:sz="0" w:space="0" w:color="auto"/>
          <w:lang w:val="es-ES_tradnl"/>
        </w:rPr>
        <w:t>al haber sido interpuesta</w:t>
      </w:r>
      <w:r w:rsidR="006D5ED9" w:rsidRPr="00DC278B">
        <w:rPr>
          <w:rFonts w:ascii="Cambria" w:eastAsia="Times New Roman" w:hAnsi="Cambria"/>
          <w:sz w:val="20"/>
          <w:szCs w:val="20"/>
          <w:bdr w:val="none" w:sz="0" w:space="0" w:color="auto"/>
          <w:lang w:val="es-ES_tradnl"/>
        </w:rPr>
        <w:t xml:space="preserve"> después del término de cinco años previsto en el artículo 2</w:t>
      </w:r>
      <w:r w:rsidR="00B94589" w:rsidRPr="00DC278B">
        <w:rPr>
          <w:rFonts w:ascii="Cambria" w:eastAsia="Times New Roman" w:hAnsi="Cambria"/>
          <w:sz w:val="20"/>
          <w:szCs w:val="20"/>
          <w:bdr w:val="none" w:sz="0" w:space="0" w:color="auto"/>
          <w:lang w:val="es-ES_tradnl"/>
        </w:rPr>
        <w:t>.</w:t>
      </w:r>
      <w:r w:rsidR="006D5ED9" w:rsidRPr="00DC278B">
        <w:rPr>
          <w:rFonts w:ascii="Cambria" w:eastAsia="Times New Roman" w:hAnsi="Cambria"/>
          <w:sz w:val="20"/>
          <w:szCs w:val="20"/>
          <w:bdr w:val="none" w:sz="0" w:space="0" w:color="auto"/>
          <w:lang w:val="es-ES_tradnl"/>
        </w:rPr>
        <w:t>515 del Código Civil</w:t>
      </w:r>
      <w:r w:rsidR="006D5ED9" w:rsidRPr="00DC278B">
        <w:rPr>
          <w:rFonts w:ascii="Cambria" w:eastAsia="Times New Roman" w:hAnsi="Cambria"/>
          <w:sz w:val="20"/>
          <w:szCs w:val="20"/>
          <w:bdr w:val="none" w:sz="0" w:space="0" w:color="auto"/>
          <w:vertAlign w:val="superscript"/>
          <w:lang w:val="es-ES_tradnl"/>
        </w:rPr>
        <w:footnoteReference w:id="47"/>
      </w:r>
      <w:r w:rsidR="00D149F1" w:rsidRPr="00DC278B">
        <w:rPr>
          <w:rFonts w:ascii="Cambria" w:eastAsia="Times New Roman" w:hAnsi="Cambria"/>
          <w:sz w:val="20"/>
          <w:szCs w:val="20"/>
          <w:bdr w:val="none" w:sz="0" w:space="0" w:color="auto"/>
          <w:lang w:val="es-ES_tradnl"/>
        </w:rPr>
        <w:t>, contando el término desde el día de la</w:t>
      </w:r>
      <w:r w:rsidR="006D5ED9" w:rsidRPr="00DC278B">
        <w:rPr>
          <w:rFonts w:ascii="Cambria" w:eastAsia="Times New Roman" w:hAnsi="Cambria"/>
          <w:sz w:val="20"/>
          <w:szCs w:val="20"/>
          <w:bdr w:val="none" w:sz="0" w:space="0" w:color="auto"/>
          <w:lang w:val="es-ES_tradnl"/>
        </w:rPr>
        <w:t xml:space="preserve"> muerte </w:t>
      </w:r>
      <w:r w:rsidR="00D149F1" w:rsidRPr="00DC278B">
        <w:rPr>
          <w:rFonts w:ascii="Cambria" w:eastAsia="Times New Roman" w:hAnsi="Cambria"/>
          <w:sz w:val="20"/>
          <w:szCs w:val="20"/>
          <w:bdr w:val="none" w:sz="0" w:space="0" w:color="auto"/>
          <w:lang w:val="es-ES_tradnl"/>
        </w:rPr>
        <w:t>de la víctima en 1973</w:t>
      </w:r>
      <w:r w:rsidR="006D5ED9" w:rsidRPr="00DC278B">
        <w:rPr>
          <w:rFonts w:ascii="Cambria" w:eastAsia="Times New Roman" w:hAnsi="Cambria"/>
          <w:sz w:val="20"/>
          <w:szCs w:val="20"/>
          <w:bdr w:val="none" w:sz="0" w:space="0" w:color="auto"/>
          <w:vertAlign w:val="superscript"/>
          <w:lang w:val="es-ES_tradnl"/>
        </w:rPr>
        <w:footnoteReference w:id="48"/>
      </w:r>
      <w:r w:rsidR="00B90EC1" w:rsidRPr="00DC278B">
        <w:rPr>
          <w:rFonts w:ascii="Cambria" w:eastAsia="Times New Roman" w:hAnsi="Cambria"/>
          <w:sz w:val="20"/>
          <w:szCs w:val="20"/>
          <w:bdr w:val="none" w:sz="0" w:space="0" w:color="auto"/>
          <w:lang w:val="es-ES_tradnl"/>
        </w:rPr>
        <w:t xml:space="preserve"> e incompatibilidad con la Ley 19.123</w:t>
      </w:r>
      <w:r w:rsidR="00B90EC1" w:rsidRPr="00DC278B">
        <w:rPr>
          <w:rFonts w:ascii="Cambria" w:eastAsia="Times New Roman" w:hAnsi="Cambria"/>
          <w:sz w:val="20"/>
          <w:szCs w:val="20"/>
          <w:bdr w:val="none" w:sz="0" w:space="0" w:color="auto"/>
          <w:vertAlign w:val="superscript"/>
          <w:lang w:val="es-ES_tradnl"/>
        </w:rPr>
        <w:footnoteReference w:id="49"/>
      </w:r>
      <w:r w:rsidR="00D30856">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El Juzgado consideró que “el hecho del cual deriva la acción indemnizatoria acaeció en determinada fecha del año 1973, desde la cual, hasta la fecha de notificación de la demanda de autos, transcurrió en exceso el plazo de prescripción de cinco años que el tribunal ha estimado aplicable en la especie”</w:t>
      </w:r>
      <w:r w:rsidRPr="00DC278B">
        <w:rPr>
          <w:rFonts w:ascii="Cambria" w:eastAsia="Calibri" w:hAnsi="Cambria"/>
          <w:sz w:val="20"/>
          <w:szCs w:val="20"/>
          <w:bdr w:val="none" w:sz="0" w:space="0" w:color="auto"/>
          <w:vertAlign w:val="superscript"/>
          <w:lang w:val="es-CO"/>
        </w:rPr>
        <w:footnoteReference w:id="50"/>
      </w:r>
      <w:r w:rsidR="00D30856">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La demandante presentó recurso de apelación contra dicha sentencia, la cual fue denegada, el 24 d</w:t>
      </w:r>
      <w:r w:rsidR="00B94589" w:rsidRPr="00DC278B">
        <w:rPr>
          <w:rFonts w:ascii="Cambria" w:eastAsia="Times New Roman" w:hAnsi="Cambria"/>
          <w:sz w:val="20"/>
          <w:szCs w:val="20"/>
          <w:bdr w:val="none" w:sz="0" w:space="0" w:color="auto"/>
          <w:lang w:val="es-ES_tradnl"/>
        </w:rPr>
        <w:t>e octubre de 2002, por la 4º</w:t>
      </w:r>
      <w:r w:rsidRPr="00DC278B">
        <w:rPr>
          <w:rFonts w:ascii="Cambria" w:eastAsia="Times New Roman" w:hAnsi="Cambria"/>
          <w:sz w:val="20"/>
          <w:szCs w:val="20"/>
          <w:bdr w:val="none" w:sz="0" w:space="0" w:color="auto"/>
          <w:lang w:val="es-ES_tradnl"/>
        </w:rPr>
        <w:t xml:space="preserve"> Sala de la CAS, confirmando</w:t>
      </w:r>
      <w:r w:rsidR="006D5ED9" w:rsidRPr="00DC278B">
        <w:rPr>
          <w:rFonts w:ascii="Cambria" w:eastAsia="Times New Roman" w:hAnsi="Cambria"/>
          <w:sz w:val="20"/>
          <w:szCs w:val="20"/>
          <w:bdr w:val="none" w:sz="0" w:space="0" w:color="auto"/>
          <w:lang w:val="es-ES_tradnl"/>
        </w:rPr>
        <w:t xml:space="preserve"> la sentencia de primera instancia</w:t>
      </w:r>
      <w:r w:rsidR="006D5ED9" w:rsidRPr="00DC278B">
        <w:rPr>
          <w:rFonts w:ascii="Cambria" w:eastAsia="Times New Roman" w:hAnsi="Cambria"/>
          <w:sz w:val="20"/>
          <w:szCs w:val="20"/>
          <w:bdr w:val="none" w:sz="0" w:space="0" w:color="auto"/>
          <w:vertAlign w:val="superscript"/>
          <w:lang w:val="es-ES_tradnl"/>
        </w:rPr>
        <w:footnoteReference w:id="51"/>
      </w:r>
      <w:r w:rsidR="006D5ED9"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 </w:t>
      </w:r>
      <w:r w:rsidR="006427A2" w:rsidRPr="00DC278B">
        <w:rPr>
          <w:rFonts w:ascii="Cambria" w:eastAsia="Times New Roman" w:hAnsi="Cambria"/>
          <w:sz w:val="20"/>
          <w:szCs w:val="20"/>
          <w:bdr w:val="none" w:sz="0" w:space="0" w:color="auto"/>
          <w:lang w:val="es-ES_tradnl"/>
        </w:rPr>
        <w:t>Contra dicha decisión, la demandante interpuso un recurso de casación en e</w:t>
      </w:r>
      <w:r w:rsidR="00E07F44" w:rsidRPr="00DC278B">
        <w:rPr>
          <w:rFonts w:ascii="Cambria" w:eastAsia="Times New Roman" w:hAnsi="Cambria"/>
          <w:sz w:val="20"/>
          <w:szCs w:val="20"/>
          <w:bdr w:val="none" w:sz="0" w:space="0" w:color="auto"/>
          <w:lang w:val="es-ES_tradnl"/>
        </w:rPr>
        <w:t>l fondo, el cual fue declarado desierto</w:t>
      </w:r>
      <w:r w:rsidR="006427A2" w:rsidRPr="00DC278B">
        <w:rPr>
          <w:rFonts w:ascii="Cambria" w:eastAsia="Times New Roman" w:hAnsi="Cambria"/>
          <w:sz w:val="20"/>
          <w:szCs w:val="20"/>
          <w:bdr w:val="none" w:sz="0" w:space="0" w:color="auto"/>
          <w:lang w:val="es-ES_tradnl"/>
        </w:rPr>
        <w:t xml:space="preserve"> por la CSJ, el 7 de enero de 2003</w:t>
      </w:r>
      <w:r w:rsidRPr="00DC278B">
        <w:rPr>
          <w:rFonts w:ascii="Cambria" w:eastAsia="Calibri" w:hAnsi="Cambria"/>
          <w:sz w:val="20"/>
          <w:szCs w:val="20"/>
          <w:bdr w:val="none" w:sz="0" w:space="0" w:color="auto"/>
          <w:vertAlign w:val="superscript"/>
          <w:lang w:val="es-MX"/>
        </w:rPr>
        <w:footnoteReference w:id="52"/>
      </w:r>
      <w:r w:rsidR="006427A2" w:rsidRPr="00DC278B">
        <w:rPr>
          <w:rFonts w:ascii="Cambria" w:eastAsia="Times New Roman" w:hAnsi="Cambria"/>
          <w:sz w:val="20"/>
          <w:szCs w:val="20"/>
          <w:bdr w:val="none" w:sz="0" w:space="0" w:color="auto"/>
          <w:lang w:val="es-ES_tradnl"/>
        </w:rPr>
        <w:t>, por lo que el expediente fue devuelto al tribunal de origen, el cual dictó resolución de “cúmplase”, el 17 de marzo de 2003</w:t>
      </w:r>
      <w:r w:rsidR="00FE1F1B" w:rsidRPr="00DC278B">
        <w:rPr>
          <w:rStyle w:val="FootnoteReference"/>
          <w:rFonts w:ascii="Cambria" w:eastAsia="Times New Roman" w:hAnsi="Cambria"/>
          <w:sz w:val="20"/>
          <w:szCs w:val="20"/>
          <w:bdr w:val="none" w:sz="0" w:space="0" w:color="auto"/>
          <w:lang w:val="es-ES_tradnl"/>
        </w:rPr>
        <w:footnoteReference w:id="53"/>
      </w:r>
      <w:r w:rsidR="006427A2" w:rsidRPr="00DC278B">
        <w:rPr>
          <w:rFonts w:ascii="Cambria" w:eastAsia="Times New Roman" w:hAnsi="Cambria"/>
          <w:sz w:val="20"/>
          <w:szCs w:val="20"/>
          <w:bdr w:val="none" w:sz="0" w:space="0" w:color="auto"/>
          <w:lang w:val="es-ES_tradnl"/>
        </w:rPr>
        <w:t>.</w:t>
      </w:r>
    </w:p>
    <w:p w:rsidR="00144E97" w:rsidRPr="00DC278B" w:rsidRDefault="00144E97"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785691" w:rsidRDefault="009C3BA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Mediante la Ley 19.980 de 2004, e</w:t>
      </w:r>
      <w:r w:rsidR="00591D12" w:rsidRPr="00DC278B">
        <w:rPr>
          <w:rFonts w:ascii="Cambria" w:eastAsia="Times New Roman" w:hAnsi="Cambria"/>
          <w:sz w:val="20"/>
          <w:szCs w:val="20"/>
          <w:bdr w:val="none" w:sz="0" w:space="0" w:color="auto"/>
          <w:lang w:val="es-ES_tradnl"/>
        </w:rPr>
        <w:t xml:space="preserve">n noviembre de 2005 a los hijos </w:t>
      </w:r>
      <w:r w:rsidR="00C62141" w:rsidRPr="00DC278B">
        <w:rPr>
          <w:rFonts w:ascii="Cambria" w:eastAsia="Times New Roman" w:hAnsi="Cambria"/>
          <w:sz w:val="20"/>
          <w:szCs w:val="20"/>
          <w:bdr w:val="none" w:sz="0" w:space="0" w:color="auto"/>
          <w:lang w:val="es-ES_tradnl"/>
        </w:rPr>
        <w:t xml:space="preserve">de Augusto </w:t>
      </w:r>
      <w:proofErr w:type="spellStart"/>
      <w:r w:rsidR="00C62141" w:rsidRPr="00DC278B">
        <w:rPr>
          <w:rFonts w:ascii="Cambria" w:eastAsia="Times New Roman" w:hAnsi="Cambria"/>
          <w:sz w:val="20"/>
          <w:szCs w:val="20"/>
          <w:bdr w:val="none" w:sz="0" w:space="0" w:color="auto"/>
          <w:lang w:val="es-ES_tradnl"/>
        </w:rPr>
        <w:t>Alca</w:t>
      </w:r>
      <w:r w:rsidR="00591D12" w:rsidRPr="00DC278B">
        <w:rPr>
          <w:rFonts w:ascii="Cambria" w:eastAsia="Times New Roman" w:hAnsi="Cambria"/>
          <w:sz w:val="20"/>
          <w:szCs w:val="20"/>
          <w:bdr w:val="none" w:sz="0" w:space="0" w:color="auto"/>
          <w:lang w:val="es-ES_tradnl"/>
        </w:rPr>
        <w:t>y</w:t>
      </w:r>
      <w:r w:rsidR="00C62141" w:rsidRPr="00DC278B">
        <w:rPr>
          <w:rFonts w:ascii="Cambria" w:eastAsia="Times New Roman" w:hAnsi="Cambria"/>
          <w:sz w:val="20"/>
          <w:szCs w:val="20"/>
          <w:bdr w:val="none" w:sz="0" w:space="0" w:color="auto"/>
          <w:lang w:val="es-ES_tradnl"/>
        </w:rPr>
        <w:t>ag</w:t>
      </w:r>
      <w:r w:rsidR="00591D12" w:rsidRPr="00DC278B">
        <w:rPr>
          <w:rFonts w:ascii="Cambria" w:eastAsia="Times New Roman" w:hAnsi="Cambria"/>
          <w:sz w:val="20"/>
          <w:szCs w:val="20"/>
          <w:bdr w:val="none" w:sz="0" w:space="0" w:color="auto"/>
          <w:lang w:val="es-ES_tradnl"/>
        </w:rPr>
        <w:t>a</w:t>
      </w:r>
      <w:proofErr w:type="spellEnd"/>
      <w:r w:rsidR="00591D12" w:rsidRPr="00DC278B">
        <w:rPr>
          <w:rFonts w:ascii="Cambria" w:eastAsia="Times New Roman" w:hAnsi="Cambria"/>
          <w:sz w:val="20"/>
          <w:szCs w:val="20"/>
          <w:bdr w:val="none" w:sz="0" w:space="0" w:color="auto"/>
          <w:lang w:val="es-ES_tradnl"/>
        </w:rPr>
        <w:t>, que por edad no le correspondía pensión, se les otorgó un bono de reparación por única vez de $10.000.000 Pesos c</w:t>
      </w:r>
      <w:r w:rsidR="00B97310" w:rsidRPr="00DC278B">
        <w:rPr>
          <w:rFonts w:ascii="Cambria" w:eastAsia="Times New Roman" w:hAnsi="Cambria"/>
          <w:sz w:val="20"/>
          <w:szCs w:val="20"/>
          <w:bdr w:val="none" w:sz="0" w:space="0" w:color="auto"/>
          <w:lang w:val="es-ES_tradnl"/>
        </w:rPr>
        <w:t>hilenos; y los</w:t>
      </w:r>
      <w:r w:rsidR="00591D12" w:rsidRPr="00DC278B">
        <w:rPr>
          <w:rFonts w:ascii="Cambria" w:eastAsia="Times New Roman" w:hAnsi="Cambria"/>
          <w:sz w:val="20"/>
          <w:szCs w:val="20"/>
          <w:bdr w:val="none" w:sz="0" w:space="0" w:color="auto"/>
          <w:lang w:val="es-ES_tradnl"/>
        </w:rPr>
        <w:t xml:space="preserve"> hijos que por edad recibieron pensiones de reparación, se les otorgó la diferencia entre lo que habían recibido por pensión y el monto de la bonificación única</w:t>
      </w:r>
      <w:r w:rsidR="00B97310" w:rsidRPr="00DC278B">
        <w:rPr>
          <w:rFonts w:ascii="Cambria" w:eastAsia="Times New Roman" w:hAnsi="Cambria"/>
          <w:sz w:val="20"/>
          <w:szCs w:val="20"/>
          <w:bdr w:val="none" w:sz="0" w:space="0" w:color="auto"/>
          <w:vertAlign w:val="superscript"/>
          <w:lang w:val="es-ES_tradnl"/>
        </w:rPr>
        <w:footnoteReference w:id="54"/>
      </w:r>
      <w:r w:rsidR="00591D12" w:rsidRPr="00DC278B">
        <w:rPr>
          <w:rFonts w:ascii="Cambria" w:eastAsia="Times New Roman" w:hAnsi="Cambria"/>
          <w:sz w:val="20"/>
          <w:szCs w:val="20"/>
          <w:bdr w:val="none" w:sz="0" w:space="0" w:color="auto"/>
          <w:lang w:val="es-ES_tradnl"/>
        </w:rPr>
        <w:t>.</w:t>
      </w:r>
    </w:p>
    <w:p w:rsidR="00D50EDB" w:rsidRPr="00DC278B" w:rsidRDefault="00D50EDB" w:rsidP="00D50E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BA0A5E" w:rsidRPr="00DC278B" w:rsidRDefault="00E24E60" w:rsidP="00DC278B">
      <w:pPr>
        <w:pStyle w:val="Heading2"/>
        <w:ind w:left="1440" w:hanging="720"/>
      </w:pPr>
      <w:bookmarkStart w:id="21" w:name="_Toc413397474"/>
      <w:r w:rsidRPr="00DC278B">
        <w:t>D.</w:t>
      </w:r>
      <w:r w:rsidRPr="00DC278B">
        <w:tab/>
      </w:r>
      <w:r w:rsidR="005E63E4" w:rsidRPr="00DC278B">
        <w:t>Situación de los grupos familiares de Lucía Morales</w:t>
      </w:r>
      <w:r w:rsidR="008C6949" w:rsidRPr="00DC278B">
        <w:t xml:space="preserve"> </w:t>
      </w:r>
      <w:r w:rsidR="007301C7" w:rsidRPr="00DC278B">
        <w:t xml:space="preserve">y </w:t>
      </w:r>
      <w:r w:rsidR="005E63E4" w:rsidRPr="00DC278B">
        <w:t xml:space="preserve">Patricia </w:t>
      </w:r>
      <w:r w:rsidR="00516BD4" w:rsidRPr="00DC278B">
        <w:t>Cortés</w:t>
      </w:r>
      <w:r w:rsidR="005E63E4" w:rsidRPr="00DC278B">
        <w:t xml:space="preserve"> y sus causas</w:t>
      </w:r>
      <w:r w:rsidR="007301C7" w:rsidRPr="00DC278B">
        <w:t xml:space="preserve"> </w:t>
      </w:r>
      <w:r w:rsidR="00665F90" w:rsidRPr="00DC278B">
        <w:t>con</w:t>
      </w:r>
      <w:r w:rsidR="00CB7019" w:rsidRPr="00DC278B">
        <w:t>tra</w:t>
      </w:r>
      <w:r w:rsidR="00F640C5" w:rsidRPr="00DC278B">
        <w:t xml:space="preserve"> el</w:t>
      </w:r>
      <w:r w:rsidR="00665F90" w:rsidRPr="00DC278B">
        <w:t xml:space="preserve"> Fisco de Chile</w:t>
      </w:r>
      <w:bookmarkEnd w:id="21"/>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Garamond"/>
          <w:sz w:val="20"/>
          <w:szCs w:val="20"/>
          <w:bdr w:val="none" w:sz="0" w:space="0" w:color="auto"/>
          <w:lang w:val="es-ES_tradnl"/>
        </w:rPr>
      </w:pPr>
    </w:p>
    <w:p w:rsidR="00ED1A3E" w:rsidRPr="00DC278B" w:rsidRDefault="00793CB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r w:rsidRPr="00DC278B">
        <w:rPr>
          <w:rFonts w:ascii="Cambria" w:eastAsia="Times New Roman" w:hAnsi="Cambria"/>
          <w:sz w:val="20"/>
          <w:szCs w:val="20"/>
          <w:lang w:val="es-ES"/>
        </w:rPr>
        <w:t xml:space="preserve">Según el Informe de la Comisión </w:t>
      </w:r>
      <w:proofErr w:type="spellStart"/>
      <w:r w:rsidRPr="00DC278B">
        <w:rPr>
          <w:rFonts w:ascii="Cambria" w:eastAsia="Times New Roman" w:hAnsi="Cambria"/>
          <w:sz w:val="20"/>
          <w:szCs w:val="20"/>
          <w:lang w:val="es-ES"/>
        </w:rPr>
        <w:t>Rettig</w:t>
      </w:r>
      <w:proofErr w:type="spellEnd"/>
      <w:r w:rsidRPr="00DC278B">
        <w:rPr>
          <w:rFonts w:ascii="Cambria" w:eastAsia="Times New Roman" w:hAnsi="Cambria"/>
          <w:sz w:val="20"/>
          <w:szCs w:val="20"/>
          <w:lang w:val="es-ES"/>
        </w:rPr>
        <w:t>, el 17 de septiembre de 1973, Jorge Osorio, militante socialista, y profesor</w:t>
      </w:r>
      <w:r w:rsidR="00385C70" w:rsidRPr="00DC278B">
        <w:rPr>
          <w:rFonts w:ascii="Cambria" w:eastAsia="Times New Roman" w:hAnsi="Cambria"/>
          <w:sz w:val="20"/>
          <w:szCs w:val="20"/>
          <w:lang w:val="es-ES"/>
        </w:rPr>
        <w:t xml:space="preserve"> universitario</w:t>
      </w:r>
      <w:r w:rsidRPr="00DC278B">
        <w:rPr>
          <w:rFonts w:ascii="Cambria" w:eastAsia="Times New Roman" w:hAnsi="Cambria"/>
          <w:sz w:val="20"/>
          <w:szCs w:val="20"/>
          <w:lang w:val="es-ES"/>
        </w:rPr>
        <w:t xml:space="preserve">, fue detenido </w:t>
      </w:r>
      <w:r w:rsidR="00385C70" w:rsidRPr="00DC278B">
        <w:rPr>
          <w:rFonts w:ascii="Cambria" w:eastAsia="Times New Roman" w:hAnsi="Cambria"/>
          <w:sz w:val="20"/>
          <w:szCs w:val="20"/>
          <w:lang w:val="es-ES"/>
        </w:rPr>
        <w:t xml:space="preserve">por funcionarios de Investigaciones en las dependencias de </w:t>
      </w:r>
      <w:proofErr w:type="spellStart"/>
      <w:r w:rsidR="00385C70" w:rsidRPr="00DC278B">
        <w:rPr>
          <w:rFonts w:ascii="Cambria" w:eastAsia="Times New Roman" w:hAnsi="Cambria"/>
          <w:sz w:val="20"/>
          <w:szCs w:val="20"/>
          <w:lang w:val="es-ES"/>
        </w:rPr>
        <w:t>Manesa</w:t>
      </w:r>
      <w:proofErr w:type="spellEnd"/>
      <w:r w:rsidR="00385C70" w:rsidRPr="00DC278B">
        <w:rPr>
          <w:rFonts w:ascii="Cambria" w:eastAsia="Times New Roman" w:hAnsi="Cambria"/>
          <w:sz w:val="20"/>
          <w:szCs w:val="20"/>
          <w:lang w:val="es-ES"/>
        </w:rPr>
        <w:t xml:space="preserve"> y conducido a la </w:t>
      </w:r>
      <w:r w:rsidRPr="00DC278B">
        <w:rPr>
          <w:rFonts w:ascii="Cambria" w:eastAsia="Times New Roman" w:hAnsi="Cambria"/>
          <w:sz w:val="20"/>
          <w:szCs w:val="20"/>
          <w:lang w:val="es-ES"/>
        </w:rPr>
        <w:t>Cárcel de “La Serena”</w:t>
      </w:r>
      <w:r w:rsidR="00385C70" w:rsidRPr="00DC278B">
        <w:rPr>
          <w:rFonts w:ascii="Cambria" w:eastAsia="Times New Roman" w:hAnsi="Cambria"/>
          <w:sz w:val="20"/>
          <w:szCs w:val="20"/>
          <w:vertAlign w:val="superscript"/>
          <w:lang w:val="es-ES"/>
        </w:rPr>
        <w:footnoteReference w:id="55"/>
      </w:r>
      <w:r w:rsidR="00D30856">
        <w:rPr>
          <w:rFonts w:ascii="Cambria" w:eastAsia="Times New Roman" w:hAnsi="Cambria"/>
          <w:sz w:val="20"/>
          <w:szCs w:val="20"/>
          <w:lang w:val="es-ES"/>
        </w:rPr>
        <w:t xml:space="preserve">. </w:t>
      </w:r>
      <w:r w:rsidR="00ED1A3E" w:rsidRPr="00DC278B">
        <w:rPr>
          <w:rFonts w:ascii="Cambria" w:eastAsia="Times New Roman" w:hAnsi="Cambria"/>
          <w:sz w:val="20"/>
          <w:szCs w:val="20"/>
          <w:lang w:val="es-ES"/>
        </w:rPr>
        <w:t>A dicha cárcel también fue trasladado Hipólito Cortés, obrero, funcionario municipal</w:t>
      </w:r>
      <w:r w:rsidR="001D679A" w:rsidRPr="00DC278B">
        <w:rPr>
          <w:rFonts w:ascii="Cambria" w:eastAsia="Times New Roman" w:hAnsi="Cambria"/>
          <w:sz w:val="20"/>
          <w:szCs w:val="20"/>
          <w:lang w:val="es-ES"/>
        </w:rPr>
        <w:t>,</w:t>
      </w:r>
      <w:r w:rsidR="00ED1A3E" w:rsidRPr="00DC278B">
        <w:rPr>
          <w:rFonts w:ascii="Cambria" w:eastAsia="Times New Roman" w:hAnsi="Cambria"/>
          <w:sz w:val="20"/>
          <w:szCs w:val="20"/>
          <w:lang w:val="es-ES"/>
        </w:rPr>
        <w:t xml:space="preserve"> </w:t>
      </w:r>
      <w:r w:rsidR="000D2264" w:rsidRPr="00DC278B">
        <w:rPr>
          <w:rFonts w:ascii="Cambria" w:eastAsia="Times New Roman" w:hAnsi="Cambria"/>
          <w:sz w:val="20"/>
          <w:szCs w:val="20"/>
          <w:lang w:val="es-ES"/>
        </w:rPr>
        <w:t xml:space="preserve">dirigente del Sindicato de la Construcción y militante del Partido Comunista, </w:t>
      </w:r>
      <w:r w:rsidR="00ED1A3E" w:rsidRPr="00DC278B">
        <w:rPr>
          <w:rFonts w:ascii="Cambria" w:eastAsia="Times New Roman" w:hAnsi="Cambria"/>
          <w:sz w:val="20"/>
          <w:szCs w:val="20"/>
          <w:lang w:val="es-ES"/>
        </w:rPr>
        <w:t xml:space="preserve">quien </w:t>
      </w:r>
      <w:r w:rsidR="00C062C0" w:rsidRPr="00DC278B">
        <w:rPr>
          <w:rFonts w:ascii="Cambria" w:eastAsia="Times New Roman" w:hAnsi="Cambria"/>
          <w:sz w:val="20"/>
          <w:szCs w:val="20"/>
          <w:lang w:val="es-ES"/>
        </w:rPr>
        <w:t xml:space="preserve">fue </w:t>
      </w:r>
      <w:r w:rsidR="00ED1A3E" w:rsidRPr="00DC278B">
        <w:rPr>
          <w:rFonts w:ascii="Cambria" w:eastAsia="Times New Roman" w:hAnsi="Cambria"/>
          <w:sz w:val="20"/>
          <w:szCs w:val="20"/>
          <w:lang w:val="es-ES"/>
        </w:rPr>
        <w:t>detenido en s</w:t>
      </w:r>
      <w:r w:rsidR="001D679A" w:rsidRPr="00DC278B">
        <w:rPr>
          <w:rFonts w:ascii="Cambria" w:eastAsia="Times New Roman" w:hAnsi="Cambria"/>
          <w:sz w:val="20"/>
          <w:szCs w:val="20"/>
          <w:lang w:val="es-ES"/>
        </w:rPr>
        <w:t>u lugar de trabajo por C</w:t>
      </w:r>
      <w:r w:rsidR="00ED1A3E" w:rsidRPr="00DC278B">
        <w:rPr>
          <w:rFonts w:ascii="Cambria" w:eastAsia="Times New Roman" w:hAnsi="Cambria"/>
          <w:sz w:val="20"/>
          <w:szCs w:val="20"/>
          <w:lang w:val="es-ES"/>
        </w:rPr>
        <w:t>arabineros de Ovalle</w:t>
      </w:r>
      <w:r w:rsidR="00ED1A3E" w:rsidRPr="00DC278B">
        <w:rPr>
          <w:rFonts w:ascii="Cambria" w:eastAsia="Times New Roman" w:hAnsi="Cambria"/>
          <w:sz w:val="20"/>
          <w:szCs w:val="20"/>
          <w:vertAlign w:val="superscript"/>
          <w:lang w:val="es-ES"/>
        </w:rPr>
        <w:footnoteReference w:id="56"/>
      </w:r>
      <w:r w:rsidR="00ED1A3E" w:rsidRPr="00DC278B">
        <w:rPr>
          <w:rFonts w:ascii="Cambria" w:eastAsia="Times New Roman" w:hAnsi="Cambria"/>
          <w:sz w:val="20"/>
          <w:szCs w:val="20"/>
          <w:lang w:val="es-ES"/>
        </w:rPr>
        <w:t xml:space="preserve">. </w:t>
      </w:r>
      <w:r w:rsidR="001D679A" w:rsidRPr="00DC278B">
        <w:rPr>
          <w:rFonts w:ascii="Cambria" w:eastAsia="Times New Roman" w:hAnsi="Cambria"/>
          <w:sz w:val="20"/>
          <w:szCs w:val="20"/>
          <w:lang w:val="es-ES"/>
        </w:rPr>
        <w:t>Hipólito</w:t>
      </w:r>
      <w:r w:rsidR="00ED1A3E" w:rsidRPr="00DC278B">
        <w:rPr>
          <w:rFonts w:ascii="Cambria" w:eastAsia="Times New Roman" w:hAnsi="Cambria"/>
          <w:sz w:val="20"/>
          <w:szCs w:val="20"/>
          <w:lang w:val="es-ES"/>
        </w:rPr>
        <w:t xml:space="preserve"> Cortés f</w:t>
      </w:r>
      <w:r w:rsidR="001D679A" w:rsidRPr="00DC278B">
        <w:rPr>
          <w:rFonts w:ascii="Cambria" w:eastAsia="Times New Roman" w:hAnsi="Cambria"/>
          <w:sz w:val="20"/>
          <w:szCs w:val="20"/>
          <w:lang w:val="es-ES"/>
        </w:rPr>
        <w:t>ue drogado y golpeado durante su detención</w:t>
      </w:r>
      <w:r w:rsidR="00ED1A3E" w:rsidRPr="00DC278B">
        <w:rPr>
          <w:rFonts w:ascii="Cambria" w:eastAsia="Times New Roman" w:hAnsi="Cambria"/>
          <w:sz w:val="20"/>
          <w:szCs w:val="20"/>
          <w:vertAlign w:val="superscript"/>
          <w:lang w:val="es-ES"/>
        </w:rPr>
        <w:footnoteReference w:id="57"/>
      </w:r>
      <w:r w:rsidR="00ED1A3E" w:rsidRPr="00DC278B">
        <w:rPr>
          <w:rFonts w:ascii="Cambria" w:eastAsia="Times New Roman" w:hAnsi="Cambria"/>
          <w:sz w:val="20"/>
          <w:szCs w:val="20"/>
          <w:lang w:val="es-ES"/>
        </w:rPr>
        <w:t>.</w:t>
      </w:r>
    </w:p>
    <w:p w:rsidR="00ED1A3E" w:rsidRPr="00DC278B" w:rsidRDefault="00ED1A3E"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lang w:val="es-ES"/>
        </w:rPr>
      </w:pPr>
    </w:p>
    <w:p w:rsidR="00793CB7" w:rsidRPr="00DC278B" w:rsidRDefault="001A7821"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r w:rsidRPr="00DC278B">
        <w:rPr>
          <w:rFonts w:ascii="Cambria" w:eastAsia="Times New Roman" w:hAnsi="Cambria"/>
          <w:sz w:val="20"/>
          <w:szCs w:val="20"/>
          <w:lang w:val="es-ES"/>
        </w:rPr>
        <w:t>E</w:t>
      </w:r>
      <w:r w:rsidR="00793CB7" w:rsidRPr="00DC278B">
        <w:rPr>
          <w:rFonts w:ascii="Cambria" w:eastAsia="Times New Roman" w:hAnsi="Cambria"/>
          <w:sz w:val="20"/>
          <w:szCs w:val="20"/>
          <w:lang w:val="es-ES"/>
        </w:rPr>
        <w:t xml:space="preserve">l 16 de octubre de 1973, Jorge Osorio </w:t>
      </w:r>
      <w:r w:rsidR="00ED1A3E" w:rsidRPr="00DC278B">
        <w:rPr>
          <w:rFonts w:ascii="Cambria" w:eastAsia="Times New Roman" w:hAnsi="Cambria"/>
          <w:sz w:val="20"/>
          <w:szCs w:val="20"/>
          <w:lang w:val="es-ES"/>
        </w:rPr>
        <w:t xml:space="preserve">e </w:t>
      </w:r>
      <w:r w:rsidR="00C62141" w:rsidRPr="00DC278B">
        <w:rPr>
          <w:rFonts w:ascii="Cambria" w:eastAsia="Times New Roman" w:hAnsi="Cambria"/>
          <w:sz w:val="20"/>
          <w:szCs w:val="20"/>
          <w:lang w:val="es-ES"/>
        </w:rPr>
        <w:t>Hipólito</w:t>
      </w:r>
      <w:r w:rsidR="00341959" w:rsidRPr="00DC278B">
        <w:rPr>
          <w:rFonts w:ascii="Cambria" w:eastAsia="Times New Roman" w:hAnsi="Cambria"/>
          <w:sz w:val="20"/>
          <w:szCs w:val="20"/>
          <w:lang w:val="es-ES"/>
        </w:rPr>
        <w:t xml:space="preserve"> Corté</w:t>
      </w:r>
      <w:r w:rsidR="00ED1A3E" w:rsidRPr="00DC278B">
        <w:rPr>
          <w:rFonts w:ascii="Cambria" w:eastAsia="Times New Roman" w:hAnsi="Cambria"/>
          <w:sz w:val="20"/>
          <w:szCs w:val="20"/>
          <w:lang w:val="es-ES"/>
        </w:rPr>
        <w:t xml:space="preserve">s </w:t>
      </w:r>
      <w:r w:rsidRPr="00DC278B">
        <w:rPr>
          <w:rFonts w:ascii="Cambria" w:eastAsia="Times New Roman" w:hAnsi="Cambria"/>
          <w:sz w:val="20"/>
          <w:szCs w:val="20"/>
          <w:lang w:val="es-ES"/>
        </w:rPr>
        <w:t>fue</w:t>
      </w:r>
      <w:r w:rsidR="00ED1A3E" w:rsidRPr="00DC278B">
        <w:rPr>
          <w:rFonts w:ascii="Cambria" w:eastAsia="Times New Roman" w:hAnsi="Cambria"/>
          <w:sz w:val="20"/>
          <w:szCs w:val="20"/>
          <w:lang w:val="es-ES"/>
        </w:rPr>
        <w:t>ron</w:t>
      </w:r>
      <w:r w:rsidRPr="00DC278B">
        <w:rPr>
          <w:rFonts w:ascii="Cambria" w:eastAsia="Times New Roman" w:hAnsi="Cambria"/>
          <w:sz w:val="20"/>
          <w:szCs w:val="20"/>
          <w:lang w:val="es-ES"/>
        </w:rPr>
        <w:t xml:space="preserve"> </w:t>
      </w:r>
      <w:r w:rsidR="00ED1A3E" w:rsidRPr="00DC278B">
        <w:rPr>
          <w:rFonts w:ascii="Cambria" w:eastAsia="Times New Roman" w:hAnsi="Cambria"/>
          <w:sz w:val="20"/>
          <w:szCs w:val="20"/>
          <w:lang w:val="es-ES"/>
        </w:rPr>
        <w:t>ejecutado</w:t>
      </w:r>
      <w:r w:rsidR="008611BC" w:rsidRPr="00DC278B">
        <w:rPr>
          <w:rFonts w:ascii="Cambria" w:eastAsia="Times New Roman" w:hAnsi="Cambria"/>
          <w:sz w:val="20"/>
          <w:szCs w:val="20"/>
          <w:lang w:val="es-ES"/>
        </w:rPr>
        <w:t>s</w:t>
      </w:r>
      <w:r w:rsidR="00ED1A3E" w:rsidRPr="00DC278B">
        <w:rPr>
          <w:rFonts w:ascii="Cambria" w:eastAsia="Times New Roman" w:hAnsi="Cambria"/>
          <w:sz w:val="20"/>
          <w:szCs w:val="20"/>
          <w:lang w:val="es-ES"/>
        </w:rPr>
        <w:t xml:space="preserve"> junto con otras 13</w:t>
      </w:r>
      <w:r w:rsidR="00793CB7" w:rsidRPr="00DC278B">
        <w:rPr>
          <w:rFonts w:ascii="Cambria" w:eastAsia="Times New Roman" w:hAnsi="Cambria"/>
          <w:sz w:val="20"/>
          <w:szCs w:val="20"/>
          <w:lang w:val="es-ES"/>
        </w:rPr>
        <w:t xml:space="preserve"> personas e</w:t>
      </w:r>
      <w:r w:rsidR="00470193" w:rsidRPr="00DC278B">
        <w:rPr>
          <w:rFonts w:ascii="Cambria" w:eastAsia="Times New Roman" w:hAnsi="Cambria"/>
          <w:sz w:val="20"/>
          <w:szCs w:val="20"/>
          <w:lang w:val="es-ES"/>
        </w:rPr>
        <w:t>n el Regimiento Militar Arica</w:t>
      </w:r>
      <w:r w:rsidR="00793CB7" w:rsidRPr="00DC278B">
        <w:rPr>
          <w:rFonts w:ascii="Cambria" w:eastAsia="Times New Roman" w:hAnsi="Cambria"/>
          <w:sz w:val="20"/>
          <w:szCs w:val="20"/>
          <w:lang w:val="es-ES"/>
        </w:rPr>
        <w:t>, “conforme a lo dispuesto por los Tribunales Militares en tiempo de Guerra”</w:t>
      </w:r>
      <w:r w:rsidR="00470193" w:rsidRPr="00DC278B">
        <w:rPr>
          <w:rStyle w:val="FootnoteReference"/>
          <w:rFonts w:ascii="Cambria" w:eastAsia="Times New Roman" w:hAnsi="Cambria"/>
          <w:sz w:val="20"/>
          <w:szCs w:val="20"/>
          <w:lang w:val="es-ES"/>
        </w:rPr>
        <w:footnoteReference w:id="58"/>
      </w:r>
      <w:r w:rsidR="00793CB7" w:rsidRPr="00DC278B">
        <w:rPr>
          <w:rFonts w:ascii="Cambria" w:eastAsia="Times New Roman" w:hAnsi="Cambria"/>
          <w:sz w:val="20"/>
          <w:szCs w:val="20"/>
          <w:lang w:val="es-ES"/>
        </w:rPr>
        <w:t>.</w:t>
      </w:r>
      <w:r w:rsidRPr="00DC278B">
        <w:rPr>
          <w:rFonts w:ascii="Cambria" w:eastAsia="Times New Roman" w:hAnsi="Cambria"/>
          <w:sz w:val="20"/>
          <w:szCs w:val="20"/>
          <w:lang w:val="es-ES"/>
        </w:rPr>
        <w:t xml:space="preserve"> </w:t>
      </w:r>
      <w:r w:rsidR="00ED1A3E" w:rsidRPr="00DC278B">
        <w:rPr>
          <w:rFonts w:ascii="Cambria" w:eastAsia="Times New Roman" w:hAnsi="Cambria"/>
          <w:sz w:val="20"/>
          <w:szCs w:val="20"/>
          <w:lang w:val="es-ES"/>
        </w:rPr>
        <w:t>Estas</w:t>
      </w:r>
      <w:r w:rsidRPr="00DC278B">
        <w:rPr>
          <w:rFonts w:ascii="Cambria" w:eastAsia="Times New Roman" w:hAnsi="Cambria"/>
          <w:sz w:val="20"/>
          <w:szCs w:val="20"/>
          <w:lang w:val="es-ES"/>
        </w:rPr>
        <w:t xml:space="preserve"> ejecuciones fueron</w:t>
      </w:r>
      <w:r w:rsidR="00793CB7" w:rsidRPr="00DC278B">
        <w:rPr>
          <w:rFonts w:ascii="Cambria" w:eastAsia="Times New Roman" w:hAnsi="Cambria"/>
          <w:sz w:val="20"/>
          <w:szCs w:val="20"/>
          <w:lang w:val="es-ES"/>
        </w:rPr>
        <w:t xml:space="preserve"> realizadas por </w:t>
      </w:r>
      <w:r w:rsidRPr="00DC278B">
        <w:rPr>
          <w:rFonts w:ascii="Cambria" w:eastAsia="Times New Roman" w:hAnsi="Cambria"/>
          <w:sz w:val="20"/>
          <w:szCs w:val="20"/>
          <w:lang w:val="es-ES"/>
        </w:rPr>
        <w:t>agentes del Estado</w:t>
      </w:r>
      <w:r w:rsidR="00793CB7" w:rsidRPr="00DC278B">
        <w:rPr>
          <w:rFonts w:ascii="Cambria" w:eastAsia="Times New Roman" w:hAnsi="Cambria"/>
          <w:sz w:val="20"/>
          <w:szCs w:val="20"/>
          <w:lang w:val="es-ES"/>
        </w:rPr>
        <w:t xml:space="preserve"> al margen de todo proceso lega</w:t>
      </w:r>
      <w:r w:rsidR="00675D16" w:rsidRPr="00DC278B">
        <w:rPr>
          <w:rFonts w:ascii="Cambria" w:eastAsia="Times New Roman" w:hAnsi="Cambria"/>
          <w:sz w:val="20"/>
          <w:szCs w:val="20"/>
          <w:lang w:val="es-ES"/>
        </w:rPr>
        <w:t>l</w:t>
      </w:r>
      <w:r w:rsidR="00470193" w:rsidRPr="00DC278B">
        <w:rPr>
          <w:rFonts w:ascii="Cambria" w:eastAsia="Times New Roman" w:hAnsi="Cambria"/>
          <w:sz w:val="20"/>
          <w:szCs w:val="20"/>
          <w:lang w:val="es-ES"/>
        </w:rPr>
        <w:t xml:space="preserve"> </w:t>
      </w:r>
      <w:r w:rsidR="00675D16" w:rsidRPr="00DC278B">
        <w:rPr>
          <w:rFonts w:ascii="Cambria" w:eastAsia="Times New Roman" w:hAnsi="Cambria"/>
          <w:sz w:val="20"/>
          <w:szCs w:val="20"/>
          <w:lang w:val="es-ES"/>
        </w:rPr>
        <w:t>y</w:t>
      </w:r>
      <w:r w:rsidRPr="00DC278B">
        <w:rPr>
          <w:rFonts w:ascii="Cambria" w:eastAsia="Times New Roman" w:hAnsi="Cambria"/>
          <w:sz w:val="20"/>
          <w:szCs w:val="20"/>
          <w:lang w:val="es-ES"/>
        </w:rPr>
        <w:t xml:space="preserve"> los cuerpos fueron </w:t>
      </w:r>
      <w:r w:rsidR="00793CB7" w:rsidRPr="00DC278B">
        <w:rPr>
          <w:rFonts w:ascii="Cambria" w:eastAsia="Times New Roman" w:hAnsi="Cambria"/>
          <w:sz w:val="20"/>
          <w:szCs w:val="20"/>
          <w:lang w:val="es-ES"/>
        </w:rPr>
        <w:t>sepultados</w:t>
      </w:r>
      <w:r w:rsidR="00C34113" w:rsidRPr="00DC278B">
        <w:rPr>
          <w:rFonts w:ascii="Cambria" w:eastAsia="Times New Roman" w:hAnsi="Cambria"/>
          <w:sz w:val="20"/>
          <w:szCs w:val="20"/>
          <w:lang w:val="es-ES"/>
        </w:rPr>
        <w:t xml:space="preserve"> en una fosa común en el cementerio de la Serena</w:t>
      </w:r>
      <w:r w:rsidR="006F5AAE" w:rsidRPr="00DC278B">
        <w:rPr>
          <w:rFonts w:ascii="Cambria" w:eastAsia="Calibri" w:hAnsi="Cambria" w:cs="Arial"/>
          <w:sz w:val="20"/>
          <w:szCs w:val="20"/>
          <w:bdr w:val="none" w:sz="0" w:space="0" w:color="auto"/>
          <w:vertAlign w:val="superscript"/>
          <w:lang w:val="es-MX"/>
        </w:rPr>
        <w:footnoteReference w:id="59"/>
      </w:r>
      <w:r w:rsidR="00793CB7" w:rsidRPr="00DC278B">
        <w:rPr>
          <w:rFonts w:ascii="Cambria" w:eastAsia="Times New Roman" w:hAnsi="Cambria"/>
          <w:sz w:val="20"/>
          <w:szCs w:val="20"/>
          <w:lang w:val="es-ES"/>
        </w:rPr>
        <w:t xml:space="preserve">. </w:t>
      </w:r>
    </w:p>
    <w:p w:rsidR="00304AD9" w:rsidRPr="00DC278B" w:rsidRDefault="00304AD9"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lang w:val="es-ES"/>
        </w:rPr>
      </w:pPr>
    </w:p>
    <w:p w:rsidR="00793CB7" w:rsidRPr="00DC278B" w:rsidRDefault="009C3BA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Mediante la Ley 19.123 de 1992, </w:t>
      </w:r>
      <w:r w:rsidR="00E4688F" w:rsidRPr="00DC278B">
        <w:rPr>
          <w:rFonts w:ascii="Cambria" w:eastAsia="Times New Roman" w:hAnsi="Cambria"/>
          <w:sz w:val="20"/>
          <w:szCs w:val="20"/>
          <w:bdr w:val="none" w:sz="0" w:space="0" w:color="auto"/>
          <w:lang w:val="es-ES_tradnl"/>
        </w:rPr>
        <w:t>la</w:t>
      </w:r>
      <w:r w:rsidR="00654330" w:rsidRPr="00DC278B">
        <w:rPr>
          <w:rFonts w:ascii="Cambria" w:eastAsia="Times New Roman" w:hAnsi="Cambria"/>
          <w:sz w:val="20"/>
          <w:szCs w:val="20"/>
          <w:bdr w:val="none" w:sz="0" w:space="0" w:color="auto"/>
          <w:lang w:val="es-ES_tradnl"/>
        </w:rPr>
        <w:t xml:space="preserve"> esposa</w:t>
      </w:r>
      <w:r w:rsidR="00304AD9" w:rsidRPr="00DC278B">
        <w:rPr>
          <w:rFonts w:ascii="Cambria" w:eastAsia="Times New Roman" w:hAnsi="Cambria"/>
          <w:sz w:val="20"/>
          <w:szCs w:val="20"/>
          <w:bdr w:val="none" w:sz="0" w:space="0" w:color="auto"/>
          <w:lang w:val="es-ES_tradnl"/>
        </w:rPr>
        <w:t xml:space="preserve"> de Jorge Osorio</w:t>
      </w:r>
      <w:r w:rsidR="00ED1B04" w:rsidRPr="00DC278B">
        <w:rPr>
          <w:rFonts w:ascii="Cambria" w:eastAsia="Times New Roman" w:hAnsi="Cambria"/>
          <w:sz w:val="20"/>
          <w:szCs w:val="20"/>
          <w:bdr w:val="none" w:sz="0" w:space="0" w:color="auto"/>
          <w:lang w:val="es-ES_tradnl"/>
        </w:rPr>
        <w:t>, Lucia Morales</w:t>
      </w:r>
      <w:r w:rsidR="00304AD9" w:rsidRPr="00DC278B">
        <w:rPr>
          <w:rFonts w:ascii="Cambria" w:eastAsia="Times New Roman" w:hAnsi="Cambria"/>
          <w:sz w:val="20"/>
          <w:szCs w:val="20"/>
          <w:bdr w:val="none" w:sz="0" w:space="0" w:color="auto"/>
          <w:lang w:val="es-ES_tradnl"/>
        </w:rPr>
        <w:t>, recibe una pensión mensual</w:t>
      </w:r>
      <w:r w:rsidRPr="00DC278B">
        <w:rPr>
          <w:rFonts w:ascii="Cambria" w:eastAsia="Times New Roman" w:hAnsi="Cambria"/>
          <w:sz w:val="20"/>
          <w:szCs w:val="20"/>
          <w:bdr w:val="none" w:sz="0" w:space="0" w:color="auto"/>
          <w:lang w:val="es-ES_tradnl"/>
        </w:rPr>
        <w:t>, que rige desde julio de 1991</w:t>
      </w:r>
      <w:r w:rsidR="00304AD9" w:rsidRPr="00DC278B">
        <w:rPr>
          <w:rFonts w:ascii="Cambria" w:eastAsia="Times New Roman" w:hAnsi="Cambria"/>
          <w:sz w:val="20"/>
          <w:szCs w:val="20"/>
          <w:bdr w:val="none" w:sz="0" w:space="0" w:color="auto"/>
          <w:vertAlign w:val="superscript"/>
          <w:lang w:val="es-ES"/>
        </w:rPr>
        <w:footnoteReference w:id="60"/>
      </w:r>
      <w:r w:rsidR="000F4860" w:rsidRPr="00DC278B">
        <w:rPr>
          <w:rFonts w:ascii="Cambria" w:eastAsia="Times New Roman" w:hAnsi="Cambria"/>
          <w:sz w:val="20"/>
          <w:szCs w:val="20"/>
          <w:bdr w:val="none" w:sz="0" w:space="0" w:color="auto"/>
          <w:lang w:val="es-ES_tradnl"/>
        </w:rPr>
        <w:t xml:space="preserve"> y </w:t>
      </w:r>
      <w:r w:rsidR="00654330" w:rsidRPr="00DC278B">
        <w:rPr>
          <w:rFonts w:ascii="Cambria" w:eastAsia="Times New Roman" w:hAnsi="Cambria"/>
          <w:sz w:val="20"/>
          <w:szCs w:val="20"/>
          <w:bdr w:val="none" w:sz="0" w:space="0" w:color="auto"/>
          <w:lang w:val="es-ES_tradnl"/>
        </w:rPr>
        <w:t>la esposa</w:t>
      </w:r>
      <w:r w:rsidR="002163E3" w:rsidRPr="00DC278B">
        <w:rPr>
          <w:rFonts w:ascii="Cambria" w:eastAsia="Times New Roman" w:hAnsi="Cambria"/>
          <w:sz w:val="20"/>
          <w:szCs w:val="20"/>
          <w:bdr w:val="none" w:sz="0" w:space="0" w:color="auto"/>
          <w:lang w:val="es-ES_tradnl"/>
        </w:rPr>
        <w:t xml:space="preserve"> de Hipólito Cortés, Alina Barraza, recibe una pensión mensual</w:t>
      </w:r>
      <w:r w:rsidRPr="00DC278B">
        <w:rPr>
          <w:rFonts w:ascii="Cambria" w:eastAsia="Times New Roman" w:hAnsi="Cambria"/>
          <w:sz w:val="20"/>
          <w:szCs w:val="20"/>
          <w:bdr w:val="none" w:sz="0" w:space="0" w:color="auto"/>
          <w:lang w:val="es-ES_tradnl"/>
        </w:rPr>
        <w:t>, que rige desde julio de 1991</w:t>
      </w:r>
      <w:r w:rsidR="002163E3" w:rsidRPr="00DC278B">
        <w:rPr>
          <w:rFonts w:ascii="Cambria" w:eastAsia="Times New Roman" w:hAnsi="Cambria"/>
          <w:sz w:val="20"/>
          <w:szCs w:val="20"/>
          <w:bdr w:val="none" w:sz="0" w:space="0" w:color="auto"/>
          <w:vertAlign w:val="superscript"/>
        </w:rPr>
        <w:footnoteReference w:id="61"/>
      </w:r>
      <w:r w:rsidR="002163E3" w:rsidRPr="00DC278B">
        <w:rPr>
          <w:rFonts w:ascii="Cambria" w:eastAsia="Times New Roman" w:hAnsi="Cambria"/>
          <w:sz w:val="20"/>
          <w:szCs w:val="20"/>
          <w:bdr w:val="none" w:sz="0" w:space="0" w:color="auto"/>
          <w:lang w:val="es-ES_tradnl"/>
        </w:rPr>
        <w:t>.</w:t>
      </w:r>
      <w:r w:rsidR="00D50EDB">
        <w:rPr>
          <w:rFonts w:ascii="Cambria" w:eastAsia="Times New Roman" w:hAnsi="Cambria"/>
          <w:sz w:val="20"/>
          <w:szCs w:val="20"/>
          <w:bdr w:val="none" w:sz="0" w:space="0" w:color="auto"/>
          <w:lang w:val="es-ES_tradnl"/>
        </w:rPr>
        <w:t xml:space="preserve"> </w:t>
      </w:r>
    </w:p>
    <w:p w:rsidR="000F4860" w:rsidRPr="00DC278B" w:rsidRDefault="000F486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27BBB" w:rsidRPr="00DC278B" w:rsidRDefault="00427BBB"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r w:rsidRPr="00DC278B">
        <w:rPr>
          <w:rFonts w:ascii="Cambria" w:eastAsia="Times New Roman" w:hAnsi="Cambria"/>
          <w:sz w:val="20"/>
          <w:szCs w:val="20"/>
          <w:bdr w:val="none" w:sz="0" w:space="0" w:color="auto"/>
          <w:lang w:val="es-ES_tradnl"/>
        </w:rPr>
        <w:t xml:space="preserve">En 1997, la esposa y los hijos de Jorge Osorio presentaron una acción civil de </w:t>
      </w:r>
      <w:r w:rsidR="00D91F0B" w:rsidRPr="00DC278B">
        <w:rPr>
          <w:rFonts w:ascii="Cambria" w:eastAsia="Times New Roman" w:hAnsi="Cambria"/>
          <w:sz w:val="20"/>
          <w:szCs w:val="20"/>
          <w:bdr w:val="none" w:sz="0" w:space="0" w:color="auto"/>
          <w:lang w:val="es-ES_tradnl"/>
        </w:rPr>
        <w:t xml:space="preserve">indemnización de </w:t>
      </w:r>
      <w:r w:rsidRPr="00DC278B">
        <w:rPr>
          <w:rFonts w:ascii="Cambria" w:eastAsia="Times New Roman" w:hAnsi="Cambria"/>
          <w:sz w:val="20"/>
          <w:szCs w:val="20"/>
          <w:bdr w:val="none" w:sz="0" w:space="0" w:color="auto"/>
          <w:lang w:val="es-ES_tradnl"/>
        </w:rPr>
        <w:t xml:space="preserve">perjuicios ante el 8º Juzgado Civil, dándose inicio al proceso “Morales Lucía con Fisco de Chile”, Rol 4720-97, por su </w:t>
      </w:r>
      <w:r w:rsidR="00D30856">
        <w:rPr>
          <w:rFonts w:ascii="Cambria" w:eastAsia="Times New Roman" w:hAnsi="Cambria"/>
          <w:sz w:val="20"/>
          <w:szCs w:val="20"/>
          <w:bdr w:val="none" w:sz="0" w:space="0" w:color="auto"/>
          <w:lang w:val="es-ES_tradnl"/>
        </w:rPr>
        <w:t xml:space="preserve">detención y ejecución en 1973. </w:t>
      </w:r>
    </w:p>
    <w:p w:rsidR="00427BBB" w:rsidRPr="00DC278B" w:rsidRDefault="00427BBB" w:rsidP="00DC278B">
      <w:pPr>
        <w:pStyle w:val="MediumGrid1-Accent21"/>
        <w:rPr>
          <w:rFonts w:eastAsia="Times New Roman"/>
          <w:color w:val="auto"/>
          <w:sz w:val="20"/>
          <w:szCs w:val="20"/>
          <w:lang w:val="es-ES"/>
        </w:rPr>
      </w:pPr>
    </w:p>
    <w:p w:rsidR="00BA0A5E" w:rsidRPr="00DC278B" w:rsidRDefault="001A7821"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r w:rsidRPr="00DC278B">
        <w:rPr>
          <w:rFonts w:ascii="Cambria" w:eastAsia="Times New Roman" w:hAnsi="Cambria"/>
          <w:sz w:val="20"/>
          <w:szCs w:val="20"/>
          <w:lang w:val="es-ES"/>
        </w:rPr>
        <w:t>En</w:t>
      </w:r>
      <w:r w:rsidR="00793CB7" w:rsidRPr="00DC278B">
        <w:rPr>
          <w:rFonts w:ascii="Cambria" w:eastAsia="Times New Roman" w:hAnsi="Cambria"/>
          <w:sz w:val="20"/>
          <w:szCs w:val="20"/>
          <w:lang w:val="es-ES"/>
        </w:rPr>
        <w:t xml:space="preserve"> 1998, </w:t>
      </w:r>
      <w:r w:rsidR="00C34113" w:rsidRPr="00DC278B">
        <w:rPr>
          <w:rFonts w:ascii="Cambria" w:eastAsia="Times New Roman" w:hAnsi="Cambria"/>
          <w:sz w:val="20"/>
          <w:szCs w:val="20"/>
          <w:lang w:val="es-ES"/>
        </w:rPr>
        <w:t xml:space="preserve">se </w:t>
      </w:r>
      <w:r w:rsidR="00793CB7" w:rsidRPr="00DC278B">
        <w:rPr>
          <w:rFonts w:ascii="Cambria" w:eastAsia="Times New Roman" w:hAnsi="Cambria"/>
          <w:sz w:val="20"/>
          <w:szCs w:val="20"/>
          <w:lang w:val="es-ES"/>
        </w:rPr>
        <w:t>exhuma</w:t>
      </w:r>
      <w:r w:rsidR="00C34113" w:rsidRPr="00DC278B">
        <w:rPr>
          <w:rFonts w:ascii="Cambria" w:eastAsia="Times New Roman" w:hAnsi="Cambria"/>
          <w:sz w:val="20"/>
          <w:szCs w:val="20"/>
          <w:lang w:val="es-ES"/>
        </w:rPr>
        <w:t>ron</w:t>
      </w:r>
      <w:r w:rsidR="00793CB7" w:rsidRPr="00DC278B">
        <w:rPr>
          <w:rFonts w:ascii="Cambria" w:eastAsia="Times New Roman" w:hAnsi="Cambria"/>
          <w:sz w:val="20"/>
          <w:szCs w:val="20"/>
          <w:lang w:val="es-ES"/>
        </w:rPr>
        <w:t xml:space="preserve"> </w:t>
      </w:r>
      <w:r w:rsidR="00C34113" w:rsidRPr="00DC278B">
        <w:rPr>
          <w:rFonts w:ascii="Cambria" w:eastAsia="Times New Roman" w:hAnsi="Cambria"/>
          <w:sz w:val="20"/>
          <w:szCs w:val="20"/>
          <w:lang w:val="es-ES"/>
        </w:rPr>
        <w:t xml:space="preserve">e identificaron </w:t>
      </w:r>
      <w:r w:rsidR="0093313B" w:rsidRPr="00DC278B">
        <w:rPr>
          <w:rFonts w:ascii="Cambria" w:eastAsia="Times New Roman" w:hAnsi="Cambria"/>
          <w:sz w:val="20"/>
          <w:szCs w:val="20"/>
          <w:lang w:val="es-ES"/>
        </w:rPr>
        <w:t>los</w:t>
      </w:r>
      <w:r w:rsidR="00793CB7" w:rsidRPr="00DC278B">
        <w:rPr>
          <w:rFonts w:ascii="Cambria" w:eastAsia="Times New Roman" w:hAnsi="Cambria"/>
          <w:sz w:val="20"/>
          <w:szCs w:val="20"/>
          <w:lang w:val="es-ES"/>
        </w:rPr>
        <w:t xml:space="preserve"> restos</w:t>
      </w:r>
      <w:r w:rsidR="0093313B" w:rsidRPr="00DC278B">
        <w:rPr>
          <w:rFonts w:ascii="Cambria" w:eastAsia="Times New Roman" w:hAnsi="Cambria"/>
          <w:sz w:val="20"/>
          <w:szCs w:val="20"/>
          <w:lang w:val="es-ES"/>
        </w:rPr>
        <w:t xml:space="preserve"> de ambas víctimas</w:t>
      </w:r>
      <w:r w:rsidR="00793CB7" w:rsidRPr="00DC278B">
        <w:rPr>
          <w:rFonts w:ascii="Cambria" w:eastAsia="Times New Roman" w:hAnsi="Cambria"/>
          <w:sz w:val="20"/>
          <w:szCs w:val="20"/>
          <w:lang w:val="es-ES"/>
        </w:rPr>
        <w:t>, los cuales permitieron establecer también que había</w:t>
      </w:r>
      <w:r w:rsidR="00ED1A3E" w:rsidRPr="00DC278B">
        <w:rPr>
          <w:rFonts w:ascii="Cambria" w:eastAsia="Times New Roman" w:hAnsi="Cambria"/>
          <w:sz w:val="20"/>
          <w:szCs w:val="20"/>
          <w:lang w:val="es-ES"/>
        </w:rPr>
        <w:t>n</w:t>
      </w:r>
      <w:r w:rsidR="00793CB7" w:rsidRPr="00DC278B">
        <w:rPr>
          <w:rFonts w:ascii="Cambria" w:eastAsia="Times New Roman" w:hAnsi="Cambria"/>
          <w:sz w:val="20"/>
          <w:szCs w:val="20"/>
          <w:lang w:val="es-ES"/>
        </w:rPr>
        <w:t xml:space="preserve"> sido </w:t>
      </w:r>
      <w:r w:rsidRPr="00DC278B">
        <w:rPr>
          <w:rFonts w:ascii="Cambria" w:eastAsia="Times New Roman" w:hAnsi="Cambria"/>
          <w:sz w:val="20"/>
          <w:szCs w:val="20"/>
          <w:lang w:val="es-ES"/>
        </w:rPr>
        <w:t>torturado</w:t>
      </w:r>
      <w:r w:rsidR="00ED1A3E" w:rsidRPr="00DC278B">
        <w:rPr>
          <w:rFonts w:ascii="Cambria" w:eastAsia="Times New Roman" w:hAnsi="Cambria"/>
          <w:sz w:val="20"/>
          <w:szCs w:val="20"/>
          <w:lang w:val="es-ES"/>
        </w:rPr>
        <w:t xml:space="preserve">s </w:t>
      </w:r>
      <w:r w:rsidRPr="00DC278B">
        <w:rPr>
          <w:rFonts w:ascii="Cambria" w:eastAsia="Times New Roman" w:hAnsi="Cambria"/>
          <w:sz w:val="20"/>
          <w:szCs w:val="20"/>
          <w:lang w:val="es-ES"/>
        </w:rPr>
        <w:t>antes de ser ejecutado</w:t>
      </w:r>
      <w:r w:rsidR="00ED1A3E" w:rsidRPr="00DC278B">
        <w:rPr>
          <w:rFonts w:ascii="Cambria" w:eastAsia="Times New Roman" w:hAnsi="Cambria"/>
          <w:sz w:val="20"/>
          <w:szCs w:val="20"/>
          <w:lang w:val="es-ES"/>
        </w:rPr>
        <w:t>s</w:t>
      </w:r>
      <w:r w:rsidRPr="00DC278B">
        <w:rPr>
          <w:rFonts w:ascii="Cambria" w:eastAsia="Times New Roman" w:hAnsi="Cambria"/>
          <w:sz w:val="20"/>
          <w:szCs w:val="20"/>
          <w:lang w:val="es-ES"/>
        </w:rPr>
        <w:t xml:space="preserve"> extrajudicialmente</w:t>
      </w:r>
      <w:r w:rsidR="001B397A" w:rsidRPr="00DC278B">
        <w:rPr>
          <w:rFonts w:ascii="Cambria" w:eastAsia="Calibri" w:hAnsi="Cambria"/>
          <w:sz w:val="20"/>
          <w:szCs w:val="20"/>
          <w:bdr w:val="none" w:sz="0" w:space="0" w:color="auto"/>
          <w:vertAlign w:val="superscript"/>
          <w:lang w:val="es-CO"/>
        </w:rPr>
        <w:footnoteReference w:id="62"/>
      </w:r>
      <w:r w:rsidR="00D30856">
        <w:rPr>
          <w:rFonts w:ascii="Cambria" w:eastAsia="Times New Roman" w:hAnsi="Cambria"/>
          <w:sz w:val="20"/>
          <w:szCs w:val="20"/>
          <w:lang w:val="es-ES"/>
        </w:rPr>
        <w:t xml:space="preserve">. </w:t>
      </w:r>
      <w:r w:rsidR="00E63F00" w:rsidRPr="00DC278B">
        <w:rPr>
          <w:rFonts w:ascii="Cambria" w:eastAsia="Times New Roman" w:hAnsi="Cambria"/>
          <w:sz w:val="20"/>
          <w:szCs w:val="20"/>
          <w:lang w:val="es-ES"/>
        </w:rPr>
        <w:t>Estas vícti</w:t>
      </w:r>
      <w:r w:rsidR="00341959" w:rsidRPr="00DC278B">
        <w:rPr>
          <w:rFonts w:ascii="Cambria" w:eastAsia="Times New Roman" w:hAnsi="Cambria"/>
          <w:sz w:val="20"/>
          <w:szCs w:val="20"/>
          <w:lang w:val="es-ES"/>
        </w:rPr>
        <w:t>mas no se encuentran en la nómin</w:t>
      </w:r>
      <w:r w:rsidR="00E63F00" w:rsidRPr="00DC278B">
        <w:rPr>
          <w:rFonts w:ascii="Cambria" w:eastAsia="Times New Roman" w:hAnsi="Cambria"/>
          <w:sz w:val="20"/>
          <w:szCs w:val="20"/>
          <w:lang w:val="es-ES"/>
        </w:rPr>
        <w:t xml:space="preserve">a de personas reconocidas como víctimas de la Comisión </w:t>
      </w:r>
      <w:proofErr w:type="spellStart"/>
      <w:r w:rsidR="00E63F00" w:rsidRPr="00DC278B">
        <w:rPr>
          <w:rFonts w:ascii="Cambria" w:eastAsia="Times New Roman" w:hAnsi="Cambria"/>
          <w:sz w:val="20"/>
          <w:szCs w:val="20"/>
          <w:lang w:val="es-ES"/>
        </w:rPr>
        <w:t>Valech</w:t>
      </w:r>
      <w:proofErr w:type="spellEnd"/>
      <w:r w:rsidR="00DC01D2" w:rsidRPr="00DC278B">
        <w:rPr>
          <w:rStyle w:val="FootnoteReference"/>
          <w:rFonts w:ascii="Cambria" w:eastAsia="Times New Roman" w:hAnsi="Cambria"/>
          <w:sz w:val="20"/>
          <w:szCs w:val="20"/>
          <w:lang w:val="es-ES"/>
        </w:rPr>
        <w:footnoteReference w:id="63"/>
      </w:r>
      <w:r w:rsidR="00E63F00" w:rsidRPr="00DC278B">
        <w:rPr>
          <w:rFonts w:ascii="Cambria" w:eastAsia="Times New Roman" w:hAnsi="Cambria"/>
          <w:sz w:val="20"/>
          <w:szCs w:val="20"/>
          <w:lang w:val="es-ES"/>
        </w:rPr>
        <w:t>.</w:t>
      </w:r>
    </w:p>
    <w:p w:rsidR="00B43AE5" w:rsidRPr="00DC278B" w:rsidRDefault="00B43AE5"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B43AE5" w:rsidRPr="00DC278B" w:rsidRDefault="00B43AE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27 de enero de 1999, el 8º Juzgado Civil negó la reparación solicitada</w:t>
      </w:r>
      <w:r w:rsidR="00654330" w:rsidRPr="00DC278B">
        <w:rPr>
          <w:rFonts w:ascii="Cambria" w:eastAsia="Times New Roman" w:hAnsi="Cambria"/>
          <w:sz w:val="20"/>
          <w:szCs w:val="20"/>
          <w:bdr w:val="none" w:sz="0" w:space="0" w:color="auto"/>
          <w:lang w:val="es-ES_tradnl"/>
        </w:rPr>
        <w:t xml:space="preserve"> en la causa Morales</w:t>
      </w:r>
      <w:r w:rsidRPr="00DC278B">
        <w:rPr>
          <w:rFonts w:ascii="Cambria" w:eastAsia="Times New Roman" w:hAnsi="Cambria"/>
          <w:sz w:val="20"/>
          <w:szCs w:val="20"/>
          <w:bdr w:val="none" w:sz="0" w:space="0" w:color="auto"/>
          <w:lang w:val="es-ES_tradnl"/>
        </w:rPr>
        <w:t>, al considerar que conforme a las normas de derecho civil, la acción indemnizatoria estaba prescrita</w:t>
      </w:r>
      <w:r w:rsidR="00010E7B" w:rsidRPr="00DC278B">
        <w:rPr>
          <w:rFonts w:ascii="Cambria" w:eastAsia="Times New Roman" w:hAnsi="Cambria"/>
          <w:sz w:val="20"/>
          <w:szCs w:val="20"/>
          <w:bdr w:val="none" w:sz="0" w:space="0" w:color="auto"/>
          <w:lang w:val="es-ES_tradnl"/>
        </w:rPr>
        <w:t xml:space="preserve"> y que existía incompatibilidad con la Ley 19.123</w:t>
      </w:r>
      <w:r w:rsidR="00D31674" w:rsidRPr="00DC278B">
        <w:rPr>
          <w:rFonts w:ascii="Cambria" w:eastAsia="Calibri" w:hAnsi="Cambria"/>
          <w:sz w:val="20"/>
          <w:szCs w:val="20"/>
          <w:bdr w:val="none" w:sz="0" w:space="0" w:color="auto"/>
          <w:vertAlign w:val="superscript"/>
          <w:lang w:val="es-MX"/>
        </w:rPr>
        <w:footnoteReference w:id="64"/>
      </w:r>
      <w:r w:rsidR="00D30856">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Los demandantes apelaron dicho fallo ante la CAS, la cual confirmó el fallo de primera instancia, 10 de diciembre de 2002</w:t>
      </w:r>
      <w:r w:rsidR="004611CE" w:rsidRPr="00DC278B">
        <w:rPr>
          <w:rFonts w:ascii="Cambria" w:eastAsia="Calibri" w:hAnsi="Cambria"/>
          <w:sz w:val="20"/>
          <w:szCs w:val="20"/>
          <w:bdr w:val="none" w:sz="0" w:space="0" w:color="auto"/>
          <w:vertAlign w:val="superscript"/>
          <w:lang w:val="es-MX"/>
        </w:rPr>
        <w:footnoteReference w:id="65"/>
      </w:r>
      <w:r w:rsidR="00D30856">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Contra este fallo, los demandantes interpu</w:t>
      </w:r>
      <w:r w:rsidR="00A133CD" w:rsidRPr="00DC278B">
        <w:rPr>
          <w:rFonts w:ascii="Cambria" w:eastAsia="Times New Roman" w:hAnsi="Cambria"/>
          <w:sz w:val="20"/>
          <w:szCs w:val="20"/>
          <w:bdr w:val="none" w:sz="0" w:space="0" w:color="auto"/>
          <w:lang w:val="es-ES_tradnl"/>
        </w:rPr>
        <w:t>sieron</w:t>
      </w:r>
      <w:r w:rsidRPr="00DC278B">
        <w:rPr>
          <w:rFonts w:ascii="Cambria" w:eastAsia="Times New Roman" w:hAnsi="Cambria"/>
          <w:sz w:val="20"/>
          <w:szCs w:val="20"/>
          <w:bdr w:val="none" w:sz="0" w:space="0" w:color="auto"/>
          <w:lang w:val="es-ES_tradnl"/>
        </w:rPr>
        <w:t xml:space="preserve"> un recurso de casación ante la CSJ</w:t>
      </w:r>
      <w:r w:rsidR="00285F07" w:rsidRPr="00DC278B">
        <w:rPr>
          <w:rFonts w:ascii="Cambria" w:eastAsia="Times New Roman" w:hAnsi="Cambria"/>
          <w:sz w:val="20"/>
          <w:szCs w:val="20"/>
          <w:bdr w:val="none" w:sz="0" w:space="0" w:color="auto"/>
          <w:lang w:val="es-ES_tradnl"/>
        </w:rPr>
        <w:t xml:space="preserve"> el 18 de diciembre de 2002</w:t>
      </w:r>
      <w:r w:rsidRPr="00DC278B">
        <w:rPr>
          <w:rFonts w:ascii="Cambria" w:eastAsia="Times New Roman" w:hAnsi="Cambria"/>
          <w:sz w:val="20"/>
          <w:szCs w:val="20"/>
          <w:bdr w:val="none" w:sz="0" w:space="0" w:color="auto"/>
          <w:lang w:val="es-ES_tradnl"/>
        </w:rPr>
        <w:t xml:space="preserve">, el </w:t>
      </w:r>
      <w:r w:rsidR="00285F07" w:rsidRPr="00DC278B">
        <w:rPr>
          <w:rFonts w:ascii="Cambria" w:eastAsia="Times New Roman" w:hAnsi="Cambria"/>
          <w:sz w:val="20"/>
          <w:szCs w:val="20"/>
          <w:bdr w:val="none" w:sz="0" w:space="0" w:color="auto"/>
          <w:lang w:val="es-ES_tradnl"/>
        </w:rPr>
        <w:t>cual</w:t>
      </w:r>
      <w:r w:rsidRPr="00DC278B">
        <w:rPr>
          <w:rFonts w:ascii="Cambria" w:eastAsia="Times New Roman" w:hAnsi="Cambria"/>
          <w:sz w:val="20"/>
          <w:szCs w:val="20"/>
          <w:bdr w:val="none" w:sz="0" w:space="0" w:color="auto"/>
          <w:lang w:val="es-ES_tradnl"/>
        </w:rPr>
        <w:t xml:space="preserve"> fue declarado desierto el 25 de marzo de 2003</w:t>
      </w:r>
      <w:r w:rsidR="00EA5D1F" w:rsidRPr="00DC278B">
        <w:rPr>
          <w:rFonts w:ascii="Cambria" w:eastAsia="Calibri" w:hAnsi="Cambria"/>
          <w:sz w:val="20"/>
          <w:szCs w:val="20"/>
          <w:bdr w:val="none" w:sz="0" w:space="0" w:color="auto"/>
          <w:vertAlign w:val="superscript"/>
          <w:lang w:val="es-MX"/>
        </w:rPr>
        <w:footnoteReference w:id="66"/>
      </w:r>
      <w:r w:rsidRPr="00DC278B">
        <w:rPr>
          <w:rFonts w:ascii="Cambria" w:eastAsia="Times New Roman" w:hAnsi="Cambria"/>
          <w:sz w:val="20"/>
          <w:szCs w:val="20"/>
          <w:bdr w:val="none" w:sz="0" w:space="0" w:color="auto"/>
          <w:lang w:val="es-ES_tradnl"/>
        </w:rPr>
        <w:t>, al no haberse cumplido con el pago de unas fotocopias; por lo que el expediente volvió al tribunal de origen</w:t>
      </w:r>
      <w:r w:rsidR="00A0131C" w:rsidRPr="00DC278B">
        <w:rPr>
          <w:rFonts w:ascii="Cambria" w:eastAsia="Times New Roman" w:hAnsi="Cambria"/>
          <w:sz w:val="20"/>
          <w:szCs w:val="20"/>
          <w:bdr w:val="none" w:sz="0" w:space="0" w:color="auto"/>
          <w:lang w:val="es-ES_tradnl"/>
        </w:rPr>
        <w:t>.</w:t>
      </w:r>
    </w:p>
    <w:p w:rsidR="00654330" w:rsidRPr="00DC278B" w:rsidRDefault="0065433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647F10" w:rsidRPr="00DC278B" w:rsidRDefault="000E5F2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Por otro lado, e</w:t>
      </w:r>
      <w:r w:rsidR="00654330" w:rsidRPr="00DC278B">
        <w:rPr>
          <w:rFonts w:ascii="Cambria" w:eastAsia="Times New Roman" w:hAnsi="Cambria"/>
          <w:sz w:val="20"/>
          <w:szCs w:val="20"/>
          <w:bdr w:val="none" w:sz="0" w:space="0" w:color="auto"/>
          <w:lang w:val="es-ES_tradnl"/>
        </w:rPr>
        <w:t xml:space="preserve">n 1999, </w:t>
      </w:r>
      <w:r w:rsidRPr="00DC278B">
        <w:rPr>
          <w:rFonts w:ascii="Cambria" w:eastAsia="Times New Roman" w:hAnsi="Cambria"/>
          <w:sz w:val="20"/>
          <w:szCs w:val="20"/>
          <w:bdr w:val="none" w:sz="0" w:space="0" w:color="auto"/>
          <w:lang w:val="es-ES_tradnl"/>
        </w:rPr>
        <w:t>la espo</w:t>
      </w:r>
      <w:r w:rsidR="00341959" w:rsidRPr="00DC278B">
        <w:rPr>
          <w:rFonts w:ascii="Cambria" w:eastAsia="Times New Roman" w:hAnsi="Cambria"/>
          <w:sz w:val="20"/>
          <w:szCs w:val="20"/>
          <w:bdr w:val="none" w:sz="0" w:space="0" w:color="auto"/>
          <w:lang w:val="es-ES_tradnl"/>
        </w:rPr>
        <w:t>sa y los hijos de Hipólito Corté</w:t>
      </w:r>
      <w:r w:rsidRPr="00DC278B">
        <w:rPr>
          <w:rFonts w:ascii="Cambria" w:eastAsia="Times New Roman" w:hAnsi="Cambria"/>
          <w:sz w:val="20"/>
          <w:szCs w:val="20"/>
          <w:bdr w:val="none" w:sz="0" w:space="0" w:color="auto"/>
          <w:lang w:val="es-ES_tradnl"/>
        </w:rPr>
        <w:t xml:space="preserve">s </w:t>
      </w:r>
      <w:r w:rsidR="00832E7E" w:rsidRPr="00DC278B">
        <w:rPr>
          <w:rFonts w:ascii="Cambria" w:eastAsia="Times New Roman" w:hAnsi="Cambria"/>
          <w:sz w:val="20"/>
          <w:szCs w:val="20"/>
          <w:bdr w:val="none" w:sz="0" w:space="0" w:color="auto"/>
          <w:lang w:val="es-ES_tradnl"/>
        </w:rPr>
        <w:t>interpusieron ante 2º J</w:t>
      </w:r>
      <w:r w:rsidRPr="00DC278B">
        <w:rPr>
          <w:rFonts w:ascii="Cambria" w:eastAsia="Times New Roman" w:hAnsi="Cambria"/>
          <w:sz w:val="20"/>
          <w:szCs w:val="20"/>
          <w:bdr w:val="none" w:sz="0" w:space="0" w:color="auto"/>
          <w:lang w:val="es-ES_tradnl"/>
        </w:rPr>
        <w:t>uzgado C</w:t>
      </w:r>
      <w:r w:rsidR="00654330" w:rsidRPr="00DC278B">
        <w:rPr>
          <w:rFonts w:ascii="Cambria" w:eastAsia="Times New Roman" w:hAnsi="Cambria"/>
          <w:sz w:val="20"/>
          <w:szCs w:val="20"/>
          <w:bdr w:val="none" w:sz="0" w:space="0" w:color="auto"/>
          <w:lang w:val="es-ES_tradnl"/>
        </w:rPr>
        <w:t xml:space="preserve">ivil de la Serena, una demanda </w:t>
      </w:r>
      <w:r w:rsidR="00D91F0B" w:rsidRPr="00DC278B">
        <w:rPr>
          <w:rFonts w:ascii="Cambria" w:eastAsia="Times New Roman" w:hAnsi="Cambria"/>
          <w:sz w:val="20"/>
          <w:szCs w:val="20"/>
          <w:bdr w:val="none" w:sz="0" w:space="0" w:color="auto"/>
          <w:lang w:val="es-ES_tradnl"/>
        </w:rPr>
        <w:t xml:space="preserve">civil de reparación de perjuicios </w:t>
      </w:r>
      <w:r w:rsidRPr="00DC278B">
        <w:rPr>
          <w:rFonts w:ascii="Cambria" w:eastAsia="Times New Roman" w:hAnsi="Cambria"/>
          <w:sz w:val="20"/>
          <w:szCs w:val="20"/>
          <w:bdr w:val="none" w:sz="0" w:space="0" w:color="auto"/>
          <w:lang w:val="es-ES_tradnl"/>
        </w:rPr>
        <w:t>por su muerte</w:t>
      </w:r>
      <w:r w:rsidR="001C7030" w:rsidRPr="00DC278B">
        <w:rPr>
          <w:rFonts w:ascii="Cambria" w:eastAsia="Times New Roman" w:hAnsi="Cambria"/>
          <w:sz w:val="20"/>
          <w:szCs w:val="20"/>
          <w:bdr w:val="none" w:sz="0" w:space="0" w:color="auto"/>
          <w:lang w:val="es-ES_tradnl"/>
        </w:rPr>
        <w:t xml:space="preserve"> (Rol 1122-99)</w:t>
      </w:r>
      <w:r w:rsidR="00654330" w:rsidRPr="00DC278B">
        <w:rPr>
          <w:rFonts w:ascii="Cambria" w:eastAsia="Times New Roman" w:hAnsi="Cambria"/>
          <w:sz w:val="20"/>
          <w:szCs w:val="20"/>
          <w:bdr w:val="none" w:sz="0" w:space="0" w:color="auto"/>
          <w:vertAlign w:val="superscript"/>
          <w:lang w:val="es-ES_tradnl"/>
        </w:rPr>
        <w:footnoteReference w:id="67"/>
      </w:r>
      <w:r w:rsidR="00D30856">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w:t>
      </w:r>
      <w:r w:rsidR="00654330" w:rsidRPr="00DC278B">
        <w:rPr>
          <w:rFonts w:ascii="Cambria" w:eastAsia="Times New Roman" w:hAnsi="Cambria"/>
          <w:sz w:val="20"/>
          <w:szCs w:val="20"/>
          <w:bdr w:val="none" w:sz="0" w:space="0" w:color="auto"/>
          <w:lang w:val="es-ES_tradnl"/>
        </w:rPr>
        <w:t xml:space="preserve">El 9 de marzo de 2001, el juez de la causa encontró probada la ejecución extrajudicial alegada y consideró que las pensiones y los bonos de reparación </w:t>
      </w:r>
      <w:r w:rsidR="00647F10" w:rsidRPr="00DC278B">
        <w:rPr>
          <w:rFonts w:ascii="Cambria" w:eastAsia="Times New Roman" w:hAnsi="Cambria"/>
          <w:sz w:val="20"/>
          <w:szCs w:val="20"/>
          <w:bdr w:val="none" w:sz="0" w:space="0" w:color="auto"/>
          <w:lang w:val="es-ES_tradnl"/>
        </w:rPr>
        <w:t xml:space="preserve">otorgados mediante la Ley 19.123 </w:t>
      </w:r>
      <w:r w:rsidR="00654330" w:rsidRPr="00DC278B">
        <w:rPr>
          <w:rFonts w:ascii="Cambria" w:eastAsia="Times New Roman" w:hAnsi="Cambria"/>
          <w:sz w:val="20"/>
          <w:szCs w:val="20"/>
          <w:bdr w:val="none" w:sz="0" w:space="0" w:color="auto"/>
          <w:lang w:val="es-ES_tradnl"/>
        </w:rPr>
        <w:t>no excluían la indemnización de los perjuicios morales</w:t>
      </w:r>
      <w:r w:rsidR="00654330" w:rsidRPr="00DC278B">
        <w:rPr>
          <w:rFonts w:ascii="Cambria" w:eastAsia="Times New Roman" w:hAnsi="Cambria"/>
          <w:sz w:val="20"/>
          <w:szCs w:val="20"/>
          <w:bdr w:val="none" w:sz="0" w:space="0" w:color="auto"/>
          <w:vertAlign w:val="superscript"/>
          <w:lang w:val="es-ES_tradnl"/>
        </w:rPr>
        <w:footnoteReference w:id="68"/>
      </w:r>
      <w:r w:rsidR="00654330" w:rsidRPr="00DC278B">
        <w:rPr>
          <w:rFonts w:ascii="Cambria" w:eastAsia="Times New Roman" w:hAnsi="Cambria"/>
          <w:sz w:val="20"/>
          <w:szCs w:val="20"/>
          <w:bdr w:val="none" w:sz="0" w:space="0" w:color="auto"/>
          <w:lang w:val="es-ES_tradnl"/>
        </w:rPr>
        <w:t xml:space="preserve">. </w:t>
      </w:r>
      <w:r w:rsidR="00647F10" w:rsidRPr="00DC278B">
        <w:rPr>
          <w:rFonts w:ascii="Cambria" w:eastAsia="Times New Roman" w:hAnsi="Cambria"/>
          <w:sz w:val="20"/>
          <w:szCs w:val="20"/>
          <w:bdr w:val="none" w:sz="0" w:space="0" w:color="auto"/>
          <w:lang w:val="es-ES_tradnl"/>
        </w:rPr>
        <w:t xml:space="preserve">Asimismo, dicho juzgado estimó que </w:t>
      </w:r>
    </w:p>
    <w:p w:rsidR="00647F10" w:rsidRPr="00DC278B" w:rsidRDefault="00647F10" w:rsidP="00DC278B">
      <w:pPr>
        <w:pStyle w:val="MediumGrid1-Accent21"/>
        <w:rPr>
          <w:rFonts w:eastAsia="Times New Roman"/>
          <w:color w:val="auto"/>
          <w:sz w:val="20"/>
          <w:szCs w:val="20"/>
          <w:bdr w:val="none" w:sz="0" w:space="0" w:color="auto"/>
          <w:lang w:val="es-ES_tradnl"/>
        </w:rPr>
      </w:pPr>
    </w:p>
    <w:p w:rsidR="00647F10" w:rsidRPr="00DC278B" w:rsidRDefault="00647F10"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Dispone el inciso segundo del artículo 38 de la Constitución Política del Estado, “Cualquier persona que sea lesionada en sus derechos por la Administración del Estado, de sus organismos o de las Municipalidades, podrá reclamar ante los tribunales que determine la ley, sin perjuicio de la responsabilidad que pudiere afectar al funcionario que hubiere causado el daño. Por lo cual, tratándose de responsabilidad extracontractual del Estado, que atendido lo expresado procedentemente, no se encuentra presc</w:t>
      </w:r>
      <w:r w:rsidR="00443644" w:rsidRPr="00DC278B">
        <w:rPr>
          <w:rFonts w:ascii="Cambria" w:eastAsia="Times New Roman" w:hAnsi="Cambria"/>
          <w:sz w:val="20"/>
          <w:szCs w:val="20"/>
          <w:bdr w:val="none" w:sz="0" w:space="0" w:color="auto"/>
          <w:lang w:val="es-ES_tradnl"/>
        </w:rPr>
        <w:t>r</w:t>
      </w:r>
      <w:r w:rsidRPr="00DC278B">
        <w:rPr>
          <w:rFonts w:ascii="Cambria" w:eastAsia="Times New Roman" w:hAnsi="Cambria"/>
          <w:sz w:val="20"/>
          <w:szCs w:val="20"/>
          <w:bdr w:val="none" w:sz="0" w:space="0" w:color="auto"/>
          <w:lang w:val="es-ES_tradnl"/>
        </w:rPr>
        <w:t>ita, deberá determinarse la petición que en tal sentido ha formulado la demandada, estimándose por el contrario, que ella es procedente</w:t>
      </w:r>
      <w:r w:rsidR="003D59E3" w:rsidRPr="00DC278B">
        <w:rPr>
          <w:rFonts w:ascii="Cambria" w:eastAsia="Times New Roman" w:hAnsi="Cambria"/>
          <w:sz w:val="20"/>
          <w:szCs w:val="20"/>
          <w:bdr w:val="none" w:sz="0" w:space="0" w:color="auto"/>
          <w:vertAlign w:val="superscript"/>
          <w:lang w:val="es-ES_tradnl"/>
        </w:rPr>
        <w:footnoteReference w:id="69"/>
      </w:r>
      <w:r w:rsidRPr="00DC278B">
        <w:rPr>
          <w:rFonts w:ascii="Cambria" w:eastAsia="Times New Roman" w:hAnsi="Cambria"/>
          <w:sz w:val="20"/>
          <w:szCs w:val="20"/>
          <w:bdr w:val="none" w:sz="0" w:space="0" w:color="auto"/>
          <w:lang w:val="es-ES_tradnl"/>
        </w:rPr>
        <w:t xml:space="preserve">. </w:t>
      </w:r>
    </w:p>
    <w:p w:rsidR="00647F10" w:rsidRPr="00DC278B" w:rsidRDefault="00647F10" w:rsidP="00DC278B">
      <w:pPr>
        <w:pStyle w:val="MediumGrid1-Accent21"/>
        <w:rPr>
          <w:rFonts w:eastAsia="Times New Roman"/>
          <w:color w:val="auto"/>
          <w:sz w:val="20"/>
          <w:szCs w:val="20"/>
          <w:bdr w:val="none" w:sz="0" w:space="0" w:color="auto"/>
          <w:lang w:val="es-ES_tradnl"/>
        </w:rPr>
      </w:pPr>
    </w:p>
    <w:p w:rsidR="00654330" w:rsidRPr="00DC278B" w:rsidRDefault="0065433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En consecuencia, </w:t>
      </w:r>
      <w:r w:rsidR="00647F10" w:rsidRPr="00DC278B">
        <w:rPr>
          <w:rFonts w:ascii="Cambria" w:eastAsia="Times New Roman" w:hAnsi="Cambria"/>
          <w:sz w:val="20"/>
          <w:szCs w:val="20"/>
          <w:bdr w:val="none" w:sz="0" w:space="0" w:color="auto"/>
          <w:lang w:val="es-ES_tradnl"/>
        </w:rPr>
        <w:t xml:space="preserve">dicho juzgado </w:t>
      </w:r>
      <w:r w:rsidRPr="00DC278B">
        <w:rPr>
          <w:rFonts w:ascii="Cambria" w:eastAsia="Times New Roman" w:hAnsi="Cambria"/>
          <w:sz w:val="20"/>
          <w:szCs w:val="20"/>
          <w:bdr w:val="none" w:sz="0" w:space="0" w:color="auto"/>
          <w:lang w:val="es-ES_tradnl"/>
        </w:rPr>
        <w:t xml:space="preserve">decidió conceder las pretensiones de la demanda y ordenar la indemnización por daño moral </w:t>
      </w:r>
      <w:r w:rsidR="000E5F2D" w:rsidRPr="00DC278B">
        <w:rPr>
          <w:rFonts w:ascii="Cambria" w:eastAsia="Times New Roman" w:hAnsi="Cambria"/>
          <w:sz w:val="20"/>
          <w:szCs w:val="20"/>
          <w:bdr w:val="none" w:sz="0" w:space="0" w:color="auto"/>
          <w:lang w:val="es-ES_tradnl"/>
        </w:rPr>
        <w:t>de quince millones de P</w:t>
      </w:r>
      <w:r w:rsidRPr="00DC278B">
        <w:rPr>
          <w:rFonts w:ascii="Cambria" w:eastAsia="Times New Roman" w:hAnsi="Cambria"/>
          <w:sz w:val="20"/>
          <w:szCs w:val="20"/>
          <w:bdr w:val="none" w:sz="0" w:space="0" w:color="auto"/>
          <w:lang w:val="es-ES_tradnl"/>
        </w:rPr>
        <w:t xml:space="preserve">esos chilenos para el cónyuge y cada uno de </w:t>
      </w:r>
      <w:r w:rsidR="000E5F2D" w:rsidRPr="00DC278B">
        <w:rPr>
          <w:rFonts w:ascii="Cambria" w:eastAsia="Times New Roman" w:hAnsi="Cambria"/>
          <w:sz w:val="20"/>
          <w:szCs w:val="20"/>
          <w:bdr w:val="none" w:sz="0" w:space="0" w:color="auto"/>
          <w:lang w:val="es-ES_tradnl"/>
        </w:rPr>
        <w:t>sus hijos</w:t>
      </w:r>
      <w:r w:rsidRPr="00DC278B">
        <w:rPr>
          <w:rFonts w:ascii="Cambria" w:eastAsia="Times New Roman" w:hAnsi="Cambria"/>
          <w:sz w:val="20"/>
          <w:szCs w:val="20"/>
          <w:bdr w:val="none" w:sz="0" w:space="0" w:color="auto"/>
          <w:vertAlign w:val="superscript"/>
          <w:lang w:val="es-ES_tradnl"/>
        </w:rPr>
        <w:footnoteReference w:id="70"/>
      </w:r>
      <w:r w:rsidRPr="00DC278B">
        <w:rPr>
          <w:rFonts w:ascii="Cambria" w:eastAsia="Times New Roman" w:hAnsi="Cambria"/>
          <w:sz w:val="20"/>
          <w:szCs w:val="20"/>
          <w:bdr w:val="none" w:sz="0" w:space="0" w:color="auto"/>
          <w:lang w:val="es-ES_tradnl"/>
        </w:rPr>
        <w:t>. Asimismo, ordenó descontar de esta suma las cantidades otorgadas por bonos de compensación y pensiones</w:t>
      </w:r>
      <w:r w:rsidRPr="00DC278B">
        <w:rPr>
          <w:rFonts w:ascii="Cambria" w:eastAsia="Times New Roman" w:hAnsi="Cambria"/>
          <w:sz w:val="20"/>
          <w:szCs w:val="20"/>
          <w:bdr w:val="none" w:sz="0" w:space="0" w:color="auto"/>
          <w:vertAlign w:val="superscript"/>
          <w:lang w:val="es-ES_tradnl"/>
        </w:rPr>
        <w:footnoteReference w:id="71"/>
      </w:r>
      <w:r w:rsidRPr="00DC278B">
        <w:rPr>
          <w:rFonts w:ascii="Cambria" w:eastAsia="Times New Roman" w:hAnsi="Cambria"/>
          <w:sz w:val="20"/>
          <w:szCs w:val="20"/>
          <w:bdr w:val="none" w:sz="0" w:space="0" w:color="auto"/>
          <w:lang w:val="es-ES_tradnl"/>
        </w:rPr>
        <w:t xml:space="preserve">. </w:t>
      </w:r>
    </w:p>
    <w:p w:rsidR="00654330" w:rsidRPr="00DC278B" w:rsidRDefault="0065433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3639E7" w:rsidRPr="00DC278B" w:rsidRDefault="0065433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Calibri" w:hAnsi="Cambria"/>
          <w:sz w:val="20"/>
          <w:szCs w:val="20"/>
          <w:bdr w:val="none" w:sz="0" w:space="0" w:color="auto"/>
          <w:lang w:val="es-MX"/>
        </w:rPr>
      </w:pPr>
      <w:r w:rsidRPr="00DC278B">
        <w:rPr>
          <w:rFonts w:ascii="Cambria" w:eastAsia="Times New Roman" w:hAnsi="Cambria"/>
          <w:sz w:val="20"/>
          <w:szCs w:val="20"/>
          <w:bdr w:val="none" w:sz="0" w:space="0" w:color="auto"/>
          <w:lang w:val="es-ES_tradnl"/>
        </w:rPr>
        <w:t xml:space="preserve">El 9 de abril de 2002, la Corte de Apelaciones de la Serena, al decidir un recurso de apelación interpuesto por el </w:t>
      </w:r>
      <w:r w:rsidR="00573798" w:rsidRPr="00DC278B">
        <w:rPr>
          <w:rFonts w:ascii="Cambria" w:eastAsia="Times New Roman" w:hAnsi="Cambria"/>
          <w:sz w:val="20"/>
          <w:szCs w:val="20"/>
          <w:bdr w:val="none" w:sz="0" w:space="0" w:color="auto"/>
          <w:lang w:val="es-ES_tradnl"/>
        </w:rPr>
        <w:t>F</w:t>
      </w:r>
      <w:r w:rsidRPr="00DC278B">
        <w:rPr>
          <w:rFonts w:ascii="Cambria" w:eastAsia="Times New Roman" w:hAnsi="Cambria"/>
          <w:sz w:val="20"/>
          <w:szCs w:val="20"/>
          <w:bdr w:val="none" w:sz="0" w:space="0" w:color="auto"/>
          <w:lang w:val="es-ES_tradnl"/>
        </w:rPr>
        <w:t>isco de Chile, decidió revocar la sentencia de primera</w:t>
      </w:r>
      <w:r w:rsidR="00573798" w:rsidRPr="00DC278B">
        <w:rPr>
          <w:rFonts w:ascii="Cambria" w:eastAsia="Times New Roman" w:hAnsi="Cambria"/>
          <w:sz w:val="20"/>
          <w:szCs w:val="20"/>
          <w:bdr w:val="none" w:sz="0" w:space="0" w:color="auto"/>
          <w:lang w:val="es-ES_tradnl"/>
        </w:rPr>
        <w:t xml:space="preserve"> instancia</w:t>
      </w:r>
      <w:r w:rsidRPr="00DC278B">
        <w:rPr>
          <w:rFonts w:ascii="Cambria" w:eastAsia="Times New Roman" w:hAnsi="Cambria"/>
          <w:sz w:val="20"/>
          <w:szCs w:val="20"/>
          <w:bdr w:val="none" w:sz="0" w:space="0" w:color="auto"/>
          <w:lang w:val="es-ES_tradnl"/>
        </w:rPr>
        <w:t>, por considerar que el plazo de prescripción de cinco a</w:t>
      </w:r>
      <w:r w:rsidR="00573798" w:rsidRPr="00DC278B">
        <w:rPr>
          <w:rFonts w:ascii="Cambria" w:eastAsia="Times New Roman" w:hAnsi="Cambria"/>
          <w:sz w:val="20"/>
          <w:szCs w:val="20"/>
          <w:bdr w:val="none" w:sz="0" w:space="0" w:color="auto"/>
          <w:lang w:val="es-ES_tradnl"/>
        </w:rPr>
        <w:t>ños se encontraba vencido dado que</w:t>
      </w:r>
      <w:r w:rsidRPr="00DC278B">
        <w:rPr>
          <w:rFonts w:ascii="Cambria" w:eastAsia="Times New Roman" w:hAnsi="Cambria"/>
          <w:sz w:val="20"/>
          <w:szCs w:val="20"/>
          <w:bdr w:val="none" w:sz="0" w:space="0" w:color="auto"/>
          <w:lang w:val="es-ES_tradnl"/>
        </w:rPr>
        <w:t xml:space="preserve"> los hechos ocurrieron en 1973</w:t>
      </w:r>
      <w:r w:rsidR="00E07283" w:rsidRPr="00DC278B">
        <w:rPr>
          <w:rFonts w:ascii="Cambria" w:eastAsia="Times New Roman" w:hAnsi="Cambria"/>
          <w:sz w:val="20"/>
          <w:szCs w:val="20"/>
          <w:bdr w:val="none" w:sz="0" w:space="0" w:color="auto"/>
          <w:lang w:val="es-ES_tradnl"/>
        </w:rPr>
        <w:t xml:space="preserve"> acogiendo los argumentos del Fisco sobre la prescripción de la acción y a la incompatibilidad de la indemnización demanda por aplicación de la ley 19.123</w:t>
      </w:r>
      <w:r w:rsidR="00E07283" w:rsidRPr="00DC278B">
        <w:rPr>
          <w:rFonts w:ascii="Cambria" w:eastAsia="Calibri" w:hAnsi="Cambria"/>
          <w:sz w:val="20"/>
          <w:szCs w:val="20"/>
          <w:bdr w:val="none" w:sz="0" w:space="0" w:color="auto"/>
          <w:vertAlign w:val="superscript"/>
          <w:lang w:val="es-CO"/>
        </w:rPr>
        <w:footnoteReference w:id="72"/>
      </w:r>
      <w:r w:rsidRPr="00DC278B">
        <w:rPr>
          <w:rFonts w:ascii="Cambria" w:eastAsia="Times New Roman" w:hAnsi="Cambria"/>
          <w:sz w:val="20"/>
          <w:szCs w:val="20"/>
          <w:bdr w:val="none" w:sz="0" w:space="0" w:color="auto"/>
          <w:lang w:val="es-ES_tradnl"/>
        </w:rPr>
        <w:t xml:space="preserve">. </w:t>
      </w:r>
      <w:r w:rsidR="000E5F2D" w:rsidRPr="00DC278B">
        <w:rPr>
          <w:rFonts w:ascii="Cambria" w:eastAsia="Times New Roman" w:hAnsi="Cambria"/>
          <w:sz w:val="20"/>
          <w:szCs w:val="20"/>
          <w:bdr w:val="none" w:sz="0" w:space="0" w:color="auto"/>
          <w:lang w:val="es-ES_tradnl"/>
        </w:rPr>
        <w:t xml:space="preserve"> </w:t>
      </w:r>
    </w:p>
    <w:p w:rsidR="003639E7" w:rsidRPr="00DC278B" w:rsidRDefault="003639E7" w:rsidP="00DC278B">
      <w:pPr>
        <w:pStyle w:val="MediumGrid1-Accent21"/>
        <w:rPr>
          <w:rFonts w:eastAsia="Times New Roman"/>
          <w:color w:val="auto"/>
          <w:sz w:val="20"/>
          <w:szCs w:val="20"/>
          <w:bdr w:val="none" w:sz="0" w:space="0" w:color="auto"/>
          <w:lang w:val="es-ES_tradnl"/>
        </w:rPr>
      </w:pPr>
    </w:p>
    <w:p w:rsidR="00654330" w:rsidRPr="00DC278B" w:rsidRDefault="0057379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Calibri" w:hAnsi="Cambria"/>
          <w:sz w:val="20"/>
          <w:szCs w:val="20"/>
          <w:bdr w:val="none" w:sz="0" w:space="0" w:color="auto"/>
          <w:lang w:val="es-MX"/>
        </w:rPr>
      </w:pPr>
      <w:r w:rsidRPr="00DC278B">
        <w:rPr>
          <w:rFonts w:ascii="Cambria" w:eastAsia="Times New Roman" w:hAnsi="Cambria"/>
          <w:sz w:val="20"/>
          <w:szCs w:val="20"/>
          <w:bdr w:val="none" w:sz="0" w:space="0" w:color="auto"/>
          <w:lang w:val="es-ES_tradnl"/>
        </w:rPr>
        <w:t xml:space="preserve">El 7 </w:t>
      </w:r>
      <w:r w:rsidR="00654330" w:rsidRPr="00DC278B">
        <w:rPr>
          <w:rFonts w:ascii="Cambria" w:eastAsia="Times New Roman" w:hAnsi="Cambria"/>
          <w:sz w:val="20"/>
          <w:szCs w:val="20"/>
          <w:bdr w:val="none" w:sz="0" w:space="0" w:color="auto"/>
          <w:lang w:val="es-ES_tradnl"/>
        </w:rPr>
        <w:t xml:space="preserve">de mayo de 2003, la </w:t>
      </w:r>
      <w:r w:rsidRPr="00DC278B">
        <w:rPr>
          <w:rFonts w:ascii="Cambria" w:eastAsia="Times New Roman" w:hAnsi="Cambria"/>
          <w:sz w:val="20"/>
          <w:szCs w:val="20"/>
          <w:bdr w:val="none" w:sz="0" w:space="0" w:color="auto"/>
          <w:lang w:val="es-ES_tradnl"/>
        </w:rPr>
        <w:t xml:space="preserve">CSJ </w:t>
      </w:r>
      <w:r w:rsidR="00654330" w:rsidRPr="00DC278B">
        <w:rPr>
          <w:rFonts w:ascii="Cambria" w:eastAsia="Times New Roman" w:hAnsi="Cambria"/>
          <w:sz w:val="20"/>
          <w:szCs w:val="20"/>
          <w:bdr w:val="none" w:sz="0" w:space="0" w:color="auto"/>
          <w:lang w:val="es-ES_tradnl"/>
        </w:rPr>
        <w:t>rechazó el recurso de casación</w:t>
      </w:r>
      <w:r w:rsidR="00341959" w:rsidRPr="00DC278B">
        <w:rPr>
          <w:rFonts w:ascii="Cambria" w:eastAsia="Times New Roman" w:hAnsi="Cambria"/>
          <w:sz w:val="20"/>
          <w:szCs w:val="20"/>
          <w:bdr w:val="none" w:sz="0" w:space="0" w:color="auto"/>
          <w:lang w:val="es-ES_tradnl"/>
        </w:rPr>
        <w:t xml:space="preserve"> interpuesto por la demandante</w:t>
      </w:r>
      <w:r w:rsidR="000B77D4" w:rsidRPr="00DC278B">
        <w:rPr>
          <w:rFonts w:ascii="Cambria" w:eastAsia="Times New Roman" w:hAnsi="Cambria"/>
          <w:sz w:val="20"/>
          <w:szCs w:val="20"/>
          <w:bdr w:val="none" w:sz="0" w:space="0" w:color="auto"/>
          <w:lang w:val="es-ES_tradnl"/>
        </w:rPr>
        <w:t xml:space="preserve"> y la solicitud de anulación de la sentencia</w:t>
      </w:r>
      <w:r w:rsidR="00654330"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al</w:t>
      </w:r>
      <w:r w:rsidR="000B77D4" w:rsidRPr="00DC278B">
        <w:rPr>
          <w:rFonts w:ascii="Cambria" w:eastAsia="Times New Roman" w:hAnsi="Cambria"/>
          <w:sz w:val="20"/>
          <w:szCs w:val="20"/>
          <w:bdr w:val="none" w:sz="0" w:space="0" w:color="auto"/>
          <w:lang w:val="es-ES_tradnl"/>
        </w:rPr>
        <w:t xml:space="preserve"> considerar que la </w:t>
      </w:r>
      <w:r w:rsidR="00654330" w:rsidRPr="00DC278B">
        <w:rPr>
          <w:rFonts w:ascii="Cambria" w:eastAsia="Times New Roman" w:hAnsi="Cambria"/>
          <w:sz w:val="20"/>
          <w:szCs w:val="20"/>
          <w:bdr w:val="none" w:sz="0" w:space="0" w:color="auto"/>
          <w:lang w:val="es-ES_tradnl"/>
        </w:rPr>
        <w:t>acción se interpuso después del vencimiento del plazo de prescripción de cuatro años previsto en el art. 2.332</w:t>
      </w:r>
      <w:r w:rsidR="00B65FAC" w:rsidRPr="00DC278B">
        <w:rPr>
          <w:rFonts w:ascii="Cambria" w:eastAsia="Times New Roman" w:hAnsi="Cambria"/>
          <w:sz w:val="20"/>
          <w:szCs w:val="20"/>
          <w:bdr w:val="none" w:sz="0" w:space="0" w:color="auto"/>
          <w:vertAlign w:val="superscript"/>
          <w:lang w:val="es-ES_tradnl"/>
        </w:rPr>
        <w:footnoteReference w:id="73"/>
      </w:r>
      <w:r w:rsidR="00654330" w:rsidRPr="00DC278B">
        <w:rPr>
          <w:rFonts w:ascii="Cambria" w:eastAsia="Times New Roman" w:hAnsi="Cambria"/>
          <w:sz w:val="20"/>
          <w:szCs w:val="20"/>
          <w:bdr w:val="none" w:sz="0" w:space="0" w:color="auto"/>
          <w:lang w:val="es-ES_tradnl"/>
        </w:rPr>
        <w:t xml:space="preserve"> del Código Civil</w:t>
      </w:r>
      <w:r w:rsidR="00C91F1F" w:rsidRPr="00DC278B">
        <w:rPr>
          <w:rFonts w:ascii="Cambria" w:eastAsia="Calibri" w:hAnsi="Cambria"/>
          <w:sz w:val="20"/>
          <w:szCs w:val="20"/>
          <w:bdr w:val="none" w:sz="0" w:space="0" w:color="auto"/>
          <w:vertAlign w:val="superscript"/>
          <w:lang w:val="es-CO"/>
        </w:rPr>
        <w:footnoteReference w:id="74"/>
      </w:r>
      <w:r w:rsidR="00C91F1F" w:rsidRPr="00DC278B">
        <w:rPr>
          <w:rFonts w:ascii="Cambria" w:eastAsia="Times New Roman" w:hAnsi="Cambria"/>
          <w:sz w:val="20"/>
          <w:szCs w:val="20"/>
          <w:bdr w:val="none" w:sz="0" w:space="0" w:color="auto"/>
          <w:lang w:val="es-CO"/>
        </w:rPr>
        <w:t>.</w:t>
      </w:r>
      <w:r w:rsidR="00D30856">
        <w:rPr>
          <w:rFonts w:ascii="Cambria" w:eastAsia="Times New Roman" w:hAnsi="Cambria"/>
          <w:sz w:val="20"/>
          <w:szCs w:val="20"/>
          <w:bdr w:val="none" w:sz="0" w:space="0" w:color="auto"/>
          <w:lang w:val="es-CO"/>
        </w:rPr>
        <w:t xml:space="preserve"> </w:t>
      </w:r>
      <w:r w:rsidR="000B77D4" w:rsidRPr="00DC278B">
        <w:rPr>
          <w:rFonts w:ascii="Cambria" w:eastAsia="Times New Roman" w:hAnsi="Cambria"/>
          <w:sz w:val="20"/>
          <w:szCs w:val="20"/>
          <w:bdr w:val="none" w:sz="0" w:space="0" w:color="auto"/>
          <w:lang w:val="es-CO"/>
        </w:rPr>
        <w:t>Ante la solicitud de anulación</w:t>
      </w:r>
      <w:r w:rsidR="000B77D4" w:rsidRPr="00DC278B">
        <w:rPr>
          <w:rFonts w:ascii="Cambria" w:eastAsia="Times New Roman" w:hAnsi="Cambria"/>
          <w:sz w:val="20"/>
          <w:szCs w:val="20"/>
          <w:bdr w:val="none" w:sz="0" w:space="0" w:color="auto"/>
          <w:lang w:val="es-ES_tradnl"/>
        </w:rPr>
        <w:t xml:space="preserve">, </w:t>
      </w:r>
      <w:r w:rsidR="003639E7" w:rsidRPr="00DC278B">
        <w:rPr>
          <w:rFonts w:ascii="Cambria" w:eastAsia="Times New Roman" w:hAnsi="Cambria"/>
          <w:sz w:val="20"/>
          <w:szCs w:val="20"/>
          <w:bdr w:val="none" w:sz="0" w:space="0" w:color="auto"/>
          <w:lang w:val="es-ES_tradnl"/>
        </w:rPr>
        <w:t>la CSJ</w:t>
      </w:r>
      <w:r w:rsidR="000B77D4" w:rsidRPr="00DC278B">
        <w:rPr>
          <w:rFonts w:ascii="Cambria" w:eastAsia="Times New Roman" w:hAnsi="Cambria"/>
          <w:sz w:val="20"/>
          <w:szCs w:val="20"/>
          <w:bdr w:val="none" w:sz="0" w:space="0" w:color="auto"/>
          <w:lang w:val="es-ES_tradnl"/>
        </w:rPr>
        <w:t xml:space="preserve"> consideró que la sentencia </w:t>
      </w:r>
      <w:r w:rsidR="003639E7" w:rsidRPr="00DC278B">
        <w:rPr>
          <w:rFonts w:ascii="Cambria" w:eastAsia="Times New Roman" w:hAnsi="Cambria"/>
          <w:sz w:val="20"/>
          <w:szCs w:val="20"/>
          <w:bdr w:val="none" w:sz="0" w:space="0" w:color="auto"/>
          <w:lang w:val="es-ES_tradnl"/>
        </w:rPr>
        <w:t xml:space="preserve">casada </w:t>
      </w:r>
      <w:r w:rsidR="000B77D4" w:rsidRPr="00DC278B">
        <w:rPr>
          <w:rFonts w:ascii="Cambria" w:eastAsia="Times New Roman" w:hAnsi="Cambria"/>
          <w:sz w:val="20"/>
          <w:szCs w:val="20"/>
          <w:bdr w:val="none" w:sz="0" w:space="0" w:color="auto"/>
          <w:lang w:val="es-ES_tradnl"/>
        </w:rPr>
        <w:t>no incurría en error alguno, pues como ya se había dicho, los artículos 130 y 131 del Convenio de Ginebra relativo al tratamiento de los prisioneros de guerra</w:t>
      </w:r>
      <w:r w:rsidR="003639E7" w:rsidRPr="00DC278B">
        <w:rPr>
          <w:rFonts w:ascii="Cambria" w:eastAsia="Times New Roman" w:hAnsi="Cambria"/>
          <w:sz w:val="20"/>
          <w:szCs w:val="20"/>
          <w:bdr w:val="none" w:sz="0" w:space="0" w:color="auto"/>
          <w:lang w:val="es-ES_tradnl"/>
        </w:rPr>
        <w:t>,</w:t>
      </w:r>
      <w:r w:rsidR="000B77D4" w:rsidRPr="00DC278B">
        <w:rPr>
          <w:rFonts w:ascii="Cambria" w:eastAsia="Times New Roman" w:hAnsi="Cambria"/>
          <w:sz w:val="20"/>
          <w:szCs w:val="20"/>
          <w:bdr w:val="none" w:sz="0" w:space="0" w:color="auto"/>
          <w:lang w:val="es-ES_tradnl"/>
        </w:rPr>
        <w:t xml:space="preserve"> aducidos por los familiares de la víctima</w:t>
      </w:r>
      <w:r w:rsidR="003639E7" w:rsidRPr="00DC278B">
        <w:rPr>
          <w:rFonts w:ascii="Cambria" w:eastAsia="Times New Roman" w:hAnsi="Cambria"/>
          <w:sz w:val="20"/>
          <w:szCs w:val="20"/>
          <w:bdr w:val="none" w:sz="0" w:space="0" w:color="auto"/>
          <w:lang w:val="es-ES_tradnl"/>
        </w:rPr>
        <w:t>,</w:t>
      </w:r>
      <w:r w:rsidR="000B77D4" w:rsidRPr="00DC278B">
        <w:rPr>
          <w:rFonts w:ascii="Cambria" w:eastAsia="Times New Roman" w:hAnsi="Cambria"/>
          <w:sz w:val="20"/>
          <w:szCs w:val="20"/>
          <w:bdr w:val="none" w:sz="0" w:space="0" w:color="auto"/>
          <w:lang w:val="es-ES_tradnl"/>
        </w:rPr>
        <w:t xml:space="preserve"> como sustento normativo que consagra la imprescriptibilidad de los crímenes de g</w:t>
      </w:r>
      <w:r w:rsidR="003639E7" w:rsidRPr="00DC278B">
        <w:rPr>
          <w:rFonts w:ascii="Cambria" w:eastAsia="Times New Roman" w:hAnsi="Cambria"/>
          <w:sz w:val="20"/>
          <w:szCs w:val="20"/>
          <w:bdr w:val="none" w:sz="0" w:space="0" w:color="auto"/>
          <w:lang w:val="es-ES_tradnl"/>
        </w:rPr>
        <w:t>uerra;</w:t>
      </w:r>
      <w:r w:rsidR="000B77D4" w:rsidRPr="00DC278B">
        <w:rPr>
          <w:rFonts w:ascii="Cambria" w:eastAsia="Times New Roman" w:hAnsi="Cambria"/>
          <w:sz w:val="20"/>
          <w:szCs w:val="20"/>
          <w:bdr w:val="none" w:sz="0" w:space="0" w:color="auto"/>
          <w:lang w:val="es-ES_tradnl"/>
        </w:rPr>
        <w:t xml:space="preserve"> no son normas que expresen la imprescriptibilidad para acciones de naturaleza patrimonial o pecuniaria</w:t>
      </w:r>
      <w:r w:rsidR="003639E7" w:rsidRPr="00DC278B">
        <w:rPr>
          <w:rFonts w:ascii="Cambria" w:eastAsia="Times New Roman" w:hAnsi="Cambria"/>
          <w:sz w:val="20"/>
          <w:szCs w:val="20"/>
          <w:bdr w:val="none" w:sz="0" w:space="0" w:color="auto"/>
          <w:lang w:val="es-ES_tradnl"/>
        </w:rPr>
        <w:t xml:space="preserve">. </w:t>
      </w:r>
      <w:r w:rsidR="000B77D4" w:rsidRPr="00DC278B">
        <w:rPr>
          <w:rFonts w:ascii="Cambria" w:eastAsia="Times New Roman" w:hAnsi="Cambria"/>
          <w:sz w:val="20"/>
          <w:szCs w:val="20"/>
          <w:bdr w:val="none" w:sz="0" w:space="0" w:color="auto"/>
          <w:lang w:val="es-ES_tradnl"/>
        </w:rPr>
        <w:t xml:space="preserve"> </w:t>
      </w:r>
      <w:r w:rsidR="00341959" w:rsidRPr="00DC278B">
        <w:rPr>
          <w:rFonts w:ascii="Cambria" w:eastAsia="Times New Roman" w:hAnsi="Cambria"/>
          <w:sz w:val="20"/>
          <w:szCs w:val="20"/>
          <w:bdr w:val="none" w:sz="0" w:space="0" w:color="auto"/>
          <w:lang w:val="es-ES_tradnl"/>
        </w:rPr>
        <w:t>La CSJ consideró que d</w:t>
      </w:r>
      <w:r w:rsidR="003639E7" w:rsidRPr="00DC278B">
        <w:rPr>
          <w:rFonts w:ascii="Cambria" w:eastAsia="Times New Roman" w:hAnsi="Cambria"/>
          <w:sz w:val="20"/>
          <w:szCs w:val="20"/>
          <w:bdr w:val="none" w:sz="0" w:space="0" w:color="auto"/>
          <w:lang w:val="es-ES_tradnl"/>
        </w:rPr>
        <w:t xml:space="preserve">e este modo, </w:t>
      </w:r>
      <w:r w:rsidR="000B77D4" w:rsidRPr="00DC278B">
        <w:rPr>
          <w:rFonts w:ascii="Cambria" w:eastAsia="Times New Roman" w:hAnsi="Cambria"/>
          <w:sz w:val="20"/>
          <w:szCs w:val="20"/>
          <w:bdr w:val="none" w:sz="0" w:space="0" w:color="auto"/>
          <w:lang w:val="es-ES_tradnl"/>
        </w:rPr>
        <w:t>no existía impedimento en el ordenamiento ju</w:t>
      </w:r>
      <w:r w:rsidR="001F2493" w:rsidRPr="00DC278B">
        <w:rPr>
          <w:rFonts w:ascii="Cambria" w:eastAsia="Times New Roman" w:hAnsi="Cambria"/>
          <w:sz w:val="20"/>
          <w:szCs w:val="20"/>
          <w:bdr w:val="none" w:sz="0" w:space="0" w:color="auto"/>
          <w:lang w:val="es-ES_tradnl"/>
        </w:rPr>
        <w:t>rídico de Chile para que operase</w:t>
      </w:r>
      <w:r w:rsidR="000B77D4" w:rsidRPr="00DC278B">
        <w:rPr>
          <w:rFonts w:ascii="Cambria" w:eastAsia="Times New Roman" w:hAnsi="Cambria"/>
          <w:sz w:val="20"/>
          <w:szCs w:val="20"/>
          <w:bdr w:val="none" w:sz="0" w:space="0" w:color="auto"/>
          <w:lang w:val="es-ES_tradnl"/>
        </w:rPr>
        <w:t xml:space="preserve"> la prescripción de la</w:t>
      </w:r>
      <w:r w:rsidR="003639E7" w:rsidRPr="00DC278B">
        <w:rPr>
          <w:rFonts w:ascii="Cambria" w:eastAsia="Times New Roman" w:hAnsi="Cambria"/>
          <w:sz w:val="20"/>
          <w:szCs w:val="20"/>
          <w:bdr w:val="none" w:sz="0" w:space="0" w:color="auto"/>
          <w:lang w:val="es-ES_tradnl"/>
        </w:rPr>
        <w:t>s</w:t>
      </w:r>
      <w:r w:rsidR="000B77D4" w:rsidRPr="00DC278B">
        <w:rPr>
          <w:rFonts w:ascii="Cambria" w:eastAsia="Times New Roman" w:hAnsi="Cambria"/>
          <w:sz w:val="20"/>
          <w:szCs w:val="20"/>
          <w:bdr w:val="none" w:sz="0" w:space="0" w:color="auto"/>
          <w:lang w:val="es-ES_tradnl"/>
        </w:rPr>
        <w:t xml:space="preserve"> acciones conducentes a hacer efectiva la responsabilidad </w:t>
      </w:r>
      <w:r w:rsidR="003639E7" w:rsidRPr="00DC278B">
        <w:rPr>
          <w:rFonts w:ascii="Cambria" w:eastAsia="Times New Roman" w:hAnsi="Cambria"/>
          <w:sz w:val="20"/>
          <w:szCs w:val="20"/>
          <w:bdr w:val="none" w:sz="0" w:space="0" w:color="auto"/>
          <w:lang w:val="es-ES_tradnl"/>
        </w:rPr>
        <w:t xml:space="preserve">del Fisco de reparar daños sobre </w:t>
      </w:r>
      <w:r w:rsidR="000B77D4" w:rsidRPr="00DC278B">
        <w:rPr>
          <w:rFonts w:ascii="Cambria" w:eastAsia="Times New Roman" w:hAnsi="Cambria"/>
          <w:sz w:val="20"/>
          <w:szCs w:val="20"/>
          <w:bdr w:val="none" w:sz="0" w:space="0" w:color="auto"/>
          <w:lang w:val="es-ES_tradnl"/>
        </w:rPr>
        <w:t>una responsabilidad distinta a la penal</w:t>
      </w:r>
      <w:r w:rsidR="000B77D4" w:rsidRPr="00DC278B">
        <w:rPr>
          <w:rFonts w:ascii="Cambria" w:eastAsia="Calibri" w:hAnsi="Cambria"/>
          <w:sz w:val="20"/>
          <w:szCs w:val="20"/>
          <w:bdr w:val="none" w:sz="0" w:space="0" w:color="auto"/>
          <w:vertAlign w:val="superscript"/>
          <w:lang w:val="es-CO"/>
        </w:rPr>
        <w:footnoteReference w:id="75"/>
      </w:r>
      <w:r w:rsidR="000B77D4" w:rsidRPr="00DC278B">
        <w:rPr>
          <w:rFonts w:ascii="Cambria" w:eastAsia="Calibri" w:hAnsi="Cambria"/>
          <w:sz w:val="20"/>
          <w:szCs w:val="20"/>
          <w:bdr w:val="none" w:sz="0" w:space="0" w:color="auto"/>
          <w:lang w:val="es-CO"/>
        </w:rPr>
        <w:t>.</w:t>
      </w:r>
    </w:p>
    <w:p w:rsidR="00DC1A2E" w:rsidRPr="00DC278B" w:rsidRDefault="00DC1A2E"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C1A2E" w:rsidRPr="00DC278B" w:rsidRDefault="00DC1A2E"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La CSJ consideró que la idea de aplicar las reglas de prescripción extintiva de la acción indemnizatoria que contiene el Código Civil, a las acciones en que se persigue la responsabilidad extracontractual del Estado “no repugna a la naturaleza especial que ella posee, si se considera que ellas inciden en el ámbito patrimonial de esa responsabilidad”</w:t>
      </w:r>
      <w:r w:rsidR="00A0131C" w:rsidRPr="00DC278B">
        <w:rPr>
          <w:rFonts w:ascii="Cambria" w:eastAsia="Calibri" w:hAnsi="Cambria"/>
          <w:sz w:val="20"/>
          <w:szCs w:val="20"/>
          <w:bdr w:val="none" w:sz="0" w:space="0" w:color="auto"/>
          <w:vertAlign w:val="superscript"/>
          <w:lang w:val="es-CO"/>
        </w:rPr>
        <w:footnoteReference w:id="76"/>
      </w:r>
      <w:r w:rsidRPr="00DC278B">
        <w:rPr>
          <w:rFonts w:ascii="Cambria" w:eastAsia="Times New Roman" w:hAnsi="Cambria"/>
          <w:sz w:val="20"/>
          <w:szCs w:val="20"/>
          <w:bdr w:val="none" w:sz="0" w:space="0" w:color="auto"/>
          <w:lang w:val="es-ES_tradnl"/>
        </w:rPr>
        <w:t xml:space="preserve"> y que en ausencia de normas positivas que las hagan imprescriptibles, corresponde estarse a las reglas del Derecho Común, que se refieren específicamente a la materia, entre la que se encuentran el artículo 2.332 del Código Civil, que versa directamente sobre ella</w:t>
      </w:r>
      <w:r w:rsidRPr="00DC278B">
        <w:rPr>
          <w:rFonts w:ascii="Cambria" w:eastAsia="Times New Roman" w:hAnsi="Cambria"/>
          <w:sz w:val="20"/>
          <w:szCs w:val="20"/>
          <w:bdr w:val="none" w:sz="0" w:space="0" w:color="auto"/>
          <w:vertAlign w:val="superscript"/>
          <w:lang w:val="es-ES_tradnl"/>
        </w:rPr>
        <w:footnoteReference w:id="77"/>
      </w:r>
      <w:r w:rsidRPr="00DC278B">
        <w:rPr>
          <w:rFonts w:ascii="Cambria" w:eastAsia="Times New Roman" w:hAnsi="Cambria"/>
          <w:sz w:val="20"/>
          <w:szCs w:val="20"/>
          <w:bdr w:val="none" w:sz="0" w:space="0" w:color="auto"/>
          <w:lang w:val="es-ES_tradnl"/>
        </w:rPr>
        <w:t>.</w:t>
      </w:r>
    </w:p>
    <w:p w:rsidR="000F4860" w:rsidRPr="00DC278B" w:rsidRDefault="000F486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0F4860" w:rsidRPr="00DC278B" w:rsidRDefault="0010210A"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r w:rsidRPr="00DC278B">
        <w:rPr>
          <w:rFonts w:ascii="Cambria" w:eastAsia="Times New Roman" w:hAnsi="Cambria"/>
          <w:sz w:val="20"/>
          <w:szCs w:val="20"/>
          <w:bdr w:val="none" w:sz="0" w:space="0" w:color="auto"/>
          <w:lang w:val="es-ES_tradnl"/>
        </w:rPr>
        <w:t>Mediante la Ley 19.980 de 2004, l</w:t>
      </w:r>
      <w:r w:rsidR="000F4860" w:rsidRPr="00DC278B">
        <w:rPr>
          <w:rFonts w:ascii="Cambria" w:eastAsia="Times New Roman" w:hAnsi="Cambria"/>
          <w:sz w:val="20"/>
          <w:szCs w:val="20"/>
          <w:bdr w:val="none" w:sz="0" w:space="0" w:color="auto"/>
          <w:lang w:val="es-ES_tradnl"/>
        </w:rPr>
        <w:t xml:space="preserve">os cuatro hijos de </w:t>
      </w:r>
      <w:r w:rsidR="00544007" w:rsidRPr="00DC278B">
        <w:rPr>
          <w:rFonts w:ascii="Cambria" w:eastAsia="Times New Roman" w:hAnsi="Cambria"/>
          <w:sz w:val="20"/>
          <w:szCs w:val="20"/>
          <w:bdr w:val="none" w:sz="0" w:space="0" w:color="auto"/>
          <w:lang w:val="es-ES_tradnl"/>
        </w:rPr>
        <w:t xml:space="preserve">la víctima </w:t>
      </w:r>
      <w:r w:rsidR="000F4860" w:rsidRPr="00DC278B">
        <w:rPr>
          <w:rFonts w:ascii="Cambria" w:eastAsia="Times New Roman" w:hAnsi="Cambria"/>
          <w:sz w:val="20"/>
          <w:szCs w:val="20"/>
          <w:bdr w:val="none" w:sz="0" w:space="0" w:color="auto"/>
          <w:lang w:val="es-ES_tradnl"/>
        </w:rPr>
        <w:t>recibieron bonos de reparación: Carolina Andrea Osorio Morales (7.700.317 de Pesos chilenos</w:t>
      </w:r>
      <w:r w:rsidR="00544007" w:rsidRPr="00DC278B">
        <w:rPr>
          <w:rFonts w:ascii="Cambria" w:eastAsia="Times New Roman" w:hAnsi="Cambria"/>
          <w:sz w:val="20"/>
          <w:szCs w:val="20"/>
          <w:bdr w:val="none" w:sz="0" w:space="0" w:color="auto"/>
          <w:lang w:val="es-ES_tradnl"/>
        </w:rPr>
        <w:t>)</w:t>
      </w:r>
      <w:r w:rsidR="000F4860" w:rsidRPr="00DC278B">
        <w:rPr>
          <w:rFonts w:ascii="Cambria" w:eastAsia="Times New Roman" w:hAnsi="Cambria"/>
          <w:sz w:val="20"/>
          <w:szCs w:val="20"/>
          <w:bdr w:val="none" w:sz="0" w:space="0" w:color="auto"/>
          <w:lang w:val="es-ES_tradnl"/>
        </w:rPr>
        <w:t>, Jorge Osorio Morales (6.163.383 de P</w:t>
      </w:r>
      <w:r w:rsidR="00544007" w:rsidRPr="00DC278B">
        <w:rPr>
          <w:rFonts w:ascii="Cambria" w:eastAsia="Times New Roman" w:hAnsi="Cambria"/>
          <w:sz w:val="20"/>
          <w:szCs w:val="20"/>
          <w:bdr w:val="none" w:sz="0" w:space="0" w:color="auto"/>
          <w:lang w:val="es-ES_tradnl"/>
        </w:rPr>
        <w:t>esos chilenos</w:t>
      </w:r>
      <w:r w:rsidR="000F4860" w:rsidRPr="00DC278B">
        <w:rPr>
          <w:rFonts w:ascii="Cambria" w:eastAsia="Times New Roman" w:hAnsi="Cambria"/>
          <w:sz w:val="20"/>
          <w:szCs w:val="20"/>
          <w:bdr w:val="none" w:sz="0" w:space="0" w:color="auto"/>
          <w:lang w:val="es-ES_tradnl"/>
        </w:rPr>
        <w:t>), Lucía Osorio Morales (10.000.000 de P</w:t>
      </w:r>
      <w:r w:rsidR="00544007" w:rsidRPr="00DC278B">
        <w:rPr>
          <w:rFonts w:ascii="Cambria" w:eastAsia="Times New Roman" w:hAnsi="Cambria"/>
          <w:sz w:val="20"/>
          <w:szCs w:val="20"/>
          <w:bdr w:val="none" w:sz="0" w:space="0" w:color="auto"/>
          <w:lang w:val="es-ES_tradnl"/>
        </w:rPr>
        <w:t>esos chilenos</w:t>
      </w:r>
      <w:r w:rsidR="000F4860" w:rsidRPr="00DC278B">
        <w:rPr>
          <w:rFonts w:ascii="Cambria" w:eastAsia="Times New Roman" w:hAnsi="Cambria"/>
          <w:sz w:val="20"/>
          <w:szCs w:val="20"/>
          <w:bdr w:val="none" w:sz="0" w:space="0" w:color="auto"/>
          <w:lang w:val="es-ES_tradnl"/>
        </w:rPr>
        <w:t>) y María Teresa Osorio Morales (10.000.000 de P</w:t>
      </w:r>
      <w:r w:rsidR="00544007" w:rsidRPr="00DC278B">
        <w:rPr>
          <w:rFonts w:ascii="Cambria" w:eastAsia="Times New Roman" w:hAnsi="Cambria"/>
          <w:sz w:val="20"/>
          <w:szCs w:val="20"/>
          <w:bdr w:val="none" w:sz="0" w:space="0" w:color="auto"/>
          <w:lang w:val="es-ES_tradnl"/>
        </w:rPr>
        <w:t>esos chilenos</w:t>
      </w:r>
      <w:r w:rsidR="000F4860" w:rsidRPr="00DC278B">
        <w:rPr>
          <w:rFonts w:ascii="Cambria" w:eastAsia="Times New Roman" w:hAnsi="Cambria"/>
          <w:sz w:val="20"/>
          <w:szCs w:val="20"/>
          <w:bdr w:val="none" w:sz="0" w:space="0" w:color="auto"/>
          <w:lang w:val="es-ES_tradnl"/>
        </w:rPr>
        <w:t>)</w:t>
      </w:r>
      <w:r w:rsidR="000F4860" w:rsidRPr="00DC278B">
        <w:rPr>
          <w:rFonts w:ascii="Cambria" w:eastAsia="Times New Roman" w:hAnsi="Cambria"/>
          <w:sz w:val="20"/>
          <w:szCs w:val="20"/>
          <w:bdr w:val="none" w:sz="0" w:space="0" w:color="auto"/>
          <w:vertAlign w:val="superscript"/>
          <w:lang w:val="es-ES_tradnl"/>
        </w:rPr>
        <w:footnoteReference w:id="78"/>
      </w:r>
      <w:r w:rsidR="000F4860" w:rsidRPr="00DC278B">
        <w:rPr>
          <w:rFonts w:ascii="Cambria" w:eastAsia="Times New Roman" w:hAnsi="Cambria"/>
          <w:sz w:val="20"/>
          <w:szCs w:val="20"/>
          <w:bdr w:val="none" w:sz="0" w:space="0" w:color="auto"/>
          <w:lang w:val="es-ES_tradnl"/>
        </w:rPr>
        <w:t>.</w:t>
      </w:r>
    </w:p>
    <w:p w:rsidR="000F4860" w:rsidRPr="00DC278B" w:rsidRDefault="000F486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p>
    <w:p w:rsidR="000F4860" w:rsidRPr="00DC278B" w:rsidRDefault="0010210A"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
        </w:rPr>
        <w:t>Asimismo</w:t>
      </w:r>
      <w:r w:rsidRPr="00DC278B">
        <w:rPr>
          <w:rFonts w:ascii="Cambria" w:eastAsia="Times New Roman" w:hAnsi="Cambria"/>
          <w:sz w:val="20"/>
          <w:szCs w:val="20"/>
          <w:bdr w:val="none" w:sz="0" w:space="0" w:color="auto"/>
          <w:lang w:val="es-ES_tradnl"/>
        </w:rPr>
        <w:t>,</w:t>
      </w:r>
      <w:r w:rsidR="000F4860" w:rsidRPr="00DC278B">
        <w:rPr>
          <w:rFonts w:ascii="Cambria" w:eastAsia="Times New Roman" w:hAnsi="Cambria"/>
          <w:sz w:val="20"/>
          <w:szCs w:val="20"/>
          <w:bdr w:val="none" w:sz="0" w:space="0" w:color="auto"/>
          <w:lang w:val="es-ES_tradnl"/>
        </w:rPr>
        <w:t xml:space="preserve"> los siete hijos de Hipólito </w:t>
      </w:r>
      <w:r w:rsidR="00516BD4" w:rsidRPr="00DC278B">
        <w:rPr>
          <w:rFonts w:ascii="Cambria" w:eastAsia="Times New Roman" w:hAnsi="Cambria"/>
          <w:sz w:val="20"/>
          <w:szCs w:val="20"/>
          <w:bdr w:val="none" w:sz="0" w:space="0" w:color="auto"/>
          <w:lang w:val="es-ES_tradnl"/>
        </w:rPr>
        <w:t>Cortés</w:t>
      </w:r>
      <w:r w:rsidR="000F4860" w:rsidRPr="00DC278B">
        <w:rPr>
          <w:rFonts w:ascii="Cambria" w:eastAsia="Times New Roman" w:hAnsi="Cambria"/>
          <w:sz w:val="20"/>
          <w:szCs w:val="20"/>
          <w:bdr w:val="none" w:sz="0" w:space="0" w:color="auto"/>
          <w:lang w:val="es-ES_tradnl"/>
        </w:rPr>
        <w:t xml:space="preserve"> recibieron bonos de reparación: Marcia Alejandra Cortés Barraza (10.000.000 Pesos chilenos) Nora Isabel Cortés Ba</w:t>
      </w:r>
      <w:r w:rsidR="00544007" w:rsidRPr="00DC278B">
        <w:rPr>
          <w:rFonts w:ascii="Cambria" w:eastAsia="Times New Roman" w:hAnsi="Cambria"/>
          <w:sz w:val="20"/>
          <w:szCs w:val="20"/>
          <w:bdr w:val="none" w:sz="0" w:space="0" w:color="auto"/>
          <w:lang w:val="es-ES_tradnl"/>
        </w:rPr>
        <w:t>rraza (8.230.371 pesos chilenos</w:t>
      </w:r>
      <w:r w:rsidR="000F4860" w:rsidRPr="00DC278B">
        <w:rPr>
          <w:rFonts w:ascii="Cambria" w:eastAsia="Times New Roman" w:hAnsi="Cambria"/>
          <w:sz w:val="20"/>
          <w:szCs w:val="20"/>
          <w:bdr w:val="none" w:sz="0" w:space="0" w:color="auto"/>
          <w:lang w:val="es-ES_tradnl"/>
        </w:rPr>
        <w:t>), Hernán Alejandro Cortés Ba</w:t>
      </w:r>
      <w:r w:rsidR="00544007" w:rsidRPr="00DC278B">
        <w:rPr>
          <w:rFonts w:ascii="Cambria" w:eastAsia="Times New Roman" w:hAnsi="Cambria"/>
          <w:sz w:val="20"/>
          <w:szCs w:val="20"/>
          <w:bdr w:val="none" w:sz="0" w:space="0" w:color="auto"/>
          <w:lang w:val="es-ES_tradnl"/>
        </w:rPr>
        <w:t>rraza (9.207.049 Pesos chilenos</w:t>
      </w:r>
      <w:r w:rsidR="000F4860" w:rsidRPr="00DC278B">
        <w:rPr>
          <w:rFonts w:ascii="Cambria" w:eastAsia="Times New Roman" w:hAnsi="Cambria"/>
          <w:sz w:val="20"/>
          <w:szCs w:val="20"/>
          <w:bdr w:val="none" w:sz="0" w:space="0" w:color="auto"/>
          <w:lang w:val="es-ES_tradnl"/>
        </w:rPr>
        <w:t>), Eduardo Patricio Cortés Barraza (10.000.0</w:t>
      </w:r>
      <w:r w:rsidR="00544007" w:rsidRPr="00DC278B">
        <w:rPr>
          <w:rFonts w:ascii="Cambria" w:eastAsia="Times New Roman" w:hAnsi="Cambria"/>
          <w:sz w:val="20"/>
          <w:szCs w:val="20"/>
          <w:bdr w:val="none" w:sz="0" w:space="0" w:color="auto"/>
          <w:lang w:val="es-ES_tradnl"/>
        </w:rPr>
        <w:t>00 Pesos chilenos</w:t>
      </w:r>
      <w:r w:rsidR="000F4860" w:rsidRPr="00DC278B">
        <w:rPr>
          <w:rFonts w:ascii="Cambria" w:eastAsia="Times New Roman" w:hAnsi="Cambria"/>
          <w:sz w:val="20"/>
          <w:szCs w:val="20"/>
          <w:bdr w:val="none" w:sz="0" w:space="0" w:color="auto"/>
          <w:lang w:val="es-ES_tradnl"/>
        </w:rPr>
        <w:t>), Miriam del Rosario Cortés Bar</w:t>
      </w:r>
      <w:r w:rsidR="00544007" w:rsidRPr="00DC278B">
        <w:rPr>
          <w:rFonts w:ascii="Cambria" w:eastAsia="Times New Roman" w:hAnsi="Cambria"/>
          <w:sz w:val="20"/>
          <w:szCs w:val="20"/>
          <w:bdr w:val="none" w:sz="0" w:space="0" w:color="auto"/>
          <w:lang w:val="es-ES_tradnl"/>
        </w:rPr>
        <w:t>raza (10.000.000 Pesos chilenos</w:t>
      </w:r>
      <w:r w:rsidR="000F4860" w:rsidRPr="00DC278B">
        <w:rPr>
          <w:rFonts w:ascii="Cambria" w:eastAsia="Times New Roman" w:hAnsi="Cambria"/>
          <w:sz w:val="20"/>
          <w:szCs w:val="20"/>
          <w:bdr w:val="none" w:sz="0" w:space="0" w:color="auto"/>
          <w:lang w:val="es-ES_tradnl"/>
        </w:rPr>
        <w:t>), Patricio Cortés Barraza (10.000.000 P</w:t>
      </w:r>
      <w:r w:rsidR="00544007" w:rsidRPr="00DC278B">
        <w:rPr>
          <w:rFonts w:ascii="Cambria" w:eastAsia="Times New Roman" w:hAnsi="Cambria"/>
          <w:sz w:val="20"/>
          <w:szCs w:val="20"/>
          <w:bdr w:val="none" w:sz="0" w:space="0" w:color="auto"/>
          <w:lang w:val="es-ES_tradnl"/>
        </w:rPr>
        <w:t>esos chilenos</w:t>
      </w:r>
      <w:r w:rsidR="000F4860" w:rsidRPr="00DC278B">
        <w:rPr>
          <w:rFonts w:ascii="Cambria" w:eastAsia="Times New Roman" w:hAnsi="Cambria"/>
          <w:sz w:val="20"/>
          <w:szCs w:val="20"/>
          <w:bdr w:val="none" w:sz="0" w:space="0" w:color="auto"/>
          <w:lang w:val="es-ES_tradnl"/>
        </w:rPr>
        <w:t>) y Jorge Cortés Barraza (10.000.000 Peso</w:t>
      </w:r>
      <w:r w:rsidR="00544007" w:rsidRPr="00DC278B">
        <w:rPr>
          <w:rFonts w:ascii="Cambria" w:eastAsia="Times New Roman" w:hAnsi="Cambria"/>
          <w:sz w:val="20"/>
          <w:szCs w:val="20"/>
          <w:bdr w:val="none" w:sz="0" w:space="0" w:color="auto"/>
          <w:lang w:val="es-ES_tradnl"/>
        </w:rPr>
        <w:t>s chilenos</w:t>
      </w:r>
      <w:r w:rsidR="000F4860" w:rsidRPr="00DC278B">
        <w:rPr>
          <w:rFonts w:ascii="Cambria" w:eastAsia="Times New Roman" w:hAnsi="Cambria"/>
          <w:sz w:val="20"/>
          <w:szCs w:val="20"/>
          <w:bdr w:val="none" w:sz="0" w:space="0" w:color="auto"/>
          <w:lang w:val="es-ES_tradnl"/>
        </w:rPr>
        <w:t>)</w:t>
      </w:r>
      <w:r w:rsidR="000F4860" w:rsidRPr="00DC278B">
        <w:rPr>
          <w:rFonts w:ascii="Cambria" w:eastAsia="Times New Roman" w:hAnsi="Cambria"/>
          <w:sz w:val="20"/>
          <w:szCs w:val="20"/>
          <w:bdr w:val="none" w:sz="0" w:space="0" w:color="auto"/>
          <w:vertAlign w:val="superscript"/>
          <w:lang w:val="es-ES_tradnl"/>
        </w:rPr>
        <w:footnoteReference w:id="79"/>
      </w:r>
      <w:r w:rsidR="000F4860" w:rsidRPr="00DC278B">
        <w:rPr>
          <w:rFonts w:ascii="Cambria" w:eastAsia="Times New Roman" w:hAnsi="Cambria"/>
          <w:sz w:val="20"/>
          <w:szCs w:val="20"/>
          <w:bdr w:val="none" w:sz="0" w:space="0" w:color="auto"/>
          <w:lang w:val="es-ES_tradnl"/>
        </w:rPr>
        <w:t>.</w:t>
      </w:r>
    </w:p>
    <w:p w:rsidR="00550FA9" w:rsidRPr="00DC278B" w:rsidRDefault="00550FA9"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50FA9" w:rsidRPr="00DC278B" w:rsidRDefault="000E7F36" w:rsidP="00DC278B">
      <w:pPr>
        <w:pStyle w:val="Heading2"/>
      </w:pPr>
      <w:bookmarkStart w:id="22" w:name="_Toc413397475"/>
      <w:r w:rsidRPr="00DC278B">
        <w:t>E.</w:t>
      </w:r>
      <w:r w:rsidRPr="00DC278B">
        <w:tab/>
      </w:r>
      <w:r w:rsidR="00550FA9" w:rsidRPr="00DC278B">
        <w:t>Situación de Pamela Vivanco y su causa contra el Fisco de Chile</w:t>
      </w:r>
      <w:bookmarkEnd w:id="22"/>
    </w:p>
    <w:p w:rsidR="00550FA9" w:rsidRPr="00DC278B" w:rsidRDefault="00550FA9"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550FA9" w:rsidRPr="00DC278B" w:rsidRDefault="00550FA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lang w:val="es-ES"/>
        </w:rPr>
        <w:t xml:space="preserve">Según el Informe de la Comisión </w:t>
      </w:r>
      <w:proofErr w:type="spellStart"/>
      <w:r w:rsidRPr="00DC278B">
        <w:rPr>
          <w:rFonts w:ascii="Cambria" w:eastAsia="Times New Roman" w:hAnsi="Cambria"/>
          <w:sz w:val="20"/>
          <w:szCs w:val="20"/>
          <w:lang w:val="es-ES"/>
        </w:rPr>
        <w:t>Rettig</w:t>
      </w:r>
      <w:proofErr w:type="spellEnd"/>
      <w:r w:rsidRPr="00DC278B">
        <w:rPr>
          <w:rFonts w:ascii="Cambria" w:eastAsia="Times New Roman" w:hAnsi="Cambria"/>
          <w:sz w:val="20"/>
          <w:szCs w:val="20"/>
          <w:lang w:val="es-ES"/>
        </w:rPr>
        <w:t>, e</w:t>
      </w:r>
      <w:r w:rsidRPr="00DC278B">
        <w:rPr>
          <w:rFonts w:ascii="Cambria" w:eastAsia="Times New Roman" w:hAnsi="Cambria"/>
          <w:sz w:val="20"/>
          <w:szCs w:val="20"/>
          <w:bdr w:val="none" w:sz="0" w:space="0" w:color="auto"/>
          <w:lang w:val="es-ES_tradnl"/>
        </w:rPr>
        <w:t>l 28 de septiembre de 1973, Ramón Vivanco, militante del partido comunista y trabajador de la maestranza San Bernardo de Ferrocarriles, fue detenido con diez personas más en un operativo realizado en ese lugar por militares</w:t>
      </w:r>
      <w:r w:rsidRPr="00DC278B">
        <w:rPr>
          <w:rFonts w:ascii="Cambria" w:eastAsia="Times New Roman" w:hAnsi="Cambria"/>
          <w:sz w:val="20"/>
          <w:szCs w:val="20"/>
          <w:bdr w:val="none" w:sz="0" w:space="0" w:color="auto"/>
          <w:vertAlign w:val="superscript"/>
          <w:lang w:val="es-ES_tradnl"/>
        </w:rPr>
        <w:footnoteReference w:id="80"/>
      </w:r>
      <w:r w:rsidRPr="00DC278B">
        <w:rPr>
          <w:rFonts w:ascii="Cambria" w:eastAsia="Times New Roman" w:hAnsi="Cambria"/>
          <w:sz w:val="20"/>
          <w:szCs w:val="20"/>
          <w:bdr w:val="none" w:sz="0" w:space="0" w:color="auto"/>
          <w:lang w:val="es-ES_tradnl"/>
        </w:rPr>
        <w:t xml:space="preserve">.  Los detenidos fueron ejecutados, el 6 de octubre de 1973 por miembros del Ejército en el centro de detención de Cerro </w:t>
      </w:r>
      <w:proofErr w:type="spellStart"/>
      <w:r w:rsidRPr="00DC278B">
        <w:rPr>
          <w:rFonts w:ascii="Cambria" w:eastAsia="Times New Roman" w:hAnsi="Cambria"/>
          <w:sz w:val="20"/>
          <w:szCs w:val="20"/>
          <w:bdr w:val="none" w:sz="0" w:space="0" w:color="auto"/>
          <w:lang w:val="es-ES_tradnl"/>
        </w:rPr>
        <w:t>Chena</w:t>
      </w:r>
      <w:proofErr w:type="spellEnd"/>
      <w:r w:rsidRPr="00DC278B">
        <w:rPr>
          <w:rFonts w:ascii="Cambria" w:eastAsia="Times New Roman" w:hAnsi="Cambria"/>
          <w:sz w:val="20"/>
          <w:szCs w:val="20"/>
          <w:bdr w:val="none" w:sz="0" w:space="0" w:color="auto"/>
          <w:lang w:val="es-ES_tradnl"/>
        </w:rPr>
        <w:t xml:space="preserve"> y sus cuerpos fueron enviados al Instituto de Medicina Legal</w:t>
      </w:r>
      <w:r w:rsidRPr="00DC278B">
        <w:rPr>
          <w:rFonts w:ascii="Cambria" w:eastAsia="Times New Roman" w:hAnsi="Cambria"/>
          <w:sz w:val="20"/>
          <w:szCs w:val="20"/>
          <w:bdr w:val="none" w:sz="0" w:space="0" w:color="auto"/>
          <w:vertAlign w:val="superscript"/>
          <w:lang w:val="es-ES_tradnl"/>
        </w:rPr>
        <w:footnoteReference w:id="81"/>
      </w:r>
      <w:r w:rsidR="00A4447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La Comisión </w:t>
      </w:r>
      <w:proofErr w:type="spellStart"/>
      <w:r w:rsidRPr="00DC278B">
        <w:rPr>
          <w:rFonts w:ascii="Cambria" w:eastAsia="Times New Roman" w:hAnsi="Cambria"/>
          <w:sz w:val="20"/>
          <w:szCs w:val="20"/>
          <w:bdr w:val="none" w:sz="0" w:space="0" w:color="auto"/>
          <w:lang w:val="es-ES_tradnl"/>
        </w:rPr>
        <w:t>Rettig</w:t>
      </w:r>
      <w:proofErr w:type="spellEnd"/>
      <w:r w:rsidRPr="00DC278B">
        <w:rPr>
          <w:rFonts w:ascii="Cambria" w:eastAsia="Times New Roman" w:hAnsi="Cambria"/>
          <w:sz w:val="20"/>
          <w:szCs w:val="20"/>
          <w:bdr w:val="none" w:sz="0" w:space="0" w:color="auto"/>
          <w:lang w:val="es-ES_tradnl"/>
        </w:rPr>
        <w:t xml:space="preserve"> se formó convicción de que la muerte de la víctima constituyó violación de los derechos humanos y que fue ejecutada al margen de todo proceso por agentes del Estado</w:t>
      </w:r>
      <w:r w:rsidRPr="00DC278B">
        <w:rPr>
          <w:rFonts w:ascii="Cambria" w:eastAsia="Times New Roman" w:hAnsi="Cambria"/>
          <w:sz w:val="20"/>
          <w:szCs w:val="20"/>
          <w:bdr w:val="none" w:sz="0" w:space="0" w:color="auto"/>
          <w:vertAlign w:val="superscript"/>
          <w:lang w:val="es-ES_tradnl"/>
        </w:rPr>
        <w:footnoteReference w:id="82"/>
      </w:r>
      <w:r w:rsidRPr="00DC278B">
        <w:rPr>
          <w:rFonts w:ascii="Cambria" w:eastAsia="Times New Roman" w:hAnsi="Cambria"/>
          <w:sz w:val="20"/>
          <w:szCs w:val="20"/>
          <w:bdr w:val="none" w:sz="0" w:space="0" w:color="auto"/>
          <w:lang w:val="es-ES_tradnl"/>
        </w:rPr>
        <w:t>.</w:t>
      </w:r>
    </w:p>
    <w:p w:rsidR="00550FA9" w:rsidRPr="00DC278B" w:rsidRDefault="00550FA9"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50FA9" w:rsidRPr="00DC278B" w:rsidRDefault="00550FA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Mediante la Ley 19.123 de 1992, la hija de la víctima, Pamela Vivanco, recibió una bonificación compensatoria y su pensión rigió desde el 1˚ de julio de 1991 hasta el 31 de diciembre de 1993, fecha límite por edad</w:t>
      </w:r>
      <w:r w:rsidRPr="00DC278B">
        <w:rPr>
          <w:rFonts w:ascii="Cambria" w:eastAsia="Times New Roman" w:hAnsi="Cambria"/>
          <w:sz w:val="20"/>
          <w:szCs w:val="20"/>
          <w:bdr w:val="none" w:sz="0" w:space="0" w:color="auto"/>
          <w:vertAlign w:val="superscript"/>
          <w:lang w:val="es-ES_tradnl"/>
        </w:rPr>
        <w:footnoteReference w:id="83"/>
      </w:r>
      <w:r w:rsidR="00A44474">
        <w:rPr>
          <w:rFonts w:ascii="Cambria" w:eastAsia="Times New Roman" w:hAnsi="Cambria"/>
          <w:sz w:val="20"/>
          <w:szCs w:val="20"/>
          <w:bdr w:val="none" w:sz="0" w:space="0" w:color="auto"/>
          <w:lang w:val="es-ES_tradnl"/>
        </w:rPr>
        <w:t xml:space="preserve">. </w:t>
      </w:r>
    </w:p>
    <w:p w:rsidR="00550FA9" w:rsidRPr="00DC278B" w:rsidRDefault="00550FA9" w:rsidP="00DC278B">
      <w:pPr>
        <w:pStyle w:val="MediumGrid1-Accent21"/>
        <w:rPr>
          <w:rFonts w:eastAsia="Times New Roman"/>
          <w:color w:val="auto"/>
          <w:sz w:val="20"/>
          <w:szCs w:val="20"/>
          <w:bdr w:val="none" w:sz="0" w:space="0" w:color="auto"/>
          <w:lang w:val="es-ES_tradnl"/>
        </w:rPr>
      </w:pPr>
    </w:p>
    <w:p w:rsidR="00550FA9" w:rsidRPr="00DC278B" w:rsidRDefault="00550FA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30 de agosto de 2000, Pamela Vivanco, interpuso demanda </w:t>
      </w:r>
      <w:r w:rsidR="00D91F0B" w:rsidRPr="00DC278B">
        <w:rPr>
          <w:rFonts w:ascii="Cambria" w:eastAsia="Times New Roman" w:hAnsi="Cambria"/>
          <w:sz w:val="20"/>
          <w:szCs w:val="20"/>
          <w:bdr w:val="none" w:sz="0" w:space="0" w:color="auto"/>
          <w:lang w:val="es-ES_tradnl"/>
        </w:rPr>
        <w:t xml:space="preserve">civil de indemnización de perjuicios </w:t>
      </w:r>
      <w:r w:rsidRPr="00DC278B">
        <w:rPr>
          <w:rFonts w:ascii="Cambria" w:eastAsia="Times New Roman" w:hAnsi="Cambria"/>
          <w:sz w:val="20"/>
          <w:szCs w:val="20"/>
          <w:bdr w:val="none" w:sz="0" w:space="0" w:color="auto"/>
          <w:lang w:val="es-ES_tradnl"/>
        </w:rPr>
        <w:t>contra el Fisco de Chile, ante el 16º Juzgado</w:t>
      </w:r>
      <w:r w:rsidR="00D91F0B" w:rsidRPr="00DC278B">
        <w:rPr>
          <w:rFonts w:ascii="Cambria" w:eastAsia="Times New Roman" w:hAnsi="Cambria"/>
          <w:sz w:val="20"/>
          <w:szCs w:val="20"/>
          <w:bdr w:val="none" w:sz="0" w:space="0" w:color="auto"/>
          <w:lang w:val="es-ES_tradnl"/>
        </w:rPr>
        <w:t xml:space="preserve"> Civil, por el </w:t>
      </w:r>
      <w:r w:rsidRPr="00DC278B">
        <w:rPr>
          <w:rFonts w:ascii="Cambria" w:eastAsia="Times New Roman" w:hAnsi="Cambria"/>
          <w:sz w:val="20"/>
          <w:szCs w:val="20"/>
          <w:bdr w:val="none" w:sz="0" w:space="0" w:color="auto"/>
          <w:lang w:val="es-ES_tradnl"/>
        </w:rPr>
        <w:t>daño moral causado por la muerte de su padre</w:t>
      </w:r>
      <w:r w:rsidRPr="00DC278B">
        <w:rPr>
          <w:rFonts w:ascii="Cambria" w:eastAsia="Times New Roman" w:hAnsi="Cambria"/>
          <w:sz w:val="20"/>
          <w:szCs w:val="20"/>
          <w:bdr w:val="none" w:sz="0" w:space="0" w:color="auto"/>
          <w:vertAlign w:val="superscript"/>
          <w:lang w:val="es-ES_tradnl"/>
        </w:rPr>
        <w:footnoteReference w:id="84"/>
      </w:r>
      <w:r w:rsidR="00A4447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El 4 de octubre de 2002, el juzgado negó las pretensiones de la demanda en aplicación del término de prescripción de cinco años de la acción ordinaria previsto en los artículos 2.514</w:t>
      </w:r>
      <w:r w:rsidRPr="00DC278B">
        <w:rPr>
          <w:rFonts w:ascii="Cambria" w:eastAsia="Times New Roman" w:hAnsi="Cambria"/>
          <w:sz w:val="20"/>
          <w:szCs w:val="20"/>
          <w:bdr w:val="none" w:sz="0" w:space="0" w:color="auto"/>
          <w:vertAlign w:val="superscript"/>
          <w:lang w:val="es-ES_tradnl"/>
        </w:rPr>
        <w:footnoteReference w:id="85"/>
      </w:r>
      <w:r w:rsidRPr="00DC278B">
        <w:rPr>
          <w:rFonts w:ascii="Cambria" w:eastAsia="Times New Roman" w:hAnsi="Cambria"/>
          <w:sz w:val="20"/>
          <w:szCs w:val="20"/>
          <w:bdr w:val="none" w:sz="0" w:space="0" w:color="auto"/>
          <w:lang w:val="es-ES_tradnl"/>
        </w:rPr>
        <w:t xml:space="preserve"> y 2.515</w:t>
      </w:r>
      <w:r w:rsidRPr="00DC278B">
        <w:rPr>
          <w:rFonts w:ascii="Cambria" w:eastAsia="Times New Roman" w:hAnsi="Cambria"/>
          <w:sz w:val="20"/>
          <w:szCs w:val="20"/>
          <w:bdr w:val="none" w:sz="0" w:space="0" w:color="auto"/>
          <w:vertAlign w:val="superscript"/>
          <w:lang w:val="es-ES_tradnl"/>
        </w:rPr>
        <w:footnoteReference w:id="86"/>
      </w:r>
      <w:r w:rsidRPr="00DC278B">
        <w:rPr>
          <w:rFonts w:ascii="Cambria" w:eastAsia="Times New Roman" w:hAnsi="Cambria"/>
          <w:sz w:val="20"/>
          <w:szCs w:val="20"/>
          <w:bdr w:val="none" w:sz="0" w:space="0" w:color="auto"/>
          <w:lang w:val="es-ES_tradnl"/>
        </w:rPr>
        <w:t xml:space="preserve"> del Código Civil</w:t>
      </w:r>
      <w:r w:rsidRPr="00DC278B">
        <w:rPr>
          <w:rFonts w:ascii="Cambria" w:eastAsia="Times New Roman" w:hAnsi="Cambria"/>
          <w:sz w:val="20"/>
          <w:szCs w:val="20"/>
          <w:bdr w:val="none" w:sz="0" w:space="0" w:color="auto"/>
          <w:vertAlign w:val="superscript"/>
          <w:lang w:val="es-ES_tradnl"/>
        </w:rPr>
        <w:footnoteReference w:id="87"/>
      </w:r>
      <w:r w:rsidRPr="00DC278B">
        <w:rPr>
          <w:rFonts w:ascii="Cambria" w:eastAsia="Times New Roman" w:hAnsi="Cambria"/>
          <w:sz w:val="20"/>
          <w:szCs w:val="20"/>
          <w:bdr w:val="none" w:sz="0" w:space="0" w:color="auto"/>
          <w:lang w:val="es-ES_tradnl"/>
        </w:rPr>
        <w:t xml:space="preserve">.  El juez consideró que la acción fue interpuesta más de cinco años después de que la acción se hizo exigible, el 4 de marzo de 1991; fecha en la que se publicó el Informe de la Comisión </w:t>
      </w:r>
      <w:proofErr w:type="spellStart"/>
      <w:r w:rsidRPr="00DC278B">
        <w:rPr>
          <w:rFonts w:ascii="Cambria" w:eastAsia="Times New Roman" w:hAnsi="Cambria"/>
          <w:sz w:val="20"/>
          <w:szCs w:val="20"/>
          <w:bdr w:val="none" w:sz="0" w:space="0" w:color="auto"/>
          <w:lang w:val="es-ES_tradnl"/>
        </w:rPr>
        <w:t>Rettig</w:t>
      </w:r>
      <w:proofErr w:type="spellEnd"/>
      <w:r w:rsidRPr="00DC278B">
        <w:rPr>
          <w:rFonts w:ascii="Cambria" w:eastAsia="Times New Roman" w:hAnsi="Cambria"/>
          <w:sz w:val="20"/>
          <w:szCs w:val="20"/>
          <w:bdr w:val="none" w:sz="0" w:space="0" w:color="auto"/>
          <w:vertAlign w:val="superscript"/>
          <w:lang w:val="es-ES_tradnl"/>
        </w:rPr>
        <w:footnoteReference w:id="88"/>
      </w:r>
      <w:r w:rsidRPr="00DC278B">
        <w:rPr>
          <w:rFonts w:ascii="Cambria" w:eastAsia="Times New Roman" w:hAnsi="Cambria"/>
          <w:sz w:val="20"/>
          <w:szCs w:val="20"/>
          <w:bdr w:val="none" w:sz="0" w:space="0" w:color="auto"/>
          <w:lang w:val="es-ES_tradnl"/>
        </w:rPr>
        <w:t>.  El 22 de enero de 2003, Pamela Vivanco, interpuso un recurso de apelación contra dicha sentencia ante la CAS, la cual declaró desierto el recurso, el 6 de mayo de 2003, porque el apelante no compareció</w:t>
      </w:r>
      <w:r w:rsidRPr="00DC278B">
        <w:rPr>
          <w:rFonts w:ascii="Cambria" w:eastAsia="Times New Roman" w:hAnsi="Cambria"/>
          <w:sz w:val="20"/>
          <w:szCs w:val="20"/>
          <w:bdr w:val="none" w:sz="0" w:space="0" w:color="auto"/>
          <w:vertAlign w:val="superscript"/>
          <w:lang w:val="es-ES_tradnl"/>
        </w:rPr>
        <w:footnoteReference w:id="89"/>
      </w:r>
      <w:r w:rsidRPr="00DC278B">
        <w:rPr>
          <w:rFonts w:ascii="Cambria" w:eastAsia="Times New Roman" w:hAnsi="Cambria"/>
          <w:sz w:val="20"/>
          <w:szCs w:val="20"/>
          <w:bdr w:val="none" w:sz="0" w:space="0" w:color="auto"/>
          <w:lang w:val="es-ES_tradnl"/>
        </w:rPr>
        <w:t>.</w:t>
      </w:r>
    </w:p>
    <w:p w:rsidR="00550FA9" w:rsidRPr="00DC278B" w:rsidRDefault="00550FA9"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50FA9" w:rsidRPr="00DC278B" w:rsidRDefault="00550FA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Mediante la Ley 19.980 de 2004, la hija de la víctima percibió un bono de reparación consistente en la diferencia de lo recibido por concepto de pensión y el monto de este bono que tenía el valor de 10.000.000 Pesos chilenos</w:t>
      </w:r>
      <w:r w:rsidRPr="00DC278B">
        <w:rPr>
          <w:rFonts w:ascii="Cambria" w:eastAsia="Times New Roman" w:hAnsi="Cambria"/>
          <w:sz w:val="20"/>
          <w:szCs w:val="20"/>
          <w:bdr w:val="none" w:sz="0" w:space="0" w:color="auto"/>
          <w:vertAlign w:val="superscript"/>
          <w:lang w:val="es-ES_tradnl"/>
        </w:rPr>
        <w:footnoteReference w:id="90"/>
      </w:r>
      <w:r w:rsidRPr="00DC278B">
        <w:rPr>
          <w:rFonts w:ascii="Cambria" w:eastAsia="Times New Roman" w:hAnsi="Cambria"/>
          <w:sz w:val="20"/>
          <w:szCs w:val="20"/>
          <w:bdr w:val="none" w:sz="0" w:space="0" w:color="auto"/>
          <w:lang w:val="es-ES_tradnl"/>
        </w:rPr>
        <w:t>.</w:t>
      </w:r>
    </w:p>
    <w:p w:rsidR="00367BDC" w:rsidRPr="00DC278B" w:rsidRDefault="00367BD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F45942" w:rsidRPr="00DC278B" w:rsidRDefault="000E7F36" w:rsidP="00DC278B">
      <w:pPr>
        <w:pStyle w:val="Heading2"/>
      </w:pPr>
      <w:bookmarkStart w:id="23" w:name="_Toc413397476"/>
      <w:r w:rsidRPr="00DC278B">
        <w:t>F.</w:t>
      </w:r>
      <w:r w:rsidRPr="00DC278B">
        <w:tab/>
      </w:r>
      <w:r w:rsidR="005E63E4" w:rsidRPr="00DC278B">
        <w:t>Situación del g</w:t>
      </w:r>
      <w:r w:rsidR="00E5125E" w:rsidRPr="00DC278B">
        <w:t>r</w:t>
      </w:r>
      <w:r w:rsidR="005E63E4" w:rsidRPr="00DC278B">
        <w:t>upo familiar de Carlos Melo y su causa</w:t>
      </w:r>
      <w:r w:rsidR="00F45942" w:rsidRPr="00DC278B">
        <w:t xml:space="preserve"> con</w:t>
      </w:r>
      <w:r w:rsidR="00CB7019" w:rsidRPr="00DC278B">
        <w:t>tra</w:t>
      </w:r>
      <w:r w:rsidR="00F45942" w:rsidRPr="00DC278B">
        <w:t xml:space="preserve"> </w:t>
      </w:r>
      <w:r w:rsidR="00F640C5" w:rsidRPr="00DC278B">
        <w:t xml:space="preserve">el </w:t>
      </w:r>
      <w:r w:rsidR="00F45942" w:rsidRPr="00DC278B">
        <w:t>Fisco de Chile</w:t>
      </w:r>
      <w:bookmarkEnd w:id="23"/>
    </w:p>
    <w:p w:rsidR="00F45942" w:rsidRPr="00DC278B" w:rsidRDefault="00F45942" w:rsidP="00DC278B">
      <w:pPr>
        <w:autoSpaceDE w:val="0"/>
        <w:autoSpaceDN w:val="0"/>
        <w:adjustRightInd w:val="0"/>
        <w:ind w:firstLine="720"/>
        <w:rPr>
          <w:rFonts w:ascii="Cambria" w:hAnsi="Cambria"/>
          <w:sz w:val="20"/>
          <w:szCs w:val="20"/>
          <w:lang w:val="es-ES"/>
        </w:rPr>
      </w:pPr>
    </w:p>
    <w:p w:rsidR="00F45942" w:rsidRPr="00DC278B" w:rsidRDefault="002F485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lang w:val="es-ES"/>
        </w:rPr>
        <w:t xml:space="preserve">Según el Informe de la Comisión </w:t>
      </w:r>
      <w:proofErr w:type="spellStart"/>
      <w:r w:rsidRPr="00DC278B">
        <w:rPr>
          <w:rFonts w:ascii="Cambria" w:eastAsia="Times New Roman" w:hAnsi="Cambria"/>
          <w:sz w:val="20"/>
          <w:szCs w:val="20"/>
          <w:lang w:val="es-ES"/>
        </w:rPr>
        <w:t>Rettig</w:t>
      </w:r>
      <w:proofErr w:type="spellEnd"/>
      <w:r w:rsidRPr="00DC278B">
        <w:rPr>
          <w:rFonts w:ascii="Cambria" w:eastAsia="Times New Roman" w:hAnsi="Cambria"/>
          <w:sz w:val="20"/>
          <w:szCs w:val="20"/>
          <w:lang w:val="es-ES"/>
        </w:rPr>
        <w:t>, e</w:t>
      </w:r>
      <w:r w:rsidR="00F45942" w:rsidRPr="00DC278B">
        <w:rPr>
          <w:rFonts w:ascii="Cambria" w:eastAsia="Times New Roman" w:hAnsi="Cambria"/>
          <w:sz w:val="20"/>
          <w:szCs w:val="20"/>
          <w:bdr w:val="none" w:sz="0" w:space="0" w:color="auto"/>
          <w:lang w:val="es-ES_tradnl"/>
        </w:rPr>
        <w:t xml:space="preserve">l 29 de septiembre de 1973, Mario Ramiro Melo </w:t>
      </w:r>
      <w:proofErr w:type="spellStart"/>
      <w:r w:rsidR="00F45942" w:rsidRPr="00DC278B">
        <w:rPr>
          <w:rFonts w:ascii="Cambria" w:eastAsia="Times New Roman" w:hAnsi="Cambria"/>
          <w:sz w:val="20"/>
          <w:szCs w:val="20"/>
          <w:bdr w:val="none" w:sz="0" w:space="0" w:color="auto"/>
          <w:lang w:val="es-ES_tradnl"/>
        </w:rPr>
        <w:t>Pr</w:t>
      </w:r>
      <w:r w:rsidR="00EC75CD" w:rsidRPr="00DC278B">
        <w:rPr>
          <w:rFonts w:ascii="Cambria" w:eastAsia="Times New Roman" w:hAnsi="Cambria"/>
          <w:sz w:val="20"/>
          <w:szCs w:val="20"/>
          <w:bdr w:val="none" w:sz="0" w:space="0" w:color="auto"/>
          <w:lang w:val="es-ES_tradnl"/>
        </w:rPr>
        <w:t>a</w:t>
      </w:r>
      <w:r w:rsidR="00F45942" w:rsidRPr="00DC278B">
        <w:rPr>
          <w:rFonts w:ascii="Cambria" w:eastAsia="Times New Roman" w:hAnsi="Cambria"/>
          <w:sz w:val="20"/>
          <w:szCs w:val="20"/>
          <w:bdr w:val="none" w:sz="0" w:space="0" w:color="auto"/>
          <w:lang w:val="es-ES_tradnl"/>
        </w:rPr>
        <w:t>denas</w:t>
      </w:r>
      <w:proofErr w:type="spellEnd"/>
      <w:r w:rsidR="00F45942" w:rsidRPr="00DC278B">
        <w:rPr>
          <w:rFonts w:ascii="Cambria" w:eastAsia="Times New Roman" w:hAnsi="Cambria"/>
          <w:sz w:val="20"/>
          <w:szCs w:val="20"/>
          <w:bdr w:val="none" w:sz="0" w:space="0" w:color="auto"/>
          <w:lang w:val="es-ES_tradnl"/>
        </w:rPr>
        <w:t xml:space="preserve">, oficial </w:t>
      </w:r>
      <w:r w:rsidR="00C25480" w:rsidRPr="00DC278B">
        <w:rPr>
          <w:rFonts w:ascii="Cambria" w:eastAsia="Times New Roman" w:hAnsi="Cambria"/>
          <w:sz w:val="20"/>
          <w:szCs w:val="20"/>
          <w:bdr w:val="none" w:sz="0" w:space="0" w:color="auto"/>
          <w:lang w:val="es-ES_tradnl"/>
        </w:rPr>
        <w:t xml:space="preserve">del Ejército </w:t>
      </w:r>
      <w:r w:rsidR="00F45942" w:rsidRPr="00DC278B">
        <w:rPr>
          <w:rFonts w:ascii="Cambria" w:eastAsia="Times New Roman" w:hAnsi="Cambria"/>
          <w:sz w:val="20"/>
          <w:szCs w:val="20"/>
          <w:bdr w:val="none" w:sz="0" w:space="0" w:color="auto"/>
          <w:lang w:val="es-ES_tradnl"/>
        </w:rPr>
        <w:t>en retiro, secretario privado e integrante del Dispositivo de Seguridad del Presidente Salvador Allende</w:t>
      </w:r>
      <w:r w:rsidR="00C25480" w:rsidRPr="00DC278B">
        <w:rPr>
          <w:rFonts w:ascii="Cambria" w:eastAsia="Times New Roman" w:hAnsi="Cambria"/>
          <w:sz w:val="20"/>
          <w:szCs w:val="20"/>
          <w:bdr w:val="none" w:sz="0" w:space="0" w:color="auto"/>
          <w:lang w:val="es-ES_tradnl"/>
        </w:rPr>
        <w:t xml:space="preserve"> y militante socialista</w:t>
      </w:r>
      <w:r w:rsidR="007A17E4" w:rsidRPr="00DC278B">
        <w:rPr>
          <w:rFonts w:ascii="Cambria" w:eastAsia="Times New Roman" w:hAnsi="Cambria"/>
          <w:sz w:val="20"/>
          <w:szCs w:val="20"/>
          <w:bdr w:val="none" w:sz="0" w:space="0" w:color="auto"/>
          <w:lang w:val="es-ES_tradnl"/>
        </w:rPr>
        <w:t>, f</w:t>
      </w:r>
      <w:r w:rsidRPr="00DC278B">
        <w:rPr>
          <w:rFonts w:ascii="Cambria" w:eastAsia="Times New Roman" w:hAnsi="Cambria"/>
          <w:sz w:val="20"/>
          <w:szCs w:val="20"/>
          <w:bdr w:val="none" w:sz="0" w:space="0" w:color="auto"/>
          <w:lang w:val="es-ES_tradnl"/>
        </w:rPr>
        <w:t xml:space="preserve">ue detenido </w:t>
      </w:r>
      <w:r w:rsidR="00F45942" w:rsidRPr="00DC278B">
        <w:rPr>
          <w:rFonts w:ascii="Cambria" w:eastAsia="Times New Roman" w:hAnsi="Cambria"/>
          <w:sz w:val="20"/>
          <w:szCs w:val="20"/>
          <w:bdr w:val="none" w:sz="0" w:space="0" w:color="auto"/>
          <w:lang w:val="es-ES_tradnl"/>
        </w:rPr>
        <w:t xml:space="preserve">por una patrulla de la </w:t>
      </w:r>
      <w:r w:rsidR="007A17E4" w:rsidRPr="00DC278B">
        <w:rPr>
          <w:rFonts w:ascii="Cambria" w:eastAsia="Times New Roman" w:hAnsi="Cambria"/>
          <w:sz w:val="20"/>
          <w:szCs w:val="20"/>
          <w:bdr w:val="none" w:sz="0" w:space="0" w:color="auto"/>
          <w:lang w:val="es-ES_tradnl"/>
        </w:rPr>
        <w:t>Fuerza Aérea Chilena (FACH),</w:t>
      </w:r>
      <w:r w:rsidRPr="00DC278B">
        <w:rPr>
          <w:rFonts w:ascii="Cambria" w:eastAsia="Times New Roman" w:hAnsi="Cambria"/>
          <w:sz w:val="20"/>
          <w:szCs w:val="20"/>
          <w:bdr w:val="none" w:sz="0" w:space="0" w:color="auto"/>
          <w:lang w:val="es-ES_tradnl"/>
        </w:rPr>
        <w:t xml:space="preserve"> </w:t>
      </w:r>
      <w:r w:rsidR="00F45942" w:rsidRPr="00DC278B">
        <w:rPr>
          <w:rFonts w:ascii="Cambria" w:eastAsia="Times New Roman" w:hAnsi="Cambria"/>
          <w:sz w:val="20"/>
          <w:szCs w:val="20"/>
          <w:bdr w:val="none" w:sz="0" w:space="0" w:color="auto"/>
          <w:lang w:val="es-ES_tradnl"/>
        </w:rPr>
        <w:t>tra</w:t>
      </w:r>
      <w:r w:rsidRPr="00DC278B">
        <w:rPr>
          <w:rFonts w:ascii="Cambria" w:eastAsia="Times New Roman" w:hAnsi="Cambria"/>
          <w:sz w:val="20"/>
          <w:szCs w:val="20"/>
          <w:bdr w:val="none" w:sz="0" w:space="0" w:color="auto"/>
          <w:lang w:val="es-ES_tradnl"/>
        </w:rPr>
        <w:t>slada</w:t>
      </w:r>
      <w:r w:rsidR="001C3B7C" w:rsidRPr="00DC278B">
        <w:rPr>
          <w:rFonts w:ascii="Cambria" w:eastAsia="Times New Roman" w:hAnsi="Cambria"/>
          <w:sz w:val="20"/>
          <w:szCs w:val="20"/>
          <w:bdr w:val="none" w:sz="0" w:space="0" w:color="auto"/>
          <w:lang w:val="es-ES_tradnl"/>
        </w:rPr>
        <w:t>d</w:t>
      </w:r>
      <w:r w:rsidRPr="00DC278B">
        <w:rPr>
          <w:rFonts w:ascii="Cambria" w:eastAsia="Times New Roman" w:hAnsi="Cambria"/>
          <w:sz w:val="20"/>
          <w:szCs w:val="20"/>
          <w:bdr w:val="none" w:sz="0" w:space="0" w:color="auto"/>
          <w:lang w:val="es-ES_tradnl"/>
        </w:rPr>
        <w:t>o</w:t>
      </w:r>
      <w:r w:rsidR="00F45942" w:rsidRPr="00DC278B">
        <w:rPr>
          <w:rFonts w:ascii="Cambria" w:eastAsia="Times New Roman" w:hAnsi="Cambria"/>
          <w:sz w:val="20"/>
          <w:szCs w:val="20"/>
          <w:bdr w:val="none" w:sz="0" w:space="0" w:color="auto"/>
          <w:lang w:val="es-ES_tradnl"/>
        </w:rPr>
        <w:t xml:space="preserve"> al Ministerio de Defensa, y fue visto por última vez en el recinto militar de </w:t>
      </w:r>
      <w:proofErr w:type="spellStart"/>
      <w:r w:rsidR="00F45942" w:rsidRPr="00DC278B">
        <w:rPr>
          <w:rFonts w:ascii="Cambria" w:eastAsia="Times New Roman" w:hAnsi="Cambria"/>
          <w:sz w:val="20"/>
          <w:szCs w:val="20"/>
          <w:bdr w:val="none" w:sz="0" w:space="0" w:color="auto"/>
          <w:lang w:val="es-ES_tradnl"/>
        </w:rPr>
        <w:t>Peldehue</w:t>
      </w:r>
      <w:proofErr w:type="spellEnd"/>
      <w:r w:rsidR="00F45942" w:rsidRPr="00DC278B">
        <w:rPr>
          <w:rFonts w:ascii="Cambria" w:eastAsia="Times New Roman" w:hAnsi="Cambria"/>
          <w:sz w:val="20"/>
          <w:szCs w:val="20"/>
          <w:bdr w:val="none" w:sz="0" w:space="0" w:color="auto"/>
          <w:vertAlign w:val="superscript"/>
          <w:lang w:val="es-ES_tradnl"/>
        </w:rPr>
        <w:footnoteReference w:id="91"/>
      </w:r>
      <w:r w:rsidR="00F45942" w:rsidRPr="00DC278B">
        <w:rPr>
          <w:rFonts w:ascii="Cambria" w:eastAsia="Times New Roman" w:hAnsi="Cambria"/>
          <w:sz w:val="20"/>
          <w:szCs w:val="20"/>
          <w:bdr w:val="none" w:sz="0" w:space="0" w:color="auto"/>
          <w:lang w:val="es-ES_tradnl"/>
        </w:rPr>
        <w:t>.</w:t>
      </w:r>
    </w:p>
    <w:p w:rsidR="00F45942" w:rsidRPr="00DC278B" w:rsidRDefault="00F45942"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342457" w:rsidRPr="00DC278B" w:rsidRDefault="0034245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La Comisión </w:t>
      </w:r>
      <w:proofErr w:type="spellStart"/>
      <w:r w:rsidRPr="00DC278B">
        <w:rPr>
          <w:rFonts w:ascii="Cambria" w:eastAsia="Times New Roman" w:hAnsi="Cambria"/>
          <w:sz w:val="20"/>
          <w:szCs w:val="20"/>
          <w:bdr w:val="none" w:sz="0" w:space="0" w:color="auto"/>
          <w:lang w:val="es-ES_tradnl"/>
        </w:rPr>
        <w:t>Rettig</w:t>
      </w:r>
      <w:proofErr w:type="spellEnd"/>
      <w:r w:rsidRPr="00DC278B">
        <w:rPr>
          <w:rFonts w:ascii="Cambria" w:eastAsia="Times New Roman" w:hAnsi="Cambria"/>
          <w:sz w:val="20"/>
          <w:szCs w:val="20"/>
          <w:bdr w:val="none" w:sz="0" w:space="0" w:color="auto"/>
          <w:lang w:val="es-ES_tradnl"/>
        </w:rPr>
        <w:t xml:space="preserve"> se formó “la convicción que el afectado se encuentra desaparecido por responsabilidad de agentes del Estado, con violación de sus derechos humanos, </w:t>
      </w:r>
      <w:r w:rsidRPr="00DC278B">
        <w:rPr>
          <w:rFonts w:ascii="Cambria" w:eastAsia="Times New Roman" w:hAnsi="Cambria"/>
          <w:sz w:val="20"/>
          <w:szCs w:val="20"/>
          <w:bdr w:val="none" w:sz="0" w:space="0" w:color="auto"/>
          <w:lang w:val="es-ES"/>
        </w:rPr>
        <w:t>[…</w:t>
      </w:r>
      <w:proofErr w:type="gramStart"/>
      <w:r w:rsidRPr="00DC278B">
        <w:rPr>
          <w:rFonts w:ascii="Cambria" w:eastAsia="Times New Roman" w:hAnsi="Cambria"/>
          <w:sz w:val="20"/>
          <w:szCs w:val="20"/>
          <w:bdr w:val="none" w:sz="0" w:space="0" w:color="auto"/>
          <w:lang w:val="es-ES"/>
        </w:rPr>
        <w:t>]</w:t>
      </w:r>
      <w:r w:rsidRPr="00DC278B">
        <w:rPr>
          <w:rFonts w:ascii="Cambria" w:eastAsia="Times New Roman" w:hAnsi="Cambria"/>
          <w:sz w:val="20"/>
          <w:szCs w:val="20"/>
          <w:bdr w:val="none" w:sz="0" w:space="0" w:color="auto"/>
          <w:lang w:val="es-ES_tradnl"/>
        </w:rPr>
        <w:t>el</w:t>
      </w:r>
      <w:proofErr w:type="gramEnd"/>
      <w:r w:rsidRPr="00DC278B">
        <w:rPr>
          <w:rFonts w:ascii="Cambria" w:eastAsia="Times New Roman" w:hAnsi="Cambria"/>
          <w:sz w:val="20"/>
          <w:szCs w:val="20"/>
          <w:bdr w:val="none" w:sz="0" w:space="0" w:color="auto"/>
          <w:lang w:val="es-ES_tradnl"/>
        </w:rPr>
        <w:t xml:space="preserve"> que </w:t>
      </w:r>
      <w:r w:rsidR="00341959" w:rsidRPr="00DC278B">
        <w:rPr>
          <w:rFonts w:ascii="Cambria" w:eastAsia="Times New Roman" w:hAnsi="Cambria"/>
          <w:sz w:val="20"/>
          <w:szCs w:val="20"/>
          <w:bdr w:val="none" w:sz="0" w:space="0" w:color="auto"/>
          <w:lang w:val="es-ES_tradnl"/>
        </w:rPr>
        <w:t>desde esa época no haya noticia</w:t>
      </w:r>
      <w:r w:rsidRPr="00DC278B">
        <w:rPr>
          <w:rFonts w:ascii="Cambria" w:eastAsia="Times New Roman" w:hAnsi="Cambria"/>
          <w:sz w:val="20"/>
          <w:szCs w:val="20"/>
          <w:bdr w:val="none" w:sz="0" w:space="0" w:color="auto"/>
          <w:lang w:val="es-ES_tradnl"/>
        </w:rPr>
        <w:t xml:space="preserve"> alguna sobre su paradero y suerte, no existiendo constancia de su defunción ni de actuaciones que den cuenta de su existencia</w:t>
      </w:r>
      <w:r w:rsidRPr="00DC278B">
        <w:rPr>
          <w:rFonts w:ascii="Cambria" w:eastAsia="Times New Roman" w:hAnsi="Cambria"/>
          <w:sz w:val="20"/>
          <w:szCs w:val="20"/>
          <w:bdr w:val="none" w:sz="0" w:space="0" w:color="auto"/>
          <w:lang w:val="es-ES"/>
        </w:rPr>
        <w:t>”</w:t>
      </w:r>
      <w:r w:rsidRPr="00DC278B">
        <w:rPr>
          <w:rFonts w:ascii="Cambria" w:eastAsia="Times New Roman" w:hAnsi="Cambria"/>
          <w:sz w:val="20"/>
          <w:szCs w:val="20"/>
          <w:bdr w:val="none" w:sz="0" w:space="0" w:color="auto"/>
          <w:vertAlign w:val="superscript"/>
          <w:lang w:val="es-ES_tradnl"/>
        </w:rPr>
        <w:footnoteReference w:id="92"/>
      </w:r>
      <w:r w:rsidRPr="00DC278B">
        <w:rPr>
          <w:rFonts w:ascii="Cambria" w:eastAsia="Times New Roman" w:hAnsi="Cambria"/>
          <w:sz w:val="20"/>
          <w:szCs w:val="20"/>
          <w:bdr w:val="none" w:sz="0" w:space="0" w:color="auto"/>
          <w:lang w:val="es-ES_tradnl"/>
        </w:rPr>
        <w:t>.</w:t>
      </w:r>
    </w:p>
    <w:p w:rsidR="00342457" w:rsidRPr="00DC278B" w:rsidRDefault="00342457" w:rsidP="00DC278B">
      <w:pPr>
        <w:pStyle w:val="MediumGrid1-Accent21"/>
        <w:rPr>
          <w:rFonts w:eastAsia="Times New Roman"/>
          <w:color w:val="auto"/>
          <w:sz w:val="20"/>
          <w:szCs w:val="20"/>
          <w:bdr w:val="none" w:sz="0" w:space="0" w:color="auto"/>
          <w:lang w:val="es-ES_tradnl"/>
        </w:rPr>
      </w:pPr>
    </w:p>
    <w:p w:rsidR="00F45942" w:rsidRPr="00DC278B" w:rsidRDefault="00C3552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Mediante la Ley 19.123 de 1992, </w:t>
      </w:r>
      <w:r w:rsidR="001B7CF7" w:rsidRPr="00DC278B">
        <w:rPr>
          <w:rFonts w:ascii="Cambria" w:eastAsia="Times New Roman" w:hAnsi="Cambria"/>
          <w:sz w:val="20"/>
          <w:szCs w:val="20"/>
          <w:bdr w:val="none" w:sz="0" w:space="0" w:color="auto"/>
          <w:lang w:val="es-ES_tradnl"/>
        </w:rPr>
        <w:t>María Ili</w:t>
      </w:r>
      <w:r w:rsidR="00EC75CD" w:rsidRPr="00DC278B">
        <w:rPr>
          <w:rFonts w:ascii="Cambria" w:eastAsia="Times New Roman" w:hAnsi="Cambria"/>
          <w:sz w:val="20"/>
          <w:szCs w:val="20"/>
          <w:bdr w:val="none" w:sz="0" w:space="0" w:color="auto"/>
          <w:lang w:val="es-ES_tradnl"/>
        </w:rPr>
        <w:t xml:space="preserve">a </w:t>
      </w:r>
      <w:proofErr w:type="spellStart"/>
      <w:r w:rsidR="00EC75CD" w:rsidRPr="00DC278B">
        <w:rPr>
          <w:rFonts w:ascii="Cambria" w:eastAsia="Times New Roman" w:hAnsi="Cambria"/>
          <w:sz w:val="20"/>
          <w:szCs w:val="20"/>
          <w:bdr w:val="none" w:sz="0" w:space="0" w:color="auto"/>
          <w:lang w:val="es-ES_tradnl"/>
        </w:rPr>
        <w:t>Pra</w:t>
      </w:r>
      <w:r w:rsidR="00F45942" w:rsidRPr="00DC278B">
        <w:rPr>
          <w:rFonts w:ascii="Cambria" w:eastAsia="Times New Roman" w:hAnsi="Cambria"/>
          <w:sz w:val="20"/>
          <w:szCs w:val="20"/>
          <w:bdr w:val="none" w:sz="0" w:space="0" w:color="auto"/>
          <w:lang w:val="es-ES_tradnl"/>
        </w:rPr>
        <w:t>denas</w:t>
      </w:r>
      <w:proofErr w:type="spellEnd"/>
      <w:r w:rsidR="00F45942" w:rsidRPr="00DC278B">
        <w:rPr>
          <w:rFonts w:ascii="Cambria" w:eastAsia="Times New Roman" w:hAnsi="Cambria"/>
          <w:sz w:val="20"/>
          <w:szCs w:val="20"/>
          <w:bdr w:val="none" w:sz="0" w:space="0" w:color="auto"/>
          <w:lang w:val="es-ES_tradnl"/>
        </w:rPr>
        <w:t xml:space="preserve"> Pérez, </w:t>
      </w:r>
      <w:r w:rsidR="00436FF4" w:rsidRPr="00DC278B">
        <w:rPr>
          <w:rFonts w:ascii="Cambria" w:eastAsia="Times New Roman" w:hAnsi="Cambria"/>
          <w:sz w:val="20"/>
          <w:szCs w:val="20"/>
          <w:bdr w:val="none" w:sz="0" w:space="0" w:color="auto"/>
          <w:lang w:val="es-ES_tradnl"/>
        </w:rPr>
        <w:t>recibió una bonificación compensatoria, ascendiente al 40%</w:t>
      </w:r>
      <w:r w:rsidR="00241871" w:rsidRPr="00DC278B">
        <w:rPr>
          <w:rFonts w:ascii="Cambria" w:eastAsia="Times New Roman" w:hAnsi="Cambria"/>
          <w:sz w:val="20"/>
          <w:szCs w:val="20"/>
          <w:bdr w:val="none" w:sz="0" w:space="0" w:color="auto"/>
          <w:lang w:val="es-ES_tradnl"/>
        </w:rPr>
        <w:t xml:space="preserve"> de </w:t>
      </w:r>
      <w:r w:rsidR="002A6D6E" w:rsidRPr="00DC278B">
        <w:rPr>
          <w:rFonts w:ascii="Cambria" w:eastAsia="Times New Roman" w:hAnsi="Cambria"/>
          <w:sz w:val="20"/>
          <w:szCs w:val="20"/>
          <w:bdr w:val="none" w:sz="0" w:space="0" w:color="auto"/>
          <w:lang w:val="es-ES_tradnl"/>
        </w:rPr>
        <w:t>(50</w:t>
      </w:r>
      <w:r w:rsidR="00EC5871" w:rsidRPr="00DC278B">
        <w:rPr>
          <w:rFonts w:ascii="Cambria" w:eastAsia="Times New Roman" w:hAnsi="Cambria"/>
          <w:sz w:val="20"/>
          <w:szCs w:val="20"/>
          <w:bdr w:val="none" w:sz="0" w:space="0" w:color="auto"/>
          <w:lang w:val="es-ES_tradnl"/>
        </w:rPr>
        <w:t xml:space="preserve">4.943 Pesos chilenos) </w:t>
      </w:r>
      <w:r w:rsidR="00241871" w:rsidRPr="00DC278B">
        <w:rPr>
          <w:rFonts w:ascii="Cambria" w:eastAsia="Times New Roman" w:hAnsi="Cambria"/>
          <w:sz w:val="20"/>
          <w:szCs w:val="20"/>
          <w:bdr w:val="none" w:sz="0" w:space="0" w:color="auto"/>
          <w:lang w:val="es-ES_tradnl"/>
        </w:rPr>
        <w:t>la pensión</w:t>
      </w:r>
      <w:r w:rsidR="00436FF4" w:rsidRPr="00DC278B">
        <w:rPr>
          <w:rFonts w:ascii="Cambria" w:eastAsia="Times New Roman" w:hAnsi="Cambria"/>
          <w:sz w:val="20"/>
          <w:szCs w:val="20"/>
          <w:bdr w:val="none" w:sz="0" w:space="0" w:color="auto"/>
          <w:lang w:val="es-ES_tradnl"/>
        </w:rPr>
        <w:t xml:space="preserve"> mensual c</w:t>
      </w:r>
      <w:r w:rsidR="00241871" w:rsidRPr="00DC278B">
        <w:rPr>
          <w:rFonts w:ascii="Cambria" w:eastAsia="Times New Roman" w:hAnsi="Cambria"/>
          <w:sz w:val="20"/>
          <w:szCs w:val="20"/>
          <w:bdr w:val="none" w:sz="0" w:space="0" w:color="auto"/>
          <w:lang w:val="es-ES_tradnl"/>
        </w:rPr>
        <w:t>uando hay más de</w:t>
      </w:r>
      <w:r w:rsidR="00436FF4" w:rsidRPr="00DC278B">
        <w:rPr>
          <w:rFonts w:ascii="Cambria" w:eastAsia="Times New Roman" w:hAnsi="Cambria"/>
          <w:sz w:val="20"/>
          <w:szCs w:val="20"/>
          <w:bdr w:val="none" w:sz="0" w:space="0" w:color="auto"/>
          <w:lang w:val="es-ES_tradnl"/>
        </w:rPr>
        <w:t xml:space="preserve"> un</w:t>
      </w:r>
      <w:r w:rsidR="00EC5871" w:rsidRPr="00DC278B">
        <w:rPr>
          <w:rFonts w:ascii="Cambria" w:eastAsia="Times New Roman" w:hAnsi="Cambria"/>
          <w:sz w:val="20"/>
          <w:szCs w:val="20"/>
          <w:bdr w:val="none" w:sz="0" w:space="0" w:color="auto"/>
          <w:lang w:val="es-ES_tradnl"/>
        </w:rPr>
        <w:t xml:space="preserve"> beneficiario</w:t>
      </w:r>
      <w:r w:rsidR="00EC5871" w:rsidRPr="00DC278B">
        <w:rPr>
          <w:rFonts w:ascii="Cambria" w:eastAsia="Times New Roman" w:hAnsi="Cambria"/>
          <w:sz w:val="20"/>
          <w:szCs w:val="20"/>
          <w:bdr w:val="none" w:sz="0" w:space="0" w:color="auto"/>
          <w:vertAlign w:val="superscript"/>
          <w:lang w:val="es-ES_tradnl"/>
        </w:rPr>
        <w:footnoteReference w:id="93"/>
      </w:r>
      <w:r w:rsidR="00EC5871"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w:t>
      </w:r>
      <w:r w:rsidR="00EC5871" w:rsidRPr="00DC278B">
        <w:rPr>
          <w:rFonts w:ascii="Cambria" w:eastAsia="Times New Roman" w:hAnsi="Cambria"/>
          <w:sz w:val="20"/>
          <w:szCs w:val="20"/>
          <w:bdr w:val="none" w:sz="0" w:space="0" w:color="auto"/>
          <w:lang w:val="es-ES_tradnl"/>
        </w:rPr>
        <w:t xml:space="preserve"> S</w:t>
      </w:r>
      <w:r w:rsidR="001B7CF7" w:rsidRPr="00DC278B">
        <w:rPr>
          <w:rFonts w:ascii="Cambria" w:eastAsia="Times New Roman" w:hAnsi="Cambria"/>
          <w:sz w:val="20"/>
          <w:szCs w:val="20"/>
          <w:bdr w:val="none" w:sz="0" w:space="0" w:color="auto"/>
          <w:lang w:val="es-ES_tradnl"/>
        </w:rPr>
        <w:t>u pensión</w:t>
      </w:r>
      <w:r w:rsidR="00015CF2" w:rsidRPr="00DC278B">
        <w:rPr>
          <w:rFonts w:ascii="Cambria" w:eastAsia="Times New Roman" w:hAnsi="Cambria"/>
          <w:sz w:val="20"/>
          <w:szCs w:val="20"/>
          <w:bdr w:val="none" w:sz="0" w:space="0" w:color="auto"/>
          <w:lang w:val="es-ES_tradnl"/>
        </w:rPr>
        <w:t xml:space="preserve"> rigió </w:t>
      </w:r>
      <w:r w:rsidRPr="00DC278B">
        <w:rPr>
          <w:rFonts w:ascii="Cambria" w:eastAsia="Times New Roman" w:hAnsi="Cambria"/>
          <w:sz w:val="20"/>
          <w:szCs w:val="20"/>
          <w:bdr w:val="none" w:sz="0" w:space="0" w:color="auto"/>
          <w:lang w:val="es-ES_tradnl"/>
        </w:rPr>
        <w:t>desde el 1˚ de julio de 1991, hasta su muerte el 29 mayo de 2006</w:t>
      </w:r>
      <w:r w:rsidR="0014020B" w:rsidRPr="00DC278B">
        <w:rPr>
          <w:rFonts w:ascii="Cambria" w:eastAsia="Times New Roman" w:hAnsi="Cambria"/>
          <w:sz w:val="20"/>
          <w:szCs w:val="20"/>
          <w:bdr w:val="none" w:sz="0" w:space="0" w:color="auto"/>
          <w:vertAlign w:val="superscript"/>
          <w:lang w:val="es-ES_tradnl"/>
        </w:rPr>
        <w:footnoteReference w:id="94"/>
      </w:r>
      <w:r w:rsidRPr="00DC278B">
        <w:rPr>
          <w:rFonts w:ascii="Cambria" w:eastAsia="Times New Roman" w:hAnsi="Cambria"/>
          <w:sz w:val="20"/>
          <w:szCs w:val="20"/>
          <w:bdr w:val="none" w:sz="0" w:space="0" w:color="auto"/>
          <w:lang w:val="es-ES_tradnl"/>
        </w:rPr>
        <w:t xml:space="preserve">.  </w:t>
      </w:r>
    </w:p>
    <w:p w:rsidR="00574E64" w:rsidRPr="00DC278B" w:rsidRDefault="00574E64"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F45942" w:rsidRPr="00DC278B" w:rsidRDefault="00F4594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w:t>
      </w:r>
      <w:r w:rsidR="001C3B7C" w:rsidRPr="00DC278B">
        <w:rPr>
          <w:rFonts w:ascii="Cambria" w:eastAsia="Times New Roman" w:hAnsi="Cambria"/>
          <w:sz w:val="20"/>
          <w:szCs w:val="20"/>
          <w:bdr w:val="none" w:sz="0" w:space="0" w:color="auto"/>
          <w:lang w:val="es-ES_tradnl"/>
        </w:rPr>
        <w:t>17 de a</w:t>
      </w:r>
      <w:r w:rsidRPr="00DC278B">
        <w:rPr>
          <w:rFonts w:ascii="Cambria" w:eastAsia="Times New Roman" w:hAnsi="Cambria"/>
          <w:sz w:val="20"/>
          <w:szCs w:val="20"/>
          <w:bdr w:val="none" w:sz="0" w:space="0" w:color="auto"/>
          <w:lang w:val="es-ES_tradnl"/>
        </w:rPr>
        <w:t xml:space="preserve">gosto de 2001, </w:t>
      </w:r>
      <w:r w:rsidR="00137DCE" w:rsidRPr="00DC278B">
        <w:rPr>
          <w:rFonts w:ascii="Cambria" w:eastAsia="Times New Roman" w:hAnsi="Cambria"/>
          <w:sz w:val="20"/>
          <w:szCs w:val="20"/>
          <w:bdr w:val="none" w:sz="0" w:space="0" w:color="auto"/>
          <w:lang w:val="es-ES_tradnl"/>
        </w:rPr>
        <w:t>Carlos</w:t>
      </w:r>
      <w:r w:rsidR="00EC75CD" w:rsidRPr="00DC278B">
        <w:rPr>
          <w:rFonts w:ascii="Cambria" w:eastAsia="Times New Roman" w:hAnsi="Cambria"/>
          <w:sz w:val="20"/>
          <w:szCs w:val="20"/>
          <w:bdr w:val="none" w:sz="0" w:space="0" w:color="auto"/>
          <w:lang w:val="es-ES_tradnl"/>
        </w:rPr>
        <w:t xml:space="preserve"> Melo </w:t>
      </w:r>
      <w:proofErr w:type="spellStart"/>
      <w:r w:rsidR="00EC75CD" w:rsidRPr="00DC278B">
        <w:rPr>
          <w:rFonts w:ascii="Cambria" w:eastAsia="Times New Roman" w:hAnsi="Cambria"/>
          <w:sz w:val="20"/>
          <w:szCs w:val="20"/>
          <w:bdr w:val="none" w:sz="0" w:space="0" w:color="auto"/>
          <w:lang w:val="es-ES_tradnl"/>
        </w:rPr>
        <w:t>Pra</w:t>
      </w:r>
      <w:r w:rsidR="00137DCE" w:rsidRPr="00DC278B">
        <w:rPr>
          <w:rFonts w:ascii="Cambria" w:eastAsia="Times New Roman" w:hAnsi="Cambria"/>
          <w:sz w:val="20"/>
          <w:szCs w:val="20"/>
          <w:bdr w:val="none" w:sz="0" w:space="0" w:color="auto"/>
          <w:lang w:val="es-ES_tradnl"/>
        </w:rPr>
        <w:t>denas</w:t>
      </w:r>
      <w:proofErr w:type="spellEnd"/>
      <w:r w:rsidR="00137DCE"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Mario Melo Acuña, María Ilia </w:t>
      </w:r>
      <w:proofErr w:type="spellStart"/>
      <w:r w:rsidRPr="00DC278B">
        <w:rPr>
          <w:rFonts w:ascii="Cambria" w:eastAsia="Times New Roman" w:hAnsi="Cambria"/>
          <w:sz w:val="20"/>
          <w:szCs w:val="20"/>
          <w:bdr w:val="none" w:sz="0" w:space="0" w:color="auto"/>
          <w:lang w:val="es-ES_tradnl"/>
        </w:rPr>
        <w:t>Pr</w:t>
      </w:r>
      <w:r w:rsidR="00EC75CD" w:rsidRPr="00DC278B">
        <w:rPr>
          <w:rFonts w:ascii="Cambria" w:eastAsia="Times New Roman" w:hAnsi="Cambria"/>
          <w:sz w:val="20"/>
          <w:szCs w:val="20"/>
          <w:bdr w:val="none" w:sz="0" w:space="0" w:color="auto"/>
          <w:lang w:val="es-ES_tradnl"/>
        </w:rPr>
        <w:t>a</w:t>
      </w:r>
      <w:r w:rsidR="00137DCE" w:rsidRPr="00DC278B">
        <w:rPr>
          <w:rFonts w:ascii="Cambria" w:eastAsia="Times New Roman" w:hAnsi="Cambria"/>
          <w:sz w:val="20"/>
          <w:szCs w:val="20"/>
          <w:bdr w:val="none" w:sz="0" w:space="0" w:color="auto"/>
          <w:lang w:val="es-ES_tradnl"/>
        </w:rPr>
        <w:t>denas</w:t>
      </w:r>
      <w:proofErr w:type="spellEnd"/>
      <w:r w:rsidR="00137DCE"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hermano </w:t>
      </w:r>
      <w:r w:rsidR="00137DCE" w:rsidRPr="00DC278B">
        <w:rPr>
          <w:rFonts w:ascii="Cambria" w:eastAsia="Times New Roman" w:hAnsi="Cambria"/>
          <w:sz w:val="20"/>
          <w:szCs w:val="20"/>
          <w:bdr w:val="none" w:sz="0" w:space="0" w:color="auto"/>
          <w:lang w:val="es-ES_tradnl"/>
        </w:rPr>
        <w:t>y pa</w:t>
      </w:r>
      <w:r w:rsidR="00015CF2" w:rsidRPr="00DC278B">
        <w:rPr>
          <w:rFonts w:ascii="Cambria" w:eastAsia="Times New Roman" w:hAnsi="Cambria"/>
          <w:sz w:val="20"/>
          <w:szCs w:val="20"/>
          <w:bdr w:val="none" w:sz="0" w:space="0" w:color="auto"/>
          <w:lang w:val="es-ES_tradnl"/>
        </w:rPr>
        <w:t>d</w:t>
      </w:r>
      <w:r w:rsidR="00137DCE" w:rsidRPr="00DC278B">
        <w:rPr>
          <w:rFonts w:ascii="Cambria" w:eastAsia="Times New Roman" w:hAnsi="Cambria"/>
          <w:sz w:val="20"/>
          <w:szCs w:val="20"/>
          <w:bdr w:val="none" w:sz="0" w:space="0" w:color="auto"/>
          <w:lang w:val="es-ES_tradnl"/>
        </w:rPr>
        <w:t xml:space="preserve">res </w:t>
      </w:r>
      <w:r w:rsidR="001C3B7C" w:rsidRPr="00DC278B">
        <w:rPr>
          <w:rFonts w:ascii="Cambria" w:eastAsia="Times New Roman" w:hAnsi="Cambria"/>
          <w:sz w:val="20"/>
          <w:szCs w:val="20"/>
          <w:bdr w:val="none" w:sz="0" w:space="0" w:color="auto"/>
          <w:lang w:val="es-ES_tradnl"/>
        </w:rPr>
        <w:t>de la víctima</w:t>
      </w:r>
      <w:r w:rsidR="004254C0" w:rsidRPr="00DC278B">
        <w:rPr>
          <w:rFonts w:ascii="Cambria" w:eastAsia="Times New Roman" w:hAnsi="Cambria"/>
          <w:sz w:val="20"/>
          <w:szCs w:val="20"/>
          <w:bdr w:val="none" w:sz="0" w:space="0" w:color="auto"/>
          <w:lang w:val="es-ES_tradnl"/>
        </w:rPr>
        <w:t>,</w:t>
      </w:r>
      <w:r w:rsidR="001C3B7C"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interpusieron una acción </w:t>
      </w:r>
      <w:r w:rsidR="001C3B7C" w:rsidRPr="00DC278B">
        <w:rPr>
          <w:rFonts w:ascii="Cambria" w:eastAsia="Times New Roman" w:hAnsi="Cambria"/>
          <w:sz w:val="20"/>
          <w:szCs w:val="20"/>
          <w:bdr w:val="none" w:sz="0" w:space="0" w:color="auto"/>
          <w:lang w:val="es-ES_tradnl"/>
        </w:rPr>
        <w:t xml:space="preserve">civil </w:t>
      </w:r>
      <w:r w:rsidR="00D91F0B" w:rsidRPr="00DC278B">
        <w:rPr>
          <w:rFonts w:ascii="Cambria" w:eastAsia="Times New Roman" w:hAnsi="Cambria"/>
          <w:sz w:val="20"/>
          <w:szCs w:val="20"/>
          <w:bdr w:val="none" w:sz="0" w:space="0" w:color="auto"/>
          <w:lang w:val="es-ES_tradnl"/>
        </w:rPr>
        <w:t xml:space="preserve">por indemnización de perjuicios </w:t>
      </w:r>
      <w:r w:rsidRPr="00DC278B">
        <w:rPr>
          <w:rFonts w:ascii="Cambria" w:eastAsia="Times New Roman" w:hAnsi="Cambria"/>
          <w:sz w:val="20"/>
          <w:szCs w:val="20"/>
          <w:bdr w:val="none" w:sz="0" w:space="0" w:color="auto"/>
          <w:lang w:val="es-ES_tradnl"/>
        </w:rPr>
        <w:t xml:space="preserve">ante el </w:t>
      </w:r>
      <w:r w:rsidR="001C3B7C" w:rsidRPr="00DC278B">
        <w:rPr>
          <w:rFonts w:ascii="Cambria" w:eastAsia="Times New Roman" w:hAnsi="Cambria"/>
          <w:sz w:val="20"/>
          <w:szCs w:val="20"/>
          <w:bdr w:val="none" w:sz="0" w:space="0" w:color="auto"/>
          <w:lang w:val="es-ES_tradnl"/>
        </w:rPr>
        <w:t xml:space="preserve">8º </w:t>
      </w:r>
      <w:r w:rsidRPr="00DC278B">
        <w:rPr>
          <w:rFonts w:ascii="Cambria" w:eastAsia="Times New Roman" w:hAnsi="Cambria"/>
          <w:sz w:val="20"/>
          <w:szCs w:val="20"/>
          <w:bdr w:val="none" w:sz="0" w:space="0" w:color="auto"/>
          <w:lang w:val="es-ES_tradnl"/>
        </w:rPr>
        <w:t xml:space="preserve">Juzgado </w:t>
      </w:r>
      <w:r w:rsidR="00F62D1E" w:rsidRPr="00DC278B">
        <w:rPr>
          <w:rFonts w:ascii="Cambria" w:eastAsia="Times New Roman" w:hAnsi="Cambria"/>
          <w:sz w:val="20"/>
          <w:szCs w:val="20"/>
          <w:bdr w:val="none" w:sz="0" w:space="0" w:color="auto"/>
          <w:lang w:val="es-ES_tradnl"/>
        </w:rPr>
        <w:t>Civil</w:t>
      </w:r>
      <w:r w:rsidRPr="00DC278B">
        <w:rPr>
          <w:rFonts w:ascii="Cambria" w:eastAsia="Times New Roman" w:hAnsi="Cambria"/>
          <w:sz w:val="20"/>
          <w:szCs w:val="20"/>
          <w:bdr w:val="none" w:sz="0" w:space="0" w:color="auto"/>
          <w:lang w:val="es-ES_tradnl"/>
        </w:rPr>
        <w:t xml:space="preserve"> contra el Estado por </w:t>
      </w:r>
      <w:r w:rsidR="00D91F0B" w:rsidRPr="00DC278B">
        <w:rPr>
          <w:rFonts w:ascii="Cambria" w:eastAsia="Times New Roman" w:hAnsi="Cambria"/>
          <w:sz w:val="20"/>
          <w:szCs w:val="20"/>
          <w:bdr w:val="none" w:sz="0" w:space="0" w:color="auto"/>
          <w:lang w:val="es-ES_tradnl"/>
        </w:rPr>
        <w:t xml:space="preserve">el </w:t>
      </w:r>
      <w:r w:rsidRPr="00DC278B">
        <w:rPr>
          <w:rFonts w:ascii="Cambria" w:eastAsia="Times New Roman" w:hAnsi="Cambria"/>
          <w:sz w:val="20"/>
          <w:szCs w:val="20"/>
          <w:bdr w:val="none" w:sz="0" w:space="0" w:color="auto"/>
          <w:lang w:val="es-ES_tradnl"/>
        </w:rPr>
        <w:t>daño moral</w:t>
      </w:r>
      <w:r w:rsidRPr="00DC278B">
        <w:rPr>
          <w:rFonts w:ascii="Cambria" w:eastAsia="Times New Roman" w:hAnsi="Cambria"/>
          <w:sz w:val="20"/>
          <w:szCs w:val="20"/>
          <w:bdr w:val="none" w:sz="0" w:space="0" w:color="auto"/>
          <w:vertAlign w:val="superscript"/>
          <w:lang w:val="es-ES_tradnl"/>
        </w:rPr>
        <w:footnoteReference w:id="95"/>
      </w:r>
      <w:r w:rsidRPr="00DC278B">
        <w:rPr>
          <w:rFonts w:ascii="Cambria" w:eastAsia="Times New Roman" w:hAnsi="Cambria"/>
          <w:sz w:val="20"/>
          <w:szCs w:val="20"/>
          <w:bdr w:val="none" w:sz="0" w:space="0" w:color="auto"/>
          <w:lang w:val="es-ES_tradnl"/>
        </w:rPr>
        <w:t xml:space="preserve">. </w:t>
      </w:r>
      <w:r w:rsidR="006A5279"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El 27 de septiembre de 2002, el juzgado decidió d</w:t>
      </w:r>
      <w:r w:rsidR="001C3B7C" w:rsidRPr="00DC278B">
        <w:rPr>
          <w:rFonts w:ascii="Cambria" w:eastAsia="Times New Roman" w:hAnsi="Cambria"/>
          <w:sz w:val="20"/>
          <w:szCs w:val="20"/>
          <w:bdr w:val="none" w:sz="0" w:space="0" w:color="auto"/>
          <w:lang w:val="es-ES_tradnl"/>
        </w:rPr>
        <w:t>enegar la acción por considerar</w:t>
      </w:r>
      <w:r w:rsidRPr="00DC278B">
        <w:rPr>
          <w:rFonts w:ascii="Cambria" w:eastAsia="Times New Roman" w:hAnsi="Cambria"/>
          <w:sz w:val="20"/>
          <w:szCs w:val="20"/>
          <w:bdr w:val="none" w:sz="0" w:space="0" w:color="auto"/>
          <w:lang w:val="es-ES_tradnl"/>
        </w:rPr>
        <w:t xml:space="preserve"> que no se probaron los hechos alegados y que la acción estaba prescrita</w:t>
      </w:r>
      <w:r w:rsidRPr="00DC278B">
        <w:rPr>
          <w:rFonts w:ascii="Cambria" w:eastAsia="Times New Roman" w:hAnsi="Cambria"/>
          <w:sz w:val="20"/>
          <w:szCs w:val="20"/>
          <w:bdr w:val="none" w:sz="0" w:space="0" w:color="auto"/>
          <w:vertAlign w:val="superscript"/>
          <w:lang w:val="es-ES_tradnl"/>
        </w:rPr>
        <w:footnoteReference w:id="96"/>
      </w:r>
      <w:r w:rsidRPr="00DC278B">
        <w:rPr>
          <w:rFonts w:ascii="Cambria" w:eastAsia="Times New Roman" w:hAnsi="Cambria"/>
          <w:sz w:val="20"/>
          <w:szCs w:val="20"/>
          <w:bdr w:val="none" w:sz="0" w:space="0" w:color="auto"/>
          <w:lang w:val="es-ES_tradnl"/>
        </w:rPr>
        <w:t xml:space="preserve">. </w:t>
      </w:r>
      <w:r w:rsidR="008D4C94" w:rsidRPr="00DC278B">
        <w:rPr>
          <w:rFonts w:ascii="Cambria" w:eastAsia="Times New Roman" w:hAnsi="Cambria"/>
          <w:sz w:val="20"/>
          <w:szCs w:val="20"/>
          <w:bdr w:val="none" w:sz="0" w:space="0" w:color="auto"/>
          <w:lang w:val="es-ES_tradnl"/>
        </w:rPr>
        <w:t>Asimismo, consideró que ya se había indemnizado a los deman</w:t>
      </w:r>
      <w:r w:rsidR="00A44474">
        <w:rPr>
          <w:rFonts w:ascii="Cambria" w:eastAsia="Times New Roman" w:hAnsi="Cambria"/>
          <w:sz w:val="20"/>
          <w:szCs w:val="20"/>
          <w:bdr w:val="none" w:sz="0" w:space="0" w:color="auto"/>
          <w:lang w:val="es-ES_tradnl"/>
        </w:rPr>
        <w:t xml:space="preserve">dantes mediante la Ley 19.123. </w:t>
      </w:r>
      <w:r w:rsidRPr="00DC278B">
        <w:rPr>
          <w:rFonts w:ascii="Cambria" w:eastAsia="Times New Roman" w:hAnsi="Cambria"/>
          <w:sz w:val="20"/>
          <w:szCs w:val="20"/>
          <w:bdr w:val="none" w:sz="0" w:space="0" w:color="auto"/>
          <w:lang w:val="es-ES_tradnl"/>
        </w:rPr>
        <w:t xml:space="preserve">Esta sentencia fue apelada ante la </w:t>
      </w:r>
      <w:r w:rsidR="001C3B7C" w:rsidRPr="00DC278B">
        <w:rPr>
          <w:rFonts w:ascii="Cambria" w:eastAsia="Times New Roman" w:hAnsi="Cambria"/>
          <w:sz w:val="20"/>
          <w:szCs w:val="20"/>
          <w:bdr w:val="none" w:sz="0" w:space="0" w:color="auto"/>
          <w:lang w:val="es-ES_tradnl"/>
        </w:rPr>
        <w:t>CAS</w:t>
      </w:r>
      <w:r w:rsidRPr="00DC278B">
        <w:rPr>
          <w:rFonts w:ascii="Cambria" w:eastAsia="Times New Roman" w:hAnsi="Cambria"/>
          <w:sz w:val="20"/>
          <w:szCs w:val="20"/>
          <w:bdr w:val="none" w:sz="0" w:space="0" w:color="auto"/>
          <w:lang w:val="es-ES_tradnl"/>
        </w:rPr>
        <w:t xml:space="preserve"> y la apelación fue declarada desierta</w:t>
      </w:r>
      <w:r w:rsidR="00980EDD" w:rsidRPr="00DC278B">
        <w:rPr>
          <w:rFonts w:ascii="Cambria" w:eastAsia="Times New Roman" w:hAnsi="Cambria"/>
          <w:sz w:val="20"/>
          <w:szCs w:val="20"/>
          <w:bdr w:val="none" w:sz="0" w:space="0" w:color="auto"/>
          <w:lang w:val="es-ES_tradnl"/>
        </w:rPr>
        <w:t xml:space="preserve"> el 12 de junio de 2003</w:t>
      </w:r>
      <w:r w:rsidR="00464949" w:rsidRPr="00DC278B">
        <w:rPr>
          <w:rStyle w:val="FootnoteReference"/>
          <w:rFonts w:ascii="Cambria" w:eastAsia="Times New Roman" w:hAnsi="Cambria"/>
          <w:sz w:val="20"/>
          <w:szCs w:val="20"/>
          <w:bdr w:val="none" w:sz="0" w:space="0" w:color="auto"/>
          <w:lang w:val="es-ES_tradnl"/>
        </w:rPr>
        <w:footnoteReference w:id="97"/>
      </w:r>
      <w:r w:rsidRPr="00DC278B">
        <w:rPr>
          <w:rFonts w:ascii="Cambria" w:eastAsia="Times New Roman" w:hAnsi="Cambria"/>
          <w:sz w:val="20"/>
          <w:szCs w:val="20"/>
          <w:bdr w:val="none" w:sz="0" w:space="0" w:color="auto"/>
          <w:lang w:val="es-ES_tradnl"/>
        </w:rPr>
        <w:t>.</w:t>
      </w:r>
    </w:p>
    <w:p w:rsidR="00F45942" w:rsidRPr="00DC278B" w:rsidRDefault="00F45942"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E24E60" w:rsidRDefault="0014020B" w:rsidP="00825309">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w:t>
      </w:r>
      <w:r w:rsidR="00790F8B" w:rsidRPr="00DC278B">
        <w:rPr>
          <w:rFonts w:ascii="Cambria" w:eastAsia="Times New Roman" w:hAnsi="Cambria"/>
          <w:sz w:val="20"/>
          <w:szCs w:val="20"/>
          <w:bdr w:val="none" w:sz="0" w:space="0" w:color="auto"/>
          <w:lang w:val="es-ES_tradnl"/>
        </w:rPr>
        <w:t xml:space="preserve">padre de la víctima, recibe una pensión mensual de reparación </w:t>
      </w:r>
      <w:r w:rsidRPr="00DC278B">
        <w:rPr>
          <w:rFonts w:ascii="Cambria" w:eastAsia="Times New Roman" w:hAnsi="Cambria"/>
          <w:sz w:val="20"/>
          <w:szCs w:val="20"/>
          <w:bdr w:val="none" w:sz="0" w:space="0" w:color="auto"/>
          <w:lang w:val="es-ES_tradnl"/>
        </w:rPr>
        <w:t xml:space="preserve">que rige </w:t>
      </w:r>
      <w:r w:rsidR="00790F8B" w:rsidRPr="00DC278B">
        <w:rPr>
          <w:rFonts w:ascii="Cambria" w:eastAsia="Times New Roman" w:hAnsi="Cambria"/>
          <w:sz w:val="20"/>
          <w:szCs w:val="20"/>
          <w:bdr w:val="none" w:sz="0" w:space="0" w:color="auto"/>
          <w:lang w:val="es-ES_tradnl"/>
        </w:rPr>
        <w:t>desde el 1˚ de agosto de 2006, con monto de beneficiario único de $360.674 Pesos chilenos</w:t>
      </w:r>
      <w:r w:rsidR="00790F8B" w:rsidRPr="00DC278B">
        <w:rPr>
          <w:rFonts w:ascii="Cambria" w:hAnsi="Cambria"/>
          <w:sz w:val="20"/>
          <w:szCs w:val="20"/>
          <w:bdr w:val="none" w:sz="0" w:space="0" w:color="auto"/>
          <w:vertAlign w:val="superscript"/>
          <w:lang w:val="es-ES_tradnl"/>
        </w:rPr>
        <w:footnoteReference w:id="98"/>
      </w:r>
      <w:r w:rsidR="00790F8B"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Las partes no han informado si </w:t>
      </w:r>
      <w:r w:rsidR="003B56B1" w:rsidRPr="00DC278B">
        <w:rPr>
          <w:rFonts w:ascii="Cambria" w:eastAsia="Times New Roman" w:hAnsi="Cambria"/>
          <w:sz w:val="20"/>
          <w:szCs w:val="20"/>
          <w:bdr w:val="none" w:sz="0" w:space="0" w:color="auto"/>
          <w:lang w:val="es-ES_tradnl"/>
        </w:rPr>
        <w:t xml:space="preserve">el hermano de la víctima </w:t>
      </w:r>
      <w:r w:rsidRPr="00DC278B">
        <w:rPr>
          <w:rFonts w:ascii="Cambria" w:eastAsia="Times New Roman" w:hAnsi="Cambria"/>
          <w:sz w:val="20"/>
          <w:szCs w:val="20"/>
          <w:bdr w:val="none" w:sz="0" w:space="0" w:color="auto"/>
          <w:lang w:val="es-ES_tradnl"/>
        </w:rPr>
        <w:t>recibe reparaciones.</w:t>
      </w:r>
    </w:p>
    <w:p w:rsidR="00825309" w:rsidRPr="00825309" w:rsidRDefault="00825309" w:rsidP="0082530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C047D9" w:rsidRPr="00DC278B" w:rsidRDefault="000E7F36" w:rsidP="00DC278B">
      <w:pPr>
        <w:pStyle w:val="Heading2"/>
      </w:pPr>
      <w:bookmarkStart w:id="24" w:name="_Toc413397477"/>
      <w:r w:rsidRPr="00DC278B">
        <w:t>G.</w:t>
      </w:r>
      <w:r w:rsidRPr="00DC278B">
        <w:tab/>
      </w:r>
      <w:r w:rsidR="005E63E4" w:rsidRPr="00DC278B">
        <w:t xml:space="preserve">Situación de </w:t>
      </w:r>
      <w:r w:rsidR="00F10EF7" w:rsidRPr="00DC278B">
        <w:t>Katia Ximena</w:t>
      </w:r>
      <w:r w:rsidR="008902F5" w:rsidRPr="00DC278B">
        <w:t xml:space="preserve"> Espejo y su madre, </w:t>
      </w:r>
      <w:r w:rsidR="00F10EF7" w:rsidRPr="00DC278B">
        <w:t xml:space="preserve">y </w:t>
      </w:r>
      <w:r w:rsidR="005E63E4" w:rsidRPr="00DC278B">
        <w:t xml:space="preserve">su causa </w:t>
      </w:r>
      <w:r w:rsidR="00C047D9" w:rsidRPr="00DC278B">
        <w:t xml:space="preserve">contra </w:t>
      </w:r>
      <w:r w:rsidR="00F640C5" w:rsidRPr="00DC278B">
        <w:t xml:space="preserve">el </w:t>
      </w:r>
      <w:r w:rsidR="00C047D9" w:rsidRPr="00DC278B">
        <w:t>Fisco de Chile</w:t>
      </w:r>
      <w:bookmarkEnd w:id="24"/>
      <w:r w:rsidR="00D12665" w:rsidRPr="00DC278B">
        <w:t xml:space="preserve"> </w:t>
      </w:r>
    </w:p>
    <w:p w:rsidR="00BE2AE0" w:rsidRPr="00DC278B" w:rsidRDefault="00BE2AE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BE2AE0" w:rsidRPr="00DC278B" w:rsidRDefault="005E66E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lang w:val="es-ES"/>
        </w:rPr>
        <w:t xml:space="preserve">Según el Informe de la Comisión </w:t>
      </w:r>
      <w:proofErr w:type="spellStart"/>
      <w:r w:rsidRPr="00DC278B">
        <w:rPr>
          <w:rFonts w:ascii="Cambria" w:eastAsia="Times New Roman" w:hAnsi="Cambria"/>
          <w:sz w:val="20"/>
          <w:szCs w:val="20"/>
          <w:lang w:val="es-ES"/>
        </w:rPr>
        <w:t>Rettig</w:t>
      </w:r>
      <w:proofErr w:type="spellEnd"/>
      <w:r w:rsidRPr="00DC278B">
        <w:rPr>
          <w:rFonts w:ascii="Cambria" w:eastAsia="Times New Roman" w:hAnsi="Cambria"/>
          <w:sz w:val="20"/>
          <w:szCs w:val="20"/>
          <w:lang w:val="es-ES"/>
        </w:rPr>
        <w:t>, e</w:t>
      </w:r>
      <w:r w:rsidRPr="00DC278B">
        <w:rPr>
          <w:rFonts w:ascii="Cambria" w:eastAsia="Times New Roman" w:hAnsi="Cambria"/>
          <w:sz w:val="20"/>
          <w:szCs w:val="20"/>
          <w:bdr w:val="none" w:sz="0" w:space="0" w:color="auto"/>
          <w:lang w:val="es-ES_tradnl"/>
        </w:rPr>
        <w:t>l 15 de agosto de 1</w:t>
      </w:r>
      <w:r w:rsidR="00BE2AE0" w:rsidRPr="00DC278B">
        <w:rPr>
          <w:rFonts w:ascii="Cambria" w:eastAsia="Times New Roman" w:hAnsi="Cambria"/>
          <w:sz w:val="20"/>
          <w:szCs w:val="20"/>
          <w:bdr w:val="none" w:sz="0" w:space="0" w:color="auto"/>
          <w:lang w:val="es-ES_tradnl"/>
        </w:rPr>
        <w:t xml:space="preserve">974 fue detenido en su domicilio en Santiago, Rodolfo </w:t>
      </w:r>
      <w:r w:rsidRPr="00DC278B">
        <w:rPr>
          <w:rFonts w:ascii="Cambria" w:eastAsia="Times New Roman" w:hAnsi="Cambria"/>
          <w:sz w:val="20"/>
          <w:szCs w:val="20"/>
          <w:bdr w:val="none" w:sz="0" w:space="0" w:color="auto"/>
          <w:lang w:val="es-ES_tradnl"/>
        </w:rPr>
        <w:t>Espejo</w:t>
      </w:r>
      <w:r w:rsidR="00165B4C" w:rsidRPr="00DC278B">
        <w:rPr>
          <w:rFonts w:ascii="Cambria" w:eastAsia="Times New Roman" w:hAnsi="Cambria"/>
          <w:sz w:val="20"/>
          <w:szCs w:val="20"/>
          <w:bdr w:val="none" w:sz="0" w:space="0" w:color="auto"/>
          <w:lang w:val="es-ES_tradnl"/>
        </w:rPr>
        <w:t xml:space="preserve"> (18 años de edad)</w:t>
      </w:r>
      <w:r w:rsidR="00BE2AE0" w:rsidRPr="00DC278B">
        <w:rPr>
          <w:rFonts w:ascii="Cambria" w:eastAsia="Times New Roman" w:hAnsi="Cambria"/>
          <w:sz w:val="20"/>
          <w:szCs w:val="20"/>
          <w:bdr w:val="none" w:sz="0" w:space="0" w:color="auto"/>
          <w:lang w:val="es-ES_tradnl"/>
        </w:rPr>
        <w:t>, estudiante secundario y militante del Partido Socialista</w:t>
      </w:r>
      <w:r w:rsidR="00165B4C" w:rsidRPr="00DC278B">
        <w:rPr>
          <w:rFonts w:ascii="Cambria" w:eastAsia="Times New Roman" w:hAnsi="Cambria"/>
          <w:sz w:val="20"/>
          <w:szCs w:val="20"/>
          <w:bdr w:val="none" w:sz="0" w:space="0" w:color="auto"/>
          <w:vertAlign w:val="superscript"/>
          <w:lang w:val="es-ES_tradnl"/>
        </w:rPr>
        <w:footnoteReference w:id="99"/>
      </w:r>
      <w:r w:rsidR="00A44474">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w:t>
      </w:r>
      <w:r w:rsidR="00BE2AE0" w:rsidRPr="00DC278B">
        <w:rPr>
          <w:rFonts w:ascii="Cambria" w:eastAsia="Times New Roman" w:hAnsi="Cambria"/>
          <w:sz w:val="20"/>
          <w:szCs w:val="20"/>
          <w:bdr w:val="none" w:sz="0" w:space="0" w:color="auto"/>
          <w:lang w:val="es-ES_tradnl"/>
        </w:rPr>
        <w:t>Su detención se realizó por agentes de la DINA</w:t>
      </w:r>
      <w:r w:rsidR="00BE2AE0" w:rsidRPr="00DC278B">
        <w:rPr>
          <w:rFonts w:ascii="Cambria" w:eastAsia="Times New Roman" w:hAnsi="Cambria"/>
          <w:sz w:val="20"/>
          <w:szCs w:val="20"/>
          <w:bdr w:val="none" w:sz="0" w:space="0" w:color="auto"/>
          <w:vertAlign w:val="superscript"/>
          <w:lang w:val="es-ES_tradnl"/>
        </w:rPr>
        <w:footnoteReference w:id="100"/>
      </w:r>
      <w:r w:rsidR="00BE2AE0"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A</w:t>
      </w:r>
      <w:r w:rsidR="00165B4C" w:rsidRPr="00DC278B">
        <w:rPr>
          <w:rFonts w:ascii="Cambria" w:eastAsia="Times New Roman" w:hAnsi="Cambria"/>
          <w:sz w:val="20"/>
          <w:szCs w:val="20"/>
          <w:bdr w:val="none" w:sz="0" w:space="0" w:color="auto"/>
          <w:lang w:val="es-ES_tradnl"/>
        </w:rPr>
        <w:t>nte los requerimientos</w:t>
      </w:r>
      <w:r w:rsidR="00BE2AE0" w:rsidRPr="00DC278B">
        <w:rPr>
          <w:rFonts w:ascii="Cambria" w:eastAsia="Times New Roman" w:hAnsi="Cambria"/>
          <w:sz w:val="20"/>
          <w:szCs w:val="20"/>
          <w:bdr w:val="none" w:sz="0" w:space="0" w:color="auto"/>
          <w:lang w:val="es-ES_tradnl"/>
        </w:rPr>
        <w:t xml:space="preserve"> judiciales de información</w:t>
      </w:r>
      <w:r w:rsidRPr="00DC278B">
        <w:rPr>
          <w:rFonts w:ascii="Cambria" w:eastAsia="Times New Roman" w:hAnsi="Cambria"/>
          <w:sz w:val="20"/>
          <w:szCs w:val="20"/>
          <w:bdr w:val="none" w:sz="0" w:space="0" w:color="auto"/>
          <w:lang w:val="es-ES_tradnl"/>
        </w:rPr>
        <w:t xml:space="preserve"> las autoridades</w:t>
      </w:r>
      <w:r w:rsidR="00BE2AE0" w:rsidRPr="00DC278B">
        <w:rPr>
          <w:rFonts w:ascii="Cambria" w:eastAsia="Times New Roman" w:hAnsi="Cambria"/>
          <w:sz w:val="20"/>
          <w:szCs w:val="20"/>
          <w:bdr w:val="none" w:sz="0" w:space="0" w:color="auto"/>
          <w:lang w:val="es-ES_tradnl"/>
        </w:rPr>
        <w:t xml:space="preserve"> negaron que </w:t>
      </w:r>
      <w:r w:rsidRPr="00DC278B">
        <w:rPr>
          <w:rFonts w:ascii="Cambria" w:eastAsia="Times New Roman" w:hAnsi="Cambria"/>
          <w:sz w:val="20"/>
          <w:szCs w:val="20"/>
          <w:bdr w:val="none" w:sz="0" w:space="0" w:color="auto"/>
          <w:lang w:val="es-ES_tradnl"/>
        </w:rPr>
        <w:t xml:space="preserve">él </w:t>
      </w:r>
      <w:r w:rsidR="00BE2AE0" w:rsidRPr="00DC278B">
        <w:rPr>
          <w:rFonts w:ascii="Cambria" w:eastAsia="Times New Roman" w:hAnsi="Cambria"/>
          <w:sz w:val="20"/>
          <w:szCs w:val="20"/>
          <w:bdr w:val="none" w:sz="0" w:space="0" w:color="auto"/>
          <w:lang w:val="es-ES_tradnl"/>
        </w:rPr>
        <w:t>se encontrara detenido</w:t>
      </w:r>
      <w:r w:rsidR="00BE2AE0" w:rsidRPr="00DC278B">
        <w:rPr>
          <w:rFonts w:ascii="Cambria" w:eastAsia="Times New Roman" w:hAnsi="Cambria"/>
          <w:sz w:val="20"/>
          <w:szCs w:val="20"/>
          <w:bdr w:val="none" w:sz="0" w:space="0" w:color="auto"/>
          <w:vertAlign w:val="superscript"/>
          <w:lang w:val="es-ES_tradnl"/>
        </w:rPr>
        <w:footnoteReference w:id="101"/>
      </w:r>
      <w:r w:rsidR="00A44474">
        <w:rPr>
          <w:rFonts w:ascii="Cambria" w:eastAsia="Times New Roman" w:hAnsi="Cambria"/>
          <w:sz w:val="20"/>
          <w:szCs w:val="20"/>
          <w:bdr w:val="none" w:sz="0" w:space="0" w:color="auto"/>
          <w:lang w:val="es-ES_tradnl"/>
        </w:rPr>
        <w:t xml:space="preserve">. </w:t>
      </w:r>
      <w:r w:rsidR="00B456B1" w:rsidRPr="00DC278B">
        <w:rPr>
          <w:rFonts w:ascii="Cambria" w:eastAsia="Times New Roman" w:hAnsi="Cambria"/>
          <w:sz w:val="20"/>
          <w:szCs w:val="20"/>
          <w:bdr w:val="none" w:sz="0" w:space="0" w:color="auto"/>
          <w:lang w:val="es-ES_tradnl"/>
        </w:rPr>
        <w:t>Se ha podido establ</w:t>
      </w:r>
      <w:r w:rsidR="00DD0BBA" w:rsidRPr="00DC278B">
        <w:rPr>
          <w:rFonts w:ascii="Cambria" w:eastAsia="Times New Roman" w:hAnsi="Cambria"/>
          <w:sz w:val="20"/>
          <w:szCs w:val="20"/>
          <w:bdr w:val="none" w:sz="0" w:space="0" w:color="auto"/>
          <w:lang w:val="es-ES_tradnl"/>
        </w:rPr>
        <w:t>ecer por medio de testimonios qu</w:t>
      </w:r>
      <w:r w:rsidR="00B456B1" w:rsidRPr="00DC278B">
        <w:rPr>
          <w:rFonts w:ascii="Cambria" w:eastAsia="Times New Roman" w:hAnsi="Cambria"/>
          <w:sz w:val="20"/>
          <w:szCs w:val="20"/>
          <w:bdr w:val="none" w:sz="0" w:space="0" w:color="auto"/>
          <w:lang w:val="es-ES_tradnl"/>
        </w:rPr>
        <w:t xml:space="preserve">e permaneció en Londres No. 38 y Cuatro </w:t>
      </w:r>
      <w:proofErr w:type="spellStart"/>
      <w:r w:rsidR="00B456B1" w:rsidRPr="00DC278B">
        <w:rPr>
          <w:rFonts w:ascii="Cambria" w:eastAsia="Times New Roman" w:hAnsi="Cambria"/>
          <w:sz w:val="20"/>
          <w:szCs w:val="20"/>
          <w:bdr w:val="none" w:sz="0" w:space="0" w:color="auto"/>
          <w:lang w:val="es-ES_tradnl"/>
        </w:rPr>
        <w:t>Alamos</w:t>
      </w:r>
      <w:proofErr w:type="spellEnd"/>
      <w:r w:rsidR="00B456B1" w:rsidRPr="00DC278B">
        <w:rPr>
          <w:rFonts w:ascii="Cambria" w:eastAsia="Times New Roman" w:hAnsi="Cambria"/>
          <w:sz w:val="20"/>
          <w:szCs w:val="20"/>
          <w:bdr w:val="none" w:sz="0" w:space="0" w:color="auto"/>
          <w:vertAlign w:val="superscript"/>
          <w:lang w:val="es-ES_tradnl"/>
        </w:rPr>
        <w:footnoteReference w:id="102"/>
      </w:r>
      <w:r w:rsidR="00B456B1" w:rsidRPr="00DC278B">
        <w:rPr>
          <w:rFonts w:ascii="Cambria" w:eastAsia="Times New Roman" w:hAnsi="Cambria"/>
          <w:sz w:val="20"/>
          <w:szCs w:val="20"/>
          <w:bdr w:val="none" w:sz="0" w:space="0" w:color="auto"/>
          <w:lang w:val="es-ES_tradnl"/>
        </w:rPr>
        <w:t>.</w:t>
      </w:r>
      <w:r w:rsidR="00A44474">
        <w:rPr>
          <w:rFonts w:ascii="Cambria" w:eastAsia="Times New Roman" w:hAnsi="Cambria"/>
          <w:sz w:val="20"/>
          <w:szCs w:val="20"/>
          <w:bdr w:val="none" w:sz="0" w:space="0" w:color="auto"/>
          <w:lang w:val="es-ES_tradnl"/>
        </w:rPr>
        <w:t xml:space="preserve"> </w:t>
      </w:r>
      <w:r w:rsidR="004C1FA2" w:rsidRPr="00DC278B">
        <w:rPr>
          <w:rFonts w:ascii="Cambria" w:eastAsia="Times New Roman" w:hAnsi="Cambria"/>
          <w:sz w:val="20"/>
          <w:szCs w:val="20"/>
          <w:bdr w:val="none" w:sz="0" w:space="0" w:color="auto"/>
          <w:lang w:val="es-ES_tradnl"/>
        </w:rPr>
        <w:t xml:space="preserve">La Comisión </w:t>
      </w:r>
      <w:proofErr w:type="spellStart"/>
      <w:r w:rsidR="004C1FA2" w:rsidRPr="00DC278B">
        <w:rPr>
          <w:rFonts w:ascii="Cambria" w:eastAsia="Times New Roman" w:hAnsi="Cambria"/>
          <w:sz w:val="20"/>
          <w:szCs w:val="20"/>
          <w:bdr w:val="none" w:sz="0" w:space="0" w:color="auto"/>
          <w:lang w:val="es-ES_tradnl"/>
        </w:rPr>
        <w:t>Rettig</w:t>
      </w:r>
      <w:proofErr w:type="spellEnd"/>
      <w:r w:rsidR="004C1FA2" w:rsidRPr="00DC278B">
        <w:rPr>
          <w:rFonts w:ascii="Cambria" w:eastAsia="Times New Roman" w:hAnsi="Cambria"/>
          <w:sz w:val="20"/>
          <w:szCs w:val="20"/>
          <w:bdr w:val="none" w:sz="0" w:space="0" w:color="auto"/>
          <w:lang w:val="es-ES_tradnl"/>
        </w:rPr>
        <w:t xml:space="preserve"> está convencida de que su desaparición fue obra de agentes del Estado, quienes violaron sus derechos humanos</w:t>
      </w:r>
      <w:r w:rsidR="004C1FA2" w:rsidRPr="00DC278B">
        <w:rPr>
          <w:rFonts w:ascii="Cambria" w:eastAsia="Times New Roman" w:hAnsi="Cambria"/>
          <w:sz w:val="20"/>
          <w:szCs w:val="20"/>
          <w:bdr w:val="none" w:sz="0" w:space="0" w:color="auto"/>
          <w:vertAlign w:val="superscript"/>
          <w:lang w:val="es-ES_tradnl"/>
        </w:rPr>
        <w:footnoteReference w:id="103"/>
      </w:r>
      <w:r w:rsidR="004C1FA2" w:rsidRPr="00DC278B">
        <w:rPr>
          <w:rFonts w:ascii="Cambria" w:eastAsia="Times New Roman" w:hAnsi="Cambria"/>
          <w:sz w:val="20"/>
          <w:szCs w:val="20"/>
          <w:bdr w:val="none" w:sz="0" w:space="0" w:color="auto"/>
          <w:lang w:val="es-ES_tradnl"/>
        </w:rPr>
        <w:t>.</w:t>
      </w:r>
    </w:p>
    <w:p w:rsidR="00BE2AE0" w:rsidRPr="00DC278B" w:rsidRDefault="00BE2AE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AE4924" w:rsidRPr="00DC278B" w:rsidRDefault="005410E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Mediante la Ley 19.123 de 1992</w:t>
      </w:r>
      <w:r w:rsidR="00925367" w:rsidRPr="00DC278B">
        <w:rPr>
          <w:rFonts w:ascii="Cambria" w:eastAsia="Times New Roman" w:hAnsi="Cambria"/>
          <w:sz w:val="20"/>
          <w:szCs w:val="20"/>
          <w:bdr w:val="none" w:sz="0" w:space="0" w:color="auto"/>
          <w:lang w:val="es-ES_tradnl"/>
        </w:rPr>
        <w:t>, l</w:t>
      </w:r>
      <w:r w:rsidR="00AE4924" w:rsidRPr="00DC278B">
        <w:rPr>
          <w:rFonts w:ascii="Cambria" w:eastAsia="Times New Roman" w:hAnsi="Cambria"/>
          <w:sz w:val="20"/>
          <w:szCs w:val="20"/>
          <w:bdr w:val="none" w:sz="0" w:space="0" w:color="auto"/>
          <w:lang w:val="es-ES_tradnl"/>
        </w:rPr>
        <w:t xml:space="preserve">a madre de Rodolfo </w:t>
      </w:r>
      <w:r w:rsidR="00336412" w:rsidRPr="00DC278B">
        <w:rPr>
          <w:rFonts w:ascii="Cambria" w:eastAsia="Times New Roman" w:hAnsi="Cambria"/>
          <w:sz w:val="20"/>
          <w:szCs w:val="20"/>
          <w:bdr w:val="none" w:sz="0" w:space="0" w:color="auto"/>
          <w:lang w:val="es-ES_tradnl"/>
        </w:rPr>
        <w:t>Espejo</w:t>
      </w:r>
      <w:r w:rsidR="00AE4924" w:rsidRPr="00DC278B">
        <w:rPr>
          <w:rFonts w:ascii="Cambria" w:eastAsia="Times New Roman" w:hAnsi="Cambria"/>
          <w:sz w:val="20"/>
          <w:szCs w:val="20"/>
          <w:bdr w:val="none" w:sz="0" w:space="0" w:color="auto"/>
          <w:lang w:val="es-ES_tradnl"/>
        </w:rPr>
        <w:t xml:space="preserve">, </w:t>
      </w:r>
      <w:r w:rsidR="00336412" w:rsidRPr="00DC278B">
        <w:rPr>
          <w:rFonts w:ascii="Cambria" w:eastAsia="Times New Roman" w:hAnsi="Cambria"/>
          <w:sz w:val="20"/>
          <w:szCs w:val="20"/>
          <w:bdr w:val="none" w:sz="0" w:space="0" w:color="auto"/>
          <w:lang w:val="es-ES_tradnl"/>
        </w:rPr>
        <w:t>Elena Alejandrina</w:t>
      </w:r>
      <w:r w:rsidR="00AE4924" w:rsidRPr="00DC278B">
        <w:rPr>
          <w:rFonts w:ascii="Cambria" w:eastAsia="Times New Roman" w:hAnsi="Cambria"/>
          <w:sz w:val="20"/>
          <w:szCs w:val="20"/>
          <w:bdr w:val="none" w:sz="0" w:space="0" w:color="auto"/>
          <w:lang w:val="es-ES_tradnl"/>
        </w:rPr>
        <w:t xml:space="preserve"> Gómez, </w:t>
      </w:r>
      <w:r w:rsidR="00925367" w:rsidRPr="00DC278B">
        <w:rPr>
          <w:rFonts w:ascii="Cambria" w:eastAsia="Times New Roman" w:hAnsi="Cambria"/>
          <w:sz w:val="20"/>
          <w:szCs w:val="20"/>
          <w:bdr w:val="none" w:sz="0" w:space="0" w:color="auto"/>
          <w:lang w:val="es-ES_tradnl"/>
        </w:rPr>
        <w:t>recibe una pensión mensual,</w:t>
      </w:r>
      <w:r w:rsidR="00AE4924" w:rsidRPr="00DC278B">
        <w:rPr>
          <w:rFonts w:ascii="Cambria" w:eastAsia="Times New Roman" w:hAnsi="Cambria"/>
          <w:sz w:val="20"/>
          <w:szCs w:val="20"/>
          <w:bdr w:val="none" w:sz="0" w:space="0" w:color="auto"/>
          <w:lang w:val="es-ES_tradnl"/>
        </w:rPr>
        <w:t xml:space="preserve"> por la suma de $360.674 Pesos chilenos</w:t>
      </w:r>
      <w:r w:rsidRPr="00DC278B">
        <w:rPr>
          <w:rFonts w:ascii="Cambria" w:eastAsia="Times New Roman" w:hAnsi="Cambria"/>
          <w:sz w:val="20"/>
          <w:szCs w:val="20"/>
          <w:bdr w:val="none" w:sz="0" w:space="0" w:color="auto"/>
          <w:lang w:val="es-ES_tradnl"/>
        </w:rPr>
        <w:t xml:space="preserve"> que rige desde el 1˚ de julio de 1991</w:t>
      </w:r>
      <w:r w:rsidR="00B077CE" w:rsidRPr="00DC278B">
        <w:rPr>
          <w:rFonts w:ascii="Cambria" w:eastAsia="Times New Roman" w:hAnsi="Cambria"/>
          <w:sz w:val="20"/>
          <w:szCs w:val="20"/>
          <w:bdr w:val="none" w:sz="0" w:space="0" w:color="auto"/>
          <w:vertAlign w:val="superscript"/>
          <w:lang w:val="es-ES_tradnl"/>
        </w:rPr>
        <w:footnoteReference w:id="104"/>
      </w:r>
      <w:r w:rsidR="009E4975" w:rsidRPr="00DC278B">
        <w:rPr>
          <w:rFonts w:ascii="Cambria" w:eastAsia="Times New Roman" w:hAnsi="Cambria"/>
          <w:sz w:val="20"/>
          <w:szCs w:val="20"/>
          <w:bdr w:val="none" w:sz="0" w:space="0" w:color="auto"/>
          <w:lang w:val="es-ES_tradnl"/>
        </w:rPr>
        <w:t>.</w:t>
      </w:r>
      <w:r w:rsidR="00B077CE" w:rsidRPr="00DC278B">
        <w:rPr>
          <w:rFonts w:ascii="Cambria" w:eastAsia="Times New Roman" w:hAnsi="Cambria"/>
          <w:sz w:val="20"/>
          <w:szCs w:val="20"/>
          <w:bdr w:val="none" w:sz="0" w:space="0" w:color="auto"/>
          <w:lang w:val="es-ES_tradnl"/>
        </w:rPr>
        <w:t xml:space="preserve">  Asimismo, ella percibió bonificación compensatoria</w:t>
      </w:r>
      <w:r w:rsidR="00B077CE" w:rsidRPr="00DC278B">
        <w:rPr>
          <w:rFonts w:ascii="Cambria" w:eastAsia="Times New Roman" w:hAnsi="Cambria"/>
          <w:sz w:val="20"/>
          <w:szCs w:val="20"/>
          <w:bdr w:val="none" w:sz="0" w:space="0" w:color="auto"/>
          <w:vertAlign w:val="superscript"/>
          <w:lang w:val="es-ES_tradnl"/>
        </w:rPr>
        <w:footnoteReference w:id="105"/>
      </w:r>
      <w:r w:rsidR="00B077CE" w:rsidRPr="00DC278B">
        <w:rPr>
          <w:rFonts w:ascii="Cambria" w:eastAsia="Times New Roman" w:hAnsi="Cambria"/>
          <w:sz w:val="20"/>
          <w:szCs w:val="20"/>
          <w:bdr w:val="none" w:sz="0" w:space="0" w:color="auto"/>
          <w:lang w:val="es-ES_tradnl"/>
        </w:rPr>
        <w:t>.</w:t>
      </w:r>
      <w:r w:rsidR="007D33BB" w:rsidRPr="00DC278B">
        <w:rPr>
          <w:rFonts w:ascii="Cambria" w:eastAsia="Times New Roman" w:hAnsi="Cambria"/>
          <w:sz w:val="20"/>
          <w:szCs w:val="20"/>
          <w:bdr w:val="none" w:sz="0" w:space="0" w:color="auto"/>
          <w:lang w:val="es-ES_tradnl"/>
        </w:rPr>
        <w:t xml:space="preserve"> Las partes no aportaron información sobre si la hermana de la víctima, recibe reparaciones.</w:t>
      </w:r>
    </w:p>
    <w:p w:rsidR="00BE2AE0" w:rsidRPr="00DC278B" w:rsidRDefault="00BE2AE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BE2AE0" w:rsidRPr="00DC278B" w:rsidRDefault="00BE2AE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19 de julio de 2000, Katia Espejo</w:t>
      </w:r>
      <w:r w:rsidR="00336412" w:rsidRPr="00DC278B">
        <w:rPr>
          <w:rFonts w:ascii="Cambria" w:eastAsia="Times New Roman" w:hAnsi="Cambria"/>
          <w:sz w:val="20"/>
          <w:szCs w:val="20"/>
          <w:bdr w:val="none" w:sz="0" w:space="0" w:color="auto"/>
          <w:lang w:val="es-ES_tradnl"/>
        </w:rPr>
        <w:t>, junto con su madre,</w:t>
      </w:r>
      <w:r w:rsidRPr="00DC278B">
        <w:rPr>
          <w:rFonts w:ascii="Cambria" w:eastAsia="Times New Roman" w:hAnsi="Cambria"/>
          <w:sz w:val="20"/>
          <w:szCs w:val="20"/>
          <w:bdr w:val="none" w:sz="0" w:space="0" w:color="auto"/>
          <w:lang w:val="es-ES_tradnl"/>
        </w:rPr>
        <w:t xml:space="preserve"> interpusieron una demanda </w:t>
      </w:r>
      <w:r w:rsidR="005169D0" w:rsidRPr="00DC278B">
        <w:rPr>
          <w:rFonts w:ascii="Cambria" w:eastAsia="Times New Roman" w:hAnsi="Cambria"/>
          <w:sz w:val="20"/>
          <w:szCs w:val="20"/>
          <w:bdr w:val="none" w:sz="0" w:space="0" w:color="auto"/>
          <w:lang w:val="es-ES_tradnl"/>
        </w:rPr>
        <w:t xml:space="preserve">civil de indemnización de perjuicios </w:t>
      </w:r>
      <w:r w:rsidRPr="00DC278B">
        <w:rPr>
          <w:rFonts w:ascii="Cambria" w:eastAsia="Times New Roman" w:hAnsi="Cambria"/>
          <w:sz w:val="20"/>
          <w:szCs w:val="20"/>
          <w:bdr w:val="none" w:sz="0" w:space="0" w:color="auto"/>
          <w:lang w:val="es-ES_tradnl"/>
        </w:rPr>
        <w:t>ante el 17º Ju</w:t>
      </w:r>
      <w:r w:rsidR="005E3919" w:rsidRPr="00DC278B">
        <w:rPr>
          <w:rFonts w:ascii="Cambria" w:eastAsia="Times New Roman" w:hAnsi="Cambria"/>
          <w:sz w:val="20"/>
          <w:szCs w:val="20"/>
          <w:bdr w:val="none" w:sz="0" w:space="0" w:color="auto"/>
          <w:lang w:val="es-ES_tradnl"/>
        </w:rPr>
        <w:t>zgado Civil</w:t>
      </w:r>
      <w:r w:rsidR="00B65FAC" w:rsidRPr="00DC278B">
        <w:rPr>
          <w:rFonts w:ascii="Cambria" w:eastAsia="Times New Roman" w:hAnsi="Cambria"/>
          <w:sz w:val="20"/>
          <w:szCs w:val="20"/>
          <w:bdr w:val="none" w:sz="0" w:space="0" w:color="auto"/>
          <w:lang w:val="es-ES_tradnl"/>
        </w:rPr>
        <w:t xml:space="preserve"> </w:t>
      </w:r>
      <w:r w:rsidR="005169D0" w:rsidRPr="00DC278B">
        <w:rPr>
          <w:rFonts w:ascii="Cambria" w:eastAsia="Times New Roman" w:hAnsi="Cambria"/>
          <w:sz w:val="20"/>
          <w:szCs w:val="20"/>
          <w:bdr w:val="none" w:sz="0" w:space="0" w:color="auto"/>
          <w:lang w:val="es-ES_tradnl"/>
        </w:rPr>
        <w:t xml:space="preserve">por </w:t>
      </w:r>
      <w:r w:rsidR="00336412" w:rsidRPr="00DC278B">
        <w:rPr>
          <w:rFonts w:ascii="Cambria" w:eastAsia="Times New Roman" w:hAnsi="Cambria"/>
          <w:sz w:val="20"/>
          <w:szCs w:val="20"/>
          <w:bdr w:val="none" w:sz="0" w:space="0" w:color="auto"/>
          <w:lang w:val="es-ES_tradnl"/>
        </w:rPr>
        <w:t>su muerte</w:t>
      </w:r>
      <w:r w:rsidRPr="00DC278B">
        <w:rPr>
          <w:rFonts w:ascii="Cambria" w:eastAsia="Times New Roman" w:hAnsi="Cambria"/>
          <w:sz w:val="20"/>
          <w:szCs w:val="20"/>
          <w:bdr w:val="none" w:sz="0" w:space="0" w:color="auto"/>
          <w:vertAlign w:val="superscript"/>
          <w:lang w:val="es-ES_tradnl"/>
        </w:rPr>
        <w:footnoteReference w:id="106"/>
      </w:r>
      <w:r w:rsidR="00A44474">
        <w:rPr>
          <w:rFonts w:ascii="Cambria" w:eastAsia="Times New Roman" w:hAnsi="Cambria"/>
          <w:sz w:val="20"/>
          <w:szCs w:val="20"/>
          <w:bdr w:val="none" w:sz="0" w:space="0" w:color="auto"/>
          <w:lang w:val="es-ES_tradnl"/>
        </w:rPr>
        <w:t>.</w:t>
      </w:r>
      <w:r w:rsidR="00336412"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El 19 de junio de 2002, </w:t>
      </w:r>
      <w:r w:rsidR="00F62D1E" w:rsidRPr="00DC278B">
        <w:rPr>
          <w:rFonts w:ascii="Cambria" w:eastAsia="Times New Roman" w:hAnsi="Cambria"/>
          <w:sz w:val="20"/>
          <w:szCs w:val="20"/>
          <w:bdr w:val="none" w:sz="0" w:space="0" w:color="auto"/>
          <w:lang w:val="es-ES_tradnl"/>
        </w:rPr>
        <w:t>el 17º Juzgado Civil</w:t>
      </w:r>
      <w:r w:rsidRPr="00DC278B">
        <w:rPr>
          <w:rFonts w:ascii="Cambria" w:eastAsia="Times New Roman" w:hAnsi="Cambria"/>
          <w:sz w:val="20"/>
          <w:szCs w:val="20"/>
          <w:bdr w:val="none" w:sz="0" w:space="0" w:color="auto"/>
          <w:lang w:val="es-ES_tradnl"/>
        </w:rPr>
        <w:t>, aunque declaró probada la detención y desaparición de Rodolfo Espejo por agentes estatales, decidió negar las pretensiones de la demanda por considerar que la acción se encontraba prescrita</w:t>
      </w:r>
      <w:r w:rsidRPr="00DC278B">
        <w:rPr>
          <w:rFonts w:ascii="Cambria" w:eastAsia="Times New Roman" w:hAnsi="Cambria"/>
          <w:sz w:val="20"/>
          <w:szCs w:val="20"/>
          <w:bdr w:val="none" w:sz="0" w:space="0" w:color="auto"/>
          <w:vertAlign w:val="superscript"/>
          <w:lang w:val="es-ES_tradnl"/>
        </w:rPr>
        <w:footnoteReference w:id="107"/>
      </w:r>
      <w:r w:rsidR="00A4447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Al respecto, el juez señaló que los hechos ocurrieron el</w:t>
      </w:r>
      <w:r w:rsidR="00336412" w:rsidRPr="00DC278B">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15 de agosto de 1974, por lo que había transcurrido en exceso el plazo de cuatro años previsto en el artículo 2</w:t>
      </w:r>
      <w:r w:rsidR="00F10EF7"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332</w:t>
      </w:r>
      <w:r w:rsidR="00336412" w:rsidRPr="00DC278B">
        <w:rPr>
          <w:rFonts w:ascii="Cambria" w:eastAsia="Times New Roman" w:hAnsi="Cambria"/>
          <w:sz w:val="20"/>
          <w:szCs w:val="20"/>
          <w:bdr w:val="none" w:sz="0" w:space="0" w:color="auto"/>
          <w:lang w:val="es-ES_tradnl"/>
        </w:rPr>
        <w:t xml:space="preserve"> del Código Civil</w:t>
      </w:r>
      <w:r w:rsidRPr="00DC278B">
        <w:rPr>
          <w:rFonts w:ascii="Cambria" w:eastAsia="Times New Roman" w:hAnsi="Cambria"/>
          <w:sz w:val="20"/>
          <w:szCs w:val="20"/>
          <w:bdr w:val="none" w:sz="0" w:space="0" w:color="auto"/>
          <w:vertAlign w:val="superscript"/>
          <w:lang w:val="es-ES_tradnl"/>
        </w:rPr>
        <w:footnoteReference w:id="108"/>
      </w:r>
      <w:r w:rsidR="00A4447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El 12 de junio de 2003, la </w:t>
      </w:r>
      <w:r w:rsidR="00336412" w:rsidRPr="00DC278B">
        <w:rPr>
          <w:rFonts w:ascii="Cambria" w:eastAsia="Times New Roman" w:hAnsi="Cambria"/>
          <w:sz w:val="20"/>
          <w:szCs w:val="20"/>
          <w:bdr w:val="none" w:sz="0" w:space="0" w:color="auto"/>
          <w:lang w:val="es-ES_tradnl"/>
        </w:rPr>
        <w:t xml:space="preserve">CAS </w:t>
      </w:r>
      <w:r w:rsidRPr="00DC278B">
        <w:rPr>
          <w:rFonts w:ascii="Cambria" w:eastAsia="Times New Roman" w:hAnsi="Cambria"/>
          <w:sz w:val="20"/>
          <w:szCs w:val="20"/>
          <w:bdr w:val="none" w:sz="0" w:space="0" w:color="auto"/>
          <w:lang w:val="es-ES_tradnl"/>
        </w:rPr>
        <w:t>declaró desierto el recurso de apelación</w:t>
      </w:r>
      <w:r w:rsidRPr="00DC278B">
        <w:rPr>
          <w:rFonts w:ascii="Cambria" w:eastAsia="Times New Roman" w:hAnsi="Cambria"/>
          <w:sz w:val="20"/>
          <w:szCs w:val="20"/>
          <w:bdr w:val="none" w:sz="0" w:space="0" w:color="auto"/>
          <w:vertAlign w:val="superscript"/>
          <w:lang w:val="es-ES_tradnl"/>
        </w:rPr>
        <w:footnoteReference w:id="109"/>
      </w:r>
      <w:r w:rsidRPr="00DC278B">
        <w:rPr>
          <w:rFonts w:ascii="Cambria" w:eastAsia="Times New Roman" w:hAnsi="Cambria"/>
          <w:sz w:val="20"/>
          <w:szCs w:val="20"/>
          <w:bdr w:val="none" w:sz="0" w:space="0" w:color="auto"/>
          <w:lang w:val="es-ES_tradnl"/>
        </w:rPr>
        <w:t xml:space="preserve">. </w:t>
      </w:r>
    </w:p>
    <w:p w:rsidR="009E4975" w:rsidRPr="00DC278B" w:rsidRDefault="009E4975" w:rsidP="00DC278B">
      <w:pPr>
        <w:pStyle w:val="MediumGrid1-Accent21"/>
        <w:rPr>
          <w:rFonts w:eastAsia="Times New Roman"/>
          <w:color w:val="auto"/>
          <w:sz w:val="20"/>
          <w:szCs w:val="20"/>
          <w:bdr w:val="none" w:sz="0" w:space="0" w:color="auto"/>
          <w:lang w:val="es-ES_tradnl"/>
        </w:rPr>
      </w:pPr>
    </w:p>
    <w:p w:rsidR="00C52032" w:rsidRPr="00DC278B" w:rsidRDefault="000E7F36" w:rsidP="00DC278B">
      <w:pPr>
        <w:pStyle w:val="Heading2"/>
        <w:ind w:left="1440" w:hanging="720"/>
      </w:pPr>
      <w:bookmarkStart w:id="25" w:name="_Toc413397478"/>
      <w:r w:rsidRPr="00DC278B">
        <w:t>H.</w:t>
      </w:r>
      <w:r w:rsidRPr="00DC278B">
        <w:tab/>
      </w:r>
      <w:r w:rsidR="00E5125E" w:rsidRPr="00DC278B">
        <w:t xml:space="preserve">Situación del grupo familiar de </w:t>
      </w:r>
      <w:r w:rsidR="00E02F88" w:rsidRPr="00DC278B">
        <w:t xml:space="preserve">Magdalena Navarrete </w:t>
      </w:r>
      <w:r w:rsidR="00C52032" w:rsidRPr="00DC278B">
        <w:t xml:space="preserve">y </w:t>
      </w:r>
      <w:r w:rsidR="00E5125E" w:rsidRPr="00DC278B">
        <w:t>su causa</w:t>
      </w:r>
      <w:r w:rsidR="00C52032" w:rsidRPr="00DC278B">
        <w:t xml:space="preserve"> contra </w:t>
      </w:r>
      <w:r w:rsidR="00E5125E" w:rsidRPr="00DC278B">
        <w:t xml:space="preserve">el </w:t>
      </w:r>
      <w:r w:rsidR="00C52032" w:rsidRPr="00DC278B">
        <w:t>Fisco de Chile</w:t>
      </w:r>
      <w:bookmarkEnd w:id="25"/>
    </w:p>
    <w:p w:rsidR="003037F0" w:rsidRPr="00DC278B" w:rsidRDefault="003037F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3037F0" w:rsidRPr="00DC278B" w:rsidRDefault="003037F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lang w:val="es-ES"/>
        </w:rPr>
        <w:t xml:space="preserve">Según el Informe de la Comisión </w:t>
      </w:r>
      <w:proofErr w:type="spellStart"/>
      <w:r w:rsidRPr="00DC278B">
        <w:rPr>
          <w:rFonts w:ascii="Cambria" w:eastAsia="Times New Roman" w:hAnsi="Cambria"/>
          <w:sz w:val="20"/>
          <w:szCs w:val="20"/>
          <w:lang w:val="es-ES"/>
        </w:rPr>
        <w:t>Rettig</w:t>
      </w:r>
      <w:proofErr w:type="spellEnd"/>
      <w:r w:rsidRPr="00DC278B">
        <w:rPr>
          <w:rFonts w:ascii="Cambria" w:eastAsia="Times New Roman" w:hAnsi="Cambria"/>
          <w:sz w:val="20"/>
          <w:szCs w:val="20"/>
          <w:lang w:val="es-ES"/>
        </w:rPr>
        <w:t>, e</w:t>
      </w:r>
      <w:r w:rsidRPr="00DC278B">
        <w:rPr>
          <w:rFonts w:ascii="Cambria" w:eastAsia="Times New Roman" w:hAnsi="Cambria"/>
          <w:sz w:val="20"/>
          <w:szCs w:val="20"/>
          <w:bdr w:val="none" w:sz="0" w:space="0" w:color="auto"/>
          <w:lang w:val="es-ES_tradnl"/>
        </w:rPr>
        <w:t>l 16 de noviembre de 1974, Sergio Reyes, militante del Movimiento de Izquierda Revolucionaria (MIR), fue detenido en su domicilio por agentes de la DINA</w:t>
      </w:r>
      <w:r w:rsidRPr="00DC278B">
        <w:rPr>
          <w:rFonts w:ascii="Cambria" w:eastAsia="Times New Roman" w:hAnsi="Cambria"/>
          <w:sz w:val="20"/>
          <w:szCs w:val="20"/>
          <w:bdr w:val="none" w:sz="0" w:space="0" w:color="auto"/>
          <w:vertAlign w:val="superscript"/>
          <w:lang w:val="es-ES_tradnl"/>
        </w:rPr>
        <w:footnoteReference w:id="110"/>
      </w:r>
      <w:r w:rsidR="00A44474">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 xml:space="preserve">El detenido desapareció </w:t>
      </w:r>
      <w:r w:rsidR="00544570" w:rsidRPr="00DC278B">
        <w:rPr>
          <w:rFonts w:ascii="Cambria" w:eastAsia="Times New Roman" w:hAnsi="Cambria"/>
          <w:sz w:val="20"/>
          <w:szCs w:val="20"/>
          <w:bdr w:val="none" w:sz="0" w:space="0" w:color="auto"/>
          <w:lang w:val="es-ES_tradnl"/>
        </w:rPr>
        <w:t xml:space="preserve">desde entonces </w:t>
      </w:r>
      <w:r w:rsidRPr="00DC278B">
        <w:rPr>
          <w:rFonts w:ascii="Cambria" w:eastAsia="Times New Roman" w:hAnsi="Cambria"/>
          <w:sz w:val="20"/>
          <w:szCs w:val="20"/>
          <w:bdr w:val="none" w:sz="0" w:space="0" w:color="auto"/>
          <w:lang w:val="es-ES_tradnl"/>
        </w:rPr>
        <w:t>sin que haya antecedentes ciertos sobre su permanencia en recintos de detención</w:t>
      </w:r>
      <w:r w:rsidRPr="00DC278B">
        <w:rPr>
          <w:rFonts w:ascii="Cambria" w:eastAsia="Times New Roman" w:hAnsi="Cambria"/>
          <w:sz w:val="20"/>
          <w:szCs w:val="20"/>
          <w:bdr w:val="none" w:sz="0" w:space="0" w:color="auto"/>
          <w:vertAlign w:val="superscript"/>
          <w:lang w:val="es-ES_tradnl"/>
        </w:rPr>
        <w:footnoteReference w:id="111"/>
      </w:r>
      <w:r w:rsidRPr="00DC278B">
        <w:rPr>
          <w:rFonts w:ascii="Cambria" w:eastAsia="Times New Roman" w:hAnsi="Cambria"/>
          <w:sz w:val="20"/>
          <w:szCs w:val="20"/>
          <w:bdr w:val="none" w:sz="0" w:space="0" w:color="auto"/>
          <w:lang w:val="es-ES_tradnl"/>
        </w:rPr>
        <w:t>.</w:t>
      </w:r>
      <w:r w:rsidR="00A44474">
        <w:rPr>
          <w:rFonts w:ascii="Cambria" w:eastAsia="Times New Roman" w:hAnsi="Cambria"/>
          <w:sz w:val="20"/>
          <w:szCs w:val="20"/>
          <w:bdr w:val="none" w:sz="0" w:space="0" w:color="auto"/>
          <w:lang w:val="es-ES_tradnl"/>
        </w:rPr>
        <w:t xml:space="preserve"> </w:t>
      </w:r>
      <w:r w:rsidR="000D6940" w:rsidRPr="00DC278B">
        <w:rPr>
          <w:rFonts w:ascii="Cambria" w:eastAsia="Times New Roman" w:hAnsi="Cambria"/>
          <w:sz w:val="20"/>
          <w:szCs w:val="20"/>
          <w:bdr w:val="none" w:sz="0" w:space="0" w:color="auto"/>
          <w:lang w:val="es-ES_tradnl"/>
        </w:rPr>
        <w:t xml:space="preserve">La Comisión </w:t>
      </w:r>
      <w:proofErr w:type="spellStart"/>
      <w:r w:rsidR="000D6940" w:rsidRPr="00DC278B">
        <w:rPr>
          <w:rFonts w:ascii="Cambria" w:eastAsia="Times New Roman" w:hAnsi="Cambria"/>
          <w:sz w:val="20"/>
          <w:szCs w:val="20"/>
          <w:bdr w:val="none" w:sz="0" w:space="0" w:color="auto"/>
          <w:lang w:val="es-ES_tradnl"/>
        </w:rPr>
        <w:t>Rettig</w:t>
      </w:r>
      <w:proofErr w:type="spellEnd"/>
      <w:r w:rsidR="000D6940" w:rsidRPr="00DC278B">
        <w:rPr>
          <w:rFonts w:ascii="Cambria" w:eastAsia="Times New Roman" w:hAnsi="Cambria"/>
          <w:sz w:val="20"/>
          <w:szCs w:val="20"/>
          <w:bdr w:val="none" w:sz="0" w:space="0" w:color="auto"/>
          <w:lang w:val="es-ES_tradnl"/>
        </w:rPr>
        <w:t xml:space="preserve"> llegó a la convicción de que la víctima desapareció por acci</w:t>
      </w:r>
      <w:r w:rsidR="00DD0BBA" w:rsidRPr="00DC278B">
        <w:rPr>
          <w:rFonts w:ascii="Cambria" w:eastAsia="Times New Roman" w:hAnsi="Cambria"/>
          <w:sz w:val="20"/>
          <w:szCs w:val="20"/>
          <w:bdr w:val="none" w:sz="0" w:space="0" w:color="auto"/>
          <w:lang w:val="es-ES_tradnl"/>
        </w:rPr>
        <w:t>ón de agentes del Estado, e</w:t>
      </w:r>
      <w:r w:rsidR="000D6940" w:rsidRPr="00DC278B">
        <w:rPr>
          <w:rFonts w:ascii="Cambria" w:eastAsia="Times New Roman" w:hAnsi="Cambria"/>
          <w:sz w:val="20"/>
          <w:szCs w:val="20"/>
          <w:bdr w:val="none" w:sz="0" w:space="0" w:color="auto"/>
          <w:lang w:val="es-ES_tradnl"/>
        </w:rPr>
        <w:t>n violación de sus derechos humanos</w:t>
      </w:r>
      <w:r w:rsidR="000D6940" w:rsidRPr="00DC278B">
        <w:rPr>
          <w:rFonts w:ascii="Cambria" w:eastAsia="Times New Roman" w:hAnsi="Cambria"/>
          <w:sz w:val="20"/>
          <w:szCs w:val="20"/>
          <w:bdr w:val="none" w:sz="0" w:space="0" w:color="auto"/>
          <w:vertAlign w:val="superscript"/>
          <w:lang w:val="es-ES_tradnl"/>
        </w:rPr>
        <w:footnoteReference w:id="112"/>
      </w:r>
      <w:r w:rsidR="000D6940" w:rsidRPr="00DC278B">
        <w:rPr>
          <w:rFonts w:ascii="Cambria" w:eastAsia="Times New Roman" w:hAnsi="Cambria"/>
          <w:sz w:val="20"/>
          <w:szCs w:val="20"/>
          <w:bdr w:val="none" w:sz="0" w:space="0" w:color="auto"/>
          <w:lang w:val="es-ES_tradnl"/>
        </w:rPr>
        <w:t>.</w:t>
      </w:r>
    </w:p>
    <w:p w:rsidR="003037F0" w:rsidRPr="00DC278B" w:rsidRDefault="003037F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C247B9" w:rsidRPr="00DC278B" w:rsidRDefault="002F0FB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Mediante la Ley 19.123 de 1992, </w:t>
      </w:r>
      <w:r w:rsidR="00E02F88" w:rsidRPr="00DC278B">
        <w:rPr>
          <w:rFonts w:ascii="Cambria" w:eastAsia="Times New Roman" w:hAnsi="Cambria"/>
          <w:sz w:val="20"/>
          <w:szCs w:val="20"/>
          <w:bdr w:val="none" w:sz="0" w:space="0" w:color="auto"/>
          <w:lang w:val="es-ES_tradnl"/>
        </w:rPr>
        <w:t>Magdalena Navarrete</w:t>
      </w:r>
      <w:r w:rsidR="003037F0" w:rsidRPr="00DC278B">
        <w:rPr>
          <w:rFonts w:ascii="Cambria" w:eastAsia="Times New Roman" w:hAnsi="Cambria"/>
          <w:sz w:val="20"/>
          <w:szCs w:val="20"/>
          <w:bdr w:val="none" w:sz="0" w:space="0" w:color="auto"/>
          <w:lang w:val="es-ES_tradnl"/>
        </w:rPr>
        <w:t xml:space="preserve">, </w:t>
      </w:r>
      <w:r w:rsidR="00C247B9" w:rsidRPr="00DC278B">
        <w:rPr>
          <w:rFonts w:ascii="Cambria" w:eastAsia="Times New Roman" w:hAnsi="Cambria"/>
          <w:sz w:val="20"/>
          <w:szCs w:val="20"/>
          <w:bdr w:val="none" w:sz="0" w:space="0" w:color="auto"/>
          <w:lang w:val="es-ES_tradnl"/>
        </w:rPr>
        <w:t>madre de la víctima, percibió bonificación compensatoria y su pensión rige desde el 1 de julio de 1991 y corresponde a 360.674 Pesos chilenos mensuales</w:t>
      </w:r>
      <w:r w:rsidR="00D45802" w:rsidRPr="00DC278B">
        <w:rPr>
          <w:rFonts w:ascii="Cambria" w:hAnsi="Cambria"/>
          <w:sz w:val="20"/>
          <w:szCs w:val="20"/>
          <w:bdr w:val="none" w:sz="0" w:space="0" w:color="auto"/>
          <w:vertAlign w:val="superscript"/>
          <w:lang w:val="es-ES_tradnl"/>
        </w:rPr>
        <w:footnoteReference w:id="113"/>
      </w:r>
      <w:r w:rsidR="00A44474">
        <w:rPr>
          <w:rFonts w:ascii="Cambria" w:eastAsia="Times New Roman" w:hAnsi="Cambria"/>
          <w:sz w:val="20"/>
          <w:szCs w:val="20"/>
          <w:bdr w:val="none" w:sz="0" w:space="0" w:color="auto"/>
          <w:lang w:val="es-ES_tradnl"/>
        </w:rPr>
        <w:t xml:space="preserve">. </w:t>
      </w:r>
      <w:r w:rsidR="00C247B9" w:rsidRPr="00DC278B">
        <w:rPr>
          <w:rFonts w:ascii="Cambria" w:eastAsia="Times New Roman" w:hAnsi="Cambria"/>
          <w:sz w:val="20"/>
          <w:szCs w:val="20"/>
          <w:bdr w:val="none" w:sz="0" w:space="0" w:color="auto"/>
          <w:lang w:val="es-ES_tradnl"/>
        </w:rPr>
        <w:t>Asimismo, María Elisa Zepeda Rojas, esposa de la víctima, percibió bonificación compensatoria y su pensión rige desde el 1˚ de julio de 1991 y corresponde al 40% de 504.945 Pesos chilenos.</w:t>
      </w:r>
      <w:r w:rsidR="00D45802" w:rsidRPr="00DC278B">
        <w:rPr>
          <w:rFonts w:ascii="Cambria" w:eastAsia="Times New Roman" w:hAnsi="Cambria"/>
          <w:sz w:val="20"/>
          <w:szCs w:val="20"/>
          <w:bdr w:val="none" w:sz="0" w:space="0" w:color="auto"/>
          <w:lang w:val="es-ES_tradnl"/>
        </w:rPr>
        <w:t xml:space="preserve">  El hijo de la víctima percibió bono compensatorio y pensión</w:t>
      </w:r>
      <w:r w:rsidR="00D45802" w:rsidRPr="00DC278B">
        <w:rPr>
          <w:rFonts w:ascii="Cambria" w:hAnsi="Cambria"/>
          <w:sz w:val="20"/>
          <w:szCs w:val="20"/>
          <w:bdr w:val="none" w:sz="0" w:space="0" w:color="auto"/>
          <w:vertAlign w:val="superscript"/>
          <w:lang w:val="es-ES_tradnl"/>
        </w:rPr>
        <w:footnoteReference w:id="114"/>
      </w:r>
      <w:r w:rsidR="00D45802" w:rsidRPr="00DC278B">
        <w:rPr>
          <w:rFonts w:ascii="Cambria" w:eastAsia="Times New Roman" w:hAnsi="Cambria"/>
          <w:sz w:val="20"/>
          <w:szCs w:val="20"/>
          <w:bdr w:val="none" w:sz="0" w:space="0" w:color="auto"/>
          <w:lang w:val="es-ES_tradnl"/>
        </w:rPr>
        <w:t>.</w:t>
      </w:r>
      <w:r w:rsidR="00A44474">
        <w:rPr>
          <w:rFonts w:ascii="Cambria" w:eastAsia="Times New Roman" w:hAnsi="Cambria"/>
          <w:sz w:val="20"/>
          <w:szCs w:val="20"/>
          <w:bdr w:val="none" w:sz="0" w:space="0" w:color="auto"/>
          <w:lang w:val="es-ES_tradnl"/>
        </w:rPr>
        <w:t xml:space="preserve"> </w:t>
      </w:r>
      <w:r w:rsidR="00711F99" w:rsidRPr="00DC278B">
        <w:rPr>
          <w:rFonts w:ascii="Cambria" w:eastAsia="Times New Roman" w:hAnsi="Cambria"/>
          <w:sz w:val="20"/>
          <w:szCs w:val="20"/>
          <w:bdr w:val="none" w:sz="0" w:space="0" w:color="auto"/>
          <w:lang w:val="es-ES_tradnl"/>
        </w:rPr>
        <w:t>Las partes no han informado si Alberto, Patricio Hernán y Víctor Eduardo Reyes Navarrete, hermanos de la víctima, reciben reparaciones.</w:t>
      </w:r>
    </w:p>
    <w:p w:rsidR="002F0FB2" w:rsidRPr="00DC278B" w:rsidRDefault="002F0FB2"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3037F0" w:rsidRPr="00DC278B" w:rsidRDefault="003037F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El 28 de julio de 2000, </w:t>
      </w:r>
      <w:r w:rsidR="00BB49EB" w:rsidRPr="00DC278B">
        <w:rPr>
          <w:rFonts w:ascii="Cambria" w:eastAsia="Times New Roman" w:hAnsi="Cambria"/>
          <w:sz w:val="20"/>
          <w:szCs w:val="20"/>
          <w:bdr w:val="none" w:sz="0" w:space="0" w:color="auto"/>
          <w:lang w:val="es-ES_tradnl"/>
        </w:rPr>
        <w:t>la madre</w:t>
      </w:r>
      <w:r w:rsidRPr="00DC278B">
        <w:rPr>
          <w:rFonts w:ascii="Cambria" w:eastAsia="Times New Roman" w:hAnsi="Cambria"/>
          <w:sz w:val="20"/>
          <w:szCs w:val="20"/>
          <w:bdr w:val="none" w:sz="0" w:space="0" w:color="auto"/>
          <w:lang w:val="es-ES_tradnl"/>
        </w:rPr>
        <w:t xml:space="preserve"> y Jorge Alberto</w:t>
      </w:r>
      <w:r w:rsidR="002A4AF0" w:rsidRPr="00DC278B">
        <w:rPr>
          <w:rFonts w:ascii="Cambria" w:eastAsia="Times New Roman" w:hAnsi="Cambria"/>
          <w:sz w:val="20"/>
          <w:szCs w:val="20"/>
          <w:bdr w:val="none" w:sz="0" w:space="0" w:color="auto"/>
          <w:lang w:val="es-ES_tradnl"/>
        </w:rPr>
        <w:t>, Víctor Eduardo y</w:t>
      </w:r>
      <w:r w:rsidRPr="00DC278B">
        <w:rPr>
          <w:rFonts w:ascii="Cambria" w:eastAsia="Times New Roman" w:hAnsi="Cambria"/>
          <w:sz w:val="20"/>
          <w:szCs w:val="20"/>
          <w:bdr w:val="none" w:sz="0" w:space="0" w:color="auto"/>
          <w:lang w:val="es-ES_tradnl"/>
        </w:rPr>
        <w:t xml:space="preserve"> Patricio Hernán Reyes Navarrete</w:t>
      </w:r>
      <w:r w:rsidR="00BB49EB" w:rsidRPr="00DC278B">
        <w:rPr>
          <w:rFonts w:ascii="Cambria" w:eastAsia="Times New Roman" w:hAnsi="Cambria"/>
          <w:sz w:val="20"/>
          <w:szCs w:val="20"/>
          <w:bdr w:val="none" w:sz="0" w:space="0" w:color="auto"/>
          <w:lang w:val="es-ES_tradnl"/>
        </w:rPr>
        <w:t>, hermanos de la víctima</w:t>
      </w:r>
      <w:r w:rsidRPr="00DC278B">
        <w:rPr>
          <w:rFonts w:ascii="Cambria" w:eastAsia="Times New Roman" w:hAnsi="Cambria"/>
          <w:sz w:val="20"/>
          <w:szCs w:val="20"/>
          <w:bdr w:val="none" w:sz="0" w:space="0" w:color="auto"/>
          <w:lang w:val="es-ES_tradnl"/>
        </w:rPr>
        <w:t xml:space="preserve">, presentaron una demanda </w:t>
      </w:r>
      <w:r w:rsidR="009C777D" w:rsidRPr="00DC278B">
        <w:rPr>
          <w:rFonts w:ascii="Cambria" w:eastAsia="Times New Roman" w:hAnsi="Cambria"/>
          <w:sz w:val="20"/>
          <w:szCs w:val="20"/>
          <w:bdr w:val="none" w:sz="0" w:space="0" w:color="auto"/>
          <w:lang w:val="es-ES_tradnl"/>
        </w:rPr>
        <w:t xml:space="preserve">civil de indemnización de perjuicios </w:t>
      </w:r>
      <w:r w:rsidR="00BB49EB" w:rsidRPr="00DC278B">
        <w:rPr>
          <w:rFonts w:ascii="Cambria" w:eastAsia="Times New Roman" w:hAnsi="Cambria"/>
          <w:sz w:val="20"/>
          <w:szCs w:val="20"/>
          <w:bdr w:val="none" w:sz="0" w:space="0" w:color="auto"/>
          <w:lang w:val="es-ES_tradnl"/>
        </w:rPr>
        <w:t>por el daño moral causado por su detención y desaparición</w:t>
      </w:r>
      <w:r w:rsidRPr="00DC278B">
        <w:rPr>
          <w:rFonts w:ascii="Cambria" w:eastAsia="Times New Roman" w:hAnsi="Cambria"/>
          <w:sz w:val="20"/>
          <w:szCs w:val="20"/>
          <w:bdr w:val="none" w:sz="0" w:space="0" w:color="auto"/>
          <w:vertAlign w:val="superscript"/>
          <w:lang w:val="es-ES_tradnl"/>
        </w:rPr>
        <w:footnoteReference w:id="115"/>
      </w:r>
      <w:r w:rsidR="00A44474">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lang w:val="es-ES_tradnl"/>
        </w:rPr>
        <w:t xml:space="preserve"> El 19 de junio de 2002, el 17º Juzgado Civil</w:t>
      </w:r>
      <w:r w:rsidR="00BB49EB" w:rsidRPr="00DC278B">
        <w:rPr>
          <w:rFonts w:ascii="Cambria" w:eastAsia="Times New Roman" w:hAnsi="Cambria"/>
          <w:sz w:val="20"/>
          <w:szCs w:val="20"/>
          <w:bdr w:val="none" w:sz="0" w:space="0" w:color="auto"/>
          <w:lang w:val="es-ES_tradnl"/>
        </w:rPr>
        <w:t>, aunque declaró probada su</w:t>
      </w:r>
      <w:r w:rsidRPr="00DC278B">
        <w:rPr>
          <w:rFonts w:ascii="Cambria" w:eastAsia="Times New Roman" w:hAnsi="Cambria"/>
          <w:sz w:val="20"/>
          <w:szCs w:val="20"/>
          <w:bdr w:val="none" w:sz="0" w:space="0" w:color="auto"/>
          <w:lang w:val="es-ES_tradnl"/>
        </w:rPr>
        <w:t xml:space="preserve"> detención y desaparición por agentes es</w:t>
      </w:r>
      <w:r w:rsidR="00BB49EB" w:rsidRPr="00DC278B">
        <w:rPr>
          <w:rFonts w:ascii="Cambria" w:eastAsia="Times New Roman" w:hAnsi="Cambria"/>
          <w:sz w:val="20"/>
          <w:szCs w:val="20"/>
          <w:bdr w:val="none" w:sz="0" w:space="0" w:color="auto"/>
          <w:lang w:val="es-ES_tradnl"/>
        </w:rPr>
        <w:t>tatales</w:t>
      </w:r>
      <w:r w:rsidRPr="00DC278B">
        <w:rPr>
          <w:rFonts w:ascii="Cambria" w:eastAsia="Times New Roman" w:hAnsi="Cambria"/>
          <w:sz w:val="20"/>
          <w:szCs w:val="20"/>
          <w:bdr w:val="none" w:sz="0" w:space="0" w:color="auto"/>
          <w:lang w:val="es-ES_tradnl"/>
        </w:rPr>
        <w:t>, estableció que el término para contar la fecha de prescripción corr</w:t>
      </w:r>
      <w:r w:rsidR="00BB49EB" w:rsidRPr="00DC278B">
        <w:rPr>
          <w:rFonts w:ascii="Cambria" w:eastAsia="Times New Roman" w:hAnsi="Cambria"/>
          <w:sz w:val="20"/>
          <w:szCs w:val="20"/>
          <w:bdr w:val="none" w:sz="0" w:space="0" w:color="auto"/>
          <w:lang w:val="es-ES_tradnl"/>
        </w:rPr>
        <w:t xml:space="preserve">ía desde 1974 y consideró que </w:t>
      </w:r>
      <w:r w:rsidRPr="00DC278B">
        <w:rPr>
          <w:rFonts w:ascii="Cambria" w:eastAsia="Times New Roman" w:hAnsi="Cambria"/>
          <w:sz w:val="20"/>
          <w:szCs w:val="20"/>
          <w:bdr w:val="none" w:sz="0" w:space="0" w:color="auto"/>
          <w:lang w:val="es-ES_tradnl"/>
        </w:rPr>
        <w:t>se había sobrepasado el plazo de cuatro años previsto en el artículo 2.332 del Código Civil</w:t>
      </w:r>
      <w:r w:rsidRPr="00DC278B">
        <w:rPr>
          <w:rFonts w:ascii="Cambria" w:eastAsia="Times New Roman" w:hAnsi="Cambria"/>
          <w:sz w:val="20"/>
          <w:szCs w:val="20"/>
          <w:bdr w:val="none" w:sz="0" w:space="0" w:color="auto"/>
          <w:vertAlign w:val="superscript"/>
          <w:lang w:val="es-ES_tradnl"/>
        </w:rPr>
        <w:footnoteReference w:id="116"/>
      </w:r>
      <w:r w:rsidR="00A44474">
        <w:rPr>
          <w:rFonts w:ascii="Cambria" w:eastAsia="Times New Roman" w:hAnsi="Cambria"/>
          <w:sz w:val="20"/>
          <w:szCs w:val="20"/>
          <w:bdr w:val="none" w:sz="0" w:space="0" w:color="auto"/>
          <w:lang w:val="es-ES_tradnl"/>
        </w:rPr>
        <w:t xml:space="preserve">. </w:t>
      </w:r>
      <w:r w:rsidR="00BB49EB" w:rsidRPr="00DC278B">
        <w:rPr>
          <w:rFonts w:ascii="Cambria" w:eastAsia="Times New Roman" w:hAnsi="Cambria"/>
          <w:sz w:val="20"/>
          <w:szCs w:val="20"/>
          <w:bdr w:val="none" w:sz="0" w:space="0" w:color="auto"/>
          <w:lang w:val="es-ES_tradnl"/>
        </w:rPr>
        <w:t>El fallo fue apelado</w:t>
      </w:r>
      <w:r w:rsidR="000A2C5F" w:rsidRPr="00DC278B">
        <w:rPr>
          <w:rStyle w:val="FootnoteReference"/>
          <w:rFonts w:ascii="Cambria" w:eastAsia="Times New Roman" w:hAnsi="Cambria"/>
          <w:sz w:val="20"/>
          <w:szCs w:val="20"/>
          <w:bdr w:val="none" w:sz="0" w:space="0" w:color="auto"/>
          <w:lang w:val="es-ES_tradnl"/>
        </w:rPr>
        <w:footnoteReference w:id="117"/>
      </w:r>
      <w:r w:rsidR="00BF3461" w:rsidRPr="00DC278B">
        <w:rPr>
          <w:rFonts w:ascii="Cambria" w:eastAsia="Times New Roman" w:hAnsi="Cambria"/>
          <w:sz w:val="20"/>
          <w:szCs w:val="20"/>
          <w:bdr w:val="none" w:sz="0" w:space="0" w:color="auto"/>
          <w:lang w:val="es-ES_tradnl"/>
        </w:rPr>
        <w:t xml:space="preserve">, y </w:t>
      </w:r>
      <w:r w:rsidRPr="00DC278B">
        <w:rPr>
          <w:rFonts w:ascii="Cambria" w:eastAsia="Times New Roman" w:hAnsi="Cambria"/>
          <w:sz w:val="20"/>
          <w:szCs w:val="20"/>
          <w:bdr w:val="none" w:sz="0" w:space="0" w:color="auto"/>
          <w:lang w:val="es-ES_tradnl"/>
        </w:rPr>
        <w:t xml:space="preserve">el recurso </w:t>
      </w:r>
      <w:r w:rsidR="00BB49EB" w:rsidRPr="00DC278B">
        <w:rPr>
          <w:rFonts w:ascii="Cambria" w:eastAsia="Times New Roman" w:hAnsi="Cambria"/>
          <w:sz w:val="20"/>
          <w:szCs w:val="20"/>
          <w:bdr w:val="none" w:sz="0" w:space="0" w:color="auto"/>
          <w:lang w:val="es-ES_tradnl"/>
        </w:rPr>
        <w:t xml:space="preserve">de apelación </w:t>
      </w:r>
      <w:r w:rsidRPr="00DC278B">
        <w:rPr>
          <w:rFonts w:ascii="Cambria" w:eastAsia="Times New Roman" w:hAnsi="Cambria"/>
          <w:sz w:val="20"/>
          <w:szCs w:val="20"/>
          <w:bdr w:val="none" w:sz="0" w:space="0" w:color="auto"/>
          <w:lang w:val="es-ES_tradnl"/>
        </w:rPr>
        <w:t>fue declarado desierto por la</w:t>
      </w:r>
      <w:r w:rsidR="00BB49EB" w:rsidRPr="00DC278B">
        <w:rPr>
          <w:rFonts w:ascii="Cambria" w:eastAsia="Times New Roman" w:hAnsi="Cambria"/>
          <w:sz w:val="20"/>
          <w:szCs w:val="20"/>
          <w:bdr w:val="none" w:sz="0" w:space="0" w:color="auto"/>
          <w:lang w:val="es-ES_tradnl"/>
        </w:rPr>
        <w:t xml:space="preserve"> CAS</w:t>
      </w:r>
      <w:r w:rsidR="001D5CAE" w:rsidRPr="00DC278B">
        <w:rPr>
          <w:rFonts w:ascii="Cambria" w:eastAsia="Times New Roman" w:hAnsi="Cambria"/>
          <w:sz w:val="20"/>
          <w:szCs w:val="20"/>
          <w:bdr w:val="none" w:sz="0" w:space="0" w:color="auto"/>
          <w:lang w:val="es-ES_tradnl"/>
        </w:rPr>
        <w:t xml:space="preserve"> y el 26 de junio de 2003 se dictó orden de “cúmplase”</w:t>
      </w:r>
      <w:r w:rsidR="001D5CAE" w:rsidRPr="00DC278B">
        <w:rPr>
          <w:rStyle w:val="FootnoteReference"/>
          <w:rFonts w:ascii="Cambria" w:eastAsia="Times New Roman" w:hAnsi="Cambria"/>
          <w:sz w:val="20"/>
          <w:szCs w:val="20"/>
          <w:bdr w:val="none" w:sz="0" w:space="0" w:color="auto"/>
          <w:lang w:val="es-ES_tradnl"/>
        </w:rPr>
        <w:footnoteReference w:id="118"/>
      </w:r>
      <w:r w:rsidR="00341959" w:rsidRPr="00DC278B">
        <w:rPr>
          <w:rFonts w:ascii="Cambria" w:eastAsia="Times New Roman" w:hAnsi="Cambria"/>
          <w:sz w:val="20"/>
          <w:szCs w:val="20"/>
          <w:bdr w:val="none" w:sz="0" w:space="0" w:color="auto"/>
          <w:lang w:val="es-ES_tradnl"/>
        </w:rPr>
        <w:t>.</w:t>
      </w:r>
    </w:p>
    <w:p w:rsidR="002F0FB2" w:rsidRPr="00DC278B" w:rsidRDefault="002F0FB2" w:rsidP="00DC278B">
      <w:pPr>
        <w:pStyle w:val="MediumGrid1-Accent21"/>
        <w:rPr>
          <w:rFonts w:eastAsia="Times New Roman"/>
          <w:color w:val="auto"/>
          <w:sz w:val="20"/>
          <w:szCs w:val="20"/>
          <w:bdr w:val="none" w:sz="0" w:space="0" w:color="auto"/>
          <w:lang w:val="es-ES_tradnl"/>
        </w:rPr>
      </w:pPr>
    </w:p>
    <w:p w:rsidR="000126EF" w:rsidRPr="00DC278B" w:rsidRDefault="001302EC" w:rsidP="00DC278B">
      <w:pPr>
        <w:pStyle w:val="Heading1"/>
      </w:pPr>
      <w:bookmarkStart w:id="26" w:name="_Toc413397479"/>
      <w:r w:rsidRPr="00DC278B">
        <w:t>ANALISIS DE DERECHO</w:t>
      </w:r>
      <w:bookmarkEnd w:id="26"/>
    </w:p>
    <w:p w:rsidR="000126EF" w:rsidRPr="00DC278B" w:rsidRDefault="000126EF" w:rsidP="00DC278B">
      <w:pPr>
        <w:tabs>
          <w:tab w:val="left" w:pos="1440"/>
        </w:tabs>
        <w:ind w:left="1440" w:hanging="720"/>
        <w:rPr>
          <w:rFonts w:ascii="Cambria" w:hAnsi="Cambria"/>
          <w:sz w:val="20"/>
          <w:szCs w:val="20"/>
          <w:lang w:val="es-ES_tradnl"/>
        </w:rPr>
      </w:pPr>
    </w:p>
    <w:p w:rsidR="000126EF" w:rsidRPr="00DC278B" w:rsidRDefault="000126EF" w:rsidP="00DC278B">
      <w:pPr>
        <w:numPr>
          <w:ilvl w:val="1"/>
          <w:numId w:val="59"/>
        </w:numPr>
        <w:tabs>
          <w:tab w:val="left" w:pos="1440"/>
        </w:tabs>
        <w:ind w:left="1440" w:hanging="720"/>
        <w:rPr>
          <w:rFonts w:ascii="Cambria" w:hAnsi="Cambria"/>
          <w:b/>
          <w:sz w:val="20"/>
          <w:szCs w:val="20"/>
          <w:lang w:val="es-ES_tradnl"/>
        </w:rPr>
      </w:pPr>
      <w:r w:rsidRPr="00DC278B">
        <w:rPr>
          <w:rFonts w:ascii="Cambria" w:hAnsi="Cambria"/>
          <w:b/>
          <w:sz w:val="20"/>
          <w:szCs w:val="20"/>
          <w:lang w:val="es-ES_tradnl"/>
        </w:rPr>
        <w:t>Derechos a las garantías judiciales y protección judicial (Artículos 8.1 y 25.1 de la Convención en relación con los artículos 1.1 y 2 del mismo instrumento)</w:t>
      </w:r>
    </w:p>
    <w:p w:rsidR="000126EF" w:rsidRPr="00DC278B" w:rsidRDefault="000126EF" w:rsidP="00DC278B">
      <w:pPr>
        <w:pStyle w:val="MediumGrid1-Accent21"/>
        <w:ind w:left="0"/>
        <w:rPr>
          <w:rFonts w:eastAsia="Times New Roman"/>
          <w:color w:val="auto"/>
          <w:sz w:val="20"/>
          <w:szCs w:val="20"/>
          <w:bdr w:val="none" w:sz="0" w:space="0" w:color="auto"/>
          <w:lang w:val="es-ES_tradnl"/>
        </w:rPr>
      </w:pPr>
    </w:p>
    <w:p w:rsidR="003039F4" w:rsidRPr="00DC278B" w:rsidRDefault="003039F4"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artículo 8.1 de la Convención establece que</w:t>
      </w: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napToGrid w:val="0"/>
          <w:sz w:val="20"/>
          <w:szCs w:val="20"/>
          <w:bdr w:val="none" w:sz="0" w:space="0" w:color="auto"/>
          <w:lang w:val="es-ES_tradnl" w:eastAsia="es-ES"/>
        </w:rPr>
      </w:pPr>
      <w:r w:rsidRPr="00DC278B">
        <w:rPr>
          <w:rFonts w:ascii="Cambria" w:eastAsia="MS Mincho" w:hAnsi="Cambria"/>
          <w:snapToGrid w:val="0"/>
          <w:sz w:val="20"/>
          <w:szCs w:val="20"/>
          <w:bdr w:val="none" w:sz="0" w:space="0" w:color="auto"/>
          <w:lang w:val="es-ES_tradnl" w:eastAsia="es-ES"/>
        </w:rPr>
        <w:sym w:font="Symbol" w:char="F05B"/>
      </w:r>
      <w:proofErr w:type="gramStart"/>
      <w:r w:rsidRPr="00DC278B">
        <w:rPr>
          <w:rFonts w:ascii="Cambria" w:eastAsia="MS Mincho" w:hAnsi="Cambria"/>
          <w:snapToGrid w:val="0"/>
          <w:sz w:val="20"/>
          <w:szCs w:val="20"/>
          <w:bdr w:val="none" w:sz="0" w:space="0" w:color="auto"/>
          <w:lang w:val="es-ES_tradnl" w:eastAsia="es-ES"/>
        </w:rPr>
        <w:t>t</w:t>
      </w:r>
      <w:proofErr w:type="gramEnd"/>
      <w:r w:rsidRPr="00DC278B">
        <w:rPr>
          <w:rFonts w:ascii="Cambria" w:eastAsia="MS Mincho" w:hAnsi="Cambria"/>
          <w:snapToGrid w:val="0"/>
          <w:sz w:val="20"/>
          <w:szCs w:val="20"/>
          <w:bdr w:val="none" w:sz="0" w:space="0" w:color="auto"/>
          <w:lang w:val="es-ES_tradnl" w:eastAsia="es-ES"/>
        </w:rPr>
        <w:sym w:font="Symbol" w:char="F05D"/>
      </w:r>
      <w:r w:rsidRPr="00DC278B">
        <w:rPr>
          <w:rFonts w:ascii="Cambria" w:eastAsia="MS Mincho" w:hAnsi="Cambria"/>
          <w:snapToGrid w:val="0"/>
          <w:sz w:val="20"/>
          <w:szCs w:val="20"/>
          <w:bdr w:val="none" w:sz="0" w:space="0" w:color="auto"/>
          <w:lang w:val="es-ES_tradnl" w:eastAsia="es-ES"/>
        </w:rPr>
        <w: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3039F4" w:rsidRPr="00DC278B" w:rsidRDefault="003039F4"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artículo 25</w:t>
      </w:r>
      <w:r w:rsidR="000126EF" w:rsidRPr="00DC278B">
        <w:rPr>
          <w:rFonts w:ascii="Cambria" w:eastAsia="Times New Roman" w:hAnsi="Cambria"/>
          <w:sz w:val="20"/>
          <w:szCs w:val="20"/>
          <w:bdr w:val="none" w:sz="0" w:space="0" w:color="auto"/>
          <w:lang w:val="es-ES_tradnl"/>
        </w:rPr>
        <w:t>.1</w:t>
      </w:r>
      <w:r w:rsidRPr="00DC278B">
        <w:rPr>
          <w:rFonts w:ascii="Cambria" w:eastAsia="Times New Roman" w:hAnsi="Cambria"/>
          <w:sz w:val="20"/>
          <w:szCs w:val="20"/>
          <w:bdr w:val="none" w:sz="0" w:space="0" w:color="auto"/>
          <w:lang w:val="es-ES_tradnl"/>
        </w:rPr>
        <w:t xml:space="preserve"> de la Convención Americana, a su vez, establece que</w:t>
      </w: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ind w:right="-7"/>
        <w:jc w:val="both"/>
        <w:rPr>
          <w:rFonts w:ascii="Cambria" w:eastAsia="MS Mincho" w:hAnsi="Cambria"/>
          <w:sz w:val="20"/>
          <w:szCs w:val="20"/>
          <w:bdr w:val="none" w:sz="0" w:space="0" w:color="auto"/>
          <w:lang w:val="es-ES_tradnl"/>
        </w:rPr>
      </w:pP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napToGrid w:val="0"/>
          <w:sz w:val="20"/>
          <w:szCs w:val="20"/>
          <w:bdr w:val="none" w:sz="0" w:space="0" w:color="auto"/>
          <w:lang w:val="es-ES_tradnl" w:eastAsia="es-ES"/>
        </w:rPr>
      </w:pPr>
      <w:r w:rsidRPr="00DC278B">
        <w:rPr>
          <w:rFonts w:ascii="Cambria" w:eastAsia="MS Mincho" w:hAnsi="Cambria"/>
          <w:snapToGrid w:val="0"/>
          <w:sz w:val="20"/>
          <w:szCs w:val="20"/>
          <w:bdr w:val="none" w:sz="0" w:space="0" w:color="auto"/>
          <w:lang w:val="es-ES_tradnl" w:eastAsia="es-ES"/>
        </w:rPr>
        <w:sym w:font="Symbol" w:char="F05B"/>
      </w:r>
      <w:r w:rsidRPr="00DC278B">
        <w:rPr>
          <w:rFonts w:ascii="Cambria" w:eastAsia="MS Mincho" w:hAnsi="Cambria"/>
          <w:snapToGrid w:val="0"/>
          <w:sz w:val="20"/>
          <w:szCs w:val="20"/>
          <w:bdr w:val="none" w:sz="0" w:space="0" w:color="auto"/>
          <w:lang w:val="es-ES_tradnl" w:eastAsia="es-ES"/>
        </w:rPr>
        <w:t>t</w:t>
      </w:r>
      <w:r w:rsidRPr="00DC278B">
        <w:rPr>
          <w:rFonts w:ascii="Cambria" w:eastAsia="MS Mincho" w:hAnsi="Cambria"/>
          <w:snapToGrid w:val="0"/>
          <w:sz w:val="20"/>
          <w:szCs w:val="20"/>
          <w:bdr w:val="none" w:sz="0" w:space="0" w:color="auto"/>
          <w:lang w:val="es-ES_tradnl" w:eastAsia="es-ES"/>
        </w:rPr>
        <w:sym w:font="Symbol" w:char="F05D"/>
      </w:r>
      <w:r w:rsidRPr="00DC278B">
        <w:rPr>
          <w:rFonts w:ascii="Cambria" w:eastAsia="MS Mincho" w:hAnsi="Cambria"/>
          <w:snapToGrid w:val="0"/>
          <w:sz w:val="20"/>
          <w:szCs w:val="20"/>
          <w:bdr w:val="none" w:sz="0" w:space="0" w:color="auto"/>
          <w:lang w:val="es-ES_tradnl" w:eastAsia="es-ES"/>
        </w:rPr>
        <w: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3039F4" w:rsidRPr="00DC278B" w:rsidRDefault="003039F4"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artículo 1.1 establece que</w:t>
      </w: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DC278B">
        <w:rPr>
          <w:rFonts w:ascii="Cambria" w:eastAsia="MS Mincho" w:hAnsi="Cambria"/>
          <w:sz w:val="20"/>
          <w:szCs w:val="20"/>
          <w:bdr w:val="none" w:sz="0" w:space="0" w:color="auto"/>
          <w:lang w:val="es-ES_tradnl"/>
        </w:rPr>
        <w:t>[</w:t>
      </w:r>
      <w:proofErr w:type="gramStart"/>
      <w:r w:rsidRPr="00DC278B">
        <w:rPr>
          <w:rFonts w:ascii="Cambria" w:eastAsia="MS Mincho" w:hAnsi="Cambria"/>
          <w:sz w:val="20"/>
          <w:szCs w:val="20"/>
          <w:bdr w:val="none" w:sz="0" w:space="0" w:color="auto"/>
          <w:lang w:val="es-ES_tradnl"/>
        </w:rPr>
        <w:t>l]</w:t>
      </w:r>
      <w:proofErr w:type="gramEnd"/>
      <w:r w:rsidRPr="00DC278B">
        <w:rPr>
          <w:rFonts w:ascii="Cambria" w:eastAsia="MS Mincho" w:hAnsi="Cambria"/>
          <w:sz w:val="20"/>
          <w:szCs w:val="20"/>
          <w:bdr w:val="none" w:sz="0" w:space="0" w:color="auto"/>
          <w:lang w:val="es-ES_tradnl"/>
        </w:rPr>
        <w:t>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3039F4" w:rsidRPr="00DC278B" w:rsidRDefault="003039F4"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7124F8" w:rsidRPr="00DC278B" w:rsidRDefault="007124F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El artículo 2 de la Convención Americana dispone</w:t>
      </w:r>
    </w:p>
    <w:p w:rsidR="007124F8" w:rsidRPr="00DC278B" w:rsidRDefault="007124F8" w:rsidP="00DC278B">
      <w:pPr>
        <w:jc w:val="both"/>
        <w:rPr>
          <w:rFonts w:ascii="Cambria" w:hAnsi="Cambria"/>
          <w:sz w:val="20"/>
          <w:szCs w:val="20"/>
          <w:lang w:val="es-ES"/>
        </w:rPr>
      </w:pPr>
    </w:p>
    <w:p w:rsidR="007124F8" w:rsidRPr="00DC278B" w:rsidRDefault="007124F8" w:rsidP="00DC278B">
      <w:pPr>
        <w:ind w:left="720" w:right="720"/>
        <w:jc w:val="both"/>
        <w:rPr>
          <w:rFonts w:ascii="Cambria" w:hAnsi="Cambria"/>
          <w:sz w:val="20"/>
          <w:szCs w:val="20"/>
          <w:lang w:val="es-ES"/>
        </w:rPr>
      </w:pPr>
      <w:r w:rsidRPr="00DC278B">
        <w:rPr>
          <w:rFonts w:ascii="Cambria" w:hAnsi="Cambria"/>
          <w:sz w:val="20"/>
          <w:szCs w:val="20"/>
          <w:lang w:val="es-E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7124F8" w:rsidRPr="00DC278B" w:rsidRDefault="007124F8"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4F545F" w:rsidRPr="00DC278B" w:rsidRDefault="002849DB" w:rsidP="00DC278B">
      <w:pPr>
        <w:ind w:left="1440" w:hanging="720"/>
        <w:rPr>
          <w:rFonts w:ascii="Cambria" w:hAnsi="Cambria"/>
          <w:b/>
          <w:sz w:val="20"/>
          <w:szCs w:val="20"/>
          <w:lang w:val="es-ES_tradnl"/>
        </w:rPr>
      </w:pPr>
      <w:r w:rsidRPr="00DC278B">
        <w:rPr>
          <w:rFonts w:ascii="Cambria" w:hAnsi="Cambria"/>
          <w:b/>
          <w:sz w:val="20"/>
          <w:szCs w:val="20"/>
          <w:lang w:val="es-ES_tradnl"/>
        </w:rPr>
        <w:t>1</w:t>
      </w:r>
      <w:r w:rsidR="004F545F" w:rsidRPr="00DC278B">
        <w:rPr>
          <w:rFonts w:ascii="Cambria" w:hAnsi="Cambria"/>
          <w:b/>
          <w:sz w:val="20"/>
          <w:szCs w:val="20"/>
          <w:lang w:val="es-ES_tradnl"/>
        </w:rPr>
        <w:t>.</w:t>
      </w:r>
      <w:r w:rsidR="004F545F" w:rsidRPr="00DC278B">
        <w:rPr>
          <w:rFonts w:ascii="Cambria" w:hAnsi="Cambria"/>
          <w:b/>
          <w:sz w:val="20"/>
          <w:szCs w:val="20"/>
          <w:lang w:val="es-ES_tradnl"/>
        </w:rPr>
        <w:tab/>
        <w:t xml:space="preserve">Cuestión previa sobre las reparaciones administrativas y judiciales y delimitación del objeto del presente caso </w:t>
      </w:r>
      <w:r w:rsidR="004F545F" w:rsidRPr="00DC278B">
        <w:rPr>
          <w:rFonts w:ascii="Cambria" w:hAnsi="Cambria"/>
          <w:b/>
          <w:sz w:val="20"/>
          <w:szCs w:val="20"/>
          <w:lang w:val="es-ES_tradnl"/>
        </w:rPr>
        <w:tab/>
      </w:r>
    </w:p>
    <w:p w:rsidR="004F545F" w:rsidRPr="00DC278B" w:rsidRDefault="004F545F" w:rsidP="00DC278B">
      <w:pPr>
        <w:ind w:left="1440" w:hanging="720"/>
        <w:rPr>
          <w:rFonts w:ascii="Cambria" w:hAnsi="Cambria"/>
          <w:b/>
          <w:sz w:val="20"/>
          <w:szCs w:val="20"/>
          <w:lang w:val="es-ES_tradnl"/>
        </w:rPr>
      </w:pPr>
    </w:p>
    <w:p w:rsidR="00B32E6F" w:rsidRPr="00DC278B" w:rsidRDefault="00247491"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La Comisión observa que la defensa del Estado de Chile se concentró en informar en detalle sobre su </w:t>
      </w:r>
      <w:r w:rsidR="004F545F" w:rsidRPr="00DC278B">
        <w:rPr>
          <w:rFonts w:ascii="Cambria" w:eastAsia="Times New Roman" w:hAnsi="Cambria"/>
          <w:sz w:val="20"/>
          <w:szCs w:val="20"/>
          <w:bdr w:val="none" w:sz="0" w:space="0" w:color="auto"/>
          <w:lang w:val="es-ES_tradnl"/>
        </w:rPr>
        <w:t>programa</w:t>
      </w:r>
      <w:r w:rsidR="0009140E" w:rsidRPr="00DC278B">
        <w:rPr>
          <w:rFonts w:ascii="Cambria" w:eastAsia="Times New Roman" w:hAnsi="Cambria"/>
          <w:sz w:val="20"/>
          <w:szCs w:val="20"/>
          <w:bdr w:val="none" w:sz="0" w:space="0" w:color="auto"/>
          <w:lang w:val="es-ES_tradnl"/>
        </w:rPr>
        <w:t xml:space="preserve"> administrativo </w:t>
      </w:r>
      <w:r w:rsidR="004F545F" w:rsidRPr="00DC278B">
        <w:rPr>
          <w:rFonts w:ascii="Cambria" w:eastAsia="Times New Roman" w:hAnsi="Cambria"/>
          <w:sz w:val="20"/>
          <w:szCs w:val="20"/>
          <w:bdr w:val="none" w:sz="0" w:space="0" w:color="auto"/>
          <w:lang w:val="es-ES_tradnl"/>
        </w:rPr>
        <w:t>de rep</w:t>
      </w:r>
      <w:r w:rsidR="00EA19D6" w:rsidRPr="00DC278B">
        <w:rPr>
          <w:rFonts w:ascii="Cambria" w:eastAsia="Times New Roman" w:hAnsi="Cambria"/>
          <w:sz w:val="20"/>
          <w:szCs w:val="20"/>
          <w:bdr w:val="none" w:sz="0" w:space="0" w:color="auto"/>
          <w:lang w:val="es-ES_tradnl"/>
        </w:rPr>
        <w:t>araciones y las prestaciones recibidas</w:t>
      </w:r>
      <w:r w:rsidR="004F545F" w:rsidRPr="00DC278B">
        <w:rPr>
          <w:rFonts w:ascii="Cambria" w:eastAsia="Times New Roman" w:hAnsi="Cambria"/>
          <w:sz w:val="20"/>
          <w:szCs w:val="20"/>
          <w:bdr w:val="none" w:sz="0" w:space="0" w:color="auto"/>
          <w:lang w:val="es-ES_tradnl"/>
        </w:rPr>
        <w:t xml:space="preserve"> por las víctimas del caso</w:t>
      </w:r>
      <w:r w:rsidRPr="00DC278B">
        <w:rPr>
          <w:rFonts w:ascii="Cambria" w:eastAsia="Times New Roman" w:hAnsi="Cambria"/>
          <w:sz w:val="20"/>
          <w:szCs w:val="20"/>
          <w:bdr w:val="none" w:sz="0" w:space="0" w:color="auto"/>
          <w:lang w:val="es-ES_tradnl"/>
        </w:rPr>
        <w:t>.</w:t>
      </w:r>
      <w:r w:rsidR="00953A64" w:rsidRPr="00DC278B">
        <w:rPr>
          <w:rFonts w:ascii="Cambria" w:eastAsia="Times New Roman" w:hAnsi="Cambria"/>
          <w:sz w:val="20"/>
          <w:szCs w:val="20"/>
          <w:bdr w:val="none" w:sz="0" w:space="0" w:color="auto"/>
          <w:lang w:val="es-ES_tradnl"/>
        </w:rPr>
        <w:t xml:space="preserve"> </w:t>
      </w:r>
      <w:r w:rsidR="00E65819" w:rsidRPr="00DC278B">
        <w:rPr>
          <w:rFonts w:ascii="Cambria" w:eastAsia="Times New Roman" w:hAnsi="Cambria"/>
          <w:sz w:val="20"/>
          <w:szCs w:val="20"/>
          <w:bdr w:val="none" w:sz="0" w:space="0" w:color="auto"/>
          <w:lang w:val="es-ES_tradnl"/>
        </w:rPr>
        <w:t xml:space="preserve">Al respecto, la Comisión nota que </w:t>
      </w:r>
      <w:r w:rsidR="00B32E6F" w:rsidRPr="00DC278B">
        <w:rPr>
          <w:rFonts w:ascii="Cambria" w:eastAsia="Times New Roman" w:hAnsi="Cambria"/>
          <w:sz w:val="20"/>
          <w:szCs w:val="20"/>
          <w:bdr w:val="none" w:sz="0" w:space="0" w:color="auto"/>
          <w:lang w:val="es-ES_tradnl"/>
        </w:rPr>
        <w:t>la pretensión de los peticionarios no es soli</w:t>
      </w:r>
      <w:r w:rsidR="00B83312">
        <w:rPr>
          <w:rFonts w:ascii="Cambria" w:eastAsia="Times New Roman" w:hAnsi="Cambria"/>
          <w:sz w:val="20"/>
          <w:szCs w:val="20"/>
          <w:bdr w:val="none" w:sz="0" w:space="0" w:color="auto"/>
          <w:lang w:val="es-ES_tradnl"/>
        </w:rPr>
        <w:t xml:space="preserve">citar que se realice un examen </w:t>
      </w:r>
      <w:r w:rsidR="00B32E6F" w:rsidRPr="00DC278B">
        <w:rPr>
          <w:rFonts w:ascii="Cambria" w:eastAsia="Times New Roman" w:hAnsi="Cambria"/>
          <w:sz w:val="20"/>
          <w:szCs w:val="20"/>
          <w:bdr w:val="none" w:sz="0" w:space="0" w:color="auto"/>
          <w:lang w:val="es-ES_tradnl"/>
        </w:rPr>
        <w:t>e</w:t>
      </w:r>
      <w:r w:rsidR="00B83312">
        <w:rPr>
          <w:rFonts w:ascii="Cambria" w:eastAsia="Times New Roman" w:hAnsi="Cambria"/>
          <w:sz w:val="20"/>
          <w:szCs w:val="20"/>
          <w:bdr w:val="none" w:sz="0" w:space="0" w:color="auto"/>
          <w:lang w:val="es-ES_tradnl"/>
        </w:rPr>
        <w:t>n</w:t>
      </w:r>
      <w:r w:rsidR="00B32E6F" w:rsidRPr="00DC278B">
        <w:rPr>
          <w:rFonts w:ascii="Cambria" w:eastAsia="Times New Roman" w:hAnsi="Cambria"/>
          <w:sz w:val="20"/>
          <w:szCs w:val="20"/>
          <w:bdr w:val="none" w:sz="0" w:space="0" w:color="auto"/>
          <w:lang w:val="es-ES_tradnl"/>
        </w:rPr>
        <w:t xml:space="preserve"> </w:t>
      </w:r>
      <w:r w:rsidR="00E65819" w:rsidRPr="00DC278B">
        <w:rPr>
          <w:rFonts w:ascii="Cambria" w:eastAsia="Times New Roman" w:hAnsi="Cambria"/>
          <w:sz w:val="20"/>
          <w:szCs w:val="20"/>
          <w:bdr w:val="none" w:sz="0" w:space="0" w:color="auto"/>
          <w:lang w:val="es-ES_tradnl"/>
        </w:rPr>
        <w:t xml:space="preserve">abstracto de </w:t>
      </w:r>
      <w:r w:rsidR="00B32E6F" w:rsidRPr="00DC278B">
        <w:rPr>
          <w:rFonts w:ascii="Cambria" w:eastAsia="Times New Roman" w:hAnsi="Cambria"/>
          <w:sz w:val="20"/>
          <w:szCs w:val="20"/>
          <w:bdr w:val="none" w:sz="0" w:space="0" w:color="auto"/>
          <w:lang w:val="es-ES_tradnl"/>
        </w:rPr>
        <w:t xml:space="preserve">convencionalidad del programa </w:t>
      </w:r>
      <w:r w:rsidR="00E65819" w:rsidRPr="00DC278B">
        <w:rPr>
          <w:rFonts w:ascii="Cambria" w:eastAsia="Times New Roman" w:hAnsi="Cambria"/>
          <w:sz w:val="20"/>
          <w:szCs w:val="20"/>
          <w:bdr w:val="none" w:sz="0" w:space="0" w:color="auto"/>
          <w:lang w:val="es-ES_tradnl"/>
        </w:rPr>
        <w:t xml:space="preserve">administrativo </w:t>
      </w:r>
      <w:r w:rsidR="00B32E6F" w:rsidRPr="00DC278B">
        <w:rPr>
          <w:rFonts w:ascii="Cambria" w:eastAsia="Times New Roman" w:hAnsi="Cambria"/>
          <w:sz w:val="20"/>
          <w:szCs w:val="20"/>
          <w:bdr w:val="none" w:sz="0" w:space="0" w:color="auto"/>
          <w:lang w:val="es-ES_tradnl"/>
        </w:rPr>
        <w:t>de reparaciones</w:t>
      </w:r>
      <w:r w:rsidR="00E65819" w:rsidRPr="00DC278B">
        <w:rPr>
          <w:rFonts w:ascii="Cambria" w:eastAsia="Times New Roman" w:hAnsi="Cambria"/>
          <w:sz w:val="20"/>
          <w:szCs w:val="20"/>
          <w:bdr w:val="none" w:sz="0" w:space="0" w:color="auto"/>
          <w:lang w:val="es-ES_tradnl"/>
        </w:rPr>
        <w:t xml:space="preserve">. Tampoco han controvertido los peticionarios que </w:t>
      </w:r>
      <w:r w:rsidR="00B32E6F" w:rsidRPr="00DC278B">
        <w:rPr>
          <w:rFonts w:ascii="Cambria" w:eastAsia="Times New Roman" w:hAnsi="Cambria"/>
          <w:sz w:val="20"/>
          <w:szCs w:val="20"/>
          <w:bdr w:val="none" w:sz="0" w:space="0" w:color="auto"/>
          <w:lang w:val="es-ES_tradnl"/>
        </w:rPr>
        <w:t>las presuntas víctimas recibieron algunas prestaciones por parte del Estado en el marco de</w:t>
      </w:r>
      <w:r w:rsidR="00E65819" w:rsidRPr="00DC278B">
        <w:rPr>
          <w:rFonts w:ascii="Cambria" w:eastAsia="Times New Roman" w:hAnsi="Cambria"/>
          <w:sz w:val="20"/>
          <w:szCs w:val="20"/>
          <w:bdr w:val="none" w:sz="0" w:space="0" w:color="auto"/>
          <w:lang w:val="es-ES_tradnl"/>
        </w:rPr>
        <w:t xml:space="preserve"> dicho programa. </w:t>
      </w:r>
      <w:r w:rsidR="00B32E6F" w:rsidRPr="00DC278B">
        <w:rPr>
          <w:rFonts w:ascii="Cambria" w:eastAsia="Times New Roman" w:hAnsi="Cambria"/>
          <w:sz w:val="20"/>
          <w:szCs w:val="20"/>
          <w:bdr w:val="none" w:sz="0" w:space="0" w:color="auto"/>
          <w:lang w:val="es-ES_tradnl"/>
        </w:rPr>
        <w:t>Desde el inicio los peticionarios han centrado sus argumentos en lo que consideran una denegación de justicia por la aplicación de la prescripción civil a sus acciones judiciales de reparación. De los hechos probados resulta que el rechazo de las referidas acciones judiciales se debió precisamente a la aplicación del plazo de prescripción civil y no se efectuó referencia alguna a la participación de las presuntas víctimas en el programa de reparaciones administrativas.</w:t>
      </w:r>
    </w:p>
    <w:p w:rsidR="00B32E6F" w:rsidRPr="00DC278B" w:rsidRDefault="00B32E6F"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AC0E01" w:rsidRPr="00DC278B" w:rsidRDefault="00E6581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Sin perjuicio de lo anterior, la Comisión </w:t>
      </w:r>
      <w:r w:rsidR="00247491" w:rsidRPr="00DC278B">
        <w:rPr>
          <w:rFonts w:ascii="Cambria" w:eastAsia="Times New Roman" w:hAnsi="Cambria"/>
          <w:sz w:val="20"/>
          <w:szCs w:val="20"/>
          <w:bdr w:val="none" w:sz="0" w:space="0" w:color="auto"/>
          <w:lang w:val="es-ES_tradnl"/>
        </w:rPr>
        <w:t>considera pertinente referirse de manera preliminar a</w:t>
      </w:r>
      <w:r w:rsidRPr="00DC278B">
        <w:rPr>
          <w:rFonts w:ascii="Cambria" w:eastAsia="Times New Roman" w:hAnsi="Cambria"/>
          <w:sz w:val="20"/>
          <w:szCs w:val="20"/>
          <w:bdr w:val="none" w:sz="0" w:space="0" w:color="auto"/>
          <w:lang w:val="es-ES_tradnl"/>
        </w:rPr>
        <w:t xml:space="preserve"> la argumentación estatal, a fin de delimitar </w:t>
      </w:r>
      <w:r w:rsidR="00247491" w:rsidRPr="00DC278B">
        <w:rPr>
          <w:rFonts w:ascii="Cambria" w:eastAsia="Times New Roman" w:hAnsi="Cambria"/>
          <w:sz w:val="20"/>
          <w:szCs w:val="20"/>
          <w:bdr w:val="none" w:sz="0" w:space="0" w:color="auto"/>
          <w:lang w:val="es-ES_tradnl"/>
        </w:rPr>
        <w:t>el objeto de</w:t>
      </w:r>
      <w:r w:rsidR="00AC0E01" w:rsidRPr="00DC278B">
        <w:rPr>
          <w:rFonts w:ascii="Cambria" w:eastAsia="Times New Roman" w:hAnsi="Cambria"/>
          <w:sz w:val="20"/>
          <w:szCs w:val="20"/>
          <w:bdr w:val="none" w:sz="0" w:space="0" w:color="auto"/>
          <w:lang w:val="es-ES_tradnl"/>
        </w:rPr>
        <w:t>l</w:t>
      </w:r>
      <w:r w:rsidR="00247491" w:rsidRPr="00DC278B">
        <w:rPr>
          <w:rFonts w:ascii="Cambria" w:eastAsia="Times New Roman" w:hAnsi="Cambria"/>
          <w:sz w:val="20"/>
          <w:szCs w:val="20"/>
          <w:bdr w:val="none" w:sz="0" w:space="0" w:color="auto"/>
          <w:lang w:val="es-ES_tradnl"/>
        </w:rPr>
        <w:t xml:space="preserve"> análisis de fondo que se efect</w:t>
      </w:r>
      <w:r w:rsidR="0034711A" w:rsidRPr="00DC278B">
        <w:rPr>
          <w:rFonts w:ascii="Cambria" w:eastAsia="Times New Roman" w:hAnsi="Cambria"/>
          <w:sz w:val="20"/>
          <w:szCs w:val="20"/>
          <w:bdr w:val="none" w:sz="0" w:space="0" w:color="auto"/>
          <w:lang w:val="es-ES_tradnl"/>
        </w:rPr>
        <w:t>úa en las secciones subsiguientes del presente inf</w:t>
      </w:r>
      <w:r w:rsidR="00027017" w:rsidRPr="00DC278B">
        <w:rPr>
          <w:rFonts w:ascii="Cambria" w:eastAsia="Times New Roman" w:hAnsi="Cambria"/>
          <w:sz w:val="20"/>
          <w:szCs w:val="20"/>
          <w:bdr w:val="none" w:sz="0" w:space="0" w:color="auto"/>
          <w:lang w:val="es-ES_tradnl"/>
        </w:rPr>
        <w:t>o</w:t>
      </w:r>
      <w:r w:rsidR="0034711A" w:rsidRPr="00DC278B">
        <w:rPr>
          <w:rFonts w:ascii="Cambria" w:eastAsia="Times New Roman" w:hAnsi="Cambria"/>
          <w:sz w:val="20"/>
          <w:szCs w:val="20"/>
          <w:bdr w:val="none" w:sz="0" w:space="0" w:color="auto"/>
          <w:lang w:val="es-ES_tradnl"/>
        </w:rPr>
        <w:t xml:space="preserve">rme. </w:t>
      </w:r>
    </w:p>
    <w:p w:rsidR="00AC0E01" w:rsidRPr="00DC278B" w:rsidRDefault="00AC0E01"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4036B0" w:rsidRPr="00DC278B" w:rsidRDefault="004F6FF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L</w:t>
      </w:r>
      <w:r w:rsidR="00AE76FF" w:rsidRPr="00DC278B">
        <w:rPr>
          <w:rFonts w:ascii="Cambria" w:eastAsia="Times New Roman" w:hAnsi="Cambria"/>
          <w:sz w:val="20"/>
          <w:szCs w:val="20"/>
          <w:bdr w:val="none" w:sz="0" w:space="0" w:color="auto"/>
          <w:lang w:val="es-ES_tradnl"/>
        </w:rPr>
        <w:t xml:space="preserve">a Corte </w:t>
      </w:r>
      <w:r w:rsidR="004036B0" w:rsidRPr="00DC278B">
        <w:rPr>
          <w:rFonts w:ascii="Cambria" w:eastAsia="Times New Roman" w:hAnsi="Cambria"/>
          <w:sz w:val="20"/>
          <w:szCs w:val="20"/>
          <w:bdr w:val="none" w:sz="0" w:space="0" w:color="auto"/>
          <w:lang w:val="es-ES_tradnl"/>
        </w:rPr>
        <w:t xml:space="preserve">Interamericana </w:t>
      </w:r>
      <w:r w:rsidRPr="00DC278B">
        <w:rPr>
          <w:rFonts w:ascii="Cambria" w:eastAsia="Times New Roman" w:hAnsi="Cambria"/>
          <w:sz w:val="20"/>
          <w:szCs w:val="20"/>
          <w:bdr w:val="none" w:sz="0" w:space="0" w:color="auto"/>
          <w:lang w:val="es-ES_tradnl"/>
        </w:rPr>
        <w:t>ha indicado q</w:t>
      </w:r>
      <w:r w:rsidR="004036B0" w:rsidRPr="00DC278B">
        <w:rPr>
          <w:rFonts w:ascii="Cambria" w:eastAsia="Times New Roman" w:hAnsi="Cambria"/>
          <w:sz w:val="20"/>
          <w:szCs w:val="20"/>
          <w:bdr w:val="none" w:sz="0" w:space="0" w:color="auto"/>
          <w:lang w:val="es-ES_tradnl"/>
        </w:rPr>
        <w:t xml:space="preserve">ue </w:t>
      </w:r>
      <w:r w:rsidR="004036B0" w:rsidRPr="00DC278B">
        <w:rPr>
          <w:rFonts w:ascii="Cambria" w:hAnsi="Cambria"/>
          <w:sz w:val="20"/>
          <w:szCs w:val="20"/>
          <w:lang w:val="es-CO"/>
        </w:rPr>
        <w:t>“de existir mecanismos nacionales para determinar formas de reparación, esos procedimientos y [sus] resultados deben ser valorados” y que, a tal efecto, debe considerarse si los mismos “satisfacen criterios de objetividad, razonabilidad y efectividad”</w:t>
      </w:r>
      <w:r w:rsidR="004036B0" w:rsidRPr="00DC278B">
        <w:rPr>
          <w:rStyle w:val="FootnoteReference"/>
          <w:rFonts w:ascii="Cambria" w:hAnsi="Cambria"/>
          <w:sz w:val="20"/>
          <w:szCs w:val="20"/>
        </w:rPr>
        <w:footnoteReference w:id="119"/>
      </w:r>
      <w:r w:rsidR="004036B0" w:rsidRPr="00DC278B">
        <w:rPr>
          <w:rFonts w:ascii="Cambria" w:hAnsi="Cambria"/>
          <w:sz w:val="20"/>
          <w:szCs w:val="20"/>
          <w:lang w:val="es-CO"/>
        </w:rPr>
        <w:t>.</w:t>
      </w:r>
      <w:r w:rsidR="00162442" w:rsidRPr="00DC278B">
        <w:rPr>
          <w:rFonts w:ascii="Cambria" w:hAnsi="Cambria"/>
          <w:sz w:val="20"/>
          <w:szCs w:val="20"/>
          <w:lang w:val="es-CO"/>
        </w:rPr>
        <w:t xml:space="preserve"> Específicamente sobre el programa</w:t>
      </w:r>
      <w:r w:rsidR="000F32C6" w:rsidRPr="00DC278B">
        <w:rPr>
          <w:rFonts w:ascii="Cambria" w:hAnsi="Cambria"/>
          <w:sz w:val="20"/>
          <w:szCs w:val="20"/>
          <w:lang w:val="es-CO"/>
        </w:rPr>
        <w:t xml:space="preserve"> administrativo</w:t>
      </w:r>
      <w:r w:rsidR="00162442" w:rsidRPr="00DC278B">
        <w:rPr>
          <w:rFonts w:ascii="Cambria" w:hAnsi="Cambria"/>
          <w:sz w:val="20"/>
          <w:szCs w:val="20"/>
          <w:lang w:val="es-CO"/>
        </w:rPr>
        <w:t xml:space="preserve"> de reparaciones de Chile, en el caso </w:t>
      </w:r>
      <w:proofErr w:type="spellStart"/>
      <w:r w:rsidR="00162442" w:rsidRPr="00DC278B">
        <w:rPr>
          <w:rFonts w:ascii="Cambria" w:hAnsi="Cambria"/>
          <w:i/>
          <w:sz w:val="20"/>
          <w:szCs w:val="20"/>
          <w:lang w:val="es-CO"/>
        </w:rPr>
        <w:t>Almonacid</w:t>
      </w:r>
      <w:proofErr w:type="spellEnd"/>
      <w:r w:rsidR="00162442" w:rsidRPr="00DC278B">
        <w:rPr>
          <w:rFonts w:ascii="Cambria" w:hAnsi="Cambria"/>
          <w:i/>
          <w:sz w:val="20"/>
          <w:szCs w:val="20"/>
          <w:lang w:val="es-CO"/>
        </w:rPr>
        <w:t xml:space="preserve"> Arellano y otros vs. Chile</w:t>
      </w:r>
      <w:r w:rsidR="00162442" w:rsidRPr="00DC278B">
        <w:rPr>
          <w:rFonts w:ascii="Cambria" w:hAnsi="Cambria"/>
          <w:sz w:val="20"/>
          <w:szCs w:val="20"/>
          <w:lang w:val="es-CO"/>
        </w:rPr>
        <w:t>, la Corte</w:t>
      </w:r>
      <w:r w:rsidR="004036B0" w:rsidRPr="00DC278B">
        <w:rPr>
          <w:rFonts w:ascii="Cambria" w:hAnsi="Cambria"/>
          <w:sz w:val="20"/>
          <w:szCs w:val="20"/>
          <w:lang w:val="es-CO"/>
        </w:rPr>
        <w:t xml:space="preserve"> expresó que “valora positivamente la política de reparación de violaciones a derechos humanos adelantada por el Estado”</w:t>
      </w:r>
      <w:r w:rsidR="004036B0" w:rsidRPr="00DC278B">
        <w:rPr>
          <w:rFonts w:ascii="Cambria" w:hAnsi="Cambria"/>
          <w:sz w:val="20"/>
          <w:szCs w:val="20"/>
          <w:vertAlign w:val="superscript"/>
        </w:rPr>
        <w:footnoteReference w:id="120"/>
      </w:r>
      <w:r w:rsidR="004036B0" w:rsidRPr="00DC278B">
        <w:rPr>
          <w:rFonts w:ascii="Cambria" w:hAnsi="Cambria"/>
          <w:sz w:val="20"/>
          <w:szCs w:val="20"/>
          <w:lang w:val="es-CO"/>
        </w:rPr>
        <w:t>.</w:t>
      </w:r>
      <w:r w:rsidR="001F5D11" w:rsidRPr="00DC278B">
        <w:rPr>
          <w:rFonts w:ascii="Cambria" w:hAnsi="Cambria"/>
          <w:sz w:val="20"/>
          <w:szCs w:val="20"/>
          <w:lang w:val="es-CO"/>
        </w:rPr>
        <w:t xml:space="preserve"> </w:t>
      </w:r>
    </w:p>
    <w:p w:rsidR="004F6FF8" w:rsidRPr="00DC278B" w:rsidRDefault="004F6FF8" w:rsidP="00DC278B">
      <w:pPr>
        <w:pStyle w:val="ListParagraph"/>
        <w:rPr>
          <w:rFonts w:ascii="Cambria" w:eastAsia="Times New Roman" w:hAnsi="Cambria"/>
          <w:sz w:val="20"/>
          <w:szCs w:val="20"/>
          <w:bdr w:val="none" w:sz="0" w:space="0" w:color="auto"/>
          <w:lang w:val="es-ES_tradnl"/>
        </w:rPr>
      </w:pPr>
    </w:p>
    <w:p w:rsidR="004F6FF8" w:rsidRPr="00DC278B" w:rsidRDefault="009A549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Ahora bien, más allá de este reconocimiento genérico y sin consecuencias jurídicas concretas en el citado caso, posteriormente </w:t>
      </w:r>
      <w:r w:rsidR="00C04624" w:rsidRPr="00DC278B">
        <w:rPr>
          <w:rFonts w:ascii="Cambria" w:eastAsia="Times New Roman" w:hAnsi="Cambria"/>
          <w:sz w:val="20"/>
          <w:szCs w:val="20"/>
          <w:bdr w:val="none" w:sz="0" w:space="0" w:color="auto"/>
          <w:lang w:val="es-ES_tradnl"/>
        </w:rPr>
        <w:t xml:space="preserve">en el caso </w:t>
      </w:r>
      <w:r w:rsidR="00C04624" w:rsidRPr="00DC278B">
        <w:rPr>
          <w:rFonts w:ascii="Cambria" w:eastAsia="Times New Roman" w:hAnsi="Cambria"/>
          <w:i/>
          <w:sz w:val="20"/>
          <w:szCs w:val="20"/>
          <w:bdr w:val="none" w:sz="0" w:space="0" w:color="auto"/>
          <w:lang w:val="es-ES_tradnl"/>
        </w:rPr>
        <w:t>García Lucero y otras vs. Chile</w:t>
      </w:r>
      <w:r w:rsidR="00C04624" w:rsidRPr="00DC278B">
        <w:rPr>
          <w:rFonts w:ascii="Cambria" w:eastAsia="Times New Roman" w:hAnsi="Cambria"/>
          <w:sz w:val="20"/>
          <w:szCs w:val="20"/>
          <w:bdr w:val="none" w:sz="0" w:space="0" w:color="auto"/>
          <w:lang w:val="es-ES_tradnl"/>
        </w:rPr>
        <w:t xml:space="preserve">, la Corte Interamericana indicó que: </w:t>
      </w:r>
    </w:p>
    <w:p w:rsidR="00597E86" w:rsidRPr="00DC278B" w:rsidRDefault="00597E86" w:rsidP="00DC278B">
      <w:pPr>
        <w:pStyle w:val="ListParagraph"/>
        <w:rPr>
          <w:rFonts w:ascii="Cambria" w:eastAsia="Times New Roman" w:hAnsi="Cambria"/>
          <w:sz w:val="20"/>
          <w:szCs w:val="20"/>
          <w:bdr w:val="none" w:sz="0" w:space="0" w:color="auto"/>
          <w:lang w:val="es-ES_tradnl"/>
        </w:rPr>
      </w:pPr>
    </w:p>
    <w:p w:rsidR="004F6FF8" w:rsidRPr="00DC278B" w:rsidRDefault="006E2162" w:rsidP="00DC278B">
      <w:pPr>
        <w:pStyle w:val="ListParagraph"/>
        <w:ind w:right="720"/>
        <w:jc w:val="both"/>
        <w:rPr>
          <w:rFonts w:ascii="Cambria" w:eastAsia="Times New Roman" w:hAnsi="Cambria"/>
          <w:sz w:val="20"/>
          <w:szCs w:val="20"/>
          <w:bdr w:val="none" w:sz="0" w:space="0" w:color="auto"/>
          <w:lang w:val="es-CO"/>
        </w:rPr>
      </w:pPr>
      <w:r w:rsidRPr="00DC278B">
        <w:rPr>
          <w:rFonts w:ascii="Cambria" w:hAnsi="Cambria"/>
          <w:sz w:val="20"/>
          <w:szCs w:val="20"/>
          <w:lang w:val="es-CO"/>
        </w:rPr>
        <w:t xml:space="preserve">(…) </w:t>
      </w:r>
      <w:r w:rsidR="004F6FF8" w:rsidRPr="00DC278B">
        <w:rPr>
          <w:rFonts w:ascii="Cambria" w:hAnsi="Cambria"/>
          <w:sz w:val="20"/>
          <w:szCs w:val="20"/>
          <w:lang w:val="es-CO"/>
        </w:rPr>
        <w:t>la existencia de programas administrativos de reparación debe ser compatible con las obligaciones estatales bajo la Convención Americana y otras normas internacionales y, por ello, no puede derivar en un menoscabo al deber estatal de garantizar el “libre y pleno ejercicio” de los derechos a las garantías y protección judiciales, en los términos de los artículos 1.1, 25.1 y 8.1 de la Convención, respectivamente. En otros términos, los programas administrativos de reparación u otras medidas o acciones normativas o de otro carácter que coexistan con los mismos, no pueden generar una obstrucción a la posibilidad de que las víctimas, de conformidad a los derechos a las garantías y protección judiciales, interpongan acciones en reclamo de reparaciones</w:t>
      </w:r>
      <w:r w:rsidR="00D233EB" w:rsidRPr="00DC278B">
        <w:rPr>
          <w:rStyle w:val="FootnoteReference"/>
          <w:rFonts w:ascii="Cambria" w:hAnsi="Cambria"/>
          <w:sz w:val="20"/>
          <w:szCs w:val="20"/>
        </w:rPr>
        <w:footnoteReference w:id="121"/>
      </w:r>
      <w:r w:rsidR="004F6FF8" w:rsidRPr="00DC278B">
        <w:rPr>
          <w:rFonts w:ascii="Cambria" w:hAnsi="Cambria"/>
          <w:sz w:val="20"/>
          <w:szCs w:val="20"/>
          <w:lang w:val="es-CO"/>
        </w:rPr>
        <w:t>.</w:t>
      </w:r>
    </w:p>
    <w:p w:rsidR="004F6FF8" w:rsidRPr="00DC278B" w:rsidRDefault="004F6FF8" w:rsidP="00DC278B">
      <w:pPr>
        <w:pStyle w:val="ListParagraph"/>
        <w:rPr>
          <w:rFonts w:ascii="Cambria" w:eastAsia="Times New Roman" w:hAnsi="Cambria"/>
          <w:sz w:val="20"/>
          <w:szCs w:val="20"/>
          <w:bdr w:val="none" w:sz="0" w:space="0" w:color="auto"/>
          <w:lang w:val="es-ES_tradnl"/>
        </w:rPr>
      </w:pPr>
    </w:p>
    <w:p w:rsidR="00B62880" w:rsidRPr="00DC278B" w:rsidRDefault="00B6288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 palabras de la Corte en el mismo caso “</w:t>
      </w:r>
      <w:r w:rsidR="00D95DF8" w:rsidRPr="00DC278B">
        <w:rPr>
          <w:rFonts w:ascii="Cambria" w:hAnsi="Cambria"/>
          <w:sz w:val="20"/>
          <w:szCs w:val="20"/>
          <w:lang w:val="es-CO"/>
        </w:rPr>
        <w:t>resulta conforme a la observancia de derechos convencionales que el establecimiento de sistemas internos administrativos o colectivos de reparación no impida a las víctimas el ejercicio de acciones jurisdiccionales en reclamo de medidas de reparación”</w:t>
      </w:r>
      <w:r w:rsidR="0048651E" w:rsidRPr="00DC278B">
        <w:rPr>
          <w:rStyle w:val="FootnoteReference"/>
          <w:rFonts w:ascii="Cambria" w:hAnsi="Cambria"/>
          <w:sz w:val="20"/>
          <w:szCs w:val="20"/>
        </w:rPr>
        <w:footnoteReference w:id="122"/>
      </w:r>
      <w:r w:rsidR="00D95DF8" w:rsidRPr="00DC278B">
        <w:rPr>
          <w:rFonts w:ascii="Cambria" w:hAnsi="Cambria"/>
          <w:sz w:val="20"/>
          <w:szCs w:val="20"/>
          <w:lang w:val="es-CO"/>
        </w:rPr>
        <w:t>.</w:t>
      </w:r>
    </w:p>
    <w:p w:rsidR="00B62880" w:rsidRPr="00DC278B" w:rsidRDefault="00B6288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4F545F" w:rsidRPr="00DC278B" w:rsidRDefault="00EB670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En similar sentido, </w:t>
      </w:r>
      <w:r w:rsidR="003E1570" w:rsidRPr="00DC278B">
        <w:rPr>
          <w:rFonts w:ascii="Cambria" w:eastAsia="Times New Roman" w:hAnsi="Cambria"/>
          <w:sz w:val="20"/>
          <w:szCs w:val="20"/>
          <w:bdr w:val="none" w:sz="0" w:space="0" w:color="auto"/>
          <w:lang w:val="es-ES_tradnl"/>
        </w:rPr>
        <w:t>l</w:t>
      </w:r>
      <w:r w:rsidR="004F545F" w:rsidRPr="00DC278B">
        <w:rPr>
          <w:rFonts w:ascii="Cambria" w:eastAsia="Times New Roman" w:hAnsi="Cambria"/>
          <w:sz w:val="20"/>
          <w:szCs w:val="20"/>
          <w:bdr w:val="none" w:sz="0" w:space="0" w:color="auto"/>
          <w:lang w:val="es-ES_tradnl"/>
        </w:rPr>
        <w:t>a Comisión se ha pronunciado sobre la existencia de distintas vías para reparar a las víctimas en situaciones de graves violaciones de derechos humanos. Al respecto,</w:t>
      </w:r>
      <w:r w:rsidR="007565AA" w:rsidRPr="00DC278B">
        <w:rPr>
          <w:rFonts w:ascii="Cambria" w:eastAsia="Times New Roman" w:hAnsi="Cambria"/>
          <w:sz w:val="20"/>
          <w:szCs w:val="20"/>
          <w:bdr w:val="none" w:sz="0" w:space="0" w:color="auto"/>
          <w:lang w:val="es-ES_tradnl"/>
        </w:rPr>
        <w:t xml:space="preserve"> la CIDH</w:t>
      </w:r>
      <w:r w:rsidR="00D2288C" w:rsidRPr="00DC278B">
        <w:rPr>
          <w:rFonts w:ascii="Cambria" w:eastAsia="Times New Roman" w:hAnsi="Cambria"/>
          <w:sz w:val="20"/>
          <w:szCs w:val="20"/>
          <w:bdr w:val="none" w:sz="0" w:space="0" w:color="auto"/>
          <w:lang w:val="es-ES_tradnl"/>
        </w:rPr>
        <w:t xml:space="preserve"> ha indicado que “</w:t>
      </w:r>
      <w:r w:rsidR="004F545F" w:rsidRPr="00DC278B">
        <w:rPr>
          <w:rFonts w:ascii="Cambria" w:eastAsia="Times New Roman" w:hAnsi="Cambria"/>
          <w:sz w:val="20"/>
          <w:szCs w:val="20"/>
          <w:bdr w:val="none" w:sz="0" w:space="0" w:color="auto"/>
          <w:lang w:val="es-ES_tradnl"/>
        </w:rPr>
        <w:t>entiende que la adopción de un programa de reparaciones administrativas, no debería excluir el acceso a vías judiciales para las víctimas, permitiéndoseles así escoger la vía que consideren más adecuada para asegurar en definitiva la obtención de reparación. La CIDH considera que el Estado podría disponer e implementar mecanismos institucionales adecuados para respetar este derecho de las víctimas a acudir a diversas vías de reparación diferenciadas, sin riesgo para el erario público</w:t>
      </w:r>
      <w:r w:rsidR="00BA22DC" w:rsidRPr="00DC278B">
        <w:rPr>
          <w:rFonts w:ascii="Cambria" w:eastAsia="Times New Roman" w:hAnsi="Cambria"/>
          <w:sz w:val="20"/>
          <w:szCs w:val="20"/>
          <w:bdr w:val="none" w:sz="0" w:space="0" w:color="auto"/>
          <w:lang w:val="es-ES_tradnl"/>
        </w:rPr>
        <w:t>”</w:t>
      </w:r>
      <w:r w:rsidR="004F545F" w:rsidRPr="00DC278B">
        <w:rPr>
          <w:rStyle w:val="FootnoteReference"/>
          <w:rFonts w:ascii="Cambria" w:eastAsia="Times New Roman" w:hAnsi="Cambria"/>
          <w:sz w:val="20"/>
          <w:szCs w:val="20"/>
          <w:bdr w:val="none" w:sz="0" w:space="0" w:color="auto"/>
          <w:lang w:val="es-ES_tradnl"/>
        </w:rPr>
        <w:footnoteReference w:id="123"/>
      </w:r>
      <w:r w:rsidR="004F545F" w:rsidRPr="00DC278B">
        <w:rPr>
          <w:rFonts w:ascii="Cambria" w:eastAsia="Times New Roman" w:hAnsi="Cambria"/>
          <w:sz w:val="20"/>
          <w:szCs w:val="20"/>
          <w:bdr w:val="none" w:sz="0" w:space="0" w:color="auto"/>
          <w:lang w:val="es-ES_tradnl"/>
        </w:rPr>
        <w:t xml:space="preserve">. </w:t>
      </w:r>
    </w:p>
    <w:p w:rsidR="004F545F" w:rsidRPr="00DC278B" w:rsidRDefault="004F545F"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D2288C" w:rsidRPr="00DC278B" w:rsidRDefault="00EB670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R</w:t>
      </w:r>
      <w:r w:rsidR="00AC0E01" w:rsidRPr="00DC278B">
        <w:rPr>
          <w:rFonts w:ascii="Cambria" w:eastAsia="Times New Roman" w:hAnsi="Cambria"/>
          <w:sz w:val="20"/>
          <w:szCs w:val="20"/>
          <w:bdr w:val="none" w:sz="0" w:space="0" w:color="auto"/>
          <w:lang w:val="es-ES_tradnl"/>
        </w:rPr>
        <w:t xml:space="preserve">efiriéndose a la relación </w:t>
      </w:r>
      <w:r w:rsidR="007565AA" w:rsidRPr="00DC278B">
        <w:rPr>
          <w:rFonts w:ascii="Cambria" w:eastAsia="Times New Roman" w:hAnsi="Cambria"/>
          <w:sz w:val="20"/>
          <w:szCs w:val="20"/>
          <w:bdr w:val="none" w:sz="0" w:space="0" w:color="auto"/>
          <w:lang w:val="es-ES_tradnl"/>
        </w:rPr>
        <w:t>entre ambos tipos de reparaciones con ocasión al caso colombiano, la C</w:t>
      </w:r>
      <w:r w:rsidR="001654DC" w:rsidRPr="00DC278B">
        <w:rPr>
          <w:rFonts w:ascii="Cambria" w:eastAsia="Times New Roman" w:hAnsi="Cambria"/>
          <w:sz w:val="20"/>
          <w:szCs w:val="20"/>
          <w:bdr w:val="none" w:sz="0" w:space="0" w:color="auto"/>
          <w:lang w:val="es-ES_tradnl"/>
        </w:rPr>
        <w:t xml:space="preserve">omisión señaló que: </w:t>
      </w:r>
    </w:p>
    <w:p w:rsidR="00D2288C" w:rsidRPr="00DC278B" w:rsidRDefault="00D2288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D2288C" w:rsidRPr="00DC278B" w:rsidRDefault="00A9736E"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_tradnl"/>
        </w:rPr>
      </w:pPr>
      <w:r w:rsidRPr="00DC278B">
        <w:rPr>
          <w:rFonts w:ascii="Cambria" w:hAnsi="Cambria"/>
          <w:sz w:val="20"/>
          <w:szCs w:val="20"/>
          <w:lang w:val="es-CO"/>
        </w:rPr>
        <w:t xml:space="preserve">(…) </w:t>
      </w:r>
      <w:r w:rsidR="00D2288C" w:rsidRPr="00DC278B">
        <w:rPr>
          <w:rFonts w:ascii="Cambria" w:hAnsi="Cambria"/>
          <w:sz w:val="20"/>
          <w:szCs w:val="20"/>
          <w:lang w:val="es-CO"/>
        </w:rPr>
        <w:t xml:space="preserve">el procedimiento administrativo de reparaciones, no </w:t>
      </w:r>
      <w:proofErr w:type="spellStart"/>
      <w:r w:rsidR="00D2288C" w:rsidRPr="00DC278B">
        <w:rPr>
          <w:rFonts w:ascii="Cambria" w:hAnsi="Cambria"/>
          <w:sz w:val="20"/>
          <w:szCs w:val="20"/>
          <w:lang w:val="es-CO"/>
        </w:rPr>
        <w:t>debería</w:t>
      </w:r>
      <w:proofErr w:type="spellEnd"/>
      <w:r w:rsidR="00D2288C" w:rsidRPr="00DC278B">
        <w:rPr>
          <w:rFonts w:ascii="Cambria" w:hAnsi="Cambria"/>
          <w:sz w:val="20"/>
          <w:szCs w:val="20"/>
          <w:lang w:val="es-CO"/>
        </w:rPr>
        <w:t xml:space="preserve"> implicar un desistimiento de la </w:t>
      </w:r>
      <w:proofErr w:type="spellStart"/>
      <w:r w:rsidR="00D2288C" w:rsidRPr="00DC278B">
        <w:rPr>
          <w:rFonts w:ascii="Cambria" w:hAnsi="Cambria"/>
          <w:sz w:val="20"/>
          <w:szCs w:val="20"/>
          <w:lang w:val="es-CO"/>
        </w:rPr>
        <w:t>acción</w:t>
      </w:r>
      <w:proofErr w:type="spellEnd"/>
      <w:r w:rsidR="00D2288C" w:rsidRPr="00DC278B">
        <w:rPr>
          <w:rFonts w:ascii="Cambria" w:hAnsi="Cambria"/>
          <w:sz w:val="20"/>
          <w:szCs w:val="20"/>
          <w:lang w:val="es-CO"/>
        </w:rPr>
        <w:t xml:space="preserve"> judicial contencioso administrativa que busca precisamente la </w:t>
      </w:r>
      <w:proofErr w:type="spellStart"/>
      <w:r w:rsidR="00D2288C" w:rsidRPr="00DC278B">
        <w:rPr>
          <w:rFonts w:ascii="Cambria" w:hAnsi="Cambria"/>
          <w:sz w:val="20"/>
          <w:szCs w:val="20"/>
          <w:lang w:val="es-CO"/>
        </w:rPr>
        <w:t>determinación</w:t>
      </w:r>
      <w:proofErr w:type="spellEnd"/>
      <w:r w:rsidR="00D2288C" w:rsidRPr="00DC278B">
        <w:rPr>
          <w:rFonts w:ascii="Cambria" w:hAnsi="Cambria"/>
          <w:sz w:val="20"/>
          <w:szCs w:val="20"/>
          <w:lang w:val="es-CO"/>
        </w:rPr>
        <w:t xml:space="preserve"> de la responsabilidad </w:t>
      </w:r>
      <w:proofErr w:type="spellStart"/>
      <w:r w:rsidR="00D2288C" w:rsidRPr="00DC278B">
        <w:rPr>
          <w:rFonts w:ascii="Cambria" w:hAnsi="Cambria"/>
          <w:sz w:val="20"/>
          <w:szCs w:val="20"/>
          <w:lang w:val="es-CO"/>
        </w:rPr>
        <w:t>jurídica</w:t>
      </w:r>
      <w:proofErr w:type="spellEnd"/>
      <w:r w:rsidR="00D2288C" w:rsidRPr="00DC278B">
        <w:rPr>
          <w:rFonts w:ascii="Cambria" w:hAnsi="Cambria"/>
          <w:sz w:val="20"/>
          <w:szCs w:val="20"/>
          <w:lang w:val="es-CO"/>
        </w:rPr>
        <w:t xml:space="preserve"> del Estado, </w:t>
      </w:r>
      <w:proofErr w:type="spellStart"/>
      <w:r w:rsidR="00D2288C" w:rsidRPr="00DC278B">
        <w:rPr>
          <w:rFonts w:ascii="Cambria" w:hAnsi="Cambria"/>
          <w:sz w:val="20"/>
          <w:szCs w:val="20"/>
          <w:lang w:val="es-CO"/>
        </w:rPr>
        <w:t>asi</w:t>
      </w:r>
      <w:proofErr w:type="spellEnd"/>
      <w:r w:rsidR="00D2288C" w:rsidRPr="00DC278B">
        <w:rPr>
          <w:rFonts w:ascii="Cambria" w:hAnsi="Cambria"/>
          <w:sz w:val="20"/>
          <w:szCs w:val="20"/>
          <w:lang w:val="es-CO"/>
        </w:rPr>
        <w:t xml:space="preserve">́ como tampoco un desistimiento del incidente de </w:t>
      </w:r>
      <w:proofErr w:type="spellStart"/>
      <w:r w:rsidR="00D2288C" w:rsidRPr="00DC278B">
        <w:rPr>
          <w:rFonts w:ascii="Cambria" w:hAnsi="Cambria"/>
          <w:sz w:val="20"/>
          <w:szCs w:val="20"/>
          <w:lang w:val="es-CO"/>
        </w:rPr>
        <w:t>reparación</w:t>
      </w:r>
      <w:proofErr w:type="spellEnd"/>
      <w:r w:rsidR="00D2288C" w:rsidRPr="00DC278B">
        <w:rPr>
          <w:rFonts w:ascii="Cambria" w:hAnsi="Cambria"/>
          <w:sz w:val="20"/>
          <w:szCs w:val="20"/>
          <w:lang w:val="es-CO"/>
        </w:rPr>
        <w:t xml:space="preserve">. En este sentido, las </w:t>
      </w:r>
      <w:proofErr w:type="spellStart"/>
      <w:r w:rsidR="00D2288C" w:rsidRPr="00DC278B">
        <w:rPr>
          <w:rFonts w:ascii="Cambria" w:hAnsi="Cambria"/>
          <w:sz w:val="20"/>
          <w:szCs w:val="20"/>
          <w:lang w:val="es-CO"/>
        </w:rPr>
        <w:t>víctimas</w:t>
      </w:r>
      <w:proofErr w:type="spellEnd"/>
      <w:r w:rsidR="00D2288C" w:rsidRPr="00DC278B">
        <w:rPr>
          <w:rFonts w:ascii="Cambria" w:hAnsi="Cambria"/>
          <w:sz w:val="20"/>
          <w:szCs w:val="20"/>
          <w:lang w:val="es-CO"/>
        </w:rPr>
        <w:t xml:space="preserve"> </w:t>
      </w:r>
      <w:proofErr w:type="spellStart"/>
      <w:r w:rsidR="00D2288C" w:rsidRPr="00DC278B">
        <w:rPr>
          <w:rFonts w:ascii="Cambria" w:hAnsi="Cambria"/>
          <w:sz w:val="20"/>
          <w:szCs w:val="20"/>
          <w:lang w:val="es-CO"/>
        </w:rPr>
        <w:t>deberían</w:t>
      </w:r>
      <w:proofErr w:type="spellEnd"/>
      <w:r w:rsidR="00D2288C" w:rsidRPr="00DC278B">
        <w:rPr>
          <w:rFonts w:ascii="Cambria" w:hAnsi="Cambria"/>
          <w:sz w:val="20"/>
          <w:szCs w:val="20"/>
          <w:lang w:val="es-CO"/>
        </w:rPr>
        <w:t xml:space="preserve"> mantener su derecho de </w:t>
      </w:r>
      <w:proofErr w:type="spellStart"/>
      <w:r w:rsidR="00D2288C" w:rsidRPr="00DC278B">
        <w:rPr>
          <w:rFonts w:ascii="Cambria" w:hAnsi="Cambria"/>
          <w:sz w:val="20"/>
          <w:szCs w:val="20"/>
          <w:lang w:val="es-CO"/>
        </w:rPr>
        <w:t>acción</w:t>
      </w:r>
      <w:proofErr w:type="spellEnd"/>
      <w:r w:rsidR="00D2288C" w:rsidRPr="00DC278B">
        <w:rPr>
          <w:rFonts w:ascii="Cambria" w:hAnsi="Cambria"/>
          <w:sz w:val="20"/>
          <w:szCs w:val="20"/>
          <w:lang w:val="es-CO"/>
        </w:rPr>
        <w:t xml:space="preserve"> judicial en el </w:t>
      </w:r>
      <w:proofErr w:type="spellStart"/>
      <w:r w:rsidR="00D2288C" w:rsidRPr="00DC278B">
        <w:rPr>
          <w:rFonts w:ascii="Cambria" w:hAnsi="Cambria"/>
          <w:sz w:val="20"/>
          <w:szCs w:val="20"/>
          <w:lang w:val="es-CO"/>
        </w:rPr>
        <w:t>ámbito</w:t>
      </w:r>
      <w:proofErr w:type="spellEnd"/>
      <w:r w:rsidR="00D2288C" w:rsidRPr="00DC278B">
        <w:rPr>
          <w:rFonts w:ascii="Cambria" w:hAnsi="Cambria"/>
          <w:sz w:val="20"/>
          <w:szCs w:val="20"/>
          <w:lang w:val="es-CO"/>
        </w:rPr>
        <w:t xml:space="preserve"> contencioso administrativo, a fin de determinar la eventual responsabilidad estatal por violaciones graves cometidas por paramilitares, tal como ha sido establecido en precedentes del Consejo de Estado. Asimismo, el Estado </w:t>
      </w:r>
      <w:proofErr w:type="spellStart"/>
      <w:r w:rsidR="00D2288C" w:rsidRPr="00DC278B">
        <w:rPr>
          <w:rFonts w:ascii="Cambria" w:hAnsi="Cambria"/>
          <w:sz w:val="20"/>
          <w:szCs w:val="20"/>
          <w:lang w:val="es-CO"/>
        </w:rPr>
        <w:t>podría</w:t>
      </w:r>
      <w:proofErr w:type="spellEnd"/>
      <w:r w:rsidR="00D2288C" w:rsidRPr="00DC278B">
        <w:rPr>
          <w:rFonts w:ascii="Cambria" w:hAnsi="Cambria"/>
          <w:sz w:val="20"/>
          <w:szCs w:val="20"/>
          <w:lang w:val="es-CO"/>
        </w:rPr>
        <w:t xml:space="preserve"> siempre compensar lo que otorgue a </w:t>
      </w:r>
      <w:proofErr w:type="spellStart"/>
      <w:r w:rsidR="00D2288C" w:rsidRPr="00DC278B">
        <w:rPr>
          <w:rFonts w:ascii="Cambria" w:hAnsi="Cambria"/>
          <w:sz w:val="20"/>
          <w:szCs w:val="20"/>
          <w:lang w:val="es-CO"/>
        </w:rPr>
        <w:t>través</w:t>
      </w:r>
      <w:proofErr w:type="spellEnd"/>
      <w:r w:rsidR="00D2288C" w:rsidRPr="00DC278B">
        <w:rPr>
          <w:rFonts w:ascii="Cambria" w:hAnsi="Cambria"/>
          <w:sz w:val="20"/>
          <w:szCs w:val="20"/>
          <w:lang w:val="es-CO"/>
        </w:rPr>
        <w:t xml:space="preserve"> del programa de reparaciones administrativas, de lo que pudiera verse obligado a reparar en un proceso contencioso administrativo</w:t>
      </w:r>
      <w:r w:rsidR="00D2288C" w:rsidRPr="00DC278B">
        <w:rPr>
          <w:rStyle w:val="FootnoteReference"/>
          <w:rFonts w:ascii="Cambria" w:hAnsi="Cambria"/>
          <w:sz w:val="20"/>
          <w:szCs w:val="20"/>
        </w:rPr>
        <w:footnoteReference w:id="124"/>
      </w:r>
      <w:r w:rsidR="00D2288C" w:rsidRPr="00DC278B">
        <w:rPr>
          <w:rFonts w:ascii="Cambria" w:hAnsi="Cambria"/>
          <w:sz w:val="20"/>
          <w:szCs w:val="20"/>
          <w:lang w:val="es-CO"/>
        </w:rPr>
        <w:t>.</w:t>
      </w:r>
    </w:p>
    <w:p w:rsidR="00D2288C" w:rsidRPr="00DC278B" w:rsidRDefault="00D2288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0A1D35" w:rsidRPr="00DC278B" w:rsidRDefault="00EB670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En la misma línea y </w:t>
      </w:r>
      <w:r w:rsidR="001C15BB" w:rsidRPr="00DC278B">
        <w:rPr>
          <w:rFonts w:ascii="Cambria" w:eastAsia="Times New Roman" w:hAnsi="Cambria"/>
          <w:sz w:val="20"/>
          <w:szCs w:val="20"/>
          <w:bdr w:val="none" w:sz="0" w:space="0" w:color="auto"/>
          <w:lang w:val="es-ES_tradnl"/>
        </w:rPr>
        <w:t xml:space="preserve">respecto de </w:t>
      </w:r>
      <w:r w:rsidRPr="00DC278B">
        <w:rPr>
          <w:rFonts w:ascii="Cambria" w:eastAsia="Times New Roman" w:hAnsi="Cambria"/>
          <w:sz w:val="20"/>
          <w:szCs w:val="20"/>
          <w:bdr w:val="none" w:sz="0" w:space="0" w:color="auto"/>
          <w:lang w:val="es-ES_tradnl"/>
        </w:rPr>
        <w:t>la tortura – que constituye una grave violación de derechos humanos asimilable precisamente por su gravedad a las ocurridas en el</w:t>
      </w:r>
      <w:r w:rsidR="00B77B86" w:rsidRPr="00DC278B">
        <w:rPr>
          <w:rFonts w:ascii="Cambria" w:eastAsia="Times New Roman" w:hAnsi="Cambria"/>
          <w:sz w:val="20"/>
          <w:szCs w:val="20"/>
          <w:bdr w:val="none" w:sz="0" w:space="0" w:color="auto"/>
          <w:lang w:val="es-ES_tradnl"/>
        </w:rPr>
        <w:t xml:space="preserve"> presente caso – el Comité contra la Tortura</w:t>
      </w:r>
      <w:r w:rsidR="000A1D35" w:rsidRPr="00DC278B">
        <w:rPr>
          <w:rFonts w:ascii="Cambria" w:eastAsia="Times New Roman" w:hAnsi="Cambria"/>
          <w:sz w:val="20"/>
          <w:szCs w:val="20"/>
          <w:bdr w:val="none" w:sz="0" w:space="0" w:color="auto"/>
          <w:lang w:val="es-ES_tradnl"/>
        </w:rPr>
        <w:t xml:space="preserve"> indicó que: </w:t>
      </w:r>
    </w:p>
    <w:p w:rsidR="000A1D35" w:rsidRPr="00DC278B" w:rsidRDefault="000A1D35"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0A1D35" w:rsidRPr="00DC278B" w:rsidRDefault="00C456BB"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CO"/>
        </w:rPr>
      </w:pPr>
      <w:r w:rsidRPr="00DC278B">
        <w:rPr>
          <w:rFonts w:ascii="Cambria" w:hAnsi="Cambria"/>
          <w:sz w:val="20"/>
          <w:szCs w:val="20"/>
          <w:lang w:val="es-CO"/>
        </w:rPr>
        <w:t xml:space="preserve">(…) </w:t>
      </w:r>
      <w:r w:rsidR="000A1D35" w:rsidRPr="00DC278B">
        <w:rPr>
          <w:rFonts w:ascii="Cambria" w:hAnsi="Cambria"/>
          <w:sz w:val="20"/>
          <w:szCs w:val="20"/>
          <w:lang w:val="es-CO"/>
        </w:rPr>
        <w:t>los Estados partes han de promulgar leyes que ofrezcan expresamente a las víctimas de tortura un recurso efectivo y reconozcan su derecho a obtener una reparación apropiada, que incluya una indemnización y la rehabilitación más completa posible. Esa legislación debe permitir ejercer tal derecho a título individual y asegurar que se disponga de un recurso judicial. Si bien las reparaciones colectivas y los programas administrativos de reparación pueden ser una forma de resarcimiento aceptable, esos programas no pueden dejar sin efecto el derecho individual a un recurso efectivo y a obtener reparación</w:t>
      </w:r>
      <w:r w:rsidR="000A1D35" w:rsidRPr="00DC278B">
        <w:rPr>
          <w:rFonts w:ascii="Cambria" w:hAnsi="Cambria"/>
          <w:sz w:val="20"/>
          <w:szCs w:val="20"/>
          <w:vertAlign w:val="superscript"/>
        </w:rPr>
        <w:footnoteReference w:id="125"/>
      </w:r>
      <w:r w:rsidR="000A1D35" w:rsidRPr="00DC278B">
        <w:rPr>
          <w:rFonts w:ascii="Cambria" w:hAnsi="Cambria"/>
          <w:sz w:val="20"/>
          <w:szCs w:val="20"/>
          <w:lang w:val="es-CO"/>
        </w:rPr>
        <w:t>.</w:t>
      </w:r>
    </w:p>
    <w:p w:rsidR="000A1D35" w:rsidRPr="00DC278B" w:rsidRDefault="000A1D35"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494D3F" w:rsidRPr="00DC278B" w:rsidRDefault="003F56F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De lo dicho anteriormente es posible afirmar que</w:t>
      </w:r>
      <w:r w:rsidR="00EA403C" w:rsidRPr="00DC278B">
        <w:rPr>
          <w:rFonts w:ascii="Cambria" w:eastAsia="Times New Roman" w:hAnsi="Cambria"/>
          <w:sz w:val="20"/>
          <w:szCs w:val="20"/>
          <w:bdr w:val="none" w:sz="0" w:space="0" w:color="auto"/>
          <w:lang w:val="es-ES_tradnl"/>
        </w:rPr>
        <w:t xml:space="preserve"> ambos órganos del sistema interamericano han entendido que las vías de reparación administrativa y judicial son complementarias y no excluyentes, siendo posible la confluencia de ambas y permitiendo que en la vía judicial se descuente </w:t>
      </w:r>
      <w:r w:rsidR="00881D89" w:rsidRPr="00DC278B">
        <w:rPr>
          <w:rFonts w:ascii="Cambria" w:eastAsia="Times New Roman" w:hAnsi="Cambria"/>
          <w:sz w:val="20"/>
          <w:szCs w:val="20"/>
          <w:bdr w:val="none" w:sz="0" w:space="0" w:color="auto"/>
          <w:lang w:val="es-ES_tradnl"/>
        </w:rPr>
        <w:t xml:space="preserve">o compense </w:t>
      </w:r>
      <w:r w:rsidR="00EA403C" w:rsidRPr="00DC278B">
        <w:rPr>
          <w:rFonts w:ascii="Cambria" w:eastAsia="Times New Roman" w:hAnsi="Cambria"/>
          <w:sz w:val="20"/>
          <w:szCs w:val="20"/>
          <w:bdr w:val="none" w:sz="0" w:space="0" w:color="auto"/>
          <w:lang w:val="es-ES_tradnl"/>
        </w:rPr>
        <w:t>lo ya abonado en la vía administrativa. Asimismo, resulta que de los artículos 8.1 y 25.1 de la Convención Americana, las víctimas de graves violaciones de derechos humanos deben poder acceder a la justicia para solicitar una declaratoria judi</w:t>
      </w:r>
      <w:r w:rsidR="00D97C45" w:rsidRPr="00DC278B">
        <w:rPr>
          <w:rFonts w:ascii="Cambria" w:eastAsia="Times New Roman" w:hAnsi="Cambria"/>
          <w:sz w:val="20"/>
          <w:szCs w:val="20"/>
          <w:bdr w:val="none" w:sz="0" w:space="0" w:color="auto"/>
          <w:lang w:val="es-ES_tradnl"/>
        </w:rPr>
        <w:t>cial de responsabilidad estatal;</w:t>
      </w:r>
      <w:r w:rsidR="00EA403C" w:rsidRPr="00DC278B">
        <w:rPr>
          <w:rFonts w:ascii="Cambria" w:eastAsia="Times New Roman" w:hAnsi="Cambria"/>
          <w:sz w:val="20"/>
          <w:szCs w:val="20"/>
          <w:bdr w:val="none" w:sz="0" w:space="0" w:color="auto"/>
          <w:lang w:val="es-ES_tradnl"/>
        </w:rPr>
        <w:t xml:space="preserve"> para que se efectúe una determinación individual de la afectación en el caso concreto</w:t>
      </w:r>
      <w:r w:rsidR="00D97C45" w:rsidRPr="00DC278B">
        <w:rPr>
          <w:rFonts w:ascii="Cambria" w:eastAsia="Times New Roman" w:hAnsi="Cambria"/>
          <w:sz w:val="20"/>
          <w:szCs w:val="20"/>
          <w:bdr w:val="none" w:sz="0" w:space="0" w:color="auto"/>
          <w:lang w:val="es-ES_tradnl"/>
        </w:rPr>
        <w:t>;</w:t>
      </w:r>
      <w:r w:rsidR="00EA403C" w:rsidRPr="00DC278B">
        <w:rPr>
          <w:rFonts w:ascii="Cambria" w:eastAsia="Times New Roman" w:hAnsi="Cambria"/>
          <w:sz w:val="20"/>
          <w:szCs w:val="20"/>
          <w:bdr w:val="none" w:sz="0" w:space="0" w:color="auto"/>
          <w:lang w:val="es-ES_tradnl"/>
        </w:rPr>
        <w:t xml:space="preserve"> o para cuestionar la suficiencia de las reparaciones recibidas</w:t>
      </w:r>
      <w:r w:rsidR="00AD1B35" w:rsidRPr="00DC278B">
        <w:rPr>
          <w:rFonts w:ascii="Cambria" w:eastAsia="Times New Roman" w:hAnsi="Cambria"/>
          <w:sz w:val="20"/>
          <w:szCs w:val="20"/>
          <w:bdr w:val="none" w:sz="0" w:space="0" w:color="auto"/>
          <w:lang w:val="es-ES_tradnl"/>
        </w:rPr>
        <w:t xml:space="preserve"> con anterioridad. </w:t>
      </w:r>
      <w:r w:rsidR="00B10569" w:rsidRPr="00DC278B">
        <w:rPr>
          <w:rFonts w:ascii="Cambria" w:eastAsia="Times New Roman" w:hAnsi="Cambria"/>
          <w:sz w:val="20"/>
          <w:szCs w:val="20"/>
          <w:bdr w:val="none" w:sz="0" w:space="0" w:color="auto"/>
          <w:lang w:val="es-ES_tradnl"/>
        </w:rPr>
        <w:t>Conforme a los estándares descritos, e</w:t>
      </w:r>
      <w:r w:rsidR="00AD1B35" w:rsidRPr="00DC278B">
        <w:rPr>
          <w:rFonts w:ascii="Cambria" w:eastAsia="Times New Roman" w:hAnsi="Cambria"/>
          <w:sz w:val="20"/>
          <w:szCs w:val="20"/>
          <w:bdr w:val="none" w:sz="0" w:space="0" w:color="auto"/>
          <w:lang w:val="es-ES_tradnl"/>
        </w:rPr>
        <w:t>ste derecho no debería esta</w:t>
      </w:r>
      <w:r w:rsidR="00B10569" w:rsidRPr="00DC278B">
        <w:rPr>
          <w:rFonts w:ascii="Cambria" w:eastAsia="Times New Roman" w:hAnsi="Cambria"/>
          <w:sz w:val="20"/>
          <w:szCs w:val="20"/>
          <w:bdr w:val="none" w:sz="0" w:space="0" w:color="auto"/>
          <w:lang w:val="es-ES_tradnl"/>
        </w:rPr>
        <w:t>r</w:t>
      </w:r>
      <w:r w:rsidR="00AD1B35" w:rsidRPr="00DC278B">
        <w:rPr>
          <w:rFonts w:ascii="Cambria" w:eastAsia="Times New Roman" w:hAnsi="Cambria"/>
          <w:sz w:val="20"/>
          <w:szCs w:val="20"/>
          <w:bdr w:val="none" w:sz="0" w:space="0" w:color="auto"/>
          <w:lang w:val="es-ES_tradnl"/>
        </w:rPr>
        <w:t xml:space="preserve"> limitado por el hecho de haber participado en un programa </w:t>
      </w:r>
      <w:r w:rsidR="001362A8" w:rsidRPr="00DC278B">
        <w:rPr>
          <w:rFonts w:ascii="Cambria" w:eastAsia="Times New Roman" w:hAnsi="Cambria"/>
          <w:sz w:val="20"/>
          <w:szCs w:val="20"/>
          <w:bdr w:val="none" w:sz="0" w:space="0" w:color="auto"/>
          <w:lang w:val="es-ES_tradnl"/>
        </w:rPr>
        <w:t xml:space="preserve">administrativo </w:t>
      </w:r>
      <w:r w:rsidR="00AD1B35" w:rsidRPr="00DC278B">
        <w:rPr>
          <w:rFonts w:ascii="Cambria" w:eastAsia="Times New Roman" w:hAnsi="Cambria"/>
          <w:sz w:val="20"/>
          <w:szCs w:val="20"/>
          <w:bdr w:val="none" w:sz="0" w:space="0" w:color="auto"/>
          <w:lang w:val="es-ES_tradnl"/>
        </w:rPr>
        <w:t>de reparaciones</w:t>
      </w:r>
      <w:r w:rsidR="001362A8" w:rsidRPr="00DC278B">
        <w:rPr>
          <w:rFonts w:ascii="Cambria" w:eastAsia="Times New Roman" w:hAnsi="Cambria"/>
          <w:sz w:val="20"/>
          <w:szCs w:val="20"/>
          <w:bdr w:val="none" w:sz="0" w:space="0" w:color="auto"/>
          <w:lang w:val="es-ES_tradnl"/>
        </w:rPr>
        <w:t>.</w:t>
      </w:r>
    </w:p>
    <w:p w:rsidR="004F545F" w:rsidRPr="00DC278B" w:rsidRDefault="00494D3F"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 </w:t>
      </w:r>
    </w:p>
    <w:p w:rsidR="006E0769" w:rsidRPr="00DC278B" w:rsidRDefault="00E645F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En virtud de las anteriores consideraciones la Comisión establece que el objeto del </w:t>
      </w:r>
      <w:r w:rsidR="00B11062" w:rsidRPr="00DC278B">
        <w:rPr>
          <w:rFonts w:ascii="Cambria" w:eastAsia="Times New Roman" w:hAnsi="Cambria"/>
          <w:sz w:val="20"/>
          <w:szCs w:val="20"/>
          <w:bdr w:val="none" w:sz="0" w:space="0" w:color="auto"/>
          <w:lang w:val="es-ES_tradnl"/>
        </w:rPr>
        <w:t xml:space="preserve">presente caso está circunscrito a la determinación de si la aplicación de la </w:t>
      </w:r>
      <w:r w:rsidR="00653942" w:rsidRPr="00DC278B">
        <w:rPr>
          <w:rFonts w:ascii="Cambria" w:eastAsia="Times New Roman" w:hAnsi="Cambria"/>
          <w:sz w:val="20"/>
          <w:szCs w:val="20"/>
          <w:bdr w:val="none" w:sz="0" w:space="0" w:color="auto"/>
          <w:lang w:val="es-ES_tradnl"/>
        </w:rPr>
        <w:t xml:space="preserve">figura de la prescripción </w:t>
      </w:r>
      <w:r w:rsidR="00B11062" w:rsidRPr="00DC278B">
        <w:rPr>
          <w:rFonts w:ascii="Cambria" w:eastAsia="Times New Roman" w:hAnsi="Cambria"/>
          <w:sz w:val="20"/>
          <w:szCs w:val="20"/>
          <w:bdr w:val="none" w:sz="0" w:space="0" w:color="auto"/>
          <w:lang w:val="es-ES_tradnl"/>
        </w:rPr>
        <w:t xml:space="preserve">a las acciones judiciales de reparación constituye una violación </w:t>
      </w:r>
      <w:r w:rsidR="008042E2" w:rsidRPr="00DC278B">
        <w:rPr>
          <w:rFonts w:ascii="Cambria" w:eastAsia="Times New Roman" w:hAnsi="Cambria"/>
          <w:sz w:val="20"/>
          <w:szCs w:val="20"/>
          <w:bdr w:val="none" w:sz="0" w:space="0" w:color="auto"/>
          <w:lang w:val="es-ES_tradnl"/>
        </w:rPr>
        <w:t xml:space="preserve">a </w:t>
      </w:r>
      <w:r w:rsidR="00841368" w:rsidRPr="00DC278B">
        <w:rPr>
          <w:rFonts w:ascii="Cambria" w:eastAsia="Times New Roman" w:hAnsi="Cambria"/>
          <w:sz w:val="20"/>
          <w:szCs w:val="20"/>
          <w:bdr w:val="none" w:sz="0" w:space="0" w:color="auto"/>
          <w:lang w:val="es-ES_tradnl"/>
        </w:rPr>
        <w:t xml:space="preserve">la Convención Americana, en particular, del derecho a acceder a la justicia con las garantías del debido proceso para obtener reparación frente a </w:t>
      </w:r>
      <w:r w:rsidR="00634B00" w:rsidRPr="00DC278B">
        <w:rPr>
          <w:rFonts w:ascii="Cambria" w:eastAsia="Times New Roman" w:hAnsi="Cambria"/>
          <w:sz w:val="20"/>
          <w:szCs w:val="20"/>
          <w:bdr w:val="none" w:sz="0" w:space="0" w:color="auto"/>
          <w:lang w:val="es-ES_tradnl"/>
        </w:rPr>
        <w:t xml:space="preserve">graves </w:t>
      </w:r>
      <w:r w:rsidR="00841368" w:rsidRPr="00DC278B">
        <w:rPr>
          <w:rFonts w:ascii="Cambria" w:eastAsia="Times New Roman" w:hAnsi="Cambria"/>
          <w:sz w:val="20"/>
          <w:szCs w:val="20"/>
          <w:bdr w:val="none" w:sz="0" w:space="0" w:color="auto"/>
          <w:lang w:val="es-ES_tradnl"/>
        </w:rPr>
        <w:t>violaciones de derechos humanos</w:t>
      </w:r>
      <w:r w:rsidR="008042E2" w:rsidRPr="00DC278B">
        <w:rPr>
          <w:rFonts w:ascii="Cambria" w:eastAsia="Times New Roman" w:hAnsi="Cambria"/>
          <w:sz w:val="20"/>
          <w:szCs w:val="20"/>
          <w:bdr w:val="none" w:sz="0" w:space="0" w:color="auto"/>
          <w:lang w:val="es-ES_tradnl"/>
        </w:rPr>
        <w:t xml:space="preserve"> que, además, en el caso constituyeron crímenes de lesa humanidad. </w:t>
      </w:r>
    </w:p>
    <w:p w:rsidR="006E0769" w:rsidRPr="00DC278B" w:rsidRDefault="006E0769" w:rsidP="00DC278B">
      <w:pPr>
        <w:pStyle w:val="ListParagraph"/>
        <w:rPr>
          <w:rFonts w:ascii="Cambria" w:eastAsia="Times New Roman" w:hAnsi="Cambria"/>
          <w:sz w:val="20"/>
          <w:szCs w:val="20"/>
          <w:bdr w:val="none" w:sz="0" w:space="0" w:color="auto"/>
          <w:lang w:val="es-ES_tradnl"/>
        </w:rPr>
      </w:pPr>
    </w:p>
    <w:p w:rsidR="00B11062" w:rsidRPr="00DC278B" w:rsidRDefault="008042E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L</w:t>
      </w:r>
      <w:r w:rsidR="00A10402" w:rsidRPr="00DC278B">
        <w:rPr>
          <w:rFonts w:ascii="Cambria" w:eastAsia="Times New Roman" w:hAnsi="Cambria"/>
          <w:sz w:val="20"/>
          <w:szCs w:val="20"/>
          <w:bdr w:val="none" w:sz="0" w:space="0" w:color="auto"/>
          <w:lang w:val="es-ES_tradnl"/>
        </w:rPr>
        <w:t xml:space="preserve">a Comisión efectuará dicho análisis en el siguiente orden: </w:t>
      </w:r>
      <w:r w:rsidR="00756563" w:rsidRPr="00DC278B">
        <w:rPr>
          <w:rFonts w:ascii="Cambria" w:eastAsia="Times New Roman" w:hAnsi="Cambria"/>
          <w:sz w:val="20"/>
          <w:szCs w:val="20"/>
          <w:bdr w:val="none" w:sz="0" w:space="0" w:color="auto"/>
          <w:lang w:val="es-ES_tradnl"/>
        </w:rPr>
        <w:t>i</w:t>
      </w:r>
      <w:r w:rsidR="00841368" w:rsidRPr="00DC278B">
        <w:rPr>
          <w:rFonts w:ascii="Cambria" w:eastAsia="Times New Roman" w:hAnsi="Cambria"/>
          <w:sz w:val="20"/>
          <w:szCs w:val="20"/>
          <w:bdr w:val="none" w:sz="0" w:space="0" w:color="auto"/>
          <w:lang w:val="es-ES_tradnl"/>
        </w:rPr>
        <w:t>) Consideraciones generales sobre el acceso a la justicia</w:t>
      </w:r>
      <w:r w:rsidR="00CF0768" w:rsidRPr="00DC278B">
        <w:rPr>
          <w:rFonts w:ascii="Cambria" w:eastAsia="Times New Roman" w:hAnsi="Cambria"/>
          <w:sz w:val="20"/>
          <w:szCs w:val="20"/>
          <w:bdr w:val="none" w:sz="0" w:space="0" w:color="auto"/>
          <w:lang w:val="es-ES_tradnl"/>
        </w:rPr>
        <w:t xml:space="preserve"> y el deber de adoptar disposiciones de derecho interno</w:t>
      </w:r>
      <w:r w:rsidR="00841368" w:rsidRPr="00DC278B">
        <w:rPr>
          <w:rFonts w:ascii="Cambria" w:eastAsia="Times New Roman" w:hAnsi="Cambria"/>
          <w:sz w:val="20"/>
          <w:szCs w:val="20"/>
          <w:bdr w:val="none" w:sz="0" w:space="0" w:color="auto"/>
          <w:lang w:val="es-ES_tradnl"/>
        </w:rPr>
        <w:t xml:space="preserve">; </w:t>
      </w:r>
      <w:r w:rsidR="00756563" w:rsidRPr="00DC278B">
        <w:rPr>
          <w:rFonts w:ascii="Cambria" w:eastAsia="Times New Roman" w:hAnsi="Cambria"/>
          <w:sz w:val="20"/>
          <w:szCs w:val="20"/>
          <w:bdr w:val="none" w:sz="0" w:space="0" w:color="auto"/>
          <w:lang w:val="es-ES_tradnl"/>
        </w:rPr>
        <w:t>ii</w:t>
      </w:r>
      <w:r w:rsidR="00841368" w:rsidRPr="00DC278B">
        <w:rPr>
          <w:rFonts w:ascii="Cambria" w:eastAsia="Times New Roman" w:hAnsi="Cambria"/>
          <w:sz w:val="20"/>
          <w:szCs w:val="20"/>
          <w:bdr w:val="none" w:sz="0" w:space="0" w:color="auto"/>
          <w:lang w:val="es-ES_tradnl"/>
        </w:rPr>
        <w:t xml:space="preserve">) </w:t>
      </w:r>
      <w:r w:rsidR="00715FF5" w:rsidRPr="00DC278B">
        <w:rPr>
          <w:rFonts w:ascii="Cambria" w:eastAsia="Times New Roman" w:hAnsi="Cambria"/>
          <w:sz w:val="20"/>
          <w:szCs w:val="20"/>
          <w:bdr w:val="none" w:sz="0" w:space="0" w:color="auto"/>
          <w:lang w:val="es-ES_tradnl"/>
        </w:rPr>
        <w:t>Estándares interamericanos s</w:t>
      </w:r>
      <w:r w:rsidR="00841368" w:rsidRPr="00DC278B">
        <w:rPr>
          <w:rFonts w:ascii="Cambria" w:eastAsia="Times New Roman" w:hAnsi="Cambria"/>
          <w:sz w:val="20"/>
          <w:szCs w:val="20"/>
          <w:bdr w:val="none" w:sz="0" w:space="0" w:color="auto"/>
          <w:lang w:val="es-ES_tradnl"/>
        </w:rPr>
        <w:t>obre la figura de la prescrip</w:t>
      </w:r>
      <w:r w:rsidR="00031C1B">
        <w:rPr>
          <w:rFonts w:ascii="Cambria" w:eastAsia="Times New Roman" w:hAnsi="Cambria"/>
          <w:sz w:val="20"/>
          <w:szCs w:val="20"/>
          <w:bdr w:val="none" w:sz="0" w:space="0" w:color="auto"/>
          <w:lang w:val="es-ES_tradnl"/>
        </w:rPr>
        <w:t>ción</w:t>
      </w:r>
      <w:r w:rsidR="00841368" w:rsidRPr="00DC278B">
        <w:rPr>
          <w:rFonts w:ascii="Cambria" w:eastAsia="Times New Roman" w:hAnsi="Cambria"/>
          <w:sz w:val="20"/>
          <w:szCs w:val="20"/>
          <w:bdr w:val="none" w:sz="0" w:space="0" w:color="auto"/>
          <w:lang w:val="es-ES_tradnl"/>
        </w:rPr>
        <w:t xml:space="preserve"> en materia penal</w:t>
      </w:r>
      <w:r w:rsidR="002D6D92" w:rsidRPr="00DC278B">
        <w:rPr>
          <w:rFonts w:ascii="Cambria" w:eastAsia="Times New Roman" w:hAnsi="Cambria"/>
          <w:sz w:val="20"/>
          <w:szCs w:val="20"/>
          <w:bdr w:val="none" w:sz="0" w:space="0" w:color="auto"/>
          <w:lang w:val="es-ES_tradnl"/>
        </w:rPr>
        <w:t xml:space="preserve"> frente a ciertas violaciones de derechos humanos</w:t>
      </w:r>
      <w:r w:rsidR="00841368" w:rsidRPr="00DC278B">
        <w:rPr>
          <w:rFonts w:ascii="Cambria" w:eastAsia="Times New Roman" w:hAnsi="Cambria"/>
          <w:sz w:val="20"/>
          <w:szCs w:val="20"/>
          <w:bdr w:val="none" w:sz="0" w:space="0" w:color="auto"/>
          <w:lang w:val="es-ES_tradnl"/>
        </w:rPr>
        <w:t xml:space="preserve">; </w:t>
      </w:r>
      <w:r w:rsidR="00756563" w:rsidRPr="00DC278B">
        <w:rPr>
          <w:rFonts w:ascii="Cambria" w:eastAsia="Times New Roman" w:hAnsi="Cambria"/>
          <w:sz w:val="20"/>
          <w:szCs w:val="20"/>
          <w:bdr w:val="none" w:sz="0" w:space="0" w:color="auto"/>
          <w:lang w:val="es-ES_tradnl"/>
        </w:rPr>
        <w:t>iii</w:t>
      </w:r>
      <w:r w:rsidR="00841368" w:rsidRPr="00DC278B">
        <w:rPr>
          <w:rFonts w:ascii="Cambria" w:eastAsia="Times New Roman" w:hAnsi="Cambria"/>
          <w:sz w:val="20"/>
          <w:szCs w:val="20"/>
          <w:bdr w:val="none" w:sz="0" w:space="0" w:color="auto"/>
          <w:lang w:val="es-ES_tradnl"/>
        </w:rPr>
        <w:t xml:space="preserve">) </w:t>
      </w:r>
      <w:r w:rsidR="00610B66" w:rsidRPr="00DC278B">
        <w:rPr>
          <w:rFonts w:ascii="Cambria" w:eastAsia="Times New Roman" w:hAnsi="Cambria"/>
          <w:sz w:val="20"/>
          <w:szCs w:val="20"/>
          <w:bdr w:val="none" w:sz="0" w:space="0" w:color="auto"/>
          <w:lang w:val="es-ES_tradnl"/>
        </w:rPr>
        <w:t xml:space="preserve">Consideraciones </w:t>
      </w:r>
      <w:r w:rsidR="002D6D92" w:rsidRPr="00DC278B">
        <w:rPr>
          <w:rFonts w:ascii="Cambria" w:eastAsia="Times New Roman" w:hAnsi="Cambria"/>
          <w:sz w:val="20"/>
          <w:szCs w:val="20"/>
          <w:bdr w:val="none" w:sz="0" w:space="0" w:color="auto"/>
          <w:lang w:val="es-ES_tradnl"/>
        </w:rPr>
        <w:t>en materia de prescripción de acciones judiciales para obtener reparaciones frente a ciertas violaciones de derechos humanos</w:t>
      </w:r>
      <w:r w:rsidR="007F4A97" w:rsidRPr="00DC278B">
        <w:rPr>
          <w:rFonts w:ascii="Cambria" w:eastAsia="Times New Roman" w:hAnsi="Cambria"/>
          <w:sz w:val="20"/>
          <w:szCs w:val="20"/>
          <w:bdr w:val="none" w:sz="0" w:space="0" w:color="auto"/>
          <w:lang w:val="es-ES_tradnl"/>
        </w:rPr>
        <w:t xml:space="preserve">; y </w:t>
      </w:r>
      <w:r w:rsidR="00756563" w:rsidRPr="00DC278B">
        <w:rPr>
          <w:rFonts w:ascii="Cambria" w:eastAsia="Times New Roman" w:hAnsi="Cambria"/>
          <w:sz w:val="20"/>
          <w:szCs w:val="20"/>
          <w:bdr w:val="none" w:sz="0" w:space="0" w:color="auto"/>
          <w:lang w:val="es-ES_tradnl"/>
        </w:rPr>
        <w:t>iv</w:t>
      </w:r>
      <w:r w:rsidR="00C020AD" w:rsidRPr="00DC278B">
        <w:rPr>
          <w:rFonts w:ascii="Cambria" w:eastAsia="Times New Roman" w:hAnsi="Cambria"/>
          <w:sz w:val="20"/>
          <w:szCs w:val="20"/>
          <w:bdr w:val="none" w:sz="0" w:space="0" w:color="auto"/>
          <w:lang w:val="es-ES_tradnl"/>
        </w:rPr>
        <w:t xml:space="preserve">) Análisis del presente caso. </w:t>
      </w:r>
    </w:p>
    <w:p w:rsidR="00B11062" w:rsidRPr="00DC278B" w:rsidRDefault="00B11062"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1A75FF" w:rsidRPr="00DC278B" w:rsidRDefault="00562D6B" w:rsidP="00DC278B">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Times New Roman" w:hAnsi="Cambria"/>
          <w:b/>
          <w:sz w:val="20"/>
          <w:szCs w:val="20"/>
          <w:bdr w:val="none" w:sz="0" w:space="0" w:color="auto"/>
          <w:lang w:val="es-ES_tradnl"/>
        </w:rPr>
      </w:pPr>
      <w:r w:rsidRPr="00DC278B">
        <w:rPr>
          <w:rFonts w:ascii="Cambria" w:eastAsia="Times New Roman" w:hAnsi="Cambria"/>
          <w:b/>
          <w:sz w:val="20"/>
          <w:szCs w:val="20"/>
          <w:bdr w:val="none" w:sz="0" w:space="0" w:color="auto"/>
          <w:lang w:val="es-ES_tradnl"/>
        </w:rPr>
        <w:t xml:space="preserve">2. </w:t>
      </w:r>
      <w:r w:rsidRPr="00DC278B">
        <w:rPr>
          <w:rFonts w:ascii="Cambria" w:eastAsia="Times New Roman" w:hAnsi="Cambria"/>
          <w:b/>
          <w:sz w:val="20"/>
          <w:szCs w:val="20"/>
          <w:bdr w:val="none" w:sz="0" w:space="0" w:color="auto"/>
          <w:lang w:val="es-ES_tradnl"/>
        </w:rPr>
        <w:tab/>
      </w:r>
      <w:r w:rsidR="001A75FF" w:rsidRPr="00DC278B">
        <w:rPr>
          <w:rFonts w:ascii="Cambria" w:eastAsia="Times New Roman" w:hAnsi="Cambria"/>
          <w:b/>
          <w:sz w:val="20"/>
          <w:szCs w:val="20"/>
          <w:bdr w:val="none" w:sz="0" w:space="0" w:color="auto"/>
          <w:lang w:val="es-ES_tradnl"/>
        </w:rPr>
        <w:t xml:space="preserve">Consideraciones generales sobre el acceso a la justicia </w:t>
      </w:r>
      <w:r w:rsidR="00667EDE" w:rsidRPr="00DC278B">
        <w:rPr>
          <w:rFonts w:ascii="Cambria" w:eastAsia="Times New Roman" w:hAnsi="Cambria"/>
          <w:b/>
          <w:sz w:val="20"/>
          <w:szCs w:val="20"/>
          <w:bdr w:val="none" w:sz="0" w:space="0" w:color="auto"/>
          <w:lang w:val="es-ES_tradnl"/>
        </w:rPr>
        <w:t xml:space="preserve">y el deber de adoptar disposiciones de derecho interno </w:t>
      </w:r>
    </w:p>
    <w:p w:rsidR="00EF5AE5" w:rsidRPr="00DC278B" w:rsidRDefault="00EF5AE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_tradnl"/>
        </w:rPr>
      </w:pPr>
    </w:p>
    <w:p w:rsidR="003E22ED" w:rsidRDefault="003E22ED" w:rsidP="002D2BD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Sobre el derecho a la protección judicial la Corte ha considerado que los Estados tienen la obligación de proveer recursos judiciales efectivos a las personas que aleguen ser víctimas de violaciones de derechos humanos (artículo 25), recursos que deben ser sustanciados de conformidad con las reglas del debido proceso legal (artículo 8.1), todo ello dentro de la obligación general de garantizar el libre y pleno ejercicio de los derechos reconocidos en la Convención (artículo 1.1)</w:t>
      </w:r>
      <w:r w:rsidRPr="00DC278B">
        <w:rPr>
          <w:rFonts w:ascii="Cambria" w:eastAsia="Times New Roman" w:hAnsi="Cambria"/>
          <w:sz w:val="20"/>
          <w:szCs w:val="20"/>
          <w:bdr w:val="none" w:sz="0" w:space="0" w:color="auto"/>
          <w:vertAlign w:val="superscript"/>
          <w:lang w:val="es-ES_tradnl"/>
        </w:rPr>
        <w:footnoteReference w:id="126"/>
      </w:r>
      <w:r w:rsidRPr="00DC278B">
        <w:rPr>
          <w:rFonts w:ascii="Cambria" w:eastAsia="Times New Roman" w:hAnsi="Cambria"/>
          <w:sz w:val="20"/>
          <w:szCs w:val="20"/>
          <w:bdr w:val="none" w:sz="0" w:space="0" w:color="auto"/>
          <w:lang w:val="es-ES_tradnl"/>
        </w:rPr>
        <w:t>. Asimismo, la Comisión ha establecido que el artículo 25 de la Convención Americana guarda relación directa con su artículo 8.1, el cual consagra el derecho de toda persona a ser oída con las debidas garantías y dentro de un plazo razonable, por un juez o tribunal independiente e imparcial</w:t>
      </w:r>
      <w:r w:rsidRPr="00DC278B">
        <w:rPr>
          <w:rFonts w:ascii="Cambria" w:eastAsia="Times New Roman" w:hAnsi="Cambria"/>
          <w:sz w:val="20"/>
          <w:szCs w:val="20"/>
          <w:bdr w:val="none" w:sz="0" w:space="0" w:color="auto"/>
          <w:vertAlign w:val="superscript"/>
        </w:rPr>
        <w:footnoteReference w:id="127"/>
      </w:r>
      <w:r w:rsidRPr="00DC278B">
        <w:rPr>
          <w:rFonts w:ascii="Cambria" w:eastAsia="Times New Roman" w:hAnsi="Cambria"/>
          <w:sz w:val="20"/>
          <w:szCs w:val="20"/>
          <w:bdr w:val="none" w:sz="0" w:space="0" w:color="auto"/>
          <w:lang w:val="es-ES_tradnl"/>
        </w:rPr>
        <w:t xml:space="preserve"> y confiere a los familiares de las víctimas el derecho a que se reparen los perjuicios sufridos por la muerte de sus seres queridos</w:t>
      </w:r>
      <w:r w:rsidRPr="00DC278B">
        <w:rPr>
          <w:rFonts w:ascii="Cambria" w:eastAsia="Times New Roman" w:hAnsi="Cambria"/>
          <w:sz w:val="20"/>
          <w:szCs w:val="20"/>
          <w:bdr w:val="none" w:sz="0" w:space="0" w:color="auto"/>
          <w:vertAlign w:val="superscript"/>
        </w:rPr>
        <w:footnoteReference w:id="128"/>
      </w:r>
      <w:r w:rsidRPr="00DC278B">
        <w:rPr>
          <w:rFonts w:ascii="Cambria" w:eastAsia="Times New Roman" w:hAnsi="Cambria"/>
          <w:sz w:val="20"/>
          <w:szCs w:val="20"/>
          <w:bdr w:val="none" w:sz="0" w:space="0" w:color="auto"/>
          <w:lang w:val="es-ES_tradnl"/>
        </w:rPr>
        <w:t xml:space="preserve">. </w:t>
      </w:r>
    </w:p>
    <w:p w:rsidR="00F979A7" w:rsidRPr="002D2BDD" w:rsidRDefault="00F979A7" w:rsidP="00F979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3E22ED" w:rsidRPr="00DC278B" w:rsidRDefault="003E22E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Asimismo, el derecho a la protección judicial efectiva se encuentra consagrado en el artículo </w:t>
      </w:r>
      <w:r w:rsidR="005F2C47">
        <w:rPr>
          <w:rFonts w:ascii="Cambria" w:eastAsia="Times New Roman" w:hAnsi="Cambria"/>
          <w:sz w:val="20"/>
          <w:szCs w:val="20"/>
          <w:bdr w:val="none" w:sz="0" w:space="0" w:color="auto"/>
          <w:lang w:val="es-ES_tradnl"/>
        </w:rPr>
        <w:t xml:space="preserve">25 de la Convención Americana. </w:t>
      </w:r>
      <w:r w:rsidRPr="00DC278B">
        <w:rPr>
          <w:rFonts w:ascii="Cambria" w:eastAsia="Times New Roman" w:hAnsi="Cambria"/>
          <w:sz w:val="20"/>
          <w:szCs w:val="20"/>
          <w:bdr w:val="none" w:sz="0" w:space="0" w:color="auto"/>
          <w:lang w:val="es-ES_tradnl"/>
        </w:rPr>
        <w:t>Al respecto, la Corte ha determinado que la efectividad del recurso “supone que, además de la existencia formal de los recursos, éstos den resultados o respuestas a las violaciones de derechos contemplados ya sea en la Convención, en la Constitución o en las leyes”</w:t>
      </w:r>
      <w:r w:rsidRPr="00DC278B">
        <w:rPr>
          <w:rFonts w:ascii="Cambria" w:eastAsia="Times New Roman" w:hAnsi="Cambria"/>
          <w:sz w:val="20"/>
          <w:szCs w:val="20"/>
          <w:bdr w:val="none" w:sz="0" w:space="0" w:color="auto"/>
          <w:vertAlign w:val="superscript"/>
          <w:lang w:val="es-ES_tradnl"/>
        </w:rPr>
        <w:footnoteReference w:id="129"/>
      </w:r>
      <w:r w:rsidRPr="00DC278B">
        <w:rPr>
          <w:rFonts w:ascii="Cambria" w:eastAsia="Times New Roman" w:hAnsi="Cambria"/>
          <w:sz w:val="20"/>
          <w:szCs w:val="20"/>
          <w:bdr w:val="none" w:sz="0" w:space="0" w:color="auto"/>
          <w:lang w:val="es-ES_tradnl"/>
        </w:rPr>
        <w:t>.</w:t>
      </w:r>
      <w:r w:rsidR="002D2BDD">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En este sentido, la Corte ha destacado que para que exista un recurso efectivo “se requiere que sea realmente idóneo para establecer si se ha incurrido en una violación a los derechos humanos y proveer lo necesario para remediarla”</w:t>
      </w:r>
      <w:r w:rsidRPr="00DC278B">
        <w:rPr>
          <w:rFonts w:ascii="Cambria" w:eastAsia="Times New Roman" w:hAnsi="Cambria"/>
          <w:sz w:val="20"/>
          <w:szCs w:val="20"/>
          <w:bdr w:val="none" w:sz="0" w:space="0" w:color="auto"/>
          <w:vertAlign w:val="superscript"/>
          <w:lang w:val="es-ES_tradnl"/>
        </w:rPr>
        <w:footnoteReference w:id="130"/>
      </w:r>
      <w:r w:rsidR="002D2BDD">
        <w:rPr>
          <w:rFonts w:ascii="Cambria" w:eastAsia="Times New Roman" w:hAnsi="Cambria"/>
          <w:sz w:val="20"/>
          <w:szCs w:val="20"/>
          <w:bdr w:val="none" w:sz="0" w:space="0" w:color="auto"/>
          <w:lang w:val="es-ES_tradnl"/>
        </w:rPr>
        <w:t xml:space="preserve">. </w:t>
      </w:r>
    </w:p>
    <w:p w:rsidR="003E22ED" w:rsidRPr="00DC278B" w:rsidRDefault="003E22ED" w:rsidP="00DC278B">
      <w:pPr>
        <w:pStyle w:val="MediumGrid1-Accent21"/>
        <w:rPr>
          <w:rFonts w:eastAsia="Times New Roman"/>
          <w:color w:val="auto"/>
          <w:sz w:val="20"/>
          <w:szCs w:val="20"/>
          <w:bdr w:val="none" w:sz="0" w:space="0" w:color="auto"/>
          <w:lang w:val="es-ES_tradnl"/>
        </w:rPr>
      </w:pPr>
    </w:p>
    <w:p w:rsidR="00EF5AE5" w:rsidRPr="00DC278B" w:rsidRDefault="003E22E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Asimismo, la Corte ha establecido que “cualquier norma o medida que impida o dificulte hacer uso del recurso de que se trata constituye una violación del derecho al acceso a la justicia, bajo la modalidad consagrada en el artículo 25 de la Convención Americana”</w:t>
      </w:r>
      <w:r w:rsidRPr="00DC278B">
        <w:rPr>
          <w:rFonts w:ascii="Cambria" w:eastAsia="Times New Roman" w:hAnsi="Cambria"/>
          <w:sz w:val="20"/>
          <w:szCs w:val="20"/>
          <w:bdr w:val="none" w:sz="0" w:space="0" w:color="auto"/>
          <w:vertAlign w:val="superscript"/>
          <w:lang w:val="es-ES_tradnl"/>
        </w:rPr>
        <w:footnoteReference w:id="131"/>
      </w:r>
      <w:r w:rsidRPr="00DC278B">
        <w:rPr>
          <w:rFonts w:ascii="Cambria" w:eastAsia="Times New Roman" w:hAnsi="Cambria"/>
          <w:sz w:val="20"/>
          <w:szCs w:val="20"/>
          <w:bdr w:val="none" w:sz="0" w:space="0" w:color="auto"/>
          <w:lang w:val="es-ES_tradnl"/>
        </w:rPr>
        <w:t>.</w:t>
      </w:r>
    </w:p>
    <w:p w:rsidR="00EF5AE5" w:rsidRPr="00DC278B" w:rsidRDefault="00EF5AE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864227" w:rsidRPr="00DC278B" w:rsidRDefault="0086422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En cuanto al artículo 2 de la Convención Americana, la Corte ha indicado que este principio, recogido en su artículo 2, establece la obligación general de cada Estado Parte de adecuar su derecho interno a las disposiciones de la misma, para garantizar los derechos en ella consagrados</w:t>
      </w:r>
      <w:r w:rsidRPr="00DC278B">
        <w:rPr>
          <w:rFonts w:ascii="Cambria" w:eastAsia="Times New Roman" w:hAnsi="Cambria"/>
          <w:sz w:val="20"/>
          <w:szCs w:val="20"/>
          <w:bdr w:val="none" w:sz="0" w:space="0" w:color="auto"/>
          <w:vertAlign w:val="superscript"/>
          <w:lang w:val="es-ES_tradnl"/>
        </w:rPr>
        <w:footnoteReference w:id="132"/>
      </w:r>
      <w:r w:rsidRPr="00DC278B">
        <w:rPr>
          <w:rFonts w:ascii="Cambria" w:eastAsia="Times New Roman" w:hAnsi="Cambria"/>
          <w:sz w:val="20"/>
          <w:szCs w:val="20"/>
          <w:bdr w:val="none" w:sz="0" w:space="0" w:color="auto"/>
          <w:lang w:val="es-ES_tradnl"/>
        </w:rPr>
        <w:t xml:space="preserve">, lo cual implica que las medidas de derecho interno han de ser efectivas (principio de </w:t>
      </w:r>
      <w:proofErr w:type="spellStart"/>
      <w:r w:rsidRPr="00DC278B">
        <w:rPr>
          <w:rFonts w:ascii="Cambria" w:eastAsia="Times New Roman" w:hAnsi="Cambria"/>
          <w:i/>
          <w:sz w:val="20"/>
          <w:szCs w:val="20"/>
          <w:bdr w:val="none" w:sz="0" w:space="0" w:color="auto"/>
          <w:lang w:val="es-ES_tradnl"/>
        </w:rPr>
        <w:t>effet</w:t>
      </w:r>
      <w:proofErr w:type="spellEnd"/>
      <w:r w:rsidRPr="00DC278B">
        <w:rPr>
          <w:rFonts w:ascii="Cambria" w:eastAsia="Times New Roman" w:hAnsi="Cambria"/>
          <w:i/>
          <w:sz w:val="20"/>
          <w:szCs w:val="20"/>
          <w:bdr w:val="none" w:sz="0" w:space="0" w:color="auto"/>
          <w:lang w:val="es-ES_tradnl"/>
        </w:rPr>
        <w:t xml:space="preserve"> </w:t>
      </w:r>
      <w:proofErr w:type="spellStart"/>
      <w:r w:rsidRPr="00DC278B">
        <w:rPr>
          <w:rFonts w:ascii="Cambria" w:eastAsia="Times New Roman" w:hAnsi="Cambria"/>
          <w:i/>
          <w:sz w:val="20"/>
          <w:szCs w:val="20"/>
          <w:bdr w:val="none" w:sz="0" w:space="0" w:color="auto"/>
          <w:lang w:val="es-ES_tradnl"/>
        </w:rPr>
        <w:t>utile</w:t>
      </w:r>
      <w:proofErr w:type="spellEnd"/>
      <w:r w:rsidRPr="00DC278B">
        <w:rPr>
          <w:rFonts w:ascii="Cambria" w:eastAsia="Times New Roman" w:hAnsi="Cambria"/>
          <w:sz w:val="20"/>
          <w:szCs w:val="20"/>
          <w:bdr w:val="none" w:sz="0" w:space="0" w:color="auto"/>
          <w:lang w:val="es-ES_tradnl"/>
        </w:rPr>
        <w:t>)</w:t>
      </w:r>
      <w:r w:rsidRPr="00DC278B">
        <w:rPr>
          <w:rFonts w:ascii="Cambria" w:eastAsia="Times New Roman" w:hAnsi="Cambria"/>
          <w:sz w:val="20"/>
          <w:szCs w:val="20"/>
          <w:bdr w:val="none" w:sz="0" w:space="0" w:color="auto"/>
          <w:vertAlign w:val="superscript"/>
          <w:lang w:val="es-ES_tradnl"/>
        </w:rPr>
        <w:footnoteReference w:id="133"/>
      </w:r>
      <w:r w:rsidR="002D2BDD">
        <w:rPr>
          <w:rFonts w:ascii="Cambria" w:eastAsia="Times New Roman" w:hAnsi="Cambria"/>
          <w:sz w:val="20"/>
          <w:szCs w:val="20"/>
          <w:bdr w:val="none" w:sz="0" w:space="0" w:color="auto"/>
          <w:lang w:val="es-ES_tradnl"/>
        </w:rPr>
        <w:t xml:space="preserve">. </w:t>
      </w:r>
    </w:p>
    <w:p w:rsidR="00864227" w:rsidRPr="00DC278B" w:rsidRDefault="00864227"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864227" w:rsidRPr="00DC278B" w:rsidRDefault="0086422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Según lo ha establecido la jurisprudencia constante de la Corte, el artículo 2 de la Convención implica la adopción de medidas en dos vertientes, a saber: i) la supresión de las normas y prácticas de cualquier naturaleza que entrañen violación a las garantías previstas en la Convención o que desconozcan los derechos allí reconocidos u obstaculicen su ejercicio, y ii) la expedición de normas y el desarrollo de prácticas conducentes a la efectiva observancia de dichas garantías</w:t>
      </w:r>
      <w:r w:rsidRPr="00DC278B">
        <w:rPr>
          <w:rFonts w:ascii="Cambria" w:eastAsia="Times New Roman" w:hAnsi="Cambria"/>
          <w:sz w:val="20"/>
          <w:szCs w:val="20"/>
          <w:bdr w:val="none" w:sz="0" w:space="0" w:color="auto"/>
          <w:vertAlign w:val="superscript"/>
          <w:lang w:val="es-ES_tradnl"/>
        </w:rPr>
        <w:footnoteReference w:id="134"/>
      </w:r>
      <w:r w:rsidR="002D2BDD">
        <w:rPr>
          <w:rFonts w:ascii="Cambria" w:eastAsia="Times New Roman" w:hAnsi="Cambria"/>
          <w:sz w:val="20"/>
          <w:szCs w:val="20"/>
          <w:bdr w:val="none" w:sz="0" w:space="0" w:color="auto"/>
          <w:lang w:val="es-ES_tradnl"/>
        </w:rPr>
        <w:t xml:space="preserve">. </w:t>
      </w:r>
      <w:r w:rsidRPr="00DC278B">
        <w:rPr>
          <w:rFonts w:ascii="Cambria" w:eastAsia="Times New Roman" w:hAnsi="Cambria"/>
          <w:sz w:val="20"/>
          <w:szCs w:val="20"/>
          <w:bdr w:val="none" w:sz="0" w:space="0" w:color="auto"/>
          <w:lang w:val="es-ES_tradnl"/>
        </w:rPr>
        <w:t>La Corte ha entendido que la obligación de la primera vertiente se incumple mientras la norma o práctica violatoria de la Convención se mantenga en el ordenamiento jurídico</w:t>
      </w:r>
      <w:r w:rsidRPr="00DC278B">
        <w:rPr>
          <w:rFonts w:ascii="Cambria" w:eastAsia="Times New Roman" w:hAnsi="Cambria"/>
          <w:sz w:val="20"/>
          <w:szCs w:val="20"/>
          <w:bdr w:val="none" w:sz="0" w:space="0" w:color="auto"/>
          <w:vertAlign w:val="superscript"/>
          <w:lang w:val="es-ES_tradnl"/>
        </w:rPr>
        <w:footnoteReference w:id="135"/>
      </w:r>
      <w:r w:rsidRPr="00DC278B">
        <w:rPr>
          <w:rFonts w:ascii="Cambria" w:eastAsia="Times New Roman" w:hAnsi="Cambria"/>
          <w:sz w:val="20"/>
          <w:szCs w:val="20"/>
          <w:bdr w:val="none" w:sz="0" w:space="0" w:color="auto"/>
          <w:lang w:val="es-ES_tradnl"/>
        </w:rPr>
        <w:t xml:space="preserve"> y, por ende, se satisface con la modificación</w:t>
      </w:r>
      <w:r w:rsidRPr="00DC278B">
        <w:rPr>
          <w:rFonts w:ascii="Cambria" w:eastAsia="Times New Roman" w:hAnsi="Cambria"/>
          <w:sz w:val="20"/>
          <w:szCs w:val="20"/>
          <w:bdr w:val="none" w:sz="0" w:space="0" w:color="auto"/>
          <w:vertAlign w:val="superscript"/>
          <w:lang w:val="es-ES_tradnl"/>
        </w:rPr>
        <w:footnoteReference w:id="136"/>
      </w:r>
      <w:r w:rsidRPr="00DC278B">
        <w:rPr>
          <w:rFonts w:ascii="Cambria" w:eastAsia="Times New Roman" w:hAnsi="Cambria"/>
          <w:sz w:val="20"/>
          <w:szCs w:val="20"/>
          <w:bdr w:val="none" w:sz="0" w:space="0" w:color="auto"/>
          <w:lang w:val="es-ES_tradnl"/>
        </w:rPr>
        <w:t>, la derogación, o de algún modo anulación</w:t>
      </w:r>
      <w:r w:rsidRPr="00DC278B">
        <w:rPr>
          <w:rFonts w:ascii="Cambria" w:eastAsia="Times New Roman" w:hAnsi="Cambria"/>
          <w:sz w:val="20"/>
          <w:szCs w:val="20"/>
          <w:bdr w:val="none" w:sz="0" w:space="0" w:color="auto"/>
          <w:vertAlign w:val="superscript"/>
          <w:lang w:val="es-ES_tradnl"/>
        </w:rPr>
        <w:footnoteReference w:id="137"/>
      </w:r>
      <w:r w:rsidRPr="00DC278B">
        <w:rPr>
          <w:rFonts w:ascii="Cambria" w:eastAsia="Times New Roman" w:hAnsi="Cambria"/>
          <w:sz w:val="20"/>
          <w:szCs w:val="20"/>
          <w:bdr w:val="none" w:sz="0" w:space="0" w:color="auto"/>
          <w:lang w:val="es-ES_tradnl"/>
        </w:rPr>
        <w:t>, o la reforma</w:t>
      </w:r>
      <w:r w:rsidRPr="00DC278B">
        <w:rPr>
          <w:rFonts w:ascii="Cambria" w:eastAsia="Times New Roman" w:hAnsi="Cambria"/>
          <w:sz w:val="20"/>
          <w:szCs w:val="20"/>
          <w:bdr w:val="none" w:sz="0" w:space="0" w:color="auto"/>
          <w:vertAlign w:val="superscript"/>
          <w:lang w:val="es-ES_tradnl"/>
        </w:rPr>
        <w:footnoteReference w:id="138"/>
      </w:r>
      <w:r w:rsidRPr="00DC278B">
        <w:rPr>
          <w:rFonts w:ascii="Cambria" w:eastAsia="Times New Roman" w:hAnsi="Cambria"/>
          <w:sz w:val="20"/>
          <w:szCs w:val="20"/>
          <w:bdr w:val="none" w:sz="0" w:space="0" w:color="auto"/>
          <w:lang w:val="es-ES_tradnl"/>
        </w:rPr>
        <w:t xml:space="preserve"> de las normas o prácticas que tengan esos alcances, según corresponda</w:t>
      </w:r>
      <w:r w:rsidRPr="00DC278B">
        <w:rPr>
          <w:rFonts w:ascii="Cambria" w:eastAsia="Times New Roman" w:hAnsi="Cambria"/>
          <w:sz w:val="20"/>
          <w:szCs w:val="20"/>
          <w:bdr w:val="none" w:sz="0" w:space="0" w:color="auto"/>
          <w:vertAlign w:val="superscript"/>
          <w:lang w:val="es-ES_tradnl"/>
        </w:rPr>
        <w:footnoteReference w:id="139"/>
      </w:r>
      <w:r w:rsidRPr="00DC278B">
        <w:rPr>
          <w:rFonts w:ascii="Cambria" w:eastAsia="Times New Roman" w:hAnsi="Cambria"/>
          <w:sz w:val="20"/>
          <w:szCs w:val="20"/>
          <w:bdr w:val="none" w:sz="0" w:space="0" w:color="auto"/>
          <w:lang w:val="es-ES_tradnl"/>
        </w:rPr>
        <w:t>.</w:t>
      </w:r>
    </w:p>
    <w:p w:rsidR="00864227" w:rsidRPr="00DC278B" w:rsidRDefault="00864227"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_tradnl"/>
        </w:rPr>
      </w:pPr>
    </w:p>
    <w:p w:rsidR="00610629" w:rsidRPr="00DC278B" w:rsidRDefault="00F147DC" w:rsidP="00DC278B">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Times New Roman" w:hAnsi="Cambria"/>
          <w:b/>
          <w:sz w:val="20"/>
          <w:szCs w:val="20"/>
          <w:bdr w:val="none" w:sz="0" w:space="0" w:color="auto"/>
          <w:lang w:val="es-ES_tradnl"/>
        </w:rPr>
      </w:pPr>
      <w:r w:rsidRPr="00DC278B">
        <w:rPr>
          <w:rFonts w:ascii="Cambria" w:eastAsia="Times New Roman" w:hAnsi="Cambria"/>
          <w:b/>
          <w:sz w:val="20"/>
          <w:szCs w:val="20"/>
          <w:bdr w:val="none" w:sz="0" w:space="0" w:color="auto"/>
          <w:lang w:val="es-ES_tradnl"/>
        </w:rPr>
        <w:t xml:space="preserve">3. </w:t>
      </w:r>
      <w:r w:rsidRPr="00DC278B">
        <w:rPr>
          <w:rFonts w:ascii="Cambria" w:eastAsia="Times New Roman" w:hAnsi="Cambria"/>
          <w:b/>
          <w:sz w:val="20"/>
          <w:szCs w:val="20"/>
          <w:bdr w:val="none" w:sz="0" w:space="0" w:color="auto"/>
          <w:lang w:val="es-ES_tradnl"/>
        </w:rPr>
        <w:tab/>
      </w:r>
      <w:r w:rsidR="00F03E44" w:rsidRPr="00DC278B">
        <w:rPr>
          <w:rFonts w:ascii="Cambria" w:eastAsia="Times New Roman" w:hAnsi="Cambria"/>
          <w:b/>
          <w:sz w:val="20"/>
          <w:szCs w:val="20"/>
          <w:bdr w:val="none" w:sz="0" w:space="0" w:color="auto"/>
          <w:lang w:val="es-ES_tradnl"/>
        </w:rPr>
        <w:t xml:space="preserve">Estándares interamericanos </w:t>
      </w:r>
      <w:r w:rsidR="001A75FF" w:rsidRPr="00DC278B">
        <w:rPr>
          <w:rFonts w:ascii="Cambria" w:eastAsia="Times New Roman" w:hAnsi="Cambria"/>
          <w:b/>
          <w:sz w:val="20"/>
          <w:szCs w:val="20"/>
          <w:bdr w:val="none" w:sz="0" w:space="0" w:color="auto"/>
          <w:lang w:val="es-ES_tradnl"/>
        </w:rPr>
        <w:t>sobre la figura de la prescripción en materia penal frente a ciertas violaciones de derechos humanos</w:t>
      </w:r>
    </w:p>
    <w:p w:rsidR="00610629" w:rsidRPr="00DC278B" w:rsidRDefault="00610629" w:rsidP="00DC278B">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Cambria" w:hAnsi="Cambria"/>
          <w:sz w:val="20"/>
          <w:szCs w:val="20"/>
          <w:lang w:val="es-CO"/>
        </w:rPr>
      </w:pPr>
    </w:p>
    <w:p w:rsidR="00716537" w:rsidRPr="00DC278B" w:rsidRDefault="00BF7FB9"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DC278B">
        <w:rPr>
          <w:rFonts w:ascii="Cambria" w:hAnsi="Cambria"/>
          <w:sz w:val="20"/>
          <w:szCs w:val="20"/>
          <w:lang w:val="es-CO"/>
        </w:rPr>
        <w:t xml:space="preserve">La Corte Interamericana ha señalado que “la prescripción en materia penal determina la extinción de la pretensión </w:t>
      </w:r>
      <w:r w:rsidRPr="00DC278B">
        <w:rPr>
          <w:rFonts w:ascii="Cambria" w:eastAsia="Times New Roman" w:hAnsi="Cambria"/>
          <w:sz w:val="20"/>
          <w:szCs w:val="20"/>
          <w:bdr w:val="none" w:sz="0" w:space="0" w:color="auto"/>
          <w:lang w:val="es-ES_tradnl"/>
        </w:rPr>
        <w:t>punitiva</w:t>
      </w:r>
      <w:r w:rsidRPr="00DC278B">
        <w:rPr>
          <w:rFonts w:ascii="Cambria" w:hAnsi="Cambria"/>
          <w:sz w:val="20"/>
          <w:szCs w:val="20"/>
          <w:lang w:val="es-CO"/>
        </w:rPr>
        <w:t xml:space="preserve"> por el transcurso del tiempo, y generalmente, limita el poder punitivo del Estado para perseguir la conducta ilícita y sancionar a sus autores”</w:t>
      </w:r>
      <w:r w:rsidRPr="00DC278B">
        <w:rPr>
          <w:rStyle w:val="FootnoteReference"/>
          <w:rFonts w:ascii="Cambria" w:hAnsi="Cambria"/>
          <w:sz w:val="20"/>
          <w:szCs w:val="20"/>
          <w:lang w:val="es-CO"/>
        </w:rPr>
        <w:footnoteReference w:id="140"/>
      </w:r>
      <w:r w:rsidRPr="00DC278B">
        <w:rPr>
          <w:rFonts w:ascii="Cambria" w:hAnsi="Cambria"/>
          <w:sz w:val="20"/>
          <w:szCs w:val="20"/>
          <w:lang w:val="es-CO"/>
        </w:rPr>
        <w:t>. Asimismo, ha indicado que</w:t>
      </w:r>
      <w:r w:rsidR="00716537" w:rsidRPr="00DC278B">
        <w:rPr>
          <w:rFonts w:ascii="Cambria" w:hAnsi="Cambria"/>
          <w:sz w:val="20"/>
          <w:szCs w:val="20"/>
          <w:lang w:val="es-CO"/>
        </w:rPr>
        <w:t xml:space="preserve"> la prescripción debe ser observada debidamente por el juzgador para todo imputado de un delito</w:t>
      </w:r>
      <w:r w:rsidR="00716537" w:rsidRPr="00DC278B">
        <w:rPr>
          <w:rStyle w:val="FootnoteReference"/>
          <w:rFonts w:ascii="Cambria" w:hAnsi="Cambria"/>
          <w:sz w:val="20"/>
          <w:szCs w:val="20"/>
        </w:rPr>
        <w:footnoteReference w:id="141"/>
      </w:r>
      <w:r w:rsidR="0025798F" w:rsidRPr="00DC278B">
        <w:rPr>
          <w:rFonts w:ascii="Cambria" w:hAnsi="Cambria"/>
          <w:sz w:val="20"/>
          <w:szCs w:val="20"/>
          <w:lang w:val="es-CO"/>
        </w:rPr>
        <w:t xml:space="preserve">. </w:t>
      </w:r>
      <w:r w:rsidR="00E14B62" w:rsidRPr="00DC278B">
        <w:rPr>
          <w:rFonts w:ascii="Cambria" w:hAnsi="Cambria"/>
          <w:sz w:val="20"/>
          <w:szCs w:val="20"/>
          <w:lang w:val="es-CO"/>
        </w:rPr>
        <w:t>Sin embargo, tanto la Comisión como la Corte Interamericanas se han pronunciado sobre la inaplicabilidad de la figura de prescripción penal en ciertos s</w:t>
      </w:r>
      <w:r w:rsidR="00133EF2" w:rsidRPr="00DC278B">
        <w:rPr>
          <w:rFonts w:ascii="Cambria" w:hAnsi="Cambria"/>
          <w:sz w:val="20"/>
          <w:szCs w:val="20"/>
          <w:lang w:val="es-CO"/>
        </w:rPr>
        <w:t>upuestos: i) cuando se trate d</w:t>
      </w:r>
      <w:r w:rsidR="00387318" w:rsidRPr="00DC278B">
        <w:rPr>
          <w:rFonts w:ascii="Cambria" w:hAnsi="Cambria"/>
          <w:sz w:val="20"/>
          <w:szCs w:val="20"/>
          <w:lang w:val="es-CO"/>
        </w:rPr>
        <w:t xml:space="preserve">e situaciones de evidente obstrucción de la justicia; y ii) cuando se trate de graves violaciones de derechos humanos. </w:t>
      </w:r>
    </w:p>
    <w:p w:rsidR="00D15FDF" w:rsidRPr="00DC278B" w:rsidRDefault="00D15FDF"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Verdana"/>
          <w:sz w:val="20"/>
          <w:szCs w:val="20"/>
          <w:lang w:val="es-CO"/>
        </w:rPr>
      </w:pPr>
    </w:p>
    <w:p w:rsidR="005C0EB2" w:rsidRPr="00DC278B" w:rsidRDefault="00DB67A8"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CO"/>
        </w:rPr>
      </w:pPr>
      <w:r w:rsidRPr="00DC278B">
        <w:rPr>
          <w:rFonts w:ascii="Cambria" w:hAnsi="Cambria"/>
          <w:sz w:val="20"/>
          <w:szCs w:val="20"/>
          <w:lang w:val="es-CO"/>
        </w:rPr>
        <w:t xml:space="preserve">En cuanto al primer supuesto, la Corte ha indicado que </w:t>
      </w:r>
      <w:r w:rsidR="00716537" w:rsidRPr="00DC278B">
        <w:rPr>
          <w:rFonts w:ascii="Cambria" w:hAnsi="Cambria" w:cs="Verdana"/>
          <w:sz w:val="20"/>
          <w:szCs w:val="20"/>
          <w:lang w:val="es-CO"/>
        </w:rPr>
        <w:t xml:space="preserve">la invocación y aplicación de la </w:t>
      </w:r>
      <w:r w:rsidR="005C0EB2" w:rsidRPr="00DC278B">
        <w:rPr>
          <w:rFonts w:ascii="Cambria" w:hAnsi="Cambria" w:cs="Verdana"/>
          <w:sz w:val="20"/>
          <w:szCs w:val="20"/>
          <w:lang w:val="es-CO"/>
        </w:rPr>
        <w:t xml:space="preserve">prescripción: </w:t>
      </w:r>
    </w:p>
    <w:p w:rsidR="005C0EB2" w:rsidRPr="00DC278B" w:rsidRDefault="005C0EB2" w:rsidP="00DC278B">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s="Verdana"/>
          <w:sz w:val="20"/>
          <w:szCs w:val="20"/>
          <w:lang w:val="es-CO"/>
        </w:rPr>
      </w:pPr>
    </w:p>
    <w:p w:rsidR="00716537" w:rsidRPr="00DC278B" w:rsidRDefault="00716537" w:rsidP="00DC278B">
      <w:pPr>
        <w:pStyle w:val="BodyText2"/>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ight="720"/>
        <w:jc w:val="both"/>
        <w:rPr>
          <w:rFonts w:ascii="Cambria" w:hAnsi="Cambria" w:cs="Verdana"/>
          <w:sz w:val="20"/>
          <w:szCs w:val="20"/>
          <w:lang w:val="es-CO"/>
        </w:rPr>
      </w:pPr>
      <w:proofErr w:type="gramStart"/>
      <w:r w:rsidRPr="00DC278B">
        <w:rPr>
          <w:rFonts w:ascii="Cambria" w:hAnsi="Cambria" w:cs="Verdana"/>
          <w:sz w:val="20"/>
          <w:szCs w:val="20"/>
          <w:lang w:val="es-CO"/>
        </w:rPr>
        <w:t>es</w:t>
      </w:r>
      <w:proofErr w:type="gramEnd"/>
      <w:r w:rsidRPr="00DC278B">
        <w:rPr>
          <w:rFonts w:ascii="Cambria" w:hAnsi="Cambria" w:cs="Verdana"/>
          <w:sz w:val="20"/>
          <w:szCs w:val="20"/>
          <w:lang w:val="es-CO"/>
        </w:rPr>
        <w:t xml:space="preserve"> inaceptable cuando ha quedado claramente probado que el transcurso del tiempo ha sido determinado por actuaciones u omisiones procesales dirigidas, con clara mala fe o negligencia, a propiciar o permitir la impunidad.</w:t>
      </w:r>
      <w:r w:rsidRPr="00DC278B">
        <w:rPr>
          <w:rFonts w:ascii="Cambria" w:hAnsi="Cambria"/>
          <w:sz w:val="20"/>
          <w:szCs w:val="20"/>
          <w:lang w:val="es-CO"/>
        </w:rPr>
        <w:t xml:space="preserve"> Así, la Corte reitera lo señalado en otras oportunidades, en el sentido de que “[e]l derecho a la tutela judicial efectiva exige […] a los jueces que dirijan el proceso de modo de evitar que dilaciones y entorpecimientos indebidos conduzcan a la impunidad, frustrando así la debida protección judicial de los derechos humanos”</w:t>
      </w:r>
      <w:r w:rsidRPr="00DC278B">
        <w:rPr>
          <w:rStyle w:val="FootnoteReference"/>
          <w:rFonts w:ascii="Cambria" w:hAnsi="Cambria"/>
          <w:sz w:val="20"/>
          <w:szCs w:val="20"/>
        </w:rPr>
        <w:footnoteReference w:id="142"/>
      </w:r>
      <w:r w:rsidRPr="00DC278B">
        <w:rPr>
          <w:rFonts w:ascii="Cambria" w:hAnsi="Cambria"/>
          <w:sz w:val="20"/>
          <w:szCs w:val="20"/>
          <w:lang w:val="es-CO"/>
        </w:rPr>
        <w:t>. Asimismo, el Tribunal ha señalado que “cuando un Estado ha ratificado un tratado internacional como la Convención Americana, sus jueces, como parte del aparato del Estado, también están sometidos a ella, lo que les obliga a velar porque los efectos de las disposiciones de la Convención no se vean mermadas”</w:t>
      </w:r>
      <w:r w:rsidRPr="00DC278B">
        <w:rPr>
          <w:rStyle w:val="FootnoteReference"/>
          <w:rFonts w:ascii="Cambria" w:hAnsi="Cambria"/>
          <w:sz w:val="20"/>
          <w:szCs w:val="20"/>
        </w:rPr>
        <w:footnoteReference w:id="143"/>
      </w:r>
      <w:r w:rsidRPr="00DC278B">
        <w:rPr>
          <w:rFonts w:ascii="Cambria" w:hAnsi="Cambria"/>
          <w:sz w:val="20"/>
          <w:szCs w:val="20"/>
          <w:lang w:val="es-CO"/>
        </w:rPr>
        <w:t>. Es decir que la</w:t>
      </w:r>
      <w:r w:rsidRPr="00DC278B">
        <w:rPr>
          <w:rFonts w:ascii="Cambria" w:hAnsi="Cambria" w:cs="Verdana"/>
          <w:sz w:val="20"/>
          <w:szCs w:val="20"/>
          <w:lang w:val="es-CO"/>
        </w:rPr>
        <w:t xml:space="preserve"> prescripción cede ante los derechos de las víctimas cuando se presentan situaciones de obstrucción de la </w:t>
      </w:r>
      <w:r w:rsidRPr="00DC278B">
        <w:rPr>
          <w:rFonts w:ascii="Cambria" w:hAnsi="Cambria"/>
          <w:sz w:val="20"/>
          <w:szCs w:val="20"/>
          <w:lang w:val="es-CO"/>
        </w:rPr>
        <w:t>obligación de identificar, juzgar y sancionar a los responsables de un delito</w:t>
      </w:r>
      <w:r w:rsidRPr="00DC278B">
        <w:rPr>
          <w:rStyle w:val="FootnoteReference"/>
          <w:rFonts w:ascii="Cambria" w:hAnsi="Cambria"/>
          <w:sz w:val="20"/>
          <w:szCs w:val="20"/>
        </w:rPr>
        <w:footnoteReference w:id="144"/>
      </w:r>
      <w:r w:rsidRPr="00DC278B">
        <w:rPr>
          <w:rFonts w:ascii="Cambria" w:hAnsi="Cambria" w:cs="Verdana"/>
          <w:sz w:val="20"/>
          <w:szCs w:val="20"/>
          <w:lang w:val="es-CO"/>
        </w:rPr>
        <w:t>.</w:t>
      </w:r>
    </w:p>
    <w:p w:rsidR="00716537" w:rsidRPr="00DC278B" w:rsidRDefault="00716537" w:rsidP="00DC27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eastAsia="Calibri" w:hAnsi="Cambria" w:cs="Verdana"/>
          <w:sz w:val="20"/>
          <w:szCs w:val="20"/>
          <w:lang w:val="es-MX" w:eastAsia="es-MX"/>
        </w:rPr>
      </w:pPr>
    </w:p>
    <w:p w:rsidR="00FC4881" w:rsidRPr="00BB75D1" w:rsidRDefault="00FC4881" w:rsidP="00BB75D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DC278B">
        <w:rPr>
          <w:rFonts w:ascii="Cambria" w:hAnsi="Cambria"/>
          <w:sz w:val="20"/>
          <w:szCs w:val="20"/>
          <w:lang w:val="es-ES_tradnl"/>
        </w:rPr>
        <w:t xml:space="preserve">En cuanto al segundo supuesto, que es el que puede resultar relevante para el análisis de la controversia que plantea el presente caso, </w:t>
      </w:r>
      <w:r w:rsidRPr="00DC278B">
        <w:rPr>
          <w:rFonts w:ascii="Cambria" w:hAnsi="Cambria"/>
          <w:sz w:val="20"/>
          <w:szCs w:val="20"/>
          <w:lang w:val="es-CO"/>
        </w:rPr>
        <w:t>tanto la Corte</w:t>
      </w:r>
      <w:r w:rsidRPr="00DC278B">
        <w:rPr>
          <w:rStyle w:val="FootnoteReference"/>
          <w:rFonts w:ascii="Cambria" w:hAnsi="Cambria"/>
          <w:sz w:val="20"/>
          <w:szCs w:val="20"/>
          <w:lang w:val="es-CO"/>
        </w:rPr>
        <w:footnoteReference w:id="145"/>
      </w:r>
      <w:r w:rsidRPr="00DC278B">
        <w:rPr>
          <w:rFonts w:ascii="Cambria" w:hAnsi="Cambria"/>
          <w:sz w:val="20"/>
          <w:szCs w:val="20"/>
          <w:lang w:val="es-CO"/>
        </w:rPr>
        <w:t xml:space="preserve"> como la Comisión</w:t>
      </w:r>
      <w:r w:rsidRPr="00DC278B">
        <w:rPr>
          <w:rStyle w:val="FootnoteReference"/>
          <w:rFonts w:ascii="Cambria" w:hAnsi="Cambria"/>
          <w:sz w:val="20"/>
          <w:szCs w:val="20"/>
          <w:lang w:val="es-CO"/>
        </w:rPr>
        <w:footnoteReference w:id="146"/>
      </w:r>
      <w:r w:rsidRPr="00DC278B">
        <w:rPr>
          <w:rFonts w:ascii="Cambria" w:hAnsi="Cambria"/>
          <w:sz w:val="20"/>
          <w:szCs w:val="20"/>
          <w:lang w:val="es-CO"/>
        </w:rPr>
        <w:t xml:space="preserve"> han determinado que la aplicación de la pre</w:t>
      </w:r>
      <w:r w:rsidR="002D2BDD">
        <w:rPr>
          <w:rFonts w:ascii="Cambria" w:hAnsi="Cambria"/>
          <w:sz w:val="20"/>
          <w:szCs w:val="20"/>
          <w:lang w:val="es-CO"/>
        </w:rPr>
        <w:t>s</w:t>
      </w:r>
      <w:r w:rsidRPr="00DC278B">
        <w:rPr>
          <w:rFonts w:ascii="Cambria" w:hAnsi="Cambria"/>
          <w:sz w:val="20"/>
          <w:szCs w:val="20"/>
          <w:lang w:val="es-CO"/>
        </w:rPr>
        <w:t>cripción penal es violatoria de la Convención Americana en casos de graves vi</w:t>
      </w:r>
      <w:r w:rsidR="00B42FC7" w:rsidRPr="00DC278B">
        <w:rPr>
          <w:rFonts w:ascii="Cambria" w:hAnsi="Cambria"/>
          <w:sz w:val="20"/>
          <w:szCs w:val="20"/>
          <w:lang w:val="es-CO"/>
        </w:rPr>
        <w:t>olaciones de derechos humanos</w:t>
      </w:r>
      <w:r w:rsidR="001E3A62" w:rsidRPr="00DC278B">
        <w:rPr>
          <w:rFonts w:ascii="Cambria" w:hAnsi="Cambria"/>
          <w:sz w:val="20"/>
          <w:szCs w:val="20"/>
          <w:lang w:val="es-CO"/>
        </w:rPr>
        <w:t xml:space="preserve"> </w:t>
      </w:r>
      <w:r w:rsidR="001E3A62" w:rsidRPr="00DC278B">
        <w:rPr>
          <w:rFonts w:ascii="Cambria" w:eastAsia="Calibri" w:hAnsi="Cambria" w:cs="Verdana"/>
          <w:bCs/>
          <w:sz w:val="20"/>
          <w:szCs w:val="20"/>
          <w:lang w:val="es-MX" w:eastAsia="es-MX"/>
        </w:rPr>
        <w:t xml:space="preserve">tales </w:t>
      </w:r>
      <w:r w:rsidR="001E3A62" w:rsidRPr="00DC278B">
        <w:rPr>
          <w:rFonts w:ascii="Cambria" w:hAnsi="Cambria"/>
          <w:sz w:val="20"/>
          <w:szCs w:val="20"/>
          <w:lang w:val="es-CO"/>
        </w:rPr>
        <w:t>como</w:t>
      </w:r>
      <w:r w:rsidR="001E3A62" w:rsidRPr="00DC278B">
        <w:rPr>
          <w:rFonts w:ascii="Cambria" w:eastAsia="Calibri" w:hAnsi="Cambria" w:cs="Verdana"/>
          <w:bCs/>
          <w:sz w:val="20"/>
          <w:szCs w:val="20"/>
          <w:lang w:val="es-MX" w:eastAsia="es-MX"/>
        </w:rPr>
        <w:t xml:space="preserve"> la desaparición forzada de personas, la ejecución extrajudicial y tortura, lo que no necesariamente implica</w:t>
      </w:r>
      <w:r w:rsidR="00B42FC7" w:rsidRPr="00DC278B">
        <w:rPr>
          <w:rFonts w:ascii="Cambria" w:eastAsia="Calibri" w:hAnsi="Cambria" w:cs="Verdana"/>
          <w:bCs/>
          <w:sz w:val="20"/>
          <w:szCs w:val="20"/>
          <w:lang w:val="es-MX" w:eastAsia="es-MX"/>
        </w:rPr>
        <w:t xml:space="preserve"> que hayan tenido lugar en</w:t>
      </w:r>
      <w:r w:rsidR="001E3A62" w:rsidRPr="00DC278B">
        <w:rPr>
          <w:rFonts w:ascii="Cambria" w:eastAsia="Calibri" w:hAnsi="Cambria" w:cs="Verdana"/>
          <w:bCs/>
          <w:sz w:val="20"/>
          <w:szCs w:val="20"/>
          <w:lang w:val="es-MX" w:eastAsia="es-MX"/>
        </w:rPr>
        <w:t xml:space="preserve"> contextos de violaciones masivas y sistemáticas</w:t>
      </w:r>
      <w:r w:rsidR="001E3A62" w:rsidRPr="00DC278B">
        <w:rPr>
          <w:rStyle w:val="FootnoteReference"/>
          <w:rFonts w:ascii="Cambria" w:eastAsia="Calibri" w:hAnsi="Cambria" w:cs="Verdana"/>
          <w:bCs/>
          <w:sz w:val="20"/>
          <w:szCs w:val="20"/>
          <w:lang w:val="es-MX" w:eastAsia="es-MX"/>
        </w:rPr>
        <w:footnoteReference w:id="147"/>
      </w:r>
      <w:r w:rsidR="001E3A62" w:rsidRPr="00DC278B">
        <w:rPr>
          <w:rFonts w:ascii="Cambria" w:eastAsia="Calibri" w:hAnsi="Cambria" w:cs="Verdana"/>
          <w:bCs/>
          <w:sz w:val="20"/>
          <w:szCs w:val="20"/>
          <w:lang w:val="es-MX" w:eastAsia="es-MX"/>
        </w:rPr>
        <w:t>.</w:t>
      </w:r>
    </w:p>
    <w:p w:rsidR="00716537" w:rsidRPr="00DC278B" w:rsidRDefault="0064445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Verdana"/>
          <w:sz w:val="20"/>
          <w:szCs w:val="20"/>
          <w:lang w:val="es-MX" w:eastAsia="es-MX"/>
        </w:rPr>
      </w:pPr>
      <w:r w:rsidRPr="00DC278B">
        <w:rPr>
          <w:rFonts w:ascii="Cambria" w:eastAsia="Calibri" w:hAnsi="Cambria" w:cs="Verdana"/>
          <w:sz w:val="20"/>
          <w:szCs w:val="20"/>
          <w:lang w:val="es-MX" w:eastAsia="es-MX"/>
        </w:rPr>
        <w:t xml:space="preserve">En el caso </w:t>
      </w:r>
      <w:proofErr w:type="spellStart"/>
      <w:r w:rsidR="00716537" w:rsidRPr="00DC278B">
        <w:rPr>
          <w:rFonts w:ascii="Cambria" w:eastAsia="Calibri" w:hAnsi="Cambria" w:cs="Verdana"/>
          <w:i/>
          <w:sz w:val="20"/>
          <w:szCs w:val="20"/>
          <w:lang w:val="es-MX" w:eastAsia="es-MX"/>
        </w:rPr>
        <w:t>Ibsen</w:t>
      </w:r>
      <w:proofErr w:type="spellEnd"/>
      <w:r w:rsidR="00716537" w:rsidRPr="00DC278B">
        <w:rPr>
          <w:rFonts w:ascii="Cambria" w:eastAsia="Calibri" w:hAnsi="Cambria" w:cs="Verdana"/>
          <w:i/>
          <w:sz w:val="20"/>
          <w:szCs w:val="20"/>
          <w:lang w:val="es-MX" w:eastAsia="es-MX"/>
        </w:rPr>
        <w:t xml:space="preserve"> Cárdenas e </w:t>
      </w:r>
      <w:proofErr w:type="spellStart"/>
      <w:r w:rsidR="00716537" w:rsidRPr="00DC278B">
        <w:rPr>
          <w:rFonts w:ascii="Cambria" w:eastAsia="Calibri" w:hAnsi="Cambria" w:cs="Verdana"/>
          <w:i/>
          <w:sz w:val="20"/>
          <w:szCs w:val="20"/>
          <w:lang w:val="es-MX" w:eastAsia="es-MX"/>
        </w:rPr>
        <w:t>Ibsen</w:t>
      </w:r>
      <w:proofErr w:type="spellEnd"/>
      <w:r w:rsidR="00716537" w:rsidRPr="00DC278B">
        <w:rPr>
          <w:rFonts w:ascii="Cambria" w:eastAsia="Calibri" w:hAnsi="Cambria" w:cs="Verdana"/>
          <w:i/>
          <w:sz w:val="20"/>
          <w:szCs w:val="20"/>
          <w:lang w:val="es-MX" w:eastAsia="es-MX"/>
        </w:rPr>
        <w:t xml:space="preserve"> Peña</w:t>
      </w:r>
      <w:r w:rsidR="00716537" w:rsidRPr="00DC278B">
        <w:rPr>
          <w:rFonts w:ascii="Cambria" w:eastAsia="Calibri" w:hAnsi="Cambria" w:cs="Verdana"/>
          <w:sz w:val="20"/>
          <w:szCs w:val="20"/>
          <w:lang w:val="es-MX" w:eastAsia="es-MX"/>
        </w:rPr>
        <w:t xml:space="preserve"> Vs. </w:t>
      </w:r>
      <w:r w:rsidR="00716537" w:rsidRPr="00DC278B">
        <w:rPr>
          <w:rFonts w:ascii="Cambria" w:eastAsia="Calibri" w:hAnsi="Cambria" w:cs="Verdana"/>
          <w:i/>
          <w:sz w:val="20"/>
          <w:szCs w:val="20"/>
          <w:lang w:val="es-MX" w:eastAsia="es-MX"/>
        </w:rPr>
        <w:t>Bolivia</w:t>
      </w:r>
      <w:r w:rsidR="00716537" w:rsidRPr="00DC278B">
        <w:rPr>
          <w:rFonts w:ascii="Cambria" w:eastAsia="Calibri" w:hAnsi="Cambria" w:cs="Verdana"/>
          <w:sz w:val="20"/>
          <w:szCs w:val="20"/>
          <w:lang w:val="es-MX" w:eastAsia="es-MX"/>
        </w:rPr>
        <w:t xml:space="preserve"> se reiteró dicho criterio al establecer que “en ciertas circunstancias el Derecho </w:t>
      </w:r>
      <w:r w:rsidR="00716537" w:rsidRPr="00DC278B">
        <w:rPr>
          <w:rFonts w:ascii="Cambria" w:hAnsi="Cambria"/>
          <w:sz w:val="20"/>
          <w:szCs w:val="20"/>
          <w:lang w:val="es-CO"/>
        </w:rPr>
        <w:t>Internacional</w:t>
      </w:r>
      <w:r w:rsidR="00716537" w:rsidRPr="00DC278B">
        <w:rPr>
          <w:rFonts w:ascii="Cambria" w:eastAsia="Calibri" w:hAnsi="Cambria" w:cs="Verdana"/>
          <w:sz w:val="20"/>
          <w:szCs w:val="20"/>
          <w:lang w:val="es-MX" w:eastAsia="es-MX"/>
        </w:rPr>
        <w:t xml:space="preserve"> considera inadmisible e inaplicable la </w:t>
      </w:r>
      <w:proofErr w:type="gramStart"/>
      <w:r w:rsidR="00716537" w:rsidRPr="00DC278B">
        <w:rPr>
          <w:rFonts w:ascii="Cambria" w:eastAsia="Calibri" w:hAnsi="Cambria" w:cs="Verdana"/>
          <w:sz w:val="20"/>
          <w:szCs w:val="20"/>
          <w:lang w:val="es-MX" w:eastAsia="es-MX"/>
        </w:rPr>
        <w:t>prescripción[</w:t>
      </w:r>
      <w:proofErr w:type="gramEnd"/>
      <w:r w:rsidR="00716537" w:rsidRPr="00DC278B">
        <w:rPr>
          <w:rFonts w:ascii="Cambria" w:eastAsia="Calibri" w:hAnsi="Cambria" w:cs="Verdana"/>
          <w:sz w:val="20"/>
          <w:szCs w:val="20"/>
          <w:lang w:val="es-MX" w:eastAsia="es-MX"/>
        </w:rPr>
        <w:t>,] así como las disposiciones de amnistía y el establecimiento de excluyentes de responsabilidad, a fin de mantener vigente en el tiempo el poder punitivo del Estado sobre conductas cuya gravedad hace necesaria su represión para evitar que vuelvan a ser cometidas”</w:t>
      </w:r>
      <w:r w:rsidR="00716537" w:rsidRPr="00DC278B">
        <w:rPr>
          <w:rStyle w:val="FootnoteReference"/>
          <w:rFonts w:ascii="Cambria" w:eastAsia="Calibri" w:hAnsi="Cambria" w:cs="Verdana"/>
          <w:sz w:val="20"/>
          <w:szCs w:val="20"/>
          <w:lang w:val="es-MX" w:eastAsia="es-MX"/>
        </w:rPr>
        <w:footnoteReference w:id="148"/>
      </w:r>
      <w:r w:rsidR="00716537" w:rsidRPr="00DC278B">
        <w:rPr>
          <w:rFonts w:ascii="Cambria" w:eastAsia="Calibri" w:hAnsi="Cambria" w:cs="Verdana"/>
          <w:sz w:val="20"/>
          <w:szCs w:val="20"/>
          <w:lang w:val="es-MX" w:eastAsia="es-MX"/>
        </w:rPr>
        <w:t xml:space="preserve">. </w:t>
      </w:r>
    </w:p>
    <w:p w:rsidR="00716537" w:rsidRPr="00DC278B" w:rsidRDefault="00716537" w:rsidP="00DC27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eastAsia="Calibri" w:hAnsi="Cambria" w:cs="Verdana"/>
          <w:sz w:val="20"/>
          <w:szCs w:val="20"/>
          <w:lang w:val="es-MX" w:eastAsia="es-MX"/>
        </w:rPr>
      </w:pPr>
    </w:p>
    <w:p w:rsidR="00245C2A" w:rsidRPr="00DC278B" w:rsidRDefault="00BE240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Verdana"/>
          <w:bCs/>
          <w:sz w:val="20"/>
          <w:szCs w:val="20"/>
          <w:lang w:val="es-MX" w:eastAsia="es-MX"/>
        </w:rPr>
      </w:pPr>
      <w:r w:rsidRPr="00DC278B">
        <w:rPr>
          <w:rFonts w:ascii="Cambria" w:eastAsia="Calibri" w:hAnsi="Cambria" w:cs="Verdana"/>
          <w:sz w:val="20"/>
          <w:szCs w:val="20"/>
          <w:lang w:val="es-MX" w:eastAsia="es-MX"/>
        </w:rPr>
        <w:t xml:space="preserve">Posteriormente en los casos </w:t>
      </w:r>
      <w:r w:rsidR="00716537" w:rsidRPr="00DC278B">
        <w:rPr>
          <w:rFonts w:ascii="Cambria" w:eastAsia="Calibri" w:hAnsi="Cambria" w:cs="Verdana"/>
          <w:bCs/>
          <w:i/>
          <w:sz w:val="20"/>
          <w:szCs w:val="20"/>
          <w:lang w:val="es-MX" w:eastAsia="es-MX"/>
        </w:rPr>
        <w:t xml:space="preserve">Gomes </w:t>
      </w:r>
      <w:proofErr w:type="spellStart"/>
      <w:r w:rsidR="00716537" w:rsidRPr="00DC278B">
        <w:rPr>
          <w:rFonts w:ascii="Cambria" w:eastAsia="Calibri" w:hAnsi="Cambria" w:cs="Verdana"/>
          <w:bCs/>
          <w:i/>
          <w:sz w:val="20"/>
          <w:szCs w:val="20"/>
          <w:lang w:val="es-MX" w:eastAsia="es-MX"/>
        </w:rPr>
        <w:t>Lund</w:t>
      </w:r>
      <w:proofErr w:type="spellEnd"/>
      <w:r w:rsidR="00716537" w:rsidRPr="00DC278B">
        <w:rPr>
          <w:rFonts w:ascii="Cambria" w:eastAsia="Calibri" w:hAnsi="Cambria" w:cs="Verdana"/>
          <w:bCs/>
          <w:i/>
          <w:sz w:val="20"/>
          <w:szCs w:val="20"/>
          <w:lang w:val="es-MX" w:eastAsia="es-MX"/>
        </w:rPr>
        <w:t xml:space="preserve"> y otros (</w:t>
      </w:r>
      <w:proofErr w:type="spellStart"/>
      <w:r w:rsidR="00716537" w:rsidRPr="00DC278B">
        <w:rPr>
          <w:rFonts w:ascii="Cambria" w:eastAsia="Calibri" w:hAnsi="Cambria" w:cs="Verdana"/>
          <w:bCs/>
          <w:i/>
          <w:sz w:val="20"/>
          <w:szCs w:val="20"/>
          <w:lang w:val="es-MX" w:eastAsia="es-MX"/>
        </w:rPr>
        <w:t>Guerrilha</w:t>
      </w:r>
      <w:proofErr w:type="spellEnd"/>
      <w:r w:rsidR="00716537" w:rsidRPr="00DC278B">
        <w:rPr>
          <w:rFonts w:ascii="Cambria" w:eastAsia="Calibri" w:hAnsi="Cambria" w:cs="Verdana"/>
          <w:bCs/>
          <w:i/>
          <w:sz w:val="20"/>
          <w:szCs w:val="20"/>
          <w:lang w:val="es-MX" w:eastAsia="es-MX"/>
        </w:rPr>
        <w:t xml:space="preserve"> do </w:t>
      </w:r>
      <w:proofErr w:type="spellStart"/>
      <w:r w:rsidR="00716537" w:rsidRPr="00DC278B">
        <w:rPr>
          <w:rFonts w:ascii="Cambria" w:eastAsia="Calibri" w:hAnsi="Cambria" w:cs="Verdana"/>
          <w:bCs/>
          <w:i/>
          <w:sz w:val="20"/>
          <w:szCs w:val="20"/>
          <w:lang w:val="es-MX" w:eastAsia="es-MX"/>
        </w:rPr>
        <w:t>Araguaia</w:t>
      </w:r>
      <w:proofErr w:type="spellEnd"/>
      <w:r w:rsidR="00716537" w:rsidRPr="00DC278B">
        <w:rPr>
          <w:rFonts w:ascii="Cambria" w:eastAsia="Calibri" w:hAnsi="Cambria" w:cs="Verdana"/>
          <w:bCs/>
          <w:i/>
          <w:sz w:val="20"/>
          <w:szCs w:val="20"/>
          <w:lang w:val="es-MX" w:eastAsia="es-MX"/>
        </w:rPr>
        <w:t>)</w:t>
      </w:r>
      <w:r w:rsidRPr="00DC278B">
        <w:rPr>
          <w:rFonts w:ascii="Cambria" w:eastAsia="Calibri" w:hAnsi="Cambria" w:cs="Verdana"/>
          <w:bCs/>
          <w:sz w:val="20"/>
          <w:szCs w:val="20"/>
          <w:lang w:val="es-MX" w:eastAsia="es-MX"/>
        </w:rPr>
        <w:t xml:space="preserve"> </w:t>
      </w:r>
      <w:r w:rsidRPr="00DC278B">
        <w:rPr>
          <w:rFonts w:ascii="Cambria" w:eastAsia="Calibri" w:hAnsi="Cambria" w:cs="Verdana"/>
          <w:bCs/>
          <w:i/>
          <w:sz w:val="20"/>
          <w:szCs w:val="20"/>
          <w:lang w:val="es-MX" w:eastAsia="es-MX"/>
        </w:rPr>
        <w:t>v</w:t>
      </w:r>
      <w:r w:rsidR="00716537" w:rsidRPr="00DC278B">
        <w:rPr>
          <w:rFonts w:ascii="Cambria" w:eastAsia="Calibri" w:hAnsi="Cambria" w:cs="Verdana"/>
          <w:bCs/>
          <w:i/>
          <w:sz w:val="20"/>
          <w:szCs w:val="20"/>
          <w:lang w:val="es-MX" w:eastAsia="es-MX"/>
        </w:rPr>
        <w:t>s</w:t>
      </w:r>
      <w:r w:rsidR="00716537" w:rsidRPr="00DC278B">
        <w:rPr>
          <w:rFonts w:ascii="Cambria" w:eastAsia="Calibri" w:hAnsi="Cambria" w:cs="Verdana"/>
          <w:bCs/>
          <w:sz w:val="20"/>
          <w:szCs w:val="20"/>
          <w:lang w:val="es-MX" w:eastAsia="es-MX"/>
        </w:rPr>
        <w:t xml:space="preserve">. </w:t>
      </w:r>
      <w:r w:rsidR="00716537" w:rsidRPr="00DC278B">
        <w:rPr>
          <w:rFonts w:ascii="Cambria" w:eastAsia="Calibri" w:hAnsi="Cambria" w:cs="Verdana"/>
          <w:bCs/>
          <w:i/>
          <w:sz w:val="20"/>
          <w:szCs w:val="20"/>
          <w:lang w:val="es-MX" w:eastAsia="es-MX"/>
        </w:rPr>
        <w:t>Brasil</w:t>
      </w:r>
      <w:r w:rsidR="00716537" w:rsidRPr="00DC278B">
        <w:rPr>
          <w:rFonts w:ascii="Cambria" w:eastAsia="Calibri" w:hAnsi="Cambria" w:cs="Verdana"/>
          <w:bCs/>
          <w:sz w:val="20"/>
          <w:szCs w:val="20"/>
          <w:lang w:val="es-MX" w:eastAsia="es-MX"/>
        </w:rPr>
        <w:t xml:space="preserve"> </w:t>
      </w:r>
      <w:r w:rsidRPr="00DC278B">
        <w:rPr>
          <w:rFonts w:ascii="Cambria" w:eastAsia="Calibri" w:hAnsi="Cambria" w:cs="Verdana"/>
          <w:bCs/>
          <w:sz w:val="20"/>
          <w:szCs w:val="20"/>
          <w:lang w:val="es-MX" w:eastAsia="es-MX"/>
        </w:rPr>
        <w:t xml:space="preserve">y </w:t>
      </w:r>
      <w:proofErr w:type="spellStart"/>
      <w:r w:rsidRPr="00DC278B">
        <w:rPr>
          <w:rFonts w:ascii="Cambria" w:eastAsia="Calibri" w:hAnsi="Cambria" w:cs="Verdana"/>
          <w:bCs/>
          <w:i/>
          <w:sz w:val="20"/>
          <w:szCs w:val="20"/>
          <w:lang w:val="es-MX" w:eastAsia="es-MX"/>
        </w:rPr>
        <w:t>Gelman</w:t>
      </w:r>
      <w:proofErr w:type="spellEnd"/>
      <w:r w:rsidRPr="00DC278B">
        <w:rPr>
          <w:rFonts w:ascii="Cambria" w:eastAsia="Calibri" w:hAnsi="Cambria" w:cs="Verdana"/>
          <w:bCs/>
          <w:i/>
          <w:sz w:val="20"/>
          <w:szCs w:val="20"/>
          <w:lang w:val="es-MX" w:eastAsia="es-MX"/>
        </w:rPr>
        <w:t xml:space="preserve"> vs. Uruguay, </w:t>
      </w:r>
      <w:r w:rsidR="00712926" w:rsidRPr="00DC278B">
        <w:rPr>
          <w:rFonts w:ascii="Cambria" w:eastAsia="Calibri" w:hAnsi="Cambria" w:cs="Verdana"/>
          <w:bCs/>
          <w:sz w:val="20"/>
          <w:szCs w:val="20"/>
          <w:lang w:val="es-MX" w:eastAsia="es-MX"/>
        </w:rPr>
        <w:t xml:space="preserve">relativos a </w:t>
      </w:r>
      <w:r w:rsidR="00CC1515" w:rsidRPr="00DC278B">
        <w:rPr>
          <w:rFonts w:ascii="Cambria" w:eastAsia="Calibri" w:hAnsi="Cambria" w:cs="Verdana"/>
          <w:bCs/>
          <w:sz w:val="20"/>
          <w:szCs w:val="20"/>
          <w:lang w:val="es-MX" w:eastAsia="es-MX"/>
        </w:rPr>
        <w:t xml:space="preserve">graves </w:t>
      </w:r>
      <w:r w:rsidR="00CC1515" w:rsidRPr="00DC278B">
        <w:rPr>
          <w:rFonts w:ascii="Cambria" w:hAnsi="Cambria"/>
          <w:sz w:val="20"/>
          <w:szCs w:val="20"/>
          <w:lang w:val="es-CO"/>
        </w:rPr>
        <w:t>violaciones</w:t>
      </w:r>
      <w:r w:rsidR="00CC1515" w:rsidRPr="00DC278B">
        <w:rPr>
          <w:rFonts w:ascii="Cambria" w:eastAsia="Calibri" w:hAnsi="Cambria" w:cs="Verdana"/>
          <w:bCs/>
          <w:sz w:val="20"/>
          <w:szCs w:val="20"/>
          <w:lang w:val="es-MX" w:eastAsia="es-MX"/>
        </w:rPr>
        <w:t xml:space="preserve"> de derechos humanos cometidas en </w:t>
      </w:r>
      <w:r w:rsidR="00712926" w:rsidRPr="00DC278B">
        <w:rPr>
          <w:rFonts w:ascii="Cambria" w:eastAsia="Calibri" w:hAnsi="Cambria" w:cs="Verdana"/>
          <w:bCs/>
          <w:sz w:val="20"/>
          <w:szCs w:val="20"/>
          <w:lang w:val="es-MX" w:eastAsia="es-MX"/>
        </w:rPr>
        <w:t xml:space="preserve">dictaduras militares, </w:t>
      </w:r>
      <w:r w:rsidR="00716537" w:rsidRPr="00DC278B">
        <w:rPr>
          <w:rFonts w:ascii="Cambria" w:eastAsia="Calibri" w:hAnsi="Cambria" w:cs="Verdana"/>
          <w:bCs/>
          <w:sz w:val="20"/>
          <w:szCs w:val="20"/>
          <w:lang w:val="es-MX" w:eastAsia="es-MX"/>
        </w:rPr>
        <w:t>la Corte reiteró su jurisprudencia en el sentido de que “‘son inadmisibles las […] disposiciones de prescripción […]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00716537" w:rsidRPr="00DC278B">
        <w:rPr>
          <w:rStyle w:val="FootnoteReference"/>
          <w:rFonts w:ascii="Cambria" w:eastAsia="Calibri" w:hAnsi="Cambria" w:cs="Verdana"/>
          <w:bCs/>
          <w:sz w:val="20"/>
          <w:szCs w:val="20"/>
          <w:lang w:val="es-MX" w:eastAsia="es-MX"/>
        </w:rPr>
        <w:footnoteReference w:id="149"/>
      </w:r>
      <w:r w:rsidR="00716537" w:rsidRPr="00DC278B">
        <w:rPr>
          <w:rFonts w:ascii="Cambria" w:eastAsia="Calibri" w:hAnsi="Cambria" w:cs="Verdana"/>
          <w:bCs/>
          <w:sz w:val="20"/>
          <w:szCs w:val="20"/>
          <w:lang w:val="es-MX" w:eastAsia="es-MX"/>
        </w:rPr>
        <w:t xml:space="preserve">. </w:t>
      </w:r>
    </w:p>
    <w:p w:rsidR="00245C2A" w:rsidRPr="00DC278B" w:rsidRDefault="00245C2A" w:rsidP="00DC27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eastAsia="Calibri" w:hAnsi="Cambria" w:cs="Verdana"/>
          <w:bCs/>
          <w:sz w:val="20"/>
          <w:szCs w:val="20"/>
          <w:lang w:val="es-MX" w:eastAsia="es-MX"/>
        </w:rPr>
      </w:pPr>
    </w:p>
    <w:p w:rsidR="00716537" w:rsidRPr="00DC278B" w:rsidRDefault="005B027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Verdana"/>
          <w:bCs/>
          <w:sz w:val="20"/>
          <w:szCs w:val="20"/>
          <w:lang w:val="es-MX" w:eastAsia="es-MX"/>
        </w:rPr>
      </w:pPr>
      <w:r w:rsidRPr="00DC278B">
        <w:rPr>
          <w:rFonts w:ascii="Cambria" w:eastAsia="Calibri" w:hAnsi="Cambria" w:cs="Verdana"/>
          <w:bCs/>
          <w:sz w:val="20"/>
          <w:szCs w:val="20"/>
          <w:lang w:val="es-MX" w:eastAsia="es-MX"/>
        </w:rPr>
        <w:t xml:space="preserve">Esta formulación </w:t>
      </w:r>
      <w:r w:rsidR="00245C2A" w:rsidRPr="00DC278B">
        <w:rPr>
          <w:rFonts w:ascii="Cambria" w:eastAsia="Calibri" w:hAnsi="Cambria" w:cs="Verdana"/>
          <w:bCs/>
          <w:sz w:val="20"/>
          <w:szCs w:val="20"/>
          <w:lang w:val="es-MX" w:eastAsia="es-MX"/>
        </w:rPr>
        <w:t xml:space="preserve">sobre la prohibición de la prescripción penal en casos de graves violaciones de derechos humanos, </w:t>
      </w:r>
      <w:r w:rsidRPr="00DC278B">
        <w:rPr>
          <w:rFonts w:ascii="Cambria" w:eastAsia="Calibri" w:hAnsi="Cambria" w:cs="Verdana"/>
          <w:bCs/>
          <w:sz w:val="20"/>
          <w:szCs w:val="20"/>
          <w:lang w:val="es-MX" w:eastAsia="es-MX"/>
        </w:rPr>
        <w:t xml:space="preserve">ha sido </w:t>
      </w:r>
      <w:r w:rsidRPr="00DC278B">
        <w:rPr>
          <w:rFonts w:ascii="Cambria" w:hAnsi="Cambria"/>
          <w:sz w:val="20"/>
          <w:szCs w:val="20"/>
          <w:lang w:val="es-CO"/>
        </w:rPr>
        <w:t>mantenida</w:t>
      </w:r>
      <w:r w:rsidRPr="00DC278B">
        <w:rPr>
          <w:rFonts w:ascii="Cambria" w:eastAsia="Calibri" w:hAnsi="Cambria" w:cs="Verdana"/>
          <w:bCs/>
          <w:sz w:val="20"/>
          <w:szCs w:val="20"/>
          <w:lang w:val="es-MX" w:eastAsia="es-MX"/>
        </w:rPr>
        <w:t xml:space="preserve"> por la Corte tambié</w:t>
      </w:r>
      <w:r w:rsidR="00245C2A" w:rsidRPr="00DC278B">
        <w:rPr>
          <w:rFonts w:ascii="Cambria" w:eastAsia="Calibri" w:hAnsi="Cambria" w:cs="Verdana"/>
          <w:bCs/>
          <w:sz w:val="20"/>
          <w:szCs w:val="20"/>
          <w:lang w:val="es-MX" w:eastAsia="es-MX"/>
        </w:rPr>
        <w:t xml:space="preserve">n en casos en que dichas violaciones ocurrieron en el marco </w:t>
      </w:r>
      <w:r w:rsidRPr="00DC278B">
        <w:rPr>
          <w:rFonts w:ascii="Cambria" w:eastAsia="Calibri" w:hAnsi="Cambria" w:cs="Verdana"/>
          <w:bCs/>
          <w:sz w:val="20"/>
          <w:szCs w:val="20"/>
          <w:lang w:val="es-MX" w:eastAsia="es-MX"/>
        </w:rPr>
        <w:t>de conflictos armados internos</w:t>
      </w:r>
      <w:r w:rsidR="00B46722" w:rsidRPr="00DC278B">
        <w:rPr>
          <w:rStyle w:val="FootnoteReference"/>
          <w:rFonts w:ascii="Cambria" w:eastAsia="Calibri" w:hAnsi="Cambria" w:cs="Verdana"/>
          <w:bCs/>
          <w:sz w:val="20"/>
          <w:szCs w:val="20"/>
          <w:lang w:val="es-MX" w:eastAsia="es-MX"/>
        </w:rPr>
        <w:footnoteReference w:id="150"/>
      </w:r>
      <w:r w:rsidRPr="00DC278B">
        <w:rPr>
          <w:rFonts w:ascii="Cambria" w:eastAsia="Calibri" w:hAnsi="Cambria" w:cs="Verdana"/>
          <w:bCs/>
          <w:sz w:val="20"/>
          <w:szCs w:val="20"/>
          <w:lang w:val="es-MX" w:eastAsia="es-MX"/>
        </w:rPr>
        <w:t xml:space="preserve">. </w:t>
      </w:r>
    </w:p>
    <w:p w:rsidR="00EF5AE5" w:rsidRPr="00DC278B" w:rsidRDefault="00EF5AE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_tradnl"/>
        </w:rPr>
      </w:pPr>
    </w:p>
    <w:p w:rsidR="00EF5AE5" w:rsidRPr="00DC278B" w:rsidRDefault="003427C3" w:rsidP="00DC278B">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Times New Roman" w:hAnsi="Cambria"/>
          <w:b/>
          <w:sz w:val="20"/>
          <w:szCs w:val="20"/>
          <w:bdr w:val="none" w:sz="0" w:space="0" w:color="auto"/>
          <w:lang w:val="es-ES_tradnl"/>
        </w:rPr>
      </w:pPr>
      <w:r w:rsidRPr="00DC278B">
        <w:rPr>
          <w:rFonts w:ascii="Cambria" w:eastAsia="Times New Roman" w:hAnsi="Cambria"/>
          <w:b/>
          <w:sz w:val="20"/>
          <w:szCs w:val="20"/>
          <w:bdr w:val="none" w:sz="0" w:space="0" w:color="auto"/>
          <w:lang w:val="es-ES_tradnl"/>
        </w:rPr>
        <w:t xml:space="preserve">4. </w:t>
      </w:r>
      <w:r w:rsidRPr="00DC278B">
        <w:rPr>
          <w:rFonts w:ascii="Cambria" w:eastAsia="Times New Roman" w:hAnsi="Cambria"/>
          <w:b/>
          <w:sz w:val="20"/>
          <w:szCs w:val="20"/>
          <w:bdr w:val="none" w:sz="0" w:space="0" w:color="auto"/>
          <w:lang w:val="es-ES_tradnl"/>
        </w:rPr>
        <w:tab/>
      </w:r>
      <w:r w:rsidR="00AF2A67" w:rsidRPr="00DC278B">
        <w:rPr>
          <w:rFonts w:ascii="Cambria" w:eastAsia="Times New Roman" w:hAnsi="Cambria"/>
          <w:b/>
          <w:sz w:val="20"/>
          <w:szCs w:val="20"/>
          <w:bdr w:val="none" w:sz="0" w:space="0" w:color="auto"/>
          <w:lang w:val="es-ES_tradnl"/>
        </w:rPr>
        <w:t xml:space="preserve">Consideraciones sobre la </w:t>
      </w:r>
      <w:r w:rsidR="001A75FF" w:rsidRPr="00DC278B">
        <w:rPr>
          <w:rFonts w:ascii="Cambria" w:eastAsia="Times New Roman" w:hAnsi="Cambria"/>
          <w:b/>
          <w:sz w:val="20"/>
          <w:szCs w:val="20"/>
          <w:bdr w:val="none" w:sz="0" w:space="0" w:color="auto"/>
          <w:lang w:val="es-ES_tradnl"/>
        </w:rPr>
        <w:t>prescripción de acciones judiciales para obtener reparaciones frente a ciertas violaciones de derechos humanos</w:t>
      </w:r>
    </w:p>
    <w:p w:rsidR="00EF5AE5" w:rsidRPr="00DC278B" w:rsidRDefault="00EF5AE5"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_tradnl"/>
        </w:rPr>
      </w:pPr>
    </w:p>
    <w:p w:rsidR="002B1F3F" w:rsidRPr="00DC278B" w:rsidRDefault="001B0C57"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DC278B">
        <w:rPr>
          <w:rFonts w:ascii="Cambria" w:hAnsi="Cambria"/>
          <w:sz w:val="20"/>
          <w:szCs w:val="20"/>
          <w:lang w:val="es-CO"/>
        </w:rPr>
        <w:t xml:space="preserve">La Comisión observa que </w:t>
      </w:r>
      <w:r w:rsidR="002743BB" w:rsidRPr="00DC278B">
        <w:rPr>
          <w:rFonts w:ascii="Cambria" w:hAnsi="Cambria"/>
          <w:sz w:val="20"/>
          <w:szCs w:val="20"/>
          <w:lang w:val="es-CO"/>
        </w:rPr>
        <w:t xml:space="preserve">se han dado desarrollos importantes tanto en el derecho internacional como en el derecho comparado sobre esta temática. </w:t>
      </w:r>
    </w:p>
    <w:p w:rsidR="002B1F3F" w:rsidRPr="00DC278B" w:rsidRDefault="002B1F3F" w:rsidP="00DC278B">
      <w:pPr>
        <w:pStyle w:val="MediumGrid1-Accent21"/>
        <w:autoSpaceDE w:val="0"/>
        <w:autoSpaceDN w:val="0"/>
        <w:adjustRightInd w:val="0"/>
        <w:ind w:left="0"/>
        <w:jc w:val="both"/>
        <w:rPr>
          <w:color w:val="auto"/>
          <w:sz w:val="20"/>
          <w:szCs w:val="20"/>
          <w:lang w:val="es-CO"/>
        </w:rPr>
      </w:pPr>
    </w:p>
    <w:p w:rsidR="00DA6760" w:rsidRPr="00DC278B" w:rsidRDefault="00CF61A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DC278B">
        <w:rPr>
          <w:rFonts w:ascii="Cambria" w:hAnsi="Cambria"/>
          <w:sz w:val="20"/>
          <w:szCs w:val="20"/>
          <w:lang w:val="es-CO"/>
        </w:rPr>
        <w:t>En relación con las v</w:t>
      </w:r>
      <w:r w:rsidR="00AF1F07" w:rsidRPr="00DC278B">
        <w:rPr>
          <w:rFonts w:ascii="Cambria" w:hAnsi="Cambria"/>
          <w:sz w:val="20"/>
          <w:szCs w:val="20"/>
          <w:lang w:val="es-CO"/>
        </w:rPr>
        <w:t>íctimas de desaparición forzada</w:t>
      </w:r>
      <w:r w:rsidR="00427FE1" w:rsidRPr="00DC278B">
        <w:rPr>
          <w:rFonts w:ascii="Cambria" w:hAnsi="Cambria"/>
          <w:sz w:val="20"/>
          <w:szCs w:val="20"/>
          <w:lang w:val="es-CO"/>
        </w:rPr>
        <w:t xml:space="preserve"> – como es el caso de tres de los</w:t>
      </w:r>
      <w:r w:rsidR="00F22ACC" w:rsidRPr="00DC278B">
        <w:rPr>
          <w:rFonts w:ascii="Cambria" w:hAnsi="Cambria"/>
          <w:sz w:val="20"/>
          <w:szCs w:val="20"/>
          <w:lang w:val="es-CO"/>
        </w:rPr>
        <w:t xml:space="preserve"> asuntos </w:t>
      </w:r>
      <w:r w:rsidR="00427FE1" w:rsidRPr="00DC278B">
        <w:rPr>
          <w:rFonts w:ascii="Cambria" w:hAnsi="Cambria"/>
          <w:sz w:val="20"/>
          <w:szCs w:val="20"/>
          <w:lang w:val="es-CO"/>
        </w:rPr>
        <w:t xml:space="preserve">materia del presente informe </w:t>
      </w:r>
      <w:r w:rsidR="00F22ACC" w:rsidRPr="00DC278B">
        <w:rPr>
          <w:rFonts w:ascii="Cambria" w:hAnsi="Cambria"/>
          <w:sz w:val="20"/>
          <w:szCs w:val="20"/>
          <w:lang w:val="es-CO"/>
        </w:rPr>
        <w:t>–</w:t>
      </w:r>
      <w:r w:rsidR="00427FE1" w:rsidRPr="00DC278B">
        <w:rPr>
          <w:rFonts w:ascii="Cambria" w:hAnsi="Cambria"/>
          <w:sz w:val="20"/>
          <w:szCs w:val="20"/>
          <w:lang w:val="es-CO"/>
        </w:rPr>
        <w:t xml:space="preserve"> </w:t>
      </w:r>
      <w:r w:rsidRPr="00DC278B">
        <w:rPr>
          <w:rFonts w:ascii="Cambria" w:hAnsi="Cambria"/>
          <w:sz w:val="20"/>
          <w:szCs w:val="20"/>
          <w:lang w:val="es-CO"/>
        </w:rPr>
        <w:t>el</w:t>
      </w:r>
      <w:r w:rsidR="00F22ACC" w:rsidRPr="00DC278B">
        <w:rPr>
          <w:rFonts w:ascii="Cambria" w:hAnsi="Cambria"/>
          <w:sz w:val="20"/>
          <w:szCs w:val="20"/>
          <w:lang w:val="es-CO"/>
        </w:rPr>
        <w:t xml:space="preserve"> </w:t>
      </w:r>
      <w:r w:rsidRPr="00DC278B">
        <w:rPr>
          <w:rFonts w:ascii="Cambria" w:hAnsi="Cambria"/>
          <w:sz w:val="20"/>
          <w:szCs w:val="20"/>
          <w:lang w:val="es-CO"/>
        </w:rPr>
        <w:t xml:space="preserve">Grupo de sobre las Desapariciones Forzadas o Involuntarias, ya desde 1989, en sus </w:t>
      </w:r>
      <w:r w:rsidRPr="00DC278B">
        <w:rPr>
          <w:rFonts w:ascii="Cambria" w:eastAsia="Calibri" w:hAnsi="Cambria" w:cs="Verdana"/>
          <w:bCs/>
          <w:sz w:val="20"/>
          <w:szCs w:val="20"/>
          <w:lang w:val="es-MX" w:eastAsia="es-MX"/>
        </w:rPr>
        <w:t>Observaciones</w:t>
      </w:r>
      <w:r w:rsidRPr="00DC278B">
        <w:rPr>
          <w:rFonts w:ascii="Cambria" w:hAnsi="Cambria"/>
          <w:sz w:val="20"/>
          <w:szCs w:val="20"/>
          <w:lang w:val="es-CO"/>
        </w:rPr>
        <w:t xml:space="preserve"> Generales </w:t>
      </w:r>
      <w:r w:rsidR="00F10827" w:rsidRPr="00DC278B">
        <w:rPr>
          <w:rFonts w:ascii="Cambria" w:hAnsi="Cambria"/>
          <w:sz w:val="20"/>
          <w:szCs w:val="20"/>
          <w:lang w:val="es-CO"/>
        </w:rPr>
        <w:t>respecto d</w:t>
      </w:r>
      <w:r w:rsidRPr="00DC278B">
        <w:rPr>
          <w:rFonts w:ascii="Cambria" w:hAnsi="Cambria"/>
          <w:sz w:val="20"/>
          <w:szCs w:val="20"/>
          <w:lang w:val="es-CO"/>
        </w:rPr>
        <w:t>el artículo 19 de la Declaración sobre la Protección de Todas las Personas contra las Desapariciones Forzadas señaló que las “acciones civiles de indemnización no […] estarán sujetas a la prescripción”</w:t>
      </w:r>
      <w:r w:rsidRPr="00DC278B">
        <w:rPr>
          <w:rStyle w:val="FootnoteReference"/>
          <w:rFonts w:ascii="Cambria" w:hAnsi="Cambria"/>
          <w:sz w:val="20"/>
          <w:szCs w:val="20"/>
          <w:lang w:val="es-CO"/>
        </w:rPr>
        <w:footnoteReference w:id="151"/>
      </w:r>
      <w:r w:rsidR="00DA6760" w:rsidRPr="00DC278B">
        <w:rPr>
          <w:rFonts w:ascii="Cambria" w:hAnsi="Cambria"/>
          <w:sz w:val="20"/>
          <w:szCs w:val="20"/>
          <w:lang w:val="es-CO"/>
        </w:rPr>
        <w:t>.</w:t>
      </w:r>
      <w:r w:rsidRPr="00DC278B">
        <w:rPr>
          <w:rFonts w:ascii="Cambria" w:hAnsi="Cambria"/>
          <w:sz w:val="20"/>
          <w:szCs w:val="20"/>
          <w:lang w:val="es-CO"/>
        </w:rPr>
        <w:t xml:space="preserve"> </w:t>
      </w:r>
    </w:p>
    <w:p w:rsidR="00DA6760" w:rsidRPr="00DC278B" w:rsidRDefault="00DA6760" w:rsidP="00DC278B">
      <w:pPr>
        <w:pStyle w:val="MediumGrid1-Accent21"/>
        <w:autoSpaceDE w:val="0"/>
        <w:autoSpaceDN w:val="0"/>
        <w:adjustRightInd w:val="0"/>
        <w:ind w:left="0"/>
        <w:jc w:val="both"/>
        <w:rPr>
          <w:color w:val="auto"/>
          <w:sz w:val="20"/>
          <w:szCs w:val="20"/>
          <w:lang w:val="es-CO"/>
        </w:rPr>
      </w:pPr>
    </w:p>
    <w:p w:rsidR="00CF61A2" w:rsidRPr="00DC278B" w:rsidRDefault="00CF61A2"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DC278B">
        <w:rPr>
          <w:rFonts w:ascii="Cambria" w:hAnsi="Cambria"/>
          <w:sz w:val="20"/>
          <w:szCs w:val="20"/>
          <w:lang w:val="es-CO"/>
        </w:rPr>
        <w:t xml:space="preserve">Siguiendo esta </w:t>
      </w:r>
      <w:r w:rsidR="00DA6760" w:rsidRPr="00DC278B">
        <w:rPr>
          <w:rFonts w:ascii="Cambria" w:hAnsi="Cambria"/>
          <w:sz w:val="20"/>
          <w:szCs w:val="20"/>
          <w:lang w:val="es-CO"/>
        </w:rPr>
        <w:t xml:space="preserve">línea y sin limitarlo a casos de desaparición forzada, </w:t>
      </w:r>
      <w:r w:rsidRPr="00DC278B">
        <w:rPr>
          <w:rFonts w:ascii="Cambria" w:hAnsi="Cambria"/>
          <w:sz w:val="20"/>
          <w:szCs w:val="20"/>
          <w:lang w:val="es-CO"/>
        </w:rPr>
        <w:t>el</w:t>
      </w:r>
      <w:r w:rsidR="00870199" w:rsidRPr="00DC278B">
        <w:rPr>
          <w:rFonts w:ascii="Cambria" w:hAnsi="Cambria"/>
          <w:sz w:val="20"/>
          <w:szCs w:val="20"/>
          <w:lang w:val="es-CO"/>
        </w:rPr>
        <w:t xml:space="preserve"> entonces</w:t>
      </w:r>
      <w:r w:rsidRPr="00DC278B">
        <w:rPr>
          <w:rFonts w:ascii="Cambria" w:hAnsi="Cambria"/>
          <w:sz w:val="20"/>
          <w:szCs w:val="20"/>
          <w:lang w:val="es-CO"/>
        </w:rPr>
        <w:t xml:space="preserve"> Relator sobre el Derecho a la Restitución, </w:t>
      </w:r>
      <w:r w:rsidRPr="00DC278B">
        <w:rPr>
          <w:rFonts w:ascii="Cambria" w:eastAsia="Calibri" w:hAnsi="Cambria" w:cs="Verdana"/>
          <w:bCs/>
          <w:sz w:val="20"/>
          <w:szCs w:val="20"/>
          <w:lang w:val="es-MX" w:eastAsia="es-MX"/>
        </w:rPr>
        <w:t>Indemnización</w:t>
      </w:r>
      <w:r w:rsidRPr="00DC278B">
        <w:rPr>
          <w:rFonts w:ascii="Cambria" w:hAnsi="Cambria"/>
          <w:sz w:val="20"/>
          <w:szCs w:val="20"/>
          <w:lang w:val="es-CO"/>
        </w:rPr>
        <w:t xml:space="preserve"> y Rehabilitación por Graves Violaciones a los Derechos Humanos, </w:t>
      </w:r>
      <w:proofErr w:type="spellStart"/>
      <w:r w:rsidRPr="00DC278B">
        <w:rPr>
          <w:rFonts w:ascii="Cambria" w:hAnsi="Cambria"/>
          <w:sz w:val="20"/>
          <w:szCs w:val="20"/>
          <w:lang w:val="es-CO"/>
        </w:rPr>
        <w:t>Theo</w:t>
      </w:r>
      <w:proofErr w:type="spellEnd"/>
      <w:r w:rsidRPr="00DC278B">
        <w:rPr>
          <w:rFonts w:ascii="Cambria" w:hAnsi="Cambria"/>
          <w:sz w:val="20"/>
          <w:szCs w:val="20"/>
          <w:lang w:val="es-CO"/>
        </w:rPr>
        <w:t xml:space="preserve"> Van </w:t>
      </w:r>
      <w:proofErr w:type="spellStart"/>
      <w:r w:rsidRPr="00DC278B">
        <w:rPr>
          <w:rFonts w:ascii="Cambria" w:hAnsi="Cambria"/>
          <w:sz w:val="20"/>
          <w:szCs w:val="20"/>
          <w:lang w:val="es-CO"/>
        </w:rPr>
        <w:t>Boven</w:t>
      </w:r>
      <w:proofErr w:type="spellEnd"/>
      <w:r w:rsidRPr="00DC278B">
        <w:rPr>
          <w:rFonts w:ascii="Cambria" w:hAnsi="Cambria"/>
          <w:sz w:val="20"/>
          <w:szCs w:val="20"/>
          <w:lang w:val="es-CO"/>
        </w:rPr>
        <w:t>, en 1993 señaló que</w:t>
      </w:r>
      <w:r w:rsidR="00DA6760" w:rsidRPr="00DC278B">
        <w:rPr>
          <w:rFonts w:ascii="Cambria" w:hAnsi="Cambria"/>
          <w:sz w:val="20"/>
          <w:szCs w:val="20"/>
          <w:lang w:val="es-CO"/>
        </w:rPr>
        <w:t>:</w:t>
      </w:r>
    </w:p>
    <w:p w:rsidR="00CF61A2" w:rsidRPr="00DC278B" w:rsidRDefault="00CF61A2" w:rsidP="00DC278B">
      <w:pPr>
        <w:pStyle w:val="MediumGrid1-Accent21"/>
        <w:autoSpaceDE w:val="0"/>
        <w:autoSpaceDN w:val="0"/>
        <w:adjustRightInd w:val="0"/>
        <w:jc w:val="both"/>
        <w:rPr>
          <w:color w:val="auto"/>
          <w:sz w:val="20"/>
          <w:szCs w:val="20"/>
          <w:lang w:val="es-CO"/>
        </w:rPr>
      </w:pPr>
    </w:p>
    <w:p w:rsidR="00CF61A2" w:rsidRPr="00DC278B" w:rsidRDefault="000418E7" w:rsidP="00DC278B">
      <w:pPr>
        <w:pStyle w:val="MediumGrid1-Accent21"/>
        <w:autoSpaceDE w:val="0"/>
        <w:autoSpaceDN w:val="0"/>
        <w:adjustRightInd w:val="0"/>
        <w:ind w:right="720"/>
        <w:jc w:val="both"/>
        <w:rPr>
          <w:color w:val="auto"/>
          <w:sz w:val="20"/>
          <w:szCs w:val="20"/>
          <w:lang w:val="es-CO"/>
        </w:rPr>
      </w:pPr>
      <w:r w:rsidRPr="00DC278B">
        <w:rPr>
          <w:color w:val="auto"/>
          <w:sz w:val="20"/>
          <w:szCs w:val="20"/>
          <w:lang w:val="es-CO"/>
        </w:rPr>
        <w:t xml:space="preserve">(…) </w:t>
      </w:r>
      <w:r w:rsidR="00CF61A2" w:rsidRPr="00DC278B">
        <w:rPr>
          <w:color w:val="auto"/>
          <w:sz w:val="20"/>
          <w:szCs w:val="20"/>
          <w:lang w:val="es-CO"/>
        </w:rPr>
        <w:t>la aplicación de prescripciones priva con frecuencia a las víctimas de violaciones flagrantes de los derechos humanos de las repa</w:t>
      </w:r>
      <w:r w:rsidR="00636B12">
        <w:rPr>
          <w:color w:val="auto"/>
          <w:sz w:val="20"/>
          <w:szCs w:val="20"/>
          <w:lang w:val="es-CO"/>
        </w:rPr>
        <w:t xml:space="preserve">raciones a que tienen derecho. </w:t>
      </w:r>
      <w:r w:rsidR="00CF61A2" w:rsidRPr="00DC278B">
        <w:rPr>
          <w:color w:val="auto"/>
          <w:sz w:val="20"/>
          <w:szCs w:val="20"/>
          <w:lang w:val="es-CO"/>
        </w:rPr>
        <w:t>Debe prevalecer el principio de que no estarán sujetas a prescripción las reclamaciones de reparación por violaciones flagrantes de los derechos hu</w:t>
      </w:r>
      <w:r w:rsidR="002D2BDD">
        <w:rPr>
          <w:color w:val="auto"/>
          <w:sz w:val="20"/>
          <w:szCs w:val="20"/>
          <w:lang w:val="es-CO"/>
        </w:rPr>
        <w:t>manos.</w:t>
      </w:r>
      <w:r w:rsidR="00CF61A2" w:rsidRPr="00DC278B">
        <w:rPr>
          <w:color w:val="auto"/>
          <w:sz w:val="20"/>
          <w:szCs w:val="20"/>
          <w:lang w:val="es-CO"/>
        </w:rPr>
        <w:t xml:space="preserve"> En este sentido, hay que tener en cuenta que las consecuencias de las violaciones flagrantes de los derechos humanos son el resultado de los crímenes más odiosos que, según opiniones jurídicas muy acreditadas, no deben</w:t>
      </w:r>
      <w:r w:rsidR="00636B12">
        <w:rPr>
          <w:color w:val="auto"/>
          <w:sz w:val="20"/>
          <w:szCs w:val="20"/>
          <w:lang w:val="es-CO"/>
        </w:rPr>
        <w:t xml:space="preserve"> estar sujetos a prescripción. </w:t>
      </w:r>
      <w:r w:rsidR="00CF61A2" w:rsidRPr="00DC278B">
        <w:rPr>
          <w:color w:val="auto"/>
          <w:sz w:val="20"/>
          <w:szCs w:val="20"/>
          <w:lang w:val="es-CO"/>
        </w:rPr>
        <w:t>Además, está suficientemente probado que, para la mayoría de las víctimas de violaciones flagrantes de los derechos humanos, el paso del tiempo no ha borrado las huellas, sino todo lo contrario, pues ha provocado un aumento del estrés postraumático que ha requerido todo tipo de ayuda y asistencia material, médica, psicológica y social durante mucho tiempo</w:t>
      </w:r>
      <w:r w:rsidR="00CF61A2" w:rsidRPr="00DC278B">
        <w:rPr>
          <w:rStyle w:val="FootnoteReference"/>
          <w:rFonts w:ascii="Cambria" w:hAnsi="Cambria"/>
          <w:color w:val="auto"/>
          <w:sz w:val="20"/>
          <w:szCs w:val="20"/>
          <w:lang w:val="es-CO"/>
        </w:rPr>
        <w:footnoteReference w:id="152"/>
      </w:r>
      <w:r w:rsidR="00CF61A2" w:rsidRPr="00DC278B">
        <w:rPr>
          <w:color w:val="auto"/>
          <w:sz w:val="20"/>
          <w:szCs w:val="20"/>
          <w:lang w:val="es-CO"/>
        </w:rPr>
        <w:t>.</w:t>
      </w:r>
    </w:p>
    <w:p w:rsidR="00CF61A2" w:rsidRPr="00DC278B" w:rsidRDefault="00CF61A2" w:rsidP="00DC278B">
      <w:pPr>
        <w:pStyle w:val="MediumGrid1-Accent21"/>
        <w:autoSpaceDE w:val="0"/>
        <w:autoSpaceDN w:val="0"/>
        <w:adjustRightInd w:val="0"/>
        <w:jc w:val="both"/>
        <w:rPr>
          <w:rFonts w:eastAsia="Times New Roman"/>
          <w:color w:val="auto"/>
          <w:sz w:val="20"/>
          <w:szCs w:val="20"/>
          <w:bdr w:val="none" w:sz="0" w:space="0" w:color="auto"/>
          <w:lang w:val="es-CO"/>
        </w:rPr>
      </w:pPr>
    </w:p>
    <w:p w:rsidR="00FB0C38" w:rsidRPr="00DC278B" w:rsidRDefault="00DA676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CO"/>
        </w:rPr>
      </w:pPr>
      <w:r w:rsidRPr="00DC278B">
        <w:rPr>
          <w:rFonts w:ascii="Cambria" w:eastAsia="Times New Roman" w:hAnsi="Cambria"/>
          <w:sz w:val="20"/>
          <w:szCs w:val="20"/>
          <w:bdr w:val="none" w:sz="0" w:space="0" w:color="auto"/>
          <w:lang w:val="es-CO"/>
        </w:rPr>
        <w:t xml:space="preserve">Posteriormente, </w:t>
      </w:r>
      <w:r w:rsidR="000418E7" w:rsidRPr="00DC278B">
        <w:rPr>
          <w:rFonts w:ascii="Cambria" w:eastAsia="Times New Roman" w:hAnsi="Cambria"/>
          <w:sz w:val="20"/>
          <w:szCs w:val="20"/>
          <w:bdr w:val="none" w:sz="0" w:space="0" w:color="auto"/>
          <w:lang w:val="es-CO"/>
        </w:rPr>
        <w:t xml:space="preserve">el </w:t>
      </w:r>
      <w:r w:rsidR="00216DB0" w:rsidRPr="00DC278B">
        <w:rPr>
          <w:rFonts w:ascii="Cambria" w:hAnsi="Cambria"/>
          <w:sz w:val="20"/>
          <w:szCs w:val="20"/>
          <w:lang w:val="es-CO"/>
        </w:rPr>
        <w:t xml:space="preserve">Conjunto </w:t>
      </w:r>
      <w:r w:rsidR="0065564D" w:rsidRPr="00DC278B">
        <w:rPr>
          <w:rFonts w:ascii="Cambria" w:hAnsi="Cambria"/>
          <w:sz w:val="20"/>
          <w:szCs w:val="20"/>
          <w:lang w:val="es-CO"/>
        </w:rPr>
        <w:t xml:space="preserve">Actualizado </w:t>
      </w:r>
      <w:r w:rsidR="00216DB0" w:rsidRPr="00DC278B">
        <w:rPr>
          <w:rFonts w:ascii="Cambria" w:hAnsi="Cambria"/>
          <w:sz w:val="20"/>
          <w:szCs w:val="20"/>
          <w:lang w:val="es-CO"/>
        </w:rPr>
        <w:t>de Principios para la Protección y la P</w:t>
      </w:r>
      <w:r w:rsidR="000418E7" w:rsidRPr="00DC278B">
        <w:rPr>
          <w:rFonts w:ascii="Cambria" w:hAnsi="Cambria"/>
          <w:sz w:val="20"/>
          <w:szCs w:val="20"/>
          <w:lang w:val="es-CO"/>
        </w:rPr>
        <w:t xml:space="preserve">romoción de los </w:t>
      </w:r>
      <w:r w:rsidR="00216DB0" w:rsidRPr="00DC278B">
        <w:rPr>
          <w:rFonts w:ascii="Cambria" w:hAnsi="Cambria"/>
          <w:sz w:val="20"/>
          <w:szCs w:val="20"/>
          <w:lang w:val="es-CO"/>
        </w:rPr>
        <w:t>D</w:t>
      </w:r>
      <w:r w:rsidR="000418E7" w:rsidRPr="00DC278B">
        <w:rPr>
          <w:rFonts w:ascii="Cambria" w:hAnsi="Cambria"/>
          <w:sz w:val="20"/>
          <w:szCs w:val="20"/>
          <w:lang w:val="es-CO"/>
        </w:rPr>
        <w:t xml:space="preserve">erechos </w:t>
      </w:r>
      <w:r w:rsidR="00216DB0" w:rsidRPr="00DC278B">
        <w:rPr>
          <w:rFonts w:ascii="Cambria" w:hAnsi="Cambria"/>
          <w:sz w:val="20"/>
          <w:szCs w:val="20"/>
          <w:lang w:val="es-CO"/>
        </w:rPr>
        <w:t>H</w:t>
      </w:r>
      <w:r w:rsidR="000418E7" w:rsidRPr="00DC278B">
        <w:rPr>
          <w:rFonts w:ascii="Cambria" w:hAnsi="Cambria"/>
          <w:sz w:val="20"/>
          <w:szCs w:val="20"/>
          <w:lang w:val="es-CO"/>
        </w:rPr>
        <w:t xml:space="preserve">umanos mediante la </w:t>
      </w:r>
      <w:r w:rsidR="00216DB0" w:rsidRPr="00DC278B">
        <w:rPr>
          <w:rFonts w:ascii="Cambria" w:hAnsi="Cambria"/>
          <w:sz w:val="20"/>
          <w:szCs w:val="20"/>
          <w:lang w:val="es-CO"/>
        </w:rPr>
        <w:t>L</w:t>
      </w:r>
      <w:r w:rsidR="000418E7" w:rsidRPr="00DC278B">
        <w:rPr>
          <w:rFonts w:ascii="Cambria" w:hAnsi="Cambria"/>
          <w:sz w:val="20"/>
          <w:szCs w:val="20"/>
          <w:lang w:val="es-CO"/>
        </w:rPr>
        <w:t xml:space="preserve">ucha contra la </w:t>
      </w:r>
      <w:r w:rsidR="00216DB0" w:rsidRPr="00DC278B">
        <w:rPr>
          <w:rFonts w:ascii="Cambria" w:hAnsi="Cambria"/>
          <w:sz w:val="20"/>
          <w:szCs w:val="20"/>
          <w:lang w:val="es-CO"/>
        </w:rPr>
        <w:t>I</w:t>
      </w:r>
      <w:r w:rsidR="000418E7" w:rsidRPr="00DC278B">
        <w:rPr>
          <w:rFonts w:ascii="Cambria" w:hAnsi="Cambria"/>
          <w:sz w:val="20"/>
          <w:szCs w:val="20"/>
          <w:lang w:val="es-CO"/>
        </w:rPr>
        <w:t>mpunidad</w:t>
      </w:r>
      <w:r w:rsidR="000418E7" w:rsidRPr="00DC278B">
        <w:rPr>
          <w:rFonts w:ascii="Cambria" w:eastAsia="Times New Roman" w:hAnsi="Cambria"/>
          <w:sz w:val="20"/>
          <w:szCs w:val="20"/>
          <w:bdr w:val="none" w:sz="0" w:space="0" w:color="auto"/>
          <w:lang w:val="es-CO"/>
        </w:rPr>
        <w:t xml:space="preserve"> </w:t>
      </w:r>
      <w:r w:rsidR="000418E7" w:rsidRPr="00DC278B">
        <w:rPr>
          <w:rFonts w:ascii="Cambria" w:hAnsi="Cambria"/>
          <w:sz w:val="20"/>
          <w:szCs w:val="20"/>
          <w:lang w:val="es-CO"/>
        </w:rPr>
        <w:t>adoptados</w:t>
      </w:r>
      <w:r w:rsidR="00523FBE" w:rsidRPr="00DC278B">
        <w:rPr>
          <w:rFonts w:ascii="Cambria" w:hAnsi="Cambria"/>
          <w:sz w:val="20"/>
          <w:szCs w:val="20"/>
          <w:lang w:val="es-CO"/>
        </w:rPr>
        <w:t xml:space="preserve"> en 2005</w:t>
      </w:r>
      <w:r w:rsidR="000418E7" w:rsidRPr="00DC278B">
        <w:rPr>
          <w:rFonts w:ascii="Cambria" w:hAnsi="Cambria"/>
          <w:sz w:val="20"/>
          <w:szCs w:val="20"/>
          <w:lang w:val="es-CO"/>
        </w:rPr>
        <w:t xml:space="preserve"> por la Comisión de Derechos Humanos de la Organización de las Naciones Unidas</w:t>
      </w:r>
      <w:r w:rsidR="00FB0C38" w:rsidRPr="00DC278B">
        <w:rPr>
          <w:rFonts w:ascii="Cambria" w:hAnsi="Cambria"/>
          <w:sz w:val="20"/>
          <w:szCs w:val="20"/>
          <w:lang w:val="es-CO"/>
        </w:rPr>
        <w:t xml:space="preserve">, incluyó </w:t>
      </w:r>
      <w:r w:rsidR="00216DB0" w:rsidRPr="00DC278B">
        <w:rPr>
          <w:rFonts w:ascii="Cambria" w:hAnsi="Cambria"/>
          <w:sz w:val="20"/>
          <w:szCs w:val="20"/>
          <w:lang w:val="es-CO"/>
        </w:rPr>
        <w:t xml:space="preserve">en sus principios 23 y 32 </w:t>
      </w:r>
      <w:r w:rsidR="00973852" w:rsidRPr="00DC278B">
        <w:rPr>
          <w:rFonts w:ascii="Cambria" w:hAnsi="Cambria"/>
          <w:sz w:val="20"/>
          <w:szCs w:val="20"/>
          <w:lang w:val="es-CO"/>
        </w:rPr>
        <w:t>lo siguiente respecto del vínculo entre reclamos de medidas de reparación y la prescripción de acciones civiles en lo atinente a graves violaciones de derechos humanos:</w:t>
      </w:r>
    </w:p>
    <w:p w:rsidR="00FB0C38" w:rsidRPr="00DC278B" w:rsidRDefault="00FB0C38"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CO"/>
        </w:rPr>
      </w:pPr>
    </w:p>
    <w:p w:rsidR="00C02BF2" w:rsidRPr="00DC278B" w:rsidRDefault="00044159"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Arial"/>
          <w:sz w:val="20"/>
          <w:szCs w:val="20"/>
          <w:bdr w:val="none" w:sz="0" w:space="0" w:color="auto"/>
          <w:lang w:val="es-CO"/>
        </w:rPr>
      </w:pPr>
      <w:r w:rsidRPr="00DC278B">
        <w:rPr>
          <w:rFonts w:ascii="Cambria" w:eastAsia="Times New Roman" w:hAnsi="Cambria" w:cs="Arial"/>
          <w:bCs/>
          <w:sz w:val="20"/>
          <w:szCs w:val="20"/>
          <w:bdr w:val="none" w:sz="0" w:space="0" w:color="auto"/>
          <w:lang w:val="es-CO"/>
        </w:rPr>
        <w:t xml:space="preserve">Principio </w:t>
      </w:r>
      <w:r w:rsidR="00C02BF2" w:rsidRPr="00DC278B">
        <w:rPr>
          <w:rFonts w:ascii="Cambria" w:eastAsia="Times New Roman" w:hAnsi="Cambria" w:cs="Arial"/>
          <w:bCs/>
          <w:sz w:val="20"/>
          <w:szCs w:val="20"/>
          <w:bdr w:val="none" w:sz="0" w:space="0" w:color="auto"/>
          <w:lang w:val="es-CO"/>
        </w:rPr>
        <w:t xml:space="preserve">23. </w:t>
      </w:r>
      <w:r w:rsidRPr="00DC278B">
        <w:rPr>
          <w:rFonts w:ascii="Cambria" w:eastAsia="Times New Roman" w:hAnsi="Cambria" w:cs="Arial"/>
          <w:bCs/>
          <w:sz w:val="20"/>
          <w:szCs w:val="20"/>
          <w:bdr w:val="none" w:sz="0" w:space="0" w:color="auto"/>
          <w:lang w:val="es-CO"/>
        </w:rPr>
        <w:t>Restricciones a la prescripción</w:t>
      </w:r>
      <w:r w:rsidR="00C02BF2" w:rsidRPr="00DC278B">
        <w:rPr>
          <w:rFonts w:ascii="Cambria" w:eastAsia="Times New Roman" w:hAnsi="Cambria" w:cs="Arial"/>
          <w:bCs/>
          <w:sz w:val="20"/>
          <w:szCs w:val="20"/>
          <w:bdr w:val="none" w:sz="0" w:space="0" w:color="auto"/>
          <w:lang w:val="es-CO"/>
        </w:rPr>
        <w:t xml:space="preserve"> </w:t>
      </w:r>
    </w:p>
    <w:p w:rsidR="00C02BF2" w:rsidRPr="00DC278B" w:rsidRDefault="00C02BF2"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Arial"/>
          <w:sz w:val="20"/>
          <w:szCs w:val="20"/>
          <w:bdr w:val="none" w:sz="0" w:space="0" w:color="auto"/>
          <w:lang w:val="es-CO"/>
        </w:rPr>
      </w:pPr>
      <w:r w:rsidRPr="00DC278B">
        <w:rPr>
          <w:rFonts w:ascii="Cambria" w:eastAsia="Times New Roman" w:hAnsi="Cambria" w:cs="Arial"/>
          <w:sz w:val="20"/>
          <w:szCs w:val="20"/>
          <w:bdr w:val="none" w:sz="0" w:space="0" w:color="auto"/>
          <w:lang w:val="es-CO"/>
        </w:rPr>
        <w:t xml:space="preserve">La prescripción de una infracción penal, tanto en lo que respecta a las diligencias como a las penas, no podrá correr durante el período en que no existan recursos eficaces contra esa infracción. La prescripción no se aplicará a los delitos graves conforme el derecho internacional que sean por naturaleza imprescriptibles. Cuando se aplica, la prescripción no podrá invocarse en las acciones civiles o administrativas entabladas por las víctimas para obtener reparación. </w:t>
      </w:r>
    </w:p>
    <w:p w:rsidR="003752E2" w:rsidRPr="00DC278B" w:rsidRDefault="003752E2"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Arial"/>
          <w:bCs/>
          <w:sz w:val="20"/>
          <w:szCs w:val="20"/>
          <w:bdr w:val="none" w:sz="0" w:space="0" w:color="auto"/>
          <w:lang w:val="es-CO"/>
        </w:rPr>
      </w:pPr>
    </w:p>
    <w:p w:rsidR="003E0169" w:rsidRPr="00DC278B" w:rsidRDefault="00221710"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Arial"/>
          <w:b/>
          <w:bCs/>
          <w:sz w:val="20"/>
          <w:szCs w:val="20"/>
          <w:bdr w:val="none" w:sz="0" w:space="0" w:color="auto"/>
          <w:lang w:val="es-CO"/>
        </w:rPr>
      </w:pPr>
      <w:r w:rsidRPr="00DC278B">
        <w:rPr>
          <w:rFonts w:ascii="Cambria" w:eastAsia="Times New Roman" w:hAnsi="Cambria" w:cs="Arial"/>
          <w:bCs/>
          <w:sz w:val="20"/>
          <w:szCs w:val="20"/>
          <w:bdr w:val="none" w:sz="0" w:space="0" w:color="auto"/>
          <w:lang w:val="es-CO"/>
        </w:rPr>
        <w:t>Principio 32</w:t>
      </w:r>
      <w:r w:rsidR="003E0169" w:rsidRPr="00DC278B">
        <w:rPr>
          <w:rFonts w:ascii="Cambria" w:eastAsia="Times New Roman" w:hAnsi="Cambria" w:cs="Arial"/>
          <w:bCs/>
          <w:sz w:val="20"/>
          <w:szCs w:val="20"/>
          <w:bdr w:val="none" w:sz="0" w:space="0" w:color="auto"/>
          <w:lang w:val="es-CO"/>
        </w:rPr>
        <w:t>.</w:t>
      </w:r>
      <w:r w:rsidRPr="00DC278B">
        <w:rPr>
          <w:rFonts w:ascii="Cambria" w:eastAsia="Times New Roman" w:hAnsi="Cambria" w:cs="Arial"/>
          <w:bCs/>
          <w:sz w:val="20"/>
          <w:szCs w:val="20"/>
          <w:bdr w:val="none" w:sz="0" w:space="0" w:color="auto"/>
          <w:lang w:val="es-CO"/>
        </w:rPr>
        <w:t xml:space="preserve"> Procedimientos de reparación </w:t>
      </w:r>
    </w:p>
    <w:p w:rsidR="0029596C" w:rsidRPr="00DC278B" w:rsidRDefault="0029596C"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Arial"/>
          <w:sz w:val="20"/>
          <w:szCs w:val="20"/>
          <w:bdr w:val="none" w:sz="0" w:space="0" w:color="auto"/>
          <w:lang w:val="es-CO"/>
        </w:rPr>
      </w:pPr>
    </w:p>
    <w:p w:rsidR="00CF61A2" w:rsidRPr="00DC278B" w:rsidRDefault="003E0169"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Arial"/>
          <w:sz w:val="20"/>
          <w:szCs w:val="20"/>
          <w:bdr w:val="none" w:sz="0" w:space="0" w:color="auto"/>
          <w:lang w:val="es-CO"/>
        </w:rPr>
      </w:pPr>
      <w:r w:rsidRPr="00DC278B">
        <w:rPr>
          <w:rFonts w:ascii="Cambria" w:eastAsia="Times New Roman" w:hAnsi="Cambria" w:cs="Arial"/>
          <w:sz w:val="20"/>
          <w:szCs w:val="20"/>
          <w:bdr w:val="none" w:sz="0" w:space="0" w:color="auto"/>
          <w:lang w:val="es-CO"/>
        </w:rPr>
        <w:t>Tanto por la vía penal como por la civil, administrativa o disciplinaria, toda víctima debe tener la posibilidad de ejercer un recurso accesible, rápido y eficaz, que incluirá las restricciones que a la pres</w:t>
      </w:r>
      <w:r w:rsidR="0025289F" w:rsidRPr="00DC278B">
        <w:rPr>
          <w:rFonts w:ascii="Cambria" w:eastAsia="Times New Roman" w:hAnsi="Cambria" w:cs="Arial"/>
          <w:sz w:val="20"/>
          <w:szCs w:val="20"/>
          <w:bdr w:val="none" w:sz="0" w:space="0" w:color="auto"/>
          <w:lang w:val="es-CO"/>
        </w:rPr>
        <w:t>cripción impone el principio 23 (…)</w:t>
      </w:r>
      <w:r w:rsidR="0025289F" w:rsidRPr="00DC278B">
        <w:rPr>
          <w:rFonts w:ascii="Cambria" w:eastAsia="Times New Roman" w:hAnsi="Cambria"/>
          <w:bCs/>
          <w:sz w:val="20"/>
          <w:szCs w:val="20"/>
          <w:bdr w:val="none" w:sz="0" w:space="0" w:color="auto"/>
          <w:vertAlign w:val="superscript"/>
          <w:lang w:val="es-CO"/>
        </w:rPr>
        <w:footnoteReference w:id="153"/>
      </w:r>
      <w:r w:rsidR="001A5B85" w:rsidRPr="00DC278B">
        <w:rPr>
          <w:rFonts w:ascii="Cambria" w:eastAsia="Times New Roman" w:hAnsi="Cambria" w:cs="Arial"/>
          <w:sz w:val="20"/>
          <w:szCs w:val="20"/>
          <w:bdr w:val="none" w:sz="0" w:space="0" w:color="auto"/>
          <w:lang w:val="es-CO"/>
        </w:rPr>
        <w:t>.</w:t>
      </w:r>
    </w:p>
    <w:p w:rsidR="00221710" w:rsidRPr="00DC278B" w:rsidRDefault="00221710"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CO"/>
        </w:rPr>
      </w:pPr>
    </w:p>
    <w:p w:rsidR="00785651" w:rsidRPr="00DC278B" w:rsidRDefault="00D34CF4"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DC278B">
        <w:rPr>
          <w:rFonts w:ascii="Cambria" w:hAnsi="Cambria"/>
          <w:sz w:val="20"/>
          <w:szCs w:val="20"/>
          <w:lang w:val="es-CO"/>
        </w:rPr>
        <w:t xml:space="preserve">En 2006 la Asamblea General de Naciones Unidas aprobó </w:t>
      </w:r>
      <w:r w:rsidR="00CF61A2" w:rsidRPr="00DC278B">
        <w:rPr>
          <w:rFonts w:ascii="Cambria" w:eastAsia="Times New Roman" w:hAnsi="Cambria"/>
          <w:sz w:val="20"/>
          <w:szCs w:val="20"/>
          <w:bdr w:val="none" w:sz="0" w:space="0" w:color="auto"/>
          <w:lang w:val="es-CO"/>
        </w:rPr>
        <w:t xml:space="preserve">los Principios y Directrices Básicos sobre el Derecho de las Víctimas de Violaciones Manifiestas de las Normas Internacionales de Derechos Humanos y de Violaciones Graves del </w:t>
      </w:r>
      <w:r w:rsidR="00CF61A2" w:rsidRPr="00DC278B">
        <w:rPr>
          <w:rFonts w:ascii="Cambria" w:eastAsia="Calibri" w:hAnsi="Cambria" w:cs="Verdana"/>
          <w:bCs/>
          <w:sz w:val="20"/>
          <w:szCs w:val="20"/>
          <w:lang w:val="es-MX" w:eastAsia="es-MX"/>
        </w:rPr>
        <w:t>Derecho</w:t>
      </w:r>
      <w:r w:rsidR="00CF61A2" w:rsidRPr="00DC278B">
        <w:rPr>
          <w:rFonts w:ascii="Cambria" w:eastAsia="Times New Roman" w:hAnsi="Cambria"/>
          <w:sz w:val="20"/>
          <w:szCs w:val="20"/>
          <w:bdr w:val="none" w:sz="0" w:space="0" w:color="auto"/>
          <w:lang w:val="es-CO"/>
        </w:rPr>
        <w:t xml:space="preserve"> Internacional Humanitario a Interponer Recursos y Obtener Reparaciones</w:t>
      </w:r>
      <w:r w:rsidR="002D2BDD">
        <w:rPr>
          <w:rFonts w:ascii="Cambria" w:eastAsia="Times New Roman" w:hAnsi="Cambria"/>
          <w:sz w:val="20"/>
          <w:szCs w:val="20"/>
          <w:bdr w:val="none" w:sz="0" w:space="0" w:color="auto"/>
          <w:lang w:val="es-CO"/>
        </w:rPr>
        <w:t xml:space="preserve">. </w:t>
      </w:r>
      <w:r w:rsidR="00785651" w:rsidRPr="00DC278B">
        <w:rPr>
          <w:rFonts w:ascii="Cambria" w:eastAsia="Times New Roman" w:hAnsi="Cambria"/>
          <w:sz w:val="20"/>
          <w:szCs w:val="20"/>
          <w:bdr w:val="none" w:sz="0" w:space="0" w:color="auto"/>
          <w:lang w:val="es-CO"/>
        </w:rPr>
        <w:t xml:space="preserve">Los principios 6 y 7 </w:t>
      </w:r>
      <w:r w:rsidR="00996BB4" w:rsidRPr="00DC278B">
        <w:rPr>
          <w:rFonts w:ascii="Cambria" w:eastAsia="Times New Roman" w:hAnsi="Cambria"/>
          <w:sz w:val="20"/>
          <w:szCs w:val="20"/>
          <w:bdr w:val="none" w:sz="0" w:space="0" w:color="auto"/>
          <w:lang w:val="es-CO"/>
        </w:rPr>
        <w:t>de dicho instrumento indica</w:t>
      </w:r>
      <w:r w:rsidR="00785651" w:rsidRPr="00DC278B">
        <w:rPr>
          <w:rFonts w:ascii="Cambria" w:eastAsia="Times New Roman" w:hAnsi="Cambria"/>
          <w:sz w:val="20"/>
          <w:szCs w:val="20"/>
          <w:bdr w:val="none" w:sz="0" w:space="0" w:color="auto"/>
          <w:lang w:val="es-CO"/>
        </w:rPr>
        <w:t xml:space="preserve">n que: </w:t>
      </w:r>
    </w:p>
    <w:p w:rsidR="00785651" w:rsidRPr="00DC278B" w:rsidRDefault="00785651"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CO"/>
        </w:rPr>
      </w:pPr>
    </w:p>
    <w:p w:rsidR="00996BB4" w:rsidRPr="00DC278B" w:rsidRDefault="00996BB4" w:rsidP="00DC278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CO"/>
        </w:rPr>
      </w:pPr>
      <w:r w:rsidRPr="00DC278B">
        <w:rPr>
          <w:rFonts w:ascii="Cambria" w:hAnsi="Cambria" w:cs="Arial"/>
          <w:sz w:val="20"/>
          <w:szCs w:val="20"/>
          <w:lang w:val="es-CO"/>
        </w:rPr>
        <w:t xml:space="preserve">6. Cuando así se disponga en un tratado aplicable o forme parte de otras obligaciones jurídicas internacionales, no prescribirán las violaciones manifiestas de las normas internacionales de derechos humanos ni las violaciones graves del derecho internacional humanitario que constituyan crímenes en virtud del derecho internacional. </w:t>
      </w:r>
    </w:p>
    <w:p w:rsidR="00785651" w:rsidRPr="00DC278B" w:rsidRDefault="00785651" w:rsidP="00DC278B">
      <w:pPr>
        <w:pStyle w:val="NormalWeb"/>
        <w:spacing w:before="0" w:beforeAutospacing="0" w:after="0" w:afterAutospacing="0"/>
        <w:ind w:left="720" w:right="720"/>
        <w:jc w:val="both"/>
        <w:rPr>
          <w:rFonts w:ascii="Cambria" w:hAnsi="Cambria" w:cs="Arial"/>
          <w:sz w:val="20"/>
          <w:szCs w:val="20"/>
          <w:lang w:val="es-CO"/>
        </w:rPr>
      </w:pPr>
    </w:p>
    <w:p w:rsidR="00996BB4" w:rsidRPr="00DC278B" w:rsidRDefault="00996BB4" w:rsidP="00DC278B">
      <w:pPr>
        <w:pStyle w:val="NormalWeb"/>
        <w:spacing w:before="0" w:beforeAutospacing="0" w:after="0" w:afterAutospacing="0"/>
        <w:ind w:left="720" w:right="720"/>
        <w:jc w:val="both"/>
        <w:rPr>
          <w:rFonts w:ascii="Cambria" w:hAnsi="Cambria" w:cs="Arial"/>
          <w:sz w:val="20"/>
          <w:szCs w:val="20"/>
          <w:lang w:val="es-CO"/>
        </w:rPr>
      </w:pPr>
      <w:r w:rsidRPr="00DC278B">
        <w:rPr>
          <w:rFonts w:ascii="Cambria" w:hAnsi="Cambria" w:cs="Arial"/>
          <w:sz w:val="20"/>
          <w:szCs w:val="20"/>
          <w:lang w:val="es-CO"/>
        </w:rPr>
        <w:t>7. Las disposiciones nacionales sobre la prescripción de otros tipos de violaciones que no constituyan crímenes en virtud del derecho internacional, incluida la prescripción de las acciones civiles y otros procedimientos, no deberían ser excesivamente restrictivas</w:t>
      </w:r>
      <w:r w:rsidR="00361765" w:rsidRPr="00DC278B">
        <w:rPr>
          <w:rFonts w:ascii="Cambria" w:hAnsi="Cambria"/>
          <w:sz w:val="20"/>
          <w:szCs w:val="20"/>
          <w:vertAlign w:val="superscript"/>
          <w:lang w:val="es-CO"/>
        </w:rPr>
        <w:footnoteReference w:id="154"/>
      </w:r>
      <w:r w:rsidRPr="00DC278B">
        <w:rPr>
          <w:rFonts w:ascii="Cambria" w:hAnsi="Cambria" w:cs="Arial"/>
          <w:sz w:val="20"/>
          <w:szCs w:val="20"/>
          <w:lang w:val="es-CO"/>
        </w:rPr>
        <w:t xml:space="preserve">. </w:t>
      </w:r>
    </w:p>
    <w:p w:rsidR="00996BB4" w:rsidRPr="00DC278B" w:rsidRDefault="00996BB4"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CO"/>
        </w:rPr>
      </w:pPr>
    </w:p>
    <w:p w:rsidR="00EB711E" w:rsidRDefault="004D7EB0" w:rsidP="002D2BD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CO"/>
        </w:rPr>
      </w:pPr>
      <w:r w:rsidRPr="00DC278B">
        <w:rPr>
          <w:rFonts w:ascii="Cambria" w:eastAsia="Times New Roman" w:hAnsi="Cambria"/>
          <w:sz w:val="20"/>
          <w:szCs w:val="20"/>
          <w:bdr w:val="none" w:sz="0" w:space="0" w:color="auto"/>
          <w:lang w:val="es-CO"/>
        </w:rPr>
        <w:t xml:space="preserve">La Comisión toma nota también de algunos desarrollos en la materia en el derecho comparado. </w:t>
      </w:r>
    </w:p>
    <w:p w:rsidR="00F979A7" w:rsidRPr="002D2BDD" w:rsidRDefault="00F979A7" w:rsidP="00F979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CO"/>
        </w:rPr>
      </w:pPr>
    </w:p>
    <w:p w:rsidR="00745443" w:rsidRPr="00DC278B" w:rsidRDefault="00EB711E"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CO"/>
        </w:rPr>
      </w:pPr>
      <w:r w:rsidRPr="00DC278B">
        <w:rPr>
          <w:rFonts w:ascii="Cambria" w:eastAsia="Times New Roman" w:hAnsi="Cambria"/>
          <w:sz w:val="20"/>
          <w:szCs w:val="20"/>
          <w:bdr w:val="none" w:sz="0" w:space="0" w:color="auto"/>
          <w:lang w:val="es-CO"/>
        </w:rPr>
        <w:t>Así, en el caso de Colombia, el Consejo de Estado en el marco de acciones de repara</w:t>
      </w:r>
      <w:r w:rsidR="008C2925">
        <w:rPr>
          <w:rFonts w:ascii="Cambria" w:eastAsia="Times New Roman" w:hAnsi="Cambria"/>
          <w:sz w:val="20"/>
          <w:szCs w:val="20"/>
          <w:bdr w:val="none" w:sz="0" w:space="0" w:color="auto"/>
          <w:lang w:val="es-CO"/>
        </w:rPr>
        <w:t xml:space="preserve">ción directa contra el Estado, </w:t>
      </w:r>
      <w:r w:rsidRPr="00DC278B">
        <w:rPr>
          <w:rFonts w:ascii="Cambria" w:eastAsia="Times New Roman" w:hAnsi="Cambria"/>
          <w:sz w:val="20"/>
          <w:szCs w:val="20"/>
          <w:bdr w:val="none" w:sz="0" w:space="0" w:color="auto"/>
          <w:lang w:val="es-CO"/>
        </w:rPr>
        <w:t>ha</w:t>
      </w:r>
      <w:r w:rsidR="00C90F7C" w:rsidRPr="00DC278B">
        <w:rPr>
          <w:rFonts w:ascii="Cambria" w:eastAsia="Times New Roman" w:hAnsi="Cambria"/>
          <w:sz w:val="20"/>
          <w:szCs w:val="20"/>
          <w:bdr w:val="none" w:sz="0" w:space="0" w:color="auto"/>
          <w:lang w:val="es-CO"/>
        </w:rPr>
        <w:t xml:space="preserve"> emitido múltiples sentencias en las cuales ha</w:t>
      </w:r>
      <w:r w:rsidRPr="00DC278B">
        <w:rPr>
          <w:rFonts w:ascii="Cambria" w:eastAsia="Times New Roman" w:hAnsi="Cambria"/>
          <w:sz w:val="20"/>
          <w:szCs w:val="20"/>
          <w:bdr w:val="none" w:sz="0" w:space="0" w:color="auto"/>
          <w:lang w:val="es-CO"/>
        </w:rPr>
        <w:t xml:space="preserve"> inaplicado el plazo de dos años de caducidad de dichas acciones cuando se trata de daños </w:t>
      </w:r>
      <w:r w:rsidR="00B34AEA" w:rsidRPr="00DC278B">
        <w:rPr>
          <w:rFonts w:ascii="Cambria" w:eastAsia="Times New Roman" w:hAnsi="Cambria"/>
          <w:sz w:val="20"/>
          <w:szCs w:val="20"/>
          <w:bdr w:val="none" w:sz="0" w:space="0" w:color="auto"/>
          <w:lang w:val="es-CO"/>
        </w:rPr>
        <w:t xml:space="preserve">ocasionados por la comisión </w:t>
      </w:r>
      <w:r w:rsidR="002D2BDD">
        <w:rPr>
          <w:rFonts w:ascii="Cambria" w:eastAsia="Times New Roman" w:hAnsi="Cambria"/>
          <w:sz w:val="20"/>
          <w:szCs w:val="20"/>
          <w:bdr w:val="none" w:sz="0" w:space="0" w:color="auto"/>
          <w:lang w:val="es-CO"/>
        </w:rPr>
        <w:t>de un crimen de lesa humanidad.</w:t>
      </w:r>
      <w:r w:rsidRPr="00DC278B">
        <w:rPr>
          <w:rFonts w:ascii="Cambria" w:eastAsia="Times New Roman" w:hAnsi="Cambria"/>
          <w:sz w:val="20"/>
          <w:szCs w:val="20"/>
          <w:bdr w:val="none" w:sz="0" w:space="0" w:color="auto"/>
          <w:lang w:val="es-CO"/>
        </w:rPr>
        <w:t xml:space="preserve"> </w:t>
      </w:r>
      <w:r w:rsidR="00745443" w:rsidRPr="00DC278B">
        <w:rPr>
          <w:rFonts w:ascii="Cambria" w:eastAsia="Times New Roman" w:hAnsi="Cambria"/>
          <w:sz w:val="20"/>
          <w:szCs w:val="20"/>
          <w:bdr w:val="none" w:sz="0" w:space="0" w:color="auto"/>
          <w:lang w:val="es-CO"/>
        </w:rPr>
        <w:t xml:space="preserve">Esta conclusión fue el resultado de un ejercicio de ponderación entre la seguridad jurídica que buscan proteger los términos de caducidad, </w:t>
      </w:r>
      <w:r w:rsidR="0000786D">
        <w:rPr>
          <w:rFonts w:ascii="Cambria" w:eastAsia="Times New Roman" w:hAnsi="Cambria"/>
          <w:sz w:val="20"/>
          <w:szCs w:val="20"/>
          <w:bdr w:val="none" w:sz="0" w:space="0" w:color="auto"/>
          <w:lang w:val="es-CO"/>
        </w:rPr>
        <w:t xml:space="preserve">y </w:t>
      </w:r>
      <w:r w:rsidR="00745443" w:rsidRPr="00DC278B">
        <w:rPr>
          <w:rFonts w:ascii="Cambria" w:eastAsia="Times New Roman" w:hAnsi="Cambria"/>
          <w:sz w:val="20"/>
          <w:szCs w:val="20"/>
          <w:bdr w:val="none" w:sz="0" w:space="0" w:color="auto"/>
          <w:lang w:val="es-CO"/>
        </w:rPr>
        <w:t>e</w:t>
      </w:r>
      <w:r w:rsidR="0000786D">
        <w:rPr>
          <w:rFonts w:ascii="Cambria" w:eastAsia="Times New Roman" w:hAnsi="Cambria"/>
          <w:sz w:val="20"/>
          <w:szCs w:val="20"/>
          <w:bdr w:val="none" w:sz="0" w:space="0" w:color="auto"/>
          <w:lang w:val="es-CO"/>
        </w:rPr>
        <w:t>l</w:t>
      </w:r>
      <w:r w:rsidR="00745443" w:rsidRPr="00DC278B">
        <w:rPr>
          <w:rFonts w:ascii="Cambria" w:eastAsia="Times New Roman" w:hAnsi="Cambria"/>
          <w:sz w:val="20"/>
          <w:szCs w:val="20"/>
          <w:bdr w:val="none" w:sz="0" w:space="0" w:color="auto"/>
          <w:lang w:val="es-CO"/>
        </w:rPr>
        <w:t xml:space="preserve"> imperativo de brindar reparación </w:t>
      </w:r>
      <w:r w:rsidR="0000786D">
        <w:rPr>
          <w:rFonts w:ascii="Cambria" w:eastAsia="Times New Roman" w:hAnsi="Cambria"/>
          <w:sz w:val="20"/>
          <w:szCs w:val="20"/>
          <w:bdr w:val="none" w:sz="0" w:space="0" w:color="auto"/>
          <w:lang w:val="es-CO"/>
        </w:rPr>
        <w:t>d</w:t>
      </w:r>
      <w:r w:rsidR="00745443" w:rsidRPr="00DC278B">
        <w:rPr>
          <w:rFonts w:ascii="Cambria" w:eastAsia="Times New Roman" w:hAnsi="Cambria"/>
          <w:sz w:val="20"/>
          <w:szCs w:val="20"/>
          <w:bdr w:val="none" w:sz="0" w:space="0" w:color="auto"/>
          <w:lang w:val="es-CO"/>
        </w:rPr>
        <w:t>el daño ocasionado en este tipo de delitos</w:t>
      </w:r>
      <w:r w:rsidR="002B381F" w:rsidRPr="00710C1C">
        <w:rPr>
          <w:rStyle w:val="FootnoteReference"/>
          <w:rFonts w:asciiTheme="majorHAnsi" w:eastAsia="Times New Roman" w:hAnsiTheme="majorHAnsi"/>
          <w:sz w:val="20"/>
          <w:szCs w:val="20"/>
          <w:bdr w:val="none" w:sz="0" w:space="0" w:color="auto"/>
          <w:lang w:val="es-CO"/>
        </w:rPr>
        <w:footnoteReference w:id="155"/>
      </w:r>
      <w:r w:rsidR="00745443" w:rsidRPr="00DC278B">
        <w:rPr>
          <w:rFonts w:ascii="Cambria" w:eastAsia="Times New Roman" w:hAnsi="Cambria"/>
          <w:sz w:val="20"/>
          <w:szCs w:val="20"/>
          <w:bdr w:val="none" w:sz="0" w:space="0" w:color="auto"/>
          <w:lang w:val="es-CO"/>
        </w:rPr>
        <w:t xml:space="preserve">. </w:t>
      </w:r>
    </w:p>
    <w:p w:rsidR="00745443" w:rsidRPr="00DC278B" w:rsidRDefault="00745443" w:rsidP="00DC278B">
      <w:pPr>
        <w:pStyle w:val="ListParagraph"/>
        <w:rPr>
          <w:rFonts w:ascii="Cambria" w:eastAsia="Times New Roman" w:hAnsi="Cambria"/>
          <w:sz w:val="20"/>
          <w:szCs w:val="20"/>
          <w:bdr w:val="none" w:sz="0" w:space="0" w:color="auto"/>
          <w:lang w:val="es-CO"/>
        </w:rPr>
      </w:pPr>
    </w:p>
    <w:p w:rsidR="00EB711E" w:rsidRPr="00DC278B" w:rsidRDefault="0095637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CO"/>
        </w:rPr>
      </w:pPr>
      <w:r w:rsidRPr="00DC278B">
        <w:rPr>
          <w:rFonts w:ascii="Cambria" w:eastAsia="Times New Roman" w:hAnsi="Cambria"/>
          <w:sz w:val="20"/>
          <w:szCs w:val="20"/>
          <w:bdr w:val="none" w:sz="0" w:space="0" w:color="auto"/>
          <w:lang w:val="es-CO"/>
        </w:rPr>
        <w:t xml:space="preserve">En </w:t>
      </w:r>
      <w:r w:rsidR="00814F29" w:rsidRPr="00DC278B">
        <w:rPr>
          <w:rFonts w:ascii="Cambria" w:eastAsia="Times New Roman" w:hAnsi="Cambria"/>
          <w:sz w:val="20"/>
          <w:szCs w:val="20"/>
          <w:bdr w:val="none" w:sz="0" w:space="0" w:color="auto"/>
          <w:lang w:val="es-CO"/>
        </w:rPr>
        <w:t>palabras del Consejo de Estado</w:t>
      </w:r>
      <w:r w:rsidR="00755F68" w:rsidRPr="00DC278B">
        <w:rPr>
          <w:rFonts w:ascii="Cambria" w:eastAsia="Times New Roman" w:hAnsi="Cambria"/>
          <w:sz w:val="20"/>
          <w:szCs w:val="20"/>
          <w:bdr w:val="none" w:sz="0" w:space="0" w:color="auto"/>
          <w:lang w:val="es-CO"/>
        </w:rPr>
        <w:t xml:space="preserve">: </w:t>
      </w:r>
    </w:p>
    <w:p w:rsidR="00E80CF9" w:rsidRPr="00DC278B" w:rsidRDefault="00E80CF9" w:rsidP="00DC278B">
      <w:pPr>
        <w:pStyle w:val="MediumGrid1-Accent21"/>
        <w:autoSpaceDE w:val="0"/>
        <w:autoSpaceDN w:val="0"/>
        <w:adjustRightInd w:val="0"/>
        <w:ind w:left="0"/>
        <w:jc w:val="both"/>
        <w:rPr>
          <w:rFonts w:eastAsia="Times New Roman"/>
          <w:color w:val="auto"/>
          <w:sz w:val="20"/>
          <w:szCs w:val="20"/>
          <w:bdr w:val="none" w:sz="0" w:space="0" w:color="auto"/>
          <w:lang w:val="es-CO"/>
        </w:rPr>
      </w:pPr>
    </w:p>
    <w:p w:rsidR="007C0286" w:rsidRPr="00DC278B" w:rsidRDefault="007C0286" w:rsidP="00DC278B">
      <w:pPr>
        <w:autoSpaceDE w:val="0"/>
        <w:autoSpaceDN w:val="0"/>
        <w:adjustRightInd w:val="0"/>
        <w:ind w:left="720" w:right="720"/>
        <w:jc w:val="both"/>
        <w:rPr>
          <w:rFonts w:ascii="Cambria" w:hAnsi="Cambria" w:cs="Arial"/>
          <w:sz w:val="20"/>
          <w:szCs w:val="20"/>
          <w:lang w:val="es-CO"/>
        </w:rPr>
      </w:pPr>
      <w:r w:rsidRPr="00DC278B">
        <w:rPr>
          <w:rFonts w:ascii="Cambria" w:hAnsi="Cambria" w:cs="Arial"/>
          <w:sz w:val="20"/>
          <w:szCs w:val="20"/>
          <w:lang w:val="es-CO"/>
        </w:rPr>
        <w:t xml:space="preserve">Desde este punto de vista, la caducidad se institucionaliza como un concepto temporal, perentorio y </w:t>
      </w:r>
      <w:proofErr w:type="spellStart"/>
      <w:r w:rsidRPr="00DC278B">
        <w:rPr>
          <w:rFonts w:ascii="Cambria" w:hAnsi="Cambria" w:cs="Arial"/>
          <w:sz w:val="20"/>
          <w:szCs w:val="20"/>
          <w:lang w:val="es-CO"/>
        </w:rPr>
        <w:t>preclusivo</w:t>
      </w:r>
      <w:proofErr w:type="spellEnd"/>
      <w:r w:rsidRPr="00DC278B">
        <w:rPr>
          <w:rFonts w:ascii="Cambria" w:hAnsi="Cambria" w:cs="Arial"/>
          <w:sz w:val="20"/>
          <w:szCs w:val="20"/>
          <w:lang w:val="es-CO"/>
        </w:rPr>
        <w:t xml:space="preserve"> de orden, estabilidad, interés general y seguridad jurídica para los asociados y la administración desde la perspectiva procesal, generando certidumbre y materializando el ejercicio razonable y proporcional que toda </w:t>
      </w:r>
      <w:r w:rsidRPr="00DC278B">
        <w:rPr>
          <w:rFonts w:ascii="Cambria" w:hAnsi="Cambria" w:cs="Arial"/>
          <w:sz w:val="20"/>
          <w:szCs w:val="20"/>
          <w:lang w:val="es-CO" w:eastAsia="es-CO"/>
        </w:rPr>
        <w:t>persona</w:t>
      </w:r>
      <w:r w:rsidRPr="00DC278B">
        <w:rPr>
          <w:rFonts w:ascii="Cambria" w:hAnsi="Cambria" w:cs="Arial"/>
          <w:sz w:val="20"/>
          <w:szCs w:val="20"/>
          <w:lang w:val="es-CO"/>
        </w:rPr>
        <w:t xml:space="preserve"> tiene para hacer valer sus derechos ante las autoridades judiciales.</w:t>
      </w:r>
    </w:p>
    <w:p w:rsidR="007C0286" w:rsidRPr="00DC278B" w:rsidRDefault="007C0286" w:rsidP="00DC278B">
      <w:pPr>
        <w:ind w:left="720" w:right="720"/>
        <w:jc w:val="both"/>
        <w:rPr>
          <w:rFonts w:ascii="Cambria" w:hAnsi="Cambria" w:cs="Arial"/>
          <w:sz w:val="20"/>
          <w:szCs w:val="20"/>
          <w:lang w:val="es-CO"/>
        </w:rPr>
      </w:pPr>
    </w:p>
    <w:p w:rsidR="007C0286" w:rsidRPr="00DC278B" w:rsidRDefault="007C0286" w:rsidP="00DC278B">
      <w:pPr>
        <w:autoSpaceDE w:val="0"/>
        <w:autoSpaceDN w:val="0"/>
        <w:adjustRightInd w:val="0"/>
        <w:ind w:left="720" w:right="720"/>
        <w:jc w:val="both"/>
        <w:rPr>
          <w:rFonts w:ascii="Cambria" w:hAnsi="Cambria" w:cs="Arial"/>
          <w:sz w:val="20"/>
          <w:szCs w:val="20"/>
          <w:lang w:val="es-CO"/>
        </w:rPr>
      </w:pPr>
      <w:r w:rsidRPr="00DC278B">
        <w:rPr>
          <w:rFonts w:ascii="Cambria" w:hAnsi="Cambria" w:cs="Arial"/>
          <w:sz w:val="20"/>
          <w:szCs w:val="20"/>
          <w:lang w:val="es-CO"/>
        </w:rPr>
        <w:t>(…)</w:t>
      </w:r>
    </w:p>
    <w:p w:rsidR="007C0286" w:rsidRPr="00DC278B" w:rsidRDefault="007C0286" w:rsidP="00DC278B">
      <w:pPr>
        <w:ind w:left="720" w:right="720"/>
        <w:jc w:val="both"/>
        <w:rPr>
          <w:rFonts w:ascii="Cambria" w:hAnsi="Cambria" w:cs="Arial"/>
          <w:sz w:val="20"/>
          <w:szCs w:val="20"/>
          <w:lang w:val="es-CO"/>
        </w:rPr>
      </w:pPr>
      <w:r w:rsidRPr="00DC278B">
        <w:rPr>
          <w:rFonts w:ascii="Cambria" w:hAnsi="Cambria" w:cs="Arial"/>
          <w:sz w:val="20"/>
          <w:szCs w:val="20"/>
          <w:lang w:val="es-CO"/>
        </w:rPr>
        <w:t>Todo lo anterior sin perjuicio de las excepciones que ha elaborado la jurisprudencia de esta Corporación cuando ha advertido que los hechos que sustentan el medio de control de reparación directa admiten su encuadramiento como un acto de lesa humanidad</w:t>
      </w:r>
      <w:r w:rsidR="002430EF" w:rsidRPr="00DC278B">
        <w:rPr>
          <w:rFonts w:ascii="Cambria" w:hAnsi="Cambria" w:cs="Arial"/>
          <w:sz w:val="20"/>
          <w:szCs w:val="20"/>
          <w:lang w:val="es-CO"/>
        </w:rPr>
        <w:t xml:space="preserve"> (…).</w:t>
      </w:r>
    </w:p>
    <w:p w:rsidR="007C0286" w:rsidRPr="00DC278B" w:rsidRDefault="007C0286" w:rsidP="00DC278B">
      <w:pPr>
        <w:ind w:left="720" w:right="720"/>
        <w:jc w:val="both"/>
        <w:rPr>
          <w:rFonts w:ascii="Cambria" w:hAnsi="Cambria" w:cs="Arial"/>
          <w:sz w:val="20"/>
          <w:szCs w:val="20"/>
          <w:lang w:val="es-CO"/>
        </w:rPr>
      </w:pPr>
    </w:p>
    <w:p w:rsidR="007C0286" w:rsidRPr="00DC278B" w:rsidRDefault="007C0286" w:rsidP="00DC278B">
      <w:pPr>
        <w:ind w:left="720" w:right="720"/>
        <w:jc w:val="both"/>
        <w:rPr>
          <w:rFonts w:ascii="Cambria" w:hAnsi="Cambria" w:cs="Arial"/>
          <w:iCs/>
          <w:sz w:val="20"/>
          <w:szCs w:val="20"/>
          <w:shd w:val="clear" w:color="auto" w:fill="FFFFFF"/>
          <w:lang w:val="es-CO"/>
        </w:rPr>
      </w:pPr>
      <w:r w:rsidRPr="00DC278B">
        <w:rPr>
          <w:rFonts w:ascii="Cambria" w:hAnsi="Cambria" w:cs="Arial"/>
          <w:iCs/>
          <w:sz w:val="20"/>
          <w:szCs w:val="20"/>
          <w:shd w:val="clear" w:color="auto" w:fill="FFFFFF"/>
          <w:lang w:val="es-CO"/>
        </w:rPr>
        <w:t xml:space="preserve">Así, se tiene que los de lesa humanidad se comprenden como “aquellos actos ominosos que niegan la existencia y vigencia </w:t>
      </w:r>
      <w:r w:rsidRPr="00DC278B">
        <w:rPr>
          <w:rFonts w:ascii="Cambria" w:hAnsi="Cambria" w:cs="Arial"/>
          <w:sz w:val="20"/>
          <w:szCs w:val="20"/>
          <w:lang w:val="es-CO"/>
        </w:rPr>
        <w:t>imperativa de los Derechos Humanos en la sociedad al atentar contra la dignidad humana por medio de acciones que llevan a la degradación de la condición de las personas, generando así no sólo una afectación a quienes físicamente han padecido tales actos sino que agrediendo a la conciencia de toda la humanidad”</w:t>
      </w:r>
      <w:r w:rsidR="00474206" w:rsidRPr="00DC278B">
        <w:rPr>
          <w:rFonts w:ascii="Cambria" w:hAnsi="Cambria" w:cs="Arial"/>
          <w:sz w:val="20"/>
          <w:szCs w:val="20"/>
          <w:lang w:val="es-CO"/>
        </w:rPr>
        <w:t xml:space="preserve"> (…).</w:t>
      </w:r>
    </w:p>
    <w:p w:rsidR="007C0286" w:rsidRPr="00DC278B" w:rsidRDefault="007C0286" w:rsidP="00DC278B">
      <w:pPr>
        <w:ind w:left="720" w:right="720"/>
        <w:jc w:val="both"/>
        <w:rPr>
          <w:rFonts w:ascii="Cambria" w:hAnsi="Cambria" w:cs="Arial"/>
          <w:iCs/>
          <w:sz w:val="20"/>
          <w:szCs w:val="20"/>
          <w:shd w:val="clear" w:color="auto" w:fill="FFFFFF"/>
          <w:lang w:val="es-CO"/>
        </w:rPr>
      </w:pPr>
    </w:p>
    <w:p w:rsidR="007C0286" w:rsidRPr="00DC278B" w:rsidRDefault="00AD37DF" w:rsidP="00DC278B">
      <w:pPr>
        <w:ind w:left="720" w:right="720"/>
        <w:jc w:val="both"/>
        <w:rPr>
          <w:rFonts w:ascii="Cambria" w:hAnsi="Cambria" w:cs="Arial"/>
          <w:sz w:val="20"/>
          <w:szCs w:val="20"/>
          <w:lang w:val="es-ES"/>
        </w:rPr>
      </w:pPr>
      <w:r w:rsidRPr="00DC278B">
        <w:rPr>
          <w:rFonts w:ascii="Cambria" w:hAnsi="Cambria" w:cs="Arial"/>
          <w:sz w:val="20"/>
          <w:szCs w:val="20"/>
          <w:lang w:val="es-ES"/>
        </w:rPr>
        <w:t>(…)</w:t>
      </w:r>
    </w:p>
    <w:p w:rsidR="00AD37DF" w:rsidRPr="00DC278B" w:rsidRDefault="00AD37DF" w:rsidP="00DC278B">
      <w:pPr>
        <w:ind w:left="720" w:right="720"/>
        <w:jc w:val="both"/>
        <w:rPr>
          <w:rFonts w:ascii="Cambria" w:hAnsi="Cambria" w:cs="Arial"/>
          <w:sz w:val="20"/>
          <w:szCs w:val="20"/>
          <w:lang w:val="es-ES"/>
        </w:rPr>
      </w:pPr>
    </w:p>
    <w:p w:rsidR="007C0286" w:rsidRPr="00DC278B" w:rsidRDefault="007C0286" w:rsidP="00DC278B">
      <w:pPr>
        <w:tabs>
          <w:tab w:val="left" w:pos="-1843"/>
          <w:tab w:val="left" w:pos="-1560"/>
          <w:tab w:val="left" w:pos="284"/>
        </w:tabs>
        <w:ind w:left="720" w:right="720"/>
        <w:jc w:val="both"/>
        <w:rPr>
          <w:rFonts w:ascii="Cambria" w:hAnsi="Cambria" w:cs="Arial"/>
          <w:sz w:val="20"/>
          <w:szCs w:val="20"/>
          <w:lang w:val="es-CO"/>
        </w:rPr>
      </w:pPr>
      <w:r w:rsidRPr="00DC278B">
        <w:rPr>
          <w:rFonts w:ascii="Cambria" w:hAnsi="Cambria" w:cs="Arial"/>
          <w:sz w:val="20"/>
          <w:szCs w:val="20"/>
          <w:lang w:val="es-CO"/>
        </w:rPr>
        <w:t xml:space="preserve">Ahora bien, la importancia del concepto de lesa humanidad para el ámbito de la responsabilidad del Estado consiste en predicar la no aplicación del término de caducidad en aquellos casos en donde se configuren tales elementos, pues, siendo consecuente con la gravedad y magnitud que tienen tales actos denigrantes de la dignidad humana, es que hay lugar a reconocer que el paso del tiempo no genera consecuencias desfavorables para quienes (de manera directa) fueron víctimas de tales conductas y pretenden la declaratoria de responsabilidad extracontractual del Estado por los daños antijurídicos irrogados en su contra; pues resulta claro que allí no solo se discuten intereses meramente particulares o subjetivos sino también generales que implican a toda la comunidad y la humanidad, considerada como un todo. </w:t>
      </w:r>
    </w:p>
    <w:p w:rsidR="007C0286" w:rsidRPr="00DC278B" w:rsidRDefault="007C0286" w:rsidP="00DC278B">
      <w:pPr>
        <w:ind w:left="720" w:right="720"/>
        <w:jc w:val="both"/>
        <w:rPr>
          <w:rFonts w:ascii="Cambria" w:hAnsi="Cambria" w:cs="Arial"/>
          <w:sz w:val="20"/>
          <w:szCs w:val="20"/>
          <w:lang w:val="es-ES"/>
        </w:rPr>
      </w:pPr>
    </w:p>
    <w:p w:rsidR="007C0286" w:rsidRPr="00DC278B" w:rsidRDefault="007C0286" w:rsidP="00DC278B">
      <w:pPr>
        <w:ind w:left="720" w:right="720"/>
        <w:jc w:val="both"/>
        <w:rPr>
          <w:rFonts w:ascii="Cambria" w:hAnsi="Cambria" w:cs="Arial"/>
          <w:sz w:val="20"/>
          <w:szCs w:val="20"/>
          <w:lang w:val="es-CO"/>
        </w:rPr>
      </w:pPr>
      <w:r w:rsidRPr="00DC278B">
        <w:rPr>
          <w:rFonts w:ascii="Cambria" w:hAnsi="Cambria" w:cs="Arial"/>
          <w:sz w:val="20"/>
          <w:szCs w:val="20"/>
          <w:lang w:val="es-CO"/>
        </w:rPr>
        <w:t xml:space="preserve">En consecuencia, entiende el Despacho que en aquellos casos donde se encuentre configurado los elementos del acto de lesa humanidad o que generen posibilidad que así sea tratado, habrá lugar a </w:t>
      </w:r>
      <w:proofErr w:type="spellStart"/>
      <w:r w:rsidRPr="00DC278B">
        <w:rPr>
          <w:rFonts w:ascii="Cambria" w:hAnsi="Cambria" w:cs="Arial"/>
          <w:sz w:val="20"/>
          <w:szCs w:val="20"/>
          <w:lang w:val="es-CO"/>
        </w:rPr>
        <w:t>inaplicar</w:t>
      </w:r>
      <w:proofErr w:type="spellEnd"/>
      <w:r w:rsidRPr="00DC278B">
        <w:rPr>
          <w:rFonts w:ascii="Cambria" w:hAnsi="Cambria" w:cs="Arial"/>
          <w:sz w:val="20"/>
          <w:szCs w:val="20"/>
          <w:lang w:val="es-CO"/>
        </w:rPr>
        <w:t xml:space="preserve"> el término de caducidad del medio de control de reparación directa, conforme a lo expuesto</w:t>
      </w:r>
      <w:r w:rsidR="00D37D8B" w:rsidRPr="00DC278B">
        <w:rPr>
          <w:rStyle w:val="FootnoteReference"/>
          <w:rFonts w:ascii="Cambria" w:hAnsi="Cambria" w:cs="Arial"/>
          <w:sz w:val="20"/>
          <w:szCs w:val="20"/>
          <w:lang w:val="es-CO"/>
        </w:rPr>
        <w:footnoteReference w:id="156"/>
      </w:r>
      <w:r w:rsidRPr="00DC278B">
        <w:rPr>
          <w:rFonts w:ascii="Cambria" w:hAnsi="Cambria" w:cs="Arial"/>
          <w:sz w:val="20"/>
          <w:szCs w:val="20"/>
          <w:lang w:val="es-CO"/>
        </w:rPr>
        <w:t>.</w:t>
      </w:r>
    </w:p>
    <w:p w:rsidR="00755F68" w:rsidRPr="00DC278B" w:rsidRDefault="00755F68" w:rsidP="00DC278B">
      <w:pPr>
        <w:pStyle w:val="MediumGrid1-Accent21"/>
        <w:autoSpaceDE w:val="0"/>
        <w:autoSpaceDN w:val="0"/>
        <w:adjustRightInd w:val="0"/>
        <w:ind w:left="0"/>
        <w:jc w:val="both"/>
        <w:rPr>
          <w:rFonts w:eastAsia="Times New Roman"/>
          <w:color w:val="auto"/>
          <w:sz w:val="20"/>
          <w:szCs w:val="20"/>
          <w:bdr w:val="none" w:sz="0" w:space="0" w:color="auto"/>
          <w:lang w:val="es-CO"/>
        </w:rPr>
      </w:pPr>
    </w:p>
    <w:p w:rsidR="007C0286" w:rsidRPr="00DC278B" w:rsidRDefault="007C0286" w:rsidP="00DC278B">
      <w:pPr>
        <w:pStyle w:val="MediumGrid1-Accent21"/>
        <w:autoSpaceDE w:val="0"/>
        <w:autoSpaceDN w:val="0"/>
        <w:adjustRightInd w:val="0"/>
        <w:ind w:left="0" w:firstLine="720"/>
        <w:jc w:val="both"/>
        <w:rPr>
          <w:rFonts w:eastAsia="Times New Roman"/>
          <w:color w:val="auto"/>
          <w:sz w:val="20"/>
          <w:szCs w:val="20"/>
          <w:bdr w:val="none" w:sz="0" w:space="0" w:color="auto"/>
          <w:lang w:val="es-CO"/>
        </w:rPr>
      </w:pPr>
      <w:r w:rsidRPr="00DC278B">
        <w:rPr>
          <w:rFonts w:eastAsia="Times New Roman"/>
          <w:color w:val="auto"/>
          <w:sz w:val="20"/>
          <w:szCs w:val="20"/>
          <w:bdr w:val="none" w:sz="0" w:space="0" w:color="auto"/>
          <w:lang w:val="es-CO"/>
        </w:rPr>
        <w:t>(</w:t>
      </w:r>
      <w:proofErr w:type="gramStart"/>
      <w:r w:rsidRPr="00DC278B">
        <w:rPr>
          <w:rFonts w:eastAsia="Times New Roman"/>
          <w:color w:val="auto"/>
          <w:sz w:val="20"/>
          <w:szCs w:val="20"/>
          <w:bdr w:val="none" w:sz="0" w:space="0" w:color="auto"/>
          <w:lang w:val="es-CO"/>
        </w:rPr>
        <w:t>citas</w:t>
      </w:r>
      <w:proofErr w:type="gramEnd"/>
      <w:r w:rsidRPr="00DC278B">
        <w:rPr>
          <w:rFonts w:eastAsia="Times New Roman"/>
          <w:color w:val="auto"/>
          <w:sz w:val="20"/>
          <w:szCs w:val="20"/>
          <w:bdr w:val="none" w:sz="0" w:space="0" w:color="auto"/>
          <w:lang w:val="es-CO"/>
        </w:rPr>
        <w:t xml:space="preserve"> omitidas)</w:t>
      </w:r>
      <w:r w:rsidR="00E82C83" w:rsidRPr="00DC278B">
        <w:rPr>
          <w:rFonts w:eastAsia="Times New Roman"/>
          <w:color w:val="auto"/>
          <w:sz w:val="20"/>
          <w:szCs w:val="20"/>
          <w:bdr w:val="none" w:sz="0" w:space="0" w:color="auto"/>
          <w:lang w:val="es-CO"/>
        </w:rPr>
        <w:t xml:space="preserve"> </w:t>
      </w:r>
    </w:p>
    <w:p w:rsidR="00E82C83" w:rsidRPr="00DC278B" w:rsidRDefault="00E82C83" w:rsidP="00DC278B">
      <w:pPr>
        <w:pStyle w:val="MediumGrid1-Accent21"/>
        <w:autoSpaceDE w:val="0"/>
        <w:autoSpaceDN w:val="0"/>
        <w:adjustRightInd w:val="0"/>
        <w:ind w:left="0"/>
        <w:jc w:val="both"/>
        <w:rPr>
          <w:rFonts w:eastAsia="Times New Roman"/>
          <w:color w:val="auto"/>
          <w:sz w:val="20"/>
          <w:szCs w:val="20"/>
          <w:bdr w:val="none" w:sz="0" w:space="0" w:color="auto"/>
          <w:lang w:val="es-CO"/>
        </w:rPr>
      </w:pPr>
    </w:p>
    <w:p w:rsidR="005B5041" w:rsidRPr="00DC278B" w:rsidRDefault="004F00C5"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Arial"/>
          <w:sz w:val="20"/>
          <w:szCs w:val="20"/>
          <w:lang w:val="es-CO"/>
        </w:rPr>
      </w:pPr>
      <w:r w:rsidRPr="00DC278B">
        <w:rPr>
          <w:rFonts w:ascii="Cambria" w:eastAsia="Times New Roman" w:hAnsi="Cambria"/>
          <w:sz w:val="20"/>
          <w:szCs w:val="20"/>
          <w:bdr w:val="none" w:sz="0" w:space="0" w:color="auto"/>
          <w:lang w:val="es-CO"/>
        </w:rPr>
        <w:t>Por otra parte, en el caso de Argentina, la Comisión observa que el artículo 2561 del Código Civil y Comercial fue modificado para qu</w:t>
      </w:r>
      <w:r w:rsidR="005B5041" w:rsidRPr="00DC278B">
        <w:rPr>
          <w:rFonts w:ascii="Cambria" w:eastAsia="Times New Roman" w:hAnsi="Cambria"/>
          <w:sz w:val="20"/>
          <w:szCs w:val="20"/>
          <w:bdr w:val="none" w:sz="0" w:space="0" w:color="auto"/>
          <w:lang w:val="es-CO"/>
        </w:rPr>
        <w:t>e la norma relativa a prescripción y “plazos especiales” estableciera</w:t>
      </w:r>
      <w:r w:rsidR="008D019B" w:rsidRPr="00DC278B">
        <w:rPr>
          <w:rFonts w:ascii="Cambria" w:eastAsia="Times New Roman" w:hAnsi="Cambria"/>
          <w:sz w:val="20"/>
          <w:szCs w:val="20"/>
          <w:bdr w:val="none" w:sz="0" w:space="0" w:color="auto"/>
          <w:lang w:val="es-CO"/>
        </w:rPr>
        <w:t xml:space="preserve"> que </w:t>
      </w:r>
      <w:r w:rsidR="005B5041" w:rsidRPr="00DC278B">
        <w:rPr>
          <w:rFonts w:ascii="Cambria" w:hAnsi="Cambria" w:cs="Arial"/>
          <w:sz w:val="20"/>
          <w:szCs w:val="20"/>
          <w:lang w:val="es-CO"/>
        </w:rPr>
        <w:t>“</w:t>
      </w:r>
      <w:r w:rsidR="008D019B" w:rsidRPr="00DC278B">
        <w:rPr>
          <w:rFonts w:ascii="Cambria" w:hAnsi="Cambria" w:cs="Arial"/>
          <w:sz w:val="20"/>
          <w:szCs w:val="20"/>
          <w:lang w:val="es-CO"/>
        </w:rPr>
        <w:t>l</w:t>
      </w:r>
      <w:r w:rsidR="005B5041" w:rsidRPr="00DC278B">
        <w:rPr>
          <w:rFonts w:ascii="Cambria" w:hAnsi="Cambria" w:cs="Arial"/>
          <w:sz w:val="20"/>
          <w:szCs w:val="20"/>
          <w:lang w:val="es-CO"/>
        </w:rPr>
        <w:t>as acciones civiles derivadas de delitos de lesa humanidad son imprescriptibles”</w:t>
      </w:r>
      <w:r w:rsidR="006E31B4" w:rsidRPr="00DC278B">
        <w:rPr>
          <w:rStyle w:val="FootnoteReference"/>
          <w:rFonts w:ascii="Cambria" w:hAnsi="Cambria" w:cs="Arial"/>
          <w:sz w:val="20"/>
          <w:szCs w:val="20"/>
          <w:lang w:val="es-CO"/>
        </w:rPr>
        <w:footnoteReference w:id="157"/>
      </w:r>
      <w:r w:rsidR="005B5041" w:rsidRPr="00DC278B">
        <w:rPr>
          <w:rFonts w:ascii="Cambria" w:hAnsi="Cambria" w:cs="Arial"/>
          <w:sz w:val="20"/>
          <w:szCs w:val="20"/>
          <w:lang w:val="es-CO"/>
        </w:rPr>
        <w:t>.</w:t>
      </w:r>
      <w:r w:rsidR="0001384C" w:rsidRPr="00DC278B">
        <w:rPr>
          <w:rFonts w:ascii="Cambria" w:hAnsi="Cambria" w:cs="Arial"/>
          <w:sz w:val="20"/>
          <w:szCs w:val="20"/>
          <w:lang w:val="es-CO"/>
        </w:rPr>
        <w:t xml:space="preserve"> </w:t>
      </w:r>
    </w:p>
    <w:p w:rsidR="0001384C" w:rsidRPr="00DC278B" w:rsidRDefault="0001384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Arial"/>
          <w:sz w:val="20"/>
          <w:szCs w:val="20"/>
          <w:lang w:val="es-CO"/>
        </w:rPr>
      </w:pPr>
    </w:p>
    <w:p w:rsidR="0001384C" w:rsidRPr="00DC278B" w:rsidRDefault="0001384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Arial"/>
          <w:sz w:val="20"/>
          <w:szCs w:val="20"/>
          <w:lang w:val="es-CO"/>
        </w:rPr>
      </w:pPr>
      <w:r w:rsidRPr="00DC278B">
        <w:rPr>
          <w:rFonts w:ascii="Cambria" w:eastAsia="Cambria" w:hAnsi="Cambria" w:cs="Arial"/>
          <w:sz w:val="20"/>
          <w:szCs w:val="20"/>
          <w:lang w:val="es-CO"/>
        </w:rPr>
        <w:t xml:space="preserve">Asimismo, en el propio caso del Estado de Chile existen fallos judiciales recientes en los cuales se ha indicado que no resulta aplicable el plazo de prescripción de las acciones civiles por este tipo de violaciones de derechos humanos. </w:t>
      </w:r>
      <w:r w:rsidR="00A62AE2" w:rsidRPr="00DC278B">
        <w:rPr>
          <w:rFonts w:ascii="Cambria" w:eastAsia="Cambria" w:hAnsi="Cambria" w:cs="Arial"/>
          <w:sz w:val="20"/>
          <w:szCs w:val="20"/>
          <w:lang w:val="es-CO"/>
        </w:rPr>
        <w:t xml:space="preserve">Si bien la Comisión entiende que este no es un criterio uniforme a nivel interno en Chile, considera pertinente citar en este punto lo indicado por la Corte Suprema de Justicia en fallo </w:t>
      </w:r>
      <w:r w:rsidR="00360221" w:rsidRPr="00DC278B">
        <w:rPr>
          <w:rFonts w:ascii="Cambria" w:eastAsia="Cambria" w:hAnsi="Cambria" w:cs="Arial"/>
          <w:sz w:val="20"/>
          <w:szCs w:val="20"/>
          <w:lang w:val="es-CO"/>
        </w:rPr>
        <w:t xml:space="preserve">23.583-2014 </w:t>
      </w:r>
      <w:r w:rsidR="00A62AE2" w:rsidRPr="00DC278B">
        <w:rPr>
          <w:rFonts w:ascii="Cambria" w:eastAsia="Cambria" w:hAnsi="Cambria" w:cs="Arial"/>
          <w:sz w:val="20"/>
          <w:szCs w:val="20"/>
          <w:lang w:val="es-CO"/>
        </w:rPr>
        <w:t>de</w:t>
      </w:r>
      <w:r w:rsidR="00360221" w:rsidRPr="00DC278B">
        <w:rPr>
          <w:rFonts w:ascii="Cambria" w:eastAsia="Cambria" w:hAnsi="Cambria" w:cs="Arial"/>
          <w:sz w:val="20"/>
          <w:szCs w:val="20"/>
          <w:lang w:val="es-CO"/>
        </w:rPr>
        <w:t xml:space="preserve"> 20 de mayo de 2015 en los siguientes términos:</w:t>
      </w:r>
      <w:r w:rsidR="00A62AE2" w:rsidRPr="00DC278B">
        <w:rPr>
          <w:rFonts w:ascii="Cambria" w:eastAsia="Cambria" w:hAnsi="Cambria" w:cs="Arial"/>
          <w:sz w:val="20"/>
          <w:szCs w:val="20"/>
          <w:lang w:val="es-CO"/>
        </w:rPr>
        <w:t xml:space="preserve"> </w:t>
      </w:r>
    </w:p>
    <w:p w:rsidR="004F00C5" w:rsidRPr="00DC278B" w:rsidRDefault="004F00C5" w:rsidP="00DC278B">
      <w:pPr>
        <w:pStyle w:val="MediumGrid1-Accent21"/>
        <w:autoSpaceDE w:val="0"/>
        <w:autoSpaceDN w:val="0"/>
        <w:adjustRightInd w:val="0"/>
        <w:ind w:left="0"/>
        <w:jc w:val="both"/>
        <w:rPr>
          <w:rFonts w:eastAsia="Times New Roman"/>
          <w:color w:val="auto"/>
          <w:sz w:val="20"/>
          <w:szCs w:val="20"/>
          <w:bdr w:val="none" w:sz="0" w:space="0" w:color="auto"/>
          <w:lang w:val="es-CO"/>
        </w:rPr>
      </w:pPr>
    </w:p>
    <w:p w:rsidR="000D7F8F" w:rsidRPr="00DC278B" w:rsidRDefault="00043C10" w:rsidP="00DC278B">
      <w:pPr>
        <w:pStyle w:val="MediumGrid1-Accent21"/>
        <w:autoSpaceDE w:val="0"/>
        <w:autoSpaceDN w:val="0"/>
        <w:adjustRightInd w:val="0"/>
        <w:ind w:right="720"/>
        <w:jc w:val="both"/>
        <w:rPr>
          <w:color w:val="auto"/>
          <w:sz w:val="20"/>
          <w:szCs w:val="20"/>
          <w:lang w:val="es-ES"/>
        </w:rPr>
      </w:pPr>
      <w:r w:rsidRPr="00DC278B">
        <w:rPr>
          <w:color w:val="auto"/>
          <w:sz w:val="20"/>
          <w:szCs w:val="20"/>
          <w:lang w:val="es-ES"/>
        </w:rPr>
        <w:t>Que, tratándose de delitos como los investigados, que la comunidad internacional ha calificado como de lesa humanidad, la acción civil deducida en contra del Fisco tiene por objeto obtener la reparación íntegra de los perjuicios ocasionados por el actuar de un agente del Estado, conforme fluye de los tratados internacionales ratificados por Chile y de la interpretación de las normas de derecho interno, en conformidad a la Constitución Política de la República.</w:t>
      </w:r>
      <w:r w:rsidRPr="00DC278B">
        <w:rPr>
          <w:color w:val="auto"/>
          <w:sz w:val="20"/>
          <w:szCs w:val="20"/>
          <w:lang w:val="es-ES"/>
        </w:rPr>
        <w:br/>
        <w:t>En efecto, este derecho de las víctimas y sus familiares encuentra su fundamento en los principios generales del Derecho Internacional de los Derechos Humanos, y la consagración normativa en los tratados internacionales ratificados por Chile, los cuales obligan al Estado a reconocer y proteger este derecho a la reparación íntegra, en virtud de lo dispuesto en el inciso segundo del artículo 5° y en el artículo 6° de la Constitución Política.</w:t>
      </w:r>
    </w:p>
    <w:p w:rsidR="00EB1957" w:rsidRPr="00DC278B" w:rsidRDefault="00EB1957" w:rsidP="00DC278B">
      <w:pPr>
        <w:pStyle w:val="MediumGrid1-Accent21"/>
        <w:autoSpaceDE w:val="0"/>
        <w:autoSpaceDN w:val="0"/>
        <w:adjustRightInd w:val="0"/>
        <w:ind w:right="720"/>
        <w:jc w:val="both"/>
        <w:rPr>
          <w:color w:val="auto"/>
          <w:sz w:val="20"/>
          <w:szCs w:val="20"/>
          <w:lang w:val="es-ES"/>
        </w:rPr>
      </w:pPr>
    </w:p>
    <w:p w:rsidR="000D7F8F" w:rsidRPr="00DC278B" w:rsidRDefault="00043C10" w:rsidP="00DC278B">
      <w:pPr>
        <w:pStyle w:val="MediumGrid1-Accent21"/>
        <w:autoSpaceDE w:val="0"/>
        <w:autoSpaceDN w:val="0"/>
        <w:adjustRightInd w:val="0"/>
        <w:ind w:right="720"/>
        <w:jc w:val="both"/>
        <w:rPr>
          <w:color w:val="auto"/>
          <w:sz w:val="20"/>
          <w:szCs w:val="20"/>
          <w:lang w:val="es-ES"/>
        </w:rPr>
      </w:pPr>
      <w:r w:rsidRPr="00DC278B">
        <w:rPr>
          <w:color w:val="auto"/>
          <w:sz w:val="20"/>
          <w:szCs w:val="20"/>
          <w:lang w:val="es-ES"/>
        </w:rPr>
        <w:t>Que la indemnización del daño producido por el delito, así como la acción para hacerla efectiva, resultan de máxima trascendencia al momento de administrar justicia, comprometiendo el interés público y aspectos de justicia material. En el caso en análisis, dado el contexto en que el ilícito fue verificado, con la intervención de agentes estatales durante un período de extrema anormalidad institucional en el que representaban al gobierno de la época, y en que -al menos en el caso de autos- claramente se abusó de aquella potestad y representación, produciendo agravios de tanta gravedad como el que aquí se estudia, el Estado de Chile no puede eludir su responsabilidad legal de reparar dicha deuda de jure</w:t>
      </w:r>
      <w:r w:rsidR="000D7F8F" w:rsidRPr="00DC278B">
        <w:rPr>
          <w:color w:val="auto"/>
          <w:sz w:val="20"/>
          <w:szCs w:val="20"/>
          <w:lang w:val="es-ES"/>
        </w:rPr>
        <w:t xml:space="preserve"> (…)</w:t>
      </w:r>
      <w:r w:rsidR="00693F43" w:rsidRPr="00DC278B">
        <w:rPr>
          <w:color w:val="auto"/>
          <w:sz w:val="20"/>
          <w:szCs w:val="20"/>
          <w:lang w:val="es-ES"/>
        </w:rPr>
        <w:t>.</w:t>
      </w:r>
    </w:p>
    <w:p w:rsidR="003067D6" w:rsidRPr="00DC278B" w:rsidRDefault="003067D6" w:rsidP="00DC278B">
      <w:pPr>
        <w:pStyle w:val="MediumGrid1-Accent21"/>
        <w:autoSpaceDE w:val="0"/>
        <w:autoSpaceDN w:val="0"/>
        <w:adjustRightInd w:val="0"/>
        <w:ind w:left="0" w:right="720"/>
        <w:jc w:val="both"/>
        <w:rPr>
          <w:color w:val="auto"/>
          <w:sz w:val="20"/>
          <w:szCs w:val="20"/>
          <w:lang w:val="es-ES"/>
        </w:rPr>
      </w:pPr>
    </w:p>
    <w:p w:rsidR="00693F43" w:rsidRPr="00DC278B" w:rsidRDefault="003067D6" w:rsidP="00DC278B">
      <w:pPr>
        <w:pStyle w:val="MediumGrid1-Accent21"/>
        <w:autoSpaceDE w:val="0"/>
        <w:autoSpaceDN w:val="0"/>
        <w:adjustRightInd w:val="0"/>
        <w:ind w:right="720"/>
        <w:jc w:val="both"/>
        <w:rPr>
          <w:rFonts w:eastAsia="Times New Roman"/>
          <w:color w:val="auto"/>
          <w:sz w:val="20"/>
          <w:szCs w:val="20"/>
          <w:bdr w:val="none" w:sz="0" w:space="0" w:color="auto"/>
          <w:lang w:val="es-CO"/>
        </w:rPr>
      </w:pPr>
      <w:r w:rsidRPr="00DC278B">
        <w:rPr>
          <w:color w:val="auto"/>
          <w:sz w:val="20"/>
          <w:szCs w:val="20"/>
          <w:lang w:val="es-ES"/>
        </w:rPr>
        <w:t>De este modo, en el presente caso no resultan atingentes las disposiciones del derecho interno previstas en el Código Civil sobre prescripción de las acciones civiles comunes de indemnización de perjuicios, invocadas por el Fisco de Chile, al estar en contradicción con las normas del Derecho Internacional de los Derechos Humanos, que protegen el derecho de las víctimas y familiares a recibir la reparación correspondiente, estatuto normativo internacional q</w:t>
      </w:r>
      <w:r w:rsidR="00693F43" w:rsidRPr="00DC278B">
        <w:rPr>
          <w:color w:val="auto"/>
          <w:sz w:val="20"/>
          <w:szCs w:val="20"/>
          <w:lang w:val="es-ES"/>
        </w:rPr>
        <w:t xml:space="preserve">ue ha sido reconocido por Chile </w:t>
      </w:r>
      <w:r w:rsidR="00693F43" w:rsidRPr="00DC278B">
        <w:rPr>
          <w:rFonts w:eastAsia="Times New Roman"/>
          <w:color w:val="auto"/>
          <w:sz w:val="20"/>
          <w:szCs w:val="20"/>
          <w:bdr w:val="none" w:sz="0" w:space="0" w:color="auto"/>
          <w:lang w:val="es-CO"/>
        </w:rPr>
        <w:t>(…).</w:t>
      </w:r>
    </w:p>
    <w:p w:rsidR="003067D6" w:rsidRPr="00DC278B" w:rsidRDefault="003067D6" w:rsidP="00DC278B">
      <w:pPr>
        <w:pStyle w:val="MediumGrid1-Accent21"/>
        <w:autoSpaceDE w:val="0"/>
        <w:autoSpaceDN w:val="0"/>
        <w:adjustRightInd w:val="0"/>
        <w:ind w:right="720"/>
        <w:jc w:val="both"/>
        <w:rPr>
          <w:rFonts w:eastAsia="Times New Roman"/>
          <w:color w:val="auto"/>
          <w:sz w:val="20"/>
          <w:szCs w:val="20"/>
          <w:bdr w:val="none" w:sz="0" w:space="0" w:color="auto"/>
          <w:lang w:val="es-CO"/>
        </w:rPr>
      </w:pPr>
    </w:p>
    <w:p w:rsidR="006C4DAF" w:rsidRPr="00DC278B" w:rsidRDefault="003067D6" w:rsidP="00DC278B">
      <w:pPr>
        <w:pStyle w:val="MediumGrid1-Accent21"/>
        <w:autoSpaceDE w:val="0"/>
        <w:autoSpaceDN w:val="0"/>
        <w:adjustRightInd w:val="0"/>
        <w:ind w:right="720"/>
        <w:jc w:val="both"/>
        <w:rPr>
          <w:rFonts w:eastAsia="Times New Roman"/>
          <w:color w:val="auto"/>
          <w:sz w:val="20"/>
          <w:szCs w:val="20"/>
          <w:bdr w:val="none" w:sz="0" w:space="0" w:color="auto"/>
          <w:lang w:val="es-CO"/>
        </w:rPr>
      </w:pPr>
      <w:r w:rsidRPr="00DC278B">
        <w:rPr>
          <w:color w:val="auto"/>
          <w:sz w:val="20"/>
          <w:szCs w:val="20"/>
          <w:lang w:val="es-ES"/>
        </w:rPr>
        <w:t xml:space="preserve">Que, en suma, pesando sobre el Estado la obligación de reparar a la víctima y </w:t>
      </w:r>
      <w:proofErr w:type="gramStart"/>
      <w:r w:rsidRPr="00DC278B">
        <w:rPr>
          <w:color w:val="auto"/>
          <w:sz w:val="20"/>
          <w:szCs w:val="20"/>
          <w:lang w:val="es-ES"/>
        </w:rPr>
        <w:t>sus familiares consagrado</w:t>
      </w:r>
      <w:proofErr w:type="gramEnd"/>
      <w:r w:rsidRPr="00DC278B">
        <w:rPr>
          <w:color w:val="auto"/>
          <w:sz w:val="20"/>
          <w:szCs w:val="20"/>
          <w:lang w:val="es-ES"/>
        </w:rPr>
        <w:t xml:space="preserve"> por la normativa internacional sobre Derechos Humanos, el derecho interno no deviene en un argumento sostenible p</w:t>
      </w:r>
      <w:r w:rsidR="00693F43" w:rsidRPr="00DC278B">
        <w:rPr>
          <w:color w:val="auto"/>
          <w:sz w:val="20"/>
          <w:szCs w:val="20"/>
          <w:lang w:val="es-ES"/>
        </w:rPr>
        <w:t xml:space="preserve">ara eximirlo de su cumplimiento </w:t>
      </w:r>
      <w:r w:rsidR="006C4DAF" w:rsidRPr="00DC278B">
        <w:rPr>
          <w:rFonts w:eastAsia="Times New Roman"/>
          <w:color w:val="auto"/>
          <w:sz w:val="20"/>
          <w:szCs w:val="20"/>
          <w:bdr w:val="none" w:sz="0" w:space="0" w:color="auto"/>
          <w:lang w:val="es-CO"/>
        </w:rPr>
        <w:t>(…)</w:t>
      </w:r>
      <w:r w:rsidR="00693F43" w:rsidRPr="00DC278B">
        <w:rPr>
          <w:rFonts w:eastAsia="Times New Roman"/>
          <w:color w:val="auto"/>
          <w:sz w:val="20"/>
          <w:szCs w:val="20"/>
          <w:bdr w:val="none" w:sz="0" w:space="0" w:color="auto"/>
          <w:lang w:val="es-CO"/>
        </w:rPr>
        <w:t>.</w:t>
      </w:r>
    </w:p>
    <w:p w:rsidR="006C4DAF" w:rsidRPr="00DC278B" w:rsidRDefault="006C4DAF" w:rsidP="00DC278B">
      <w:pPr>
        <w:pStyle w:val="MediumGrid1-Accent21"/>
        <w:autoSpaceDE w:val="0"/>
        <w:autoSpaceDN w:val="0"/>
        <w:adjustRightInd w:val="0"/>
        <w:ind w:right="720"/>
        <w:jc w:val="both"/>
        <w:rPr>
          <w:rFonts w:eastAsia="Times New Roman"/>
          <w:color w:val="auto"/>
          <w:sz w:val="20"/>
          <w:szCs w:val="20"/>
          <w:bdr w:val="none" w:sz="0" w:space="0" w:color="auto"/>
          <w:lang w:val="es-CO"/>
        </w:rPr>
      </w:pPr>
    </w:p>
    <w:p w:rsidR="003067D6" w:rsidRPr="00DC278B" w:rsidRDefault="003067D6" w:rsidP="00DC278B">
      <w:pPr>
        <w:pStyle w:val="MediumGrid1-Accent21"/>
        <w:autoSpaceDE w:val="0"/>
        <w:autoSpaceDN w:val="0"/>
        <w:adjustRightInd w:val="0"/>
        <w:ind w:right="720"/>
        <w:jc w:val="both"/>
        <w:rPr>
          <w:color w:val="auto"/>
          <w:sz w:val="20"/>
          <w:szCs w:val="20"/>
          <w:lang w:val="es-ES"/>
        </w:rPr>
      </w:pPr>
      <w:r w:rsidRPr="00DC278B">
        <w:rPr>
          <w:color w:val="auto"/>
          <w:sz w:val="20"/>
          <w:szCs w:val="20"/>
          <w:lang w:val="es-ES"/>
        </w:rPr>
        <w:t>Que, en esas condiciones, resulta efectivo que los jueces del grado incurrieron en un error de derecho al momento de acoger la excepción de prescripción de la demanda civil incoada en contra del Estado, yerro que ha influido sustancialmente en lo dispositivo de la sentencia, de suerte tal que el recurso de casación en el fondo será acogido</w:t>
      </w:r>
      <w:r w:rsidR="00595FA8" w:rsidRPr="00C23663">
        <w:rPr>
          <w:rStyle w:val="FootnoteReference"/>
          <w:rFonts w:ascii="Cambria" w:hAnsi="Cambria"/>
          <w:color w:val="auto"/>
          <w:sz w:val="20"/>
          <w:szCs w:val="20"/>
          <w:lang w:val="es-ES"/>
        </w:rPr>
        <w:footnoteReference w:id="158"/>
      </w:r>
      <w:r w:rsidRPr="00DC278B">
        <w:rPr>
          <w:color w:val="auto"/>
          <w:sz w:val="20"/>
          <w:szCs w:val="20"/>
          <w:lang w:val="es-ES"/>
        </w:rPr>
        <w:t>.</w:t>
      </w:r>
    </w:p>
    <w:p w:rsidR="003067D6" w:rsidRPr="00DC278B" w:rsidRDefault="003067D6" w:rsidP="00DC278B">
      <w:pPr>
        <w:pStyle w:val="MediumGrid1-Accent21"/>
        <w:autoSpaceDE w:val="0"/>
        <w:autoSpaceDN w:val="0"/>
        <w:adjustRightInd w:val="0"/>
        <w:ind w:left="0"/>
        <w:jc w:val="both"/>
        <w:rPr>
          <w:rFonts w:eastAsia="Times New Roman"/>
          <w:color w:val="auto"/>
          <w:sz w:val="20"/>
          <w:szCs w:val="20"/>
          <w:bdr w:val="none" w:sz="0" w:space="0" w:color="auto"/>
          <w:lang w:val="es-CO"/>
        </w:rPr>
      </w:pPr>
    </w:p>
    <w:p w:rsidR="007124F8" w:rsidRPr="00DC278B" w:rsidRDefault="001A75FF" w:rsidP="00DC278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_tradnl"/>
        </w:rPr>
      </w:pPr>
      <w:r w:rsidRPr="00DC278B">
        <w:rPr>
          <w:rFonts w:ascii="Cambria" w:eastAsia="Times New Roman" w:hAnsi="Cambria"/>
          <w:b/>
          <w:sz w:val="20"/>
          <w:szCs w:val="20"/>
          <w:bdr w:val="none" w:sz="0" w:space="0" w:color="auto"/>
          <w:lang w:val="es-ES_tradnl"/>
        </w:rPr>
        <w:t>Aná</w:t>
      </w:r>
      <w:r w:rsidR="00B401BC" w:rsidRPr="00DC278B">
        <w:rPr>
          <w:rFonts w:ascii="Cambria" w:eastAsia="Times New Roman" w:hAnsi="Cambria"/>
          <w:b/>
          <w:sz w:val="20"/>
          <w:szCs w:val="20"/>
          <w:bdr w:val="none" w:sz="0" w:space="0" w:color="auto"/>
          <w:lang w:val="es-ES_tradnl"/>
        </w:rPr>
        <w:t>lisis del presente caso</w:t>
      </w:r>
    </w:p>
    <w:p w:rsidR="00B401BC" w:rsidRPr="00DC278B" w:rsidRDefault="00B401BC" w:rsidP="00DC278B">
      <w:pPr>
        <w:pStyle w:val="MediumGrid1-Accent21"/>
        <w:ind w:left="0"/>
        <w:jc w:val="both"/>
        <w:rPr>
          <w:rFonts w:eastAsia="Times New Roman"/>
          <w:color w:val="auto"/>
          <w:sz w:val="20"/>
          <w:szCs w:val="20"/>
          <w:bdr w:val="none" w:sz="0" w:space="0" w:color="auto"/>
          <w:lang w:val="es-CO"/>
        </w:rPr>
      </w:pPr>
    </w:p>
    <w:p w:rsidR="00323FAD" w:rsidRPr="00DC278B" w:rsidRDefault="00C10DB6"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Tomando en cuenta la consideraciones previas efectuadas </w:t>
      </w:r>
      <w:r w:rsidRPr="00DC278B">
        <w:rPr>
          <w:rFonts w:ascii="Cambria" w:eastAsia="Times New Roman" w:hAnsi="Cambria"/>
          <w:i/>
          <w:sz w:val="20"/>
          <w:szCs w:val="20"/>
          <w:bdr w:val="none" w:sz="0" w:space="0" w:color="auto"/>
          <w:lang w:val="es-ES_tradnl"/>
        </w:rPr>
        <w:t xml:space="preserve">supra </w:t>
      </w:r>
      <w:proofErr w:type="spellStart"/>
      <w:r w:rsidRPr="00DC278B">
        <w:rPr>
          <w:rFonts w:ascii="Cambria" w:eastAsia="Times New Roman" w:hAnsi="Cambria"/>
          <w:sz w:val="20"/>
          <w:szCs w:val="20"/>
          <w:bdr w:val="none" w:sz="0" w:space="0" w:color="auto"/>
          <w:lang w:val="es-ES_tradnl"/>
        </w:rPr>
        <w:t>párrs</w:t>
      </w:r>
      <w:proofErr w:type="spellEnd"/>
      <w:r w:rsidRPr="00DC278B">
        <w:rPr>
          <w:rFonts w:ascii="Cambria" w:eastAsia="Times New Roman" w:hAnsi="Cambria"/>
          <w:sz w:val="20"/>
          <w:szCs w:val="20"/>
          <w:bdr w:val="none" w:sz="0" w:space="0" w:color="auto"/>
          <w:lang w:val="es-ES_tradnl"/>
        </w:rPr>
        <w:t xml:space="preserve">. </w:t>
      </w:r>
      <w:r w:rsidR="00FE7B0C" w:rsidRPr="00DC278B">
        <w:rPr>
          <w:rFonts w:ascii="Cambria" w:eastAsia="Times New Roman" w:hAnsi="Cambria"/>
          <w:sz w:val="20"/>
          <w:szCs w:val="20"/>
          <w:bdr w:val="none" w:sz="0" w:space="0" w:color="auto"/>
          <w:lang w:val="es-ES_tradnl"/>
        </w:rPr>
        <w:t>94</w:t>
      </w:r>
      <w:r w:rsidRPr="00DC278B">
        <w:rPr>
          <w:rFonts w:ascii="Cambria" w:eastAsia="Times New Roman" w:hAnsi="Cambria"/>
          <w:sz w:val="20"/>
          <w:szCs w:val="20"/>
          <w:bdr w:val="none" w:sz="0" w:space="0" w:color="auto"/>
          <w:lang w:val="es-ES_tradnl"/>
        </w:rPr>
        <w:t xml:space="preserve"> – </w:t>
      </w:r>
      <w:r w:rsidR="00FE7B0C" w:rsidRPr="00DC278B">
        <w:rPr>
          <w:rFonts w:ascii="Cambria" w:eastAsia="Times New Roman" w:hAnsi="Cambria"/>
          <w:sz w:val="20"/>
          <w:szCs w:val="20"/>
          <w:bdr w:val="none" w:sz="0" w:space="0" w:color="auto"/>
          <w:lang w:val="es-ES_tradnl"/>
        </w:rPr>
        <w:t>104</w:t>
      </w:r>
      <w:r w:rsidR="007E001F" w:rsidRPr="00DC278B">
        <w:rPr>
          <w:rFonts w:ascii="Cambria" w:eastAsia="Times New Roman" w:hAnsi="Cambria"/>
          <w:sz w:val="20"/>
          <w:szCs w:val="20"/>
          <w:bdr w:val="none" w:sz="0" w:space="0" w:color="auto"/>
          <w:lang w:val="es-ES_tradnl"/>
        </w:rPr>
        <w:t xml:space="preserve"> respecto de la delimitación del objeto del presente caso, l</w:t>
      </w:r>
      <w:r w:rsidR="00332F4D" w:rsidRPr="00DC278B">
        <w:rPr>
          <w:rFonts w:ascii="Cambria" w:eastAsia="Times New Roman" w:hAnsi="Cambria"/>
          <w:sz w:val="20"/>
          <w:szCs w:val="20"/>
          <w:bdr w:val="none" w:sz="0" w:space="0" w:color="auto"/>
          <w:lang w:val="es-ES_tradnl"/>
        </w:rPr>
        <w:t xml:space="preserve">a Comisión observa que el recurso judicial disponible en la jurisdicción chilena para acceder a una indemnización por violaciones a los derechos humanos es la acción </w:t>
      </w:r>
      <w:r w:rsidR="00A217EC" w:rsidRPr="00DC278B">
        <w:rPr>
          <w:rFonts w:ascii="Cambria" w:eastAsia="Times New Roman" w:hAnsi="Cambria"/>
          <w:sz w:val="20"/>
          <w:szCs w:val="20"/>
          <w:bdr w:val="none" w:sz="0" w:space="0" w:color="auto"/>
          <w:lang w:val="es-ES_tradnl"/>
        </w:rPr>
        <w:t xml:space="preserve">civil </w:t>
      </w:r>
      <w:r w:rsidR="00332F4D" w:rsidRPr="00DC278B">
        <w:rPr>
          <w:rFonts w:ascii="Cambria" w:eastAsia="Times New Roman" w:hAnsi="Cambria"/>
          <w:sz w:val="20"/>
          <w:szCs w:val="20"/>
          <w:bdr w:val="none" w:sz="0" w:space="0" w:color="auto"/>
          <w:lang w:val="es-ES_tradnl"/>
        </w:rPr>
        <w:t xml:space="preserve">de indemnización. </w:t>
      </w:r>
      <w:r w:rsidR="00AC434B" w:rsidRPr="00DC278B">
        <w:rPr>
          <w:rFonts w:ascii="Cambria" w:eastAsia="Times New Roman" w:hAnsi="Cambria"/>
          <w:sz w:val="20"/>
          <w:szCs w:val="20"/>
          <w:bdr w:val="none" w:sz="0" w:space="0" w:color="auto"/>
          <w:lang w:val="es-ES_tradnl"/>
        </w:rPr>
        <w:t xml:space="preserve">En </w:t>
      </w:r>
      <w:r w:rsidR="008F1F8A" w:rsidRPr="00DC278B">
        <w:rPr>
          <w:rFonts w:ascii="Cambria" w:eastAsia="Times New Roman" w:hAnsi="Cambria"/>
          <w:sz w:val="20"/>
          <w:szCs w:val="20"/>
          <w:bdr w:val="none" w:sz="0" w:space="0" w:color="auto"/>
          <w:lang w:val="es-ES_tradnl"/>
        </w:rPr>
        <w:t xml:space="preserve">todos los casos </w:t>
      </w:r>
      <w:r w:rsidR="00937BCD" w:rsidRPr="00DC278B">
        <w:rPr>
          <w:rFonts w:ascii="Cambria" w:eastAsia="Times New Roman" w:hAnsi="Cambria"/>
          <w:sz w:val="20"/>
          <w:szCs w:val="20"/>
          <w:bdr w:val="none" w:sz="0" w:space="0" w:color="auto"/>
          <w:lang w:val="es-ES_tradnl"/>
        </w:rPr>
        <w:t xml:space="preserve">bajo análisis </w:t>
      </w:r>
      <w:r w:rsidR="008F1F8A" w:rsidRPr="00DC278B">
        <w:rPr>
          <w:rFonts w:ascii="Cambria" w:eastAsia="Times New Roman" w:hAnsi="Cambria"/>
          <w:sz w:val="20"/>
          <w:szCs w:val="20"/>
          <w:bdr w:val="none" w:sz="0" w:space="0" w:color="auto"/>
          <w:lang w:val="es-ES_tradnl"/>
        </w:rPr>
        <w:t xml:space="preserve">las </w:t>
      </w:r>
      <w:r w:rsidR="009C1254" w:rsidRPr="00DC278B">
        <w:rPr>
          <w:rFonts w:ascii="Cambria" w:eastAsia="Times New Roman" w:hAnsi="Cambria"/>
          <w:sz w:val="20"/>
          <w:szCs w:val="20"/>
          <w:bdr w:val="none" w:sz="0" w:space="0" w:color="auto"/>
          <w:lang w:val="es-ES_tradnl"/>
        </w:rPr>
        <w:t>decisiones de rechazo que quedaron en firme</w:t>
      </w:r>
      <w:r w:rsidR="00281999" w:rsidRPr="0000786D">
        <w:rPr>
          <w:rStyle w:val="FootnoteReference"/>
          <w:rFonts w:asciiTheme="majorHAnsi" w:eastAsia="Times New Roman" w:hAnsiTheme="majorHAnsi"/>
          <w:sz w:val="20"/>
          <w:szCs w:val="20"/>
          <w:bdr w:val="none" w:sz="0" w:space="0" w:color="auto"/>
          <w:lang w:val="es-ES_tradnl"/>
        </w:rPr>
        <w:footnoteReference w:id="159"/>
      </w:r>
      <w:r w:rsidR="009C1254" w:rsidRPr="00DC278B">
        <w:rPr>
          <w:rFonts w:ascii="Cambria" w:eastAsia="Times New Roman" w:hAnsi="Cambria"/>
          <w:sz w:val="20"/>
          <w:szCs w:val="20"/>
          <w:bdr w:val="none" w:sz="0" w:space="0" w:color="auto"/>
          <w:lang w:val="es-ES_tradnl"/>
        </w:rPr>
        <w:t xml:space="preserve"> </w:t>
      </w:r>
      <w:r w:rsidR="008F1F8A" w:rsidRPr="00DC278B">
        <w:rPr>
          <w:rFonts w:ascii="Cambria" w:eastAsia="Times New Roman" w:hAnsi="Cambria"/>
          <w:sz w:val="20"/>
          <w:szCs w:val="20"/>
          <w:bdr w:val="none" w:sz="0" w:space="0" w:color="auto"/>
          <w:lang w:val="es-ES_tradnl"/>
        </w:rPr>
        <w:t>aplicaron</w:t>
      </w:r>
      <w:r w:rsidR="00CF2B4C" w:rsidRPr="00DC278B">
        <w:rPr>
          <w:rFonts w:ascii="Cambria" w:eastAsia="Times New Roman" w:hAnsi="Cambria"/>
          <w:sz w:val="20"/>
          <w:szCs w:val="20"/>
          <w:bdr w:val="none" w:sz="0" w:space="0" w:color="auto"/>
          <w:lang w:val="es-ES_tradnl"/>
        </w:rPr>
        <w:t xml:space="preserve"> el instituto de la prescripción de la acción civil</w:t>
      </w:r>
      <w:r w:rsidR="00F51EC3" w:rsidRPr="00DC278B">
        <w:rPr>
          <w:rFonts w:ascii="Cambria" w:eastAsia="Times New Roman" w:hAnsi="Cambria"/>
          <w:sz w:val="20"/>
          <w:szCs w:val="20"/>
          <w:bdr w:val="none" w:sz="0" w:space="0" w:color="auto"/>
          <w:lang w:val="es-ES_tradnl"/>
        </w:rPr>
        <w:t>.</w:t>
      </w:r>
      <w:r w:rsidR="00323FAD" w:rsidRPr="00DC278B">
        <w:rPr>
          <w:rFonts w:ascii="Cambria" w:eastAsia="Times New Roman" w:hAnsi="Cambria"/>
          <w:sz w:val="20"/>
          <w:szCs w:val="20"/>
          <w:bdr w:val="none" w:sz="0" w:space="0" w:color="auto"/>
          <w:lang w:val="es-ES_tradnl"/>
        </w:rPr>
        <w:t xml:space="preserve"> </w:t>
      </w:r>
    </w:p>
    <w:p w:rsidR="00D97645" w:rsidRDefault="00D97645" w:rsidP="00D9764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140950" w:rsidRPr="00D2628F" w:rsidRDefault="00140950" w:rsidP="0014095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D2628F">
        <w:rPr>
          <w:rFonts w:ascii="Cambria" w:eastAsia="Times New Roman" w:hAnsi="Cambria"/>
          <w:sz w:val="20"/>
          <w:szCs w:val="20"/>
          <w:lang w:val="es-ES_tradnl"/>
        </w:rPr>
        <w:t xml:space="preserve">La Comisión estima que la aplicación de la figura de la prescripción de la acción civil en </w:t>
      </w:r>
      <w:r w:rsidR="00DF3094" w:rsidRPr="00D2628F">
        <w:rPr>
          <w:rFonts w:ascii="Cambria" w:eastAsia="Times New Roman" w:hAnsi="Cambria"/>
          <w:sz w:val="20"/>
          <w:szCs w:val="20"/>
          <w:lang w:val="es-ES_tradnl"/>
        </w:rPr>
        <w:t>los casos materia del presente asunto, constituyó una restricción en la posibil</w:t>
      </w:r>
      <w:r w:rsidR="00D2628F">
        <w:rPr>
          <w:rFonts w:ascii="Cambria" w:eastAsia="Times New Roman" w:hAnsi="Cambria"/>
          <w:sz w:val="20"/>
          <w:szCs w:val="20"/>
          <w:lang w:val="es-ES_tradnl"/>
        </w:rPr>
        <w:t>idad de obtener una reparación</w:t>
      </w:r>
      <w:r w:rsidR="00DF3094" w:rsidRPr="00D2628F">
        <w:rPr>
          <w:rFonts w:ascii="Cambria" w:eastAsia="Times New Roman" w:hAnsi="Cambria"/>
          <w:sz w:val="20"/>
          <w:szCs w:val="20"/>
          <w:lang w:val="es-ES_tradnl"/>
        </w:rPr>
        <w:t xml:space="preserve"> por los mismos. </w:t>
      </w:r>
    </w:p>
    <w:p w:rsidR="00140950" w:rsidRPr="00140950" w:rsidRDefault="00140950" w:rsidP="00DF3094">
      <w:pPr>
        <w:ind w:left="720"/>
        <w:jc w:val="both"/>
        <w:rPr>
          <w:rFonts w:ascii="Cambria" w:eastAsia="Times New Roman" w:hAnsi="Cambria"/>
          <w:sz w:val="20"/>
          <w:szCs w:val="20"/>
          <w:highlight w:val="yellow"/>
          <w:lang w:val="es-ES_tradnl"/>
        </w:rPr>
      </w:pPr>
    </w:p>
    <w:p w:rsidR="00140950" w:rsidRPr="00D2628F" w:rsidRDefault="00140950" w:rsidP="0014095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D2628F">
        <w:rPr>
          <w:rFonts w:ascii="Cambria" w:eastAsia="Times New Roman" w:hAnsi="Cambria"/>
          <w:sz w:val="20"/>
          <w:szCs w:val="20"/>
          <w:lang w:val="es-ES_tradnl"/>
        </w:rPr>
        <w:t xml:space="preserve">Tomando en cuenta lo anterior, </w:t>
      </w:r>
      <w:r w:rsidR="005928B4" w:rsidRPr="00D2628F">
        <w:rPr>
          <w:rFonts w:ascii="Cambria" w:eastAsia="Times New Roman" w:hAnsi="Cambria"/>
          <w:sz w:val="20"/>
          <w:szCs w:val="20"/>
          <w:lang w:val="es-ES_tradnl"/>
        </w:rPr>
        <w:t xml:space="preserve">corresponde determinar si </w:t>
      </w:r>
      <w:r w:rsidR="00DF3094" w:rsidRPr="00D2628F">
        <w:rPr>
          <w:rFonts w:ascii="Cambria" w:eastAsia="Times New Roman" w:hAnsi="Cambria"/>
          <w:sz w:val="20"/>
          <w:szCs w:val="20"/>
          <w:lang w:val="es-ES_tradnl"/>
        </w:rPr>
        <w:t xml:space="preserve">esta restricción </w:t>
      </w:r>
      <w:r w:rsidRPr="00D2628F">
        <w:rPr>
          <w:rFonts w:ascii="Cambria" w:eastAsia="Times New Roman" w:hAnsi="Cambria"/>
          <w:sz w:val="20"/>
          <w:szCs w:val="20"/>
          <w:lang w:val="es-ES_tradnl"/>
        </w:rPr>
        <w:t>se ajusta a los estándares interamericanos. Para tal efecto, como en otros casos, la Comisión acudirá a un juicio de proporcionalidad que incluye los siguientes elementos: (i)</w:t>
      </w:r>
      <w:r w:rsidR="002B28B9" w:rsidRPr="00D2628F">
        <w:rPr>
          <w:rFonts w:ascii="Cambria" w:eastAsia="Times New Roman" w:hAnsi="Cambria"/>
          <w:sz w:val="20"/>
          <w:szCs w:val="20"/>
          <w:lang w:val="es-ES_tradnl"/>
        </w:rPr>
        <w:t xml:space="preserve"> </w:t>
      </w:r>
      <w:r w:rsidRPr="00D2628F">
        <w:rPr>
          <w:rFonts w:ascii="Cambria" w:eastAsia="Times New Roman" w:hAnsi="Cambria"/>
          <w:sz w:val="20"/>
          <w:szCs w:val="20"/>
          <w:lang w:val="es-ES_tradnl"/>
        </w:rPr>
        <w:t>la existencia de un fin legítimo; (ii) la idoneidad, es decir, la determinación de si existe una relación lógica de causalidad de medio a fin entre la distinción y el fin que se persigue; (iii) la necesidad, esto es, la determinación de si existen alternativas menos restrictivas e igualmente idóneas; y (iv) la proporcionalidad en sentido estricto, es decir, el balance de los intereses en juego y el grado de sacrifico de uno respecto del otro</w:t>
      </w:r>
      <w:r w:rsidRPr="00D2628F">
        <w:rPr>
          <w:rStyle w:val="FootnoteReference"/>
          <w:rFonts w:asciiTheme="majorHAnsi" w:eastAsia="Times New Roman" w:hAnsiTheme="majorHAnsi"/>
          <w:sz w:val="20"/>
          <w:szCs w:val="20"/>
          <w:lang w:val="es-ES_tradnl"/>
        </w:rPr>
        <w:footnoteReference w:id="160"/>
      </w:r>
      <w:r w:rsidRPr="00D2628F">
        <w:rPr>
          <w:rFonts w:ascii="Cambria" w:eastAsia="Times New Roman" w:hAnsi="Cambria"/>
          <w:sz w:val="20"/>
          <w:szCs w:val="20"/>
          <w:lang w:val="es-ES_tradnl"/>
        </w:rPr>
        <w:t xml:space="preserve">. </w:t>
      </w:r>
    </w:p>
    <w:p w:rsidR="00140950" w:rsidRPr="00CC5B9A" w:rsidRDefault="00140950" w:rsidP="00140950">
      <w:pPr>
        <w:jc w:val="both"/>
        <w:rPr>
          <w:rFonts w:ascii="Cambria" w:eastAsia="Times New Roman" w:hAnsi="Cambria"/>
          <w:sz w:val="20"/>
          <w:szCs w:val="20"/>
          <w:highlight w:val="yellow"/>
          <w:lang w:val="es-ES_tradnl"/>
        </w:rPr>
      </w:pPr>
    </w:p>
    <w:p w:rsidR="00CC5B9A" w:rsidRPr="00D2628F" w:rsidRDefault="00140950" w:rsidP="000D0406">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D2628F">
        <w:rPr>
          <w:rFonts w:ascii="Cambria" w:eastAsia="Times New Roman" w:hAnsi="Cambria"/>
          <w:sz w:val="20"/>
          <w:szCs w:val="20"/>
          <w:lang w:val="es-ES_tradnl"/>
        </w:rPr>
        <w:t xml:space="preserve">El Estado no </w:t>
      </w:r>
      <w:r w:rsidR="00CC5B9A" w:rsidRPr="00D2628F">
        <w:rPr>
          <w:rFonts w:ascii="Cambria" w:eastAsia="Times New Roman" w:hAnsi="Cambria"/>
          <w:sz w:val="20"/>
          <w:szCs w:val="20"/>
          <w:lang w:val="es-ES_tradnl"/>
        </w:rPr>
        <w:t xml:space="preserve">argumentó ante la Comisión sobre el fin legítimo perseguido con la restricción </w:t>
      </w:r>
      <w:r w:rsidR="00D2628F">
        <w:rPr>
          <w:rFonts w:ascii="Cambria" w:eastAsia="Times New Roman" w:hAnsi="Cambria"/>
          <w:sz w:val="20"/>
          <w:szCs w:val="20"/>
          <w:lang w:val="es-ES_tradnl"/>
        </w:rPr>
        <w:t>de</w:t>
      </w:r>
      <w:r w:rsidR="00CC5B9A" w:rsidRPr="00D2628F">
        <w:rPr>
          <w:rFonts w:ascii="Cambria" w:eastAsia="Times New Roman" w:hAnsi="Cambria"/>
          <w:sz w:val="20"/>
          <w:szCs w:val="20"/>
          <w:lang w:val="es-ES_tradnl"/>
        </w:rPr>
        <w:t xml:space="preserve"> la posibilidad de obtener una reparación</w:t>
      </w:r>
      <w:r w:rsidR="00D2628F">
        <w:rPr>
          <w:rFonts w:ascii="Cambria" w:eastAsia="Times New Roman" w:hAnsi="Cambria"/>
          <w:sz w:val="20"/>
          <w:szCs w:val="20"/>
          <w:lang w:val="es-ES_tradnl"/>
        </w:rPr>
        <w:t>,</w:t>
      </w:r>
      <w:r w:rsidR="00CC5B9A" w:rsidRPr="00D2628F">
        <w:rPr>
          <w:rFonts w:ascii="Cambria" w:eastAsia="Times New Roman" w:hAnsi="Cambria"/>
          <w:sz w:val="20"/>
          <w:szCs w:val="20"/>
          <w:lang w:val="es-ES_tradnl"/>
        </w:rPr>
        <w:t xml:space="preserve"> mediante la aplicación de la prescripción de la acción civil para hechos como los del presente caso, por lo que no </w:t>
      </w:r>
      <w:r w:rsidR="002B28B9" w:rsidRPr="00D2628F">
        <w:rPr>
          <w:rFonts w:ascii="Cambria" w:eastAsia="Times New Roman" w:hAnsi="Cambria"/>
          <w:sz w:val="20"/>
          <w:szCs w:val="20"/>
          <w:lang w:val="es-ES_tradnl"/>
        </w:rPr>
        <w:t>resultaría necesario continuar con los pasos subsiguientes de este análisis. Sin perjuicio de lo anterior, la Comisión estima útil formular algunas</w:t>
      </w:r>
      <w:r w:rsidR="002B190D" w:rsidRPr="00D2628F">
        <w:rPr>
          <w:rFonts w:ascii="Cambria" w:eastAsia="Times New Roman" w:hAnsi="Cambria"/>
          <w:sz w:val="20"/>
          <w:szCs w:val="20"/>
          <w:lang w:val="es-ES_tradnl"/>
        </w:rPr>
        <w:t xml:space="preserve"> consideraciones adicionales, entendiendo que la seguridad jurídica puede ser uno de los fines perseguidos mediante la prescripción de la acción civil. Estas consideraciones no implican un pronunciamiento </w:t>
      </w:r>
      <w:r w:rsidR="00BA15BA" w:rsidRPr="00D2628F">
        <w:rPr>
          <w:rFonts w:ascii="Cambria" w:eastAsia="Times New Roman" w:hAnsi="Cambria"/>
          <w:sz w:val="20"/>
          <w:szCs w:val="20"/>
          <w:lang w:val="es-ES_tradnl"/>
        </w:rPr>
        <w:t>genérico</w:t>
      </w:r>
      <w:r w:rsidR="002B190D" w:rsidRPr="00D2628F">
        <w:rPr>
          <w:rFonts w:ascii="Cambria" w:eastAsia="Times New Roman" w:hAnsi="Cambria"/>
          <w:sz w:val="20"/>
          <w:szCs w:val="20"/>
          <w:lang w:val="es-ES_tradnl"/>
        </w:rPr>
        <w:t xml:space="preserve"> sobre dicha figura sino que se limita a la aplicación de la misma a crímenes de lesa humanidad como los cometidos en el presente caso. </w:t>
      </w:r>
    </w:p>
    <w:p w:rsidR="00614867" w:rsidRPr="00614867" w:rsidRDefault="00614867" w:rsidP="00614867">
      <w:pPr>
        <w:rPr>
          <w:rFonts w:ascii="Cambria" w:eastAsia="Times New Roman" w:hAnsi="Cambria"/>
          <w:sz w:val="20"/>
          <w:szCs w:val="20"/>
          <w:highlight w:val="yellow"/>
          <w:lang w:val="es-ES_tradnl"/>
        </w:rPr>
      </w:pPr>
    </w:p>
    <w:p w:rsidR="00BA15BA" w:rsidRPr="00530051" w:rsidRDefault="00140950" w:rsidP="00BA15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530051">
        <w:rPr>
          <w:rFonts w:ascii="Cambria" w:eastAsia="Times New Roman" w:hAnsi="Cambria"/>
          <w:sz w:val="20"/>
          <w:szCs w:val="20"/>
          <w:lang w:val="es-ES_tradnl"/>
        </w:rPr>
        <w:t>En cuanto al primer y segundo elementos del juicio de proporcionalidad, la CIDH con</w:t>
      </w:r>
      <w:r w:rsidR="00DC1048" w:rsidRPr="00530051">
        <w:rPr>
          <w:rFonts w:ascii="Cambria" w:eastAsia="Times New Roman" w:hAnsi="Cambria"/>
          <w:sz w:val="20"/>
          <w:szCs w:val="20"/>
          <w:lang w:val="es-ES_tradnl"/>
        </w:rPr>
        <w:t xml:space="preserve">sidera que </w:t>
      </w:r>
      <w:r w:rsidR="00C470D5" w:rsidRPr="00530051">
        <w:rPr>
          <w:rFonts w:ascii="Cambria" w:eastAsia="Times New Roman" w:hAnsi="Cambria"/>
          <w:sz w:val="20"/>
          <w:szCs w:val="20"/>
          <w:lang w:val="es-ES_tradnl"/>
        </w:rPr>
        <w:t xml:space="preserve">la seguridad jurídica puede </w:t>
      </w:r>
      <w:r w:rsidRPr="00530051">
        <w:rPr>
          <w:rFonts w:ascii="Cambria" w:eastAsia="Times New Roman" w:hAnsi="Cambria"/>
          <w:sz w:val="20"/>
          <w:szCs w:val="20"/>
          <w:lang w:val="es-ES_tradnl"/>
        </w:rPr>
        <w:t>constitu</w:t>
      </w:r>
      <w:r w:rsidR="00C470D5" w:rsidRPr="00530051">
        <w:rPr>
          <w:rFonts w:ascii="Cambria" w:eastAsia="Times New Roman" w:hAnsi="Cambria"/>
          <w:sz w:val="20"/>
          <w:szCs w:val="20"/>
          <w:lang w:val="es-ES_tradnl"/>
        </w:rPr>
        <w:t xml:space="preserve">ir </w:t>
      </w:r>
      <w:r w:rsidRPr="00530051">
        <w:rPr>
          <w:rFonts w:ascii="Cambria" w:eastAsia="Times New Roman" w:hAnsi="Cambria"/>
          <w:sz w:val="20"/>
          <w:szCs w:val="20"/>
          <w:lang w:val="es-ES_tradnl"/>
        </w:rPr>
        <w:t xml:space="preserve">un fin legítimo </w:t>
      </w:r>
      <w:r w:rsidR="00C470D5" w:rsidRPr="00530051">
        <w:rPr>
          <w:rFonts w:ascii="Cambria" w:eastAsia="Times New Roman" w:hAnsi="Cambria"/>
          <w:sz w:val="20"/>
          <w:szCs w:val="20"/>
          <w:lang w:val="es-ES_tradnl"/>
        </w:rPr>
        <w:t>y que puede existir</w:t>
      </w:r>
      <w:r w:rsidR="00BA15BA" w:rsidRPr="00530051">
        <w:rPr>
          <w:rFonts w:ascii="Cambria" w:eastAsia="Times New Roman" w:hAnsi="Cambria"/>
          <w:sz w:val="20"/>
          <w:szCs w:val="20"/>
          <w:lang w:val="es-ES_tradnl"/>
        </w:rPr>
        <w:t>, en abstracto,</w:t>
      </w:r>
      <w:r w:rsidR="00C470D5" w:rsidRPr="00530051">
        <w:rPr>
          <w:rFonts w:ascii="Cambria" w:eastAsia="Times New Roman" w:hAnsi="Cambria"/>
          <w:sz w:val="20"/>
          <w:szCs w:val="20"/>
          <w:lang w:val="es-ES_tradnl"/>
        </w:rPr>
        <w:t xml:space="preserve"> una relación de idoneidad entre dicha seguridad jurídica y el establecimiento de </w:t>
      </w:r>
      <w:r w:rsidRPr="00530051">
        <w:rPr>
          <w:rFonts w:ascii="Cambria" w:eastAsia="Times New Roman" w:hAnsi="Cambria"/>
          <w:sz w:val="20"/>
          <w:szCs w:val="20"/>
          <w:lang w:val="es-ES_tradnl"/>
        </w:rPr>
        <w:t>periodos de prescripción para</w:t>
      </w:r>
      <w:r w:rsidR="00BA15BA" w:rsidRPr="00530051">
        <w:rPr>
          <w:rFonts w:ascii="Cambria" w:eastAsia="Times New Roman" w:hAnsi="Cambria"/>
          <w:sz w:val="20"/>
          <w:szCs w:val="20"/>
          <w:lang w:val="es-ES_tradnl"/>
        </w:rPr>
        <w:t xml:space="preserve"> las acciones civiles de reparación. Sin embargo, respecto del </w:t>
      </w:r>
      <w:r w:rsidRPr="00530051">
        <w:rPr>
          <w:rFonts w:ascii="Cambria" w:eastAsia="Times New Roman" w:hAnsi="Cambria"/>
          <w:sz w:val="20"/>
          <w:szCs w:val="20"/>
          <w:lang w:val="es-ES_tradnl"/>
        </w:rPr>
        <w:t xml:space="preserve">requisito de necesidad, la Comisión estima que </w:t>
      </w:r>
      <w:r w:rsidR="00BA15BA" w:rsidRPr="00530051">
        <w:rPr>
          <w:rFonts w:ascii="Cambria" w:eastAsia="Times New Roman" w:hAnsi="Cambria"/>
          <w:sz w:val="20"/>
          <w:szCs w:val="20"/>
          <w:lang w:val="es-ES_tradnl"/>
        </w:rPr>
        <w:t xml:space="preserve">el Estado no demostró que </w:t>
      </w:r>
      <w:r w:rsidRPr="00530051">
        <w:rPr>
          <w:rFonts w:ascii="Cambria" w:eastAsia="Times New Roman" w:hAnsi="Cambria"/>
          <w:sz w:val="20"/>
          <w:szCs w:val="20"/>
          <w:lang w:val="es-ES_tradnl"/>
        </w:rPr>
        <w:t>resulta indispensable aplicar la prescripción a las acciones civiles de reparación por</w:t>
      </w:r>
      <w:r w:rsidR="00BA15BA" w:rsidRPr="00530051">
        <w:rPr>
          <w:rFonts w:ascii="Cambria" w:eastAsia="Times New Roman" w:hAnsi="Cambria"/>
          <w:sz w:val="20"/>
          <w:szCs w:val="20"/>
          <w:lang w:val="es-ES_tradnl"/>
        </w:rPr>
        <w:t xml:space="preserve"> crímenes de lesa humanidad </w:t>
      </w:r>
      <w:r w:rsidRPr="00530051">
        <w:rPr>
          <w:rFonts w:ascii="Cambria" w:eastAsia="Times New Roman" w:hAnsi="Cambria"/>
          <w:sz w:val="20"/>
          <w:szCs w:val="20"/>
          <w:lang w:val="es-ES_tradnl"/>
        </w:rPr>
        <w:t xml:space="preserve">para efectos de garantizar la seguridad jurídica. Por el contrario, si se entiende que el principio de seguridad jurídica busca coadyuvar al orden público y la paz </w:t>
      </w:r>
      <w:r w:rsidR="00614867" w:rsidRPr="00530051">
        <w:rPr>
          <w:rFonts w:ascii="Cambria" w:eastAsia="Times New Roman" w:hAnsi="Cambria"/>
          <w:sz w:val="20"/>
          <w:szCs w:val="20"/>
          <w:lang w:val="es-ES_tradnl"/>
        </w:rPr>
        <w:t xml:space="preserve">en las relaciones </w:t>
      </w:r>
      <w:r w:rsidRPr="00530051">
        <w:rPr>
          <w:rFonts w:ascii="Cambria" w:eastAsia="Times New Roman" w:hAnsi="Cambria"/>
          <w:sz w:val="20"/>
          <w:szCs w:val="20"/>
          <w:lang w:val="es-ES_tradnl"/>
        </w:rPr>
        <w:t>social</w:t>
      </w:r>
      <w:r w:rsidR="00614867" w:rsidRPr="00530051">
        <w:rPr>
          <w:rFonts w:ascii="Cambria" w:eastAsia="Times New Roman" w:hAnsi="Cambria"/>
          <w:sz w:val="20"/>
          <w:szCs w:val="20"/>
          <w:lang w:val="es-ES_tradnl"/>
        </w:rPr>
        <w:t>es</w:t>
      </w:r>
      <w:r w:rsidRPr="00530051">
        <w:rPr>
          <w:rFonts w:ascii="Cambria" w:eastAsia="Times New Roman" w:hAnsi="Cambria"/>
          <w:sz w:val="20"/>
          <w:szCs w:val="20"/>
          <w:lang w:val="es-ES_tradnl"/>
        </w:rPr>
        <w:t xml:space="preserve">, el derecho a un recurso judicial para obtener una reparación por </w:t>
      </w:r>
      <w:r w:rsidR="008C4CAA" w:rsidRPr="00530051">
        <w:rPr>
          <w:rFonts w:ascii="Cambria" w:eastAsia="Times New Roman" w:hAnsi="Cambria"/>
          <w:sz w:val="20"/>
          <w:szCs w:val="20"/>
          <w:lang w:val="es-ES_tradnl"/>
        </w:rPr>
        <w:t xml:space="preserve">crímenes de lesa humanidad </w:t>
      </w:r>
      <w:r w:rsidRPr="00530051">
        <w:rPr>
          <w:rFonts w:ascii="Cambria" w:eastAsia="Times New Roman" w:hAnsi="Cambria"/>
          <w:sz w:val="20"/>
          <w:szCs w:val="20"/>
          <w:lang w:val="es-ES_tradnl"/>
        </w:rPr>
        <w:t>no va en desmedro de este principio, sino</w:t>
      </w:r>
      <w:r w:rsidR="008C4CAA" w:rsidRPr="00530051">
        <w:rPr>
          <w:rFonts w:ascii="Cambria" w:eastAsia="Times New Roman" w:hAnsi="Cambria"/>
          <w:sz w:val="20"/>
          <w:szCs w:val="20"/>
          <w:lang w:val="es-ES_tradnl"/>
        </w:rPr>
        <w:t xml:space="preserve"> que</w:t>
      </w:r>
      <w:r w:rsidRPr="00530051">
        <w:rPr>
          <w:rFonts w:ascii="Cambria" w:eastAsia="Times New Roman" w:hAnsi="Cambria"/>
          <w:sz w:val="20"/>
          <w:szCs w:val="20"/>
          <w:lang w:val="es-ES_tradnl"/>
        </w:rPr>
        <w:t xml:space="preserve"> lo fortalece y contribuye a su optimización. </w:t>
      </w:r>
    </w:p>
    <w:p w:rsidR="00BA15BA" w:rsidRDefault="00BA15BA" w:rsidP="00BA15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highlight w:val="yellow"/>
          <w:lang w:val="es-ES_tradnl"/>
        </w:rPr>
      </w:pPr>
    </w:p>
    <w:p w:rsidR="00140950" w:rsidRPr="00530051" w:rsidRDefault="00140950" w:rsidP="00BA15B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r w:rsidRPr="00530051">
        <w:rPr>
          <w:rFonts w:ascii="Cambria" w:eastAsia="Times New Roman" w:hAnsi="Cambria"/>
          <w:sz w:val="20"/>
          <w:szCs w:val="20"/>
          <w:lang w:val="es-ES_tradnl"/>
        </w:rPr>
        <w:t>A</w:t>
      </w:r>
      <w:r w:rsidR="008C4CAA" w:rsidRPr="00530051">
        <w:rPr>
          <w:rFonts w:ascii="Cambria" w:eastAsia="Times New Roman" w:hAnsi="Cambria"/>
          <w:sz w:val="20"/>
          <w:szCs w:val="20"/>
          <w:lang w:val="es-ES_tradnl"/>
        </w:rPr>
        <w:t xml:space="preserve">demás, </w:t>
      </w:r>
      <w:r w:rsidR="00524E67" w:rsidRPr="00530051">
        <w:rPr>
          <w:rFonts w:ascii="Cambria" w:eastAsia="Times New Roman" w:hAnsi="Cambria"/>
          <w:sz w:val="20"/>
          <w:szCs w:val="20"/>
          <w:lang w:val="es-ES_tradnl"/>
        </w:rPr>
        <w:t xml:space="preserve">en términos de proporcionalidad en sentido estricto, la Comisión considera que a </w:t>
      </w:r>
      <w:r w:rsidR="008C4CAA" w:rsidRPr="00530051">
        <w:rPr>
          <w:rFonts w:ascii="Cambria" w:eastAsia="Times New Roman" w:hAnsi="Cambria"/>
          <w:sz w:val="20"/>
          <w:szCs w:val="20"/>
          <w:lang w:val="es-ES_tradnl"/>
        </w:rPr>
        <w:t xml:space="preserve">las reparaciones de crímenes de lesa humanidad, por la gravedad de tales crímenes y su impacto en la sociedad </w:t>
      </w:r>
      <w:r w:rsidR="00524E67" w:rsidRPr="00530051">
        <w:rPr>
          <w:rFonts w:ascii="Cambria" w:eastAsia="Times New Roman" w:hAnsi="Cambria"/>
          <w:sz w:val="20"/>
          <w:szCs w:val="20"/>
          <w:lang w:val="es-ES_tradnl"/>
        </w:rPr>
        <w:t xml:space="preserve">que trasciende a los </w:t>
      </w:r>
      <w:r w:rsidR="008C4CAA" w:rsidRPr="00530051">
        <w:rPr>
          <w:rFonts w:ascii="Cambria" w:eastAsia="Times New Roman" w:hAnsi="Cambria"/>
          <w:sz w:val="20"/>
          <w:szCs w:val="20"/>
          <w:lang w:val="es-ES_tradnl"/>
        </w:rPr>
        <w:t xml:space="preserve">individuos, debe atribuírsele un mayor peso </w:t>
      </w:r>
      <w:r w:rsidR="00130369" w:rsidRPr="00530051">
        <w:rPr>
          <w:rFonts w:ascii="Cambria" w:eastAsia="Times New Roman" w:hAnsi="Cambria"/>
          <w:sz w:val="20"/>
          <w:szCs w:val="20"/>
          <w:lang w:val="es-ES_tradnl"/>
        </w:rPr>
        <w:t>frente al atribuido a la seguridad jurídica.</w:t>
      </w:r>
    </w:p>
    <w:p w:rsidR="00E12799" w:rsidRDefault="00E12799" w:rsidP="001409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323FAD" w:rsidRPr="00DC278B" w:rsidRDefault="00140950"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Pr>
          <w:rFonts w:ascii="Cambria" w:eastAsia="Times New Roman" w:hAnsi="Cambria"/>
          <w:sz w:val="20"/>
          <w:szCs w:val="20"/>
          <w:bdr w:val="none" w:sz="0" w:space="0" w:color="auto"/>
          <w:lang w:val="es-ES_tradnl"/>
        </w:rPr>
        <w:t>Asimismo, t</w:t>
      </w:r>
      <w:r w:rsidR="00323FAD" w:rsidRPr="00DC278B">
        <w:rPr>
          <w:rFonts w:ascii="Cambria" w:eastAsia="Times New Roman" w:hAnsi="Cambria"/>
          <w:sz w:val="20"/>
          <w:szCs w:val="20"/>
          <w:bdr w:val="none" w:sz="0" w:space="0" w:color="auto"/>
          <w:lang w:val="es-ES_tradnl"/>
        </w:rPr>
        <w:t xml:space="preserve">omando en cuenta los estándares descritos en las secciones anteriores, la Comisión considera que existe claridad en la jurisprudencia interamericana sobre la </w:t>
      </w:r>
      <w:proofErr w:type="spellStart"/>
      <w:r w:rsidR="00323FAD" w:rsidRPr="00DC278B">
        <w:rPr>
          <w:rFonts w:ascii="Cambria" w:eastAsia="Times New Roman" w:hAnsi="Cambria"/>
          <w:sz w:val="20"/>
          <w:szCs w:val="20"/>
          <w:bdr w:val="none" w:sz="0" w:space="0" w:color="auto"/>
          <w:lang w:val="es-ES_tradnl"/>
        </w:rPr>
        <w:t>inconvencionalidad</w:t>
      </w:r>
      <w:proofErr w:type="spellEnd"/>
      <w:r w:rsidR="00323FAD" w:rsidRPr="00DC278B">
        <w:rPr>
          <w:rFonts w:ascii="Cambria" w:eastAsia="Times New Roman" w:hAnsi="Cambria"/>
          <w:sz w:val="20"/>
          <w:szCs w:val="20"/>
          <w:bdr w:val="none" w:sz="0" w:space="0" w:color="auto"/>
          <w:lang w:val="es-ES_tradnl"/>
        </w:rPr>
        <w:t xml:space="preserve"> de la aplicación de la figura de prescripción de la acción penal en casos de graves violaciones de derechos humanos. La Comisión entiende que la razón de ser de dicha prohibición se relaciona con el carácter fundamental que tiene para las víctimas de</w:t>
      </w:r>
      <w:r w:rsidR="00CE6E41" w:rsidRPr="00DC278B">
        <w:rPr>
          <w:rFonts w:ascii="Cambria" w:eastAsia="Times New Roman" w:hAnsi="Cambria"/>
          <w:sz w:val="20"/>
          <w:szCs w:val="20"/>
          <w:bdr w:val="none" w:sz="0" w:space="0" w:color="auto"/>
          <w:lang w:val="es-ES_tradnl"/>
        </w:rPr>
        <w:t xml:space="preserve"> graves </w:t>
      </w:r>
      <w:r w:rsidR="00323FAD" w:rsidRPr="00DC278B">
        <w:rPr>
          <w:rFonts w:ascii="Cambria" w:eastAsia="Times New Roman" w:hAnsi="Cambria"/>
          <w:sz w:val="20"/>
          <w:szCs w:val="20"/>
          <w:bdr w:val="none" w:sz="0" w:space="0" w:color="auto"/>
          <w:lang w:val="es-ES_tradnl"/>
        </w:rPr>
        <w:t>violaciones de derechos humanos, el esclarecimiento de los hechos y la obtención de justicia</w:t>
      </w:r>
      <w:r w:rsidR="009C1B1A" w:rsidRPr="00DC278B">
        <w:rPr>
          <w:rFonts w:ascii="Cambria" w:eastAsia="Times New Roman" w:hAnsi="Cambria"/>
          <w:sz w:val="20"/>
          <w:szCs w:val="20"/>
          <w:bdr w:val="none" w:sz="0" w:space="0" w:color="auto"/>
          <w:lang w:val="es-ES_tradnl"/>
        </w:rPr>
        <w:t xml:space="preserve">. La Comisión no encuentra razones para </w:t>
      </w:r>
      <w:r w:rsidR="00D91194" w:rsidRPr="00DC278B">
        <w:rPr>
          <w:rFonts w:ascii="Cambria" w:eastAsia="Times New Roman" w:hAnsi="Cambria"/>
          <w:sz w:val="20"/>
          <w:szCs w:val="20"/>
          <w:bdr w:val="none" w:sz="0" w:space="0" w:color="auto"/>
          <w:lang w:val="es-ES_tradnl"/>
        </w:rPr>
        <w:t>aplicar un estándar distinto a un aspecto igualmente fundamental como lo es la reparació</w:t>
      </w:r>
      <w:r w:rsidR="00160C68" w:rsidRPr="00DC278B">
        <w:rPr>
          <w:rFonts w:ascii="Cambria" w:eastAsia="Times New Roman" w:hAnsi="Cambria"/>
          <w:sz w:val="20"/>
          <w:szCs w:val="20"/>
          <w:bdr w:val="none" w:sz="0" w:space="0" w:color="auto"/>
          <w:lang w:val="es-ES_tradnl"/>
        </w:rPr>
        <w:t xml:space="preserve">n en este tipo de casos. </w:t>
      </w:r>
      <w:r w:rsidR="00E0789D" w:rsidRPr="00DC278B">
        <w:rPr>
          <w:rFonts w:ascii="Cambria" w:eastAsia="Times New Roman" w:hAnsi="Cambria"/>
          <w:sz w:val="20"/>
          <w:szCs w:val="20"/>
          <w:bdr w:val="none" w:sz="0" w:space="0" w:color="auto"/>
          <w:lang w:val="es-ES_tradnl"/>
        </w:rPr>
        <w:t>Esto resulta además consistente con los desarrollos citados en</w:t>
      </w:r>
      <w:r w:rsidR="005F2090" w:rsidRPr="00DC278B">
        <w:rPr>
          <w:rFonts w:ascii="Cambria" w:eastAsia="Times New Roman" w:hAnsi="Cambria"/>
          <w:sz w:val="20"/>
          <w:szCs w:val="20"/>
          <w:bdr w:val="none" w:sz="0" w:space="0" w:color="auto"/>
          <w:lang w:val="es-ES_tradnl"/>
        </w:rPr>
        <w:t xml:space="preserve"> el sistema de Naciones Unidas </w:t>
      </w:r>
      <w:r w:rsidR="001B4452" w:rsidRPr="00DC278B">
        <w:rPr>
          <w:rFonts w:ascii="Cambria" w:eastAsia="Times New Roman" w:hAnsi="Cambria"/>
          <w:sz w:val="20"/>
          <w:szCs w:val="20"/>
          <w:bdr w:val="none" w:sz="0" w:space="0" w:color="auto"/>
          <w:lang w:val="es-ES_tradnl"/>
        </w:rPr>
        <w:t xml:space="preserve">y en el derecho comparado </w:t>
      </w:r>
      <w:r w:rsidR="005F2090" w:rsidRPr="00DC278B">
        <w:rPr>
          <w:rFonts w:ascii="Cambria" w:eastAsia="Times New Roman" w:hAnsi="Cambria"/>
          <w:sz w:val="20"/>
          <w:szCs w:val="20"/>
          <w:bdr w:val="none" w:sz="0" w:space="0" w:color="auto"/>
          <w:lang w:val="es-ES_tradnl"/>
        </w:rPr>
        <w:t>que apuntan a que las acciones</w:t>
      </w:r>
      <w:r w:rsidR="00DD6425" w:rsidRPr="00DC278B">
        <w:rPr>
          <w:rFonts w:ascii="Cambria" w:eastAsia="Times New Roman" w:hAnsi="Cambria"/>
          <w:sz w:val="20"/>
          <w:szCs w:val="20"/>
          <w:bdr w:val="none" w:sz="0" w:space="0" w:color="auto"/>
          <w:lang w:val="es-ES_tradnl"/>
        </w:rPr>
        <w:t xml:space="preserve"> judiciales</w:t>
      </w:r>
      <w:r w:rsidR="005F2090" w:rsidRPr="00DC278B">
        <w:rPr>
          <w:rFonts w:ascii="Cambria" w:eastAsia="Times New Roman" w:hAnsi="Cambria"/>
          <w:sz w:val="20"/>
          <w:szCs w:val="20"/>
          <w:bdr w:val="none" w:sz="0" w:space="0" w:color="auto"/>
          <w:lang w:val="es-ES_tradnl"/>
        </w:rPr>
        <w:t xml:space="preserve"> de reparación de</w:t>
      </w:r>
      <w:r w:rsidR="00E3423E" w:rsidRPr="00DC278B">
        <w:rPr>
          <w:rFonts w:ascii="Cambria" w:eastAsia="Times New Roman" w:hAnsi="Cambria"/>
          <w:sz w:val="20"/>
          <w:szCs w:val="20"/>
          <w:bdr w:val="none" w:sz="0" w:space="0" w:color="auto"/>
          <w:lang w:val="es-ES_tradnl"/>
        </w:rPr>
        <w:t xml:space="preserve">l daño causado por </w:t>
      </w:r>
      <w:r w:rsidR="005F2090" w:rsidRPr="00DC278B">
        <w:rPr>
          <w:rFonts w:ascii="Cambria" w:eastAsia="Times New Roman" w:hAnsi="Cambria"/>
          <w:sz w:val="20"/>
          <w:szCs w:val="20"/>
          <w:bdr w:val="none" w:sz="0" w:space="0" w:color="auto"/>
          <w:lang w:val="es-ES_tradnl"/>
        </w:rPr>
        <w:t>crímenes internacionales</w:t>
      </w:r>
      <w:r w:rsidR="00BE5815" w:rsidRPr="00DC278B">
        <w:rPr>
          <w:rFonts w:ascii="Cambria" w:eastAsia="Times New Roman" w:hAnsi="Cambria"/>
          <w:sz w:val="20"/>
          <w:szCs w:val="20"/>
          <w:bdr w:val="none" w:sz="0" w:space="0" w:color="auto"/>
          <w:lang w:val="es-ES_tradnl"/>
        </w:rPr>
        <w:t>, como crímenes de lesa humanidad,</w:t>
      </w:r>
      <w:r w:rsidR="005F2090" w:rsidRPr="00DC278B">
        <w:rPr>
          <w:rFonts w:ascii="Cambria" w:eastAsia="Times New Roman" w:hAnsi="Cambria"/>
          <w:sz w:val="20"/>
          <w:szCs w:val="20"/>
          <w:bdr w:val="none" w:sz="0" w:space="0" w:color="auto"/>
          <w:lang w:val="es-ES_tradnl"/>
        </w:rPr>
        <w:t xml:space="preserve"> no deberían </w:t>
      </w:r>
      <w:r w:rsidR="002F16EA" w:rsidRPr="00DC278B">
        <w:rPr>
          <w:rFonts w:ascii="Cambria" w:eastAsia="Times New Roman" w:hAnsi="Cambria"/>
          <w:sz w:val="20"/>
          <w:szCs w:val="20"/>
          <w:bdr w:val="none" w:sz="0" w:space="0" w:color="auto"/>
          <w:lang w:val="es-ES_tradnl"/>
        </w:rPr>
        <w:t xml:space="preserve">estar </w:t>
      </w:r>
      <w:r w:rsidR="005F2090" w:rsidRPr="00DC278B">
        <w:rPr>
          <w:rFonts w:ascii="Cambria" w:eastAsia="Times New Roman" w:hAnsi="Cambria"/>
          <w:sz w:val="20"/>
          <w:szCs w:val="20"/>
          <w:bdr w:val="none" w:sz="0" w:space="0" w:color="auto"/>
          <w:lang w:val="es-ES_tradnl"/>
        </w:rPr>
        <w:t>su</w:t>
      </w:r>
      <w:r w:rsidR="00CE6E41" w:rsidRPr="00DC278B">
        <w:rPr>
          <w:rFonts w:ascii="Cambria" w:eastAsia="Times New Roman" w:hAnsi="Cambria"/>
          <w:sz w:val="20"/>
          <w:szCs w:val="20"/>
          <w:bdr w:val="none" w:sz="0" w:space="0" w:color="auto"/>
          <w:lang w:val="es-ES_tradnl"/>
        </w:rPr>
        <w:t>jetas a prescripción.</w:t>
      </w:r>
      <w:r w:rsidR="001459AD" w:rsidRPr="00DC278B">
        <w:rPr>
          <w:rFonts w:ascii="Cambria" w:eastAsia="Times New Roman" w:hAnsi="Cambria"/>
          <w:sz w:val="20"/>
          <w:szCs w:val="20"/>
          <w:bdr w:val="none" w:sz="0" w:space="0" w:color="auto"/>
          <w:lang w:val="es-ES_tradnl"/>
        </w:rPr>
        <w:t xml:space="preserve"> </w:t>
      </w:r>
    </w:p>
    <w:p w:rsidR="00323FAD" w:rsidRPr="00DC278B" w:rsidRDefault="00323FAD"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CO"/>
        </w:rPr>
      </w:pPr>
    </w:p>
    <w:p w:rsidR="00332F4D" w:rsidRPr="00DC278B" w:rsidRDefault="006A501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CO"/>
        </w:rPr>
        <w:t>L</w:t>
      </w:r>
      <w:r w:rsidR="00332F4D" w:rsidRPr="00DC278B">
        <w:rPr>
          <w:rFonts w:ascii="Cambria" w:eastAsia="Times New Roman" w:hAnsi="Cambria"/>
          <w:sz w:val="20"/>
          <w:szCs w:val="20"/>
          <w:bdr w:val="none" w:sz="0" w:space="0" w:color="auto"/>
          <w:lang w:val="es-CO"/>
        </w:rPr>
        <w:t xml:space="preserve">a Comisión destaca que en el caso </w:t>
      </w:r>
      <w:proofErr w:type="spellStart"/>
      <w:r w:rsidR="00332F4D" w:rsidRPr="00DC278B">
        <w:rPr>
          <w:rFonts w:ascii="Cambria" w:eastAsia="Times New Roman" w:hAnsi="Cambria"/>
          <w:i/>
          <w:sz w:val="20"/>
          <w:szCs w:val="20"/>
          <w:bdr w:val="none" w:sz="0" w:space="0" w:color="auto"/>
          <w:lang w:val="es-CO"/>
        </w:rPr>
        <w:t>Almonacid</w:t>
      </w:r>
      <w:proofErr w:type="spellEnd"/>
      <w:r w:rsidR="00332F4D" w:rsidRPr="00DC278B">
        <w:rPr>
          <w:rFonts w:ascii="Cambria" w:eastAsia="Times New Roman" w:hAnsi="Cambria"/>
          <w:i/>
          <w:sz w:val="20"/>
          <w:szCs w:val="20"/>
          <w:bdr w:val="none" w:sz="0" w:space="0" w:color="auto"/>
          <w:lang w:val="es-CO"/>
        </w:rPr>
        <w:t xml:space="preserve"> Arellano</w:t>
      </w:r>
      <w:r w:rsidR="00332F4D" w:rsidRPr="00DC278B">
        <w:rPr>
          <w:rFonts w:ascii="Cambria" w:eastAsia="Times New Roman" w:hAnsi="Cambria"/>
          <w:sz w:val="20"/>
          <w:szCs w:val="20"/>
          <w:bdr w:val="none" w:sz="0" w:space="0" w:color="auto"/>
          <w:lang w:val="es-CO"/>
        </w:rPr>
        <w:t xml:space="preserve"> </w:t>
      </w:r>
      <w:r w:rsidR="00332F4D" w:rsidRPr="00DC278B">
        <w:rPr>
          <w:rFonts w:ascii="Cambria" w:eastAsia="Times New Roman" w:hAnsi="Cambria"/>
          <w:i/>
          <w:sz w:val="20"/>
          <w:szCs w:val="20"/>
          <w:bdr w:val="none" w:sz="0" w:space="0" w:color="auto"/>
          <w:lang w:val="es-CO"/>
        </w:rPr>
        <w:t>y otros</w:t>
      </w:r>
      <w:r w:rsidR="00332F4D" w:rsidRPr="00DC278B">
        <w:rPr>
          <w:rFonts w:ascii="Cambria" w:eastAsia="Times New Roman" w:hAnsi="Cambria"/>
          <w:sz w:val="20"/>
          <w:szCs w:val="20"/>
          <w:bdr w:val="none" w:sz="0" w:space="0" w:color="auto"/>
          <w:lang w:val="es-CO"/>
        </w:rPr>
        <w:t>, la Corte</w:t>
      </w:r>
      <w:r w:rsidR="002D2BDD">
        <w:rPr>
          <w:rFonts w:ascii="Cambria" w:eastAsia="Times New Roman" w:hAnsi="Cambria"/>
          <w:sz w:val="20"/>
          <w:szCs w:val="20"/>
          <w:bdr w:val="none" w:sz="0" w:space="0" w:color="auto"/>
          <w:lang w:val="es-CO"/>
        </w:rPr>
        <w:t xml:space="preserve"> Interamericana estableció que</w:t>
      </w:r>
      <w:r w:rsidR="00332F4D" w:rsidRPr="00DC278B">
        <w:rPr>
          <w:rFonts w:ascii="Cambria" w:eastAsia="Times New Roman" w:hAnsi="Cambria"/>
          <w:sz w:val="20"/>
          <w:szCs w:val="20"/>
          <w:bdr w:val="none" w:sz="0" w:space="0" w:color="auto"/>
          <w:lang w:val="es-CO"/>
        </w:rPr>
        <w:t xml:space="preserve"> la dictadura militar estuvo caracterizada por la existencia de crímenes de lesa humanidad</w:t>
      </w:r>
      <w:r w:rsidR="00332F4D" w:rsidRPr="00DC278B">
        <w:rPr>
          <w:rFonts w:ascii="Cambria" w:hAnsi="Cambria"/>
          <w:sz w:val="20"/>
          <w:szCs w:val="20"/>
          <w:bdr w:val="none" w:sz="0" w:space="0" w:color="auto"/>
          <w:vertAlign w:val="superscript"/>
          <w:lang w:val="es-CO"/>
        </w:rPr>
        <w:footnoteReference w:id="161"/>
      </w:r>
      <w:r w:rsidR="00332F4D" w:rsidRPr="00DC278B">
        <w:rPr>
          <w:rFonts w:ascii="Cambria" w:eastAsia="Times New Roman" w:hAnsi="Cambria"/>
          <w:sz w:val="20"/>
          <w:szCs w:val="20"/>
          <w:bdr w:val="none" w:sz="0" w:space="0" w:color="auto"/>
          <w:lang w:val="es-CO"/>
        </w:rPr>
        <w:t xml:space="preserve">. En palabras de la Corte: </w:t>
      </w:r>
    </w:p>
    <w:p w:rsidR="00332F4D" w:rsidRPr="00DC278B" w:rsidRDefault="00332F4D" w:rsidP="00DC278B">
      <w:pPr>
        <w:pStyle w:val="MediumGrid1-Accent21"/>
        <w:rPr>
          <w:color w:val="auto"/>
          <w:sz w:val="20"/>
          <w:szCs w:val="20"/>
          <w:lang w:val="es-CO"/>
        </w:rPr>
      </w:pPr>
    </w:p>
    <w:p w:rsidR="00332F4D" w:rsidRPr="00DC278B" w:rsidRDefault="00332F4D" w:rsidP="00DC278B">
      <w:pPr>
        <w:pStyle w:val="MediumGrid1-Accent21"/>
        <w:autoSpaceDE w:val="0"/>
        <w:autoSpaceDN w:val="0"/>
        <w:adjustRightInd w:val="0"/>
        <w:ind w:right="720"/>
        <w:jc w:val="both"/>
        <w:rPr>
          <w:rFonts w:eastAsia="Times New Roman"/>
          <w:color w:val="auto"/>
          <w:sz w:val="20"/>
          <w:szCs w:val="20"/>
          <w:bdr w:val="none" w:sz="0" w:space="0" w:color="auto"/>
          <w:lang w:val="es-CO"/>
        </w:rPr>
      </w:pPr>
      <w:proofErr w:type="gramStart"/>
      <w:r w:rsidRPr="00DC278B">
        <w:rPr>
          <w:color w:val="auto"/>
          <w:sz w:val="20"/>
          <w:szCs w:val="20"/>
          <w:lang w:val="es-CO"/>
        </w:rPr>
        <w:t>encuentra</w:t>
      </w:r>
      <w:proofErr w:type="gramEnd"/>
      <w:r w:rsidRPr="00DC278B">
        <w:rPr>
          <w:color w:val="auto"/>
          <w:sz w:val="20"/>
          <w:szCs w:val="20"/>
          <w:lang w:val="es-CO"/>
        </w:rPr>
        <w:t xml:space="preserve"> que hay amplia evidencia para concluir que en 1973, </w:t>
      </w:r>
      <w:r w:rsidRPr="00DC278B">
        <w:rPr>
          <w:color w:val="auto"/>
          <w:sz w:val="20"/>
          <w:szCs w:val="20"/>
          <w:lang w:val="es-ES"/>
        </w:rPr>
        <w:t>[…]</w:t>
      </w:r>
      <w:r w:rsidRPr="00DC278B">
        <w:rPr>
          <w:color w:val="auto"/>
          <w:sz w:val="20"/>
          <w:szCs w:val="20"/>
          <w:lang w:val="es-CO"/>
        </w:rPr>
        <w:t xml:space="preserve">, la comisión de crímenes de lesa humanidad, incluido el asesinato ejecutado en un contexto de ataque generalizado o sistemático contra sectores de la población civil, era violatoria de una norma imperativa del derecho internacional. Dicha prohibición de cometer crímenes de lesa humanidad es una norma de </w:t>
      </w:r>
      <w:proofErr w:type="spellStart"/>
      <w:r w:rsidRPr="00DC278B">
        <w:rPr>
          <w:i/>
          <w:iCs/>
          <w:color w:val="auto"/>
          <w:sz w:val="20"/>
          <w:szCs w:val="20"/>
          <w:lang w:val="es-CO"/>
        </w:rPr>
        <w:t>ius</w:t>
      </w:r>
      <w:proofErr w:type="spellEnd"/>
      <w:r w:rsidRPr="00DC278B">
        <w:rPr>
          <w:i/>
          <w:iCs/>
          <w:color w:val="auto"/>
          <w:sz w:val="20"/>
          <w:szCs w:val="20"/>
          <w:lang w:val="es-CO"/>
        </w:rPr>
        <w:t xml:space="preserve"> </w:t>
      </w:r>
      <w:proofErr w:type="spellStart"/>
      <w:r w:rsidRPr="00DC278B">
        <w:rPr>
          <w:i/>
          <w:iCs/>
          <w:color w:val="auto"/>
          <w:sz w:val="20"/>
          <w:szCs w:val="20"/>
          <w:lang w:val="es-CO"/>
        </w:rPr>
        <w:t>cogens</w:t>
      </w:r>
      <w:proofErr w:type="spellEnd"/>
      <w:r w:rsidRPr="00DC278B">
        <w:rPr>
          <w:i/>
          <w:iCs/>
          <w:color w:val="auto"/>
          <w:sz w:val="20"/>
          <w:szCs w:val="20"/>
          <w:lang w:val="es-CO"/>
        </w:rPr>
        <w:t xml:space="preserve">, </w:t>
      </w:r>
      <w:r w:rsidRPr="00DC278B">
        <w:rPr>
          <w:color w:val="auto"/>
          <w:sz w:val="20"/>
          <w:szCs w:val="20"/>
          <w:lang w:val="es-CO"/>
        </w:rPr>
        <w:t>y la penalización de estos crímenes es obligatoria conforme al derecho internacional general</w:t>
      </w:r>
      <w:r w:rsidRPr="00DC278B">
        <w:rPr>
          <w:color w:val="auto"/>
          <w:sz w:val="20"/>
          <w:szCs w:val="20"/>
          <w:bdr w:val="none" w:sz="0" w:space="0" w:color="auto"/>
          <w:vertAlign w:val="superscript"/>
          <w:lang w:val="es-CO"/>
        </w:rPr>
        <w:footnoteReference w:id="162"/>
      </w:r>
      <w:r w:rsidRPr="00DC278B">
        <w:rPr>
          <w:color w:val="auto"/>
          <w:sz w:val="20"/>
          <w:szCs w:val="20"/>
          <w:lang w:val="es-CO"/>
        </w:rPr>
        <w:t>.</w:t>
      </w:r>
    </w:p>
    <w:p w:rsidR="00332F4D" w:rsidRPr="00DC278B" w:rsidRDefault="00332F4D"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E7135B" w:rsidRPr="00DC278B" w:rsidRDefault="00332F4D"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Conforme a lo hechos establecidos y las fechas en que ocurrieron o empezaron a ocurrir las violaciones primarias respecto de las cuales las presuntas víctimas del presente caso buscan una reparación, todas a partir de septiembre de 1973, la Comisión considera que </w:t>
      </w:r>
      <w:r w:rsidR="00322373" w:rsidRPr="00DC278B">
        <w:rPr>
          <w:rFonts w:ascii="Cambria" w:eastAsia="Times New Roman" w:hAnsi="Cambria"/>
          <w:sz w:val="20"/>
          <w:szCs w:val="20"/>
          <w:bdr w:val="none" w:sz="0" w:space="0" w:color="auto"/>
          <w:lang w:val="es-ES_tradnl"/>
        </w:rPr>
        <w:t xml:space="preserve">las mismas </w:t>
      </w:r>
      <w:r w:rsidRPr="00DC278B">
        <w:rPr>
          <w:rFonts w:ascii="Cambria" w:eastAsia="Times New Roman" w:hAnsi="Cambria"/>
          <w:sz w:val="20"/>
          <w:szCs w:val="20"/>
          <w:bdr w:val="none" w:sz="0" w:space="0" w:color="auto"/>
          <w:lang w:val="es-ES_tradnl"/>
        </w:rPr>
        <w:t>hacen parte de los crímenes de lesa humanidad cometido</w:t>
      </w:r>
      <w:r w:rsidR="00E7135B" w:rsidRPr="00DC278B">
        <w:rPr>
          <w:rFonts w:ascii="Cambria" w:eastAsia="Times New Roman" w:hAnsi="Cambria"/>
          <w:sz w:val="20"/>
          <w:szCs w:val="20"/>
          <w:bdr w:val="none" w:sz="0" w:space="0" w:color="auto"/>
          <w:lang w:val="es-ES_tradnl"/>
        </w:rPr>
        <w:t>s durante la dictadura militar.</w:t>
      </w:r>
      <w:r w:rsidR="00542C2F" w:rsidRPr="00DC278B">
        <w:rPr>
          <w:rFonts w:ascii="Cambria" w:eastAsia="Times New Roman" w:hAnsi="Cambria"/>
          <w:sz w:val="20"/>
          <w:szCs w:val="20"/>
          <w:bdr w:val="none" w:sz="0" w:space="0" w:color="auto"/>
          <w:lang w:val="es-ES_tradnl"/>
        </w:rPr>
        <w:t xml:space="preserve"> El Estado no controvirtió esta calificación de los hechos. </w:t>
      </w:r>
      <w:r w:rsidR="003D4F84" w:rsidRPr="00DC278B">
        <w:rPr>
          <w:rFonts w:ascii="Cambria" w:eastAsia="Times New Roman" w:hAnsi="Cambria"/>
          <w:sz w:val="20"/>
          <w:szCs w:val="20"/>
          <w:bdr w:val="none" w:sz="0" w:space="0" w:color="auto"/>
          <w:lang w:val="es-ES_tradnl"/>
        </w:rPr>
        <w:t xml:space="preserve">En ese sentido, la Comisión considera que </w:t>
      </w:r>
      <w:r w:rsidR="00810E0A" w:rsidRPr="00DC278B">
        <w:rPr>
          <w:rFonts w:ascii="Cambria" w:eastAsia="Times New Roman" w:hAnsi="Cambria"/>
          <w:sz w:val="20"/>
          <w:szCs w:val="20"/>
          <w:bdr w:val="none" w:sz="0" w:space="0" w:color="auto"/>
          <w:lang w:val="es-ES_tradnl"/>
        </w:rPr>
        <w:t>la aplicación de la figura de prescripción a las acciones</w:t>
      </w:r>
      <w:r w:rsidR="00D96D5B" w:rsidRPr="00DC278B">
        <w:rPr>
          <w:rFonts w:ascii="Cambria" w:eastAsia="Times New Roman" w:hAnsi="Cambria"/>
          <w:sz w:val="20"/>
          <w:szCs w:val="20"/>
          <w:bdr w:val="none" w:sz="0" w:space="0" w:color="auto"/>
          <w:lang w:val="es-ES_tradnl"/>
        </w:rPr>
        <w:t xml:space="preserve"> civiles de reparación interpuestas en el presente caso, </w:t>
      </w:r>
      <w:r w:rsidR="00810E0A" w:rsidRPr="00DC278B">
        <w:rPr>
          <w:rFonts w:ascii="Cambria" w:eastAsia="Times New Roman" w:hAnsi="Cambria"/>
          <w:sz w:val="20"/>
          <w:szCs w:val="20"/>
          <w:bdr w:val="none" w:sz="0" w:space="0" w:color="auto"/>
          <w:lang w:val="es-ES_tradnl"/>
        </w:rPr>
        <w:t>constituyó un obstáculo en el acceso</w:t>
      </w:r>
      <w:r w:rsidR="00EA2F70" w:rsidRPr="00DC278B">
        <w:rPr>
          <w:rFonts w:ascii="Cambria" w:eastAsia="Times New Roman" w:hAnsi="Cambria"/>
          <w:sz w:val="20"/>
          <w:szCs w:val="20"/>
          <w:bdr w:val="none" w:sz="0" w:space="0" w:color="auto"/>
          <w:lang w:val="es-ES_tradnl"/>
        </w:rPr>
        <w:t xml:space="preserve"> efectivo</w:t>
      </w:r>
      <w:r w:rsidR="00810E0A" w:rsidRPr="00DC278B">
        <w:rPr>
          <w:rFonts w:ascii="Cambria" w:eastAsia="Times New Roman" w:hAnsi="Cambria"/>
          <w:sz w:val="20"/>
          <w:szCs w:val="20"/>
          <w:bdr w:val="none" w:sz="0" w:space="0" w:color="auto"/>
          <w:lang w:val="es-ES_tradnl"/>
        </w:rPr>
        <w:t xml:space="preserve"> a la just</w:t>
      </w:r>
      <w:r w:rsidR="00270DB4" w:rsidRPr="00DC278B">
        <w:rPr>
          <w:rFonts w:ascii="Cambria" w:eastAsia="Times New Roman" w:hAnsi="Cambria"/>
          <w:sz w:val="20"/>
          <w:szCs w:val="20"/>
          <w:bdr w:val="none" w:sz="0" w:space="0" w:color="auto"/>
          <w:lang w:val="es-ES_tradnl"/>
        </w:rPr>
        <w:t>icia para hacer efectivo el derecho de las víctimas a ser reparadas</w:t>
      </w:r>
    </w:p>
    <w:p w:rsidR="00490384" w:rsidRPr="00DC278B" w:rsidRDefault="00490384" w:rsidP="00DC278B">
      <w:pPr>
        <w:pStyle w:val="MediumGrid1-Accent21"/>
        <w:ind w:left="0"/>
        <w:rPr>
          <w:rFonts w:eastAsia="Times New Roman"/>
          <w:color w:val="auto"/>
          <w:sz w:val="20"/>
          <w:szCs w:val="20"/>
          <w:bdr w:val="none" w:sz="0" w:space="0" w:color="auto"/>
          <w:lang w:val="es-ES_tradnl"/>
        </w:rPr>
      </w:pPr>
    </w:p>
    <w:p w:rsidR="00021607" w:rsidRDefault="00EA2F70" w:rsidP="002D2BD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Con base e</w:t>
      </w:r>
      <w:r w:rsidR="0021687A" w:rsidRPr="00DC278B">
        <w:rPr>
          <w:rFonts w:ascii="Cambria" w:eastAsia="Times New Roman" w:hAnsi="Cambria"/>
          <w:sz w:val="20"/>
          <w:szCs w:val="20"/>
          <w:bdr w:val="none" w:sz="0" w:space="0" w:color="auto"/>
          <w:lang w:val="es-ES_tradnl"/>
        </w:rPr>
        <w:t>n las anteriores</w:t>
      </w:r>
      <w:r w:rsidR="00B723B5" w:rsidRPr="00DC278B">
        <w:rPr>
          <w:rFonts w:ascii="Cambria" w:eastAsia="Times New Roman" w:hAnsi="Cambria"/>
          <w:sz w:val="20"/>
          <w:szCs w:val="20"/>
          <w:bdr w:val="none" w:sz="0" w:space="0" w:color="auto"/>
          <w:lang w:val="es-ES_tradnl"/>
        </w:rPr>
        <w:t xml:space="preserve"> consideraciones</w:t>
      </w:r>
      <w:r w:rsidR="0021687A" w:rsidRPr="00DC278B">
        <w:rPr>
          <w:rFonts w:ascii="Cambria" w:eastAsia="Times New Roman" w:hAnsi="Cambria"/>
          <w:sz w:val="20"/>
          <w:szCs w:val="20"/>
          <w:bdr w:val="none" w:sz="0" w:space="0" w:color="auto"/>
          <w:lang w:val="es-ES_tradnl"/>
        </w:rPr>
        <w:t xml:space="preserve">, la Comisión concluye que </w:t>
      </w:r>
      <w:r w:rsidR="00C512B7" w:rsidRPr="00DC278B">
        <w:rPr>
          <w:rFonts w:ascii="Cambria" w:eastAsia="Times New Roman" w:hAnsi="Cambria"/>
          <w:sz w:val="20"/>
          <w:szCs w:val="20"/>
          <w:bdr w:val="none" w:sz="0" w:space="0" w:color="auto"/>
          <w:lang w:val="es-ES_tradnl"/>
        </w:rPr>
        <w:t xml:space="preserve">el Estado </w:t>
      </w:r>
      <w:r w:rsidRPr="00DC278B">
        <w:rPr>
          <w:rFonts w:ascii="Cambria" w:eastAsia="Times New Roman" w:hAnsi="Cambria"/>
          <w:sz w:val="20"/>
          <w:szCs w:val="20"/>
          <w:bdr w:val="none" w:sz="0" w:space="0" w:color="auto"/>
          <w:lang w:val="es-ES_tradnl"/>
        </w:rPr>
        <w:t xml:space="preserve">de Chile </w:t>
      </w:r>
      <w:r w:rsidR="001048C3" w:rsidRPr="00DC278B">
        <w:rPr>
          <w:rFonts w:ascii="Cambria" w:eastAsia="Times New Roman" w:hAnsi="Cambria"/>
          <w:sz w:val="20"/>
          <w:szCs w:val="20"/>
          <w:bdr w:val="none" w:sz="0" w:space="0" w:color="auto"/>
          <w:lang w:val="es-ES_tradnl"/>
        </w:rPr>
        <w:t xml:space="preserve">violó </w:t>
      </w:r>
      <w:r w:rsidR="0021687A" w:rsidRPr="00DC278B">
        <w:rPr>
          <w:rFonts w:ascii="Cambria" w:eastAsia="Times New Roman" w:hAnsi="Cambria"/>
          <w:sz w:val="20"/>
          <w:szCs w:val="20"/>
          <w:bdr w:val="none" w:sz="0" w:space="0" w:color="auto"/>
          <w:lang w:val="es-ES_tradnl"/>
        </w:rPr>
        <w:t xml:space="preserve">los derechos a las garantías judiciales y la protección judicial </w:t>
      </w:r>
      <w:r w:rsidR="001048C3" w:rsidRPr="00DC278B">
        <w:rPr>
          <w:rFonts w:ascii="Cambria" w:eastAsia="Times New Roman" w:hAnsi="Cambria"/>
          <w:sz w:val="20"/>
          <w:szCs w:val="20"/>
          <w:bdr w:val="none" w:sz="0" w:space="0" w:color="auto"/>
          <w:lang w:val="es-ES_tradnl"/>
        </w:rPr>
        <w:t>contemplado</w:t>
      </w:r>
      <w:r w:rsidR="0021687A" w:rsidRPr="00DC278B">
        <w:rPr>
          <w:rFonts w:ascii="Cambria" w:eastAsia="Times New Roman" w:hAnsi="Cambria"/>
          <w:sz w:val="20"/>
          <w:szCs w:val="20"/>
          <w:bdr w:val="none" w:sz="0" w:space="0" w:color="auto"/>
          <w:lang w:val="es-ES_tradnl"/>
        </w:rPr>
        <w:t>s en los artículos en los artículos 8.1 y 25</w:t>
      </w:r>
      <w:r w:rsidR="00B17949" w:rsidRPr="00DC278B">
        <w:rPr>
          <w:rFonts w:ascii="Cambria" w:eastAsia="Times New Roman" w:hAnsi="Cambria"/>
          <w:sz w:val="20"/>
          <w:szCs w:val="20"/>
          <w:bdr w:val="none" w:sz="0" w:space="0" w:color="auto"/>
          <w:lang w:val="es-ES_tradnl"/>
        </w:rPr>
        <w:t>.1</w:t>
      </w:r>
      <w:r w:rsidR="0021687A" w:rsidRPr="00DC278B">
        <w:rPr>
          <w:rFonts w:ascii="Cambria" w:eastAsia="Times New Roman" w:hAnsi="Cambria"/>
          <w:sz w:val="20"/>
          <w:szCs w:val="20"/>
          <w:bdr w:val="none" w:sz="0" w:space="0" w:color="auto"/>
          <w:lang w:val="es-ES_tradnl"/>
        </w:rPr>
        <w:t xml:space="preserve"> de la Convención Americana, en relación con</w:t>
      </w:r>
      <w:r w:rsidR="00B17949" w:rsidRPr="00DC278B">
        <w:rPr>
          <w:rFonts w:ascii="Cambria" w:eastAsia="Times New Roman" w:hAnsi="Cambria"/>
          <w:sz w:val="20"/>
          <w:szCs w:val="20"/>
          <w:bdr w:val="none" w:sz="0" w:space="0" w:color="auto"/>
          <w:lang w:val="es-ES_tradnl"/>
        </w:rPr>
        <w:t xml:space="preserve"> las obligaciones establecidas en los </w:t>
      </w:r>
      <w:r w:rsidR="0021687A" w:rsidRPr="00DC278B">
        <w:rPr>
          <w:rFonts w:ascii="Cambria" w:eastAsia="Times New Roman" w:hAnsi="Cambria"/>
          <w:sz w:val="20"/>
          <w:szCs w:val="20"/>
          <w:bdr w:val="none" w:sz="0" w:space="0" w:color="auto"/>
          <w:lang w:val="es-ES_tradnl"/>
        </w:rPr>
        <w:t>artículo</w:t>
      </w:r>
      <w:r w:rsidR="00627A84" w:rsidRPr="00DC278B">
        <w:rPr>
          <w:rFonts w:ascii="Cambria" w:eastAsia="Times New Roman" w:hAnsi="Cambria"/>
          <w:sz w:val="20"/>
          <w:szCs w:val="20"/>
          <w:bdr w:val="none" w:sz="0" w:space="0" w:color="auto"/>
          <w:lang w:val="es-ES_tradnl"/>
        </w:rPr>
        <w:t>s</w:t>
      </w:r>
      <w:r w:rsidR="0021687A" w:rsidRPr="00DC278B">
        <w:rPr>
          <w:rFonts w:ascii="Cambria" w:eastAsia="Times New Roman" w:hAnsi="Cambria"/>
          <w:sz w:val="20"/>
          <w:szCs w:val="20"/>
          <w:bdr w:val="none" w:sz="0" w:space="0" w:color="auto"/>
          <w:lang w:val="es-ES_tradnl"/>
        </w:rPr>
        <w:t xml:space="preserve"> 1.1</w:t>
      </w:r>
      <w:r w:rsidR="00627A84" w:rsidRPr="00DC278B">
        <w:rPr>
          <w:rFonts w:ascii="Cambria" w:eastAsia="Times New Roman" w:hAnsi="Cambria"/>
          <w:sz w:val="20"/>
          <w:szCs w:val="20"/>
          <w:bdr w:val="none" w:sz="0" w:space="0" w:color="auto"/>
          <w:lang w:val="es-ES_tradnl"/>
        </w:rPr>
        <w:t xml:space="preserve"> y 2</w:t>
      </w:r>
      <w:r w:rsidR="00842F50" w:rsidRPr="00DC278B">
        <w:rPr>
          <w:rFonts w:ascii="Cambria" w:eastAsia="Times New Roman" w:hAnsi="Cambria"/>
          <w:sz w:val="20"/>
          <w:szCs w:val="20"/>
          <w:bdr w:val="none" w:sz="0" w:space="0" w:color="auto"/>
          <w:lang w:val="es-ES_tradnl"/>
        </w:rPr>
        <w:t xml:space="preserve"> del mismo instrumento</w:t>
      </w:r>
      <w:r w:rsidR="001048C3" w:rsidRPr="00DC278B">
        <w:rPr>
          <w:rFonts w:ascii="Cambria" w:eastAsia="Times New Roman" w:hAnsi="Cambria"/>
          <w:sz w:val="20"/>
          <w:szCs w:val="20"/>
          <w:bdr w:val="none" w:sz="0" w:space="0" w:color="auto"/>
          <w:lang w:val="es-ES_tradnl"/>
        </w:rPr>
        <w:t>,</w:t>
      </w:r>
      <w:r w:rsidR="0021687A" w:rsidRPr="00DC278B">
        <w:rPr>
          <w:rFonts w:ascii="Cambria" w:eastAsia="Times New Roman" w:hAnsi="Cambria"/>
          <w:sz w:val="20"/>
          <w:szCs w:val="20"/>
          <w:bdr w:val="none" w:sz="0" w:space="0" w:color="auto"/>
          <w:lang w:val="es-ES_tradnl"/>
        </w:rPr>
        <w:t xml:space="preserve"> en perjuicio de </w:t>
      </w:r>
      <w:r w:rsidR="000A5CD6" w:rsidRPr="00DC278B">
        <w:rPr>
          <w:rFonts w:ascii="Cambria" w:eastAsia="Times New Roman" w:hAnsi="Cambria"/>
          <w:sz w:val="20"/>
          <w:szCs w:val="20"/>
          <w:bdr w:val="none" w:sz="0" w:space="0" w:color="auto"/>
          <w:lang w:val="es-ES_tradnl"/>
        </w:rPr>
        <w:t>Maria Laura Órdenes Guerra,</w:t>
      </w:r>
      <w:r w:rsidR="00A60DF4" w:rsidRPr="00DC278B">
        <w:rPr>
          <w:rFonts w:ascii="Cambria" w:eastAsia="Times New Roman" w:hAnsi="Cambria"/>
          <w:sz w:val="20"/>
          <w:szCs w:val="20"/>
          <w:bdr w:val="none" w:sz="0" w:space="0" w:color="auto"/>
          <w:lang w:val="es-ES_tradnl"/>
        </w:rPr>
        <w:t xml:space="preserve"> Ariel Luis Antonio, Marta Elizabeth, Augusto Oscar, Gloria Laura </w:t>
      </w:r>
      <w:proofErr w:type="spellStart"/>
      <w:r w:rsidR="00A60DF4" w:rsidRPr="00DC278B">
        <w:rPr>
          <w:rFonts w:ascii="Cambria" w:eastAsia="Times New Roman" w:hAnsi="Cambria"/>
          <w:sz w:val="20"/>
          <w:szCs w:val="20"/>
          <w:bdr w:val="none" w:sz="0" w:space="0" w:color="auto"/>
          <w:lang w:val="es-ES_tradnl"/>
        </w:rPr>
        <w:t>Astris</w:t>
      </w:r>
      <w:proofErr w:type="spellEnd"/>
      <w:r w:rsidR="00A60DF4" w:rsidRPr="00DC278B">
        <w:rPr>
          <w:rFonts w:ascii="Cambria" w:eastAsia="Times New Roman" w:hAnsi="Cambria"/>
          <w:sz w:val="20"/>
          <w:szCs w:val="20"/>
          <w:bdr w:val="none" w:sz="0" w:space="0" w:color="auto"/>
          <w:lang w:val="es-ES_tradnl"/>
        </w:rPr>
        <w:t xml:space="preserve"> y Maria Laura Elena </w:t>
      </w:r>
      <w:proofErr w:type="spellStart"/>
      <w:r w:rsidR="00A60DF4" w:rsidRPr="00DC278B">
        <w:rPr>
          <w:rFonts w:ascii="Cambria" w:eastAsia="Times New Roman" w:hAnsi="Cambria"/>
          <w:sz w:val="20"/>
          <w:szCs w:val="20"/>
          <w:bdr w:val="none" w:sz="0" w:space="0" w:color="auto"/>
          <w:lang w:val="es-ES_tradnl"/>
        </w:rPr>
        <w:t>Alcayaga</w:t>
      </w:r>
      <w:proofErr w:type="spellEnd"/>
      <w:r w:rsidR="00A60DF4" w:rsidRPr="00DC278B">
        <w:rPr>
          <w:rFonts w:ascii="Cambria" w:eastAsia="Times New Roman" w:hAnsi="Cambria"/>
          <w:sz w:val="20"/>
          <w:szCs w:val="20"/>
          <w:bdr w:val="none" w:sz="0" w:space="0" w:color="auto"/>
          <w:lang w:val="es-ES_tradnl"/>
        </w:rPr>
        <w:t xml:space="preserve"> Órdenes</w:t>
      </w:r>
      <w:r w:rsidR="000A5CD6" w:rsidRPr="00DC278B">
        <w:rPr>
          <w:rFonts w:ascii="Cambria" w:eastAsia="Times New Roman" w:hAnsi="Cambria"/>
          <w:sz w:val="20"/>
          <w:szCs w:val="20"/>
          <w:bdr w:val="none" w:sz="0" w:space="0" w:color="auto"/>
          <w:lang w:val="es-ES_tradnl"/>
        </w:rPr>
        <w:t xml:space="preserve">; Lucía Morales </w:t>
      </w:r>
      <w:proofErr w:type="spellStart"/>
      <w:r w:rsidR="000A5CD6" w:rsidRPr="00DC278B">
        <w:rPr>
          <w:rFonts w:ascii="Cambria" w:eastAsia="Times New Roman" w:hAnsi="Cambria"/>
          <w:sz w:val="20"/>
          <w:szCs w:val="20"/>
          <w:bdr w:val="none" w:sz="0" w:space="0" w:color="auto"/>
          <w:lang w:val="es-ES_tradnl"/>
        </w:rPr>
        <w:t>Compagnon</w:t>
      </w:r>
      <w:proofErr w:type="spellEnd"/>
      <w:r w:rsidR="000A5CD6" w:rsidRPr="00DC278B">
        <w:rPr>
          <w:rFonts w:ascii="Cambria" w:eastAsia="Times New Roman" w:hAnsi="Cambria"/>
          <w:sz w:val="20"/>
          <w:szCs w:val="20"/>
          <w:bdr w:val="none" w:sz="0" w:space="0" w:color="auto"/>
          <w:lang w:val="es-ES_tradnl"/>
        </w:rPr>
        <w:t xml:space="preserve">, Jorge Roberto, Carolina Andrea, Lucía </w:t>
      </w:r>
      <w:proofErr w:type="spellStart"/>
      <w:r w:rsidR="000A5CD6" w:rsidRPr="00DC278B">
        <w:rPr>
          <w:rFonts w:ascii="Cambria" w:eastAsia="Times New Roman" w:hAnsi="Cambria"/>
          <w:sz w:val="20"/>
          <w:szCs w:val="20"/>
          <w:bdr w:val="none" w:sz="0" w:space="0" w:color="auto"/>
          <w:lang w:val="es-ES_tradnl"/>
        </w:rPr>
        <w:t>Odette</w:t>
      </w:r>
      <w:proofErr w:type="spellEnd"/>
      <w:r w:rsidR="000A5CD6" w:rsidRPr="00DC278B">
        <w:rPr>
          <w:rFonts w:ascii="Cambria" w:eastAsia="Times New Roman" w:hAnsi="Cambria"/>
          <w:sz w:val="20"/>
          <w:szCs w:val="20"/>
          <w:bdr w:val="none" w:sz="0" w:space="0" w:color="auto"/>
          <w:lang w:val="es-ES_tradnl"/>
        </w:rPr>
        <w:t xml:space="preserve"> y María Teresa Morales Osorio; Alina María Barraza </w:t>
      </w:r>
      <w:proofErr w:type="spellStart"/>
      <w:r w:rsidR="000A5CD6" w:rsidRPr="00DC278B">
        <w:rPr>
          <w:rFonts w:ascii="Cambria" w:eastAsia="Times New Roman" w:hAnsi="Cambria"/>
          <w:sz w:val="20"/>
          <w:szCs w:val="20"/>
          <w:bdr w:val="none" w:sz="0" w:space="0" w:color="auto"/>
          <w:lang w:val="es-ES_tradnl"/>
        </w:rPr>
        <w:t>Codoceo</w:t>
      </w:r>
      <w:proofErr w:type="spellEnd"/>
      <w:r w:rsidR="000A5CD6" w:rsidRPr="00DC278B">
        <w:rPr>
          <w:rFonts w:ascii="Cambria" w:eastAsia="Times New Roman" w:hAnsi="Cambria"/>
          <w:sz w:val="20"/>
          <w:szCs w:val="20"/>
          <w:bdr w:val="none" w:sz="0" w:space="0" w:color="auto"/>
          <w:lang w:val="es-ES_tradnl"/>
        </w:rPr>
        <w:t xml:space="preserve">, Eduardo Patricio, Marcia Alejandra, Patricia </w:t>
      </w:r>
      <w:proofErr w:type="spellStart"/>
      <w:r w:rsidR="000A5CD6" w:rsidRPr="00DC278B">
        <w:rPr>
          <w:rFonts w:ascii="Cambria" w:eastAsia="Times New Roman" w:hAnsi="Cambria"/>
          <w:sz w:val="20"/>
          <w:szCs w:val="20"/>
          <w:bdr w:val="none" w:sz="0" w:space="0" w:color="auto"/>
          <w:lang w:val="es-ES_tradnl"/>
        </w:rPr>
        <w:t>Auristela</w:t>
      </w:r>
      <w:proofErr w:type="spellEnd"/>
      <w:r w:rsidR="000A5CD6" w:rsidRPr="00DC278B">
        <w:rPr>
          <w:rFonts w:ascii="Cambria" w:eastAsia="Times New Roman" w:hAnsi="Cambria"/>
          <w:sz w:val="20"/>
          <w:szCs w:val="20"/>
          <w:bdr w:val="none" w:sz="0" w:space="0" w:color="auto"/>
          <w:lang w:val="es-ES_tradnl"/>
        </w:rPr>
        <w:t xml:space="preserve">, Nora Isabel, Hernán Alejandro Cortés Barraza; Mario Melo Acuña, Ilia María </w:t>
      </w:r>
      <w:proofErr w:type="spellStart"/>
      <w:r w:rsidR="000A5CD6" w:rsidRPr="00DC278B">
        <w:rPr>
          <w:rFonts w:ascii="Cambria" w:eastAsia="Times New Roman" w:hAnsi="Cambria"/>
          <w:sz w:val="20"/>
          <w:szCs w:val="20"/>
          <w:bdr w:val="none" w:sz="0" w:space="0" w:color="auto"/>
          <w:lang w:val="es-ES_tradnl"/>
        </w:rPr>
        <w:t>Pradenas</w:t>
      </w:r>
      <w:proofErr w:type="spellEnd"/>
      <w:r w:rsidR="000A5CD6" w:rsidRPr="00DC278B">
        <w:rPr>
          <w:rFonts w:ascii="Cambria" w:eastAsia="Times New Roman" w:hAnsi="Cambria"/>
          <w:sz w:val="20"/>
          <w:szCs w:val="20"/>
          <w:bdr w:val="none" w:sz="0" w:space="0" w:color="auto"/>
          <w:lang w:val="es-ES_tradnl"/>
        </w:rPr>
        <w:t xml:space="preserve"> Pérez y Carlos Gustavo Melo; Pamela Adriana Vivanco; Elena Alejandrina Vargas; y Magdalena Mercedes Navarrete y Alberto, Patricio Hernán y Víctor Eduardo Reyes Navarrete.</w:t>
      </w:r>
      <w:r w:rsidR="0021687A" w:rsidRPr="00DC278B">
        <w:rPr>
          <w:rFonts w:ascii="Cambria" w:eastAsia="Times New Roman" w:hAnsi="Cambria"/>
          <w:sz w:val="20"/>
          <w:szCs w:val="20"/>
          <w:bdr w:val="none" w:sz="0" w:space="0" w:color="auto"/>
          <w:lang w:val="es-ES_tradnl"/>
        </w:rPr>
        <w:t xml:space="preserve"> </w:t>
      </w:r>
    </w:p>
    <w:p w:rsidR="00D33A9C" w:rsidRDefault="00D33A9C" w:rsidP="00D33A9C">
      <w:pPr>
        <w:pStyle w:val="ListParagraph"/>
        <w:rPr>
          <w:rFonts w:ascii="Cambria" w:eastAsia="Times New Roman" w:hAnsi="Cambria"/>
          <w:sz w:val="20"/>
          <w:szCs w:val="20"/>
          <w:bdr w:val="none" w:sz="0" w:space="0" w:color="auto"/>
          <w:lang w:val="es-ES_tradnl"/>
        </w:rPr>
      </w:pPr>
    </w:p>
    <w:p w:rsidR="00A66A12" w:rsidRPr="002D2BDD" w:rsidRDefault="00A66A12" w:rsidP="00D33A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B316C" w:rsidRPr="00DC278B" w:rsidRDefault="004B316C" w:rsidP="00DC278B">
      <w:pPr>
        <w:pStyle w:val="Heading1"/>
        <w:rPr>
          <w:bCs/>
        </w:rPr>
      </w:pPr>
      <w:bookmarkStart w:id="27" w:name="_Toc338425821"/>
      <w:bookmarkStart w:id="28" w:name="_Toc413397480"/>
      <w:r w:rsidRPr="00DC278B">
        <w:t>CONCLUSIONES</w:t>
      </w:r>
      <w:bookmarkEnd w:id="27"/>
      <w:bookmarkEnd w:id="28"/>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ES_tradnl"/>
        </w:rPr>
      </w:pPr>
    </w:p>
    <w:p w:rsidR="004B316C" w:rsidRPr="00DC278B" w:rsidRDefault="004B316C" w:rsidP="00DC278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 xml:space="preserve">Con base en las consideraciones de hecho y de derecho contenidas en el presente informe, la Comisión concluye </w:t>
      </w:r>
      <w:r w:rsidR="00B473D0" w:rsidRPr="00DC278B">
        <w:rPr>
          <w:rFonts w:ascii="Cambria" w:eastAsia="Times New Roman" w:hAnsi="Cambria"/>
          <w:sz w:val="20"/>
          <w:szCs w:val="20"/>
          <w:bdr w:val="none" w:sz="0" w:space="0" w:color="auto"/>
          <w:lang w:val="es-ES_tradnl"/>
        </w:rPr>
        <w:t xml:space="preserve">que el Estado de </w:t>
      </w:r>
      <w:r w:rsidR="00C13D44" w:rsidRPr="00DC278B">
        <w:rPr>
          <w:rFonts w:ascii="Cambria" w:eastAsia="Times New Roman" w:hAnsi="Cambria"/>
          <w:sz w:val="20"/>
          <w:szCs w:val="20"/>
          <w:bdr w:val="none" w:sz="0" w:space="0" w:color="auto"/>
          <w:lang w:val="es-ES_tradnl"/>
        </w:rPr>
        <w:t>Chil</w:t>
      </w:r>
      <w:r w:rsidR="00B473D0" w:rsidRPr="00DC278B">
        <w:rPr>
          <w:rFonts w:ascii="Cambria" w:eastAsia="Times New Roman" w:hAnsi="Cambria"/>
          <w:sz w:val="20"/>
          <w:szCs w:val="20"/>
          <w:bdr w:val="none" w:sz="0" w:space="0" w:color="auto"/>
          <w:lang w:val="es-ES_tradnl"/>
        </w:rPr>
        <w:t>e</w:t>
      </w:r>
      <w:r w:rsidR="00C13D44" w:rsidRPr="00DC278B">
        <w:rPr>
          <w:rFonts w:ascii="Cambria" w:eastAsia="Times New Roman" w:hAnsi="Cambria"/>
          <w:sz w:val="20"/>
          <w:szCs w:val="20"/>
          <w:bdr w:val="none" w:sz="0" w:space="0" w:color="auto"/>
          <w:lang w:val="es-ES_tradnl"/>
        </w:rPr>
        <w:t xml:space="preserve"> e</w:t>
      </w:r>
      <w:r w:rsidR="00B473D0" w:rsidRPr="00DC278B">
        <w:rPr>
          <w:rFonts w:ascii="Cambria" w:eastAsia="Times New Roman" w:hAnsi="Cambria"/>
          <w:sz w:val="20"/>
          <w:szCs w:val="20"/>
          <w:bdr w:val="none" w:sz="0" w:space="0" w:color="auto"/>
          <w:lang w:val="es-ES_tradnl"/>
        </w:rPr>
        <w:t xml:space="preserve">s responsable por la violación </w:t>
      </w:r>
      <w:r w:rsidR="00DB330D" w:rsidRPr="00DC278B">
        <w:rPr>
          <w:rFonts w:ascii="Cambria" w:eastAsia="Times New Roman" w:hAnsi="Cambria"/>
          <w:sz w:val="20"/>
          <w:szCs w:val="20"/>
          <w:bdr w:val="none" w:sz="0" w:space="0" w:color="auto"/>
          <w:lang w:val="es-ES_tradnl"/>
        </w:rPr>
        <w:t>de lo</w:t>
      </w:r>
      <w:r w:rsidR="00B473D0" w:rsidRPr="00DC278B">
        <w:rPr>
          <w:rFonts w:ascii="Cambria" w:eastAsia="Times New Roman" w:hAnsi="Cambria"/>
          <w:sz w:val="20"/>
          <w:szCs w:val="20"/>
          <w:bdr w:val="none" w:sz="0" w:space="0" w:color="auto"/>
          <w:lang w:val="es-ES_tradnl"/>
        </w:rPr>
        <w:t>s derec</w:t>
      </w:r>
      <w:r w:rsidR="00C13D44" w:rsidRPr="00DC278B">
        <w:rPr>
          <w:rFonts w:ascii="Cambria" w:eastAsia="Times New Roman" w:hAnsi="Cambria"/>
          <w:sz w:val="20"/>
          <w:szCs w:val="20"/>
          <w:bdr w:val="none" w:sz="0" w:space="0" w:color="auto"/>
          <w:lang w:val="es-ES_tradnl"/>
        </w:rPr>
        <w:t>hos a las garantías judiciales y a la protección judicial</w:t>
      </w:r>
      <w:r w:rsidR="00B473D0" w:rsidRPr="00DC278B">
        <w:rPr>
          <w:rFonts w:ascii="Cambria" w:eastAsia="Times New Roman" w:hAnsi="Cambria"/>
          <w:sz w:val="20"/>
          <w:szCs w:val="20"/>
          <w:bdr w:val="none" w:sz="0" w:space="0" w:color="auto"/>
          <w:lang w:val="es-ES_tradnl"/>
        </w:rPr>
        <w:t>, co</w:t>
      </w:r>
      <w:r w:rsidR="009B6585" w:rsidRPr="00DC278B">
        <w:rPr>
          <w:rFonts w:ascii="Cambria" w:eastAsia="Times New Roman" w:hAnsi="Cambria"/>
          <w:sz w:val="20"/>
          <w:szCs w:val="20"/>
          <w:bdr w:val="none" w:sz="0" w:space="0" w:color="auto"/>
          <w:lang w:val="es-ES_tradnl"/>
        </w:rPr>
        <w:t xml:space="preserve">nsagrados en los artículos </w:t>
      </w:r>
      <w:r w:rsidR="00C13D44" w:rsidRPr="00DC278B">
        <w:rPr>
          <w:rFonts w:ascii="Cambria" w:eastAsia="Times New Roman" w:hAnsi="Cambria"/>
          <w:sz w:val="20"/>
          <w:szCs w:val="20"/>
          <w:bdr w:val="none" w:sz="0" w:space="0" w:color="auto"/>
          <w:lang w:val="es-ES_tradnl"/>
        </w:rPr>
        <w:t>8</w:t>
      </w:r>
      <w:r w:rsidR="00842F50" w:rsidRPr="00DC278B">
        <w:rPr>
          <w:rFonts w:ascii="Cambria" w:eastAsia="Times New Roman" w:hAnsi="Cambria"/>
          <w:sz w:val="20"/>
          <w:szCs w:val="20"/>
          <w:bdr w:val="none" w:sz="0" w:space="0" w:color="auto"/>
          <w:lang w:val="es-ES_tradnl"/>
        </w:rPr>
        <w:t>.1</w:t>
      </w:r>
      <w:r w:rsidR="005967AB" w:rsidRPr="00DC278B">
        <w:rPr>
          <w:rFonts w:ascii="Cambria" w:eastAsia="Times New Roman" w:hAnsi="Cambria"/>
          <w:sz w:val="20"/>
          <w:szCs w:val="20"/>
          <w:bdr w:val="none" w:sz="0" w:space="0" w:color="auto"/>
          <w:lang w:val="es-ES_tradnl"/>
        </w:rPr>
        <w:t xml:space="preserve"> </w:t>
      </w:r>
      <w:r w:rsidR="00B473D0" w:rsidRPr="00DC278B">
        <w:rPr>
          <w:rFonts w:ascii="Cambria" w:eastAsia="Times New Roman" w:hAnsi="Cambria"/>
          <w:sz w:val="20"/>
          <w:szCs w:val="20"/>
          <w:bdr w:val="none" w:sz="0" w:space="0" w:color="auto"/>
          <w:lang w:val="es-ES_tradnl"/>
        </w:rPr>
        <w:t>y 25</w:t>
      </w:r>
      <w:r w:rsidR="00842F50" w:rsidRPr="00DC278B">
        <w:rPr>
          <w:rFonts w:ascii="Cambria" w:eastAsia="Times New Roman" w:hAnsi="Cambria"/>
          <w:sz w:val="20"/>
          <w:szCs w:val="20"/>
          <w:bdr w:val="none" w:sz="0" w:space="0" w:color="auto"/>
          <w:lang w:val="es-ES_tradnl"/>
        </w:rPr>
        <w:t>.1</w:t>
      </w:r>
      <w:r w:rsidR="00B473D0" w:rsidRPr="00DC278B">
        <w:rPr>
          <w:rFonts w:ascii="Cambria" w:eastAsia="Times New Roman" w:hAnsi="Cambria"/>
          <w:sz w:val="20"/>
          <w:szCs w:val="20"/>
          <w:bdr w:val="none" w:sz="0" w:space="0" w:color="auto"/>
          <w:lang w:val="es-ES_tradnl"/>
        </w:rPr>
        <w:t xml:space="preserve"> de la Convención Americana,</w:t>
      </w:r>
      <w:r w:rsidR="00341959" w:rsidRPr="00DC278B">
        <w:rPr>
          <w:rFonts w:ascii="Cambria" w:eastAsia="Times New Roman" w:hAnsi="Cambria"/>
          <w:sz w:val="20"/>
          <w:szCs w:val="20"/>
          <w:bdr w:val="none" w:sz="0" w:space="0" w:color="auto"/>
          <w:lang w:val="es-ES_tradnl"/>
        </w:rPr>
        <w:t xml:space="preserve"> en conexión</w:t>
      </w:r>
      <w:r w:rsidR="00DB330D" w:rsidRPr="00DC278B">
        <w:rPr>
          <w:rFonts w:ascii="Cambria" w:eastAsia="Times New Roman" w:hAnsi="Cambria"/>
          <w:sz w:val="20"/>
          <w:szCs w:val="20"/>
          <w:bdr w:val="none" w:sz="0" w:space="0" w:color="auto"/>
          <w:lang w:val="es-ES_tradnl"/>
        </w:rPr>
        <w:t xml:space="preserve"> con la obligación general de respetar los derechos de la Convención Americana y el deber de adoptar disposiciones de derecho interno, </w:t>
      </w:r>
      <w:r w:rsidR="00B473D0" w:rsidRPr="00DC278B">
        <w:rPr>
          <w:rFonts w:ascii="Cambria" w:eastAsia="Times New Roman" w:hAnsi="Cambria"/>
          <w:sz w:val="20"/>
          <w:szCs w:val="20"/>
          <w:bdr w:val="none" w:sz="0" w:space="0" w:color="auto"/>
          <w:lang w:val="es-ES_tradnl"/>
        </w:rPr>
        <w:t>est</w:t>
      </w:r>
      <w:r w:rsidR="00834158" w:rsidRPr="00DC278B">
        <w:rPr>
          <w:rFonts w:ascii="Cambria" w:eastAsia="Times New Roman" w:hAnsi="Cambria"/>
          <w:sz w:val="20"/>
          <w:szCs w:val="20"/>
          <w:bdr w:val="none" w:sz="0" w:space="0" w:color="auto"/>
          <w:lang w:val="es-ES_tradnl"/>
        </w:rPr>
        <w:t>ablecidas en su</w:t>
      </w:r>
      <w:r w:rsidR="009B6585" w:rsidRPr="00DC278B">
        <w:rPr>
          <w:rFonts w:ascii="Cambria" w:eastAsia="Times New Roman" w:hAnsi="Cambria"/>
          <w:sz w:val="20"/>
          <w:szCs w:val="20"/>
          <w:bdr w:val="none" w:sz="0" w:space="0" w:color="auto"/>
          <w:lang w:val="es-ES_tradnl"/>
        </w:rPr>
        <w:t>s</w:t>
      </w:r>
      <w:r w:rsidR="00834158" w:rsidRPr="00DC278B">
        <w:rPr>
          <w:rFonts w:ascii="Cambria" w:eastAsia="Times New Roman" w:hAnsi="Cambria"/>
          <w:sz w:val="20"/>
          <w:szCs w:val="20"/>
          <w:bdr w:val="none" w:sz="0" w:space="0" w:color="auto"/>
          <w:lang w:val="es-ES_tradnl"/>
        </w:rPr>
        <w:t xml:space="preserve"> artículo</w:t>
      </w:r>
      <w:r w:rsidR="009B6585" w:rsidRPr="00DC278B">
        <w:rPr>
          <w:rFonts w:ascii="Cambria" w:eastAsia="Times New Roman" w:hAnsi="Cambria"/>
          <w:sz w:val="20"/>
          <w:szCs w:val="20"/>
          <w:bdr w:val="none" w:sz="0" w:space="0" w:color="auto"/>
          <w:lang w:val="es-ES_tradnl"/>
        </w:rPr>
        <w:t>s</w:t>
      </w:r>
      <w:r w:rsidR="00834158" w:rsidRPr="00DC278B">
        <w:rPr>
          <w:rFonts w:ascii="Cambria" w:eastAsia="Times New Roman" w:hAnsi="Cambria"/>
          <w:sz w:val="20"/>
          <w:szCs w:val="20"/>
          <w:bdr w:val="none" w:sz="0" w:space="0" w:color="auto"/>
          <w:lang w:val="es-ES_tradnl"/>
        </w:rPr>
        <w:t xml:space="preserve"> 1.1</w:t>
      </w:r>
      <w:r w:rsidR="009B6585" w:rsidRPr="00DC278B">
        <w:rPr>
          <w:rFonts w:ascii="Cambria" w:eastAsia="Times New Roman" w:hAnsi="Cambria"/>
          <w:sz w:val="20"/>
          <w:szCs w:val="20"/>
          <w:bdr w:val="none" w:sz="0" w:space="0" w:color="auto"/>
          <w:lang w:val="es-ES_tradnl"/>
        </w:rPr>
        <w:t xml:space="preserve"> y 2</w:t>
      </w:r>
      <w:r w:rsidR="00B473D0" w:rsidRPr="00DC278B">
        <w:rPr>
          <w:rFonts w:ascii="Cambria" w:eastAsia="Times New Roman" w:hAnsi="Cambria"/>
          <w:sz w:val="20"/>
          <w:szCs w:val="20"/>
          <w:bdr w:val="none" w:sz="0" w:space="0" w:color="auto"/>
          <w:lang w:val="es-ES_tradnl"/>
        </w:rPr>
        <w:t xml:space="preserve"> en perjuicio de</w:t>
      </w:r>
      <w:r w:rsidR="00C13D44" w:rsidRPr="00DC278B">
        <w:rPr>
          <w:rFonts w:ascii="Cambria" w:eastAsia="Times New Roman" w:hAnsi="Cambria"/>
          <w:sz w:val="20"/>
          <w:szCs w:val="20"/>
          <w:bdr w:val="none" w:sz="0" w:space="0" w:color="auto"/>
          <w:lang w:val="es-ES_tradnl"/>
        </w:rPr>
        <w:t xml:space="preserve"> las víctimas</w:t>
      </w:r>
      <w:r w:rsidR="00642011" w:rsidRPr="00DC278B">
        <w:rPr>
          <w:rFonts w:ascii="Cambria" w:eastAsia="Times New Roman" w:hAnsi="Cambria"/>
          <w:sz w:val="20"/>
          <w:szCs w:val="20"/>
          <w:bdr w:val="none" w:sz="0" w:space="0" w:color="auto"/>
          <w:lang w:val="es-ES_tradnl"/>
        </w:rPr>
        <w:t xml:space="preserve"> del presente caso</w:t>
      </w:r>
      <w:r w:rsidR="00B473D0" w:rsidRPr="00DC278B">
        <w:rPr>
          <w:rFonts w:ascii="Cambria" w:eastAsia="Times New Roman" w:hAnsi="Cambria"/>
          <w:sz w:val="20"/>
          <w:szCs w:val="20"/>
          <w:bdr w:val="none" w:sz="0" w:space="0" w:color="auto"/>
          <w:lang w:val="es-ES_tradnl"/>
        </w:rPr>
        <w:t>.</w:t>
      </w:r>
    </w:p>
    <w:p w:rsidR="00B473D0" w:rsidRDefault="00B473D0"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530051" w:rsidRPr="00DC278B" w:rsidRDefault="00530051"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p w:rsidR="004B316C" w:rsidRPr="00DC278B" w:rsidRDefault="004B316C" w:rsidP="00DC278B">
      <w:pPr>
        <w:pStyle w:val="Heading1"/>
      </w:pPr>
      <w:bookmarkStart w:id="29" w:name="_Toc338425822"/>
      <w:bookmarkStart w:id="30" w:name="_Toc413397481"/>
      <w:r w:rsidRPr="00DC278B">
        <w:t>RECOMENDACIONES</w:t>
      </w:r>
      <w:bookmarkEnd w:id="29"/>
      <w:bookmarkEnd w:id="30"/>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ES_tradnl"/>
        </w:rPr>
      </w:pPr>
    </w:p>
    <w:p w:rsidR="004B316C" w:rsidRPr="00DC278B" w:rsidRDefault="004B316C" w:rsidP="00DC278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Con fundamento en los argumentos de hecho y de derecho antes expuestos,</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ES_tradnl"/>
        </w:rPr>
      </w:pP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b/>
          <w:sz w:val="20"/>
          <w:szCs w:val="20"/>
          <w:bdr w:val="none" w:sz="0" w:space="0" w:color="auto"/>
          <w:lang w:val="es-ES_tradnl"/>
        </w:rPr>
      </w:pPr>
      <w:r w:rsidRPr="00DC278B">
        <w:rPr>
          <w:rFonts w:ascii="Cambria" w:eastAsia="Times New Roman" w:hAnsi="Cambria"/>
          <w:b/>
          <w:sz w:val="20"/>
          <w:szCs w:val="20"/>
          <w:bdr w:val="none" w:sz="0" w:space="0" w:color="auto"/>
          <w:lang w:val="es-ES_tradnl"/>
        </w:rPr>
        <w:t>LA COMISIÓN INTERAMERICANA DE DERECHOS HUMANOS</w:t>
      </w:r>
    </w:p>
    <w:p w:rsidR="00C54035" w:rsidRPr="00140950" w:rsidRDefault="00F67C38" w:rsidP="001409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ES_tradnl"/>
        </w:rPr>
      </w:pPr>
      <w:r w:rsidRPr="00DC278B">
        <w:rPr>
          <w:rFonts w:ascii="Cambria" w:eastAsia="Times New Roman" w:hAnsi="Cambria"/>
          <w:b/>
          <w:sz w:val="20"/>
          <w:szCs w:val="20"/>
          <w:bdr w:val="none" w:sz="0" w:space="0" w:color="auto"/>
          <w:lang w:val="es-ES_tradnl"/>
        </w:rPr>
        <w:t>RECOMIENDA:</w:t>
      </w:r>
    </w:p>
    <w:p w:rsidR="00E73F34" w:rsidRPr="00DC278B" w:rsidRDefault="00FC3D2C" w:rsidP="00DC27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0" w:firstLine="720"/>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Reparar a las víctimas por las violaciones declaradas en el presente informe. Como parte de esta reparación, el Estado debe a</w:t>
      </w:r>
      <w:r w:rsidR="00B73061" w:rsidRPr="00DC278B">
        <w:rPr>
          <w:rFonts w:ascii="Cambria" w:eastAsia="Times New Roman" w:hAnsi="Cambria"/>
          <w:sz w:val="20"/>
          <w:szCs w:val="20"/>
          <w:bdr w:val="none" w:sz="0" w:space="0" w:color="auto"/>
          <w:lang w:val="es-ES_tradnl"/>
        </w:rPr>
        <w:t>doptar</w:t>
      </w:r>
      <w:r w:rsidR="00E73F34" w:rsidRPr="00DC278B">
        <w:rPr>
          <w:rFonts w:ascii="Cambria" w:eastAsia="Times New Roman" w:hAnsi="Cambria"/>
          <w:sz w:val="20"/>
          <w:szCs w:val="20"/>
          <w:bdr w:val="none" w:sz="0" w:space="0" w:color="auto"/>
          <w:lang w:val="es-ES_tradnl"/>
        </w:rPr>
        <w:t xml:space="preserve"> las medidas necesarias para </w:t>
      </w:r>
      <w:r w:rsidR="00E7044F" w:rsidRPr="00DC278B">
        <w:rPr>
          <w:rFonts w:ascii="Cambria" w:eastAsia="Times New Roman" w:hAnsi="Cambria"/>
          <w:sz w:val="20"/>
          <w:szCs w:val="20"/>
          <w:bdr w:val="none" w:sz="0" w:space="0" w:color="auto"/>
          <w:lang w:val="es-ES_tradnl"/>
        </w:rPr>
        <w:t xml:space="preserve">ofrecer un </w:t>
      </w:r>
      <w:r w:rsidR="00E73F34" w:rsidRPr="00DC278B">
        <w:rPr>
          <w:rFonts w:ascii="Cambria" w:eastAsia="Times New Roman" w:hAnsi="Cambria"/>
          <w:sz w:val="20"/>
          <w:szCs w:val="20"/>
          <w:bdr w:val="none" w:sz="0" w:space="0" w:color="auto"/>
          <w:lang w:val="es-ES_tradnl"/>
        </w:rPr>
        <w:t>recurso judicial efectivo</w:t>
      </w:r>
      <w:r w:rsidR="00E7044F" w:rsidRPr="00DC278B">
        <w:rPr>
          <w:rFonts w:ascii="Cambria" w:eastAsia="Times New Roman" w:hAnsi="Cambria"/>
          <w:sz w:val="20"/>
          <w:szCs w:val="20"/>
          <w:bdr w:val="none" w:sz="0" w:space="0" w:color="auto"/>
          <w:lang w:val="es-ES_tradnl"/>
        </w:rPr>
        <w:t xml:space="preserve"> </w:t>
      </w:r>
      <w:r w:rsidR="00E73F34" w:rsidRPr="00DC278B">
        <w:rPr>
          <w:rFonts w:ascii="Cambria" w:eastAsia="Times New Roman" w:hAnsi="Cambria"/>
          <w:sz w:val="20"/>
          <w:szCs w:val="20"/>
          <w:bdr w:val="none" w:sz="0" w:space="0" w:color="auto"/>
          <w:lang w:val="es-ES_tradnl"/>
        </w:rPr>
        <w:t>para</w:t>
      </w:r>
      <w:r w:rsidR="00E7044F" w:rsidRPr="00DC278B">
        <w:rPr>
          <w:rFonts w:ascii="Cambria" w:eastAsia="Times New Roman" w:hAnsi="Cambria"/>
          <w:sz w:val="20"/>
          <w:szCs w:val="20"/>
          <w:bdr w:val="none" w:sz="0" w:space="0" w:color="auto"/>
          <w:lang w:val="es-ES_tradnl"/>
        </w:rPr>
        <w:t xml:space="preserve"> que las víctimas puedan presentar sus reclamos y obtener una decisión en materia de reparaciones. El cumplimiento de esta recomendación es independiente del programa de reparaciones administrativas. </w:t>
      </w:r>
    </w:p>
    <w:p w:rsidR="00387E8F" w:rsidRPr="00DC278B" w:rsidRDefault="00387E8F"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906E40" w:rsidRPr="00DC278B" w:rsidRDefault="0035729D" w:rsidP="00DC27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0" w:firstLine="720"/>
        <w:jc w:val="both"/>
        <w:rPr>
          <w:rFonts w:ascii="Cambria" w:eastAsia="Times New Roman" w:hAnsi="Cambria"/>
          <w:sz w:val="20"/>
          <w:szCs w:val="20"/>
          <w:bdr w:val="none" w:sz="0" w:space="0" w:color="auto"/>
          <w:lang w:val="es-ES_tradnl"/>
        </w:rPr>
      </w:pPr>
      <w:r w:rsidRPr="00DC278B">
        <w:rPr>
          <w:rFonts w:ascii="Cambria" w:eastAsia="Times New Roman" w:hAnsi="Cambria"/>
          <w:sz w:val="20"/>
          <w:szCs w:val="20"/>
          <w:bdr w:val="none" w:sz="0" w:space="0" w:color="auto"/>
          <w:lang w:val="es-ES_tradnl"/>
        </w:rPr>
        <w:t>Adoptar</w:t>
      </w:r>
      <w:r w:rsidR="00906E40" w:rsidRPr="00DC278B">
        <w:rPr>
          <w:rFonts w:ascii="Cambria" w:eastAsia="Times New Roman" w:hAnsi="Cambria"/>
          <w:sz w:val="20"/>
          <w:szCs w:val="20"/>
          <w:bdr w:val="none" w:sz="0" w:space="0" w:color="auto"/>
          <w:lang w:val="es-ES_tradnl"/>
        </w:rPr>
        <w:t xml:space="preserve"> medidas</w:t>
      </w:r>
      <w:r w:rsidR="00A51FFA" w:rsidRPr="00DC278B">
        <w:rPr>
          <w:rFonts w:ascii="Cambria" w:eastAsia="Times New Roman" w:hAnsi="Cambria"/>
          <w:sz w:val="20"/>
          <w:szCs w:val="20"/>
          <w:bdr w:val="none" w:sz="0" w:space="0" w:color="auto"/>
          <w:lang w:val="es-ES_tradnl"/>
        </w:rPr>
        <w:t xml:space="preserve"> de no repetición. En particular,</w:t>
      </w:r>
      <w:r w:rsidR="00906E40" w:rsidRPr="00DC278B">
        <w:rPr>
          <w:rFonts w:ascii="Cambria" w:eastAsia="Times New Roman" w:hAnsi="Cambria"/>
          <w:sz w:val="20"/>
          <w:szCs w:val="20"/>
          <w:bdr w:val="none" w:sz="0" w:space="0" w:color="auto"/>
          <w:lang w:val="es-ES_tradnl"/>
        </w:rPr>
        <w:t xml:space="preserve"> </w:t>
      </w:r>
      <w:r w:rsidR="00A51FFA" w:rsidRPr="00DC278B">
        <w:rPr>
          <w:rFonts w:ascii="Cambria" w:eastAsia="Times New Roman" w:hAnsi="Cambria"/>
          <w:sz w:val="20"/>
          <w:szCs w:val="20"/>
          <w:bdr w:val="none" w:sz="0" w:space="0" w:color="auto"/>
          <w:lang w:val="es-ES_tradnl"/>
        </w:rPr>
        <w:t xml:space="preserve">medidas </w:t>
      </w:r>
      <w:r w:rsidR="00906E40" w:rsidRPr="00DC278B">
        <w:rPr>
          <w:rFonts w:ascii="Cambria" w:eastAsia="Times New Roman" w:hAnsi="Cambria"/>
          <w:sz w:val="20"/>
          <w:szCs w:val="20"/>
          <w:bdr w:val="none" w:sz="0" w:space="0" w:color="auto"/>
          <w:lang w:val="es-ES_tradnl"/>
        </w:rPr>
        <w:t xml:space="preserve">legislativas, administrativas y de cualquier otra índole, con el objeto de adecuar la legislación y las prácticas </w:t>
      </w:r>
      <w:r w:rsidR="00842F50" w:rsidRPr="00DC278B">
        <w:rPr>
          <w:rFonts w:ascii="Cambria" w:eastAsia="Times New Roman" w:hAnsi="Cambria"/>
          <w:sz w:val="20"/>
          <w:szCs w:val="20"/>
          <w:bdr w:val="none" w:sz="0" w:space="0" w:color="auto"/>
          <w:lang w:val="es-ES_tradnl"/>
        </w:rPr>
        <w:t xml:space="preserve">judiciales </w:t>
      </w:r>
      <w:r w:rsidR="00906E40" w:rsidRPr="00DC278B">
        <w:rPr>
          <w:rFonts w:ascii="Cambria" w:eastAsia="Times New Roman" w:hAnsi="Cambria"/>
          <w:sz w:val="20"/>
          <w:szCs w:val="20"/>
          <w:bdr w:val="none" w:sz="0" w:space="0" w:color="auto"/>
          <w:lang w:val="es-ES_tradnl"/>
        </w:rPr>
        <w:t xml:space="preserve">chilenas a los estándares </w:t>
      </w:r>
      <w:r w:rsidR="00842F50" w:rsidRPr="00DC278B">
        <w:rPr>
          <w:rFonts w:ascii="Cambria" w:eastAsia="Times New Roman" w:hAnsi="Cambria"/>
          <w:sz w:val="20"/>
          <w:szCs w:val="20"/>
          <w:bdr w:val="none" w:sz="0" w:space="0" w:color="auto"/>
          <w:lang w:val="es-ES_tradnl"/>
        </w:rPr>
        <w:t xml:space="preserve">descritos en el presente informe respecto </w:t>
      </w:r>
      <w:r w:rsidR="00347342" w:rsidRPr="00DC278B">
        <w:rPr>
          <w:rFonts w:ascii="Cambria" w:eastAsia="Times New Roman" w:hAnsi="Cambria"/>
          <w:sz w:val="20"/>
          <w:szCs w:val="20"/>
          <w:bdr w:val="none" w:sz="0" w:space="0" w:color="auto"/>
          <w:lang w:val="es-ES_tradnl"/>
        </w:rPr>
        <w:t>de la</w:t>
      </w:r>
      <w:r w:rsidR="00842F50" w:rsidRPr="00DC278B">
        <w:rPr>
          <w:rFonts w:ascii="Cambria" w:eastAsia="Times New Roman" w:hAnsi="Cambria"/>
          <w:sz w:val="20"/>
          <w:szCs w:val="20"/>
          <w:bdr w:val="none" w:sz="0" w:space="0" w:color="auto"/>
          <w:lang w:val="es-ES_tradnl"/>
        </w:rPr>
        <w:t xml:space="preserve"> prohibición de aplicar la</w:t>
      </w:r>
      <w:r w:rsidR="00347342" w:rsidRPr="00DC278B">
        <w:rPr>
          <w:rFonts w:ascii="Cambria" w:eastAsia="Times New Roman" w:hAnsi="Cambria"/>
          <w:sz w:val="20"/>
          <w:szCs w:val="20"/>
          <w:bdr w:val="none" w:sz="0" w:space="0" w:color="auto"/>
          <w:lang w:val="es-ES_tradnl"/>
        </w:rPr>
        <w:t xml:space="preserve"> prescripción a las acciones civiles </w:t>
      </w:r>
      <w:r w:rsidR="00842F50" w:rsidRPr="00DC278B">
        <w:rPr>
          <w:rFonts w:ascii="Cambria" w:eastAsia="Times New Roman" w:hAnsi="Cambria"/>
          <w:sz w:val="20"/>
          <w:szCs w:val="20"/>
          <w:bdr w:val="none" w:sz="0" w:space="0" w:color="auto"/>
          <w:lang w:val="es-ES_tradnl"/>
        </w:rPr>
        <w:t xml:space="preserve">de reparaciones en casos como el presente. </w:t>
      </w:r>
    </w:p>
    <w:p w:rsidR="0054575C" w:rsidRPr="00DC278B" w:rsidRDefault="0054575C" w:rsidP="00DC278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_tradnl"/>
        </w:rPr>
      </w:pPr>
    </w:p>
    <w:p w:rsidR="0006606E" w:rsidRPr="000A19C9" w:rsidRDefault="0006606E" w:rsidP="0006606E">
      <w:pPr>
        <w:ind w:firstLine="720"/>
        <w:jc w:val="both"/>
        <w:rPr>
          <w:rFonts w:ascii="Cambria" w:hAnsi="Cambria" w:cs="Arial"/>
          <w:noProof/>
          <w:spacing w:val="-2"/>
          <w:sz w:val="20"/>
          <w:szCs w:val="20"/>
          <w:lang w:val="es-CL"/>
        </w:rPr>
      </w:pPr>
      <w:r w:rsidRPr="000A19C9">
        <w:rPr>
          <w:rFonts w:ascii="Cambria" w:hAnsi="Cambria" w:cs="Arial"/>
          <w:noProof/>
          <w:spacing w:val="-2"/>
          <w:sz w:val="20"/>
          <w:szCs w:val="20"/>
          <w:lang w:val="es-CL"/>
        </w:rPr>
        <w:t xml:space="preserve">Dado y firmado en la ciudad de Panamá, a los </w:t>
      </w:r>
      <w:r>
        <w:rPr>
          <w:rFonts w:ascii="Cambria" w:hAnsi="Cambria" w:cs="Arial"/>
          <w:noProof/>
          <w:spacing w:val="-2"/>
          <w:sz w:val="20"/>
          <w:szCs w:val="20"/>
          <w:lang w:val="es-CL"/>
        </w:rPr>
        <w:t>30</w:t>
      </w:r>
      <w:r w:rsidRPr="000A19C9">
        <w:rPr>
          <w:rFonts w:ascii="Cambria" w:hAnsi="Cambria" w:cs="Arial"/>
          <w:noProof/>
          <w:spacing w:val="-2"/>
          <w:sz w:val="20"/>
          <w:szCs w:val="20"/>
          <w:lang w:val="es-CL"/>
        </w:rPr>
        <w:t xml:space="preserve"> días del mes de noviembre de 2016.  (Firmado): James Cavallaro, Presidente; Francisco José Eguiguren, Primer Vicepresidente; Margarette May Macaulay, Segunda Vicepresidenta; José de Jesús Orozco Henríquez, Paulo Vannuchi, Esmeralda E. Arosema Bernal de Troitiño</w:t>
      </w:r>
      <w:r>
        <w:rPr>
          <w:rFonts w:ascii="Cambria" w:hAnsi="Cambria" w:cs="Arial"/>
          <w:noProof/>
          <w:spacing w:val="-2"/>
          <w:sz w:val="20"/>
          <w:szCs w:val="20"/>
          <w:lang w:val="es-CL"/>
        </w:rPr>
        <w:t>,</w:t>
      </w:r>
      <w:r w:rsidRPr="000A19C9">
        <w:rPr>
          <w:rFonts w:ascii="Cambria" w:hAnsi="Cambria" w:cs="Arial"/>
          <w:noProof/>
          <w:spacing w:val="-2"/>
          <w:sz w:val="20"/>
          <w:szCs w:val="20"/>
          <w:lang w:val="es-CL"/>
        </w:rPr>
        <w:t xml:space="preserve"> y Enrique Gil Botero, Miembros de la Comisión.</w:t>
      </w:r>
      <w:r w:rsidRPr="000A19C9">
        <w:rPr>
          <w:rFonts w:ascii="Cambria" w:hAnsi="Cambria" w:cs="Arial"/>
          <w:noProof/>
          <w:sz w:val="20"/>
          <w:szCs w:val="20"/>
          <w:lang w:val="es-CL"/>
        </w:rPr>
        <w:t xml:space="preserve"> </w:t>
      </w:r>
    </w:p>
    <w:p w:rsidR="0006606E" w:rsidRPr="000A19C9" w:rsidRDefault="0006606E" w:rsidP="0006606E">
      <w:pPr>
        <w:ind w:firstLine="720"/>
        <w:jc w:val="both"/>
        <w:rPr>
          <w:rFonts w:ascii="Cambria" w:hAnsi="Cambria" w:cs="Arial"/>
          <w:noProof/>
          <w:sz w:val="20"/>
          <w:szCs w:val="20"/>
          <w:lang w:val="es-CL"/>
        </w:rPr>
      </w:pPr>
    </w:p>
    <w:p w:rsidR="0006606E" w:rsidRPr="000A19C9" w:rsidRDefault="00A82D33" w:rsidP="0006606E">
      <w:pPr>
        <w:ind w:firstLine="720"/>
        <w:jc w:val="both"/>
        <w:rPr>
          <w:rFonts w:ascii="Cambria" w:hAnsi="Cambria" w:cs="Arial"/>
          <w:noProof/>
          <w:sz w:val="20"/>
          <w:szCs w:val="20"/>
          <w:lang w:val="es-CL"/>
        </w:rPr>
      </w:pPr>
      <w:r>
        <w:rPr>
          <w:rFonts w:ascii="Cambria" w:hAnsi="Cambria" w:cs="Arial"/>
          <w:noProof/>
          <w:sz w:val="20"/>
          <w:szCs w:val="20"/>
          <w:lang w:val="es-CL"/>
        </w:rPr>
        <w:t>El</w:t>
      </w:r>
      <w:r w:rsidR="0006606E" w:rsidRPr="000A19C9">
        <w:rPr>
          <w:rFonts w:ascii="Cambria" w:hAnsi="Cambria" w:cs="Arial"/>
          <w:noProof/>
          <w:sz w:val="20"/>
          <w:szCs w:val="20"/>
          <w:lang w:val="es-CL"/>
        </w:rPr>
        <w:t xml:space="preserve"> que suscribe, </w:t>
      </w:r>
      <w:r w:rsidRPr="00A82D33">
        <w:rPr>
          <w:rFonts w:ascii="Cambria" w:hAnsi="Cambria"/>
          <w:sz w:val="20"/>
          <w:lang w:val="es-ES"/>
        </w:rPr>
        <w:t xml:space="preserve">Paulo </w:t>
      </w:r>
      <w:proofErr w:type="spellStart"/>
      <w:r w:rsidRPr="00A82D33">
        <w:rPr>
          <w:rFonts w:ascii="Cambria" w:hAnsi="Cambria"/>
          <w:sz w:val="20"/>
          <w:lang w:val="es-ES"/>
        </w:rPr>
        <w:t>Abrão</w:t>
      </w:r>
      <w:proofErr w:type="spellEnd"/>
      <w:r w:rsidRPr="00A82D33">
        <w:rPr>
          <w:rFonts w:ascii="Cambria" w:hAnsi="Cambria"/>
          <w:sz w:val="20"/>
          <w:lang w:val="es-ES"/>
        </w:rPr>
        <w:t>,</w:t>
      </w:r>
      <w:r w:rsidR="0006606E" w:rsidRPr="000A19C9">
        <w:rPr>
          <w:rFonts w:ascii="Cambria" w:hAnsi="Cambria" w:cs="Arial"/>
          <w:noProof/>
          <w:sz w:val="20"/>
          <w:szCs w:val="20"/>
          <w:lang w:val="es-CL"/>
        </w:rPr>
        <w:t xml:space="preserve"> en su carácter de Secretari</w:t>
      </w:r>
      <w:r>
        <w:rPr>
          <w:rFonts w:ascii="Cambria" w:hAnsi="Cambria" w:cs="Arial"/>
          <w:noProof/>
          <w:sz w:val="20"/>
          <w:szCs w:val="20"/>
          <w:lang w:val="es-CL"/>
        </w:rPr>
        <w:t>o</w:t>
      </w:r>
      <w:r w:rsidR="0006606E" w:rsidRPr="000A19C9">
        <w:rPr>
          <w:rFonts w:ascii="Cambria" w:hAnsi="Cambria" w:cs="Arial"/>
          <w:noProof/>
          <w:sz w:val="20"/>
          <w:szCs w:val="20"/>
          <w:lang w:val="es-CL"/>
        </w:rPr>
        <w:t xml:space="preserve"> Ejecutiv</w:t>
      </w:r>
      <w:r>
        <w:rPr>
          <w:rFonts w:ascii="Cambria" w:hAnsi="Cambria" w:cs="Arial"/>
          <w:noProof/>
          <w:sz w:val="20"/>
          <w:szCs w:val="20"/>
          <w:lang w:val="es-CL"/>
        </w:rPr>
        <w:t>o</w:t>
      </w:r>
      <w:r w:rsidR="0006606E">
        <w:rPr>
          <w:rFonts w:ascii="Cambria" w:hAnsi="Cambria" w:cs="Arial"/>
          <w:noProof/>
          <w:sz w:val="20"/>
          <w:szCs w:val="20"/>
          <w:lang w:val="es-CL"/>
        </w:rPr>
        <w:t xml:space="preserve"> </w:t>
      </w:r>
      <w:r w:rsidR="0006606E" w:rsidRPr="000A19C9">
        <w:rPr>
          <w:rFonts w:ascii="Cambria" w:hAnsi="Cambria" w:cs="Arial"/>
          <w:noProof/>
          <w:sz w:val="20"/>
          <w:szCs w:val="20"/>
          <w:lang w:val="es-CL"/>
        </w:rPr>
        <w:t>de la Comisión Interamericana de Derechos Humanos, de conformidad con el artículo 49 del Reglamento de la Comisión, certifica que es copia fiel del original depositado en los archivos de la Secretaría de la CIDH.</w:t>
      </w:r>
    </w:p>
    <w:p w:rsidR="0006606E" w:rsidRPr="000A19C9" w:rsidRDefault="0006606E" w:rsidP="0006606E">
      <w:pPr>
        <w:suppressAutoHyphens/>
        <w:jc w:val="both"/>
        <w:rPr>
          <w:rFonts w:ascii="Cambria" w:hAnsi="Cambria" w:cs="Arial"/>
          <w:noProof/>
          <w:spacing w:val="-2"/>
          <w:sz w:val="20"/>
          <w:szCs w:val="20"/>
          <w:lang w:val="es-CL"/>
        </w:rPr>
      </w:pPr>
    </w:p>
    <w:p w:rsidR="0006606E" w:rsidRPr="000A19C9" w:rsidRDefault="0006606E" w:rsidP="0006606E">
      <w:pPr>
        <w:ind w:left="720" w:hanging="720"/>
        <w:jc w:val="center"/>
        <w:rPr>
          <w:rFonts w:ascii="Cambria" w:hAnsi="Cambria" w:cs="Arial"/>
          <w:sz w:val="20"/>
          <w:szCs w:val="20"/>
          <w:lang w:val="es-SV"/>
        </w:rPr>
      </w:pPr>
    </w:p>
    <w:p w:rsidR="0006606E" w:rsidRPr="000A19C9" w:rsidRDefault="0006606E" w:rsidP="0006606E">
      <w:pPr>
        <w:ind w:left="720" w:hanging="720"/>
        <w:jc w:val="center"/>
        <w:rPr>
          <w:rFonts w:ascii="Cambria" w:hAnsi="Cambria" w:cs="Arial"/>
          <w:sz w:val="20"/>
          <w:szCs w:val="20"/>
          <w:lang w:val="es-SV"/>
        </w:rPr>
      </w:pPr>
    </w:p>
    <w:p w:rsidR="0006606E" w:rsidRPr="000A19C9" w:rsidRDefault="0006606E" w:rsidP="0006606E">
      <w:pPr>
        <w:ind w:left="720" w:hanging="720"/>
        <w:jc w:val="center"/>
        <w:rPr>
          <w:rFonts w:ascii="Cambria" w:hAnsi="Cambria" w:cs="Arial"/>
          <w:sz w:val="20"/>
          <w:szCs w:val="20"/>
          <w:lang w:val="es-SV"/>
        </w:rPr>
      </w:pPr>
    </w:p>
    <w:p w:rsidR="0006606E" w:rsidRPr="000A19C9" w:rsidRDefault="0006606E" w:rsidP="0006606E">
      <w:pPr>
        <w:ind w:left="720" w:hanging="720"/>
        <w:jc w:val="center"/>
        <w:rPr>
          <w:rFonts w:ascii="Cambria" w:hAnsi="Cambria" w:cs="Arial"/>
          <w:sz w:val="20"/>
          <w:szCs w:val="20"/>
          <w:lang w:val="es-SV"/>
        </w:rPr>
      </w:pPr>
      <w:bookmarkStart w:id="31" w:name="_GoBack"/>
      <w:bookmarkEnd w:id="31"/>
    </w:p>
    <w:p w:rsidR="00A82D33" w:rsidRDefault="00A82D33" w:rsidP="0006606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ascii="Cambria" w:hAnsi="Cambria"/>
          <w:sz w:val="20"/>
        </w:rPr>
      </w:pPr>
      <w:r>
        <w:rPr>
          <w:rFonts w:ascii="Cambria" w:hAnsi="Cambria"/>
          <w:sz w:val="20"/>
        </w:rPr>
        <w:t xml:space="preserve">Paulo </w:t>
      </w:r>
      <w:proofErr w:type="spellStart"/>
      <w:r>
        <w:rPr>
          <w:rFonts w:ascii="Cambria" w:hAnsi="Cambria"/>
          <w:sz w:val="20"/>
        </w:rPr>
        <w:t>Abrão</w:t>
      </w:r>
      <w:proofErr w:type="spellEnd"/>
    </w:p>
    <w:p w:rsidR="0006606E" w:rsidRPr="000A19C9" w:rsidRDefault="00A82D33" w:rsidP="0006606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ascii="Cambria" w:hAnsi="Cambria"/>
          <w:color w:val="auto"/>
          <w:sz w:val="20"/>
          <w:szCs w:val="20"/>
          <w:lang w:val="es-ES"/>
        </w:rPr>
      </w:pPr>
      <w:r w:rsidRPr="000A19C9">
        <w:rPr>
          <w:rFonts w:ascii="Cambria" w:hAnsi="Cambria" w:cs="Arial"/>
          <w:noProof/>
          <w:sz w:val="20"/>
          <w:szCs w:val="20"/>
          <w:lang w:val="es-CL"/>
        </w:rPr>
        <w:t>Secretari</w:t>
      </w:r>
      <w:r>
        <w:rPr>
          <w:rFonts w:ascii="Cambria" w:hAnsi="Cambria" w:cs="Arial"/>
          <w:noProof/>
          <w:sz w:val="20"/>
          <w:szCs w:val="20"/>
          <w:lang w:val="es-CL"/>
        </w:rPr>
        <w:t>o</w:t>
      </w:r>
      <w:r w:rsidRPr="000A19C9">
        <w:rPr>
          <w:rFonts w:ascii="Cambria" w:hAnsi="Cambria" w:cs="Arial"/>
          <w:noProof/>
          <w:sz w:val="20"/>
          <w:szCs w:val="20"/>
          <w:lang w:val="es-CL"/>
        </w:rPr>
        <w:t xml:space="preserve"> Ejecutiv</w:t>
      </w:r>
      <w:r>
        <w:rPr>
          <w:rFonts w:ascii="Cambria" w:hAnsi="Cambria" w:cs="Arial"/>
          <w:noProof/>
          <w:sz w:val="20"/>
          <w:szCs w:val="20"/>
          <w:lang w:val="es-CL"/>
        </w:rPr>
        <w:t>o</w:t>
      </w:r>
    </w:p>
    <w:p w:rsidR="004B316C" w:rsidRPr="00DC278B" w:rsidRDefault="004B316C" w:rsidP="00DC278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_tradnl"/>
        </w:rPr>
      </w:pPr>
    </w:p>
    <w:sectPr w:rsidR="004B316C" w:rsidRPr="00DC278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5B" w:rsidRDefault="0062695B">
      <w:r>
        <w:separator/>
      </w:r>
    </w:p>
  </w:endnote>
  <w:endnote w:type="continuationSeparator" w:id="0">
    <w:p w:rsidR="0062695B" w:rsidRDefault="006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universal">
    <w:altName w:val="Calibri"/>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Verdana-Bold">
    <w:altName w:val="Verdana"/>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6E" w:rsidRPr="00934A2C" w:rsidRDefault="0006606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2D33">
      <w:rPr>
        <w:noProof/>
        <w:sz w:val="16"/>
        <w:szCs w:val="22"/>
      </w:rPr>
      <w:t>30</w:t>
    </w:r>
    <w:r w:rsidRPr="00934A2C">
      <w:rPr>
        <w:noProof/>
        <w:sz w:val="16"/>
        <w:szCs w:val="22"/>
      </w:rPr>
      <w:fldChar w:fldCharType="end"/>
    </w:r>
  </w:p>
  <w:p w:rsidR="0006606E" w:rsidRDefault="00066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6E" w:rsidRPr="00934A2C" w:rsidRDefault="0006606E">
    <w:pPr>
      <w:pStyle w:val="Footer"/>
      <w:jc w:val="center"/>
      <w:rPr>
        <w:sz w:val="16"/>
        <w:szCs w:val="22"/>
      </w:rPr>
    </w:pPr>
  </w:p>
  <w:p w:rsidR="0006606E" w:rsidRDefault="0006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5B" w:rsidRDefault="0062695B">
      <w:r>
        <w:separator/>
      </w:r>
    </w:p>
  </w:footnote>
  <w:footnote w:type="continuationSeparator" w:id="0">
    <w:p w:rsidR="0062695B" w:rsidRDefault="0062695B">
      <w:r>
        <w:continuationSeparator/>
      </w:r>
    </w:p>
  </w:footnote>
  <w:footnote w:type="continuationNotice" w:id="1">
    <w:p w:rsidR="0062695B" w:rsidRDefault="0062695B"/>
  </w:footnote>
  <w:footnote w:id="2">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Style w:val="FootnoteReference"/>
          <w:rFonts w:ascii="Cambria" w:hAnsi="Cambria"/>
          <w:sz w:val="16"/>
          <w:szCs w:val="16"/>
        </w:rPr>
        <w:footnoteRef/>
      </w:r>
      <w:r w:rsidRPr="007877A3">
        <w:rPr>
          <w:rFonts w:ascii="Cambria" w:hAnsi="Cambria"/>
          <w:sz w:val="16"/>
          <w:szCs w:val="16"/>
          <w:lang w:val="pt-BR"/>
        </w:rPr>
        <w:t xml:space="preserve"> Familiares de Augusto Alcayaga. </w:t>
      </w:r>
    </w:p>
  </w:footnote>
  <w:footnote w:id="3">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Style w:val="FootnoteReference"/>
          <w:rFonts w:ascii="Cambria" w:hAnsi="Cambria"/>
          <w:sz w:val="16"/>
          <w:szCs w:val="16"/>
        </w:rPr>
        <w:footnoteRef/>
      </w:r>
      <w:r w:rsidRPr="007877A3">
        <w:rPr>
          <w:rFonts w:ascii="Cambria" w:hAnsi="Cambria"/>
          <w:sz w:val="16"/>
          <w:szCs w:val="16"/>
          <w:lang w:val="pt-BR"/>
        </w:rPr>
        <w:t xml:space="preserve"> Familiares de Jorge Osorio.</w:t>
      </w:r>
    </w:p>
  </w:footnote>
  <w:footnote w:id="4">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Style w:val="FootnoteReference"/>
          <w:rFonts w:ascii="Cambria" w:hAnsi="Cambria"/>
          <w:sz w:val="16"/>
          <w:szCs w:val="16"/>
        </w:rPr>
        <w:footnoteRef/>
      </w:r>
      <w:r w:rsidRPr="007877A3">
        <w:rPr>
          <w:rFonts w:ascii="Cambria" w:hAnsi="Cambria"/>
          <w:sz w:val="16"/>
          <w:szCs w:val="16"/>
          <w:lang w:val="pt-BR"/>
        </w:rPr>
        <w:t xml:space="preserve"> Familiares de Hipólito Cortés.</w:t>
      </w:r>
    </w:p>
  </w:footnote>
  <w:footnote w:id="5">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Style w:val="FootnoteReference"/>
          <w:rFonts w:ascii="Cambria" w:hAnsi="Cambria"/>
          <w:sz w:val="16"/>
          <w:szCs w:val="16"/>
        </w:rPr>
        <w:footnoteRef/>
      </w:r>
      <w:r w:rsidRPr="007877A3">
        <w:rPr>
          <w:rFonts w:ascii="Cambria" w:hAnsi="Cambria"/>
          <w:sz w:val="16"/>
          <w:szCs w:val="16"/>
          <w:lang w:val="pt-BR"/>
        </w:rPr>
        <w:t xml:space="preserve"> Familiares de Mario Melo. </w:t>
      </w:r>
    </w:p>
  </w:footnote>
  <w:footnote w:id="6">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Style w:val="FootnoteReference"/>
          <w:rFonts w:ascii="Cambria" w:hAnsi="Cambria"/>
          <w:sz w:val="16"/>
          <w:szCs w:val="16"/>
        </w:rPr>
        <w:footnoteRef/>
      </w:r>
      <w:r w:rsidRPr="007877A3">
        <w:rPr>
          <w:rFonts w:ascii="Cambria" w:hAnsi="Cambria"/>
          <w:sz w:val="16"/>
          <w:szCs w:val="16"/>
          <w:lang w:val="pt-BR"/>
        </w:rPr>
        <w:t xml:space="preserve"> Familiar de Ramón Vivanco. </w:t>
      </w:r>
    </w:p>
  </w:footnote>
  <w:footnote w:id="7">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Style w:val="FootnoteReference"/>
          <w:rFonts w:ascii="Cambria" w:hAnsi="Cambria"/>
          <w:sz w:val="16"/>
          <w:szCs w:val="16"/>
        </w:rPr>
        <w:footnoteRef/>
      </w:r>
      <w:r w:rsidRPr="007877A3">
        <w:rPr>
          <w:rFonts w:ascii="Cambria" w:hAnsi="Cambria"/>
          <w:sz w:val="16"/>
          <w:szCs w:val="16"/>
          <w:lang w:val="pt-BR"/>
        </w:rPr>
        <w:t xml:space="preserve"> Familiar de Rodolfo Espejo. </w:t>
      </w:r>
      <w:r w:rsidRPr="007877A3">
        <w:rPr>
          <w:rFonts w:ascii="Cambria" w:hAnsi="Cambria"/>
          <w:sz w:val="16"/>
          <w:szCs w:val="16"/>
          <w:lang w:val="pt-BR"/>
        </w:rPr>
        <w:tab/>
        <w:t xml:space="preserve"> </w:t>
      </w:r>
    </w:p>
  </w:footnote>
  <w:footnote w:id="8">
    <w:p w:rsidR="0006606E" w:rsidRPr="007877A3" w:rsidRDefault="0006606E" w:rsidP="00DC278B">
      <w:pPr>
        <w:pStyle w:val="FootnoteText"/>
        <w:tabs>
          <w:tab w:val="left" w:pos="360"/>
        </w:tabs>
        <w:spacing w:after="120"/>
        <w:ind w:firstLine="720"/>
        <w:jc w:val="both"/>
        <w:rPr>
          <w:rFonts w:ascii="Cambria" w:hAnsi="Cambria"/>
          <w:sz w:val="16"/>
          <w:szCs w:val="16"/>
          <w:lang w:val="pt-BR"/>
        </w:rPr>
      </w:pPr>
      <w:r w:rsidRPr="007877A3">
        <w:rPr>
          <w:rFonts w:ascii="Cambria" w:hAnsi="Cambria"/>
          <w:sz w:val="16"/>
          <w:szCs w:val="16"/>
          <w:vertAlign w:val="superscript"/>
          <w:lang w:val="es-CO"/>
        </w:rPr>
        <w:footnoteRef/>
      </w:r>
      <w:r w:rsidRPr="007877A3">
        <w:rPr>
          <w:rFonts w:ascii="Cambria" w:hAnsi="Cambria"/>
          <w:sz w:val="16"/>
          <w:szCs w:val="16"/>
          <w:lang w:val="pt-BR"/>
        </w:rPr>
        <w:t xml:space="preserve"> Familiares de Sergio Reyes.</w:t>
      </w:r>
    </w:p>
  </w:footnote>
  <w:footnote w:id="9">
    <w:p w:rsidR="0006606E" w:rsidRPr="007877A3" w:rsidRDefault="0006606E" w:rsidP="00DC278B">
      <w:pPr>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Informe No. 60/05 (Admisibilidad), Petición 511-03, María Ordenes Guerra; Chile, 12 de octubre de 2005.</w:t>
      </w:r>
    </w:p>
  </w:footnote>
  <w:footnote w:id="10">
    <w:p w:rsidR="0006606E" w:rsidRPr="007877A3" w:rsidRDefault="0006606E" w:rsidP="00DC278B">
      <w:pPr>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Informe No. 61/05 (Admisibilidad), Petición 698-03, Lucía Morales </w:t>
      </w:r>
      <w:proofErr w:type="spellStart"/>
      <w:r w:rsidRPr="007877A3">
        <w:rPr>
          <w:rFonts w:ascii="Cambria" w:hAnsi="Cambria"/>
          <w:sz w:val="16"/>
          <w:szCs w:val="16"/>
          <w:lang w:val="es-ES"/>
        </w:rPr>
        <w:t>Compagnon</w:t>
      </w:r>
      <w:proofErr w:type="spellEnd"/>
      <w:r w:rsidRPr="007877A3">
        <w:rPr>
          <w:rFonts w:ascii="Cambria" w:hAnsi="Cambria"/>
          <w:sz w:val="16"/>
          <w:szCs w:val="16"/>
          <w:lang w:val="es-ES"/>
        </w:rPr>
        <w:t xml:space="preserve"> y otros; Chile, 12 de octubre de 2005.</w:t>
      </w:r>
    </w:p>
  </w:footnote>
  <w:footnote w:id="11">
    <w:p w:rsidR="0006606E" w:rsidRPr="007877A3" w:rsidRDefault="0006606E" w:rsidP="00DC278B">
      <w:pPr>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Informe No. 62/05 (Admisibilidad), Petición 862-03, Alina María Barraza </w:t>
      </w:r>
      <w:proofErr w:type="spellStart"/>
      <w:r w:rsidRPr="007877A3">
        <w:rPr>
          <w:rFonts w:ascii="Cambria" w:hAnsi="Cambria"/>
          <w:sz w:val="16"/>
          <w:szCs w:val="16"/>
          <w:lang w:val="es-ES"/>
        </w:rPr>
        <w:t>Codoceo</w:t>
      </w:r>
      <w:proofErr w:type="spellEnd"/>
      <w:r w:rsidRPr="007877A3">
        <w:rPr>
          <w:rFonts w:ascii="Cambria" w:hAnsi="Cambria"/>
          <w:sz w:val="16"/>
          <w:szCs w:val="16"/>
          <w:lang w:val="es-ES"/>
        </w:rPr>
        <w:t xml:space="preserve"> y otros; Chile, 12 de octubre de 2005.</w:t>
      </w:r>
    </w:p>
  </w:footnote>
  <w:footnote w:id="12">
    <w:p w:rsidR="0006606E" w:rsidRPr="007877A3" w:rsidRDefault="0006606E" w:rsidP="00DC278B">
      <w:pPr>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Informe No. 59/05 (Admisibilidad), Petición </w:t>
      </w:r>
      <w:r w:rsidRPr="007877A3">
        <w:rPr>
          <w:rFonts w:ascii="Cambria" w:hAnsi="Cambria"/>
          <w:sz w:val="16"/>
          <w:szCs w:val="16"/>
          <w:lang w:val="es-ES_tradnl"/>
        </w:rPr>
        <w:t>381-04</w:t>
      </w:r>
      <w:r w:rsidRPr="007877A3">
        <w:rPr>
          <w:rFonts w:ascii="Cambria" w:hAnsi="Cambria"/>
          <w:sz w:val="16"/>
          <w:szCs w:val="16"/>
          <w:lang w:val="es-ES"/>
        </w:rPr>
        <w:t>, Mercedes Magdalena Navarrete y otros; Chile, 12 de octubre de 2005.</w:t>
      </w:r>
    </w:p>
  </w:footnote>
  <w:footnote w:id="13">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El Estado señala que el monto recibido mensualmente desde el mes de julio de 1991 hasta noviembre de 2007 suma $36.627.798 de pesos chilenos. Escrito del Estado de 21 de noviembre de 2008.</w:t>
      </w:r>
    </w:p>
  </w:footnote>
  <w:footnote w:id="14">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CO"/>
        </w:rPr>
        <w:footnoteRef/>
      </w:r>
      <w:r w:rsidRPr="007877A3">
        <w:rPr>
          <w:rFonts w:ascii="Cambria" w:hAnsi="Cambria"/>
          <w:sz w:val="16"/>
          <w:szCs w:val="16"/>
          <w:lang w:val="es-CO"/>
        </w:rPr>
        <w:t xml:space="preserve"> Audiencia pública sostenida ante la CIDH durante su 134 Periodo de Sesiones. Casos 12.520 Katia Ximena del Carmen Espejo Gómez y otros, y 12.521 Alina María Barraza </w:t>
      </w:r>
      <w:proofErr w:type="spellStart"/>
      <w:r w:rsidRPr="007877A3">
        <w:rPr>
          <w:rFonts w:ascii="Cambria" w:hAnsi="Cambria"/>
          <w:sz w:val="16"/>
          <w:szCs w:val="16"/>
          <w:lang w:val="es-CO"/>
        </w:rPr>
        <w:t>Codoceo</w:t>
      </w:r>
      <w:proofErr w:type="spellEnd"/>
      <w:r w:rsidRPr="007877A3">
        <w:rPr>
          <w:rFonts w:ascii="Cambria" w:hAnsi="Cambria"/>
          <w:sz w:val="16"/>
          <w:szCs w:val="16"/>
          <w:lang w:val="es-CO"/>
        </w:rPr>
        <w:t xml:space="preserve"> y otros (Chile), 21 de marzo de 2009.</w:t>
      </w:r>
    </w:p>
  </w:footnote>
  <w:footnote w:id="1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El Estado señala que el monto recibido mensualmente desde el mes de julio de 1991 hasta noviembre de 2007 suma $36.175.000 de pesos chilenos. Escrito del Estado de 21 de noviembre de 2008.</w:t>
      </w:r>
    </w:p>
  </w:footnote>
  <w:footnote w:id="16">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UY"/>
        </w:rPr>
        <w:t xml:space="preserve"> </w:t>
      </w:r>
      <w:r w:rsidRPr="007877A3">
        <w:rPr>
          <w:rFonts w:ascii="Cambria" w:hAnsi="Cambria"/>
          <w:sz w:val="16"/>
          <w:szCs w:val="16"/>
          <w:lang w:val="es-ES"/>
        </w:rPr>
        <w:t xml:space="preserve">CIDH, Audiencia, 131˚ Período de Sesiones, Casos “Comuna 13”, 12.596 – Luz Dary Ospina Bastidas, 12.595 – Miriam Eugenia Rúa Figueroa, y 12.621 – Teresa </w:t>
      </w:r>
      <w:proofErr w:type="spellStart"/>
      <w:r w:rsidRPr="007877A3">
        <w:rPr>
          <w:rFonts w:ascii="Cambria" w:hAnsi="Cambria"/>
          <w:sz w:val="16"/>
          <w:szCs w:val="16"/>
          <w:lang w:val="es-ES"/>
        </w:rPr>
        <w:t>Yarce</w:t>
      </w:r>
      <w:proofErr w:type="spellEnd"/>
      <w:r w:rsidRPr="007877A3">
        <w:rPr>
          <w:rFonts w:ascii="Cambria" w:hAnsi="Cambria"/>
          <w:sz w:val="16"/>
          <w:szCs w:val="16"/>
          <w:lang w:val="es-ES"/>
        </w:rPr>
        <w:t xml:space="preserve">, Mery Naranjo y Socorro Mosquera, Colombia, 12 de marzo de 2008, disponible en: </w:t>
      </w:r>
      <w:hyperlink r:id="rId1" w:history="1">
        <w:r w:rsidRPr="007877A3">
          <w:rPr>
            <w:rStyle w:val="Hyperlink"/>
            <w:rFonts w:ascii="Cambria" w:hAnsi="Cambria"/>
            <w:sz w:val="16"/>
            <w:szCs w:val="16"/>
            <w:u w:val="none"/>
            <w:lang w:val="es-ES"/>
          </w:rPr>
          <w:t>http://www.oas.org/es/cidh/audiencias/Hearings.aspx?Lang=es&amp;Session=12&amp;page=2</w:t>
        </w:r>
      </w:hyperlink>
      <w:r w:rsidRPr="007877A3">
        <w:rPr>
          <w:rFonts w:ascii="Cambria" w:hAnsi="Cambria"/>
          <w:sz w:val="16"/>
          <w:szCs w:val="16"/>
          <w:lang w:val="es-ES"/>
        </w:rPr>
        <w:t>.</w:t>
      </w:r>
    </w:p>
  </w:footnote>
  <w:footnote w:id="17">
    <w:p w:rsidR="0006606E" w:rsidRPr="007877A3" w:rsidRDefault="0006606E" w:rsidP="00DC278B">
      <w:pPr>
        <w:pStyle w:val="BodyText2"/>
        <w:tabs>
          <w:tab w:val="left" w:pos="360"/>
        </w:tabs>
        <w:spacing w:line="240" w:lineRule="auto"/>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eastAsia="Calibri" w:hAnsi="Cambria" w:cs="Calibri"/>
          <w:color w:val="000000"/>
          <w:sz w:val="16"/>
          <w:szCs w:val="16"/>
          <w:u w:color="000000"/>
          <w:lang w:val="es-ES" w:eastAsia="es-ES"/>
        </w:rPr>
        <w:t>Art. 43.1 del Reglamento de la CIDH: ”La Comisión deliberará sobre el fondo del caso, a cuyo efecto preparará un informe en el cual examinará los alegatos, las pruebas suministradas por las partes, y la información obtenida durante audiencias y observaciones in loco.  Asimismo, la Comisión podrá tener en cuenta otra información de público conocimiento”.</w:t>
      </w:r>
      <w:r>
        <w:rPr>
          <w:rFonts w:ascii="Cambria" w:hAnsi="Cambria"/>
          <w:sz w:val="16"/>
          <w:szCs w:val="16"/>
          <w:lang w:val="es-ES"/>
        </w:rPr>
        <w:t xml:space="preserve"> </w:t>
      </w:r>
    </w:p>
  </w:footnote>
  <w:footnote w:id="18">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Cor</w:t>
      </w:r>
      <w:r>
        <w:rPr>
          <w:rFonts w:ascii="Cambria" w:hAnsi="Cambria"/>
          <w:sz w:val="16"/>
          <w:szCs w:val="16"/>
          <w:lang w:val="es-ES"/>
        </w:rPr>
        <w:t>te IDH.</w:t>
      </w:r>
      <w:r w:rsidRPr="007877A3">
        <w:rPr>
          <w:rFonts w:ascii="Cambria" w:hAnsi="Cambria"/>
          <w:sz w:val="16"/>
          <w:szCs w:val="16"/>
          <w:lang w:val="es-ES"/>
        </w:rPr>
        <w:t xml:space="preserve"> Caso </w:t>
      </w:r>
      <w:proofErr w:type="spellStart"/>
      <w:r w:rsidRPr="007877A3">
        <w:rPr>
          <w:rFonts w:ascii="Cambria" w:hAnsi="Cambria"/>
          <w:sz w:val="16"/>
          <w:szCs w:val="16"/>
          <w:lang w:val="es-ES"/>
        </w:rPr>
        <w:t>Almonacid</w:t>
      </w:r>
      <w:proofErr w:type="spellEnd"/>
      <w:r w:rsidRPr="007877A3">
        <w:rPr>
          <w:rFonts w:ascii="Cambria" w:hAnsi="Cambria"/>
          <w:sz w:val="16"/>
          <w:szCs w:val="16"/>
          <w:lang w:val="es-ES"/>
        </w:rPr>
        <w:t xml:space="preserve"> Arellano y otros vs. Chile.</w:t>
      </w:r>
      <w:r>
        <w:rPr>
          <w:rFonts w:ascii="Cambria" w:hAnsi="Cambria"/>
          <w:sz w:val="16"/>
          <w:szCs w:val="16"/>
          <w:lang w:val="es-ES"/>
        </w:rPr>
        <w:t xml:space="preserve"> Excepciones Preliminares, Fondo, Reparaciones y Costas.</w:t>
      </w:r>
      <w:r w:rsidRPr="007877A3">
        <w:rPr>
          <w:rFonts w:ascii="Cambria" w:hAnsi="Cambria"/>
          <w:sz w:val="16"/>
          <w:szCs w:val="16"/>
          <w:lang w:val="es-ES"/>
        </w:rPr>
        <w:t xml:space="preserve"> Sentencia de 26 de septiembre de 2006. Serie C No. 154, párr. 82.</w:t>
      </w:r>
    </w:p>
  </w:footnote>
  <w:footnote w:id="19">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Informes de 12 de octubre de 2005: No. 60/05, Petición 511-03, María Ordenes Guerra (Chile), párr. 20; No. 61/05, Petición 698-03, Lucía Morales </w:t>
      </w:r>
      <w:proofErr w:type="spellStart"/>
      <w:r w:rsidRPr="007877A3">
        <w:rPr>
          <w:rFonts w:ascii="Cambria" w:hAnsi="Cambria"/>
          <w:sz w:val="16"/>
          <w:szCs w:val="16"/>
          <w:lang w:val="es-ES"/>
        </w:rPr>
        <w:t>Compagnon</w:t>
      </w:r>
      <w:proofErr w:type="spellEnd"/>
      <w:r w:rsidRPr="007877A3">
        <w:rPr>
          <w:rFonts w:ascii="Cambria" w:hAnsi="Cambria"/>
          <w:sz w:val="16"/>
          <w:szCs w:val="16"/>
          <w:lang w:val="es-ES"/>
        </w:rPr>
        <w:t xml:space="preserve"> y otros (Chile), párr.19; No. 62/05, Petición 862-03, Alina María Barraza </w:t>
      </w:r>
      <w:proofErr w:type="spellStart"/>
      <w:r w:rsidRPr="007877A3">
        <w:rPr>
          <w:rFonts w:ascii="Cambria" w:hAnsi="Cambria"/>
          <w:sz w:val="16"/>
          <w:szCs w:val="16"/>
          <w:lang w:val="es-ES"/>
        </w:rPr>
        <w:t>Codoceo</w:t>
      </w:r>
      <w:proofErr w:type="spellEnd"/>
      <w:r w:rsidRPr="007877A3">
        <w:rPr>
          <w:rFonts w:ascii="Cambria" w:hAnsi="Cambria"/>
          <w:sz w:val="16"/>
          <w:szCs w:val="16"/>
          <w:lang w:val="es-ES"/>
        </w:rPr>
        <w:t xml:space="preserve"> y otros; (Chile), párr. 17; y No. 59/05, Petición </w:t>
      </w:r>
      <w:r w:rsidRPr="007877A3">
        <w:rPr>
          <w:rFonts w:ascii="Cambria" w:hAnsi="Cambria"/>
          <w:sz w:val="16"/>
          <w:szCs w:val="16"/>
          <w:lang w:val="es-ES_tradnl"/>
        </w:rPr>
        <w:t>381-04</w:t>
      </w:r>
      <w:r w:rsidRPr="007877A3">
        <w:rPr>
          <w:rFonts w:ascii="Cambria" w:hAnsi="Cambria"/>
          <w:sz w:val="16"/>
          <w:szCs w:val="16"/>
          <w:lang w:val="es-ES"/>
        </w:rPr>
        <w:t>, Mercedes Magdalena Navarrete y otros (Chile), párr. 19.</w:t>
      </w:r>
    </w:p>
  </w:footnote>
  <w:footnote w:id="20">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Informes de 12 de octubre de 2005: No. 60/05, Petición 511-03, María Ordenes Guerra (Chile), párr. 23; No. 61/05, Petición 698-03, Lucía Morales </w:t>
      </w:r>
      <w:proofErr w:type="spellStart"/>
      <w:r w:rsidRPr="007877A3">
        <w:rPr>
          <w:rFonts w:ascii="Cambria" w:hAnsi="Cambria"/>
          <w:sz w:val="16"/>
          <w:szCs w:val="16"/>
          <w:lang w:val="es-ES"/>
        </w:rPr>
        <w:t>Compagnon</w:t>
      </w:r>
      <w:proofErr w:type="spellEnd"/>
      <w:r w:rsidRPr="007877A3">
        <w:rPr>
          <w:rFonts w:ascii="Cambria" w:hAnsi="Cambria"/>
          <w:sz w:val="16"/>
          <w:szCs w:val="16"/>
          <w:lang w:val="es-ES"/>
        </w:rPr>
        <w:t xml:space="preserve"> y otros (Chile), párr.20; No. 62/05, Petición 862-03, Alina María Barraza </w:t>
      </w:r>
      <w:proofErr w:type="spellStart"/>
      <w:r w:rsidRPr="007877A3">
        <w:rPr>
          <w:rFonts w:ascii="Cambria" w:hAnsi="Cambria"/>
          <w:sz w:val="16"/>
          <w:szCs w:val="16"/>
          <w:lang w:val="es-ES"/>
        </w:rPr>
        <w:t>Codoceo</w:t>
      </w:r>
      <w:proofErr w:type="spellEnd"/>
      <w:r w:rsidRPr="007877A3">
        <w:rPr>
          <w:rFonts w:ascii="Cambria" w:hAnsi="Cambria"/>
          <w:sz w:val="16"/>
          <w:szCs w:val="16"/>
          <w:lang w:val="es-ES"/>
        </w:rPr>
        <w:t xml:space="preserve"> y otros; (Chile), párr. 20; y No. 59/05, Petición </w:t>
      </w:r>
      <w:r w:rsidRPr="007877A3">
        <w:rPr>
          <w:rFonts w:ascii="Cambria" w:hAnsi="Cambria"/>
          <w:sz w:val="16"/>
          <w:szCs w:val="16"/>
          <w:lang w:val="es-ES_tradnl"/>
        </w:rPr>
        <w:t>381-04</w:t>
      </w:r>
      <w:r w:rsidRPr="007877A3">
        <w:rPr>
          <w:rFonts w:ascii="Cambria" w:hAnsi="Cambria"/>
          <w:sz w:val="16"/>
          <w:szCs w:val="16"/>
          <w:lang w:val="es-ES"/>
        </w:rPr>
        <w:t>, Mercedes Magdalena Navarrete y otros (Chile), párr. 22.</w:t>
      </w:r>
    </w:p>
  </w:footnote>
  <w:footnote w:id="21">
    <w:p w:rsidR="0006606E" w:rsidRPr="007877A3" w:rsidRDefault="0006606E" w:rsidP="00DC278B">
      <w:pPr>
        <w:tabs>
          <w:tab w:val="left" w:pos="360"/>
        </w:tabs>
        <w:autoSpaceDE w:val="0"/>
        <w:autoSpaceDN w:val="0"/>
        <w:adjustRightInd w:val="0"/>
        <w:spacing w:after="120"/>
        <w:ind w:firstLine="720"/>
        <w:jc w:val="both"/>
        <w:rPr>
          <w:rFonts w:ascii="Cambria" w:hAnsi="Cambria" w:cs="Verdan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hAnsi="Cambria" w:cs="Verdana"/>
          <w:sz w:val="16"/>
          <w:szCs w:val="16"/>
          <w:lang w:val="es-ES"/>
        </w:rPr>
        <w:t xml:space="preserve">Considerando Primero del D.S. No. 355 de 25 de abril de 1990. En: Informe de la </w:t>
      </w:r>
      <w:r w:rsidRPr="007877A3">
        <w:rPr>
          <w:rFonts w:ascii="Cambria" w:hAnsi="Cambria"/>
          <w:sz w:val="16"/>
          <w:szCs w:val="16"/>
          <w:lang w:val="es-ES"/>
        </w:rPr>
        <w:t xml:space="preserve">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Tomo I, págs. XI a XIV.</w:t>
      </w:r>
    </w:p>
  </w:footnote>
  <w:footnote w:id="22">
    <w:p w:rsidR="0006606E" w:rsidRPr="007877A3" w:rsidRDefault="0006606E" w:rsidP="00DC278B">
      <w:pPr>
        <w:tabs>
          <w:tab w:val="left" w:pos="360"/>
        </w:tabs>
        <w:autoSpaceDE w:val="0"/>
        <w:autoSpaceDN w:val="0"/>
        <w:adjustRightInd w:val="0"/>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hAnsi="Cambria" w:cs="Verdana"/>
          <w:iCs/>
          <w:sz w:val="16"/>
          <w:szCs w:val="16"/>
          <w:lang w:val="es-ES"/>
        </w:rPr>
        <w:t>C</w:t>
      </w:r>
      <w:r w:rsidRPr="007877A3">
        <w:rPr>
          <w:rFonts w:ascii="Cambria" w:hAnsi="Cambria" w:cs="Verdana"/>
          <w:sz w:val="16"/>
          <w:szCs w:val="16"/>
          <w:lang w:val="es-ES"/>
        </w:rPr>
        <w:t xml:space="preserve">onsiderando Primero del D.S. No. 355 de 25 de abril de 1990. En: Informe de la </w:t>
      </w:r>
      <w:r w:rsidRPr="007877A3">
        <w:rPr>
          <w:rFonts w:ascii="Cambria" w:hAnsi="Cambria" w:cs="Verdana"/>
          <w:sz w:val="16"/>
          <w:szCs w:val="16"/>
          <w:lang w:val="es-CO"/>
        </w:rPr>
        <w:t xml:space="preserve">Comisión </w:t>
      </w:r>
      <w:proofErr w:type="spellStart"/>
      <w:r w:rsidRPr="007877A3">
        <w:rPr>
          <w:rFonts w:ascii="Cambria" w:hAnsi="Cambria" w:cs="Verdana"/>
          <w:sz w:val="16"/>
          <w:szCs w:val="16"/>
          <w:lang w:val="es-CO"/>
        </w:rPr>
        <w:t>Rettig</w:t>
      </w:r>
      <w:proofErr w:type="spellEnd"/>
      <w:r w:rsidRPr="007877A3">
        <w:rPr>
          <w:rFonts w:ascii="Cambria" w:hAnsi="Cambria" w:cs="Verdana"/>
          <w:sz w:val="16"/>
          <w:szCs w:val="16"/>
          <w:lang w:val="es-CO"/>
        </w:rPr>
        <w:t>, Tomo I, págs. XI a XIV.</w:t>
      </w:r>
    </w:p>
  </w:footnote>
  <w:footnote w:id="23">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cs="Verdana"/>
          <w:iCs/>
          <w:sz w:val="16"/>
          <w:szCs w:val="16"/>
          <w:lang w:val="es-CO"/>
        </w:rPr>
        <w:t>Corte IDH.</w:t>
      </w:r>
      <w:r w:rsidRPr="007877A3">
        <w:rPr>
          <w:rFonts w:ascii="Cambria" w:hAnsi="Cambria" w:cs="Verdana"/>
          <w:iCs/>
          <w:sz w:val="16"/>
          <w:szCs w:val="16"/>
          <w:lang w:val="es-CO"/>
        </w:rPr>
        <w:t xml:space="preserve"> </w:t>
      </w:r>
      <w:r w:rsidRPr="007877A3">
        <w:rPr>
          <w:rFonts w:ascii="Cambria" w:hAnsi="Cambria"/>
          <w:iCs/>
          <w:sz w:val="16"/>
          <w:szCs w:val="16"/>
          <w:lang w:val="es-ES_tradnl"/>
        </w:rPr>
        <w:t>Caso “</w:t>
      </w:r>
      <w:proofErr w:type="spellStart"/>
      <w:r w:rsidRPr="007877A3">
        <w:rPr>
          <w:rFonts w:ascii="Cambria" w:hAnsi="Cambria"/>
          <w:iCs/>
          <w:sz w:val="16"/>
          <w:szCs w:val="16"/>
          <w:lang w:val="es-ES_tradnl"/>
        </w:rPr>
        <w:t>Almonacid</w:t>
      </w:r>
      <w:proofErr w:type="spellEnd"/>
      <w:r w:rsidRPr="007877A3">
        <w:rPr>
          <w:rFonts w:ascii="Cambria" w:hAnsi="Cambria"/>
          <w:iCs/>
          <w:sz w:val="16"/>
          <w:szCs w:val="16"/>
          <w:lang w:val="es-ES_tradnl"/>
        </w:rPr>
        <w:t xml:space="preserve"> Arellano y otros”.</w:t>
      </w:r>
      <w:r w:rsidRPr="007877A3">
        <w:rPr>
          <w:rFonts w:ascii="Cambria" w:hAnsi="Cambria"/>
          <w:sz w:val="16"/>
          <w:szCs w:val="16"/>
          <w:lang w:val="es-ES_tradnl"/>
        </w:rPr>
        <w:t xml:space="preserve"> </w:t>
      </w:r>
      <w:r>
        <w:rPr>
          <w:rFonts w:ascii="Cambria" w:hAnsi="Cambria"/>
          <w:sz w:val="16"/>
          <w:szCs w:val="16"/>
          <w:lang w:val="es-ES_tradnl"/>
        </w:rPr>
        <w:t xml:space="preserve">Excepciones Preliminares, Fondo, Reparaciones y Costas. </w:t>
      </w:r>
      <w:r w:rsidRPr="007877A3">
        <w:rPr>
          <w:rFonts w:ascii="Cambria" w:hAnsi="Cambria"/>
          <w:sz w:val="16"/>
          <w:szCs w:val="16"/>
          <w:lang w:val="es-ES_tradnl"/>
        </w:rPr>
        <w:t>Sentencia de 26 de septiembre de 2006. Serie C No. 154, párr. 82.26.</w:t>
      </w:r>
    </w:p>
  </w:footnote>
  <w:footnote w:id="24">
    <w:p w:rsidR="0006606E" w:rsidRPr="007877A3" w:rsidRDefault="0006606E" w:rsidP="00DC278B">
      <w:pPr>
        <w:tabs>
          <w:tab w:val="left" w:pos="360"/>
        </w:tabs>
        <w:autoSpaceDE w:val="0"/>
        <w:autoSpaceDN w:val="0"/>
        <w:adjustRightInd w:val="0"/>
        <w:spacing w:after="120"/>
        <w:ind w:firstLine="720"/>
        <w:jc w:val="both"/>
        <w:rPr>
          <w:rFonts w:ascii="Cambria" w:hAnsi="Cambria" w:cs="Verdan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hAnsi="Cambria" w:cs="Verdana"/>
          <w:sz w:val="16"/>
          <w:szCs w:val="16"/>
          <w:lang w:val="es-ES"/>
        </w:rPr>
        <w:t xml:space="preserve">Art. Primero del D.S. No. 355 de 25 de abril de 1990. En: Informe de la Comisión </w:t>
      </w:r>
      <w:proofErr w:type="spellStart"/>
      <w:r w:rsidRPr="007877A3">
        <w:rPr>
          <w:rFonts w:ascii="Cambria" w:hAnsi="Cambria" w:cs="Verdana"/>
          <w:sz w:val="16"/>
          <w:szCs w:val="16"/>
          <w:lang w:val="es-ES"/>
        </w:rPr>
        <w:t>Rettig</w:t>
      </w:r>
      <w:proofErr w:type="spellEnd"/>
      <w:r w:rsidRPr="007877A3">
        <w:rPr>
          <w:rFonts w:ascii="Cambria" w:hAnsi="Cambria"/>
          <w:sz w:val="16"/>
          <w:szCs w:val="16"/>
          <w:lang w:val="es-ES"/>
        </w:rPr>
        <w:t xml:space="preserve">, Tomo I, págs. XI a XIV. </w:t>
      </w:r>
    </w:p>
  </w:footnote>
  <w:footnote w:id="25">
    <w:p w:rsidR="0006606E" w:rsidRPr="007877A3" w:rsidRDefault="0006606E" w:rsidP="00DC278B">
      <w:pPr>
        <w:tabs>
          <w:tab w:val="left" w:pos="360"/>
        </w:tabs>
        <w:autoSpaceDE w:val="0"/>
        <w:autoSpaceDN w:val="0"/>
        <w:adjustRightInd w:val="0"/>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hAnsi="Cambria" w:cs="Verdana"/>
          <w:iCs/>
          <w:sz w:val="16"/>
          <w:szCs w:val="16"/>
          <w:lang w:val="es-ES"/>
        </w:rPr>
        <w:t>M</w:t>
      </w:r>
      <w:r w:rsidRPr="007877A3">
        <w:rPr>
          <w:rFonts w:ascii="Cambria" w:hAnsi="Cambria" w:cs="Verdana"/>
          <w:sz w:val="16"/>
          <w:szCs w:val="16"/>
          <w:lang w:val="es-ES"/>
        </w:rPr>
        <w:t xml:space="preserve">ensaje a la Nación del Presidente Patricio Aylwin al dar a conocer el Informe de la Comisión </w:t>
      </w:r>
      <w:proofErr w:type="spellStart"/>
      <w:r w:rsidRPr="007877A3">
        <w:rPr>
          <w:rFonts w:ascii="Cambria" w:hAnsi="Cambria" w:cs="Verdana"/>
          <w:sz w:val="16"/>
          <w:szCs w:val="16"/>
          <w:lang w:val="es-ES"/>
        </w:rPr>
        <w:t>Rettig</w:t>
      </w:r>
      <w:proofErr w:type="spellEnd"/>
      <w:r w:rsidRPr="007877A3">
        <w:rPr>
          <w:rFonts w:ascii="Cambria" w:hAnsi="Cambria" w:cs="Verdana"/>
          <w:sz w:val="16"/>
          <w:szCs w:val="16"/>
          <w:lang w:val="es-ES"/>
        </w:rPr>
        <w:t>, 4 de marzo de 1991</w:t>
      </w:r>
      <w:r w:rsidRPr="007877A3">
        <w:rPr>
          <w:rFonts w:ascii="Cambria" w:hAnsi="Cambria" w:cs="Verdana"/>
          <w:sz w:val="16"/>
          <w:szCs w:val="16"/>
          <w:lang w:val="es-CO"/>
        </w:rPr>
        <w:t>, Tomo II, págs. 887 a 894.</w:t>
      </w:r>
      <w:r w:rsidRPr="007877A3">
        <w:rPr>
          <w:rFonts w:ascii="Cambria" w:hAnsi="Cambria"/>
          <w:sz w:val="16"/>
          <w:szCs w:val="16"/>
          <w:lang w:val="es-ES"/>
        </w:rPr>
        <w:t xml:space="preserve"> </w:t>
      </w:r>
    </w:p>
  </w:footnote>
  <w:footnote w:id="26">
    <w:p w:rsidR="0006606E" w:rsidRPr="007877A3" w:rsidRDefault="0006606E" w:rsidP="00DC278B">
      <w:pPr>
        <w:tabs>
          <w:tab w:val="left" w:pos="360"/>
        </w:tabs>
        <w:autoSpaceDE w:val="0"/>
        <w:autoSpaceDN w:val="0"/>
        <w:adjustRightInd w:val="0"/>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hAnsi="Cambria" w:cs="Verdana"/>
          <w:iCs/>
          <w:sz w:val="16"/>
          <w:szCs w:val="16"/>
          <w:lang w:val="es-ES"/>
        </w:rPr>
        <w:t>M</w:t>
      </w:r>
      <w:r w:rsidRPr="007877A3">
        <w:rPr>
          <w:rFonts w:ascii="Cambria" w:hAnsi="Cambria" w:cs="Verdana"/>
          <w:sz w:val="16"/>
          <w:szCs w:val="16"/>
          <w:lang w:val="es-ES"/>
        </w:rPr>
        <w:t xml:space="preserve">ensaje a la Nación del Presidente Patricio Aylwin al dar a conocer el Informe de la Comisión </w:t>
      </w:r>
      <w:proofErr w:type="spellStart"/>
      <w:r w:rsidRPr="007877A3">
        <w:rPr>
          <w:rFonts w:ascii="Cambria" w:hAnsi="Cambria" w:cs="Verdana"/>
          <w:sz w:val="16"/>
          <w:szCs w:val="16"/>
          <w:lang w:val="es-ES"/>
        </w:rPr>
        <w:t>Rettig</w:t>
      </w:r>
      <w:proofErr w:type="spellEnd"/>
      <w:r w:rsidRPr="007877A3">
        <w:rPr>
          <w:rFonts w:ascii="Cambria" w:hAnsi="Cambria" w:cs="Verdana"/>
          <w:sz w:val="16"/>
          <w:szCs w:val="16"/>
          <w:lang w:val="es-ES"/>
        </w:rPr>
        <w:t>, 4 de marzo de 1991</w:t>
      </w:r>
      <w:r w:rsidRPr="007877A3">
        <w:rPr>
          <w:rFonts w:ascii="Cambria" w:hAnsi="Cambria" w:cs="Verdana"/>
          <w:sz w:val="16"/>
          <w:szCs w:val="16"/>
          <w:lang w:val="es-CO"/>
        </w:rPr>
        <w:t>, Tomo II, págs. 887 a 894.</w:t>
      </w:r>
      <w:r w:rsidRPr="007877A3">
        <w:rPr>
          <w:rFonts w:ascii="Cambria" w:hAnsi="Cambria"/>
          <w:sz w:val="16"/>
          <w:szCs w:val="16"/>
          <w:lang w:val="es-ES"/>
        </w:rPr>
        <w:t xml:space="preserve"> </w:t>
      </w:r>
    </w:p>
  </w:footnote>
  <w:footnote w:id="27">
    <w:p w:rsidR="0006606E" w:rsidRPr="007877A3" w:rsidRDefault="0006606E" w:rsidP="00DC278B">
      <w:pPr>
        <w:tabs>
          <w:tab w:val="left" w:pos="360"/>
        </w:tabs>
        <w:autoSpaceDE w:val="0"/>
        <w:autoSpaceDN w:val="0"/>
        <w:adjustRightInd w:val="0"/>
        <w:spacing w:after="120"/>
        <w:ind w:firstLine="720"/>
        <w:jc w:val="both"/>
        <w:rPr>
          <w:rFonts w:ascii="Cambria" w:hAnsi="Cambria" w:cs="Verdan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II, págs. 1254-1256. </w:t>
      </w:r>
    </w:p>
  </w:footnote>
  <w:footnote w:id="28">
    <w:p w:rsidR="0006606E" w:rsidRPr="007877A3" w:rsidRDefault="0006606E" w:rsidP="00DC278B">
      <w:pPr>
        <w:tabs>
          <w:tab w:val="left" w:pos="360"/>
        </w:tabs>
        <w:autoSpaceDE w:val="0"/>
        <w:autoSpaceDN w:val="0"/>
        <w:adjustRightInd w:val="0"/>
        <w:spacing w:after="120"/>
        <w:ind w:firstLine="720"/>
        <w:jc w:val="both"/>
        <w:rPr>
          <w:rFonts w:ascii="Cambria" w:hAnsi="Cambria" w:cs="Verdan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II, págs. 1256 a 1257. </w:t>
      </w:r>
    </w:p>
  </w:footnote>
  <w:footnote w:id="29">
    <w:p w:rsidR="0006606E" w:rsidRPr="007877A3" w:rsidRDefault="0006606E" w:rsidP="00DC278B">
      <w:pPr>
        <w:tabs>
          <w:tab w:val="left" w:pos="360"/>
        </w:tabs>
        <w:autoSpaceDE w:val="0"/>
        <w:autoSpaceDN w:val="0"/>
        <w:adjustRightInd w:val="0"/>
        <w:spacing w:after="120"/>
        <w:ind w:firstLine="720"/>
        <w:jc w:val="both"/>
        <w:rPr>
          <w:rFonts w:ascii="Cambria" w:hAnsi="Cambria" w:cs="Verdan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II, págs. 1258 a 1266. </w:t>
      </w:r>
    </w:p>
  </w:footnote>
  <w:footnote w:id="3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cs="Verdana"/>
          <w:iCs/>
          <w:sz w:val="16"/>
          <w:szCs w:val="16"/>
          <w:lang w:val="es-CO"/>
        </w:rPr>
        <w:t>Art.</w:t>
      </w:r>
      <w:r w:rsidRPr="007877A3">
        <w:rPr>
          <w:rFonts w:ascii="Cambria" w:hAnsi="Cambria" w:cs="Verdana"/>
          <w:sz w:val="16"/>
          <w:szCs w:val="16"/>
          <w:lang w:val="es-CO"/>
        </w:rPr>
        <w:t xml:space="preserve"> 1 de la Ley No. 19.123, publicada en el Diario Oficial el 8 de febrero de 1993.</w:t>
      </w:r>
    </w:p>
  </w:footnote>
  <w:footnote w:id="31">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cs="Verdana"/>
          <w:iCs/>
          <w:sz w:val="16"/>
          <w:szCs w:val="16"/>
          <w:lang w:val="es-CO"/>
        </w:rPr>
        <w:t>Art.</w:t>
      </w:r>
      <w:r w:rsidRPr="007877A3">
        <w:rPr>
          <w:rFonts w:ascii="Cambria" w:hAnsi="Cambria" w:cs="Verdana"/>
          <w:sz w:val="16"/>
          <w:szCs w:val="16"/>
          <w:lang w:val="es-CO"/>
        </w:rPr>
        <w:t xml:space="preserve"> 2.1 de la Ley No. 19.123, publicada en el Diario Oficial el 8 de febrero de 1993.</w:t>
      </w:r>
    </w:p>
  </w:footnote>
  <w:footnote w:id="3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cs="Verdana"/>
          <w:iCs/>
          <w:sz w:val="16"/>
          <w:szCs w:val="16"/>
          <w:lang w:val="es-CO"/>
        </w:rPr>
        <w:t>Art.</w:t>
      </w:r>
      <w:r w:rsidRPr="007877A3">
        <w:rPr>
          <w:rFonts w:ascii="Cambria" w:hAnsi="Cambria" w:cs="Verdana"/>
          <w:sz w:val="16"/>
          <w:szCs w:val="16"/>
          <w:lang w:val="es-CO"/>
        </w:rPr>
        <w:t xml:space="preserve"> 17 a 27 de la Ley No. 19.123, publicada en el Diario Oficial el 8 de febrero de 1993.</w:t>
      </w:r>
    </w:p>
  </w:footnote>
  <w:footnote w:id="33">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Arts. 28 de la Ley No. 19.123, publicada en el Diario Oficial el 8 de febrero de 1993.</w:t>
      </w:r>
    </w:p>
  </w:footnote>
  <w:footnote w:id="34">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Arts. 29 a 31 de la Ley No. 19.123, publicada en el Diario Oficial el 8 de febrero de 1993.</w:t>
      </w:r>
    </w:p>
  </w:footnote>
  <w:footnote w:id="35">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Art. 32 de la Ley No. 19.123, publicada en el Diario Oficial el 8 de febrero de 1993.</w:t>
      </w:r>
    </w:p>
  </w:footnote>
  <w:footnote w:id="36">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Cfr. Arts. Primero y Segundo D.S. No. 1.040 de 26 de septiembre de 2003. </w:t>
      </w:r>
    </w:p>
  </w:footnote>
  <w:footnote w:id="37">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Pr>
          <w:rFonts w:ascii="Cambria" w:hAnsi="Cambria"/>
          <w:sz w:val="16"/>
          <w:szCs w:val="16"/>
          <w:lang w:val="es-ES"/>
        </w:rPr>
        <w:t xml:space="preserve"> Corte IDH.</w:t>
      </w:r>
      <w:r w:rsidRPr="007877A3">
        <w:rPr>
          <w:rFonts w:ascii="Cambria" w:hAnsi="Cambria"/>
          <w:sz w:val="16"/>
          <w:szCs w:val="16"/>
          <w:lang w:val="es-ES"/>
        </w:rPr>
        <w:t xml:space="preserve"> Caso </w:t>
      </w:r>
      <w:proofErr w:type="spellStart"/>
      <w:r w:rsidRPr="007877A3">
        <w:rPr>
          <w:rFonts w:ascii="Cambria" w:hAnsi="Cambria"/>
          <w:sz w:val="16"/>
          <w:szCs w:val="16"/>
          <w:lang w:val="es-ES"/>
        </w:rPr>
        <w:t>Almonacid</w:t>
      </w:r>
      <w:proofErr w:type="spellEnd"/>
      <w:r w:rsidRPr="007877A3">
        <w:rPr>
          <w:rFonts w:ascii="Cambria" w:hAnsi="Cambria"/>
          <w:sz w:val="16"/>
          <w:szCs w:val="16"/>
          <w:lang w:val="es-ES"/>
        </w:rPr>
        <w:t xml:space="preserve"> Arellano y otros Vs. Chile. </w:t>
      </w:r>
      <w:r>
        <w:rPr>
          <w:rFonts w:ascii="Cambria" w:hAnsi="Cambria"/>
          <w:sz w:val="16"/>
          <w:szCs w:val="16"/>
          <w:lang w:val="es-ES"/>
        </w:rPr>
        <w:t xml:space="preserve">Excepciones Preliminares, Fondo, Reparaciones y Costas. </w:t>
      </w:r>
      <w:r w:rsidRPr="007877A3">
        <w:rPr>
          <w:rFonts w:ascii="Cambria" w:hAnsi="Cambria"/>
          <w:sz w:val="16"/>
          <w:szCs w:val="16"/>
          <w:lang w:val="es-ES"/>
        </w:rPr>
        <w:t>Sentencia de 26 de septiembre de 2006. Serie C No. 154, párr. 82.30.</w:t>
      </w:r>
    </w:p>
  </w:footnote>
  <w:footnote w:id="38">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Art. Quinto: Tendrán derecho a este beneficio los hijos que, existiendo a la fecha de publicación de la presente ley, no estén en goce de la pensión de reparación a que se refiere el artículo 17 de la ley Nº 19.123, y siempre que lo soliciten dentro del plazo de un año, a contar de la fecha de publicación de esta ley. No tendrán derecho a este beneficio los hijos que estén percibiendo pensión de reparación vitalicia en su calidad de discapacitados. Ley No. 19.980 de 2004.</w:t>
      </w:r>
    </w:p>
  </w:footnote>
  <w:footnote w:id="39">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Pr>
          <w:rFonts w:ascii="Cambria" w:hAnsi="Cambria"/>
          <w:sz w:val="16"/>
          <w:szCs w:val="16"/>
          <w:lang w:val="es-ES"/>
        </w:rPr>
        <w:t xml:space="preserve"> Corte IDH.</w:t>
      </w:r>
      <w:r w:rsidRPr="007877A3">
        <w:rPr>
          <w:rFonts w:ascii="Cambria" w:hAnsi="Cambria"/>
          <w:sz w:val="16"/>
          <w:szCs w:val="16"/>
          <w:lang w:val="es-ES"/>
        </w:rPr>
        <w:t xml:space="preserve"> Caso </w:t>
      </w:r>
      <w:proofErr w:type="spellStart"/>
      <w:r w:rsidRPr="007877A3">
        <w:rPr>
          <w:rFonts w:ascii="Cambria" w:hAnsi="Cambria"/>
          <w:sz w:val="16"/>
          <w:szCs w:val="16"/>
          <w:lang w:val="es-ES"/>
        </w:rPr>
        <w:t>Almonacid</w:t>
      </w:r>
      <w:proofErr w:type="spellEnd"/>
      <w:r w:rsidRPr="007877A3">
        <w:rPr>
          <w:rFonts w:ascii="Cambria" w:hAnsi="Cambria"/>
          <w:sz w:val="16"/>
          <w:szCs w:val="16"/>
          <w:lang w:val="es-ES"/>
        </w:rPr>
        <w:t xml:space="preserve"> Arellano y otros Vs. Chile. </w:t>
      </w:r>
      <w:r>
        <w:rPr>
          <w:rFonts w:ascii="Cambria" w:hAnsi="Cambria"/>
          <w:sz w:val="16"/>
          <w:szCs w:val="16"/>
          <w:lang w:val="es-ES"/>
        </w:rPr>
        <w:t>Excepciones Preliminares, Fondo, Reparaciones y Costas.</w:t>
      </w:r>
      <w:r w:rsidRPr="007877A3">
        <w:rPr>
          <w:rFonts w:ascii="Cambria" w:hAnsi="Cambria"/>
          <w:sz w:val="16"/>
          <w:szCs w:val="16"/>
          <w:lang w:val="es-ES"/>
        </w:rPr>
        <w:t xml:space="preserve"> Sentencia de 26 de septiembre de 2006. Serie C No. 154, párr. 82.31.</w:t>
      </w:r>
    </w:p>
  </w:footnote>
  <w:footnote w:id="4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Fonts w:ascii="Cambria" w:hAnsi="Cambria"/>
          <w:sz w:val="16"/>
          <w:szCs w:val="16"/>
          <w:vertAlign w:val="superscript"/>
          <w:lang w:val="es-ES"/>
        </w:rPr>
        <w:footnoteRef/>
      </w:r>
      <w:r>
        <w:rPr>
          <w:rFonts w:ascii="Cambria" w:hAnsi="Cambria"/>
          <w:sz w:val="16"/>
          <w:szCs w:val="16"/>
          <w:lang w:val="es-ES"/>
        </w:rPr>
        <w:t xml:space="preserve"> Escrito de observaciones del Estado de</w:t>
      </w:r>
      <w:r w:rsidRPr="007877A3">
        <w:rPr>
          <w:rFonts w:ascii="Cambria" w:hAnsi="Cambria"/>
          <w:sz w:val="16"/>
          <w:szCs w:val="16"/>
          <w:lang w:val="es-ES"/>
        </w:rPr>
        <w:t xml:space="preserve"> 21 de noviembre de 2008, no controvertido por el peticionario.</w:t>
      </w:r>
    </w:p>
  </w:footnote>
  <w:footnote w:id="41">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Decreto con Fuerza de Ley 1. Publicado el 30 de mayo de 2000.</w:t>
      </w:r>
    </w:p>
  </w:footnote>
  <w:footnote w:id="42">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Informe de la Comi</w:t>
      </w:r>
      <w:r>
        <w:rPr>
          <w:rFonts w:ascii="Cambria" w:hAnsi="Cambria"/>
          <w:sz w:val="16"/>
          <w:szCs w:val="16"/>
          <w:lang w:val="es-ES"/>
        </w:rPr>
        <w:t xml:space="preserve">sión </w:t>
      </w:r>
      <w:proofErr w:type="spellStart"/>
      <w:r>
        <w:rPr>
          <w:rFonts w:ascii="Cambria" w:hAnsi="Cambria"/>
          <w:sz w:val="16"/>
          <w:szCs w:val="16"/>
          <w:lang w:val="es-ES"/>
        </w:rPr>
        <w:t>Rettig</w:t>
      </w:r>
      <w:proofErr w:type="spellEnd"/>
      <w:r>
        <w:rPr>
          <w:rFonts w:ascii="Cambria" w:hAnsi="Cambria"/>
          <w:sz w:val="16"/>
          <w:szCs w:val="16"/>
          <w:lang w:val="es-ES"/>
        </w:rPr>
        <w:t>, Tomo I, pág. 144.</w:t>
      </w:r>
      <w:r w:rsidRPr="007877A3">
        <w:rPr>
          <w:rFonts w:ascii="Cambria" w:hAnsi="Cambria"/>
          <w:sz w:val="16"/>
          <w:szCs w:val="16"/>
          <w:lang w:val="es-ES"/>
        </w:rPr>
        <w:t xml:space="preserve"> En igual sentido, </w:t>
      </w:r>
      <w:r>
        <w:rPr>
          <w:rFonts w:ascii="Cambria" w:hAnsi="Cambria"/>
          <w:sz w:val="16"/>
          <w:szCs w:val="16"/>
          <w:lang w:val="es-ES"/>
        </w:rPr>
        <w:t>Anexo 1. S</w:t>
      </w:r>
      <w:r w:rsidRPr="007877A3">
        <w:rPr>
          <w:rFonts w:ascii="Cambria" w:hAnsi="Cambria"/>
          <w:sz w:val="16"/>
          <w:szCs w:val="16"/>
          <w:lang w:val="es-ES"/>
        </w:rPr>
        <w:t>entencia del 8º Juzgado Civil, Ordenes María contra el Fisco de Chile, del 28 de enero de 1999, Rol C: 4954-97. Considerando Sexto, foja 111.</w:t>
      </w:r>
      <w:r w:rsidRPr="007877A3">
        <w:rPr>
          <w:rFonts w:ascii="Cambria" w:hAnsi="Cambria" w:cs="Verdana"/>
          <w:sz w:val="16"/>
          <w:szCs w:val="16"/>
          <w:lang w:val="es-CO"/>
        </w:rPr>
        <w:t xml:space="preserve"> </w:t>
      </w:r>
      <w:r w:rsidRPr="007877A3">
        <w:rPr>
          <w:rFonts w:ascii="Cambria" w:hAnsi="Cambria"/>
          <w:sz w:val="16"/>
          <w:szCs w:val="16"/>
          <w:lang w:val="es-ES"/>
        </w:rPr>
        <w:t>Anexo a la petición presentada el 14 de julio de 2003.</w:t>
      </w:r>
    </w:p>
  </w:footnote>
  <w:footnote w:id="43">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Informe de la Comisi</w:t>
      </w:r>
      <w:r>
        <w:rPr>
          <w:rFonts w:ascii="Cambria" w:hAnsi="Cambria"/>
          <w:sz w:val="16"/>
          <w:szCs w:val="16"/>
          <w:lang w:val="es-ES"/>
        </w:rPr>
        <w:t xml:space="preserve">ón </w:t>
      </w:r>
      <w:proofErr w:type="spellStart"/>
      <w:r>
        <w:rPr>
          <w:rFonts w:ascii="Cambria" w:hAnsi="Cambria"/>
          <w:sz w:val="16"/>
          <w:szCs w:val="16"/>
          <w:lang w:val="es-ES"/>
        </w:rPr>
        <w:t>Rettig</w:t>
      </w:r>
      <w:proofErr w:type="spellEnd"/>
      <w:r>
        <w:rPr>
          <w:rFonts w:ascii="Cambria" w:hAnsi="Cambria"/>
          <w:sz w:val="16"/>
          <w:szCs w:val="16"/>
          <w:lang w:val="es-ES"/>
        </w:rPr>
        <w:t>, Tomo I, pág. 144.</w:t>
      </w:r>
      <w:r w:rsidRPr="007877A3">
        <w:rPr>
          <w:rFonts w:ascii="Cambria" w:hAnsi="Cambria"/>
          <w:sz w:val="16"/>
          <w:szCs w:val="16"/>
          <w:lang w:val="es-ES"/>
        </w:rPr>
        <w:t xml:space="preserve"> </w:t>
      </w:r>
    </w:p>
  </w:footnote>
  <w:footnote w:id="4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sidRPr="007877A3">
        <w:rPr>
          <w:rFonts w:ascii="Cambria" w:hAnsi="Cambria"/>
          <w:sz w:val="16"/>
          <w:szCs w:val="16"/>
          <w:lang w:val="es-CO"/>
        </w:rPr>
        <w:t>, no controvertido por el peticionario.</w:t>
      </w:r>
    </w:p>
  </w:footnote>
  <w:footnote w:id="4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Dicho monto ascendía a 504.943 Pesos Chilenos a 21 de noviembre de 2008.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sidRPr="007877A3">
        <w:rPr>
          <w:rFonts w:ascii="Cambria" w:hAnsi="Cambria"/>
          <w:sz w:val="16"/>
          <w:szCs w:val="16"/>
          <w:lang w:val="es-CO"/>
        </w:rPr>
        <w:t>, no controvertido por el peticionario.</w:t>
      </w:r>
    </w:p>
  </w:footnote>
  <w:footnote w:id="46">
    <w:p w:rsidR="0006606E" w:rsidRPr="007877A3" w:rsidRDefault="0006606E" w:rsidP="0046102F">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vertAlign w:val="superscript"/>
          <w:lang w:val="es-ES"/>
        </w:rPr>
        <w:t xml:space="preserve"> </w:t>
      </w:r>
      <w:r>
        <w:rPr>
          <w:rFonts w:ascii="Cambria" w:hAnsi="Cambria"/>
          <w:sz w:val="16"/>
          <w:szCs w:val="16"/>
          <w:lang w:val="es-ES"/>
        </w:rPr>
        <w:t>Anexo 1. S</w:t>
      </w:r>
      <w:r w:rsidRPr="007877A3">
        <w:rPr>
          <w:rFonts w:ascii="Cambria" w:hAnsi="Cambria"/>
          <w:sz w:val="16"/>
          <w:szCs w:val="16"/>
          <w:lang w:val="es-ES"/>
        </w:rPr>
        <w:t>entencia del 8º Juzgado Civil, Ordenes María contra el Fisco de Chile, del 28 de enero de 1999, Rol C: 4954-</w:t>
      </w:r>
      <w:r>
        <w:rPr>
          <w:rFonts w:ascii="Cambria" w:hAnsi="Cambria"/>
          <w:sz w:val="16"/>
          <w:szCs w:val="16"/>
          <w:lang w:val="es-ES"/>
        </w:rPr>
        <w:t>97</w:t>
      </w:r>
      <w:r w:rsidRPr="007877A3">
        <w:rPr>
          <w:rFonts w:ascii="Cambria" w:hAnsi="Cambria"/>
          <w:sz w:val="16"/>
          <w:szCs w:val="16"/>
          <w:lang w:val="es-ES"/>
        </w:rPr>
        <w:t>.</w:t>
      </w:r>
      <w:r w:rsidRPr="007877A3">
        <w:rPr>
          <w:rFonts w:ascii="Cambria" w:hAnsi="Cambria" w:cs="Verdana"/>
          <w:sz w:val="16"/>
          <w:szCs w:val="16"/>
          <w:lang w:val="es-CO"/>
        </w:rPr>
        <w:t xml:space="preserve"> </w:t>
      </w:r>
      <w:r w:rsidRPr="007877A3">
        <w:rPr>
          <w:rFonts w:ascii="Cambria" w:hAnsi="Cambria"/>
          <w:sz w:val="16"/>
          <w:szCs w:val="16"/>
          <w:lang w:val="es-ES"/>
        </w:rPr>
        <w:t>Anexo a la petición presentada el 14 de julio de 2003.</w:t>
      </w:r>
    </w:p>
  </w:footnote>
  <w:footnote w:id="47">
    <w:p w:rsidR="0006606E" w:rsidRPr="007877A3" w:rsidRDefault="0006606E" w:rsidP="007F79C4">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w:t>
      </w:r>
      <w:r>
        <w:rPr>
          <w:rFonts w:ascii="Cambria" w:hAnsi="Cambria"/>
          <w:sz w:val="16"/>
          <w:szCs w:val="16"/>
          <w:lang w:val="es-ES"/>
        </w:rPr>
        <w:t>Anexo 1. S</w:t>
      </w:r>
      <w:r w:rsidRPr="007877A3">
        <w:rPr>
          <w:rFonts w:ascii="Cambria" w:hAnsi="Cambria"/>
          <w:sz w:val="16"/>
          <w:szCs w:val="16"/>
          <w:lang w:val="es-ES"/>
        </w:rPr>
        <w:t>entencia del 8º Juzgado Civil, Ordenes María contra el Fisco de Chile, del 28 de enero de 1999, Ro</w:t>
      </w:r>
      <w:r>
        <w:rPr>
          <w:rFonts w:ascii="Cambria" w:hAnsi="Cambria"/>
          <w:sz w:val="16"/>
          <w:szCs w:val="16"/>
          <w:lang w:val="es-ES"/>
        </w:rPr>
        <w:t>l C: 4954-97. Considerando Undécimo</w:t>
      </w:r>
      <w:r w:rsidRPr="007877A3">
        <w:rPr>
          <w:rFonts w:ascii="Cambria" w:hAnsi="Cambria"/>
          <w:sz w:val="16"/>
          <w:szCs w:val="16"/>
          <w:lang w:val="es-ES"/>
        </w:rPr>
        <w:t>.</w:t>
      </w:r>
      <w:r w:rsidRPr="007877A3">
        <w:rPr>
          <w:rFonts w:ascii="Cambria" w:hAnsi="Cambria" w:cs="Verdana"/>
          <w:sz w:val="16"/>
          <w:szCs w:val="16"/>
          <w:lang w:val="es-CO"/>
        </w:rPr>
        <w:t xml:space="preserve"> </w:t>
      </w:r>
      <w:r w:rsidRPr="007877A3">
        <w:rPr>
          <w:rFonts w:ascii="Cambria" w:hAnsi="Cambria"/>
          <w:sz w:val="16"/>
          <w:szCs w:val="16"/>
          <w:lang w:val="es-ES"/>
        </w:rPr>
        <w:t>Anexo a la petición presentada el 14 de julio de 2003.</w:t>
      </w:r>
    </w:p>
  </w:footnote>
  <w:footnote w:id="48">
    <w:p w:rsidR="0006606E" w:rsidRPr="0046102F"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w:t>
      </w:r>
      <w:r>
        <w:rPr>
          <w:rFonts w:ascii="Cambria" w:hAnsi="Cambria"/>
          <w:sz w:val="16"/>
          <w:szCs w:val="16"/>
          <w:lang w:val="es-ES"/>
        </w:rPr>
        <w:t>Anexo 1. S</w:t>
      </w:r>
      <w:r w:rsidRPr="007877A3">
        <w:rPr>
          <w:rFonts w:ascii="Cambria" w:hAnsi="Cambria"/>
          <w:sz w:val="16"/>
          <w:szCs w:val="16"/>
          <w:lang w:val="es-ES"/>
        </w:rPr>
        <w:t>entencia del 8º Juzgado Civil, Ordenes María contra el Fisco de Chile, del 28 de enero de 1999, Ro</w:t>
      </w:r>
      <w:r>
        <w:rPr>
          <w:rFonts w:ascii="Cambria" w:hAnsi="Cambria"/>
          <w:sz w:val="16"/>
          <w:szCs w:val="16"/>
          <w:lang w:val="es-ES"/>
        </w:rPr>
        <w:t>l C: 4954-97. Considerando Undécimo</w:t>
      </w:r>
      <w:r w:rsidRPr="007877A3">
        <w:rPr>
          <w:rFonts w:ascii="Cambria" w:hAnsi="Cambria"/>
          <w:sz w:val="16"/>
          <w:szCs w:val="16"/>
          <w:lang w:val="es-ES"/>
        </w:rPr>
        <w:t>.</w:t>
      </w:r>
      <w:r w:rsidRPr="007877A3">
        <w:rPr>
          <w:rFonts w:ascii="Cambria" w:hAnsi="Cambria" w:cs="Verdana"/>
          <w:sz w:val="16"/>
          <w:szCs w:val="16"/>
          <w:lang w:val="es-CO"/>
        </w:rPr>
        <w:t xml:space="preserve"> </w:t>
      </w:r>
      <w:r w:rsidRPr="007877A3">
        <w:rPr>
          <w:rFonts w:ascii="Cambria" w:hAnsi="Cambria"/>
          <w:sz w:val="16"/>
          <w:szCs w:val="16"/>
          <w:lang w:val="es-ES"/>
        </w:rPr>
        <w:t>Anexo a la petición presentada el 14 de julio de 2003.</w:t>
      </w:r>
    </w:p>
  </w:footnote>
  <w:footnote w:id="49">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w:t>
      </w:r>
      <w:r>
        <w:rPr>
          <w:rFonts w:ascii="Cambria" w:hAnsi="Cambria"/>
          <w:sz w:val="16"/>
          <w:szCs w:val="16"/>
          <w:lang w:val="es-ES"/>
        </w:rPr>
        <w:t>Anexo 1. S</w:t>
      </w:r>
      <w:r w:rsidRPr="007877A3">
        <w:rPr>
          <w:rFonts w:ascii="Cambria" w:hAnsi="Cambria"/>
          <w:sz w:val="16"/>
          <w:szCs w:val="16"/>
          <w:lang w:val="es-ES"/>
        </w:rPr>
        <w:t>entencia del 8º Juzgado Civil, Ordenes María contra el Fisco de Chile, del 28 de enero de 1999, Ro</w:t>
      </w:r>
      <w:r>
        <w:rPr>
          <w:rFonts w:ascii="Cambria" w:hAnsi="Cambria"/>
          <w:sz w:val="16"/>
          <w:szCs w:val="16"/>
          <w:lang w:val="es-ES"/>
        </w:rPr>
        <w:t>l C: 4954-97. Considerando Décimo Quinto</w:t>
      </w:r>
      <w:r w:rsidRPr="007877A3">
        <w:rPr>
          <w:rFonts w:ascii="Cambria" w:hAnsi="Cambria"/>
          <w:sz w:val="16"/>
          <w:szCs w:val="16"/>
          <w:lang w:val="es-ES"/>
        </w:rPr>
        <w:t>.</w:t>
      </w:r>
      <w:r w:rsidRPr="007877A3">
        <w:rPr>
          <w:rFonts w:ascii="Cambria" w:hAnsi="Cambria" w:cs="Verdana"/>
          <w:sz w:val="16"/>
          <w:szCs w:val="16"/>
          <w:lang w:val="es-CO"/>
        </w:rPr>
        <w:t xml:space="preserve"> </w:t>
      </w:r>
      <w:r w:rsidRPr="007877A3">
        <w:rPr>
          <w:rFonts w:ascii="Cambria" w:hAnsi="Cambria"/>
          <w:sz w:val="16"/>
          <w:szCs w:val="16"/>
          <w:lang w:val="es-ES"/>
        </w:rPr>
        <w:t>Anexo a la petición presentada el 14 de julio de 2003.</w:t>
      </w:r>
    </w:p>
  </w:footnote>
  <w:footnote w:id="5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w:t>
      </w:r>
      <w:r>
        <w:rPr>
          <w:rFonts w:ascii="Cambria" w:hAnsi="Cambria"/>
          <w:sz w:val="16"/>
          <w:szCs w:val="16"/>
          <w:lang w:val="es-ES"/>
        </w:rPr>
        <w:t>Anexo 1. S</w:t>
      </w:r>
      <w:r w:rsidRPr="007877A3">
        <w:rPr>
          <w:rFonts w:ascii="Cambria" w:hAnsi="Cambria"/>
          <w:sz w:val="16"/>
          <w:szCs w:val="16"/>
          <w:lang w:val="es-ES"/>
        </w:rPr>
        <w:t>entencia del 8º Juzgado Civil, Ordenes María contra el Fisco de Chile, del 28 de enero de 1999, Ro</w:t>
      </w:r>
      <w:r>
        <w:rPr>
          <w:rFonts w:ascii="Cambria" w:hAnsi="Cambria"/>
          <w:sz w:val="16"/>
          <w:szCs w:val="16"/>
          <w:lang w:val="es-ES"/>
        </w:rPr>
        <w:t>l C: 4954-97. Considerando Décimo Quinto</w:t>
      </w:r>
      <w:r w:rsidRPr="007877A3">
        <w:rPr>
          <w:rFonts w:ascii="Cambria" w:hAnsi="Cambria"/>
          <w:sz w:val="16"/>
          <w:szCs w:val="16"/>
          <w:lang w:val="es-ES"/>
        </w:rPr>
        <w:t>.</w:t>
      </w:r>
      <w:r w:rsidRPr="007877A3">
        <w:rPr>
          <w:rFonts w:ascii="Cambria" w:hAnsi="Cambria" w:cs="Verdana"/>
          <w:sz w:val="16"/>
          <w:szCs w:val="16"/>
          <w:lang w:val="es-CO"/>
        </w:rPr>
        <w:t xml:space="preserve"> </w:t>
      </w:r>
      <w:r w:rsidRPr="007877A3">
        <w:rPr>
          <w:rFonts w:ascii="Cambria" w:hAnsi="Cambria"/>
          <w:sz w:val="16"/>
          <w:szCs w:val="16"/>
          <w:lang w:val="es-ES"/>
        </w:rPr>
        <w:t>Anexo a la petición presentada el 14 de julio de 2003.</w:t>
      </w:r>
    </w:p>
  </w:footnote>
  <w:footnote w:id="51">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2. </w:t>
      </w:r>
      <w:r w:rsidRPr="007877A3">
        <w:rPr>
          <w:rFonts w:ascii="Cambria" w:hAnsi="Cambria"/>
          <w:sz w:val="16"/>
          <w:szCs w:val="16"/>
          <w:lang w:val="es-CO"/>
        </w:rPr>
        <w:t xml:space="preserve">CAS, Sentencia de 24 de octubre de 2002. Anexo a la petición de 14 de julio de 2003. </w:t>
      </w:r>
    </w:p>
  </w:footnote>
  <w:footnote w:id="5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3. </w:t>
      </w:r>
      <w:r w:rsidRPr="007877A3">
        <w:rPr>
          <w:rFonts w:ascii="Cambria" w:hAnsi="Cambria"/>
          <w:sz w:val="16"/>
          <w:szCs w:val="16"/>
          <w:lang w:val="es-CO"/>
        </w:rPr>
        <w:t xml:space="preserve">CSJ, Resolución de 7 de enero de 2003. Anexo a la petición de 14 de julio de 2003. </w:t>
      </w:r>
    </w:p>
  </w:footnote>
  <w:footnote w:id="53">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Pr>
          <w:rFonts w:ascii="Cambria" w:hAnsi="Cambria"/>
          <w:sz w:val="16"/>
          <w:szCs w:val="16"/>
          <w:lang w:val="es-ES"/>
        </w:rPr>
        <w:t xml:space="preserve">Anexo 4. </w:t>
      </w:r>
      <w:r w:rsidRPr="007877A3">
        <w:rPr>
          <w:rFonts w:ascii="Cambria" w:hAnsi="Cambria"/>
          <w:sz w:val="16"/>
          <w:szCs w:val="16"/>
          <w:lang w:val="es-ES"/>
        </w:rPr>
        <w:t>8º Juzgad</w:t>
      </w:r>
      <w:r>
        <w:rPr>
          <w:rFonts w:ascii="Cambria" w:hAnsi="Cambria"/>
          <w:sz w:val="16"/>
          <w:szCs w:val="16"/>
          <w:lang w:val="es-ES"/>
        </w:rPr>
        <w:t xml:space="preserve">o </w:t>
      </w:r>
      <w:r w:rsidRPr="007F79C4">
        <w:rPr>
          <w:rFonts w:ascii="Cambria" w:hAnsi="Cambria"/>
          <w:sz w:val="16"/>
          <w:szCs w:val="16"/>
          <w:lang w:val="es-ES"/>
        </w:rPr>
        <w:t>Ci</w:t>
      </w:r>
      <w:r>
        <w:rPr>
          <w:rFonts w:ascii="Cambria" w:hAnsi="Cambria"/>
          <w:sz w:val="16"/>
          <w:szCs w:val="16"/>
          <w:lang w:val="es-ES"/>
        </w:rPr>
        <w:t>vil. O</w:t>
      </w:r>
      <w:r w:rsidRPr="007877A3">
        <w:rPr>
          <w:rFonts w:ascii="Cambria" w:hAnsi="Cambria"/>
          <w:sz w:val="16"/>
          <w:szCs w:val="16"/>
          <w:lang w:val="es-ES"/>
        </w:rPr>
        <w:t>rden de cúmplase. 17 de mayo de 2003.</w:t>
      </w:r>
    </w:p>
  </w:footnote>
  <w:footnote w:id="5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sidRPr="007877A3">
        <w:rPr>
          <w:rFonts w:ascii="Cambria" w:hAnsi="Cambria"/>
          <w:sz w:val="16"/>
          <w:szCs w:val="16"/>
          <w:lang w:val="es-CO"/>
        </w:rPr>
        <w:t>, no controvertido por el peticionario.</w:t>
      </w:r>
    </w:p>
  </w:footnote>
  <w:footnote w:id="55">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ES"/>
        </w:rPr>
        <w:footnoteRef/>
      </w:r>
      <w:r w:rsidRPr="007877A3">
        <w:rPr>
          <w:rFonts w:ascii="Cambria" w:hAnsi="Cambria"/>
          <w:sz w:val="16"/>
          <w:szCs w:val="16"/>
          <w:lang w:val="es-ES"/>
        </w:rPr>
        <w:t xml:space="preserve"> Informe de la Co</w:t>
      </w:r>
      <w:r>
        <w:rPr>
          <w:rFonts w:ascii="Cambria" w:hAnsi="Cambria"/>
          <w:sz w:val="16"/>
          <w:szCs w:val="16"/>
          <w:lang w:val="es-ES"/>
        </w:rPr>
        <w:t xml:space="preserve">misión </w:t>
      </w:r>
      <w:proofErr w:type="spellStart"/>
      <w:r>
        <w:rPr>
          <w:rFonts w:ascii="Cambria" w:hAnsi="Cambria"/>
          <w:sz w:val="16"/>
          <w:szCs w:val="16"/>
          <w:lang w:val="es-ES"/>
        </w:rPr>
        <w:t>Rettig</w:t>
      </w:r>
      <w:proofErr w:type="spellEnd"/>
      <w:r>
        <w:rPr>
          <w:rFonts w:ascii="Cambria" w:hAnsi="Cambria"/>
          <w:sz w:val="16"/>
          <w:szCs w:val="16"/>
          <w:lang w:val="es-ES"/>
        </w:rPr>
        <w:t>, Tomo I, pág. 274 y</w:t>
      </w:r>
      <w:r w:rsidRPr="007877A3">
        <w:rPr>
          <w:rFonts w:ascii="Cambria" w:hAnsi="Cambria"/>
          <w:sz w:val="16"/>
          <w:szCs w:val="16"/>
          <w:lang w:val="es-ES"/>
        </w:rPr>
        <w:t xml:space="preserve">. 8º Juzgado Civil de Santiago, Sentencia del 27 de enero de 1999. </w:t>
      </w:r>
    </w:p>
  </w:footnote>
  <w:footnote w:id="5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Informe </w:t>
      </w:r>
      <w:r w:rsidRPr="007877A3">
        <w:rPr>
          <w:rFonts w:ascii="Cambria" w:hAnsi="Cambria"/>
          <w:sz w:val="16"/>
          <w:szCs w:val="16"/>
          <w:lang w:val="es-ES"/>
        </w:rPr>
        <w:t xml:space="preserve">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 pág. 273. </w:t>
      </w:r>
    </w:p>
  </w:footnote>
  <w:footnote w:id="57">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5. </w:t>
      </w:r>
      <w:r w:rsidRPr="007877A3">
        <w:rPr>
          <w:rFonts w:ascii="Cambria" w:hAnsi="Cambria"/>
          <w:sz w:val="16"/>
          <w:szCs w:val="16"/>
          <w:lang w:val="es-CO"/>
        </w:rPr>
        <w:t xml:space="preserve">Sentencia del </w:t>
      </w:r>
      <w:r w:rsidRPr="007877A3">
        <w:rPr>
          <w:rFonts w:ascii="Cambria" w:hAnsi="Cambria"/>
          <w:color w:val="auto"/>
          <w:sz w:val="16"/>
          <w:szCs w:val="16"/>
          <w:lang w:val="es-CO"/>
        </w:rPr>
        <w:t>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9 de marzo de 2001, Considerando Segundo</w:t>
      </w:r>
      <w:r>
        <w:rPr>
          <w:rFonts w:ascii="Cambria" w:hAnsi="Cambria"/>
          <w:sz w:val="16"/>
          <w:szCs w:val="16"/>
          <w:lang w:val="es-CO"/>
        </w:rPr>
        <w:t xml:space="preserve"> y</w:t>
      </w:r>
      <w:r w:rsidRPr="007877A3">
        <w:rPr>
          <w:rFonts w:ascii="Cambria" w:hAnsi="Cambria"/>
          <w:sz w:val="16"/>
          <w:szCs w:val="16"/>
          <w:lang w:val="es-CO"/>
        </w:rPr>
        <w:t xml:space="preserve"> Sexto. Testimonio de Nicolás Emilio Fuentes Rivera. Anexo a la petición de 16 de octubre de 2003.</w:t>
      </w:r>
    </w:p>
  </w:footnote>
  <w:footnote w:id="58">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Pr>
          <w:rFonts w:ascii="Cambria" w:hAnsi="Cambria"/>
          <w:sz w:val="16"/>
          <w:szCs w:val="16"/>
          <w:lang w:val="es-ES"/>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 pág. 274. </w:t>
      </w:r>
    </w:p>
  </w:footnote>
  <w:footnote w:id="59">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Tomo I, pág. 274. y Cfr. 8º Juzgado Civil de Santiago, Sentencia de 27 de enero de 1999.</w:t>
      </w:r>
      <w:r w:rsidRPr="007877A3">
        <w:rPr>
          <w:rFonts w:ascii="Cambria" w:hAnsi="Cambria"/>
          <w:sz w:val="16"/>
          <w:szCs w:val="16"/>
          <w:lang w:val="es-CO"/>
        </w:rPr>
        <w:t xml:space="preserve"> </w:t>
      </w:r>
    </w:p>
  </w:footnote>
  <w:footnote w:id="6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El monto recibido mensualmente desde el mes de julio de 1991 hasta noviembre de 2007 suma $36.175.000 de Pesos chilenos. Ella continúa recibiendo la pensión. Escrito del Estado de 21 de noviembre de 2008.</w:t>
      </w:r>
    </w:p>
  </w:footnote>
  <w:footnote w:id="61">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El monto recibido mensualmente desde julio de 1991 hasta noviembre de 2007 suma $36.627.798 de pesos chilenos. Ella continúa re</w:t>
      </w:r>
      <w:r>
        <w:rPr>
          <w:rFonts w:ascii="Cambria" w:hAnsi="Cambria"/>
          <w:sz w:val="16"/>
          <w:szCs w:val="16"/>
          <w:lang w:val="es-CO"/>
        </w:rPr>
        <w:t>cibiendo la pensión. Escrito de observaciones del</w:t>
      </w:r>
      <w:r w:rsidRPr="007877A3">
        <w:rPr>
          <w:rFonts w:ascii="Cambria" w:hAnsi="Cambria"/>
          <w:sz w:val="16"/>
          <w:szCs w:val="16"/>
          <w:lang w:val="es-CO"/>
        </w:rPr>
        <w:t xml:space="preserve"> Estado de 21 de noviembre de 2008.</w:t>
      </w:r>
    </w:p>
  </w:footnote>
  <w:footnote w:id="6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5. </w:t>
      </w:r>
      <w:r w:rsidRPr="007877A3">
        <w:rPr>
          <w:rFonts w:ascii="Cambria" w:hAnsi="Cambria"/>
          <w:sz w:val="16"/>
          <w:szCs w:val="16"/>
          <w:lang w:val="es-CO"/>
        </w:rPr>
        <w:t>Sentencia del 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9 de marzo de 2001, Considerando Quinto. Anexo a la petición </w:t>
      </w:r>
      <w:r>
        <w:rPr>
          <w:rFonts w:ascii="Cambria" w:hAnsi="Cambria"/>
          <w:sz w:val="16"/>
          <w:szCs w:val="16"/>
          <w:lang w:val="es-CO"/>
        </w:rPr>
        <w:t>de</w:t>
      </w:r>
      <w:r w:rsidRPr="007877A3">
        <w:rPr>
          <w:rFonts w:ascii="Cambria" w:hAnsi="Cambria"/>
          <w:sz w:val="16"/>
          <w:szCs w:val="16"/>
          <w:lang w:val="es-CO"/>
        </w:rPr>
        <w:t xml:space="preserve"> 16 de octubre de 2003.</w:t>
      </w:r>
    </w:p>
  </w:footnote>
  <w:footnote w:id="63">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sidRPr="007877A3">
        <w:rPr>
          <w:rFonts w:ascii="Cambria" w:hAnsi="Cambria"/>
          <w:sz w:val="16"/>
          <w:szCs w:val="16"/>
          <w:lang w:val="es-CO"/>
        </w:rPr>
        <w:t xml:space="preserve">Comisión </w:t>
      </w:r>
      <w:proofErr w:type="spellStart"/>
      <w:r w:rsidRPr="007877A3">
        <w:rPr>
          <w:rFonts w:ascii="Cambria" w:hAnsi="Cambria"/>
          <w:sz w:val="16"/>
          <w:szCs w:val="16"/>
          <w:lang w:val="es-CO"/>
        </w:rPr>
        <w:t>Valech</w:t>
      </w:r>
      <w:proofErr w:type="spellEnd"/>
      <w:r w:rsidRPr="007877A3">
        <w:rPr>
          <w:rFonts w:ascii="Cambria" w:hAnsi="Cambria"/>
          <w:sz w:val="16"/>
          <w:szCs w:val="16"/>
          <w:lang w:val="es-CO"/>
        </w:rPr>
        <w:t xml:space="preserve">. Nómina de Personas Reconocidas como Víctimas. En: </w:t>
      </w:r>
      <w:hyperlink r:id="rId2" w:history="1">
        <w:r w:rsidRPr="00611778">
          <w:rPr>
            <w:rStyle w:val="Hyperlink"/>
            <w:rFonts w:ascii="Cambria" w:hAnsi="Cambria"/>
            <w:sz w:val="16"/>
            <w:szCs w:val="16"/>
            <w:lang w:val="es-CO"/>
          </w:rPr>
          <w:t>http://www.indh.cl/wp-content/uploads/2011/10/Valech-1.pdf</w:t>
        </w:r>
      </w:hyperlink>
      <w:r>
        <w:rPr>
          <w:rFonts w:ascii="Cambria" w:hAnsi="Cambria"/>
          <w:sz w:val="16"/>
          <w:szCs w:val="16"/>
          <w:lang w:val="es-CO"/>
        </w:rPr>
        <w:t xml:space="preserve"> </w:t>
      </w:r>
    </w:p>
  </w:footnote>
  <w:footnote w:id="6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6. </w:t>
      </w:r>
      <w:r w:rsidRPr="007877A3">
        <w:rPr>
          <w:rFonts w:ascii="Cambria" w:hAnsi="Cambria"/>
          <w:sz w:val="16"/>
          <w:szCs w:val="16"/>
          <w:lang w:val="es-CO"/>
        </w:rPr>
        <w:t>8</w:t>
      </w:r>
      <w:r w:rsidRPr="007877A3">
        <w:rPr>
          <w:rFonts w:ascii="Cambria" w:hAnsi="Cambria"/>
          <w:sz w:val="16"/>
          <w:szCs w:val="16"/>
          <w:lang w:val="es-ES"/>
        </w:rPr>
        <w:t>º</w:t>
      </w:r>
      <w:r w:rsidRPr="007877A3">
        <w:rPr>
          <w:rFonts w:ascii="Cambria" w:hAnsi="Cambria"/>
          <w:sz w:val="16"/>
          <w:szCs w:val="16"/>
          <w:lang w:val="es-CO"/>
        </w:rPr>
        <w:t xml:space="preserve"> Juzgado Civil. Sentencia de 27 de enero de 1999, Morales Lucía/Fisco de Chile, Rol 4720-97, Considerando Duodécimo y Décimo Quinto. Anexo a la petición de 1</w:t>
      </w:r>
      <w:r w:rsidRPr="007877A3">
        <w:rPr>
          <w:rFonts w:ascii="Cambria" w:hAnsi="Cambria" w:cs="Arial"/>
          <w:sz w:val="16"/>
          <w:szCs w:val="16"/>
          <w:lang w:val="es-CO"/>
        </w:rPr>
        <w:t>˚</w:t>
      </w:r>
      <w:r w:rsidRPr="007877A3">
        <w:rPr>
          <w:rFonts w:ascii="Cambria" w:hAnsi="Cambria"/>
          <w:sz w:val="16"/>
          <w:szCs w:val="16"/>
          <w:lang w:val="es-CO"/>
        </w:rPr>
        <w:t xml:space="preserve"> de septiembre de 2003.</w:t>
      </w:r>
    </w:p>
  </w:footnote>
  <w:footnote w:id="6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7. </w:t>
      </w:r>
      <w:r w:rsidRPr="007877A3">
        <w:rPr>
          <w:rFonts w:ascii="Cambria" w:hAnsi="Cambria"/>
          <w:sz w:val="16"/>
          <w:szCs w:val="16"/>
          <w:lang w:val="es-CO"/>
        </w:rPr>
        <w:t>CAS, Sentencia de 10 de diciembre de 2002. Anexo a la petición de 1</w:t>
      </w:r>
      <w:r w:rsidRPr="007877A3">
        <w:rPr>
          <w:rFonts w:ascii="Cambria" w:hAnsi="Cambria" w:cs="Arial"/>
          <w:sz w:val="16"/>
          <w:szCs w:val="16"/>
          <w:lang w:val="es-CO"/>
        </w:rPr>
        <w:t>˚</w:t>
      </w:r>
      <w:r w:rsidRPr="007877A3">
        <w:rPr>
          <w:rFonts w:ascii="Cambria" w:hAnsi="Cambria"/>
          <w:sz w:val="16"/>
          <w:szCs w:val="16"/>
          <w:lang w:val="es-CO"/>
        </w:rPr>
        <w:t xml:space="preserve"> de septiembre de 2003.</w:t>
      </w:r>
    </w:p>
  </w:footnote>
  <w:footnote w:id="6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8. </w:t>
      </w:r>
      <w:r w:rsidRPr="007877A3">
        <w:rPr>
          <w:rFonts w:ascii="Cambria" w:hAnsi="Cambria"/>
          <w:sz w:val="16"/>
          <w:szCs w:val="16"/>
          <w:lang w:val="es-CO"/>
        </w:rPr>
        <w:t>Resolución del 25 de marzo de 2003. Anexo a la petición presentada el 3 de septiembre de 2003.</w:t>
      </w:r>
    </w:p>
  </w:footnote>
  <w:footnote w:id="67">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5. </w:t>
      </w:r>
      <w:r w:rsidRPr="007877A3">
        <w:rPr>
          <w:rFonts w:ascii="Cambria" w:hAnsi="Cambria"/>
          <w:sz w:val="16"/>
          <w:szCs w:val="16"/>
          <w:lang w:val="es-CO"/>
        </w:rPr>
        <w:t xml:space="preserve">Sentencia del </w:t>
      </w:r>
      <w:r w:rsidRPr="007877A3">
        <w:rPr>
          <w:rFonts w:ascii="Cambria" w:hAnsi="Cambria"/>
          <w:color w:val="auto"/>
          <w:sz w:val="16"/>
          <w:szCs w:val="16"/>
          <w:lang w:val="es-CO"/>
        </w:rPr>
        <w:t>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9 de</w:t>
      </w:r>
      <w:r>
        <w:rPr>
          <w:rFonts w:ascii="Cambria" w:hAnsi="Cambria"/>
          <w:sz w:val="16"/>
          <w:szCs w:val="16"/>
          <w:lang w:val="es-CO"/>
        </w:rPr>
        <w:t xml:space="preserve"> marzo de 2001, </w:t>
      </w:r>
      <w:r w:rsidRPr="007877A3">
        <w:rPr>
          <w:rFonts w:ascii="Cambria" w:hAnsi="Cambria"/>
          <w:sz w:val="16"/>
          <w:szCs w:val="16"/>
          <w:lang w:val="es-CO"/>
        </w:rPr>
        <w:t xml:space="preserve">Considerando </w:t>
      </w:r>
      <w:r>
        <w:rPr>
          <w:rFonts w:ascii="Cambria" w:hAnsi="Cambria"/>
          <w:sz w:val="16"/>
          <w:szCs w:val="16"/>
          <w:lang w:val="es-VE"/>
        </w:rPr>
        <w:t>Undécimo y Vigésimo</w:t>
      </w:r>
      <w:r w:rsidRPr="007877A3">
        <w:rPr>
          <w:rFonts w:ascii="Cambria" w:hAnsi="Cambria"/>
          <w:sz w:val="16"/>
          <w:szCs w:val="16"/>
          <w:lang w:val="es-CO"/>
        </w:rPr>
        <w:t>. Anexo a la petición de 16 de octubre de 2003.</w:t>
      </w:r>
    </w:p>
  </w:footnote>
  <w:footnote w:id="68">
    <w:p w:rsidR="0006606E" w:rsidRPr="007877A3" w:rsidRDefault="0006606E" w:rsidP="00601BF0">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Anexo 5. </w:t>
      </w:r>
      <w:r w:rsidRPr="007877A3">
        <w:rPr>
          <w:rFonts w:ascii="Cambria" w:hAnsi="Cambria"/>
          <w:sz w:val="16"/>
          <w:szCs w:val="16"/>
          <w:lang w:val="es-CO"/>
        </w:rPr>
        <w:t xml:space="preserve">Sentencia del </w:t>
      </w:r>
      <w:r w:rsidRPr="007877A3">
        <w:rPr>
          <w:rFonts w:ascii="Cambria" w:hAnsi="Cambria"/>
          <w:color w:val="auto"/>
          <w:sz w:val="16"/>
          <w:szCs w:val="16"/>
          <w:lang w:val="es-CO"/>
        </w:rPr>
        <w:t>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9 de</w:t>
      </w:r>
      <w:r>
        <w:rPr>
          <w:rFonts w:ascii="Cambria" w:hAnsi="Cambria"/>
          <w:sz w:val="16"/>
          <w:szCs w:val="16"/>
          <w:lang w:val="es-CO"/>
        </w:rPr>
        <w:t xml:space="preserve"> marzo de 2001, </w:t>
      </w:r>
      <w:r w:rsidRPr="007877A3">
        <w:rPr>
          <w:rFonts w:ascii="Cambria" w:hAnsi="Cambria"/>
          <w:sz w:val="16"/>
          <w:szCs w:val="16"/>
          <w:lang w:val="es-CO"/>
        </w:rPr>
        <w:t xml:space="preserve">Considerando </w:t>
      </w:r>
      <w:r>
        <w:rPr>
          <w:rFonts w:ascii="Cambria" w:hAnsi="Cambria"/>
          <w:sz w:val="16"/>
          <w:szCs w:val="16"/>
          <w:lang w:val="es-VE"/>
        </w:rPr>
        <w:t>Undécimo y Vigésimo</w:t>
      </w:r>
      <w:r w:rsidRPr="007877A3">
        <w:rPr>
          <w:rFonts w:ascii="Cambria" w:hAnsi="Cambria"/>
          <w:sz w:val="16"/>
          <w:szCs w:val="16"/>
          <w:lang w:val="es-CO"/>
        </w:rPr>
        <w:t>. Anexo a la petición de 16 de octubre de 2003.</w:t>
      </w:r>
    </w:p>
  </w:footnote>
  <w:footnote w:id="69">
    <w:p w:rsidR="0006606E" w:rsidRPr="007877A3" w:rsidRDefault="0006606E" w:rsidP="00601BF0">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Anexo 5. </w:t>
      </w:r>
      <w:r w:rsidRPr="007877A3">
        <w:rPr>
          <w:rFonts w:ascii="Cambria" w:hAnsi="Cambria"/>
          <w:sz w:val="16"/>
          <w:szCs w:val="16"/>
          <w:lang w:val="es-CO"/>
        </w:rPr>
        <w:t xml:space="preserve">Sentencia del </w:t>
      </w:r>
      <w:r w:rsidRPr="007877A3">
        <w:rPr>
          <w:rFonts w:ascii="Cambria" w:hAnsi="Cambria"/>
          <w:color w:val="auto"/>
          <w:sz w:val="16"/>
          <w:szCs w:val="16"/>
          <w:lang w:val="es-CO"/>
        </w:rPr>
        <w:t>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w:t>
      </w:r>
      <w:r>
        <w:rPr>
          <w:rFonts w:ascii="Cambria" w:hAnsi="Cambria"/>
          <w:sz w:val="16"/>
          <w:szCs w:val="16"/>
          <w:lang w:val="es-CO"/>
        </w:rPr>
        <w:t xml:space="preserve">9 de marzo de 2001, </w:t>
      </w:r>
      <w:r w:rsidRPr="007877A3">
        <w:rPr>
          <w:rFonts w:ascii="Cambria" w:hAnsi="Cambria"/>
          <w:sz w:val="16"/>
          <w:szCs w:val="16"/>
          <w:lang w:val="es-CO"/>
        </w:rPr>
        <w:t xml:space="preserve">Considerando </w:t>
      </w:r>
      <w:r>
        <w:rPr>
          <w:rFonts w:ascii="Cambria" w:hAnsi="Cambria"/>
          <w:sz w:val="16"/>
          <w:szCs w:val="16"/>
          <w:lang w:val="es-CO"/>
        </w:rPr>
        <w:t>Décimo Sexto</w:t>
      </w:r>
      <w:r w:rsidRPr="007877A3">
        <w:rPr>
          <w:rFonts w:ascii="Cambria" w:hAnsi="Cambria"/>
          <w:sz w:val="16"/>
          <w:szCs w:val="16"/>
          <w:lang w:val="es-CO"/>
        </w:rPr>
        <w:t>. Anexo a la petición de 16 de octubre de 2003.</w:t>
      </w:r>
    </w:p>
  </w:footnote>
  <w:footnote w:id="70">
    <w:p w:rsidR="0006606E" w:rsidRPr="007877A3" w:rsidRDefault="0006606E" w:rsidP="00601BF0">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5. </w:t>
      </w:r>
      <w:r w:rsidRPr="007877A3">
        <w:rPr>
          <w:rFonts w:ascii="Cambria" w:hAnsi="Cambria"/>
          <w:sz w:val="16"/>
          <w:szCs w:val="16"/>
          <w:lang w:val="es-CO"/>
        </w:rPr>
        <w:t xml:space="preserve">Sentencia del </w:t>
      </w:r>
      <w:r w:rsidRPr="007877A3">
        <w:rPr>
          <w:rFonts w:ascii="Cambria" w:hAnsi="Cambria"/>
          <w:color w:val="auto"/>
          <w:sz w:val="16"/>
          <w:szCs w:val="16"/>
          <w:lang w:val="es-CO"/>
        </w:rPr>
        <w:t>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9 de marzo de 2001, Considerando </w:t>
      </w:r>
      <w:r>
        <w:rPr>
          <w:rFonts w:ascii="Cambria" w:hAnsi="Cambria"/>
          <w:sz w:val="16"/>
          <w:szCs w:val="16"/>
          <w:lang w:val="es-CO"/>
        </w:rPr>
        <w:t>Vigésimo Primero</w:t>
      </w:r>
      <w:r w:rsidRPr="007877A3">
        <w:rPr>
          <w:rFonts w:ascii="Cambria" w:hAnsi="Cambria"/>
          <w:sz w:val="16"/>
          <w:szCs w:val="16"/>
          <w:lang w:val="es-CO"/>
        </w:rPr>
        <w:t>. Anexo a la petición de 16 de octubre de 2003.</w:t>
      </w:r>
    </w:p>
  </w:footnote>
  <w:footnote w:id="71">
    <w:p w:rsidR="0006606E" w:rsidRPr="007877A3" w:rsidRDefault="0006606E" w:rsidP="00B5011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5. </w:t>
      </w:r>
      <w:r w:rsidRPr="007877A3">
        <w:rPr>
          <w:rFonts w:ascii="Cambria" w:hAnsi="Cambria"/>
          <w:sz w:val="16"/>
          <w:szCs w:val="16"/>
          <w:lang w:val="es-CO"/>
        </w:rPr>
        <w:t xml:space="preserve">Sentencia del </w:t>
      </w:r>
      <w:r w:rsidRPr="007877A3">
        <w:rPr>
          <w:rFonts w:ascii="Cambria" w:hAnsi="Cambria"/>
          <w:color w:val="auto"/>
          <w:sz w:val="16"/>
          <w:szCs w:val="16"/>
          <w:lang w:val="es-CO"/>
        </w:rPr>
        <w:t>2</w:t>
      </w:r>
      <w:r w:rsidRPr="007877A3">
        <w:rPr>
          <w:rFonts w:ascii="Cambria" w:hAnsi="Cambria"/>
          <w:sz w:val="16"/>
          <w:szCs w:val="16"/>
          <w:lang w:val="es-ES"/>
        </w:rPr>
        <w:t>º</w:t>
      </w:r>
      <w:r w:rsidRPr="007877A3">
        <w:rPr>
          <w:rFonts w:ascii="Cambria" w:hAnsi="Cambria"/>
          <w:sz w:val="16"/>
          <w:szCs w:val="16"/>
          <w:lang w:val="es-CO"/>
        </w:rPr>
        <w:t xml:space="preserve"> Juzgado Civil de la Serena, Patricia Cortés contra el Fisco de Chile, 9 de marzo de 2001, </w:t>
      </w:r>
      <w:r>
        <w:rPr>
          <w:rFonts w:ascii="Cambria" w:hAnsi="Cambria"/>
          <w:sz w:val="16"/>
          <w:szCs w:val="16"/>
          <w:lang w:val="es-CO"/>
        </w:rPr>
        <w:t>Punto Declarativo Primero.</w:t>
      </w:r>
      <w:r w:rsidRPr="007877A3">
        <w:rPr>
          <w:rFonts w:ascii="Cambria" w:hAnsi="Cambria"/>
          <w:sz w:val="16"/>
          <w:szCs w:val="16"/>
          <w:lang w:val="es-CO"/>
        </w:rPr>
        <w:t xml:space="preserve"> Anexo a la petición de 16 de octubre de 2003.</w:t>
      </w:r>
    </w:p>
  </w:footnote>
  <w:footnote w:id="7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9. </w:t>
      </w:r>
      <w:r w:rsidRPr="007877A3">
        <w:rPr>
          <w:rFonts w:ascii="Cambria" w:hAnsi="Cambria"/>
          <w:sz w:val="16"/>
          <w:szCs w:val="16"/>
          <w:lang w:val="es-CO"/>
        </w:rPr>
        <w:t xml:space="preserve">Corte de Apelaciones de La Serena. Sentencia de </w:t>
      </w:r>
      <w:r>
        <w:rPr>
          <w:rFonts w:ascii="Cambria" w:hAnsi="Cambria"/>
          <w:sz w:val="16"/>
          <w:szCs w:val="16"/>
          <w:lang w:val="es-CO"/>
        </w:rPr>
        <w:t>9 de abril del 2002. Considerando</w:t>
      </w:r>
      <w:r w:rsidRPr="007877A3">
        <w:rPr>
          <w:rFonts w:ascii="Cambria" w:hAnsi="Cambria"/>
          <w:sz w:val="16"/>
          <w:szCs w:val="16"/>
          <w:lang w:val="es-CO"/>
        </w:rPr>
        <w:t xml:space="preserve"> Octavo.</w:t>
      </w:r>
    </w:p>
  </w:footnote>
  <w:footnote w:id="73">
    <w:p w:rsidR="0006606E" w:rsidRPr="007877A3" w:rsidRDefault="0006606E" w:rsidP="00DC278B">
      <w:pPr>
        <w:pStyle w:val="Plain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Art. 2332</w:t>
      </w:r>
      <w:r>
        <w:rPr>
          <w:rFonts w:ascii="Cambria" w:hAnsi="Cambria"/>
          <w:sz w:val="16"/>
          <w:szCs w:val="16"/>
          <w:lang w:val="es-CO"/>
        </w:rPr>
        <w:t xml:space="preserve"> del Código Civil</w:t>
      </w:r>
      <w:r w:rsidRPr="007877A3">
        <w:rPr>
          <w:rFonts w:ascii="Cambria" w:hAnsi="Cambria"/>
          <w:sz w:val="16"/>
          <w:szCs w:val="16"/>
          <w:lang w:val="es-CO"/>
        </w:rPr>
        <w:t>: “</w:t>
      </w:r>
      <w:r w:rsidRPr="007877A3">
        <w:rPr>
          <w:rFonts w:ascii="Cambria" w:eastAsia="MS Mincho" w:hAnsi="Cambria"/>
          <w:sz w:val="16"/>
          <w:szCs w:val="16"/>
          <w:lang w:val="es-CL"/>
        </w:rPr>
        <w:t>Las acciones que concede este título por daño o dolo, prescriben en cuatro años contados desde la perpetración del acto”.</w:t>
      </w:r>
    </w:p>
  </w:footnote>
  <w:footnote w:id="7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Fonts w:ascii="Cambria" w:hAnsi="Cambria"/>
          <w:sz w:val="16"/>
          <w:szCs w:val="16"/>
          <w:vertAlign w:val="superscript"/>
          <w:lang w:val="es-CO"/>
        </w:rPr>
        <w:footnoteRef/>
      </w:r>
      <w:r w:rsidRPr="007877A3">
        <w:rPr>
          <w:rFonts w:ascii="Cambria" w:hAnsi="Cambria"/>
          <w:sz w:val="16"/>
          <w:szCs w:val="16"/>
          <w:lang w:val="es-CO"/>
        </w:rPr>
        <w:t xml:space="preserve"> </w:t>
      </w:r>
      <w:r>
        <w:rPr>
          <w:rFonts w:ascii="Cambria" w:hAnsi="Cambria"/>
          <w:sz w:val="16"/>
          <w:szCs w:val="16"/>
          <w:lang w:val="es-CO"/>
        </w:rPr>
        <w:t xml:space="preserve">Anexo 10. </w:t>
      </w:r>
      <w:r w:rsidRPr="007877A3">
        <w:rPr>
          <w:rFonts w:ascii="Cambria" w:hAnsi="Cambria"/>
          <w:sz w:val="16"/>
          <w:szCs w:val="16"/>
          <w:lang w:val="es-CO"/>
        </w:rPr>
        <w:t>CSJ. Sentencia de 7 de mayo del 2003 Considerando Cuarto. Anexo a la petición de 3 de septiembre de 2003.</w:t>
      </w:r>
    </w:p>
  </w:footnote>
  <w:footnote w:id="7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Anexo 10.</w:t>
      </w:r>
      <w:r w:rsidRPr="007877A3">
        <w:rPr>
          <w:rFonts w:ascii="Cambria" w:hAnsi="Cambria"/>
          <w:sz w:val="16"/>
          <w:szCs w:val="16"/>
          <w:lang w:val="es-CO"/>
        </w:rPr>
        <w:t xml:space="preserve"> CSJ. Sentencia de 7 de mayo del 2003. Considerando Cuarto. Anexo a la petición de 3 de septiembre de 2003.</w:t>
      </w:r>
    </w:p>
  </w:footnote>
  <w:footnote w:id="7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Anexo 10.</w:t>
      </w:r>
      <w:r w:rsidRPr="007877A3">
        <w:rPr>
          <w:rFonts w:ascii="Cambria" w:hAnsi="Cambria"/>
          <w:sz w:val="16"/>
          <w:szCs w:val="16"/>
          <w:lang w:val="es-CO"/>
        </w:rPr>
        <w:t xml:space="preserve"> CSJ. Sentencia de 7 de mayo del 2003. Considerando Octavo. Anexo a la petición de 3 de septiembre de 2003.</w:t>
      </w:r>
    </w:p>
  </w:footnote>
  <w:footnote w:id="77">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cs="Verdana"/>
          <w:iCs/>
          <w:sz w:val="16"/>
          <w:szCs w:val="16"/>
          <w:lang w:val="es-CO"/>
        </w:rPr>
        <w:t xml:space="preserve"> </w:t>
      </w:r>
      <w:r>
        <w:rPr>
          <w:rFonts w:ascii="Cambria" w:hAnsi="Cambria"/>
          <w:sz w:val="16"/>
          <w:szCs w:val="16"/>
          <w:lang w:val="es-CO"/>
        </w:rPr>
        <w:t>Anexo 10</w:t>
      </w:r>
      <w:r w:rsidRPr="007877A3">
        <w:rPr>
          <w:rFonts w:ascii="Cambria" w:hAnsi="Cambria" w:cs="Verdana"/>
          <w:iCs/>
          <w:sz w:val="16"/>
          <w:szCs w:val="16"/>
          <w:lang w:val="es-CO"/>
        </w:rPr>
        <w:t xml:space="preserve"> </w:t>
      </w:r>
      <w:r>
        <w:rPr>
          <w:rFonts w:ascii="Cambria" w:hAnsi="Cambria" w:cs="Verdana"/>
          <w:iCs/>
          <w:sz w:val="16"/>
          <w:szCs w:val="16"/>
          <w:lang w:val="es-CO"/>
        </w:rPr>
        <w:t>.</w:t>
      </w:r>
      <w:r w:rsidRPr="007877A3">
        <w:rPr>
          <w:rFonts w:ascii="Cambria" w:hAnsi="Cambria" w:cs="Verdana"/>
          <w:iCs/>
          <w:sz w:val="16"/>
          <w:szCs w:val="16"/>
          <w:lang w:val="es-CO"/>
        </w:rPr>
        <w:t xml:space="preserve">CSJ. </w:t>
      </w:r>
      <w:r w:rsidRPr="007877A3">
        <w:rPr>
          <w:rFonts w:ascii="Cambria" w:hAnsi="Cambria"/>
          <w:sz w:val="16"/>
          <w:szCs w:val="16"/>
          <w:lang w:val="es-CO"/>
        </w:rPr>
        <w:t>Sentencia de 7 de mayo del 2003. Considerando Octavo.</w:t>
      </w:r>
      <w:r w:rsidRPr="0027745A">
        <w:rPr>
          <w:rFonts w:ascii="Cambria" w:hAnsi="Cambria"/>
          <w:sz w:val="16"/>
          <w:szCs w:val="16"/>
          <w:lang w:val="es-CO"/>
        </w:rPr>
        <w:t xml:space="preserve"> </w:t>
      </w:r>
      <w:r w:rsidRPr="007877A3">
        <w:rPr>
          <w:rFonts w:ascii="Cambria" w:hAnsi="Cambria"/>
          <w:sz w:val="16"/>
          <w:szCs w:val="16"/>
          <w:lang w:val="es-CO"/>
        </w:rPr>
        <w:t>Anexo a la petición de 3 de septiembre de 2003.</w:t>
      </w:r>
    </w:p>
  </w:footnote>
  <w:footnote w:id="78">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Escrito de observaciones del Estado del</w:t>
      </w:r>
      <w:r w:rsidRPr="007877A3">
        <w:rPr>
          <w:rFonts w:ascii="Cambria" w:hAnsi="Cambria"/>
          <w:sz w:val="16"/>
          <w:szCs w:val="16"/>
          <w:lang w:val="es-CO"/>
        </w:rPr>
        <w:t xml:space="preserve"> 21 de noviembre de 2008.</w:t>
      </w:r>
    </w:p>
  </w:footnote>
  <w:footnote w:id="79">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Escrito de observaciones del Estado del 21 de noviembre de 2008</w:t>
      </w:r>
      <w:r w:rsidRPr="007877A3">
        <w:rPr>
          <w:rFonts w:ascii="Cambria" w:hAnsi="Cambria"/>
          <w:sz w:val="16"/>
          <w:szCs w:val="16"/>
          <w:lang w:val="es-CO"/>
        </w:rPr>
        <w:t>, no controvertido por el peticionario.</w:t>
      </w:r>
    </w:p>
  </w:footnote>
  <w:footnote w:id="80">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 págs. 225 y 226. </w:t>
      </w:r>
    </w:p>
  </w:footnote>
  <w:footnote w:id="81">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 pág. 226. </w:t>
      </w:r>
    </w:p>
  </w:footnote>
  <w:footnote w:id="8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 pág. 226. </w:t>
      </w:r>
    </w:p>
  </w:footnote>
  <w:footnote w:id="83">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Pr>
          <w:rFonts w:ascii="Cambria" w:hAnsi="Cambria"/>
          <w:sz w:val="16"/>
          <w:szCs w:val="16"/>
          <w:lang w:val="es-ES"/>
        </w:rPr>
        <w:t>,</w:t>
      </w:r>
      <w:r w:rsidRPr="007877A3">
        <w:rPr>
          <w:rFonts w:ascii="Cambria" w:hAnsi="Cambria"/>
          <w:sz w:val="16"/>
          <w:szCs w:val="16"/>
          <w:lang w:val="es-CO"/>
        </w:rPr>
        <w:t xml:space="preserve"> no controvertido por el peticionario.</w:t>
      </w:r>
    </w:p>
  </w:footnote>
  <w:footnote w:id="8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11. </w:t>
      </w:r>
      <w:r w:rsidRPr="007877A3">
        <w:rPr>
          <w:rFonts w:ascii="Cambria" w:hAnsi="Cambria"/>
          <w:sz w:val="16"/>
          <w:szCs w:val="16"/>
          <w:lang w:val="es-CO"/>
        </w:rPr>
        <w:t>Demanda interpuesta por Pamela Vivanco contra el Fisco de Chile. Anexo a la petición de 22 de enero de 2004.</w:t>
      </w:r>
    </w:p>
  </w:footnote>
  <w:footnote w:id="85">
    <w:p w:rsidR="0006606E" w:rsidRPr="007877A3" w:rsidRDefault="0006606E" w:rsidP="00DC278B">
      <w:pPr>
        <w:pStyle w:val="Plain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eastAsia="Times New Roman" w:hAnsi="Cambria"/>
          <w:sz w:val="16"/>
          <w:szCs w:val="16"/>
          <w:bdr w:val="none" w:sz="0" w:space="0" w:color="auto"/>
          <w:lang w:val="es-ES_tradnl"/>
        </w:rPr>
        <w:t>Art. 2.514</w:t>
      </w:r>
      <w:r>
        <w:rPr>
          <w:rFonts w:ascii="Cambria" w:eastAsia="Times New Roman" w:hAnsi="Cambria"/>
          <w:sz w:val="16"/>
          <w:szCs w:val="16"/>
          <w:bdr w:val="none" w:sz="0" w:space="0" w:color="auto"/>
          <w:lang w:val="es-ES_tradnl"/>
        </w:rPr>
        <w:t xml:space="preserve"> del Código Civil</w:t>
      </w:r>
      <w:r w:rsidRPr="007877A3">
        <w:rPr>
          <w:rFonts w:ascii="Cambria" w:hAnsi="Cambria"/>
          <w:sz w:val="16"/>
          <w:szCs w:val="16"/>
          <w:lang w:val="es-CO"/>
        </w:rPr>
        <w:t xml:space="preserve">: </w:t>
      </w:r>
      <w:r w:rsidRPr="007877A3">
        <w:rPr>
          <w:rFonts w:ascii="Cambria" w:eastAsia="MS Mincho" w:hAnsi="Cambria"/>
          <w:sz w:val="16"/>
          <w:szCs w:val="16"/>
          <w:lang w:val="es-CL"/>
        </w:rPr>
        <w:t>La prescripción que extingue las acciones y derechos ajenos exige solamente cierto lapso de tiempo, durante el cual no se hayan ejercido dichas acciones. Se cuenta este tiempo desde que la obligación se haya hecho exigible.</w:t>
      </w:r>
    </w:p>
  </w:footnote>
  <w:footnote w:id="86">
    <w:p w:rsidR="0006606E" w:rsidRPr="007877A3" w:rsidRDefault="0006606E" w:rsidP="00DC278B">
      <w:pPr>
        <w:pStyle w:val="Plain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Art. </w:t>
      </w:r>
      <w:r w:rsidRPr="007877A3">
        <w:rPr>
          <w:rFonts w:ascii="Cambria" w:eastAsia="Times New Roman" w:hAnsi="Cambria"/>
          <w:sz w:val="16"/>
          <w:szCs w:val="16"/>
          <w:bdr w:val="none" w:sz="0" w:space="0" w:color="auto"/>
          <w:lang w:val="es-ES_tradnl"/>
        </w:rPr>
        <w:t>2.515</w:t>
      </w:r>
      <w:r>
        <w:rPr>
          <w:rFonts w:ascii="Cambria" w:eastAsia="Times New Roman" w:hAnsi="Cambria"/>
          <w:sz w:val="16"/>
          <w:szCs w:val="16"/>
          <w:bdr w:val="none" w:sz="0" w:space="0" w:color="auto"/>
          <w:lang w:val="es-ES_tradnl"/>
        </w:rPr>
        <w:t xml:space="preserve"> del Código Civil</w:t>
      </w:r>
      <w:r w:rsidRPr="007877A3">
        <w:rPr>
          <w:rFonts w:ascii="Cambria" w:eastAsia="Times New Roman" w:hAnsi="Cambria"/>
          <w:sz w:val="16"/>
          <w:szCs w:val="16"/>
          <w:bdr w:val="none" w:sz="0" w:space="0" w:color="auto"/>
          <w:lang w:val="es-ES_tradnl"/>
        </w:rPr>
        <w:t xml:space="preserve">: </w:t>
      </w:r>
      <w:r w:rsidRPr="007877A3">
        <w:rPr>
          <w:rFonts w:ascii="Cambria" w:eastAsia="MS Mincho" w:hAnsi="Cambria"/>
          <w:sz w:val="16"/>
          <w:szCs w:val="16"/>
          <w:lang w:val="es-CL"/>
        </w:rPr>
        <w:t>Este tiempo es en general de tres años para las acciones ejecutivas y de cinco para las ordinarias.</w:t>
      </w:r>
      <w:r w:rsidRPr="007877A3">
        <w:rPr>
          <w:rFonts w:ascii="Cambria" w:hAnsi="Cambria"/>
          <w:sz w:val="16"/>
          <w:szCs w:val="16"/>
          <w:lang w:val="es-CO"/>
        </w:rPr>
        <w:t xml:space="preserve"> </w:t>
      </w:r>
      <w:r w:rsidRPr="007877A3">
        <w:rPr>
          <w:rFonts w:ascii="Cambria" w:eastAsia="MS Mincho" w:hAnsi="Cambria"/>
          <w:sz w:val="16"/>
          <w:szCs w:val="16"/>
          <w:lang w:val="es-CL"/>
        </w:rPr>
        <w:t>La acción ejecutiva se convierte en ordinaria por el lapso de tres años, y convertida en ordinaria durará solamente otros dos.</w:t>
      </w:r>
    </w:p>
  </w:footnote>
  <w:footnote w:id="87">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12. </w:t>
      </w:r>
      <w:r w:rsidRPr="007877A3">
        <w:rPr>
          <w:rFonts w:ascii="Cambria" w:hAnsi="Cambria"/>
          <w:sz w:val="16"/>
          <w:szCs w:val="16"/>
          <w:lang w:val="es-CO"/>
        </w:rPr>
        <w:t>16</w:t>
      </w:r>
      <w:r w:rsidRPr="007877A3">
        <w:rPr>
          <w:rFonts w:ascii="Cambria" w:eastAsia="Times New Roman" w:hAnsi="Cambria"/>
          <w:sz w:val="16"/>
          <w:szCs w:val="16"/>
          <w:bdr w:val="none" w:sz="0" w:space="0" w:color="auto"/>
          <w:lang w:val="es-ES_tradnl"/>
        </w:rPr>
        <w:t>º</w:t>
      </w:r>
      <w:r w:rsidRPr="007877A3">
        <w:rPr>
          <w:rFonts w:ascii="Cambria" w:hAnsi="Cambria"/>
          <w:sz w:val="16"/>
          <w:szCs w:val="16"/>
          <w:lang w:val="es-CO"/>
        </w:rPr>
        <w:t xml:space="preserve"> Juzgado Civil, Vivanco Medina/Fisco de Chile, Sentencia de 4 de octubre de 2002, Rol: C 3545-2000. Considerando Noveno. Anexo a la petición de 22 de enero de 2004. </w:t>
      </w:r>
    </w:p>
  </w:footnote>
  <w:footnote w:id="88">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12. </w:t>
      </w:r>
      <w:r w:rsidRPr="007877A3">
        <w:rPr>
          <w:rFonts w:ascii="Cambria" w:hAnsi="Cambria"/>
          <w:sz w:val="16"/>
          <w:szCs w:val="16"/>
          <w:lang w:val="es-CO"/>
        </w:rPr>
        <w:t>16</w:t>
      </w:r>
      <w:r w:rsidRPr="007877A3">
        <w:rPr>
          <w:rFonts w:ascii="Cambria" w:eastAsia="Times New Roman" w:hAnsi="Cambria"/>
          <w:sz w:val="16"/>
          <w:szCs w:val="16"/>
          <w:bdr w:val="none" w:sz="0" w:space="0" w:color="auto"/>
          <w:lang w:val="es-ES_tradnl"/>
        </w:rPr>
        <w:t>º</w:t>
      </w:r>
      <w:r w:rsidRPr="007877A3">
        <w:rPr>
          <w:rFonts w:ascii="Cambria" w:hAnsi="Cambria"/>
          <w:sz w:val="16"/>
          <w:szCs w:val="16"/>
          <w:lang w:val="es-CO"/>
        </w:rPr>
        <w:t xml:space="preserve"> Juzgado Civil, Vivanco Medina/Fisco de Chile, Sentencia de 4 de octubre de 2002, Rol: C 3545-2000. Considerando Noveno. Anexo a la petición de 2 de enero de 2004.</w:t>
      </w:r>
    </w:p>
  </w:footnote>
  <w:footnote w:id="89">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13. </w:t>
      </w:r>
      <w:r w:rsidRPr="007877A3">
        <w:rPr>
          <w:rFonts w:ascii="Cambria" w:hAnsi="Cambria"/>
          <w:sz w:val="16"/>
          <w:szCs w:val="16"/>
          <w:lang w:val="es-CO"/>
        </w:rPr>
        <w:t>CAS. Decisión de 6 de mayo de 2003. Anexo a la petición presentada el 22 de enero de 2004.</w:t>
      </w:r>
    </w:p>
  </w:footnote>
  <w:footnote w:id="90">
    <w:p w:rsidR="0006606E" w:rsidRPr="0027745A" w:rsidRDefault="0006606E" w:rsidP="00DC278B">
      <w:pPr>
        <w:pStyle w:val="FootnoteText"/>
        <w:tabs>
          <w:tab w:val="left" w:pos="360"/>
        </w:tabs>
        <w:spacing w:after="120"/>
        <w:ind w:firstLine="720"/>
        <w:jc w:val="both"/>
        <w:rPr>
          <w:rFonts w:ascii="Cambria" w:hAnsi="Cambria"/>
          <w:color w:val="auto"/>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Escrito de Observaciones del </w:t>
      </w:r>
      <w:r w:rsidRPr="007877A3">
        <w:rPr>
          <w:rFonts w:ascii="Cambria" w:hAnsi="Cambria"/>
          <w:sz w:val="16"/>
          <w:szCs w:val="16"/>
          <w:lang w:val="es-CO"/>
        </w:rPr>
        <w:t xml:space="preserve">Estado de 21 de noviembre de 2008 no controvertido por el </w:t>
      </w:r>
      <w:r w:rsidRPr="0027745A">
        <w:rPr>
          <w:rFonts w:ascii="Cambria" w:hAnsi="Cambria"/>
          <w:color w:val="auto"/>
          <w:sz w:val="16"/>
          <w:szCs w:val="16"/>
          <w:lang w:val="es-CO"/>
        </w:rPr>
        <w:t>peticionario.</w:t>
      </w:r>
    </w:p>
  </w:footnote>
  <w:footnote w:id="91">
    <w:p w:rsidR="0006606E" w:rsidRPr="0027745A" w:rsidRDefault="0006606E" w:rsidP="00DC278B">
      <w:pPr>
        <w:pStyle w:val="FootnoteText"/>
        <w:tabs>
          <w:tab w:val="left" w:pos="360"/>
        </w:tabs>
        <w:spacing w:after="120"/>
        <w:ind w:firstLine="720"/>
        <w:jc w:val="both"/>
        <w:rPr>
          <w:rFonts w:ascii="Cambria" w:hAnsi="Cambria"/>
          <w:color w:val="auto"/>
          <w:sz w:val="16"/>
          <w:szCs w:val="16"/>
          <w:lang w:val="es-CO"/>
        </w:rPr>
      </w:pPr>
      <w:r w:rsidRPr="0027745A">
        <w:rPr>
          <w:rStyle w:val="FootnoteReference"/>
          <w:rFonts w:ascii="Cambria" w:hAnsi="Cambria"/>
          <w:color w:val="auto"/>
          <w:sz w:val="16"/>
          <w:szCs w:val="16"/>
        </w:rPr>
        <w:footnoteRef/>
      </w:r>
      <w:r w:rsidRPr="0027745A">
        <w:rPr>
          <w:rFonts w:ascii="Cambria" w:hAnsi="Cambria"/>
          <w:color w:val="auto"/>
          <w:sz w:val="16"/>
          <w:szCs w:val="16"/>
          <w:lang w:val="es-CO"/>
        </w:rPr>
        <w:t xml:space="preserve"> </w:t>
      </w:r>
      <w:r w:rsidRPr="0027745A">
        <w:rPr>
          <w:rFonts w:ascii="Cambria" w:hAnsi="Cambria"/>
          <w:color w:val="auto"/>
          <w:sz w:val="16"/>
          <w:szCs w:val="16"/>
          <w:lang w:val="es-ES"/>
        </w:rPr>
        <w:t xml:space="preserve">Informe de la Comisión </w:t>
      </w:r>
      <w:proofErr w:type="spellStart"/>
      <w:r w:rsidRPr="0027745A">
        <w:rPr>
          <w:rFonts w:ascii="Cambria" w:hAnsi="Cambria"/>
          <w:color w:val="auto"/>
          <w:sz w:val="16"/>
          <w:szCs w:val="16"/>
          <w:lang w:val="es-ES"/>
        </w:rPr>
        <w:t>Rettig</w:t>
      </w:r>
      <w:proofErr w:type="spellEnd"/>
      <w:r w:rsidRPr="0027745A">
        <w:rPr>
          <w:rFonts w:ascii="Cambria" w:hAnsi="Cambria"/>
          <w:color w:val="auto"/>
          <w:sz w:val="16"/>
          <w:szCs w:val="16"/>
          <w:lang w:val="es-ES"/>
        </w:rPr>
        <w:t xml:space="preserve">, Tomo I, pág. 165. </w:t>
      </w:r>
    </w:p>
  </w:footnote>
  <w:footnote w:id="9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27745A">
        <w:rPr>
          <w:rStyle w:val="FootnoteReference"/>
          <w:rFonts w:ascii="Cambria" w:hAnsi="Cambria"/>
          <w:color w:val="auto"/>
          <w:sz w:val="16"/>
          <w:szCs w:val="16"/>
        </w:rPr>
        <w:footnoteRef/>
      </w:r>
      <w:r w:rsidRPr="0027745A">
        <w:rPr>
          <w:rFonts w:ascii="Cambria" w:hAnsi="Cambria"/>
          <w:color w:val="auto"/>
          <w:sz w:val="16"/>
          <w:szCs w:val="16"/>
          <w:lang w:val="es-CO"/>
        </w:rPr>
        <w:t xml:space="preserve"> </w:t>
      </w:r>
      <w:r w:rsidRPr="0027745A">
        <w:rPr>
          <w:rFonts w:ascii="Cambria" w:hAnsi="Cambria"/>
          <w:color w:val="auto"/>
          <w:sz w:val="16"/>
          <w:szCs w:val="16"/>
          <w:lang w:val="es-ES"/>
        </w:rPr>
        <w:t>Informe de la Comis</w:t>
      </w:r>
      <w:r>
        <w:rPr>
          <w:rFonts w:ascii="Cambria" w:hAnsi="Cambria"/>
          <w:color w:val="auto"/>
          <w:sz w:val="16"/>
          <w:szCs w:val="16"/>
          <w:lang w:val="es-ES"/>
        </w:rPr>
        <w:t xml:space="preserve">ión </w:t>
      </w:r>
      <w:proofErr w:type="spellStart"/>
      <w:r>
        <w:rPr>
          <w:rFonts w:ascii="Cambria" w:hAnsi="Cambria"/>
          <w:color w:val="auto"/>
          <w:sz w:val="16"/>
          <w:szCs w:val="16"/>
          <w:lang w:val="es-ES"/>
        </w:rPr>
        <w:t>Rettig</w:t>
      </w:r>
      <w:proofErr w:type="spellEnd"/>
      <w:r>
        <w:rPr>
          <w:rFonts w:ascii="Cambria" w:hAnsi="Cambria"/>
          <w:color w:val="auto"/>
          <w:sz w:val="16"/>
          <w:szCs w:val="16"/>
          <w:lang w:val="es-ES"/>
        </w:rPr>
        <w:t xml:space="preserve">, Tomo I, pág. 166. </w:t>
      </w:r>
    </w:p>
  </w:footnote>
  <w:footnote w:id="93">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sidRPr="007877A3">
        <w:rPr>
          <w:rFonts w:ascii="Cambria" w:hAnsi="Cambria"/>
          <w:sz w:val="16"/>
          <w:szCs w:val="16"/>
          <w:lang w:val="es-CO"/>
        </w:rPr>
        <w:t>, no controvertido por el peticionario.</w:t>
      </w:r>
    </w:p>
  </w:footnote>
  <w:footnote w:id="9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sidRPr="007877A3">
        <w:rPr>
          <w:rFonts w:ascii="Cambria" w:hAnsi="Cambria"/>
          <w:sz w:val="16"/>
          <w:szCs w:val="16"/>
          <w:lang w:val="es-CO"/>
        </w:rPr>
        <w:t>, no controvertido por el peticionario.</w:t>
      </w:r>
    </w:p>
  </w:footnote>
  <w:footnote w:id="9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14. </w:t>
      </w:r>
      <w:r w:rsidRPr="007877A3">
        <w:rPr>
          <w:rFonts w:ascii="Cambria" w:hAnsi="Cambria"/>
          <w:sz w:val="16"/>
          <w:szCs w:val="16"/>
          <w:lang w:val="es-CO"/>
        </w:rPr>
        <w:t xml:space="preserve">Demanda presentada por Carlos Melo y otros </w:t>
      </w:r>
      <w:r w:rsidRPr="007877A3">
        <w:rPr>
          <w:rFonts w:ascii="Cambria" w:hAnsi="Cambria"/>
          <w:sz w:val="16"/>
          <w:szCs w:val="16"/>
          <w:lang w:val="es-MX"/>
        </w:rPr>
        <w:t>ante el 8</w:t>
      </w:r>
      <w:r w:rsidRPr="007877A3">
        <w:rPr>
          <w:rFonts w:ascii="Cambria" w:hAnsi="Cambria"/>
          <w:sz w:val="16"/>
          <w:szCs w:val="16"/>
          <w:lang w:val="es-CO"/>
        </w:rPr>
        <w:t>º</w:t>
      </w:r>
      <w:r w:rsidRPr="007877A3">
        <w:rPr>
          <w:rFonts w:ascii="Cambria" w:hAnsi="Cambria"/>
          <w:sz w:val="16"/>
          <w:szCs w:val="16"/>
          <w:lang w:val="es-MX"/>
        </w:rPr>
        <w:t xml:space="preserve"> Juzgado Civil contra el Fisco de Chile</w:t>
      </w:r>
      <w:r w:rsidRPr="007877A3">
        <w:rPr>
          <w:rFonts w:ascii="Cambria" w:hAnsi="Cambria"/>
          <w:sz w:val="16"/>
          <w:szCs w:val="16"/>
          <w:lang w:val="es-CO"/>
        </w:rPr>
        <w:t>. Anexo a la petición de 22 de enero de 2004.</w:t>
      </w:r>
    </w:p>
  </w:footnote>
  <w:footnote w:id="9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15. </w:t>
      </w:r>
      <w:r w:rsidRPr="007877A3">
        <w:rPr>
          <w:rFonts w:ascii="Cambria" w:hAnsi="Cambria"/>
          <w:sz w:val="16"/>
          <w:szCs w:val="16"/>
          <w:lang w:val="es-CO"/>
        </w:rPr>
        <w:t>8º Juzgado Civil, Sentencia de 27 de septiembre de 2002, Melo y otros contra el Fisco de Chile. Considerandos Séptimo y Octavo. Anexo a la petición de 22 de enero de 2004.</w:t>
      </w:r>
    </w:p>
  </w:footnote>
  <w:footnote w:id="97">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Poder Judicial de la República de Chile. Consulta de estado de causas detalle de movimiento. Causa C-2918/2000.</w:t>
      </w:r>
    </w:p>
  </w:footnote>
  <w:footnote w:id="98">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Pr>
          <w:rFonts w:ascii="Cambria" w:hAnsi="Cambria"/>
          <w:sz w:val="16"/>
          <w:szCs w:val="16"/>
          <w:lang w:val="es-ES"/>
        </w:rPr>
        <w:t xml:space="preserve">, </w:t>
      </w:r>
      <w:r w:rsidRPr="007877A3">
        <w:rPr>
          <w:rFonts w:ascii="Cambria" w:hAnsi="Cambria"/>
          <w:sz w:val="16"/>
          <w:szCs w:val="16"/>
          <w:lang w:val="es-CO"/>
        </w:rPr>
        <w:t>no controvertido por el peticionario.</w:t>
      </w:r>
    </w:p>
  </w:footnote>
  <w:footnote w:id="99">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Pr>
          <w:rFonts w:ascii="Cambria" w:hAnsi="Cambria"/>
          <w:sz w:val="16"/>
          <w:szCs w:val="16"/>
          <w:lang w:val="es-ES"/>
        </w:rPr>
        <w:t>, Tomo II, págs. 840 y 841.</w:t>
      </w:r>
    </w:p>
  </w:footnote>
  <w:footnote w:id="100">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Pr>
          <w:rFonts w:ascii="Cambria" w:hAnsi="Cambria"/>
          <w:sz w:val="16"/>
          <w:szCs w:val="16"/>
          <w:lang w:val="es-ES"/>
        </w:rPr>
        <w:t>, Tomo II, págs. 840 y 841.</w:t>
      </w:r>
    </w:p>
  </w:footnote>
  <w:footnote w:id="101">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Informe de la Comisión</w:t>
      </w:r>
      <w:r>
        <w:rPr>
          <w:rFonts w:ascii="Cambria" w:hAnsi="Cambria"/>
          <w:sz w:val="16"/>
          <w:szCs w:val="16"/>
          <w:lang w:val="es-ES"/>
        </w:rPr>
        <w:t xml:space="preserve"> </w:t>
      </w:r>
      <w:proofErr w:type="spellStart"/>
      <w:r>
        <w:rPr>
          <w:rFonts w:ascii="Cambria" w:hAnsi="Cambria"/>
          <w:sz w:val="16"/>
          <w:szCs w:val="16"/>
          <w:lang w:val="es-ES"/>
        </w:rPr>
        <w:t>Rettig</w:t>
      </w:r>
      <w:proofErr w:type="spellEnd"/>
      <w:r>
        <w:rPr>
          <w:rFonts w:ascii="Cambria" w:hAnsi="Cambria"/>
          <w:sz w:val="16"/>
          <w:szCs w:val="16"/>
          <w:lang w:val="es-ES"/>
        </w:rPr>
        <w:t xml:space="preserve">, Tomo II, pág. 841. </w:t>
      </w:r>
    </w:p>
  </w:footnote>
  <w:footnote w:id="102">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Informe de la Comisión</w:t>
      </w:r>
      <w:r>
        <w:rPr>
          <w:rFonts w:ascii="Cambria" w:hAnsi="Cambria"/>
          <w:sz w:val="16"/>
          <w:szCs w:val="16"/>
          <w:lang w:val="es-ES"/>
        </w:rPr>
        <w:t xml:space="preserve"> </w:t>
      </w:r>
      <w:proofErr w:type="spellStart"/>
      <w:r>
        <w:rPr>
          <w:rFonts w:ascii="Cambria" w:hAnsi="Cambria"/>
          <w:sz w:val="16"/>
          <w:szCs w:val="16"/>
          <w:lang w:val="es-ES"/>
        </w:rPr>
        <w:t>Rettig</w:t>
      </w:r>
      <w:proofErr w:type="spellEnd"/>
      <w:r>
        <w:rPr>
          <w:rFonts w:ascii="Cambria" w:hAnsi="Cambria"/>
          <w:sz w:val="16"/>
          <w:szCs w:val="16"/>
          <w:lang w:val="es-ES"/>
        </w:rPr>
        <w:t xml:space="preserve">, Tomo II, pág. 841. </w:t>
      </w:r>
    </w:p>
  </w:footnote>
  <w:footnote w:id="103">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w:t>
      </w:r>
      <w:r>
        <w:rPr>
          <w:rFonts w:ascii="Cambria" w:hAnsi="Cambria"/>
          <w:sz w:val="16"/>
          <w:szCs w:val="16"/>
          <w:lang w:val="es-ES"/>
        </w:rPr>
        <w:t>tig</w:t>
      </w:r>
      <w:proofErr w:type="spellEnd"/>
      <w:r>
        <w:rPr>
          <w:rFonts w:ascii="Cambria" w:hAnsi="Cambria"/>
          <w:sz w:val="16"/>
          <w:szCs w:val="16"/>
          <w:lang w:val="es-ES"/>
        </w:rPr>
        <w:t xml:space="preserve">, Tomo II, pág. 841. </w:t>
      </w:r>
    </w:p>
  </w:footnote>
  <w:footnote w:id="10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Pr>
          <w:rFonts w:ascii="Cambria" w:hAnsi="Cambria"/>
          <w:sz w:val="16"/>
          <w:szCs w:val="16"/>
          <w:lang w:val="es-ES"/>
        </w:rPr>
        <w:t xml:space="preserve">, </w:t>
      </w:r>
      <w:r w:rsidRPr="007877A3">
        <w:rPr>
          <w:rFonts w:ascii="Cambria" w:hAnsi="Cambria"/>
          <w:sz w:val="16"/>
          <w:szCs w:val="16"/>
          <w:lang w:val="es-CO"/>
        </w:rPr>
        <w:t>no controvertido por el peticionario.</w:t>
      </w:r>
    </w:p>
  </w:footnote>
  <w:footnote w:id="10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Pr>
          <w:rFonts w:ascii="Cambria" w:hAnsi="Cambria"/>
          <w:sz w:val="16"/>
          <w:szCs w:val="16"/>
          <w:lang w:val="es-ES"/>
        </w:rPr>
        <w:t xml:space="preserve">, </w:t>
      </w:r>
      <w:r w:rsidRPr="007877A3">
        <w:rPr>
          <w:rFonts w:ascii="Cambria" w:hAnsi="Cambria"/>
          <w:sz w:val="16"/>
          <w:szCs w:val="16"/>
          <w:lang w:val="es-CO"/>
        </w:rPr>
        <w:t>no controvertido por el peticionario.</w:t>
      </w:r>
    </w:p>
  </w:footnote>
  <w:footnote w:id="10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16. </w:t>
      </w:r>
      <w:r w:rsidRPr="007877A3">
        <w:rPr>
          <w:rFonts w:ascii="Cambria" w:hAnsi="Cambria"/>
          <w:sz w:val="16"/>
          <w:szCs w:val="16"/>
          <w:lang w:val="es-CO"/>
        </w:rPr>
        <w:t>Demanda de indemnización de perjuicios interpuesta por Katia Ximena Espejo y otra. Anexo a la petición de 16 de octubre de 2003.</w:t>
      </w:r>
    </w:p>
  </w:footnote>
  <w:footnote w:id="107">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17. </w:t>
      </w:r>
      <w:r w:rsidRPr="007877A3">
        <w:rPr>
          <w:rFonts w:ascii="Cambria" w:hAnsi="Cambria"/>
          <w:sz w:val="16"/>
          <w:szCs w:val="16"/>
          <w:lang w:val="es-CO"/>
        </w:rPr>
        <w:t>Sentencia del 17</w:t>
      </w:r>
      <w:r w:rsidRPr="007877A3">
        <w:rPr>
          <w:rFonts w:ascii="Cambria" w:eastAsia="Times New Roman" w:hAnsi="Cambria"/>
          <w:sz w:val="16"/>
          <w:szCs w:val="16"/>
          <w:bdr w:val="none" w:sz="0" w:space="0" w:color="auto"/>
          <w:lang w:val="es-ES_tradnl"/>
        </w:rPr>
        <w:t>º</w:t>
      </w:r>
      <w:r w:rsidRPr="007877A3">
        <w:rPr>
          <w:rFonts w:ascii="Cambria" w:hAnsi="Cambria"/>
          <w:sz w:val="16"/>
          <w:szCs w:val="16"/>
          <w:lang w:val="es-CO"/>
        </w:rPr>
        <w:t xml:space="preserve"> Juzgado Civil, Espejo Gómez contra el Fisco de Chile, Rol C-2918-2000. Anexo a la petición de 16 de octubre de 2003.</w:t>
      </w:r>
    </w:p>
  </w:footnote>
  <w:footnote w:id="108">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17. </w:t>
      </w:r>
      <w:r w:rsidRPr="007877A3">
        <w:rPr>
          <w:rFonts w:ascii="Cambria" w:hAnsi="Cambria"/>
          <w:sz w:val="16"/>
          <w:szCs w:val="16"/>
          <w:lang w:val="es-CO"/>
        </w:rPr>
        <w:t>Sentencia del 17</w:t>
      </w:r>
      <w:r w:rsidRPr="007877A3">
        <w:rPr>
          <w:rFonts w:ascii="Cambria" w:eastAsia="Times New Roman" w:hAnsi="Cambria"/>
          <w:sz w:val="16"/>
          <w:szCs w:val="16"/>
          <w:bdr w:val="none" w:sz="0" w:space="0" w:color="auto"/>
          <w:lang w:val="es-ES_tradnl"/>
        </w:rPr>
        <w:t>º</w:t>
      </w:r>
      <w:r w:rsidRPr="007877A3">
        <w:rPr>
          <w:rFonts w:ascii="Cambria" w:hAnsi="Cambria"/>
          <w:sz w:val="16"/>
          <w:szCs w:val="16"/>
          <w:lang w:val="es-CO"/>
        </w:rPr>
        <w:t xml:space="preserve"> Juzgado Civil, Espejo Gómez contra el Fisco de Chile, Rol C-2918-2000, Considerando Séptimo. Anexo a la petición de 16 de octubre de 2003.</w:t>
      </w:r>
    </w:p>
  </w:footnote>
  <w:footnote w:id="109">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18. </w:t>
      </w:r>
      <w:r w:rsidRPr="007877A3">
        <w:rPr>
          <w:rFonts w:ascii="Cambria" w:hAnsi="Cambria"/>
          <w:sz w:val="16"/>
          <w:szCs w:val="16"/>
          <w:lang w:val="es-CO"/>
        </w:rPr>
        <w:t>Rol 2918-200, foja 185. Anexo a la petición de 16 de octubre de 2003.</w:t>
      </w:r>
    </w:p>
  </w:footnote>
  <w:footnote w:id="11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II, pág. 790. </w:t>
      </w:r>
    </w:p>
  </w:footnote>
  <w:footnote w:id="111">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II, pág. 791. </w:t>
      </w:r>
    </w:p>
  </w:footnote>
  <w:footnote w:id="11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Informe de la Comisión </w:t>
      </w:r>
      <w:proofErr w:type="spellStart"/>
      <w:r w:rsidRPr="007877A3">
        <w:rPr>
          <w:rFonts w:ascii="Cambria" w:hAnsi="Cambria"/>
          <w:sz w:val="16"/>
          <w:szCs w:val="16"/>
          <w:lang w:val="es-ES"/>
        </w:rPr>
        <w:t>Rettig</w:t>
      </w:r>
      <w:proofErr w:type="spellEnd"/>
      <w:r w:rsidRPr="007877A3">
        <w:rPr>
          <w:rFonts w:ascii="Cambria" w:hAnsi="Cambria"/>
          <w:sz w:val="16"/>
          <w:szCs w:val="16"/>
          <w:lang w:val="es-ES"/>
        </w:rPr>
        <w:t xml:space="preserve">, Tomo II, pág. 791. </w:t>
      </w:r>
    </w:p>
  </w:footnote>
  <w:footnote w:id="113">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Pr>
          <w:rFonts w:ascii="Cambria" w:hAnsi="Cambria"/>
          <w:sz w:val="16"/>
          <w:szCs w:val="16"/>
          <w:lang w:val="es-ES"/>
        </w:rPr>
        <w:t xml:space="preserve">, </w:t>
      </w:r>
      <w:r w:rsidRPr="007877A3">
        <w:rPr>
          <w:rFonts w:ascii="Cambria" w:hAnsi="Cambria"/>
          <w:sz w:val="16"/>
          <w:szCs w:val="16"/>
          <w:lang w:val="es-CO"/>
        </w:rPr>
        <w:t>no controvertido por el peticionario.</w:t>
      </w:r>
    </w:p>
  </w:footnote>
  <w:footnote w:id="11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ES"/>
        </w:rPr>
        <w:t>Escrito de observaciones del Estado de</w:t>
      </w:r>
      <w:r w:rsidRPr="007877A3">
        <w:rPr>
          <w:rFonts w:ascii="Cambria" w:hAnsi="Cambria"/>
          <w:sz w:val="16"/>
          <w:szCs w:val="16"/>
          <w:lang w:val="es-ES"/>
        </w:rPr>
        <w:t xml:space="preserve"> 21 de noviembre de 2008</w:t>
      </w:r>
      <w:r>
        <w:rPr>
          <w:rFonts w:ascii="Cambria" w:hAnsi="Cambria"/>
          <w:sz w:val="16"/>
          <w:szCs w:val="16"/>
          <w:lang w:val="es-ES"/>
        </w:rPr>
        <w:t>,</w:t>
      </w:r>
      <w:r w:rsidRPr="007877A3">
        <w:rPr>
          <w:rFonts w:ascii="Cambria" w:hAnsi="Cambria"/>
          <w:sz w:val="16"/>
          <w:szCs w:val="16"/>
          <w:lang w:val="es-CO"/>
        </w:rPr>
        <w:t xml:space="preserve"> no controvertido por el peticionario.</w:t>
      </w:r>
    </w:p>
  </w:footnote>
  <w:footnote w:id="115">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19. </w:t>
      </w:r>
      <w:r w:rsidRPr="007877A3">
        <w:rPr>
          <w:rFonts w:ascii="Cambria" w:hAnsi="Cambria"/>
          <w:sz w:val="16"/>
          <w:szCs w:val="16"/>
          <w:lang w:val="es-CO"/>
        </w:rPr>
        <w:t>Demanda presentada ante el 17</w:t>
      </w:r>
      <w:r w:rsidRPr="007877A3">
        <w:rPr>
          <w:rFonts w:ascii="Cambria" w:eastAsia="Times New Roman" w:hAnsi="Cambria"/>
          <w:sz w:val="16"/>
          <w:szCs w:val="16"/>
          <w:bdr w:val="none" w:sz="0" w:space="0" w:color="auto"/>
          <w:lang w:val="es-ES_tradnl"/>
        </w:rPr>
        <w:t>º</w:t>
      </w:r>
      <w:r w:rsidRPr="007877A3">
        <w:rPr>
          <w:rFonts w:ascii="Cambria" w:hAnsi="Cambria"/>
          <w:sz w:val="16"/>
          <w:szCs w:val="16"/>
          <w:lang w:val="es-CO"/>
        </w:rPr>
        <w:t xml:space="preserve"> Juzgado Civil. Anexo a la petición de 22 de enero de 2004. </w:t>
      </w:r>
    </w:p>
  </w:footnote>
  <w:footnote w:id="11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sz w:val="16"/>
          <w:szCs w:val="16"/>
          <w:lang w:val="es-CO"/>
        </w:rPr>
        <w:t xml:space="preserve">Anexo 20. </w:t>
      </w:r>
      <w:r w:rsidRPr="007877A3">
        <w:rPr>
          <w:rFonts w:ascii="Cambria" w:hAnsi="Cambria"/>
          <w:sz w:val="16"/>
          <w:szCs w:val="16"/>
          <w:lang w:val="es-CO"/>
        </w:rPr>
        <w:t>17</w:t>
      </w:r>
      <w:r w:rsidRPr="007877A3">
        <w:rPr>
          <w:rFonts w:ascii="Cambria" w:eastAsia="Times New Roman" w:hAnsi="Cambria"/>
          <w:sz w:val="16"/>
          <w:szCs w:val="16"/>
          <w:bdr w:val="none" w:sz="0" w:space="0" w:color="auto"/>
          <w:lang w:val="es-ES_tradnl"/>
        </w:rPr>
        <w:t>º</w:t>
      </w:r>
      <w:r w:rsidRPr="007877A3">
        <w:rPr>
          <w:rFonts w:ascii="Cambria" w:hAnsi="Cambria"/>
          <w:sz w:val="16"/>
          <w:szCs w:val="16"/>
          <w:lang w:val="es-CO"/>
        </w:rPr>
        <w:t xml:space="preserve"> Juzgado Civil, Navarrete contra el Fisco de Chile, Sentencia de 19 de junio de 2002, Rol: C-3118-2000. Anexo a la petición de 22 de enero de 2004.</w:t>
      </w:r>
    </w:p>
  </w:footnote>
  <w:footnote w:id="117">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CO"/>
        </w:rPr>
        <w:footnoteRef/>
      </w:r>
      <w:r w:rsidRPr="007877A3">
        <w:rPr>
          <w:rFonts w:ascii="Cambria" w:hAnsi="Cambria"/>
          <w:sz w:val="16"/>
          <w:szCs w:val="16"/>
          <w:lang w:val="es-CO"/>
        </w:rPr>
        <w:t xml:space="preserve"> </w:t>
      </w:r>
      <w:r>
        <w:rPr>
          <w:rFonts w:ascii="Cambria" w:hAnsi="Cambria"/>
          <w:sz w:val="16"/>
          <w:szCs w:val="16"/>
          <w:lang w:val="es-CO"/>
        </w:rPr>
        <w:t xml:space="preserve">Anexo 21. </w:t>
      </w:r>
      <w:r w:rsidRPr="007877A3">
        <w:rPr>
          <w:rFonts w:ascii="Cambria" w:hAnsi="Cambria"/>
          <w:sz w:val="16"/>
          <w:szCs w:val="16"/>
          <w:lang w:val="es-CO"/>
        </w:rPr>
        <w:t>Apelación de 7 de noviembre de 2002. Anexo a la petición de 22 de enero de 2004.</w:t>
      </w:r>
    </w:p>
  </w:footnote>
  <w:footnote w:id="118">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Fonts w:ascii="Cambria" w:hAnsi="Cambria"/>
          <w:sz w:val="16"/>
          <w:szCs w:val="16"/>
          <w:vertAlign w:val="superscript"/>
          <w:lang w:val="es-CO"/>
        </w:rPr>
        <w:footnoteRef/>
      </w:r>
      <w:r w:rsidRPr="007877A3">
        <w:rPr>
          <w:rFonts w:ascii="Cambria" w:hAnsi="Cambria"/>
          <w:sz w:val="16"/>
          <w:szCs w:val="16"/>
          <w:lang w:val="es-CO"/>
        </w:rPr>
        <w:t xml:space="preserve"> Poder Judicial de la República de Chile. Consulta de estado de causas detalle de movimiento.</w:t>
      </w:r>
    </w:p>
  </w:footnote>
  <w:footnote w:id="119">
    <w:p w:rsidR="0006606E" w:rsidRPr="007877A3" w:rsidRDefault="0006606E" w:rsidP="00DC278B">
      <w:pPr>
        <w:pStyle w:val="FootnoteText"/>
        <w:tabs>
          <w:tab w:val="left" w:pos="360"/>
        </w:tabs>
        <w:spacing w:after="120"/>
        <w:ind w:firstLine="720"/>
        <w:jc w:val="both"/>
        <w:rPr>
          <w:rFonts w:ascii="Cambria" w:hAnsi="Cambria"/>
          <w:sz w:val="16"/>
          <w:szCs w:val="16"/>
          <w:lang w:val="es-CR"/>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Style w:val="Strong"/>
          <w:rFonts w:ascii="Cambria" w:hAnsi="Cambria"/>
          <w:b w:val="0"/>
          <w:sz w:val="16"/>
          <w:szCs w:val="16"/>
          <w:lang w:val="es-CO"/>
        </w:rPr>
        <w:t xml:space="preserve">Corte IDH. Caso García Lucero y otras Vs. Chile. Excepción Preliminar, Fondo y Reparaciones. </w:t>
      </w:r>
      <w:r w:rsidRPr="009C4A30">
        <w:rPr>
          <w:rStyle w:val="Strong"/>
          <w:rFonts w:ascii="Cambria" w:hAnsi="Cambria"/>
          <w:b w:val="0"/>
          <w:sz w:val="16"/>
          <w:szCs w:val="16"/>
          <w:lang w:val="pt-BR"/>
        </w:rPr>
        <w:t xml:space="preserve">Sentencia de 28 de agosto de 2013. Serie C No. 267. </w:t>
      </w:r>
      <w:r w:rsidRPr="007877A3">
        <w:rPr>
          <w:rStyle w:val="Strong"/>
          <w:rFonts w:ascii="Cambria" w:hAnsi="Cambria"/>
          <w:b w:val="0"/>
          <w:sz w:val="16"/>
          <w:szCs w:val="16"/>
          <w:lang w:val="pt-BR"/>
        </w:rPr>
        <w:t xml:space="preserve">Párr. 189. Citando. Corte IDH. Caso Gomes Lund y otros ("Guerrilha do Araguaia") Vs. </w:t>
      </w:r>
      <w:r w:rsidRPr="007877A3">
        <w:rPr>
          <w:rStyle w:val="Strong"/>
          <w:rFonts w:ascii="Cambria" w:hAnsi="Cambria"/>
          <w:b w:val="0"/>
          <w:sz w:val="16"/>
          <w:szCs w:val="16"/>
          <w:lang w:val="es-CO"/>
        </w:rPr>
        <w:t xml:space="preserve">Brasil. Excepciones Preliminares, Fondo, Reparaciones y Costas. Sentencia de 24 de noviembre de 2010. Serie C No. 219. Párr. </w:t>
      </w:r>
      <w:r w:rsidRPr="007877A3">
        <w:rPr>
          <w:rFonts w:ascii="Cambria" w:hAnsi="Cambria"/>
          <w:sz w:val="16"/>
          <w:szCs w:val="16"/>
          <w:lang w:val="es-CO"/>
        </w:rPr>
        <w:t xml:space="preserve">303. </w:t>
      </w:r>
    </w:p>
  </w:footnote>
  <w:footnote w:id="120">
    <w:p w:rsidR="0006606E" w:rsidRPr="007877A3" w:rsidRDefault="0006606E" w:rsidP="00DC278B">
      <w:pPr>
        <w:tabs>
          <w:tab w:val="left" w:pos="360"/>
        </w:tabs>
        <w:spacing w:after="120"/>
        <w:ind w:firstLine="720"/>
        <w:jc w:val="both"/>
        <w:rPr>
          <w:rFonts w:ascii="Cambria" w:hAnsi="Cambria"/>
          <w:sz w:val="16"/>
          <w:szCs w:val="16"/>
          <w:lang w:val="es-CR"/>
        </w:rPr>
      </w:pPr>
      <w:r w:rsidRPr="007877A3">
        <w:rPr>
          <w:rStyle w:val="FootnoteReference"/>
          <w:rFonts w:ascii="Cambria" w:hAnsi="Cambria"/>
          <w:sz w:val="16"/>
          <w:szCs w:val="16"/>
        </w:rPr>
        <w:footnoteRef/>
      </w:r>
      <w:r w:rsidRPr="007877A3">
        <w:rPr>
          <w:rFonts w:ascii="Cambria" w:hAnsi="Cambria"/>
          <w:sz w:val="16"/>
          <w:szCs w:val="16"/>
          <w:lang w:val="es-CR"/>
        </w:rPr>
        <w:t xml:space="preserve"> </w:t>
      </w:r>
      <w:r w:rsidRPr="007877A3">
        <w:rPr>
          <w:rStyle w:val="Strong"/>
          <w:rFonts w:ascii="Cambria" w:hAnsi="Cambria"/>
          <w:b w:val="0"/>
          <w:sz w:val="16"/>
          <w:szCs w:val="16"/>
          <w:lang w:val="es-CO"/>
        </w:rPr>
        <w:t xml:space="preserve">Corte IDH. Caso </w:t>
      </w:r>
      <w:proofErr w:type="spellStart"/>
      <w:r w:rsidRPr="007877A3">
        <w:rPr>
          <w:rStyle w:val="Strong"/>
          <w:rFonts w:ascii="Cambria" w:hAnsi="Cambria"/>
          <w:b w:val="0"/>
          <w:sz w:val="16"/>
          <w:szCs w:val="16"/>
          <w:lang w:val="es-CO"/>
        </w:rPr>
        <w:t>Almonacid</w:t>
      </w:r>
      <w:proofErr w:type="spellEnd"/>
      <w:r w:rsidRPr="007877A3">
        <w:rPr>
          <w:rStyle w:val="Strong"/>
          <w:rFonts w:ascii="Cambria" w:hAnsi="Cambria"/>
          <w:b w:val="0"/>
          <w:sz w:val="16"/>
          <w:szCs w:val="16"/>
          <w:lang w:val="es-CO"/>
        </w:rPr>
        <w:t xml:space="preserve"> Arellano y otros Vs. Chile. Excepciones Preliminares, Fondo, Reparaciones y Costas. Sentencia de 26 de septiembre de 2006. Serie C No. 154. Párr. 161.</w:t>
      </w:r>
    </w:p>
  </w:footnote>
  <w:footnote w:id="121">
    <w:p w:rsidR="0006606E" w:rsidRPr="007877A3" w:rsidRDefault="0006606E" w:rsidP="00DC278B">
      <w:pPr>
        <w:pStyle w:val="FootnoteText"/>
        <w:tabs>
          <w:tab w:val="left" w:pos="360"/>
        </w:tabs>
        <w:spacing w:after="120"/>
        <w:ind w:firstLine="720"/>
        <w:jc w:val="both"/>
        <w:rPr>
          <w:rFonts w:ascii="Cambria" w:hAnsi="Cambria"/>
          <w:sz w:val="16"/>
          <w:szCs w:val="16"/>
          <w:lang w:val="es-CR"/>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Style w:val="Strong"/>
          <w:rFonts w:ascii="Cambria" w:hAnsi="Cambria"/>
          <w:b w:val="0"/>
          <w:sz w:val="16"/>
          <w:szCs w:val="16"/>
          <w:lang w:val="es-CO"/>
        </w:rPr>
        <w:t xml:space="preserve">Corte IDH. Caso García Lucero y otras Vs. Chile. Excepción Preliminar, Fondo y Reparaciones. </w:t>
      </w:r>
      <w:r w:rsidRPr="009C4A30">
        <w:rPr>
          <w:rStyle w:val="Strong"/>
          <w:rFonts w:ascii="Cambria" w:hAnsi="Cambria"/>
          <w:b w:val="0"/>
          <w:sz w:val="16"/>
          <w:szCs w:val="16"/>
          <w:lang w:val="es-ES"/>
        </w:rPr>
        <w:t xml:space="preserve">Sentencia de 28 de agosto de 2013. Serie C No. 267. Párr. 190. </w:t>
      </w:r>
    </w:p>
  </w:footnote>
  <w:footnote w:id="122">
    <w:p w:rsidR="0006606E" w:rsidRPr="007877A3" w:rsidRDefault="0006606E" w:rsidP="00DC278B">
      <w:pPr>
        <w:pStyle w:val="FootnoteText"/>
        <w:tabs>
          <w:tab w:val="left" w:pos="360"/>
        </w:tabs>
        <w:spacing w:after="120"/>
        <w:ind w:firstLine="720"/>
        <w:jc w:val="both"/>
        <w:rPr>
          <w:rFonts w:ascii="Cambria" w:hAnsi="Cambria"/>
          <w:sz w:val="16"/>
          <w:szCs w:val="16"/>
          <w:lang w:val="es-CR"/>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Style w:val="Strong"/>
          <w:rFonts w:ascii="Cambria" w:hAnsi="Cambria"/>
          <w:b w:val="0"/>
          <w:sz w:val="16"/>
          <w:szCs w:val="16"/>
          <w:lang w:val="es-CO"/>
        </w:rPr>
        <w:t xml:space="preserve">Corte IDH. Caso García Lucero y otras Vs. Chile. Excepción Preliminar, Fondo y Reparaciones. </w:t>
      </w:r>
      <w:r w:rsidRPr="009C4A30">
        <w:rPr>
          <w:rStyle w:val="Strong"/>
          <w:rFonts w:ascii="Cambria" w:hAnsi="Cambria"/>
          <w:b w:val="0"/>
          <w:sz w:val="16"/>
          <w:szCs w:val="16"/>
          <w:lang w:val="es-CO"/>
        </w:rPr>
        <w:t xml:space="preserve">Sentencia de 28 de agosto de 2013. Serie C No. 267. Párr. 192. </w:t>
      </w:r>
    </w:p>
  </w:footnote>
  <w:footnote w:id="123">
    <w:p w:rsidR="0006606E" w:rsidRPr="007877A3" w:rsidRDefault="0006606E" w:rsidP="00DC278B">
      <w:pPr>
        <w:pStyle w:val="Defaul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CIDH. Lineamientos Principales para una Política Integral de Reparaciones,</w:t>
      </w:r>
      <w:r w:rsidRPr="007877A3">
        <w:rPr>
          <w:rFonts w:ascii="Cambria" w:hAnsi="Cambria"/>
          <w:sz w:val="16"/>
          <w:szCs w:val="16"/>
          <w:lang w:val="es-ES" w:eastAsia="es-ES"/>
        </w:rPr>
        <w:t xml:space="preserve"> </w:t>
      </w:r>
      <w:r w:rsidRPr="007877A3">
        <w:rPr>
          <w:rFonts w:ascii="Cambria" w:hAnsi="Cambria" w:cs="Univers"/>
          <w:sz w:val="16"/>
          <w:szCs w:val="16"/>
          <w:lang w:val="es-ES" w:eastAsia="es-ES"/>
        </w:rPr>
        <w:t xml:space="preserve">OEA/Ser/L/V/II.131, Doc. 1, </w:t>
      </w:r>
      <w:r w:rsidRPr="007877A3">
        <w:rPr>
          <w:rFonts w:ascii="Cambria" w:eastAsia="Arial Unicode MS" w:hAnsi="Cambria" w:cs="Univers"/>
          <w:sz w:val="16"/>
          <w:szCs w:val="16"/>
          <w:lang w:val="es-ES"/>
        </w:rPr>
        <w:t>19 de febrero de 2008, párr. 5.</w:t>
      </w:r>
    </w:p>
  </w:footnote>
  <w:footnote w:id="124">
    <w:p w:rsidR="0006606E" w:rsidRPr="007877A3"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
        </w:rPr>
        <w:t xml:space="preserve">CIDH. Lineamientos principales para una política integral de reparaciones. 19 de febrero de 2008. Párr. 7. </w:t>
      </w:r>
    </w:p>
  </w:footnote>
  <w:footnote w:id="125">
    <w:p w:rsidR="0006606E" w:rsidRPr="0086030A" w:rsidRDefault="0006606E" w:rsidP="0086030A">
      <w:pPr>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R"/>
        </w:rPr>
        <w:t xml:space="preserve"> Comité contra la Tortura. </w:t>
      </w:r>
      <w:r w:rsidRPr="007877A3">
        <w:rPr>
          <w:rFonts w:ascii="Cambria" w:hAnsi="Cambria"/>
          <w:sz w:val="16"/>
          <w:szCs w:val="16"/>
          <w:lang w:val="es-CO"/>
        </w:rPr>
        <w:t>Observación General Nº 3 (2012). P</w:t>
      </w:r>
      <w:proofErr w:type="spellStart"/>
      <w:r w:rsidRPr="007877A3">
        <w:rPr>
          <w:rFonts w:ascii="Cambria" w:hAnsi="Cambria"/>
          <w:sz w:val="16"/>
          <w:szCs w:val="16"/>
          <w:lang w:val="es-ES"/>
        </w:rPr>
        <w:t>árr</w:t>
      </w:r>
      <w:proofErr w:type="spellEnd"/>
      <w:r w:rsidRPr="007877A3">
        <w:rPr>
          <w:rFonts w:ascii="Cambria" w:hAnsi="Cambria"/>
          <w:sz w:val="16"/>
          <w:szCs w:val="16"/>
          <w:lang w:val="es-ES"/>
        </w:rPr>
        <w:t>. 20</w:t>
      </w:r>
      <w:r>
        <w:rPr>
          <w:rFonts w:ascii="Cambria" w:hAnsi="Cambria"/>
          <w:sz w:val="16"/>
          <w:szCs w:val="16"/>
          <w:lang w:val="es-ES"/>
        </w:rPr>
        <w:t>.</w:t>
      </w:r>
    </w:p>
  </w:footnote>
  <w:footnote w:id="126">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Corte IDH.</w:t>
      </w:r>
      <w:r w:rsidRPr="007877A3">
        <w:rPr>
          <w:rFonts w:ascii="Cambria" w:hAnsi="Cambria"/>
          <w:sz w:val="16"/>
          <w:szCs w:val="16"/>
          <w:lang w:val="es-CO"/>
        </w:rPr>
        <w:t xml:space="preserve"> Caso Torres </w:t>
      </w:r>
      <w:proofErr w:type="spellStart"/>
      <w:r w:rsidRPr="007877A3">
        <w:rPr>
          <w:rFonts w:ascii="Cambria" w:hAnsi="Cambria"/>
          <w:sz w:val="16"/>
          <w:szCs w:val="16"/>
          <w:lang w:val="es-CO"/>
        </w:rPr>
        <w:t>Millacura</w:t>
      </w:r>
      <w:proofErr w:type="spellEnd"/>
      <w:r w:rsidRPr="007877A3">
        <w:rPr>
          <w:rFonts w:ascii="Cambria" w:hAnsi="Cambria"/>
          <w:sz w:val="16"/>
          <w:szCs w:val="16"/>
          <w:lang w:val="es-CO"/>
        </w:rPr>
        <w:t xml:space="preserve"> y otros Vs. Argentina. </w:t>
      </w:r>
      <w:r>
        <w:rPr>
          <w:rFonts w:ascii="Cambria" w:hAnsi="Cambria"/>
          <w:sz w:val="16"/>
          <w:szCs w:val="16"/>
          <w:lang w:val="es-CO"/>
        </w:rPr>
        <w:t xml:space="preserve">Fondo, Reparaciones y Costas. </w:t>
      </w:r>
      <w:r w:rsidRPr="007877A3">
        <w:rPr>
          <w:rFonts w:ascii="Cambria" w:hAnsi="Cambria"/>
          <w:sz w:val="16"/>
          <w:szCs w:val="16"/>
          <w:lang w:val="es-CO"/>
        </w:rPr>
        <w:t>Sentencia de 26 de agosto de 2011. Serie C No. 229, párr. 113.</w:t>
      </w:r>
    </w:p>
  </w:footnote>
  <w:footnote w:id="127">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CIDH.</w:t>
      </w:r>
      <w:r w:rsidRPr="007877A3">
        <w:rPr>
          <w:rFonts w:ascii="Cambria" w:hAnsi="Cambria"/>
          <w:sz w:val="16"/>
          <w:szCs w:val="16"/>
          <w:lang w:val="es-CO"/>
        </w:rPr>
        <w:t xml:space="preserve"> Informe No 26/09, caso 12.440, Wallace de Almeida, Brasil, 20 de marzo de 2009, párr. 119.</w:t>
      </w:r>
    </w:p>
  </w:footnote>
  <w:footnote w:id="128">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CIDH.</w:t>
      </w:r>
      <w:r w:rsidRPr="007877A3">
        <w:rPr>
          <w:rFonts w:ascii="Cambria" w:hAnsi="Cambria"/>
          <w:sz w:val="16"/>
          <w:szCs w:val="16"/>
          <w:lang w:val="es-CO"/>
        </w:rPr>
        <w:t xml:space="preserve"> Informe No 62/01, caso 11.564, Masacre de </w:t>
      </w:r>
      <w:proofErr w:type="spellStart"/>
      <w:r w:rsidRPr="007877A3">
        <w:rPr>
          <w:rFonts w:ascii="Cambria" w:hAnsi="Cambria"/>
          <w:sz w:val="16"/>
          <w:szCs w:val="16"/>
          <w:lang w:val="es-CO"/>
        </w:rPr>
        <w:t>Riofrío</w:t>
      </w:r>
      <w:proofErr w:type="spellEnd"/>
      <w:r w:rsidRPr="007877A3">
        <w:rPr>
          <w:rFonts w:ascii="Cambria" w:hAnsi="Cambria"/>
          <w:sz w:val="16"/>
          <w:szCs w:val="16"/>
          <w:lang w:val="es-CO"/>
        </w:rPr>
        <w:t>, Colombia, 6 de abril de 2001, párr. 44.</w:t>
      </w:r>
    </w:p>
  </w:footnote>
  <w:footnote w:id="129">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Corte IDH.</w:t>
      </w:r>
      <w:r w:rsidRPr="007877A3">
        <w:rPr>
          <w:rFonts w:ascii="Cambria" w:hAnsi="Cambria"/>
          <w:sz w:val="16"/>
          <w:szCs w:val="16"/>
          <w:lang w:val="es-CO"/>
        </w:rPr>
        <w:t xml:space="preserve"> </w:t>
      </w:r>
      <w:r w:rsidRPr="007877A3">
        <w:rPr>
          <w:rFonts w:ascii="Cambria" w:hAnsi="Cambria"/>
          <w:bCs/>
          <w:sz w:val="16"/>
          <w:szCs w:val="16"/>
          <w:lang w:val="es-CO"/>
        </w:rPr>
        <w:t>Caso Acevedo Buendía y otros Vs. Perú.</w:t>
      </w:r>
      <w:r w:rsidRPr="007877A3">
        <w:rPr>
          <w:rFonts w:ascii="Cambria" w:hAnsi="Cambria"/>
          <w:sz w:val="16"/>
          <w:szCs w:val="16"/>
          <w:lang w:val="es-CO"/>
        </w:rPr>
        <w:t xml:space="preserve"> </w:t>
      </w:r>
      <w:r>
        <w:rPr>
          <w:rFonts w:ascii="Cambria" w:hAnsi="Cambria"/>
          <w:sz w:val="16"/>
          <w:szCs w:val="16"/>
          <w:lang w:val="es-CO"/>
        </w:rPr>
        <w:t xml:space="preserve">Excepción Preliminar, Fondo, Reparaciones y Costas. </w:t>
      </w:r>
      <w:r w:rsidRPr="007877A3">
        <w:rPr>
          <w:rFonts w:ascii="Cambria" w:hAnsi="Cambria"/>
          <w:sz w:val="16"/>
          <w:szCs w:val="16"/>
          <w:lang w:val="es-CO"/>
        </w:rPr>
        <w:t>Sentencia de 1˚ de julio de 2009. Serie C No. 198, párr. 69.</w:t>
      </w:r>
    </w:p>
  </w:footnote>
  <w:footnote w:id="13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Corte IDH.</w:t>
      </w:r>
      <w:r w:rsidRPr="007877A3">
        <w:rPr>
          <w:rFonts w:ascii="Cambria" w:hAnsi="Cambria"/>
          <w:sz w:val="16"/>
          <w:szCs w:val="16"/>
          <w:lang w:val="es-CO"/>
        </w:rPr>
        <w:t xml:space="preserve"> </w:t>
      </w:r>
      <w:r w:rsidRPr="007877A3">
        <w:rPr>
          <w:rFonts w:ascii="Cambria" w:hAnsi="Cambria"/>
          <w:bCs/>
          <w:sz w:val="16"/>
          <w:szCs w:val="16"/>
          <w:lang w:val="es-CO"/>
        </w:rPr>
        <w:t xml:space="preserve">Caso </w:t>
      </w:r>
      <w:proofErr w:type="spellStart"/>
      <w:r w:rsidRPr="007877A3">
        <w:rPr>
          <w:rFonts w:ascii="Cambria" w:hAnsi="Cambria"/>
          <w:bCs/>
          <w:sz w:val="16"/>
          <w:szCs w:val="16"/>
          <w:lang w:val="es-CO"/>
        </w:rPr>
        <w:t>Reverón</w:t>
      </w:r>
      <w:proofErr w:type="spellEnd"/>
      <w:r w:rsidRPr="007877A3">
        <w:rPr>
          <w:rFonts w:ascii="Cambria" w:hAnsi="Cambria"/>
          <w:bCs/>
          <w:sz w:val="16"/>
          <w:szCs w:val="16"/>
          <w:lang w:val="es-CO"/>
        </w:rPr>
        <w:t xml:space="preserve"> Trujillo Vs. Venezuela.</w:t>
      </w:r>
      <w:r w:rsidRPr="007877A3">
        <w:rPr>
          <w:rFonts w:ascii="Cambria" w:hAnsi="Cambria"/>
          <w:sz w:val="16"/>
          <w:szCs w:val="16"/>
          <w:lang w:val="es-CO"/>
        </w:rPr>
        <w:t xml:space="preserve"> </w:t>
      </w:r>
      <w:r>
        <w:rPr>
          <w:rFonts w:ascii="Cambria" w:hAnsi="Cambria"/>
          <w:sz w:val="16"/>
          <w:szCs w:val="16"/>
          <w:lang w:val="es-CO"/>
        </w:rPr>
        <w:t>Excepción Preliminar, Fondo, Reparaciones y Costas.</w:t>
      </w:r>
      <w:r w:rsidRPr="007877A3">
        <w:rPr>
          <w:rFonts w:ascii="Cambria" w:hAnsi="Cambria"/>
          <w:sz w:val="16"/>
          <w:szCs w:val="16"/>
          <w:lang w:val="es-CO"/>
        </w:rPr>
        <w:t xml:space="preserve"> Sentencia de 30 de junio de 2009. Serie C No. 197, párr. 61.</w:t>
      </w:r>
    </w:p>
  </w:footnote>
  <w:footnote w:id="131">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BC1427">
        <w:rPr>
          <w:rFonts w:ascii="Cambria" w:hAnsi="Cambria"/>
          <w:sz w:val="16"/>
          <w:szCs w:val="16"/>
          <w:lang w:val="es-CO"/>
        </w:rPr>
        <w:t xml:space="preserve"> Corte IDH. </w:t>
      </w:r>
      <w:r w:rsidRPr="00BC1427">
        <w:rPr>
          <w:rFonts w:ascii="Cambria" w:hAnsi="Cambria"/>
          <w:bCs/>
          <w:sz w:val="16"/>
          <w:szCs w:val="16"/>
          <w:lang w:val="es-CO"/>
        </w:rPr>
        <w:t xml:space="preserve">Caso Cantos Vs. </w:t>
      </w:r>
      <w:r w:rsidRPr="007877A3">
        <w:rPr>
          <w:rFonts w:ascii="Cambria" w:hAnsi="Cambria"/>
          <w:bCs/>
          <w:sz w:val="16"/>
          <w:szCs w:val="16"/>
          <w:lang w:val="es-CO"/>
        </w:rPr>
        <w:t xml:space="preserve">Argentina. </w:t>
      </w:r>
      <w:r>
        <w:rPr>
          <w:rFonts w:ascii="Cambria" w:hAnsi="Cambria"/>
          <w:bCs/>
          <w:sz w:val="16"/>
          <w:szCs w:val="16"/>
          <w:lang w:val="es-CO"/>
        </w:rPr>
        <w:t xml:space="preserve">Fondo, Reparaciones y Costas. </w:t>
      </w:r>
      <w:r w:rsidRPr="007877A3">
        <w:rPr>
          <w:rFonts w:ascii="Cambria" w:hAnsi="Cambria"/>
          <w:sz w:val="16"/>
          <w:szCs w:val="16"/>
          <w:lang w:val="es-CO"/>
        </w:rPr>
        <w:t>Sentencia de 28 de noviembre de 2002. Serie C No. 97, párr. 52.</w:t>
      </w:r>
    </w:p>
  </w:footnote>
  <w:footnote w:id="132">
    <w:p w:rsidR="0006606E" w:rsidRPr="007877A3" w:rsidRDefault="0006606E" w:rsidP="00F92B8C">
      <w:pPr>
        <w:pStyle w:val="FootnoteText"/>
        <w:tabs>
          <w:tab w:val="left" w:pos="360"/>
          <w:tab w:val="left" w:pos="540"/>
        </w:tabs>
        <w:spacing w:after="120"/>
        <w:ind w:firstLine="720"/>
        <w:jc w:val="both"/>
        <w:rPr>
          <w:rFonts w:ascii="Cambria" w:hAnsi="Cambria" w:cs="Arial"/>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Pr>
          <w:rFonts w:ascii="Cambria" w:hAnsi="Cambria" w:cs="Times"/>
          <w:sz w:val="16"/>
          <w:szCs w:val="16"/>
          <w:lang w:val="es-ES"/>
        </w:rPr>
        <w:t>Corte IDH.</w:t>
      </w:r>
      <w:r w:rsidRPr="007877A3">
        <w:rPr>
          <w:rFonts w:ascii="Cambria" w:hAnsi="Cambria"/>
          <w:sz w:val="16"/>
          <w:szCs w:val="16"/>
          <w:lang w:val="es-ES"/>
        </w:rPr>
        <w:t xml:space="preserve"> Caso Zambrano Vélez y otros. </w:t>
      </w:r>
      <w:r>
        <w:rPr>
          <w:rFonts w:ascii="Cambria" w:hAnsi="Cambria"/>
          <w:sz w:val="16"/>
          <w:szCs w:val="16"/>
          <w:lang w:val="es-ES"/>
        </w:rPr>
        <w:t xml:space="preserve">Fondo, Reparaciones y Costas. </w:t>
      </w:r>
      <w:r w:rsidRPr="007877A3">
        <w:rPr>
          <w:rFonts w:ascii="Cambria" w:hAnsi="Cambria"/>
          <w:sz w:val="16"/>
          <w:szCs w:val="16"/>
          <w:lang w:val="es-ES"/>
        </w:rPr>
        <w:t xml:space="preserve">Sentencia de 4 de julio de 2004. Serie C No. 166, párr. 56; </w:t>
      </w:r>
      <w:r>
        <w:rPr>
          <w:rFonts w:ascii="Cambria" w:hAnsi="Cambria"/>
          <w:sz w:val="16"/>
          <w:szCs w:val="16"/>
          <w:lang w:val="es-ES"/>
        </w:rPr>
        <w:t xml:space="preserve">Caso La Cantuta. Fondo, Reparaciones y Costas. </w:t>
      </w:r>
      <w:r w:rsidRPr="007877A3">
        <w:rPr>
          <w:rFonts w:ascii="Cambria" w:hAnsi="Cambria" w:cs="Arial"/>
          <w:sz w:val="16"/>
          <w:szCs w:val="16"/>
          <w:lang w:val="es-ES"/>
        </w:rPr>
        <w:t xml:space="preserve">Sentencia de 29 de noviembre de 2006. Serie C No. 162, párr. 171; y Caso </w:t>
      </w:r>
      <w:proofErr w:type="spellStart"/>
      <w:r w:rsidRPr="007877A3">
        <w:rPr>
          <w:rFonts w:ascii="Cambria" w:hAnsi="Cambria" w:cs="Arial"/>
          <w:sz w:val="16"/>
          <w:szCs w:val="16"/>
          <w:lang w:val="es-ES"/>
        </w:rPr>
        <w:t>Almonacid</w:t>
      </w:r>
      <w:proofErr w:type="spellEnd"/>
      <w:r w:rsidRPr="007877A3">
        <w:rPr>
          <w:rFonts w:ascii="Cambria" w:hAnsi="Cambria" w:cs="Arial"/>
          <w:sz w:val="16"/>
          <w:szCs w:val="16"/>
          <w:lang w:val="es-ES"/>
        </w:rPr>
        <w:t xml:space="preserve"> Arellano y otros. </w:t>
      </w:r>
      <w:r>
        <w:rPr>
          <w:rFonts w:ascii="Cambria" w:hAnsi="Cambria" w:cs="Arial"/>
          <w:sz w:val="16"/>
          <w:szCs w:val="16"/>
          <w:lang w:val="es-ES"/>
        </w:rPr>
        <w:t xml:space="preserve">Excepciones Preliminares, Fondo, Reparaciones y Costas. </w:t>
      </w:r>
      <w:r w:rsidRPr="007877A3">
        <w:rPr>
          <w:rFonts w:ascii="Cambria" w:hAnsi="Cambria" w:cs="Arial"/>
          <w:sz w:val="16"/>
          <w:szCs w:val="16"/>
          <w:lang w:val="es-ES"/>
        </w:rPr>
        <w:t>Sentencia de 26 de septiembre de 2006. Serie C No. 154, párr. 117.</w:t>
      </w:r>
    </w:p>
  </w:footnote>
  <w:footnote w:id="133">
    <w:p w:rsidR="0006606E" w:rsidRPr="007877A3" w:rsidRDefault="0006606E" w:rsidP="00DC278B">
      <w:pPr>
        <w:tabs>
          <w:tab w:val="left" w:pos="360"/>
        </w:tabs>
        <w:spacing w:after="120"/>
        <w:ind w:firstLine="720"/>
        <w:jc w:val="both"/>
        <w:rPr>
          <w:rFonts w:ascii="Cambria" w:hAnsi="Cambria" w:cs="Times"/>
          <w:sz w:val="16"/>
          <w:szCs w:val="16"/>
          <w:lang w:val="es-ES"/>
        </w:rPr>
      </w:pPr>
      <w:r w:rsidRPr="003D58F2">
        <w:rPr>
          <w:rStyle w:val="FootnoteReference"/>
          <w:rFonts w:ascii="Cambria" w:hAnsi="Cambria"/>
          <w:sz w:val="16"/>
          <w:szCs w:val="16"/>
        </w:rPr>
        <w:footnoteRef/>
      </w:r>
      <w:r w:rsidRPr="003D58F2">
        <w:rPr>
          <w:rFonts w:ascii="Cambria" w:hAnsi="Cambria"/>
          <w:sz w:val="16"/>
          <w:szCs w:val="16"/>
          <w:lang w:val="es-ES"/>
        </w:rPr>
        <w:t xml:space="preserve"> </w:t>
      </w:r>
      <w:r w:rsidRPr="003D58F2">
        <w:rPr>
          <w:rFonts w:ascii="Cambria" w:hAnsi="Cambria" w:cs="Times"/>
          <w:sz w:val="16"/>
          <w:szCs w:val="16"/>
          <w:lang w:val="es-ES"/>
        </w:rPr>
        <w:t>Corte IDH.</w:t>
      </w:r>
      <w:r w:rsidRPr="003D58F2">
        <w:rPr>
          <w:rFonts w:ascii="Cambria" w:hAnsi="Cambria"/>
          <w:sz w:val="16"/>
          <w:szCs w:val="16"/>
          <w:lang w:val="es-ES"/>
        </w:rPr>
        <w:t xml:space="preserve"> Caso Zambrano Vélez y otros. Fondo, Reparaciones y Costas. Sentencia de 4 de julio de 2004. Serie C No. 166, párr. 56</w:t>
      </w:r>
      <w:r w:rsidRPr="003D58F2">
        <w:rPr>
          <w:rFonts w:ascii="Cambria" w:hAnsi="Cambria" w:cs="Arial"/>
          <w:sz w:val="16"/>
          <w:szCs w:val="16"/>
          <w:lang w:val="es-ES"/>
        </w:rPr>
        <w:t xml:space="preserve">; Caso La Cantuta. Fondo, Reparaciones y Costas. Sentencia de 29 de noviembre de 2006. Serie C No. 162, párr. 171; y </w:t>
      </w:r>
      <w:r w:rsidRPr="003D58F2">
        <w:rPr>
          <w:rFonts w:ascii="Cambria" w:hAnsi="Cambria" w:cs="Times"/>
          <w:iCs/>
          <w:sz w:val="16"/>
          <w:szCs w:val="16"/>
          <w:lang w:val="es-ES"/>
        </w:rPr>
        <w:t>Caso “Instituto de Reeducación del Menor”</w:t>
      </w:r>
      <w:r w:rsidRPr="003D58F2">
        <w:rPr>
          <w:rFonts w:ascii="Cambria" w:hAnsi="Cambria" w:cs="Times"/>
          <w:sz w:val="16"/>
          <w:szCs w:val="16"/>
          <w:lang w:val="es-ES"/>
        </w:rPr>
        <w:t xml:space="preserve">. Excepciones Preliminares, Fondo, Reparaciones y Costas. Sentencia de 2 de septiembre de 2004. Serie C No. 112, </w:t>
      </w:r>
      <w:r w:rsidRPr="003D58F2">
        <w:rPr>
          <w:rFonts w:ascii="Cambria" w:hAnsi="Cambria" w:cs="Arial"/>
          <w:sz w:val="16"/>
          <w:szCs w:val="16"/>
          <w:lang w:val="es-ES"/>
        </w:rPr>
        <w:t>párr. 205.</w:t>
      </w:r>
    </w:p>
  </w:footnote>
  <w:footnote w:id="134">
    <w:p w:rsidR="0006606E" w:rsidRPr="007877A3" w:rsidRDefault="0006606E" w:rsidP="00DC278B">
      <w:pPr>
        <w:tabs>
          <w:tab w:val="left" w:pos="360"/>
          <w:tab w:val="left" w:pos="520"/>
          <w:tab w:val="left" w:pos="720"/>
          <w:tab w:val="left" w:pos="1100"/>
          <w:tab w:val="left" w:pos="1440"/>
          <w:tab w:val="left" w:pos="2160"/>
          <w:tab w:val="left" w:pos="2880"/>
          <w:tab w:val="left" w:pos="3600"/>
          <w:tab w:val="left" w:pos="4320"/>
          <w:tab w:val="left" w:pos="5040"/>
          <w:tab w:val="left" w:pos="5760"/>
          <w:tab w:val="left" w:pos="6300"/>
          <w:tab w:val="left" w:pos="6480"/>
          <w:tab w:val="left" w:pos="7200"/>
          <w:tab w:val="left" w:pos="7920"/>
        </w:tabs>
        <w:spacing w:after="120"/>
        <w:ind w:firstLine="720"/>
        <w:jc w:val="both"/>
        <w:rPr>
          <w:rFonts w:ascii="Cambria" w:hAnsi="Cambria" w:cs="Arial"/>
          <w:sz w:val="16"/>
          <w:szCs w:val="16"/>
          <w:lang w:val="es-ES"/>
        </w:rPr>
      </w:pPr>
      <w:r w:rsidRPr="003D58F2">
        <w:rPr>
          <w:rStyle w:val="FootnoteReference"/>
          <w:rFonts w:ascii="Cambria" w:hAnsi="Cambria"/>
          <w:sz w:val="16"/>
          <w:szCs w:val="16"/>
        </w:rPr>
        <w:footnoteRef/>
      </w:r>
      <w:r w:rsidRPr="003D58F2">
        <w:rPr>
          <w:rFonts w:ascii="Cambria" w:hAnsi="Cambria"/>
          <w:sz w:val="16"/>
          <w:szCs w:val="16"/>
          <w:lang w:val="es-ES"/>
        </w:rPr>
        <w:t xml:space="preserve"> </w:t>
      </w:r>
      <w:r w:rsidRPr="003D58F2">
        <w:rPr>
          <w:rFonts w:ascii="Cambria" w:hAnsi="Cambria" w:cs="Times"/>
          <w:sz w:val="16"/>
          <w:szCs w:val="16"/>
          <w:lang w:val="es-ES"/>
        </w:rPr>
        <w:t>Corte IDH.</w:t>
      </w:r>
      <w:r w:rsidRPr="003D58F2">
        <w:rPr>
          <w:rFonts w:ascii="Cambria" w:hAnsi="Cambria"/>
          <w:sz w:val="16"/>
          <w:szCs w:val="16"/>
          <w:lang w:val="es-ES"/>
        </w:rPr>
        <w:t xml:space="preserve"> Caso Zambrano Vélez y otros. Fondo, Reparaciones y Costas. Sentencia de 4 de julio de 2004. Serie C No. 166, párr. 56</w:t>
      </w:r>
      <w:r w:rsidRPr="003D58F2">
        <w:rPr>
          <w:rFonts w:ascii="Cambria" w:hAnsi="Cambria" w:cs="Arial"/>
          <w:sz w:val="16"/>
          <w:szCs w:val="16"/>
          <w:lang w:val="es-ES"/>
        </w:rPr>
        <w:t xml:space="preserve">; Caso La Cantuta. Fondo, Reparaciones y Costas. Sentencia de 29 de noviembre de 2006. Serie C No. 162, párr. 172; y Caso </w:t>
      </w:r>
      <w:proofErr w:type="spellStart"/>
      <w:r w:rsidRPr="003D58F2">
        <w:rPr>
          <w:rFonts w:ascii="Cambria" w:hAnsi="Cambria" w:cs="Arial"/>
          <w:sz w:val="16"/>
          <w:szCs w:val="16"/>
          <w:lang w:val="es-ES"/>
        </w:rPr>
        <w:t>Almonacid</w:t>
      </w:r>
      <w:proofErr w:type="spellEnd"/>
      <w:r w:rsidRPr="003D58F2">
        <w:rPr>
          <w:rFonts w:ascii="Cambria" w:hAnsi="Cambria" w:cs="Arial"/>
          <w:sz w:val="16"/>
          <w:szCs w:val="16"/>
          <w:lang w:val="es-ES"/>
        </w:rPr>
        <w:t xml:space="preserve"> Arellano y otros. Excepciones Preliminares, Fondo, Reparaciones y Costas. Sentencia de 26 de septiembre de 2006. Serie C No. 154, párr. 118.</w:t>
      </w:r>
    </w:p>
  </w:footnote>
  <w:footnote w:id="135">
    <w:p w:rsidR="0006606E" w:rsidRPr="008210A7" w:rsidRDefault="0006606E" w:rsidP="008210A7">
      <w:pPr>
        <w:tabs>
          <w:tab w:val="left" w:pos="360"/>
        </w:tabs>
        <w:spacing w:after="120"/>
        <w:ind w:firstLine="720"/>
        <w:jc w:val="both"/>
        <w:rPr>
          <w:rFonts w:ascii="Cambria" w:hAnsi="Cambria" w:cs="Times"/>
          <w:iCs/>
          <w:sz w:val="16"/>
          <w:szCs w:val="16"/>
          <w:highlight w:val="yellow"/>
          <w:lang w:val="es-ES"/>
        </w:rPr>
      </w:pPr>
      <w:r w:rsidRPr="008210A7">
        <w:rPr>
          <w:rStyle w:val="FootnoteReference"/>
          <w:rFonts w:ascii="Cambria" w:hAnsi="Cambria"/>
          <w:sz w:val="16"/>
          <w:szCs w:val="16"/>
        </w:rPr>
        <w:footnoteRef/>
      </w:r>
      <w:r w:rsidRPr="008210A7">
        <w:rPr>
          <w:rFonts w:ascii="Cambria" w:hAnsi="Cambria"/>
          <w:sz w:val="16"/>
          <w:szCs w:val="16"/>
          <w:lang w:val="es-ES"/>
        </w:rPr>
        <w:t xml:space="preserve"> </w:t>
      </w:r>
      <w:r w:rsidRPr="008210A7">
        <w:rPr>
          <w:rFonts w:ascii="Cambria" w:hAnsi="Cambria" w:cs="Times"/>
          <w:sz w:val="16"/>
          <w:szCs w:val="16"/>
          <w:lang w:val="es-ES"/>
        </w:rPr>
        <w:t>Corte IDH.</w:t>
      </w:r>
      <w:r w:rsidRPr="008210A7">
        <w:rPr>
          <w:rFonts w:ascii="Cambria" w:hAnsi="Cambria"/>
          <w:sz w:val="16"/>
          <w:szCs w:val="16"/>
          <w:lang w:val="es-ES"/>
        </w:rPr>
        <w:t xml:space="preserve"> Caso Zambrano Vélez y otros. Fondo, Reparaciones y Costas. Sentencia de 4 de julio de 2004. Serie C No. 166, párr. 56</w:t>
      </w:r>
      <w:r w:rsidRPr="008210A7">
        <w:rPr>
          <w:rFonts w:ascii="Cambria" w:hAnsi="Cambria" w:cs="Arial"/>
          <w:sz w:val="16"/>
          <w:szCs w:val="16"/>
          <w:lang w:val="es-ES"/>
        </w:rPr>
        <w:t xml:space="preserve">; </w:t>
      </w:r>
      <w:r w:rsidRPr="008210A7">
        <w:rPr>
          <w:rFonts w:ascii="Cambria" w:hAnsi="Cambria" w:cs="Times"/>
          <w:iCs/>
          <w:sz w:val="16"/>
          <w:szCs w:val="16"/>
          <w:lang w:val="es-ES"/>
        </w:rPr>
        <w:t>Caso “La Última Tentación de Cristo” (Olmedo Bustos y otros).</w:t>
      </w:r>
      <w:r w:rsidRPr="008210A7">
        <w:rPr>
          <w:rFonts w:ascii="Cambria" w:hAnsi="Cambria" w:cs="Times"/>
          <w:sz w:val="16"/>
          <w:szCs w:val="16"/>
          <w:lang w:val="es-ES"/>
        </w:rPr>
        <w:t xml:space="preserve"> Sentencia de 5 de febrero de 2001. Serie C No. 73, </w:t>
      </w:r>
      <w:r w:rsidRPr="008210A7">
        <w:rPr>
          <w:rFonts w:ascii="Cambria" w:hAnsi="Cambria" w:cs="Arial"/>
          <w:sz w:val="16"/>
          <w:szCs w:val="16"/>
          <w:lang w:val="es-ES"/>
        </w:rPr>
        <w:t>párr. 172.</w:t>
      </w:r>
    </w:p>
  </w:footnote>
  <w:footnote w:id="136">
    <w:p w:rsidR="0006606E" w:rsidRPr="007877A3" w:rsidRDefault="0006606E" w:rsidP="00DC278B">
      <w:pPr>
        <w:tabs>
          <w:tab w:val="left" w:pos="360"/>
        </w:tabs>
        <w:spacing w:after="120"/>
        <w:ind w:firstLine="720"/>
        <w:jc w:val="both"/>
        <w:rPr>
          <w:rStyle w:val="FootnoteReference"/>
          <w:rFonts w:ascii="Cambria" w:hAnsi="Cambria"/>
          <w:sz w:val="16"/>
          <w:szCs w:val="16"/>
          <w:lang w:val="es-ES"/>
        </w:rPr>
      </w:pPr>
      <w:r w:rsidRPr="007877A3">
        <w:rPr>
          <w:rStyle w:val="FootnoteReference"/>
          <w:rFonts w:ascii="Cambria" w:hAnsi="Cambria"/>
          <w:sz w:val="16"/>
          <w:szCs w:val="16"/>
        </w:rPr>
        <w:footnoteRef/>
      </w:r>
      <w:r w:rsidRPr="007877A3">
        <w:rPr>
          <w:rStyle w:val="FootnoteReference"/>
          <w:rFonts w:ascii="Cambria" w:hAnsi="Cambria"/>
          <w:sz w:val="16"/>
          <w:szCs w:val="16"/>
          <w:lang w:val="es-ES"/>
        </w:rPr>
        <w:t xml:space="preserve"> </w:t>
      </w:r>
      <w:r>
        <w:rPr>
          <w:rFonts w:ascii="Cambria" w:hAnsi="Cambria" w:cs="Times"/>
          <w:sz w:val="16"/>
          <w:szCs w:val="16"/>
          <w:lang w:val="es-ES"/>
        </w:rPr>
        <w:t>Corte IDH.</w:t>
      </w:r>
      <w:r w:rsidRPr="007877A3">
        <w:rPr>
          <w:rFonts w:ascii="Cambria" w:hAnsi="Cambria"/>
          <w:sz w:val="16"/>
          <w:szCs w:val="16"/>
          <w:lang w:val="es-ES"/>
        </w:rPr>
        <w:t xml:space="preserve"> Caso Zambrano Vélez y otros. </w:t>
      </w:r>
      <w:r>
        <w:rPr>
          <w:rFonts w:ascii="Cambria" w:hAnsi="Cambria"/>
          <w:sz w:val="16"/>
          <w:szCs w:val="16"/>
          <w:lang w:val="es-ES"/>
        </w:rPr>
        <w:t xml:space="preserve">Fondo, Reparaciones y Costas. </w:t>
      </w:r>
      <w:r w:rsidRPr="007877A3">
        <w:rPr>
          <w:rFonts w:ascii="Cambria" w:hAnsi="Cambria"/>
          <w:sz w:val="16"/>
          <w:szCs w:val="16"/>
          <w:lang w:val="es-ES"/>
        </w:rPr>
        <w:t>Sentencia de 4 de julio de 2004. Serie C No. 166, párr. 56</w:t>
      </w:r>
      <w:r w:rsidRPr="007877A3">
        <w:rPr>
          <w:rFonts w:ascii="Cambria" w:hAnsi="Cambria" w:cs="Arial"/>
          <w:sz w:val="16"/>
          <w:szCs w:val="16"/>
          <w:lang w:val="es-ES"/>
        </w:rPr>
        <w:t>;</w:t>
      </w:r>
      <w:r w:rsidRPr="007877A3">
        <w:rPr>
          <w:rFonts w:ascii="Cambria" w:hAnsi="Cambria" w:cs="Times"/>
          <w:sz w:val="16"/>
          <w:szCs w:val="16"/>
          <w:lang w:val="es-ES"/>
        </w:rPr>
        <w:t xml:space="preserve"> </w:t>
      </w:r>
      <w:r w:rsidRPr="007877A3">
        <w:rPr>
          <w:rFonts w:ascii="Cambria" w:hAnsi="Cambria" w:cs="Times"/>
          <w:iCs/>
          <w:sz w:val="16"/>
          <w:szCs w:val="16"/>
          <w:lang w:val="es-ES"/>
        </w:rPr>
        <w:t>Caso Fermín Ramírez</w:t>
      </w:r>
      <w:r w:rsidRPr="007877A3">
        <w:rPr>
          <w:rFonts w:ascii="Cambria" w:hAnsi="Cambria" w:cs="Times"/>
          <w:sz w:val="16"/>
          <w:szCs w:val="16"/>
          <w:lang w:val="es-ES"/>
        </w:rPr>
        <w:t>.</w:t>
      </w:r>
      <w:r>
        <w:rPr>
          <w:rFonts w:ascii="Cambria" w:hAnsi="Cambria" w:cs="Times"/>
          <w:sz w:val="16"/>
          <w:szCs w:val="16"/>
          <w:lang w:val="es-ES"/>
        </w:rPr>
        <w:t xml:space="preserve"> Fondo, Reparaciones y Costas. </w:t>
      </w:r>
      <w:r w:rsidRPr="007877A3">
        <w:rPr>
          <w:rFonts w:ascii="Cambria" w:hAnsi="Cambria" w:cs="Times"/>
          <w:sz w:val="16"/>
          <w:szCs w:val="16"/>
          <w:lang w:val="es-ES"/>
        </w:rPr>
        <w:t xml:space="preserve"> Sentencia de 20 de junio de 2005. Serie C No. 126, </w:t>
      </w:r>
      <w:proofErr w:type="spellStart"/>
      <w:r w:rsidRPr="007877A3">
        <w:rPr>
          <w:rFonts w:ascii="Cambria" w:hAnsi="Cambria" w:cs="Times"/>
          <w:sz w:val="16"/>
          <w:szCs w:val="16"/>
          <w:lang w:val="es-ES"/>
        </w:rPr>
        <w:t>p</w:t>
      </w:r>
      <w:r w:rsidRPr="007877A3">
        <w:rPr>
          <w:rFonts w:ascii="Cambria" w:hAnsi="Cambria" w:cs="Arial"/>
          <w:sz w:val="16"/>
          <w:szCs w:val="16"/>
          <w:lang w:val="es-ES"/>
        </w:rPr>
        <w:t>árrs</w:t>
      </w:r>
      <w:proofErr w:type="spellEnd"/>
      <w:r w:rsidRPr="007877A3">
        <w:rPr>
          <w:rFonts w:ascii="Cambria" w:hAnsi="Cambria" w:cs="Arial"/>
          <w:sz w:val="16"/>
          <w:szCs w:val="16"/>
          <w:lang w:val="es-ES"/>
        </w:rPr>
        <w:t xml:space="preserve">. 97 y 130. </w:t>
      </w:r>
    </w:p>
  </w:footnote>
  <w:footnote w:id="137">
    <w:p w:rsidR="0006606E" w:rsidRPr="007877A3" w:rsidRDefault="0006606E" w:rsidP="00DC278B">
      <w:pPr>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Pr>
          <w:rFonts w:ascii="Cambria" w:hAnsi="Cambria" w:cs="Times"/>
          <w:sz w:val="16"/>
          <w:szCs w:val="16"/>
          <w:lang w:val="es-ES"/>
        </w:rPr>
        <w:t>Corte IDH.</w:t>
      </w:r>
      <w:r w:rsidRPr="007877A3">
        <w:rPr>
          <w:rFonts w:ascii="Cambria" w:hAnsi="Cambria"/>
          <w:sz w:val="16"/>
          <w:szCs w:val="16"/>
          <w:lang w:val="es-ES"/>
        </w:rPr>
        <w:t xml:space="preserve"> Caso Zambrano Vélez y otros. </w:t>
      </w:r>
      <w:r>
        <w:rPr>
          <w:rFonts w:ascii="Cambria" w:hAnsi="Cambria"/>
          <w:sz w:val="16"/>
          <w:szCs w:val="16"/>
          <w:lang w:val="es-ES"/>
        </w:rPr>
        <w:t xml:space="preserve">Fondo, Reparaciones y Costas. </w:t>
      </w:r>
      <w:r w:rsidRPr="007877A3">
        <w:rPr>
          <w:rFonts w:ascii="Cambria" w:hAnsi="Cambria"/>
          <w:sz w:val="16"/>
          <w:szCs w:val="16"/>
          <w:lang w:val="es-ES"/>
        </w:rPr>
        <w:t>Sentencia de 4 de julio de 2004. Serie C No. 166, párr. 56</w:t>
      </w:r>
      <w:r w:rsidRPr="007877A3">
        <w:rPr>
          <w:rFonts w:ascii="Cambria" w:hAnsi="Cambria" w:cs="Arial"/>
          <w:sz w:val="16"/>
          <w:szCs w:val="16"/>
          <w:lang w:val="es-ES"/>
        </w:rPr>
        <w:t>;</w:t>
      </w:r>
      <w:r w:rsidRPr="007877A3">
        <w:rPr>
          <w:rFonts w:ascii="Cambria" w:hAnsi="Cambria" w:cs="Times"/>
          <w:sz w:val="16"/>
          <w:szCs w:val="16"/>
          <w:lang w:val="es-ES"/>
        </w:rPr>
        <w:t xml:space="preserve"> </w:t>
      </w:r>
      <w:r w:rsidRPr="007877A3">
        <w:rPr>
          <w:rFonts w:ascii="Cambria" w:hAnsi="Cambria" w:cs="Times"/>
          <w:iCs/>
          <w:sz w:val="16"/>
          <w:szCs w:val="16"/>
          <w:lang w:val="es-ES"/>
        </w:rPr>
        <w:t xml:space="preserve">Caso </w:t>
      </w:r>
      <w:proofErr w:type="spellStart"/>
      <w:r w:rsidRPr="007877A3">
        <w:rPr>
          <w:rFonts w:ascii="Cambria" w:hAnsi="Cambria" w:cs="Times"/>
          <w:iCs/>
          <w:sz w:val="16"/>
          <w:szCs w:val="16"/>
          <w:lang w:val="es-ES"/>
        </w:rPr>
        <w:t>Yatama</w:t>
      </w:r>
      <w:proofErr w:type="spellEnd"/>
      <w:r w:rsidRPr="007877A3">
        <w:rPr>
          <w:rFonts w:ascii="Cambria" w:hAnsi="Cambria" w:cs="Times"/>
          <w:sz w:val="16"/>
          <w:szCs w:val="16"/>
          <w:lang w:val="es-ES"/>
        </w:rPr>
        <w:t>.</w:t>
      </w:r>
      <w:r>
        <w:rPr>
          <w:rFonts w:ascii="Cambria" w:hAnsi="Cambria" w:cs="Times"/>
          <w:sz w:val="16"/>
          <w:szCs w:val="16"/>
          <w:lang w:val="es-ES"/>
        </w:rPr>
        <w:t xml:space="preserve"> Excepciones Preliminares, Fondo, Reparaciones y Costas. </w:t>
      </w:r>
      <w:r w:rsidRPr="007877A3">
        <w:rPr>
          <w:rFonts w:ascii="Cambria" w:hAnsi="Cambria" w:cs="Times"/>
          <w:sz w:val="16"/>
          <w:szCs w:val="16"/>
          <w:lang w:val="es-ES"/>
        </w:rPr>
        <w:t xml:space="preserve"> Sentencia de 23 de junio de 2005.  Serie C No. 127, p</w:t>
      </w:r>
      <w:r w:rsidRPr="007877A3">
        <w:rPr>
          <w:rFonts w:ascii="Cambria" w:hAnsi="Cambria" w:cs="Arial"/>
          <w:sz w:val="16"/>
          <w:szCs w:val="16"/>
          <w:lang w:val="es-ES"/>
        </w:rPr>
        <w:t xml:space="preserve">árr. 254. </w:t>
      </w:r>
    </w:p>
  </w:footnote>
  <w:footnote w:id="138">
    <w:p w:rsidR="0006606E" w:rsidRPr="007877A3" w:rsidRDefault="0006606E" w:rsidP="00DC278B">
      <w:pPr>
        <w:tabs>
          <w:tab w:val="left" w:pos="360"/>
        </w:tabs>
        <w:spacing w:after="120"/>
        <w:ind w:firstLine="720"/>
        <w:jc w:val="both"/>
        <w:rPr>
          <w:rFonts w:ascii="Cambria" w:hAnsi="Cambria" w:cs="Times"/>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ES"/>
        </w:rPr>
        <w:t xml:space="preserve"> </w:t>
      </w:r>
      <w:r>
        <w:rPr>
          <w:rFonts w:ascii="Cambria" w:hAnsi="Cambria" w:cs="Times"/>
          <w:sz w:val="16"/>
          <w:szCs w:val="16"/>
          <w:lang w:val="es-ES"/>
        </w:rPr>
        <w:t>Corte I</w:t>
      </w:r>
      <w:r w:rsidRPr="007877A3">
        <w:rPr>
          <w:rFonts w:ascii="Cambria" w:hAnsi="Cambria" w:cs="Times"/>
          <w:sz w:val="16"/>
          <w:szCs w:val="16"/>
          <w:lang w:val="es-ES"/>
        </w:rPr>
        <w:t>D</w:t>
      </w:r>
      <w:r>
        <w:rPr>
          <w:rFonts w:ascii="Cambria" w:hAnsi="Cambria" w:cs="Times"/>
          <w:sz w:val="16"/>
          <w:szCs w:val="16"/>
          <w:lang w:val="es-ES"/>
        </w:rPr>
        <w:t>H.</w:t>
      </w:r>
      <w:r w:rsidRPr="007877A3">
        <w:rPr>
          <w:rFonts w:ascii="Cambria" w:hAnsi="Cambria"/>
          <w:sz w:val="16"/>
          <w:szCs w:val="16"/>
          <w:lang w:val="es-ES"/>
        </w:rPr>
        <w:t xml:space="preserve"> Caso Zambrano Vélez y otros.</w:t>
      </w:r>
      <w:r>
        <w:rPr>
          <w:rFonts w:ascii="Cambria" w:hAnsi="Cambria"/>
          <w:sz w:val="16"/>
          <w:szCs w:val="16"/>
          <w:lang w:val="es-ES"/>
        </w:rPr>
        <w:t xml:space="preserve"> Fondo, Reparaciones y Costas.</w:t>
      </w:r>
      <w:r w:rsidRPr="007877A3">
        <w:rPr>
          <w:rFonts w:ascii="Cambria" w:hAnsi="Cambria"/>
          <w:sz w:val="16"/>
          <w:szCs w:val="16"/>
          <w:lang w:val="es-ES"/>
        </w:rPr>
        <w:t xml:space="preserve"> Sentencia de 4 de julio de 2004. Serie C No. 166, párr. 56</w:t>
      </w:r>
      <w:r w:rsidRPr="007877A3">
        <w:rPr>
          <w:rFonts w:ascii="Cambria" w:hAnsi="Cambria" w:cs="Arial"/>
          <w:sz w:val="16"/>
          <w:szCs w:val="16"/>
          <w:lang w:val="es-ES"/>
        </w:rPr>
        <w:t xml:space="preserve">; </w:t>
      </w:r>
      <w:r w:rsidRPr="007877A3">
        <w:rPr>
          <w:rFonts w:ascii="Cambria" w:hAnsi="Cambria" w:cs="Times"/>
          <w:iCs/>
          <w:sz w:val="16"/>
          <w:szCs w:val="16"/>
          <w:lang w:val="es-ES"/>
        </w:rPr>
        <w:t xml:space="preserve">Caso </w:t>
      </w:r>
      <w:proofErr w:type="spellStart"/>
      <w:r w:rsidRPr="007877A3">
        <w:rPr>
          <w:rFonts w:ascii="Cambria" w:hAnsi="Cambria" w:cs="Times"/>
          <w:iCs/>
          <w:sz w:val="16"/>
          <w:szCs w:val="16"/>
          <w:lang w:val="es-ES"/>
        </w:rPr>
        <w:t>Raxcacó</w:t>
      </w:r>
      <w:proofErr w:type="spellEnd"/>
      <w:r w:rsidRPr="007877A3">
        <w:rPr>
          <w:rFonts w:ascii="Cambria" w:hAnsi="Cambria" w:cs="Times"/>
          <w:iCs/>
          <w:sz w:val="16"/>
          <w:szCs w:val="16"/>
          <w:lang w:val="es-ES"/>
        </w:rPr>
        <w:t xml:space="preserve"> Reyes</w:t>
      </w:r>
      <w:r w:rsidRPr="007877A3">
        <w:rPr>
          <w:rFonts w:ascii="Cambria" w:hAnsi="Cambria" w:cs="Times"/>
          <w:sz w:val="16"/>
          <w:szCs w:val="16"/>
          <w:lang w:val="es-ES"/>
        </w:rPr>
        <w:t xml:space="preserve">. </w:t>
      </w:r>
      <w:r>
        <w:rPr>
          <w:rFonts w:ascii="Cambria" w:hAnsi="Cambria" w:cs="Times"/>
          <w:sz w:val="16"/>
          <w:szCs w:val="16"/>
          <w:lang w:val="es-ES"/>
        </w:rPr>
        <w:t xml:space="preserve">Fondo, Reparaciones y Costas. </w:t>
      </w:r>
      <w:r w:rsidRPr="007877A3">
        <w:rPr>
          <w:rFonts w:ascii="Cambria" w:hAnsi="Cambria" w:cs="Times"/>
          <w:sz w:val="16"/>
          <w:szCs w:val="16"/>
          <w:lang w:val="es-ES"/>
        </w:rPr>
        <w:t xml:space="preserve">Sentencia de 15 de septiembre de 2005. Serie C No. 133, </w:t>
      </w:r>
      <w:proofErr w:type="spellStart"/>
      <w:r w:rsidRPr="007877A3">
        <w:rPr>
          <w:rFonts w:ascii="Cambria" w:hAnsi="Cambria" w:cs="Times"/>
          <w:sz w:val="16"/>
          <w:szCs w:val="16"/>
          <w:lang w:val="es-ES"/>
        </w:rPr>
        <w:t>p</w:t>
      </w:r>
      <w:r w:rsidRPr="007877A3">
        <w:rPr>
          <w:rFonts w:ascii="Cambria" w:hAnsi="Cambria" w:cs="Arial"/>
          <w:sz w:val="16"/>
          <w:szCs w:val="16"/>
          <w:lang w:val="es-ES"/>
        </w:rPr>
        <w:t>árrs</w:t>
      </w:r>
      <w:proofErr w:type="spellEnd"/>
      <w:r w:rsidRPr="007877A3">
        <w:rPr>
          <w:rFonts w:ascii="Cambria" w:hAnsi="Cambria" w:cs="Arial"/>
          <w:sz w:val="16"/>
          <w:szCs w:val="16"/>
          <w:lang w:val="es-ES"/>
        </w:rPr>
        <w:t xml:space="preserve">. 87 y 125. </w:t>
      </w:r>
    </w:p>
  </w:footnote>
  <w:footnote w:id="139">
    <w:p w:rsidR="0006606E" w:rsidRPr="007877A3" w:rsidRDefault="0006606E" w:rsidP="00DC278B">
      <w:pPr>
        <w:tabs>
          <w:tab w:val="left" w:pos="360"/>
          <w:tab w:val="left" w:pos="520"/>
          <w:tab w:val="left" w:pos="720"/>
          <w:tab w:val="left" w:pos="1100"/>
          <w:tab w:val="left" w:pos="1440"/>
          <w:tab w:val="left" w:pos="2160"/>
          <w:tab w:val="left" w:pos="2880"/>
          <w:tab w:val="left" w:pos="3600"/>
          <w:tab w:val="left" w:pos="4320"/>
          <w:tab w:val="left" w:pos="5040"/>
          <w:tab w:val="left" w:pos="5760"/>
          <w:tab w:val="left" w:pos="6300"/>
          <w:tab w:val="left" w:pos="6480"/>
          <w:tab w:val="left" w:pos="7200"/>
          <w:tab w:val="left" w:pos="7920"/>
        </w:tabs>
        <w:spacing w:after="120"/>
        <w:ind w:firstLine="720"/>
        <w:jc w:val="both"/>
        <w:rPr>
          <w:rFonts w:ascii="Cambria" w:hAnsi="Cambria"/>
          <w:sz w:val="16"/>
          <w:szCs w:val="16"/>
          <w:lang w:val="es-ES"/>
        </w:rPr>
      </w:pPr>
      <w:r w:rsidRPr="0090692F">
        <w:rPr>
          <w:rStyle w:val="FootnoteReference"/>
          <w:rFonts w:ascii="Cambria" w:hAnsi="Cambria"/>
          <w:sz w:val="16"/>
          <w:szCs w:val="16"/>
        </w:rPr>
        <w:footnoteRef/>
      </w:r>
      <w:r w:rsidRPr="0090692F">
        <w:rPr>
          <w:rFonts w:ascii="Cambria" w:hAnsi="Cambria"/>
          <w:sz w:val="16"/>
          <w:szCs w:val="16"/>
          <w:lang w:val="es-ES"/>
        </w:rPr>
        <w:t xml:space="preserve"> </w:t>
      </w:r>
      <w:r w:rsidRPr="0090692F">
        <w:rPr>
          <w:rFonts w:ascii="Cambria" w:hAnsi="Cambria" w:cs="Times"/>
          <w:sz w:val="16"/>
          <w:szCs w:val="16"/>
          <w:lang w:val="es-ES"/>
        </w:rPr>
        <w:t>Corte IDH.</w:t>
      </w:r>
      <w:r w:rsidRPr="0090692F">
        <w:rPr>
          <w:rFonts w:ascii="Cambria" w:hAnsi="Cambria"/>
          <w:sz w:val="16"/>
          <w:szCs w:val="16"/>
          <w:lang w:val="es-ES"/>
        </w:rPr>
        <w:t xml:space="preserve"> Caso Zambrano Vélez y otros. Fondo, Reparaciones y Costas. Sentencia de 4 de julio de 2004. Serie C No. 166, párr. 56</w:t>
      </w:r>
      <w:r w:rsidRPr="0090692F">
        <w:rPr>
          <w:rFonts w:ascii="Cambria" w:hAnsi="Cambria" w:cs="Arial"/>
          <w:sz w:val="16"/>
          <w:szCs w:val="16"/>
          <w:lang w:val="es-ES"/>
        </w:rPr>
        <w:t xml:space="preserve">; Caso La Cantuta. Fondo, Reparaciones y Costas. </w:t>
      </w:r>
      <w:r w:rsidRPr="0090692F">
        <w:rPr>
          <w:rFonts w:ascii="Cambria" w:hAnsi="Cambria" w:cs="Arial"/>
          <w:sz w:val="16"/>
          <w:szCs w:val="16"/>
          <w:lang w:val="es-ES_tradnl"/>
        </w:rPr>
        <w:t>Sentencia de 29 de noviembre de 2006.  Serie C No. 162, párr. 172</w:t>
      </w:r>
      <w:r w:rsidRPr="0090692F">
        <w:rPr>
          <w:rFonts w:ascii="Cambria" w:hAnsi="Cambria" w:cs="Arial"/>
          <w:sz w:val="16"/>
          <w:szCs w:val="16"/>
          <w:lang w:val="es-ES"/>
        </w:rPr>
        <w:t>.</w:t>
      </w:r>
    </w:p>
  </w:footnote>
  <w:footnote w:id="140">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Pr>
          <w:rFonts w:ascii="Cambria" w:hAnsi="Cambria"/>
          <w:sz w:val="16"/>
          <w:szCs w:val="16"/>
          <w:lang w:val="es-CO"/>
        </w:rPr>
        <w:t xml:space="preserve"> Corte IDH.</w:t>
      </w:r>
      <w:r w:rsidRPr="007877A3">
        <w:rPr>
          <w:rFonts w:ascii="Cambria" w:hAnsi="Cambria"/>
          <w:sz w:val="16"/>
          <w:szCs w:val="16"/>
          <w:lang w:val="es-CO"/>
        </w:rPr>
        <w:t xml:space="preserve"> </w:t>
      </w:r>
      <w:r w:rsidRPr="007877A3">
        <w:rPr>
          <w:rFonts w:ascii="Cambria" w:hAnsi="Cambria"/>
          <w:bCs/>
          <w:sz w:val="16"/>
          <w:szCs w:val="16"/>
          <w:lang w:val="es-CO"/>
        </w:rPr>
        <w:t>Caso Albán Cornejo y otros. Vs. Ecuador.</w:t>
      </w:r>
      <w:r w:rsidRPr="007877A3">
        <w:rPr>
          <w:rFonts w:ascii="Cambria" w:hAnsi="Cambria"/>
          <w:sz w:val="16"/>
          <w:szCs w:val="16"/>
          <w:lang w:val="es-CO"/>
        </w:rPr>
        <w:t xml:space="preserve"> </w:t>
      </w:r>
      <w:r>
        <w:rPr>
          <w:rFonts w:ascii="Cambria" w:hAnsi="Cambria"/>
          <w:sz w:val="16"/>
          <w:szCs w:val="16"/>
          <w:lang w:val="es-CO"/>
        </w:rPr>
        <w:t xml:space="preserve">Fondo, Reparaciones y Costas. </w:t>
      </w:r>
      <w:r w:rsidRPr="007877A3">
        <w:rPr>
          <w:rFonts w:ascii="Cambria" w:hAnsi="Cambria"/>
          <w:sz w:val="16"/>
          <w:szCs w:val="16"/>
          <w:lang w:val="es-CO"/>
        </w:rPr>
        <w:t>Sentencia de 22 de noviembre de 2007. Serie C No. 171, párr. 111.</w:t>
      </w:r>
    </w:p>
  </w:footnote>
  <w:footnote w:id="141">
    <w:p w:rsidR="0006606E" w:rsidRPr="007877A3" w:rsidRDefault="0006606E" w:rsidP="00BB75D1">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Corte IDH. Resolución de cumplimiento de sentencia. Caso Loayza Tamayo. </w:t>
      </w:r>
      <w:r w:rsidRPr="009C4A30">
        <w:rPr>
          <w:rFonts w:ascii="Cambria" w:hAnsi="Cambria"/>
          <w:sz w:val="16"/>
          <w:szCs w:val="16"/>
          <w:lang w:val="es-ES"/>
        </w:rPr>
        <w:t>1 de julio de 2011. Párr. 40. Citando:</w:t>
      </w:r>
      <w:r w:rsidRPr="007877A3">
        <w:rPr>
          <w:rFonts w:ascii="Cambria" w:hAnsi="Cambria"/>
          <w:sz w:val="16"/>
          <w:szCs w:val="16"/>
          <w:lang w:val="es-PR"/>
        </w:rPr>
        <w:tab/>
      </w:r>
      <w:r w:rsidRPr="009C4A30">
        <w:rPr>
          <w:rFonts w:ascii="Cambria" w:hAnsi="Cambria"/>
          <w:sz w:val="16"/>
          <w:szCs w:val="16"/>
          <w:lang w:val="es-ES"/>
        </w:rPr>
        <w:t xml:space="preserve">Cfr. Caso Barrios Altos Vs. Perú. </w:t>
      </w:r>
      <w:r w:rsidRPr="007877A3">
        <w:rPr>
          <w:rFonts w:ascii="Cambria" w:hAnsi="Cambria"/>
          <w:sz w:val="16"/>
          <w:szCs w:val="16"/>
          <w:lang w:val="es-CO"/>
        </w:rPr>
        <w:t xml:space="preserve">Fondo. Sentencia de 14 de marzo de 2001. Serie C No. 75, párr. </w:t>
      </w:r>
      <w:r w:rsidRPr="007877A3">
        <w:rPr>
          <w:rFonts w:ascii="Cambria" w:hAnsi="Cambria"/>
          <w:sz w:val="16"/>
          <w:szCs w:val="16"/>
          <w:lang w:val="pt-BR"/>
        </w:rPr>
        <w:t xml:space="preserve">41; </w:t>
      </w:r>
      <w:r w:rsidRPr="007877A3">
        <w:rPr>
          <w:rFonts w:ascii="Cambria" w:hAnsi="Cambria"/>
          <w:bCs/>
          <w:sz w:val="16"/>
          <w:szCs w:val="16"/>
          <w:lang w:val="pt-BR"/>
        </w:rPr>
        <w:t xml:space="preserve">Caso Gomes Lund y otros (Guerrilha do Araguaia) Vs. Brasil. </w:t>
      </w:r>
      <w:r w:rsidRPr="007877A3">
        <w:rPr>
          <w:rFonts w:ascii="Cambria" w:hAnsi="Cambria"/>
          <w:sz w:val="16"/>
          <w:szCs w:val="16"/>
          <w:lang w:val="es-CO"/>
        </w:rPr>
        <w:t xml:space="preserve">Excepciones Preliminares, Fondo, Reparaciones y Costas. Sentencia de 24 de noviembre de 2010. </w:t>
      </w:r>
      <w:r w:rsidRPr="009C4A30">
        <w:rPr>
          <w:rFonts w:ascii="Cambria" w:hAnsi="Cambria"/>
          <w:sz w:val="16"/>
          <w:szCs w:val="16"/>
          <w:lang w:val="es-ES"/>
        </w:rPr>
        <w:t xml:space="preserve">Serie C No. 219, párr. 171, y </w:t>
      </w:r>
      <w:r w:rsidRPr="009C4A30">
        <w:rPr>
          <w:rFonts w:ascii="Cambria" w:hAnsi="Cambria"/>
          <w:bCs/>
          <w:sz w:val="16"/>
          <w:szCs w:val="16"/>
          <w:lang w:val="es-ES"/>
        </w:rPr>
        <w:t xml:space="preserve">Caso </w:t>
      </w:r>
      <w:proofErr w:type="spellStart"/>
      <w:r w:rsidRPr="009C4A30">
        <w:rPr>
          <w:rFonts w:ascii="Cambria" w:hAnsi="Cambria"/>
          <w:bCs/>
          <w:sz w:val="16"/>
          <w:szCs w:val="16"/>
          <w:lang w:val="es-ES"/>
        </w:rPr>
        <w:t>Gelman</w:t>
      </w:r>
      <w:proofErr w:type="spellEnd"/>
      <w:r w:rsidRPr="009C4A30">
        <w:rPr>
          <w:rFonts w:ascii="Cambria" w:hAnsi="Cambria"/>
          <w:bCs/>
          <w:sz w:val="16"/>
          <w:szCs w:val="16"/>
          <w:lang w:val="es-ES"/>
        </w:rPr>
        <w:t xml:space="preserve"> Vs. Uruguay. </w:t>
      </w:r>
      <w:r w:rsidRPr="007877A3">
        <w:rPr>
          <w:rFonts w:ascii="Cambria" w:hAnsi="Cambria"/>
          <w:sz w:val="16"/>
          <w:szCs w:val="16"/>
          <w:lang w:val="es-CO"/>
        </w:rPr>
        <w:t>Fondo y Reparaciones. Sentencia de 24 de febrero de 2</w:t>
      </w:r>
      <w:r>
        <w:rPr>
          <w:rFonts w:ascii="Cambria" w:hAnsi="Cambria"/>
          <w:sz w:val="16"/>
          <w:szCs w:val="16"/>
          <w:lang w:val="es-CO"/>
        </w:rPr>
        <w:t xml:space="preserve">011 Serie C No. 221, párr. 225 </w:t>
      </w:r>
    </w:p>
  </w:footnote>
  <w:footnote w:id="142">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Corte IDH. Resolución de cumplimiento de sentencia. Caso Loayza Tamayo. </w:t>
      </w:r>
      <w:r w:rsidRPr="009C4A30">
        <w:rPr>
          <w:rFonts w:ascii="Cambria" w:hAnsi="Cambria"/>
          <w:sz w:val="16"/>
          <w:szCs w:val="16"/>
          <w:lang w:val="es-ES"/>
        </w:rPr>
        <w:t>1 de julio de 2011. Párr. 40. Citando:</w:t>
      </w:r>
      <w:r w:rsidRPr="009C4A30">
        <w:rPr>
          <w:rFonts w:ascii="Cambria" w:hAnsi="Cambria"/>
          <w:sz w:val="16"/>
          <w:szCs w:val="16"/>
          <w:lang w:val="es-ES"/>
        </w:rPr>
        <w:tab/>
        <w:t xml:space="preserve">Cfr. Caso </w:t>
      </w:r>
      <w:proofErr w:type="spellStart"/>
      <w:r w:rsidRPr="009C4A30">
        <w:rPr>
          <w:rFonts w:ascii="Cambria" w:hAnsi="Cambria"/>
          <w:sz w:val="16"/>
          <w:szCs w:val="16"/>
          <w:lang w:val="es-ES"/>
        </w:rPr>
        <w:t>Bulacio</w:t>
      </w:r>
      <w:proofErr w:type="spellEnd"/>
      <w:r w:rsidRPr="009C4A30">
        <w:rPr>
          <w:rFonts w:ascii="Cambria" w:hAnsi="Cambria"/>
          <w:sz w:val="16"/>
          <w:szCs w:val="16"/>
          <w:lang w:val="es-ES"/>
        </w:rPr>
        <w:t xml:space="preserve"> Vs. Argentina. </w:t>
      </w:r>
      <w:r w:rsidRPr="007877A3">
        <w:rPr>
          <w:rFonts w:ascii="Cambria" w:hAnsi="Cambria"/>
          <w:sz w:val="16"/>
          <w:szCs w:val="16"/>
          <w:lang w:val="es-CO"/>
        </w:rPr>
        <w:t xml:space="preserve">Fondo, Reparaciones y Costas. Sentencia de 18 de septiembre de 2003. Serie C No. 100, </w:t>
      </w:r>
      <w:proofErr w:type="spellStart"/>
      <w:r w:rsidRPr="007877A3">
        <w:rPr>
          <w:rFonts w:ascii="Cambria" w:hAnsi="Cambria"/>
          <w:sz w:val="16"/>
          <w:szCs w:val="16"/>
          <w:lang w:val="es-CO"/>
        </w:rPr>
        <w:t>párrs</w:t>
      </w:r>
      <w:proofErr w:type="spellEnd"/>
      <w:r w:rsidRPr="007877A3">
        <w:rPr>
          <w:rFonts w:ascii="Cambria" w:hAnsi="Cambria"/>
          <w:sz w:val="16"/>
          <w:szCs w:val="16"/>
          <w:lang w:val="es-CO"/>
        </w:rPr>
        <w:t xml:space="preserve">. </w:t>
      </w:r>
      <w:r w:rsidRPr="009C4A30">
        <w:rPr>
          <w:rFonts w:ascii="Cambria" w:hAnsi="Cambria"/>
          <w:sz w:val="16"/>
          <w:szCs w:val="16"/>
          <w:lang w:val="es-ES"/>
        </w:rPr>
        <w:t xml:space="preserve">115; Caso </w:t>
      </w:r>
      <w:proofErr w:type="spellStart"/>
      <w:r w:rsidRPr="009C4A30">
        <w:rPr>
          <w:rFonts w:ascii="Cambria" w:hAnsi="Cambria"/>
          <w:sz w:val="16"/>
          <w:szCs w:val="16"/>
          <w:lang w:val="es-ES"/>
        </w:rPr>
        <w:t>Bayarri</w:t>
      </w:r>
      <w:proofErr w:type="spellEnd"/>
      <w:r w:rsidRPr="009C4A30">
        <w:rPr>
          <w:rFonts w:ascii="Cambria" w:hAnsi="Cambria"/>
          <w:sz w:val="16"/>
          <w:szCs w:val="16"/>
          <w:lang w:val="es-ES"/>
        </w:rPr>
        <w:t xml:space="preserve"> </w:t>
      </w:r>
      <w:r w:rsidRPr="009C4A30">
        <w:rPr>
          <w:rFonts w:ascii="Cambria" w:hAnsi="Cambria" w:cs="Verdana-Bold"/>
          <w:bCs/>
          <w:sz w:val="16"/>
          <w:szCs w:val="16"/>
          <w:lang w:val="es-ES" w:bidi="en-US"/>
        </w:rPr>
        <w:t xml:space="preserve">Vs. Argentina. </w:t>
      </w:r>
      <w:r w:rsidRPr="007877A3">
        <w:rPr>
          <w:rFonts w:ascii="Cambria" w:hAnsi="Cambria" w:cs="Verdana"/>
          <w:sz w:val="16"/>
          <w:szCs w:val="16"/>
          <w:lang w:val="es-CO" w:bidi="en-US"/>
        </w:rPr>
        <w:t>Excepción Preliminar, Fondo, Reparaciones y Costas. Sentencia de 30 de octubre de 2008. Serie C No. 187, párr. 116;</w:t>
      </w:r>
      <w:r w:rsidRPr="007877A3">
        <w:rPr>
          <w:rFonts w:ascii="Cambria" w:hAnsi="Cambria"/>
          <w:sz w:val="16"/>
          <w:szCs w:val="16"/>
          <w:lang w:val="es-CO"/>
        </w:rPr>
        <w:t xml:space="preserve"> </w:t>
      </w:r>
      <w:r w:rsidRPr="007877A3">
        <w:rPr>
          <w:rFonts w:ascii="Cambria" w:hAnsi="Cambria"/>
          <w:bCs/>
          <w:sz w:val="16"/>
          <w:szCs w:val="16"/>
          <w:lang w:val="es-CO"/>
        </w:rPr>
        <w:t xml:space="preserve">Caso Carpio </w:t>
      </w:r>
      <w:proofErr w:type="spellStart"/>
      <w:r w:rsidRPr="007877A3">
        <w:rPr>
          <w:rFonts w:ascii="Cambria" w:hAnsi="Cambria"/>
          <w:bCs/>
          <w:sz w:val="16"/>
          <w:szCs w:val="16"/>
          <w:lang w:val="es-CO"/>
        </w:rPr>
        <w:t>Nicolle</w:t>
      </w:r>
      <w:proofErr w:type="spellEnd"/>
      <w:r w:rsidRPr="007877A3">
        <w:rPr>
          <w:rFonts w:ascii="Cambria" w:hAnsi="Cambria"/>
          <w:bCs/>
          <w:sz w:val="16"/>
          <w:szCs w:val="16"/>
          <w:lang w:val="es-CO"/>
        </w:rPr>
        <w:t xml:space="preserve"> y otros Vs. </w:t>
      </w:r>
      <w:r w:rsidRPr="009C4A30">
        <w:rPr>
          <w:rFonts w:ascii="Cambria" w:hAnsi="Cambria"/>
          <w:bCs/>
          <w:sz w:val="16"/>
          <w:szCs w:val="16"/>
          <w:lang w:val="es-ES"/>
        </w:rPr>
        <w:t>Guatemala.</w:t>
      </w:r>
      <w:r w:rsidRPr="009C4A30">
        <w:rPr>
          <w:rFonts w:ascii="Cambria" w:hAnsi="Cambria"/>
          <w:sz w:val="16"/>
          <w:szCs w:val="16"/>
          <w:lang w:val="es-ES"/>
        </w:rPr>
        <w:t xml:space="preserve"> </w:t>
      </w:r>
      <w:r w:rsidRPr="007877A3">
        <w:rPr>
          <w:rFonts w:ascii="Cambria" w:hAnsi="Cambria"/>
          <w:sz w:val="16"/>
          <w:szCs w:val="16"/>
          <w:lang w:val="es-CO"/>
        </w:rPr>
        <w:t xml:space="preserve">Supervisión de Cumplimiento de Sentencia. Resolución de la Corte Interamericana de Derechos Humanos de 01 de julio de 2009, Considerando décimo cuarto, y </w:t>
      </w:r>
      <w:r w:rsidRPr="007877A3">
        <w:rPr>
          <w:rFonts w:ascii="Cambria" w:hAnsi="Cambria"/>
          <w:bCs/>
          <w:sz w:val="16"/>
          <w:szCs w:val="16"/>
          <w:lang w:val="es-CO"/>
        </w:rPr>
        <w:t xml:space="preserve">Caso </w:t>
      </w:r>
      <w:proofErr w:type="spellStart"/>
      <w:r w:rsidRPr="007877A3">
        <w:rPr>
          <w:rFonts w:ascii="Cambria" w:hAnsi="Cambria"/>
          <w:bCs/>
          <w:sz w:val="16"/>
          <w:szCs w:val="16"/>
          <w:lang w:val="es-CO"/>
        </w:rPr>
        <w:t>Ivcher</w:t>
      </w:r>
      <w:proofErr w:type="spellEnd"/>
      <w:r w:rsidRPr="007877A3">
        <w:rPr>
          <w:rFonts w:ascii="Cambria" w:hAnsi="Cambria"/>
          <w:bCs/>
          <w:sz w:val="16"/>
          <w:szCs w:val="16"/>
          <w:lang w:val="es-CO"/>
        </w:rPr>
        <w:t xml:space="preserve"> </w:t>
      </w:r>
      <w:proofErr w:type="spellStart"/>
      <w:r w:rsidRPr="007877A3">
        <w:rPr>
          <w:rFonts w:ascii="Cambria" w:hAnsi="Cambria"/>
          <w:bCs/>
          <w:sz w:val="16"/>
          <w:szCs w:val="16"/>
          <w:lang w:val="es-CO"/>
        </w:rPr>
        <w:t>Bronstein</w:t>
      </w:r>
      <w:proofErr w:type="spellEnd"/>
      <w:r w:rsidRPr="007877A3">
        <w:rPr>
          <w:rFonts w:ascii="Cambria" w:hAnsi="Cambria"/>
          <w:bCs/>
          <w:sz w:val="16"/>
          <w:szCs w:val="16"/>
          <w:lang w:val="es-CO"/>
        </w:rPr>
        <w:t xml:space="preserve"> Vs. </w:t>
      </w:r>
      <w:r w:rsidRPr="009C4A30">
        <w:rPr>
          <w:rFonts w:ascii="Cambria" w:hAnsi="Cambria"/>
          <w:bCs/>
          <w:sz w:val="16"/>
          <w:szCs w:val="16"/>
          <w:lang w:val="es-ES"/>
        </w:rPr>
        <w:t>Perú.</w:t>
      </w:r>
      <w:r w:rsidRPr="009C4A30">
        <w:rPr>
          <w:rFonts w:ascii="Cambria" w:hAnsi="Cambria"/>
          <w:sz w:val="16"/>
          <w:szCs w:val="16"/>
          <w:lang w:val="es-ES"/>
        </w:rPr>
        <w:t xml:space="preserve"> </w:t>
      </w:r>
      <w:r w:rsidRPr="007877A3">
        <w:rPr>
          <w:rFonts w:ascii="Cambria" w:hAnsi="Cambria"/>
          <w:sz w:val="16"/>
          <w:szCs w:val="16"/>
          <w:lang w:val="es-CO"/>
        </w:rPr>
        <w:t>Supervisión de Cumplimiento de Sentencia. Resolución de la Corte Interamericana de Derechos Humanos de 24 de noviembre de 2009, Considerando décimo séptimo.</w:t>
      </w:r>
    </w:p>
  </w:footnote>
  <w:footnote w:id="143">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Corte IDH. Resolución de cumplimiento de sentencia. Caso Loayza Tamayo. 1 de julio de 2011. Párr. 40. </w:t>
      </w:r>
      <w:proofErr w:type="spellStart"/>
      <w:r w:rsidRPr="007877A3">
        <w:rPr>
          <w:rFonts w:ascii="Cambria" w:hAnsi="Cambria"/>
          <w:sz w:val="16"/>
          <w:szCs w:val="16"/>
          <w:lang w:val="es-CO"/>
        </w:rPr>
        <w:t>Citando</w:t>
      </w:r>
      <w:proofErr w:type="gramStart"/>
      <w:r w:rsidRPr="007877A3">
        <w:rPr>
          <w:rFonts w:ascii="Cambria" w:hAnsi="Cambria"/>
          <w:sz w:val="16"/>
          <w:szCs w:val="16"/>
          <w:lang w:val="es-CO"/>
        </w:rPr>
        <w:t>:Cfr</w:t>
      </w:r>
      <w:proofErr w:type="spellEnd"/>
      <w:proofErr w:type="gramEnd"/>
      <w:r w:rsidRPr="007877A3">
        <w:rPr>
          <w:rFonts w:ascii="Cambria" w:hAnsi="Cambria"/>
          <w:sz w:val="16"/>
          <w:szCs w:val="16"/>
          <w:lang w:val="es-CO"/>
        </w:rPr>
        <w:t xml:space="preserve">. Caso </w:t>
      </w:r>
      <w:proofErr w:type="spellStart"/>
      <w:r w:rsidRPr="007877A3">
        <w:rPr>
          <w:rFonts w:ascii="Cambria" w:hAnsi="Cambria"/>
          <w:sz w:val="16"/>
          <w:szCs w:val="16"/>
          <w:lang w:val="es-CO"/>
        </w:rPr>
        <w:t>Almonacid</w:t>
      </w:r>
      <w:proofErr w:type="spellEnd"/>
      <w:r w:rsidRPr="007877A3">
        <w:rPr>
          <w:rFonts w:ascii="Cambria" w:hAnsi="Cambria"/>
          <w:sz w:val="16"/>
          <w:szCs w:val="16"/>
          <w:lang w:val="es-CO"/>
        </w:rPr>
        <w:t xml:space="preserve"> Arellano y otros Vs. Chile. Excepciones Preliminares, Fondo, Reparaciones y Costas. Sentencia de 26 de septiembre de 2006. </w:t>
      </w:r>
      <w:r w:rsidRPr="007877A3">
        <w:rPr>
          <w:rFonts w:ascii="Cambria" w:hAnsi="Cambria"/>
          <w:sz w:val="16"/>
          <w:szCs w:val="16"/>
          <w:lang w:val="pt-BR"/>
        </w:rPr>
        <w:t xml:space="preserve">Serie C No. 154, párr. 124; </w:t>
      </w:r>
      <w:r w:rsidRPr="007877A3">
        <w:rPr>
          <w:rFonts w:ascii="Cambria" w:hAnsi="Cambria"/>
          <w:bCs/>
          <w:sz w:val="16"/>
          <w:szCs w:val="16"/>
          <w:lang w:val="pt-BR"/>
        </w:rPr>
        <w:t>Caso Gomes Lund y otros (Guerrilha do Araguaia)</w:t>
      </w:r>
      <w:r w:rsidRPr="007877A3">
        <w:rPr>
          <w:rFonts w:ascii="Cambria" w:hAnsi="Cambria"/>
          <w:sz w:val="16"/>
          <w:szCs w:val="16"/>
          <w:lang w:val="pt-BR"/>
        </w:rPr>
        <w:t xml:space="preserve">, supra nota 15, párr. </w:t>
      </w:r>
      <w:r w:rsidRPr="009C4A30">
        <w:rPr>
          <w:rFonts w:ascii="Cambria" w:hAnsi="Cambria"/>
          <w:sz w:val="16"/>
          <w:szCs w:val="16"/>
          <w:lang w:val="es-ES"/>
        </w:rPr>
        <w:t>176, y</w:t>
      </w:r>
      <w:r w:rsidRPr="009C4A30">
        <w:rPr>
          <w:rFonts w:ascii="Cambria" w:hAnsi="Cambria"/>
          <w:bCs/>
          <w:sz w:val="16"/>
          <w:szCs w:val="16"/>
          <w:lang w:val="es-ES"/>
        </w:rPr>
        <w:t xml:space="preserve"> Caso </w:t>
      </w:r>
      <w:proofErr w:type="spellStart"/>
      <w:r w:rsidRPr="009C4A30">
        <w:rPr>
          <w:rFonts w:ascii="Cambria" w:hAnsi="Cambria"/>
          <w:bCs/>
          <w:sz w:val="16"/>
          <w:szCs w:val="16"/>
          <w:lang w:val="es-ES"/>
        </w:rPr>
        <w:t>Gelman</w:t>
      </w:r>
      <w:proofErr w:type="spellEnd"/>
      <w:r w:rsidRPr="009C4A30">
        <w:rPr>
          <w:rFonts w:ascii="Cambria" w:hAnsi="Cambria"/>
          <w:bCs/>
          <w:sz w:val="16"/>
          <w:szCs w:val="16"/>
          <w:lang w:val="es-ES"/>
        </w:rPr>
        <w:t xml:space="preserve"> Vs. Uruguay</w:t>
      </w:r>
      <w:r w:rsidRPr="009C4A30">
        <w:rPr>
          <w:rFonts w:ascii="Cambria" w:hAnsi="Cambria"/>
          <w:sz w:val="16"/>
          <w:szCs w:val="16"/>
          <w:lang w:val="es-ES"/>
        </w:rPr>
        <w:t xml:space="preserve">, supra nota 15, párr. </w:t>
      </w:r>
      <w:r w:rsidRPr="007877A3">
        <w:rPr>
          <w:rFonts w:ascii="Cambria" w:hAnsi="Cambria"/>
          <w:sz w:val="16"/>
          <w:szCs w:val="16"/>
          <w:lang w:val="es-CO"/>
        </w:rPr>
        <w:t>193.</w:t>
      </w:r>
    </w:p>
  </w:footnote>
  <w:footnote w:id="144">
    <w:p w:rsidR="0006606E" w:rsidRPr="00980930"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7877A3">
        <w:rPr>
          <w:rFonts w:ascii="Cambria" w:hAnsi="Cambria"/>
          <w:sz w:val="16"/>
          <w:szCs w:val="16"/>
          <w:lang w:val="es-CO"/>
        </w:rPr>
        <w:t xml:space="preserve"> Corte IDH. Resolución de cumplimiento de sentencia. Caso Loayza Tamayo. </w:t>
      </w:r>
      <w:r w:rsidRPr="009C4A30">
        <w:rPr>
          <w:rFonts w:ascii="Cambria" w:hAnsi="Cambria"/>
          <w:sz w:val="16"/>
          <w:szCs w:val="16"/>
          <w:lang w:val="es-ES"/>
        </w:rPr>
        <w:t xml:space="preserve">1 de julio de 2011. </w:t>
      </w:r>
      <w:r w:rsidRPr="00980930">
        <w:rPr>
          <w:rFonts w:ascii="Cambria" w:hAnsi="Cambria"/>
          <w:sz w:val="16"/>
          <w:szCs w:val="16"/>
          <w:lang w:val="es-ES"/>
        </w:rPr>
        <w:t xml:space="preserve">Párr. 40. </w:t>
      </w:r>
    </w:p>
  </w:footnote>
  <w:footnote w:id="145">
    <w:p w:rsidR="0006606E" w:rsidRPr="0006606E"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980930">
        <w:rPr>
          <w:rFonts w:ascii="Cambria" w:hAnsi="Cambria"/>
          <w:sz w:val="16"/>
          <w:szCs w:val="16"/>
          <w:lang w:val="es-ES"/>
        </w:rPr>
        <w:t xml:space="preserve"> Corte IDH. </w:t>
      </w:r>
      <w:r w:rsidRPr="00980930">
        <w:rPr>
          <w:rFonts w:ascii="Cambria" w:hAnsi="Cambria"/>
          <w:bCs/>
          <w:sz w:val="16"/>
          <w:szCs w:val="16"/>
          <w:lang w:val="es-ES"/>
        </w:rPr>
        <w:t xml:space="preserve">Caso Barrios Altos Vs. Perú. </w:t>
      </w:r>
      <w:r w:rsidRPr="00980930">
        <w:rPr>
          <w:rFonts w:ascii="Cambria" w:hAnsi="Cambria"/>
          <w:sz w:val="16"/>
          <w:szCs w:val="16"/>
          <w:lang w:val="es-ES"/>
        </w:rPr>
        <w:t xml:space="preserve">Sentencia de 14 de marzo de 2001. </w:t>
      </w:r>
      <w:r w:rsidRPr="0006606E">
        <w:rPr>
          <w:rFonts w:ascii="Cambria" w:hAnsi="Cambria"/>
          <w:sz w:val="16"/>
          <w:szCs w:val="16"/>
          <w:lang w:val="es-ES"/>
        </w:rPr>
        <w:t>Serie C No. 75, párr. 41.</w:t>
      </w:r>
    </w:p>
  </w:footnote>
  <w:footnote w:id="146">
    <w:p w:rsidR="0006606E" w:rsidRPr="0006606E" w:rsidRDefault="0006606E" w:rsidP="00DC278B">
      <w:pPr>
        <w:pStyle w:val="FootnoteText"/>
        <w:tabs>
          <w:tab w:val="left" w:pos="360"/>
        </w:tabs>
        <w:spacing w:after="120"/>
        <w:ind w:firstLine="720"/>
        <w:jc w:val="both"/>
        <w:rPr>
          <w:rFonts w:ascii="Cambria" w:hAnsi="Cambria"/>
          <w:sz w:val="16"/>
          <w:szCs w:val="16"/>
          <w:lang w:val="es-ES"/>
        </w:rPr>
      </w:pPr>
      <w:r w:rsidRPr="007877A3">
        <w:rPr>
          <w:rStyle w:val="FootnoteReference"/>
          <w:rFonts w:ascii="Cambria" w:hAnsi="Cambria"/>
          <w:sz w:val="16"/>
          <w:szCs w:val="16"/>
        </w:rPr>
        <w:footnoteRef/>
      </w:r>
      <w:r w:rsidRPr="0006606E">
        <w:rPr>
          <w:rFonts w:ascii="Cambria" w:hAnsi="Cambria"/>
          <w:sz w:val="16"/>
          <w:szCs w:val="16"/>
          <w:lang w:val="es-ES"/>
        </w:rPr>
        <w:t xml:space="preserve">CIDH, Informe No 35/98, caso 12.019, Antonio Ferreira Braga, Brasil, 19 de julio de 2008. </w:t>
      </w:r>
    </w:p>
  </w:footnote>
  <w:footnote w:id="147">
    <w:p w:rsidR="0006606E" w:rsidRPr="007877A3" w:rsidRDefault="0006606E" w:rsidP="00DC278B">
      <w:pPr>
        <w:pStyle w:val="FootnoteText"/>
        <w:tabs>
          <w:tab w:val="left" w:pos="360"/>
        </w:tabs>
        <w:spacing w:after="120"/>
        <w:ind w:firstLine="720"/>
        <w:jc w:val="both"/>
        <w:rPr>
          <w:rFonts w:ascii="Cambria" w:hAnsi="Cambria"/>
          <w:sz w:val="16"/>
          <w:szCs w:val="16"/>
          <w:lang w:val="es-ES_tradnl"/>
        </w:rPr>
      </w:pPr>
      <w:r w:rsidRPr="007877A3">
        <w:rPr>
          <w:rStyle w:val="FootnoteReference"/>
          <w:rFonts w:ascii="Cambria" w:hAnsi="Cambria"/>
          <w:sz w:val="16"/>
          <w:szCs w:val="16"/>
        </w:rPr>
        <w:footnoteRef/>
      </w:r>
      <w:r w:rsidRPr="009C4A30">
        <w:rPr>
          <w:rFonts w:ascii="Cambria" w:hAnsi="Cambria"/>
          <w:sz w:val="16"/>
          <w:szCs w:val="16"/>
          <w:lang w:val="es-ES"/>
        </w:rPr>
        <w:t xml:space="preserve"> </w:t>
      </w:r>
      <w:r w:rsidRPr="009C4A30">
        <w:rPr>
          <w:rFonts w:ascii="Cambria" w:hAnsi="Cambria" w:cs="Verdana"/>
          <w:bCs/>
          <w:sz w:val="16"/>
          <w:szCs w:val="16"/>
          <w:bdr w:val="none" w:sz="0" w:space="0" w:color="auto"/>
          <w:lang w:val="es-ES"/>
        </w:rPr>
        <w:t xml:space="preserve">Corte IDH. Caso Vera </w:t>
      </w:r>
      <w:proofErr w:type="spellStart"/>
      <w:r w:rsidRPr="009C4A30">
        <w:rPr>
          <w:rFonts w:ascii="Cambria" w:hAnsi="Cambria" w:cs="Verdana"/>
          <w:bCs/>
          <w:sz w:val="16"/>
          <w:szCs w:val="16"/>
          <w:bdr w:val="none" w:sz="0" w:space="0" w:color="auto"/>
          <w:lang w:val="es-ES"/>
        </w:rPr>
        <w:t>Vera</w:t>
      </w:r>
      <w:proofErr w:type="spellEnd"/>
      <w:r w:rsidRPr="009C4A30">
        <w:rPr>
          <w:rFonts w:ascii="Cambria" w:hAnsi="Cambria" w:cs="Verdana"/>
          <w:bCs/>
          <w:sz w:val="16"/>
          <w:szCs w:val="16"/>
          <w:bdr w:val="none" w:sz="0" w:space="0" w:color="auto"/>
          <w:lang w:val="es-ES"/>
        </w:rPr>
        <w:t xml:space="preserve"> y otra Vs. Ecuador. </w:t>
      </w:r>
      <w:r w:rsidRPr="007877A3">
        <w:rPr>
          <w:rFonts w:ascii="Cambria" w:hAnsi="Cambria" w:cs="Verdana"/>
          <w:bCs/>
          <w:sz w:val="16"/>
          <w:szCs w:val="16"/>
          <w:bdr w:val="none" w:sz="0" w:space="0" w:color="auto"/>
          <w:lang w:val="es-CO"/>
        </w:rPr>
        <w:t xml:space="preserve">Excepción Preliminar, Fondo, Reparaciones y Costas. Sentencia </w:t>
      </w:r>
      <w:r>
        <w:rPr>
          <w:rFonts w:ascii="Cambria" w:hAnsi="Cambria" w:cs="Verdana"/>
          <w:bCs/>
          <w:sz w:val="16"/>
          <w:szCs w:val="16"/>
          <w:bdr w:val="none" w:sz="0" w:space="0" w:color="auto"/>
          <w:lang w:val="es-CO"/>
        </w:rPr>
        <w:t>de 19 de mayo de 2011. Serie C N</w:t>
      </w:r>
      <w:r w:rsidRPr="007877A3">
        <w:rPr>
          <w:rFonts w:ascii="Cambria" w:hAnsi="Cambria" w:cs="Verdana"/>
          <w:bCs/>
          <w:sz w:val="16"/>
          <w:szCs w:val="16"/>
          <w:bdr w:val="none" w:sz="0" w:space="0" w:color="auto"/>
          <w:lang w:val="es-CO"/>
        </w:rPr>
        <w:t>o. 226. Párr. 117.</w:t>
      </w:r>
    </w:p>
  </w:footnote>
  <w:footnote w:id="148">
    <w:p w:rsidR="0006606E" w:rsidRPr="0006606E" w:rsidRDefault="0006606E" w:rsidP="00DC278B">
      <w:pPr>
        <w:pStyle w:val="FootnoteText"/>
        <w:tabs>
          <w:tab w:val="left" w:pos="360"/>
        </w:tabs>
        <w:spacing w:after="120"/>
        <w:ind w:firstLine="720"/>
        <w:jc w:val="both"/>
        <w:rPr>
          <w:rFonts w:ascii="Cambria" w:hAnsi="Cambria"/>
          <w:sz w:val="16"/>
          <w:szCs w:val="16"/>
          <w:lang w:val="es-MX"/>
        </w:rPr>
      </w:pPr>
      <w:r w:rsidRPr="007877A3">
        <w:rPr>
          <w:rStyle w:val="FootnoteReference"/>
          <w:rFonts w:ascii="Cambria" w:hAnsi="Cambria"/>
          <w:sz w:val="16"/>
          <w:szCs w:val="16"/>
        </w:rPr>
        <w:footnoteRef/>
      </w:r>
      <w:r w:rsidRPr="007877A3">
        <w:rPr>
          <w:rFonts w:ascii="Cambria" w:hAnsi="Cambria"/>
          <w:sz w:val="16"/>
          <w:szCs w:val="16"/>
          <w:lang w:val="es-MX"/>
        </w:rPr>
        <w:t xml:space="preserve"> Corte IDH. </w:t>
      </w:r>
      <w:r w:rsidRPr="007877A3">
        <w:rPr>
          <w:rFonts w:ascii="Cambria" w:hAnsi="Cambria" w:cs="Verdana"/>
          <w:iCs/>
          <w:sz w:val="16"/>
          <w:szCs w:val="16"/>
          <w:lang w:val="es-MX"/>
        </w:rPr>
        <w:t xml:space="preserve">Caso </w:t>
      </w:r>
      <w:proofErr w:type="spellStart"/>
      <w:r w:rsidRPr="007877A3">
        <w:rPr>
          <w:rFonts w:ascii="Cambria" w:hAnsi="Cambria" w:cs="Verdana"/>
          <w:iCs/>
          <w:sz w:val="16"/>
          <w:szCs w:val="16"/>
          <w:lang w:val="es-MX"/>
        </w:rPr>
        <w:t>Ibsen</w:t>
      </w:r>
      <w:proofErr w:type="spellEnd"/>
      <w:r w:rsidRPr="007877A3">
        <w:rPr>
          <w:rFonts w:ascii="Cambria" w:hAnsi="Cambria" w:cs="Verdana"/>
          <w:iCs/>
          <w:sz w:val="16"/>
          <w:szCs w:val="16"/>
          <w:lang w:val="es-MX"/>
        </w:rPr>
        <w:t xml:space="preserve"> Cárdenas e </w:t>
      </w:r>
      <w:proofErr w:type="spellStart"/>
      <w:r w:rsidRPr="007877A3">
        <w:rPr>
          <w:rFonts w:ascii="Cambria" w:hAnsi="Cambria" w:cs="Verdana"/>
          <w:iCs/>
          <w:sz w:val="16"/>
          <w:szCs w:val="16"/>
          <w:lang w:val="es-MX"/>
        </w:rPr>
        <w:t>Ibsen</w:t>
      </w:r>
      <w:proofErr w:type="spellEnd"/>
      <w:r w:rsidRPr="007877A3">
        <w:rPr>
          <w:rFonts w:ascii="Cambria" w:hAnsi="Cambria" w:cs="Verdana"/>
          <w:iCs/>
          <w:sz w:val="16"/>
          <w:szCs w:val="16"/>
          <w:lang w:val="es-MX"/>
        </w:rPr>
        <w:t xml:space="preserve"> Peña Vs. Bolivia. Fondo, Reparaciones y Costas.</w:t>
      </w:r>
      <w:r w:rsidRPr="007877A3">
        <w:rPr>
          <w:rFonts w:ascii="Cambria" w:hAnsi="Cambria"/>
          <w:sz w:val="16"/>
          <w:szCs w:val="16"/>
          <w:lang w:val="es-MX"/>
        </w:rPr>
        <w:t xml:space="preserve"> </w:t>
      </w:r>
      <w:r w:rsidRPr="007877A3">
        <w:rPr>
          <w:rFonts w:ascii="Cambria" w:hAnsi="Cambria" w:cs="Verdana"/>
          <w:sz w:val="16"/>
          <w:szCs w:val="16"/>
          <w:lang w:val="es-MX"/>
        </w:rPr>
        <w:t>Sentencia de 1 de septiembre de 2010 Serie C No. 217</w:t>
      </w:r>
      <w:r w:rsidRPr="007877A3">
        <w:rPr>
          <w:rFonts w:ascii="Cambria" w:hAnsi="Cambria"/>
          <w:sz w:val="16"/>
          <w:szCs w:val="16"/>
          <w:lang w:val="es-MX"/>
        </w:rPr>
        <w:t>,</w:t>
      </w:r>
      <w:r w:rsidRPr="007877A3">
        <w:rPr>
          <w:rFonts w:ascii="Cambria" w:hAnsi="Cambria"/>
          <w:bCs/>
          <w:sz w:val="16"/>
          <w:szCs w:val="16"/>
          <w:lang w:val="es-MX"/>
        </w:rPr>
        <w:t xml:space="preserve"> </w:t>
      </w:r>
      <w:r w:rsidRPr="007877A3">
        <w:rPr>
          <w:rFonts w:ascii="Cambria" w:hAnsi="Cambria"/>
          <w:sz w:val="16"/>
          <w:szCs w:val="16"/>
          <w:lang w:val="es-MX"/>
        </w:rPr>
        <w:t xml:space="preserve">párr. </w:t>
      </w:r>
      <w:r w:rsidRPr="0006606E">
        <w:rPr>
          <w:rFonts w:ascii="Cambria" w:hAnsi="Cambria"/>
          <w:sz w:val="16"/>
          <w:szCs w:val="16"/>
          <w:lang w:val="es-MX"/>
        </w:rPr>
        <w:t>207.</w:t>
      </w:r>
    </w:p>
  </w:footnote>
  <w:footnote w:id="149">
    <w:p w:rsidR="0006606E" w:rsidRPr="007877A3" w:rsidRDefault="0006606E" w:rsidP="00DC278B">
      <w:pPr>
        <w:pStyle w:val="FootnoteText"/>
        <w:tabs>
          <w:tab w:val="left" w:pos="360"/>
        </w:tabs>
        <w:spacing w:after="120"/>
        <w:ind w:firstLine="720"/>
        <w:jc w:val="both"/>
        <w:rPr>
          <w:rFonts w:ascii="Cambria" w:hAnsi="Cambria"/>
          <w:sz w:val="16"/>
          <w:szCs w:val="16"/>
          <w:lang w:val="es-MX"/>
        </w:rPr>
      </w:pPr>
      <w:r w:rsidRPr="007877A3">
        <w:rPr>
          <w:rStyle w:val="FootnoteReference"/>
          <w:rFonts w:ascii="Cambria" w:hAnsi="Cambria"/>
          <w:sz w:val="16"/>
          <w:szCs w:val="16"/>
        </w:rPr>
        <w:footnoteRef/>
      </w:r>
      <w:r w:rsidRPr="0006606E">
        <w:rPr>
          <w:rFonts w:ascii="Cambria" w:hAnsi="Cambria"/>
          <w:sz w:val="16"/>
          <w:szCs w:val="16"/>
          <w:lang w:val="es-MX"/>
        </w:rPr>
        <w:t xml:space="preserve"> Corte IDH. </w:t>
      </w:r>
      <w:r w:rsidRPr="0006606E">
        <w:rPr>
          <w:rFonts w:ascii="Cambria" w:hAnsi="Cambria"/>
          <w:bCs/>
          <w:iCs/>
          <w:sz w:val="16"/>
          <w:szCs w:val="16"/>
          <w:lang w:val="es-MX"/>
        </w:rPr>
        <w:t xml:space="preserve">Caso Gomes </w:t>
      </w:r>
      <w:proofErr w:type="spellStart"/>
      <w:r w:rsidRPr="0006606E">
        <w:rPr>
          <w:rFonts w:ascii="Cambria" w:hAnsi="Cambria"/>
          <w:bCs/>
          <w:iCs/>
          <w:sz w:val="16"/>
          <w:szCs w:val="16"/>
          <w:lang w:val="es-MX"/>
        </w:rPr>
        <w:t>Lund</w:t>
      </w:r>
      <w:proofErr w:type="spellEnd"/>
      <w:r w:rsidRPr="0006606E">
        <w:rPr>
          <w:rFonts w:ascii="Cambria" w:hAnsi="Cambria"/>
          <w:bCs/>
          <w:iCs/>
          <w:sz w:val="16"/>
          <w:szCs w:val="16"/>
          <w:lang w:val="es-MX"/>
        </w:rPr>
        <w:t xml:space="preserve"> y otros (</w:t>
      </w:r>
      <w:proofErr w:type="spellStart"/>
      <w:r w:rsidRPr="0006606E">
        <w:rPr>
          <w:rFonts w:ascii="Cambria" w:hAnsi="Cambria"/>
          <w:bCs/>
          <w:iCs/>
          <w:sz w:val="16"/>
          <w:szCs w:val="16"/>
          <w:lang w:val="es-MX"/>
        </w:rPr>
        <w:t>Guerrilha</w:t>
      </w:r>
      <w:proofErr w:type="spellEnd"/>
      <w:r w:rsidRPr="0006606E">
        <w:rPr>
          <w:rFonts w:ascii="Cambria" w:hAnsi="Cambria"/>
          <w:bCs/>
          <w:iCs/>
          <w:sz w:val="16"/>
          <w:szCs w:val="16"/>
          <w:lang w:val="es-MX"/>
        </w:rPr>
        <w:t xml:space="preserve"> do </w:t>
      </w:r>
      <w:proofErr w:type="spellStart"/>
      <w:r w:rsidRPr="0006606E">
        <w:rPr>
          <w:rFonts w:ascii="Cambria" w:hAnsi="Cambria"/>
          <w:bCs/>
          <w:iCs/>
          <w:sz w:val="16"/>
          <w:szCs w:val="16"/>
          <w:lang w:val="es-MX"/>
        </w:rPr>
        <w:t>Araguaia</w:t>
      </w:r>
      <w:proofErr w:type="spellEnd"/>
      <w:r w:rsidRPr="0006606E">
        <w:rPr>
          <w:rFonts w:ascii="Cambria" w:hAnsi="Cambria"/>
          <w:bCs/>
          <w:iCs/>
          <w:sz w:val="16"/>
          <w:szCs w:val="16"/>
          <w:lang w:val="es-MX"/>
        </w:rPr>
        <w:t xml:space="preserve">) Vs. </w:t>
      </w:r>
      <w:r w:rsidRPr="007877A3">
        <w:rPr>
          <w:rFonts w:ascii="Cambria" w:hAnsi="Cambria"/>
          <w:bCs/>
          <w:iCs/>
          <w:sz w:val="16"/>
          <w:szCs w:val="16"/>
          <w:lang w:val="es-MX"/>
        </w:rPr>
        <w:t xml:space="preserve">Brasil. Excepciones Preliminares, Fondo, Reparaciones y Costas. Sentencia de 24 de noviembre de 2010. Serie C No. 219, párr. </w:t>
      </w:r>
      <w:r w:rsidRPr="007877A3">
        <w:rPr>
          <w:rFonts w:ascii="Cambria" w:hAnsi="Cambria"/>
          <w:sz w:val="16"/>
          <w:szCs w:val="16"/>
          <w:lang w:val="es-MX"/>
        </w:rPr>
        <w:t xml:space="preserve">171; y Corte IDH. Caso </w:t>
      </w:r>
      <w:proofErr w:type="spellStart"/>
      <w:r w:rsidRPr="007877A3">
        <w:rPr>
          <w:rFonts w:ascii="Cambria" w:hAnsi="Cambria"/>
          <w:sz w:val="16"/>
          <w:szCs w:val="16"/>
          <w:lang w:val="es-MX"/>
        </w:rPr>
        <w:t>Gelman</w:t>
      </w:r>
      <w:proofErr w:type="spellEnd"/>
      <w:r w:rsidRPr="007877A3">
        <w:rPr>
          <w:rFonts w:ascii="Cambria" w:hAnsi="Cambria"/>
          <w:sz w:val="16"/>
          <w:szCs w:val="16"/>
          <w:lang w:val="es-MX"/>
        </w:rPr>
        <w:t xml:space="preserve"> Vs. Uruguay. Fondo y Reparaciones. Sentencia de 24 de febrero de 2011. Serie C No. 221, párr. 225.</w:t>
      </w:r>
    </w:p>
  </w:footnote>
  <w:footnote w:id="150">
    <w:p w:rsidR="0006606E" w:rsidRPr="007877A3" w:rsidRDefault="0006606E" w:rsidP="00DC278B">
      <w:pPr>
        <w:pStyle w:val="FootnoteText"/>
        <w:tabs>
          <w:tab w:val="left" w:pos="360"/>
        </w:tabs>
        <w:spacing w:after="120"/>
        <w:ind w:firstLine="720"/>
        <w:jc w:val="both"/>
        <w:rPr>
          <w:rFonts w:ascii="Cambria" w:hAnsi="Cambria"/>
          <w:sz w:val="16"/>
          <w:szCs w:val="16"/>
          <w:lang w:val="es-ES_tradnl"/>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sz w:val="16"/>
          <w:szCs w:val="16"/>
          <w:lang w:val="es-ES_tradnl"/>
        </w:rPr>
        <w:t xml:space="preserve">Ver por ejemplo. </w:t>
      </w:r>
      <w:r w:rsidRPr="007877A3">
        <w:rPr>
          <w:rFonts w:ascii="Cambria" w:hAnsi="Cambria" w:cs="Verdana"/>
          <w:bCs/>
          <w:sz w:val="16"/>
          <w:szCs w:val="16"/>
          <w:bdr w:val="none" w:sz="0" w:space="0" w:color="auto"/>
          <w:lang w:val="es-CO"/>
        </w:rPr>
        <w:t>Corte IDH. Caso Masacres de El Mozote y lugares aledaños Vs. El Salvador. Fondo, Reparaciones y Costas. Sentencia de 25 de octubre de 2012 Serie C No. 252. Párr. 283.</w:t>
      </w:r>
    </w:p>
  </w:footnote>
  <w:footnote w:id="151">
    <w:p w:rsidR="0006606E" w:rsidRPr="007877A3" w:rsidRDefault="0006606E" w:rsidP="00DC278B">
      <w:pPr>
        <w:tabs>
          <w:tab w:val="left" w:pos="360"/>
        </w:tabs>
        <w:autoSpaceDE w:val="0"/>
        <w:autoSpaceDN w:val="0"/>
        <w:adjustRightInd w:val="0"/>
        <w:spacing w:after="120"/>
        <w:ind w:firstLine="720"/>
        <w:jc w:val="both"/>
        <w:rPr>
          <w:rFonts w:ascii="Cambria" w:hAnsi="Cambria"/>
          <w:iCs/>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Grupo de Trabajo sobre las Desaparic</w:t>
      </w:r>
      <w:r>
        <w:rPr>
          <w:rFonts w:ascii="Cambria" w:hAnsi="Cambria"/>
          <w:sz w:val="16"/>
          <w:szCs w:val="16"/>
          <w:lang w:val="es-CO"/>
        </w:rPr>
        <w:t>iones Forzadas o Involuntarias,</w:t>
      </w:r>
      <w:r w:rsidRPr="007877A3">
        <w:rPr>
          <w:rFonts w:ascii="Cambria" w:hAnsi="Cambria"/>
          <w:sz w:val="16"/>
          <w:szCs w:val="16"/>
          <w:lang w:val="es-CO"/>
        </w:rPr>
        <w:t xml:space="preserve"> Observaciones Generales sobre el Artículo 19 de la Declaración sobre la Protección de Todas las Personas contra las Desapariciones Forzadas, E/CN.4/1998/43, párr. 73.</w:t>
      </w:r>
    </w:p>
  </w:footnote>
  <w:footnote w:id="152">
    <w:p w:rsidR="0006606E" w:rsidRPr="007877A3" w:rsidRDefault="0006606E" w:rsidP="00DC278B">
      <w:pPr>
        <w:tabs>
          <w:tab w:val="left" w:pos="360"/>
        </w:tabs>
        <w:autoSpaceDE w:val="0"/>
        <w:autoSpaceDN w:val="0"/>
        <w:adjustRightInd w:val="0"/>
        <w:spacing w:after="120"/>
        <w:ind w:firstLine="720"/>
        <w:jc w:val="both"/>
        <w:rPr>
          <w:rFonts w:ascii="Cambria" w:hAnsi="Cambria"/>
          <w:iCs/>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Comisión de Derechos Humanos de Naciones Unidas (CDH-ONU), Informe final presentado por el Relator Especial sobre el Derecho a la Restitución, Indemnización y Rehabilitación de las Víctimas de Violaciones Manifiestas de los Derechos Humanos y las Libertades Fundamentales, E/CN.4/Sub.2/1993/8, 2 de julio de 1993, párr. 135.</w:t>
      </w:r>
    </w:p>
  </w:footnote>
  <w:footnote w:id="153">
    <w:p w:rsidR="0006606E" w:rsidRPr="007877A3" w:rsidRDefault="0006606E" w:rsidP="00DC278B">
      <w:pPr>
        <w:tabs>
          <w:tab w:val="left" w:pos="360"/>
        </w:tabs>
        <w:autoSpaceDE w:val="0"/>
        <w:autoSpaceDN w:val="0"/>
        <w:adjustRightInd w:val="0"/>
        <w:spacing w:after="120"/>
        <w:ind w:firstLine="720"/>
        <w:jc w:val="both"/>
        <w:rPr>
          <w:rFonts w:ascii="Cambria" w:hAnsi="Cambria"/>
          <w:sz w:val="16"/>
          <w:szCs w:val="16"/>
          <w:lang w:val="es-CO"/>
        </w:rPr>
      </w:pPr>
      <w:r w:rsidRPr="007877A3">
        <w:rPr>
          <w:rFonts w:ascii="Cambria" w:hAnsi="Cambria"/>
          <w:sz w:val="16"/>
          <w:szCs w:val="16"/>
          <w:vertAlign w:val="superscript"/>
          <w:lang w:val="es-CO"/>
        </w:rPr>
        <w:footnoteRef/>
      </w:r>
      <w:r w:rsidRPr="007877A3">
        <w:rPr>
          <w:rFonts w:ascii="Cambria" w:hAnsi="Cambria"/>
          <w:sz w:val="16"/>
          <w:szCs w:val="16"/>
          <w:lang w:val="es-CO"/>
        </w:rPr>
        <w:t xml:space="preserve"> CDH-ONU, Diane </w:t>
      </w:r>
      <w:proofErr w:type="spellStart"/>
      <w:r w:rsidRPr="007877A3">
        <w:rPr>
          <w:rFonts w:ascii="Cambria" w:hAnsi="Cambria"/>
          <w:sz w:val="16"/>
          <w:szCs w:val="16"/>
          <w:lang w:val="es-CO"/>
        </w:rPr>
        <w:t>Orentlicher</w:t>
      </w:r>
      <w:proofErr w:type="spellEnd"/>
      <w:r w:rsidRPr="007877A3">
        <w:rPr>
          <w:rFonts w:ascii="Cambria" w:hAnsi="Cambria"/>
          <w:sz w:val="16"/>
          <w:szCs w:val="16"/>
          <w:lang w:val="es-CO"/>
        </w:rPr>
        <w:t>, Experta independiente encargada de actualizar el Conjunto de principios para la lucha contra la impunidad, E/CN.4/2005/102, 18 de febrero de 2005.</w:t>
      </w:r>
    </w:p>
  </w:footnote>
  <w:footnote w:id="154">
    <w:p w:rsidR="0006606E" w:rsidRPr="007877A3" w:rsidRDefault="0006606E" w:rsidP="00DC278B">
      <w:pPr>
        <w:pStyle w:val="FootnoteText"/>
        <w:tabs>
          <w:tab w:val="left" w:pos="360"/>
        </w:tabs>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Asamblea General (</w:t>
      </w:r>
      <w:r w:rsidRPr="007877A3">
        <w:rPr>
          <w:rFonts w:ascii="Cambria" w:hAnsi="Cambria"/>
          <w:sz w:val="16"/>
          <w:szCs w:val="16"/>
          <w:lang w:val="es-CL"/>
        </w:rPr>
        <w:t>AG). A/RES/60/147, 21 de marzo de 2006. Resolución que aprueba los “Principios y directrices básicos sobre el derecho de las víctimas de violaciones manifiestas de las normas internacionales de derechos humanos y de violaciones graves del derecho internacional humanitario a interponer recursos y obtener reparaciones”.</w:t>
      </w:r>
    </w:p>
  </w:footnote>
  <w:footnote w:id="155">
    <w:p w:rsidR="0006606E" w:rsidRPr="00A7503A" w:rsidRDefault="0006606E" w:rsidP="00A7503A">
      <w:pPr>
        <w:pStyle w:val="FootnoteText"/>
        <w:ind w:firstLine="720"/>
        <w:rPr>
          <w:rFonts w:asciiTheme="majorHAnsi" w:hAnsiTheme="majorHAnsi"/>
          <w:sz w:val="16"/>
          <w:szCs w:val="16"/>
          <w:lang w:val="es-VE"/>
        </w:rPr>
      </w:pPr>
      <w:r w:rsidRPr="00A7503A">
        <w:rPr>
          <w:rStyle w:val="FootnoteReference"/>
          <w:rFonts w:asciiTheme="majorHAnsi" w:hAnsiTheme="majorHAnsi"/>
          <w:sz w:val="16"/>
          <w:szCs w:val="16"/>
        </w:rPr>
        <w:footnoteRef/>
      </w:r>
      <w:r w:rsidRPr="00A7503A">
        <w:rPr>
          <w:rFonts w:asciiTheme="majorHAnsi" w:hAnsiTheme="majorHAnsi"/>
          <w:sz w:val="16"/>
          <w:szCs w:val="16"/>
          <w:lang w:val="es-VE"/>
        </w:rPr>
        <w:t xml:space="preserve"> El Consejo de Estado ha trazado la distinción entre caducidad y prescripción en los siguientes términos: la caducidad se refiere a la extinción de la acción, mientras que la prescripción a la del derecho; la primera debe ser alegada, mientras que la caducidad opera ipso iure, la prescripción es renunciable, mientras que la caducidad no lo es, en ningún caso, y mientras que los términos de prescripción pueden ser suspendidos o interrumpidos, los de caducidad no son susceptibles de suspensión, salvo norma expresa. </w:t>
      </w:r>
      <w:r>
        <w:rPr>
          <w:rFonts w:asciiTheme="majorHAnsi" w:hAnsiTheme="majorHAnsi"/>
          <w:sz w:val="16"/>
          <w:szCs w:val="16"/>
          <w:lang w:val="es-VE"/>
        </w:rPr>
        <w:t xml:space="preserve"> Ver Consejo de Estado  Ce SIII E 30566 de 2006.</w:t>
      </w:r>
    </w:p>
  </w:footnote>
  <w:footnote w:id="156">
    <w:p w:rsidR="0006606E" w:rsidRPr="00BB75D1" w:rsidRDefault="0006606E" w:rsidP="00BB75D1">
      <w:pPr>
        <w:spacing w:after="120"/>
        <w:ind w:firstLine="720"/>
        <w:jc w:val="both"/>
        <w:rPr>
          <w:rFonts w:ascii="Cambria" w:hAnsi="Cambria" w:cs="Arial"/>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sidRPr="007877A3">
        <w:rPr>
          <w:rFonts w:ascii="Cambria" w:hAnsi="Cambria" w:cs="Arial"/>
          <w:sz w:val="16"/>
          <w:szCs w:val="16"/>
          <w:lang w:val="es-CO"/>
        </w:rPr>
        <w:t xml:space="preserve">Consejo de Estado. Consejero ponente: Jaime Orlando </w:t>
      </w:r>
      <w:proofErr w:type="spellStart"/>
      <w:r w:rsidRPr="007877A3">
        <w:rPr>
          <w:rFonts w:ascii="Cambria" w:hAnsi="Cambria" w:cs="Arial"/>
          <w:sz w:val="16"/>
          <w:szCs w:val="16"/>
          <w:lang w:val="es-CO"/>
        </w:rPr>
        <w:t>Santofimio</w:t>
      </w:r>
      <w:proofErr w:type="spellEnd"/>
      <w:r w:rsidRPr="007877A3">
        <w:rPr>
          <w:rFonts w:ascii="Cambria" w:hAnsi="Cambria" w:cs="Arial"/>
          <w:sz w:val="16"/>
          <w:szCs w:val="16"/>
          <w:lang w:val="es-CO"/>
        </w:rPr>
        <w:t xml:space="preserve"> Gamboa (E). Bogotá, D. C., dos (02) de mayo de dos mil dieciséis (2016). Actor: MARIA FAELLY CUTIVA LEYVA Y OTROS. Demandado: MINISTERIO DE DEFENSA - EJERCITO NACIONAL Y OTROS. Referencia: APELACION AUTO LEY 1437 DE 2011 - MEDIO DE </w:t>
      </w:r>
      <w:r>
        <w:rPr>
          <w:rFonts w:ascii="Cambria" w:hAnsi="Cambria" w:cs="Arial"/>
          <w:sz w:val="16"/>
          <w:szCs w:val="16"/>
          <w:lang w:val="es-CO"/>
        </w:rPr>
        <w:t xml:space="preserve">CONTROL DE REPARACION DIRECTA. </w:t>
      </w:r>
    </w:p>
  </w:footnote>
  <w:footnote w:id="157">
    <w:p w:rsidR="0006606E" w:rsidRPr="00C23663" w:rsidRDefault="0006606E" w:rsidP="00DC278B">
      <w:pPr>
        <w:pStyle w:val="FootnoteText"/>
        <w:spacing w:after="120"/>
        <w:ind w:firstLine="720"/>
        <w:jc w:val="both"/>
        <w:rPr>
          <w:rFonts w:ascii="Cambria" w:hAnsi="Cambria"/>
          <w:sz w:val="16"/>
          <w:szCs w:val="16"/>
          <w:lang w:val="es-CO"/>
        </w:rPr>
      </w:pPr>
      <w:r w:rsidRPr="00C23663">
        <w:rPr>
          <w:rStyle w:val="FootnoteReference"/>
          <w:rFonts w:ascii="Cambria" w:hAnsi="Cambria"/>
          <w:sz w:val="16"/>
          <w:szCs w:val="16"/>
        </w:rPr>
        <w:footnoteRef/>
      </w:r>
      <w:r w:rsidRPr="00C23663">
        <w:rPr>
          <w:rFonts w:ascii="Cambria" w:hAnsi="Cambria"/>
          <w:sz w:val="16"/>
          <w:szCs w:val="16"/>
          <w:lang w:val="es-CO"/>
        </w:rPr>
        <w:t xml:space="preserve"> Ver Artículo 2561 del Código Civil y Comercial Comentado. </w:t>
      </w:r>
      <w:r w:rsidRPr="00980930">
        <w:rPr>
          <w:rFonts w:ascii="Cambria" w:hAnsi="Cambria"/>
          <w:sz w:val="16"/>
          <w:szCs w:val="16"/>
          <w:lang w:val="es-VE"/>
        </w:rPr>
        <w:t xml:space="preserve">Disponible en: </w:t>
      </w:r>
      <w:hyperlink r:id="rId3" w:history="1">
        <w:r w:rsidRPr="00980930">
          <w:rPr>
            <w:rStyle w:val="Hyperlink"/>
            <w:rFonts w:ascii="Cambria" w:hAnsi="Cambria"/>
            <w:sz w:val="16"/>
            <w:szCs w:val="16"/>
            <w:lang w:val="es-VE"/>
          </w:rPr>
          <w:t>http://universojus.com/codigo-civil-comercial-comentado/articulo-2561</w:t>
        </w:r>
      </w:hyperlink>
      <w:r w:rsidRPr="00980930">
        <w:rPr>
          <w:rFonts w:ascii="Cambria" w:hAnsi="Cambria"/>
          <w:sz w:val="16"/>
          <w:szCs w:val="16"/>
          <w:lang w:val="es-VE"/>
        </w:rPr>
        <w:t xml:space="preserve"> </w:t>
      </w:r>
    </w:p>
  </w:footnote>
  <w:footnote w:id="158">
    <w:p w:rsidR="0006606E" w:rsidRPr="007877A3" w:rsidRDefault="0006606E" w:rsidP="00DC278B">
      <w:pPr>
        <w:pStyle w:val="FootnoteText"/>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Ver. Suprema 23583-2014. Imprescriptibilidad de la acción </w:t>
      </w:r>
      <w:proofErr w:type="spellStart"/>
      <w:r w:rsidRPr="007877A3">
        <w:rPr>
          <w:rFonts w:ascii="Cambria" w:hAnsi="Cambria"/>
          <w:sz w:val="16"/>
          <w:szCs w:val="16"/>
          <w:lang w:val="es-CO"/>
        </w:rPr>
        <w:t>reparatoria</w:t>
      </w:r>
      <w:proofErr w:type="spellEnd"/>
      <w:r w:rsidRPr="007877A3">
        <w:rPr>
          <w:rFonts w:ascii="Cambria" w:hAnsi="Cambria"/>
          <w:sz w:val="16"/>
          <w:szCs w:val="16"/>
          <w:lang w:val="es-CO"/>
        </w:rPr>
        <w:t xml:space="preserve"> en contra del Fisco por violación a derechos humanos. 20 de mayo de 2015. Disponible en: </w:t>
      </w:r>
      <w:hyperlink r:id="rId4" w:history="1">
        <w:r w:rsidRPr="007877A3">
          <w:rPr>
            <w:rStyle w:val="Hyperlink"/>
            <w:rFonts w:ascii="Cambria" w:hAnsi="Cambria"/>
            <w:sz w:val="16"/>
            <w:szCs w:val="16"/>
            <w:lang w:val="es-CO"/>
          </w:rPr>
          <w:t>http://www.i-juridica.com/2015/05/21/suprema-23583-2014-imprescriptibilidad-de-la-acción-reparatoria-en-contra-del-fisco-por-violación-a-derechos-humanos/</w:t>
        </w:r>
      </w:hyperlink>
      <w:r w:rsidRPr="007877A3">
        <w:rPr>
          <w:rFonts w:ascii="Cambria" w:hAnsi="Cambria"/>
          <w:sz w:val="16"/>
          <w:szCs w:val="16"/>
          <w:lang w:val="es-CO"/>
        </w:rPr>
        <w:t xml:space="preserve">. </w:t>
      </w:r>
    </w:p>
  </w:footnote>
  <w:footnote w:id="159">
    <w:p w:rsidR="0006606E" w:rsidRPr="007877A3" w:rsidRDefault="0006606E" w:rsidP="00DC278B">
      <w:pPr>
        <w:pStyle w:val="FootnoteText"/>
        <w:spacing w:after="120"/>
        <w:ind w:firstLine="720"/>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La Comisión observa que los recursos de casación interpuestos a nivel interno fueron declarados desiertos por razones que los peticionarios identificaron como formales. </w:t>
      </w:r>
    </w:p>
  </w:footnote>
  <w:footnote w:id="160">
    <w:p w:rsidR="0006606E" w:rsidRPr="00FB103F" w:rsidRDefault="0006606E" w:rsidP="00140950">
      <w:pPr>
        <w:pStyle w:val="FootnoteText"/>
        <w:ind w:firstLine="720"/>
        <w:rPr>
          <w:rFonts w:ascii="Cambria" w:hAnsi="Cambria"/>
          <w:sz w:val="16"/>
          <w:szCs w:val="16"/>
          <w:lang w:val="es-VE"/>
        </w:rPr>
      </w:pPr>
      <w:r w:rsidRPr="00FB103F">
        <w:rPr>
          <w:rStyle w:val="FootnoteReference"/>
          <w:rFonts w:ascii="Cambria" w:hAnsi="Cambria"/>
          <w:sz w:val="16"/>
          <w:szCs w:val="16"/>
        </w:rPr>
        <w:footnoteRef/>
      </w:r>
      <w:r w:rsidRPr="00FB103F">
        <w:rPr>
          <w:rFonts w:ascii="Cambria" w:hAnsi="Cambria"/>
          <w:sz w:val="16"/>
          <w:szCs w:val="16"/>
          <w:lang w:val="es-VE"/>
        </w:rPr>
        <w:t xml:space="preserve"> CIDH. Informe No. 53/16. Caso 12.056. Fondo. Gabriel Oscar Jenkins. Argentina. 6 de diciembre de 2016,  Párr.139; CIDH, demanda ante la Corte Interamericana de Derechos Humanos, Karen </w:t>
      </w:r>
      <w:proofErr w:type="spellStart"/>
      <w:r w:rsidRPr="00FB103F">
        <w:rPr>
          <w:rFonts w:ascii="Cambria" w:hAnsi="Cambria"/>
          <w:sz w:val="16"/>
          <w:szCs w:val="16"/>
          <w:lang w:val="es-VE"/>
        </w:rPr>
        <w:t>Atala</w:t>
      </w:r>
      <w:proofErr w:type="spellEnd"/>
      <w:r w:rsidRPr="00FB103F">
        <w:rPr>
          <w:rFonts w:ascii="Cambria" w:hAnsi="Cambria"/>
          <w:sz w:val="16"/>
          <w:szCs w:val="16"/>
          <w:lang w:val="es-VE"/>
        </w:rPr>
        <w:t xml:space="preserve"> e Hijas, 17 de septiembre de 2010; párr.86. </w:t>
      </w:r>
    </w:p>
  </w:footnote>
  <w:footnote w:id="161">
    <w:p w:rsidR="0006606E" w:rsidRPr="007877A3" w:rsidRDefault="0006606E" w:rsidP="00DC278B">
      <w:pPr>
        <w:tabs>
          <w:tab w:val="left" w:pos="360"/>
        </w:tabs>
        <w:autoSpaceDE w:val="0"/>
        <w:autoSpaceDN w:val="0"/>
        <w:adjustRightInd w:val="0"/>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Cfr. </w:t>
      </w:r>
      <w:r>
        <w:rPr>
          <w:rFonts w:ascii="Cambria" w:hAnsi="Cambria"/>
          <w:color w:val="000000"/>
          <w:sz w:val="16"/>
          <w:szCs w:val="16"/>
          <w:lang w:val="es-CO"/>
        </w:rPr>
        <w:t>Corte IDH.</w:t>
      </w:r>
      <w:r w:rsidRPr="007877A3">
        <w:rPr>
          <w:rFonts w:ascii="Cambria" w:hAnsi="Cambria"/>
          <w:color w:val="000000"/>
          <w:sz w:val="16"/>
          <w:szCs w:val="16"/>
          <w:lang w:val="es-CO"/>
        </w:rPr>
        <w:t xml:space="preserve"> </w:t>
      </w:r>
      <w:r w:rsidRPr="007877A3">
        <w:rPr>
          <w:rFonts w:ascii="Cambria" w:hAnsi="Cambria"/>
          <w:bCs/>
          <w:color w:val="000000"/>
          <w:sz w:val="16"/>
          <w:szCs w:val="16"/>
          <w:lang w:val="es-CO"/>
        </w:rPr>
        <w:t xml:space="preserve">Caso </w:t>
      </w:r>
      <w:proofErr w:type="spellStart"/>
      <w:r w:rsidRPr="007877A3">
        <w:rPr>
          <w:rFonts w:ascii="Cambria" w:hAnsi="Cambria"/>
          <w:bCs/>
          <w:color w:val="000000"/>
          <w:sz w:val="16"/>
          <w:szCs w:val="16"/>
          <w:lang w:val="es-CO"/>
        </w:rPr>
        <w:t>Almonacid</w:t>
      </w:r>
      <w:proofErr w:type="spellEnd"/>
      <w:r w:rsidRPr="007877A3">
        <w:rPr>
          <w:rFonts w:ascii="Cambria" w:hAnsi="Cambria"/>
          <w:bCs/>
          <w:color w:val="000000"/>
          <w:sz w:val="16"/>
          <w:szCs w:val="16"/>
          <w:lang w:val="es-CO"/>
        </w:rPr>
        <w:t xml:space="preserve"> Arellano y otros Vs. Chile</w:t>
      </w:r>
      <w:r w:rsidRPr="007877A3">
        <w:rPr>
          <w:rFonts w:ascii="Cambria" w:hAnsi="Cambria"/>
          <w:color w:val="000000"/>
          <w:sz w:val="16"/>
          <w:szCs w:val="16"/>
          <w:lang w:val="es-CO"/>
        </w:rPr>
        <w:t xml:space="preserve">. </w:t>
      </w:r>
      <w:r w:rsidRPr="007877A3">
        <w:rPr>
          <w:rStyle w:val="Strong"/>
          <w:rFonts w:ascii="Cambria" w:hAnsi="Cambria"/>
          <w:b w:val="0"/>
          <w:sz w:val="16"/>
          <w:szCs w:val="16"/>
          <w:lang w:val="es-CO"/>
        </w:rPr>
        <w:t>Excepciones Preliminares, Fondo, Reparaciones y Costas. Sentencia de 26 de septiembre de 2006. Serie C No. 154</w:t>
      </w:r>
      <w:r>
        <w:rPr>
          <w:rStyle w:val="Strong"/>
          <w:rFonts w:ascii="Cambria" w:hAnsi="Cambria"/>
          <w:b w:val="0"/>
          <w:sz w:val="16"/>
          <w:szCs w:val="16"/>
          <w:lang w:val="es-CO"/>
        </w:rPr>
        <w:t>, párr.99.</w:t>
      </w:r>
    </w:p>
  </w:footnote>
  <w:footnote w:id="162">
    <w:p w:rsidR="0006606E" w:rsidRPr="007877A3" w:rsidRDefault="0006606E" w:rsidP="00DC278B">
      <w:pPr>
        <w:tabs>
          <w:tab w:val="left" w:pos="360"/>
        </w:tabs>
        <w:autoSpaceDE w:val="0"/>
        <w:autoSpaceDN w:val="0"/>
        <w:adjustRightInd w:val="0"/>
        <w:spacing w:after="120"/>
        <w:ind w:firstLine="720"/>
        <w:jc w:val="both"/>
        <w:rPr>
          <w:rFonts w:ascii="Cambria" w:hAnsi="Cambria"/>
          <w:sz w:val="16"/>
          <w:szCs w:val="16"/>
          <w:lang w:val="es-CO"/>
        </w:rPr>
      </w:pPr>
      <w:r w:rsidRPr="007877A3">
        <w:rPr>
          <w:rStyle w:val="FootnoteReference"/>
          <w:rFonts w:ascii="Cambria" w:hAnsi="Cambria"/>
          <w:sz w:val="16"/>
          <w:szCs w:val="16"/>
        </w:rPr>
        <w:footnoteRef/>
      </w:r>
      <w:r w:rsidRPr="007877A3">
        <w:rPr>
          <w:rFonts w:ascii="Cambria" w:hAnsi="Cambria"/>
          <w:sz w:val="16"/>
          <w:szCs w:val="16"/>
          <w:lang w:val="es-CO"/>
        </w:rPr>
        <w:t xml:space="preserve"> </w:t>
      </w:r>
      <w:r>
        <w:rPr>
          <w:rFonts w:ascii="Cambria" w:hAnsi="Cambria"/>
          <w:color w:val="000000"/>
          <w:sz w:val="16"/>
          <w:szCs w:val="16"/>
          <w:lang w:val="es-CO"/>
        </w:rPr>
        <w:t>Corte IDH.</w:t>
      </w:r>
      <w:r w:rsidRPr="007877A3">
        <w:rPr>
          <w:rFonts w:ascii="Cambria" w:hAnsi="Cambria"/>
          <w:color w:val="000000"/>
          <w:sz w:val="16"/>
          <w:szCs w:val="16"/>
          <w:lang w:val="es-CO"/>
        </w:rPr>
        <w:t xml:space="preserve"> </w:t>
      </w:r>
      <w:r w:rsidRPr="007877A3">
        <w:rPr>
          <w:rFonts w:ascii="Cambria" w:hAnsi="Cambria"/>
          <w:bCs/>
          <w:color w:val="000000"/>
          <w:sz w:val="16"/>
          <w:szCs w:val="16"/>
          <w:lang w:val="es-CO"/>
        </w:rPr>
        <w:t xml:space="preserve">Caso </w:t>
      </w:r>
      <w:proofErr w:type="spellStart"/>
      <w:r w:rsidRPr="007877A3">
        <w:rPr>
          <w:rFonts w:ascii="Cambria" w:hAnsi="Cambria"/>
          <w:bCs/>
          <w:color w:val="000000"/>
          <w:sz w:val="16"/>
          <w:szCs w:val="16"/>
          <w:lang w:val="es-CO"/>
        </w:rPr>
        <w:t>Almonacid</w:t>
      </w:r>
      <w:proofErr w:type="spellEnd"/>
      <w:r w:rsidRPr="007877A3">
        <w:rPr>
          <w:rFonts w:ascii="Cambria" w:hAnsi="Cambria"/>
          <w:bCs/>
          <w:color w:val="000000"/>
          <w:sz w:val="16"/>
          <w:szCs w:val="16"/>
          <w:lang w:val="es-CO"/>
        </w:rPr>
        <w:t xml:space="preserve"> Arellano y otros Vs. Chile</w:t>
      </w:r>
      <w:r w:rsidRPr="007877A3">
        <w:rPr>
          <w:rFonts w:ascii="Cambria" w:hAnsi="Cambria"/>
          <w:color w:val="000000"/>
          <w:sz w:val="16"/>
          <w:szCs w:val="16"/>
          <w:lang w:val="es-CO"/>
        </w:rPr>
        <w:t xml:space="preserve">. </w:t>
      </w:r>
      <w:r w:rsidRPr="007877A3">
        <w:rPr>
          <w:rStyle w:val="Strong"/>
          <w:rFonts w:ascii="Cambria" w:hAnsi="Cambria"/>
          <w:b w:val="0"/>
          <w:sz w:val="16"/>
          <w:szCs w:val="16"/>
          <w:lang w:val="es-CO"/>
        </w:rPr>
        <w:t>Excepciones Preliminares, Fondo, Reparaciones y Costas. Sentencia de 26 de septiembre de 2006. Serie C No. 154</w:t>
      </w:r>
      <w:r>
        <w:rPr>
          <w:rStyle w:val="Strong"/>
          <w:rFonts w:ascii="Cambria" w:hAnsi="Cambria"/>
          <w:b w:val="0"/>
          <w:sz w:val="16"/>
          <w:szCs w:val="16"/>
          <w:lang w:val="es-CO"/>
        </w:rPr>
        <w:t>, párr.99.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6E" w:rsidRDefault="0006606E"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6606E" w:rsidRDefault="00066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6E" w:rsidRDefault="0006606E" w:rsidP="00A50FCF">
    <w:pPr>
      <w:pStyle w:val="Header"/>
      <w:tabs>
        <w:tab w:val="clear" w:pos="4320"/>
        <w:tab w:val="clear" w:pos="8640"/>
      </w:tabs>
      <w:jc w:val="center"/>
      <w:rPr>
        <w:sz w:val="22"/>
        <w:szCs w:val="22"/>
      </w:rPr>
    </w:pPr>
    <w:r>
      <w:rPr>
        <w:noProof/>
        <w:sz w:val="22"/>
        <w:szCs w:val="22"/>
      </w:rPr>
      <w:drawing>
        <wp:inline distT="0" distB="0" distL="0" distR="0" wp14:anchorId="468011CF" wp14:editId="3A37FFD3">
          <wp:extent cx="1972310" cy="109220"/>
          <wp:effectExtent l="0" t="0" r="8890" b="5080"/>
          <wp:docPr id="1"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9220"/>
                  </a:xfrm>
                  <a:prstGeom prst="rect">
                    <a:avLst/>
                  </a:prstGeom>
                  <a:noFill/>
                  <a:ln>
                    <a:noFill/>
                  </a:ln>
                </pic:spPr>
              </pic:pic>
            </a:graphicData>
          </a:graphic>
        </wp:inline>
      </w:drawing>
    </w:r>
  </w:p>
  <w:p w:rsidR="0006606E" w:rsidRPr="00EC7D62" w:rsidRDefault="0006606E" w:rsidP="00A50FCF">
    <w:pPr>
      <w:pStyle w:val="Header"/>
      <w:tabs>
        <w:tab w:val="clear" w:pos="4320"/>
        <w:tab w:val="clear" w:pos="8640"/>
      </w:tabs>
      <w:jc w:val="center"/>
      <w:rPr>
        <w:sz w:val="22"/>
        <w:szCs w:val="22"/>
      </w:rPr>
    </w:pPr>
    <w:r>
      <w:rPr>
        <w:sz w:val="22"/>
        <w:szCs w:val="22"/>
      </w:rPr>
      <w:pict w14:anchorId="115E2263">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87AC3"/>
    <w:multiLevelType w:val="hybridMultilevel"/>
    <w:tmpl w:val="0B30AC14"/>
    <w:lvl w:ilvl="0" w:tplc="0409000F">
      <w:start w:val="1"/>
      <w:numFmt w:val="decimal"/>
      <w:lvlText w:val="%1."/>
      <w:lvlJc w:val="left"/>
      <w:pPr>
        <w:tabs>
          <w:tab w:val="num" w:pos="2160"/>
        </w:tabs>
        <w:ind w:left="2160" w:hanging="360"/>
      </w:pPr>
    </w:lvl>
    <w:lvl w:ilvl="1" w:tplc="36E8ACC4">
      <w:start w:val="4"/>
      <w:numFmt w:val="upp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7795779"/>
    <w:multiLevelType w:val="singleLevel"/>
    <w:tmpl w:val="1F2E7A96"/>
    <w:lvl w:ilvl="0">
      <w:start w:val="1"/>
      <w:numFmt w:val="decimal"/>
      <w:lvlText w:val="%1."/>
      <w:lvlJc w:val="left"/>
      <w:pPr>
        <w:tabs>
          <w:tab w:val="num" w:pos="720"/>
        </w:tabs>
        <w:ind w:left="0" w:firstLine="720"/>
      </w:pPr>
      <w:rPr>
        <w:rFonts w:ascii="Cambria" w:hAnsi="Cambria" w:hint="default"/>
        <w:color w:val="auto"/>
        <w:sz w:val="20"/>
        <w:szCs w:val="20"/>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C3087D"/>
    <w:multiLevelType w:val="hybridMultilevel"/>
    <w:tmpl w:val="00983C4E"/>
    <w:lvl w:ilvl="0" w:tplc="CF8CC29A">
      <w:start w:val="35"/>
      <w:numFmt w:val="decimal"/>
      <w:lvlText w:val="%1."/>
      <w:lvlJc w:val="left"/>
      <w:pPr>
        <w:ind w:left="360" w:hanging="360"/>
      </w:pPr>
      <w:rPr>
        <w:rFonts w:ascii="Verdana" w:hAnsi="Verdana" w:hint="default"/>
        <w:b w:val="0"/>
        <w:strike w:val="0"/>
        <w:color w:val="auto"/>
        <w:sz w:val="20"/>
        <w:szCs w:val="2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388047D"/>
    <w:multiLevelType w:val="singleLevel"/>
    <w:tmpl w:val="46A0F79C"/>
    <w:lvl w:ilvl="0">
      <w:start w:val="1"/>
      <w:numFmt w:val="decimal"/>
      <w:lvlText w:val="%1."/>
      <w:lvlJc w:val="left"/>
      <w:pPr>
        <w:tabs>
          <w:tab w:val="num" w:pos="720"/>
        </w:tabs>
        <w:ind w:left="0" w:firstLine="720"/>
      </w:pPr>
      <w:rPr>
        <w:rFonts w:hint="default"/>
        <w:color w:val="auto"/>
        <w:sz w:val="20"/>
        <w:szCs w:val="20"/>
      </w:rPr>
    </w:lvl>
  </w:abstractNum>
  <w:abstractNum w:abstractNumId="5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6DE0778"/>
    <w:multiLevelType w:val="hybridMultilevel"/>
    <w:tmpl w:val="82604106"/>
    <w:lvl w:ilvl="0" w:tplc="E8CED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6"/>
  </w:num>
  <w:num w:numId="6">
    <w:abstractNumId w:val="26"/>
  </w:num>
  <w:num w:numId="7">
    <w:abstractNumId w:val="5"/>
  </w:num>
  <w:num w:numId="8">
    <w:abstractNumId w:val="15"/>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1"/>
  </w:num>
  <w:num w:numId="28">
    <w:abstractNumId w:val="22"/>
  </w:num>
  <w:num w:numId="29">
    <w:abstractNumId w:val="23"/>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9"/>
  </w:num>
  <w:num w:numId="40">
    <w:abstractNumId w:val="40"/>
  </w:num>
  <w:num w:numId="41">
    <w:abstractNumId w:val="45"/>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44"/>
  </w:num>
  <w:num w:numId="54">
    <w:abstractNumId w:val="24"/>
  </w:num>
  <w:num w:numId="55">
    <w:abstractNumId w:val="18"/>
  </w:num>
  <w:num w:numId="56">
    <w:abstractNumId w:val="38"/>
  </w:num>
  <w:num w:numId="57">
    <w:abstractNumId w:val="51"/>
  </w:num>
  <w:num w:numId="58">
    <w:abstractNumId w:val="49"/>
  </w:num>
  <w:num w:numId="59">
    <w:abstractNumId w:val="38"/>
    <w:lvlOverride w:ilvl="0">
      <w:startOverride w:val="1"/>
    </w:lvlOverride>
    <w:lvlOverride w:ilvl="1">
      <w:startOverride w:val="1"/>
    </w:lvlOverride>
  </w:num>
  <w:num w:numId="60">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472"/>
    <w:rsid w:val="00000CDA"/>
    <w:rsid w:val="0000270F"/>
    <w:rsid w:val="00003017"/>
    <w:rsid w:val="00003C0A"/>
    <w:rsid w:val="00003DA6"/>
    <w:rsid w:val="00004A86"/>
    <w:rsid w:val="00004DE7"/>
    <w:rsid w:val="00005F8B"/>
    <w:rsid w:val="00006210"/>
    <w:rsid w:val="00006B28"/>
    <w:rsid w:val="00006E1F"/>
    <w:rsid w:val="000070D7"/>
    <w:rsid w:val="0000713D"/>
    <w:rsid w:val="0000786D"/>
    <w:rsid w:val="00007C3A"/>
    <w:rsid w:val="00010E7B"/>
    <w:rsid w:val="00010F73"/>
    <w:rsid w:val="00011D28"/>
    <w:rsid w:val="00012406"/>
    <w:rsid w:val="000126EF"/>
    <w:rsid w:val="00012E69"/>
    <w:rsid w:val="00013262"/>
    <w:rsid w:val="0001384C"/>
    <w:rsid w:val="00015CF2"/>
    <w:rsid w:val="00015DE0"/>
    <w:rsid w:val="00016669"/>
    <w:rsid w:val="000167C9"/>
    <w:rsid w:val="00016D84"/>
    <w:rsid w:val="0001714B"/>
    <w:rsid w:val="0001788C"/>
    <w:rsid w:val="00017896"/>
    <w:rsid w:val="00017D12"/>
    <w:rsid w:val="00020576"/>
    <w:rsid w:val="00021607"/>
    <w:rsid w:val="00023070"/>
    <w:rsid w:val="0002440E"/>
    <w:rsid w:val="000258DF"/>
    <w:rsid w:val="00027017"/>
    <w:rsid w:val="00027161"/>
    <w:rsid w:val="00030EEA"/>
    <w:rsid w:val="00031C1B"/>
    <w:rsid w:val="00032DB2"/>
    <w:rsid w:val="000333B4"/>
    <w:rsid w:val="000333D8"/>
    <w:rsid w:val="00033798"/>
    <w:rsid w:val="00033C0A"/>
    <w:rsid w:val="00033D3F"/>
    <w:rsid w:val="000345D8"/>
    <w:rsid w:val="000348CD"/>
    <w:rsid w:val="00034B08"/>
    <w:rsid w:val="00034B2E"/>
    <w:rsid w:val="0003513E"/>
    <w:rsid w:val="0003606B"/>
    <w:rsid w:val="00036409"/>
    <w:rsid w:val="0003738C"/>
    <w:rsid w:val="00037C0D"/>
    <w:rsid w:val="00040334"/>
    <w:rsid w:val="00040AE9"/>
    <w:rsid w:val="00040C3A"/>
    <w:rsid w:val="0004176A"/>
    <w:rsid w:val="000418E7"/>
    <w:rsid w:val="000422ED"/>
    <w:rsid w:val="000428AA"/>
    <w:rsid w:val="00043C10"/>
    <w:rsid w:val="00044159"/>
    <w:rsid w:val="000443AB"/>
    <w:rsid w:val="000444CD"/>
    <w:rsid w:val="0004481A"/>
    <w:rsid w:val="00044991"/>
    <w:rsid w:val="00044DFD"/>
    <w:rsid w:val="000455F8"/>
    <w:rsid w:val="0004618D"/>
    <w:rsid w:val="00046395"/>
    <w:rsid w:val="00050A98"/>
    <w:rsid w:val="00052C79"/>
    <w:rsid w:val="000531B7"/>
    <w:rsid w:val="00054266"/>
    <w:rsid w:val="00054BCE"/>
    <w:rsid w:val="00054D12"/>
    <w:rsid w:val="00055001"/>
    <w:rsid w:val="00055963"/>
    <w:rsid w:val="00056D96"/>
    <w:rsid w:val="00062052"/>
    <w:rsid w:val="00062A19"/>
    <w:rsid w:val="00062AD7"/>
    <w:rsid w:val="00062B74"/>
    <w:rsid w:val="000646CE"/>
    <w:rsid w:val="00064797"/>
    <w:rsid w:val="00064A26"/>
    <w:rsid w:val="00064D5C"/>
    <w:rsid w:val="00064F88"/>
    <w:rsid w:val="000659A5"/>
    <w:rsid w:val="0006606E"/>
    <w:rsid w:val="000664AA"/>
    <w:rsid w:val="00066DC3"/>
    <w:rsid w:val="0006713F"/>
    <w:rsid w:val="00067387"/>
    <w:rsid w:val="000673D7"/>
    <w:rsid w:val="00067A78"/>
    <w:rsid w:val="0007068E"/>
    <w:rsid w:val="0007147B"/>
    <w:rsid w:val="000716C5"/>
    <w:rsid w:val="00071A85"/>
    <w:rsid w:val="00072804"/>
    <w:rsid w:val="00072A6F"/>
    <w:rsid w:val="00073559"/>
    <w:rsid w:val="00073936"/>
    <w:rsid w:val="0007430D"/>
    <w:rsid w:val="00074A70"/>
    <w:rsid w:val="00075E23"/>
    <w:rsid w:val="000762AD"/>
    <w:rsid w:val="00076B8E"/>
    <w:rsid w:val="0007700D"/>
    <w:rsid w:val="00082D95"/>
    <w:rsid w:val="000832CE"/>
    <w:rsid w:val="00083869"/>
    <w:rsid w:val="000838F8"/>
    <w:rsid w:val="00083BAC"/>
    <w:rsid w:val="000852BF"/>
    <w:rsid w:val="0008725D"/>
    <w:rsid w:val="000873CC"/>
    <w:rsid w:val="00087F4C"/>
    <w:rsid w:val="00091369"/>
    <w:rsid w:val="0009140E"/>
    <w:rsid w:val="00093196"/>
    <w:rsid w:val="00093275"/>
    <w:rsid w:val="0009344A"/>
    <w:rsid w:val="000936FF"/>
    <w:rsid w:val="00093C1D"/>
    <w:rsid w:val="00093F14"/>
    <w:rsid w:val="0009424C"/>
    <w:rsid w:val="000949E4"/>
    <w:rsid w:val="00097447"/>
    <w:rsid w:val="000978D9"/>
    <w:rsid w:val="000A0655"/>
    <w:rsid w:val="000A0D6F"/>
    <w:rsid w:val="000A13C7"/>
    <w:rsid w:val="000A1D35"/>
    <w:rsid w:val="000A2C5F"/>
    <w:rsid w:val="000A3352"/>
    <w:rsid w:val="000A392E"/>
    <w:rsid w:val="000A3ADC"/>
    <w:rsid w:val="000A495B"/>
    <w:rsid w:val="000A546E"/>
    <w:rsid w:val="000A56CB"/>
    <w:rsid w:val="000A575F"/>
    <w:rsid w:val="000A5CD6"/>
    <w:rsid w:val="000A6FC1"/>
    <w:rsid w:val="000A73B5"/>
    <w:rsid w:val="000A7E6B"/>
    <w:rsid w:val="000A7EA7"/>
    <w:rsid w:val="000B0AD2"/>
    <w:rsid w:val="000B21D2"/>
    <w:rsid w:val="000B2D3E"/>
    <w:rsid w:val="000B33A5"/>
    <w:rsid w:val="000B389F"/>
    <w:rsid w:val="000B3EDC"/>
    <w:rsid w:val="000B421C"/>
    <w:rsid w:val="000B5C0D"/>
    <w:rsid w:val="000B60D1"/>
    <w:rsid w:val="000B68EE"/>
    <w:rsid w:val="000B7004"/>
    <w:rsid w:val="000B77D4"/>
    <w:rsid w:val="000C185A"/>
    <w:rsid w:val="000C1AEB"/>
    <w:rsid w:val="000C21D9"/>
    <w:rsid w:val="000C2D1E"/>
    <w:rsid w:val="000C3FAF"/>
    <w:rsid w:val="000C4333"/>
    <w:rsid w:val="000C46DB"/>
    <w:rsid w:val="000C49E5"/>
    <w:rsid w:val="000C5BC3"/>
    <w:rsid w:val="000C5BC5"/>
    <w:rsid w:val="000C606A"/>
    <w:rsid w:val="000D0406"/>
    <w:rsid w:val="000D0883"/>
    <w:rsid w:val="000D10DB"/>
    <w:rsid w:val="000D2264"/>
    <w:rsid w:val="000D2B31"/>
    <w:rsid w:val="000D2FEA"/>
    <w:rsid w:val="000D3087"/>
    <w:rsid w:val="000D35D1"/>
    <w:rsid w:val="000D381F"/>
    <w:rsid w:val="000D38BF"/>
    <w:rsid w:val="000D4302"/>
    <w:rsid w:val="000D4EDA"/>
    <w:rsid w:val="000D5546"/>
    <w:rsid w:val="000D5F45"/>
    <w:rsid w:val="000D63AB"/>
    <w:rsid w:val="000D6940"/>
    <w:rsid w:val="000D7D62"/>
    <w:rsid w:val="000D7F8F"/>
    <w:rsid w:val="000E0408"/>
    <w:rsid w:val="000E15E0"/>
    <w:rsid w:val="000E2F92"/>
    <w:rsid w:val="000E36DB"/>
    <w:rsid w:val="000E5573"/>
    <w:rsid w:val="000E5EB5"/>
    <w:rsid w:val="000E5F2D"/>
    <w:rsid w:val="000E696E"/>
    <w:rsid w:val="000E6F30"/>
    <w:rsid w:val="000E74A1"/>
    <w:rsid w:val="000E7DB1"/>
    <w:rsid w:val="000E7DBD"/>
    <w:rsid w:val="000E7F36"/>
    <w:rsid w:val="000F1731"/>
    <w:rsid w:val="000F32C6"/>
    <w:rsid w:val="000F4860"/>
    <w:rsid w:val="000F5F5D"/>
    <w:rsid w:val="000F6422"/>
    <w:rsid w:val="000F743F"/>
    <w:rsid w:val="0010163B"/>
    <w:rsid w:val="0010177D"/>
    <w:rsid w:val="00101D95"/>
    <w:rsid w:val="0010210A"/>
    <w:rsid w:val="00103340"/>
    <w:rsid w:val="00103DAA"/>
    <w:rsid w:val="001048C3"/>
    <w:rsid w:val="00104D50"/>
    <w:rsid w:val="00105618"/>
    <w:rsid w:val="00105BF1"/>
    <w:rsid w:val="001063C9"/>
    <w:rsid w:val="00106D45"/>
    <w:rsid w:val="00107131"/>
    <w:rsid w:val="001072D6"/>
    <w:rsid w:val="0010736F"/>
    <w:rsid w:val="0011146D"/>
    <w:rsid w:val="0011253A"/>
    <w:rsid w:val="001137BC"/>
    <w:rsid w:val="00113F73"/>
    <w:rsid w:val="001148E3"/>
    <w:rsid w:val="00114FA2"/>
    <w:rsid w:val="0011518A"/>
    <w:rsid w:val="0011559D"/>
    <w:rsid w:val="001159C2"/>
    <w:rsid w:val="00116A99"/>
    <w:rsid w:val="00116DE9"/>
    <w:rsid w:val="0011729F"/>
    <w:rsid w:val="00121CC2"/>
    <w:rsid w:val="00121DA5"/>
    <w:rsid w:val="001244C2"/>
    <w:rsid w:val="0012463E"/>
    <w:rsid w:val="001256DB"/>
    <w:rsid w:val="00125A0D"/>
    <w:rsid w:val="001271B3"/>
    <w:rsid w:val="001272DF"/>
    <w:rsid w:val="0013019B"/>
    <w:rsid w:val="001302EC"/>
    <w:rsid w:val="00130369"/>
    <w:rsid w:val="0013066B"/>
    <w:rsid w:val="001317DE"/>
    <w:rsid w:val="00132556"/>
    <w:rsid w:val="00132991"/>
    <w:rsid w:val="00133B71"/>
    <w:rsid w:val="00133EE5"/>
    <w:rsid w:val="00133EF2"/>
    <w:rsid w:val="00134213"/>
    <w:rsid w:val="001348B4"/>
    <w:rsid w:val="0013490B"/>
    <w:rsid w:val="00134CAE"/>
    <w:rsid w:val="001352D9"/>
    <w:rsid w:val="001362A8"/>
    <w:rsid w:val="001362B9"/>
    <w:rsid w:val="00136BF2"/>
    <w:rsid w:val="00136BFD"/>
    <w:rsid w:val="00136C80"/>
    <w:rsid w:val="00137311"/>
    <w:rsid w:val="00137AFC"/>
    <w:rsid w:val="00137B73"/>
    <w:rsid w:val="00137DCE"/>
    <w:rsid w:val="0014020B"/>
    <w:rsid w:val="00140950"/>
    <w:rsid w:val="001414D2"/>
    <w:rsid w:val="00144B35"/>
    <w:rsid w:val="00144E97"/>
    <w:rsid w:val="00144F9D"/>
    <w:rsid w:val="001459AD"/>
    <w:rsid w:val="001464BE"/>
    <w:rsid w:val="00146846"/>
    <w:rsid w:val="00146DFF"/>
    <w:rsid w:val="00147374"/>
    <w:rsid w:val="0014754E"/>
    <w:rsid w:val="00150901"/>
    <w:rsid w:val="001510A1"/>
    <w:rsid w:val="001518CD"/>
    <w:rsid w:val="00153902"/>
    <w:rsid w:val="0015428A"/>
    <w:rsid w:val="00154311"/>
    <w:rsid w:val="0015476E"/>
    <w:rsid w:val="00155CBD"/>
    <w:rsid w:val="0015623F"/>
    <w:rsid w:val="0015653E"/>
    <w:rsid w:val="001567E9"/>
    <w:rsid w:val="00156F91"/>
    <w:rsid w:val="0016081C"/>
    <w:rsid w:val="00160C68"/>
    <w:rsid w:val="00160CA0"/>
    <w:rsid w:val="00161153"/>
    <w:rsid w:val="00162442"/>
    <w:rsid w:val="001629BF"/>
    <w:rsid w:val="001644A9"/>
    <w:rsid w:val="001654DC"/>
    <w:rsid w:val="00165B4C"/>
    <w:rsid w:val="00166E75"/>
    <w:rsid w:val="00167A34"/>
    <w:rsid w:val="00171A98"/>
    <w:rsid w:val="00172786"/>
    <w:rsid w:val="00173BFF"/>
    <w:rsid w:val="00173E25"/>
    <w:rsid w:val="00176353"/>
    <w:rsid w:val="001770BB"/>
    <w:rsid w:val="00177605"/>
    <w:rsid w:val="001777FD"/>
    <w:rsid w:val="001801B2"/>
    <w:rsid w:val="001801CE"/>
    <w:rsid w:val="00180AF9"/>
    <w:rsid w:val="00181F9D"/>
    <w:rsid w:val="001820E3"/>
    <w:rsid w:val="00182194"/>
    <w:rsid w:val="00182884"/>
    <w:rsid w:val="00183B96"/>
    <w:rsid w:val="00184368"/>
    <w:rsid w:val="00184CD1"/>
    <w:rsid w:val="00186218"/>
    <w:rsid w:val="001904BF"/>
    <w:rsid w:val="00191D9E"/>
    <w:rsid w:val="001933B3"/>
    <w:rsid w:val="00193B22"/>
    <w:rsid w:val="00193E53"/>
    <w:rsid w:val="00196576"/>
    <w:rsid w:val="001A07DA"/>
    <w:rsid w:val="001A1574"/>
    <w:rsid w:val="001A326F"/>
    <w:rsid w:val="001A39C9"/>
    <w:rsid w:val="001A4B19"/>
    <w:rsid w:val="001A5490"/>
    <w:rsid w:val="001A56BE"/>
    <w:rsid w:val="001A5B85"/>
    <w:rsid w:val="001A6142"/>
    <w:rsid w:val="001A630A"/>
    <w:rsid w:val="001A75FF"/>
    <w:rsid w:val="001A7821"/>
    <w:rsid w:val="001A7870"/>
    <w:rsid w:val="001A7C80"/>
    <w:rsid w:val="001B05AB"/>
    <w:rsid w:val="001B0833"/>
    <w:rsid w:val="001B0C57"/>
    <w:rsid w:val="001B0D91"/>
    <w:rsid w:val="001B24D6"/>
    <w:rsid w:val="001B2DA4"/>
    <w:rsid w:val="001B397A"/>
    <w:rsid w:val="001B4214"/>
    <w:rsid w:val="001B4452"/>
    <w:rsid w:val="001B4E9A"/>
    <w:rsid w:val="001B58DF"/>
    <w:rsid w:val="001B5E4F"/>
    <w:rsid w:val="001B7CF7"/>
    <w:rsid w:val="001C1334"/>
    <w:rsid w:val="001C15BB"/>
    <w:rsid w:val="001C1B41"/>
    <w:rsid w:val="001C1FDD"/>
    <w:rsid w:val="001C2204"/>
    <w:rsid w:val="001C28B1"/>
    <w:rsid w:val="001C3B7C"/>
    <w:rsid w:val="001C4035"/>
    <w:rsid w:val="001C65C8"/>
    <w:rsid w:val="001C7030"/>
    <w:rsid w:val="001C741A"/>
    <w:rsid w:val="001C7D24"/>
    <w:rsid w:val="001C7FB9"/>
    <w:rsid w:val="001D0110"/>
    <w:rsid w:val="001D018F"/>
    <w:rsid w:val="001D0A2D"/>
    <w:rsid w:val="001D0C3F"/>
    <w:rsid w:val="001D0FE9"/>
    <w:rsid w:val="001D2A57"/>
    <w:rsid w:val="001D3235"/>
    <w:rsid w:val="001D4838"/>
    <w:rsid w:val="001D4DCB"/>
    <w:rsid w:val="001D5563"/>
    <w:rsid w:val="001D5A5A"/>
    <w:rsid w:val="001D5CAE"/>
    <w:rsid w:val="001D63AA"/>
    <w:rsid w:val="001D65EF"/>
    <w:rsid w:val="001D679A"/>
    <w:rsid w:val="001D72C4"/>
    <w:rsid w:val="001D79BD"/>
    <w:rsid w:val="001D7D0B"/>
    <w:rsid w:val="001E040F"/>
    <w:rsid w:val="001E0794"/>
    <w:rsid w:val="001E0E8D"/>
    <w:rsid w:val="001E199C"/>
    <w:rsid w:val="001E3A62"/>
    <w:rsid w:val="001E44AA"/>
    <w:rsid w:val="001E616F"/>
    <w:rsid w:val="001E626D"/>
    <w:rsid w:val="001E730E"/>
    <w:rsid w:val="001E7F5B"/>
    <w:rsid w:val="001F0BAC"/>
    <w:rsid w:val="001F1FCA"/>
    <w:rsid w:val="001F2493"/>
    <w:rsid w:val="001F2A99"/>
    <w:rsid w:val="001F3C33"/>
    <w:rsid w:val="001F5239"/>
    <w:rsid w:val="001F5D11"/>
    <w:rsid w:val="001F5F72"/>
    <w:rsid w:val="001F7317"/>
    <w:rsid w:val="002003C5"/>
    <w:rsid w:val="0020078A"/>
    <w:rsid w:val="00200B5E"/>
    <w:rsid w:val="00201954"/>
    <w:rsid w:val="00201C43"/>
    <w:rsid w:val="0020213A"/>
    <w:rsid w:val="00205360"/>
    <w:rsid w:val="00205A88"/>
    <w:rsid w:val="00205C87"/>
    <w:rsid w:val="00206580"/>
    <w:rsid w:val="00206FD6"/>
    <w:rsid w:val="002078BA"/>
    <w:rsid w:val="00210CEC"/>
    <w:rsid w:val="00210D4F"/>
    <w:rsid w:val="00211639"/>
    <w:rsid w:val="002119CF"/>
    <w:rsid w:val="00212DC0"/>
    <w:rsid w:val="00212FEF"/>
    <w:rsid w:val="00213CE7"/>
    <w:rsid w:val="00213F65"/>
    <w:rsid w:val="0021411E"/>
    <w:rsid w:val="00214F4E"/>
    <w:rsid w:val="002163E3"/>
    <w:rsid w:val="00216603"/>
    <w:rsid w:val="0021687A"/>
    <w:rsid w:val="00216DB0"/>
    <w:rsid w:val="00216E12"/>
    <w:rsid w:val="00217D58"/>
    <w:rsid w:val="00221710"/>
    <w:rsid w:val="00221882"/>
    <w:rsid w:val="00223E1A"/>
    <w:rsid w:val="0022476D"/>
    <w:rsid w:val="002250A3"/>
    <w:rsid w:val="002271E8"/>
    <w:rsid w:val="002275B6"/>
    <w:rsid w:val="00227D9F"/>
    <w:rsid w:val="00231A7E"/>
    <w:rsid w:val="00232699"/>
    <w:rsid w:val="00233556"/>
    <w:rsid w:val="00233754"/>
    <w:rsid w:val="00233ADE"/>
    <w:rsid w:val="00234195"/>
    <w:rsid w:val="00234374"/>
    <w:rsid w:val="00235176"/>
    <w:rsid w:val="00235217"/>
    <w:rsid w:val="002402FE"/>
    <w:rsid w:val="00241871"/>
    <w:rsid w:val="002420FF"/>
    <w:rsid w:val="00242435"/>
    <w:rsid w:val="002430EF"/>
    <w:rsid w:val="0024399A"/>
    <w:rsid w:val="0024436B"/>
    <w:rsid w:val="00244577"/>
    <w:rsid w:val="0024466B"/>
    <w:rsid w:val="0024466D"/>
    <w:rsid w:val="00244DD4"/>
    <w:rsid w:val="00245C2A"/>
    <w:rsid w:val="0024609E"/>
    <w:rsid w:val="00246249"/>
    <w:rsid w:val="00246D1F"/>
    <w:rsid w:val="00247102"/>
    <w:rsid w:val="00247403"/>
    <w:rsid w:val="00247491"/>
    <w:rsid w:val="00247542"/>
    <w:rsid w:val="002501DF"/>
    <w:rsid w:val="00250332"/>
    <w:rsid w:val="0025035A"/>
    <w:rsid w:val="00251449"/>
    <w:rsid w:val="00251AD4"/>
    <w:rsid w:val="002527A9"/>
    <w:rsid w:val="0025289F"/>
    <w:rsid w:val="002528A3"/>
    <w:rsid w:val="00252D46"/>
    <w:rsid w:val="00253ECD"/>
    <w:rsid w:val="00254086"/>
    <w:rsid w:val="00255156"/>
    <w:rsid w:val="002561F9"/>
    <w:rsid w:val="0025645E"/>
    <w:rsid w:val="002571C0"/>
    <w:rsid w:val="0025721A"/>
    <w:rsid w:val="0025788C"/>
    <w:rsid w:val="0025798F"/>
    <w:rsid w:val="00260014"/>
    <w:rsid w:val="0026030B"/>
    <w:rsid w:val="0026036B"/>
    <w:rsid w:val="00260498"/>
    <w:rsid w:val="00260B9D"/>
    <w:rsid w:val="00261BD4"/>
    <w:rsid w:val="00263846"/>
    <w:rsid w:val="00264356"/>
    <w:rsid w:val="00264C08"/>
    <w:rsid w:val="00265763"/>
    <w:rsid w:val="00265CC8"/>
    <w:rsid w:val="00266B61"/>
    <w:rsid w:val="0026712A"/>
    <w:rsid w:val="002677F7"/>
    <w:rsid w:val="0027028C"/>
    <w:rsid w:val="002704DB"/>
    <w:rsid w:val="00270CCF"/>
    <w:rsid w:val="00270DB4"/>
    <w:rsid w:val="00272278"/>
    <w:rsid w:val="00272949"/>
    <w:rsid w:val="00273B48"/>
    <w:rsid w:val="00273D36"/>
    <w:rsid w:val="002740CD"/>
    <w:rsid w:val="002743BB"/>
    <w:rsid w:val="00276D62"/>
    <w:rsid w:val="002773C2"/>
    <w:rsid w:val="0027745A"/>
    <w:rsid w:val="00281754"/>
    <w:rsid w:val="00281999"/>
    <w:rsid w:val="002849DB"/>
    <w:rsid w:val="002849E0"/>
    <w:rsid w:val="00284C10"/>
    <w:rsid w:val="00284DE8"/>
    <w:rsid w:val="00285772"/>
    <w:rsid w:val="00285F07"/>
    <w:rsid w:val="00287511"/>
    <w:rsid w:val="002878DF"/>
    <w:rsid w:val="00287AD5"/>
    <w:rsid w:val="00290140"/>
    <w:rsid w:val="002915A4"/>
    <w:rsid w:val="00291852"/>
    <w:rsid w:val="00291E29"/>
    <w:rsid w:val="00293632"/>
    <w:rsid w:val="00293798"/>
    <w:rsid w:val="002939B1"/>
    <w:rsid w:val="00293A69"/>
    <w:rsid w:val="0029596C"/>
    <w:rsid w:val="002978D3"/>
    <w:rsid w:val="002A0AAE"/>
    <w:rsid w:val="002A0C80"/>
    <w:rsid w:val="002A0D92"/>
    <w:rsid w:val="002A16EB"/>
    <w:rsid w:val="002A1A35"/>
    <w:rsid w:val="002A3A10"/>
    <w:rsid w:val="002A4AF0"/>
    <w:rsid w:val="002A55D8"/>
    <w:rsid w:val="002A5820"/>
    <w:rsid w:val="002A58AC"/>
    <w:rsid w:val="002A5980"/>
    <w:rsid w:val="002A59D5"/>
    <w:rsid w:val="002A5E63"/>
    <w:rsid w:val="002A6421"/>
    <w:rsid w:val="002A6D6E"/>
    <w:rsid w:val="002A797C"/>
    <w:rsid w:val="002B049F"/>
    <w:rsid w:val="002B0DD0"/>
    <w:rsid w:val="002B190D"/>
    <w:rsid w:val="002B1F3F"/>
    <w:rsid w:val="002B2064"/>
    <w:rsid w:val="002B26AA"/>
    <w:rsid w:val="002B26C1"/>
    <w:rsid w:val="002B28B9"/>
    <w:rsid w:val="002B31DE"/>
    <w:rsid w:val="002B381F"/>
    <w:rsid w:val="002B3A7D"/>
    <w:rsid w:val="002B49C5"/>
    <w:rsid w:val="002B5CA7"/>
    <w:rsid w:val="002B6699"/>
    <w:rsid w:val="002B6BA5"/>
    <w:rsid w:val="002B76B0"/>
    <w:rsid w:val="002B7DEB"/>
    <w:rsid w:val="002B7ED9"/>
    <w:rsid w:val="002C0080"/>
    <w:rsid w:val="002C04F4"/>
    <w:rsid w:val="002C2904"/>
    <w:rsid w:val="002C2B7C"/>
    <w:rsid w:val="002C34A2"/>
    <w:rsid w:val="002C4287"/>
    <w:rsid w:val="002C42C4"/>
    <w:rsid w:val="002C4389"/>
    <w:rsid w:val="002C591F"/>
    <w:rsid w:val="002C5A13"/>
    <w:rsid w:val="002C65E0"/>
    <w:rsid w:val="002C6DAE"/>
    <w:rsid w:val="002C7762"/>
    <w:rsid w:val="002D13C9"/>
    <w:rsid w:val="002D18B6"/>
    <w:rsid w:val="002D18D9"/>
    <w:rsid w:val="002D2B26"/>
    <w:rsid w:val="002D2BDD"/>
    <w:rsid w:val="002D31B6"/>
    <w:rsid w:val="002D38A8"/>
    <w:rsid w:val="002D432A"/>
    <w:rsid w:val="002D4D51"/>
    <w:rsid w:val="002D57F2"/>
    <w:rsid w:val="002D57F7"/>
    <w:rsid w:val="002D660F"/>
    <w:rsid w:val="002D6D48"/>
    <w:rsid w:val="002D6D92"/>
    <w:rsid w:val="002D6DFA"/>
    <w:rsid w:val="002D7EA2"/>
    <w:rsid w:val="002E07B0"/>
    <w:rsid w:val="002E1155"/>
    <w:rsid w:val="002E118C"/>
    <w:rsid w:val="002E11D8"/>
    <w:rsid w:val="002E187C"/>
    <w:rsid w:val="002E2223"/>
    <w:rsid w:val="002E2BFD"/>
    <w:rsid w:val="002E3978"/>
    <w:rsid w:val="002E3FDE"/>
    <w:rsid w:val="002E417C"/>
    <w:rsid w:val="002E4339"/>
    <w:rsid w:val="002E5579"/>
    <w:rsid w:val="002E583B"/>
    <w:rsid w:val="002E67C3"/>
    <w:rsid w:val="002E68C8"/>
    <w:rsid w:val="002E78CE"/>
    <w:rsid w:val="002F0CCD"/>
    <w:rsid w:val="002F0FB2"/>
    <w:rsid w:val="002F1177"/>
    <w:rsid w:val="002F16EA"/>
    <w:rsid w:val="002F1ED2"/>
    <w:rsid w:val="002F225F"/>
    <w:rsid w:val="002F2677"/>
    <w:rsid w:val="002F26D5"/>
    <w:rsid w:val="002F2D34"/>
    <w:rsid w:val="002F3751"/>
    <w:rsid w:val="002F3CDA"/>
    <w:rsid w:val="002F3F97"/>
    <w:rsid w:val="002F464F"/>
    <w:rsid w:val="002F485D"/>
    <w:rsid w:val="002F596C"/>
    <w:rsid w:val="002F6F78"/>
    <w:rsid w:val="00300DE6"/>
    <w:rsid w:val="00301F70"/>
    <w:rsid w:val="00302733"/>
    <w:rsid w:val="003034B3"/>
    <w:rsid w:val="003037F0"/>
    <w:rsid w:val="00303974"/>
    <w:rsid w:val="003039F4"/>
    <w:rsid w:val="0030433B"/>
    <w:rsid w:val="003045D6"/>
    <w:rsid w:val="00304AD9"/>
    <w:rsid w:val="0030512D"/>
    <w:rsid w:val="00305956"/>
    <w:rsid w:val="00306486"/>
    <w:rsid w:val="003067D6"/>
    <w:rsid w:val="00306880"/>
    <w:rsid w:val="00306C37"/>
    <w:rsid w:val="00307920"/>
    <w:rsid w:val="00307EE5"/>
    <w:rsid w:val="003106C3"/>
    <w:rsid w:val="0031128E"/>
    <w:rsid w:val="003112A9"/>
    <w:rsid w:val="00311901"/>
    <w:rsid w:val="00311A6F"/>
    <w:rsid w:val="003122F4"/>
    <w:rsid w:val="00312F2F"/>
    <w:rsid w:val="00312F89"/>
    <w:rsid w:val="00314078"/>
    <w:rsid w:val="003144B2"/>
    <w:rsid w:val="00314D9F"/>
    <w:rsid w:val="00316517"/>
    <w:rsid w:val="00317250"/>
    <w:rsid w:val="00321576"/>
    <w:rsid w:val="0032186D"/>
    <w:rsid w:val="00322373"/>
    <w:rsid w:val="003229C1"/>
    <w:rsid w:val="00323190"/>
    <w:rsid w:val="00323253"/>
    <w:rsid w:val="0032363A"/>
    <w:rsid w:val="00323FAD"/>
    <w:rsid w:val="0032412C"/>
    <w:rsid w:val="003247D2"/>
    <w:rsid w:val="003252C8"/>
    <w:rsid w:val="00325B5A"/>
    <w:rsid w:val="003273E8"/>
    <w:rsid w:val="003273FC"/>
    <w:rsid w:val="003274CA"/>
    <w:rsid w:val="00330B2C"/>
    <w:rsid w:val="00331015"/>
    <w:rsid w:val="00331547"/>
    <w:rsid w:val="0033169F"/>
    <w:rsid w:val="00331880"/>
    <w:rsid w:val="00331DB6"/>
    <w:rsid w:val="00332F4D"/>
    <w:rsid w:val="00333392"/>
    <w:rsid w:val="003340F9"/>
    <w:rsid w:val="003351CA"/>
    <w:rsid w:val="0033623A"/>
    <w:rsid w:val="00336412"/>
    <w:rsid w:val="00336DBE"/>
    <w:rsid w:val="003402C6"/>
    <w:rsid w:val="00340E9B"/>
    <w:rsid w:val="00341340"/>
    <w:rsid w:val="00341959"/>
    <w:rsid w:val="00341D78"/>
    <w:rsid w:val="00342457"/>
    <w:rsid w:val="003427C3"/>
    <w:rsid w:val="00342A5D"/>
    <w:rsid w:val="00343226"/>
    <w:rsid w:val="003450CB"/>
    <w:rsid w:val="00345F7F"/>
    <w:rsid w:val="00346643"/>
    <w:rsid w:val="00346C95"/>
    <w:rsid w:val="00346D2B"/>
    <w:rsid w:val="0034711A"/>
    <w:rsid w:val="00347342"/>
    <w:rsid w:val="0034738C"/>
    <w:rsid w:val="00347B81"/>
    <w:rsid w:val="00350FEF"/>
    <w:rsid w:val="003513C8"/>
    <w:rsid w:val="00351630"/>
    <w:rsid w:val="00351BF8"/>
    <w:rsid w:val="0035379E"/>
    <w:rsid w:val="00353892"/>
    <w:rsid w:val="00353F8E"/>
    <w:rsid w:val="0035504C"/>
    <w:rsid w:val="00355188"/>
    <w:rsid w:val="003553B9"/>
    <w:rsid w:val="003555B8"/>
    <w:rsid w:val="00355E3E"/>
    <w:rsid w:val="00356185"/>
    <w:rsid w:val="0035729D"/>
    <w:rsid w:val="00357E90"/>
    <w:rsid w:val="00360221"/>
    <w:rsid w:val="00360380"/>
    <w:rsid w:val="00360575"/>
    <w:rsid w:val="00360DF5"/>
    <w:rsid w:val="00360E13"/>
    <w:rsid w:val="00361765"/>
    <w:rsid w:val="00361EE2"/>
    <w:rsid w:val="0036247E"/>
    <w:rsid w:val="00363772"/>
    <w:rsid w:val="003639E7"/>
    <w:rsid w:val="00363A3F"/>
    <w:rsid w:val="00364E00"/>
    <w:rsid w:val="0036502F"/>
    <w:rsid w:val="0036510E"/>
    <w:rsid w:val="0036565E"/>
    <w:rsid w:val="003661B2"/>
    <w:rsid w:val="0036634F"/>
    <w:rsid w:val="003675E5"/>
    <w:rsid w:val="00367BDC"/>
    <w:rsid w:val="00367C3F"/>
    <w:rsid w:val="00370FAE"/>
    <w:rsid w:val="00372131"/>
    <w:rsid w:val="00373626"/>
    <w:rsid w:val="003738D7"/>
    <w:rsid w:val="00373A0C"/>
    <w:rsid w:val="00373B73"/>
    <w:rsid w:val="00373E57"/>
    <w:rsid w:val="003742C8"/>
    <w:rsid w:val="00374B7D"/>
    <w:rsid w:val="003752E2"/>
    <w:rsid w:val="00376D82"/>
    <w:rsid w:val="00377287"/>
    <w:rsid w:val="00377BCD"/>
    <w:rsid w:val="003803A8"/>
    <w:rsid w:val="00380441"/>
    <w:rsid w:val="00380B64"/>
    <w:rsid w:val="00380BCE"/>
    <w:rsid w:val="00380DD1"/>
    <w:rsid w:val="00381275"/>
    <w:rsid w:val="003818C1"/>
    <w:rsid w:val="003819B8"/>
    <w:rsid w:val="00383FF6"/>
    <w:rsid w:val="00385C70"/>
    <w:rsid w:val="0038683C"/>
    <w:rsid w:val="003868E9"/>
    <w:rsid w:val="00386A0A"/>
    <w:rsid w:val="00386CF0"/>
    <w:rsid w:val="00386D33"/>
    <w:rsid w:val="00387318"/>
    <w:rsid w:val="00387B9A"/>
    <w:rsid w:val="00387E8F"/>
    <w:rsid w:val="00387FC1"/>
    <w:rsid w:val="003912A6"/>
    <w:rsid w:val="00392130"/>
    <w:rsid w:val="003921AA"/>
    <w:rsid w:val="00393445"/>
    <w:rsid w:val="00394AF9"/>
    <w:rsid w:val="00394CD0"/>
    <w:rsid w:val="0039660E"/>
    <w:rsid w:val="003966F9"/>
    <w:rsid w:val="003978EF"/>
    <w:rsid w:val="00397AFA"/>
    <w:rsid w:val="00397C9F"/>
    <w:rsid w:val="00397FAA"/>
    <w:rsid w:val="003A31E7"/>
    <w:rsid w:val="003A3ACF"/>
    <w:rsid w:val="003A3E55"/>
    <w:rsid w:val="003A431E"/>
    <w:rsid w:val="003A5976"/>
    <w:rsid w:val="003A5CF9"/>
    <w:rsid w:val="003A6220"/>
    <w:rsid w:val="003A6E09"/>
    <w:rsid w:val="003A723B"/>
    <w:rsid w:val="003A724A"/>
    <w:rsid w:val="003B0471"/>
    <w:rsid w:val="003B0C66"/>
    <w:rsid w:val="003B3CD9"/>
    <w:rsid w:val="003B5118"/>
    <w:rsid w:val="003B56B1"/>
    <w:rsid w:val="003B771B"/>
    <w:rsid w:val="003B78A3"/>
    <w:rsid w:val="003B7B5D"/>
    <w:rsid w:val="003B7E9C"/>
    <w:rsid w:val="003B7EF5"/>
    <w:rsid w:val="003C1A9C"/>
    <w:rsid w:val="003C2014"/>
    <w:rsid w:val="003C2AB7"/>
    <w:rsid w:val="003C676B"/>
    <w:rsid w:val="003C7713"/>
    <w:rsid w:val="003C7BD0"/>
    <w:rsid w:val="003D13EF"/>
    <w:rsid w:val="003D1FF6"/>
    <w:rsid w:val="003D319A"/>
    <w:rsid w:val="003D3BC2"/>
    <w:rsid w:val="003D3BED"/>
    <w:rsid w:val="003D439F"/>
    <w:rsid w:val="003D4D71"/>
    <w:rsid w:val="003D4F84"/>
    <w:rsid w:val="003D5097"/>
    <w:rsid w:val="003D58F2"/>
    <w:rsid w:val="003D59E3"/>
    <w:rsid w:val="003D64EB"/>
    <w:rsid w:val="003D679D"/>
    <w:rsid w:val="003E0169"/>
    <w:rsid w:val="003E0EC0"/>
    <w:rsid w:val="003E151B"/>
    <w:rsid w:val="003E1570"/>
    <w:rsid w:val="003E22ED"/>
    <w:rsid w:val="003E22FD"/>
    <w:rsid w:val="003E2556"/>
    <w:rsid w:val="003E2978"/>
    <w:rsid w:val="003E2B6D"/>
    <w:rsid w:val="003E315B"/>
    <w:rsid w:val="003E36E8"/>
    <w:rsid w:val="003E40BD"/>
    <w:rsid w:val="003E4145"/>
    <w:rsid w:val="003E52CE"/>
    <w:rsid w:val="003E5767"/>
    <w:rsid w:val="003E58D3"/>
    <w:rsid w:val="003E5D2C"/>
    <w:rsid w:val="003E6CA1"/>
    <w:rsid w:val="003E6F59"/>
    <w:rsid w:val="003E7128"/>
    <w:rsid w:val="003E7ACD"/>
    <w:rsid w:val="003F0C00"/>
    <w:rsid w:val="003F1E68"/>
    <w:rsid w:val="003F2AEF"/>
    <w:rsid w:val="003F342F"/>
    <w:rsid w:val="003F3694"/>
    <w:rsid w:val="003F38EE"/>
    <w:rsid w:val="003F3CFA"/>
    <w:rsid w:val="003F46B5"/>
    <w:rsid w:val="003F49E4"/>
    <w:rsid w:val="003F4FFA"/>
    <w:rsid w:val="003F56FC"/>
    <w:rsid w:val="003F6E8F"/>
    <w:rsid w:val="003F7E40"/>
    <w:rsid w:val="004009FC"/>
    <w:rsid w:val="004011E9"/>
    <w:rsid w:val="00401A7F"/>
    <w:rsid w:val="00401D94"/>
    <w:rsid w:val="004031A1"/>
    <w:rsid w:val="004036B0"/>
    <w:rsid w:val="00404F46"/>
    <w:rsid w:val="00405361"/>
    <w:rsid w:val="00405C29"/>
    <w:rsid w:val="00412250"/>
    <w:rsid w:val="00412267"/>
    <w:rsid w:val="00414227"/>
    <w:rsid w:val="00414E06"/>
    <w:rsid w:val="00415BBD"/>
    <w:rsid w:val="0041616C"/>
    <w:rsid w:val="00416470"/>
    <w:rsid w:val="004165C2"/>
    <w:rsid w:val="00417460"/>
    <w:rsid w:val="0041778C"/>
    <w:rsid w:val="0041782F"/>
    <w:rsid w:val="00417AC6"/>
    <w:rsid w:val="004205DD"/>
    <w:rsid w:val="004216C5"/>
    <w:rsid w:val="00421995"/>
    <w:rsid w:val="00422594"/>
    <w:rsid w:val="0042303C"/>
    <w:rsid w:val="004231F7"/>
    <w:rsid w:val="00423E1B"/>
    <w:rsid w:val="00424207"/>
    <w:rsid w:val="00424962"/>
    <w:rsid w:val="004254C0"/>
    <w:rsid w:val="0042575D"/>
    <w:rsid w:val="00426097"/>
    <w:rsid w:val="0042699F"/>
    <w:rsid w:val="00427BBB"/>
    <w:rsid w:val="00427FE1"/>
    <w:rsid w:val="00430576"/>
    <w:rsid w:val="004314FA"/>
    <w:rsid w:val="00431645"/>
    <w:rsid w:val="0043231F"/>
    <w:rsid w:val="0043250E"/>
    <w:rsid w:val="00432C81"/>
    <w:rsid w:val="0043310F"/>
    <w:rsid w:val="0043456A"/>
    <w:rsid w:val="004347ED"/>
    <w:rsid w:val="004348D0"/>
    <w:rsid w:val="00435797"/>
    <w:rsid w:val="00435BC8"/>
    <w:rsid w:val="00436503"/>
    <w:rsid w:val="00436FF4"/>
    <w:rsid w:val="004378F2"/>
    <w:rsid w:val="004378FB"/>
    <w:rsid w:val="00437CB9"/>
    <w:rsid w:val="00437E20"/>
    <w:rsid w:val="00440B67"/>
    <w:rsid w:val="00440F62"/>
    <w:rsid w:val="00441200"/>
    <w:rsid w:val="00441AA4"/>
    <w:rsid w:val="00441D14"/>
    <w:rsid w:val="00441ECB"/>
    <w:rsid w:val="004424FF"/>
    <w:rsid w:val="00443644"/>
    <w:rsid w:val="00443A59"/>
    <w:rsid w:val="00443D9D"/>
    <w:rsid w:val="00444095"/>
    <w:rsid w:val="0044444F"/>
    <w:rsid w:val="00444C04"/>
    <w:rsid w:val="00446198"/>
    <w:rsid w:val="00446A19"/>
    <w:rsid w:val="00446A1B"/>
    <w:rsid w:val="00447215"/>
    <w:rsid w:val="00447F13"/>
    <w:rsid w:val="00450CA7"/>
    <w:rsid w:val="00450E3A"/>
    <w:rsid w:val="00450EE8"/>
    <w:rsid w:val="0045185C"/>
    <w:rsid w:val="00452A66"/>
    <w:rsid w:val="004538B2"/>
    <w:rsid w:val="00453C42"/>
    <w:rsid w:val="0045640E"/>
    <w:rsid w:val="00456CCA"/>
    <w:rsid w:val="0046102F"/>
    <w:rsid w:val="004611CE"/>
    <w:rsid w:val="00462771"/>
    <w:rsid w:val="004629DE"/>
    <w:rsid w:val="00462D95"/>
    <w:rsid w:val="00462F00"/>
    <w:rsid w:val="00463AB9"/>
    <w:rsid w:val="00463C21"/>
    <w:rsid w:val="00463C4C"/>
    <w:rsid w:val="00464741"/>
    <w:rsid w:val="00464949"/>
    <w:rsid w:val="00465EDC"/>
    <w:rsid w:val="00466977"/>
    <w:rsid w:val="004669A8"/>
    <w:rsid w:val="00466D04"/>
    <w:rsid w:val="00467534"/>
    <w:rsid w:val="00467B7E"/>
    <w:rsid w:val="00467D54"/>
    <w:rsid w:val="00470046"/>
    <w:rsid w:val="00470053"/>
    <w:rsid w:val="00470193"/>
    <w:rsid w:val="00470B7D"/>
    <w:rsid w:val="00470E85"/>
    <w:rsid w:val="004719E3"/>
    <w:rsid w:val="004724C1"/>
    <w:rsid w:val="0047286F"/>
    <w:rsid w:val="00473258"/>
    <w:rsid w:val="00473B36"/>
    <w:rsid w:val="00474206"/>
    <w:rsid w:val="0047462B"/>
    <w:rsid w:val="00474B8A"/>
    <w:rsid w:val="0047544B"/>
    <w:rsid w:val="0047563F"/>
    <w:rsid w:val="004762C7"/>
    <w:rsid w:val="00477592"/>
    <w:rsid w:val="00480CDD"/>
    <w:rsid w:val="004812FD"/>
    <w:rsid w:val="004821E1"/>
    <w:rsid w:val="004826DF"/>
    <w:rsid w:val="00482CA2"/>
    <w:rsid w:val="004837BD"/>
    <w:rsid w:val="00484683"/>
    <w:rsid w:val="00484DA5"/>
    <w:rsid w:val="00484DFB"/>
    <w:rsid w:val="004859F8"/>
    <w:rsid w:val="00485B91"/>
    <w:rsid w:val="00485F16"/>
    <w:rsid w:val="00486431"/>
    <w:rsid w:val="0048651E"/>
    <w:rsid w:val="004866AE"/>
    <w:rsid w:val="00486F1C"/>
    <w:rsid w:val="00487237"/>
    <w:rsid w:val="00487A71"/>
    <w:rsid w:val="00490384"/>
    <w:rsid w:val="004904D3"/>
    <w:rsid w:val="00490E0C"/>
    <w:rsid w:val="004910CC"/>
    <w:rsid w:val="004921AB"/>
    <w:rsid w:val="0049241D"/>
    <w:rsid w:val="004929C8"/>
    <w:rsid w:val="004930F4"/>
    <w:rsid w:val="0049419D"/>
    <w:rsid w:val="0049462E"/>
    <w:rsid w:val="00494D3F"/>
    <w:rsid w:val="00494F1F"/>
    <w:rsid w:val="004956F6"/>
    <w:rsid w:val="00495A60"/>
    <w:rsid w:val="00495F35"/>
    <w:rsid w:val="00496186"/>
    <w:rsid w:val="004976AC"/>
    <w:rsid w:val="004A05B5"/>
    <w:rsid w:val="004A11F8"/>
    <w:rsid w:val="004A1E90"/>
    <w:rsid w:val="004A2094"/>
    <w:rsid w:val="004A258B"/>
    <w:rsid w:val="004A3419"/>
    <w:rsid w:val="004A5052"/>
    <w:rsid w:val="004A5667"/>
    <w:rsid w:val="004A617D"/>
    <w:rsid w:val="004A779E"/>
    <w:rsid w:val="004A7E5C"/>
    <w:rsid w:val="004B01BA"/>
    <w:rsid w:val="004B0299"/>
    <w:rsid w:val="004B1BE5"/>
    <w:rsid w:val="004B2554"/>
    <w:rsid w:val="004B2BAC"/>
    <w:rsid w:val="004B2DCD"/>
    <w:rsid w:val="004B316C"/>
    <w:rsid w:val="004B31A2"/>
    <w:rsid w:val="004B327C"/>
    <w:rsid w:val="004B3ACD"/>
    <w:rsid w:val="004B3DE0"/>
    <w:rsid w:val="004B3E96"/>
    <w:rsid w:val="004B541C"/>
    <w:rsid w:val="004B5851"/>
    <w:rsid w:val="004B5E6C"/>
    <w:rsid w:val="004C051E"/>
    <w:rsid w:val="004C06B6"/>
    <w:rsid w:val="004C0C8C"/>
    <w:rsid w:val="004C124F"/>
    <w:rsid w:val="004C1FA2"/>
    <w:rsid w:val="004C20D2"/>
    <w:rsid w:val="004C3017"/>
    <w:rsid w:val="004C4074"/>
    <w:rsid w:val="004C4B62"/>
    <w:rsid w:val="004C54C9"/>
    <w:rsid w:val="004C5730"/>
    <w:rsid w:val="004C5B63"/>
    <w:rsid w:val="004C5E9F"/>
    <w:rsid w:val="004C609C"/>
    <w:rsid w:val="004C69F4"/>
    <w:rsid w:val="004C6A80"/>
    <w:rsid w:val="004C7413"/>
    <w:rsid w:val="004D0630"/>
    <w:rsid w:val="004D0917"/>
    <w:rsid w:val="004D1337"/>
    <w:rsid w:val="004D194D"/>
    <w:rsid w:val="004D19C3"/>
    <w:rsid w:val="004D2149"/>
    <w:rsid w:val="004D3DAE"/>
    <w:rsid w:val="004D4178"/>
    <w:rsid w:val="004D4704"/>
    <w:rsid w:val="004D4BC8"/>
    <w:rsid w:val="004D4FEE"/>
    <w:rsid w:val="004D5ED4"/>
    <w:rsid w:val="004D6025"/>
    <w:rsid w:val="004D6460"/>
    <w:rsid w:val="004D6AC8"/>
    <w:rsid w:val="004D6DF5"/>
    <w:rsid w:val="004D7133"/>
    <w:rsid w:val="004D7AF3"/>
    <w:rsid w:val="004D7BEE"/>
    <w:rsid w:val="004D7EB0"/>
    <w:rsid w:val="004E0DAA"/>
    <w:rsid w:val="004E1D1E"/>
    <w:rsid w:val="004E2649"/>
    <w:rsid w:val="004E274B"/>
    <w:rsid w:val="004E3657"/>
    <w:rsid w:val="004E3B05"/>
    <w:rsid w:val="004E4675"/>
    <w:rsid w:val="004E4868"/>
    <w:rsid w:val="004E4F80"/>
    <w:rsid w:val="004E54FC"/>
    <w:rsid w:val="004E58ED"/>
    <w:rsid w:val="004E6D2E"/>
    <w:rsid w:val="004E7996"/>
    <w:rsid w:val="004F00C5"/>
    <w:rsid w:val="004F10D6"/>
    <w:rsid w:val="004F1AF1"/>
    <w:rsid w:val="004F2C05"/>
    <w:rsid w:val="004F34D2"/>
    <w:rsid w:val="004F3C45"/>
    <w:rsid w:val="004F3CB3"/>
    <w:rsid w:val="004F4ACF"/>
    <w:rsid w:val="004F5006"/>
    <w:rsid w:val="004F545F"/>
    <w:rsid w:val="004F57C9"/>
    <w:rsid w:val="004F604D"/>
    <w:rsid w:val="004F68A8"/>
    <w:rsid w:val="004F6A8C"/>
    <w:rsid w:val="004F6BA3"/>
    <w:rsid w:val="004F6FF8"/>
    <w:rsid w:val="004F73D9"/>
    <w:rsid w:val="00501399"/>
    <w:rsid w:val="00501D9A"/>
    <w:rsid w:val="005024B9"/>
    <w:rsid w:val="00502E53"/>
    <w:rsid w:val="00503A50"/>
    <w:rsid w:val="0050429C"/>
    <w:rsid w:val="00504D4C"/>
    <w:rsid w:val="005055D2"/>
    <w:rsid w:val="00505D03"/>
    <w:rsid w:val="0050633D"/>
    <w:rsid w:val="00506F9B"/>
    <w:rsid w:val="005070E5"/>
    <w:rsid w:val="00507BC4"/>
    <w:rsid w:val="00510255"/>
    <w:rsid w:val="00510325"/>
    <w:rsid w:val="00512714"/>
    <w:rsid w:val="005128E4"/>
    <w:rsid w:val="005133DB"/>
    <w:rsid w:val="00513CB7"/>
    <w:rsid w:val="00513E30"/>
    <w:rsid w:val="0051487D"/>
    <w:rsid w:val="005155B3"/>
    <w:rsid w:val="00516871"/>
    <w:rsid w:val="005169D0"/>
    <w:rsid w:val="00516BD4"/>
    <w:rsid w:val="00516C63"/>
    <w:rsid w:val="00520AD9"/>
    <w:rsid w:val="00521C8E"/>
    <w:rsid w:val="0052356C"/>
    <w:rsid w:val="00523FBE"/>
    <w:rsid w:val="0052405D"/>
    <w:rsid w:val="0052469C"/>
    <w:rsid w:val="00524C2F"/>
    <w:rsid w:val="00524E67"/>
    <w:rsid w:val="00525560"/>
    <w:rsid w:val="0052567E"/>
    <w:rsid w:val="005263C7"/>
    <w:rsid w:val="00527688"/>
    <w:rsid w:val="005276EF"/>
    <w:rsid w:val="00530051"/>
    <w:rsid w:val="0053029D"/>
    <w:rsid w:val="0053089A"/>
    <w:rsid w:val="00530E8B"/>
    <w:rsid w:val="00531F93"/>
    <w:rsid w:val="0053252B"/>
    <w:rsid w:val="0053366D"/>
    <w:rsid w:val="00534382"/>
    <w:rsid w:val="00534464"/>
    <w:rsid w:val="0053714C"/>
    <w:rsid w:val="00537AEC"/>
    <w:rsid w:val="00537E23"/>
    <w:rsid w:val="00537E73"/>
    <w:rsid w:val="00537F8A"/>
    <w:rsid w:val="00540577"/>
    <w:rsid w:val="005406CB"/>
    <w:rsid w:val="00540C2B"/>
    <w:rsid w:val="005410E2"/>
    <w:rsid w:val="00542583"/>
    <w:rsid w:val="00542A9F"/>
    <w:rsid w:val="00542C2F"/>
    <w:rsid w:val="005432FB"/>
    <w:rsid w:val="00543FF6"/>
    <w:rsid w:val="00544007"/>
    <w:rsid w:val="00544570"/>
    <w:rsid w:val="00544C49"/>
    <w:rsid w:val="0054575C"/>
    <w:rsid w:val="00545A37"/>
    <w:rsid w:val="00547331"/>
    <w:rsid w:val="0054741E"/>
    <w:rsid w:val="005477CF"/>
    <w:rsid w:val="00547E2E"/>
    <w:rsid w:val="00550D2B"/>
    <w:rsid w:val="00550FA9"/>
    <w:rsid w:val="0055106F"/>
    <w:rsid w:val="00551166"/>
    <w:rsid w:val="005516A1"/>
    <w:rsid w:val="00552344"/>
    <w:rsid w:val="0055250F"/>
    <w:rsid w:val="00553FAF"/>
    <w:rsid w:val="00555008"/>
    <w:rsid w:val="00556013"/>
    <w:rsid w:val="00557B7A"/>
    <w:rsid w:val="005613EE"/>
    <w:rsid w:val="00561A87"/>
    <w:rsid w:val="00562D6B"/>
    <w:rsid w:val="00563887"/>
    <w:rsid w:val="005644B8"/>
    <w:rsid w:val="00565026"/>
    <w:rsid w:val="00565A04"/>
    <w:rsid w:val="00566347"/>
    <w:rsid w:val="00566BC9"/>
    <w:rsid w:val="005674CB"/>
    <w:rsid w:val="00570607"/>
    <w:rsid w:val="005715B7"/>
    <w:rsid w:val="00572DDE"/>
    <w:rsid w:val="00573798"/>
    <w:rsid w:val="0057402A"/>
    <w:rsid w:val="00574E64"/>
    <w:rsid w:val="00575540"/>
    <w:rsid w:val="00575E2A"/>
    <w:rsid w:val="0057643D"/>
    <w:rsid w:val="00576F11"/>
    <w:rsid w:val="00577046"/>
    <w:rsid w:val="005771D0"/>
    <w:rsid w:val="00580333"/>
    <w:rsid w:val="00581023"/>
    <w:rsid w:val="0058194B"/>
    <w:rsid w:val="00582FE3"/>
    <w:rsid w:val="005844FB"/>
    <w:rsid w:val="00584D24"/>
    <w:rsid w:val="00585A8F"/>
    <w:rsid w:val="00585E67"/>
    <w:rsid w:val="00585FFF"/>
    <w:rsid w:val="0058619A"/>
    <w:rsid w:val="00587B64"/>
    <w:rsid w:val="00587C05"/>
    <w:rsid w:val="00587D9C"/>
    <w:rsid w:val="00590A5F"/>
    <w:rsid w:val="00591708"/>
    <w:rsid w:val="005918C2"/>
    <w:rsid w:val="0059191A"/>
    <w:rsid w:val="00591D12"/>
    <w:rsid w:val="005921DF"/>
    <w:rsid w:val="005921FF"/>
    <w:rsid w:val="005923CF"/>
    <w:rsid w:val="005928B4"/>
    <w:rsid w:val="00594D35"/>
    <w:rsid w:val="00595FA8"/>
    <w:rsid w:val="00596572"/>
    <w:rsid w:val="005967AB"/>
    <w:rsid w:val="00596865"/>
    <w:rsid w:val="005968C8"/>
    <w:rsid w:val="00597060"/>
    <w:rsid w:val="00597E86"/>
    <w:rsid w:val="005A0415"/>
    <w:rsid w:val="005A1C4B"/>
    <w:rsid w:val="005A2996"/>
    <w:rsid w:val="005A31FF"/>
    <w:rsid w:val="005A36F2"/>
    <w:rsid w:val="005A46A2"/>
    <w:rsid w:val="005A5320"/>
    <w:rsid w:val="005A545C"/>
    <w:rsid w:val="005A55AD"/>
    <w:rsid w:val="005A5F2C"/>
    <w:rsid w:val="005A68B1"/>
    <w:rsid w:val="005A6D0E"/>
    <w:rsid w:val="005A71C6"/>
    <w:rsid w:val="005A763E"/>
    <w:rsid w:val="005A7D4B"/>
    <w:rsid w:val="005B018D"/>
    <w:rsid w:val="005B027C"/>
    <w:rsid w:val="005B0326"/>
    <w:rsid w:val="005B048D"/>
    <w:rsid w:val="005B1236"/>
    <w:rsid w:val="005B142C"/>
    <w:rsid w:val="005B1C5F"/>
    <w:rsid w:val="005B2461"/>
    <w:rsid w:val="005B2C69"/>
    <w:rsid w:val="005B3203"/>
    <w:rsid w:val="005B3A06"/>
    <w:rsid w:val="005B458F"/>
    <w:rsid w:val="005B4B89"/>
    <w:rsid w:val="005B5041"/>
    <w:rsid w:val="005B52B0"/>
    <w:rsid w:val="005B5E1E"/>
    <w:rsid w:val="005B66E4"/>
    <w:rsid w:val="005B6806"/>
    <w:rsid w:val="005B6890"/>
    <w:rsid w:val="005B6CED"/>
    <w:rsid w:val="005C0276"/>
    <w:rsid w:val="005C04F7"/>
    <w:rsid w:val="005C0612"/>
    <w:rsid w:val="005C0771"/>
    <w:rsid w:val="005C0EB2"/>
    <w:rsid w:val="005C13B1"/>
    <w:rsid w:val="005C1795"/>
    <w:rsid w:val="005C2271"/>
    <w:rsid w:val="005C4225"/>
    <w:rsid w:val="005C4651"/>
    <w:rsid w:val="005C4767"/>
    <w:rsid w:val="005C612F"/>
    <w:rsid w:val="005C71A5"/>
    <w:rsid w:val="005C7488"/>
    <w:rsid w:val="005C7A43"/>
    <w:rsid w:val="005D01EF"/>
    <w:rsid w:val="005D1F4F"/>
    <w:rsid w:val="005D3109"/>
    <w:rsid w:val="005D35DB"/>
    <w:rsid w:val="005D4463"/>
    <w:rsid w:val="005D4B0E"/>
    <w:rsid w:val="005D4BFB"/>
    <w:rsid w:val="005D5539"/>
    <w:rsid w:val="005D5CD2"/>
    <w:rsid w:val="005D6134"/>
    <w:rsid w:val="005E09DC"/>
    <w:rsid w:val="005E1599"/>
    <w:rsid w:val="005E3919"/>
    <w:rsid w:val="005E39C7"/>
    <w:rsid w:val="005E4081"/>
    <w:rsid w:val="005E421A"/>
    <w:rsid w:val="005E42FF"/>
    <w:rsid w:val="005E45A4"/>
    <w:rsid w:val="005E5437"/>
    <w:rsid w:val="005E5580"/>
    <w:rsid w:val="005E59D9"/>
    <w:rsid w:val="005E63E4"/>
    <w:rsid w:val="005E6507"/>
    <w:rsid w:val="005E66E5"/>
    <w:rsid w:val="005E717B"/>
    <w:rsid w:val="005E7A61"/>
    <w:rsid w:val="005F0DAD"/>
    <w:rsid w:val="005F0F33"/>
    <w:rsid w:val="005F10FD"/>
    <w:rsid w:val="005F2090"/>
    <w:rsid w:val="005F25C4"/>
    <w:rsid w:val="005F2C47"/>
    <w:rsid w:val="005F400F"/>
    <w:rsid w:val="005F4948"/>
    <w:rsid w:val="005F6475"/>
    <w:rsid w:val="005F6AA6"/>
    <w:rsid w:val="005F74FD"/>
    <w:rsid w:val="005F7FD1"/>
    <w:rsid w:val="00600784"/>
    <w:rsid w:val="00600824"/>
    <w:rsid w:val="00600DEB"/>
    <w:rsid w:val="00601BF0"/>
    <w:rsid w:val="00601D10"/>
    <w:rsid w:val="00601D9C"/>
    <w:rsid w:val="006020BF"/>
    <w:rsid w:val="00602481"/>
    <w:rsid w:val="00602BE9"/>
    <w:rsid w:val="006031D9"/>
    <w:rsid w:val="0060419C"/>
    <w:rsid w:val="006049D5"/>
    <w:rsid w:val="00605636"/>
    <w:rsid w:val="00605639"/>
    <w:rsid w:val="00605DF3"/>
    <w:rsid w:val="00605F21"/>
    <w:rsid w:val="00606418"/>
    <w:rsid w:val="006078DA"/>
    <w:rsid w:val="00610545"/>
    <w:rsid w:val="00610598"/>
    <w:rsid w:val="00610629"/>
    <w:rsid w:val="00610B66"/>
    <w:rsid w:val="00610D16"/>
    <w:rsid w:val="00611411"/>
    <w:rsid w:val="006118C9"/>
    <w:rsid w:val="00612699"/>
    <w:rsid w:val="00614867"/>
    <w:rsid w:val="00614F48"/>
    <w:rsid w:val="0061565D"/>
    <w:rsid w:val="00616517"/>
    <w:rsid w:val="00616733"/>
    <w:rsid w:val="00616C27"/>
    <w:rsid w:val="00617C65"/>
    <w:rsid w:val="00617F15"/>
    <w:rsid w:val="00620D96"/>
    <w:rsid w:val="0062206A"/>
    <w:rsid w:val="00622465"/>
    <w:rsid w:val="00622D9E"/>
    <w:rsid w:val="00623415"/>
    <w:rsid w:val="0062361B"/>
    <w:rsid w:val="00623732"/>
    <w:rsid w:val="00623FE7"/>
    <w:rsid w:val="00624B07"/>
    <w:rsid w:val="00624C18"/>
    <w:rsid w:val="0062695B"/>
    <w:rsid w:val="00626A1D"/>
    <w:rsid w:val="00626A68"/>
    <w:rsid w:val="00626ADB"/>
    <w:rsid w:val="0062761B"/>
    <w:rsid w:val="00627772"/>
    <w:rsid w:val="00627A84"/>
    <w:rsid w:val="00627C9F"/>
    <w:rsid w:val="00630099"/>
    <w:rsid w:val="0063010A"/>
    <w:rsid w:val="006302B8"/>
    <w:rsid w:val="00630421"/>
    <w:rsid w:val="006308B0"/>
    <w:rsid w:val="00630B51"/>
    <w:rsid w:val="00630F0A"/>
    <w:rsid w:val="006311E9"/>
    <w:rsid w:val="00632039"/>
    <w:rsid w:val="00632354"/>
    <w:rsid w:val="00632CED"/>
    <w:rsid w:val="00633006"/>
    <w:rsid w:val="00634275"/>
    <w:rsid w:val="006346E4"/>
    <w:rsid w:val="00634931"/>
    <w:rsid w:val="00634B00"/>
    <w:rsid w:val="00636164"/>
    <w:rsid w:val="00636B12"/>
    <w:rsid w:val="00637390"/>
    <w:rsid w:val="00637A7D"/>
    <w:rsid w:val="00641554"/>
    <w:rsid w:val="00641FFA"/>
    <w:rsid w:val="00642011"/>
    <w:rsid w:val="00642053"/>
    <w:rsid w:val="00642299"/>
    <w:rsid w:val="006427A2"/>
    <w:rsid w:val="00642810"/>
    <w:rsid w:val="006432DF"/>
    <w:rsid w:val="00644457"/>
    <w:rsid w:val="00645394"/>
    <w:rsid w:val="0064625E"/>
    <w:rsid w:val="00646318"/>
    <w:rsid w:val="00646AAA"/>
    <w:rsid w:val="00647CBF"/>
    <w:rsid w:val="00647F10"/>
    <w:rsid w:val="006501D8"/>
    <w:rsid w:val="00651686"/>
    <w:rsid w:val="006517C3"/>
    <w:rsid w:val="00651A84"/>
    <w:rsid w:val="00652129"/>
    <w:rsid w:val="00652333"/>
    <w:rsid w:val="00653942"/>
    <w:rsid w:val="00653C47"/>
    <w:rsid w:val="00654110"/>
    <w:rsid w:val="00654330"/>
    <w:rsid w:val="00654AA0"/>
    <w:rsid w:val="0065564D"/>
    <w:rsid w:val="00655DC3"/>
    <w:rsid w:val="006565CC"/>
    <w:rsid w:val="00656DA6"/>
    <w:rsid w:val="0066006C"/>
    <w:rsid w:val="00661526"/>
    <w:rsid w:val="00663EF4"/>
    <w:rsid w:val="006650A7"/>
    <w:rsid w:val="00665324"/>
    <w:rsid w:val="00665BA0"/>
    <w:rsid w:val="00665F90"/>
    <w:rsid w:val="006663B3"/>
    <w:rsid w:val="0066736C"/>
    <w:rsid w:val="0066745B"/>
    <w:rsid w:val="00667EDE"/>
    <w:rsid w:val="006700BC"/>
    <w:rsid w:val="00672DEF"/>
    <w:rsid w:val="00675D16"/>
    <w:rsid w:val="00676BEC"/>
    <w:rsid w:val="006774F4"/>
    <w:rsid w:val="00677817"/>
    <w:rsid w:val="00677AD8"/>
    <w:rsid w:val="0068001B"/>
    <w:rsid w:val="0068009E"/>
    <w:rsid w:val="00680B66"/>
    <w:rsid w:val="0068105A"/>
    <w:rsid w:val="00682960"/>
    <w:rsid w:val="00682A00"/>
    <w:rsid w:val="00683B3E"/>
    <w:rsid w:val="0068401C"/>
    <w:rsid w:val="006844D5"/>
    <w:rsid w:val="00684A8E"/>
    <w:rsid w:val="00684ADA"/>
    <w:rsid w:val="006857A6"/>
    <w:rsid w:val="00685917"/>
    <w:rsid w:val="00685A94"/>
    <w:rsid w:val="00686C4E"/>
    <w:rsid w:val="00687233"/>
    <w:rsid w:val="00687C60"/>
    <w:rsid w:val="006928EA"/>
    <w:rsid w:val="00693F43"/>
    <w:rsid w:val="00694B5E"/>
    <w:rsid w:val="006954B6"/>
    <w:rsid w:val="006959DA"/>
    <w:rsid w:val="006A12EA"/>
    <w:rsid w:val="006A17D2"/>
    <w:rsid w:val="006A26BC"/>
    <w:rsid w:val="006A2D14"/>
    <w:rsid w:val="006A2FCE"/>
    <w:rsid w:val="006A34E3"/>
    <w:rsid w:val="006A501D"/>
    <w:rsid w:val="006A5279"/>
    <w:rsid w:val="006A5D09"/>
    <w:rsid w:val="006A686E"/>
    <w:rsid w:val="006A6C28"/>
    <w:rsid w:val="006A6E4C"/>
    <w:rsid w:val="006A73E6"/>
    <w:rsid w:val="006B0320"/>
    <w:rsid w:val="006B09B1"/>
    <w:rsid w:val="006B09F4"/>
    <w:rsid w:val="006B0A06"/>
    <w:rsid w:val="006B0F85"/>
    <w:rsid w:val="006B15CE"/>
    <w:rsid w:val="006B17C3"/>
    <w:rsid w:val="006B1A48"/>
    <w:rsid w:val="006B21B2"/>
    <w:rsid w:val="006B2CC7"/>
    <w:rsid w:val="006B2D5C"/>
    <w:rsid w:val="006B33C4"/>
    <w:rsid w:val="006B3714"/>
    <w:rsid w:val="006B51B9"/>
    <w:rsid w:val="006B57E1"/>
    <w:rsid w:val="006B5B8E"/>
    <w:rsid w:val="006B6F29"/>
    <w:rsid w:val="006B71F6"/>
    <w:rsid w:val="006B7B32"/>
    <w:rsid w:val="006B7FA2"/>
    <w:rsid w:val="006C0FB6"/>
    <w:rsid w:val="006C17B3"/>
    <w:rsid w:val="006C1D5B"/>
    <w:rsid w:val="006C1E07"/>
    <w:rsid w:val="006C3B01"/>
    <w:rsid w:val="006C4D27"/>
    <w:rsid w:val="006C4DAF"/>
    <w:rsid w:val="006C4EB1"/>
    <w:rsid w:val="006C58EB"/>
    <w:rsid w:val="006C7244"/>
    <w:rsid w:val="006C7306"/>
    <w:rsid w:val="006D0B3C"/>
    <w:rsid w:val="006D0C89"/>
    <w:rsid w:val="006D0E40"/>
    <w:rsid w:val="006D2C15"/>
    <w:rsid w:val="006D362F"/>
    <w:rsid w:val="006D39C6"/>
    <w:rsid w:val="006D4453"/>
    <w:rsid w:val="006D5ED9"/>
    <w:rsid w:val="006D640D"/>
    <w:rsid w:val="006D7534"/>
    <w:rsid w:val="006E0166"/>
    <w:rsid w:val="006E03C1"/>
    <w:rsid w:val="006E0769"/>
    <w:rsid w:val="006E1697"/>
    <w:rsid w:val="006E1A3B"/>
    <w:rsid w:val="006E2162"/>
    <w:rsid w:val="006E26D2"/>
    <w:rsid w:val="006E31B4"/>
    <w:rsid w:val="006E3E8D"/>
    <w:rsid w:val="006E3EFB"/>
    <w:rsid w:val="006E434B"/>
    <w:rsid w:val="006E5002"/>
    <w:rsid w:val="006E56C1"/>
    <w:rsid w:val="006E5B92"/>
    <w:rsid w:val="006E5BA8"/>
    <w:rsid w:val="006E5E19"/>
    <w:rsid w:val="006E6C59"/>
    <w:rsid w:val="006E7B34"/>
    <w:rsid w:val="006E7E93"/>
    <w:rsid w:val="006F0078"/>
    <w:rsid w:val="006F241B"/>
    <w:rsid w:val="006F2B4A"/>
    <w:rsid w:val="006F34E3"/>
    <w:rsid w:val="006F47F5"/>
    <w:rsid w:val="006F491C"/>
    <w:rsid w:val="006F4CE6"/>
    <w:rsid w:val="006F5AAE"/>
    <w:rsid w:val="006F7EE3"/>
    <w:rsid w:val="00701519"/>
    <w:rsid w:val="00701F15"/>
    <w:rsid w:val="00702D07"/>
    <w:rsid w:val="00702F28"/>
    <w:rsid w:val="00704084"/>
    <w:rsid w:val="00704237"/>
    <w:rsid w:val="007042C0"/>
    <w:rsid w:val="00705668"/>
    <w:rsid w:val="00705C69"/>
    <w:rsid w:val="0070697F"/>
    <w:rsid w:val="007079BD"/>
    <w:rsid w:val="00707B7D"/>
    <w:rsid w:val="00710772"/>
    <w:rsid w:val="00710C1C"/>
    <w:rsid w:val="00711B80"/>
    <w:rsid w:val="00711E01"/>
    <w:rsid w:val="00711F99"/>
    <w:rsid w:val="007124F8"/>
    <w:rsid w:val="00712926"/>
    <w:rsid w:val="00713A87"/>
    <w:rsid w:val="00713B81"/>
    <w:rsid w:val="007146D8"/>
    <w:rsid w:val="00715FF5"/>
    <w:rsid w:val="00716537"/>
    <w:rsid w:val="00720893"/>
    <w:rsid w:val="00720928"/>
    <w:rsid w:val="007209F2"/>
    <w:rsid w:val="00720F8E"/>
    <w:rsid w:val="007215FD"/>
    <w:rsid w:val="0072199C"/>
    <w:rsid w:val="00721F44"/>
    <w:rsid w:val="007222C5"/>
    <w:rsid w:val="00722D18"/>
    <w:rsid w:val="00723A38"/>
    <w:rsid w:val="00724E06"/>
    <w:rsid w:val="007253B8"/>
    <w:rsid w:val="007255DB"/>
    <w:rsid w:val="00725E74"/>
    <w:rsid w:val="007274DE"/>
    <w:rsid w:val="00727C60"/>
    <w:rsid w:val="007301C7"/>
    <w:rsid w:val="007303F5"/>
    <w:rsid w:val="0073271A"/>
    <w:rsid w:val="00733344"/>
    <w:rsid w:val="00733FB1"/>
    <w:rsid w:val="00734F47"/>
    <w:rsid w:val="00735244"/>
    <w:rsid w:val="00735C10"/>
    <w:rsid w:val="00735E15"/>
    <w:rsid w:val="00736621"/>
    <w:rsid w:val="0073741F"/>
    <w:rsid w:val="00740F7E"/>
    <w:rsid w:val="00741CA3"/>
    <w:rsid w:val="0074209F"/>
    <w:rsid w:val="007421AC"/>
    <w:rsid w:val="007425C7"/>
    <w:rsid w:val="007438F1"/>
    <w:rsid w:val="00744387"/>
    <w:rsid w:val="007443FF"/>
    <w:rsid w:val="007444E9"/>
    <w:rsid w:val="0074488D"/>
    <w:rsid w:val="00744C3C"/>
    <w:rsid w:val="00745443"/>
    <w:rsid w:val="0074602F"/>
    <w:rsid w:val="0074626D"/>
    <w:rsid w:val="0074649B"/>
    <w:rsid w:val="0074670B"/>
    <w:rsid w:val="00747573"/>
    <w:rsid w:val="007518E6"/>
    <w:rsid w:val="007519C9"/>
    <w:rsid w:val="00751A7E"/>
    <w:rsid w:val="0075265F"/>
    <w:rsid w:val="007527F2"/>
    <w:rsid w:val="00752DDB"/>
    <w:rsid w:val="00754E1F"/>
    <w:rsid w:val="007555B4"/>
    <w:rsid w:val="00755646"/>
    <w:rsid w:val="007558BB"/>
    <w:rsid w:val="00755F68"/>
    <w:rsid w:val="00755FDC"/>
    <w:rsid w:val="0075623D"/>
    <w:rsid w:val="00756563"/>
    <w:rsid w:val="007565AA"/>
    <w:rsid w:val="00757EE9"/>
    <w:rsid w:val="00762321"/>
    <w:rsid w:val="0076258E"/>
    <w:rsid w:val="00765397"/>
    <w:rsid w:val="00765557"/>
    <w:rsid w:val="007658BB"/>
    <w:rsid w:val="00766170"/>
    <w:rsid w:val="00766228"/>
    <w:rsid w:val="0076643F"/>
    <w:rsid w:val="00766855"/>
    <w:rsid w:val="00766EA0"/>
    <w:rsid w:val="00766FD3"/>
    <w:rsid w:val="00767578"/>
    <w:rsid w:val="007716DA"/>
    <w:rsid w:val="00771AA0"/>
    <w:rsid w:val="007720A3"/>
    <w:rsid w:val="00772433"/>
    <w:rsid w:val="00772EFA"/>
    <w:rsid w:val="00774C6F"/>
    <w:rsid w:val="007753D7"/>
    <w:rsid w:val="00776913"/>
    <w:rsid w:val="0077707F"/>
    <w:rsid w:val="00780581"/>
    <w:rsid w:val="0078174E"/>
    <w:rsid w:val="00782585"/>
    <w:rsid w:val="00782C20"/>
    <w:rsid w:val="00782CFB"/>
    <w:rsid w:val="0078460C"/>
    <w:rsid w:val="00784766"/>
    <w:rsid w:val="00784E03"/>
    <w:rsid w:val="00785651"/>
    <w:rsid w:val="00785691"/>
    <w:rsid w:val="00785B6E"/>
    <w:rsid w:val="007877A3"/>
    <w:rsid w:val="00790178"/>
    <w:rsid w:val="00790243"/>
    <w:rsid w:val="00790F8B"/>
    <w:rsid w:val="00790FAB"/>
    <w:rsid w:val="00791A91"/>
    <w:rsid w:val="007923B6"/>
    <w:rsid w:val="00792A15"/>
    <w:rsid w:val="00793CB7"/>
    <w:rsid w:val="00794475"/>
    <w:rsid w:val="00794641"/>
    <w:rsid w:val="007950AC"/>
    <w:rsid w:val="00795619"/>
    <w:rsid w:val="00796236"/>
    <w:rsid w:val="00796A26"/>
    <w:rsid w:val="00796E24"/>
    <w:rsid w:val="007A17E4"/>
    <w:rsid w:val="007A26BF"/>
    <w:rsid w:val="007A29E9"/>
    <w:rsid w:val="007A4039"/>
    <w:rsid w:val="007A46C7"/>
    <w:rsid w:val="007A4794"/>
    <w:rsid w:val="007A5817"/>
    <w:rsid w:val="007A7FED"/>
    <w:rsid w:val="007B01BB"/>
    <w:rsid w:val="007B03A8"/>
    <w:rsid w:val="007B05F9"/>
    <w:rsid w:val="007B0CE3"/>
    <w:rsid w:val="007B2B9C"/>
    <w:rsid w:val="007B3C7F"/>
    <w:rsid w:val="007B4920"/>
    <w:rsid w:val="007B5D67"/>
    <w:rsid w:val="007B60E9"/>
    <w:rsid w:val="007B6CC3"/>
    <w:rsid w:val="007B7113"/>
    <w:rsid w:val="007B752C"/>
    <w:rsid w:val="007B7C16"/>
    <w:rsid w:val="007C0286"/>
    <w:rsid w:val="007C0C13"/>
    <w:rsid w:val="007C0DA5"/>
    <w:rsid w:val="007C1B4C"/>
    <w:rsid w:val="007C2330"/>
    <w:rsid w:val="007C2FF6"/>
    <w:rsid w:val="007C3334"/>
    <w:rsid w:val="007C351D"/>
    <w:rsid w:val="007C68C5"/>
    <w:rsid w:val="007C6F65"/>
    <w:rsid w:val="007C7891"/>
    <w:rsid w:val="007D0039"/>
    <w:rsid w:val="007D0B97"/>
    <w:rsid w:val="007D0C8C"/>
    <w:rsid w:val="007D1432"/>
    <w:rsid w:val="007D2484"/>
    <w:rsid w:val="007D2494"/>
    <w:rsid w:val="007D2B69"/>
    <w:rsid w:val="007D2B98"/>
    <w:rsid w:val="007D33BB"/>
    <w:rsid w:val="007D4F01"/>
    <w:rsid w:val="007D5AD1"/>
    <w:rsid w:val="007D733F"/>
    <w:rsid w:val="007D7C4D"/>
    <w:rsid w:val="007D7F07"/>
    <w:rsid w:val="007E001F"/>
    <w:rsid w:val="007E03CE"/>
    <w:rsid w:val="007E0A89"/>
    <w:rsid w:val="007E0D10"/>
    <w:rsid w:val="007E0D92"/>
    <w:rsid w:val="007E14EC"/>
    <w:rsid w:val="007E1554"/>
    <w:rsid w:val="007E1751"/>
    <w:rsid w:val="007E1768"/>
    <w:rsid w:val="007E21BC"/>
    <w:rsid w:val="007E2B3E"/>
    <w:rsid w:val="007E41D2"/>
    <w:rsid w:val="007E4D79"/>
    <w:rsid w:val="007E5009"/>
    <w:rsid w:val="007E585F"/>
    <w:rsid w:val="007E5A40"/>
    <w:rsid w:val="007E5D40"/>
    <w:rsid w:val="007E6198"/>
    <w:rsid w:val="007E6417"/>
    <w:rsid w:val="007F0264"/>
    <w:rsid w:val="007F0496"/>
    <w:rsid w:val="007F0713"/>
    <w:rsid w:val="007F0A18"/>
    <w:rsid w:val="007F0C72"/>
    <w:rsid w:val="007F0D3D"/>
    <w:rsid w:val="007F171B"/>
    <w:rsid w:val="007F1CD8"/>
    <w:rsid w:val="007F22E5"/>
    <w:rsid w:val="007F2DC3"/>
    <w:rsid w:val="007F3406"/>
    <w:rsid w:val="007F400D"/>
    <w:rsid w:val="007F4A97"/>
    <w:rsid w:val="007F4C17"/>
    <w:rsid w:val="007F5537"/>
    <w:rsid w:val="007F6080"/>
    <w:rsid w:val="007F62F3"/>
    <w:rsid w:val="007F6F48"/>
    <w:rsid w:val="007F6F94"/>
    <w:rsid w:val="007F7087"/>
    <w:rsid w:val="007F79C4"/>
    <w:rsid w:val="007F7D9D"/>
    <w:rsid w:val="00800701"/>
    <w:rsid w:val="0080085C"/>
    <w:rsid w:val="00802E55"/>
    <w:rsid w:val="00802E76"/>
    <w:rsid w:val="00802E9F"/>
    <w:rsid w:val="0080398A"/>
    <w:rsid w:val="00803F1C"/>
    <w:rsid w:val="008042E2"/>
    <w:rsid w:val="0080600E"/>
    <w:rsid w:val="0080612C"/>
    <w:rsid w:val="008069D1"/>
    <w:rsid w:val="00806CE0"/>
    <w:rsid w:val="00810E0A"/>
    <w:rsid w:val="008124AE"/>
    <w:rsid w:val="0081449E"/>
    <w:rsid w:val="008146EC"/>
    <w:rsid w:val="0081496B"/>
    <w:rsid w:val="00814F29"/>
    <w:rsid w:val="00815207"/>
    <w:rsid w:val="00815A24"/>
    <w:rsid w:val="00815E08"/>
    <w:rsid w:val="00816112"/>
    <w:rsid w:val="00816A42"/>
    <w:rsid w:val="00817276"/>
    <w:rsid w:val="00817612"/>
    <w:rsid w:val="00817AA5"/>
    <w:rsid w:val="00817B08"/>
    <w:rsid w:val="00817E57"/>
    <w:rsid w:val="008210A7"/>
    <w:rsid w:val="0082287D"/>
    <w:rsid w:val="00825309"/>
    <w:rsid w:val="008258DE"/>
    <w:rsid w:val="00825F67"/>
    <w:rsid w:val="00825FF9"/>
    <w:rsid w:val="00826860"/>
    <w:rsid w:val="00827365"/>
    <w:rsid w:val="00827622"/>
    <w:rsid w:val="00830677"/>
    <w:rsid w:val="008309CD"/>
    <w:rsid w:val="00830F17"/>
    <w:rsid w:val="0083146E"/>
    <w:rsid w:val="00832873"/>
    <w:rsid w:val="00832E7E"/>
    <w:rsid w:val="008338A4"/>
    <w:rsid w:val="00834158"/>
    <w:rsid w:val="00835819"/>
    <w:rsid w:val="0083588E"/>
    <w:rsid w:val="00836060"/>
    <w:rsid w:val="0083613A"/>
    <w:rsid w:val="008375A0"/>
    <w:rsid w:val="00837C45"/>
    <w:rsid w:val="00841368"/>
    <w:rsid w:val="00841B6E"/>
    <w:rsid w:val="00841E8D"/>
    <w:rsid w:val="00842033"/>
    <w:rsid w:val="00842510"/>
    <w:rsid w:val="00842F50"/>
    <w:rsid w:val="008436B8"/>
    <w:rsid w:val="00844730"/>
    <w:rsid w:val="00844798"/>
    <w:rsid w:val="00845447"/>
    <w:rsid w:val="008457C2"/>
    <w:rsid w:val="00845DC2"/>
    <w:rsid w:val="00846555"/>
    <w:rsid w:val="00846B63"/>
    <w:rsid w:val="00847AD3"/>
    <w:rsid w:val="00847D66"/>
    <w:rsid w:val="008504EE"/>
    <w:rsid w:val="008505C6"/>
    <w:rsid w:val="00850E4D"/>
    <w:rsid w:val="00851BEA"/>
    <w:rsid w:val="008538D3"/>
    <w:rsid w:val="00853BE2"/>
    <w:rsid w:val="00853F9D"/>
    <w:rsid w:val="0085423E"/>
    <w:rsid w:val="0085567C"/>
    <w:rsid w:val="008556CA"/>
    <w:rsid w:val="008563A3"/>
    <w:rsid w:val="00857A82"/>
    <w:rsid w:val="00857D41"/>
    <w:rsid w:val="00857E41"/>
    <w:rsid w:val="0086030A"/>
    <w:rsid w:val="0086031A"/>
    <w:rsid w:val="008611BC"/>
    <w:rsid w:val="00861880"/>
    <w:rsid w:val="008619A1"/>
    <w:rsid w:val="00862C66"/>
    <w:rsid w:val="00863641"/>
    <w:rsid w:val="00863D37"/>
    <w:rsid w:val="00864227"/>
    <w:rsid w:val="008657F3"/>
    <w:rsid w:val="00865FF3"/>
    <w:rsid w:val="008664EC"/>
    <w:rsid w:val="008668F6"/>
    <w:rsid w:val="008673AE"/>
    <w:rsid w:val="00870199"/>
    <w:rsid w:val="0087074B"/>
    <w:rsid w:val="00873836"/>
    <w:rsid w:val="00873AE0"/>
    <w:rsid w:val="00873F92"/>
    <w:rsid w:val="00874507"/>
    <w:rsid w:val="008762FF"/>
    <w:rsid w:val="00876822"/>
    <w:rsid w:val="00876A9F"/>
    <w:rsid w:val="0087747E"/>
    <w:rsid w:val="0087759E"/>
    <w:rsid w:val="00880BC8"/>
    <w:rsid w:val="00881157"/>
    <w:rsid w:val="00881B88"/>
    <w:rsid w:val="00881D89"/>
    <w:rsid w:val="0088252D"/>
    <w:rsid w:val="008833C1"/>
    <w:rsid w:val="00885450"/>
    <w:rsid w:val="00885737"/>
    <w:rsid w:val="00885974"/>
    <w:rsid w:val="00885CA7"/>
    <w:rsid w:val="00885E54"/>
    <w:rsid w:val="00887BD0"/>
    <w:rsid w:val="008902F5"/>
    <w:rsid w:val="00890650"/>
    <w:rsid w:val="00890C56"/>
    <w:rsid w:val="0089369B"/>
    <w:rsid w:val="00893713"/>
    <w:rsid w:val="00894D26"/>
    <w:rsid w:val="00895389"/>
    <w:rsid w:val="00895D38"/>
    <w:rsid w:val="00896099"/>
    <w:rsid w:val="00896807"/>
    <w:rsid w:val="00896F65"/>
    <w:rsid w:val="0089759E"/>
    <w:rsid w:val="00897C86"/>
    <w:rsid w:val="00897E12"/>
    <w:rsid w:val="008A21D5"/>
    <w:rsid w:val="008A2B89"/>
    <w:rsid w:val="008A4985"/>
    <w:rsid w:val="008A4B90"/>
    <w:rsid w:val="008A5EA2"/>
    <w:rsid w:val="008A63C6"/>
    <w:rsid w:val="008A6B26"/>
    <w:rsid w:val="008A71D1"/>
    <w:rsid w:val="008A72C5"/>
    <w:rsid w:val="008A75D0"/>
    <w:rsid w:val="008A7874"/>
    <w:rsid w:val="008A7E0F"/>
    <w:rsid w:val="008B08E2"/>
    <w:rsid w:val="008B12F5"/>
    <w:rsid w:val="008B192D"/>
    <w:rsid w:val="008B1BBB"/>
    <w:rsid w:val="008B2D49"/>
    <w:rsid w:val="008B31CA"/>
    <w:rsid w:val="008B41A1"/>
    <w:rsid w:val="008B4414"/>
    <w:rsid w:val="008B5196"/>
    <w:rsid w:val="008B5210"/>
    <w:rsid w:val="008B59E8"/>
    <w:rsid w:val="008B744E"/>
    <w:rsid w:val="008B751D"/>
    <w:rsid w:val="008B793B"/>
    <w:rsid w:val="008B7C48"/>
    <w:rsid w:val="008C056E"/>
    <w:rsid w:val="008C0A49"/>
    <w:rsid w:val="008C0C3D"/>
    <w:rsid w:val="008C0DF6"/>
    <w:rsid w:val="008C2925"/>
    <w:rsid w:val="008C383C"/>
    <w:rsid w:val="008C4927"/>
    <w:rsid w:val="008C4CAA"/>
    <w:rsid w:val="008C5146"/>
    <w:rsid w:val="008C5543"/>
    <w:rsid w:val="008C5D8E"/>
    <w:rsid w:val="008C60CB"/>
    <w:rsid w:val="008C6103"/>
    <w:rsid w:val="008C6598"/>
    <w:rsid w:val="008C6949"/>
    <w:rsid w:val="008C6EAF"/>
    <w:rsid w:val="008C7891"/>
    <w:rsid w:val="008C7CC5"/>
    <w:rsid w:val="008C7DB1"/>
    <w:rsid w:val="008D019B"/>
    <w:rsid w:val="008D1A69"/>
    <w:rsid w:val="008D1FC9"/>
    <w:rsid w:val="008D21E0"/>
    <w:rsid w:val="008D2E8E"/>
    <w:rsid w:val="008D3187"/>
    <w:rsid w:val="008D33B3"/>
    <w:rsid w:val="008D3FA1"/>
    <w:rsid w:val="008D4727"/>
    <w:rsid w:val="008D4768"/>
    <w:rsid w:val="008D4C94"/>
    <w:rsid w:val="008D65CF"/>
    <w:rsid w:val="008E075C"/>
    <w:rsid w:val="008E11CA"/>
    <w:rsid w:val="008E1471"/>
    <w:rsid w:val="008E1940"/>
    <w:rsid w:val="008E2248"/>
    <w:rsid w:val="008E2A39"/>
    <w:rsid w:val="008E2FC3"/>
    <w:rsid w:val="008E3759"/>
    <w:rsid w:val="008E6E7A"/>
    <w:rsid w:val="008E7255"/>
    <w:rsid w:val="008F0CBE"/>
    <w:rsid w:val="008F12CF"/>
    <w:rsid w:val="008F1912"/>
    <w:rsid w:val="008F1F8A"/>
    <w:rsid w:val="008F2478"/>
    <w:rsid w:val="008F25BE"/>
    <w:rsid w:val="008F3479"/>
    <w:rsid w:val="008F3E0A"/>
    <w:rsid w:val="008F425A"/>
    <w:rsid w:val="008F45C9"/>
    <w:rsid w:val="008F531D"/>
    <w:rsid w:val="008F5E8B"/>
    <w:rsid w:val="008F5FB3"/>
    <w:rsid w:val="008F66DC"/>
    <w:rsid w:val="008F6E37"/>
    <w:rsid w:val="008F7553"/>
    <w:rsid w:val="008F7754"/>
    <w:rsid w:val="00901A4C"/>
    <w:rsid w:val="00902609"/>
    <w:rsid w:val="0090270B"/>
    <w:rsid w:val="00902F13"/>
    <w:rsid w:val="009041DC"/>
    <w:rsid w:val="009042DB"/>
    <w:rsid w:val="00904BD6"/>
    <w:rsid w:val="0090550F"/>
    <w:rsid w:val="00905C12"/>
    <w:rsid w:val="0090692F"/>
    <w:rsid w:val="00906B42"/>
    <w:rsid w:val="00906CDA"/>
    <w:rsid w:val="00906DDF"/>
    <w:rsid w:val="00906E40"/>
    <w:rsid w:val="00907063"/>
    <w:rsid w:val="009072E5"/>
    <w:rsid w:val="00907F68"/>
    <w:rsid w:val="00910381"/>
    <w:rsid w:val="009105A9"/>
    <w:rsid w:val="0091085A"/>
    <w:rsid w:val="00911823"/>
    <w:rsid w:val="00911DA9"/>
    <w:rsid w:val="009121A0"/>
    <w:rsid w:val="00912B46"/>
    <w:rsid w:val="0091348F"/>
    <w:rsid w:val="009148CF"/>
    <w:rsid w:val="0091583A"/>
    <w:rsid w:val="00916621"/>
    <w:rsid w:val="009169CB"/>
    <w:rsid w:val="0091708C"/>
    <w:rsid w:val="00920A58"/>
    <w:rsid w:val="00920A8C"/>
    <w:rsid w:val="00920AB3"/>
    <w:rsid w:val="009215BC"/>
    <w:rsid w:val="009219E0"/>
    <w:rsid w:val="00921F39"/>
    <w:rsid w:val="00922964"/>
    <w:rsid w:val="009238E7"/>
    <w:rsid w:val="00925367"/>
    <w:rsid w:val="00926AA0"/>
    <w:rsid w:val="00926D09"/>
    <w:rsid w:val="00926D4F"/>
    <w:rsid w:val="009271A8"/>
    <w:rsid w:val="009275F3"/>
    <w:rsid w:val="00927ED8"/>
    <w:rsid w:val="0093120D"/>
    <w:rsid w:val="0093313B"/>
    <w:rsid w:val="00934959"/>
    <w:rsid w:val="009349BE"/>
    <w:rsid w:val="00934A2C"/>
    <w:rsid w:val="00934DFB"/>
    <w:rsid w:val="009366E0"/>
    <w:rsid w:val="00937BCD"/>
    <w:rsid w:val="0094120E"/>
    <w:rsid w:val="009424DA"/>
    <w:rsid w:val="00943552"/>
    <w:rsid w:val="0094444C"/>
    <w:rsid w:val="00944605"/>
    <w:rsid w:val="00944C59"/>
    <w:rsid w:val="00944F05"/>
    <w:rsid w:val="00945A76"/>
    <w:rsid w:val="0094696E"/>
    <w:rsid w:val="00946D94"/>
    <w:rsid w:val="009470BC"/>
    <w:rsid w:val="009500D7"/>
    <w:rsid w:val="009508AA"/>
    <w:rsid w:val="00950E0E"/>
    <w:rsid w:val="0095229E"/>
    <w:rsid w:val="0095245A"/>
    <w:rsid w:val="0095257D"/>
    <w:rsid w:val="00952EDD"/>
    <w:rsid w:val="00953A64"/>
    <w:rsid w:val="00954991"/>
    <w:rsid w:val="00955AA1"/>
    <w:rsid w:val="00955C93"/>
    <w:rsid w:val="00956375"/>
    <w:rsid w:val="009567A7"/>
    <w:rsid w:val="009575D3"/>
    <w:rsid w:val="00957E2C"/>
    <w:rsid w:val="00960612"/>
    <w:rsid w:val="009609D4"/>
    <w:rsid w:val="00960AF4"/>
    <w:rsid w:val="00961148"/>
    <w:rsid w:val="00961AAB"/>
    <w:rsid w:val="00964AF5"/>
    <w:rsid w:val="00964E61"/>
    <w:rsid w:val="00965364"/>
    <w:rsid w:val="00965692"/>
    <w:rsid w:val="00966665"/>
    <w:rsid w:val="00967045"/>
    <w:rsid w:val="0096706E"/>
    <w:rsid w:val="00971178"/>
    <w:rsid w:val="009719FA"/>
    <w:rsid w:val="00972540"/>
    <w:rsid w:val="00972CBA"/>
    <w:rsid w:val="00972E9F"/>
    <w:rsid w:val="00973852"/>
    <w:rsid w:val="00974C38"/>
    <w:rsid w:val="00975C4E"/>
    <w:rsid w:val="00975E4C"/>
    <w:rsid w:val="00975F13"/>
    <w:rsid w:val="00976633"/>
    <w:rsid w:val="0097742E"/>
    <w:rsid w:val="00977B1C"/>
    <w:rsid w:val="00977F70"/>
    <w:rsid w:val="00980930"/>
    <w:rsid w:val="00980E04"/>
    <w:rsid w:val="00980EDD"/>
    <w:rsid w:val="00981174"/>
    <w:rsid w:val="00981FBA"/>
    <w:rsid w:val="00982296"/>
    <w:rsid w:val="00982443"/>
    <w:rsid w:val="00982BBB"/>
    <w:rsid w:val="00984198"/>
    <w:rsid w:val="00984380"/>
    <w:rsid w:val="00985B24"/>
    <w:rsid w:val="00986095"/>
    <w:rsid w:val="00986489"/>
    <w:rsid w:val="009901A9"/>
    <w:rsid w:val="0099106A"/>
    <w:rsid w:val="00991613"/>
    <w:rsid w:val="00991EC9"/>
    <w:rsid w:val="00992087"/>
    <w:rsid w:val="009922A2"/>
    <w:rsid w:val="00995985"/>
    <w:rsid w:val="009959C9"/>
    <w:rsid w:val="0099633B"/>
    <w:rsid w:val="00996BB4"/>
    <w:rsid w:val="00997BC5"/>
    <w:rsid w:val="00997FDB"/>
    <w:rsid w:val="009A0323"/>
    <w:rsid w:val="009A09E9"/>
    <w:rsid w:val="009A1B4C"/>
    <w:rsid w:val="009A1C21"/>
    <w:rsid w:val="009A25F6"/>
    <w:rsid w:val="009A30F6"/>
    <w:rsid w:val="009A3DB8"/>
    <w:rsid w:val="009A4AE5"/>
    <w:rsid w:val="009A4EB4"/>
    <w:rsid w:val="009A4EC8"/>
    <w:rsid w:val="009A4F41"/>
    <w:rsid w:val="009A5495"/>
    <w:rsid w:val="009A56F1"/>
    <w:rsid w:val="009A585B"/>
    <w:rsid w:val="009A607F"/>
    <w:rsid w:val="009A69A0"/>
    <w:rsid w:val="009A7A66"/>
    <w:rsid w:val="009A7BAD"/>
    <w:rsid w:val="009A7DF4"/>
    <w:rsid w:val="009B1688"/>
    <w:rsid w:val="009B2830"/>
    <w:rsid w:val="009B3386"/>
    <w:rsid w:val="009B342D"/>
    <w:rsid w:val="009B381B"/>
    <w:rsid w:val="009B4994"/>
    <w:rsid w:val="009B50A1"/>
    <w:rsid w:val="009B52CE"/>
    <w:rsid w:val="009B58EB"/>
    <w:rsid w:val="009B5EF1"/>
    <w:rsid w:val="009B62CA"/>
    <w:rsid w:val="009B6461"/>
    <w:rsid w:val="009B6585"/>
    <w:rsid w:val="009B7333"/>
    <w:rsid w:val="009B7D05"/>
    <w:rsid w:val="009C04E8"/>
    <w:rsid w:val="009C0C08"/>
    <w:rsid w:val="009C121B"/>
    <w:rsid w:val="009C1254"/>
    <w:rsid w:val="009C1B1A"/>
    <w:rsid w:val="009C23B6"/>
    <w:rsid w:val="009C244A"/>
    <w:rsid w:val="009C2EB6"/>
    <w:rsid w:val="009C3BA8"/>
    <w:rsid w:val="009C3D85"/>
    <w:rsid w:val="009C4A30"/>
    <w:rsid w:val="009C6760"/>
    <w:rsid w:val="009C6A0D"/>
    <w:rsid w:val="009C777D"/>
    <w:rsid w:val="009C7BAA"/>
    <w:rsid w:val="009C7D64"/>
    <w:rsid w:val="009C7EA2"/>
    <w:rsid w:val="009D0B41"/>
    <w:rsid w:val="009D1995"/>
    <w:rsid w:val="009D1A08"/>
    <w:rsid w:val="009D230B"/>
    <w:rsid w:val="009D2BE3"/>
    <w:rsid w:val="009D3A41"/>
    <w:rsid w:val="009D3EF3"/>
    <w:rsid w:val="009D74D7"/>
    <w:rsid w:val="009D7611"/>
    <w:rsid w:val="009D7991"/>
    <w:rsid w:val="009E0B61"/>
    <w:rsid w:val="009E1BAF"/>
    <w:rsid w:val="009E21ED"/>
    <w:rsid w:val="009E3012"/>
    <w:rsid w:val="009E4975"/>
    <w:rsid w:val="009E4E91"/>
    <w:rsid w:val="009E53DE"/>
    <w:rsid w:val="009E55C9"/>
    <w:rsid w:val="009E5DD1"/>
    <w:rsid w:val="009E5FE1"/>
    <w:rsid w:val="009E60A2"/>
    <w:rsid w:val="009E6CC1"/>
    <w:rsid w:val="009E7C0B"/>
    <w:rsid w:val="009E7E3B"/>
    <w:rsid w:val="009F093B"/>
    <w:rsid w:val="009F33BF"/>
    <w:rsid w:val="009F40AE"/>
    <w:rsid w:val="009F4735"/>
    <w:rsid w:val="009F50F4"/>
    <w:rsid w:val="009F5402"/>
    <w:rsid w:val="009F6313"/>
    <w:rsid w:val="009F6409"/>
    <w:rsid w:val="009F6C1A"/>
    <w:rsid w:val="009F7549"/>
    <w:rsid w:val="00A0131C"/>
    <w:rsid w:val="00A01E78"/>
    <w:rsid w:val="00A025AC"/>
    <w:rsid w:val="00A03143"/>
    <w:rsid w:val="00A04095"/>
    <w:rsid w:val="00A04AF7"/>
    <w:rsid w:val="00A05477"/>
    <w:rsid w:val="00A064A4"/>
    <w:rsid w:val="00A10402"/>
    <w:rsid w:val="00A104DF"/>
    <w:rsid w:val="00A11176"/>
    <w:rsid w:val="00A12050"/>
    <w:rsid w:val="00A129F4"/>
    <w:rsid w:val="00A133CD"/>
    <w:rsid w:val="00A1346B"/>
    <w:rsid w:val="00A13D36"/>
    <w:rsid w:val="00A15BCA"/>
    <w:rsid w:val="00A160DA"/>
    <w:rsid w:val="00A16B1B"/>
    <w:rsid w:val="00A17003"/>
    <w:rsid w:val="00A174BE"/>
    <w:rsid w:val="00A178DD"/>
    <w:rsid w:val="00A20460"/>
    <w:rsid w:val="00A217EC"/>
    <w:rsid w:val="00A219A8"/>
    <w:rsid w:val="00A21B9A"/>
    <w:rsid w:val="00A25E38"/>
    <w:rsid w:val="00A261CC"/>
    <w:rsid w:val="00A26681"/>
    <w:rsid w:val="00A27D5F"/>
    <w:rsid w:val="00A30A66"/>
    <w:rsid w:val="00A31632"/>
    <w:rsid w:val="00A322CA"/>
    <w:rsid w:val="00A328B3"/>
    <w:rsid w:val="00A32F4A"/>
    <w:rsid w:val="00A33F2C"/>
    <w:rsid w:val="00A34625"/>
    <w:rsid w:val="00A357AB"/>
    <w:rsid w:val="00A357FF"/>
    <w:rsid w:val="00A35CBB"/>
    <w:rsid w:val="00A36165"/>
    <w:rsid w:val="00A36B39"/>
    <w:rsid w:val="00A3776C"/>
    <w:rsid w:val="00A379F0"/>
    <w:rsid w:val="00A40637"/>
    <w:rsid w:val="00A40EE9"/>
    <w:rsid w:val="00A411BD"/>
    <w:rsid w:val="00A41959"/>
    <w:rsid w:val="00A427A2"/>
    <w:rsid w:val="00A42CF6"/>
    <w:rsid w:val="00A43282"/>
    <w:rsid w:val="00A44165"/>
    <w:rsid w:val="00A44474"/>
    <w:rsid w:val="00A4449E"/>
    <w:rsid w:val="00A458BB"/>
    <w:rsid w:val="00A46904"/>
    <w:rsid w:val="00A46BA2"/>
    <w:rsid w:val="00A477D3"/>
    <w:rsid w:val="00A503DE"/>
    <w:rsid w:val="00A50B61"/>
    <w:rsid w:val="00A50B7B"/>
    <w:rsid w:val="00A50D2D"/>
    <w:rsid w:val="00A50FCF"/>
    <w:rsid w:val="00A51744"/>
    <w:rsid w:val="00A51FFA"/>
    <w:rsid w:val="00A528D1"/>
    <w:rsid w:val="00A5335B"/>
    <w:rsid w:val="00A54597"/>
    <w:rsid w:val="00A550B7"/>
    <w:rsid w:val="00A55B8D"/>
    <w:rsid w:val="00A55C58"/>
    <w:rsid w:val="00A55C7B"/>
    <w:rsid w:val="00A55CB6"/>
    <w:rsid w:val="00A57F82"/>
    <w:rsid w:val="00A60715"/>
    <w:rsid w:val="00A60DF4"/>
    <w:rsid w:val="00A610CD"/>
    <w:rsid w:val="00A62487"/>
    <w:rsid w:val="00A62AE2"/>
    <w:rsid w:val="00A62CF1"/>
    <w:rsid w:val="00A635E2"/>
    <w:rsid w:val="00A637C7"/>
    <w:rsid w:val="00A63DEF"/>
    <w:rsid w:val="00A65066"/>
    <w:rsid w:val="00A658E1"/>
    <w:rsid w:val="00A666C4"/>
    <w:rsid w:val="00A66A12"/>
    <w:rsid w:val="00A678CE"/>
    <w:rsid w:val="00A67FD8"/>
    <w:rsid w:val="00A70A0C"/>
    <w:rsid w:val="00A7105A"/>
    <w:rsid w:val="00A71B59"/>
    <w:rsid w:val="00A72174"/>
    <w:rsid w:val="00A7230A"/>
    <w:rsid w:val="00A72957"/>
    <w:rsid w:val="00A731BF"/>
    <w:rsid w:val="00A73892"/>
    <w:rsid w:val="00A74077"/>
    <w:rsid w:val="00A740B9"/>
    <w:rsid w:val="00A74A27"/>
    <w:rsid w:val="00A7503A"/>
    <w:rsid w:val="00A757F2"/>
    <w:rsid w:val="00A75A9C"/>
    <w:rsid w:val="00A77001"/>
    <w:rsid w:val="00A77765"/>
    <w:rsid w:val="00A817B6"/>
    <w:rsid w:val="00A81E6D"/>
    <w:rsid w:val="00A82517"/>
    <w:rsid w:val="00A82D33"/>
    <w:rsid w:val="00A837F7"/>
    <w:rsid w:val="00A83D29"/>
    <w:rsid w:val="00A84403"/>
    <w:rsid w:val="00A849C5"/>
    <w:rsid w:val="00A84A29"/>
    <w:rsid w:val="00A84EEE"/>
    <w:rsid w:val="00A859F8"/>
    <w:rsid w:val="00A862F8"/>
    <w:rsid w:val="00A866D0"/>
    <w:rsid w:val="00A86937"/>
    <w:rsid w:val="00A87156"/>
    <w:rsid w:val="00A90A31"/>
    <w:rsid w:val="00A918C1"/>
    <w:rsid w:val="00A91E4D"/>
    <w:rsid w:val="00A9258C"/>
    <w:rsid w:val="00A93048"/>
    <w:rsid w:val="00A93138"/>
    <w:rsid w:val="00A9431C"/>
    <w:rsid w:val="00A95457"/>
    <w:rsid w:val="00A95C36"/>
    <w:rsid w:val="00A962B6"/>
    <w:rsid w:val="00A96352"/>
    <w:rsid w:val="00A9699D"/>
    <w:rsid w:val="00A9736E"/>
    <w:rsid w:val="00A978BF"/>
    <w:rsid w:val="00A97BA9"/>
    <w:rsid w:val="00A97C04"/>
    <w:rsid w:val="00A97FB6"/>
    <w:rsid w:val="00AA0751"/>
    <w:rsid w:val="00AA09A2"/>
    <w:rsid w:val="00AA09B7"/>
    <w:rsid w:val="00AA1294"/>
    <w:rsid w:val="00AA25CC"/>
    <w:rsid w:val="00AA299D"/>
    <w:rsid w:val="00AA2DB7"/>
    <w:rsid w:val="00AA3666"/>
    <w:rsid w:val="00AA380B"/>
    <w:rsid w:val="00AA3DE2"/>
    <w:rsid w:val="00AA3DF8"/>
    <w:rsid w:val="00AA4463"/>
    <w:rsid w:val="00AA5754"/>
    <w:rsid w:val="00AA5991"/>
    <w:rsid w:val="00AA652D"/>
    <w:rsid w:val="00AB0351"/>
    <w:rsid w:val="00AB0C45"/>
    <w:rsid w:val="00AB15C9"/>
    <w:rsid w:val="00AB184F"/>
    <w:rsid w:val="00AB1C07"/>
    <w:rsid w:val="00AB2F76"/>
    <w:rsid w:val="00AB314E"/>
    <w:rsid w:val="00AB36A9"/>
    <w:rsid w:val="00AB446E"/>
    <w:rsid w:val="00AB4568"/>
    <w:rsid w:val="00AB48B7"/>
    <w:rsid w:val="00AB5F5A"/>
    <w:rsid w:val="00AB608E"/>
    <w:rsid w:val="00AB60D9"/>
    <w:rsid w:val="00AB62FD"/>
    <w:rsid w:val="00AB7183"/>
    <w:rsid w:val="00AB76A6"/>
    <w:rsid w:val="00AC0121"/>
    <w:rsid w:val="00AC02FB"/>
    <w:rsid w:val="00AC0E01"/>
    <w:rsid w:val="00AC1248"/>
    <w:rsid w:val="00AC19CB"/>
    <w:rsid w:val="00AC2AC5"/>
    <w:rsid w:val="00AC3102"/>
    <w:rsid w:val="00AC3617"/>
    <w:rsid w:val="00AC434B"/>
    <w:rsid w:val="00AC47C4"/>
    <w:rsid w:val="00AC58EA"/>
    <w:rsid w:val="00AC5B89"/>
    <w:rsid w:val="00AC5F68"/>
    <w:rsid w:val="00AC6C7A"/>
    <w:rsid w:val="00AC750B"/>
    <w:rsid w:val="00AD0EA1"/>
    <w:rsid w:val="00AD1B35"/>
    <w:rsid w:val="00AD1D81"/>
    <w:rsid w:val="00AD2972"/>
    <w:rsid w:val="00AD2DA0"/>
    <w:rsid w:val="00AD31E9"/>
    <w:rsid w:val="00AD37DF"/>
    <w:rsid w:val="00AD4990"/>
    <w:rsid w:val="00AD6A7C"/>
    <w:rsid w:val="00AD7F4B"/>
    <w:rsid w:val="00AE0CEB"/>
    <w:rsid w:val="00AE103A"/>
    <w:rsid w:val="00AE16DB"/>
    <w:rsid w:val="00AE1770"/>
    <w:rsid w:val="00AE3479"/>
    <w:rsid w:val="00AE3A24"/>
    <w:rsid w:val="00AE4924"/>
    <w:rsid w:val="00AE5488"/>
    <w:rsid w:val="00AE67E1"/>
    <w:rsid w:val="00AE6AC2"/>
    <w:rsid w:val="00AE6F91"/>
    <w:rsid w:val="00AE76FF"/>
    <w:rsid w:val="00AF076C"/>
    <w:rsid w:val="00AF0DA1"/>
    <w:rsid w:val="00AF1882"/>
    <w:rsid w:val="00AF1EC1"/>
    <w:rsid w:val="00AF1F07"/>
    <w:rsid w:val="00AF240F"/>
    <w:rsid w:val="00AF2A67"/>
    <w:rsid w:val="00AF3064"/>
    <w:rsid w:val="00AF3E3C"/>
    <w:rsid w:val="00AF423D"/>
    <w:rsid w:val="00AF46CA"/>
    <w:rsid w:val="00AF4C2C"/>
    <w:rsid w:val="00AF4D3A"/>
    <w:rsid w:val="00AF52A5"/>
    <w:rsid w:val="00AF5571"/>
    <w:rsid w:val="00AF58A6"/>
    <w:rsid w:val="00AF6A32"/>
    <w:rsid w:val="00AF6C98"/>
    <w:rsid w:val="00B00095"/>
    <w:rsid w:val="00B00247"/>
    <w:rsid w:val="00B011F3"/>
    <w:rsid w:val="00B0192B"/>
    <w:rsid w:val="00B01E46"/>
    <w:rsid w:val="00B02C3B"/>
    <w:rsid w:val="00B02FBE"/>
    <w:rsid w:val="00B0341D"/>
    <w:rsid w:val="00B05B37"/>
    <w:rsid w:val="00B05B81"/>
    <w:rsid w:val="00B06317"/>
    <w:rsid w:val="00B06C1C"/>
    <w:rsid w:val="00B077CE"/>
    <w:rsid w:val="00B102E9"/>
    <w:rsid w:val="00B10569"/>
    <w:rsid w:val="00B11062"/>
    <w:rsid w:val="00B125B3"/>
    <w:rsid w:val="00B13110"/>
    <w:rsid w:val="00B131AB"/>
    <w:rsid w:val="00B14767"/>
    <w:rsid w:val="00B14C6A"/>
    <w:rsid w:val="00B14F30"/>
    <w:rsid w:val="00B1664E"/>
    <w:rsid w:val="00B16EB9"/>
    <w:rsid w:val="00B1736D"/>
    <w:rsid w:val="00B17949"/>
    <w:rsid w:val="00B21524"/>
    <w:rsid w:val="00B21948"/>
    <w:rsid w:val="00B2412B"/>
    <w:rsid w:val="00B24174"/>
    <w:rsid w:val="00B2426C"/>
    <w:rsid w:val="00B25D62"/>
    <w:rsid w:val="00B262A4"/>
    <w:rsid w:val="00B26584"/>
    <w:rsid w:val="00B26863"/>
    <w:rsid w:val="00B2694A"/>
    <w:rsid w:val="00B26FB4"/>
    <w:rsid w:val="00B2753D"/>
    <w:rsid w:val="00B302C7"/>
    <w:rsid w:val="00B30539"/>
    <w:rsid w:val="00B30977"/>
    <w:rsid w:val="00B314DB"/>
    <w:rsid w:val="00B316B6"/>
    <w:rsid w:val="00B32E6F"/>
    <w:rsid w:val="00B33256"/>
    <w:rsid w:val="00B349D1"/>
    <w:rsid w:val="00B34ACE"/>
    <w:rsid w:val="00B34AEA"/>
    <w:rsid w:val="00B356B0"/>
    <w:rsid w:val="00B36240"/>
    <w:rsid w:val="00B3701B"/>
    <w:rsid w:val="00B3718B"/>
    <w:rsid w:val="00B40069"/>
    <w:rsid w:val="00B401BC"/>
    <w:rsid w:val="00B4041B"/>
    <w:rsid w:val="00B41C05"/>
    <w:rsid w:val="00B42FC7"/>
    <w:rsid w:val="00B434AA"/>
    <w:rsid w:val="00B43AE5"/>
    <w:rsid w:val="00B43CAB"/>
    <w:rsid w:val="00B44C7C"/>
    <w:rsid w:val="00B456B1"/>
    <w:rsid w:val="00B4632A"/>
    <w:rsid w:val="00B46722"/>
    <w:rsid w:val="00B46F78"/>
    <w:rsid w:val="00B473D0"/>
    <w:rsid w:val="00B476CE"/>
    <w:rsid w:val="00B5011B"/>
    <w:rsid w:val="00B51482"/>
    <w:rsid w:val="00B51871"/>
    <w:rsid w:val="00B530F1"/>
    <w:rsid w:val="00B54507"/>
    <w:rsid w:val="00B55621"/>
    <w:rsid w:val="00B56419"/>
    <w:rsid w:val="00B56B37"/>
    <w:rsid w:val="00B570E7"/>
    <w:rsid w:val="00B57F96"/>
    <w:rsid w:val="00B60964"/>
    <w:rsid w:val="00B6113A"/>
    <w:rsid w:val="00B61F6A"/>
    <w:rsid w:val="00B62880"/>
    <w:rsid w:val="00B63484"/>
    <w:rsid w:val="00B65B7D"/>
    <w:rsid w:val="00B65FAC"/>
    <w:rsid w:val="00B66225"/>
    <w:rsid w:val="00B6650F"/>
    <w:rsid w:val="00B66DDF"/>
    <w:rsid w:val="00B70686"/>
    <w:rsid w:val="00B71779"/>
    <w:rsid w:val="00B71885"/>
    <w:rsid w:val="00B72332"/>
    <w:rsid w:val="00B723B5"/>
    <w:rsid w:val="00B727DB"/>
    <w:rsid w:val="00B73061"/>
    <w:rsid w:val="00B732CC"/>
    <w:rsid w:val="00B74B77"/>
    <w:rsid w:val="00B75A71"/>
    <w:rsid w:val="00B77B86"/>
    <w:rsid w:val="00B819AD"/>
    <w:rsid w:val="00B83312"/>
    <w:rsid w:val="00B84D3D"/>
    <w:rsid w:val="00B85D0F"/>
    <w:rsid w:val="00B86AB7"/>
    <w:rsid w:val="00B873D4"/>
    <w:rsid w:val="00B87ADF"/>
    <w:rsid w:val="00B90333"/>
    <w:rsid w:val="00B90768"/>
    <w:rsid w:val="00B90EC1"/>
    <w:rsid w:val="00B917C7"/>
    <w:rsid w:val="00B91CAC"/>
    <w:rsid w:val="00B92C9B"/>
    <w:rsid w:val="00B92D5A"/>
    <w:rsid w:val="00B93439"/>
    <w:rsid w:val="00B93FE4"/>
    <w:rsid w:val="00B9432B"/>
    <w:rsid w:val="00B94589"/>
    <w:rsid w:val="00B94B27"/>
    <w:rsid w:val="00B955AE"/>
    <w:rsid w:val="00B95CD3"/>
    <w:rsid w:val="00B95DE5"/>
    <w:rsid w:val="00B96D12"/>
    <w:rsid w:val="00B97310"/>
    <w:rsid w:val="00BA0A5E"/>
    <w:rsid w:val="00BA15BA"/>
    <w:rsid w:val="00BA1C9C"/>
    <w:rsid w:val="00BA1D94"/>
    <w:rsid w:val="00BA22DC"/>
    <w:rsid w:val="00BA2600"/>
    <w:rsid w:val="00BA276C"/>
    <w:rsid w:val="00BA4746"/>
    <w:rsid w:val="00BA483C"/>
    <w:rsid w:val="00BA53BB"/>
    <w:rsid w:val="00BA573E"/>
    <w:rsid w:val="00BA5D29"/>
    <w:rsid w:val="00BA7312"/>
    <w:rsid w:val="00BA792D"/>
    <w:rsid w:val="00BA7F1C"/>
    <w:rsid w:val="00BB01F4"/>
    <w:rsid w:val="00BB0213"/>
    <w:rsid w:val="00BB11A2"/>
    <w:rsid w:val="00BB1F5B"/>
    <w:rsid w:val="00BB2F90"/>
    <w:rsid w:val="00BB306F"/>
    <w:rsid w:val="00BB35E4"/>
    <w:rsid w:val="00BB361B"/>
    <w:rsid w:val="00BB369E"/>
    <w:rsid w:val="00BB4116"/>
    <w:rsid w:val="00BB4253"/>
    <w:rsid w:val="00BB49EB"/>
    <w:rsid w:val="00BB52E6"/>
    <w:rsid w:val="00BB5322"/>
    <w:rsid w:val="00BB5FC7"/>
    <w:rsid w:val="00BB658B"/>
    <w:rsid w:val="00BB75D1"/>
    <w:rsid w:val="00BB7C91"/>
    <w:rsid w:val="00BC1427"/>
    <w:rsid w:val="00BC18C9"/>
    <w:rsid w:val="00BC4041"/>
    <w:rsid w:val="00BC4280"/>
    <w:rsid w:val="00BC433F"/>
    <w:rsid w:val="00BC4DAA"/>
    <w:rsid w:val="00BC4F90"/>
    <w:rsid w:val="00BC57DB"/>
    <w:rsid w:val="00BC5941"/>
    <w:rsid w:val="00BC6005"/>
    <w:rsid w:val="00BC65A4"/>
    <w:rsid w:val="00BC668B"/>
    <w:rsid w:val="00BC668F"/>
    <w:rsid w:val="00BC6C67"/>
    <w:rsid w:val="00BC70E9"/>
    <w:rsid w:val="00BD2703"/>
    <w:rsid w:val="00BD33F7"/>
    <w:rsid w:val="00BD495B"/>
    <w:rsid w:val="00BD4A59"/>
    <w:rsid w:val="00BD4B89"/>
    <w:rsid w:val="00BD6286"/>
    <w:rsid w:val="00BE047B"/>
    <w:rsid w:val="00BE0D78"/>
    <w:rsid w:val="00BE120D"/>
    <w:rsid w:val="00BE167E"/>
    <w:rsid w:val="00BE1783"/>
    <w:rsid w:val="00BE1964"/>
    <w:rsid w:val="00BE2400"/>
    <w:rsid w:val="00BE2AE0"/>
    <w:rsid w:val="00BE2BCF"/>
    <w:rsid w:val="00BE358A"/>
    <w:rsid w:val="00BE3FD6"/>
    <w:rsid w:val="00BE4A27"/>
    <w:rsid w:val="00BE4C47"/>
    <w:rsid w:val="00BE5815"/>
    <w:rsid w:val="00BE73F9"/>
    <w:rsid w:val="00BF03D8"/>
    <w:rsid w:val="00BF0ACA"/>
    <w:rsid w:val="00BF16B8"/>
    <w:rsid w:val="00BF180B"/>
    <w:rsid w:val="00BF1A40"/>
    <w:rsid w:val="00BF29A0"/>
    <w:rsid w:val="00BF3461"/>
    <w:rsid w:val="00BF34CC"/>
    <w:rsid w:val="00BF4338"/>
    <w:rsid w:val="00BF4D34"/>
    <w:rsid w:val="00BF5612"/>
    <w:rsid w:val="00BF58F8"/>
    <w:rsid w:val="00BF5954"/>
    <w:rsid w:val="00BF5AF5"/>
    <w:rsid w:val="00BF6B82"/>
    <w:rsid w:val="00BF6FD8"/>
    <w:rsid w:val="00BF7F7C"/>
    <w:rsid w:val="00BF7FB9"/>
    <w:rsid w:val="00C0168E"/>
    <w:rsid w:val="00C01D45"/>
    <w:rsid w:val="00C01DED"/>
    <w:rsid w:val="00C020AD"/>
    <w:rsid w:val="00C0258D"/>
    <w:rsid w:val="00C0275D"/>
    <w:rsid w:val="00C02BF2"/>
    <w:rsid w:val="00C02D36"/>
    <w:rsid w:val="00C03680"/>
    <w:rsid w:val="00C03F9C"/>
    <w:rsid w:val="00C04314"/>
    <w:rsid w:val="00C045F5"/>
    <w:rsid w:val="00C04624"/>
    <w:rsid w:val="00C047D9"/>
    <w:rsid w:val="00C04F37"/>
    <w:rsid w:val="00C05355"/>
    <w:rsid w:val="00C054DF"/>
    <w:rsid w:val="00C0580F"/>
    <w:rsid w:val="00C05BCB"/>
    <w:rsid w:val="00C05EC5"/>
    <w:rsid w:val="00C062C0"/>
    <w:rsid w:val="00C10C6B"/>
    <w:rsid w:val="00C10DB6"/>
    <w:rsid w:val="00C11042"/>
    <w:rsid w:val="00C12378"/>
    <w:rsid w:val="00C13281"/>
    <w:rsid w:val="00C135D0"/>
    <w:rsid w:val="00C13D44"/>
    <w:rsid w:val="00C143A1"/>
    <w:rsid w:val="00C14978"/>
    <w:rsid w:val="00C152A5"/>
    <w:rsid w:val="00C15A62"/>
    <w:rsid w:val="00C15E41"/>
    <w:rsid w:val="00C169C4"/>
    <w:rsid w:val="00C174CA"/>
    <w:rsid w:val="00C174FE"/>
    <w:rsid w:val="00C20E98"/>
    <w:rsid w:val="00C21762"/>
    <w:rsid w:val="00C21E02"/>
    <w:rsid w:val="00C22BEF"/>
    <w:rsid w:val="00C233AC"/>
    <w:rsid w:val="00C2355D"/>
    <w:rsid w:val="00C23663"/>
    <w:rsid w:val="00C236C1"/>
    <w:rsid w:val="00C24543"/>
    <w:rsid w:val="00C247B9"/>
    <w:rsid w:val="00C25319"/>
    <w:rsid w:val="00C25480"/>
    <w:rsid w:val="00C256A2"/>
    <w:rsid w:val="00C2727F"/>
    <w:rsid w:val="00C2728C"/>
    <w:rsid w:val="00C300ED"/>
    <w:rsid w:val="00C30B92"/>
    <w:rsid w:val="00C32539"/>
    <w:rsid w:val="00C329B6"/>
    <w:rsid w:val="00C33726"/>
    <w:rsid w:val="00C34113"/>
    <w:rsid w:val="00C3457E"/>
    <w:rsid w:val="00C34CEF"/>
    <w:rsid w:val="00C34EB1"/>
    <w:rsid w:val="00C3552C"/>
    <w:rsid w:val="00C3601A"/>
    <w:rsid w:val="00C3617B"/>
    <w:rsid w:val="00C3623E"/>
    <w:rsid w:val="00C401C4"/>
    <w:rsid w:val="00C4110A"/>
    <w:rsid w:val="00C415F7"/>
    <w:rsid w:val="00C4160B"/>
    <w:rsid w:val="00C41985"/>
    <w:rsid w:val="00C41D81"/>
    <w:rsid w:val="00C4272B"/>
    <w:rsid w:val="00C42BE7"/>
    <w:rsid w:val="00C42C24"/>
    <w:rsid w:val="00C42DCE"/>
    <w:rsid w:val="00C433C4"/>
    <w:rsid w:val="00C437CD"/>
    <w:rsid w:val="00C441D8"/>
    <w:rsid w:val="00C44748"/>
    <w:rsid w:val="00C4519A"/>
    <w:rsid w:val="00C456BB"/>
    <w:rsid w:val="00C45D0C"/>
    <w:rsid w:val="00C470D5"/>
    <w:rsid w:val="00C50392"/>
    <w:rsid w:val="00C512B7"/>
    <w:rsid w:val="00C51515"/>
    <w:rsid w:val="00C52032"/>
    <w:rsid w:val="00C5332A"/>
    <w:rsid w:val="00C533FC"/>
    <w:rsid w:val="00C54035"/>
    <w:rsid w:val="00C5507E"/>
    <w:rsid w:val="00C554CF"/>
    <w:rsid w:val="00C5660B"/>
    <w:rsid w:val="00C56CCD"/>
    <w:rsid w:val="00C578A4"/>
    <w:rsid w:val="00C604DB"/>
    <w:rsid w:val="00C60EAA"/>
    <w:rsid w:val="00C616B6"/>
    <w:rsid w:val="00C62087"/>
    <w:rsid w:val="00C62141"/>
    <w:rsid w:val="00C62241"/>
    <w:rsid w:val="00C62CFF"/>
    <w:rsid w:val="00C639C6"/>
    <w:rsid w:val="00C639FB"/>
    <w:rsid w:val="00C64328"/>
    <w:rsid w:val="00C66807"/>
    <w:rsid w:val="00C66B72"/>
    <w:rsid w:val="00C66E3D"/>
    <w:rsid w:val="00C67E67"/>
    <w:rsid w:val="00C72736"/>
    <w:rsid w:val="00C73345"/>
    <w:rsid w:val="00C73D8E"/>
    <w:rsid w:val="00C74057"/>
    <w:rsid w:val="00C746F6"/>
    <w:rsid w:val="00C7582E"/>
    <w:rsid w:val="00C76B5B"/>
    <w:rsid w:val="00C80D43"/>
    <w:rsid w:val="00C825C1"/>
    <w:rsid w:val="00C842DF"/>
    <w:rsid w:val="00C846BF"/>
    <w:rsid w:val="00C85A89"/>
    <w:rsid w:val="00C85B93"/>
    <w:rsid w:val="00C86F17"/>
    <w:rsid w:val="00C90F7C"/>
    <w:rsid w:val="00C9157C"/>
    <w:rsid w:val="00C9176B"/>
    <w:rsid w:val="00C91F1F"/>
    <w:rsid w:val="00C92371"/>
    <w:rsid w:val="00C923B9"/>
    <w:rsid w:val="00C925E5"/>
    <w:rsid w:val="00C92BBF"/>
    <w:rsid w:val="00C92DFD"/>
    <w:rsid w:val="00C930A7"/>
    <w:rsid w:val="00C9346A"/>
    <w:rsid w:val="00C9443A"/>
    <w:rsid w:val="00C95188"/>
    <w:rsid w:val="00C9567A"/>
    <w:rsid w:val="00C96218"/>
    <w:rsid w:val="00C96C27"/>
    <w:rsid w:val="00C97B5F"/>
    <w:rsid w:val="00C97E31"/>
    <w:rsid w:val="00CA115B"/>
    <w:rsid w:val="00CA438E"/>
    <w:rsid w:val="00CA594D"/>
    <w:rsid w:val="00CA6001"/>
    <w:rsid w:val="00CA77C5"/>
    <w:rsid w:val="00CA7EA3"/>
    <w:rsid w:val="00CB0403"/>
    <w:rsid w:val="00CB1B22"/>
    <w:rsid w:val="00CB212D"/>
    <w:rsid w:val="00CB2660"/>
    <w:rsid w:val="00CB33DA"/>
    <w:rsid w:val="00CB5024"/>
    <w:rsid w:val="00CB51F9"/>
    <w:rsid w:val="00CB5D0D"/>
    <w:rsid w:val="00CB6A15"/>
    <w:rsid w:val="00CB6BBC"/>
    <w:rsid w:val="00CB7019"/>
    <w:rsid w:val="00CB75DC"/>
    <w:rsid w:val="00CB768E"/>
    <w:rsid w:val="00CC0526"/>
    <w:rsid w:val="00CC1515"/>
    <w:rsid w:val="00CC25EE"/>
    <w:rsid w:val="00CC2FB9"/>
    <w:rsid w:val="00CC47DA"/>
    <w:rsid w:val="00CC4AD2"/>
    <w:rsid w:val="00CC4FB6"/>
    <w:rsid w:val="00CC5B9A"/>
    <w:rsid w:val="00CC5E90"/>
    <w:rsid w:val="00CC62A2"/>
    <w:rsid w:val="00CC7B6E"/>
    <w:rsid w:val="00CD046C"/>
    <w:rsid w:val="00CD1103"/>
    <w:rsid w:val="00CD1947"/>
    <w:rsid w:val="00CD1B0D"/>
    <w:rsid w:val="00CD21DC"/>
    <w:rsid w:val="00CD2990"/>
    <w:rsid w:val="00CD3E9E"/>
    <w:rsid w:val="00CD4998"/>
    <w:rsid w:val="00CD4BA5"/>
    <w:rsid w:val="00CD4E79"/>
    <w:rsid w:val="00CD5E40"/>
    <w:rsid w:val="00CD72F1"/>
    <w:rsid w:val="00CE076C"/>
    <w:rsid w:val="00CE0F5A"/>
    <w:rsid w:val="00CE17C9"/>
    <w:rsid w:val="00CE434E"/>
    <w:rsid w:val="00CE4A64"/>
    <w:rsid w:val="00CE5199"/>
    <w:rsid w:val="00CE547B"/>
    <w:rsid w:val="00CE6537"/>
    <w:rsid w:val="00CE66D5"/>
    <w:rsid w:val="00CE6E41"/>
    <w:rsid w:val="00CE7F4A"/>
    <w:rsid w:val="00CF012B"/>
    <w:rsid w:val="00CF02D8"/>
    <w:rsid w:val="00CF0768"/>
    <w:rsid w:val="00CF102F"/>
    <w:rsid w:val="00CF29AF"/>
    <w:rsid w:val="00CF2B4C"/>
    <w:rsid w:val="00CF4F4B"/>
    <w:rsid w:val="00CF5907"/>
    <w:rsid w:val="00CF5C49"/>
    <w:rsid w:val="00CF61A2"/>
    <w:rsid w:val="00CF637A"/>
    <w:rsid w:val="00CF6787"/>
    <w:rsid w:val="00D0014F"/>
    <w:rsid w:val="00D00928"/>
    <w:rsid w:val="00D01C13"/>
    <w:rsid w:val="00D01FD1"/>
    <w:rsid w:val="00D02DB7"/>
    <w:rsid w:val="00D030DD"/>
    <w:rsid w:val="00D044BD"/>
    <w:rsid w:val="00D04F27"/>
    <w:rsid w:val="00D050C7"/>
    <w:rsid w:val="00D0541B"/>
    <w:rsid w:val="00D05894"/>
    <w:rsid w:val="00D059DE"/>
    <w:rsid w:val="00D066BF"/>
    <w:rsid w:val="00D068DE"/>
    <w:rsid w:val="00D07045"/>
    <w:rsid w:val="00D108E9"/>
    <w:rsid w:val="00D10F5B"/>
    <w:rsid w:val="00D1165D"/>
    <w:rsid w:val="00D11A5E"/>
    <w:rsid w:val="00D12665"/>
    <w:rsid w:val="00D13D09"/>
    <w:rsid w:val="00D13E22"/>
    <w:rsid w:val="00D13FCE"/>
    <w:rsid w:val="00D14489"/>
    <w:rsid w:val="00D149F1"/>
    <w:rsid w:val="00D15FDF"/>
    <w:rsid w:val="00D163F2"/>
    <w:rsid w:val="00D167FE"/>
    <w:rsid w:val="00D17319"/>
    <w:rsid w:val="00D173C6"/>
    <w:rsid w:val="00D174CB"/>
    <w:rsid w:val="00D17CC0"/>
    <w:rsid w:val="00D20226"/>
    <w:rsid w:val="00D202AC"/>
    <w:rsid w:val="00D205AB"/>
    <w:rsid w:val="00D211CE"/>
    <w:rsid w:val="00D21320"/>
    <w:rsid w:val="00D21891"/>
    <w:rsid w:val="00D21966"/>
    <w:rsid w:val="00D21F40"/>
    <w:rsid w:val="00D225AC"/>
    <w:rsid w:val="00D2288C"/>
    <w:rsid w:val="00D2333E"/>
    <w:rsid w:val="00D233EB"/>
    <w:rsid w:val="00D235B3"/>
    <w:rsid w:val="00D239E9"/>
    <w:rsid w:val="00D24A7F"/>
    <w:rsid w:val="00D2628F"/>
    <w:rsid w:val="00D2659E"/>
    <w:rsid w:val="00D26A84"/>
    <w:rsid w:val="00D27B53"/>
    <w:rsid w:val="00D27DA0"/>
    <w:rsid w:val="00D306D1"/>
    <w:rsid w:val="00D306F3"/>
    <w:rsid w:val="00D30856"/>
    <w:rsid w:val="00D308F8"/>
    <w:rsid w:val="00D31334"/>
    <w:rsid w:val="00D31642"/>
    <w:rsid w:val="00D31674"/>
    <w:rsid w:val="00D32002"/>
    <w:rsid w:val="00D329C8"/>
    <w:rsid w:val="00D33614"/>
    <w:rsid w:val="00D33852"/>
    <w:rsid w:val="00D33903"/>
    <w:rsid w:val="00D33A9C"/>
    <w:rsid w:val="00D34291"/>
    <w:rsid w:val="00D343B8"/>
    <w:rsid w:val="00D34786"/>
    <w:rsid w:val="00D34CF4"/>
    <w:rsid w:val="00D367BC"/>
    <w:rsid w:val="00D3681A"/>
    <w:rsid w:val="00D373F6"/>
    <w:rsid w:val="00D37B53"/>
    <w:rsid w:val="00D37D8B"/>
    <w:rsid w:val="00D409A3"/>
    <w:rsid w:val="00D43835"/>
    <w:rsid w:val="00D43A4E"/>
    <w:rsid w:val="00D44154"/>
    <w:rsid w:val="00D44A7F"/>
    <w:rsid w:val="00D45802"/>
    <w:rsid w:val="00D47537"/>
    <w:rsid w:val="00D47A8E"/>
    <w:rsid w:val="00D5022E"/>
    <w:rsid w:val="00D506C4"/>
    <w:rsid w:val="00D50CF0"/>
    <w:rsid w:val="00D50D9E"/>
    <w:rsid w:val="00D50EDB"/>
    <w:rsid w:val="00D51633"/>
    <w:rsid w:val="00D5221D"/>
    <w:rsid w:val="00D524E7"/>
    <w:rsid w:val="00D52D14"/>
    <w:rsid w:val="00D5390E"/>
    <w:rsid w:val="00D543A9"/>
    <w:rsid w:val="00D5671A"/>
    <w:rsid w:val="00D56CA0"/>
    <w:rsid w:val="00D56E07"/>
    <w:rsid w:val="00D57276"/>
    <w:rsid w:val="00D57E70"/>
    <w:rsid w:val="00D60299"/>
    <w:rsid w:val="00D60F3A"/>
    <w:rsid w:val="00D62D3D"/>
    <w:rsid w:val="00D62EE3"/>
    <w:rsid w:val="00D652B5"/>
    <w:rsid w:val="00D65495"/>
    <w:rsid w:val="00D664FC"/>
    <w:rsid w:val="00D712D3"/>
    <w:rsid w:val="00D71422"/>
    <w:rsid w:val="00D7151E"/>
    <w:rsid w:val="00D72DC6"/>
    <w:rsid w:val="00D74D79"/>
    <w:rsid w:val="00D7519B"/>
    <w:rsid w:val="00D752E8"/>
    <w:rsid w:val="00D7558D"/>
    <w:rsid w:val="00D7603D"/>
    <w:rsid w:val="00D76222"/>
    <w:rsid w:val="00D7684D"/>
    <w:rsid w:val="00D77087"/>
    <w:rsid w:val="00D8013E"/>
    <w:rsid w:val="00D80BAC"/>
    <w:rsid w:val="00D80EF8"/>
    <w:rsid w:val="00D81D92"/>
    <w:rsid w:val="00D81DB1"/>
    <w:rsid w:val="00D82F90"/>
    <w:rsid w:val="00D832DD"/>
    <w:rsid w:val="00D84275"/>
    <w:rsid w:val="00D84F1F"/>
    <w:rsid w:val="00D85EAB"/>
    <w:rsid w:val="00D85EF7"/>
    <w:rsid w:val="00D86479"/>
    <w:rsid w:val="00D86926"/>
    <w:rsid w:val="00D86B6A"/>
    <w:rsid w:val="00D86C32"/>
    <w:rsid w:val="00D87369"/>
    <w:rsid w:val="00D8739D"/>
    <w:rsid w:val="00D900B7"/>
    <w:rsid w:val="00D90284"/>
    <w:rsid w:val="00D91194"/>
    <w:rsid w:val="00D91F0B"/>
    <w:rsid w:val="00D92701"/>
    <w:rsid w:val="00D9291F"/>
    <w:rsid w:val="00D92C49"/>
    <w:rsid w:val="00D92CC8"/>
    <w:rsid w:val="00D9324C"/>
    <w:rsid w:val="00D94A3B"/>
    <w:rsid w:val="00D95DF8"/>
    <w:rsid w:val="00D961AB"/>
    <w:rsid w:val="00D96D5B"/>
    <w:rsid w:val="00D97446"/>
    <w:rsid w:val="00D974F6"/>
    <w:rsid w:val="00D97645"/>
    <w:rsid w:val="00D97C45"/>
    <w:rsid w:val="00DA2039"/>
    <w:rsid w:val="00DA380D"/>
    <w:rsid w:val="00DA442B"/>
    <w:rsid w:val="00DA4592"/>
    <w:rsid w:val="00DA6760"/>
    <w:rsid w:val="00DA7111"/>
    <w:rsid w:val="00DA7B5F"/>
    <w:rsid w:val="00DA7BF2"/>
    <w:rsid w:val="00DB0A25"/>
    <w:rsid w:val="00DB11C3"/>
    <w:rsid w:val="00DB1255"/>
    <w:rsid w:val="00DB1335"/>
    <w:rsid w:val="00DB1657"/>
    <w:rsid w:val="00DB330D"/>
    <w:rsid w:val="00DB397C"/>
    <w:rsid w:val="00DB4E83"/>
    <w:rsid w:val="00DB54DF"/>
    <w:rsid w:val="00DB567E"/>
    <w:rsid w:val="00DB67A8"/>
    <w:rsid w:val="00DB69E7"/>
    <w:rsid w:val="00DB6BC5"/>
    <w:rsid w:val="00DB6CA2"/>
    <w:rsid w:val="00DB7307"/>
    <w:rsid w:val="00DC0183"/>
    <w:rsid w:val="00DC01D2"/>
    <w:rsid w:val="00DC0551"/>
    <w:rsid w:val="00DC0D80"/>
    <w:rsid w:val="00DC1048"/>
    <w:rsid w:val="00DC11E7"/>
    <w:rsid w:val="00DC1A2E"/>
    <w:rsid w:val="00DC1E9C"/>
    <w:rsid w:val="00DC278B"/>
    <w:rsid w:val="00DC30E6"/>
    <w:rsid w:val="00DC337C"/>
    <w:rsid w:val="00DC51DD"/>
    <w:rsid w:val="00DC5C29"/>
    <w:rsid w:val="00DC6A10"/>
    <w:rsid w:val="00DC6F0A"/>
    <w:rsid w:val="00DC6F6C"/>
    <w:rsid w:val="00DC7023"/>
    <w:rsid w:val="00DC769A"/>
    <w:rsid w:val="00DC7E66"/>
    <w:rsid w:val="00DD0BBA"/>
    <w:rsid w:val="00DD1443"/>
    <w:rsid w:val="00DD3D86"/>
    <w:rsid w:val="00DD3E65"/>
    <w:rsid w:val="00DD410F"/>
    <w:rsid w:val="00DD4B1F"/>
    <w:rsid w:val="00DD4C4D"/>
    <w:rsid w:val="00DD5A63"/>
    <w:rsid w:val="00DD5AE8"/>
    <w:rsid w:val="00DD6425"/>
    <w:rsid w:val="00DD65CF"/>
    <w:rsid w:val="00DD6D14"/>
    <w:rsid w:val="00DD6F74"/>
    <w:rsid w:val="00DD7305"/>
    <w:rsid w:val="00DD79A0"/>
    <w:rsid w:val="00DE02F3"/>
    <w:rsid w:val="00DE07D2"/>
    <w:rsid w:val="00DE09A5"/>
    <w:rsid w:val="00DE0A59"/>
    <w:rsid w:val="00DE10E2"/>
    <w:rsid w:val="00DE21FB"/>
    <w:rsid w:val="00DE2805"/>
    <w:rsid w:val="00DE2DCE"/>
    <w:rsid w:val="00DE69B6"/>
    <w:rsid w:val="00DE6CA6"/>
    <w:rsid w:val="00DE710B"/>
    <w:rsid w:val="00DE7267"/>
    <w:rsid w:val="00DF01D3"/>
    <w:rsid w:val="00DF0C1C"/>
    <w:rsid w:val="00DF0FC5"/>
    <w:rsid w:val="00DF1B4B"/>
    <w:rsid w:val="00DF1BCE"/>
    <w:rsid w:val="00DF23CD"/>
    <w:rsid w:val="00DF26AA"/>
    <w:rsid w:val="00DF3094"/>
    <w:rsid w:val="00DF41C7"/>
    <w:rsid w:val="00DF4BDC"/>
    <w:rsid w:val="00DF4DC3"/>
    <w:rsid w:val="00DF640C"/>
    <w:rsid w:val="00DF6BF3"/>
    <w:rsid w:val="00DF6D65"/>
    <w:rsid w:val="00E00575"/>
    <w:rsid w:val="00E007B6"/>
    <w:rsid w:val="00E01699"/>
    <w:rsid w:val="00E01F68"/>
    <w:rsid w:val="00E0238B"/>
    <w:rsid w:val="00E025B6"/>
    <w:rsid w:val="00E02F88"/>
    <w:rsid w:val="00E0340B"/>
    <w:rsid w:val="00E04626"/>
    <w:rsid w:val="00E05117"/>
    <w:rsid w:val="00E0542D"/>
    <w:rsid w:val="00E054BE"/>
    <w:rsid w:val="00E05590"/>
    <w:rsid w:val="00E05963"/>
    <w:rsid w:val="00E05D6B"/>
    <w:rsid w:val="00E07283"/>
    <w:rsid w:val="00E07651"/>
    <w:rsid w:val="00E0789D"/>
    <w:rsid w:val="00E07A00"/>
    <w:rsid w:val="00E07F44"/>
    <w:rsid w:val="00E101DA"/>
    <w:rsid w:val="00E103EC"/>
    <w:rsid w:val="00E11D79"/>
    <w:rsid w:val="00E11EFC"/>
    <w:rsid w:val="00E12008"/>
    <w:rsid w:val="00E12799"/>
    <w:rsid w:val="00E129DA"/>
    <w:rsid w:val="00E12D6E"/>
    <w:rsid w:val="00E132E4"/>
    <w:rsid w:val="00E1365D"/>
    <w:rsid w:val="00E14A07"/>
    <w:rsid w:val="00E14B62"/>
    <w:rsid w:val="00E168F4"/>
    <w:rsid w:val="00E16A50"/>
    <w:rsid w:val="00E206A7"/>
    <w:rsid w:val="00E209A8"/>
    <w:rsid w:val="00E20EBA"/>
    <w:rsid w:val="00E2197C"/>
    <w:rsid w:val="00E219C7"/>
    <w:rsid w:val="00E21F0D"/>
    <w:rsid w:val="00E2257A"/>
    <w:rsid w:val="00E226AD"/>
    <w:rsid w:val="00E22D0B"/>
    <w:rsid w:val="00E2332B"/>
    <w:rsid w:val="00E236F6"/>
    <w:rsid w:val="00E23E3D"/>
    <w:rsid w:val="00E23EAA"/>
    <w:rsid w:val="00E24E60"/>
    <w:rsid w:val="00E264ED"/>
    <w:rsid w:val="00E27E1F"/>
    <w:rsid w:val="00E30427"/>
    <w:rsid w:val="00E3130F"/>
    <w:rsid w:val="00E3162A"/>
    <w:rsid w:val="00E3282D"/>
    <w:rsid w:val="00E32E6B"/>
    <w:rsid w:val="00E3423E"/>
    <w:rsid w:val="00E34783"/>
    <w:rsid w:val="00E34B77"/>
    <w:rsid w:val="00E34F67"/>
    <w:rsid w:val="00E36321"/>
    <w:rsid w:val="00E36709"/>
    <w:rsid w:val="00E375F7"/>
    <w:rsid w:val="00E379FB"/>
    <w:rsid w:val="00E40EAA"/>
    <w:rsid w:val="00E419AB"/>
    <w:rsid w:val="00E42AB4"/>
    <w:rsid w:val="00E42DC6"/>
    <w:rsid w:val="00E43157"/>
    <w:rsid w:val="00E43391"/>
    <w:rsid w:val="00E44FB5"/>
    <w:rsid w:val="00E453A4"/>
    <w:rsid w:val="00E4564E"/>
    <w:rsid w:val="00E45999"/>
    <w:rsid w:val="00E461CE"/>
    <w:rsid w:val="00E4688F"/>
    <w:rsid w:val="00E47274"/>
    <w:rsid w:val="00E475CB"/>
    <w:rsid w:val="00E50985"/>
    <w:rsid w:val="00E5125E"/>
    <w:rsid w:val="00E51274"/>
    <w:rsid w:val="00E5183E"/>
    <w:rsid w:val="00E52120"/>
    <w:rsid w:val="00E52778"/>
    <w:rsid w:val="00E53522"/>
    <w:rsid w:val="00E549B6"/>
    <w:rsid w:val="00E555A6"/>
    <w:rsid w:val="00E568F8"/>
    <w:rsid w:val="00E57951"/>
    <w:rsid w:val="00E60984"/>
    <w:rsid w:val="00E611C5"/>
    <w:rsid w:val="00E6134B"/>
    <w:rsid w:val="00E6159B"/>
    <w:rsid w:val="00E61B3B"/>
    <w:rsid w:val="00E625E8"/>
    <w:rsid w:val="00E632A1"/>
    <w:rsid w:val="00E638E9"/>
    <w:rsid w:val="00E63F00"/>
    <w:rsid w:val="00E64439"/>
    <w:rsid w:val="00E645F8"/>
    <w:rsid w:val="00E64C50"/>
    <w:rsid w:val="00E65121"/>
    <w:rsid w:val="00E65231"/>
    <w:rsid w:val="00E65819"/>
    <w:rsid w:val="00E65D77"/>
    <w:rsid w:val="00E6751B"/>
    <w:rsid w:val="00E67D4F"/>
    <w:rsid w:val="00E67FE0"/>
    <w:rsid w:val="00E7044F"/>
    <w:rsid w:val="00E7135B"/>
    <w:rsid w:val="00E720CA"/>
    <w:rsid w:val="00E73DA2"/>
    <w:rsid w:val="00E73F34"/>
    <w:rsid w:val="00E75431"/>
    <w:rsid w:val="00E77E37"/>
    <w:rsid w:val="00E801E9"/>
    <w:rsid w:val="00E80CF9"/>
    <w:rsid w:val="00E80D57"/>
    <w:rsid w:val="00E80E0C"/>
    <w:rsid w:val="00E8218A"/>
    <w:rsid w:val="00E82893"/>
    <w:rsid w:val="00E82C83"/>
    <w:rsid w:val="00E82DD9"/>
    <w:rsid w:val="00E830D2"/>
    <w:rsid w:val="00E83C3F"/>
    <w:rsid w:val="00E83F5C"/>
    <w:rsid w:val="00E840EE"/>
    <w:rsid w:val="00E841AF"/>
    <w:rsid w:val="00E84E07"/>
    <w:rsid w:val="00E84EB5"/>
    <w:rsid w:val="00E85662"/>
    <w:rsid w:val="00E85940"/>
    <w:rsid w:val="00E8629D"/>
    <w:rsid w:val="00E8789F"/>
    <w:rsid w:val="00E91BB5"/>
    <w:rsid w:val="00E925A2"/>
    <w:rsid w:val="00E93FD8"/>
    <w:rsid w:val="00E943D5"/>
    <w:rsid w:val="00E94A36"/>
    <w:rsid w:val="00E94F70"/>
    <w:rsid w:val="00E956AB"/>
    <w:rsid w:val="00E960F8"/>
    <w:rsid w:val="00E9616C"/>
    <w:rsid w:val="00E96CB0"/>
    <w:rsid w:val="00E96E07"/>
    <w:rsid w:val="00E972B6"/>
    <w:rsid w:val="00E97B71"/>
    <w:rsid w:val="00EA00A7"/>
    <w:rsid w:val="00EA030C"/>
    <w:rsid w:val="00EA058D"/>
    <w:rsid w:val="00EA0A0E"/>
    <w:rsid w:val="00EA0ACD"/>
    <w:rsid w:val="00EA0D25"/>
    <w:rsid w:val="00EA16FC"/>
    <w:rsid w:val="00EA19D6"/>
    <w:rsid w:val="00EA2F70"/>
    <w:rsid w:val="00EA3D34"/>
    <w:rsid w:val="00EA403C"/>
    <w:rsid w:val="00EA4459"/>
    <w:rsid w:val="00EA4702"/>
    <w:rsid w:val="00EA4837"/>
    <w:rsid w:val="00EA5851"/>
    <w:rsid w:val="00EA5C48"/>
    <w:rsid w:val="00EA5D1F"/>
    <w:rsid w:val="00EA68AD"/>
    <w:rsid w:val="00EA7377"/>
    <w:rsid w:val="00EA7ACF"/>
    <w:rsid w:val="00EB0237"/>
    <w:rsid w:val="00EB0C85"/>
    <w:rsid w:val="00EB0CC8"/>
    <w:rsid w:val="00EB0EBD"/>
    <w:rsid w:val="00EB1228"/>
    <w:rsid w:val="00EB1957"/>
    <w:rsid w:val="00EB1FA6"/>
    <w:rsid w:val="00EB26D3"/>
    <w:rsid w:val="00EB2AC2"/>
    <w:rsid w:val="00EB2D76"/>
    <w:rsid w:val="00EB413B"/>
    <w:rsid w:val="00EB454D"/>
    <w:rsid w:val="00EB60D2"/>
    <w:rsid w:val="00EB6707"/>
    <w:rsid w:val="00EB711E"/>
    <w:rsid w:val="00EC0C52"/>
    <w:rsid w:val="00EC1260"/>
    <w:rsid w:val="00EC3A91"/>
    <w:rsid w:val="00EC44E7"/>
    <w:rsid w:val="00EC4F92"/>
    <w:rsid w:val="00EC5871"/>
    <w:rsid w:val="00EC5F21"/>
    <w:rsid w:val="00EC5FC9"/>
    <w:rsid w:val="00EC6162"/>
    <w:rsid w:val="00EC64BE"/>
    <w:rsid w:val="00EC64D5"/>
    <w:rsid w:val="00EC6FCD"/>
    <w:rsid w:val="00EC75CD"/>
    <w:rsid w:val="00ED019B"/>
    <w:rsid w:val="00ED14D5"/>
    <w:rsid w:val="00ED1A3E"/>
    <w:rsid w:val="00ED1B04"/>
    <w:rsid w:val="00ED248C"/>
    <w:rsid w:val="00ED24B7"/>
    <w:rsid w:val="00ED2824"/>
    <w:rsid w:val="00ED2B97"/>
    <w:rsid w:val="00ED52D6"/>
    <w:rsid w:val="00ED67F1"/>
    <w:rsid w:val="00ED6FC5"/>
    <w:rsid w:val="00ED75BD"/>
    <w:rsid w:val="00ED76BE"/>
    <w:rsid w:val="00ED7C53"/>
    <w:rsid w:val="00EE07CF"/>
    <w:rsid w:val="00EE0EF2"/>
    <w:rsid w:val="00EE0F3C"/>
    <w:rsid w:val="00EE1908"/>
    <w:rsid w:val="00EE1F51"/>
    <w:rsid w:val="00EE24F9"/>
    <w:rsid w:val="00EE30EC"/>
    <w:rsid w:val="00EE3EEA"/>
    <w:rsid w:val="00EE4625"/>
    <w:rsid w:val="00EE51CE"/>
    <w:rsid w:val="00EE52BC"/>
    <w:rsid w:val="00EE5AB2"/>
    <w:rsid w:val="00EF1FDC"/>
    <w:rsid w:val="00EF25E4"/>
    <w:rsid w:val="00EF3AAC"/>
    <w:rsid w:val="00EF3ACE"/>
    <w:rsid w:val="00EF3BB3"/>
    <w:rsid w:val="00EF3F5D"/>
    <w:rsid w:val="00EF43BB"/>
    <w:rsid w:val="00EF4D4A"/>
    <w:rsid w:val="00EF55FC"/>
    <w:rsid w:val="00EF5AE5"/>
    <w:rsid w:val="00EF619B"/>
    <w:rsid w:val="00EF769D"/>
    <w:rsid w:val="00EF7710"/>
    <w:rsid w:val="00EF7B0E"/>
    <w:rsid w:val="00F00014"/>
    <w:rsid w:val="00F00623"/>
    <w:rsid w:val="00F00735"/>
    <w:rsid w:val="00F00B55"/>
    <w:rsid w:val="00F02506"/>
    <w:rsid w:val="00F027CA"/>
    <w:rsid w:val="00F02AD1"/>
    <w:rsid w:val="00F03977"/>
    <w:rsid w:val="00F03E44"/>
    <w:rsid w:val="00F0417F"/>
    <w:rsid w:val="00F0509B"/>
    <w:rsid w:val="00F05752"/>
    <w:rsid w:val="00F065B7"/>
    <w:rsid w:val="00F06BB9"/>
    <w:rsid w:val="00F07BE5"/>
    <w:rsid w:val="00F107B2"/>
    <w:rsid w:val="00F10827"/>
    <w:rsid w:val="00F10EF7"/>
    <w:rsid w:val="00F10F5F"/>
    <w:rsid w:val="00F1104D"/>
    <w:rsid w:val="00F1181D"/>
    <w:rsid w:val="00F11B32"/>
    <w:rsid w:val="00F11CDE"/>
    <w:rsid w:val="00F11CF8"/>
    <w:rsid w:val="00F121B8"/>
    <w:rsid w:val="00F1272B"/>
    <w:rsid w:val="00F12E5C"/>
    <w:rsid w:val="00F13E1E"/>
    <w:rsid w:val="00F147DC"/>
    <w:rsid w:val="00F14E7D"/>
    <w:rsid w:val="00F176F0"/>
    <w:rsid w:val="00F206EC"/>
    <w:rsid w:val="00F22ACC"/>
    <w:rsid w:val="00F22F20"/>
    <w:rsid w:val="00F23C77"/>
    <w:rsid w:val="00F23DB8"/>
    <w:rsid w:val="00F250C7"/>
    <w:rsid w:val="00F2536B"/>
    <w:rsid w:val="00F253CC"/>
    <w:rsid w:val="00F2579B"/>
    <w:rsid w:val="00F257B1"/>
    <w:rsid w:val="00F2600C"/>
    <w:rsid w:val="00F276F1"/>
    <w:rsid w:val="00F2796D"/>
    <w:rsid w:val="00F279CC"/>
    <w:rsid w:val="00F27A79"/>
    <w:rsid w:val="00F3016F"/>
    <w:rsid w:val="00F301F1"/>
    <w:rsid w:val="00F30798"/>
    <w:rsid w:val="00F318EF"/>
    <w:rsid w:val="00F32627"/>
    <w:rsid w:val="00F328BD"/>
    <w:rsid w:val="00F33748"/>
    <w:rsid w:val="00F33955"/>
    <w:rsid w:val="00F3684D"/>
    <w:rsid w:val="00F3692A"/>
    <w:rsid w:val="00F37106"/>
    <w:rsid w:val="00F37746"/>
    <w:rsid w:val="00F3776F"/>
    <w:rsid w:val="00F37DDD"/>
    <w:rsid w:val="00F42467"/>
    <w:rsid w:val="00F42AAE"/>
    <w:rsid w:val="00F4360C"/>
    <w:rsid w:val="00F4406D"/>
    <w:rsid w:val="00F44FED"/>
    <w:rsid w:val="00F45942"/>
    <w:rsid w:val="00F45B86"/>
    <w:rsid w:val="00F460BD"/>
    <w:rsid w:val="00F46421"/>
    <w:rsid w:val="00F46DCE"/>
    <w:rsid w:val="00F506DB"/>
    <w:rsid w:val="00F5078B"/>
    <w:rsid w:val="00F50950"/>
    <w:rsid w:val="00F50C83"/>
    <w:rsid w:val="00F50E2F"/>
    <w:rsid w:val="00F519CF"/>
    <w:rsid w:val="00F51EC3"/>
    <w:rsid w:val="00F5266C"/>
    <w:rsid w:val="00F537C8"/>
    <w:rsid w:val="00F54ECA"/>
    <w:rsid w:val="00F5569F"/>
    <w:rsid w:val="00F56BA5"/>
    <w:rsid w:val="00F56C88"/>
    <w:rsid w:val="00F607B9"/>
    <w:rsid w:val="00F60E22"/>
    <w:rsid w:val="00F60E5B"/>
    <w:rsid w:val="00F61A1A"/>
    <w:rsid w:val="00F62600"/>
    <w:rsid w:val="00F62748"/>
    <w:rsid w:val="00F62D1E"/>
    <w:rsid w:val="00F63A6D"/>
    <w:rsid w:val="00F640C5"/>
    <w:rsid w:val="00F64DB1"/>
    <w:rsid w:val="00F6703B"/>
    <w:rsid w:val="00F674B2"/>
    <w:rsid w:val="00F67B09"/>
    <w:rsid w:val="00F67C38"/>
    <w:rsid w:val="00F72BD4"/>
    <w:rsid w:val="00F775BF"/>
    <w:rsid w:val="00F80327"/>
    <w:rsid w:val="00F8067B"/>
    <w:rsid w:val="00F82DD5"/>
    <w:rsid w:val="00F82E43"/>
    <w:rsid w:val="00F84D44"/>
    <w:rsid w:val="00F852F7"/>
    <w:rsid w:val="00F8543B"/>
    <w:rsid w:val="00F85A52"/>
    <w:rsid w:val="00F8690D"/>
    <w:rsid w:val="00F869AF"/>
    <w:rsid w:val="00F90CC2"/>
    <w:rsid w:val="00F90EF6"/>
    <w:rsid w:val="00F91160"/>
    <w:rsid w:val="00F91542"/>
    <w:rsid w:val="00F917D1"/>
    <w:rsid w:val="00F92433"/>
    <w:rsid w:val="00F92B8C"/>
    <w:rsid w:val="00F94216"/>
    <w:rsid w:val="00F9491D"/>
    <w:rsid w:val="00F954CA"/>
    <w:rsid w:val="00F957AE"/>
    <w:rsid w:val="00F9653B"/>
    <w:rsid w:val="00F96778"/>
    <w:rsid w:val="00F96BAF"/>
    <w:rsid w:val="00F979A7"/>
    <w:rsid w:val="00F97E62"/>
    <w:rsid w:val="00FA02EB"/>
    <w:rsid w:val="00FA093F"/>
    <w:rsid w:val="00FA174E"/>
    <w:rsid w:val="00FA1A78"/>
    <w:rsid w:val="00FA1FAA"/>
    <w:rsid w:val="00FA2E9D"/>
    <w:rsid w:val="00FA384C"/>
    <w:rsid w:val="00FA4035"/>
    <w:rsid w:val="00FA4293"/>
    <w:rsid w:val="00FA5957"/>
    <w:rsid w:val="00FA7494"/>
    <w:rsid w:val="00FA7605"/>
    <w:rsid w:val="00FA77B7"/>
    <w:rsid w:val="00FA7864"/>
    <w:rsid w:val="00FB069F"/>
    <w:rsid w:val="00FB07CF"/>
    <w:rsid w:val="00FB0C38"/>
    <w:rsid w:val="00FB14D9"/>
    <w:rsid w:val="00FB1666"/>
    <w:rsid w:val="00FB2096"/>
    <w:rsid w:val="00FB2A1C"/>
    <w:rsid w:val="00FB3D94"/>
    <w:rsid w:val="00FB3F5D"/>
    <w:rsid w:val="00FB43DD"/>
    <w:rsid w:val="00FB4EB8"/>
    <w:rsid w:val="00FB5202"/>
    <w:rsid w:val="00FB5D3B"/>
    <w:rsid w:val="00FB62CF"/>
    <w:rsid w:val="00FB64DE"/>
    <w:rsid w:val="00FB68F0"/>
    <w:rsid w:val="00FB695B"/>
    <w:rsid w:val="00FC1660"/>
    <w:rsid w:val="00FC3A9E"/>
    <w:rsid w:val="00FC3D2C"/>
    <w:rsid w:val="00FC3E44"/>
    <w:rsid w:val="00FC4122"/>
    <w:rsid w:val="00FC415B"/>
    <w:rsid w:val="00FC4881"/>
    <w:rsid w:val="00FC551C"/>
    <w:rsid w:val="00FC5691"/>
    <w:rsid w:val="00FC634A"/>
    <w:rsid w:val="00FC7D96"/>
    <w:rsid w:val="00FD05AE"/>
    <w:rsid w:val="00FD19E8"/>
    <w:rsid w:val="00FD1CEF"/>
    <w:rsid w:val="00FD21EF"/>
    <w:rsid w:val="00FD26A1"/>
    <w:rsid w:val="00FD2E3F"/>
    <w:rsid w:val="00FD3C3B"/>
    <w:rsid w:val="00FD3D23"/>
    <w:rsid w:val="00FD4F75"/>
    <w:rsid w:val="00FD5921"/>
    <w:rsid w:val="00FD70E8"/>
    <w:rsid w:val="00FD729D"/>
    <w:rsid w:val="00FD79FF"/>
    <w:rsid w:val="00FE0851"/>
    <w:rsid w:val="00FE0BC9"/>
    <w:rsid w:val="00FE0EE6"/>
    <w:rsid w:val="00FE15F2"/>
    <w:rsid w:val="00FE1F1B"/>
    <w:rsid w:val="00FE1F8C"/>
    <w:rsid w:val="00FE350D"/>
    <w:rsid w:val="00FE45EF"/>
    <w:rsid w:val="00FE4928"/>
    <w:rsid w:val="00FE5E14"/>
    <w:rsid w:val="00FE66A3"/>
    <w:rsid w:val="00FE6B45"/>
    <w:rsid w:val="00FE7B0C"/>
    <w:rsid w:val="00FF11B9"/>
    <w:rsid w:val="00FF222C"/>
    <w:rsid w:val="00FF342C"/>
    <w:rsid w:val="00FF3556"/>
    <w:rsid w:val="00FF4706"/>
    <w:rsid w:val="00FF4D55"/>
    <w:rsid w:val="00FF4E3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D7"/>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E24E60"/>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0"/>
    </w:pPr>
    <w:rPr>
      <w:rFonts w:ascii="Cambria" w:eastAsia="Times New Roman" w:hAnsi="Cambria"/>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Cambria" w:eastAsia="Times New Roman" w:hAnsi="Cambria"/>
      <w:b/>
      <w:sz w:val="20"/>
      <w:szCs w:val="20"/>
      <w:bdr w:val="none" w:sz="0" w:space="0" w:color="auto"/>
      <w:lang w:val="es-ES_tradnl"/>
    </w:rPr>
  </w:style>
  <w:style w:type="paragraph" w:styleId="Heading3">
    <w:name w:val="heading 3"/>
    <w:basedOn w:val="Normal"/>
    <w:next w:val="Normal"/>
    <w:link w:val="Heading3Char"/>
    <w:qFormat/>
    <w:rsid w:val="004B316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rsid w:val="007753D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rsid w:val="007753D7"/>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7753D7"/>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link w:val="MediumGrid1-Accent2Char"/>
    <w:qFormat/>
    <w:rsid w:val="007753D7"/>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E24E60"/>
    <w:rPr>
      <w:rFonts w:ascii="Cambria" w:eastAsia="Times New Roman" w:hAnsi="Cambria"/>
      <w:b/>
      <w:lang w:val="es-ES_tradn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customStyle="1" w:styleId="Heading3Char">
    <w:name w:val="Heading 3 Char"/>
    <w:link w:val="Heading3"/>
    <w:rsid w:val="004B316C"/>
    <w:rPr>
      <w:rFonts w:ascii="Cambria" w:eastAsia="Times New Roman" w:hAnsi="Cambria" w:cs="Times New Roman"/>
      <w:b/>
      <w:bCs/>
      <w:color w:val="4F81BD"/>
      <w:sz w:val="24"/>
      <w:szCs w:val="24"/>
      <w:lang w:val="en-US" w:eastAsia="en-US"/>
    </w:rPr>
  </w:style>
  <w:style w:type="character" w:customStyle="1" w:styleId="Heading2Char">
    <w:name w:val="Heading 2 Char"/>
    <w:link w:val="Heading2"/>
    <w:rsid w:val="00E24E60"/>
    <w:rPr>
      <w:rFonts w:ascii="Cambria" w:eastAsia="Times New Roman" w:hAnsi="Cambria"/>
      <w:b/>
      <w:bdr w:val="none" w:sz="0" w:space="0" w:color="auto"/>
      <w:lang w:val="es-ES_tradnl" w:eastAsia="en-US"/>
    </w:rPr>
  </w:style>
  <w:style w:type="character" w:customStyle="1" w:styleId="Heading4Char">
    <w:name w:val="Heading 4 Char"/>
    <w:link w:val="Heading4"/>
    <w:rsid w:val="004B316C"/>
    <w:rPr>
      <w:rFonts w:ascii="Arial" w:eastAsia="Times New Roman" w:hAnsi="Arial"/>
      <w:b/>
      <w:sz w:val="24"/>
      <w:bdr w:val="none" w:sz="0" w:space="0" w:color="auto"/>
      <w:lang w:val="en-US" w:eastAsia="en-US"/>
    </w:rPr>
  </w:style>
  <w:style w:type="character" w:customStyle="1" w:styleId="Heading5Char">
    <w:name w:val="Heading 5 Char"/>
    <w:link w:val="Heading5"/>
    <w:rsid w:val="004B316C"/>
    <w:rPr>
      <w:rFonts w:eastAsia="Times New Roman"/>
      <w:sz w:val="22"/>
      <w:bdr w:val="none" w:sz="0" w:space="0" w:color="auto"/>
      <w:lang w:val="en-US" w:eastAsia="en-US"/>
    </w:rPr>
  </w:style>
  <w:style w:type="character" w:customStyle="1" w:styleId="Heading6Char">
    <w:name w:val="Heading 6 Char"/>
    <w:link w:val="Heading6"/>
    <w:rsid w:val="004B316C"/>
    <w:rPr>
      <w:rFonts w:eastAsia="Times New Roman"/>
      <w:i/>
      <w:sz w:val="22"/>
      <w:bdr w:val="none" w:sz="0" w:space="0" w:color="auto"/>
      <w:lang w:val="en-US" w:eastAsia="en-US"/>
    </w:rPr>
  </w:style>
  <w:style w:type="character" w:customStyle="1" w:styleId="Heading7Char">
    <w:name w:val="Heading 7 Char"/>
    <w:link w:val="Heading7"/>
    <w:rsid w:val="004B316C"/>
    <w:rPr>
      <w:rFonts w:ascii="Arial" w:eastAsia="Times New Roman" w:hAnsi="Arial"/>
      <w:bdr w:val="none" w:sz="0" w:space="0" w:color="auto"/>
      <w:lang w:val="en-US" w:eastAsia="en-US"/>
    </w:rPr>
  </w:style>
  <w:style w:type="character" w:customStyle="1" w:styleId="Heading8Char">
    <w:name w:val="Heading 8 Char"/>
    <w:link w:val="Heading8"/>
    <w:rsid w:val="004B316C"/>
    <w:rPr>
      <w:rFonts w:ascii="Arial" w:eastAsia="Times New Roman" w:hAnsi="Arial"/>
      <w:i/>
      <w:bdr w:val="none" w:sz="0" w:space="0" w:color="auto"/>
      <w:lang w:val="en-US" w:eastAsia="en-US"/>
    </w:rPr>
  </w:style>
  <w:style w:type="character" w:customStyle="1" w:styleId="Heading9Char">
    <w:name w:val="Heading 9 Char"/>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link w:val="BodyTextIndent2"/>
    <w:rsid w:val="004B316C"/>
    <w:rPr>
      <w:rFonts w:eastAsia="Times New Roman"/>
      <w:bdr w:val="none" w:sz="0" w:space="0" w:color="auto"/>
      <w:lang w:val="en-US" w:eastAsia="en-US"/>
    </w:rPr>
  </w:style>
  <w:style w:type="paragraph" w:customStyle="1" w:styleId="Default">
    <w:name w:val="Default"/>
    <w:rsid w:val="004B316C"/>
    <w:pPr>
      <w:autoSpaceDE w:val="0"/>
      <w:autoSpaceDN w:val="0"/>
      <w:adjustRightInd w:val="0"/>
    </w:pPr>
    <w:rPr>
      <w:rFonts w:eastAsia="Times New Roman"/>
      <w:color w:val="000000"/>
      <w:sz w:val="24"/>
      <w:szCs w:val="24"/>
    </w:rPr>
  </w:style>
  <w:style w:type="character" w:customStyle="1" w:styleId="ju-005fpara--char">
    <w:name w:val="ju-005fpara--char"/>
    <w:basedOn w:val="DefaultParagraphFont"/>
    <w:rsid w:val="004B316C"/>
  </w:style>
  <w:style w:type="paragraph" w:customStyle="1" w:styleId="Sinespaciado">
    <w:name w:val="Sin espaciado"/>
    <w:qFormat/>
    <w:rsid w:val="004B316C"/>
    <w:rPr>
      <w:rFonts w:ascii="Calibri" w:eastAsia="Calibri" w:hAnsi="Calibri"/>
      <w:sz w:val="22"/>
      <w:szCs w:val="22"/>
      <w:lang w:val="es-E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iPriority w:val="99"/>
    <w:semiHidden/>
    <w:unhideWhenUsed/>
    <w:rsid w:val="005F74FD"/>
    <w:pPr>
      <w:spacing w:after="120" w:line="480" w:lineRule="auto"/>
    </w:pPr>
  </w:style>
  <w:style w:type="character" w:customStyle="1" w:styleId="BodyText2Char">
    <w:name w:val="Body Text 2 Char"/>
    <w:link w:val="BodyText2"/>
    <w:uiPriority w:val="99"/>
    <w:semiHidden/>
    <w:rsid w:val="005F74FD"/>
    <w:rPr>
      <w:sz w:val="24"/>
      <w:szCs w:val="24"/>
      <w:lang w:val="en-US" w:eastAsia="en-US"/>
    </w:rPr>
  </w:style>
  <w:style w:type="paragraph" w:styleId="PlainText">
    <w:name w:val="Plain Text"/>
    <w:basedOn w:val="Normal"/>
    <w:link w:val="PlainTextChar"/>
    <w:unhideWhenUsed/>
    <w:rsid w:val="006D5ED9"/>
    <w:rPr>
      <w:rFonts w:ascii="Consolas" w:hAnsi="Consolas" w:cs="Consolas"/>
      <w:sz w:val="21"/>
      <w:szCs w:val="21"/>
    </w:rPr>
  </w:style>
  <w:style w:type="character" w:customStyle="1" w:styleId="PlainTextChar">
    <w:name w:val="Plain Text Char"/>
    <w:link w:val="PlainText"/>
    <w:uiPriority w:val="99"/>
    <w:semiHidden/>
    <w:rsid w:val="006D5ED9"/>
    <w:rPr>
      <w:rFonts w:ascii="Consolas" w:hAnsi="Consolas" w:cs="Consolas"/>
      <w:sz w:val="21"/>
      <w:szCs w:val="21"/>
      <w:lang w:val="en-US" w:eastAsia="en-US"/>
    </w:rPr>
  </w:style>
  <w:style w:type="character" w:customStyle="1" w:styleId="MediumGrid1-Accent2Char">
    <w:name w:val="Medium Grid 1 - Accent 2 Char"/>
    <w:link w:val="MediumGrid1-Accent21"/>
    <w:locked/>
    <w:rsid w:val="00AA09B7"/>
    <w:rPr>
      <w:rFonts w:ascii="Cambria" w:eastAsia="Cambria" w:hAnsi="Cambria" w:cs="Cambria"/>
      <w:color w:val="000000"/>
      <w:sz w:val="24"/>
      <w:szCs w:val="24"/>
      <w:u w:color="000000"/>
      <w:lang w:val="en-US"/>
    </w:rPr>
  </w:style>
  <w:style w:type="character" w:customStyle="1" w:styleId="LightGrid-Accent11">
    <w:name w:val="Light Grid - Accent 11"/>
    <w:uiPriority w:val="99"/>
    <w:semiHidden/>
    <w:rsid w:val="00273D36"/>
    <w:rPr>
      <w:color w:val="808080"/>
    </w:rPr>
  </w:style>
  <w:style w:type="paragraph" w:styleId="CommentSubject">
    <w:name w:val="annotation subject"/>
    <w:basedOn w:val="CommentText"/>
    <w:next w:val="CommentText"/>
    <w:link w:val="CommentSubjectChar"/>
    <w:uiPriority w:val="99"/>
    <w:semiHidden/>
    <w:unhideWhenUsed/>
    <w:rsid w:val="00B46722"/>
    <w:pPr>
      <w:pBdr>
        <w:top w:val="nil"/>
        <w:left w:val="nil"/>
        <w:bottom w:val="nil"/>
        <w:right w:val="nil"/>
        <w:between w:val="nil"/>
        <w:bar w:val="nil"/>
      </w:pBdr>
    </w:pPr>
    <w:rPr>
      <w:rFonts w:eastAsia="Arial Unicode MS"/>
      <w:b/>
      <w:bCs/>
      <w:bdr w:val="nil"/>
    </w:rPr>
  </w:style>
  <w:style w:type="character" w:customStyle="1" w:styleId="CommentSubjectChar">
    <w:name w:val="Comment Subject Char"/>
    <w:link w:val="CommentSubject"/>
    <w:uiPriority w:val="99"/>
    <w:semiHidden/>
    <w:rsid w:val="00B46722"/>
    <w:rPr>
      <w:rFonts w:eastAsia="Times New Roman"/>
      <w:b/>
      <w:bCs/>
      <w:bdr w:val="nil"/>
      <w:lang w:val="en-US" w:eastAsia="en-US"/>
    </w:rPr>
  </w:style>
  <w:style w:type="paragraph" w:styleId="ListParagraph">
    <w:name w:val="List Paragraph"/>
    <w:basedOn w:val="Normal"/>
    <w:qFormat/>
    <w:rsid w:val="00351630"/>
    <w:pPr>
      <w:ind w:left="720"/>
    </w:pPr>
  </w:style>
  <w:style w:type="character" w:styleId="FollowedHyperlink">
    <w:name w:val="FollowedHyperlink"/>
    <w:uiPriority w:val="99"/>
    <w:semiHidden/>
    <w:unhideWhenUsed/>
    <w:rsid w:val="00213F6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D7"/>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E24E60"/>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0"/>
    </w:pPr>
    <w:rPr>
      <w:rFonts w:ascii="Cambria" w:eastAsia="Times New Roman" w:hAnsi="Cambria"/>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Cambria" w:eastAsia="Times New Roman" w:hAnsi="Cambria"/>
      <w:b/>
      <w:sz w:val="20"/>
      <w:szCs w:val="20"/>
      <w:bdr w:val="none" w:sz="0" w:space="0" w:color="auto"/>
      <w:lang w:val="es-ES_tradnl"/>
    </w:rPr>
  </w:style>
  <w:style w:type="paragraph" w:styleId="Heading3">
    <w:name w:val="heading 3"/>
    <w:basedOn w:val="Normal"/>
    <w:next w:val="Normal"/>
    <w:link w:val="Heading3Char"/>
    <w:qFormat/>
    <w:rsid w:val="004B316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rsid w:val="007753D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rsid w:val="007753D7"/>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7753D7"/>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link w:val="MediumGrid1-Accent2Char"/>
    <w:qFormat/>
    <w:rsid w:val="007753D7"/>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E24E60"/>
    <w:rPr>
      <w:rFonts w:ascii="Cambria" w:eastAsia="Times New Roman" w:hAnsi="Cambria"/>
      <w:b/>
      <w:lang w:val="es-ES_tradn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customStyle="1" w:styleId="Heading3Char">
    <w:name w:val="Heading 3 Char"/>
    <w:link w:val="Heading3"/>
    <w:rsid w:val="004B316C"/>
    <w:rPr>
      <w:rFonts w:ascii="Cambria" w:eastAsia="Times New Roman" w:hAnsi="Cambria" w:cs="Times New Roman"/>
      <w:b/>
      <w:bCs/>
      <w:color w:val="4F81BD"/>
      <w:sz w:val="24"/>
      <w:szCs w:val="24"/>
      <w:lang w:val="en-US" w:eastAsia="en-US"/>
    </w:rPr>
  </w:style>
  <w:style w:type="character" w:customStyle="1" w:styleId="Heading2Char">
    <w:name w:val="Heading 2 Char"/>
    <w:link w:val="Heading2"/>
    <w:rsid w:val="00E24E60"/>
    <w:rPr>
      <w:rFonts w:ascii="Cambria" w:eastAsia="Times New Roman" w:hAnsi="Cambria"/>
      <w:b/>
      <w:bdr w:val="none" w:sz="0" w:space="0" w:color="auto"/>
      <w:lang w:val="es-ES_tradnl" w:eastAsia="en-US"/>
    </w:rPr>
  </w:style>
  <w:style w:type="character" w:customStyle="1" w:styleId="Heading4Char">
    <w:name w:val="Heading 4 Char"/>
    <w:link w:val="Heading4"/>
    <w:rsid w:val="004B316C"/>
    <w:rPr>
      <w:rFonts w:ascii="Arial" w:eastAsia="Times New Roman" w:hAnsi="Arial"/>
      <w:b/>
      <w:sz w:val="24"/>
      <w:bdr w:val="none" w:sz="0" w:space="0" w:color="auto"/>
      <w:lang w:val="en-US" w:eastAsia="en-US"/>
    </w:rPr>
  </w:style>
  <w:style w:type="character" w:customStyle="1" w:styleId="Heading5Char">
    <w:name w:val="Heading 5 Char"/>
    <w:link w:val="Heading5"/>
    <w:rsid w:val="004B316C"/>
    <w:rPr>
      <w:rFonts w:eastAsia="Times New Roman"/>
      <w:sz w:val="22"/>
      <w:bdr w:val="none" w:sz="0" w:space="0" w:color="auto"/>
      <w:lang w:val="en-US" w:eastAsia="en-US"/>
    </w:rPr>
  </w:style>
  <w:style w:type="character" w:customStyle="1" w:styleId="Heading6Char">
    <w:name w:val="Heading 6 Char"/>
    <w:link w:val="Heading6"/>
    <w:rsid w:val="004B316C"/>
    <w:rPr>
      <w:rFonts w:eastAsia="Times New Roman"/>
      <w:i/>
      <w:sz w:val="22"/>
      <w:bdr w:val="none" w:sz="0" w:space="0" w:color="auto"/>
      <w:lang w:val="en-US" w:eastAsia="en-US"/>
    </w:rPr>
  </w:style>
  <w:style w:type="character" w:customStyle="1" w:styleId="Heading7Char">
    <w:name w:val="Heading 7 Char"/>
    <w:link w:val="Heading7"/>
    <w:rsid w:val="004B316C"/>
    <w:rPr>
      <w:rFonts w:ascii="Arial" w:eastAsia="Times New Roman" w:hAnsi="Arial"/>
      <w:bdr w:val="none" w:sz="0" w:space="0" w:color="auto"/>
      <w:lang w:val="en-US" w:eastAsia="en-US"/>
    </w:rPr>
  </w:style>
  <w:style w:type="character" w:customStyle="1" w:styleId="Heading8Char">
    <w:name w:val="Heading 8 Char"/>
    <w:link w:val="Heading8"/>
    <w:rsid w:val="004B316C"/>
    <w:rPr>
      <w:rFonts w:ascii="Arial" w:eastAsia="Times New Roman" w:hAnsi="Arial"/>
      <w:i/>
      <w:bdr w:val="none" w:sz="0" w:space="0" w:color="auto"/>
      <w:lang w:val="en-US" w:eastAsia="en-US"/>
    </w:rPr>
  </w:style>
  <w:style w:type="character" w:customStyle="1" w:styleId="Heading9Char">
    <w:name w:val="Heading 9 Char"/>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link w:val="BodyTextIndent2"/>
    <w:rsid w:val="004B316C"/>
    <w:rPr>
      <w:rFonts w:eastAsia="Times New Roman"/>
      <w:bdr w:val="none" w:sz="0" w:space="0" w:color="auto"/>
      <w:lang w:val="en-US" w:eastAsia="en-US"/>
    </w:rPr>
  </w:style>
  <w:style w:type="paragraph" w:customStyle="1" w:styleId="Default">
    <w:name w:val="Default"/>
    <w:rsid w:val="004B316C"/>
    <w:pPr>
      <w:autoSpaceDE w:val="0"/>
      <w:autoSpaceDN w:val="0"/>
      <w:adjustRightInd w:val="0"/>
    </w:pPr>
    <w:rPr>
      <w:rFonts w:eastAsia="Times New Roman"/>
      <w:color w:val="000000"/>
      <w:sz w:val="24"/>
      <w:szCs w:val="24"/>
    </w:rPr>
  </w:style>
  <w:style w:type="character" w:customStyle="1" w:styleId="ju-005fpara--char">
    <w:name w:val="ju-005fpara--char"/>
    <w:basedOn w:val="DefaultParagraphFont"/>
    <w:rsid w:val="004B316C"/>
  </w:style>
  <w:style w:type="paragraph" w:customStyle="1" w:styleId="Sinespaciado">
    <w:name w:val="Sin espaciado"/>
    <w:qFormat/>
    <w:rsid w:val="004B316C"/>
    <w:rPr>
      <w:rFonts w:ascii="Calibri" w:eastAsia="Calibri" w:hAnsi="Calibri"/>
      <w:sz w:val="22"/>
      <w:szCs w:val="22"/>
      <w:lang w:val="es-E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iPriority w:val="99"/>
    <w:semiHidden/>
    <w:unhideWhenUsed/>
    <w:rsid w:val="005F74FD"/>
    <w:pPr>
      <w:spacing w:after="120" w:line="480" w:lineRule="auto"/>
    </w:pPr>
  </w:style>
  <w:style w:type="character" w:customStyle="1" w:styleId="BodyText2Char">
    <w:name w:val="Body Text 2 Char"/>
    <w:link w:val="BodyText2"/>
    <w:uiPriority w:val="99"/>
    <w:semiHidden/>
    <w:rsid w:val="005F74FD"/>
    <w:rPr>
      <w:sz w:val="24"/>
      <w:szCs w:val="24"/>
      <w:lang w:val="en-US" w:eastAsia="en-US"/>
    </w:rPr>
  </w:style>
  <w:style w:type="paragraph" w:styleId="PlainText">
    <w:name w:val="Plain Text"/>
    <w:basedOn w:val="Normal"/>
    <w:link w:val="PlainTextChar"/>
    <w:unhideWhenUsed/>
    <w:rsid w:val="006D5ED9"/>
    <w:rPr>
      <w:rFonts w:ascii="Consolas" w:hAnsi="Consolas" w:cs="Consolas"/>
      <w:sz w:val="21"/>
      <w:szCs w:val="21"/>
    </w:rPr>
  </w:style>
  <w:style w:type="character" w:customStyle="1" w:styleId="PlainTextChar">
    <w:name w:val="Plain Text Char"/>
    <w:link w:val="PlainText"/>
    <w:uiPriority w:val="99"/>
    <w:semiHidden/>
    <w:rsid w:val="006D5ED9"/>
    <w:rPr>
      <w:rFonts w:ascii="Consolas" w:hAnsi="Consolas" w:cs="Consolas"/>
      <w:sz w:val="21"/>
      <w:szCs w:val="21"/>
      <w:lang w:val="en-US" w:eastAsia="en-US"/>
    </w:rPr>
  </w:style>
  <w:style w:type="character" w:customStyle="1" w:styleId="MediumGrid1-Accent2Char">
    <w:name w:val="Medium Grid 1 - Accent 2 Char"/>
    <w:link w:val="MediumGrid1-Accent21"/>
    <w:locked/>
    <w:rsid w:val="00AA09B7"/>
    <w:rPr>
      <w:rFonts w:ascii="Cambria" w:eastAsia="Cambria" w:hAnsi="Cambria" w:cs="Cambria"/>
      <w:color w:val="000000"/>
      <w:sz w:val="24"/>
      <w:szCs w:val="24"/>
      <w:u w:color="000000"/>
      <w:lang w:val="en-US"/>
    </w:rPr>
  </w:style>
  <w:style w:type="character" w:customStyle="1" w:styleId="LightGrid-Accent11">
    <w:name w:val="Light Grid - Accent 11"/>
    <w:uiPriority w:val="99"/>
    <w:semiHidden/>
    <w:rsid w:val="00273D36"/>
    <w:rPr>
      <w:color w:val="808080"/>
    </w:rPr>
  </w:style>
  <w:style w:type="paragraph" w:styleId="CommentSubject">
    <w:name w:val="annotation subject"/>
    <w:basedOn w:val="CommentText"/>
    <w:next w:val="CommentText"/>
    <w:link w:val="CommentSubjectChar"/>
    <w:uiPriority w:val="99"/>
    <w:semiHidden/>
    <w:unhideWhenUsed/>
    <w:rsid w:val="00B46722"/>
    <w:pPr>
      <w:pBdr>
        <w:top w:val="nil"/>
        <w:left w:val="nil"/>
        <w:bottom w:val="nil"/>
        <w:right w:val="nil"/>
        <w:between w:val="nil"/>
        <w:bar w:val="nil"/>
      </w:pBdr>
    </w:pPr>
    <w:rPr>
      <w:rFonts w:eastAsia="Arial Unicode MS"/>
      <w:b/>
      <w:bCs/>
      <w:bdr w:val="nil"/>
    </w:rPr>
  </w:style>
  <w:style w:type="character" w:customStyle="1" w:styleId="CommentSubjectChar">
    <w:name w:val="Comment Subject Char"/>
    <w:link w:val="CommentSubject"/>
    <w:uiPriority w:val="99"/>
    <w:semiHidden/>
    <w:rsid w:val="00B46722"/>
    <w:rPr>
      <w:rFonts w:eastAsia="Times New Roman"/>
      <w:b/>
      <w:bCs/>
      <w:bdr w:val="nil"/>
      <w:lang w:val="en-US" w:eastAsia="en-US"/>
    </w:rPr>
  </w:style>
  <w:style w:type="paragraph" w:styleId="ListParagraph">
    <w:name w:val="List Paragraph"/>
    <w:basedOn w:val="Normal"/>
    <w:qFormat/>
    <w:rsid w:val="00351630"/>
    <w:pPr>
      <w:ind w:left="720"/>
    </w:pPr>
  </w:style>
  <w:style w:type="character" w:styleId="FollowedHyperlink">
    <w:name w:val="FollowedHyperlink"/>
    <w:uiPriority w:val="99"/>
    <w:semiHidden/>
    <w:unhideWhenUsed/>
    <w:rsid w:val="00213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2418">
      <w:bodyDiv w:val="1"/>
      <w:marLeft w:val="0"/>
      <w:marRight w:val="0"/>
      <w:marTop w:val="0"/>
      <w:marBottom w:val="0"/>
      <w:divBdr>
        <w:top w:val="none" w:sz="0" w:space="0" w:color="auto"/>
        <w:left w:val="none" w:sz="0" w:space="0" w:color="auto"/>
        <w:bottom w:val="none" w:sz="0" w:space="0" w:color="auto"/>
        <w:right w:val="none" w:sz="0" w:space="0" w:color="auto"/>
      </w:divBdr>
      <w:divsChild>
        <w:div w:id="62208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847871439">
      <w:bodyDiv w:val="1"/>
      <w:marLeft w:val="0"/>
      <w:marRight w:val="0"/>
      <w:marTop w:val="0"/>
      <w:marBottom w:val="0"/>
      <w:divBdr>
        <w:top w:val="none" w:sz="0" w:space="0" w:color="auto"/>
        <w:left w:val="none" w:sz="0" w:space="0" w:color="auto"/>
        <w:bottom w:val="none" w:sz="0" w:space="0" w:color="auto"/>
        <w:right w:val="none" w:sz="0" w:space="0" w:color="auto"/>
      </w:divBdr>
      <w:divsChild>
        <w:div w:id="1261991976">
          <w:marLeft w:val="0"/>
          <w:marRight w:val="0"/>
          <w:marTop w:val="0"/>
          <w:marBottom w:val="0"/>
          <w:divBdr>
            <w:top w:val="none" w:sz="0" w:space="0" w:color="auto"/>
            <w:left w:val="none" w:sz="0" w:space="0" w:color="auto"/>
            <w:bottom w:val="none" w:sz="0" w:space="0" w:color="auto"/>
            <w:right w:val="none" w:sz="0" w:space="0" w:color="auto"/>
          </w:divBdr>
          <w:divsChild>
            <w:div w:id="353191846">
              <w:marLeft w:val="0"/>
              <w:marRight w:val="0"/>
              <w:marTop w:val="0"/>
              <w:marBottom w:val="0"/>
              <w:divBdr>
                <w:top w:val="none" w:sz="0" w:space="0" w:color="auto"/>
                <w:left w:val="none" w:sz="0" w:space="0" w:color="auto"/>
                <w:bottom w:val="none" w:sz="0" w:space="0" w:color="auto"/>
                <w:right w:val="none" w:sz="0" w:space="0" w:color="auto"/>
              </w:divBdr>
              <w:divsChild>
                <w:div w:id="1620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4122">
      <w:bodyDiv w:val="1"/>
      <w:marLeft w:val="0"/>
      <w:marRight w:val="0"/>
      <w:marTop w:val="0"/>
      <w:marBottom w:val="0"/>
      <w:divBdr>
        <w:top w:val="none" w:sz="0" w:space="0" w:color="auto"/>
        <w:left w:val="none" w:sz="0" w:space="0" w:color="auto"/>
        <w:bottom w:val="none" w:sz="0" w:space="0" w:color="auto"/>
        <w:right w:val="none" w:sz="0" w:space="0" w:color="auto"/>
      </w:divBdr>
      <w:divsChild>
        <w:div w:id="160492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55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48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737818258">
      <w:bodyDiv w:val="1"/>
      <w:marLeft w:val="0"/>
      <w:marRight w:val="0"/>
      <w:marTop w:val="0"/>
      <w:marBottom w:val="0"/>
      <w:divBdr>
        <w:top w:val="none" w:sz="0" w:space="0" w:color="auto"/>
        <w:left w:val="none" w:sz="0" w:space="0" w:color="auto"/>
        <w:bottom w:val="none" w:sz="0" w:space="0" w:color="auto"/>
        <w:right w:val="none" w:sz="0" w:space="0" w:color="auto"/>
      </w:divBdr>
      <w:divsChild>
        <w:div w:id="176120755">
          <w:marLeft w:val="0"/>
          <w:marRight w:val="0"/>
          <w:marTop w:val="0"/>
          <w:marBottom w:val="0"/>
          <w:divBdr>
            <w:top w:val="none" w:sz="0" w:space="0" w:color="auto"/>
            <w:left w:val="none" w:sz="0" w:space="0" w:color="auto"/>
            <w:bottom w:val="none" w:sz="0" w:space="0" w:color="auto"/>
            <w:right w:val="none" w:sz="0" w:space="0" w:color="auto"/>
          </w:divBdr>
          <w:divsChild>
            <w:div w:id="1578898098">
              <w:marLeft w:val="0"/>
              <w:marRight w:val="0"/>
              <w:marTop w:val="0"/>
              <w:marBottom w:val="0"/>
              <w:divBdr>
                <w:top w:val="none" w:sz="0" w:space="0" w:color="auto"/>
                <w:left w:val="none" w:sz="0" w:space="0" w:color="auto"/>
                <w:bottom w:val="none" w:sz="0" w:space="0" w:color="auto"/>
                <w:right w:val="none" w:sz="0" w:space="0" w:color="auto"/>
              </w:divBdr>
              <w:divsChild>
                <w:div w:id="17945889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universojus.com/codigo-civil-comercial-comentado/articulo-2561" TargetMode="External"/><Relationship Id="rId2" Type="http://schemas.openxmlformats.org/officeDocument/2006/relationships/hyperlink" Target="http://www.indh.cl/wp-content/uploads/2011/10/Valech-1.pdf" TargetMode="External"/><Relationship Id="rId1" Type="http://schemas.openxmlformats.org/officeDocument/2006/relationships/hyperlink" Target="http://www.oas.org/es/cidh/audiencias/Hearings.aspx?Lang=es&amp;Session=12&amp;page=2" TargetMode="External"/><Relationship Id="rId4" Type="http://schemas.openxmlformats.org/officeDocument/2006/relationships/hyperlink" Target="http://www.i-juridica.com/2015/05/21/suprema-23583-2014-imprescriptibilidad-de-la-acci&#243;n-reparatoria-en-contra-del-fisco-por-violaci&#243;n-a-derechos-human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856B-67E7-4EBA-8F56-78A8F177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13713</Words>
  <Characters>78167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91697</CharactersWithSpaces>
  <SharedDoc>false</SharedDoc>
  <HLinks>
    <vt:vector size="306" baseType="variant">
      <vt:variant>
        <vt:i4>1703994</vt:i4>
      </vt:variant>
      <vt:variant>
        <vt:i4>128</vt:i4>
      </vt:variant>
      <vt:variant>
        <vt:i4>0</vt:i4>
      </vt:variant>
      <vt:variant>
        <vt:i4>5</vt:i4>
      </vt:variant>
      <vt:variant>
        <vt:lpwstr/>
      </vt:variant>
      <vt:variant>
        <vt:lpwstr>_Toc413397481</vt:lpwstr>
      </vt:variant>
      <vt:variant>
        <vt:i4>1703994</vt:i4>
      </vt:variant>
      <vt:variant>
        <vt:i4>122</vt:i4>
      </vt:variant>
      <vt:variant>
        <vt:i4>0</vt:i4>
      </vt:variant>
      <vt:variant>
        <vt:i4>5</vt:i4>
      </vt:variant>
      <vt:variant>
        <vt:lpwstr/>
      </vt:variant>
      <vt:variant>
        <vt:lpwstr>_Toc413397480</vt:lpwstr>
      </vt:variant>
      <vt:variant>
        <vt:i4>1376314</vt:i4>
      </vt:variant>
      <vt:variant>
        <vt:i4>116</vt:i4>
      </vt:variant>
      <vt:variant>
        <vt:i4>0</vt:i4>
      </vt:variant>
      <vt:variant>
        <vt:i4>5</vt:i4>
      </vt:variant>
      <vt:variant>
        <vt:lpwstr/>
      </vt:variant>
      <vt:variant>
        <vt:lpwstr>_Toc413397479</vt:lpwstr>
      </vt:variant>
      <vt:variant>
        <vt:i4>1376314</vt:i4>
      </vt:variant>
      <vt:variant>
        <vt:i4>110</vt:i4>
      </vt:variant>
      <vt:variant>
        <vt:i4>0</vt:i4>
      </vt:variant>
      <vt:variant>
        <vt:i4>5</vt:i4>
      </vt:variant>
      <vt:variant>
        <vt:lpwstr/>
      </vt:variant>
      <vt:variant>
        <vt:lpwstr>_Toc413397478</vt:lpwstr>
      </vt:variant>
      <vt:variant>
        <vt:i4>1376314</vt:i4>
      </vt:variant>
      <vt:variant>
        <vt:i4>104</vt:i4>
      </vt:variant>
      <vt:variant>
        <vt:i4>0</vt:i4>
      </vt:variant>
      <vt:variant>
        <vt:i4>5</vt:i4>
      </vt:variant>
      <vt:variant>
        <vt:lpwstr/>
      </vt:variant>
      <vt:variant>
        <vt:lpwstr>_Toc413397477</vt:lpwstr>
      </vt:variant>
      <vt:variant>
        <vt:i4>1376314</vt:i4>
      </vt:variant>
      <vt:variant>
        <vt:i4>98</vt:i4>
      </vt:variant>
      <vt:variant>
        <vt:i4>0</vt:i4>
      </vt:variant>
      <vt:variant>
        <vt:i4>5</vt:i4>
      </vt:variant>
      <vt:variant>
        <vt:lpwstr/>
      </vt:variant>
      <vt:variant>
        <vt:lpwstr>_Toc413397476</vt:lpwstr>
      </vt:variant>
      <vt:variant>
        <vt:i4>1376314</vt:i4>
      </vt:variant>
      <vt:variant>
        <vt:i4>92</vt:i4>
      </vt:variant>
      <vt:variant>
        <vt:i4>0</vt:i4>
      </vt:variant>
      <vt:variant>
        <vt:i4>5</vt:i4>
      </vt:variant>
      <vt:variant>
        <vt:lpwstr/>
      </vt:variant>
      <vt:variant>
        <vt:lpwstr>_Toc413397475</vt:lpwstr>
      </vt:variant>
      <vt:variant>
        <vt:i4>1376314</vt:i4>
      </vt:variant>
      <vt:variant>
        <vt:i4>86</vt:i4>
      </vt:variant>
      <vt:variant>
        <vt:i4>0</vt:i4>
      </vt:variant>
      <vt:variant>
        <vt:i4>5</vt:i4>
      </vt:variant>
      <vt:variant>
        <vt:lpwstr/>
      </vt:variant>
      <vt:variant>
        <vt:lpwstr>_Toc413397474</vt:lpwstr>
      </vt:variant>
      <vt:variant>
        <vt:i4>1376314</vt:i4>
      </vt:variant>
      <vt:variant>
        <vt:i4>80</vt:i4>
      </vt:variant>
      <vt:variant>
        <vt:i4>0</vt:i4>
      </vt:variant>
      <vt:variant>
        <vt:i4>5</vt:i4>
      </vt:variant>
      <vt:variant>
        <vt:lpwstr/>
      </vt:variant>
      <vt:variant>
        <vt:lpwstr>_Toc413397473</vt:lpwstr>
      </vt:variant>
      <vt:variant>
        <vt:i4>1376314</vt:i4>
      </vt:variant>
      <vt:variant>
        <vt:i4>74</vt:i4>
      </vt:variant>
      <vt:variant>
        <vt:i4>0</vt:i4>
      </vt:variant>
      <vt:variant>
        <vt:i4>5</vt:i4>
      </vt:variant>
      <vt:variant>
        <vt:lpwstr/>
      </vt:variant>
      <vt:variant>
        <vt:lpwstr>_Toc413397472</vt:lpwstr>
      </vt:variant>
      <vt:variant>
        <vt:i4>1376314</vt:i4>
      </vt:variant>
      <vt:variant>
        <vt:i4>68</vt:i4>
      </vt:variant>
      <vt:variant>
        <vt:i4>0</vt:i4>
      </vt:variant>
      <vt:variant>
        <vt:i4>5</vt:i4>
      </vt:variant>
      <vt:variant>
        <vt:lpwstr/>
      </vt:variant>
      <vt:variant>
        <vt:lpwstr>_Toc413397471</vt:lpwstr>
      </vt:variant>
      <vt:variant>
        <vt:i4>1376314</vt:i4>
      </vt:variant>
      <vt:variant>
        <vt:i4>62</vt:i4>
      </vt:variant>
      <vt:variant>
        <vt:i4>0</vt:i4>
      </vt:variant>
      <vt:variant>
        <vt:i4>5</vt:i4>
      </vt:variant>
      <vt:variant>
        <vt:lpwstr/>
      </vt:variant>
      <vt:variant>
        <vt:lpwstr>_Toc413397470</vt:lpwstr>
      </vt:variant>
      <vt:variant>
        <vt:i4>1310778</vt:i4>
      </vt:variant>
      <vt:variant>
        <vt:i4>56</vt:i4>
      </vt:variant>
      <vt:variant>
        <vt:i4>0</vt:i4>
      </vt:variant>
      <vt:variant>
        <vt:i4>5</vt:i4>
      </vt:variant>
      <vt:variant>
        <vt:lpwstr/>
      </vt:variant>
      <vt:variant>
        <vt:lpwstr>_Toc413397469</vt:lpwstr>
      </vt:variant>
      <vt:variant>
        <vt:i4>1310778</vt:i4>
      </vt:variant>
      <vt:variant>
        <vt:i4>50</vt:i4>
      </vt:variant>
      <vt:variant>
        <vt:i4>0</vt:i4>
      </vt:variant>
      <vt:variant>
        <vt:i4>5</vt:i4>
      </vt:variant>
      <vt:variant>
        <vt:lpwstr/>
      </vt:variant>
      <vt:variant>
        <vt:lpwstr>_Toc413397468</vt:lpwstr>
      </vt:variant>
      <vt:variant>
        <vt:i4>1310778</vt:i4>
      </vt:variant>
      <vt:variant>
        <vt:i4>44</vt:i4>
      </vt:variant>
      <vt:variant>
        <vt:i4>0</vt:i4>
      </vt:variant>
      <vt:variant>
        <vt:i4>5</vt:i4>
      </vt:variant>
      <vt:variant>
        <vt:lpwstr/>
      </vt:variant>
      <vt:variant>
        <vt:lpwstr>_Toc413397467</vt:lpwstr>
      </vt:variant>
      <vt:variant>
        <vt:i4>1310778</vt:i4>
      </vt:variant>
      <vt:variant>
        <vt:i4>38</vt:i4>
      </vt:variant>
      <vt:variant>
        <vt:i4>0</vt:i4>
      </vt:variant>
      <vt:variant>
        <vt:i4>5</vt:i4>
      </vt:variant>
      <vt:variant>
        <vt:lpwstr/>
      </vt:variant>
      <vt:variant>
        <vt:lpwstr>_Toc413397466</vt:lpwstr>
      </vt:variant>
      <vt:variant>
        <vt:i4>1310778</vt:i4>
      </vt:variant>
      <vt:variant>
        <vt:i4>32</vt:i4>
      </vt:variant>
      <vt:variant>
        <vt:i4>0</vt:i4>
      </vt:variant>
      <vt:variant>
        <vt:i4>5</vt:i4>
      </vt:variant>
      <vt:variant>
        <vt:lpwstr/>
      </vt:variant>
      <vt:variant>
        <vt:lpwstr>_Toc413397465</vt:lpwstr>
      </vt:variant>
      <vt:variant>
        <vt:i4>1310778</vt:i4>
      </vt:variant>
      <vt:variant>
        <vt:i4>26</vt:i4>
      </vt:variant>
      <vt:variant>
        <vt:i4>0</vt:i4>
      </vt:variant>
      <vt:variant>
        <vt:i4>5</vt:i4>
      </vt:variant>
      <vt:variant>
        <vt:lpwstr/>
      </vt:variant>
      <vt:variant>
        <vt:lpwstr>_Toc413397464</vt:lpwstr>
      </vt:variant>
      <vt:variant>
        <vt:i4>1310778</vt:i4>
      </vt:variant>
      <vt:variant>
        <vt:i4>20</vt:i4>
      </vt:variant>
      <vt:variant>
        <vt:i4>0</vt:i4>
      </vt:variant>
      <vt:variant>
        <vt:i4>5</vt:i4>
      </vt:variant>
      <vt:variant>
        <vt:lpwstr/>
      </vt:variant>
      <vt:variant>
        <vt:lpwstr>_Toc413397463</vt:lpwstr>
      </vt:variant>
      <vt:variant>
        <vt:i4>1310778</vt:i4>
      </vt:variant>
      <vt:variant>
        <vt:i4>14</vt:i4>
      </vt:variant>
      <vt:variant>
        <vt:i4>0</vt:i4>
      </vt:variant>
      <vt:variant>
        <vt:i4>5</vt:i4>
      </vt:variant>
      <vt:variant>
        <vt:lpwstr/>
      </vt:variant>
      <vt:variant>
        <vt:lpwstr>_Toc413397462</vt:lpwstr>
      </vt:variant>
      <vt:variant>
        <vt:i4>1310778</vt:i4>
      </vt:variant>
      <vt:variant>
        <vt:i4>8</vt:i4>
      </vt:variant>
      <vt:variant>
        <vt:i4>0</vt:i4>
      </vt:variant>
      <vt:variant>
        <vt:i4>5</vt:i4>
      </vt:variant>
      <vt:variant>
        <vt:lpwstr/>
      </vt:variant>
      <vt:variant>
        <vt:lpwstr>_Toc413397461</vt:lpwstr>
      </vt:variant>
      <vt:variant>
        <vt:i4>1310778</vt:i4>
      </vt:variant>
      <vt:variant>
        <vt:i4>2</vt:i4>
      </vt:variant>
      <vt:variant>
        <vt:i4>0</vt:i4>
      </vt:variant>
      <vt:variant>
        <vt:i4>5</vt:i4>
      </vt:variant>
      <vt:variant>
        <vt:lpwstr/>
      </vt:variant>
      <vt:variant>
        <vt:lpwstr>_Toc413397460</vt:lpwstr>
      </vt:variant>
      <vt:variant>
        <vt:i4>2490423</vt:i4>
      </vt:variant>
      <vt:variant>
        <vt:i4>84</vt:i4>
      </vt:variant>
      <vt:variant>
        <vt:i4>0</vt:i4>
      </vt:variant>
      <vt:variant>
        <vt:i4>5</vt:i4>
      </vt:variant>
      <vt:variant>
        <vt:lpwstr>http://www.i-juridica.com/2015/05/21/suprema-23583-2014-imprescriptibilidad-de-la-acción-reparatoria-en-contra-del-fisco-por-violación-a-derechos-humanos/</vt:lpwstr>
      </vt:variant>
      <vt:variant>
        <vt:lpwstr/>
      </vt:variant>
      <vt:variant>
        <vt:i4>4390930</vt:i4>
      </vt:variant>
      <vt:variant>
        <vt:i4>81</vt:i4>
      </vt:variant>
      <vt:variant>
        <vt:i4>0</vt:i4>
      </vt:variant>
      <vt:variant>
        <vt:i4>5</vt:i4>
      </vt:variant>
      <vt:variant>
        <vt:lpwstr>http://universojus.com/codigo-civil-comercial-comentado/articulo-2561</vt:lpwstr>
      </vt:variant>
      <vt:variant>
        <vt:lpwstr/>
      </vt:variant>
      <vt:variant>
        <vt:i4>3866723</vt:i4>
      </vt:variant>
      <vt:variant>
        <vt:i4>78</vt:i4>
      </vt:variant>
      <vt:variant>
        <vt:i4>0</vt:i4>
      </vt:variant>
      <vt:variant>
        <vt:i4>5</vt:i4>
      </vt:variant>
      <vt:variant>
        <vt:lpwstr>http://www.cidh.org/pdf files/Lineamientos principales para una pol%C3%ADtica integral de reparaciones.pdf</vt:lpwstr>
      </vt:variant>
      <vt:variant>
        <vt:lpwstr/>
      </vt:variant>
      <vt:variant>
        <vt:i4>262200</vt:i4>
      </vt:variant>
      <vt:variant>
        <vt:i4>75</vt:i4>
      </vt:variant>
      <vt:variant>
        <vt:i4>0</vt:i4>
      </vt:variant>
      <vt:variant>
        <vt:i4>5</vt:i4>
      </vt:variant>
      <vt:variant>
        <vt:lpwstr>http://www.ddhh.gov.cl/ddhh_rettig.html</vt:lpwstr>
      </vt:variant>
      <vt:variant>
        <vt:lpwstr/>
      </vt:variant>
      <vt:variant>
        <vt:i4>262200</vt:i4>
      </vt:variant>
      <vt:variant>
        <vt:i4>72</vt:i4>
      </vt:variant>
      <vt:variant>
        <vt:i4>0</vt:i4>
      </vt:variant>
      <vt:variant>
        <vt:i4>5</vt:i4>
      </vt:variant>
      <vt:variant>
        <vt:lpwstr>http://www.ddhh.gov.cl/ddhh_rettig.html</vt:lpwstr>
      </vt:variant>
      <vt:variant>
        <vt:lpwstr/>
      </vt:variant>
      <vt:variant>
        <vt:i4>262200</vt:i4>
      </vt:variant>
      <vt:variant>
        <vt:i4>69</vt:i4>
      </vt:variant>
      <vt:variant>
        <vt:i4>0</vt:i4>
      </vt:variant>
      <vt:variant>
        <vt:i4>5</vt:i4>
      </vt:variant>
      <vt:variant>
        <vt:lpwstr>http://www.ddhh.gov.cl/ddhh_rettig.html</vt:lpwstr>
      </vt:variant>
      <vt:variant>
        <vt:lpwstr/>
      </vt:variant>
      <vt:variant>
        <vt:i4>262200</vt:i4>
      </vt:variant>
      <vt:variant>
        <vt:i4>66</vt:i4>
      </vt:variant>
      <vt:variant>
        <vt:i4>0</vt:i4>
      </vt:variant>
      <vt:variant>
        <vt:i4>5</vt:i4>
      </vt:variant>
      <vt:variant>
        <vt:lpwstr>http://www.ddhh.gov.cl/ddhh_rettig.html</vt:lpwstr>
      </vt:variant>
      <vt:variant>
        <vt:lpwstr/>
      </vt:variant>
      <vt:variant>
        <vt:i4>262200</vt:i4>
      </vt:variant>
      <vt:variant>
        <vt:i4>63</vt:i4>
      </vt:variant>
      <vt:variant>
        <vt:i4>0</vt:i4>
      </vt:variant>
      <vt:variant>
        <vt:i4>5</vt:i4>
      </vt:variant>
      <vt:variant>
        <vt:lpwstr>http://www.ddhh.gov.cl/ddhh_rettig.html</vt:lpwstr>
      </vt:variant>
      <vt:variant>
        <vt:lpwstr/>
      </vt:variant>
      <vt:variant>
        <vt:i4>262200</vt:i4>
      </vt:variant>
      <vt:variant>
        <vt:i4>60</vt:i4>
      </vt:variant>
      <vt:variant>
        <vt:i4>0</vt:i4>
      </vt:variant>
      <vt:variant>
        <vt:i4>5</vt:i4>
      </vt:variant>
      <vt:variant>
        <vt:lpwstr>http://www.ddhh.gov.cl/ddhh_rettig.html</vt:lpwstr>
      </vt:variant>
      <vt:variant>
        <vt:lpwstr/>
      </vt:variant>
      <vt:variant>
        <vt:i4>262200</vt:i4>
      </vt:variant>
      <vt:variant>
        <vt:i4>57</vt:i4>
      </vt:variant>
      <vt:variant>
        <vt:i4>0</vt:i4>
      </vt:variant>
      <vt:variant>
        <vt:i4>5</vt:i4>
      </vt:variant>
      <vt:variant>
        <vt:lpwstr>http://www.ddhh.gov.cl/ddhh_rettig.html</vt:lpwstr>
      </vt:variant>
      <vt:variant>
        <vt:lpwstr/>
      </vt:variant>
      <vt:variant>
        <vt:i4>262200</vt:i4>
      </vt:variant>
      <vt:variant>
        <vt:i4>54</vt:i4>
      </vt:variant>
      <vt:variant>
        <vt:i4>0</vt:i4>
      </vt:variant>
      <vt:variant>
        <vt:i4>5</vt:i4>
      </vt:variant>
      <vt:variant>
        <vt:lpwstr>http://www.ddhh.gov.cl/ddhh_rettig.html</vt:lpwstr>
      </vt:variant>
      <vt:variant>
        <vt:lpwstr/>
      </vt:variant>
      <vt:variant>
        <vt:i4>262200</vt:i4>
      </vt:variant>
      <vt:variant>
        <vt:i4>51</vt:i4>
      </vt:variant>
      <vt:variant>
        <vt:i4>0</vt:i4>
      </vt:variant>
      <vt:variant>
        <vt:i4>5</vt:i4>
      </vt:variant>
      <vt:variant>
        <vt:lpwstr>http://www.ddhh.gov.cl/ddhh_rettig.html</vt:lpwstr>
      </vt:variant>
      <vt:variant>
        <vt:lpwstr/>
      </vt:variant>
      <vt:variant>
        <vt:i4>262200</vt:i4>
      </vt:variant>
      <vt:variant>
        <vt:i4>48</vt:i4>
      </vt:variant>
      <vt:variant>
        <vt:i4>0</vt:i4>
      </vt:variant>
      <vt:variant>
        <vt:i4>5</vt:i4>
      </vt:variant>
      <vt:variant>
        <vt:lpwstr>http://www.ddhh.gov.cl/ddhh_rettig.html</vt:lpwstr>
      </vt:variant>
      <vt:variant>
        <vt:lpwstr/>
      </vt:variant>
      <vt:variant>
        <vt:i4>262200</vt:i4>
      </vt:variant>
      <vt:variant>
        <vt:i4>45</vt:i4>
      </vt:variant>
      <vt:variant>
        <vt:i4>0</vt:i4>
      </vt:variant>
      <vt:variant>
        <vt:i4>5</vt:i4>
      </vt:variant>
      <vt:variant>
        <vt:lpwstr>http://www.ddhh.gov.cl/ddhh_rettig.html</vt:lpwstr>
      </vt:variant>
      <vt:variant>
        <vt:lpwstr/>
      </vt:variant>
      <vt:variant>
        <vt:i4>262200</vt:i4>
      </vt:variant>
      <vt:variant>
        <vt:i4>42</vt:i4>
      </vt:variant>
      <vt:variant>
        <vt:i4>0</vt:i4>
      </vt:variant>
      <vt:variant>
        <vt:i4>5</vt:i4>
      </vt:variant>
      <vt:variant>
        <vt:lpwstr>http://www.ddhh.gov.cl/ddhh_rettig.html</vt:lpwstr>
      </vt:variant>
      <vt:variant>
        <vt:lpwstr/>
      </vt:variant>
      <vt:variant>
        <vt:i4>262200</vt:i4>
      </vt:variant>
      <vt:variant>
        <vt:i4>39</vt:i4>
      </vt:variant>
      <vt:variant>
        <vt:i4>0</vt:i4>
      </vt:variant>
      <vt:variant>
        <vt:i4>5</vt:i4>
      </vt:variant>
      <vt:variant>
        <vt:lpwstr>http://www.ddhh.gov.cl/ddhh_rettig.html</vt:lpwstr>
      </vt:variant>
      <vt:variant>
        <vt:lpwstr/>
      </vt:variant>
      <vt:variant>
        <vt:i4>262200</vt:i4>
      </vt:variant>
      <vt:variant>
        <vt:i4>36</vt:i4>
      </vt:variant>
      <vt:variant>
        <vt:i4>0</vt:i4>
      </vt:variant>
      <vt:variant>
        <vt:i4>5</vt:i4>
      </vt:variant>
      <vt:variant>
        <vt:lpwstr>http://www.ddhh.gov.cl/ddhh_rettig.html</vt:lpwstr>
      </vt:variant>
      <vt:variant>
        <vt:lpwstr/>
      </vt:variant>
      <vt:variant>
        <vt:i4>262200</vt:i4>
      </vt:variant>
      <vt:variant>
        <vt:i4>33</vt:i4>
      </vt:variant>
      <vt:variant>
        <vt:i4>0</vt:i4>
      </vt:variant>
      <vt:variant>
        <vt:i4>5</vt:i4>
      </vt:variant>
      <vt:variant>
        <vt:lpwstr>http://www.ddhh.gov.cl/ddhh_rettig.html</vt:lpwstr>
      </vt:variant>
      <vt:variant>
        <vt:lpwstr/>
      </vt:variant>
      <vt:variant>
        <vt:i4>262200</vt:i4>
      </vt:variant>
      <vt:variant>
        <vt:i4>30</vt:i4>
      </vt:variant>
      <vt:variant>
        <vt:i4>0</vt:i4>
      </vt:variant>
      <vt:variant>
        <vt:i4>5</vt:i4>
      </vt:variant>
      <vt:variant>
        <vt:lpwstr>http://www.ddhh.gov.cl/ddhh_rettig.html</vt:lpwstr>
      </vt:variant>
      <vt:variant>
        <vt:lpwstr/>
      </vt:variant>
      <vt:variant>
        <vt:i4>262200</vt:i4>
      </vt:variant>
      <vt:variant>
        <vt:i4>27</vt:i4>
      </vt:variant>
      <vt:variant>
        <vt:i4>0</vt:i4>
      </vt:variant>
      <vt:variant>
        <vt:i4>5</vt:i4>
      </vt:variant>
      <vt:variant>
        <vt:lpwstr>http://www.ddhh.gov.cl/ddhh_rettig.html</vt:lpwstr>
      </vt:variant>
      <vt:variant>
        <vt:lpwstr/>
      </vt:variant>
      <vt:variant>
        <vt:i4>262200</vt:i4>
      </vt:variant>
      <vt:variant>
        <vt:i4>24</vt:i4>
      </vt:variant>
      <vt:variant>
        <vt:i4>0</vt:i4>
      </vt:variant>
      <vt:variant>
        <vt:i4>5</vt:i4>
      </vt:variant>
      <vt:variant>
        <vt:lpwstr>http://www.ddhh.gov.cl/ddhh_rettig.html</vt:lpwstr>
      </vt:variant>
      <vt:variant>
        <vt:lpwstr/>
      </vt:variant>
      <vt:variant>
        <vt:i4>262200</vt:i4>
      </vt:variant>
      <vt:variant>
        <vt:i4>21</vt:i4>
      </vt:variant>
      <vt:variant>
        <vt:i4>0</vt:i4>
      </vt:variant>
      <vt:variant>
        <vt:i4>5</vt:i4>
      </vt:variant>
      <vt:variant>
        <vt:lpwstr>http://www.ddhh.gov.cl/ddhh_rettig.html</vt:lpwstr>
      </vt:variant>
      <vt:variant>
        <vt:lpwstr/>
      </vt:variant>
      <vt:variant>
        <vt:i4>262200</vt:i4>
      </vt:variant>
      <vt:variant>
        <vt:i4>18</vt:i4>
      </vt:variant>
      <vt:variant>
        <vt:i4>0</vt:i4>
      </vt:variant>
      <vt:variant>
        <vt:i4>5</vt:i4>
      </vt:variant>
      <vt:variant>
        <vt:lpwstr>http://www.ddhh.gov.cl/ddhh_rettig.html</vt:lpwstr>
      </vt:variant>
      <vt:variant>
        <vt:lpwstr/>
      </vt:variant>
      <vt:variant>
        <vt:i4>262200</vt:i4>
      </vt:variant>
      <vt:variant>
        <vt:i4>15</vt:i4>
      </vt:variant>
      <vt:variant>
        <vt:i4>0</vt:i4>
      </vt:variant>
      <vt:variant>
        <vt:i4>5</vt:i4>
      </vt:variant>
      <vt:variant>
        <vt:lpwstr>http://www.ddhh.gov.cl/ddhh_rettig.html</vt:lpwstr>
      </vt:variant>
      <vt:variant>
        <vt:lpwstr/>
      </vt:variant>
      <vt:variant>
        <vt:i4>262200</vt:i4>
      </vt:variant>
      <vt:variant>
        <vt:i4>12</vt:i4>
      </vt:variant>
      <vt:variant>
        <vt:i4>0</vt:i4>
      </vt:variant>
      <vt:variant>
        <vt:i4>5</vt:i4>
      </vt:variant>
      <vt:variant>
        <vt:lpwstr>http://www.ddhh.gov.cl/ddhh_rettig.html</vt:lpwstr>
      </vt:variant>
      <vt:variant>
        <vt:lpwstr/>
      </vt:variant>
      <vt:variant>
        <vt:i4>262200</vt:i4>
      </vt:variant>
      <vt:variant>
        <vt:i4>9</vt:i4>
      </vt:variant>
      <vt:variant>
        <vt:i4>0</vt:i4>
      </vt:variant>
      <vt:variant>
        <vt:i4>5</vt:i4>
      </vt:variant>
      <vt:variant>
        <vt:lpwstr>http://www.ddhh.gov.cl/ddhh_rettig.html</vt:lpwstr>
      </vt:variant>
      <vt:variant>
        <vt:lpwstr/>
      </vt:variant>
      <vt:variant>
        <vt:i4>262200</vt:i4>
      </vt:variant>
      <vt:variant>
        <vt:i4>6</vt:i4>
      </vt:variant>
      <vt:variant>
        <vt:i4>0</vt:i4>
      </vt:variant>
      <vt:variant>
        <vt:i4>5</vt:i4>
      </vt:variant>
      <vt:variant>
        <vt:lpwstr>http://www.ddhh.gov.cl/ddhh_rettig.html</vt:lpwstr>
      </vt:variant>
      <vt:variant>
        <vt:lpwstr/>
      </vt:variant>
      <vt:variant>
        <vt:i4>262200</vt:i4>
      </vt:variant>
      <vt:variant>
        <vt:i4>3</vt:i4>
      </vt:variant>
      <vt:variant>
        <vt:i4>0</vt:i4>
      </vt:variant>
      <vt:variant>
        <vt:i4>5</vt:i4>
      </vt:variant>
      <vt:variant>
        <vt:lpwstr>http://www.ddhh.gov.cl/ddhh_rettig.html</vt:lpwstr>
      </vt:variant>
      <vt:variant>
        <vt:lpwstr/>
      </vt:variant>
      <vt:variant>
        <vt:i4>262155</vt:i4>
      </vt:variant>
      <vt:variant>
        <vt:i4>0</vt:i4>
      </vt:variant>
      <vt:variant>
        <vt:i4>0</vt:i4>
      </vt:variant>
      <vt:variant>
        <vt:i4>5</vt:i4>
      </vt:variant>
      <vt:variant>
        <vt:lpwstr>http://www.oas.org/es/cidh/audiencias/Hearings.aspx?Lang=es&amp;Session=12&amp;page=2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2017-02-15T15:50:00Z</cp:lastPrinted>
  <dcterms:created xsi:type="dcterms:W3CDTF">2017-02-15T15:19:00Z</dcterms:created>
  <dcterms:modified xsi:type="dcterms:W3CDTF">2017-02-15T15:52:00Z</dcterms:modified>
</cp:coreProperties>
</file>