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36C24" w:rsidRDefault="00C0075D" w:rsidP="00627C9F">
      <w:pPr>
        <w:jc w:val="both"/>
        <w:rPr>
          <w:rFonts w:asciiTheme="majorHAnsi" w:hAnsiTheme="majorHAnsi" w:cs="Univers"/>
          <w:b/>
          <w:bCs/>
          <w:sz w:val="20"/>
          <w:szCs w:val="20"/>
          <w:lang w:val="es-ES_tradnl"/>
        </w:rPr>
      </w:pPr>
      <w:r w:rsidRPr="00836C2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5BCD01D" wp14:editId="6788D780">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Default="00A83F22" w:rsidP="00AE5488">
                            <w:r>
                              <w:rPr>
                                <w:noProof/>
                              </w:rPr>
                              <w:drawing>
                                <wp:inline distT="0" distB="0" distL="0" distR="0" wp14:anchorId="593FFB6F" wp14:editId="069DAA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A83F22" w:rsidRDefault="00A83F22" w:rsidP="00AE5488">
                      <w:r>
                        <w:rPr>
                          <w:noProof/>
                        </w:rPr>
                        <w:drawing>
                          <wp:inline distT="0" distB="0" distL="0" distR="0" wp14:anchorId="593FFB6F" wp14:editId="069DAAF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836C2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7C04A28" wp14:editId="76E98F49">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p>
    <w:p w:rsidR="00040C3A" w:rsidRPr="00836C24" w:rsidRDefault="00040C3A" w:rsidP="00040C3A">
      <w:pPr>
        <w:tabs>
          <w:tab w:val="center" w:pos="5400"/>
        </w:tabs>
        <w:suppressAutoHyphens/>
        <w:jc w:val="both"/>
        <w:rPr>
          <w:rFonts w:asciiTheme="majorHAnsi" w:hAnsiTheme="majorHAnsi"/>
          <w:sz w:val="20"/>
          <w:szCs w:val="20"/>
          <w:lang w:val="es-ES_tradnl"/>
        </w:rPr>
      </w:pPr>
    </w:p>
    <w:p w:rsidR="00040C3A" w:rsidRPr="00836C24" w:rsidRDefault="00040C3A" w:rsidP="00040C3A">
      <w:pPr>
        <w:tabs>
          <w:tab w:val="center" w:pos="5400"/>
        </w:tabs>
        <w:suppressAutoHyphens/>
        <w:jc w:val="both"/>
        <w:rPr>
          <w:rFonts w:asciiTheme="majorHAnsi" w:hAnsiTheme="majorHAnsi"/>
          <w:sz w:val="20"/>
          <w:szCs w:val="20"/>
          <w:lang w:val="es-ES_tradnl"/>
        </w:rPr>
      </w:pPr>
    </w:p>
    <w:p w:rsidR="005128E4" w:rsidRPr="00836C24" w:rsidRDefault="005128E4" w:rsidP="00040C3A">
      <w:pPr>
        <w:tabs>
          <w:tab w:val="center" w:pos="5400"/>
        </w:tabs>
        <w:suppressAutoHyphens/>
        <w:rPr>
          <w:rFonts w:asciiTheme="majorHAnsi" w:hAnsiTheme="majorHAnsi"/>
          <w:sz w:val="20"/>
          <w:szCs w:val="20"/>
          <w:lang w:val="es-ES_tradnl"/>
        </w:rPr>
      </w:pPr>
    </w:p>
    <w:p w:rsidR="005128E4" w:rsidRPr="00836C24" w:rsidRDefault="005128E4" w:rsidP="00040C3A">
      <w:pPr>
        <w:tabs>
          <w:tab w:val="center" w:pos="5400"/>
        </w:tabs>
        <w:suppressAutoHyphens/>
        <w:rPr>
          <w:rFonts w:asciiTheme="majorHAnsi" w:hAnsiTheme="majorHAnsi"/>
          <w:sz w:val="20"/>
          <w:szCs w:val="20"/>
          <w:lang w:val="es-ES_tradnl"/>
        </w:rPr>
      </w:pPr>
    </w:p>
    <w:p w:rsidR="005128E4" w:rsidRPr="00836C24" w:rsidRDefault="005128E4" w:rsidP="00040C3A">
      <w:pPr>
        <w:tabs>
          <w:tab w:val="center" w:pos="5400"/>
        </w:tabs>
        <w:suppressAutoHyphens/>
        <w:rPr>
          <w:rFonts w:asciiTheme="majorHAnsi" w:hAnsiTheme="majorHAnsi"/>
          <w:sz w:val="20"/>
          <w:szCs w:val="20"/>
          <w:lang w:val="es-ES_tradnl"/>
        </w:rPr>
      </w:pPr>
    </w:p>
    <w:p w:rsidR="00040C3A" w:rsidRPr="00836C24" w:rsidRDefault="00040C3A" w:rsidP="005128E4">
      <w:pPr>
        <w:tabs>
          <w:tab w:val="center" w:pos="5400"/>
        </w:tabs>
        <w:suppressAutoHyphens/>
        <w:jc w:val="center"/>
        <w:rPr>
          <w:rFonts w:asciiTheme="majorHAnsi" w:hAnsiTheme="majorHAnsi"/>
          <w:sz w:val="20"/>
          <w:szCs w:val="20"/>
          <w:lang w:val="es-ES_tradnl"/>
        </w:rPr>
      </w:pPr>
    </w:p>
    <w:p w:rsidR="00040C3A" w:rsidRPr="00836C24" w:rsidRDefault="00040C3A" w:rsidP="005128E4">
      <w:pPr>
        <w:tabs>
          <w:tab w:val="center" w:pos="5400"/>
        </w:tabs>
        <w:suppressAutoHyphens/>
        <w:jc w:val="center"/>
        <w:rPr>
          <w:rFonts w:asciiTheme="majorHAnsi" w:hAnsiTheme="majorHAnsi"/>
          <w:sz w:val="20"/>
          <w:szCs w:val="20"/>
          <w:lang w:val="es-ES_tradnl"/>
        </w:rPr>
      </w:pPr>
    </w:p>
    <w:p w:rsidR="005B52B0" w:rsidRPr="00836C24" w:rsidRDefault="005B52B0" w:rsidP="005128E4">
      <w:pPr>
        <w:tabs>
          <w:tab w:val="center" w:pos="5400"/>
        </w:tabs>
        <w:suppressAutoHyphens/>
        <w:jc w:val="center"/>
        <w:rPr>
          <w:rFonts w:asciiTheme="majorHAnsi" w:hAnsiTheme="majorHAnsi"/>
          <w:sz w:val="20"/>
          <w:szCs w:val="20"/>
          <w:lang w:val="es-ES_tradnl"/>
        </w:rPr>
      </w:pPr>
    </w:p>
    <w:p w:rsidR="005B52B0" w:rsidRPr="00836C24" w:rsidRDefault="005B52B0" w:rsidP="005128E4">
      <w:pPr>
        <w:tabs>
          <w:tab w:val="center" w:pos="5400"/>
        </w:tabs>
        <w:suppressAutoHyphens/>
        <w:jc w:val="center"/>
        <w:rPr>
          <w:rFonts w:asciiTheme="majorHAnsi" w:hAnsiTheme="majorHAnsi"/>
          <w:sz w:val="20"/>
          <w:szCs w:val="20"/>
          <w:lang w:val="es-ES_tradnl"/>
        </w:rPr>
      </w:pPr>
    </w:p>
    <w:p w:rsidR="005B52B0" w:rsidRPr="00836C24" w:rsidRDefault="005B52B0" w:rsidP="005128E4">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C0075D" w:rsidP="00040C3A">
      <w:pPr>
        <w:tabs>
          <w:tab w:val="center" w:pos="5400"/>
        </w:tabs>
        <w:suppressAutoHyphens/>
        <w:jc w:val="center"/>
        <w:rPr>
          <w:rFonts w:asciiTheme="majorHAnsi" w:hAnsiTheme="majorHAnsi"/>
          <w:sz w:val="20"/>
          <w:szCs w:val="20"/>
          <w:lang w:val="es-ES_tradnl"/>
        </w:rPr>
      </w:pPr>
      <w:r w:rsidRPr="00836C2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92ACA8B" wp14:editId="79A92D67">
                <wp:simplePos x="0" y="0"/>
                <wp:positionH relativeFrom="column">
                  <wp:posOffset>1352550</wp:posOffset>
                </wp:positionH>
                <wp:positionV relativeFrom="paragraph">
                  <wp:posOffset>109220</wp:posOffset>
                </wp:positionV>
                <wp:extent cx="4441190" cy="427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427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B06C1C" w:rsidRDefault="00A83F22"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79/17</w:t>
                            </w:r>
                          </w:p>
                          <w:p w:rsidR="00A83F22" w:rsidRPr="00D21E3A" w:rsidRDefault="00A83F22" w:rsidP="00D21E3A">
                            <w:pPr>
                              <w:spacing w:line="276" w:lineRule="auto"/>
                              <w:rPr>
                                <w:rFonts w:asciiTheme="majorHAnsi" w:hAnsiTheme="majorHAnsi" w:cs="Arial"/>
                                <w:b/>
                                <w:color w:val="0D0D0D" w:themeColor="text1" w:themeTint="F2"/>
                                <w:sz w:val="36"/>
                                <w:szCs w:val="22"/>
                                <w:lang w:val="es-ES"/>
                              </w:rPr>
                            </w:pPr>
                            <w:bookmarkStart w:id="0" w:name="_ftnref1"/>
                            <w:r>
                              <w:rPr>
                                <w:rFonts w:asciiTheme="majorHAnsi" w:hAnsiTheme="majorHAnsi" w:cs="Arial"/>
                                <w:b/>
                                <w:color w:val="0D0D0D" w:themeColor="text1" w:themeTint="F2"/>
                                <w:sz w:val="36"/>
                                <w:szCs w:val="22"/>
                                <w:lang w:val="es-ES"/>
                              </w:rPr>
                              <w:t>CASO 12.650</w:t>
                            </w:r>
                          </w:p>
                          <w:p w:rsidR="00A83F22" w:rsidRPr="0010736F" w:rsidRDefault="00A83F22" w:rsidP="00D21E3A">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A83F22" w:rsidRPr="0010736F" w:rsidRDefault="00A83F22" w:rsidP="00D21E3A">
                            <w:pPr>
                              <w:spacing w:line="276" w:lineRule="auto"/>
                              <w:rPr>
                                <w:rFonts w:asciiTheme="majorHAnsi" w:hAnsiTheme="majorHAnsi" w:cs="Arial"/>
                                <w:color w:val="0D0D0D" w:themeColor="text1" w:themeTint="F2"/>
                                <w:szCs w:val="22"/>
                                <w:lang w:val="es-ES_tradnl"/>
                              </w:rPr>
                            </w:pPr>
                          </w:p>
                          <w:p w:rsidR="00A83F22" w:rsidRPr="005E21D4" w:rsidRDefault="00A83F22" w:rsidP="00D21E3A">
                            <w:pPr>
                              <w:spacing w:line="276" w:lineRule="auto"/>
                              <w:rPr>
                                <w:rFonts w:asciiTheme="majorHAnsi" w:hAnsiTheme="majorHAnsi" w:cs="Arial"/>
                                <w:color w:val="0D0D0D" w:themeColor="text1" w:themeTint="F2"/>
                                <w:szCs w:val="22"/>
                                <w:lang w:val="es-VE"/>
                              </w:rPr>
                            </w:pPr>
                            <w:r>
                              <w:rPr>
                                <w:rFonts w:ascii="Cambria" w:hAnsi="Cambria"/>
                                <w:lang w:val="es-ES"/>
                              </w:rPr>
                              <w:t xml:space="preserve">HUGO HUMBERTO RUIZ </w:t>
                            </w:r>
                            <w:r w:rsidRPr="00836C24">
                              <w:rPr>
                                <w:rFonts w:ascii="Cambria" w:hAnsi="Cambria"/>
                                <w:lang w:val="es-ES"/>
                              </w:rPr>
                              <w:t>FUENTES Y FAMILIA</w:t>
                            </w:r>
                          </w:p>
                          <w:p w:rsidR="00A83F22" w:rsidRPr="00305949" w:rsidRDefault="00A83F22" w:rsidP="00D21E3A">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GUATEMALA</w:t>
                            </w: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Pr="0010736F" w:rsidRDefault="00A83F22" w:rsidP="00997BC5">
                            <w:pPr>
                              <w:spacing w:line="276" w:lineRule="auto"/>
                              <w:rPr>
                                <w:rFonts w:asciiTheme="majorHAnsi" w:hAnsiTheme="majorHAnsi" w:cs="Arial"/>
                                <w:color w:val="0D0D0D" w:themeColor="text1" w:themeTint="F2"/>
                                <w:szCs w:val="22"/>
                                <w:lang w:val="es-ES_tradnl"/>
                              </w:rPr>
                            </w:pPr>
                          </w:p>
                          <w:bookmarkEnd w:id="0"/>
                          <w:p w:rsidR="00A83F22" w:rsidRPr="00AE5488" w:rsidRDefault="00A83F2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6pt;width:349.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jgIAAIMFAAAOAAAAZHJzL2Uyb0RvYy54bWysVE1v2zAMvQ/YfxB0Xx2nTrcadYqsRYcB&#10;QVusHXpWZKkxKomapMTOfv0o2U6ybpcOu9gS+Ujx45EXl51WZCucb8BUND+ZUCIMh7oxzxX9/njz&#10;4RMlPjBTMwVGVHQnPL2cv3930dpSTGENqhaOoBPjy9ZWdB2CLbPM87XQzJ+AFQaVEpxmAa/uOasd&#10;a9G7Vtl0MjnLWnC1dcCF9yi97pV0nvxLKXi4k9KLQFRFMbaQvi59V/GbzS9Y+eyYXTd8CIP9QxSa&#10;NQYf3bu6ZoGRjWv+cKUb7sCDDCccdAZSNlykHDCbfPIqm4c1syLlgsXxdl8m///c8tvtvSNNXdEZ&#10;JYZpbNGj6AL5DB2Zxeq01pcIerAICx2KscspU2+XwF88QrIjTG/gER2r0Umn4x/zJGiIDdjtix5f&#10;4SgsiiLPz1HFUVdMP57OZqkt2cHcOh++CNAkHirqsKspBLZd+hADYOUIia8ZuGmUSp1VhrQVPTtF&#10;l79p0EKZKBGJI4ObmEcfejqFnRIRo8w3IbFGKYMoSOwUV8qRLUNeMc6FCXmsVvKL6IiSGMRbDAf8&#10;Iaq3GPd5jC+DCXtj3RhwfcfiUB3Crl/GkGWPHzrp+7xjCUK36hI5EjJKVlDvkAkO+knylt802JQl&#10;8+GeORwdbCSug3CHH6kAiw/DiZI1uJ9/k0c8Mhq1lLQ4ihX1PzbMCUrUV4NcP8+LIs5uuhSzj1O8&#10;uGPN6lhjNvoKsCs5Lh7L0zHigxqP0oF+wq2xiK+iihmOb1c0jMer0C8I3DpcLBYJhNNqWViaB8vH&#10;AYiUe+yemLMDLwNS+hbGoWXlK3r22NheA4tNANkk7h6qOtQfJz0RadhKcZUc3xPqsDvnvwAAAP//&#10;AwBQSwMEFAAGAAgAAAAhAPRYeIbgAAAACgEAAA8AAABkcnMvZG93bnJldi54bWxMj09LAzEUxO+C&#10;3yE8wZvNbpT+2W62FNGLINJakN5eN3GzmrysSdqu39540uMww8xv6tXoLDvpEHtPEspJAUxT61VP&#10;nYTd6+PNHFhMSAqtJy3hW0dYNZcXNVbKn2mjT9vUsVxCsUIJJqWh4jy2RjuMEz9oyt67Dw5TlqHj&#10;KuA5lzvLRVFMucOe8oLBQd8b3X5uj07CbL5X5iM8jbu35/WXeRm4fUAu5fXVuF4CS3pMf2H4xc/o&#10;0GSmgz+SisxKEOVt/pKyMRPAcmBRijtgBwnTRSGANzX/f6H5AQAA//8DAFBLAQItABQABgAIAAAA&#10;IQC2gziS/gAAAOEBAAATAAAAAAAAAAAAAAAAAAAAAABbQ29udGVudF9UeXBlc10ueG1sUEsBAi0A&#10;FAAGAAgAAAAhADj9If/WAAAAlAEAAAsAAAAAAAAAAAAAAAAALwEAAF9yZWxzLy5yZWxzUEsBAi0A&#10;FAAGAAgAAAAhAH+mIECOAgAAgwUAAA4AAAAAAAAAAAAAAAAALgIAAGRycy9lMm9Eb2MueG1sUEsB&#10;Ai0AFAAGAAgAAAAhAPRYeIbgAAAACgEAAA8AAAAAAAAAAAAAAAAA6AQAAGRycy9kb3ducmV2Lnht&#10;bFBLBQYAAAAABAAEAPMAAAD1BQAAAAA=&#10;" filled="f" stroked="f" strokeweight=".5pt">
                <v:path arrowok="t"/>
                <v:textbox>
                  <w:txbxContent>
                    <w:p w:rsidR="00A83F22" w:rsidRPr="00B06C1C" w:rsidRDefault="00A83F22"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79/17</w:t>
                      </w:r>
                    </w:p>
                    <w:p w:rsidR="00A83F22" w:rsidRPr="00D21E3A" w:rsidRDefault="00A83F22" w:rsidP="00D21E3A">
                      <w:pPr>
                        <w:spacing w:line="276" w:lineRule="auto"/>
                        <w:rPr>
                          <w:rFonts w:asciiTheme="majorHAnsi" w:hAnsiTheme="majorHAnsi" w:cs="Arial"/>
                          <w:b/>
                          <w:color w:val="0D0D0D" w:themeColor="text1" w:themeTint="F2"/>
                          <w:sz w:val="36"/>
                          <w:szCs w:val="22"/>
                          <w:lang w:val="es-ES"/>
                        </w:rPr>
                      </w:pPr>
                      <w:bookmarkStart w:id="1" w:name="_ftnref1"/>
                      <w:r>
                        <w:rPr>
                          <w:rFonts w:asciiTheme="majorHAnsi" w:hAnsiTheme="majorHAnsi" w:cs="Arial"/>
                          <w:b/>
                          <w:color w:val="0D0D0D" w:themeColor="text1" w:themeTint="F2"/>
                          <w:sz w:val="36"/>
                          <w:szCs w:val="22"/>
                          <w:lang w:val="es-ES"/>
                        </w:rPr>
                        <w:t>CASO 12.650</w:t>
                      </w:r>
                    </w:p>
                    <w:p w:rsidR="00A83F22" w:rsidRPr="0010736F" w:rsidRDefault="00A83F22" w:rsidP="00D21E3A">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A83F22" w:rsidRPr="0010736F" w:rsidRDefault="00A83F22" w:rsidP="00D21E3A">
                      <w:pPr>
                        <w:spacing w:line="276" w:lineRule="auto"/>
                        <w:rPr>
                          <w:rFonts w:asciiTheme="majorHAnsi" w:hAnsiTheme="majorHAnsi" w:cs="Arial"/>
                          <w:color w:val="0D0D0D" w:themeColor="text1" w:themeTint="F2"/>
                          <w:szCs w:val="22"/>
                          <w:lang w:val="es-ES_tradnl"/>
                        </w:rPr>
                      </w:pPr>
                    </w:p>
                    <w:p w:rsidR="00A83F22" w:rsidRPr="005E21D4" w:rsidRDefault="00A83F22" w:rsidP="00D21E3A">
                      <w:pPr>
                        <w:spacing w:line="276" w:lineRule="auto"/>
                        <w:rPr>
                          <w:rFonts w:asciiTheme="majorHAnsi" w:hAnsiTheme="majorHAnsi" w:cs="Arial"/>
                          <w:color w:val="0D0D0D" w:themeColor="text1" w:themeTint="F2"/>
                          <w:szCs w:val="22"/>
                          <w:lang w:val="es-VE"/>
                        </w:rPr>
                      </w:pPr>
                      <w:r>
                        <w:rPr>
                          <w:rFonts w:ascii="Cambria" w:hAnsi="Cambria"/>
                          <w:lang w:val="es-ES"/>
                        </w:rPr>
                        <w:t xml:space="preserve">HUGO HUMBERTO RUIZ </w:t>
                      </w:r>
                      <w:r w:rsidRPr="00836C24">
                        <w:rPr>
                          <w:rFonts w:ascii="Cambria" w:hAnsi="Cambria"/>
                          <w:lang w:val="es-ES"/>
                        </w:rPr>
                        <w:t>FUENTES Y FAMILIA</w:t>
                      </w:r>
                    </w:p>
                    <w:p w:rsidR="00A83F22" w:rsidRPr="00305949" w:rsidRDefault="00A83F22" w:rsidP="00D21E3A">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VE"/>
                        </w:rPr>
                        <w:t>GUATEMALA</w:t>
                      </w: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Default="00A83F22" w:rsidP="00997BC5">
                      <w:pPr>
                        <w:spacing w:line="276" w:lineRule="auto"/>
                        <w:rPr>
                          <w:rFonts w:asciiTheme="majorHAnsi" w:hAnsiTheme="majorHAnsi" w:cs="Arial"/>
                          <w:color w:val="0D0D0D" w:themeColor="text1" w:themeTint="F2"/>
                          <w:szCs w:val="22"/>
                          <w:lang w:val="es-ES_tradnl"/>
                        </w:rPr>
                      </w:pPr>
                    </w:p>
                    <w:p w:rsidR="00A83F22" w:rsidRPr="0010736F" w:rsidRDefault="00A83F22" w:rsidP="00997BC5">
                      <w:pPr>
                        <w:spacing w:line="276" w:lineRule="auto"/>
                        <w:rPr>
                          <w:rFonts w:asciiTheme="majorHAnsi" w:hAnsiTheme="majorHAnsi" w:cs="Arial"/>
                          <w:color w:val="0D0D0D" w:themeColor="text1" w:themeTint="F2"/>
                          <w:szCs w:val="22"/>
                          <w:lang w:val="es-ES_tradnl"/>
                        </w:rPr>
                      </w:pPr>
                    </w:p>
                    <w:bookmarkEnd w:id="1"/>
                    <w:p w:rsidR="00A83F22" w:rsidRPr="00AE5488" w:rsidRDefault="00A83F22" w:rsidP="007A5817">
                      <w:pPr>
                        <w:rPr>
                          <w:color w:val="0D0D0D" w:themeColor="text1" w:themeTint="F2"/>
                          <w:lang w:val="es-ES_tradnl"/>
                        </w:rPr>
                      </w:pPr>
                    </w:p>
                  </w:txbxContent>
                </v:textbox>
              </v:shape>
            </w:pict>
          </mc:Fallback>
        </mc:AlternateContent>
      </w:r>
      <w:r w:rsidRPr="00836C2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A3FD2CF" wp14:editId="2D873BE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94120E" w:rsidRDefault="00A83F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rsidR="00A83F22" w:rsidRPr="0094120E" w:rsidRDefault="00A83F22" w:rsidP="007A5817">
                            <w:pPr>
                              <w:spacing w:line="276" w:lineRule="auto"/>
                              <w:jc w:val="right"/>
                              <w:rPr>
                                <w:rFonts w:asciiTheme="minorHAnsi" w:hAnsiTheme="minorHAnsi"/>
                                <w:color w:val="FFFFFF" w:themeColor="background1"/>
                                <w:sz w:val="22"/>
                                <w:lang w:val="pt-BR"/>
                              </w:rPr>
                            </w:pPr>
                            <w:r w:rsidRPr="0094120E">
                              <w:rPr>
                                <w:rFonts w:asciiTheme="minorHAnsi" w:hAnsiTheme="minorHAnsi"/>
                                <w:color w:val="FFFFFF" w:themeColor="background1"/>
                                <w:sz w:val="22"/>
                                <w:lang w:val="pt-BR"/>
                              </w:rPr>
                              <w:t>Doc. XX</w:t>
                            </w:r>
                          </w:p>
                          <w:p w:rsidR="00A83F22" w:rsidRPr="00B06C1C" w:rsidRDefault="00A83F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XX xxx</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A83F22" w:rsidRPr="000C5BC3" w:rsidRDefault="00A83F22"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83F22" w:rsidRPr="0094120E" w:rsidRDefault="00A83F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rsidR="00A83F22" w:rsidRPr="0094120E" w:rsidRDefault="00A83F22" w:rsidP="007A5817">
                      <w:pPr>
                        <w:spacing w:line="276" w:lineRule="auto"/>
                        <w:jc w:val="right"/>
                        <w:rPr>
                          <w:rFonts w:asciiTheme="minorHAnsi" w:hAnsiTheme="minorHAnsi"/>
                          <w:color w:val="FFFFFF" w:themeColor="background1"/>
                          <w:sz w:val="22"/>
                          <w:lang w:val="pt-BR"/>
                        </w:rPr>
                      </w:pPr>
                      <w:r w:rsidRPr="0094120E">
                        <w:rPr>
                          <w:rFonts w:asciiTheme="minorHAnsi" w:hAnsiTheme="minorHAnsi"/>
                          <w:color w:val="FFFFFF" w:themeColor="background1"/>
                          <w:sz w:val="22"/>
                          <w:lang w:val="pt-BR"/>
                        </w:rPr>
                        <w:t>Doc. XX</w:t>
                      </w:r>
                    </w:p>
                    <w:p w:rsidR="00A83F22" w:rsidRPr="00B06C1C" w:rsidRDefault="00A83F2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XX xxx</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A83F22" w:rsidRPr="000C5BC3" w:rsidRDefault="00A83F22"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cs="Arial"/>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5128E4" w:rsidRPr="00836C24" w:rsidRDefault="005128E4"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5128E4" w:rsidRPr="00836C24" w:rsidRDefault="005128E4" w:rsidP="00040C3A">
      <w:pPr>
        <w:tabs>
          <w:tab w:val="center" w:pos="5400"/>
        </w:tabs>
        <w:suppressAutoHyphens/>
        <w:jc w:val="center"/>
        <w:rPr>
          <w:rFonts w:asciiTheme="majorHAnsi" w:hAnsiTheme="majorHAnsi"/>
          <w:sz w:val="20"/>
          <w:szCs w:val="20"/>
          <w:lang w:val="es-ES_tradnl"/>
        </w:rPr>
      </w:pPr>
    </w:p>
    <w:p w:rsidR="005128E4" w:rsidRPr="00836C24" w:rsidRDefault="005128E4" w:rsidP="00040C3A">
      <w:pPr>
        <w:tabs>
          <w:tab w:val="center" w:pos="5400"/>
        </w:tabs>
        <w:suppressAutoHyphens/>
        <w:jc w:val="center"/>
        <w:rPr>
          <w:rFonts w:asciiTheme="majorHAnsi" w:hAnsiTheme="majorHAnsi"/>
          <w:sz w:val="20"/>
          <w:szCs w:val="20"/>
          <w:lang w:val="es-ES_tradnl"/>
        </w:rPr>
      </w:pPr>
    </w:p>
    <w:p w:rsidR="005128E4" w:rsidRPr="00836C24" w:rsidRDefault="005128E4"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040C3A" w:rsidRPr="00836C24" w:rsidRDefault="00040C3A"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C0075D" w:rsidP="00040C3A">
      <w:pPr>
        <w:tabs>
          <w:tab w:val="center" w:pos="5400"/>
        </w:tabs>
        <w:suppressAutoHyphens/>
        <w:jc w:val="center"/>
        <w:rPr>
          <w:rFonts w:asciiTheme="majorHAnsi" w:hAnsiTheme="majorHAnsi"/>
          <w:sz w:val="20"/>
          <w:szCs w:val="20"/>
          <w:lang w:val="es-ES_tradnl"/>
        </w:rPr>
      </w:pPr>
      <w:r w:rsidRPr="00836C2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81295B7" wp14:editId="3C06642C">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890650" w:rsidRDefault="00A83F2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xxx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30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XX</w:t>
                            </w:r>
                            <w:r w:rsidRPr="00890650">
                              <w:rPr>
                                <w:rFonts w:asciiTheme="majorHAnsi" w:hAnsiTheme="majorHAnsi" w:cs="Univers"/>
                                <w:color w:val="0D0D0D" w:themeColor="text1" w:themeTint="F2"/>
                                <w:sz w:val="18"/>
                                <w:szCs w:val="20"/>
                                <w:lang w:val="es-ES_tradnl"/>
                              </w:rPr>
                              <w:t xml:space="preserve">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A83F22" w:rsidRPr="00890650" w:rsidRDefault="00A83F2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xxx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30 de julio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XX</w:t>
                      </w:r>
                      <w:r w:rsidRPr="00890650">
                        <w:rPr>
                          <w:rFonts w:asciiTheme="majorHAnsi" w:hAnsiTheme="majorHAnsi" w:cs="Univers"/>
                          <w:color w:val="0D0D0D" w:themeColor="text1" w:themeTint="F2"/>
                          <w:sz w:val="18"/>
                          <w:szCs w:val="20"/>
                          <w:lang w:val="es-ES_tradnl"/>
                        </w:rPr>
                        <w:t xml:space="preserve"> período ordinario de sesiones</w:t>
                      </w:r>
                    </w:p>
                  </w:txbxContent>
                </v:textbox>
              </v:shape>
            </w:pict>
          </mc:Fallback>
        </mc:AlternateContent>
      </w: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A50FCF" w:rsidRPr="00836C24" w:rsidRDefault="00C0075D" w:rsidP="00040C3A">
      <w:pPr>
        <w:tabs>
          <w:tab w:val="center" w:pos="5400"/>
        </w:tabs>
        <w:suppressAutoHyphens/>
        <w:jc w:val="center"/>
        <w:rPr>
          <w:rFonts w:asciiTheme="majorHAnsi" w:hAnsiTheme="majorHAnsi"/>
          <w:sz w:val="20"/>
          <w:szCs w:val="20"/>
          <w:lang w:val="es-ES_tradnl"/>
        </w:rPr>
      </w:pPr>
      <w:r w:rsidRPr="00836C2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D4FDD9B" wp14:editId="6BF54E62">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093196" w:rsidRDefault="00A83F22"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79/17</w:t>
                            </w:r>
                            <w:r>
                              <w:rPr>
                                <w:rFonts w:asciiTheme="majorHAnsi" w:hAnsiTheme="majorHAnsi"/>
                                <w:color w:val="595959" w:themeColor="text1" w:themeTint="A6"/>
                                <w:sz w:val="18"/>
                                <w:szCs w:val="18"/>
                                <w:lang w:val="es-ES_tradnl"/>
                              </w:rPr>
                              <w:t xml:space="preserve">, Caso 12.650.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Hugo Humberto Ruiz Fuentes.</w:t>
                            </w:r>
                            <w:r>
                              <w:rPr>
                                <w:rFonts w:asciiTheme="majorHAnsi" w:hAnsiTheme="majorHAnsi"/>
                                <w:color w:val="595959" w:themeColor="text1" w:themeTint="A6"/>
                                <w:sz w:val="18"/>
                                <w:szCs w:val="18"/>
                                <w:lang w:val="es-ES_tradnl"/>
                              </w:rPr>
                              <w:t xml:space="preserve"> 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XX de XXX de 2017</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A83F22" w:rsidRPr="00093196" w:rsidRDefault="00A83F22"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79/17</w:t>
                      </w:r>
                      <w:r>
                        <w:rPr>
                          <w:rFonts w:asciiTheme="majorHAnsi" w:hAnsiTheme="majorHAnsi"/>
                          <w:color w:val="595959" w:themeColor="text1" w:themeTint="A6"/>
                          <w:sz w:val="18"/>
                          <w:szCs w:val="18"/>
                          <w:lang w:val="es-ES_tradnl"/>
                        </w:rPr>
                        <w:t xml:space="preserve">, Caso 12.650.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Hugo Humberto Ruiz Fuentes.</w:t>
                      </w:r>
                      <w:r>
                        <w:rPr>
                          <w:rFonts w:asciiTheme="majorHAnsi" w:hAnsiTheme="majorHAnsi"/>
                          <w:color w:val="595959" w:themeColor="text1" w:themeTint="A6"/>
                          <w:sz w:val="18"/>
                          <w:szCs w:val="18"/>
                          <w:lang w:val="es-ES_tradnl"/>
                        </w:rPr>
                        <w:t xml:space="preserve"> Guatemala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XX de XXX de 2017</w:t>
                      </w:r>
                      <w:r w:rsidRPr="00093196">
                        <w:rPr>
                          <w:rFonts w:asciiTheme="majorHAnsi" w:hAnsiTheme="majorHAnsi"/>
                          <w:color w:val="595959" w:themeColor="text1" w:themeTint="A6"/>
                          <w:sz w:val="18"/>
                          <w:szCs w:val="18"/>
                          <w:lang w:val="es-ES"/>
                        </w:rPr>
                        <w:t>.</w:t>
                      </w:r>
                    </w:p>
                  </w:txbxContent>
                </v:textbox>
              </v:shape>
            </w:pict>
          </mc:Fallback>
        </mc:AlternateContent>
      </w:r>
    </w:p>
    <w:p w:rsidR="00A50FCF" w:rsidRPr="00836C24" w:rsidRDefault="00A50FCF" w:rsidP="00040C3A">
      <w:pPr>
        <w:tabs>
          <w:tab w:val="center" w:pos="5400"/>
        </w:tabs>
        <w:suppressAutoHyphens/>
        <w:jc w:val="center"/>
        <w:rPr>
          <w:rFonts w:asciiTheme="majorHAnsi" w:hAnsiTheme="majorHAnsi"/>
          <w:sz w:val="20"/>
          <w:szCs w:val="20"/>
          <w:lang w:val="es-ES_tradnl"/>
        </w:rPr>
      </w:pPr>
    </w:p>
    <w:p w:rsidR="0070697F" w:rsidRPr="00836C24" w:rsidRDefault="00C0075D" w:rsidP="00361520">
      <w:pPr>
        <w:tabs>
          <w:tab w:val="center" w:pos="5400"/>
        </w:tabs>
        <w:suppressAutoHyphens/>
        <w:rPr>
          <w:rFonts w:asciiTheme="majorHAnsi" w:hAnsiTheme="majorHAnsi"/>
          <w:b/>
          <w:sz w:val="20"/>
          <w:szCs w:val="20"/>
          <w:lang w:val="es-ES_tradnl"/>
        </w:rPr>
        <w:sectPr w:rsidR="0070697F" w:rsidRPr="00836C2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36C2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91627AF" wp14:editId="61FD5125">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D72DC6" w:rsidRDefault="00A83F22" w:rsidP="00F02AD1">
                            <w:pPr>
                              <w:rPr>
                                <w:color w:val="FFFFFF" w:themeColor="background1"/>
                              </w:rPr>
                            </w:pPr>
                            <w:r w:rsidRPr="00D72DC6">
                              <w:rPr>
                                <w:noProof/>
                                <w:color w:val="FFFFFF" w:themeColor="background1"/>
                              </w:rPr>
                              <w:drawing>
                                <wp:inline distT="0" distB="0" distL="0" distR="0" wp14:anchorId="7A51E943" wp14:editId="336EB4F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A83F22" w:rsidRPr="00D72DC6" w:rsidRDefault="00A83F22" w:rsidP="00F02AD1">
                      <w:pPr>
                        <w:rPr>
                          <w:color w:val="FFFFFF" w:themeColor="background1"/>
                        </w:rPr>
                      </w:pPr>
                      <w:r w:rsidRPr="00D72DC6">
                        <w:rPr>
                          <w:noProof/>
                          <w:color w:val="FFFFFF" w:themeColor="background1"/>
                        </w:rPr>
                        <w:drawing>
                          <wp:inline distT="0" distB="0" distL="0" distR="0" wp14:anchorId="7A51E943" wp14:editId="336EB4F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36C2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E1ED9EC" wp14:editId="109B18A4">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22" w:rsidRPr="004B7EB6" w:rsidRDefault="00A83F2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A83F22" w:rsidRPr="004B7EB6" w:rsidRDefault="00A83F2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361520" w:rsidRPr="00836C24" w:rsidRDefault="00F537DE"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lastRenderedPageBreak/>
        <w:t>INFORME No. 79</w:t>
      </w:r>
      <w:r w:rsidR="00361520" w:rsidRPr="00836C24">
        <w:rPr>
          <w:rFonts w:asciiTheme="majorHAnsi" w:eastAsia="Times New Roman" w:hAnsiTheme="majorHAnsi"/>
          <w:b/>
          <w:sz w:val="20"/>
          <w:szCs w:val="20"/>
          <w:bdr w:val="none" w:sz="0" w:space="0" w:color="auto"/>
          <w:lang w:val="es-ES_tradnl"/>
        </w:rPr>
        <w:t>/17</w:t>
      </w:r>
    </w:p>
    <w:p w:rsidR="00361520" w:rsidRPr="00836C24" w:rsidRDefault="00361520"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836C24">
        <w:rPr>
          <w:rFonts w:asciiTheme="majorHAnsi" w:eastAsia="Times New Roman" w:hAnsiTheme="majorHAnsi"/>
          <w:b/>
          <w:sz w:val="20"/>
          <w:szCs w:val="20"/>
          <w:bdr w:val="none" w:sz="0" w:space="0" w:color="auto"/>
          <w:lang w:val="es-ES_tradnl"/>
        </w:rPr>
        <w:t>CASO 12.650</w:t>
      </w:r>
    </w:p>
    <w:p w:rsidR="00361520" w:rsidRPr="00836C24" w:rsidRDefault="00361520"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FONDO</w:t>
      </w:r>
    </w:p>
    <w:p w:rsidR="00361520" w:rsidRPr="00836C24" w:rsidRDefault="00361520"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HUGO HUMBERTO RUIZ FUENTES Y FAMILIA</w:t>
      </w:r>
    </w:p>
    <w:p w:rsidR="00361520" w:rsidRPr="00836C24" w:rsidRDefault="00361520"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GUATEMALA</w:t>
      </w:r>
    </w:p>
    <w:p w:rsidR="00361520" w:rsidRPr="00836C24" w:rsidRDefault="001C4486" w:rsidP="0036152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30 DE JULIO</w:t>
      </w:r>
      <w:r w:rsidR="00361520" w:rsidRPr="00836C24">
        <w:rPr>
          <w:rFonts w:asciiTheme="majorHAnsi" w:eastAsia="Times New Roman" w:hAnsiTheme="majorHAnsi"/>
          <w:sz w:val="20"/>
          <w:szCs w:val="20"/>
          <w:bdr w:val="none" w:sz="0" w:space="0" w:color="auto"/>
          <w:lang w:val="es-ES_tradnl"/>
        </w:rPr>
        <w:t xml:space="preserve"> DE 2017</w:t>
      </w: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sdt>
      <w:sdtPr>
        <w:rPr>
          <w:rFonts w:ascii="Times New Roman" w:eastAsia="Arial Unicode MS" w:hAnsi="Times New Roman" w:cs="Times New Roman"/>
          <w:b w:val="0"/>
          <w:bCs w:val="0"/>
          <w:color w:val="auto"/>
          <w:sz w:val="24"/>
          <w:szCs w:val="24"/>
          <w:bdr w:val="nil"/>
          <w:lang w:eastAsia="en-US"/>
        </w:rPr>
        <w:id w:val="-1517766801"/>
        <w:docPartObj>
          <w:docPartGallery w:val="Table of Contents"/>
          <w:docPartUnique/>
        </w:docPartObj>
      </w:sdtPr>
      <w:sdtEndPr>
        <w:rPr>
          <w:noProof/>
        </w:rPr>
      </w:sdtEndPr>
      <w:sdtContent>
        <w:p w:rsidR="00361520" w:rsidRPr="001C4486" w:rsidRDefault="00361520" w:rsidP="0099533F">
          <w:pPr>
            <w:pStyle w:val="TOCHeading"/>
            <w:jc w:val="both"/>
            <w:rPr>
              <w:sz w:val="20"/>
              <w:szCs w:val="20"/>
            </w:rPr>
          </w:pPr>
        </w:p>
        <w:p w:rsidR="001C4486" w:rsidRPr="001C4486" w:rsidRDefault="00361520">
          <w:pPr>
            <w:pStyle w:val="TOC1"/>
            <w:rPr>
              <w:rFonts w:eastAsiaTheme="minorEastAsia" w:cstheme="minorBidi"/>
              <w:b w:val="0"/>
              <w:bdr w:val="none" w:sz="0" w:space="0" w:color="auto"/>
            </w:rPr>
          </w:pPr>
          <w:r w:rsidRPr="001C4486">
            <w:fldChar w:fldCharType="begin"/>
          </w:r>
          <w:r w:rsidRPr="001C4486">
            <w:instrText xml:space="preserve"> TOC \o "1-3" \h \z \u </w:instrText>
          </w:r>
          <w:r w:rsidRPr="001C4486">
            <w:fldChar w:fldCharType="separate"/>
          </w:r>
          <w:hyperlink w:anchor="_Toc491441620" w:history="1">
            <w:r w:rsidR="001C4486" w:rsidRPr="001C4486">
              <w:rPr>
                <w:rStyle w:val="Hyperlink"/>
              </w:rPr>
              <w:t>I.</w:t>
            </w:r>
            <w:r w:rsidR="001C4486" w:rsidRPr="001C4486">
              <w:rPr>
                <w:rFonts w:eastAsiaTheme="minorEastAsia" w:cstheme="minorBidi"/>
                <w:b w:val="0"/>
                <w:bdr w:val="none" w:sz="0" w:space="0" w:color="auto"/>
              </w:rPr>
              <w:tab/>
            </w:r>
            <w:r w:rsidR="001C4486" w:rsidRPr="001C4486">
              <w:rPr>
                <w:rStyle w:val="Hyperlink"/>
              </w:rPr>
              <w:t>TRÁMITE ANTE LA COMISIÓN</w:t>
            </w:r>
            <w:r w:rsidR="001C4486" w:rsidRPr="001C4486">
              <w:rPr>
                <w:webHidden/>
              </w:rPr>
              <w:tab/>
            </w:r>
            <w:r w:rsidR="001C4486" w:rsidRPr="001C4486">
              <w:rPr>
                <w:webHidden/>
              </w:rPr>
              <w:fldChar w:fldCharType="begin"/>
            </w:r>
            <w:r w:rsidR="001C4486" w:rsidRPr="001C4486">
              <w:rPr>
                <w:webHidden/>
              </w:rPr>
              <w:instrText xml:space="preserve"> PAGEREF _Toc491441620 \h </w:instrText>
            </w:r>
            <w:r w:rsidR="001C4486" w:rsidRPr="001C4486">
              <w:rPr>
                <w:webHidden/>
              </w:rPr>
            </w:r>
            <w:r w:rsidR="001C4486" w:rsidRPr="001C4486">
              <w:rPr>
                <w:webHidden/>
              </w:rPr>
              <w:fldChar w:fldCharType="separate"/>
            </w:r>
            <w:r w:rsidR="001C4486" w:rsidRPr="001C4486">
              <w:rPr>
                <w:webHidden/>
              </w:rPr>
              <w:t>3</w:t>
            </w:r>
            <w:r w:rsidR="001C4486" w:rsidRPr="001C4486">
              <w:rPr>
                <w:webHidden/>
              </w:rPr>
              <w:fldChar w:fldCharType="end"/>
            </w:r>
          </w:hyperlink>
        </w:p>
        <w:p w:rsidR="001C4486" w:rsidRPr="001C4486" w:rsidRDefault="00A83F22">
          <w:pPr>
            <w:pStyle w:val="TOC1"/>
            <w:rPr>
              <w:rFonts w:eastAsiaTheme="minorEastAsia" w:cstheme="minorBidi"/>
              <w:b w:val="0"/>
              <w:bdr w:val="none" w:sz="0" w:space="0" w:color="auto"/>
            </w:rPr>
          </w:pPr>
          <w:hyperlink w:anchor="_Toc491441621" w:history="1">
            <w:r w:rsidR="001C4486" w:rsidRPr="001C4486">
              <w:rPr>
                <w:rStyle w:val="Hyperlink"/>
                <w:lang w:val="es-VE"/>
              </w:rPr>
              <w:t>II.</w:t>
            </w:r>
            <w:r w:rsidR="001C4486" w:rsidRPr="001C4486">
              <w:rPr>
                <w:rFonts w:eastAsiaTheme="minorEastAsia" w:cstheme="minorBidi"/>
                <w:b w:val="0"/>
                <w:bdr w:val="none" w:sz="0" w:space="0" w:color="auto"/>
              </w:rPr>
              <w:tab/>
            </w:r>
            <w:r w:rsidR="001C4486" w:rsidRPr="001C4486">
              <w:rPr>
                <w:rStyle w:val="Hyperlink"/>
                <w:lang w:val="es-VE"/>
              </w:rPr>
              <w:t>POSICIONES DE LAS PARTES</w:t>
            </w:r>
            <w:r w:rsidR="001C4486" w:rsidRPr="001C4486">
              <w:rPr>
                <w:webHidden/>
              </w:rPr>
              <w:tab/>
            </w:r>
            <w:r w:rsidR="001C4486" w:rsidRPr="001C4486">
              <w:rPr>
                <w:webHidden/>
              </w:rPr>
              <w:fldChar w:fldCharType="begin"/>
            </w:r>
            <w:r w:rsidR="001C4486" w:rsidRPr="001C4486">
              <w:rPr>
                <w:webHidden/>
              </w:rPr>
              <w:instrText xml:space="preserve"> PAGEREF _Toc491441621 \h </w:instrText>
            </w:r>
            <w:r w:rsidR="001C4486" w:rsidRPr="001C4486">
              <w:rPr>
                <w:webHidden/>
              </w:rPr>
            </w:r>
            <w:r w:rsidR="001C4486" w:rsidRPr="001C4486">
              <w:rPr>
                <w:webHidden/>
              </w:rPr>
              <w:fldChar w:fldCharType="separate"/>
            </w:r>
            <w:r w:rsidR="001C4486" w:rsidRPr="001C4486">
              <w:rPr>
                <w:webHidden/>
              </w:rPr>
              <w:t>4</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2" w:history="1">
            <w:r w:rsidR="001C4486" w:rsidRPr="001C4486">
              <w:rPr>
                <w:rStyle w:val="Hyperlink"/>
              </w:rPr>
              <w:t>A.</w:t>
            </w:r>
            <w:r w:rsidR="001C4486" w:rsidRPr="001C4486">
              <w:rPr>
                <w:rFonts w:eastAsiaTheme="minorEastAsia" w:cstheme="minorBidi"/>
                <w:bdr w:val="none" w:sz="0" w:space="0" w:color="auto"/>
                <w:lang w:val="en-US"/>
              </w:rPr>
              <w:tab/>
            </w:r>
            <w:r w:rsidR="001C4486" w:rsidRPr="001C4486">
              <w:rPr>
                <w:rStyle w:val="Hyperlink"/>
              </w:rPr>
              <w:t>Posición de los peticionarios</w:t>
            </w:r>
            <w:r w:rsidR="001C4486" w:rsidRPr="001C4486">
              <w:rPr>
                <w:webHidden/>
              </w:rPr>
              <w:tab/>
            </w:r>
            <w:r w:rsidR="001C4486" w:rsidRPr="001C4486">
              <w:rPr>
                <w:webHidden/>
              </w:rPr>
              <w:fldChar w:fldCharType="begin"/>
            </w:r>
            <w:r w:rsidR="001C4486" w:rsidRPr="001C4486">
              <w:rPr>
                <w:webHidden/>
              </w:rPr>
              <w:instrText xml:space="preserve"> PAGEREF _Toc491441622 \h </w:instrText>
            </w:r>
            <w:r w:rsidR="001C4486" w:rsidRPr="001C4486">
              <w:rPr>
                <w:webHidden/>
              </w:rPr>
            </w:r>
            <w:r w:rsidR="001C4486" w:rsidRPr="001C4486">
              <w:rPr>
                <w:webHidden/>
              </w:rPr>
              <w:fldChar w:fldCharType="separate"/>
            </w:r>
            <w:r w:rsidR="001C4486" w:rsidRPr="001C4486">
              <w:rPr>
                <w:webHidden/>
              </w:rPr>
              <w:t>4</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3" w:history="1">
            <w:r w:rsidR="001C4486" w:rsidRPr="001C4486">
              <w:rPr>
                <w:rStyle w:val="Hyperlink"/>
              </w:rPr>
              <w:t>B.</w:t>
            </w:r>
            <w:r w:rsidR="001C4486" w:rsidRPr="001C4486">
              <w:rPr>
                <w:rFonts w:eastAsiaTheme="minorEastAsia" w:cstheme="minorBidi"/>
                <w:bdr w:val="none" w:sz="0" w:space="0" w:color="auto"/>
                <w:lang w:val="en-US"/>
              </w:rPr>
              <w:tab/>
            </w:r>
            <w:r w:rsidR="001C4486" w:rsidRPr="001C4486">
              <w:rPr>
                <w:rStyle w:val="Hyperlink"/>
              </w:rPr>
              <w:t>Posición del Estado</w:t>
            </w:r>
            <w:r w:rsidR="001C4486" w:rsidRPr="001C4486">
              <w:rPr>
                <w:webHidden/>
              </w:rPr>
              <w:tab/>
            </w:r>
            <w:r w:rsidR="001C4486" w:rsidRPr="001C4486">
              <w:rPr>
                <w:webHidden/>
              </w:rPr>
              <w:fldChar w:fldCharType="begin"/>
            </w:r>
            <w:r w:rsidR="001C4486" w:rsidRPr="001C4486">
              <w:rPr>
                <w:webHidden/>
              </w:rPr>
              <w:instrText xml:space="preserve"> PAGEREF _Toc491441623 \h </w:instrText>
            </w:r>
            <w:r w:rsidR="001C4486" w:rsidRPr="001C4486">
              <w:rPr>
                <w:webHidden/>
              </w:rPr>
            </w:r>
            <w:r w:rsidR="001C4486" w:rsidRPr="001C4486">
              <w:rPr>
                <w:webHidden/>
              </w:rPr>
              <w:fldChar w:fldCharType="separate"/>
            </w:r>
            <w:r w:rsidR="001C4486" w:rsidRPr="001C4486">
              <w:rPr>
                <w:webHidden/>
              </w:rPr>
              <w:t>5</w:t>
            </w:r>
            <w:r w:rsidR="001C4486" w:rsidRPr="001C4486">
              <w:rPr>
                <w:webHidden/>
              </w:rPr>
              <w:fldChar w:fldCharType="end"/>
            </w:r>
          </w:hyperlink>
        </w:p>
        <w:p w:rsidR="001C4486" w:rsidRPr="001C4486" w:rsidRDefault="00A83F22">
          <w:pPr>
            <w:pStyle w:val="TOC1"/>
            <w:rPr>
              <w:rFonts w:eastAsiaTheme="minorEastAsia" w:cstheme="minorBidi"/>
              <w:b w:val="0"/>
              <w:bdr w:val="none" w:sz="0" w:space="0" w:color="auto"/>
            </w:rPr>
          </w:pPr>
          <w:hyperlink w:anchor="_Toc491441624" w:history="1">
            <w:r w:rsidR="001C4486" w:rsidRPr="001C4486">
              <w:rPr>
                <w:rStyle w:val="Hyperlink"/>
              </w:rPr>
              <w:t>III.</w:t>
            </w:r>
            <w:r w:rsidR="001C4486" w:rsidRPr="001C4486">
              <w:rPr>
                <w:rFonts w:eastAsiaTheme="minorEastAsia" w:cstheme="minorBidi"/>
                <w:b w:val="0"/>
                <w:bdr w:val="none" w:sz="0" w:space="0" w:color="auto"/>
              </w:rPr>
              <w:tab/>
            </w:r>
            <w:r w:rsidR="001C4486" w:rsidRPr="001C4486">
              <w:rPr>
                <w:rStyle w:val="Hyperlink"/>
              </w:rPr>
              <w:t>HECHOS PROBADOS</w:t>
            </w:r>
            <w:r w:rsidR="001C4486" w:rsidRPr="001C4486">
              <w:rPr>
                <w:webHidden/>
              </w:rPr>
              <w:tab/>
            </w:r>
            <w:r w:rsidR="001C4486" w:rsidRPr="001C4486">
              <w:rPr>
                <w:webHidden/>
              </w:rPr>
              <w:fldChar w:fldCharType="begin"/>
            </w:r>
            <w:r w:rsidR="001C4486" w:rsidRPr="001C4486">
              <w:rPr>
                <w:webHidden/>
              </w:rPr>
              <w:instrText xml:space="preserve"> PAGEREF _Toc491441624 \h </w:instrText>
            </w:r>
            <w:r w:rsidR="001C4486" w:rsidRPr="001C4486">
              <w:rPr>
                <w:webHidden/>
              </w:rPr>
            </w:r>
            <w:r w:rsidR="001C4486" w:rsidRPr="001C4486">
              <w:rPr>
                <w:webHidden/>
              </w:rPr>
              <w:fldChar w:fldCharType="separate"/>
            </w:r>
            <w:r w:rsidR="001C4486" w:rsidRPr="001C4486">
              <w:rPr>
                <w:webHidden/>
              </w:rPr>
              <w:t>6</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5" w:history="1">
            <w:r w:rsidR="001C4486" w:rsidRPr="001C4486">
              <w:rPr>
                <w:rStyle w:val="Hyperlink"/>
                <w:lang w:val="es-MX"/>
              </w:rPr>
              <w:t>A.</w:t>
            </w:r>
            <w:r w:rsidR="001C4486" w:rsidRPr="001C4486">
              <w:rPr>
                <w:rFonts w:eastAsiaTheme="minorEastAsia" w:cstheme="minorBidi"/>
                <w:bdr w:val="none" w:sz="0" w:space="0" w:color="auto"/>
                <w:lang w:val="en-US"/>
              </w:rPr>
              <w:tab/>
            </w:r>
            <w:r w:rsidR="001C4486" w:rsidRPr="001C4486">
              <w:rPr>
                <w:rStyle w:val="Hyperlink"/>
                <w:lang w:val="es-MX"/>
              </w:rPr>
              <w:t>Los familiares de la presunta víctima</w:t>
            </w:r>
            <w:r w:rsidR="001C4486" w:rsidRPr="001C4486">
              <w:rPr>
                <w:webHidden/>
              </w:rPr>
              <w:tab/>
            </w:r>
            <w:r w:rsidR="001C4486" w:rsidRPr="001C4486">
              <w:rPr>
                <w:webHidden/>
              </w:rPr>
              <w:fldChar w:fldCharType="begin"/>
            </w:r>
            <w:r w:rsidR="001C4486" w:rsidRPr="001C4486">
              <w:rPr>
                <w:webHidden/>
              </w:rPr>
              <w:instrText xml:space="preserve"> PAGEREF _Toc491441625 \h </w:instrText>
            </w:r>
            <w:r w:rsidR="001C4486" w:rsidRPr="001C4486">
              <w:rPr>
                <w:webHidden/>
              </w:rPr>
            </w:r>
            <w:r w:rsidR="001C4486" w:rsidRPr="001C4486">
              <w:rPr>
                <w:webHidden/>
              </w:rPr>
              <w:fldChar w:fldCharType="separate"/>
            </w:r>
            <w:r w:rsidR="001C4486" w:rsidRPr="001C4486">
              <w:rPr>
                <w:webHidden/>
              </w:rPr>
              <w:t>6</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6" w:history="1">
            <w:r w:rsidR="001C4486" w:rsidRPr="001C4486">
              <w:rPr>
                <w:rStyle w:val="Hyperlink"/>
                <w:lang w:val="es-MX"/>
              </w:rPr>
              <w:t>B.</w:t>
            </w:r>
            <w:r w:rsidR="001C4486" w:rsidRPr="001C4486">
              <w:rPr>
                <w:rFonts w:eastAsiaTheme="minorEastAsia" w:cstheme="minorBidi"/>
                <w:bdr w:val="none" w:sz="0" w:space="0" w:color="auto"/>
                <w:lang w:val="en-US"/>
              </w:rPr>
              <w:tab/>
            </w:r>
            <w:r w:rsidR="001C4486" w:rsidRPr="001C4486">
              <w:rPr>
                <w:rStyle w:val="Hyperlink"/>
                <w:lang w:val="es-MX"/>
              </w:rPr>
              <w:t>El proceso interno adelantado en contra de la presunta víctima</w:t>
            </w:r>
            <w:r w:rsidR="001C4486" w:rsidRPr="001C4486">
              <w:rPr>
                <w:webHidden/>
              </w:rPr>
              <w:tab/>
            </w:r>
            <w:r w:rsidR="001C4486" w:rsidRPr="001C4486">
              <w:rPr>
                <w:webHidden/>
              </w:rPr>
              <w:fldChar w:fldCharType="begin"/>
            </w:r>
            <w:r w:rsidR="001C4486" w:rsidRPr="001C4486">
              <w:rPr>
                <w:webHidden/>
              </w:rPr>
              <w:instrText xml:space="preserve"> PAGEREF _Toc491441626 \h </w:instrText>
            </w:r>
            <w:r w:rsidR="001C4486" w:rsidRPr="001C4486">
              <w:rPr>
                <w:webHidden/>
              </w:rPr>
            </w:r>
            <w:r w:rsidR="001C4486" w:rsidRPr="001C4486">
              <w:rPr>
                <w:webHidden/>
              </w:rPr>
              <w:fldChar w:fldCharType="separate"/>
            </w:r>
            <w:r w:rsidR="001C4486" w:rsidRPr="001C4486">
              <w:rPr>
                <w:webHidden/>
              </w:rPr>
              <w:t>6</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7" w:history="1">
            <w:r w:rsidR="001C4486" w:rsidRPr="001C4486">
              <w:rPr>
                <w:rStyle w:val="Hyperlink"/>
              </w:rPr>
              <w:t>1.</w:t>
            </w:r>
            <w:r w:rsidR="001C4486" w:rsidRPr="001C4486">
              <w:rPr>
                <w:rFonts w:eastAsiaTheme="minorEastAsia" w:cstheme="minorBidi"/>
                <w:bdr w:val="none" w:sz="0" w:space="0" w:color="auto"/>
                <w:lang w:val="en-US"/>
              </w:rPr>
              <w:tab/>
            </w:r>
            <w:r w:rsidR="001C4486" w:rsidRPr="001C4486">
              <w:rPr>
                <w:rStyle w:val="Hyperlink"/>
              </w:rPr>
              <w:t>Detención y alegatos de tortura</w:t>
            </w:r>
            <w:r w:rsidR="001C4486" w:rsidRPr="001C4486">
              <w:rPr>
                <w:webHidden/>
              </w:rPr>
              <w:tab/>
            </w:r>
            <w:r w:rsidR="001C4486" w:rsidRPr="001C4486">
              <w:rPr>
                <w:webHidden/>
              </w:rPr>
              <w:fldChar w:fldCharType="begin"/>
            </w:r>
            <w:r w:rsidR="001C4486" w:rsidRPr="001C4486">
              <w:rPr>
                <w:webHidden/>
              </w:rPr>
              <w:instrText xml:space="preserve"> PAGEREF _Toc491441627 \h </w:instrText>
            </w:r>
            <w:r w:rsidR="001C4486" w:rsidRPr="001C4486">
              <w:rPr>
                <w:webHidden/>
              </w:rPr>
            </w:r>
            <w:r w:rsidR="001C4486" w:rsidRPr="001C4486">
              <w:rPr>
                <w:webHidden/>
              </w:rPr>
              <w:fldChar w:fldCharType="separate"/>
            </w:r>
            <w:r w:rsidR="001C4486" w:rsidRPr="001C4486">
              <w:rPr>
                <w:webHidden/>
              </w:rPr>
              <w:t>7</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28" w:history="1">
            <w:r w:rsidR="001C4486" w:rsidRPr="001C4486">
              <w:rPr>
                <w:rStyle w:val="Hyperlink"/>
              </w:rPr>
              <w:t>2.</w:t>
            </w:r>
            <w:r w:rsidR="001C4486" w:rsidRPr="001C4486">
              <w:rPr>
                <w:rFonts w:eastAsiaTheme="minorEastAsia" w:cstheme="minorBidi"/>
                <w:bdr w:val="none" w:sz="0" w:space="0" w:color="auto"/>
                <w:lang w:val="en-US"/>
              </w:rPr>
              <w:tab/>
            </w:r>
            <w:r w:rsidR="001C4486" w:rsidRPr="001C4486">
              <w:rPr>
                <w:rStyle w:val="Hyperlink"/>
              </w:rPr>
              <w:t>El contexto de la aplicación de la pena de muerte en Guatemala</w:t>
            </w:r>
            <w:r w:rsidR="001C4486" w:rsidRPr="001C4486">
              <w:rPr>
                <w:webHidden/>
              </w:rPr>
              <w:tab/>
            </w:r>
            <w:r w:rsidR="001C4486" w:rsidRPr="001C4486">
              <w:rPr>
                <w:webHidden/>
              </w:rPr>
              <w:fldChar w:fldCharType="begin"/>
            </w:r>
            <w:r w:rsidR="001C4486" w:rsidRPr="001C4486">
              <w:rPr>
                <w:webHidden/>
              </w:rPr>
              <w:instrText xml:space="preserve"> PAGEREF _Toc491441628 \h </w:instrText>
            </w:r>
            <w:r w:rsidR="001C4486" w:rsidRPr="001C4486">
              <w:rPr>
                <w:webHidden/>
              </w:rPr>
            </w:r>
            <w:r w:rsidR="001C4486" w:rsidRPr="001C4486">
              <w:rPr>
                <w:webHidden/>
              </w:rPr>
              <w:fldChar w:fldCharType="separate"/>
            </w:r>
            <w:r w:rsidR="001C4486" w:rsidRPr="001C4486">
              <w:rPr>
                <w:webHidden/>
              </w:rPr>
              <w:t>9</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29" w:history="1">
            <w:r w:rsidR="001C4486" w:rsidRPr="001C4486">
              <w:rPr>
                <w:rStyle w:val="Hyperlink"/>
                <w:rFonts w:asciiTheme="majorHAnsi" w:hAnsiTheme="majorHAnsi"/>
                <w:noProof/>
                <w:sz w:val="20"/>
                <w:szCs w:val="20"/>
                <w:lang w:val="es-VE"/>
              </w:rPr>
              <w:t>2.1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VE"/>
              </w:rPr>
              <w:t>El recurso de gracia y la derogatoria del Decreto 159 de 1892</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_Toc491441629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11</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0" w:history="1">
            <w:r w:rsidR="001C4486" w:rsidRPr="001C4486">
              <w:rPr>
                <w:rStyle w:val="Hyperlink"/>
                <w:rFonts w:asciiTheme="majorHAnsi" w:hAnsiTheme="majorHAnsi"/>
                <w:noProof/>
                <w:sz w:val="20"/>
                <w:szCs w:val="20"/>
                <w:lang w:val="es-VE"/>
              </w:rPr>
              <w:t>2.2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VE"/>
              </w:rPr>
              <w:t>Los casos Fermín Ramírez y Raxcacó Reyes vs. Guatemala conocidos por la Corte Interamericana</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_Toc491441630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11</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1" w:history="1">
            <w:r w:rsidR="001C4486" w:rsidRPr="001C4486">
              <w:rPr>
                <w:rStyle w:val="Hyperlink"/>
                <w:rFonts w:asciiTheme="majorHAnsi" w:hAnsiTheme="majorHAnsi"/>
                <w:noProof/>
                <w:sz w:val="20"/>
                <w:szCs w:val="20"/>
                <w:lang w:val="es-VE"/>
              </w:rPr>
              <w:t>2.3</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VE"/>
              </w:rPr>
              <w:t>La pena de muerte en Guatemala en la actualidad</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_Toc491441631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13</w:t>
            </w:r>
            <w:r w:rsidR="001C4486" w:rsidRPr="001C4486">
              <w:rPr>
                <w:rFonts w:asciiTheme="majorHAnsi" w:hAnsiTheme="majorHAnsi"/>
                <w:noProof/>
                <w:webHidden/>
                <w:sz w:val="20"/>
                <w:szCs w:val="20"/>
              </w:rPr>
              <w:fldChar w:fldCharType="end"/>
            </w:r>
          </w:hyperlink>
        </w:p>
        <w:p w:rsidR="001C4486" w:rsidRPr="001C4486" w:rsidRDefault="00A83F22">
          <w:pPr>
            <w:pStyle w:val="TOC2"/>
            <w:rPr>
              <w:rFonts w:eastAsiaTheme="minorEastAsia" w:cstheme="minorBidi"/>
              <w:bdr w:val="none" w:sz="0" w:space="0" w:color="auto"/>
              <w:lang w:val="en-US"/>
            </w:rPr>
          </w:pPr>
          <w:hyperlink w:anchor="_Toc491441632" w:history="1">
            <w:r w:rsidR="001C4486" w:rsidRPr="001C4486">
              <w:rPr>
                <w:rStyle w:val="Hyperlink"/>
              </w:rPr>
              <w:t>3.</w:t>
            </w:r>
            <w:r w:rsidR="001C4486" w:rsidRPr="001C4486">
              <w:rPr>
                <w:rFonts w:eastAsiaTheme="minorEastAsia" w:cstheme="minorBidi"/>
                <w:bdr w:val="none" w:sz="0" w:space="0" w:color="auto"/>
                <w:lang w:val="en-US"/>
              </w:rPr>
              <w:tab/>
            </w:r>
            <w:r w:rsidR="001C4486" w:rsidRPr="001C4486">
              <w:rPr>
                <w:rStyle w:val="Hyperlink"/>
              </w:rPr>
              <w:t>Sentencia condenatoria y acciones posteriores</w:t>
            </w:r>
            <w:r w:rsidR="001C4486" w:rsidRPr="001C4486">
              <w:rPr>
                <w:webHidden/>
              </w:rPr>
              <w:tab/>
            </w:r>
            <w:r w:rsidR="001C4486" w:rsidRPr="001C4486">
              <w:rPr>
                <w:webHidden/>
              </w:rPr>
              <w:fldChar w:fldCharType="begin"/>
            </w:r>
            <w:r w:rsidR="001C4486" w:rsidRPr="001C4486">
              <w:rPr>
                <w:webHidden/>
              </w:rPr>
              <w:instrText xml:space="preserve"> PAGEREF _Toc491441632 \h </w:instrText>
            </w:r>
            <w:r w:rsidR="001C4486" w:rsidRPr="001C4486">
              <w:rPr>
                <w:webHidden/>
              </w:rPr>
            </w:r>
            <w:r w:rsidR="001C4486" w:rsidRPr="001C4486">
              <w:rPr>
                <w:webHidden/>
              </w:rPr>
              <w:fldChar w:fldCharType="separate"/>
            </w:r>
            <w:r w:rsidR="001C4486" w:rsidRPr="001C4486">
              <w:rPr>
                <w:webHidden/>
              </w:rPr>
              <w:t>14</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3" w:history="1">
            <w:r w:rsidR="001C4486" w:rsidRPr="001C4486">
              <w:rPr>
                <w:rStyle w:val="Hyperlink"/>
                <w:rFonts w:asciiTheme="majorHAnsi" w:hAnsiTheme="majorHAnsi"/>
                <w:noProof/>
                <w:sz w:val="20"/>
                <w:szCs w:val="20"/>
                <w:lang w:val="es-ES"/>
              </w:rPr>
              <w:t>3.1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Sentencia condenatoria</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_Toc491441633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14</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4" w:history="1">
            <w:r w:rsidR="001C4486" w:rsidRPr="001C4486">
              <w:rPr>
                <w:rStyle w:val="Hyperlink"/>
                <w:rFonts w:asciiTheme="majorHAnsi" w:hAnsiTheme="majorHAnsi"/>
                <w:noProof/>
                <w:sz w:val="20"/>
                <w:szCs w:val="20"/>
                <w:lang w:val="es-ES"/>
              </w:rPr>
              <w:t>3.2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Recurso de apelación especial</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_Toc491441634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15</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5" w:history="1">
            <w:r w:rsidR="001C4486" w:rsidRPr="001C4486">
              <w:rPr>
                <w:rStyle w:val="Hyperlink"/>
                <w:rFonts w:asciiTheme="majorHAnsi" w:hAnsiTheme="majorHAnsi"/>
                <w:noProof/>
                <w:sz w:val="20"/>
                <w:szCs w:val="20"/>
                <w:lang w:val="es-ES"/>
              </w:rPr>
              <w:t>3.3</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Recurso de casación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_Toc491441635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16</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6" w:history="1">
            <w:r w:rsidR="001C4486" w:rsidRPr="001C4486">
              <w:rPr>
                <w:rStyle w:val="Hyperlink"/>
                <w:rFonts w:asciiTheme="majorHAnsi" w:hAnsiTheme="majorHAnsi"/>
                <w:noProof/>
                <w:sz w:val="20"/>
                <w:szCs w:val="20"/>
                <w:lang w:val="es-ES"/>
              </w:rPr>
              <w:t>3.4</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Recurso de amparo</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_Toc491441636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16</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7" w:history="1">
            <w:r w:rsidR="001C4486" w:rsidRPr="001C4486">
              <w:rPr>
                <w:rStyle w:val="Hyperlink"/>
                <w:rFonts w:asciiTheme="majorHAnsi" w:hAnsiTheme="majorHAnsi"/>
                <w:noProof/>
                <w:sz w:val="20"/>
                <w:szCs w:val="20"/>
                <w:lang w:val="es-ES"/>
              </w:rPr>
              <w:t>3.5</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Recurso de revisión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_Toc491441637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17</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38" w:history="1">
            <w:r w:rsidR="001C4486" w:rsidRPr="001C4486">
              <w:rPr>
                <w:rStyle w:val="Hyperlink"/>
                <w:rFonts w:asciiTheme="majorHAnsi" w:hAnsiTheme="majorHAnsi"/>
                <w:noProof/>
                <w:sz w:val="20"/>
                <w:szCs w:val="20"/>
                <w:lang w:val="es-ES"/>
              </w:rPr>
              <w:t>3.6</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Recurso de gracia</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_Toc491441638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17</w:t>
            </w:r>
            <w:r w:rsidR="001C4486" w:rsidRPr="001C4486">
              <w:rPr>
                <w:rFonts w:asciiTheme="majorHAnsi" w:hAnsiTheme="majorHAnsi"/>
                <w:noProof/>
                <w:webHidden/>
                <w:sz w:val="20"/>
                <w:szCs w:val="20"/>
              </w:rPr>
              <w:fldChar w:fldCharType="end"/>
            </w:r>
          </w:hyperlink>
        </w:p>
        <w:p w:rsidR="001C4486" w:rsidRPr="001C4486" w:rsidRDefault="00A83F22">
          <w:pPr>
            <w:pStyle w:val="TOC2"/>
            <w:rPr>
              <w:rFonts w:eastAsiaTheme="minorEastAsia" w:cstheme="minorBidi"/>
              <w:bdr w:val="none" w:sz="0" w:space="0" w:color="auto"/>
              <w:lang w:val="en-US"/>
            </w:rPr>
          </w:pPr>
          <w:hyperlink w:anchor="_Toc491441639" w:history="1">
            <w:r w:rsidR="001C4486" w:rsidRPr="001C4486">
              <w:rPr>
                <w:rStyle w:val="Hyperlink"/>
                <w:lang w:val="es-VE"/>
              </w:rPr>
              <w:t>4.</w:t>
            </w:r>
            <w:r w:rsidR="001C4486" w:rsidRPr="001C4486">
              <w:rPr>
                <w:rFonts w:eastAsiaTheme="minorEastAsia" w:cstheme="minorBidi"/>
                <w:bdr w:val="none" w:sz="0" w:space="0" w:color="auto"/>
                <w:lang w:val="en-US"/>
              </w:rPr>
              <w:tab/>
            </w:r>
            <w:r w:rsidR="001C4486" w:rsidRPr="001C4486">
              <w:rPr>
                <w:rStyle w:val="Hyperlink"/>
              </w:rPr>
              <w:t>La muerte de la presunta víctima en el marco del Plan Gavilán</w:t>
            </w:r>
            <w:r w:rsidR="001C4486" w:rsidRPr="001C4486">
              <w:rPr>
                <w:webHidden/>
              </w:rPr>
              <w:tab/>
            </w:r>
            <w:r w:rsidR="001C4486" w:rsidRPr="001C4486">
              <w:rPr>
                <w:webHidden/>
              </w:rPr>
              <w:fldChar w:fldCharType="begin"/>
            </w:r>
            <w:r w:rsidR="001C4486" w:rsidRPr="001C4486">
              <w:rPr>
                <w:webHidden/>
              </w:rPr>
              <w:instrText xml:space="preserve"> PAGEREF _Toc491441639 \h </w:instrText>
            </w:r>
            <w:r w:rsidR="001C4486" w:rsidRPr="001C4486">
              <w:rPr>
                <w:webHidden/>
              </w:rPr>
            </w:r>
            <w:r w:rsidR="001C4486" w:rsidRPr="001C4486">
              <w:rPr>
                <w:webHidden/>
              </w:rPr>
              <w:fldChar w:fldCharType="separate"/>
            </w:r>
            <w:r w:rsidR="001C4486" w:rsidRPr="001C4486">
              <w:rPr>
                <w:webHidden/>
              </w:rPr>
              <w:t>17</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0" w:history="1">
            <w:r w:rsidR="001C4486" w:rsidRPr="001C4486">
              <w:rPr>
                <w:rStyle w:val="Hyperlink"/>
                <w:rFonts w:asciiTheme="majorHAnsi" w:hAnsiTheme="majorHAnsi"/>
                <w:noProof/>
                <w:sz w:val="20"/>
                <w:szCs w:val="20"/>
                <w:lang w:val="es-ES"/>
              </w:rPr>
              <w:t>4.1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El Plan Gavilán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_Toc491441640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17</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1" w:history="1">
            <w:r w:rsidR="001C4486" w:rsidRPr="001C4486">
              <w:rPr>
                <w:rStyle w:val="Hyperlink"/>
                <w:rFonts w:asciiTheme="majorHAnsi" w:hAnsiTheme="majorHAnsi"/>
                <w:noProof/>
                <w:sz w:val="20"/>
                <w:szCs w:val="20"/>
                <w:lang w:val="es-ES"/>
              </w:rPr>
              <w:t>4.2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Muerte de la presunta víctima con posterioridad a su fuga de la cárcel e investigaciones al respecto</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_Toc491441641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18</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2" w:history="1">
            <w:r w:rsidR="001C4486" w:rsidRPr="001C4486">
              <w:rPr>
                <w:rStyle w:val="Hyperlink"/>
                <w:rFonts w:asciiTheme="majorHAnsi" w:eastAsia="Times New Roman" w:hAnsiTheme="majorHAnsi" w:cs="Courier New"/>
                <w:noProof/>
                <w:sz w:val="20"/>
                <w:szCs w:val="20"/>
                <w:lang w:val="es-ES"/>
              </w:rPr>
              <w:t>4.3</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Hipótesis sobre los autores de la muerte</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_Toc491441642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19</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3" w:history="1">
            <w:r w:rsidR="001C4486" w:rsidRPr="001C4486">
              <w:rPr>
                <w:rStyle w:val="Hyperlink"/>
                <w:rFonts w:asciiTheme="majorHAnsi" w:eastAsia="Times New Roman" w:hAnsiTheme="majorHAnsi" w:cs="Courier New"/>
                <w:noProof/>
                <w:sz w:val="20"/>
                <w:szCs w:val="20"/>
                <w:lang w:val="es-ES"/>
              </w:rPr>
              <w:t>4.4</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Diligencias realizadas en la investigación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_Toc491441643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21</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4" w:history="1">
            <w:r w:rsidR="001C4486" w:rsidRPr="001C4486">
              <w:rPr>
                <w:rStyle w:val="Hyperlink"/>
                <w:rFonts w:asciiTheme="majorHAnsi" w:eastAsia="Times New Roman" w:hAnsiTheme="majorHAnsi" w:cs="Courier New"/>
                <w:noProof/>
                <w:sz w:val="20"/>
                <w:szCs w:val="20"/>
                <w:lang w:val="es-ES"/>
              </w:rPr>
              <w:t>4.5</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ES"/>
              </w:rPr>
              <w:t>Otras investigaciones de las consecuencias del “Plan Gavilán”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_Toc491441644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22</w:t>
            </w:r>
            <w:r w:rsidR="001C4486" w:rsidRPr="001C4486">
              <w:rPr>
                <w:rFonts w:asciiTheme="majorHAnsi" w:hAnsiTheme="majorHAnsi"/>
                <w:noProof/>
                <w:webHidden/>
                <w:sz w:val="20"/>
                <w:szCs w:val="20"/>
              </w:rPr>
              <w:fldChar w:fldCharType="end"/>
            </w:r>
          </w:hyperlink>
        </w:p>
        <w:p w:rsidR="001C4486" w:rsidRPr="001C4486" w:rsidRDefault="00A83F22">
          <w:pPr>
            <w:pStyle w:val="TOC1"/>
            <w:rPr>
              <w:rFonts w:eastAsiaTheme="minorEastAsia" w:cstheme="minorBidi"/>
              <w:b w:val="0"/>
              <w:bdr w:val="none" w:sz="0" w:space="0" w:color="auto"/>
            </w:rPr>
          </w:pPr>
          <w:hyperlink w:anchor="_Toc491441645" w:history="1">
            <w:r w:rsidR="001C4486" w:rsidRPr="001C4486">
              <w:rPr>
                <w:rStyle w:val="Hyperlink"/>
              </w:rPr>
              <w:t>IV.</w:t>
            </w:r>
            <w:r w:rsidR="001C4486" w:rsidRPr="001C4486">
              <w:rPr>
                <w:rFonts w:eastAsiaTheme="minorEastAsia" w:cstheme="minorBidi"/>
                <w:b w:val="0"/>
                <w:bdr w:val="none" w:sz="0" w:space="0" w:color="auto"/>
              </w:rPr>
              <w:tab/>
            </w:r>
            <w:r w:rsidR="001C4486" w:rsidRPr="001C4486">
              <w:rPr>
                <w:rStyle w:val="Hyperlink"/>
              </w:rPr>
              <w:t>ANÁLISIS DE DERECHO</w:t>
            </w:r>
            <w:r w:rsidR="001C4486" w:rsidRPr="001C4486">
              <w:rPr>
                <w:webHidden/>
              </w:rPr>
              <w:tab/>
            </w:r>
            <w:r w:rsidR="001C4486" w:rsidRPr="001C4486">
              <w:rPr>
                <w:webHidden/>
              </w:rPr>
              <w:fldChar w:fldCharType="begin"/>
            </w:r>
            <w:r w:rsidR="001C4486" w:rsidRPr="001C4486">
              <w:rPr>
                <w:webHidden/>
              </w:rPr>
              <w:instrText xml:space="preserve"> PAGEREF _Toc491441645 \h </w:instrText>
            </w:r>
            <w:r w:rsidR="001C4486" w:rsidRPr="001C4486">
              <w:rPr>
                <w:webHidden/>
              </w:rPr>
            </w:r>
            <w:r w:rsidR="001C4486" w:rsidRPr="001C4486">
              <w:rPr>
                <w:webHidden/>
              </w:rPr>
              <w:fldChar w:fldCharType="separate"/>
            </w:r>
            <w:r w:rsidR="001C4486" w:rsidRPr="001C4486">
              <w:rPr>
                <w:webHidden/>
              </w:rPr>
              <w:t>23</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46" w:history="1">
            <w:r w:rsidR="001C4486" w:rsidRPr="001C4486">
              <w:rPr>
                <w:rStyle w:val="Hyperlink"/>
              </w:rPr>
              <w:t>A.</w:t>
            </w:r>
            <w:r w:rsidR="001C4486" w:rsidRPr="001C4486">
              <w:rPr>
                <w:rFonts w:eastAsiaTheme="minorEastAsia" w:cstheme="minorBidi"/>
                <w:bdr w:val="none" w:sz="0" w:space="0" w:color="auto"/>
                <w:lang w:val="en-US"/>
              </w:rPr>
              <w:tab/>
            </w:r>
            <w:r w:rsidR="001C4486" w:rsidRPr="001C4486">
              <w:rPr>
                <w:rStyle w:val="Hyperlink"/>
              </w:rPr>
              <w:t>Derechos a la vida, garantías judiciales y protección judicial en el marco del proceso que culminó con la imposición de la pena de muerte y la inexistencia del recurso de gracia</w:t>
            </w:r>
            <w:r w:rsidR="001C4486" w:rsidRPr="001C4486">
              <w:rPr>
                <w:webHidden/>
              </w:rPr>
              <w:tab/>
            </w:r>
            <w:r w:rsidR="001C4486" w:rsidRPr="001C4486">
              <w:rPr>
                <w:webHidden/>
              </w:rPr>
              <w:fldChar w:fldCharType="begin"/>
            </w:r>
            <w:r w:rsidR="001C4486" w:rsidRPr="001C4486">
              <w:rPr>
                <w:webHidden/>
              </w:rPr>
              <w:instrText xml:space="preserve"> PAGEREF _Toc491441646 \h </w:instrText>
            </w:r>
            <w:r w:rsidR="001C4486" w:rsidRPr="001C4486">
              <w:rPr>
                <w:webHidden/>
              </w:rPr>
            </w:r>
            <w:r w:rsidR="001C4486" w:rsidRPr="001C4486">
              <w:rPr>
                <w:webHidden/>
              </w:rPr>
              <w:fldChar w:fldCharType="separate"/>
            </w:r>
            <w:r w:rsidR="001C4486" w:rsidRPr="001C4486">
              <w:rPr>
                <w:webHidden/>
              </w:rPr>
              <w:t>23</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7" w:history="1">
            <w:r w:rsidR="001C4486" w:rsidRPr="001C4486">
              <w:rPr>
                <w:rStyle w:val="Hyperlink"/>
                <w:rFonts w:asciiTheme="majorHAnsi" w:hAnsiTheme="majorHAnsi"/>
                <w:noProof/>
                <w:sz w:val="20"/>
                <w:szCs w:val="20"/>
                <w:lang w:val="es-ES"/>
              </w:rPr>
              <w:t>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 xml:space="preserve">Consideraciones generales sobre el estándar de análisis en </w:t>
            </w:r>
            <w:r w:rsidR="001C4486" w:rsidRPr="001C4486">
              <w:rPr>
                <w:rStyle w:val="Hyperlink"/>
                <w:rFonts w:asciiTheme="majorHAnsi" w:hAnsiTheme="majorHAnsi"/>
                <w:noProof/>
                <w:sz w:val="20"/>
                <w:szCs w:val="20"/>
                <w:lang w:val="es-DO"/>
              </w:rPr>
              <w:t>casos</w:t>
            </w:r>
            <w:r w:rsidR="001C4486" w:rsidRPr="001C4486">
              <w:rPr>
                <w:rStyle w:val="Hyperlink"/>
                <w:rFonts w:asciiTheme="majorHAnsi" w:hAnsiTheme="majorHAnsi"/>
                <w:noProof/>
                <w:sz w:val="20"/>
                <w:szCs w:val="20"/>
                <w:lang w:val="es-CO"/>
              </w:rPr>
              <w:t xml:space="preserve"> de pena de muerte</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_Toc491441647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23</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8" w:history="1">
            <w:r w:rsidR="001C4486" w:rsidRPr="001C4486">
              <w:rPr>
                <w:rStyle w:val="Hyperlink"/>
                <w:rFonts w:asciiTheme="majorHAnsi" w:eastAsia="Cambria" w:hAnsiTheme="majorHAnsi"/>
                <w:noProof/>
                <w:sz w:val="20"/>
                <w:szCs w:val="20"/>
                <w:u w:color="000000"/>
                <w:lang w:val="es-ES" w:eastAsia="es-ES"/>
              </w:rPr>
              <w:t>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Análisis de si en el proceso que culminó con la imposición de la pena de muerte se respetaron las garantías judiciales y la protección judicial</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_Toc491441648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24</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49" w:history="1">
            <w:r w:rsidR="001C4486" w:rsidRPr="001C4486">
              <w:rPr>
                <w:rStyle w:val="Hyperlink"/>
                <w:rFonts w:asciiTheme="majorHAnsi" w:eastAsia="Cambria" w:hAnsiTheme="majorHAnsi"/>
                <w:noProof/>
                <w:sz w:val="20"/>
                <w:szCs w:val="20"/>
                <w:u w:color="000000"/>
                <w:lang w:val="es-ES" w:eastAsia="es-ES"/>
              </w:rPr>
              <w:t>3.</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Análisis de si la imposición de la pena de muerte en el caso de secuestro fue violatoria de la Convención</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_Toc491441649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29</w:t>
            </w:r>
            <w:r w:rsidR="001C4486" w:rsidRPr="001C4486">
              <w:rPr>
                <w:rFonts w:asciiTheme="majorHAnsi" w:hAnsiTheme="majorHAnsi"/>
                <w:noProof/>
                <w:webHidden/>
                <w:sz w:val="20"/>
                <w:szCs w:val="20"/>
              </w:rPr>
              <w:fldChar w:fldCharType="end"/>
            </w:r>
          </w:hyperlink>
        </w:p>
        <w:p w:rsidR="001C4486" w:rsidRPr="001C4486" w:rsidRDefault="00A83F22">
          <w:pPr>
            <w:pStyle w:val="TOC2"/>
            <w:rPr>
              <w:rFonts w:eastAsiaTheme="minorEastAsia" w:cstheme="minorBidi"/>
              <w:bdr w:val="none" w:sz="0" w:space="0" w:color="auto"/>
              <w:lang w:val="en-US"/>
            </w:rPr>
          </w:pPr>
          <w:hyperlink w:anchor="_Toc491441650" w:history="1">
            <w:r w:rsidR="001C4486" w:rsidRPr="001C4486">
              <w:rPr>
                <w:rStyle w:val="Hyperlink"/>
              </w:rPr>
              <w:t>B.</w:t>
            </w:r>
            <w:r w:rsidR="001C4486" w:rsidRPr="001C4486">
              <w:rPr>
                <w:rFonts w:eastAsiaTheme="minorEastAsia" w:cstheme="minorBidi"/>
                <w:bdr w:val="none" w:sz="0" w:space="0" w:color="auto"/>
                <w:lang w:val="en-US"/>
              </w:rPr>
              <w:tab/>
            </w:r>
            <w:r w:rsidR="001C4486" w:rsidRPr="001C4486">
              <w:rPr>
                <w:rStyle w:val="Hyperlink"/>
              </w:rPr>
              <w:t>Derecho a la integridad personal con respecto al fenómeno del “corredor de la muerte” y disposiciones relevantes de la CIPST</w:t>
            </w:r>
            <w:r w:rsidR="001C4486" w:rsidRPr="001C4486">
              <w:rPr>
                <w:webHidden/>
              </w:rPr>
              <w:tab/>
            </w:r>
            <w:r w:rsidR="001C4486" w:rsidRPr="001C4486">
              <w:rPr>
                <w:webHidden/>
              </w:rPr>
              <w:fldChar w:fldCharType="begin"/>
            </w:r>
            <w:r w:rsidR="001C4486" w:rsidRPr="001C4486">
              <w:rPr>
                <w:webHidden/>
              </w:rPr>
              <w:instrText xml:space="preserve"> PAGEREF _Toc491441650 \h </w:instrText>
            </w:r>
            <w:r w:rsidR="001C4486" w:rsidRPr="001C4486">
              <w:rPr>
                <w:webHidden/>
              </w:rPr>
            </w:r>
            <w:r w:rsidR="001C4486" w:rsidRPr="001C4486">
              <w:rPr>
                <w:webHidden/>
              </w:rPr>
              <w:fldChar w:fldCharType="separate"/>
            </w:r>
            <w:r w:rsidR="001C4486" w:rsidRPr="001C4486">
              <w:rPr>
                <w:webHidden/>
              </w:rPr>
              <w:t>32</w:t>
            </w:r>
            <w:r w:rsidR="001C4486" w:rsidRPr="001C4486">
              <w:rPr>
                <w:webHidden/>
              </w:rPr>
              <w:fldChar w:fldCharType="end"/>
            </w:r>
          </w:hyperlink>
        </w:p>
        <w:p w:rsidR="001C4486" w:rsidRPr="001C4486" w:rsidRDefault="00A83F22">
          <w:pPr>
            <w:pStyle w:val="TOC2"/>
            <w:rPr>
              <w:rFonts w:eastAsiaTheme="minorEastAsia" w:cstheme="minorBidi"/>
              <w:bdr w:val="none" w:sz="0" w:space="0" w:color="auto"/>
              <w:lang w:val="en-US"/>
            </w:rPr>
          </w:pPr>
          <w:hyperlink w:anchor="_Toc491441651" w:history="1">
            <w:r w:rsidR="001C4486" w:rsidRPr="001C4486">
              <w:rPr>
                <w:rStyle w:val="Hyperlink"/>
              </w:rPr>
              <w:t>C.</w:t>
            </w:r>
            <w:r w:rsidR="001C4486" w:rsidRPr="001C4486">
              <w:rPr>
                <w:rFonts w:eastAsiaTheme="minorEastAsia" w:cstheme="minorBidi"/>
                <w:bdr w:val="none" w:sz="0" w:space="0" w:color="auto"/>
                <w:lang w:val="en-US"/>
              </w:rPr>
              <w:tab/>
            </w:r>
            <w:r w:rsidR="001C4486" w:rsidRPr="001C4486">
              <w:rPr>
                <w:rStyle w:val="Hyperlink"/>
              </w:rPr>
              <w:t>Derechos a la integridad personal, garantías judiciales y protección judicial respecto de la detención y la alegada tortura y disposiciones relevantes de la CIPST</w:t>
            </w:r>
            <w:r w:rsidR="001C4486" w:rsidRPr="001C4486">
              <w:rPr>
                <w:webHidden/>
              </w:rPr>
              <w:tab/>
            </w:r>
            <w:r w:rsidR="001C4486" w:rsidRPr="001C4486">
              <w:rPr>
                <w:webHidden/>
              </w:rPr>
              <w:fldChar w:fldCharType="begin"/>
            </w:r>
            <w:r w:rsidR="001C4486" w:rsidRPr="001C4486">
              <w:rPr>
                <w:webHidden/>
              </w:rPr>
              <w:instrText xml:space="preserve"> PAGEREF _Toc491441651 \h </w:instrText>
            </w:r>
            <w:r w:rsidR="001C4486" w:rsidRPr="001C4486">
              <w:rPr>
                <w:webHidden/>
              </w:rPr>
            </w:r>
            <w:r w:rsidR="001C4486" w:rsidRPr="001C4486">
              <w:rPr>
                <w:webHidden/>
              </w:rPr>
              <w:fldChar w:fldCharType="separate"/>
            </w:r>
            <w:r w:rsidR="001C4486" w:rsidRPr="001C4486">
              <w:rPr>
                <w:webHidden/>
              </w:rPr>
              <w:t>34</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52" w:history="1">
            <w:r w:rsidR="001C4486" w:rsidRPr="001C4486">
              <w:rPr>
                <w:rStyle w:val="Hyperlink"/>
                <w:rFonts w:asciiTheme="majorHAnsi" w:hAnsiTheme="majorHAnsi"/>
                <w:noProof/>
                <w:sz w:val="20"/>
                <w:szCs w:val="20"/>
                <w:lang w:val="es-CO"/>
              </w:rPr>
              <w:t>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Consideraciones generales</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_Toc491441652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34</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53" w:history="1">
            <w:r w:rsidR="001C4486" w:rsidRPr="001C4486">
              <w:rPr>
                <w:rStyle w:val="Hyperlink"/>
                <w:rFonts w:asciiTheme="majorHAnsi" w:hAnsiTheme="majorHAnsi"/>
                <w:noProof/>
                <w:sz w:val="20"/>
                <w:szCs w:val="20"/>
                <w:lang w:val="es-CO"/>
              </w:rPr>
              <w:t>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Análisis del caso</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_Toc491441653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36</w:t>
            </w:r>
            <w:r w:rsidR="001C4486" w:rsidRPr="001C4486">
              <w:rPr>
                <w:rFonts w:asciiTheme="majorHAnsi" w:hAnsiTheme="majorHAnsi"/>
                <w:noProof/>
                <w:webHidden/>
                <w:sz w:val="20"/>
                <w:szCs w:val="20"/>
              </w:rPr>
              <w:fldChar w:fldCharType="end"/>
            </w:r>
          </w:hyperlink>
        </w:p>
        <w:p w:rsidR="001C4486" w:rsidRPr="001C4486" w:rsidRDefault="00A83F22">
          <w:pPr>
            <w:pStyle w:val="TOC2"/>
            <w:rPr>
              <w:rFonts w:eastAsiaTheme="minorEastAsia" w:cstheme="minorBidi"/>
              <w:bdr w:val="none" w:sz="0" w:space="0" w:color="auto"/>
              <w:lang w:val="en-US"/>
            </w:rPr>
          </w:pPr>
          <w:hyperlink w:anchor="_Toc491441654" w:history="1">
            <w:r w:rsidR="001C4486" w:rsidRPr="001C4486">
              <w:rPr>
                <w:rStyle w:val="Hyperlink"/>
                <w:lang w:val="es-ES"/>
              </w:rPr>
              <w:t>D.</w:t>
            </w:r>
            <w:r w:rsidR="001C4486" w:rsidRPr="001C4486">
              <w:rPr>
                <w:rFonts w:eastAsiaTheme="minorEastAsia" w:cstheme="minorBidi"/>
                <w:bdr w:val="none" w:sz="0" w:space="0" w:color="auto"/>
                <w:lang w:val="en-US"/>
              </w:rPr>
              <w:tab/>
            </w:r>
            <w:r w:rsidR="001C4486" w:rsidRPr="001C4486">
              <w:rPr>
                <w:rStyle w:val="Hyperlink"/>
              </w:rPr>
              <w:t>Derechos a la vida, garantías judiciales y protección judicial respecto de la muerte</w:t>
            </w:r>
            <w:r w:rsidR="001C4486" w:rsidRPr="001C4486">
              <w:rPr>
                <w:rStyle w:val="Hyperlink"/>
                <w:lang w:val="es-ES"/>
              </w:rPr>
              <w:t xml:space="preserve"> de Hugo Humberto Ruiz Fuentes</w:t>
            </w:r>
            <w:r w:rsidR="001C4486" w:rsidRPr="001C4486">
              <w:rPr>
                <w:webHidden/>
              </w:rPr>
              <w:tab/>
            </w:r>
            <w:r w:rsidR="001C4486" w:rsidRPr="001C4486">
              <w:rPr>
                <w:webHidden/>
              </w:rPr>
              <w:fldChar w:fldCharType="begin"/>
            </w:r>
            <w:r w:rsidR="001C4486" w:rsidRPr="001C4486">
              <w:rPr>
                <w:webHidden/>
              </w:rPr>
              <w:instrText xml:space="preserve"> PAGEREF _Toc491441654 \h </w:instrText>
            </w:r>
            <w:r w:rsidR="001C4486" w:rsidRPr="001C4486">
              <w:rPr>
                <w:webHidden/>
              </w:rPr>
            </w:r>
            <w:r w:rsidR="001C4486" w:rsidRPr="001C4486">
              <w:rPr>
                <w:webHidden/>
              </w:rPr>
              <w:fldChar w:fldCharType="separate"/>
            </w:r>
            <w:r w:rsidR="001C4486" w:rsidRPr="001C4486">
              <w:rPr>
                <w:webHidden/>
              </w:rPr>
              <w:t>39</w:t>
            </w:r>
            <w:r w:rsidR="001C4486" w:rsidRPr="001C4486">
              <w:rPr>
                <w:webHidden/>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55" w:history="1">
            <w:r w:rsidR="001C4486" w:rsidRPr="001C4486">
              <w:rPr>
                <w:rStyle w:val="Hyperlink"/>
                <w:rFonts w:asciiTheme="majorHAnsi" w:hAnsiTheme="majorHAnsi"/>
                <w:noProof/>
                <w:sz w:val="20"/>
                <w:szCs w:val="20"/>
                <w:lang w:val="es-ES_tradnl"/>
              </w:rPr>
              <w:t>1.</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Consideraciones generales</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_Toc491441655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39</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56" w:history="1">
            <w:r w:rsidR="001C4486" w:rsidRPr="001C4486">
              <w:rPr>
                <w:rStyle w:val="Hyperlink"/>
                <w:rFonts w:asciiTheme="majorHAnsi" w:hAnsiTheme="majorHAnsi"/>
                <w:noProof/>
                <w:sz w:val="20"/>
                <w:szCs w:val="20"/>
                <w:lang w:val="es-ES_tradnl"/>
              </w:rPr>
              <w:t>2.</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Análisis de si la muerte del señor Ruiz Fuentes fue una ejecución extrajudicial</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_Toc491441656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42</w:t>
            </w:r>
            <w:r w:rsidR="001C4486" w:rsidRPr="001C4486">
              <w:rPr>
                <w:rFonts w:asciiTheme="majorHAnsi" w:hAnsiTheme="majorHAnsi"/>
                <w:noProof/>
                <w:webHidden/>
                <w:sz w:val="20"/>
                <w:szCs w:val="20"/>
              </w:rPr>
              <w:fldChar w:fldCharType="end"/>
            </w:r>
          </w:hyperlink>
        </w:p>
        <w:p w:rsidR="001C4486" w:rsidRPr="001C4486" w:rsidRDefault="00A83F22">
          <w:pPr>
            <w:pStyle w:val="TOC3"/>
            <w:tabs>
              <w:tab w:val="left" w:pos="2160"/>
            </w:tabs>
            <w:rPr>
              <w:rFonts w:asciiTheme="majorHAnsi" w:eastAsiaTheme="minorEastAsia" w:hAnsiTheme="majorHAnsi" w:cstheme="minorBidi"/>
              <w:noProof/>
              <w:sz w:val="20"/>
              <w:szCs w:val="20"/>
              <w:bdr w:val="none" w:sz="0" w:space="0" w:color="auto"/>
            </w:rPr>
          </w:pPr>
          <w:hyperlink w:anchor="_Toc491441657" w:history="1">
            <w:r w:rsidR="001C4486" w:rsidRPr="001C4486">
              <w:rPr>
                <w:rStyle w:val="Hyperlink"/>
                <w:rFonts w:asciiTheme="majorHAnsi" w:hAnsiTheme="majorHAnsi"/>
                <w:noProof/>
                <w:sz w:val="20"/>
                <w:szCs w:val="20"/>
                <w:lang w:val="es-ES_tradnl"/>
              </w:rPr>
              <w:t>3.</w:t>
            </w:r>
            <w:r w:rsidR="001C4486" w:rsidRPr="001C4486">
              <w:rPr>
                <w:rFonts w:asciiTheme="majorHAnsi" w:eastAsiaTheme="minorEastAsia" w:hAnsiTheme="majorHAnsi" w:cstheme="minorBidi"/>
                <w:noProof/>
                <w:sz w:val="20"/>
                <w:szCs w:val="20"/>
                <w:bdr w:val="none" w:sz="0" w:space="0" w:color="auto"/>
              </w:rPr>
              <w:tab/>
            </w:r>
            <w:r w:rsidR="001C4486" w:rsidRPr="001C4486">
              <w:rPr>
                <w:rStyle w:val="Hyperlink"/>
                <w:rFonts w:asciiTheme="majorHAnsi" w:hAnsiTheme="majorHAnsi"/>
                <w:noProof/>
                <w:sz w:val="20"/>
                <w:szCs w:val="20"/>
                <w:lang w:val="es-CO"/>
              </w:rPr>
              <w:t>Análisis sobre si el Estado cumplió su obligación de investigar la muerte del señor Ruiz Fuentes</w:t>
            </w:r>
            <w:r w:rsidR="001C4486" w:rsidRPr="001C4486">
              <w:rPr>
                <w:rFonts w:asciiTheme="majorHAnsi" w:hAnsiTheme="majorHAnsi"/>
                <w:noProof/>
                <w:webHidden/>
                <w:sz w:val="20"/>
                <w:szCs w:val="20"/>
              </w:rPr>
              <w:tab/>
            </w:r>
            <w:r w:rsidR="001C4486" w:rsidRPr="001C4486">
              <w:rPr>
                <w:rFonts w:asciiTheme="majorHAnsi" w:hAnsiTheme="majorHAnsi"/>
                <w:noProof/>
                <w:webHidden/>
                <w:sz w:val="20"/>
                <w:szCs w:val="20"/>
              </w:rPr>
              <w:fldChar w:fldCharType="begin"/>
            </w:r>
            <w:r w:rsidR="001C4486" w:rsidRPr="001C4486">
              <w:rPr>
                <w:rFonts w:asciiTheme="majorHAnsi" w:hAnsiTheme="majorHAnsi"/>
                <w:noProof/>
                <w:webHidden/>
                <w:sz w:val="20"/>
                <w:szCs w:val="20"/>
              </w:rPr>
              <w:instrText xml:space="preserve"> PAGEREF _Toc491441657 \h </w:instrText>
            </w:r>
            <w:r w:rsidR="001C4486" w:rsidRPr="001C4486">
              <w:rPr>
                <w:rFonts w:asciiTheme="majorHAnsi" w:hAnsiTheme="majorHAnsi"/>
                <w:noProof/>
                <w:webHidden/>
                <w:sz w:val="20"/>
                <w:szCs w:val="20"/>
              </w:rPr>
            </w:r>
            <w:r w:rsidR="001C4486" w:rsidRPr="001C4486">
              <w:rPr>
                <w:rFonts w:asciiTheme="majorHAnsi" w:hAnsiTheme="majorHAnsi"/>
                <w:noProof/>
                <w:webHidden/>
                <w:sz w:val="20"/>
                <w:szCs w:val="20"/>
              </w:rPr>
              <w:fldChar w:fldCharType="separate"/>
            </w:r>
            <w:r w:rsidR="001C4486" w:rsidRPr="001C4486">
              <w:rPr>
                <w:rFonts w:asciiTheme="majorHAnsi" w:hAnsiTheme="majorHAnsi"/>
                <w:noProof/>
                <w:webHidden/>
                <w:sz w:val="20"/>
                <w:szCs w:val="20"/>
              </w:rPr>
              <w:t>43</w:t>
            </w:r>
            <w:r w:rsidR="001C4486" w:rsidRPr="001C4486">
              <w:rPr>
                <w:rFonts w:asciiTheme="majorHAnsi" w:hAnsiTheme="majorHAnsi"/>
                <w:noProof/>
                <w:webHidden/>
                <w:sz w:val="20"/>
                <w:szCs w:val="20"/>
              </w:rPr>
              <w:fldChar w:fldCharType="end"/>
            </w:r>
          </w:hyperlink>
        </w:p>
        <w:p w:rsidR="001C4486" w:rsidRPr="001C4486" w:rsidRDefault="00A83F22">
          <w:pPr>
            <w:pStyle w:val="TOC1"/>
            <w:rPr>
              <w:rFonts w:eastAsiaTheme="minorEastAsia" w:cstheme="minorBidi"/>
              <w:b w:val="0"/>
              <w:bdr w:val="none" w:sz="0" w:space="0" w:color="auto"/>
            </w:rPr>
          </w:pPr>
          <w:hyperlink w:anchor="_Toc491441658" w:history="1">
            <w:r w:rsidR="001C4486" w:rsidRPr="001C4486">
              <w:rPr>
                <w:rStyle w:val="Hyperlink"/>
              </w:rPr>
              <w:t>V.</w:t>
            </w:r>
            <w:r w:rsidR="001C4486" w:rsidRPr="001C4486">
              <w:rPr>
                <w:rFonts w:eastAsiaTheme="minorEastAsia" w:cstheme="minorBidi"/>
                <w:b w:val="0"/>
                <w:bdr w:val="none" w:sz="0" w:space="0" w:color="auto"/>
              </w:rPr>
              <w:tab/>
            </w:r>
            <w:r w:rsidR="001C4486" w:rsidRPr="001C4486">
              <w:rPr>
                <w:rStyle w:val="Hyperlink"/>
              </w:rPr>
              <w:t>CONCLUSIONES</w:t>
            </w:r>
            <w:r w:rsidR="001C4486" w:rsidRPr="001C4486">
              <w:rPr>
                <w:webHidden/>
              </w:rPr>
              <w:tab/>
            </w:r>
            <w:r w:rsidR="001C4486" w:rsidRPr="001C4486">
              <w:rPr>
                <w:webHidden/>
              </w:rPr>
              <w:fldChar w:fldCharType="begin"/>
            </w:r>
            <w:r w:rsidR="001C4486" w:rsidRPr="001C4486">
              <w:rPr>
                <w:webHidden/>
              </w:rPr>
              <w:instrText xml:space="preserve"> PAGEREF _Toc491441658 \h </w:instrText>
            </w:r>
            <w:r w:rsidR="001C4486" w:rsidRPr="001C4486">
              <w:rPr>
                <w:webHidden/>
              </w:rPr>
            </w:r>
            <w:r w:rsidR="001C4486" w:rsidRPr="001C4486">
              <w:rPr>
                <w:webHidden/>
              </w:rPr>
              <w:fldChar w:fldCharType="separate"/>
            </w:r>
            <w:r w:rsidR="001C4486" w:rsidRPr="001C4486">
              <w:rPr>
                <w:webHidden/>
              </w:rPr>
              <w:t>44</w:t>
            </w:r>
            <w:r w:rsidR="001C4486" w:rsidRPr="001C4486">
              <w:rPr>
                <w:webHidden/>
              </w:rPr>
              <w:fldChar w:fldCharType="end"/>
            </w:r>
          </w:hyperlink>
        </w:p>
        <w:p w:rsidR="001C4486" w:rsidRPr="001C4486" w:rsidRDefault="00A83F22">
          <w:pPr>
            <w:pStyle w:val="TOC1"/>
            <w:rPr>
              <w:rFonts w:eastAsiaTheme="minorEastAsia" w:cstheme="minorBidi"/>
              <w:b w:val="0"/>
              <w:bdr w:val="none" w:sz="0" w:space="0" w:color="auto"/>
            </w:rPr>
          </w:pPr>
          <w:hyperlink w:anchor="_Toc491441659" w:history="1">
            <w:r w:rsidR="001C4486" w:rsidRPr="001C4486">
              <w:rPr>
                <w:rStyle w:val="Hyperlink"/>
              </w:rPr>
              <w:t>VI.</w:t>
            </w:r>
            <w:r w:rsidR="001C4486" w:rsidRPr="001C4486">
              <w:rPr>
                <w:rFonts w:eastAsiaTheme="minorEastAsia" w:cstheme="minorBidi"/>
                <w:b w:val="0"/>
                <w:bdr w:val="none" w:sz="0" w:space="0" w:color="auto"/>
              </w:rPr>
              <w:tab/>
            </w:r>
            <w:r w:rsidR="001C4486" w:rsidRPr="001C4486">
              <w:rPr>
                <w:rStyle w:val="Hyperlink"/>
              </w:rPr>
              <w:t>RECOMENDACIONES</w:t>
            </w:r>
            <w:r w:rsidR="001C4486" w:rsidRPr="001C4486">
              <w:rPr>
                <w:webHidden/>
              </w:rPr>
              <w:tab/>
            </w:r>
            <w:r w:rsidR="001C4486" w:rsidRPr="001C4486">
              <w:rPr>
                <w:webHidden/>
              </w:rPr>
              <w:fldChar w:fldCharType="begin"/>
            </w:r>
            <w:r w:rsidR="001C4486" w:rsidRPr="001C4486">
              <w:rPr>
                <w:webHidden/>
              </w:rPr>
              <w:instrText xml:space="preserve"> PAGEREF _Toc491441659 \h </w:instrText>
            </w:r>
            <w:r w:rsidR="001C4486" w:rsidRPr="001C4486">
              <w:rPr>
                <w:webHidden/>
              </w:rPr>
            </w:r>
            <w:r w:rsidR="001C4486" w:rsidRPr="001C4486">
              <w:rPr>
                <w:webHidden/>
              </w:rPr>
              <w:fldChar w:fldCharType="separate"/>
            </w:r>
            <w:r w:rsidR="001C4486" w:rsidRPr="001C4486">
              <w:rPr>
                <w:webHidden/>
              </w:rPr>
              <w:t>45</w:t>
            </w:r>
            <w:r w:rsidR="001C4486" w:rsidRPr="001C4486">
              <w:rPr>
                <w:webHidden/>
              </w:rPr>
              <w:fldChar w:fldCharType="end"/>
            </w:r>
          </w:hyperlink>
        </w:p>
        <w:p w:rsidR="00361520" w:rsidRPr="00836C24" w:rsidRDefault="00361520" w:rsidP="0099533F">
          <w:pPr>
            <w:jc w:val="both"/>
          </w:pPr>
          <w:r w:rsidRPr="001C4486">
            <w:rPr>
              <w:rFonts w:asciiTheme="majorHAnsi" w:hAnsiTheme="majorHAnsi"/>
              <w:b/>
              <w:bCs/>
              <w:noProof/>
              <w:sz w:val="20"/>
              <w:szCs w:val="20"/>
            </w:rPr>
            <w:fldChar w:fldCharType="end"/>
          </w:r>
        </w:p>
      </w:sdtContent>
    </w:sdt>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p>
    <w:p w:rsidR="00361520" w:rsidRPr="00836C24" w:rsidRDefault="00361520" w:rsidP="0036152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lang w:val="es-ES_tradnl"/>
        </w:rPr>
      </w:pPr>
    </w:p>
    <w:p w:rsidR="00B5478A" w:rsidRPr="00836C24" w:rsidRDefault="00F537DE"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t>INFORME No. 79</w:t>
      </w:r>
      <w:r w:rsidR="00B5478A" w:rsidRPr="00836C24">
        <w:rPr>
          <w:rFonts w:asciiTheme="majorHAnsi" w:eastAsia="Times New Roman" w:hAnsiTheme="majorHAnsi"/>
          <w:b/>
          <w:sz w:val="20"/>
          <w:szCs w:val="20"/>
          <w:bdr w:val="none" w:sz="0" w:space="0" w:color="auto"/>
          <w:lang w:val="es-ES_tradnl"/>
        </w:rPr>
        <w:t>/17</w:t>
      </w:r>
    </w:p>
    <w:p w:rsidR="00B5478A" w:rsidRPr="00836C24" w:rsidRDefault="00B5478A"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836C24">
        <w:rPr>
          <w:rFonts w:asciiTheme="majorHAnsi" w:eastAsia="Times New Roman" w:hAnsiTheme="majorHAnsi"/>
          <w:b/>
          <w:sz w:val="20"/>
          <w:szCs w:val="20"/>
          <w:bdr w:val="none" w:sz="0" w:space="0" w:color="auto"/>
          <w:lang w:val="es-ES_tradnl"/>
        </w:rPr>
        <w:t>CASO 12.650</w:t>
      </w:r>
    </w:p>
    <w:p w:rsidR="00B5478A" w:rsidRPr="00836C24" w:rsidRDefault="00B5478A"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FONDO</w:t>
      </w:r>
    </w:p>
    <w:p w:rsidR="00B5478A" w:rsidRPr="00836C24" w:rsidRDefault="00B5478A"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HUGO HUMBERTO RUIZ FUENTES</w:t>
      </w:r>
      <w:r w:rsidR="002140EF" w:rsidRPr="00836C24">
        <w:rPr>
          <w:rFonts w:asciiTheme="majorHAnsi" w:eastAsia="Times New Roman" w:hAnsiTheme="majorHAnsi"/>
          <w:sz w:val="20"/>
          <w:szCs w:val="20"/>
          <w:bdr w:val="none" w:sz="0" w:space="0" w:color="auto"/>
          <w:lang w:val="es-ES_tradnl"/>
        </w:rPr>
        <w:t xml:space="preserve"> Y FAMILIA</w:t>
      </w:r>
    </w:p>
    <w:p w:rsidR="00B5478A" w:rsidRPr="00836C24" w:rsidRDefault="00B5478A"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836C24">
        <w:rPr>
          <w:rFonts w:asciiTheme="majorHAnsi" w:eastAsia="Times New Roman" w:hAnsiTheme="majorHAnsi"/>
          <w:sz w:val="20"/>
          <w:szCs w:val="20"/>
          <w:bdr w:val="none" w:sz="0" w:space="0" w:color="auto"/>
          <w:lang w:val="es-ES_tradnl"/>
        </w:rPr>
        <w:t>GUATEMALA</w:t>
      </w:r>
    </w:p>
    <w:p w:rsidR="00B5478A" w:rsidRPr="00836C24" w:rsidRDefault="001C4486" w:rsidP="00B5478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30</w:t>
      </w:r>
      <w:r w:rsidR="00B5478A" w:rsidRPr="00836C24">
        <w:rPr>
          <w:rFonts w:asciiTheme="majorHAnsi" w:eastAsia="Times New Roman" w:hAnsiTheme="majorHAnsi"/>
          <w:sz w:val="20"/>
          <w:szCs w:val="20"/>
          <w:bdr w:val="none" w:sz="0" w:space="0" w:color="auto"/>
          <w:lang w:val="es-ES_tradnl"/>
        </w:rPr>
        <w:t xml:space="preserve"> DE </w:t>
      </w:r>
      <w:r>
        <w:rPr>
          <w:rFonts w:asciiTheme="majorHAnsi" w:eastAsia="Times New Roman" w:hAnsiTheme="majorHAnsi"/>
          <w:sz w:val="20"/>
          <w:szCs w:val="20"/>
          <w:bdr w:val="none" w:sz="0" w:space="0" w:color="auto"/>
          <w:lang w:val="es-ES_tradnl"/>
        </w:rPr>
        <w:t>JULIO</w:t>
      </w:r>
      <w:r w:rsidR="00B5478A" w:rsidRPr="00836C24">
        <w:rPr>
          <w:rFonts w:asciiTheme="majorHAnsi" w:eastAsia="Times New Roman" w:hAnsiTheme="majorHAnsi"/>
          <w:sz w:val="20"/>
          <w:szCs w:val="20"/>
          <w:bdr w:val="none" w:sz="0" w:space="0" w:color="auto"/>
          <w:lang w:val="es-ES_tradnl"/>
        </w:rPr>
        <w:t xml:space="preserve"> DE 2017</w:t>
      </w:r>
    </w:p>
    <w:p w:rsidR="00B5478A" w:rsidRPr="00836C24" w:rsidRDefault="00B5478A" w:rsidP="00E27782">
      <w:pPr>
        <w:tabs>
          <w:tab w:val="center" w:pos="5400"/>
        </w:tabs>
        <w:suppressAutoHyphens/>
        <w:spacing w:line="276" w:lineRule="auto"/>
        <w:jc w:val="center"/>
        <w:rPr>
          <w:rFonts w:asciiTheme="majorHAnsi" w:hAnsiTheme="majorHAnsi"/>
          <w:b/>
          <w:sz w:val="20"/>
          <w:szCs w:val="20"/>
          <w:lang w:val="es-ES_tradnl"/>
        </w:rPr>
      </w:pPr>
    </w:p>
    <w:p w:rsidR="00D96D45" w:rsidRPr="00836C24" w:rsidRDefault="00D96D45" w:rsidP="00E27782">
      <w:pPr>
        <w:tabs>
          <w:tab w:val="center" w:pos="5400"/>
        </w:tabs>
        <w:suppressAutoHyphens/>
        <w:spacing w:line="276" w:lineRule="auto"/>
        <w:jc w:val="center"/>
        <w:rPr>
          <w:rFonts w:asciiTheme="majorHAnsi" w:hAnsiTheme="majorHAnsi"/>
          <w:b/>
          <w:sz w:val="20"/>
          <w:szCs w:val="20"/>
          <w:lang w:val="es-ES_tradnl"/>
        </w:rPr>
      </w:pPr>
    </w:p>
    <w:p w:rsidR="00517A9A" w:rsidRPr="00836C24" w:rsidRDefault="000E6341" w:rsidP="00E42B1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836C24">
        <w:rPr>
          <w:rFonts w:asciiTheme="majorHAnsi" w:eastAsia="Calibri" w:hAnsiTheme="majorHAnsi"/>
          <w:sz w:val="20"/>
          <w:szCs w:val="20"/>
          <w:lang w:val="es-VE"/>
        </w:rPr>
        <w:t xml:space="preserve">El 2 de enero de 2003 la Comisión recibió información </w:t>
      </w:r>
      <w:r w:rsidR="008340B1" w:rsidRPr="00836C24">
        <w:rPr>
          <w:rFonts w:asciiTheme="majorHAnsi" w:eastAsia="Calibri" w:hAnsiTheme="majorHAnsi"/>
          <w:sz w:val="20"/>
          <w:szCs w:val="20"/>
          <w:lang w:val="es-VE"/>
        </w:rPr>
        <w:t>por parte del Centro por la Justicia y el Derecho Internacional (CEJIL),</w:t>
      </w:r>
      <w:r w:rsidR="00805F7A" w:rsidRPr="00836C24">
        <w:rPr>
          <w:rFonts w:asciiTheme="majorHAnsi" w:eastAsia="Calibri" w:hAnsiTheme="majorHAnsi"/>
          <w:sz w:val="20"/>
          <w:szCs w:val="20"/>
          <w:lang w:val="es-VE"/>
        </w:rPr>
        <w:t xml:space="preserve"> </w:t>
      </w:r>
      <w:r w:rsidR="008340B1" w:rsidRPr="00836C24">
        <w:rPr>
          <w:rFonts w:asciiTheme="majorHAnsi" w:eastAsia="Calibri" w:hAnsiTheme="majorHAnsi"/>
          <w:sz w:val="20"/>
          <w:szCs w:val="20"/>
          <w:lang w:val="es-VE"/>
        </w:rPr>
        <w:t>el Instituto de Estudios Comparados en Ciencias Penales de Guatemala (ICCPG) y el Defensor Público</w:t>
      </w:r>
      <w:r w:rsidR="002E5ECA" w:rsidRPr="00836C24">
        <w:rPr>
          <w:rFonts w:asciiTheme="majorHAnsi" w:eastAsia="Calibri" w:hAnsiTheme="majorHAnsi"/>
          <w:sz w:val="20"/>
          <w:szCs w:val="20"/>
          <w:lang w:val="es-VE"/>
        </w:rPr>
        <w:t>,</w:t>
      </w:r>
      <w:r w:rsidR="008340B1" w:rsidRPr="00836C24">
        <w:rPr>
          <w:rFonts w:asciiTheme="majorHAnsi" w:eastAsia="Calibri" w:hAnsiTheme="majorHAnsi"/>
          <w:sz w:val="20"/>
          <w:szCs w:val="20"/>
          <w:lang w:val="es-VE"/>
        </w:rPr>
        <w:t xml:space="preserve"> Reyes Ovidio Girón del Instituto de la Defensa Pública Penal de Guatemala (en adelante “los peticionarios</w:t>
      </w:r>
      <w:r w:rsidR="001C46F0" w:rsidRPr="00836C24">
        <w:rPr>
          <w:rFonts w:asciiTheme="majorHAnsi" w:eastAsia="Calibri" w:hAnsiTheme="majorHAnsi"/>
          <w:sz w:val="20"/>
          <w:szCs w:val="20"/>
          <w:lang w:val="es-VE"/>
        </w:rPr>
        <w:t>”</w:t>
      </w:r>
      <w:r w:rsidR="008340B1" w:rsidRPr="00836C24">
        <w:rPr>
          <w:rFonts w:asciiTheme="majorHAnsi" w:eastAsia="Calibri" w:hAnsiTheme="majorHAnsi"/>
          <w:sz w:val="20"/>
          <w:szCs w:val="20"/>
          <w:lang w:val="es-VE"/>
        </w:rPr>
        <w:t>), en relación con el proceso penal</w:t>
      </w:r>
      <w:r w:rsidR="00555072" w:rsidRPr="00836C24">
        <w:rPr>
          <w:rFonts w:asciiTheme="majorHAnsi" w:eastAsia="Calibri" w:hAnsiTheme="majorHAnsi"/>
          <w:sz w:val="20"/>
          <w:szCs w:val="20"/>
          <w:lang w:val="es-VE"/>
        </w:rPr>
        <w:t xml:space="preserve"> mediante el cual </w:t>
      </w:r>
      <w:r w:rsidR="008340B1" w:rsidRPr="00836C24">
        <w:rPr>
          <w:rFonts w:asciiTheme="majorHAnsi" w:eastAsia="Calibri" w:hAnsiTheme="majorHAnsi"/>
          <w:sz w:val="20"/>
          <w:szCs w:val="20"/>
          <w:lang w:val="es-VE"/>
        </w:rPr>
        <w:t>se condenó a pena de muerte a Hugo</w:t>
      </w:r>
      <w:r w:rsidR="00CE0D7C" w:rsidRPr="00836C24">
        <w:rPr>
          <w:rFonts w:asciiTheme="majorHAnsi" w:eastAsia="Calibri" w:hAnsiTheme="majorHAnsi"/>
          <w:sz w:val="20"/>
          <w:szCs w:val="20"/>
          <w:lang w:val="es-VE"/>
        </w:rPr>
        <w:t xml:space="preserve"> </w:t>
      </w:r>
      <w:r w:rsidR="008340B1" w:rsidRPr="00836C24">
        <w:rPr>
          <w:rFonts w:asciiTheme="majorHAnsi" w:eastAsia="Calibri" w:hAnsiTheme="majorHAnsi"/>
          <w:sz w:val="20"/>
          <w:szCs w:val="20"/>
          <w:lang w:val="es-VE"/>
        </w:rPr>
        <w:t>Humberto Ruiz Fuentes</w:t>
      </w:r>
      <w:r w:rsidR="00CE0D7C" w:rsidRPr="00836C24">
        <w:rPr>
          <w:rFonts w:asciiTheme="majorHAnsi" w:eastAsia="Calibri" w:hAnsiTheme="majorHAnsi"/>
          <w:sz w:val="20"/>
          <w:szCs w:val="20"/>
          <w:lang w:val="es-VE"/>
        </w:rPr>
        <w:t xml:space="preserve"> </w:t>
      </w:r>
      <w:r w:rsidR="0024081C">
        <w:rPr>
          <w:rFonts w:asciiTheme="majorHAnsi" w:eastAsia="Calibri" w:hAnsiTheme="majorHAnsi"/>
          <w:sz w:val="20"/>
          <w:szCs w:val="20"/>
          <w:lang w:val="es-VE"/>
        </w:rPr>
        <w:t xml:space="preserve">(en adelante </w:t>
      </w:r>
      <w:r w:rsidR="005548EB" w:rsidRPr="00836C24">
        <w:rPr>
          <w:rFonts w:asciiTheme="majorHAnsi" w:eastAsia="Calibri" w:hAnsiTheme="majorHAnsi"/>
          <w:sz w:val="20"/>
          <w:szCs w:val="20"/>
          <w:lang w:val="es-VE"/>
        </w:rPr>
        <w:t>“</w:t>
      </w:r>
      <w:r w:rsidR="008340B1" w:rsidRPr="00836C24">
        <w:rPr>
          <w:rFonts w:asciiTheme="majorHAnsi" w:eastAsia="Calibri" w:hAnsiTheme="majorHAnsi"/>
          <w:sz w:val="20"/>
          <w:szCs w:val="20"/>
          <w:lang w:val="es-VE"/>
        </w:rPr>
        <w:t xml:space="preserve">la presunta víctima”). Los peticionarios presentaron la información en el marco del </w:t>
      </w:r>
      <w:r w:rsidR="00BF5FB1" w:rsidRPr="00836C24">
        <w:rPr>
          <w:rFonts w:asciiTheme="majorHAnsi" w:eastAsia="Calibri" w:hAnsiTheme="majorHAnsi"/>
          <w:sz w:val="20"/>
          <w:szCs w:val="20"/>
          <w:lang w:val="es-VE"/>
        </w:rPr>
        <w:t>c</w:t>
      </w:r>
      <w:r w:rsidR="008340B1" w:rsidRPr="00836C24">
        <w:rPr>
          <w:rFonts w:asciiTheme="majorHAnsi" w:eastAsia="Calibri" w:hAnsiTheme="majorHAnsi"/>
          <w:sz w:val="20"/>
          <w:szCs w:val="20"/>
          <w:lang w:val="es-VE"/>
        </w:rPr>
        <w:t>aso 12.402,</w:t>
      </w:r>
      <w:r w:rsidR="00805F7A" w:rsidRPr="00836C24">
        <w:rPr>
          <w:rFonts w:asciiTheme="majorHAnsi" w:eastAsia="Calibri" w:hAnsiTheme="majorHAnsi"/>
          <w:sz w:val="20"/>
          <w:szCs w:val="20"/>
          <w:lang w:val="es-VE"/>
        </w:rPr>
        <w:t xml:space="preserve"> </w:t>
      </w:r>
      <w:r w:rsidR="00BF5FB1" w:rsidRPr="00836C24">
        <w:rPr>
          <w:rFonts w:asciiTheme="majorHAnsi" w:eastAsia="Calibri" w:hAnsiTheme="majorHAnsi"/>
          <w:sz w:val="20"/>
          <w:szCs w:val="20"/>
          <w:lang w:val="es-VE"/>
        </w:rPr>
        <w:t xml:space="preserve">relacionado con </w:t>
      </w:r>
      <w:r w:rsidR="00104F2B" w:rsidRPr="00836C24">
        <w:rPr>
          <w:rFonts w:asciiTheme="majorHAnsi" w:eastAsia="Calibri" w:hAnsiTheme="majorHAnsi"/>
          <w:sz w:val="20"/>
          <w:szCs w:val="20"/>
          <w:lang w:val="es-VE"/>
        </w:rPr>
        <w:t xml:space="preserve">la </w:t>
      </w:r>
      <w:r w:rsidR="008340B1" w:rsidRPr="00836C24">
        <w:rPr>
          <w:rFonts w:asciiTheme="majorHAnsi" w:eastAsia="Calibri" w:hAnsiTheme="majorHAnsi"/>
          <w:sz w:val="20"/>
          <w:szCs w:val="20"/>
          <w:lang w:val="es-VE"/>
        </w:rPr>
        <w:t>aplicación de la pena de muerte a</w:t>
      </w:r>
      <w:r w:rsidR="00805F7A" w:rsidRPr="00836C24">
        <w:rPr>
          <w:rFonts w:asciiTheme="majorHAnsi" w:eastAsia="Calibri" w:hAnsiTheme="majorHAnsi"/>
          <w:sz w:val="20"/>
          <w:szCs w:val="20"/>
          <w:lang w:val="es-VE"/>
        </w:rPr>
        <w:t xml:space="preserve"> </w:t>
      </w:r>
      <w:r w:rsidR="008340B1" w:rsidRPr="00836C24">
        <w:rPr>
          <w:rFonts w:asciiTheme="majorHAnsi" w:eastAsia="Calibri" w:hAnsiTheme="majorHAnsi"/>
          <w:sz w:val="20"/>
          <w:szCs w:val="20"/>
          <w:lang w:val="es-VE"/>
        </w:rPr>
        <w:t>Ronald Ernest</w:t>
      </w:r>
      <w:r w:rsidR="00E42B15" w:rsidRPr="00836C24">
        <w:rPr>
          <w:rFonts w:asciiTheme="majorHAnsi" w:eastAsia="Calibri" w:hAnsiTheme="majorHAnsi"/>
          <w:sz w:val="20"/>
          <w:szCs w:val="20"/>
          <w:lang w:val="es-VE"/>
        </w:rPr>
        <w:t>o</w:t>
      </w:r>
      <w:r w:rsidR="008340B1" w:rsidRPr="00836C24">
        <w:rPr>
          <w:rFonts w:asciiTheme="majorHAnsi" w:eastAsia="Calibri" w:hAnsiTheme="majorHAnsi"/>
          <w:sz w:val="20"/>
          <w:szCs w:val="20"/>
          <w:lang w:val="es-VE"/>
        </w:rPr>
        <w:t xml:space="preserve"> Raxcacó Reyes y solicitaron</w:t>
      </w:r>
      <w:r w:rsidR="00805F7A" w:rsidRPr="00836C24">
        <w:rPr>
          <w:rFonts w:asciiTheme="majorHAnsi" w:eastAsia="Calibri" w:hAnsiTheme="majorHAnsi"/>
          <w:sz w:val="20"/>
          <w:szCs w:val="20"/>
          <w:lang w:val="es-VE"/>
        </w:rPr>
        <w:t xml:space="preserve"> </w:t>
      </w:r>
      <w:r w:rsidR="008340B1" w:rsidRPr="00836C24">
        <w:rPr>
          <w:rFonts w:asciiTheme="majorHAnsi" w:eastAsia="Calibri" w:hAnsiTheme="majorHAnsi"/>
          <w:sz w:val="20"/>
          <w:szCs w:val="20"/>
          <w:lang w:val="es-VE"/>
        </w:rPr>
        <w:t xml:space="preserve">que se incorporara como víctima a Hugo Humberto Ruiz Fuentes. Dado que al momento de </w:t>
      </w:r>
      <w:r w:rsidR="00BC75B1" w:rsidRPr="00836C24">
        <w:rPr>
          <w:rFonts w:asciiTheme="majorHAnsi" w:eastAsia="Calibri" w:hAnsiTheme="majorHAnsi"/>
          <w:sz w:val="20"/>
          <w:szCs w:val="20"/>
          <w:lang w:val="es-VE"/>
        </w:rPr>
        <w:t xml:space="preserve">dicha </w:t>
      </w:r>
      <w:r w:rsidR="008340B1" w:rsidRPr="00836C24">
        <w:rPr>
          <w:rFonts w:asciiTheme="majorHAnsi" w:eastAsia="Calibri" w:hAnsiTheme="majorHAnsi"/>
          <w:sz w:val="20"/>
          <w:szCs w:val="20"/>
          <w:lang w:val="es-VE"/>
        </w:rPr>
        <w:t xml:space="preserve">solicitud, la Comisión </w:t>
      </w:r>
      <w:r w:rsidR="00BC75B1" w:rsidRPr="00836C24">
        <w:rPr>
          <w:rFonts w:asciiTheme="majorHAnsi" w:eastAsia="Calibri" w:hAnsiTheme="majorHAnsi"/>
          <w:sz w:val="20"/>
          <w:szCs w:val="20"/>
          <w:lang w:val="es-VE"/>
        </w:rPr>
        <w:t xml:space="preserve">ya se había pronunciado sobre la </w:t>
      </w:r>
      <w:r w:rsidR="008340B1" w:rsidRPr="00836C24">
        <w:rPr>
          <w:rFonts w:asciiTheme="majorHAnsi" w:eastAsia="Calibri" w:hAnsiTheme="majorHAnsi"/>
          <w:sz w:val="20"/>
          <w:szCs w:val="20"/>
          <w:lang w:val="es-VE"/>
        </w:rPr>
        <w:t xml:space="preserve">admisibilidad en el </w:t>
      </w:r>
      <w:r w:rsidR="00BC75B1" w:rsidRPr="00836C24">
        <w:rPr>
          <w:rFonts w:asciiTheme="majorHAnsi" w:eastAsia="Calibri" w:hAnsiTheme="majorHAnsi"/>
          <w:sz w:val="20"/>
          <w:szCs w:val="20"/>
          <w:lang w:val="es-VE"/>
        </w:rPr>
        <w:t>c</w:t>
      </w:r>
      <w:r w:rsidR="008340B1" w:rsidRPr="00836C24">
        <w:rPr>
          <w:rFonts w:asciiTheme="majorHAnsi" w:eastAsia="Calibri" w:hAnsiTheme="majorHAnsi"/>
          <w:sz w:val="20"/>
          <w:szCs w:val="20"/>
          <w:lang w:val="es-VE"/>
        </w:rPr>
        <w:t>aso 12.402, decidió tramitar la información referente al señor Ruiz Fuentes en forma separada</w:t>
      </w:r>
      <w:r w:rsidR="00BC75B1" w:rsidRPr="00836C24">
        <w:rPr>
          <w:rFonts w:asciiTheme="majorHAnsi" w:eastAsia="Calibri" w:hAnsiTheme="majorHAnsi"/>
          <w:sz w:val="20"/>
          <w:szCs w:val="20"/>
          <w:lang w:val="es-VE"/>
        </w:rPr>
        <w:t>.</w:t>
      </w:r>
    </w:p>
    <w:p w:rsidR="00E42B15" w:rsidRPr="00836C24" w:rsidRDefault="00E42B15" w:rsidP="00E42B1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8A6547" w:rsidRPr="00836C24" w:rsidRDefault="00E42B15" w:rsidP="008A654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lang w:val="es-VE"/>
        </w:rPr>
      </w:pPr>
      <w:r w:rsidRPr="00836C24">
        <w:rPr>
          <w:rFonts w:asciiTheme="majorHAnsi" w:eastAsia="Calibri" w:hAnsiTheme="majorHAnsi"/>
          <w:sz w:val="20"/>
          <w:szCs w:val="20"/>
          <w:lang w:val="es-VE"/>
        </w:rPr>
        <w:t xml:space="preserve">Los peticionarios argumentaron que en el marco del proceso penal que condujo </w:t>
      </w:r>
      <w:r w:rsidR="00A20425" w:rsidRPr="00836C24">
        <w:rPr>
          <w:rFonts w:asciiTheme="majorHAnsi" w:eastAsia="Calibri" w:hAnsiTheme="majorHAnsi"/>
          <w:sz w:val="20"/>
          <w:szCs w:val="20"/>
          <w:lang w:val="es-VE"/>
        </w:rPr>
        <w:t xml:space="preserve">a la condena a muerte de la presunta víctima, </w:t>
      </w:r>
      <w:r w:rsidR="008A6547" w:rsidRPr="00836C24">
        <w:rPr>
          <w:rFonts w:asciiTheme="majorHAnsi" w:eastAsia="Calibri" w:hAnsiTheme="majorHAnsi"/>
          <w:sz w:val="20"/>
          <w:szCs w:val="20"/>
          <w:lang w:val="es-VE"/>
        </w:rPr>
        <w:t xml:space="preserve">se cometieron una serie de violaciones al debido proceso. </w:t>
      </w:r>
      <w:r w:rsidR="008A6547" w:rsidRPr="00836C24">
        <w:rPr>
          <w:rFonts w:asciiTheme="majorHAnsi" w:hAnsiTheme="majorHAnsi" w:cs="Arial"/>
          <w:sz w:val="20"/>
          <w:szCs w:val="20"/>
          <w:lang w:val="es-ES"/>
        </w:rPr>
        <w:t xml:space="preserve">Asimismo, alegaron que la presunta víctima sufrió </w:t>
      </w:r>
      <w:r w:rsidR="005E723C" w:rsidRPr="00836C24">
        <w:rPr>
          <w:rFonts w:asciiTheme="majorHAnsi" w:hAnsiTheme="majorHAnsi" w:cs="Arial"/>
          <w:sz w:val="20"/>
          <w:szCs w:val="20"/>
          <w:lang w:val="es-ES"/>
        </w:rPr>
        <w:t>torturas al momento de su detención</w:t>
      </w:r>
      <w:r w:rsidR="008A6547" w:rsidRPr="00836C24">
        <w:rPr>
          <w:rFonts w:asciiTheme="majorHAnsi" w:hAnsiTheme="majorHAnsi" w:cs="Arial"/>
          <w:sz w:val="20"/>
          <w:szCs w:val="20"/>
          <w:lang w:val="es-ES"/>
        </w:rPr>
        <w:t>. Finalmente</w:t>
      </w:r>
      <w:r w:rsidR="005E723C" w:rsidRPr="00836C24">
        <w:rPr>
          <w:rFonts w:asciiTheme="majorHAnsi" w:hAnsiTheme="majorHAnsi" w:cs="Arial"/>
          <w:sz w:val="20"/>
          <w:szCs w:val="20"/>
          <w:lang w:val="es-ES"/>
        </w:rPr>
        <w:t>,</w:t>
      </w:r>
      <w:r w:rsidR="008A6547" w:rsidRPr="00836C24">
        <w:rPr>
          <w:rFonts w:asciiTheme="majorHAnsi" w:hAnsiTheme="majorHAnsi" w:cs="Arial"/>
          <w:sz w:val="20"/>
          <w:szCs w:val="20"/>
          <w:lang w:val="es-ES"/>
        </w:rPr>
        <w:t xml:space="preserve"> denunciaron</w:t>
      </w:r>
      <w:r w:rsidR="00557FAE" w:rsidRPr="00836C24">
        <w:rPr>
          <w:rFonts w:asciiTheme="majorHAnsi" w:hAnsiTheme="majorHAnsi" w:cs="Arial"/>
          <w:sz w:val="20"/>
          <w:szCs w:val="20"/>
          <w:lang w:val="es-ES"/>
        </w:rPr>
        <w:t xml:space="preserve"> que el señor Ruiz Fuentes fue </w:t>
      </w:r>
      <w:r w:rsidR="008A6547" w:rsidRPr="00836C24">
        <w:rPr>
          <w:rFonts w:asciiTheme="majorHAnsi" w:hAnsiTheme="majorHAnsi" w:cs="Arial"/>
          <w:sz w:val="20"/>
          <w:szCs w:val="20"/>
          <w:lang w:val="es-ES"/>
        </w:rPr>
        <w:t>ejecu</w:t>
      </w:r>
      <w:r w:rsidR="00557FAE" w:rsidRPr="00836C24">
        <w:rPr>
          <w:rFonts w:asciiTheme="majorHAnsi" w:hAnsiTheme="majorHAnsi" w:cs="Arial"/>
          <w:sz w:val="20"/>
          <w:szCs w:val="20"/>
          <w:lang w:val="es-ES"/>
        </w:rPr>
        <w:t xml:space="preserve">tado </w:t>
      </w:r>
      <w:r w:rsidR="008A6547" w:rsidRPr="00836C24">
        <w:rPr>
          <w:rFonts w:asciiTheme="majorHAnsi" w:hAnsiTheme="majorHAnsi" w:cs="Arial"/>
          <w:sz w:val="20"/>
          <w:szCs w:val="20"/>
          <w:lang w:val="es-ES"/>
        </w:rPr>
        <w:t>extrajudicial</w:t>
      </w:r>
      <w:r w:rsidR="00557FAE" w:rsidRPr="00836C24">
        <w:rPr>
          <w:rFonts w:asciiTheme="majorHAnsi" w:hAnsiTheme="majorHAnsi" w:cs="Arial"/>
          <w:sz w:val="20"/>
          <w:szCs w:val="20"/>
          <w:lang w:val="es-ES"/>
        </w:rPr>
        <w:t>mente</w:t>
      </w:r>
      <w:r w:rsidR="008A6547" w:rsidRPr="00836C24">
        <w:rPr>
          <w:rFonts w:asciiTheme="majorHAnsi" w:hAnsiTheme="majorHAnsi" w:cs="Arial"/>
          <w:sz w:val="20"/>
          <w:szCs w:val="20"/>
          <w:lang w:val="es-ES"/>
        </w:rPr>
        <w:t xml:space="preserve">, tras </w:t>
      </w:r>
      <w:r w:rsidR="00805F7A" w:rsidRPr="00836C24">
        <w:rPr>
          <w:rFonts w:asciiTheme="majorHAnsi" w:hAnsiTheme="majorHAnsi" w:cs="Arial"/>
          <w:sz w:val="20"/>
          <w:szCs w:val="20"/>
          <w:lang w:val="es-ES"/>
        </w:rPr>
        <w:t xml:space="preserve">fugarse de </w:t>
      </w:r>
      <w:r w:rsidR="00F8562C" w:rsidRPr="00836C24">
        <w:rPr>
          <w:rFonts w:asciiTheme="majorHAnsi" w:hAnsiTheme="majorHAnsi" w:cs="Arial"/>
          <w:sz w:val="20"/>
          <w:szCs w:val="20"/>
          <w:lang w:val="es-ES"/>
        </w:rPr>
        <w:t xml:space="preserve">la cárcel </w:t>
      </w:r>
      <w:r w:rsidR="00805F7A" w:rsidRPr="00836C24">
        <w:rPr>
          <w:rFonts w:asciiTheme="majorHAnsi" w:hAnsiTheme="majorHAnsi" w:cs="Arial"/>
          <w:sz w:val="20"/>
          <w:szCs w:val="20"/>
          <w:lang w:val="es-ES"/>
        </w:rPr>
        <w:t xml:space="preserve">en 2005. </w:t>
      </w:r>
    </w:p>
    <w:p w:rsidR="00AB1E31" w:rsidRPr="00836C24" w:rsidRDefault="00AB1E31" w:rsidP="00AB1E31">
      <w:pPr>
        <w:pStyle w:val="ListParagraph"/>
        <w:rPr>
          <w:rFonts w:asciiTheme="majorHAnsi" w:eastAsia="Calibri" w:hAnsiTheme="majorHAnsi"/>
          <w:sz w:val="20"/>
          <w:szCs w:val="20"/>
          <w:lang w:val="es-VE"/>
        </w:rPr>
      </w:pPr>
    </w:p>
    <w:p w:rsidR="003A5B81" w:rsidRPr="00836C24" w:rsidRDefault="00AB1E31" w:rsidP="00FA032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Theme="majorHAnsi" w:eastAsia="Calibri" w:hAnsiTheme="majorHAnsi"/>
          <w:sz w:val="20"/>
          <w:szCs w:val="20"/>
          <w:lang w:val="es-VE"/>
        </w:rPr>
        <w:t xml:space="preserve">El Estado </w:t>
      </w:r>
      <w:r w:rsidR="00FA032B" w:rsidRPr="00836C24">
        <w:rPr>
          <w:rFonts w:asciiTheme="majorHAnsi" w:eastAsia="Calibri" w:hAnsiTheme="majorHAnsi"/>
          <w:sz w:val="20"/>
          <w:szCs w:val="20"/>
          <w:lang w:val="es-VE"/>
        </w:rPr>
        <w:t xml:space="preserve">de Guatemala </w:t>
      </w:r>
      <w:r w:rsidR="00FA032B" w:rsidRPr="00836C24">
        <w:rPr>
          <w:rFonts w:ascii="Cambria" w:hAnsi="Cambria"/>
          <w:sz w:val="20"/>
          <w:szCs w:val="20"/>
          <w:lang w:val="es-CO"/>
        </w:rPr>
        <w:t xml:space="preserve">(en adelante “el Estado guatemalteco”, “el Estado” o “Guatemala”) </w:t>
      </w:r>
      <w:r w:rsidR="002A3245" w:rsidRPr="00836C24">
        <w:rPr>
          <w:rFonts w:asciiTheme="majorHAnsi" w:eastAsia="Calibri" w:hAnsiTheme="majorHAnsi"/>
          <w:sz w:val="20"/>
          <w:szCs w:val="20"/>
          <w:lang w:val="es-VE"/>
        </w:rPr>
        <w:t>a</w:t>
      </w:r>
      <w:r w:rsidR="007B3F37" w:rsidRPr="00836C24">
        <w:rPr>
          <w:rFonts w:asciiTheme="majorHAnsi" w:eastAsia="Calibri" w:hAnsiTheme="majorHAnsi"/>
          <w:sz w:val="20"/>
          <w:szCs w:val="20"/>
          <w:lang w:val="es-VE"/>
        </w:rPr>
        <w:t>legó</w:t>
      </w:r>
      <w:r w:rsidR="002A3245" w:rsidRPr="00836C24">
        <w:rPr>
          <w:rFonts w:asciiTheme="majorHAnsi" w:eastAsia="Calibri" w:hAnsiTheme="majorHAnsi"/>
          <w:sz w:val="20"/>
          <w:szCs w:val="20"/>
          <w:lang w:val="es-VE"/>
        </w:rPr>
        <w:t xml:space="preserve"> que en el proceso penal</w:t>
      </w:r>
      <w:r w:rsidR="002201A4" w:rsidRPr="00836C24">
        <w:rPr>
          <w:rFonts w:asciiTheme="majorHAnsi" w:eastAsia="Calibri" w:hAnsiTheme="majorHAnsi"/>
          <w:sz w:val="20"/>
          <w:szCs w:val="20"/>
          <w:lang w:val="es-VE"/>
        </w:rPr>
        <w:t xml:space="preserve"> seguido a</w:t>
      </w:r>
      <w:r w:rsidR="002A3245" w:rsidRPr="00836C24">
        <w:rPr>
          <w:rFonts w:asciiTheme="majorHAnsi" w:eastAsia="Calibri" w:hAnsiTheme="majorHAnsi"/>
          <w:sz w:val="20"/>
          <w:szCs w:val="20"/>
          <w:lang w:val="es-VE"/>
        </w:rPr>
        <w:t xml:space="preserve"> la presunta víctima se </w:t>
      </w:r>
      <w:r w:rsidR="003A02D7" w:rsidRPr="00836C24">
        <w:rPr>
          <w:rFonts w:asciiTheme="majorHAnsi" w:eastAsia="Calibri" w:hAnsiTheme="majorHAnsi"/>
          <w:sz w:val="20"/>
          <w:szCs w:val="20"/>
          <w:lang w:val="es-VE"/>
        </w:rPr>
        <w:t xml:space="preserve">respetó </w:t>
      </w:r>
      <w:r w:rsidR="002A3245" w:rsidRPr="00836C24">
        <w:rPr>
          <w:rFonts w:asciiTheme="majorHAnsi" w:eastAsia="Calibri" w:hAnsiTheme="majorHAnsi"/>
          <w:sz w:val="20"/>
          <w:szCs w:val="20"/>
          <w:lang w:val="es-VE"/>
        </w:rPr>
        <w:t xml:space="preserve">el debido proceso.  </w:t>
      </w:r>
      <w:r w:rsidR="009D1B77" w:rsidRPr="00836C24">
        <w:rPr>
          <w:rFonts w:asciiTheme="majorHAnsi" w:eastAsia="Calibri" w:hAnsiTheme="majorHAnsi"/>
          <w:sz w:val="20"/>
          <w:szCs w:val="20"/>
          <w:lang w:val="es-VE"/>
        </w:rPr>
        <w:t>Guatemala n</w:t>
      </w:r>
      <w:r w:rsidR="002A3245" w:rsidRPr="00836C24">
        <w:rPr>
          <w:rFonts w:asciiTheme="majorHAnsi" w:eastAsia="Calibri" w:hAnsiTheme="majorHAnsi"/>
          <w:sz w:val="20"/>
          <w:szCs w:val="20"/>
          <w:lang w:val="es-VE"/>
        </w:rPr>
        <w:t>egó que</w:t>
      </w:r>
      <w:r w:rsidR="00E20C90" w:rsidRPr="00836C24">
        <w:rPr>
          <w:rFonts w:asciiTheme="majorHAnsi" w:eastAsia="Calibri" w:hAnsiTheme="majorHAnsi"/>
          <w:sz w:val="20"/>
          <w:szCs w:val="20"/>
          <w:lang w:val="es-VE"/>
        </w:rPr>
        <w:t xml:space="preserve"> el señor Ruiz Fuentes </w:t>
      </w:r>
      <w:r w:rsidR="002A3245" w:rsidRPr="00836C24">
        <w:rPr>
          <w:rFonts w:asciiTheme="majorHAnsi" w:eastAsia="Calibri" w:hAnsiTheme="majorHAnsi"/>
          <w:sz w:val="20"/>
          <w:szCs w:val="20"/>
          <w:lang w:val="es-VE"/>
        </w:rPr>
        <w:t>hubiese sido torturad</w:t>
      </w:r>
      <w:r w:rsidR="00E20C90" w:rsidRPr="00836C24">
        <w:rPr>
          <w:rFonts w:asciiTheme="majorHAnsi" w:eastAsia="Calibri" w:hAnsiTheme="majorHAnsi"/>
          <w:sz w:val="20"/>
          <w:szCs w:val="20"/>
          <w:lang w:val="es-VE"/>
        </w:rPr>
        <w:t>o</w:t>
      </w:r>
      <w:r w:rsidR="002A3245" w:rsidRPr="00836C24">
        <w:rPr>
          <w:rFonts w:asciiTheme="majorHAnsi" w:eastAsia="Calibri" w:hAnsiTheme="majorHAnsi"/>
          <w:sz w:val="20"/>
          <w:szCs w:val="20"/>
          <w:lang w:val="es-VE"/>
        </w:rPr>
        <w:t xml:space="preserve"> </w:t>
      </w:r>
      <w:r w:rsidR="00EE0A42" w:rsidRPr="00836C24">
        <w:rPr>
          <w:rFonts w:asciiTheme="majorHAnsi" w:eastAsia="Calibri" w:hAnsiTheme="majorHAnsi"/>
          <w:sz w:val="20"/>
          <w:szCs w:val="20"/>
          <w:lang w:val="es-VE"/>
        </w:rPr>
        <w:t>e indicó que</w:t>
      </w:r>
      <w:r w:rsidRPr="00836C24">
        <w:rPr>
          <w:rFonts w:ascii="Cambria" w:hAnsi="Cambria"/>
          <w:sz w:val="20"/>
          <w:szCs w:val="20"/>
          <w:lang w:val="es-CO"/>
        </w:rPr>
        <w:t xml:space="preserve"> las lesiones que sufrió</w:t>
      </w:r>
      <w:r w:rsidR="00EE0A42" w:rsidRPr="00836C24">
        <w:rPr>
          <w:rFonts w:ascii="Cambria" w:hAnsi="Cambria"/>
          <w:sz w:val="20"/>
          <w:szCs w:val="20"/>
          <w:lang w:val="es-CO"/>
        </w:rPr>
        <w:t xml:space="preserve"> fueron </w:t>
      </w:r>
      <w:r w:rsidR="00B016B8" w:rsidRPr="00836C24">
        <w:rPr>
          <w:rFonts w:ascii="Cambria" w:hAnsi="Cambria"/>
          <w:sz w:val="20"/>
          <w:szCs w:val="20"/>
          <w:lang w:val="es-CO"/>
        </w:rPr>
        <w:t xml:space="preserve">causadas por </w:t>
      </w:r>
      <w:r w:rsidRPr="00836C24">
        <w:rPr>
          <w:rFonts w:ascii="Cambria" w:hAnsi="Cambria"/>
          <w:sz w:val="20"/>
          <w:szCs w:val="20"/>
          <w:lang w:val="es-CO"/>
        </w:rPr>
        <w:t>una caída cuando intentaba</w:t>
      </w:r>
      <w:r w:rsidR="00B016B8" w:rsidRPr="00836C24">
        <w:rPr>
          <w:rFonts w:ascii="Cambria" w:hAnsi="Cambria"/>
          <w:sz w:val="20"/>
          <w:szCs w:val="20"/>
          <w:lang w:val="es-CO"/>
        </w:rPr>
        <w:t xml:space="preserve"> fugarse</w:t>
      </w:r>
      <w:r w:rsidR="003A5B81" w:rsidRPr="00836C24">
        <w:rPr>
          <w:rFonts w:ascii="Cambria" w:hAnsi="Cambria"/>
          <w:sz w:val="20"/>
          <w:szCs w:val="20"/>
          <w:lang w:val="es-CO"/>
        </w:rPr>
        <w:t xml:space="preserve"> </w:t>
      </w:r>
      <w:r w:rsidR="00EC5FD0" w:rsidRPr="00836C24">
        <w:rPr>
          <w:rFonts w:ascii="Cambria" w:hAnsi="Cambria"/>
          <w:sz w:val="20"/>
          <w:szCs w:val="20"/>
          <w:lang w:val="es-CO"/>
        </w:rPr>
        <w:t xml:space="preserve">al </w:t>
      </w:r>
      <w:r w:rsidR="003A5B81" w:rsidRPr="00836C24">
        <w:rPr>
          <w:rFonts w:ascii="Cambria" w:hAnsi="Cambria"/>
          <w:sz w:val="20"/>
          <w:szCs w:val="20"/>
          <w:lang w:val="es-CO"/>
        </w:rPr>
        <w:t>momento de su detención</w:t>
      </w:r>
      <w:r w:rsidR="009A1F4D" w:rsidRPr="00836C24">
        <w:rPr>
          <w:rFonts w:ascii="Cambria" w:hAnsi="Cambria"/>
          <w:sz w:val="20"/>
          <w:szCs w:val="20"/>
          <w:lang w:val="es-CO"/>
        </w:rPr>
        <w:t>. E</w:t>
      </w:r>
      <w:r w:rsidR="00805F7A" w:rsidRPr="00836C24">
        <w:rPr>
          <w:rFonts w:ascii="Cambria" w:hAnsi="Cambria"/>
          <w:sz w:val="20"/>
          <w:szCs w:val="20"/>
          <w:lang w:val="es-CO"/>
        </w:rPr>
        <w:t>n cuanto a la supuesta ejecución extrajudicial</w:t>
      </w:r>
      <w:r w:rsidR="00B016B8" w:rsidRPr="00836C24">
        <w:rPr>
          <w:rFonts w:ascii="Cambria" w:hAnsi="Cambria"/>
          <w:sz w:val="20"/>
          <w:szCs w:val="20"/>
          <w:lang w:val="es-CO"/>
        </w:rPr>
        <w:t xml:space="preserve">, </w:t>
      </w:r>
      <w:r w:rsidR="00805F7A" w:rsidRPr="00836C24">
        <w:rPr>
          <w:rFonts w:ascii="Cambria" w:hAnsi="Cambria"/>
          <w:sz w:val="20"/>
          <w:szCs w:val="20"/>
          <w:lang w:val="es-CO"/>
        </w:rPr>
        <w:t xml:space="preserve">indicó que </w:t>
      </w:r>
      <w:r w:rsidR="00B016B8" w:rsidRPr="00836C24">
        <w:rPr>
          <w:rFonts w:ascii="Cambria" w:hAnsi="Cambria"/>
          <w:sz w:val="20"/>
          <w:szCs w:val="20"/>
          <w:lang w:val="es-CO"/>
        </w:rPr>
        <w:t xml:space="preserve">está investigando lo ocurrido </w:t>
      </w:r>
      <w:r w:rsidR="00805F7A" w:rsidRPr="00836C24">
        <w:rPr>
          <w:rFonts w:ascii="Cambria" w:hAnsi="Cambria"/>
          <w:sz w:val="20"/>
          <w:szCs w:val="20"/>
          <w:lang w:val="es-CO"/>
        </w:rPr>
        <w:t xml:space="preserve">con debida diligencia. </w:t>
      </w:r>
    </w:p>
    <w:p w:rsidR="003A5B81" w:rsidRPr="00836C24" w:rsidRDefault="003A5B81" w:rsidP="003A5B81">
      <w:pPr>
        <w:pStyle w:val="ListParagraph"/>
        <w:rPr>
          <w:sz w:val="20"/>
          <w:szCs w:val="20"/>
          <w:lang w:val="es-CO"/>
        </w:rPr>
      </w:pPr>
    </w:p>
    <w:p w:rsidR="0078193A" w:rsidRPr="00836C24" w:rsidRDefault="0078193A" w:rsidP="0078193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MX"/>
        </w:rPr>
      </w:pPr>
      <w:r w:rsidRPr="00836C24">
        <w:rPr>
          <w:rFonts w:ascii="Cambria" w:hAnsi="Cambria"/>
          <w:sz w:val="20"/>
          <w:szCs w:val="20"/>
          <w:lang w:val="es-MX"/>
        </w:rPr>
        <w:t>La Comisión concluye que el Estado de Guatemala es responsable por la violación de los derechos a la vida</w:t>
      </w:r>
      <w:r w:rsidR="0049716A" w:rsidRPr="00836C24">
        <w:rPr>
          <w:rFonts w:ascii="Cambria" w:hAnsi="Cambria"/>
          <w:sz w:val="20"/>
          <w:szCs w:val="20"/>
          <w:lang w:val="es-MX"/>
        </w:rPr>
        <w:t xml:space="preserve">, a la integridad personal, </w:t>
      </w:r>
      <w:r w:rsidRPr="00836C24">
        <w:rPr>
          <w:rFonts w:ascii="Cambria" w:hAnsi="Cambria"/>
          <w:sz w:val="20"/>
          <w:szCs w:val="20"/>
          <w:lang w:val="es-MX"/>
        </w:rPr>
        <w:t>a las garantías judiciales y a la protección judicial establecidos en los art</w:t>
      </w:r>
      <w:r w:rsidR="0049716A" w:rsidRPr="00836C24">
        <w:rPr>
          <w:rFonts w:ascii="Cambria" w:hAnsi="Cambria"/>
          <w:sz w:val="20"/>
          <w:szCs w:val="20"/>
          <w:lang w:val="es-MX"/>
        </w:rPr>
        <w:t>ículos 4.1, 4.2, 4.6, 5.1, 5.2</w:t>
      </w:r>
      <w:r w:rsidRPr="00836C24">
        <w:rPr>
          <w:rFonts w:ascii="Cambria" w:hAnsi="Cambria"/>
          <w:sz w:val="20"/>
          <w:szCs w:val="20"/>
          <w:lang w:val="es-MX"/>
        </w:rPr>
        <w:t xml:space="preserve">, 8.1, 8.2 c), f), g), h) y 25.1 de la Convención Americana sobre Derechos Humanos (en adelante “la Convención Americana” o “la Convención”) en relación con las obligaciones establecidas en los artículos 1.1 y 2 del mismo instrumento, en perjuicio de Hugo Humberto Ruiz Fuentes. La Comisión también concluye que el Estado de Guatemala es responsable por la violación de los derechos a la integridad personal, garantías judiciales y protección judicial establecidos en los artículos 5.1, 8.1 y 25.1 de la Convención Americana en relación con las obligaciones establecidas en el artículo 1.1 del mismo instrumento, en perjuicio de los familiares de Hugo Humberto Ruiz Fuentes. Finalmente, la </w:t>
      </w:r>
      <w:r w:rsidR="002140EF" w:rsidRPr="00836C24">
        <w:rPr>
          <w:rFonts w:ascii="Cambria" w:hAnsi="Cambria"/>
          <w:sz w:val="20"/>
          <w:szCs w:val="20"/>
          <w:lang w:val="es-MX"/>
        </w:rPr>
        <w:t>Comisión c</w:t>
      </w:r>
      <w:r w:rsidRPr="00836C24">
        <w:rPr>
          <w:rFonts w:ascii="Cambria" w:hAnsi="Cambria"/>
          <w:sz w:val="20"/>
          <w:szCs w:val="20"/>
          <w:lang w:val="es-MX"/>
        </w:rPr>
        <w:t>oncluye que el Estado de Guatemala violó los artículos 1, 6 y 8 de la Convención Interamericana para Prevenir y Sancionar la Tortura</w:t>
      </w:r>
      <w:r w:rsidR="0037050A" w:rsidRPr="00836C24">
        <w:rPr>
          <w:rFonts w:ascii="Cambria" w:hAnsi="Cambria"/>
          <w:sz w:val="20"/>
          <w:szCs w:val="20"/>
          <w:lang w:val="es-MX"/>
        </w:rPr>
        <w:t xml:space="preserve"> (en adelante “la CIPST”)</w:t>
      </w:r>
      <w:r w:rsidR="007370C7" w:rsidRPr="00836C24">
        <w:rPr>
          <w:rFonts w:ascii="Cambria" w:hAnsi="Cambria"/>
          <w:sz w:val="20"/>
          <w:szCs w:val="20"/>
          <w:lang w:val="es-MX"/>
        </w:rPr>
        <w:t>.</w:t>
      </w:r>
      <w:r w:rsidR="0037050A" w:rsidRPr="00836C24">
        <w:rPr>
          <w:rFonts w:ascii="Cambria" w:hAnsi="Cambria"/>
          <w:sz w:val="20"/>
          <w:szCs w:val="20"/>
          <w:lang w:val="es-MX"/>
        </w:rPr>
        <w:t xml:space="preserve"> </w:t>
      </w:r>
    </w:p>
    <w:p w:rsidR="00AB1E31" w:rsidRPr="00836C24" w:rsidRDefault="00AB1E31" w:rsidP="005568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836C24" w:rsidRDefault="00E40449" w:rsidP="00E40449">
      <w:pPr>
        <w:pStyle w:val="Heading1"/>
        <w:numPr>
          <w:ilvl w:val="0"/>
          <w:numId w:val="55"/>
        </w:numPr>
        <w:tabs>
          <w:tab w:val="clear" w:pos="1440"/>
        </w:tabs>
      </w:pPr>
      <w:bookmarkStart w:id="2" w:name="_Toc370840744"/>
      <w:bookmarkStart w:id="3" w:name="_Toc370840840"/>
      <w:bookmarkStart w:id="4" w:name="_Toc423514406"/>
      <w:bookmarkStart w:id="5" w:name="_Toc433115982"/>
      <w:bookmarkStart w:id="6" w:name="_Toc444958125"/>
      <w:bookmarkStart w:id="7" w:name="_Toc475546036"/>
      <w:bookmarkStart w:id="8" w:name="_Toc483500309"/>
      <w:bookmarkStart w:id="9" w:name="_Toc491441620"/>
      <w:r w:rsidRPr="00836C24">
        <w:t xml:space="preserve">TRÁMITE ANTE LA </w:t>
      </w:r>
      <w:bookmarkStart w:id="10" w:name="_Toc370840745"/>
      <w:bookmarkStart w:id="11" w:name="_Toc370840841"/>
      <w:bookmarkEnd w:id="2"/>
      <w:bookmarkEnd w:id="3"/>
      <w:r w:rsidRPr="00836C24">
        <w:t>COMISIÓN</w:t>
      </w:r>
      <w:bookmarkEnd w:id="4"/>
      <w:bookmarkEnd w:id="5"/>
      <w:bookmarkEnd w:id="6"/>
      <w:bookmarkEnd w:id="7"/>
      <w:bookmarkEnd w:id="8"/>
      <w:bookmarkEnd w:id="9"/>
    </w:p>
    <w:p w:rsidR="00405A3D" w:rsidRPr="00836C24" w:rsidRDefault="00405A3D" w:rsidP="00405A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ES"/>
        </w:rPr>
      </w:pPr>
    </w:p>
    <w:p w:rsidR="00F25D69" w:rsidRPr="00836C24" w:rsidRDefault="00D21E3A" w:rsidP="00405A3D">
      <w:pPr>
        <w:pStyle w:val="ListParagraph"/>
        <w:numPr>
          <w:ilvl w:val="0"/>
          <w:numId w:val="60"/>
        </w:numPr>
        <w:ind w:left="1440" w:hanging="720"/>
        <w:rPr>
          <w:rFonts w:asciiTheme="majorHAnsi" w:hAnsiTheme="majorHAnsi"/>
          <w:b/>
          <w:sz w:val="20"/>
          <w:szCs w:val="20"/>
          <w:lang w:val="es-ES"/>
        </w:rPr>
      </w:pPr>
      <w:r w:rsidRPr="00836C24">
        <w:rPr>
          <w:rFonts w:asciiTheme="majorHAnsi" w:hAnsiTheme="majorHAnsi"/>
          <w:b/>
          <w:sz w:val="20"/>
          <w:szCs w:val="20"/>
          <w:lang w:val="es-ES"/>
        </w:rPr>
        <w:t>Trámite del caso</w:t>
      </w:r>
      <w:r w:rsidR="00F25D69" w:rsidRPr="00836C24">
        <w:rPr>
          <w:rFonts w:asciiTheme="majorHAnsi" w:hAnsiTheme="majorHAnsi"/>
          <w:b/>
          <w:sz w:val="20"/>
          <w:szCs w:val="20"/>
          <w:lang w:val="es-ES"/>
        </w:rPr>
        <w:t xml:space="preserve"> </w:t>
      </w:r>
      <w:r w:rsidRPr="00836C24">
        <w:rPr>
          <w:rFonts w:asciiTheme="majorHAnsi" w:hAnsiTheme="majorHAnsi"/>
          <w:b/>
          <w:sz w:val="20"/>
          <w:szCs w:val="20"/>
          <w:lang w:val="es-ES"/>
        </w:rPr>
        <w:t>desde el informe de admisibilidad</w:t>
      </w:r>
    </w:p>
    <w:p w:rsidR="00F25D69" w:rsidRPr="00836C24" w:rsidRDefault="00F25D69" w:rsidP="00405A3D">
      <w:pPr>
        <w:rPr>
          <w:rFonts w:asciiTheme="majorHAnsi" w:hAnsiTheme="majorHAnsi"/>
          <w:sz w:val="20"/>
          <w:szCs w:val="20"/>
          <w:lang w:val="es-ES"/>
        </w:rPr>
      </w:pPr>
    </w:p>
    <w:p w:rsidR="006A0A4F" w:rsidRPr="00836C24" w:rsidRDefault="00805F7A" w:rsidP="006A0A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Theme="majorHAnsi" w:eastAsia="Calibri" w:hAnsiTheme="majorHAnsi"/>
          <w:sz w:val="20"/>
          <w:szCs w:val="20"/>
          <w:lang w:val="es-VE"/>
        </w:rPr>
        <w:t>El 2 de enero de 2003 la Comisión recibió la información sobre la presunta víctima y la registró como petición con posterioridad, bajo el número 652/04</w:t>
      </w:r>
      <w:r w:rsidR="001F01C9" w:rsidRPr="00836C24">
        <w:rPr>
          <w:rFonts w:asciiTheme="majorHAnsi" w:eastAsia="Calibri" w:hAnsiTheme="majorHAnsi"/>
          <w:sz w:val="20"/>
          <w:szCs w:val="20"/>
          <w:lang w:val="es-VE"/>
        </w:rPr>
        <w:t xml:space="preserve">. El trámite hasta la decisión sobre admisibilidad se encuentre explicado en detalle en el Informe No. </w:t>
      </w:r>
      <w:r w:rsidR="00F25D69" w:rsidRPr="00836C24">
        <w:rPr>
          <w:rFonts w:asciiTheme="majorHAnsi" w:eastAsia="Calibri" w:hAnsiTheme="majorHAnsi"/>
          <w:sz w:val="20"/>
          <w:szCs w:val="20"/>
          <w:lang w:val="es-VE"/>
        </w:rPr>
        <w:t>14/08</w:t>
      </w:r>
      <w:r w:rsidR="00F25D69" w:rsidRPr="00836C24">
        <w:rPr>
          <w:rStyle w:val="FootnoteReference"/>
          <w:rFonts w:asciiTheme="majorHAnsi" w:eastAsia="Calibri" w:hAnsiTheme="majorHAnsi"/>
          <w:sz w:val="20"/>
          <w:szCs w:val="20"/>
          <w:lang w:val="es-VE"/>
        </w:rPr>
        <w:footnoteReference w:id="2"/>
      </w:r>
      <w:r w:rsidR="00F25D69" w:rsidRPr="00836C24">
        <w:rPr>
          <w:rFonts w:asciiTheme="majorHAnsi" w:eastAsia="Calibri" w:hAnsiTheme="majorHAnsi"/>
          <w:sz w:val="20"/>
          <w:szCs w:val="20"/>
          <w:lang w:val="es-VE"/>
        </w:rPr>
        <w:t xml:space="preserve">. </w:t>
      </w:r>
      <w:r w:rsidR="001F01C9" w:rsidRPr="00836C24">
        <w:rPr>
          <w:rFonts w:asciiTheme="majorHAnsi" w:eastAsia="Calibri" w:hAnsiTheme="majorHAnsi"/>
          <w:sz w:val="20"/>
          <w:szCs w:val="20"/>
          <w:lang w:val="es-VE"/>
        </w:rPr>
        <w:t>En dicho informe la CIDH declaró la petición admisible en cuanto a la posible violación de los derechos consagrados en los artículos 4, 5, 8.1 y</w:t>
      </w:r>
      <w:r w:rsidR="001F01C9" w:rsidRPr="00836C24">
        <w:rPr>
          <w:rFonts w:ascii="Cambria" w:hAnsi="Cambria"/>
          <w:sz w:val="20"/>
          <w:szCs w:val="20"/>
          <w:lang w:val="es-VE"/>
        </w:rPr>
        <w:t xml:space="preserve"> </w:t>
      </w:r>
      <w:r w:rsidR="00F25D69" w:rsidRPr="00836C24">
        <w:rPr>
          <w:rFonts w:ascii="Cambria" w:hAnsi="Cambria"/>
          <w:sz w:val="20"/>
          <w:szCs w:val="20"/>
          <w:lang w:val="es-MX"/>
        </w:rPr>
        <w:t xml:space="preserve">25 </w:t>
      </w:r>
      <w:r w:rsidR="00F25D69" w:rsidRPr="00836C24">
        <w:rPr>
          <w:rFonts w:ascii="Cambria" w:hAnsi="Cambria"/>
          <w:sz w:val="20"/>
          <w:szCs w:val="20"/>
          <w:lang w:val="es-VE"/>
        </w:rPr>
        <w:lastRenderedPageBreak/>
        <w:t xml:space="preserve">de la Convención Americana </w:t>
      </w:r>
      <w:r w:rsidR="001F01C9" w:rsidRPr="00836C24">
        <w:rPr>
          <w:rFonts w:ascii="Cambria" w:hAnsi="Cambria"/>
          <w:sz w:val="20"/>
          <w:szCs w:val="20"/>
          <w:lang w:val="es-VE"/>
        </w:rPr>
        <w:t xml:space="preserve"> en relación con el artículo 1.1 del mismo instrumento </w:t>
      </w:r>
      <w:r w:rsidR="00F25D69" w:rsidRPr="00836C24">
        <w:rPr>
          <w:rFonts w:ascii="Cambria" w:hAnsi="Cambria"/>
          <w:sz w:val="20"/>
          <w:szCs w:val="20"/>
          <w:lang w:val="es-VE"/>
        </w:rPr>
        <w:t>y</w:t>
      </w:r>
      <w:r w:rsidR="001F01C9" w:rsidRPr="00836C24">
        <w:rPr>
          <w:rFonts w:ascii="Cambria" w:hAnsi="Cambria"/>
          <w:sz w:val="20"/>
          <w:szCs w:val="20"/>
          <w:lang w:val="es-VE"/>
        </w:rPr>
        <w:t xml:space="preserve"> los artículos 1, 6 y 8</w:t>
      </w:r>
      <w:r w:rsidR="00F25D69" w:rsidRPr="00836C24">
        <w:rPr>
          <w:rFonts w:ascii="Cambria" w:hAnsi="Cambria"/>
          <w:sz w:val="20"/>
          <w:szCs w:val="20"/>
          <w:lang w:val="es-VE"/>
        </w:rPr>
        <w:t xml:space="preserve"> de la C</w:t>
      </w:r>
      <w:r w:rsidR="00773B94" w:rsidRPr="00836C24">
        <w:rPr>
          <w:rFonts w:ascii="Cambria" w:hAnsi="Cambria"/>
          <w:sz w:val="20"/>
          <w:szCs w:val="20"/>
          <w:lang w:val="es-VE"/>
        </w:rPr>
        <w:t>IPST</w:t>
      </w:r>
      <w:r w:rsidR="00F25D69" w:rsidRPr="00836C24">
        <w:rPr>
          <w:rFonts w:ascii="Cambria" w:hAnsi="Cambria"/>
          <w:sz w:val="20"/>
          <w:szCs w:val="20"/>
          <w:lang w:val="es-VE"/>
        </w:rPr>
        <w:t xml:space="preserve">. </w:t>
      </w:r>
    </w:p>
    <w:p w:rsidR="006A0A4F" w:rsidRPr="00836C24" w:rsidRDefault="006A0A4F" w:rsidP="00D6580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B850B6" w:rsidRPr="00836C24" w:rsidRDefault="00B850B6" w:rsidP="00B850B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El 24 de marzo de 2008 la Comisión notificó a las partes el informe de admisibilidad</w:t>
      </w:r>
      <w:r w:rsidR="00B52E4C" w:rsidRPr="00836C24">
        <w:rPr>
          <w:rFonts w:ascii="Cambria" w:hAnsi="Cambria"/>
          <w:sz w:val="20"/>
          <w:szCs w:val="20"/>
          <w:lang w:val="es-VE"/>
        </w:rPr>
        <w:t>.</w:t>
      </w:r>
      <w:r w:rsidRPr="00836C24">
        <w:rPr>
          <w:rFonts w:ascii="Cambria" w:hAnsi="Cambria"/>
          <w:sz w:val="20"/>
          <w:szCs w:val="20"/>
          <w:lang w:val="es-VE"/>
        </w:rPr>
        <w:t xml:space="preserve"> Asimismo, conforme a su Reglamento, se puso a disposición de las partes a fin de llegar a una solución amistosa y solicitó a las dos partes presentar sus observaciones </w:t>
      </w:r>
      <w:r w:rsidR="00B52E4C" w:rsidRPr="00836C24">
        <w:rPr>
          <w:rFonts w:ascii="Cambria" w:hAnsi="Cambria"/>
          <w:sz w:val="20"/>
          <w:szCs w:val="20"/>
          <w:lang w:val="es-VE"/>
        </w:rPr>
        <w:t xml:space="preserve">al respecto </w:t>
      </w:r>
      <w:r w:rsidRPr="00836C24">
        <w:rPr>
          <w:rFonts w:ascii="Cambria" w:hAnsi="Cambria"/>
          <w:sz w:val="20"/>
          <w:szCs w:val="20"/>
          <w:lang w:val="es-VE"/>
        </w:rPr>
        <w:t>a la brevedad</w:t>
      </w:r>
      <w:r w:rsidR="001F01C9" w:rsidRPr="00836C24">
        <w:rPr>
          <w:rFonts w:ascii="Cambria" w:hAnsi="Cambria"/>
          <w:sz w:val="20"/>
          <w:szCs w:val="20"/>
          <w:lang w:val="es-VE"/>
        </w:rPr>
        <w:t>. Finalmente</w:t>
      </w:r>
      <w:r w:rsidRPr="00836C24">
        <w:rPr>
          <w:rFonts w:ascii="Cambria" w:hAnsi="Cambria"/>
          <w:sz w:val="20"/>
          <w:szCs w:val="20"/>
          <w:lang w:val="es-VE"/>
        </w:rPr>
        <w:t xml:space="preserve">, solicitó a los peticionarios presentar sus observaciones adicionales sobre el fondo en un plazo de dos meses. </w:t>
      </w:r>
    </w:p>
    <w:p w:rsidR="00B850B6" w:rsidRPr="00836C24" w:rsidRDefault="00B850B6" w:rsidP="00B850B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F25D69" w:rsidRPr="00836C24" w:rsidRDefault="005A33FB" w:rsidP="005A33F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El 23 de junio de 2008 los peticionarios presentaron sus observaciones adicionales sobre el fondo, las cuales fueron remitidas al Estado el 14 de julio de 2008</w:t>
      </w:r>
      <w:r w:rsidR="003D5E2F" w:rsidRPr="00836C24">
        <w:rPr>
          <w:rFonts w:ascii="Cambria" w:hAnsi="Cambria"/>
          <w:sz w:val="20"/>
          <w:szCs w:val="20"/>
          <w:lang w:val="es-VE"/>
        </w:rPr>
        <w:t xml:space="preserve">, otorgándole un plazo de dos meses para presentar sus observaciones sobre el fondo. </w:t>
      </w:r>
      <w:r w:rsidRPr="00836C24">
        <w:rPr>
          <w:rFonts w:ascii="Cambria" w:hAnsi="Cambria"/>
          <w:sz w:val="20"/>
          <w:szCs w:val="20"/>
          <w:lang w:val="es-VE"/>
        </w:rPr>
        <w:t xml:space="preserve">El 8 de septiembre de 2008 el Estado presentó sus observaciones adicionales sobre el fondo, las cuales fueron </w:t>
      </w:r>
      <w:r w:rsidR="00EE4D3A" w:rsidRPr="00836C24">
        <w:rPr>
          <w:rFonts w:ascii="Cambria" w:hAnsi="Cambria"/>
          <w:sz w:val="20"/>
          <w:szCs w:val="20"/>
          <w:lang w:val="es-VE"/>
        </w:rPr>
        <w:t>trasladadas a los</w:t>
      </w:r>
      <w:r w:rsidRPr="00836C24">
        <w:rPr>
          <w:rFonts w:ascii="Cambria" w:hAnsi="Cambria"/>
          <w:sz w:val="20"/>
          <w:szCs w:val="20"/>
          <w:lang w:val="es-VE"/>
        </w:rPr>
        <w:t xml:space="preserve"> peticionario</w:t>
      </w:r>
      <w:r w:rsidR="00EE4D3A" w:rsidRPr="00836C24">
        <w:rPr>
          <w:rFonts w:ascii="Cambria" w:hAnsi="Cambria"/>
          <w:sz w:val="20"/>
          <w:szCs w:val="20"/>
          <w:lang w:val="es-VE"/>
        </w:rPr>
        <w:t>s</w:t>
      </w:r>
      <w:r w:rsidRPr="00836C24">
        <w:rPr>
          <w:rFonts w:ascii="Cambria" w:hAnsi="Cambria"/>
          <w:sz w:val="20"/>
          <w:szCs w:val="20"/>
          <w:lang w:val="es-VE"/>
        </w:rPr>
        <w:t xml:space="preserve">. </w:t>
      </w:r>
      <w:r w:rsidR="00F25D69" w:rsidRPr="00836C24">
        <w:rPr>
          <w:rFonts w:ascii="Cambria" w:hAnsi="Cambria"/>
          <w:sz w:val="20"/>
          <w:szCs w:val="20"/>
          <w:lang w:val="es-VE"/>
        </w:rPr>
        <w:t>Con posterioridad, la Co</w:t>
      </w:r>
      <w:r w:rsidR="00A600BE" w:rsidRPr="00836C24">
        <w:rPr>
          <w:rFonts w:ascii="Cambria" w:hAnsi="Cambria"/>
          <w:sz w:val="20"/>
          <w:szCs w:val="20"/>
          <w:lang w:val="es-VE"/>
        </w:rPr>
        <w:t xml:space="preserve">misión ha continuado recibiendo </w:t>
      </w:r>
      <w:r w:rsidR="00F25D69" w:rsidRPr="00836C24">
        <w:rPr>
          <w:rFonts w:ascii="Cambria" w:hAnsi="Cambria"/>
          <w:sz w:val="20"/>
          <w:szCs w:val="20"/>
          <w:lang w:val="es-VE"/>
        </w:rPr>
        <w:t>comunicaciones de los peticionarios y del Estado, las cuales h</w:t>
      </w:r>
      <w:r w:rsidR="005A4BD4" w:rsidRPr="00836C24">
        <w:rPr>
          <w:rFonts w:ascii="Cambria" w:hAnsi="Cambria"/>
          <w:sz w:val="20"/>
          <w:szCs w:val="20"/>
          <w:lang w:val="es-VE"/>
        </w:rPr>
        <w:t xml:space="preserve">an sido debidamente trasladadas </w:t>
      </w:r>
      <w:r w:rsidR="00F25D69" w:rsidRPr="00836C24">
        <w:rPr>
          <w:rFonts w:ascii="Cambria" w:hAnsi="Cambria"/>
          <w:sz w:val="20"/>
          <w:szCs w:val="20"/>
          <w:lang w:val="es-VE"/>
        </w:rPr>
        <w:t>a las partes.</w:t>
      </w:r>
    </w:p>
    <w:p w:rsidR="002140EF" w:rsidRPr="00836C24" w:rsidRDefault="002140EF" w:rsidP="002140EF">
      <w:pPr>
        <w:pStyle w:val="ListParagraph"/>
        <w:rPr>
          <w:sz w:val="20"/>
          <w:szCs w:val="20"/>
          <w:lang w:val="es-VE"/>
        </w:rPr>
      </w:pPr>
    </w:p>
    <w:p w:rsidR="002140EF" w:rsidRPr="00836C24" w:rsidRDefault="002140EF" w:rsidP="005A33F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 xml:space="preserve">En el caso en referencia, la Comisión se puso a disposición de las partes para una solución amistosa, sin que ambas partes manifestaran interés en dar inicio a tal procedimiento. </w:t>
      </w:r>
    </w:p>
    <w:p w:rsidR="00927A47" w:rsidRPr="00836C24" w:rsidRDefault="00927A47" w:rsidP="00927A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927A47" w:rsidRPr="00836C24" w:rsidRDefault="00BD22F2" w:rsidP="00927A47">
      <w:pPr>
        <w:pStyle w:val="ListParagraph"/>
        <w:numPr>
          <w:ilvl w:val="0"/>
          <w:numId w:val="60"/>
        </w:numPr>
        <w:ind w:left="1440" w:hanging="720"/>
        <w:rPr>
          <w:sz w:val="20"/>
          <w:szCs w:val="20"/>
          <w:lang w:val="es-VE"/>
        </w:rPr>
      </w:pPr>
      <w:r w:rsidRPr="00836C24">
        <w:rPr>
          <w:rFonts w:asciiTheme="majorHAnsi" w:hAnsiTheme="majorHAnsi"/>
          <w:b/>
          <w:sz w:val="20"/>
          <w:szCs w:val="20"/>
          <w:lang w:val="es-ES"/>
        </w:rPr>
        <w:t>Trámite de las m</w:t>
      </w:r>
      <w:r w:rsidR="00927A47" w:rsidRPr="00836C24">
        <w:rPr>
          <w:rFonts w:asciiTheme="majorHAnsi" w:hAnsiTheme="majorHAnsi"/>
          <w:b/>
          <w:sz w:val="20"/>
          <w:szCs w:val="20"/>
          <w:lang w:val="es-ES"/>
        </w:rPr>
        <w:t xml:space="preserve">edidas </w:t>
      </w:r>
      <w:r w:rsidRPr="00836C24">
        <w:rPr>
          <w:rFonts w:asciiTheme="majorHAnsi" w:hAnsiTheme="majorHAnsi"/>
          <w:b/>
          <w:sz w:val="20"/>
          <w:szCs w:val="20"/>
          <w:lang w:val="es-ES"/>
        </w:rPr>
        <w:t>p</w:t>
      </w:r>
      <w:r w:rsidR="00927A47" w:rsidRPr="00836C24">
        <w:rPr>
          <w:rFonts w:asciiTheme="majorHAnsi" w:hAnsiTheme="majorHAnsi"/>
          <w:b/>
          <w:sz w:val="20"/>
          <w:szCs w:val="20"/>
          <w:lang w:val="es-ES"/>
        </w:rPr>
        <w:t>rovisionales</w:t>
      </w:r>
    </w:p>
    <w:p w:rsidR="00927A47" w:rsidRPr="00836C24" w:rsidRDefault="00927A47" w:rsidP="00927A47">
      <w:pPr>
        <w:pStyle w:val="ListParagraph"/>
        <w:ind w:left="1440"/>
        <w:rPr>
          <w:rFonts w:eastAsia="Arial Unicode MS" w:cs="Times New Roman"/>
          <w:color w:val="auto"/>
          <w:sz w:val="20"/>
          <w:szCs w:val="20"/>
          <w:lang w:val="es-VE" w:eastAsia="en-US"/>
        </w:rPr>
      </w:pPr>
    </w:p>
    <w:p w:rsidR="00F83145" w:rsidRPr="00836C24" w:rsidRDefault="007E1190" w:rsidP="00F8314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A solicitud de la Comisión Interamericana, e</w:t>
      </w:r>
      <w:r w:rsidR="00F83145" w:rsidRPr="00836C24">
        <w:rPr>
          <w:rFonts w:ascii="Cambria" w:hAnsi="Cambria"/>
          <w:sz w:val="20"/>
          <w:szCs w:val="20"/>
          <w:lang w:val="es-VE"/>
        </w:rPr>
        <w:t>l 30 de agosto de 2004 la Corte Interamericana de Derechos Humanos (en adelante la “Corte Interamericana” o “la Corte”) resolvió requerir al Estado de Guatemala</w:t>
      </w:r>
      <w:r w:rsidRPr="00836C24">
        <w:rPr>
          <w:rFonts w:ascii="Cambria" w:hAnsi="Cambria"/>
          <w:sz w:val="20"/>
          <w:szCs w:val="20"/>
          <w:lang w:val="es-VE"/>
        </w:rPr>
        <w:t>:</w:t>
      </w:r>
    </w:p>
    <w:p w:rsidR="00F83145" w:rsidRPr="00836C24" w:rsidRDefault="00F83145" w:rsidP="006B38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6B388E" w:rsidRPr="00836C24" w:rsidRDefault="007E1190" w:rsidP="006B388E">
      <w:pPr>
        <w:pStyle w:val="BodyText"/>
        <w:spacing w:after="0"/>
        <w:ind w:left="720" w:right="720"/>
        <w:jc w:val="both"/>
        <w:rPr>
          <w:rFonts w:asciiTheme="majorHAnsi" w:hAnsiTheme="majorHAnsi"/>
          <w:color w:val="000000"/>
          <w:lang w:val="es-VE"/>
        </w:rPr>
      </w:pPr>
      <w:r w:rsidRPr="00836C24">
        <w:rPr>
          <w:rFonts w:asciiTheme="majorHAnsi" w:hAnsiTheme="majorHAnsi"/>
          <w:color w:val="000000"/>
          <w:lang w:val="es-CL"/>
        </w:rPr>
        <w:t xml:space="preserve">(…) </w:t>
      </w:r>
      <w:r w:rsidR="00F83145" w:rsidRPr="00836C24">
        <w:rPr>
          <w:rFonts w:asciiTheme="majorHAnsi" w:hAnsiTheme="majorHAnsi"/>
          <w:color w:val="000000"/>
          <w:lang w:val="es-CL"/>
        </w:rPr>
        <w:t>que adopte, sin dilación, las medidas necesarias para proteger la vida de Ronald Ernesto Raxcacó Reyes, Hugo Humberto Ruiz Fuentes, Bernardino Rodríguez Lara y Pablo Arturo Ruiz Almengor a fin de no obstaculizar el trámite de sus casos ante el sistema interamericano de protección de los derechos humanos.</w:t>
      </w:r>
      <w:r w:rsidR="006B388E" w:rsidRPr="00836C24">
        <w:rPr>
          <w:rFonts w:asciiTheme="majorHAnsi" w:hAnsiTheme="majorHAnsi"/>
          <w:color w:val="000000"/>
          <w:lang w:val="es-VE"/>
        </w:rPr>
        <w:t xml:space="preserve"> </w:t>
      </w:r>
    </w:p>
    <w:p w:rsidR="006B388E" w:rsidRPr="00836C24" w:rsidRDefault="006B388E" w:rsidP="006B388E">
      <w:pPr>
        <w:pStyle w:val="BodyText"/>
        <w:spacing w:after="0"/>
        <w:ind w:right="720"/>
        <w:jc w:val="both"/>
        <w:rPr>
          <w:rFonts w:asciiTheme="majorHAnsi" w:hAnsiTheme="majorHAnsi"/>
          <w:color w:val="000000"/>
          <w:lang w:val="es-VE"/>
        </w:rPr>
      </w:pPr>
    </w:p>
    <w:p w:rsidR="006B388E" w:rsidRPr="00836C24" w:rsidRDefault="00474253" w:rsidP="006B388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 xml:space="preserve">La Corte sustentó las medidas provisionales indicando que si el Estado ejecutaba a las presuntas víctimas “causaría una situación irremediable e incurriría en una conducta incompatible con el objeto y fin de la Convención”. </w:t>
      </w:r>
      <w:r w:rsidR="00F83145" w:rsidRPr="00836C24">
        <w:rPr>
          <w:rFonts w:ascii="Cambria" w:hAnsi="Cambria"/>
          <w:sz w:val="20"/>
          <w:szCs w:val="20"/>
          <w:lang w:val="es-VE"/>
        </w:rPr>
        <w:t xml:space="preserve">El 8 de noviembre de 2005 el Estado informó a la Corte que </w:t>
      </w:r>
      <w:r w:rsidR="00921904" w:rsidRPr="00836C24">
        <w:rPr>
          <w:rFonts w:ascii="Cambria" w:hAnsi="Cambria"/>
          <w:sz w:val="20"/>
          <w:szCs w:val="20"/>
          <w:lang w:val="es-VE"/>
        </w:rPr>
        <w:t xml:space="preserve">en </w:t>
      </w:r>
      <w:r w:rsidR="00F83145" w:rsidRPr="00836C24">
        <w:rPr>
          <w:rFonts w:ascii="Cambria" w:hAnsi="Cambria"/>
          <w:sz w:val="20"/>
          <w:szCs w:val="20"/>
          <w:lang w:val="es-VE"/>
        </w:rPr>
        <w:t xml:space="preserve">octubre de 2005 </w:t>
      </w:r>
      <w:r w:rsidR="004A0C87" w:rsidRPr="00836C24">
        <w:rPr>
          <w:rFonts w:ascii="Cambria" w:hAnsi="Cambria"/>
          <w:sz w:val="20"/>
          <w:szCs w:val="20"/>
          <w:lang w:val="es-VE"/>
        </w:rPr>
        <w:t xml:space="preserve">diecinueve </w:t>
      </w:r>
      <w:r w:rsidR="00F83145" w:rsidRPr="00836C24">
        <w:rPr>
          <w:rFonts w:ascii="Cambria" w:hAnsi="Cambria"/>
          <w:sz w:val="20"/>
          <w:szCs w:val="20"/>
          <w:lang w:val="es-VE"/>
        </w:rPr>
        <w:t xml:space="preserve">reos, entre quienes se encontraba el </w:t>
      </w:r>
      <w:r w:rsidR="00F43DBD" w:rsidRPr="00836C24">
        <w:rPr>
          <w:rFonts w:ascii="Cambria" w:hAnsi="Cambria"/>
          <w:sz w:val="20"/>
          <w:szCs w:val="20"/>
          <w:lang w:val="es-VE"/>
        </w:rPr>
        <w:t xml:space="preserve">señor </w:t>
      </w:r>
      <w:r w:rsidR="00F83145" w:rsidRPr="00836C24">
        <w:rPr>
          <w:rFonts w:ascii="Cambria" w:hAnsi="Cambria"/>
          <w:sz w:val="20"/>
          <w:szCs w:val="20"/>
          <w:lang w:val="es-VE"/>
        </w:rPr>
        <w:t xml:space="preserve">Ruiz Fuentes, habían escapado de la cárcel de alta seguridad de Escuintla, conocida como “el Infiernito”, conforme a lo cual solicitó la suspensión de las </w:t>
      </w:r>
      <w:r w:rsidR="00F55096" w:rsidRPr="00836C24">
        <w:rPr>
          <w:rFonts w:ascii="Cambria" w:hAnsi="Cambria"/>
          <w:sz w:val="20"/>
          <w:szCs w:val="20"/>
          <w:lang w:val="es-VE"/>
        </w:rPr>
        <w:t>m</w:t>
      </w:r>
      <w:r w:rsidR="00F83145" w:rsidRPr="00836C24">
        <w:rPr>
          <w:rFonts w:ascii="Cambria" w:hAnsi="Cambria"/>
          <w:sz w:val="20"/>
          <w:szCs w:val="20"/>
          <w:lang w:val="es-VE"/>
        </w:rPr>
        <w:t xml:space="preserve">edidas </w:t>
      </w:r>
      <w:r w:rsidR="00F55096" w:rsidRPr="00836C24">
        <w:rPr>
          <w:rFonts w:ascii="Cambria" w:hAnsi="Cambria"/>
          <w:sz w:val="20"/>
          <w:szCs w:val="20"/>
          <w:lang w:val="es-VE"/>
        </w:rPr>
        <w:t>p</w:t>
      </w:r>
      <w:r w:rsidR="00F83145" w:rsidRPr="00836C24">
        <w:rPr>
          <w:rFonts w:ascii="Cambria" w:hAnsi="Cambria"/>
          <w:sz w:val="20"/>
          <w:szCs w:val="20"/>
          <w:lang w:val="es-VE"/>
        </w:rPr>
        <w:t>rovisionales en su favor</w:t>
      </w:r>
      <w:r w:rsidR="002555EB" w:rsidRPr="00836C24">
        <w:rPr>
          <w:rFonts w:ascii="Cambria" w:hAnsi="Cambria"/>
          <w:sz w:val="20"/>
          <w:szCs w:val="20"/>
          <w:lang w:val="es-VE"/>
        </w:rPr>
        <w:t xml:space="preserve"> pues ya no se encontraba bajo su custodia. </w:t>
      </w:r>
    </w:p>
    <w:p w:rsidR="006B388E" w:rsidRPr="00836C24" w:rsidRDefault="006B388E" w:rsidP="006B38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sz w:val="20"/>
          <w:szCs w:val="20"/>
          <w:lang w:val="es-VE"/>
        </w:rPr>
      </w:pPr>
    </w:p>
    <w:p w:rsidR="00F83145" w:rsidRPr="00836C24" w:rsidRDefault="00F83145" w:rsidP="00D658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El 16 de noviembre de 2005 los representantes informaron que de las</w:t>
      </w:r>
      <w:r w:rsidR="00362008" w:rsidRPr="00836C24">
        <w:rPr>
          <w:rFonts w:ascii="Cambria" w:hAnsi="Cambria"/>
          <w:sz w:val="20"/>
          <w:szCs w:val="20"/>
          <w:lang w:val="es-VE"/>
        </w:rPr>
        <w:t xml:space="preserve"> diecinueve</w:t>
      </w:r>
      <w:r w:rsidRPr="00836C24">
        <w:rPr>
          <w:rFonts w:ascii="Cambria" w:hAnsi="Cambria"/>
          <w:sz w:val="20"/>
          <w:szCs w:val="20"/>
          <w:lang w:val="es-VE"/>
        </w:rPr>
        <w:t xml:space="preserve"> personas que se fugaron del penal “han sido capturadas tres personas, y otras tres han sido ejecutadas al momento de su captura, entre ellos el señor Ruiz Fuentes”.</w:t>
      </w:r>
      <w:r w:rsidR="006B388E" w:rsidRPr="00836C24">
        <w:rPr>
          <w:rFonts w:ascii="Cambria" w:hAnsi="Cambria"/>
          <w:sz w:val="20"/>
          <w:szCs w:val="20"/>
          <w:lang w:val="es-VE"/>
        </w:rPr>
        <w:t xml:space="preserve"> </w:t>
      </w:r>
      <w:r w:rsidRPr="00836C24">
        <w:rPr>
          <w:rFonts w:ascii="Cambria" w:hAnsi="Cambria"/>
          <w:sz w:val="20"/>
          <w:szCs w:val="20"/>
          <w:lang w:val="es-VE"/>
        </w:rPr>
        <w:t>El 4 de julio de 2006 la Corte resolvió</w:t>
      </w:r>
      <w:r w:rsidR="007841CF" w:rsidRPr="00836C24">
        <w:rPr>
          <w:rFonts w:ascii="Cambria" w:hAnsi="Cambria"/>
          <w:sz w:val="20"/>
          <w:szCs w:val="20"/>
          <w:lang w:val="es-VE"/>
        </w:rPr>
        <w:t xml:space="preserve"> levantar </w:t>
      </w:r>
      <w:r w:rsidRPr="00836C24">
        <w:rPr>
          <w:rFonts w:ascii="Cambria" w:hAnsi="Cambria"/>
          <w:sz w:val="20"/>
          <w:szCs w:val="20"/>
          <w:lang w:val="es-VE"/>
        </w:rPr>
        <w:t xml:space="preserve">las medidas provisionales </w:t>
      </w:r>
      <w:r w:rsidR="007841CF" w:rsidRPr="00836C24">
        <w:rPr>
          <w:rFonts w:ascii="Cambria" w:hAnsi="Cambria"/>
          <w:sz w:val="20"/>
          <w:szCs w:val="20"/>
          <w:lang w:val="es-VE"/>
        </w:rPr>
        <w:t xml:space="preserve">a favor del señor Ruiz Fuentes debido a su muerte. </w:t>
      </w:r>
    </w:p>
    <w:p w:rsidR="006B388E" w:rsidRPr="00836C24" w:rsidRDefault="006B388E" w:rsidP="007C53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VE"/>
        </w:rPr>
      </w:pPr>
    </w:p>
    <w:p w:rsidR="000C0E5C" w:rsidRPr="00836C24" w:rsidRDefault="009C3C33" w:rsidP="009C3C33">
      <w:pPr>
        <w:pStyle w:val="Heading1"/>
        <w:numPr>
          <w:ilvl w:val="0"/>
          <w:numId w:val="55"/>
        </w:numPr>
        <w:tabs>
          <w:tab w:val="clear" w:pos="1440"/>
        </w:tabs>
        <w:rPr>
          <w:lang w:val="es-VE"/>
        </w:rPr>
      </w:pPr>
      <w:bookmarkStart w:id="12" w:name="_Toc475546037"/>
      <w:bookmarkStart w:id="13" w:name="_Toc483500310"/>
      <w:bookmarkStart w:id="14" w:name="_Toc491441621"/>
      <w:bookmarkStart w:id="15" w:name="_Toc423514408"/>
      <w:bookmarkStart w:id="16" w:name="_Toc433115984"/>
      <w:bookmarkStart w:id="17" w:name="_Toc444958127"/>
      <w:bookmarkEnd w:id="10"/>
      <w:bookmarkEnd w:id="11"/>
      <w:r w:rsidRPr="00836C24">
        <w:rPr>
          <w:lang w:val="es-VE"/>
        </w:rPr>
        <w:t>POSICIONES DE LAS PARTES</w:t>
      </w:r>
      <w:bookmarkEnd w:id="12"/>
      <w:bookmarkEnd w:id="13"/>
      <w:bookmarkEnd w:id="14"/>
      <w:r w:rsidRPr="00836C24">
        <w:rPr>
          <w:lang w:val="es-VE"/>
        </w:rPr>
        <w:t xml:space="preserve"> </w:t>
      </w:r>
    </w:p>
    <w:p w:rsidR="009C3C33" w:rsidRPr="00836C24" w:rsidRDefault="009C3C33" w:rsidP="009C3C33">
      <w:pPr>
        <w:rPr>
          <w:lang w:val="es-ES_tradnl"/>
        </w:rPr>
      </w:pPr>
    </w:p>
    <w:p w:rsidR="00E40449" w:rsidRPr="00836C24" w:rsidRDefault="00E40449" w:rsidP="005E081B">
      <w:pPr>
        <w:pStyle w:val="Heading2"/>
        <w:numPr>
          <w:ilvl w:val="0"/>
          <w:numId w:val="59"/>
        </w:numPr>
      </w:pPr>
      <w:bookmarkStart w:id="18" w:name="_Toc475546038"/>
      <w:bookmarkStart w:id="19" w:name="_Toc483500311"/>
      <w:bookmarkStart w:id="20" w:name="_Toc491441622"/>
      <w:r w:rsidRPr="00836C24">
        <w:t>Posición d</w:t>
      </w:r>
      <w:bookmarkEnd w:id="15"/>
      <w:bookmarkEnd w:id="16"/>
      <w:bookmarkEnd w:id="17"/>
      <w:r w:rsidR="00FA084C" w:rsidRPr="00836C24">
        <w:t>e</w:t>
      </w:r>
      <w:r w:rsidR="009C3C33" w:rsidRPr="00836C24">
        <w:t xml:space="preserve"> los peticionarios</w:t>
      </w:r>
      <w:bookmarkEnd w:id="18"/>
      <w:bookmarkEnd w:id="19"/>
      <w:bookmarkEnd w:id="20"/>
      <w:r w:rsidR="00FA084C" w:rsidRPr="00836C24">
        <w:t xml:space="preserve"> </w:t>
      </w:r>
    </w:p>
    <w:p w:rsidR="00A26639" w:rsidRPr="00836C24" w:rsidRDefault="00A26639" w:rsidP="00B65F02">
      <w:pPr>
        <w:rPr>
          <w:sz w:val="20"/>
          <w:szCs w:val="20"/>
          <w:lang w:val="es-CO"/>
        </w:rPr>
      </w:pPr>
    </w:p>
    <w:p w:rsidR="00A26639" w:rsidRPr="00836C24" w:rsidRDefault="00B65F02" w:rsidP="00A2663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CO"/>
        </w:rPr>
        <w:t xml:space="preserve">Los </w:t>
      </w:r>
      <w:r w:rsidR="00A26639" w:rsidRPr="00836C24">
        <w:rPr>
          <w:rFonts w:ascii="Cambria" w:hAnsi="Cambria"/>
          <w:sz w:val="20"/>
          <w:szCs w:val="20"/>
          <w:lang w:val="es-CO"/>
        </w:rPr>
        <w:t xml:space="preserve">peticionarios relataron que la presunta víctima fue detenida, torturada y luego sometida a proceso penal por el secuestro del </w:t>
      </w:r>
      <w:r w:rsidR="003917FB" w:rsidRPr="00836C24">
        <w:rPr>
          <w:rFonts w:ascii="Cambria" w:hAnsi="Cambria"/>
          <w:sz w:val="20"/>
          <w:szCs w:val="20"/>
          <w:lang w:val="es-CO"/>
        </w:rPr>
        <w:t xml:space="preserve">niño </w:t>
      </w:r>
      <w:r w:rsidR="00A26639" w:rsidRPr="00836C24">
        <w:rPr>
          <w:rFonts w:ascii="Cambria" w:hAnsi="Cambria"/>
          <w:sz w:val="20"/>
          <w:szCs w:val="20"/>
          <w:lang w:val="es-CO"/>
        </w:rPr>
        <w:t>Pedro Alberto de León Wug</w:t>
      </w:r>
      <w:r w:rsidR="00180C93" w:rsidRPr="00836C24">
        <w:rPr>
          <w:rFonts w:ascii="Cambria" w:hAnsi="Cambria"/>
          <w:sz w:val="20"/>
          <w:szCs w:val="20"/>
          <w:lang w:val="es-CO"/>
        </w:rPr>
        <w:t>,</w:t>
      </w:r>
      <w:r w:rsidR="00A26639" w:rsidRPr="00836C24">
        <w:rPr>
          <w:rFonts w:ascii="Cambria" w:hAnsi="Cambria"/>
          <w:sz w:val="20"/>
          <w:szCs w:val="20"/>
          <w:lang w:val="es-CO"/>
        </w:rPr>
        <w:t xml:space="preserve"> ocurrido el 5 de agosto de 1997</w:t>
      </w:r>
      <w:r w:rsidR="003917FB" w:rsidRPr="00836C24">
        <w:rPr>
          <w:rFonts w:ascii="Cambria" w:hAnsi="Cambria"/>
          <w:sz w:val="20"/>
          <w:szCs w:val="20"/>
          <w:lang w:val="es-CO"/>
        </w:rPr>
        <w:t xml:space="preserve">. Señalaron que el señor Ruiz Fuentes fue </w:t>
      </w:r>
      <w:r w:rsidR="00A26639" w:rsidRPr="00836C24">
        <w:rPr>
          <w:rFonts w:ascii="Cambria" w:hAnsi="Cambria"/>
          <w:sz w:val="20"/>
          <w:szCs w:val="20"/>
          <w:lang w:val="es-CO"/>
        </w:rPr>
        <w:t xml:space="preserve">condenado a la pena de muerte el 14 de mayo de 1999 por el Tribunal Sexto de Sentencia Penal. Refirieron que </w:t>
      </w:r>
      <w:r w:rsidR="00907A69" w:rsidRPr="00836C24">
        <w:rPr>
          <w:rFonts w:ascii="Cambria" w:hAnsi="Cambria"/>
          <w:sz w:val="20"/>
          <w:szCs w:val="20"/>
          <w:lang w:val="es-CO"/>
        </w:rPr>
        <w:t xml:space="preserve">en </w:t>
      </w:r>
      <w:r w:rsidR="00A26639" w:rsidRPr="00836C24">
        <w:rPr>
          <w:rFonts w:ascii="Cambria" w:hAnsi="Cambria"/>
          <w:sz w:val="20"/>
          <w:szCs w:val="20"/>
          <w:lang w:val="es-CO"/>
        </w:rPr>
        <w:t xml:space="preserve">octubre de 2005 la presunta víctima se fugó de la cárcel “El infiernito” y fue ejecutada extrajudicialmente </w:t>
      </w:r>
      <w:r w:rsidR="00907A69" w:rsidRPr="00836C24">
        <w:rPr>
          <w:rFonts w:ascii="Cambria" w:hAnsi="Cambria"/>
          <w:sz w:val="20"/>
          <w:szCs w:val="20"/>
          <w:lang w:val="es-CO"/>
        </w:rPr>
        <w:t>e</w:t>
      </w:r>
      <w:r w:rsidR="00A26639" w:rsidRPr="00836C24">
        <w:rPr>
          <w:rFonts w:ascii="Cambria" w:hAnsi="Cambria"/>
          <w:sz w:val="20"/>
          <w:szCs w:val="20"/>
          <w:lang w:val="es-CO"/>
        </w:rPr>
        <w:t xml:space="preserve">n el marco del operativo conocido como “Plan Gavilán”. </w:t>
      </w:r>
      <w:r w:rsidR="00EE4937" w:rsidRPr="00836C24">
        <w:rPr>
          <w:rFonts w:ascii="Cambria" w:hAnsi="Cambria"/>
          <w:sz w:val="20"/>
          <w:szCs w:val="20"/>
          <w:lang w:val="es-CO"/>
        </w:rPr>
        <w:t xml:space="preserve">Señalaron que estos hechos se encuentran en la impunidad. </w:t>
      </w:r>
    </w:p>
    <w:p w:rsidR="00B65F02" w:rsidRPr="00836C24" w:rsidRDefault="00B65F02" w:rsidP="00B65F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E936F8" w:rsidRPr="00836C24" w:rsidRDefault="00BA2CD4" w:rsidP="00E936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 xml:space="preserve">Con respecto a su detención, los peticionarios indicaron que el 6 de agosto de 1997 la presunta víctima fue detenida con otra persona mientras se conducía en su vehículo, al ser interceptada por tres vehículos conducidos por agentes de la Policía Nacional Civil pertenecientes a la Sección de Investigación </w:t>
      </w:r>
      <w:r w:rsidRPr="00836C24">
        <w:rPr>
          <w:rFonts w:ascii="Cambria" w:hAnsi="Cambria"/>
          <w:sz w:val="20"/>
          <w:szCs w:val="20"/>
          <w:lang w:val="es-VE"/>
        </w:rPr>
        <w:lastRenderedPageBreak/>
        <w:t xml:space="preserve">Criminal (SIC). Refirieron que luego de ser detenida, </w:t>
      </w:r>
      <w:r w:rsidR="003D7282" w:rsidRPr="00836C24">
        <w:rPr>
          <w:rFonts w:ascii="Cambria" w:hAnsi="Cambria"/>
          <w:sz w:val="20"/>
          <w:szCs w:val="20"/>
          <w:lang w:val="es-VE"/>
        </w:rPr>
        <w:t xml:space="preserve">a la presunta víctima </w:t>
      </w:r>
      <w:r w:rsidRPr="00836C24">
        <w:rPr>
          <w:rFonts w:ascii="Cambria" w:hAnsi="Cambria"/>
          <w:sz w:val="20"/>
          <w:szCs w:val="20"/>
          <w:lang w:val="es-VE"/>
        </w:rPr>
        <w:t xml:space="preserve">le vendaron los ojos </w:t>
      </w:r>
      <w:r w:rsidR="00BD740F" w:rsidRPr="00836C24">
        <w:rPr>
          <w:rFonts w:ascii="Cambria" w:hAnsi="Cambria"/>
          <w:sz w:val="20"/>
          <w:szCs w:val="20"/>
          <w:lang w:val="es-VE"/>
        </w:rPr>
        <w:t>y le amarraron con grilletes p</w:t>
      </w:r>
      <w:r w:rsidR="003D7282" w:rsidRPr="00836C24">
        <w:rPr>
          <w:rFonts w:ascii="Cambria" w:hAnsi="Cambria"/>
          <w:sz w:val="20"/>
          <w:szCs w:val="20"/>
          <w:lang w:val="es-VE"/>
        </w:rPr>
        <w:t xml:space="preserve">lásticos, sin informarle de sus derechos constitucionales ni ponerlo a disposición de juez competente. Agregaron que con posterioridad la presunta víctima fue sometida a torturas por los agentes estatales, que ameritaron una intervención </w:t>
      </w:r>
      <w:r w:rsidR="00E936F8" w:rsidRPr="00836C24">
        <w:rPr>
          <w:rFonts w:ascii="Cambria" w:hAnsi="Cambria"/>
          <w:sz w:val="20"/>
          <w:szCs w:val="20"/>
          <w:lang w:val="es-VE"/>
        </w:rPr>
        <w:t xml:space="preserve">médica de emergencia para salvar su vida.  Indicaron que dichas torturas fueron denunciadas en diversas ocasiones pero el Estado nunca realizó una investigación sobre las mismas. </w:t>
      </w:r>
    </w:p>
    <w:p w:rsidR="00E936F8" w:rsidRPr="00836C24" w:rsidRDefault="00E936F8" w:rsidP="00E936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E936F8" w:rsidRPr="00836C24" w:rsidRDefault="00E936F8" w:rsidP="00E936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 xml:space="preserve">En cuanto a su sentencia condenatoria, indicaron que la presunta víctima fue condenado a muerte por el delito de secuestro de manera contraria a la Convención Americana, ya que el delito de secuestro no contemplaba la pena de muerte en los casos en los que no fallecía la víctima al momento que Guatemala ratificó la Convención Americana. </w:t>
      </w:r>
    </w:p>
    <w:p w:rsidR="00E936F8" w:rsidRPr="00836C24" w:rsidRDefault="00E936F8" w:rsidP="00E936F8">
      <w:pPr>
        <w:pStyle w:val="ListParagraph"/>
        <w:rPr>
          <w:sz w:val="20"/>
          <w:szCs w:val="20"/>
          <w:lang w:val="es-VE"/>
        </w:rPr>
      </w:pPr>
    </w:p>
    <w:p w:rsidR="00E936F8" w:rsidRPr="00836C24" w:rsidRDefault="00E936F8" w:rsidP="00E936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 xml:space="preserve">Los peticionarios agregaron que </w:t>
      </w:r>
      <w:r w:rsidR="00D3731F" w:rsidRPr="00836C24">
        <w:rPr>
          <w:rFonts w:ascii="Cambria" w:hAnsi="Cambria"/>
          <w:sz w:val="20"/>
          <w:szCs w:val="20"/>
          <w:lang w:val="es-VE"/>
        </w:rPr>
        <w:t xml:space="preserve">la presunta víctima estuvo detenida en espera de la ejecución de la pena de muerte por un periodo de 8 años, en la cárcel de Alta Seguridad de Escuintla y en el Centro Preventivo para Hombres de la Zona 18, y sus condiciones de detención fueron extremadamente severas, configurándose el fenómeno del “corredor de la muerte”. </w:t>
      </w:r>
    </w:p>
    <w:p w:rsidR="00D3731F" w:rsidRPr="00836C24" w:rsidRDefault="00D3731F" w:rsidP="00D3731F">
      <w:pPr>
        <w:pStyle w:val="ListParagraph"/>
        <w:rPr>
          <w:sz w:val="20"/>
          <w:szCs w:val="20"/>
          <w:lang w:val="es-VE"/>
        </w:rPr>
      </w:pPr>
    </w:p>
    <w:p w:rsidR="00D3731F" w:rsidRPr="00836C24" w:rsidRDefault="00D3731F" w:rsidP="00E936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F</w:t>
      </w:r>
      <w:r w:rsidR="00A26A9F" w:rsidRPr="00836C24">
        <w:rPr>
          <w:rFonts w:ascii="Cambria" w:hAnsi="Cambria"/>
          <w:sz w:val="20"/>
          <w:szCs w:val="20"/>
          <w:lang w:val="es-VE"/>
        </w:rPr>
        <w:t xml:space="preserve">inalmente refirieron que la presunta víctima se fugó de prisión el 22 de octubre de 2005, y que el Estado puso en marcha un operativo de recaptura denominado “Plan Gavilán” y que en dicho operativo ejecutó extrajudicialmente a la presunta víctima y a otras personas, el 14 de noviembre de 2005.  </w:t>
      </w:r>
    </w:p>
    <w:p w:rsidR="00BA2CD4" w:rsidRPr="00836C24" w:rsidRDefault="00BA2CD4" w:rsidP="00A26A9F">
      <w:pPr>
        <w:rPr>
          <w:sz w:val="20"/>
          <w:szCs w:val="20"/>
          <w:lang w:val="es-VE"/>
        </w:rPr>
      </w:pPr>
    </w:p>
    <w:p w:rsidR="00B65F02" w:rsidRPr="00836C24" w:rsidRDefault="00B65F02" w:rsidP="00B65F0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ES_tradnl"/>
        </w:rPr>
        <w:t xml:space="preserve">El detalle sobre los hechos y </w:t>
      </w:r>
      <w:r w:rsidR="00D86094" w:rsidRPr="00836C24">
        <w:rPr>
          <w:rFonts w:ascii="Cambria" w:hAnsi="Cambria"/>
          <w:sz w:val="20"/>
          <w:szCs w:val="20"/>
          <w:lang w:val="es-ES_tradnl"/>
        </w:rPr>
        <w:t xml:space="preserve">el </w:t>
      </w:r>
      <w:r w:rsidRPr="00836C24">
        <w:rPr>
          <w:rFonts w:ascii="Cambria" w:hAnsi="Cambria"/>
          <w:sz w:val="20"/>
          <w:szCs w:val="20"/>
          <w:lang w:val="es-ES_tradnl"/>
        </w:rPr>
        <w:t>proceso</w:t>
      </w:r>
      <w:r w:rsidR="00D86094" w:rsidRPr="00836C24">
        <w:rPr>
          <w:rFonts w:ascii="Cambria" w:hAnsi="Cambria"/>
          <w:sz w:val="20"/>
          <w:szCs w:val="20"/>
          <w:lang w:val="es-ES_tradnl"/>
        </w:rPr>
        <w:t xml:space="preserve"> penal </w:t>
      </w:r>
      <w:r w:rsidRPr="00836C24">
        <w:rPr>
          <w:rFonts w:ascii="Cambria" w:hAnsi="Cambria"/>
          <w:sz w:val="20"/>
          <w:szCs w:val="20"/>
          <w:lang w:val="es-ES_tradnl"/>
        </w:rPr>
        <w:t xml:space="preserve">será referido en el análisis fáctico de la Comisión, sobre la base de la información aportada por ambas partes. En esta sección se efectúa un resumen de los principales alegatos jurídicos planteados por los peticionarios durante la etapa de fondo.  </w:t>
      </w:r>
    </w:p>
    <w:p w:rsidR="00A26639" w:rsidRPr="00836C24" w:rsidRDefault="00A26639" w:rsidP="00A26639">
      <w:pPr>
        <w:pStyle w:val="ListParagraph"/>
        <w:rPr>
          <w:sz w:val="20"/>
          <w:szCs w:val="20"/>
          <w:lang w:val="es-CO"/>
        </w:rPr>
      </w:pPr>
    </w:p>
    <w:p w:rsidR="00B65F02" w:rsidRPr="00836C24" w:rsidRDefault="00B65F02" w:rsidP="00A67C6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Los peticionarios a</w:t>
      </w:r>
      <w:r w:rsidR="00A26639" w:rsidRPr="00836C24">
        <w:rPr>
          <w:rFonts w:ascii="Cambria" w:hAnsi="Cambria"/>
          <w:sz w:val="20"/>
          <w:szCs w:val="20"/>
          <w:lang w:val="es-CO"/>
        </w:rPr>
        <w:t xml:space="preserve">legaron que en el marco de la detención, proceso penal y condena, el Estado incurrió en </w:t>
      </w:r>
      <w:r w:rsidR="003E1053" w:rsidRPr="00836C24">
        <w:rPr>
          <w:rFonts w:ascii="Cambria" w:hAnsi="Cambria"/>
          <w:sz w:val="20"/>
          <w:szCs w:val="20"/>
          <w:lang w:val="es-CO"/>
        </w:rPr>
        <w:t>diversas violaciones a los</w:t>
      </w:r>
      <w:r w:rsidR="00A26639" w:rsidRPr="00836C24">
        <w:rPr>
          <w:rFonts w:ascii="Cambria" w:hAnsi="Cambria"/>
          <w:sz w:val="20"/>
          <w:szCs w:val="20"/>
          <w:lang w:val="es-CO"/>
        </w:rPr>
        <w:t xml:space="preserve"> derechos </w:t>
      </w:r>
      <w:r w:rsidR="003E1053" w:rsidRPr="00836C24">
        <w:rPr>
          <w:rFonts w:ascii="Cambria" w:hAnsi="Cambria"/>
          <w:sz w:val="20"/>
          <w:szCs w:val="20"/>
          <w:lang w:val="es-CO"/>
        </w:rPr>
        <w:t>humanos de la presunta víctima.</w:t>
      </w:r>
      <w:r w:rsidR="00644635" w:rsidRPr="00836C24">
        <w:rPr>
          <w:rFonts w:ascii="Cambria" w:hAnsi="Cambria"/>
          <w:sz w:val="20"/>
          <w:szCs w:val="20"/>
          <w:lang w:val="es-CO"/>
        </w:rPr>
        <w:t xml:space="preserve"> Concretamente sostuvieron que se violó su </w:t>
      </w:r>
      <w:r w:rsidR="00644635" w:rsidRPr="00836C24">
        <w:rPr>
          <w:rFonts w:ascii="Cambria" w:hAnsi="Cambria"/>
          <w:b/>
          <w:sz w:val="20"/>
          <w:szCs w:val="20"/>
          <w:lang w:val="es-CO"/>
        </w:rPr>
        <w:t>derecho a la libertad personal</w:t>
      </w:r>
      <w:r w:rsidR="00644635" w:rsidRPr="00836C24">
        <w:rPr>
          <w:rFonts w:ascii="Cambria" w:hAnsi="Cambria"/>
          <w:sz w:val="20"/>
          <w:szCs w:val="20"/>
          <w:lang w:val="es-CO"/>
        </w:rPr>
        <w:t xml:space="preserve"> porque la presunta víctima </w:t>
      </w:r>
      <w:r w:rsidR="00A26639" w:rsidRPr="00836C24">
        <w:rPr>
          <w:rFonts w:ascii="Cambria" w:hAnsi="Cambria"/>
          <w:sz w:val="20"/>
          <w:szCs w:val="20"/>
          <w:lang w:val="es-CO"/>
        </w:rPr>
        <w:t>fue detenida fuera de los horarios permitidos por la ley y sin orden judicial</w:t>
      </w:r>
      <w:r w:rsidR="00644635" w:rsidRPr="00836C24">
        <w:rPr>
          <w:rFonts w:ascii="Cambria" w:hAnsi="Cambria"/>
          <w:sz w:val="20"/>
          <w:szCs w:val="20"/>
          <w:lang w:val="es-CO"/>
        </w:rPr>
        <w:t>,</w:t>
      </w:r>
      <w:r w:rsidR="00A26639" w:rsidRPr="00836C24">
        <w:rPr>
          <w:rFonts w:ascii="Cambria" w:hAnsi="Cambria"/>
          <w:sz w:val="20"/>
          <w:szCs w:val="20"/>
          <w:lang w:val="es-CO"/>
        </w:rPr>
        <w:t xml:space="preserve"> a pesar </w:t>
      </w:r>
      <w:r w:rsidR="00644635" w:rsidRPr="00836C24">
        <w:rPr>
          <w:rFonts w:ascii="Cambria" w:hAnsi="Cambria"/>
          <w:sz w:val="20"/>
          <w:szCs w:val="20"/>
          <w:lang w:val="es-CO"/>
        </w:rPr>
        <w:t xml:space="preserve">de no encontrarse en flagrancia. Agregaron que se violó </w:t>
      </w:r>
      <w:r w:rsidR="00644635" w:rsidRPr="00836C24">
        <w:rPr>
          <w:rFonts w:ascii="Cambria" w:hAnsi="Cambria"/>
          <w:b/>
          <w:sz w:val="20"/>
          <w:szCs w:val="20"/>
          <w:lang w:val="es-CO"/>
        </w:rPr>
        <w:t>el derecho a la integridad personal y prohibición de tortura</w:t>
      </w:r>
      <w:r w:rsidR="00644635" w:rsidRPr="00836C24">
        <w:rPr>
          <w:rFonts w:ascii="Cambria" w:hAnsi="Cambria"/>
          <w:sz w:val="20"/>
          <w:szCs w:val="20"/>
          <w:lang w:val="es-CO"/>
        </w:rPr>
        <w:t xml:space="preserve"> porque la presunta víctima fue torturada en el momento de su detención</w:t>
      </w:r>
      <w:r w:rsidR="004D5EB4" w:rsidRPr="00836C24">
        <w:rPr>
          <w:rFonts w:ascii="Cambria" w:hAnsi="Cambria"/>
          <w:sz w:val="20"/>
          <w:szCs w:val="20"/>
          <w:lang w:val="es-CO"/>
        </w:rPr>
        <w:t xml:space="preserve">. Agregaron que </w:t>
      </w:r>
      <w:r w:rsidR="00644635" w:rsidRPr="00836C24">
        <w:rPr>
          <w:rFonts w:ascii="Cambria" w:hAnsi="Cambria"/>
          <w:sz w:val="20"/>
          <w:szCs w:val="20"/>
          <w:lang w:val="es-CO"/>
        </w:rPr>
        <w:t>no se realizó</w:t>
      </w:r>
      <w:r w:rsidR="00180C93" w:rsidRPr="00836C24">
        <w:rPr>
          <w:rFonts w:ascii="Cambria" w:hAnsi="Cambria"/>
          <w:sz w:val="20"/>
          <w:szCs w:val="20"/>
          <w:lang w:val="es-CO"/>
        </w:rPr>
        <w:t xml:space="preserve"> una investigación adecuada al r</w:t>
      </w:r>
      <w:r w:rsidR="00644635" w:rsidRPr="00836C24">
        <w:rPr>
          <w:rFonts w:ascii="Cambria" w:hAnsi="Cambria"/>
          <w:sz w:val="20"/>
          <w:szCs w:val="20"/>
          <w:lang w:val="es-CO"/>
        </w:rPr>
        <w:t xml:space="preserve">especto. </w:t>
      </w:r>
    </w:p>
    <w:p w:rsidR="00B65F02" w:rsidRPr="00836C24" w:rsidRDefault="00B65F02" w:rsidP="00B65F02">
      <w:pPr>
        <w:pStyle w:val="ListParagraph"/>
        <w:rPr>
          <w:sz w:val="20"/>
          <w:szCs w:val="20"/>
          <w:lang w:val="es-CO"/>
        </w:rPr>
      </w:pPr>
    </w:p>
    <w:p w:rsidR="00B65F02" w:rsidRPr="00836C24" w:rsidRDefault="00644635" w:rsidP="00A67C6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Indicaron que se violó el </w:t>
      </w:r>
      <w:r w:rsidRPr="00836C24">
        <w:rPr>
          <w:rFonts w:ascii="Cambria" w:hAnsi="Cambria"/>
          <w:b/>
          <w:sz w:val="20"/>
          <w:szCs w:val="20"/>
          <w:lang w:val="es-CO"/>
        </w:rPr>
        <w:t>derecho a la vida</w:t>
      </w:r>
      <w:r w:rsidRPr="00836C24">
        <w:rPr>
          <w:rFonts w:ascii="Cambria" w:hAnsi="Cambria"/>
          <w:sz w:val="20"/>
          <w:szCs w:val="20"/>
          <w:lang w:val="es-CO"/>
        </w:rPr>
        <w:t xml:space="preserve"> por la </w:t>
      </w:r>
      <w:r w:rsidR="002116B9" w:rsidRPr="00836C24">
        <w:rPr>
          <w:rFonts w:ascii="Cambria" w:hAnsi="Cambria"/>
          <w:sz w:val="20"/>
          <w:szCs w:val="20"/>
          <w:lang w:val="es-CO"/>
        </w:rPr>
        <w:t>condena a</w:t>
      </w:r>
      <w:r w:rsidRPr="00836C24">
        <w:rPr>
          <w:rFonts w:ascii="Cambria" w:hAnsi="Cambria"/>
          <w:sz w:val="20"/>
          <w:szCs w:val="20"/>
          <w:lang w:val="es-CO"/>
        </w:rPr>
        <w:t xml:space="preserve"> la pena de muerte así como por la ejecución extrajudicial de la presunta víctima. En cuanto a la pena de muerte, </w:t>
      </w:r>
      <w:r w:rsidR="00A26639" w:rsidRPr="00836C24">
        <w:rPr>
          <w:rFonts w:ascii="Cambria" w:hAnsi="Cambria"/>
          <w:sz w:val="20"/>
          <w:szCs w:val="20"/>
          <w:lang w:val="es-CO"/>
        </w:rPr>
        <w:t>indicaron que esta se aplicó ampliando el tipo penal</w:t>
      </w:r>
      <w:r w:rsidR="00B65F02" w:rsidRPr="00836C24">
        <w:rPr>
          <w:rFonts w:ascii="Cambria" w:hAnsi="Cambria"/>
          <w:sz w:val="20"/>
          <w:szCs w:val="20"/>
          <w:lang w:val="es-CO"/>
        </w:rPr>
        <w:t xml:space="preserve"> de plagio o secuestro,</w:t>
      </w:r>
      <w:r w:rsidR="00A26639" w:rsidRPr="00836C24">
        <w:rPr>
          <w:rFonts w:ascii="Cambria" w:hAnsi="Cambria"/>
          <w:sz w:val="20"/>
          <w:szCs w:val="20"/>
          <w:lang w:val="es-CO"/>
        </w:rPr>
        <w:t xml:space="preserve"> en contravención de la Convención Americana. Con respecto a la ejecución extrajudicial</w:t>
      </w:r>
      <w:r w:rsidR="008D48B0" w:rsidRPr="00836C24">
        <w:rPr>
          <w:rFonts w:ascii="Cambria" w:hAnsi="Cambria"/>
          <w:sz w:val="20"/>
          <w:szCs w:val="20"/>
          <w:lang w:val="es-CO"/>
        </w:rPr>
        <w:t>,</w:t>
      </w:r>
      <w:r w:rsidR="00A26639" w:rsidRPr="00836C24">
        <w:rPr>
          <w:rFonts w:ascii="Cambria" w:hAnsi="Cambria"/>
          <w:sz w:val="20"/>
          <w:szCs w:val="20"/>
          <w:lang w:val="es-CO"/>
        </w:rPr>
        <w:t xml:space="preserve"> indicaron que</w:t>
      </w:r>
      <w:r w:rsidR="003C5285" w:rsidRPr="00836C24">
        <w:rPr>
          <w:rFonts w:ascii="Cambria" w:hAnsi="Cambria"/>
          <w:sz w:val="20"/>
          <w:szCs w:val="20"/>
          <w:lang w:val="es-CO"/>
        </w:rPr>
        <w:t xml:space="preserve"> el Estado también incurrió en responsabilidad pues</w:t>
      </w:r>
      <w:r w:rsidR="00A26639" w:rsidRPr="00836C24">
        <w:rPr>
          <w:rFonts w:ascii="Cambria" w:hAnsi="Cambria"/>
          <w:sz w:val="20"/>
          <w:szCs w:val="20"/>
          <w:lang w:val="es-CO"/>
        </w:rPr>
        <w:t xml:space="preserve"> la investigación</w:t>
      </w:r>
      <w:r w:rsidR="003C5285" w:rsidRPr="00836C24">
        <w:rPr>
          <w:rFonts w:ascii="Cambria" w:hAnsi="Cambria"/>
          <w:sz w:val="20"/>
          <w:szCs w:val="20"/>
          <w:lang w:val="es-CO"/>
        </w:rPr>
        <w:t xml:space="preserve"> </w:t>
      </w:r>
      <w:r w:rsidR="00A26639" w:rsidRPr="00836C24">
        <w:rPr>
          <w:rFonts w:ascii="Cambria" w:hAnsi="Cambria"/>
          <w:sz w:val="20"/>
          <w:szCs w:val="20"/>
          <w:lang w:val="es-CO"/>
        </w:rPr>
        <w:t xml:space="preserve">ha tenido una serie de deficiencias como </w:t>
      </w:r>
      <w:r w:rsidR="008D48B0" w:rsidRPr="00836C24">
        <w:rPr>
          <w:rFonts w:ascii="Cambria" w:hAnsi="Cambria"/>
          <w:sz w:val="20"/>
          <w:szCs w:val="20"/>
          <w:lang w:val="es-CO"/>
        </w:rPr>
        <w:t>la</w:t>
      </w:r>
      <w:r w:rsidR="00676262" w:rsidRPr="00836C24">
        <w:rPr>
          <w:rFonts w:ascii="Cambria" w:hAnsi="Cambria"/>
          <w:sz w:val="20"/>
          <w:szCs w:val="20"/>
          <w:lang w:val="es-CO"/>
        </w:rPr>
        <w:t xml:space="preserve"> a</w:t>
      </w:r>
      <w:r w:rsidR="00A26639" w:rsidRPr="00836C24">
        <w:rPr>
          <w:rFonts w:ascii="Cambria" w:hAnsi="Cambria"/>
          <w:sz w:val="20"/>
          <w:szCs w:val="20"/>
          <w:lang w:val="es-CO"/>
        </w:rPr>
        <w:t xml:space="preserve">lteración de medios de prueba. </w:t>
      </w:r>
    </w:p>
    <w:p w:rsidR="00B65F02" w:rsidRPr="00836C24" w:rsidRDefault="00B65F02" w:rsidP="00B65F02">
      <w:pPr>
        <w:pStyle w:val="ListParagraph"/>
        <w:rPr>
          <w:sz w:val="20"/>
          <w:szCs w:val="20"/>
          <w:lang w:val="es-CO"/>
        </w:rPr>
      </w:pPr>
    </w:p>
    <w:p w:rsidR="00A26639" w:rsidRPr="00836C24" w:rsidRDefault="00644635" w:rsidP="00A67C6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Finalmente </w:t>
      </w:r>
      <w:r w:rsidR="00A67C6B" w:rsidRPr="00836C24">
        <w:rPr>
          <w:rFonts w:ascii="Cambria" w:hAnsi="Cambria"/>
          <w:sz w:val="20"/>
          <w:szCs w:val="20"/>
          <w:lang w:val="es-CO"/>
        </w:rPr>
        <w:t xml:space="preserve">refirieron que se violó el </w:t>
      </w:r>
      <w:r w:rsidR="00A26639" w:rsidRPr="00836C24">
        <w:rPr>
          <w:rFonts w:ascii="Cambria" w:hAnsi="Cambria"/>
          <w:b/>
          <w:sz w:val="20"/>
          <w:szCs w:val="20"/>
          <w:lang w:val="es-CO"/>
        </w:rPr>
        <w:t>derecho a la integridad personal</w:t>
      </w:r>
      <w:r w:rsidR="00A26639" w:rsidRPr="00836C24">
        <w:rPr>
          <w:rFonts w:ascii="Cambria" w:hAnsi="Cambria"/>
          <w:sz w:val="20"/>
          <w:szCs w:val="20"/>
          <w:lang w:val="es-CO"/>
        </w:rPr>
        <w:t xml:space="preserve"> en perjuicio de los familiares de la presunta víctima, porque han sido objeto de hostigamientos en su búsqueda</w:t>
      </w:r>
      <w:r w:rsidR="00066FD3" w:rsidRPr="00836C24">
        <w:rPr>
          <w:rFonts w:ascii="Cambria" w:hAnsi="Cambria"/>
          <w:sz w:val="20"/>
          <w:szCs w:val="20"/>
          <w:lang w:val="es-CO"/>
        </w:rPr>
        <w:t xml:space="preserve"> de</w:t>
      </w:r>
      <w:r w:rsidR="00A26639" w:rsidRPr="00836C24">
        <w:rPr>
          <w:rFonts w:ascii="Cambria" w:hAnsi="Cambria"/>
          <w:sz w:val="20"/>
          <w:szCs w:val="20"/>
          <w:lang w:val="es-CO"/>
        </w:rPr>
        <w:t xml:space="preserve"> justicia, y por el sufrimiento que les generó la detención, tortura y condena </w:t>
      </w:r>
      <w:r w:rsidR="003C5285" w:rsidRPr="00836C24">
        <w:rPr>
          <w:rFonts w:ascii="Cambria" w:hAnsi="Cambria"/>
          <w:sz w:val="20"/>
          <w:szCs w:val="20"/>
          <w:lang w:val="es-CO"/>
        </w:rPr>
        <w:t xml:space="preserve">a muerte </w:t>
      </w:r>
      <w:r w:rsidR="00A26639" w:rsidRPr="00836C24">
        <w:rPr>
          <w:rFonts w:ascii="Cambria" w:hAnsi="Cambria"/>
          <w:sz w:val="20"/>
          <w:szCs w:val="20"/>
          <w:lang w:val="es-CO"/>
        </w:rPr>
        <w:t>de su familiar.</w:t>
      </w:r>
    </w:p>
    <w:p w:rsidR="00B65F02" w:rsidRPr="00836C24" w:rsidRDefault="00B65F02" w:rsidP="006D65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836C24" w:rsidRDefault="00E40449" w:rsidP="005E081B">
      <w:pPr>
        <w:pStyle w:val="Heading2"/>
        <w:numPr>
          <w:ilvl w:val="0"/>
          <w:numId w:val="59"/>
        </w:numPr>
      </w:pPr>
      <w:bookmarkStart w:id="21" w:name="_Toc370840747"/>
      <w:bookmarkStart w:id="22" w:name="_Toc370840843"/>
      <w:bookmarkStart w:id="23" w:name="_Toc423514409"/>
      <w:bookmarkStart w:id="24" w:name="_Toc433115985"/>
      <w:bookmarkStart w:id="25" w:name="_Toc444958128"/>
      <w:bookmarkStart w:id="26" w:name="_Toc475546039"/>
      <w:bookmarkStart w:id="27" w:name="_Toc483500312"/>
      <w:bookmarkStart w:id="28" w:name="_Toc491441623"/>
      <w:r w:rsidRPr="00836C24">
        <w:t>Posición del Estado</w:t>
      </w:r>
      <w:bookmarkEnd w:id="21"/>
      <w:bookmarkEnd w:id="22"/>
      <w:bookmarkEnd w:id="23"/>
      <w:bookmarkEnd w:id="24"/>
      <w:bookmarkEnd w:id="25"/>
      <w:bookmarkEnd w:id="26"/>
      <w:bookmarkEnd w:id="27"/>
      <w:bookmarkEnd w:id="28"/>
    </w:p>
    <w:p w:rsidR="00CA20AB" w:rsidRPr="00836C24" w:rsidRDefault="00CA20AB" w:rsidP="002548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C176D4" w:rsidRPr="00231343" w:rsidRDefault="003A77F1" w:rsidP="0023134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El Estado indicó que la presunta víctima no fue torturada en el momento de su detención y refirió que conforme el informe circunstanciado de la Policía Nacional Civil sobre la detención de la presunta víctima, Hugo Humberto Ruiz Fuentes y otra persona, al percatarse de la presencia de elementos policiales gritaron “ahí viene la policía” e intentaron darse a la fuga lanzándose de una pared de 8 metros de altura a un terreno baldío que daba a la parte de atrás del inmueble.</w:t>
      </w:r>
      <w:r w:rsidR="00C176D4" w:rsidRPr="00836C24">
        <w:rPr>
          <w:rFonts w:ascii="Cambria" w:hAnsi="Cambria"/>
          <w:sz w:val="20"/>
          <w:szCs w:val="20"/>
          <w:lang w:val="es-CO"/>
        </w:rPr>
        <w:t xml:space="preserve"> Refirió que como consecuencia de dicha caída, la presunta víctima sufrió múltiples golpes, por lo que fue trasladado a la emergencia del Hospital Roosevelt.  Refirió que en el parte policial se evidencia claramente el cumplimiento de los artículos constitucionales referentes a la notificación de la causa de la detención y derechos del detenido. Indicó que el 7 de agosto de 1997 el Juez Décimo de Paz Penal se constituyó al Hospital Roosevelt a efecto de tomar la primera declaración de la presunta víctima.</w:t>
      </w:r>
    </w:p>
    <w:p w:rsidR="00F04CB4" w:rsidRPr="00836C24" w:rsidRDefault="00F04CB4" w:rsidP="00AD4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lastRenderedPageBreak/>
        <w:t>El Estado negó que la condena a muerte de la presunta víctima haya violado el artículo 4 de la Convención Americana, argumentando que si bien se le conden</w:t>
      </w:r>
      <w:r w:rsidR="00B07ECA" w:rsidRPr="00836C24">
        <w:rPr>
          <w:rFonts w:ascii="Cambria" w:hAnsi="Cambria"/>
          <w:sz w:val="20"/>
          <w:szCs w:val="20"/>
          <w:lang w:val="es-CO"/>
        </w:rPr>
        <w:t>ó</w:t>
      </w:r>
      <w:r w:rsidRPr="00836C24">
        <w:rPr>
          <w:rFonts w:ascii="Cambria" w:hAnsi="Cambria"/>
          <w:sz w:val="20"/>
          <w:szCs w:val="20"/>
          <w:lang w:val="es-CO"/>
        </w:rPr>
        <w:t xml:space="preserve"> a pena de muerte por el delito de secuestro, se fugó de prisión sin que la pena fuese ejecutada. </w:t>
      </w:r>
    </w:p>
    <w:p w:rsidR="00F04CB4" w:rsidRPr="00836C24" w:rsidRDefault="00F04CB4" w:rsidP="00F04CB4">
      <w:pPr>
        <w:pStyle w:val="ListParagraph"/>
        <w:rPr>
          <w:sz w:val="20"/>
          <w:szCs w:val="20"/>
          <w:lang w:val="es-CO"/>
        </w:rPr>
      </w:pPr>
    </w:p>
    <w:p w:rsidR="00F04CB4" w:rsidRPr="00836C24" w:rsidRDefault="00F04CB4" w:rsidP="00AD4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Con relación</w:t>
      </w:r>
      <w:r w:rsidR="00D02480" w:rsidRPr="00836C24">
        <w:rPr>
          <w:rFonts w:ascii="Cambria" w:hAnsi="Cambria"/>
          <w:sz w:val="20"/>
          <w:szCs w:val="20"/>
          <w:lang w:val="es-CO"/>
        </w:rPr>
        <w:t xml:space="preserve"> a la muerte de la presunta víctima tras fugarse de prisión, el Estado indicó que las circunstancias de su muerte están por esclarecerse y que derivado de ello el Ministerio Público inició una investigación penal dentro de la cual giró una orden de aprehensión en contra de un oficial de la Policía Nacional Civil. </w:t>
      </w:r>
    </w:p>
    <w:p w:rsidR="00D02480" w:rsidRPr="00836C24" w:rsidRDefault="00D02480" w:rsidP="00D02480">
      <w:pPr>
        <w:pStyle w:val="ListParagraph"/>
        <w:rPr>
          <w:sz w:val="20"/>
          <w:szCs w:val="20"/>
          <w:lang w:val="es-CO"/>
        </w:rPr>
      </w:pPr>
    </w:p>
    <w:p w:rsidR="006B388E" w:rsidRPr="00836C24" w:rsidRDefault="00D02480" w:rsidP="00D0248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En cuanto al derecho, e</w:t>
      </w:r>
      <w:r w:rsidR="00A26639" w:rsidRPr="00836C24">
        <w:rPr>
          <w:rFonts w:ascii="Cambria" w:hAnsi="Cambria"/>
          <w:sz w:val="20"/>
          <w:szCs w:val="20"/>
          <w:lang w:val="es-CO"/>
        </w:rPr>
        <w:t xml:space="preserve">l Estado alegó </w:t>
      </w:r>
      <w:r w:rsidR="006B388E" w:rsidRPr="00836C24">
        <w:rPr>
          <w:rFonts w:ascii="Cambria" w:hAnsi="Cambria"/>
          <w:sz w:val="20"/>
          <w:szCs w:val="20"/>
          <w:lang w:val="es-CO"/>
        </w:rPr>
        <w:t>que en el presente caso</w:t>
      </w:r>
      <w:r w:rsidR="007825A5" w:rsidRPr="00836C24">
        <w:rPr>
          <w:rFonts w:ascii="Cambria" w:hAnsi="Cambria"/>
          <w:sz w:val="20"/>
          <w:szCs w:val="20"/>
          <w:lang w:val="es-CO"/>
        </w:rPr>
        <w:t xml:space="preserve"> no se violó el </w:t>
      </w:r>
      <w:r w:rsidR="007825A5" w:rsidRPr="00836C24">
        <w:rPr>
          <w:rFonts w:ascii="Cambria" w:hAnsi="Cambria"/>
          <w:b/>
          <w:sz w:val="20"/>
          <w:szCs w:val="20"/>
          <w:lang w:val="es-CO"/>
        </w:rPr>
        <w:t>derecho a la libertad personal</w:t>
      </w:r>
      <w:r w:rsidR="007825A5" w:rsidRPr="00836C24">
        <w:rPr>
          <w:rFonts w:ascii="Cambria" w:hAnsi="Cambria"/>
          <w:sz w:val="20"/>
          <w:szCs w:val="20"/>
          <w:lang w:val="es-CO"/>
        </w:rPr>
        <w:t xml:space="preserve"> porque en </w:t>
      </w:r>
      <w:r w:rsidR="00A26639" w:rsidRPr="00836C24">
        <w:rPr>
          <w:rFonts w:ascii="Cambria" w:hAnsi="Cambria"/>
          <w:sz w:val="20"/>
          <w:szCs w:val="20"/>
          <w:lang w:val="es-CO"/>
        </w:rPr>
        <w:t>la detención d</w:t>
      </w:r>
      <w:r w:rsidR="007825A5" w:rsidRPr="00836C24">
        <w:rPr>
          <w:rFonts w:ascii="Cambria" w:hAnsi="Cambria"/>
          <w:sz w:val="20"/>
          <w:szCs w:val="20"/>
          <w:lang w:val="es-CO"/>
        </w:rPr>
        <w:t>e la presunta víctima se cumplió</w:t>
      </w:r>
      <w:r w:rsidR="00A26639" w:rsidRPr="00836C24">
        <w:rPr>
          <w:rFonts w:ascii="Cambria" w:hAnsi="Cambria"/>
          <w:sz w:val="20"/>
          <w:szCs w:val="20"/>
          <w:lang w:val="es-CO"/>
        </w:rPr>
        <w:t xml:space="preserve"> con las formalidades legales respecto de la notificación de la causa de la detenc</w:t>
      </w:r>
      <w:r w:rsidR="007825A5" w:rsidRPr="00836C24">
        <w:rPr>
          <w:rFonts w:ascii="Cambria" w:hAnsi="Cambria"/>
          <w:sz w:val="20"/>
          <w:szCs w:val="20"/>
          <w:lang w:val="es-CO"/>
        </w:rPr>
        <w:t>ión y los derechos del detenido.</w:t>
      </w:r>
    </w:p>
    <w:p w:rsidR="006B388E" w:rsidRPr="00836C24" w:rsidRDefault="006B388E" w:rsidP="006B38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rsidR="006B388E" w:rsidRPr="00836C24" w:rsidRDefault="007825A5" w:rsidP="00AD4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 Indicó que tampoco se violó el </w:t>
      </w:r>
      <w:r w:rsidRPr="00836C24">
        <w:rPr>
          <w:rFonts w:ascii="Cambria" w:hAnsi="Cambria"/>
          <w:b/>
          <w:sz w:val="20"/>
          <w:szCs w:val="20"/>
          <w:lang w:val="es-CO"/>
        </w:rPr>
        <w:t>derecho a la integridad personal</w:t>
      </w:r>
      <w:r w:rsidRPr="00836C24">
        <w:rPr>
          <w:rFonts w:ascii="Cambria" w:hAnsi="Cambria"/>
          <w:sz w:val="20"/>
          <w:szCs w:val="20"/>
          <w:lang w:val="es-CO"/>
        </w:rPr>
        <w:t xml:space="preserve"> y negó que la</w:t>
      </w:r>
      <w:r w:rsidR="002C382D" w:rsidRPr="00836C24">
        <w:rPr>
          <w:rFonts w:ascii="Cambria" w:hAnsi="Cambria"/>
          <w:sz w:val="20"/>
          <w:szCs w:val="20"/>
          <w:lang w:val="es-CO"/>
        </w:rPr>
        <w:t xml:space="preserve"> presunta</w:t>
      </w:r>
      <w:r w:rsidRPr="00836C24">
        <w:rPr>
          <w:rFonts w:ascii="Cambria" w:hAnsi="Cambria"/>
          <w:sz w:val="20"/>
          <w:szCs w:val="20"/>
          <w:lang w:val="es-CO"/>
        </w:rPr>
        <w:t xml:space="preserve"> víctima hubiese sido torturada, </w:t>
      </w:r>
      <w:r w:rsidR="00B944B2" w:rsidRPr="00836C24">
        <w:rPr>
          <w:rFonts w:ascii="Cambria" w:hAnsi="Cambria"/>
          <w:sz w:val="20"/>
          <w:szCs w:val="20"/>
          <w:lang w:val="es-CO"/>
        </w:rPr>
        <w:t xml:space="preserve">argumentando que las lesiones que sufrió ocurrieron como consecuencia de una caída cuando intentaba darse a la fuga en el momento de la detención, por lo que tuvo ser internado en un hospital. </w:t>
      </w:r>
    </w:p>
    <w:p w:rsidR="006B388E" w:rsidRPr="00836C24" w:rsidRDefault="006B388E" w:rsidP="006B388E">
      <w:pPr>
        <w:pStyle w:val="ListParagraph"/>
        <w:rPr>
          <w:sz w:val="20"/>
          <w:szCs w:val="20"/>
          <w:lang w:val="es-CO"/>
        </w:rPr>
      </w:pPr>
    </w:p>
    <w:p w:rsidR="00CA20AB" w:rsidRPr="00836C24" w:rsidRDefault="00B944B2" w:rsidP="00AD4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Negó la violación del </w:t>
      </w:r>
      <w:r w:rsidRPr="00836C24">
        <w:rPr>
          <w:rFonts w:ascii="Cambria" w:hAnsi="Cambria"/>
          <w:b/>
          <w:sz w:val="20"/>
          <w:szCs w:val="20"/>
          <w:lang w:val="es-CO"/>
        </w:rPr>
        <w:t>derecho a la vida</w:t>
      </w:r>
      <w:r w:rsidRPr="00836C24">
        <w:rPr>
          <w:rFonts w:ascii="Cambria" w:hAnsi="Cambria"/>
          <w:sz w:val="20"/>
          <w:szCs w:val="20"/>
          <w:lang w:val="es-CO"/>
        </w:rPr>
        <w:t xml:space="preserve">, </w:t>
      </w:r>
      <w:r w:rsidR="00AD4659" w:rsidRPr="00836C24">
        <w:rPr>
          <w:rFonts w:ascii="Cambria" w:hAnsi="Cambria"/>
          <w:sz w:val="20"/>
          <w:szCs w:val="20"/>
          <w:lang w:val="es-CO"/>
        </w:rPr>
        <w:t>argumentado que si bien</w:t>
      </w:r>
      <w:r w:rsidR="00A26639" w:rsidRPr="00836C24">
        <w:rPr>
          <w:rFonts w:ascii="Cambria" w:hAnsi="Cambria"/>
          <w:sz w:val="20"/>
          <w:szCs w:val="20"/>
          <w:lang w:val="es-CO"/>
        </w:rPr>
        <w:t xml:space="preserve"> en el caso Raxcacó Reyes</w:t>
      </w:r>
      <w:r w:rsidR="008D48B0" w:rsidRPr="00836C24">
        <w:rPr>
          <w:rFonts w:ascii="Cambria" w:hAnsi="Cambria"/>
          <w:sz w:val="20"/>
          <w:szCs w:val="20"/>
          <w:lang w:val="es-CO"/>
        </w:rPr>
        <w:t>,</w:t>
      </w:r>
      <w:r w:rsidR="00A26639" w:rsidRPr="00836C24">
        <w:rPr>
          <w:rFonts w:ascii="Cambria" w:hAnsi="Cambria"/>
          <w:sz w:val="20"/>
          <w:szCs w:val="20"/>
          <w:lang w:val="es-CO"/>
        </w:rPr>
        <w:t xml:space="preserve"> la Corte Interamericana indicó que el Estado amplió el catálogo de delitos sancionados con la pena de muerte, en contravención con la Convención Americana, ello no es aplicable al presente caso p</w:t>
      </w:r>
      <w:r w:rsidR="002C382D" w:rsidRPr="00836C24">
        <w:rPr>
          <w:rFonts w:ascii="Cambria" w:hAnsi="Cambria"/>
          <w:sz w:val="20"/>
          <w:szCs w:val="20"/>
          <w:lang w:val="es-CO"/>
        </w:rPr>
        <w:t xml:space="preserve">orque la pena no fue ejecutada. </w:t>
      </w:r>
      <w:r w:rsidR="00CA20AB" w:rsidRPr="00836C24">
        <w:rPr>
          <w:rFonts w:ascii="Cambria" w:hAnsi="Cambria"/>
          <w:sz w:val="20"/>
          <w:szCs w:val="20"/>
          <w:lang w:val="es-CO"/>
        </w:rPr>
        <w:t xml:space="preserve">Añadió que </w:t>
      </w:r>
      <w:r w:rsidR="002548ED" w:rsidRPr="00836C24">
        <w:rPr>
          <w:rFonts w:ascii="Cambria" w:hAnsi="Cambria"/>
          <w:sz w:val="20"/>
          <w:szCs w:val="20"/>
          <w:lang w:val="es-CO"/>
        </w:rPr>
        <w:t>en virtud del requerimiento al Estado de Guatemala por parte de la Corte Interamericana, en el marco de las medidas provisionales, a través de resolución de 15 de febrero del 2005 decretó la suspensión provisional de la ejecución de la pena de muerte de la presunta víctima, sin embargo el 22 de octubre del mismo año se fugó de la cárcel de</w:t>
      </w:r>
      <w:r w:rsidR="00860798" w:rsidRPr="00836C24">
        <w:rPr>
          <w:rFonts w:ascii="Cambria" w:hAnsi="Cambria"/>
          <w:sz w:val="20"/>
          <w:szCs w:val="20"/>
          <w:lang w:val="es-CO"/>
        </w:rPr>
        <w:t xml:space="preserve"> alta seguridad</w:t>
      </w:r>
      <w:r w:rsidR="002548ED" w:rsidRPr="00836C24">
        <w:rPr>
          <w:rFonts w:ascii="Cambria" w:hAnsi="Cambria"/>
          <w:sz w:val="20"/>
          <w:szCs w:val="20"/>
          <w:lang w:val="es-CO"/>
        </w:rPr>
        <w:t xml:space="preserve"> en la que se encontraba detenido. </w:t>
      </w:r>
    </w:p>
    <w:p w:rsidR="00CA20AB" w:rsidRPr="00836C24" w:rsidRDefault="00CA20AB" w:rsidP="00CA20AB">
      <w:pPr>
        <w:pStyle w:val="ListParagraph"/>
        <w:rPr>
          <w:sz w:val="20"/>
          <w:szCs w:val="20"/>
          <w:lang w:val="es-CO"/>
        </w:rPr>
      </w:pPr>
    </w:p>
    <w:p w:rsidR="00A26639" w:rsidRPr="00836C24" w:rsidRDefault="00A26639" w:rsidP="00AD4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En cuanto a la supuesta ejecución extrajudicial</w:t>
      </w:r>
      <w:r w:rsidR="00C1787E" w:rsidRPr="00836C24">
        <w:rPr>
          <w:rFonts w:ascii="Cambria" w:hAnsi="Cambria"/>
          <w:sz w:val="20"/>
          <w:szCs w:val="20"/>
          <w:lang w:val="es-CO"/>
        </w:rPr>
        <w:t>,</w:t>
      </w:r>
      <w:r w:rsidRPr="00836C24">
        <w:rPr>
          <w:rFonts w:ascii="Cambria" w:hAnsi="Cambria"/>
          <w:sz w:val="20"/>
          <w:szCs w:val="20"/>
          <w:lang w:val="es-CO"/>
        </w:rPr>
        <w:t xml:space="preserve"> </w:t>
      </w:r>
      <w:r w:rsidR="00852640" w:rsidRPr="00836C24">
        <w:rPr>
          <w:rFonts w:ascii="Cambria" w:hAnsi="Cambria"/>
          <w:sz w:val="20"/>
          <w:szCs w:val="20"/>
          <w:lang w:val="es-CO"/>
        </w:rPr>
        <w:t xml:space="preserve">suministró información sobre el “Plan Gavilán” y </w:t>
      </w:r>
      <w:r w:rsidRPr="00836C24">
        <w:rPr>
          <w:rFonts w:ascii="Cambria" w:hAnsi="Cambria"/>
          <w:sz w:val="20"/>
          <w:szCs w:val="20"/>
          <w:lang w:val="es-CO"/>
        </w:rPr>
        <w:t>refirió que existe una investigación</w:t>
      </w:r>
      <w:r w:rsidR="00852640" w:rsidRPr="00836C24">
        <w:rPr>
          <w:rFonts w:ascii="Cambria" w:hAnsi="Cambria"/>
          <w:sz w:val="20"/>
          <w:szCs w:val="20"/>
          <w:lang w:val="es-CO"/>
        </w:rPr>
        <w:t xml:space="preserve"> diligente</w:t>
      </w:r>
      <w:r w:rsidRPr="00836C24">
        <w:rPr>
          <w:rFonts w:ascii="Cambria" w:hAnsi="Cambria"/>
          <w:sz w:val="20"/>
          <w:szCs w:val="20"/>
          <w:lang w:val="es-CO"/>
        </w:rPr>
        <w:t xml:space="preserve"> en curso</w:t>
      </w:r>
      <w:r w:rsidR="00852640" w:rsidRPr="00836C24">
        <w:rPr>
          <w:rFonts w:ascii="Cambria" w:hAnsi="Cambria"/>
          <w:sz w:val="20"/>
          <w:szCs w:val="20"/>
          <w:lang w:val="es-CO"/>
        </w:rPr>
        <w:t xml:space="preserve"> en el marco de la cual </w:t>
      </w:r>
      <w:r w:rsidRPr="00836C24">
        <w:rPr>
          <w:rFonts w:ascii="Cambria" w:hAnsi="Cambria"/>
          <w:sz w:val="20"/>
          <w:szCs w:val="20"/>
          <w:lang w:val="es-CO"/>
        </w:rPr>
        <w:t xml:space="preserve">el 14 de agosto de 2008 se giró una orden de aprehensión </w:t>
      </w:r>
      <w:r w:rsidR="00A56556" w:rsidRPr="00836C24">
        <w:rPr>
          <w:rFonts w:ascii="Cambria" w:hAnsi="Cambria"/>
          <w:sz w:val="20"/>
          <w:szCs w:val="20"/>
          <w:lang w:val="es-CO"/>
        </w:rPr>
        <w:t xml:space="preserve">en </w:t>
      </w:r>
      <w:r w:rsidRPr="00836C24">
        <w:rPr>
          <w:rFonts w:ascii="Cambria" w:hAnsi="Cambria"/>
          <w:sz w:val="20"/>
          <w:szCs w:val="20"/>
          <w:lang w:val="es-CO"/>
        </w:rPr>
        <w:t xml:space="preserve">contra de un oficial de la Policía Nacional Civil. Agregó que la investigación se ha realizado con debida diligencia. </w:t>
      </w:r>
      <w:r w:rsidR="002116B9" w:rsidRPr="00836C24">
        <w:rPr>
          <w:rFonts w:ascii="Cambria" w:hAnsi="Cambria"/>
          <w:sz w:val="20"/>
          <w:szCs w:val="20"/>
          <w:lang w:val="es-CO"/>
        </w:rPr>
        <w:t xml:space="preserve">Al día de hoy el Estado no ha informado de los resultados de las investigaciones relacionadas con la supuesta ejecución extrajudicial de la presunta víctima. </w:t>
      </w:r>
    </w:p>
    <w:p w:rsidR="00B95EE0" w:rsidRPr="00836C24" w:rsidRDefault="00B95EE0" w:rsidP="002548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E40449" w:rsidRPr="00836C24" w:rsidRDefault="00E40449" w:rsidP="00985C1C">
      <w:pPr>
        <w:pStyle w:val="Heading1"/>
        <w:numPr>
          <w:ilvl w:val="0"/>
          <w:numId w:val="55"/>
        </w:numPr>
        <w:tabs>
          <w:tab w:val="clear" w:pos="1440"/>
        </w:tabs>
      </w:pPr>
      <w:bookmarkStart w:id="29" w:name="_Toc370840748"/>
      <w:bookmarkStart w:id="30" w:name="_Toc370840844"/>
      <w:bookmarkStart w:id="31" w:name="_Toc423514410"/>
      <w:bookmarkStart w:id="32" w:name="_Toc433115986"/>
      <w:bookmarkStart w:id="33" w:name="_Toc444958129"/>
      <w:bookmarkStart w:id="34" w:name="_Toc475546047"/>
      <w:bookmarkStart w:id="35" w:name="_Toc483500313"/>
      <w:bookmarkStart w:id="36" w:name="_Toc491441624"/>
      <w:r w:rsidRPr="00836C24">
        <w:t>HECHOS PROBADOS</w:t>
      </w:r>
      <w:bookmarkEnd w:id="29"/>
      <w:bookmarkEnd w:id="30"/>
      <w:bookmarkEnd w:id="31"/>
      <w:bookmarkEnd w:id="32"/>
      <w:bookmarkEnd w:id="33"/>
      <w:bookmarkEnd w:id="34"/>
      <w:bookmarkEnd w:id="35"/>
      <w:bookmarkEnd w:id="36"/>
    </w:p>
    <w:p w:rsidR="00332CDA" w:rsidRPr="00836C24" w:rsidRDefault="00E40449" w:rsidP="00D65800">
      <w:pPr>
        <w:ind w:right="720"/>
        <w:jc w:val="both"/>
        <w:rPr>
          <w:rFonts w:asciiTheme="majorHAnsi" w:hAnsiTheme="majorHAnsi"/>
          <w:sz w:val="20"/>
          <w:szCs w:val="20"/>
          <w:lang w:val="es-VE"/>
        </w:rPr>
      </w:pPr>
      <w:r w:rsidRPr="00836C24">
        <w:rPr>
          <w:rFonts w:asciiTheme="majorHAnsi" w:hAnsiTheme="majorHAnsi"/>
          <w:sz w:val="20"/>
          <w:szCs w:val="20"/>
          <w:lang w:val="es-VE"/>
        </w:rPr>
        <w:t xml:space="preserve"> </w:t>
      </w:r>
    </w:p>
    <w:p w:rsidR="007D7109" w:rsidRDefault="007D7109" w:rsidP="00492AE3">
      <w:pPr>
        <w:pStyle w:val="Heading2"/>
        <w:keepNext w:val="0"/>
        <w:numPr>
          <w:ilvl w:val="0"/>
          <w:numId w:val="61"/>
        </w:numPr>
        <w:pBdr>
          <w:top w:val="nil"/>
          <w:left w:val="nil"/>
          <w:bottom w:val="nil"/>
          <w:right w:val="nil"/>
          <w:between w:val="nil"/>
          <w:bar w:val="nil"/>
        </w:pBdr>
        <w:ind w:left="1440" w:hanging="720"/>
        <w:rPr>
          <w:lang w:val="es-MX"/>
        </w:rPr>
      </w:pPr>
      <w:bookmarkStart w:id="37" w:name="_Toc491441625"/>
      <w:bookmarkStart w:id="38" w:name="_Toc447208875"/>
      <w:bookmarkStart w:id="39" w:name="_Toc447213181"/>
      <w:bookmarkStart w:id="40" w:name="_Toc475546048"/>
      <w:bookmarkStart w:id="41" w:name="_Toc482117733"/>
      <w:bookmarkStart w:id="42" w:name="_Toc483500314"/>
      <w:r>
        <w:rPr>
          <w:lang w:val="es-MX"/>
        </w:rPr>
        <w:t>Los familiares de la presunta víctima</w:t>
      </w:r>
      <w:bookmarkEnd w:id="37"/>
    </w:p>
    <w:p w:rsidR="007D7109" w:rsidRDefault="007D7109" w:rsidP="007D71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MX"/>
        </w:rPr>
      </w:pPr>
    </w:p>
    <w:p w:rsidR="007D7109" w:rsidRPr="007D7109" w:rsidRDefault="007D7109" w:rsidP="007D710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VE"/>
        </w:rPr>
        <w:t>Los peticionarios identificaron a Berta Ruiz Fuentes, como hermana de la presunta víctima del presente caso. Asimismo, refirieron que Hugo Humberto “tiene hijos/as que no han podido ser localizados e identificados”</w:t>
      </w:r>
      <w:r w:rsidRPr="007D7109">
        <w:rPr>
          <w:rStyle w:val="FootnoteReference"/>
          <w:rFonts w:asciiTheme="majorHAnsi" w:hAnsiTheme="majorHAnsi"/>
          <w:sz w:val="20"/>
          <w:szCs w:val="20"/>
          <w:lang w:val="es-VE"/>
        </w:rPr>
        <w:footnoteReference w:id="3"/>
      </w:r>
      <w:r>
        <w:rPr>
          <w:rFonts w:asciiTheme="majorHAnsi" w:hAnsiTheme="majorHAnsi"/>
          <w:sz w:val="20"/>
          <w:szCs w:val="20"/>
          <w:lang w:val="es-VE"/>
        </w:rPr>
        <w:t>.</w:t>
      </w:r>
    </w:p>
    <w:p w:rsidR="007D7109" w:rsidRPr="007D7109" w:rsidRDefault="007D7109" w:rsidP="007D7109">
      <w:pPr>
        <w:rPr>
          <w:lang w:val="es-MX"/>
        </w:rPr>
      </w:pPr>
    </w:p>
    <w:p w:rsidR="00332CDA" w:rsidRPr="00836C24" w:rsidRDefault="00332CDA" w:rsidP="00492AE3">
      <w:pPr>
        <w:pStyle w:val="Heading2"/>
        <w:keepNext w:val="0"/>
        <w:numPr>
          <w:ilvl w:val="0"/>
          <w:numId w:val="61"/>
        </w:numPr>
        <w:pBdr>
          <w:top w:val="nil"/>
          <w:left w:val="nil"/>
          <w:bottom w:val="nil"/>
          <w:right w:val="nil"/>
          <w:between w:val="nil"/>
          <w:bar w:val="nil"/>
        </w:pBdr>
        <w:ind w:left="1440" w:hanging="720"/>
        <w:rPr>
          <w:lang w:val="es-MX"/>
        </w:rPr>
      </w:pPr>
      <w:bookmarkStart w:id="43" w:name="_Toc491441626"/>
      <w:r w:rsidRPr="00836C24">
        <w:rPr>
          <w:lang w:val="es-MX"/>
        </w:rPr>
        <w:t>El proceso interno adelantado en contra de la presunta víctima</w:t>
      </w:r>
      <w:bookmarkEnd w:id="43"/>
    </w:p>
    <w:p w:rsidR="00332CDA" w:rsidRPr="00836C24" w:rsidRDefault="00332CDA" w:rsidP="00332CDA">
      <w:pPr>
        <w:rPr>
          <w:lang w:val="es-MX"/>
        </w:rPr>
      </w:pPr>
    </w:p>
    <w:p w:rsidR="00332CDA" w:rsidRPr="00836C24" w:rsidRDefault="00332CDA" w:rsidP="00492AE3">
      <w:pPr>
        <w:pStyle w:val="Heading2"/>
        <w:numPr>
          <w:ilvl w:val="1"/>
          <w:numId w:val="55"/>
        </w:numPr>
        <w:tabs>
          <w:tab w:val="clear" w:pos="1800"/>
          <w:tab w:val="num" w:pos="1440"/>
        </w:tabs>
        <w:ind w:hanging="1080"/>
      </w:pPr>
      <w:bookmarkStart w:id="44" w:name="_Toc491441627"/>
      <w:r w:rsidRPr="00836C24">
        <w:t>Detención y alegatos de tortura</w:t>
      </w:r>
      <w:bookmarkEnd w:id="44"/>
    </w:p>
    <w:p w:rsidR="00332CDA" w:rsidRPr="00836C24" w:rsidRDefault="00332CDA" w:rsidP="00332CDA">
      <w:pPr>
        <w:pStyle w:val="ListParagraph"/>
        <w:tabs>
          <w:tab w:val="left" w:pos="1440"/>
        </w:tabs>
        <w:ind w:left="1800"/>
        <w:rPr>
          <w:b/>
          <w:sz w:val="20"/>
          <w:szCs w:val="20"/>
          <w:lang w:val="es-MX"/>
        </w:rPr>
      </w:pPr>
    </w:p>
    <w:p w:rsidR="00332CDA" w:rsidRPr="00231343"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Según consta en el expediente, la presunta víctima fue detenida el 6 de agosto de 1997 por el investigador Victor Hugo Soto Diéguez y otros miembros de la Policía</w:t>
      </w:r>
      <w:r w:rsidRPr="00836C24">
        <w:rPr>
          <w:rFonts w:asciiTheme="majorHAnsi" w:hAnsiTheme="majorHAnsi"/>
          <w:sz w:val="20"/>
          <w:szCs w:val="20"/>
          <w:vertAlign w:val="superscript"/>
          <w:lang w:val="es-VE"/>
        </w:rPr>
        <w:footnoteReference w:id="4"/>
      </w:r>
      <w:r w:rsidRPr="00836C24">
        <w:rPr>
          <w:rFonts w:asciiTheme="majorHAnsi" w:hAnsiTheme="majorHAnsi"/>
          <w:sz w:val="20"/>
          <w:szCs w:val="20"/>
          <w:lang w:val="es-VE"/>
        </w:rPr>
        <w:t>. El peticionario indicó que el señor Ruiz Fuentes fue torturado al momento de su detención. El Estado negó dicho extremo y refirió que los golpes sufridos fueron el resultado de un intento de fuga cuando iba a ser detenido por lo que saltó de una pared de ocho metros de altura.</w:t>
      </w: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lastRenderedPageBreak/>
        <w:t xml:space="preserve">A continuación se describe la información disponible sobre las versiones relativas a las circunstancias que rodearon la detención. </w:t>
      </w:r>
    </w:p>
    <w:p w:rsidR="00332CDA" w:rsidRPr="00836C24" w:rsidRDefault="00332CDA" w:rsidP="00332CDA">
      <w:pPr>
        <w:pStyle w:val="ListParagraph"/>
        <w:rPr>
          <w:rFonts w:asciiTheme="majorHAnsi" w:hAnsiTheme="majorHAnsi"/>
          <w:sz w:val="20"/>
          <w:szCs w:val="20"/>
          <w:lang w:val="es-VE"/>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hAnsiTheme="majorHAnsi"/>
          <w:sz w:val="20"/>
          <w:szCs w:val="20"/>
          <w:lang w:val="es-VE"/>
        </w:rPr>
        <w:t xml:space="preserve">Según un Oficio del departamento de investigaciones criminológicas de la Policía Nacional, el señor Ruiz Fuentes fue localizado en una casa junto con otras personas, y cuando </w:t>
      </w:r>
      <w:r w:rsidRPr="00836C24">
        <w:rPr>
          <w:rFonts w:asciiTheme="majorHAnsi" w:eastAsia="Times New Roman" w:hAnsiTheme="majorHAnsi" w:cs="Courier New"/>
          <w:sz w:val="20"/>
          <w:szCs w:val="20"/>
          <w:bdr w:val="none" w:sz="0" w:space="0" w:color="auto"/>
          <w:lang w:val="es-ES"/>
        </w:rPr>
        <w:t>se procedía a rodear dicho lugar el señor Ronald Raxcacó Reyes y la presunta víctima gritaron “allí viene la policía”, escalaron una pared que da hacia atrás de la casa y “se lanzaron al terreno baldío de una pared de aproximadamente ocho metros de altura”. En el oficio se indica que como consecuencia de la caída la presunta víctima “resultó con múltiples golpes” por lo que fue llevado al Hospital Roosevelt donde se diagnosticó “politraumatismo”</w:t>
      </w:r>
      <w:r w:rsidRPr="00836C24">
        <w:rPr>
          <w:rStyle w:val="FootnoteReference"/>
          <w:rFonts w:asciiTheme="majorHAnsi" w:eastAsia="Times New Roman" w:hAnsiTheme="majorHAnsi" w:cs="Courier New"/>
          <w:sz w:val="20"/>
          <w:szCs w:val="20"/>
          <w:bdr w:val="none" w:sz="0" w:space="0" w:color="auto"/>
          <w:lang w:val="es-ES"/>
        </w:rPr>
        <w:footnoteReference w:id="5"/>
      </w:r>
      <w:r w:rsidRPr="00836C24">
        <w:rPr>
          <w:rFonts w:asciiTheme="majorHAnsi" w:eastAsia="Times New Roman" w:hAnsiTheme="majorHAnsi" w:cs="Courier New"/>
          <w:sz w:val="20"/>
          <w:szCs w:val="20"/>
          <w:bdr w:val="none" w:sz="0" w:space="0" w:color="auto"/>
          <w:lang w:val="es-ES"/>
        </w:rPr>
        <w:t>.</w:t>
      </w:r>
    </w:p>
    <w:p w:rsidR="00332CDA" w:rsidRPr="00836C24" w:rsidRDefault="00332CDA" w:rsidP="00332C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eastAsia="Times New Roman" w:hAnsiTheme="majorHAnsi" w:cs="Courier New"/>
          <w:sz w:val="20"/>
          <w:szCs w:val="20"/>
          <w:bdr w:val="none" w:sz="0" w:space="0" w:color="auto"/>
          <w:lang w:val="es-ES"/>
        </w:rPr>
        <w:t xml:space="preserve">Por otra parte, el 29 de abril de 1998 Hugo Humberto Ruiz Fuentes rindió </w:t>
      </w:r>
      <w:r w:rsidRPr="00836C24">
        <w:rPr>
          <w:rFonts w:asciiTheme="majorHAnsi" w:hAnsiTheme="majorHAnsi"/>
          <w:sz w:val="20"/>
          <w:szCs w:val="20"/>
          <w:lang w:val="es-ES"/>
        </w:rPr>
        <w:t>su declaración como sindicado</w:t>
      </w:r>
      <w:r w:rsidRPr="00836C24">
        <w:rPr>
          <w:rStyle w:val="FootnoteReference"/>
          <w:rFonts w:asciiTheme="majorHAnsi" w:hAnsiTheme="majorHAnsi"/>
          <w:sz w:val="20"/>
          <w:szCs w:val="20"/>
          <w:lang w:val="es-ES"/>
        </w:rPr>
        <w:footnoteReference w:id="6"/>
      </w:r>
      <w:r w:rsidRPr="00836C24">
        <w:rPr>
          <w:rFonts w:asciiTheme="majorHAnsi" w:hAnsiTheme="majorHAnsi"/>
          <w:sz w:val="20"/>
          <w:szCs w:val="20"/>
          <w:lang w:val="es-ES"/>
        </w:rPr>
        <w:t>, en la cual relató una versión distinta a la anterior sobre su detención. Indicó que se encontraba conduciendo un vehículo con el señor Jorge Mario Murga en un área identificada como Bosques de San Nicolás, en la ciudad de Guatemala, cuando lo interceptaron dos vehículos y luego lo subieron a una panel beige y acto seguido, en sus palabras “me vendaron los ojos y me pusieron unas grilletas plásticas, me cargaron para arriba y abajo, me golpearon el intestino, las costillas y me preguntaban por varios secuestros como no les decía nada me pegaban, ya en la mera tarde no recuerdo pero como unas tres horas me llevaron a una casa desconocida donde me bajaron, con el pantalón hasta abajo y el calzoncillo, me tiraron de la panel para abajo, en el lugar estaba un señor grande creo que es DON CONTE COJULUN y les dijo que me pararan luego porque me podía morir (…) me llevaron al hospital en un pick up del Ciprosi (…) como al tercer día de estar en el hospital llegó un señor que dijo ser comisario SOTO (..) y llegaron como tres veces, luego llegaron otros tres de particular y me llevaron unos jugos, diciéndome que no dijera nada de lo que me había pasado, que dijera que me había caído de una casa donde me había tirado (…)</w:t>
      </w:r>
      <w:r w:rsidRPr="00836C24">
        <w:rPr>
          <w:rStyle w:val="FootnoteReference"/>
          <w:rFonts w:asciiTheme="majorHAnsi" w:hAnsiTheme="majorHAnsi"/>
          <w:sz w:val="20"/>
          <w:szCs w:val="20"/>
          <w:lang w:val="es-ES"/>
        </w:rPr>
        <w:footnoteReference w:id="7"/>
      </w:r>
      <w:r w:rsidRPr="00836C24">
        <w:rPr>
          <w:rFonts w:asciiTheme="majorHAnsi" w:hAnsiTheme="majorHAnsi"/>
          <w:sz w:val="20"/>
          <w:szCs w:val="20"/>
          <w:lang w:val="es-ES"/>
        </w:rPr>
        <w:t xml:space="preserve">. </w:t>
      </w:r>
    </w:p>
    <w:p w:rsidR="00332CDA" w:rsidRPr="00836C24" w:rsidRDefault="00332CDA" w:rsidP="00332C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Al ser preguntado en dicha declaración si fue golpeado después de su captura indicó “fue capturándome y comenzaron a darme golpes en el estómago y las costillas y me metieron al carro y me golpeaban con un palo que tenía como esponja porque solo sentía el dolor adentro y a consecuencia de eso me reventaron el intestino por lo que estuve siete meses con una bolsa de colostomía”</w:t>
      </w:r>
      <w:r w:rsidRPr="00836C24">
        <w:rPr>
          <w:rStyle w:val="FootnoteReference"/>
          <w:rFonts w:asciiTheme="majorHAnsi" w:hAnsiTheme="majorHAnsi"/>
          <w:sz w:val="20"/>
          <w:szCs w:val="20"/>
          <w:lang w:val="es-ES"/>
        </w:rPr>
        <w:footnoteReference w:id="8"/>
      </w:r>
      <w:r w:rsidRPr="00836C24">
        <w:rPr>
          <w:rFonts w:asciiTheme="majorHAnsi" w:hAnsiTheme="majorHAnsi"/>
          <w:sz w:val="20"/>
          <w:szCs w:val="20"/>
          <w:lang w:val="es-ES"/>
        </w:rPr>
        <w:t xml:space="preserve">. </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En virtud de lo anterior, el abogado de la presunta víctima solicitó en dicho acto, “que se lleve a cabo una investigación por quien corresponda los hechos denunciados que son constitutivos de un delito de tortura de conformidad con artículo 201 bis del Código Penal”</w:t>
      </w:r>
      <w:r w:rsidRPr="00836C24">
        <w:rPr>
          <w:rStyle w:val="FootnoteReference"/>
          <w:rFonts w:asciiTheme="majorHAnsi" w:hAnsiTheme="majorHAnsi"/>
          <w:sz w:val="20"/>
          <w:szCs w:val="20"/>
          <w:lang w:val="es-ES"/>
        </w:rPr>
        <w:t xml:space="preserve"> </w:t>
      </w:r>
      <w:r w:rsidRPr="00836C24">
        <w:rPr>
          <w:rStyle w:val="FootnoteReference"/>
          <w:rFonts w:asciiTheme="majorHAnsi" w:hAnsiTheme="majorHAnsi"/>
          <w:sz w:val="20"/>
          <w:szCs w:val="20"/>
          <w:lang w:val="es-ES"/>
        </w:rPr>
        <w:footnoteReference w:id="9"/>
      </w:r>
      <w:r w:rsidRPr="00836C24">
        <w:rPr>
          <w:rFonts w:asciiTheme="majorHAnsi" w:hAnsiTheme="majorHAnsi"/>
          <w:sz w:val="20"/>
          <w:szCs w:val="20"/>
          <w:lang w:val="es-ES"/>
        </w:rPr>
        <w:t xml:space="preserve">. </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Por otra parte, según consta en un informe médico de 9 de diciembre de 1997, la presunta víctima ingresó al Hospital Roosevelt “por abdomen agudo el día 08/08/97” (…) y luego de una laparotomía exploratoria se indicó que se encontraron hallazgos de “hemoperitoneo”, “múltiples contusiones y erosiones de meso de intestino delgado”, “laceración de meso colon transverso que deja sin un segmento de más o menos 10 cs a más o menos 15 cms del ángulo esplénico”, “vasos sangrantes de epiplón mayor” y “trauma hepático G-I en segmento VI”</w:t>
      </w:r>
      <w:r w:rsidRPr="00836C24">
        <w:rPr>
          <w:rStyle w:val="FootnoteReference"/>
          <w:rFonts w:asciiTheme="majorHAnsi" w:hAnsiTheme="majorHAnsi"/>
          <w:sz w:val="20"/>
          <w:szCs w:val="20"/>
          <w:lang w:val="es-ES"/>
        </w:rPr>
        <w:footnoteReference w:id="10"/>
      </w:r>
      <w:r w:rsidRPr="00836C24">
        <w:rPr>
          <w:rFonts w:asciiTheme="majorHAnsi" w:hAnsiTheme="majorHAnsi"/>
          <w:sz w:val="20"/>
          <w:szCs w:val="20"/>
          <w:lang w:val="es-ES"/>
        </w:rPr>
        <w:t xml:space="preserve">. </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lastRenderedPageBreak/>
        <w:t xml:space="preserve">En similar sentido, consta en un informe del médico Fernando Alonso de 20 de enero de 1998, que el paciente fue ingresado al Hospital Roosevelt </w:t>
      </w:r>
      <w:r w:rsidR="006D0CB1" w:rsidRPr="00836C24">
        <w:rPr>
          <w:rFonts w:asciiTheme="majorHAnsi" w:hAnsiTheme="majorHAnsi"/>
          <w:sz w:val="20"/>
          <w:szCs w:val="20"/>
          <w:lang w:val="es-ES"/>
        </w:rPr>
        <w:t>en</w:t>
      </w:r>
      <w:r w:rsidRPr="00836C24">
        <w:rPr>
          <w:rFonts w:asciiTheme="majorHAnsi" w:hAnsiTheme="majorHAnsi"/>
          <w:sz w:val="20"/>
          <w:szCs w:val="20"/>
          <w:lang w:val="es-ES"/>
        </w:rPr>
        <w:t xml:space="preserve"> agosto de 1997 “presentando TRAUMA CERRADO DE ABDOMEN, paciente HIPOTENSO fue llevado a Sala de Operaciones encontrando HEMOPERITONEO DE 1000 cc. Múltiples Contusiones y Eroción (sic) en meso de Intestino Delgado, Segmento de Colon Transverso sin Irrigación con Cambios Vasculares Irreversibles, así como TRAUMA HEPATICO GRADO I en Segmento VI por lo cual se efectuó Resección de Segmento de Colon Transverso y COLOSTOMIA EN DOBLE BOCA”</w:t>
      </w:r>
      <w:r w:rsidRPr="00836C24">
        <w:rPr>
          <w:rStyle w:val="FootnoteReference"/>
          <w:rFonts w:asciiTheme="majorHAnsi" w:hAnsiTheme="majorHAnsi"/>
          <w:sz w:val="20"/>
          <w:szCs w:val="20"/>
          <w:lang w:val="es-ES"/>
        </w:rPr>
        <w:footnoteReference w:id="11"/>
      </w:r>
      <w:r w:rsidRPr="00836C24">
        <w:rPr>
          <w:rFonts w:asciiTheme="majorHAnsi" w:hAnsiTheme="majorHAnsi"/>
          <w:sz w:val="20"/>
          <w:szCs w:val="20"/>
          <w:lang w:val="es-ES"/>
        </w:rPr>
        <w:t xml:space="preserve">. </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Según otro informe médico de 13 de febrero de 1998 el señor Ruiz Fuentes tuvo que ser intervenido quirúrgicamente por “cierre de colostomía”</w:t>
      </w:r>
      <w:r w:rsidRPr="00836C24">
        <w:rPr>
          <w:rStyle w:val="FootnoteReference"/>
          <w:rFonts w:asciiTheme="majorHAnsi" w:hAnsiTheme="majorHAnsi"/>
          <w:sz w:val="20"/>
          <w:szCs w:val="20"/>
          <w:lang w:val="es-ES"/>
        </w:rPr>
        <w:footnoteReference w:id="12"/>
      </w:r>
      <w:r w:rsidRPr="00836C24">
        <w:rPr>
          <w:rFonts w:asciiTheme="majorHAnsi" w:hAnsiTheme="majorHAnsi"/>
          <w:sz w:val="20"/>
          <w:szCs w:val="20"/>
          <w:lang w:val="es-ES"/>
        </w:rPr>
        <w:t xml:space="preserve">. </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Consta un tercer informe médico de 11 de diciembre de 2000, en el que se indica que el señor Ruiz Fuentes “fue traído por bomberos con historia de haber sido vapuleado” y se hace constar que “presenta múltiples golpes y contusiones a nivel abdominal, abdomen globoso y doloroso a la palpación”, “por lo que es llevado a Sala de Operaciones”</w:t>
      </w:r>
      <w:r w:rsidRPr="00836C24">
        <w:rPr>
          <w:rStyle w:val="FootnoteReference"/>
          <w:rFonts w:asciiTheme="majorHAnsi" w:hAnsiTheme="majorHAnsi"/>
          <w:sz w:val="20"/>
          <w:szCs w:val="20"/>
          <w:lang w:val="es-ES"/>
        </w:rPr>
        <w:footnoteReference w:id="13"/>
      </w:r>
      <w:r w:rsidRPr="00836C24">
        <w:rPr>
          <w:rFonts w:asciiTheme="majorHAnsi" w:hAnsiTheme="majorHAnsi"/>
          <w:sz w:val="20"/>
          <w:szCs w:val="20"/>
          <w:lang w:val="es-ES"/>
        </w:rPr>
        <w:t>.</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El 21 de mayo de 2008 el médico Alejandro Moreno de la organización P</w:t>
      </w:r>
      <w:r w:rsidRPr="00836C24">
        <w:rPr>
          <w:rFonts w:asciiTheme="majorHAnsi" w:hAnsiTheme="majorHAnsi"/>
          <w:i/>
          <w:sz w:val="20"/>
          <w:szCs w:val="20"/>
          <w:lang w:val="es-ES"/>
        </w:rPr>
        <w:t>hysicians for Human Rights</w:t>
      </w:r>
      <w:r w:rsidRPr="00836C24">
        <w:rPr>
          <w:rFonts w:asciiTheme="majorHAnsi" w:hAnsiTheme="majorHAnsi"/>
          <w:sz w:val="20"/>
          <w:szCs w:val="20"/>
          <w:lang w:val="es-ES"/>
        </w:rPr>
        <w:t xml:space="preserve"> rindió un informe a solicitud del peticionario del caso, en el que informó que luego de revisar los documentos que le fueron remitidos</w:t>
      </w:r>
      <w:r w:rsidRPr="00836C24">
        <w:rPr>
          <w:rStyle w:val="FootnoteReference"/>
          <w:rFonts w:asciiTheme="majorHAnsi" w:hAnsiTheme="majorHAnsi"/>
          <w:sz w:val="20"/>
          <w:szCs w:val="20"/>
          <w:lang w:val="es-ES"/>
        </w:rPr>
        <w:footnoteReference w:id="14"/>
      </w:r>
      <w:r w:rsidRPr="00836C24">
        <w:rPr>
          <w:rFonts w:asciiTheme="majorHAnsi" w:hAnsiTheme="majorHAnsi"/>
          <w:sz w:val="20"/>
          <w:szCs w:val="20"/>
          <w:lang w:val="es-ES"/>
        </w:rPr>
        <w:t xml:space="preserve"> observa que: </w:t>
      </w:r>
    </w:p>
    <w:p w:rsidR="00332CDA" w:rsidRPr="00836C24" w:rsidRDefault="00332CDA" w:rsidP="00332C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ES"/>
        </w:rPr>
      </w:pPr>
    </w:p>
    <w:p w:rsidR="00332CDA" w:rsidRPr="00836C24" w:rsidRDefault="00332CDA" w:rsidP="00332C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ES"/>
        </w:rPr>
      </w:pPr>
      <w:r w:rsidRPr="00836C24">
        <w:rPr>
          <w:rFonts w:asciiTheme="majorHAnsi" w:hAnsiTheme="majorHAnsi"/>
          <w:sz w:val="20"/>
          <w:szCs w:val="20"/>
          <w:lang w:val="es-ES"/>
        </w:rPr>
        <w:t>A. Las lesiones intra-abdominales que sufrió el Señor Ruiz Fuentes son consistentes con las causadas por un mecanismo contuso como lo describen los informes médicos y la</w:t>
      </w:r>
      <w:r w:rsidR="00DF561A" w:rsidRPr="00836C24">
        <w:rPr>
          <w:rFonts w:asciiTheme="majorHAnsi" w:hAnsiTheme="majorHAnsi"/>
          <w:sz w:val="20"/>
          <w:szCs w:val="20"/>
          <w:lang w:val="es-ES"/>
        </w:rPr>
        <w:t>s</w:t>
      </w:r>
      <w:r w:rsidRPr="00836C24">
        <w:rPr>
          <w:rFonts w:asciiTheme="majorHAnsi" w:hAnsiTheme="majorHAnsi"/>
          <w:sz w:val="20"/>
          <w:szCs w:val="20"/>
          <w:lang w:val="es-ES"/>
        </w:rPr>
        <w:t xml:space="preserve"> declaraciones de los testigos; B. Hay cierta evidencia forense, como la ausencia de trauma cráneo-encefálico y de fracturas de las extremidades, que favorece la versión de los hechos relatada por el Señor Ruiz Fuentes de que fue golpeado repetidamente en el abdomen y no la descripción de los policías de que el Señor Ruiz Fuentes se cayó de unos 5-8 metros de altura; C. El mecanismo contuso es el causado por golpes directos o indirectos de un objeto sólido contra el cuerpo y los daños pueden ser externos y/o internos</w:t>
      </w:r>
      <w:r w:rsidRPr="00836C24">
        <w:rPr>
          <w:rStyle w:val="FootnoteReference"/>
          <w:rFonts w:asciiTheme="majorHAnsi" w:hAnsiTheme="majorHAnsi"/>
          <w:sz w:val="20"/>
          <w:szCs w:val="20"/>
          <w:lang w:val="es-ES"/>
        </w:rPr>
        <w:footnoteReference w:id="15"/>
      </w:r>
      <w:r w:rsidRPr="00836C24">
        <w:rPr>
          <w:rFonts w:asciiTheme="majorHAnsi" w:hAnsiTheme="majorHAnsi"/>
          <w:sz w:val="20"/>
          <w:szCs w:val="20"/>
          <w:lang w:val="es-ES"/>
        </w:rPr>
        <w:t>.</w:t>
      </w:r>
    </w:p>
    <w:p w:rsidR="00332CDA" w:rsidRPr="00836C24" w:rsidRDefault="00332CDA" w:rsidP="00332CDA">
      <w:pPr>
        <w:pStyle w:val="ListParagraph"/>
        <w:rPr>
          <w:rFonts w:asciiTheme="majorHAnsi" w:hAnsiTheme="majorHAnsi"/>
          <w:sz w:val="20"/>
          <w:szCs w:val="20"/>
          <w:lang w:val="es-ES"/>
        </w:rPr>
      </w:pPr>
    </w:p>
    <w:p w:rsidR="00332CDA" w:rsidRPr="00836C24"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La Comisión observa que en la sentencia condenatoria</w:t>
      </w:r>
      <w:r w:rsidR="00915413" w:rsidRPr="00836C24">
        <w:rPr>
          <w:rFonts w:asciiTheme="majorHAnsi" w:hAnsiTheme="majorHAnsi"/>
          <w:sz w:val="20"/>
          <w:szCs w:val="20"/>
          <w:lang w:val="es-ES"/>
        </w:rPr>
        <w:t xml:space="preserve">, que se describirá con posterioridad, </w:t>
      </w:r>
      <w:r w:rsidRPr="00836C24">
        <w:rPr>
          <w:rFonts w:asciiTheme="majorHAnsi" w:hAnsiTheme="majorHAnsi"/>
          <w:sz w:val="20"/>
          <w:szCs w:val="20"/>
          <w:lang w:val="es-ES"/>
        </w:rPr>
        <w:t>se dio por probado que las lesiones sufridas por la presunta víctima fueron consecuencia de que saltó de una pared cuando intentaba huir de la policía. Al respecto, en dicha sentencia se indica que</w:t>
      </w:r>
      <w:r w:rsidRPr="00836C24">
        <w:rPr>
          <w:rFonts w:asciiTheme="majorHAnsi" w:hAnsiTheme="majorHAnsi"/>
          <w:sz w:val="20"/>
          <w:szCs w:val="20"/>
          <w:lang w:val="es-VE"/>
        </w:rPr>
        <w:t xml:space="preserve"> “los acusados Ronald Ernesto Raxcacó Reyes y Hugo Humberto Ruiz Fuentes, al notar la presencia de la Policía Nacional Civil, intentaron darse a la fuga, lanzándose de la pared posterior del inmueble donde fueron sorprendidos, siendo detenidos en las afueras del mismo por agentes de la Policía Nacional Civil que habían acordonado el área”</w:t>
      </w:r>
      <w:r w:rsidRPr="00836C24">
        <w:rPr>
          <w:rStyle w:val="FootnoteReference"/>
          <w:rFonts w:asciiTheme="majorHAnsi" w:hAnsiTheme="majorHAnsi"/>
          <w:sz w:val="20"/>
          <w:szCs w:val="20"/>
          <w:lang w:val="es-VE"/>
        </w:rPr>
        <w:footnoteReference w:id="16"/>
      </w:r>
      <w:r w:rsidRPr="00836C24">
        <w:rPr>
          <w:rFonts w:asciiTheme="majorHAnsi" w:hAnsiTheme="majorHAnsi"/>
          <w:sz w:val="20"/>
          <w:szCs w:val="20"/>
          <w:lang w:val="es-VE"/>
        </w:rPr>
        <w:t xml:space="preserve">. </w:t>
      </w:r>
    </w:p>
    <w:p w:rsidR="00DF561A" w:rsidRPr="00836C24" w:rsidRDefault="00DF561A" w:rsidP="00DF561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ES"/>
        </w:rPr>
      </w:pPr>
    </w:p>
    <w:p w:rsidR="00332CDA" w:rsidRPr="005834A5" w:rsidRDefault="00332CDA" w:rsidP="00332CD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hAnsiTheme="majorHAnsi"/>
          <w:sz w:val="20"/>
          <w:szCs w:val="20"/>
          <w:lang w:val="es-ES"/>
        </w:rPr>
        <w:t xml:space="preserve">La información disponible indica que la anterior conclusión no fue producto de investigación alguna relacionada con las denuncias de tortura por parte de la presunta víctima. Por el contrario, la información disponible indica que no se inició ninguna investigación por tales hechos. </w:t>
      </w:r>
    </w:p>
    <w:p w:rsidR="00332CDA" w:rsidRPr="00836C24" w:rsidRDefault="00915413" w:rsidP="00492AE3">
      <w:pPr>
        <w:pStyle w:val="Heading2"/>
        <w:numPr>
          <w:ilvl w:val="1"/>
          <w:numId w:val="55"/>
        </w:numPr>
        <w:tabs>
          <w:tab w:val="clear" w:pos="1800"/>
          <w:tab w:val="num" w:pos="1440"/>
        </w:tabs>
        <w:ind w:hanging="1080"/>
      </w:pPr>
      <w:bookmarkStart w:id="45" w:name="_Toc491441628"/>
      <w:r w:rsidRPr="00836C24">
        <w:lastRenderedPageBreak/>
        <w:t>El contexto de la aplicación de la pena de muerte en Guatemala</w:t>
      </w:r>
      <w:bookmarkEnd w:id="45"/>
      <w:r w:rsidRPr="00836C24">
        <w:t xml:space="preserve"> </w:t>
      </w:r>
    </w:p>
    <w:bookmarkEnd w:id="38"/>
    <w:bookmarkEnd w:id="39"/>
    <w:bookmarkEnd w:id="40"/>
    <w:bookmarkEnd w:id="41"/>
    <w:bookmarkEnd w:id="42"/>
    <w:p w:rsidR="000156A6" w:rsidRPr="00836C24" w:rsidRDefault="000156A6" w:rsidP="009154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 xml:space="preserve">La pena de muerte se encuentra prevista tanto en la </w:t>
      </w:r>
      <w:r w:rsidR="006E73E6" w:rsidRPr="00836C24">
        <w:rPr>
          <w:rFonts w:ascii="Cambria" w:hAnsi="Cambria" w:cs="Calibri"/>
          <w:sz w:val="20"/>
          <w:szCs w:val="20"/>
          <w:lang w:val="es-VE"/>
        </w:rPr>
        <w:t>C</w:t>
      </w:r>
      <w:r w:rsidRPr="00836C24">
        <w:rPr>
          <w:rFonts w:ascii="Cambria" w:hAnsi="Cambria" w:cs="Calibri"/>
          <w:sz w:val="20"/>
          <w:szCs w:val="20"/>
          <w:lang w:val="es-VE"/>
        </w:rPr>
        <w:t>onstitución, como en la legislación penal guatemalteca. El artículo 18 de la Constitución Política de 1985 establece</w:t>
      </w:r>
      <w:r w:rsidR="007420F2" w:rsidRPr="00836C24">
        <w:rPr>
          <w:rFonts w:ascii="Cambria" w:hAnsi="Cambria" w:cs="Calibri"/>
          <w:sz w:val="20"/>
          <w:szCs w:val="20"/>
          <w:lang w:val="es-VE"/>
        </w:rPr>
        <w:t>:</w:t>
      </w:r>
    </w:p>
    <w:p w:rsidR="000156A6" w:rsidRPr="00836C24" w:rsidRDefault="000156A6">
      <w:pPr>
        <w:pStyle w:val="ListParagraph"/>
        <w:rPr>
          <w:rFonts w:cs="Calibri"/>
          <w:sz w:val="20"/>
          <w:szCs w:val="20"/>
          <w:lang w:val="es-VE"/>
        </w:rPr>
      </w:pPr>
    </w:p>
    <w:p w:rsidR="000156A6" w:rsidRPr="00836C24" w:rsidRDefault="000156A6"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s="Calibri"/>
          <w:sz w:val="20"/>
          <w:szCs w:val="20"/>
          <w:lang w:val="es-VE"/>
        </w:rPr>
      </w:pPr>
      <w:r w:rsidRPr="00836C24">
        <w:rPr>
          <w:rFonts w:ascii="Cambria" w:hAnsi="Cambria" w:cs="Calibri"/>
          <w:sz w:val="20"/>
          <w:szCs w:val="20"/>
          <w:lang w:val="es-VE"/>
        </w:rPr>
        <w:t xml:space="preserve"> Pena de muerte. La pena de muerte no podrá imponerse en los siguientes casos</w:t>
      </w:r>
      <w:r w:rsidR="007420F2" w:rsidRPr="00836C24">
        <w:rPr>
          <w:rFonts w:ascii="Cambria" w:hAnsi="Cambria" w:cs="Calibri"/>
          <w:sz w:val="20"/>
          <w:szCs w:val="20"/>
          <w:lang w:val="es-VE"/>
        </w:rPr>
        <w:t>:</w:t>
      </w:r>
      <w:r w:rsidRPr="00836C24">
        <w:rPr>
          <w:rFonts w:ascii="Cambria" w:hAnsi="Cambria" w:cs="Calibri"/>
          <w:sz w:val="20"/>
          <w:szCs w:val="20"/>
          <w:lang w:val="es-VE"/>
        </w:rPr>
        <w:t xml:space="preserve"> </w:t>
      </w:r>
    </w:p>
    <w:p w:rsidR="000156A6" w:rsidRPr="00836C24" w:rsidRDefault="000156A6" w:rsidP="000156A6">
      <w:pPr>
        <w:pStyle w:val="ListParagraph"/>
        <w:rPr>
          <w:rFonts w:cs="Calibri"/>
          <w:sz w:val="20"/>
          <w:szCs w:val="20"/>
          <w:lang w:val="es-VE"/>
        </w:rPr>
      </w:pPr>
    </w:p>
    <w:p w:rsidR="000156A6" w:rsidRPr="00836C24" w:rsidRDefault="000156A6" w:rsidP="00D96D4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36C24">
        <w:rPr>
          <w:rFonts w:cs="Calibri"/>
          <w:sz w:val="20"/>
          <w:szCs w:val="20"/>
          <w:lang w:val="es-VE"/>
        </w:rPr>
        <w:t>Con fundamento en presunciones;</w:t>
      </w:r>
    </w:p>
    <w:p w:rsidR="000156A6" w:rsidRPr="00836C24" w:rsidRDefault="000156A6" w:rsidP="00D96D4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36C24">
        <w:rPr>
          <w:rFonts w:cs="Calibri"/>
          <w:sz w:val="20"/>
          <w:szCs w:val="20"/>
          <w:lang w:val="es-VE"/>
        </w:rPr>
        <w:t>A los mayores de sesenta años;</w:t>
      </w:r>
    </w:p>
    <w:p w:rsidR="000156A6" w:rsidRPr="00836C24" w:rsidRDefault="000156A6" w:rsidP="00D96D4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36C24">
        <w:rPr>
          <w:rFonts w:cs="Calibri"/>
          <w:sz w:val="20"/>
          <w:szCs w:val="20"/>
          <w:lang w:val="es-VE"/>
        </w:rPr>
        <w:t>A los reos de delitos políticos y comunes conexos con los políticos; y</w:t>
      </w:r>
    </w:p>
    <w:p w:rsidR="000156A6" w:rsidRPr="00836C24" w:rsidRDefault="000156A6" w:rsidP="00D96D4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cs="Calibri"/>
          <w:sz w:val="20"/>
          <w:szCs w:val="20"/>
          <w:lang w:val="es-VE"/>
        </w:rPr>
      </w:pPr>
      <w:r w:rsidRPr="00836C24">
        <w:rPr>
          <w:rFonts w:cs="Calibri"/>
          <w:sz w:val="20"/>
          <w:szCs w:val="20"/>
          <w:lang w:val="es-VE"/>
        </w:rPr>
        <w:t xml:space="preserve">A reos cuya extradición haya sido concedida bajo esa condición. </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0156A6" w:rsidRPr="00836C24" w:rsidRDefault="000156A6"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836C24">
        <w:rPr>
          <w:rFonts w:ascii="Cambria" w:hAnsi="Cambria" w:cs="Calibri"/>
          <w:sz w:val="20"/>
          <w:szCs w:val="20"/>
          <w:lang w:val="es-VE"/>
        </w:rPr>
        <w:t xml:space="preserve">Contra la sentencia </w:t>
      </w:r>
      <w:r w:rsidRPr="00836C24">
        <w:rPr>
          <w:rFonts w:asciiTheme="majorHAnsi" w:hAnsiTheme="majorHAnsi"/>
          <w:sz w:val="20"/>
          <w:szCs w:val="20"/>
          <w:lang w:val="es-VE"/>
        </w:rPr>
        <w:t>que imponga la pena de muerte, serán admisibles todos los recursos legales pertinentes, inclusive el de casación; éste siempre será admitido para su trámite. La pena se ejecutará después de agotarse todos los recursos. El Congreso de la República podrá abolir la pena de muerte</w:t>
      </w:r>
      <w:r w:rsidRPr="00836C24">
        <w:rPr>
          <w:rStyle w:val="FootnoteReference"/>
          <w:rFonts w:asciiTheme="majorHAnsi" w:hAnsiTheme="majorHAnsi"/>
          <w:sz w:val="20"/>
          <w:szCs w:val="20"/>
          <w:lang w:val="es-VE"/>
        </w:rPr>
        <w:footnoteReference w:id="17"/>
      </w:r>
      <w:r w:rsidRPr="00836C24">
        <w:rPr>
          <w:rFonts w:asciiTheme="majorHAnsi" w:hAnsiTheme="majorHAnsi"/>
          <w:sz w:val="20"/>
          <w:szCs w:val="20"/>
          <w:lang w:val="es-VE"/>
        </w:rPr>
        <w:t>.</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Asimismo, el Código Penal prevé en su artículo 43 que</w:t>
      </w:r>
      <w:r w:rsidR="00ED5BBB" w:rsidRPr="00836C24">
        <w:rPr>
          <w:rFonts w:ascii="Cambria" w:hAnsi="Cambria" w:cs="Calibri"/>
          <w:sz w:val="20"/>
          <w:szCs w:val="20"/>
          <w:lang w:val="es-VE"/>
        </w:rPr>
        <w:t>:</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0156A6" w:rsidRPr="00836C24" w:rsidRDefault="000156A6"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Calibri"/>
          <w:sz w:val="20"/>
          <w:szCs w:val="20"/>
          <w:lang w:val="es-VE"/>
        </w:rPr>
      </w:pPr>
      <w:r w:rsidRPr="00836C24">
        <w:rPr>
          <w:rFonts w:asciiTheme="majorHAnsi" w:hAnsiTheme="majorHAnsi" w:cs="Calibri"/>
          <w:sz w:val="20"/>
          <w:szCs w:val="20"/>
          <w:lang w:val="es-VE"/>
        </w:rPr>
        <w:t xml:space="preserve"> La pena de muerte, tiene carácter extraordinario y solo podrá aplicarse en los casos expresamente consignados en la ley y no se ejecutará, sino después de agotarse todos los recursos legales.</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VE"/>
        </w:rPr>
      </w:pP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VE"/>
        </w:rPr>
      </w:pPr>
      <w:r w:rsidRPr="00836C24">
        <w:rPr>
          <w:rFonts w:asciiTheme="majorHAnsi" w:hAnsiTheme="majorHAnsi" w:cs="Calibri"/>
          <w:sz w:val="20"/>
          <w:szCs w:val="20"/>
          <w:lang w:val="es-VE"/>
        </w:rPr>
        <w:t>No podrá imponerse la pena de muerte:</w:t>
      </w:r>
    </w:p>
    <w:p w:rsidR="00643E88" w:rsidRPr="00836C24" w:rsidRDefault="00643E88" w:rsidP="00D6580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80"/>
        <w:jc w:val="both"/>
        <w:rPr>
          <w:rFonts w:asciiTheme="majorHAnsi" w:hAnsiTheme="majorHAnsi" w:cs="Calibri"/>
          <w:sz w:val="20"/>
          <w:szCs w:val="20"/>
          <w:lang w:val="es-VE"/>
        </w:rPr>
      </w:pPr>
    </w:p>
    <w:p w:rsidR="000156A6" w:rsidRPr="00836C24" w:rsidRDefault="000156A6" w:rsidP="002853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36C24">
        <w:rPr>
          <w:rFonts w:asciiTheme="majorHAnsi" w:hAnsiTheme="majorHAnsi" w:cs="Calibri"/>
          <w:sz w:val="20"/>
          <w:szCs w:val="20"/>
          <w:lang w:val="es-VE"/>
        </w:rPr>
        <w:t>Por delitos políticos</w:t>
      </w:r>
    </w:p>
    <w:p w:rsidR="000156A6" w:rsidRPr="00836C24" w:rsidRDefault="000156A6" w:rsidP="002853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36C24">
        <w:rPr>
          <w:rFonts w:asciiTheme="majorHAnsi" w:hAnsiTheme="majorHAnsi" w:cs="Calibri"/>
          <w:sz w:val="20"/>
          <w:szCs w:val="20"/>
          <w:lang w:val="es-VE"/>
        </w:rPr>
        <w:t>Cuando la condena se fundamente en presunciones</w:t>
      </w:r>
    </w:p>
    <w:p w:rsidR="000156A6" w:rsidRPr="00836C24" w:rsidRDefault="000156A6" w:rsidP="002853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36C24">
        <w:rPr>
          <w:rFonts w:asciiTheme="majorHAnsi" w:hAnsiTheme="majorHAnsi" w:cs="Calibri"/>
          <w:sz w:val="20"/>
          <w:szCs w:val="20"/>
          <w:lang w:val="es-VE"/>
        </w:rPr>
        <w:t>A mujeres</w:t>
      </w:r>
    </w:p>
    <w:p w:rsidR="000156A6" w:rsidRPr="00836C24" w:rsidRDefault="000156A6" w:rsidP="002853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36C24">
        <w:rPr>
          <w:rFonts w:asciiTheme="majorHAnsi" w:hAnsiTheme="majorHAnsi" w:cs="Calibri"/>
          <w:sz w:val="20"/>
          <w:szCs w:val="20"/>
          <w:lang w:val="es-VE"/>
        </w:rPr>
        <w:t>A varones mayores de setenta años</w:t>
      </w:r>
    </w:p>
    <w:p w:rsidR="000156A6" w:rsidRPr="00836C24" w:rsidRDefault="000156A6" w:rsidP="0028537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sidRPr="00836C24">
        <w:rPr>
          <w:rFonts w:asciiTheme="majorHAnsi" w:hAnsiTheme="majorHAnsi" w:cs="Calibri"/>
          <w:sz w:val="20"/>
          <w:szCs w:val="20"/>
          <w:lang w:val="es-VE"/>
        </w:rPr>
        <w:t>A personas cuya extradición haya sido concedida bajo esa condición.</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VE"/>
        </w:rPr>
      </w:pPr>
    </w:p>
    <w:p w:rsidR="000156A6" w:rsidRPr="00836C24" w:rsidRDefault="000156A6" w:rsidP="00D96D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Calibri"/>
          <w:sz w:val="20"/>
          <w:szCs w:val="20"/>
          <w:lang w:val="es-VE"/>
        </w:rPr>
      </w:pPr>
      <w:r w:rsidRPr="00836C24">
        <w:rPr>
          <w:rFonts w:asciiTheme="majorHAnsi" w:hAnsiTheme="majorHAnsi" w:cs="Calibri"/>
          <w:sz w:val="20"/>
          <w:szCs w:val="20"/>
          <w:lang w:val="es-VE"/>
        </w:rPr>
        <w:t>En estos casos y siempre que la pena de muerte fuere conmutada por la de privación de libertad, se le aplicará prisión en su límite máximo</w:t>
      </w:r>
      <w:r w:rsidRPr="00836C24">
        <w:rPr>
          <w:rStyle w:val="FootnoteReference"/>
          <w:rFonts w:asciiTheme="majorHAnsi" w:hAnsiTheme="majorHAnsi" w:cs="Calibri"/>
          <w:sz w:val="20"/>
          <w:szCs w:val="20"/>
          <w:lang w:val="es-VE"/>
        </w:rPr>
        <w:footnoteReference w:id="18"/>
      </w:r>
      <w:r w:rsidRPr="00836C24">
        <w:rPr>
          <w:rFonts w:ascii="Cambria" w:hAnsi="Cambria" w:cs="Calibri"/>
          <w:sz w:val="20"/>
          <w:szCs w:val="20"/>
          <w:lang w:val="es-VE"/>
        </w:rPr>
        <w:t xml:space="preserve">. </w:t>
      </w:r>
    </w:p>
    <w:p w:rsidR="000156A6" w:rsidRPr="00836C24" w:rsidRDefault="000156A6" w:rsidP="000156A6">
      <w:pPr>
        <w:rPr>
          <w:rFonts w:cs="Calibri"/>
          <w:sz w:val="20"/>
          <w:szCs w:val="20"/>
          <w:lang w:val="es-VE"/>
        </w:rPr>
      </w:pPr>
    </w:p>
    <w:p w:rsidR="00452B97" w:rsidRPr="00836C24" w:rsidRDefault="00452B97"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 xml:space="preserve">Por otra parte, el delito de plagio </w:t>
      </w:r>
      <w:r w:rsidR="002E1D5E" w:rsidRPr="00836C24">
        <w:rPr>
          <w:rFonts w:ascii="Cambria" w:hAnsi="Cambria" w:cs="Calibri"/>
          <w:sz w:val="20"/>
          <w:szCs w:val="20"/>
          <w:lang w:val="es-VE"/>
        </w:rPr>
        <w:t>o secuestro</w:t>
      </w:r>
      <w:r w:rsidR="00024DB4" w:rsidRPr="00836C24">
        <w:rPr>
          <w:rFonts w:ascii="Cambria" w:hAnsi="Cambria" w:cs="Calibri"/>
          <w:sz w:val="20"/>
          <w:szCs w:val="20"/>
          <w:lang w:val="es-VE"/>
        </w:rPr>
        <w:t xml:space="preserve"> previsto en el artículo 201 del Código Penal Guatemalteco</w:t>
      </w:r>
      <w:r w:rsidR="002E1D5E" w:rsidRPr="00836C24">
        <w:rPr>
          <w:rFonts w:ascii="Cambria" w:hAnsi="Cambria" w:cs="Calibri"/>
          <w:sz w:val="20"/>
          <w:szCs w:val="20"/>
          <w:lang w:val="es-VE"/>
        </w:rPr>
        <w:t xml:space="preserve">, </w:t>
      </w:r>
      <w:r w:rsidRPr="00836C24">
        <w:rPr>
          <w:rFonts w:ascii="Cambria" w:hAnsi="Cambria" w:cs="Calibri"/>
          <w:sz w:val="20"/>
          <w:szCs w:val="20"/>
          <w:lang w:val="es-VE"/>
        </w:rPr>
        <w:t>en su formulación vigente al momento de que Guatemala ratificó la Convención Americana establecía lo siguiente: “el plagio o secuestro de una persona con el objeto de lograr rescate, canje de terceras personas u otro propósito ilícito de igual o análoga entidad, se castigará con la pena de ocho a quince años de prisión. Se impondrá la pena de muerte al responsable, cuando con motivo u ocasión del plagio o secuestro</w:t>
      </w:r>
      <w:r w:rsidR="002E1D5E" w:rsidRPr="00836C24">
        <w:rPr>
          <w:rFonts w:ascii="Cambria" w:hAnsi="Cambria" w:cs="Calibri"/>
          <w:sz w:val="20"/>
          <w:szCs w:val="20"/>
          <w:lang w:val="es-VE"/>
        </w:rPr>
        <w:t>, falleciere la persona secuestrada”</w:t>
      </w:r>
      <w:r w:rsidR="002E1D5E" w:rsidRPr="00836C24">
        <w:rPr>
          <w:rStyle w:val="FootnoteReference"/>
          <w:rFonts w:asciiTheme="majorHAnsi" w:hAnsiTheme="majorHAnsi" w:cs="Calibri"/>
          <w:sz w:val="20"/>
          <w:szCs w:val="20"/>
          <w:lang w:val="es-VE"/>
        </w:rPr>
        <w:t xml:space="preserve"> </w:t>
      </w:r>
      <w:r w:rsidR="002E1D5E" w:rsidRPr="00836C24">
        <w:rPr>
          <w:rStyle w:val="FootnoteReference"/>
          <w:rFonts w:asciiTheme="majorHAnsi" w:hAnsiTheme="majorHAnsi" w:cs="Calibri"/>
          <w:sz w:val="20"/>
          <w:szCs w:val="20"/>
          <w:lang w:val="es-VE"/>
        </w:rPr>
        <w:footnoteReference w:id="19"/>
      </w:r>
      <w:r w:rsidR="002E1D5E" w:rsidRPr="00836C24">
        <w:rPr>
          <w:rFonts w:ascii="Cambria" w:hAnsi="Cambria" w:cs="Calibri"/>
          <w:sz w:val="20"/>
          <w:szCs w:val="20"/>
          <w:lang w:val="es-VE"/>
        </w:rPr>
        <w:t xml:space="preserve">. </w:t>
      </w:r>
    </w:p>
    <w:p w:rsidR="002E1D5E" w:rsidRPr="00836C24" w:rsidRDefault="002E1D5E" w:rsidP="002E1D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DF4F53" w:rsidRPr="00836C24" w:rsidRDefault="00DF4F53"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 xml:space="preserve">Dicho tipo penal fue modificado </w:t>
      </w:r>
      <w:r w:rsidR="00024DB4" w:rsidRPr="00836C24">
        <w:rPr>
          <w:rFonts w:ascii="Cambria" w:hAnsi="Cambria" w:cs="Calibri"/>
          <w:sz w:val="20"/>
          <w:szCs w:val="20"/>
          <w:lang w:val="es-VE"/>
        </w:rPr>
        <w:t>mediante el Decreto 38-94 en los siguientes términos:</w:t>
      </w:r>
    </w:p>
    <w:p w:rsidR="00024DB4" w:rsidRPr="00836C24" w:rsidRDefault="00024DB4" w:rsidP="00024DB4">
      <w:pPr>
        <w:pStyle w:val="ListParagraph"/>
        <w:rPr>
          <w:rFonts w:cs="Calibri"/>
          <w:sz w:val="20"/>
          <w:szCs w:val="20"/>
          <w:lang w:val="es-VE"/>
        </w:rPr>
      </w:pPr>
    </w:p>
    <w:p w:rsidR="00024DB4" w:rsidRPr="00836C24" w:rsidRDefault="00024DB4" w:rsidP="00024D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36C24">
        <w:rPr>
          <w:rFonts w:ascii="Cambria" w:hAnsi="Cambria" w:cs="Calibri"/>
          <w:sz w:val="20"/>
          <w:szCs w:val="20"/>
          <w:lang w:val="es-VE"/>
        </w:rPr>
        <w:t xml:space="preserve">El plagio o secuestro de una persona con el objeto de lograr rescate, remuneración, canje de terceras personas, así como cualquier otro propósito ilícito o lucrativo de iguales o análogas características e identidad, se castigará </w:t>
      </w:r>
      <w:r w:rsidR="00176325" w:rsidRPr="00836C24">
        <w:rPr>
          <w:rFonts w:ascii="Cambria" w:hAnsi="Cambria" w:cs="Calibri"/>
          <w:sz w:val="20"/>
          <w:szCs w:val="20"/>
          <w:lang w:val="es-VE"/>
        </w:rPr>
        <w:t>con la pena de veinticinco a treinta años de prisión.</w:t>
      </w:r>
    </w:p>
    <w:p w:rsidR="00176325" w:rsidRPr="00836C24" w:rsidRDefault="00176325" w:rsidP="00024D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176325" w:rsidRPr="00836C24" w:rsidRDefault="00176325" w:rsidP="00024D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36C24">
        <w:rPr>
          <w:rFonts w:ascii="Cambria" w:hAnsi="Cambria" w:cs="Calibri"/>
          <w:sz w:val="20"/>
          <w:szCs w:val="20"/>
          <w:lang w:val="es-VE"/>
        </w:rPr>
        <w:t>Se impondrá la pena de muerte en los siguientes casos:</w:t>
      </w:r>
    </w:p>
    <w:p w:rsidR="00176325" w:rsidRPr="00836C24" w:rsidRDefault="00176325" w:rsidP="0017632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cs="Calibri"/>
          <w:sz w:val="20"/>
          <w:szCs w:val="20"/>
          <w:lang w:val="es-VE"/>
        </w:rPr>
      </w:pPr>
      <w:r w:rsidRPr="00836C24">
        <w:rPr>
          <w:rFonts w:cs="Calibri"/>
          <w:sz w:val="20"/>
          <w:szCs w:val="20"/>
          <w:lang w:val="es-VE"/>
        </w:rPr>
        <w:t>Si se tratare de menores de doce años de edad, o personas mayores de sesenta años.</w:t>
      </w:r>
    </w:p>
    <w:p w:rsidR="00176325" w:rsidRPr="00836C24" w:rsidRDefault="00176325" w:rsidP="00176325">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rFonts w:cs="Calibri"/>
          <w:sz w:val="20"/>
          <w:szCs w:val="20"/>
          <w:lang w:val="es-VE"/>
        </w:rPr>
      </w:pPr>
      <w:r w:rsidRPr="00836C24">
        <w:rPr>
          <w:rFonts w:cs="Calibri"/>
          <w:sz w:val="20"/>
          <w:szCs w:val="20"/>
          <w:lang w:val="es-VE"/>
        </w:rPr>
        <w:lastRenderedPageBreak/>
        <w:t>Cuando con motivo u ocasión del plagio o secuestro, la persona secuestrada resultare con lesiones graves o gravísimas, trauma psíquico o psicológico permanente o falleciere.</w:t>
      </w:r>
    </w:p>
    <w:p w:rsidR="00176325" w:rsidRPr="00836C24" w:rsidRDefault="00176325" w:rsidP="0017632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cs="Calibri"/>
          <w:sz w:val="20"/>
          <w:szCs w:val="20"/>
          <w:lang w:val="es-VE"/>
        </w:rPr>
      </w:pPr>
    </w:p>
    <w:p w:rsidR="00176325" w:rsidRPr="00836C24" w:rsidRDefault="00176325" w:rsidP="0017632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s="Calibri"/>
          <w:sz w:val="20"/>
          <w:szCs w:val="20"/>
          <w:lang w:val="es-VE"/>
        </w:rPr>
      </w:pPr>
      <w:r w:rsidRPr="00836C24">
        <w:rPr>
          <w:rFonts w:asciiTheme="majorHAnsi" w:hAnsiTheme="majorHAnsi" w:cs="Calibri"/>
          <w:sz w:val="20"/>
          <w:szCs w:val="20"/>
          <w:lang w:val="es-VE"/>
        </w:rPr>
        <w:t>Al autor de este delito que se arrepintiere en cualesquiera de sus etapas o diere datos para lograr la feliz solución al plagio o secuestro, se le podrá atenuar la pena correspondiente</w:t>
      </w:r>
      <w:r w:rsidRPr="00836C24">
        <w:rPr>
          <w:rStyle w:val="FootnoteReference"/>
          <w:rFonts w:asciiTheme="majorHAnsi" w:hAnsiTheme="majorHAnsi" w:cs="Calibri"/>
          <w:sz w:val="20"/>
          <w:szCs w:val="20"/>
          <w:lang w:val="es-VE"/>
        </w:rPr>
        <w:footnoteReference w:id="20"/>
      </w:r>
      <w:r w:rsidRPr="00836C24">
        <w:rPr>
          <w:rFonts w:asciiTheme="majorHAnsi" w:hAnsiTheme="majorHAnsi" w:cs="Calibri"/>
          <w:sz w:val="20"/>
          <w:szCs w:val="20"/>
          <w:lang w:val="es-VE"/>
        </w:rPr>
        <w:t xml:space="preserve">. </w:t>
      </w:r>
    </w:p>
    <w:p w:rsidR="00DF4F53" w:rsidRPr="00836C24" w:rsidRDefault="00DF4F53" w:rsidP="00176325">
      <w:pPr>
        <w:rPr>
          <w:rFonts w:cs="Calibri"/>
          <w:sz w:val="20"/>
          <w:szCs w:val="20"/>
          <w:lang w:val="es-VE"/>
        </w:rPr>
      </w:pPr>
    </w:p>
    <w:p w:rsidR="00176325" w:rsidRPr="00836C24" w:rsidRDefault="00176325"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 xml:space="preserve">Con posterioridad dicho artículo fue modificado mediante el Decreto </w:t>
      </w:r>
      <w:r w:rsidR="00A14ABF" w:rsidRPr="00836C24">
        <w:rPr>
          <w:rFonts w:ascii="Cambria" w:hAnsi="Cambria" w:cs="Calibri"/>
          <w:sz w:val="20"/>
          <w:szCs w:val="20"/>
          <w:lang w:val="es-VE"/>
        </w:rPr>
        <w:t>14-95, en los siguientes términos:</w:t>
      </w:r>
    </w:p>
    <w:p w:rsidR="00A14ABF" w:rsidRPr="00836C24" w:rsidRDefault="00A14ABF" w:rsidP="00A14AB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176325" w:rsidRPr="00836C24" w:rsidRDefault="00E47DAA" w:rsidP="003A5D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36C24">
        <w:rPr>
          <w:rFonts w:ascii="Cambria" w:hAnsi="Cambria" w:cs="Calibri"/>
          <w:sz w:val="20"/>
          <w:szCs w:val="20"/>
          <w:lang w:val="es-VE"/>
        </w:rPr>
        <w:t>A los autores materiales del delito de plagio o secuestro de una o más personas con el propósito de lograr el rescate, canje de personas o la toma de cualquier decisión contraria a la voluntad del s</w:t>
      </w:r>
      <w:r w:rsidR="003A5D1B" w:rsidRPr="00836C24">
        <w:rPr>
          <w:rFonts w:ascii="Cambria" w:hAnsi="Cambria" w:cs="Calibri"/>
          <w:sz w:val="20"/>
          <w:szCs w:val="20"/>
          <w:lang w:val="es-VE"/>
        </w:rPr>
        <w:t xml:space="preserve">ecuestrado o con cualquiera otro propósito similar o igual, se les aplicará la pena de muerte. En este caso no se apreciará ninguna circunstancia atenuante. Los cómplices, encubridores o cualesquiera otros participantes en la comisión de este delito serán sancionados con pena de quince </w:t>
      </w:r>
      <w:r w:rsidR="005834A5">
        <w:rPr>
          <w:rFonts w:ascii="Cambria" w:hAnsi="Cambria" w:cs="Calibri"/>
          <w:sz w:val="20"/>
          <w:szCs w:val="20"/>
          <w:lang w:val="es-VE"/>
        </w:rPr>
        <w:t xml:space="preserve">a veinticinco años de prisión. </w:t>
      </w:r>
      <w:r w:rsidR="003A5D1B" w:rsidRPr="00836C24">
        <w:rPr>
          <w:rFonts w:ascii="Cambria" w:hAnsi="Cambria" w:cs="Calibri"/>
          <w:sz w:val="20"/>
          <w:szCs w:val="20"/>
          <w:lang w:val="es-VE"/>
        </w:rPr>
        <w:t>A los cómplices, encubridores o cualesquiera otros participantes en la comisión del plagio o secuestro que hubieren amenazado causar la muerte del secuestrado se les aplicará la pena de muerte</w:t>
      </w:r>
      <w:r w:rsidR="003A5D1B" w:rsidRPr="00836C24">
        <w:rPr>
          <w:rStyle w:val="FootnoteReference"/>
          <w:rFonts w:asciiTheme="majorHAnsi" w:hAnsiTheme="majorHAnsi" w:cs="Calibri"/>
          <w:sz w:val="20"/>
          <w:szCs w:val="20"/>
          <w:lang w:val="es-VE"/>
        </w:rPr>
        <w:footnoteReference w:id="21"/>
      </w:r>
      <w:r w:rsidR="003A5D1B" w:rsidRPr="00836C24">
        <w:rPr>
          <w:rFonts w:ascii="Cambria" w:hAnsi="Cambria" w:cs="Calibri"/>
          <w:sz w:val="20"/>
          <w:szCs w:val="20"/>
          <w:lang w:val="es-VE"/>
        </w:rPr>
        <w:t xml:space="preserve">. </w:t>
      </w:r>
    </w:p>
    <w:p w:rsidR="003A5D1B" w:rsidRPr="00836C24" w:rsidRDefault="003A5D1B" w:rsidP="003A5D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2E1D5E" w:rsidRPr="00836C24" w:rsidRDefault="002E1D5E"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Mediante el Decreto Número 81-96 se modificó el contenido de dicho artículo en los siguientes términos:</w:t>
      </w:r>
    </w:p>
    <w:p w:rsidR="002E1D5E" w:rsidRPr="00836C24" w:rsidRDefault="002E1D5E" w:rsidP="002E1D5E">
      <w:pPr>
        <w:pStyle w:val="ListParagraph"/>
        <w:rPr>
          <w:rFonts w:cs="Calibri"/>
          <w:sz w:val="20"/>
          <w:szCs w:val="20"/>
          <w:lang w:val="es-VE"/>
        </w:rPr>
      </w:pPr>
    </w:p>
    <w:p w:rsidR="00452B97" w:rsidRPr="00836C24" w:rsidRDefault="002E1D5E" w:rsidP="003A5D1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36C24">
        <w:rPr>
          <w:rFonts w:ascii="Cambria" w:hAnsi="Cambria" w:cs="Calibri"/>
          <w:sz w:val="20"/>
          <w:szCs w:val="20"/>
          <w:lang w:val="es-VE"/>
        </w:rPr>
        <w:t xml:space="preserve">A los autores materiales o intelectuales del delito de plagio o secuestro de una o más personas con el propósito de lograr rescate, canje de personas o la toma de cualquier decisión contraria </w:t>
      </w:r>
      <w:r w:rsidR="00DF4F53" w:rsidRPr="00836C24">
        <w:rPr>
          <w:rFonts w:ascii="Cambria" w:hAnsi="Cambria" w:cs="Calibri"/>
          <w:sz w:val="20"/>
          <w:szCs w:val="20"/>
          <w:lang w:val="es-VE"/>
        </w:rPr>
        <w:t>a la voluntad del secuestrado o con cualquier otro propósito similar o igual, se les aplicará la pena de muerte y cuando ésta no pueda ser impuesta, se aplicará prisión de veinticinco a cincuenta años. En este caso no se apreciará ninguna circunstancia atenuante.  Los cómplices o encubridores serán sancionados con pena de veinte a cuarenta años de prisión. A quienes sean condenados a prisión por el delito de plagio o secuestro, no podrá concedérseles rebaja de pena por ninguna causa</w:t>
      </w:r>
      <w:r w:rsidR="00DF4F53" w:rsidRPr="00836C24">
        <w:rPr>
          <w:rStyle w:val="FootnoteReference"/>
          <w:rFonts w:asciiTheme="majorHAnsi" w:hAnsiTheme="majorHAnsi" w:cs="Calibri"/>
          <w:sz w:val="20"/>
          <w:szCs w:val="20"/>
          <w:lang w:val="es-VE"/>
        </w:rPr>
        <w:footnoteReference w:id="22"/>
      </w:r>
      <w:r w:rsidR="00DF4F53" w:rsidRPr="00836C24">
        <w:rPr>
          <w:rFonts w:ascii="Cambria" w:hAnsi="Cambria" w:cs="Calibri"/>
          <w:sz w:val="20"/>
          <w:szCs w:val="20"/>
          <w:lang w:val="es-VE"/>
        </w:rPr>
        <w:t xml:space="preserve">. </w:t>
      </w:r>
    </w:p>
    <w:p w:rsidR="00452B97" w:rsidRPr="00836C24" w:rsidRDefault="00452B97" w:rsidP="00452B9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1862E9" w:rsidRPr="00836C24" w:rsidRDefault="001862E9"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En el año 2000, mediante el Decreto 17-2009, se adicionó el siguiente párrafo al artículo 201 que contiene el delito de plagio o secuestro:</w:t>
      </w:r>
    </w:p>
    <w:p w:rsidR="001862E9" w:rsidRPr="00836C24" w:rsidRDefault="001862E9" w:rsidP="001862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p>
    <w:p w:rsidR="001862E9" w:rsidRPr="00836C24" w:rsidRDefault="001862E9" w:rsidP="001862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s="Calibri"/>
          <w:sz w:val="20"/>
          <w:szCs w:val="20"/>
          <w:lang w:val="es-VE"/>
        </w:rPr>
      </w:pPr>
      <w:r w:rsidRPr="00836C24">
        <w:rPr>
          <w:rFonts w:ascii="Cambria" w:hAnsi="Cambria" w:cs="Calibri"/>
          <w:sz w:val="20"/>
          <w:szCs w:val="20"/>
          <w:lang w:val="es-VE"/>
        </w:rPr>
        <w:t>Igualmente, incurrirá en la comisión de este delito quien amenazare de manera inminente o privare de su libertad a otra persona en contra de su voluntad, independientemente del tiempo que dure dicha privación o la privare de sus derechos de locomoción con riesgo para la vida o bienes del mismo, con peligro de causar daño físico, psíquico o material, en cualquier forma y medios, será sancionado con prisión de veinte (20) a cuarenta (40) años y multa de cincuenta mil ( Q.50,000.00) a cien mil Quetzales (Q. 100,000.00)</w:t>
      </w:r>
      <w:r w:rsidRPr="00836C24">
        <w:rPr>
          <w:rStyle w:val="FootnoteReference"/>
          <w:rFonts w:asciiTheme="majorHAnsi" w:hAnsiTheme="majorHAnsi" w:cs="Calibri"/>
          <w:sz w:val="20"/>
          <w:szCs w:val="20"/>
          <w:lang w:val="es-VE"/>
        </w:rPr>
        <w:footnoteReference w:id="23"/>
      </w:r>
      <w:r w:rsidRPr="00836C24">
        <w:rPr>
          <w:rFonts w:ascii="Cambria" w:hAnsi="Cambria" w:cs="Calibri"/>
          <w:sz w:val="20"/>
          <w:szCs w:val="20"/>
          <w:lang w:val="es-VE"/>
        </w:rPr>
        <w:t>.</w:t>
      </w:r>
    </w:p>
    <w:p w:rsidR="001862E9" w:rsidRPr="00836C24" w:rsidRDefault="001862E9" w:rsidP="001862E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 xml:space="preserve">A pesar de estar prevista en la legislación guatemalteca, según un informe de Amnistía Internacional, la pena de muerte rara vez se aplicó en Guatemala antes de los años noventa. Dicho informe refiere que en 1982 se llevaron a cabo </w:t>
      </w:r>
      <w:r w:rsidR="00B952E8" w:rsidRPr="00836C24">
        <w:rPr>
          <w:rFonts w:ascii="Cambria" w:hAnsi="Cambria" w:cs="Calibri"/>
          <w:sz w:val="20"/>
          <w:szCs w:val="20"/>
          <w:lang w:val="es-VE"/>
        </w:rPr>
        <w:t>cuatro</w:t>
      </w:r>
      <w:r w:rsidRPr="00836C24">
        <w:rPr>
          <w:rFonts w:ascii="Cambria" w:hAnsi="Cambria" w:cs="Calibri"/>
          <w:sz w:val="20"/>
          <w:szCs w:val="20"/>
          <w:lang w:val="es-VE"/>
        </w:rPr>
        <w:t xml:space="preserve"> ejecuciones por pena de muerte, y otras </w:t>
      </w:r>
      <w:r w:rsidR="00BD7F86" w:rsidRPr="00836C24">
        <w:rPr>
          <w:rFonts w:ascii="Cambria" w:hAnsi="Cambria" w:cs="Calibri"/>
          <w:sz w:val="20"/>
          <w:szCs w:val="20"/>
          <w:lang w:val="es-VE"/>
        </w:rPr>
        <w:t>once</w:t>
      </w:r>
      <w:r w:rsidRPr="00836C24">
        <w:rPr>
          <w:rFonts w:ascii="Cambria" w:hAnsi="Cambria" w:cs="Calibri"/>
          <w:sz w:val="20"/>
          <w:szCs w:val="20"/>
          <w:lang w:val="es-VE"/>
        </w:rPr>
        <w:t xml:space="preserve"> en 1983, en virtud del Decreto de Emergencia 46-82, promulgado durante el estado de sitio impuesto por Efraín Ríos Montt</w:t>
      </w:r>
      <w:r w:rsidRPr="00836C24">
        <w:rPr>
          <w:rFonts w:asciiTheme="majorHAnsi" w:eastAsia="Times New Roman" w:hAnsiTheme="majorHAnsi" w:cs="Courier New"/>
          <w:sz w:val="20"/>
          <w:szCs w:val="20"/>
          <w:bdr w:val="none" w:sz="0" w:space="0" w:color="auto"/>
          <w:vertAlign w:val="superscript"/>
          <w:lang w:val="es-ES"/>
        </w:rPr>
        <w:footnoteReference w:id="24"/>
      </w:r>
      <w:r w:rsidRPr="00836C24">
        <w:rPr>
          <w:rFonts w:asciiTheme="majorHAnsi" w:hAnsiTheme="majorHAnsi"/>
          <w:sz w:val="20"/>
          <w:szCs w:val="20"/>
          <w:lang w:val="es-VE"/>
        </w:rPr>
        <w:t>.</w:t>
      </w:r>
    </w:p>
    <w:p w:rsidR="000156A6" w:rsidRPr="00836C24" w:rsidRDefault="000156A6" w:rsidP="000156A6">
      <w:pPr>
        <w:pStyle w:val="ListParagraph"/>
        <w:rPr>
          <w:rFonts w:cs="Calibri"/>
          <w:sz w:val="20"/>
          <w:szCs w:val="20"/>
          <w:lang w:val="es-VE"/>
        </w:rPr>
      </w:pPr>
    </w:p>
    <w:p w:rsidR="000156A6" w:rsidRPr="00836C24" w:rsidRDefault="000156A6" w:rsidP="00D658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Cambria" w:hAnsi="Cambria" w:cs="Calibri"/>
          <w:sz w:val="20"/>
          <w:szCs w:val="20"/>
          <w:lang w:val="es-VE"/>
        </w:rPr>
        <w:t xml:space="preserve">Durante los años </w:t>
      </w:r>
      <w:r w:rsidR="00BD7F86" w:rsidRPr="00836C24">
        <w:rPr>
          <w:rFonts w:ascii="Cambria" w:hAnsi="Cambria" w:cs="Calibri"/>
          <w:sz w:val="20"/>
          <w:szCs w:val="20"/>
          <w:lang w:val="es-VE"/>
        </w:rPr>
        <w:t>noventa</w:t>
      </w:r>
      <w:r w:rsidRPr="00836C24">
        <w:rPr>
          <w:rFonts w:ascii="Cambria" w:hAnsi="Cambria" w:cs="Calibri"/>
          <w:sz w:val="20"/>
          <w:szCs w:val="20"/>
          <w:lang w:val="es-VE"/>
        </w:rPr>
        <w:t xml:space="preserve"> el Estado guatemalteco volvió a aplicar la pena de muerte, primero por medio de fusilamiento, conforme al Decreto 234 del Congreso de la República, y luego a través de </w:t>
      </w:r>
      <w:r w:rsidRPr="00836C24">
        <w:rPr>
          <w:rFonts w:ascii="Cambria" w:hAnsi="Cambria" w:cs="Calibri"/>
          <w:sz w:val="20"/>
          <w:szCs w:val="20"/>
          <w:lang w:val="es-VE"/>
        </w:rPr>
        <w:lastRenderedPageBreak/>
        <w:t>inyección letal</w:t>
      </w:r>
      <w:r w:rsidRPr="00836C24">
        <w:rPr>
          <w:rStyle w:val="FootnoteReference"/>
          <w:rFonts w:asciiTheme="majorHAnsi" w:hAnsiTheme="majorHAnsi" w:cs="Calibri"/>
          <w:sz w:val="20"/>
          <w:szCs w:val="20"/>
          <w:lang w:val="es-VE"/>
        </w:rPr>
        <w:footnoteReference w:id="25"/>
      </w:r>
      <w:r w:rsidRPr="00836C24">
        <w:rPr>
          <w:rFonts w:ascii="Cambria" w:hAnsi="Cambria" w:cs="Calibri"/>
          <w:sz w:val="20"/>
          <w:szCs w:val="20"/>
          <w:lang w:val="es-VE"/>
        </w:rPr>
        <w:t>, después que el Decreto 234 fue derogado por el Decreto 100-96 de noviembre de 1996</w:t>
      </w:r>
      <w:r w:rsidR="00336B10" w:rsidRPr="00836C24">
        <w:rPr>
          <w:rFonts w:ascii="Cambria" w:hAnsi="Cambria" w:cs="Calibri"/>
          <w:sz w:val="20"/>
          <w:szCs w:val="20"/>
          <w:lang w:val="es-VE"/>
        </w:rPr>
        <w:t xml:space="preserve"> mediante el cual </w:t>
      </w:r>
      <w:r w:rsidRPr="00836C24">
        <w:rPr>
          <w:rFonts w:ascii="Cambria" w:hAnsi="Cambria" w:cs="Calibri"/>
          <w:sz w:val="20"/>
          <w:szCs w:val="20"/>
          <w:lang w:val="es-VE"/>
        </w:rPr>
        <w:t>se estableció est</w:t>
      </w:r>
      <w:r w:rsidR="00336B10" w:rsidRPr="00836C24">
        <w:rPr>
          <w:rFonts w:ascii="Cambria" w:hAnsi="Cambria" w:cs="Calibri"/>
          <w:sz w:val="20"/>
          <w:szCs w:val="20"/>
          <w:lang w:val="es-VE"/>
        </w:rPr>
        <w:t>e nuevo método de ejecución</w:t>
      </w:r>
      <w:r w:rsidR="00010146" w:rsidRPr="00836C24">
        <w:rPr>
          <w:rStyle w:val="FootnoteReference"/>
          <w:rFonts w:asciiTheme="majorHAnsi" w:hAnsiTheme="majorHAnsi" w:cs="Calibri"/>
          <w:sz w:val="20"/>
          <w:szCs w:val="20"/>
          <w:lang w:val="es-VE"/>
        </w:rPr>
        <w:footnoteReference w:id="26"/>
      </w:r>
      <w:r w:rsidR="00336B10" w:rsidRPr="00836C24">
        <w:rPr>
          <w:rFonts w:ascii="Cambria" w:hAnsi="Cambria" w:cs="Calibri"/>
          <w:sz w:val="20"/>
          <w:szCs w:val="20"/>
          <w:lang w:val="es-VE"/>
        </w:rPr>
        <w:t xml:space="preserve">. </w:t>
      </w:r>
    </w:p>
    <w:p w:rsidR="000156A6" w:rsidRPr="00836C24" w:rsidRDefault="00596629" w:rsidP="00842AF1">
      <w:pPr>
        <w:pStyle w:val="Heading3"/>
        <w:numPr>
          <w:ilvl w:val="1"/>
          <w:numId w:val="67"/>
        </w:numPr>
        <w:tabs>
          <w:tab w:val="left" w:pos="90"/>
        </w:tabs>
        <w:ind w:firstLine="360"/>
        <w:rPr>
          <w:color w:val="auto"/>
          <w:sz w:val="20"/>
          <w:szCs w:val="20"/>
          <w:lang w:val="es-VE"/>
        </w:rPr>
      </w:pPr>
      <w:bookmarkStart w:id="46" w:name="_Toc491441629"/>
      <w:r w:rsidRPr="00836C24">
        <w:rPr>
          <w:color w:val="auto"/>
          <w:sz w:val="20"/>
          <w:szCs w:val="20"/>
          <w:lang w:val="es-VE"/>
        </w:rPr>
        <w:t>El recurso de gracia y l</w:t>
      </w:r>
      <w:r w:rsidR="000156A6" w:rsidRPr="00836C24">
        <w:rPr>
          <w:color w:val="auto"/>
          <w:sz w:val="20"/>
          <w:szCs w:val="20"/>
          <w:lang w:val="es-VE"/>
        </w:rPr>
        <w:t>a deroga</w:t>
      </w:r>
      <w:r w:rsidR="000D1921" w:rsidRPr="00836C24">
        <w:rPr>
          <w:color w:val="auto"/>
          <w:sz w:val="20"/>
          <w:szCs w:val="20"/>
          <w:lang w:val="es-VE"/>
        </w:rPr>
        <w:t>toria</w:t>
      </w:r>
      <w:r w:rsidR="000156A6" w:rsidRPr="00836C24">
        <w:rPr>
          <w:color w:val="auto"/>
          <w:sz w:val="20"/>
          <w:szCs w:val="20"/>
          <w:lang w:val="es-VE"/>
        </w:rPr>
        <w:t xml:space="preserve"> del Decreto 159 de 1892</w:t>
      </w:r>
      <w:bookmarkEnd w:id="46"/>
      <w:r w:rsidR="000156A6" w:rsidRPr="00836C24">
        <w:rPr>
          <w:color w:val="auto"/>
          <w:sz w:val="20"/>
          <w:szCs w:val="20"/>
          <w:lang w:val="es-VE"/>
        </w:rPr>
        <w:t xml:space="preserve"> </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156A6" w:rsidRPr="00836C24" w:rsidRDefault="000156A6" w:rsidP="00D658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último recurso disponible en la legislación guatemalteca para impugnar la imposición de la pena de muerte</w:t>
      </w:r>
      <w:r w:rsidR="000D1921" w:rsidRPr="00836C24">
        <w:rPr>
          <w:rFonts w:asciiTheme="majorHAnsi" w:eastAsia="Times New Roman" w:hAnsiTheme="majorHAnsi" w:cs="Courier New"/>
          <w:sz w:val="20"/>
          <w:szCs w:val="20"/>
          <w:bdr w:val="none" w:sz="0" w:space="0" w:color="auto"/>
          <w:lang w:val="es-ES"/>
        </w:rPr>
        <w:t xml:space="preserve"> al</w:t>
      </w:r>
      <w:r w:rsidRPr="00836C24">
        <w:rPr>
          <w:rFonts w:asciiTheme="majorHAnsi" w:eastAsia="Times New Roman" w:hAnsiTheme="majorHAnsi" w:cs="Courier New"/>
          <w:sz w:val="20"/>
          <w:szCs w:val="20"/>
          <w:bdr w:val="none" w:sz="0" w:space="0" w:color="auto"/>
          <w:lang w:val="es-ES"/>
        </w:rPr>
        <w:t xml:space="preserve"> momento de los hechos del presente caso era el recurso de gracia, previsto en el Decreto 159 de la Asamblea Nacional Legislativa de 19 de abril de 1892. </w:t>
      </w:r>
      <w:r w:rsidR="00550874" w:rsidRPr="00836C24">
        <w:rPr>
          <w:rFonts w:asciiTheme="majorHAnsi" w:eastAsia="Times New Roman" w:hAnsiTheme="majorHAnsi" w:cs="Courier New"/>
          <w:sz w:val="20"/>
          <w:szCs w:val="20"/>
          <w:lang w:val="es-ES"/>
        </w:rPr>
        <w:t>El recurso de gracia establecía la facultad del Presidente de la República de no aplicar la pena de muerte a un condenado,</w:t>
      </w:r>
      <w:r w:rsidR="00550874" w:rsidRPr="00836C24">
        <w:rPr>
          <w:rFonts w:asciiTheme="majorHAnsi" w:eastAsia="Times New Roman" w:hAnsiTheme="majorHAnsi" w:cs="Courier New"/>
          <w:sz w:val="20"/>
          <w:szCs w:val="20"/>
          <w:bdr w:val="none" w:sz="0" w:space="0" w:color="auto"/>
          <w:lang w:val="es-ES"/>
        </w:rPr>
        <w:t xml:space="preserve"> n</w:t>
      </w:r>
      <w:r w:rsidRPr="00836C24">
        <w:rPr>
          <w:rFonts w:asciiTheme="majorHAnsi" w:eastAsia="Times New Roman" w:hAnsiTheme="majorHAnsi" w:cs="Courier New"/>
          <w:sz w:val="20"/>
          <w:szCs w:val="20"/>
          <w:bdr w:val="none" w:sz="0" w:space="0" w:color="auto"/>
          <w:lang w:val="es-ES"/>
        </w:rPr>
        <w:t xml:space="preserve">o obstante, en una decisión </w:t>
      </w:r>
      <w:r w:rsidR="005B17D0" w:rsidRPr="00836C24">
        <w:rPr>
          <w:rFonts w:asciiTheme="majorHAnsi" w:eastAsia="Times New Roman" w:hAnsiTheme="majorHAnsi" w:cs="Courier New"/>
          <w:sz w:val="20"/>
          <w:szCs w:val="20"/>
          <w:bdr w:val="none" w:sz="0" w:space="0" w:color="auto"/>
          <w:lang w:val="es-ES"/>
        </w:rPr>
        <w:t xml:space="preserve">de amparo </w:t>
      </w:r>
      <w:r w:rsidRPr="00836C24">
        <w:rPr>
          <w:rFonts w:asciiTheme="majorHAnsi" w:eastAsia="Times New Roman" w:hAnsiTheme="majorHAnsi" w:cs="Courier New"/>
          <w:sz w:val="20"/>
          <w:szCs w:val="20"/>
          <w:bdr w:val="none" w:sz="0" w:space="0" w:color="auto"/>
          <w:lang w:val="es-ES"/>
        </w:rPr>
        <w:t xml:space="preserve">de la Corte de Constitucionalidad de 9 de agosto de 1996, </w:t>
      </w:r>
      <w:r w:rsidR="005B17D0" w:rsidRPr="00836C24">
        <w:rPr>
          <w:rFonts w:asciiTheme="majorHAnsi" w:eastAsia="Times New Roman" w:hAnsiTheme="majorHAnsi" w:cs="Courier New"/>
          <w:sz w:val="20"/>
          <w:szCs w:val="20"/>
          <w:bdr w:val="none" w:sz="0" w:space="0" w:color="auto"/>
          <w:lang w:val="es-ES"/>
        </w:rPr>
        <w:t xml:space="preserve">se </w:t>
      </w:r>
      <w:r w:rsidRPr="00836C24">
        <w:rPr>
          <w:rFonts w:asciiTheme="majorHAnsi" w:eastAsia="Times New Roman" w:hAnsiTheme="majorHAnsi" w:cs="Courier New"/>
          <w:sz w:val="20"/>
          <w:szCs w:val="20"/>
          <w:bdr w:val="none" w:sz="0" w:space="0" w:color="auto"/>
          <w:lang w:val="es-ES"/>
        </w:rPr>
        <w:t xml:space="preserve">indicó que el Decreto 159 ya no se encontraba vigente, </w:t>
      </w:r>
      <w:r w:rsidR="005B17D0" w:rsidRPr="00836C24">
        <w:rPr>
          <w:rFonts w:asciiTheme="majorHAnsi" w:eastAsia="Times New Roman" w:hAnsiTheme="majorHAnsi" w:cs="Courier New"/>
          <w:sz w:val="20"/>
          <w:szCs w:val="20"/>
          <w:bdr w:val="none" w:sz="0" w:space="0" w:color="auto"/>
          <w:lang w:val="es-ES"/>
        </w:rPr>
        <w:t xml:space="preserve">pero que </w:t>
      </w:r>
      <w:r w:rsidRPr="00836C24">
        <w:rPr>
          <w:rFonts w:asciiTheme="majorHAnsi" w:eastAsia="Times New Roman" w:hAnsiTheme="majorHAnsi" w:cs="Courier New"/>
          <w:sz w:val="20"/>
          <w:szCs w:val="20"/>
          <w:bdr w:val="none" w:sz="0" w:space="0" w:color="auto"/>
          <w:lang w:val="es-ES"/>
        </w:rPr>
        <w:t xml:space="preserve">permanecía vigente el recurso de gracia, </w:t>
      </w:r>
      <w:r w:rsidR="005B17D0" w:rsidRPr="00836C24">
        <w:rPr>
          <w:rFonts w:asciiTheme="majorHAnsi" w:eastAsia="Times New Roman" w:hAnsiTheme="majorHAnsi" w:cs="Courier New"/>
          <w:sz w:val="20"/>
          <w:szCs w:val="20"/>
          <w:bdr w:val="none" w:sz="0" w:space="0" w:color="auto"/>
          <w:lang w:val="es-ES"/>
        </w:rPr>
        <w:t xml:space="preserve">aunque </w:t>
      </w:r>
      <w:r w:rsidRPr="00836C24">
        <w:rPr>
          <w:rFonts w:asciiTheme="majorHAnsi" w:eastAsia="Times New Roman" w:hAnsiTheme="majorHAnsi" w:cs="Courier New"/>
          <w:sz w:val="20"/>
          <w:szCs w:val="20"/>
          <w:bdr w:val="none" w:sz="0" w:space="0" w:color="auto"/>
          <w:lang w:val="es-ES"/>
        </w:rPr>
        <w:t>sin un procedimiento establecido.</w:t>
      </w:r>
      <w:r w:rsidR="001A222D" w:rsidRPr="00836C24">
        <w:rPr>
          <w:rFonts w:asciiTheme="majorHAnsi" w:eastAsia="Times New Roman" w:hAnsiTheme="majorHAnsi" w:cs="Courier New"/>
          <w:sz w:val="20"/>
          <w:szCs w:val="20"/>
          <w:bdr w:val="none" w:sz="0" w:space="0" w:color="auto"/>
          <w:lang w:val="es-ES"/>
        </w:rPr>
        <w:t xml:space="preserve"> </w:t>
      </w:r>
      <w:r w:rsidRPr="00836C24">
        <w:rPr>
          <w:rFonts w:asciiTheme="majorHAnsi" w:eastAsia="Times New Roman" w:hAnsiTheme="majorHAnsi" w:cs="Courier New"/>
          <w:sz w:val="20"/>
          <w:szCs w:val="20"/>
          <w:bdr w:val="none" w:sz="0" w:space="0" w:color="auto"/>
          <w:lang w:val="es-ES"/>
        </w:rPr>
        <w:t xml:space="preserve">Al respecto determinó que el Decreto 159 estuvo vigente entre el 21 de abril de 1892 y el 22 de diciembre de 1944 y tuvo una nueva vigencia con modificaciones entre el 23 de diciembre de 1944 y 14 de marzo de 1945, día anterior a la fecha de vigencia de la Constitución de 1945. Por ello la Corte de Constitucionalidad concluyó que “el procedimiento establecido en el Decreto 159 de la Asamblea Nacional Legislativa, no está vigente”. </w:t>
      </w:r>
      <w:r w:rsidR="002D6F1F" w:rsidRPr="00836C24">
        <w:rPr>
          <w:rFonts w:asciiTheme="majorHAnsi" w:eastAsia="Times New Roman" w:hAnsiTheme="majorHAnsi" w:cs="Courier New"/>
          <w:sz w:val="20"/>
          <w:szCs w:val="20"/>
          <w:bdr w:val="none" w:sz="0" w:space="0" w:color="auto"/>
          <w:lang w:val="es-ES"/>
        </w:rPr>
        <w:t>A</w:t>
      </w:r>
      <w:r w:rsidRPr="00836C24">
        <w:rPr>
          <w:rFonts w:asciiTheme="majorHAnsi" w:eastAsia="Times New Roman" w:hAnsiTheme="majorHAnsi" w:cs="Courier New"/>
          <w:sz w:val="20"/>
          <w:szCs w:val="20"/>
          <w:bdr w:val="none" w:sz="0" w:space="0" w:color="auto"/>
          <w:lang w:val="es-ES"/>
        </w:rPr>
        <w:t>gregó que la solicitud de conmuta de la pena es un recurso admisible contra la sentencia que impone la pena de muerte y que el conocimiento de dicha solicitud corresponde al Presidente de la República, cuya única obligación es resolver y notificar lo resuelto, sin que exista un procedimiento obligado al que deba sujetarse</w:t>
      </w:r>
      <w:r w:rsidRPr="00836C24">
        <w:rPr>
          <w:rStyle w:val="FootnoteReference"/>
          <w:rFonts w:asciiTheme="majorHAnsi" w:eastAsia="Times New Roman" w:hAnsiTheme="majorHAnsi" w:cs="Courier New"/>
          <w:sz w:val="20"/>
          <w:szCs w:val="20"/>
          <w:bdr w:val="none" w:sz="0" w:space="0" w:color="auto"/>
          <w:lang w:val="es-ES"/>
        </w:rPr>
        <w:footnoteReference w:id="27"/>
      </w:r>
      <w:r w:rsidRPr="00836C24">
        <w:rPr>
          <w:rFonts w:asciiTheme="majorHAnsi" w:eastAsia="Times New Roman" w:hAnsiTheme="majorHAnsi" w:cs="Courier New"/>
          <w:sz w:val="20"/>
          <w:szCs w:val="20"/>
          <w:bdr w:val="none" w:sz="0" w:space="0" w:color="auto"/>
          <w:lang w:val="es-ES"/>
        </w:rPr>
        <w:t xml:space="preserve">. </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mphasis"/>
          <w:rFonts w:ascii="Cambria" w:hAnsi="Cambria" w:cs="Calibri"/>
          <w:i w:val="0"/>
          <w:iCs w:val="0"/>
          <w:sz w:val="20"/>
          <w:szCs w:val="20"/>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836C24">
        <w:rPr>
          <w:rFonts w:ascii="Cambria" w:hAnsi="Cambria" w:cs="Calibri"/>
          <w:sz w:val="20"/>
          <w:szCs w:val="20"/>
          <w:lang w:val="es-VE"/>
        </w:rPr>
        <w:t>Con posterioridad, el 1 de junio de 2000 el Congreso de la República derogó</w:t>
      </w:r>
      <w:r w:rsidR="001C0D33" w:rsidRPr="00836C24">
        <w:rPr>
          <w:rFonts w:ascii="Cambria" w:hAnsi="Cambria" w:cs="Calibri"/>
          <w:sz w:val="20"/>
          <w:szCs w:val="20"/>
          <w:lang w:val="es-VE"/>
        </w:rPr>
        <w:t xml:space="preserve"> formalmente</w:t>
      </w:r>
      <w:r w:rsidRPr="00836C24">
        <w:rPr>
          <w:rFonts w:ascii="Cambria" w:hAnsi="Cambria" w:cs="Calibri"/>
          <w:sz w:val="20"/>
          <w:szCs w:val="20"/>
          <w:lang w:val="es-VE"/>
        </w:rPr>
        <w:t xml:space="preserve"> el Decreto 159 de 1892 por considerar que no existe norma que “sirva de fundamento para que el Organismo Ejecutivo pueda conmutar la pena de muerte como establece el Decreto Número 159 de la Asamblea Nacional Legislativa de la República, al haberse derogado las constituciones anteriores (…)”</w:t>
      </w:r>
      <w:r w:rsidRPr="00836C24">
        <w:rPr>
          <w:rStyle w:val="FootnoteReference"/>
          <w:rFonts w:asciiTheme="majorHAnsi" w:hAnsiTheme="majorHAnsi" w:cs="Calibri"/>
          <w:sz w:val="20"/>
          <w:szCs w:val="20"/>
          <w:lang w:val="es-VE"/>
        </w:rPr>
        <w:footnoteReference w:id="28"/>
      </w:r>
      <w:r w:rsidRPr="00836C24">
        <w:rPr>
          <w:rFonts w:ascii="Cambria" w:hAnsi="Cambria" w:cs="Calibri"/>
          <w:sz w:val="20"/>
          <w:szCs w:val="20"/>
          <w:lang w:val="es-VE"/>
        </w:rPr>
        <w:t xml:space="preserve">. </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VE"/>
        </w:rPr>
      </w:pPr>
      <w:r w:rsidRPr="00836C24">
        <w:rPr>
          <w:rFonts w:asciiTheme="majorHAnsi" w:eastAsia="Times New Roman" w:hAnsiTheme="majorHAnsi" w:cs="Courier New"/>
          <w:sz w:val="20"/>
          <w:szCs w:val="20"/>
          <w:bdr w:val="none" w:sz="0" w:space="0" w:color="auto"/>
          <w:lang w:val="es-VE"/>
        </w:rPr>
        <w:t>A partir de dicha fecha, es decir, hace más de 1</w:t>
      </w:r>
      <w:r w:rsidR="00C208A5" w:rsidRPr="00836C24">
        <w:rPr>
          <w:rFonts w:asciiTheme="majorHAnsi" w:eastAsia="Times New Roman" w:hAnsiTheme="majorHAnsi" w:cs="Courier New"/>
          <w:sz w:val="20"/>
          <w:szCs w:val="20"/>
          <w:bdr w:val="none" w:sz="0" w:space="0" w:color="auto"/>
          <w:lang w:val="es-VE"/>
        </w:rPr>
        <w:t>7</w:t>
      </w:r>
      <w:r w:rsidRPr="00836C24">
        <w:rPr>
          <w:rFonts w:asciiTheme="majorHAnsi" w:eastAsia="Times New Roman" w:hAnsiTheme="majorHAnsi" w:cs="Courier New"/>
          <w:sz w:val="20"/>
          <w:szCs w:val="20"/>
          <w:bdr w:val="none" w:sz="0" w:space="0" w:color="auto"/>
          <w:lang w:val="es-VE"/>
        </w:rPr>
        <w:t xml:space="preserve"> años, </w:t>
      </w:r>
      <w:r w:rsidR="001C0D33" w:rsidRPr="00836C24">
        <w:rPr>
          <w:rFonts w:asciiTheme="majorHAnsi" w:eastAsia="Times New Roman" w:hAnsiTheme="majorHAnsi" w:cs="Courier New"/>
          <w:sz w:val="20"/>
          <w:szCs w:val="20"/>
          <w:bdr w:val="none" w:sz="0" w:space="0" w:color="auto"/>
          <w:lang w:val="es-VE"/>
        </w:rPr>
        <w:t xml:space="preserve">en </w:t>
      </w:r>
      <w:r w:rsidRPr="00836C24">
        <w:rPr>
          <w:rFonts w:asciiTheme="majorHAnsi" w:eastAsia="Times New Roman" w:hAnsiTheme="majorHAnsi" w:cs="Courier New"/>
          <w:sz w:val="20"/>
          <w:szCs w:val="20"/>
          <w:bdr w:val="none" w:sz="0" w:space="0" w:color="auto"/>
          <w:lang w:val="es-VE"/>
        </w:rPr>
        <w:t>Guatemala no</w:t>
      </w:r>
      <w:r w:rsidR="001C0D33" w:rsidRPr="00836C24">
        <w:rPr>
          <w:rFonts w:asciiTheme="majorHAnsi" w:eastAsia="Times New Roman" w:hAnsiTheme="majorHAnsi" w:cs="Courier New"/>
          <w:sz w:val="20"/>
          <w:szCs w:val="20"/>
          <w:bdr w:val="none" w:sz="0" w:space="0" w:color="auto"/>
          <w:lang w:val="es-VE"/>
        </w:rPr>
        <w:t xml:space="preserve"> se</w:t>
      </w:r>
      <w:r w:rsidRPr="00836C24">
        <w:rPr>
          <w:rFonts w:asciiTheme="majorHAnsi" w:eastAsia="Times New Roman" w:hAnsiTheme="majorHAnsi" w:cs="Courier New"/>
          <w:sz w:val="20"/>
          <w:szCs w:val="20"/>
          <w:bdr w:val="none" w:sz="0" w:space="0" w:color="auto"/>
          <w:lang w:val="es-VE"/>
        </w:rPr>
        <w:t xml:space="preserve"> ha impuesto ni aplicado la pena de muerte. </w:t>
      </w:r>
    </w:p>
    <w:p w:rsidR="000156A6" w:rsidRPr="00836C24" w:rsidRDefault="000156A6" w:rsidP="00D43BEE">
      <w:pPr>
        <w:pStyle w:val="Heading3"/>
        <w:numPr>
          <w:ilvl w:val="1"/>
          <w:numId w:val="67"/>
        </w:numPr>
        <w:tabs>
          <w:tab w:val="left" w:pos="90"/>
        </w:tabs>
        <w:ind w:firstLine="360"/>
        <w:jc w:val="both"/>
        <w:rPr>
          <w:color w:val="auto"/>
          <w:sz w:val="20"/>
          <w:szCs w:val="20"/>
          <w:lang w:val="es-VE"/>
        </w:rPr>
      </w:pPr>
      <w:bookmarkStart w:id="47" w:name="_Toc491441630"/>
      <w:r w:rsidRPr="00836C24">
        <w:rPr>
          <w:color w:val="auto"/>
          <w:sz w:val="20"/>
          <w:szCs w:val="20"/>
          <w:lang w:val="es-VE"/>
        </w:rPr>
        <w:t xml:space="preserve">Los casos Fermín Ramírez y Raxcacó Reyes vs. Guatemala </w:t>
      </w:r>
      <w:r w:rsidR="0074098F" w:rsidRPr="00836C24">
        <w:rPr>
          <w:color w:val="auto"/>
          <w:sz w:val="20"/>
          <w:szCs w:val="20"/>
          <w:lang w:val="es-VE"/>
        </w:rPr>
        <w:t xml:space="preserve">conocidos por </w:t>
      </w:r>
      <w:r w:rsidRPr="00836C24">
        <w:rPr>
          <w:color w:val="auto"/>
          <w:sz w:val="20"/>
          <w:szCs w:val="20"/>
          <w:lang w:val="es-VE"/>
        </w:rPr>
        <w:t>la Corte Interamericana</w:t>
      </w:r>
      <w:bookmarkEnd w:id="47"/>
      <w:r w:rsidRPr="00836C24">
        <w:rPr>
          <w:color w:val="auto"/>
          <w:sz w:val="20"/>
          <w:szCs w:val="20"/>
          <w:lang w:val="es-VE"/>
        </w:rPr>
        <w:t xml:space="preserve"> </w:t>
      </w:r>
    </w:p>
    <w:p w:rsidR="000156A6" w:rsidRPr="00836C24" w:rsidRDefault="000156A6" w:rsidP="000156A6">
      <w:pPr>
        <w:rPr>
          <w:rFonts w:asciiTheme="majorHAnsi" w:hAnsiTheme="majorHAnsi"/>
          <w:i/>
          <w:sz w:val="20"/>
          <w:szCs w:val="20"/>
          <w:lang w:val="es-VE"/>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En 2005 la Corte Interamericana se pronunció sobre la pena de muerte en Guatemala y</w:t>
      </w:r>
      <w:r w:rsidR="00247733" w:rsidRPr="00836C24">
        <w:rPr>
          <w:rFonts w:asciiTheme="majorHAnsi" w:eastAsia="Times New Roman" w:hAnsiTheme="majorHAnsi" w:cs="Courier New"/>
          <w:sz w:val="20"/>
          <w:szCs w:val="20"/>
          <w:bdr w:val="none" w:sz="0" w:space="0" w:color="auto"/>
          <w:lang w:val="es-ES"/>
        </w:rPr>
        <w:t xml:space="preserve">, particularmente, </w:t>
      </w:r>
      <w:r w:rsidRPr="00836C24">
        <w:rPr>
          <w:rFonts w:asciiTheme="majorHAnsi" w:eastAsia="Times New Roman" w:hAnsiTheme="majorHAnsi" w:cs="Courier New"/>
          <w:sz w:val="20"/>
          <w:szCs w:val="20"/>
          <w:bdr w:val="none" w:sz="0" w:space="0" w:color="auto"/>
          <w:lang w:val="es-ES"/>
        </w:rPr>
        <w:t xml:space="preserve">sobre la invocación de la peligrosidad para imponer la pena de muerte en el delito de asesinato, así como la falta de regulación del recurso de </w:t>
      </w:r>
      <w:r w:rsidR="00247733" w:rsidRPr="00836C24">
        <w:rPr>
          <w:rFonts w:asciiTheme="majorHAnsi" w:eastAsia="Times New Roman" w:hAnsiTheme="majorHAnsi" w:cs="Courier New"/>
          <w:sz w:val="20"/>
          <w:szCs w:val="20"/>
          <w:bdr w:val="none" w:sz="0" w:space="0" w:color="auto"/>
          <w:lang w:val="es-ES"/>
        </w:rPr>
        <w:t>gracia</w:t>
      </w:r>
      <w:r w:rsidRPr="00836C24">
        <w:rPr>
          <w:rFonts w:asciiTheme="majorHAnsi" w:eastAsia="Times New Roman" w:hAnsiTheme="majorHAnsi" w:cs="Courier New"/>
          <w:sz w:val="20"/>
          <w:szCs w:val="20"/>
          <w:bdr w:val="none" w:sz="0" w:space="0" w:color="auto"/>
          <w:lang w:val="es-ES"/>
        </w:rPr>
        <w:t xml:space="preserve">. </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delito de asesinato, tipificado en el artículo 132 del Código Penal, establecía en la parte conducente que “al reo de asesinato se le impondrá prisión de veinte a treinta años, sin embargo se impondrá la pena de muerte en lugar del máximo de prisión, si por las circunstancias del hecho y de la ocasión, la manera de realizarlo y los móviles determinantes, se revelare una mayor y particular peligrosidad del agente”</w:t>
      </w:r>
      <w:r w:rsidRPr="00836C24">
        <w:rPr>
          <w:rStyle w:val="FootnoteReference"/>
          <w:rFonts w:asciiTheme="majorHAnsi" w:eastAsia="Times New Roman" w:hAnsiTheme="majorHAnsi" w:cs="Courier New"/>
          <w:sz w:val="20"/>
          <w:szCs w:val="20"/>
          <w:bdr w:val="none" w:sz="0" w:space="0" w:color="auto"/>
          <w:lang w:val="es-ES"/>
        </w:rPr>
        <w:footnoteReference w:id="29"/>
      </w:r>
      <w:r w:rsidRPr="00836C24">
        <w:rPr>
          <w:rFonts w:asciiTheme="majorHAnsi" w:eastAsia="Times New Roman" w:hAnsiTheme="majorHAnsi" w:cs="Courier New"/>
          <w:sz w:val="20"/>
          <w:szCs w:val="20"/>
          <w:bdr w:val="none" w:sz="0" w:space="0" w:color="auto"/>
          <w:lang w:val="es-ES"/>
        </w:rPr>
        <w:t>.</w:t>
      </w:r>
      <w:r w:rsidRPr="00836C24">
        <w:rPr>
          <w:rFonts w:asciiTheme="majorHAnsi" w:eastAsia="Times New Roman" w:hAnsiTheme="majorHAnsi" w:cs="Courier New"/>
          <w:i/>
          <w:sz w:val="20"/>
          <w:szCs w:val="20"/>
          <w:bdr w:val="none" w:sz="0" w:space="0" w:color="auto"/>
          <w:lang w:val="es-ES"/>
        </w:rPr>
        <w:t xml:space="preserve"> </w:t>
      </w:r>
      <w:r w:rsidRPr="00836C24">
        <w:rPr>
          <w:rFonts w:asciiTheme="majorHAnsi" w:eastAsia="Times New Roman" w:hAnsiTheme="majorHAnsi" w:cs="Courier New"/>
          <w:sz w:val="20"/>
          <w:szCs w:val="20"/>
          <w:bdr w:val="none" w:sz="0" w:space="0" w:color="auto"/>
          <w:lang w:val="es-ES"/>
        </w:rPr>
        <w:t>Por medio del Decreto 20-96 se modificó la pena de prisión para dicho delito, quedando entre 25 a 50 años</w:t>
      </w:r>
      <w:r w:rsidRPr="00836C24">
        <w:rPr>
          <w:rStyle w:val="FootnoteReference"/>
          <w:rFonts w:asciiTheme="majorHAnsi" w:eastAsia="Times New Roman" w:hAnsiTheme="majorHAnsi" w:cs="Courier New"/>
          <w:sz w:val="20"/>
          <w:szCs w:val="20"/>
          <w:bdr w:val="none" w:sz="0" w:space="0" w:color="auto"/>
          <w:lang w:val="es-ES"/>
        </w:rPr>
        <w:footnoteReference w:id="30"/>
      </w:r>
      <w:r w:rsidRPr="00836C24">
        <w:rPr>
          <w:rFonts w:asciiTheme="majorHAnsi" w:eastAsia="Times New Roman" w:hAnsiTheme="majorHAnsi" w:cs="Courier New"/>
          <w:sz w:val="20"/>
          <w:szCs w:val="20"/>
          <w:bdr w:val="none" w:sz="0" w:space="0" w:color="auto"/>
          <w:lang w:val="es-ES"/>
        </w:rPr>
        <w:t xml:space="preserve">. </w:t>
      </w:r>
    </w:p>
    <w:p w:rsidR="000156A6" w:rsidRPr="00836C24" w:rsidRDefault="000156A6" w:rsidP="000156A6">
      <w:pPr>
        <w:pStyle w:val="ListParagraph"/>
        <w:rPr>
          <w:rFonts w:asciiTheme="majorHAnsi" w:eastAsia="Times New Roman" w:hAnsiTheme="majorHAnsi" w:cs="Courier New"/>
          <w:i/>
          <w:color w:val="auto"/>
          <w:sz w:val="20"/>
          <w:szCs w:val="20"/>
          <w:bdr w:val="none" w:sz="0" w:space="0" w:color="auto"/>
          <w:lang w:val="es-ES"/>
        </w:rPr>
      </w:pPr>
    </w:p>
    <w:p w:rsidR="000900D2" w:rsidRPr="00836C24" w:rsidRDefault="000156A6" w:rsidP="000900D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eastAsia="Times New Roman" w:hAnsiTheme="majorHAnsi" w:cs="Courier New"/>
          <w:sz w:val="20"/>
          <w:szCs w:val="20"/>
          <w:bdr w:val="none" w:sz="0" w:space="0" w:color="auto"/>
          <w:lang w:val="es-ES"/>
        </w:rPr>
        <w:t xml:space="preserve">En el caso Fermín Ramírez contra Guatemala, la Corte Interamericana analizó, entre otras cuestiones, el párrafo mencionado del delito de asesinato, e indicó que la invocación de la peligrosidad del </w:t>
      </w:r>
      <w:r w:rsidRPr="00836C24">
        <w:rPr>
          <w:rFonts w:asciiTheme="majorHAnsi" w:eastAsia="Times New Roman" w:hAnsiTheme="majorHAnsi" w:cs="Courier New"/>
          <w:sz w:val="20"/>
          <w:szCs w:val="20"/>
          <w:bdr w:val="none" w:sz="0" w:space="0" w:color="auto"/>
          <w:lang w:val="es-ES"/>
        </w:rPr>
        <w:lastRenderedPageBreak/>
        <w:t>agente “implica la apreciación del juzgador acerca de las probabilidades de que el imputado cometa hechos delictuosos en el futuro, es decir</w:t>
      </w:r>
      <w:r w:rsidRPr="00836C24">
        <w:rPr>
          <w:rFonts w:asciiTheme="majorHAnsi" w:hAnsiTheme="majorHAnsi"/>
          <w:sz w:val="20"/>
          <w:szCs w:val="20"/>
          <w:lang w:val="es-VE"/>
        </w:rPr>
        <w:t>, agrega a la imputación por los hechos realizados, la previsión de hechos futuros que probablemente ocurrirán”. Consideró que dicha figura es incompatible con el principio de legalidad criminal y por lo tanto declaró que el Estado violó el artículo 9 de la Convención, en relación con el artículo 2 de la misma</w:t>
      </w:r>
      <w:r w:rsidRPr="00836C24">
        <w:rPr>
          <w:rStyle w:val="FootnoteReference"/>
          <w:rFonts w:asciiTheme="majorHAnsi" w:hAnsiTheme="majorHAnsi"/>
          <w:sz w:val="20"/>
          <w:szCs w:val="20"/>
          <w:lang w:val="es-VE"/>
        </w:rPr>
        <w:footnoteReference w:id="31"/>
      </w:r>
      <w:r w:rsidRPr="00836C24">
        <w:rPr>
          <w:rFonts w:asciiTheme="majorHAnsi" w:hAnsiTheme="majorHAnsi"/>
          <w:sz w:val="20"/>
          <w:szCs w:val="20"/>
          <w:lang w:val="es-VE"/>
        </w:rPr>
        <w:t>.</w:t>
      </w:r>
      <w:r w:rsidR="00055AAA" w:rsidRPr="00836C24">
        <w:rPr>
          <w:rFonts w:asciiTheme="majorHAnsi" w:hAnsiTheme="majorHAnsi"/>
          <w:sz w:val="20"/>
          <w:szCs w:val="20"/>
          <w:lang w:val="es-VE"/>
        </w:rPr>
        <w:t xml:space="preserve"> </w:t>
      </w:r>
      <w:r w:rsidRPr="00836C24">
        <w:rPr>
          <w:rFonts w:asciiTheme="majorHAnsi" w:hAnsiTheme="majorHAnsi"/>
          <w:sz w:val="20"/>
          <w:szCs w:val="20"/>
          <w:lang w:val="es-VE"/>
        </w:rPr>
        <w:t>En virtud de ello, ordenó al Estado guatemalteco la modificación de dicho artículo para suprimir la circunstancia agravante de peligrosidad del agente de un delito de asesinato</w:t>
      </w:r>
      <w:r w:rsidRPr="00836C24">
        <w:rPr>
          <w:rStyle w:val="FootnoteReference"/>
          <w:rFonts w:asciiTheme="majorHAnsi" w:hAnsiTheme="majorHAnsi"/>
          <w:sz w:val="20"/>
          <w:szCs w:val="20"/>
          <w:lang w:val="es-VE"/>
        </w:rPr>
        <w:footnoteReference w:id="32"/>
      </w:r>
      <w:r w:rsidRPr="00836C24">
        <w:rPr>
          <w:rFonts w:asciiTheme="majorHAnsi" w:hAnsiTheme="majorHAnsi"/>
          <w:sz w:val="20"/>
          <w:szCs w:val="20"/>
          <w:lang w:val="es-VE"/>
        </w:rPr>
        <w:t xml:space="preserve">. </w:t>
      </w:r>
    </w:p>
    <w:p w:rsidR="000900D2" w:rsidRPr="00836C24" w:rsidRDefault="000900D2" w:rsidP="000900D2">
      <w:pPr>
        <w:pStyle w:val="ListParagraph"/>
        <w:rPr>
          <w:rFonts w:asciiTheme="majorHAnsi" w:hAnsiTheme="majorHAnsi"/>
          <w:sz w:val="20"/>
          <w:szCs w:val="20"/>
          <w:lang w:val="es-VE"/>
        </w:rPr>
      </w:pPr>
    </w:p>
    <w:p w:rsidR="000156A6" w:rsidRPr="00836C24" w:rsidRDefault="000900D2" w:rsidP="000900D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En el mismo caso la Corte Interamericana se refirió al artículo 4.6 de la Convención Americana que regula el derecho de toda persona condena</w:t>
      </w:r>
      <w:r w:rsidR="006353EF" w:rsidRPr="00836C24">
        <w:rPr>
          <w:rFonts w:asciiTheme="majorHAnsi" w:hAnsiTheme="majorHAnsi"/>
          <w:sz w:val="20"/>
          <w:szCs w:val="20"/>
          <w:lang w:val="es-VE"/>
        </w:rPr>
        <w:t>da</w:t>
      </w:r>
      <w:r w:rsidRPr="00836C24">
        <w:rPr>
          <w:rFonts w:asciiTheme="majorHAnsi" w:hAnsiTheme="majorHAnsi"/>
          <w:sz w:val="20"/>
          <w:szCs w:val="20"/>
          <w:lang w:val="es-VE"/>
        </w:rPr>
        <w:t xml:space="preserve"> a muerte “a solicitar la amnistía, el indulto o la conmutación de la pena, los cuales podrán ser concedidos en todos los casos”, indicando que con la derogatoria del Decreto 159 de 1892 que, como se indicó, regulaba el recurso de gracia por parte del Presidente de la República</w:t>
      </w:r>
      <w:r w:rsidR="006353EF" w:rsidRPr="00836C24">
        <w:rPr>
          <w:rFonts w:asciiTheme="majorHAnsi" w:hAnsiTheme="majorHAnsi"/>
          <w:sz w:val="20"/>
          <w:szCs w:val="20"/>
          <w:lang w:val="es-VE"/>
        </w:rPr>
        <w:t>,</w:t>
      </w:r>
      <w:r w:rsidRPr="00836C24">
        <w:rPr>
          <w:rFonts w:asciiTheme="majorHAnsi" w:hAnsiTheme="majorHAnsi"/>
          <w:sz w:val="20"/>
          <w:szCs w:val="20"/>
          <w:lang w:val="es-VE"/>
        </w:rPr>
        <w:t xml:space="preserve"> “se prescindió expresamente de un organismo con la facultad de conocer y resolver el derecho de gracia estipulado en el artículo 4.6 de la Convención. La Corte constata, a su vez, que del Acuerdo Gubernativo Número 235-2000, dictado con posterioridad, se desprende que ningún organismo del Estado tiene la atribución de conocer y resolver el derecho de gracia”</w:t>
      </w:r>
      <w:r w:rsidRPr="00836C24">
        <w:rPr>
          <w:rStyle w:val="FootnoteReference"/>
          <w:rFonts w:asciiTheme="majorHAnsi" w:hAnsiTheme="majorHAnsi"/>
          <w:sz w:val="20"/>
          <w:szCs w:val="20"/>
          <w:lang w:val="es-VE"/>
        </w:rPr>
        <w:footnoteReference w:id="33"/>
      </w:r>
      <w:r w:rsidRPr="00836C24">
        <w:rPr>
          <w:rFonts w:asciiTheme="majorHAnsi" w:hAnsiTheme="majorHAnsi"/>
          <w:sz w:val="20"/>
          <w:szCs w:val="20"/>
          <w:lang w:val="es-VE"/>
        </w:rPr>
        <w:t>. Consideró que, al no estar establecida en el derecho interno atribución alguna para que un organismo del Estado tenga la facultad de conocer y resolver el recurso de gracia, el Estado violó el artículo 4.6 de la Convención en relación con los artículos 1.1 y 2 de la misma</w:t>
      </w:r>
      <w:r w:rsidRPr="00836C24">
        <w:rPr>
          <w:rStyle w:val="FootnoteReference"/>
          <w:rFonts w:asciiTheme="majorHAnsi" w:hAnsiTheme="majorHAnsi"/>
          <w:sz w:val="20"/>
          <w:szCs w:val="20"/>
          <w:lang w:val="es-VE"/>
        </w:rPr>
        <w:footnoteReference w:id="34"/>
      </w:r>
      <w:r w:rsidRPr="00836C24">
        <w:rPr>
          <w:rFonts w:asciiTheme="majorHAnsi" w:hAnsiTheme="majorHAnsi"/>
          <w:sz w:val="20"/>
          <w:szCs w:val="20"/>
          <w:lang w:val="es-VE"/>
        </w:rPr>
        <w:t>.</w:t>
      </w:r>
    </w:p>
    <w:p w:rsidR="000900D2" w:rsidRPr="00836C24" w:rsidRDefault="000900D2" w:rsidP="000900D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0156A6" w:rsidRPr="00836C24" w:rsidRDefault="00772F6C"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La Corte orden</w:t>
      </w:r>
      <w:r w:rsidR="009F476B" w:rsidRPr="00836C24">
        <w:rPr>
          <w:rFonts w:asciiTheme="majorHAnsi" w:hAnsiTheme="majorHAnsi"/>
          <w:sz w:val="20"/>
          <w:szCs w:val="20"/>
          <w:lang w:val="es-VE"/>
        </w:rPr>
        <w:t xml:space="preserve">ó </w:t>
      </w:r>
      <w:r w:rsidR="000156A6" w:rsidRPr="00836C24">
        <w:rPr>
          <w:rFonts w:asciiTheme="majorHAnsi" w:hAnsiTheme="majorHAnsi"/>
          <w:sz w:val="20"/>
          <w:szCs w:val="20"/>
          <w:lang w:val="es-VE"/>
        </w:rPr>
        <w:t>que “ante la inexistencia de un procedimiento legal que garantice el derecho a solicitar indulto, la conmutación de la pena o la amnistía, decrete la conmutación de la pena impuesta a todas las personas condenadas a muerte que se encuentran sin poder hacer uso del derecho al indulto” y ordenó al Estado “adoptar, en un plazo razonable, 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r w:rsidR="000156A6" w:rsidRPr="00836C24">
        <w:rPr>
          <w:rStyle w:val="FootnoteReference"/>
          <w:rFonts w:asciiTheme="majorHAnsi" w:hAnsiTheme="majorHAnsi"/>
          <w:sz w:val="20"/>
          <w:szCs w:val="20"/>
          <w:lang w:val="es-VE"/>
        </w:rPr>
        <w:footnoteReference w:id="35"/>
      </w:r>
      <w:r w:rsidR="000156A6" w:rsidRPr="00836C24">
        <w:rPr>
          <w:rFonts w:asciiTheme="majorHAnsi" w:hAnsiTheme="majorHAnsi"/>
          <w:sz w:val="20"/>
          <w:szCs w:val="20"/>
          <w:lang w:val="es-VE"/>
        </w:rPr>
        <w:t>.</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0156A6" w:rsidRPr="00836C24" w:rsidRDefault="00292977"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w:t>
      </w:r>
      <w:r w:rsidR="000156A6" w:rsidRPr="00836C24">
        <w:rPr>
          <w:rFonts w:asciiTheme="majorHAnsi" w:hAnsiTheme="majorHAnsi"/>
          <w:sz w:val="20"/>
          <w:szCs w:val="20"/>
          <w:lang w:val="es-VE"/>
        </w:rPr>
        <w:t>n el caso Raxcacó Reyes, la Corte reiteró que la deroga</w:t>
      </w:r>
      <w:r w:rsidR="00C834DD" w:rsidRPr="00836C24">
        <w:rPr>
          <w:rFonts w:asciiTheme="majorHAnsi" w:hAnsiTheme="majorHAnsi"/>
          <w:sz w:val="20"/>
          <w:szCs w:val="20"/>
          <w:lang w:val="es-VE"/>
        </w:rPr>
        <w:t xml:space="preserve">toria </w:t>
      </w:r>
      <w:r w:rsidR="000156A6" w:rsidRPr="00836C24">
        <w:rPr>
          <w:rFonts w:asciiTheme="majorHAnsi" w:hAnsiTheme="majorHAnsi"/>
          <w:sz w:val="20"/>
          <w:szCs w:val="20"/>
          <w:lang w:val="es-VE"/>
        </w:rPr>
        <w:t xml:space="preserve">del Decreto 159 de 1892, por medio del Decreto No. 32/2000, </w:t>
      </w:r>
      <w:r w:rsidR="00C834DD" w:rsidRPr="00836C24">
        <w:rPr>
          <w:rFonts w:asciiTheme="majorHAnsi" w:hAnsiTheme="majorHAnsi"/>
          <w:sz w:val="20"/>
          <w:szCs w:val="20"/>
          <w:lang w:val="es-VE"/>
        </w:rPr>
        <w:t xml:space="preserve">implicó la supresión de </w:t>
      </w:r>
      <w:r w:rsidR="000156A6" w:rsidRPr="00836C24">
        <w:rPr>
          <w:rFonts w:asciiTheme="majorHAnsi" w:hAnsiTheme="majorHAnsi"/>
          <w:sz w:val="20"/>
          <w:szCs w:val="20"/>
          <w:lang w:val="es-VE"/>
        </w:rPr>
        <w:t>la facultad atribuida a un organismo del Estado, de conocer y resolver el derecho de gracia estipulado en el artículo 4.6 de la Convención”</w:t>
      </w:r>
      <w:r w:rsidR="000156A6" w:rsidRPr="00836C24">
        <w:rPr>
          <w:rStyle w:val="FootnoteReference"/>
          <w:rFonts w:asciiTheme="majorHAnsi" w:hAnsiTheme="majorHAnsi"/>
          <w:sz w:val="20"/>
          <w:szCs w:val="20"/>
          <w:lang w:val="es-VE"/>
        </w:rPr>
        <w:footnoteReference w:id="36"/>
      </w:r>
      <w:r w:rsidR="000156A6" w:rsidRPr="00836C24">
        <w:rPr>
          <w:rFonts w:asciiTheme="majorHAnsi" w:hAnsiTheme="majorHAnsi"/>
          <w:sz w:val="20"/>
          <w:szCs w:val="20"/>
          <w:lang w:val="es-VE"/>
        </w:rPr>
        <w:t>.</w:t>
      </w:r>
    </w:p>
    <w:p w:rsidR="000156A6" w:rsidRPr="00836C24" w:rsidRDefault="000156A6" w:rsidP="000156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mphasis"/>
          <w:rFonts w:ascii="Cambria" w:hAnsi="Cambria" w:cs="Calibri"/>
          <w:i w:val="0"/>
          <w:iCs w:val="0"/>
          <w:sz w:val="20"/>
          <w:szCs w:val="20"/>
          <w:lang w:val="es-VE"/>
        </w:rPr>
      </w:pPr>
    </w:p>
    <w:p w:rsidR="000156A6" w:rsidRPr="00836C24" w:rsidRDefault="000156A6" w:rsidP="00842AF1">
      <w:pPr>
        <w:pStyle w:val="Heading3"/>
        <w:numPr>
          <w:ilvl w:val="1"/>
          <w:numId w:val="67"/>
        </w:numPr>
        <w:tabs>
          <w:tab w:val="left" w:pos="90"/>
        </w:tabs>
        <w:ind w:firstLine="360"/>
        <w:rPr>
          <w:color w:val="auto"/>
          <w:sz w:val="20"/>
          <w:szCs w:val="20"/>
          <w:lang w:val="es-VE"/>
        </w:rPr>
      </w:pPr>
      <w:bookmarkStart w:id="48" w:name="_Toc491441631"/>
      <w:r w:rsidRPr="00836C24">
        <w:rPr>
          <w:color w:val="auto"/>
          <w:sz w:val="20"/>
          <w:szCs w:val="20"/>
          <w:lang w:val="es-VE"/>
        </w:rPr>
        <w:t>La pena de muerte en Guatemala en la actualidad</w:t>
      </w:r>
      <w:bookmarkEnd w:id="48"/>
    </w:p>
    <w:p w:rsidR="000156A6" w:rsidRPr="00836C24" w:rsidRDefault="000156A6" w:rsidP="000156A6">
      <w:pPr>
        <w:pStyle w:val="ListParagraph"/>
        <w:rPr>
          <w:rFonts w:cs="Calibri"/>
          <w:sz w:val="20"/>
          <w:szCs w:val="20"/>
          <w:lang w:val="es-VE"/>
        </w:rPr>
      </w:pPr>
    </w:p>
    <w:p w:rsidR="000156A6" w:rsidRPr="00836C24" w:rsidRDefault="000156A6" w:rsidP="00D0367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t>A partir de dichas decisiones, el Estado guatemalteco no ha impuesto ni aplicado la pena de muerte, ni regulado el recurso de gracia, por lo que la Cámara Penal de la Corte Suprema de Justicia ha venido conmutando la pena de muerte por la máxima de prisión a quienes lo han solicitado</w:t>
      </w:r>
      <w:r w:rsidRPr="00836C24">
        <w:rPr>
          <w:rStyle w:val="FootnoteReference"/>
          <w:rFonts w:asciiTheme="majorHAnsi" w:hAnsiTheme="majorHAnsi" w:cs="Calibri"/>
          <w:sz w:val="20"/>
          <w:szCs w:val="20"/>
          <w:lang w:val="es-VE"/>
        </w:rPr>
        <w:footnoteReference w:id="37"/>
      </w:r>
      <w:r w:rsidRPr="00836C24">
        <w:rPr>
          <w:rFonts w:ascii="Cambria" w:hAnsi="Cambria" w:cs="Calibri"/>
          <w:sz w:val="20"/>
          <w:szCs w:val="20"/>
          <w:lang w:val="es-VE"/>
        </w:rPr>
        <w:t xml:space="preserve">. </w:t>
      </w:r>
    </w:p>
    <w:p w:rsidR="000156A6" w:rsidRPr="00836C24" w:rsidRDefault="000156A6" w:rsidP="000156A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cs="Calibri"/>
          <w:sz w:val="20"/>
          <w:szCs w:val="20"/>
          <w:lang w:val="es-VE"/>
        </w:rPr>
      </w:pPr>
      <w:r w:rsidRPr="00836C24">
        <w:rPr>
          <w:rFonts w:ascii="Cambria" w:hAnsi="Cambria" w:cs="Calibri"/>
          <w:sz w:val="20"/>
          <w:szCs w:val="20"/>
          <w:lang w:val="es-VE"/>
        </w:rPr>
        <w:lastRenderedPageBreak/>
        <w:t>La pena de muerte continúa</w:t>
      </w:r>
      <w:r w:rsidR="00C9767B" w:rsidRPr="00836C24">
        <w:rPr>
          <w:rFonts w:ascii="Cambria" w:hAnsi="Cambria" w:cs="Calibri"/>
          <w:sz w:val="20"/>
          <w:szCs w:val="20"/>
          <w:lang w:val="es-VE"/>
        </w:rPr>
        <w:t xml:space="preserve"> legalmente</w:t>
      </w:r>
      <w:r w:rsidRPr="00836C24">
        <w:rPr>
          <w:rFonts w:ascii="Cambria" w:hAnsi="Cambria" w:cs="Calibri"/>
          <w:sz w:val="20"/>
          <w:szCs w:val="20"/>
          <w:lang w:val="es-VE"/>
        </w:rPr>
        <w:t xml:space="preserve"> prevista para los siguientes delitos: </w:t>
      </w:r>
      <w:r w:rsidRPr="00836C24">
        <w:rPr>
          <w:rFonts w:ascii="Cambria" w:hAnsi="Cambria"/>
          <w:sz w:val="20"/>
          <w:szCs w:val="20"/>
          <w:lang w:val="es-AR"/>
        </w:rPr>
        <w:t xml:space="preserve">1. Plagio o secuestro; 2. </w:t>
      </w:r>
      <w:r w:rsidR="00601CA7" w:rsidRPr="00836C24">
        <w:rPr>
          <w:rFonts w:ascii="Cambria" w:hAnsi="Cambria"/>
          <w:sz w:val="20"/>
          <w:szCs w:val="20"/>
          <w:lang w:val="es-AR"/>
        </w:rPr>
        <w:t>Parricidio;</w:t>
      </w:r>
      <w:r w:rsidRPr="00836C24">
        <w:rPr>
          <w:rFonts w:ascii="Cambria" w:hAnsi="Cambria"/>
          <w:sz w:val="20"/>
          <w:szCs w:val="20"/>
          <w:lang w:val="es-AR"/>
        </w:rPr>
        <w:t xml:space="preserve"> 3. Ejecución Extrajudicial; 4.</w:t>
      </w:r>
      <w:r w:rsidR="00C9767B" w:rsidRPr="00836C24">
        <w:rPr>
          <w:rFonts w:ascii="Cambria" w:hAnsi="Cambria"/>
          <w:sz w:val="20"/>
          <w:szCs w:val="20"/>
          <w:lang w:val="es-AR"/>
        </w:rPr>
        <w:t xml:space="preserve"> </w:t>
      </w:r>
      <w:r w:rsidRPr="00836C24">
        <w:rPr>
          <w:rFonts w:ascii="Cambria" w:hAnsi="Cambria"/>
          <w:sz w:val="20"/>
          <w:szCs w:val="20"/>
          <w:lang w:val="es-AR"/>
        </w:rPr>
        <w:t>Caso de muerte al Presidente o Vicepresidente de la República;</w:t>
      </w:r>
      <w:r w:rsidR="00C9767B" w:rsidRPr="00836C24">
        <w:rPr>
          <w:rFonts w:ascii="Cambria" w:hAnsi="Cambria"/>
          <w:sz w:val="20"/>
          <w:szCs w:val="20"/>
          <w:lang w:val="es-AR"/>
        </w:rPr>
        <w:t xml:space="preserve"> y</w:t>
      </w:r>
      <w:r w:rsidRPr="00836C24">
        <w:rPr>
          <w:rFonts w:ascii="Cambria" w:hAnsi="Cambria"/>
          <w:sz w:val="20"/>
          <w:szCs w:val="20"/>
          <w:lang w:val="es-AR"/>
        </w:rPr>
        <w:t xml:space="preserve"> 5. Delitos relacionados con narcotráfico en los que resulte la muerte de personas.</w:t>
      </w:r>
      <w:r w:rsidR="004255FD" w:rsidRPr="00836C24">
        <w:rPr>
          <w:rFonts w:ascii="Cambria" w:hAnsi="Cambria"/>
          <w:sz w:val="20"/>
          <w:szCs w:val="20"/>
          <w:lang w:val="es-AR"/>
        </w:rPr>
        <w:t xml:space="preserve"> En algunos de estos tipos penales se hace referencia a la peligrosidad del agente como elemento determinante para la imposición de la pena de muerte.</w:t>
      </w:r>
    </w:p>
    <w:p w:rsidR="002733DC" w:rsidRPr="00836C24" w:rsidRDefault="002733DC" w:rsidP="00AA7C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lang w:val="es-VE"/>
        </w:rPr>
      </w:pPr>
    </w:p>
    <w:p w:rsidR="000156A6" w:rsidRPr="00836C24" w:rsidRDefault="002733DC" w:rsidP="00EF0A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Cambria" w:hAnsi="Cambria"/>
          <w:sz w:val="20"/>
          <w:szCs w:val="20"/>
          <w:lang w:val="es-VE"/>
        </w:rPr>
      </w:pPr>
      <w:r w:rsidRPr="00836C24">
        <w:rPr>
          <w:rFonts w:ascii="Cambria" w:hAnsi="Cambria"/>
          <w:sz w:val="20"/>
          <w:szCs w:val="20"/>
          <w:lang w:val="es-VE"/>
        </w:rPr>
        <w:t>El 12 de febrero de 2008 el Congreso guatemalteco emitió una ley mediante la cual restituyó al Presidente la facultad de perdonar la vida o confirmar la pena capital a los reos condenados a través del recurso de indulto</w:t>
      </w:r>
      <w:r w:rsidRPr="00836C24">
        <w:rPr>
          <w:rStyle w:val="FootnoteReference"/>
          <w:rFonts w:ascii="Cambria" w:hAnsi="Cambria"/>
          <w:sz w:val="20"/>
          <w:szCs w:val="20"/>
          <w:lang w:val="es-VE"/>
        </w:rPr>
        <w:footnoteReference w:id="38"/>
      </w:r>
      <w:r w:rsidRPr="00836C24">
        <w:rPr>
          <w:rFonts w:ascii="Cambria" w:hAnsi="Cambria"/>
          <w:sz w:val="20"/>
          <w:szCs w:val="20"/>
          <w:lang w:val="es-VE"/>
        </w:rPr>
        <w:t xml:space="preserve">. Sin </w:t>
      </w:r>
      <w:r w:rsidRPr="00836C24">
        <w:rPr>
          <w:rFonts w:ascii="Cambria" w:hAnsi="Cambria" w:cs="Calibri"/>
          <w:sz w:val="20"/>
          <w:szCs w:val="20"/>
          <w:lang w:val="es-VE"/>
        </w:rPr>
        <w:t>embargo</w:t>
      </w:r>
      <w:r w:rsidR="00E331F8" w:rsidRPr="00836C24">
        <w:rPr>
          <w:rFonts w:ascii="Cambria" w:hAnsi="Cambria" w:cs="Calibri"/>
          <w:sz w:val="20"/>
          <w:szCs w:val="20"/>
          <w:lang w:val="es-VE"/>
        </w:rPr>
        <w:t>,</w:t>
      </w:r>
      <w:r w:rsidRPr="00836C24">
        <w:rPr>
          <w:rFonts w:ascii="Cambria" w:hAnsi="Cambria"/>
          <w:sz w:val="20"/>
          <w:szCs w:val="20"/>
          <w:lang w:val="es-VE"/>
        </w:rPr>
        <w:t xml:space="preserve"> en el mismo mes</w:t>
      </w:r>
      <w:r w:rsidR="00E331F8" w:rsidRPr="00836C24">
        <w:rPr>
          <w:rFonts w:ascii="Cambria" w:hAnsi="Cambria"/>
          <w:sz w:val="20"/>
          <w:szCs w:val="20"/>
          <w:lang w:val="es-VE"/>
        </w:rPr>
        <w:t>,</w:t>
      </w:r>
      <w:r w:rsidRPr="00836C24">
        <w:rPr>
          <w:rFonts w:ascii="Cambria" w:hAnsi="Cambria"/>
          <w:sz w:val="20"/>
          <w:szCs w:val="20"/>
          <w:lang w:val="es-VE"/>
        </w:rPr>
        <w:t xml:space="preserve"> el entonces Presidente Alvaro Colom</w:t>
      </w:r>
      <w:r w:rsidR="00E331F8" w:rsidRPr="00836C24">
        <w:rPr>
          <w:rFonts w:ascii="Cambria" w:hAnsi="Cambria"/>
          <w:sz w:val="20"/>
          <w:szCs w:val="20"/>
          <w:lang w:val="es-VE"/>
        </w:rPr>
        <w:t>,</w:t>
      </w:r>
      <w:r w:rsidRPr="00836C24">
        <w:rPr>
          <w:rFonts w:ascii="Cambria" w:hAnsi="Cambria"/>
          <w:sz w:val="20"/>
          <w:szCs w:val="20"/>
          <w:lang w:val="es-VE"/>
        </w:rPr>
        <w:t xml:space="preserve"> vetó la ley, argumentando que violaba los compromisos que tiene Guatemala como parte de la Convención Americana</w:t>
      </w:r>
      <w:r w:rsidRPr="00836C24">
        <w:rPr>
          <w:rStyle w:val="FootnoteReference"/>
          <w:rFonts w:ascii="Cambria" w:hAnsi="Cambria"/>
          <w:sz w:val="20"/>
          <w:szCs w:val="20"/>
          <w:lang w:val="es-VE"/>
        </w:rPr>
        <w:footnoteReference w:id="39"/>
      </w:r>
      <w:r w:rsidRPr="00836C24">
        <w:rPr>
          <w:rFonts w:ascii="Cambria" w:hAnsi="Cambria"/>
          <w:sz w:val="20"/>
          <w:szCs w:val="20"/>
          <w:lang w:val="es-VE"/>
        </w:rPr>
        <w:t>. En enero de 2012 el Presidente Alvaro Colom vetó nuevamente la restitución de la posibilidad del indulto presidencial para las personas condenadas a pena de muerte</w:t>
      </w:r>
      <w:r w:rsidRPr="00836C24">
        <w:rPr>
          <w:rStyle w:val="FootnoteReference"/>
          <w:rFonts w:ascii="Cambria" w:hAnsi="Cambria"/>
          <w:sz w:val="20"/>
          <w:szCs w:val="20"/>
          <w:lang w:val="es-VE"/>
        </w:rPr>
        <w:footnoteReference w:id="40"/>
      </w:r>
      <w:r w:rsidRPr="00836C24">
        <w:rPr>
          <w:rFonts w:ascii="Cambria" w:hAnsi="Cambria"/>
          <w:sz w:val="20"/>
          <w:szCs w:val="20"/>
          <w:lang w:val="es-VE"/>
        </w:rPr>
        <w:t xml:space="preserve">. </w:t>
      </w:r>
    </w:p>
    <w:p w:rsidR="00EF0A91" w:rsidRPr="00836C24" w:rsidRDefault="00EF0A91" w:rsidP="00EF0A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915413" w:rsidRPr="00836C24" w:rsidRDefault="000156A6"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Según información de público conocimiento, en 2016 se presentaron en el Congreso de la República tanto iniciativas para reactivar como para abolir la pena de muerte. </w:t>
      </w:r>
      <w:r w:rsidRPr="00836C24">
        <w:rPr>
          <w:rFonts w:ascii="Cambria" w:hAnsi="Cambria"/>
          <w:sz w:val="20"/>
          <w:szCs w:val="20"/>
          <w:lang w:val="es-AR"/>
        </w:rPr>
        <w:t>La iniciativa 5100, presentada el 6 de julio de 2016 pretende aprobar la ley de abolición de la pena de muerte. Asimismo, la iniciativa 4941 presentada el 4 de febrero de 2016 pretende reactivarla mediante la regulación del procedimiento para la aplicación de</w:t>
      </w:r>
      <w:r w:rsidR="00C62E6F" w:rsidRPr="00836C24">
        <w:rPr>
          <w:rFonts w:ascii="Cambria" w:hAnsi="Cambria"/>
          <w:sz w:val="20"/>
          <w:szCs w:val="20"/>
          <w:lang w:val="es-AR"/>
        </w:rPr>
        <w:t>l recurso de gracia</w:t>
      </w:r>
      <w:r w:rsidRPr="00836C24">
        <w:rPr>
          <w:rStyle w:val="FootnoteReference"/>
          <w:rFonts w:ascii="Cambria" w:hAnsi="Cambria"/>
          <w:sz w:val="20"/>
          <w:szCs w:val="20"/>
          <w:lang w:val="es-AR"/>
        </w:rPr>
        <w:footnoteReference w:id="41"/>
      </w:r>
      <w:r w:rsidRPr="00836C24">
        <w:rPr>
          <w:rFonts w:ascii="Cambria" w:hAnsi="Cambria"/>
          <w:sz w:val="20"/>
          <w:szCs w:val="20"/>
          <w:lang w:val="es-AR"/>
        </w:rPr>
        <w:t>.</w:t>
      </w:r>
    </w:p>
    <w:p w:rsidR="003A4B71" w:rsidRPr="00836C24" w:rsidRDefault="003A4B71" w:rsidP="003A4B7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915413" w:rsidRPr="00836C24" w:rsidRDefault="00915413" w:rsidP="005039D8">
      <w:pPr>
        <w:pStyle w:val="Heading2"/>
        <w:numPr>
          <w:ilvl w:val="1"/>
          <w:numId w:val="55"/>
        </w:numPr>
        <w:tabs>
          <w:tab w:val="clear" w:pos="1800"/>
          <w:tab w:val="num" w:pos="1440"/>
        </w:tabs>
        <w:ind w:hanging="1080"/>
      </w:pPr>
      <w:bookmarkStart w:id="49" w:name="_Toc491441632"/>
      <w:r w:rsidRPr="00836C24">
        <w:t>Sentencia condenatoria y acciones posteriores</w:t>
      </w:r>
      <w:bookmarkEnd w:id="49"/>
    </w:p>
    <w:p w:rsidR="00254C4B" w:rsidRPr="00836C24" w:rsidRDefault="00254C4B" w:rsidP="00842AF1">
      <w:pPr>
        <w:pStyle w:val="Heading3"/>
        <w:numPr>
          <w:ilvl w:val="1"/>
          <w:numId w:val="68"/>
        </w:numPr>
        <w:ind w:left="1440" w:hanging="720"/>
        <w:rPr>
          <w:color w:val="auto"/>
          <w:sz w:val="20"/>
          <w:szCs w:val="20"/>
          <w:bdr w:val="none" w:sz="0" w:space="0" w:color="auto"/>
          <w:lang w:val="es-ES"/>
        </w:rPr>
      </w:pPr>
      <w:bookmarkStart w:id="50" w:name="_Toc491441633"/>
      <w:r w:rsidRPr="00836C24">
        <w:rPr>
          <w:color w:val="auto"/>
          <w:sz w:val="20"/>
          <w:szCs w:val="20"/>
          <w:bdr w:val="none" w:sz="0" w:space="0" w:color="auto"/>
          <w:lang w:val="es-ES"/>
        </w:rPr>
        <w:t>Sentencia condenatoria</w:t>
      </w:r>
      <w:bookmarkEnd w:id="50"/>
    </w:p>
    <w:p w:rsidR="00167A03" w:rsidRPr="00836C24" w:rsidRDefault="00167A03" w:rsidP="00167A03">
      <w:pPr>
        <w:rPr>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El 14 de mayo de 1999 el Tribunal Sexto de Sentencia Penal, Narcoactividad y Delitos contra el Ambiente de Guatemala dictó sentencia condenatoria en contra del señor Ruiz Fuentes y otras personas por el delito de plagio o secuestro regulado en el artículo 201 del Código Penal y les impuso la pena de muerte. El Tribunal consideró que</w:t>
      </w:r>
      <w:r w:rsidR="00E331F8" w:rsidRPr="00836C24">
        <w:rPr>
          <w:rFonts w:asciiTheme="majorHAnsi" w:hAnsiTheme="majorHAnsi"/>
          <w:sz w:val="20"/>
          <w:szCs w:val="20"/>
          <w:lang w:val="es-VE"/>
        </w:rPr>
        <w:t>:</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836C24">
        <w:rPr>
          <w:rFonts w:asciiTheme="majorHAnsi" w:hAnsiTheme="majorHAnsi"/>
          <w:sz w:val="20"/>
          <w:szCs w:val="20"/>
          <w:lang w:val="es-VE"/>
        </w:rPr>
        <w:t xml:space="preserve">(…) estando acreditada la efectiva participación de los acusados como autores inmediatos del ilícito que se juzga POR MAYORIA DE VOTOS, el Tribunal les impone la pena que se indicará en la parte resolutiva de este fallo, por estimar que la misma es aplicable y no contravenir las disposiciones contenidas en la Convención Americana Sobre Derechos Humanos (Pacto de San José) pues no se está imponiendo a un delito que no la tenía establecida con anterioridad, a la vigencia del relacionado convenio internacional, ya que el delito de secuestro contemplaba con anterioridad la pena de muerte como sanción (principio de legalidad en relación a la pena), y como consecuencia, no existe controversia con el artículo 4 de la convención antes indicada, ya que ninguna persona tiene derecho a </w:t>
      </w:r>
      <w:r w:rsidRPr="00836C24">
        <w:rPr>
          <w:rFonts w:asciiTheme="majorHAnsi" w:hAnsiTheme="majorHAnsi"/>
          <w:sz w:val="20"/>
          <w:szCs w:val="20"/>
          <w:lang w:val="es-VE"/>
        </w:rPr>
        <w:lastRenderedPageBreak/>
        <w:t>privar de la libertad a otra y a negociar la misma sin tomarse en cuenta el más mínimo respeto a los Derechos Humanos de la víctima, la sola sustracción y la privación de su libertad de locomoción en la forma en que ocurrió el hecho que se juzga, produce daños irreparables a la víctima, considerando además que el secuestrado fue un menor de edad, con lo que se demuestra el abierto menosprecio a la inocencia y pureza de la niñez, así como un reto y burla a la sociedad y a las autoridades encargadas de la seguridad ciudadana, por lo que bajo esas directrices se impondrá la pena (…)</w:t>
      </w:r>
      <w:r w:rsidRPr="00836C24">
        <w:rPr>
          <w:rStyle w:val="FootnoteReference"/>
          <w:rFonts w:asciiTheme="majorHAnsi" w:hAnsiTheme="majorHAnsi"/>
          <w:sz w:val="20"/>
          <w:szCs w:val="20"/>
          <w:lang w:val="es-VE"/>
        </w:rPr>
        <w:footnoteReference w:id="42"/>
      </w:r>
      <w:r w:rsidRPr="00836C24">
        <w:rPr>
          <w:rFonts w:asciiTheme="majorHAnsi" w:hAnsiTheme="majorHAnsi"/>
          <w:sz w:val="20"/>
          <w:szCs w:val="20"/>
          <w:lang w:val="es-VE"/>
        </w:rPr>
        <w:t xml:space="preserve">. </w:t>
      </w:r>
    </w:p>
    <w:p w:rsidR="00254C4B" w:rsidRPr="00836C24" w:rsidRDefault="00254C4B" w:rsidP="00254C4B">
      <w:pPr>
        <w:rPr>
          <w:rFonts w:asciiTheme="majorHAnsi" w:hAnsiTheme="majorHAnsi"/>
          <w:sz w:val="20"/>
          <w:szCs w:val="20"/>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El artículo 201 del Código Penal aplicado a la presunta víctima, establecía que: </w:t>
      </w:r>
    </w:p>
    <w:p w:rsidR="00254C4B" w:rsidRPr="00836C24" w:rsidRDefault="00254C4B" w:rsidP="00254C4B">
      <w:pPr>
        <w:pStyle w:val="ListParagraph"/>
        <w:rPr>
          <w:rFonts w:asciiTheme="majorHAnsi" w:hAnsiTheme="majorHAnsi"/>
          <w:sz w:val="20"/>
          <w:szCs w:val="20"/>
          <w:lang w:val="es-VE"/>
        </w:rPr>
      </w:pP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Theme="majorHAnsi" w:hAnsiTheme="majorHAnsi"/>
          <w:sz w:val="20"/>
          <w:szCs w:val="20"/>
          <w:lang w:val="es-VE"/>
        </w:rPr>
      </w:pPr>
      <w:r w:rsidRPr="00836C24">
        <w:rPr>
          <w:rFonts w:asciiTheme="majorHAnsi" w:hAnsiTheme="majorHAnsi"/>
          <w:sz w:val="20"/>
          <w:szCs w:val="20"/>
          <w:lang w:val="es-VE"/>
        </w:rPr>
        <w:t xml:space="preserve"> A los autores materiales o intelectuales del delito de plagio o secuestro de una o más personas con el propósito de lograr rescate, canje de personas o la toma de cualquier decisión contraria a la voluntad del secuestrado o con cualquiera otro propósito similar o igual, se les aplicará la pena de muerte, y cuando ésta no pueda ser impuesta, se aplicará prisión de veinticinco a cincuenta años. En este caso no se apreciará ninguna circunstancia atenuante. Los cómplices o encubridores serán sancionados con pena de veinte a cuarenta años de prisión.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En virtud de la redacción de este artículo, el Tribunal no analizó si concurrían circunstancias atenuantes. Tampoco se valoró si concurrían circunstancias agravantes. Las excepciones para la imposición de la pena de </w:t>
      </w:r>
      <w:r w:rsidR="0091750E">
        <w:rPr>
          <w:rFonts w:asciiTheme="majorHAnsi" w:hAnsiTheme="majorHAnsi"/>
          <w:sz w:val="20"/>
          <w:szCs w:val="20"/>
          <w:lang w:val="es-VE"/>
        </w:rPr>
        <w:t xml:space="preserve">muerte </w:t>
      </w:r>
      <w:r w:rsidRPr="00836C24">
        <w:rPr>
          <w:rFonts w:asciiTheme="majorHAnsi" w:hAnsiTheme="majorHAnsi"/>
          <w:sz w:val="20"/>
          <w:szCs w:val="20"/>
          <w:lang w:val="es-VE"/>
        </w:rPr>
        <w:t xml:space="preserve">a las que hace referencia este tipo penal, son las previstas en la Constitución Política de la República de Guatemala, y que fueron descritas en la sección de contexto, del presente informe.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El artículo citado y que fue aplicado al señor Ruiz Fuentes, entró en vigor el 21 de octubre de 1996. Sin embargo, el artículo 201 del Código Penal, vigente al momento de la ratificación de la Convención Americana</w:t>
      </w:r>
      <w:r w:rsidRPr="00836C24">
        <w:rPr>
          <w:rFonts w:asciiTheme="majorHAnsi" w:hAnsiTheme="majorHAnsi"/>
          <w:sz w:val="20"/>
          <w:szCs w:val="20"/>
          <w:vertAlign w:val="superscript"/>
        </w:rPr>
        <w:footnoteReference w:id="43"/>
      </w:r>
      <w:r w:rsidRPr="00836C24">
        <w:rPr>
          <w:rFonts w:asciiTheme="majorHAnsi" w:hAnsiTheme="majorHAnsi"/>
          <w:sz w:val="20"/>
          <w:szCs w:val="20"/>
          <w:lang w:val="es-VE"/>
        </w:rPr>
        <w:t>, contemplaba la pena de muerte únicamente en los casos de secuestro seguido de muerte así:</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Theme="majorHAnsi" w:hAnsiTheme="majorHAnsi"/>
          <w:sz w:val="20"/>
          <w:szCs w:val="20"/>
          <w:lang w:val="es-VE"/>
        </w:rPr>
      </w:pPr>
      <w:r w:rsidRPr="00836C24">
        <w:rPr>
          <w:rFonts w:asciiTheme="majorHAnsi" w:hAnsiTheme="majorHAnsi"/>
          <w:sz w:val="20"/>
          <w:szCs w:val="20"/>
          <w:lang w:val="es-VE"/>
        </w:rPr>
        <w:t xml:space="preserve">El plagio o secuestro de una persona con el objeto de lograr rescate, canje de terceras personas u otro ilícito de igual o análoga entidad, se castigará con la pena de ocho a quince años de prisión. Se impondrá la pena de muerte al responsable, cuando con motivo o en ocasión del plagio o secuestro, falleciera la persona secuestrada.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rPr>
          <w:rFonts w:asciiTheme="majorHAnsi" w:hAnsiTheme="majorHAnsi"/>
          <w:sz w:val="20"/>
          <w:szCs w:val="20"/>
          <w:lang w:val="es-VE"/>
        </w:rPr>
      </w:pPr>
    </w:p>
    <w:p w:rsidR="00254C4B" w:rsidRPr="00836C24" w:rsidRDefault="00254C4B" w:rsidP="00D8168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En el fallo condenatorio la Jueza Silvia Morales emitió un voto indicando que la aplicación de la pena de muerte al caso constituyó una ampliación contraria a la Convención Americana</w:t>
      </w:r>
      <w:r w:rsidRPr="00836C24">
        <w:rPr>
          <w:rStyle w:val="FootnoteReference"/>
          <w:rFonts w:asciiTheme="majorHAnsi" w:hAnsiTheme="majorHAnsi"/>
          <w:sz w:val="20"/>
          <w:szCs w:val="20"/>
          <w:lang w:val="es-VE"/>
        </w:rPr>
        <w:footnoteReference w:id="44"/>
      </w:r>
      <w:r w:rsidRPr="00836C24">
        <w:rPr>
          <w:rFonts w:asciiTheme="majorHAnsi" w:hAnsiTheme="majorHAnsi"/>
          <w:sz w:val="20"/>
          <w:szCs w:val="20"/>
          <w:lang w:val="es-VE"/>
        </w:rPr>
        <w:t>.</w:t>
      </w:r>
    </w:p>
    <w:p w:rsidR="00254C4B" w:rsidRPr="00836C24" w:rsidRDefault="00254C4B" w:rsidP="00842AF1">
      <w:pPr>
        <w:pStyle w:val="Heading3"/>
        <w:numPr>
          <w:ilvl w:val="1"/>
          <w:numId w:val="68"/>
        </w:numPr>
        <w:ind w:left="1440" w:hanging="720"/>
        <w:rPr>
          <w:color w:val="auto"/>
          <w:sz w:val="20"/>
          <w:szCs w:val="20"/>
          <w:bdr w:val="none" w:sz="0" w:space="0" w:color="auto"/>
          <w:lang w:val="es-ES"/>
        </w:rPr>
      </w:pPr>
      <w:bookmarkStart w:id="51" w:name="_Toc491441634"/>
      <w:r w:rsidRPr="00836C24">
        <w:rPr>
          <w:color w:val="auto"/>
          <w:sz w:val="20"/>
          <w:szCs w:val="20"/>
          <w:bdr w:val="none" w:sz="0" w:space="0" w:color="auto"/>
          <w:lang w:val="es-ES"/>
        </w:rPr>
        <w:t>Recurso de apelación especial</w:t>
      </w:r>
      <w:bookmarkEnd w:id="51"/>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La presunta víctima interpuso un recurso de apelación especial ante el Tribunal Sexto de Sentencia Penal, Narcoactividad y Delitos contra el Ambiente.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Argumentó que el Tribunal de sentencia dio por acreditados hechos distintos a los formulados en la acusación, afectando con ello su derecho a la defensa</w:t>
      </w:r>
      <w:r w:rsidRPr="00836C24">
        <w:rPr>
          <w:rStyle w:val="FootnoteReference"/>
          <w:rFonts w:asciiTheme="majorHAnsi" w:hAnsiTheme="majorHAnsi"/>
          <w:sz w:val="20"/>
          <w:szCs w:val="20"/>
          <w:lang w:val="es-VE"/>
        </w:rPr>
        <w:footnoteReference w:id="45"/>
      </w:r>
      <w:r w:rsidRPr="00836C24">
        <w:rPr>
          <w:rFonts w:asciiTheme="majorHAnsi" w:hAnsiTheme="majorHAnsi"/>
          <w:sz w:val="20"/>
          <w:szCs w:val="20"/>
          <w:lang w:val="es-VE"/>
        </w:rPr>
        <w:t xml:space="preserve">. El hecho indicado que, en su consideración era fundamental para establecer la comisión del delito, es el siguiente: “al conocer los datos de </w:t>
      </w:r>
      <w:r w:rsidRPr="00836C24">
        <w:rPr>
          <w:rFonts w:asciiTheme="majorHAnsi" w:hAnsiTheme="majorHAnsi"/>
          <w:sz w:val="20"/>
          <w:szCs w:val="20"/>
          <w:lang w:val="es-VE"/>
        </w:rPr>
        <w:lastRenderedPageBreak/>
        <w:t>la familia, llamaron por teléfono al señor OSCAR DE LEON GAMBOA padre del menor a quien le dijeron que sabía que tenía dinero, y que a cambio de la liberación de su hijo le exigían la suma de un millón de quetzales, llamadas que se repitieron varias veces durante el cautiverio del menor”</w:t>
      </w:r>
      <w:r w:rsidRPr="00836C24">
        <w:rPr>
          <w:rStyle w:val="FootnoteReference"/>
          <w:rFonts w:asciiTheme="majorHAnsi" w:hAnsiTheme="majorHAnsi"/>
          <w:sz w:val="20"/>
          <w:szCs w:val="20"/>
          <w:lang w:val="es-VE"/>
        </w:rPr>
        <w:footnoteReference w:id="46"/>
      </w:r>
      <w:r w:rsidRPr="00836C24">
        <w:rPr>
          <w:rFonts w:asciiTheme="majorHAnsi" w:hAnsiTheme="majorHAnsi"/>
          <w:sz w:val="20"/>
          <w:szCs w:val="20"/>
          <w:lang w:val="es-VE"/>
        </w:rPr>
        <w:t xml:space="preserv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También indicó que se le privó de su derecho de ofrecer y aportar prueba durante el debate pues en dicha fase el Tribunal corrió audiencia a las partes para ofrecer prueba por el plazo de ocho días y “en tal oportunidad me presenté ofreciendo la que correspondía en memorial de fecha veintinueve de marzo de mil novecientos noventa y nueve; sin embargo, por una omisión del entonces Abogado Defensor, Licenciado Edgar Alberto Argueta Moreno, que omitió firmar y sellar el memorial de ofrecimiento, el tribunal de sentencia no le dio trámite y, en consecuencia, me dejó sin poder ofrecer prueba alguna para el debate”</w:t>
      </w:r>
      <w:r w:rsidRPr="00836C24">
        <w:rPr>
          <w:rStyle w:val="FootnoteReference"/>
          <w:rFonts w:asciiTheme="majorHAnsi" w:hAnsiTheme="majorHAnsi"/>
          <w:sz w:val="20"/>
          <w:szCs w:val="20"/>
          <w:lang w:val="es-VE"/>
        </w:rPr>
        <w:footnoteReference w:id="47"/>
      </w:r>
      <w:r w:rsidRPr="00836C24">
        <w:rPr>
          <w:rFonts w:asciiTheme="majorHAnsi" w:hAnsiTheme="majorHAnsi"/>
          <w:sz w:val="20"/>
          <w:szCs w:val="20"/>
          <w:lang w:val="es-VE"/>
        </w:rPr>
        <w:t>.</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r w:rsidRPr="00836C24">
        <w:rPr>
          <w:rFonts w:asciiTheme="majorHAnsi" w:hAnsiTheme="majorHAnsi"/>
          <w:sz w:val="20"/>
          <w:szCs w:val="20"/>
          <w:lang w:val="es-VE"/>
        </w:rPr>
        <w:t xml:space="preserve"> </w:t>
      </w: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 Agregó que el Tribunal aplicó indebidamente el artículo 201 del Código Penal irrespetando el artículo 46 de la Constitución</w:t>
      </w:r>
      <w:r w:rsidRPr="00836C24">
        <w:rPr>
          <w:rStyle w:val="FootnoteReference"/>
          <w:rFonts w:asciiTheme="majorHAnsi" w:hAnsiTheme="majorHAnsi"/>
          <w:sz w:val="20"/>
          <w:szCs w:val="20"/>
          <w:lang w:val="es-VE"/>
        </w:rPr>
        <w:footnoteReference w:id="48"/>
      </w:r>
      <w:r w:rsidRPr="00836C24">
        <w:rPr>
          <w:rFonts w:asciiTheme="majorHAnsi" w:hAnsiTheme="majorHAnsi"/>
          <w:sz w:val="20"/>
          <w:szCs w:val="20"/>
          <w:lang w:val="es-VE"/>
        </w:rPr>
        <w:t xml:space="preserve"> y el artículo 4 de la Convención, pues al momento de su ratificación la pena de muerte no estaba prevista para el secuestro cuando la víctima no fallecía. </w:t>
      </w:r>
    </w:p>
    <w:p w:rsidR="00254C4B" w:rsidRPr="00836C24" w:rsidRDefault="00254C4B" w:rsidP="00254C4B">
      <w:pPr>
        <w:rPr>
          <w:rFonts w:asciiTheme="majorHAnsi" w:eastAsia="Times New Roman" w:hAnsiTheme="majorHAnsi" w:cs="Courier New"/>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eastAsia="Times New Roman" w:hAnsiTheme="majorHAnsi" w:cs="Courier New"/>
          <w:sz w:val="20"/>
          <w:szCs w:val="20"/>
          <w:bdr w:val="none" w:sz="0" w:space="0" w:color="auto"/>
          <w:lang w:val="es-ES"/>
        </w:rPr>
        <w:t xml:space="preserve">El 13 de septiembre de 1999 la Sala Cuarta de la Corte de Apelaciones declaró sin lugar el recurso de apelación especial planteado por la presunta víctima y los demás condenados. </w:t>
      </w:r>
    </w:p>
    <w:p w:rsidR="00254C4B" w:rsidRPr="00836C24" w:rsidRDefault="00254C4B" w:rsidP="00254C4B">
      <w:pPr>
        <w:pStyle w:val="ListParagraph"/>
        <w:rPr>
          <w:rFonts w:asciiTheme="majorHAnsi" w:eastAsia="Times New Roman" w:hAnsiTheme="majorHAnsi" w:cs="Courier New"/>
          <w:sz w:val="20"/>
          <w:szCs w:val="20"/>
          <w:bdr w:val="none" w:sz="0" w:space="0" w:color="auto"/>
          <w:lang w:val="es-VE"/>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cs="Arial"/>
          <w:sz w:val="20"/>
          <w:szCs w:val="20"/>
          <w:lang w:val="es-UY"/>
        </w:rPr>
      </w:pPr>
      <w:r w:rsidRPr="00836C24">
        <w:rPr>
          <w:rFonts w:asciiTheme="majorHAnsi" w:hAnsiTheme="majorHAnsi" w:cs="Arial"/>
          <w:sz w:val="20"/>
          <w:szCs w:val="20"/>
          <w:lang w:val="es-UY"/>
        </w:rPr>
        <w:t xml:space="preserve">En relación con el alegato según el cual el Tribunal dio por acreditados hechos distintos a los de la acusación, la Sala Cuarta indicó que “es lógico comprobar que existe congruencia entre los hechos de la acusación y los que el tribunal estimó por acreditados, y siendo que esta Sala en la sentencia no puede en ningún caso hacer mérito de la prueba o de los hechos que se declaren probados conforme a las reglas de la sana crítica razonada la decisión es correcta. Por lo que se concluye que los hechos tenidos por acreditados por el tribunal son ciertos pues reflejan la forma y modo de ejecutar el delito, quienes son los responsables, el tiempo y día de su perpetración, así como quien fue la víctima del Plagio o Secuestro (…)”. Con respecto a la supuesta vulneración al derecho de defensa por la imposibilidad de presentar medios de prueba durante el debate, la Sala indicó que “el derecho de defensa en ningún momento se le conculcó al recurrente (…) y si se rechazó la prueba propuesta fue por la forma antitécnica como su abogado ofreció la prueba a rendir, no obstante ello, el recurrente pudo accionar durante el trámite del juicio correspondiente de donde no hubo la inobservancia pretendida”. </w:t>
      </w:r>
      <w:r w:rsidRPr="00836C24">
        <w:rPr>
          <w:rFonts w:asciiTheme="majorHAnsi" w:eastAsia="Times New Roman" w:hAnsiTheme="majorHAnsi" w:cs="Courier New"/>
          <w:sz w:val="20"/>
          <w:szCs w:val="20"/>
          <w:bdr w:val="none" w:sz="0" w:space="0" w:color="auto"/>
          <w:lang w:val="es-ES"/>
        </w:rPr>
        <w:t>Sobre el alegato relativo al artículo 4.2 de la Convención, indicó que en forma reiterada ha sostenido que “</w:t>
      </w:r>
      <w:r w:rsidRPr="00836C24">
        <w:rPr>
          <w:rFonts w:asciiTheme="majorHAnsi" w:hAnsiTheme="majorHAnsi" w:cs="Arial"/>
          <w:sz w:val="20"/>
          <w:szCs w:val="20"/>
          <w:lang w:val="es-UY"/>
        </w:rPr>
        <w:t>no existe violación de ley al aplicar la pena de muerte a los autores del delito de Plagio o Secuestro, cuando no fallece la víctima, toda vez que el artículo 201 del Decreto 17-73 ya tenía contemplada dicha sanción desde antes que entrara en vigencia la referida convención, y siendo que esta únicamente limita aplicarla a nuevos delitos, el caso de Plagio o Secuestro no cae dentro de dicho presupuesto (…)”</w:t>
      </w:r>
      <w:r w:rsidRPr="00836C24">
        <w:rPr>
          <w:rStyle w:val="FootnoteReference"/>
          <w:rFonts w:asciiTheme="majorHAnsi" w:hAnsiTheme="majorHAnsi" w:cs="Arial"/>
          <w:sz w:val="20"/>
          <w:szCs w:val="20"/>
          <w:lang w:val="es-UY"/>
        </w:rPr>
        <w:footnoteReference w:id="49"/>
      </w:r>
      <w:r w:rsidRPr="00836C24">
        <w:rPr>
          <w:rFonts w:asciiTheme="majorHAnsi" w:hAnsiTheme="majorHAnsi" w:cs="Arial"/>
          <w:sz w:val="20"/>
          <w:szCs w:val="20"/>
          <w:lang w:val="es-UY"/>
        </w:rPr>
        <w:t>.</w:t>
      </w:r>
    </w:p>
    <w:p w:rsidR="00254C4B" w:rsidRPr="00836C24" w:rsidRDefault="00843B8E" w:rsidP="00842AF1">
      <w:pPr>
        <w:pStyle w:val="Heading3"/>
        <w:numPr>
          <w:ilvl w:val="1"/>
          <w:numId w:val="68"/>
        </w:numPr>
        <w:ind w:left="1440" w:hanging="720"/>
        <w:rPr>
          <w:color w:val="auto"/>
          <w:sz w:val="20"/>
          <w:szCs w:val="20"/>
          <w:bdr w:val="none" w:sz="0" w:space="0" w:color="auto"/>
          <w:lang w:val="es-ES"/>
        </w:rPr>
      </w:pPr>
      <w:r w:rsidRPr="00836C24">
        <w:rPr>
          <w:color w:val="auto"/>
          <w:sz w:val="20"/>
          <w:szCs w:val="20"/>
          <w:bdr w:val="none" w:sz="0" w:space="0" w:color="auto"/>
          <w:lang w:val="es-ES"/>
        </w:rPr>
        <w:t xml:space="preserve"> </w:t>
      </w:r>
      <w:bookmarkStart w:id="52" w:name="_Toc491441635"/>
      <w:r w:rsidR="00254C4B" w:rsidRPr="00836C24">
        <w:rPr>
          <w:color w:val="auto"/>
          <w:sz w:val="20"/>
          <w:szCs w:val="20"/>
          <w:bdr w:val="none" w:sz="0" w:space="0" w:color="auto"/>
          <w:lang w:val="es-ES"/>
        </w:rPr>
        <w:t>Recurso de casación</w:t>
      </w:r>
      <w:bookmarkEnd w:id="52"/>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12 octubre de 1999 la presunta víctima interpuso un recurso de casación en contra de la decisión de la Sala Cuarta de Apelaciones y presentó los fundamentos del mismo el 4 de noviembre de 1999, alegando vicios de forma y de fondo de la sentencia.</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Argumentó que la Sala Cuarta de la Corte de Apelaciones no resolvió su alegato según el cual en la sentencia de primera instancia se dieron por acreditados hechos distintos a los que constaban en la acusación, limitándose a indicar que no pueden hacer mérito de la prueba o de los hechos que se declaren probados, y que con ello vulneró su derecho de defensa porque el artículo 388 del Código Procesal Penal </w:t>
      </w:r>
      <w:r w:rsidRPr="00836C24">
        <w:rPr>
          <w:rFonts w:asciiTheme="majorHAnsi" w:eastAsia="Times New Roman" w:hAnsiTheme="majorHAnsi" w:cs="Courier New"/>
          <w:sz w:val="20"/>
          <w:szCs w:val="20"/>
          <w:bdr w:val="none" w:sz="0" w:space="0" w:color="auto"/>
          <w:lang w:val="es-ES"/>
        </w:rPr>
        <w:lastRenderedPageBreak/>
        <w:t>estipula que “la sentencia no podrá dar por acreditados otros hechos u otras circunstancias que los descritos en la acusación y en el auto de apertura del juicio (…)”. Reiteró que se le vedó a la presunta víctima el derecho de presentar prueba durante el debate, agregando que “se dejó sin poder ofrecer y aportar prueba al procesado Hugo Humberto Ruiz Fuentes y, en todo caso, el tribunal debió haber observado el artículo 103 del Código Procesal Penal, declarando el abandono de la defensa y nombrando un defensor de oficio, así como correrle la audiencia correspondiente para que pudiera ofrecer prueba y la produjera en el debate”. También reiteró el argumento relativo a la violación a la Convención Americana por la ampliación de la aplicación de la pena de muerte, no obstante al momento de la ratificación de dicho instrumento sólo estaba prevista para secuestro seguido de muerte</w:t>
      </w:r>
      <w:r w:rsidRPr="00836C24">
        <w:rPr>
          <w:rStyle w:val="FootnoteReference"/>
          <w:rFonts w:asciiTheme="majorHAnsi" w:eastAsia="Times New Roman" w:hAnsiTheme="majorHAnsi" w:cs="Courier New"/>
          <w:sz w:val="20"/>
          <w:szCs w:val="20"/>
          <w:bdr w:val="none" w:sz="0" w:space="0" w:color="auto"/>
          <w:lang w:val="es-ES"/>
        </w:rPr>
        <w:footnoteReference w:id="50"/>
      </w:r>
      <w:r w:rsidRPr="00836C24">
        <w:rPr>
          <w:rFonts w:asciiTheme="majorHAnsi" w:eastAsia="Times New Roman" w:hAnsiTheme="majorHAnsi" w:cs="Courier New"/>
          <w:sz w:val="20"/>
          <w:szCs w:val="20"/>
          <w:bdr w:val="none" w:sz="0" w:space="0" w:color="auto"/>
          <w:lang w:val="es-ES"/>
        </w:rPr>
        <w:t xml:space="preserve">. </w:t>
      </w:r>
    </w:p>
    <w:p w:rsidR="00254C4B" w:rsidRPr="00836C24" w:rsidRDefault="00254C4B" w:rsidP="00254C4B">
      <w:pPr>
        <w:rPr>
          <w:rFonts w:asciiTheme="majorHAnsi" w:eastAsia="Times New Roman" w:hAnsiTheme="majorHAnsi" w:cs="Courier New"/>
          <w:sz w:val="20"/>
          <w:szCs w:val="20"/>
          <w:bdr w:val="none" w:sz="0" w:space="0" w:color="auto"/>
          <w:lang w:val="es-ES"/>
        </w:rPr>
      </w:pPr>
    </w:p>
    <w:p w:rsidR="00254C4B" w:rsidRPr="00836C24" w:rsidRDefault="00254C4B" w:rsidP="00BA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La Cámara Penal de la Corte Suprema de Justicia acumuló los recursos planteados por las otras personas condenadas junto con la presunta víctima y el 20 de julio de 2000 los declaró sin lugar. En cuanto a la acreditación de hechos distintos a los de la acusación, la Cámara consideró que la argumentación no encaja dentro del sub-motivo planteado, por lo que existió “defecto en su planteamiento”. En cuanto al alegato según el cual la Sala no resolvió el punto esencial según el cual la presunta víctima no pudo plantear prueba durante el debate, la Corte Suprema consideró que “no es cierto la existencia del vicio señalado (...) por cuanto la Sala Cuarta de la Corte de Apelaciones consideró expresamente y planteó su decisión (…) y si bien, el recurso de apelación especial no fue resuelto de manera favorable a los intereses de los apelantes, esto no constituye agravio (…)”. Finalmente, sobre la imposición de la pena de muerte por el delito de plagio o secuestro cuando no fallece la víctima, la Cámara indicó que “la pena de muerte en los delitos de plagio o secuestro, ya se encontraba contemplada antes de la vigencia de la citada Convención”</w:t>
      </w:r>
      <w:r w:rsidRPr="00836C24">
        <w:rPr>
          <w:rStyle w:val="FootnoteReference"/>
          <w:rFonts w:asciiTheme="majorHAnsi" w:eastAsia="Times New Roman" w:hAnsiTheme="majorHAnsi" w:cs="Courier New"/>
          <w:sz w:val="20"/>
          <w:szCs w:val="20"/>
          <w:bdr w:val="none" w:sz="0" w:space="0" w:color="auto"/>
          <w:lang w:val="es-ES"/>
        </w:rPr>
        <w:t xml:space="preserve"> </w:t>
      </w:r>
      <w:r w:rsidRPr="00836C24">
        <w:rPr>
          <w:rStyle w:val="FootnoteReference"/>
          <w:rFonts w:asciiTheme="majorHAnsi" w:eastAsia="Times New Roman" w:hAnsiTheme="majorHAnsi" w:cs="Courier New"/>
          <w:sz w:val="20"/>
          <w:szCs w:val="20"/>
          <w:bdr w:val="none" w:sz="0" w:space="0" w:color="auto"/>
          <w:lang w:val="es-ES"/>
        </w:rPr>
        <w:footnoteReference w:id="51"/>
      </w:r>
      <w:r w:rsidRPr="00836C24">
        <w:rPr>
          <w:rFonts w:asciiTheme="majorHAnsi" w:eastAsia="Times New Roman" w:hAnsiTheme="majorHAnsi" w:cs="Courier New"/>
          <w:sz w:val="20"/>
          <w:szCs w:val="20"/>
          <w:bdr w:val="none" w:sz="0" w:space="0" w:color="auto"/>
          <w:lang w:val="es-ES"/>
        </w:rPr>
        <w:t xml:space="preserve">. </w:t>
      </w:r>
    </w:p>
    <w:p w:rsidR="00254C4B" w:rsidRPr="00836C24" w:rsidRDefault="00254C4B" w:rsidP="00842AF1">
      <w:pPr>
        <w:pStyle w:val="Heading3"/>
        <w:numPr>
          <w:ilvl w:val="1"/>
          <w:numId w:val="68"/>
        </w:numPr>
        <w:ind w:left="1440" w:hanging="720"/>
        <w:rPr>
          <w:color w:val="auto"/>
          <w:sz w:val="20"/>
          <w:szCs w:val="20"/>
          <w:bdr w:val="none" w:sz="0" w:space="0" w:color="auto"/>
          <w:lang w:val="es-ES"/>
        </w:rPr>
      </w:pPr>
      <w:bookmarkStart w:id="53" w:name="_Toc491441636"/>
      <w:r w:rsidRPr="00836C24">
        <w:rPr>
          <w:color w:val="auto"/>
          <w:sz w:val="20"/>
          <w:szCs w:val="20"/>
          <w:bdr w:val="none" w:sz="0" w:space="0" w:color="auto"/>
          <w:lang w:val="es-ES"/>
        </w:rPr>
        <w:t>Recurso de amparo</w:t>
      </w:r>
      <w:bookmarkEnd w:id="53"/>
    </w:p>
    <w:p w:rsidR="00254C4B" w:rsidRPr="00836C24" w:rsidRDefault="00254C4B" w:rsidP="00254C4B">
      <w:pPr>
        <w:rPr>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29 de agosto de 2000 la presunta víctima interpuso un recurso de amparo ante la Corte de Constitucionalidad en contra de la decisión de la Cámara Penal, reiterando las razones por las que considera que la pena de muerte es inaplicable en su caso</w:t>
      </w:r>
      <w:r w:rsidRPr="00836C24">
        <w:rPr>
          <w:rStyle w:val="FootnoteReference"/>
          <w:rFonts w:asciiTheme="majorHAnsi" w:eastAsia="Times New Roman" w:hAnsiTheme="majorHAnsi" w:cs="Courier New"/>
          <w:sz w:val="20"/>
          <w:szCs w:val="20"/>
          <w:bdr w:val="none" w:sz="0" w:space="0" w:color="auto"/>
          <w:lang w:val="es-ES"/>
        </w:rPr>
        <w:footnoteReference w:id="52"/>
      </w:r>
      <w:r w:rsidRPr="00836C24">
        <w:rPr>
          <w:rFonts w:asciiTheme="majorHAnsi" w:eastAsia="Times New Roman" w:hAnsiTheme="majorHAnsi" w:cs="Courier New"/>
          <w:sz w:val="20"/>
          <w:szCs w:val="20"/>
          <w:bdr w:val="none" w:sz="0" w:space="0" w:color="auto"/>
          <w:lang w:val="es-ES"/>
        </w:rPr>
        <w:t xml:space="preserv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A01ED8"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4 de julio de 2001 la Corte de Constitucionalidad declaró sin lugar el recurso de amparo y declaró que la ampliación de la pena de muerte dentro del delito de secuestro a supuestos no previstos cuando entró en vigencia la Convención Americana para Guatemala no viola dicho instrumento porque se trata del mismo delito que ya contemplaba dicha pena, la cual se extendió ate</w:t>
      </w:r>
      <w:r w:rsidR="00A01ED8" w:rsidRPr="00836C24">
        <w:rPr>
          <w:rFonts w:asciiTheme="majorHAnsi" w:eastAsia="Times New Roman" w:hAnsiTheme="majorHAnsi" w:cs="Courier New"/>
          <w:sz w:val="20"/>
          <w:szCs w:val="20"/>
          <w:bdr w:val="none" w:sz="0" w:space="0" w:color="auto"/>
          <w:lang w:val="es-ES"/>
        </w:rPr>
        <w:t xml:space="preserve">ndiendo al criterio de autoría. La Corte indicó específicamente que: </w:t>
      </w:r>
    </w:p>
    <w:p w:rsidR="00A01ED8" w:rsidRPr="00836C24" w:rsidRDefault="00A01ED8" w:rsidP="00A01ED8">
      <w:pPr>
        <w:pStyle w:val="ListParagraph"/>
        <w:rPr>
          <w:rFonts w:asciiTheme="majorHAnsi" w:eastAsia="Times New Roman" w:hAnsiTheme="majorHAnsi" w:cs="Courier New"/>
          <w:sz w:val="20"/>
          <w:szCs w:val="20"/>
          <w:bdr w:val="none" w:sz="0" w:space="0" w:color="auto"/>
          <w:lang w:val="es-ES"/>
        </w:rPr>
      </w:pPr>
    </w:p>
    <w:p w:rsidR="00254C4B" w:rsidRPr="00836C24" w:rsidRDefault="00A01ED8" w:rsidP="00A01E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 </w:t>
      </w:r>
      <w:r w:rsidR="00254C4B" w:rsidRPr="00836C24">
        <w:rPr>
          <w:rFonts w:asciiTheme="majorHAnsi" w:eastAsia="Times New Roman" w:hAnsiTheme="majorHAnsi" w:cs="Courier New"/>
          <w:sz w:val="20"/>
          <w:szCs w:val="20"/>
          <w:bdr w:val="none" w:sz="0" w:space="0" w:color="auto"/>
          <w:lang w:val="es-ES"/>
        </w:rPr>
        <w:t>(…) lo que el legislador ha realizado en las reformas antes citadas, es extender la aplicación de la pena -en este caso la de muerte- atendiendo al criterio de autoría de las personas que cometen el delito de secuestro, extensión que no prohíbe la Convención en su artículo 4, numeral 2 (…) esta Corte considera que la aplicación que del artículo 201 del Código Penal se realizó por parte de los tribunales impugnados en el caso del amparista, no viola el artículo 46 de la Constitución ni el artículo 4. Numeral 2 de la Convención, aún en el evento de plagio o secuestro no seguido de muerte de la víctima”</w:t>
      </w:r>
      <w:r w:rsidR="00254C4B" w:rsidRPr="00836C24">
        <w:rPr>
          <w:rStyle w:val="FootnoteReference"/>
          <w:rFonts w:asciiTheme="majorHAnsi" w:eastAsia="Times New Roman" w:hAnsiTheme="majorHAnsi" w:cs="Courier New"/>
          <w:sz w:val="20"/>
          <w:szCs w:val="20"/>
          <w:bdr w:val="none" w:sz="0" w:space="0" w:color="auto"/>
          <w:lang w:val="es-ES"/>
        </w:rPr>
        <w:footnoteReference w:id="53"/>
      </w:r>
      <w:r w:rsidR="00254C4B" w:rsidRPr="00836C24">
        <w:rPr>
          <w:rFonts w:asciiTheme="majorHAnsi" w:eastAsia="Times New Roman" w:hAnsiTheme="majorHAnsi" w:cs="Courier New"/>
          <w:sz w:val="20"/>
          <w:szCs w:val="20"/>
          <w:bdr w:val="none" w:sz="0" w:space="0" w:color="auto"/>
          <w:lang w:val="es-ES"/>
        </w:rPr>
        <w:t xml:space="preserve">. </w:t>
      </w:r>
    </w:p>
    <w:p w:rsidR="00A01ED8" w:rsidRPr="00836C24" w:rsidRDefault="00A01ED8" w:rsidP="00A01E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254C4B" w:rsidRPr="00836C24" w:rsidRDefault="00254C4B" w:rsidP="00842AF1">
      <w:pPr>
        <w:pStyle w:val="Heading3"/>
        <w:numPr>
          <w:ilvl w:val="1"/>
          <w:numId w:val="68"/>
        </w:numPr>
        <w:ind w:left="1440" w:hanging="720"/>
        <w:rPr>
          <w:color w:val="auto"/>
          <w:sz w:val="20"/>
          <w:szCs w:val="20"/>
          <w:bdr w:val="none" w:sz="0" w:space="0" w:color="auto"/>
          <w:lang w:val="es-ES"/>
        </w:rPr>
      </w:pPr>
      <w:bookmarkStart w:id="54" w:name="_Toc491441637"/>
      <w:r w:rsidRPr="00836C24">
        <w:rPr>
          <w:color w:val="auto"/>
          <w:sz w:val="20"/>
          <w:szCs w:val="20"/>
          <w:bdr w:val="none" w:sz="0" w:space="0" w:color="auto"/>
          <w:lang w:val="es-ES"/>
        </w:rPr>
        <w:lastRenderedPageBreak/>
        <w:t>Recurso de revisión</w:t>
      </w:r>
      <w:bookmarkEnd w:id="54"/>
      <w:r w:rsidRPr="00836C24">
        <w:rPr>
          <w:color w:val="auto"/>
          <w:sz w:val="20"/>
          <w:szCs w:val="20"/>
          <w:bdr w:val="none" w:sz="0" w:space="0" w:color="auto"/>
          <w:lang w:val="es-ES"/>
        </w:rPr>
        <w:t xml:space="preserv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ourier New"/>
          <w:i/>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El 16 de diciembre de 2002 la presunta víctima presentó un recurso de revisión contra la sentencia firme que lo condenó a pena de muerte, argumentando que se le impuso dicha pena a pesar de que la víctima no falleció y se estableció su peligrosidad basándose en presunciones. Agregó que la aplicación de la pena de muerte vulneró la Convención Americana, que establece que no puede extenderse dicha pena a conductas que no la tenían prevista al momento de la entrada </w:t>
      </w:r>
      <w:r w:rsidR="006D0CB1" w:rsidRPr="00836C24">
        <w:rPr>
          <w:rFonts w:asciiTheme="majorHAnsi" w:eastAsia="Times New Roman" w:hAnsiTheme="majorHAnsi" w:cs="Courier New"/>
          <w:sz w:val="20"/>
          <w:szCs w:val="20"/>
          <w:bdr w:val="none" w:sz="0" w:space="0" w:color="auto"/>
          <w:lang w:val="es-ES"/>
        </w:rPr>
        <w:t xml:space="preserve">en </w:t>
      </w:r>
      <w:r w:rsidRPr="00836C24">
        <w:rPr>
          <w:rFonts w:asciiTheme="majorHAnsi" w:eastAsia="Times New Roman" w:hAnsiTheme="majorHAnsi" w:cs="Courier New"/>
          <w:sz w:val="20"/>
          <w:szCs w:val="20"/>
          <w:bdr w:val="none" w:sz="0" w:space="0" w:color="auto"/>
          <w:lang w:val="es-ES"/>
        </w:rPr>
        <w:t>vigor de dicho tratado</w:t>
      </w:r>
      <w:r w:rsidRPr="00836C24">
        <w:rPr>
          <w:rStyle w:val="FootnoteReference"/>
          <w:rFonts w:asciiTheme="majorHAnsi" w:eastAsia="Times New Roman" w:hAnsiTheme="majorHAnsi" w:cs="Courier New"/>
          <w:sz w:val="20"/>
          <w:szCs w:val="20"/>
          <w:bdr w:val="none" w:sz="0" w:space="0" w:color="auto"/>
          <w:lang w:val="es-ES"/>
        </w:rPr>
        <w:footnoteReference w:id="54"/>
      </w:r>
      <w:r w:rsidRPr="00836C24">
        <w:rPr>
          <w:rFonts w:asciiTheme="majorHAnsi" w:eastAsia="Times New Roman" w:hAnsiTheme="majorHAnsi" w:cs="Courier New"/>
          <w:sz w:val="20"/>
          <w:szCs w:val="20"/>
          <w:bdr w:val="none" w:sz="0" w:space="0" w:color="auto"/>
          <w:lang w:val="es-ES"/>
        </w:rPr>
        <w:t xml:space="preserve">. </w:t>
      </w:r>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254C4B" w:rsidRPr="00836C24" w:rsidRDefault="00254C4B" w:rsidP="00BA289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1 de diciembre de 2003 la Cámara Penal de la Corte Suprema de Justicia declaró sin lugar el recurso indicando que lo planteado “no constituyen nuevos elementos de prueba que sean idóneos para fundamentar una condena menos grave”</w:t>
      </w:r>
      <w:r w:rsidRPr="00836C24">
        <w:rPr>
          <w:rStyle w:val="FootnoteReference"/>
          <w:rFonts w:asciiTheme="majorHAnsi" w:eastAsia="Times New Roman" w:hAnsiTheme="majorHAnsi" w:cs="Courier New"/>
          <w:sz w:val="20"/>
          <w:szCs w:val="20"/>
          <w:bdr w:val="none" w:sz="0" w:space="0" w:color="auto"/>
          <w:lang w:val="es-ES"/>
        </w:rPr>
        <w:footnoteReference w:id="55"/>
      </w:r>
      <w:r w:rsidRPr="00836C24">
        <w:rPr>
          <w:rFonts w:asciiTheme="majorHAnsi" w:eastAsia="Times New Roman" w:hAnsiTheme="majorHAnsi" w:cs="Courier New"/>
          <w:sz w:val="20"/>
          <w:szCs w:val="20"/>
          <w:bdr w:val="none" w:sz="0" w:space="0" w:color="auto"/>
          <w:lang w:val="es-ES"/>
        </w:rPr>
        <w:t xml:space="preserve">. </w:t>
      </w:r>
    </w:p>
    <w:p w:rsidR="00254C4B" w:rsidRPr="00836C24" w:rsidRDefault="00254C4B" w:rsidP="00842AF1">
      <w:pPr>
        <w:pStyle w:val="Heading3"/>
        <w:numPr>
          <w:ilvl w:val="1"/>
          <w:numId w:val="68"/>
        </w:numPr>
        <w:ind w:left="1440" w:hanging="720"/>
        <w:rPr>
          <w:color w:val="auto"/>
          <w:sz w:val="20"/>
          <w:szCs w:val="20"/>
          <w:bdr w:val="none" w:sz="0" w:space="0" w:color="auto"/>
          <w:lang w:val="es-ES"/>
        </w:rPr>
      </w:pPr>
      <w:bookmarkStart w:id="55" w:name="_Toc491441638"/>
      <w:r w:rsidRPr="00836C24">
        <w:rPr>
          <w:color w:val="auto"/>
          <w:sz w:val="20"/>
          <w:szCs w:val="20"/>
          <w:bdr w:val="none" w:sz="0" w:space="0" w:color="auto"/>
          <w:lang w:val="es-ES"/>
        </w:rPr>
        <w:t>Recurso de gracia</w:t>
      </w:r>
      <w:bookmarkEnd w:id="55"/>
    </w:p>
    <w:p w:rsidR="00254C4B" w:rsidRPr="00836C24" w:rsidRDefault="00254C4B" w:rsidP="00254C4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254C4B" w:rsidRPr="00836C24" w:rsidRDefault="00254C4B" w:rsidP="00254C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i/>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16 de diciembre de 2003 la presunta víctima presentó recurso de gracia ante el Ministro de Gobernación solicitando que se conmute la pena por la inmediata inferior de 50 años</w:t>
      </w:r>
      <w:r w:rsidRPr="00836C24">
        <w:rPr>
          <w:rStyle w:val="FootnoteReference"/>
          <w:rFonts w:asciiTheme="majorHAnsi" w:eastAsia="Times New Roman" w:hAnsiTheme="majorHAnsi" w:cs="Courier New"/>
          <w:sz w:val="20"/>
          <w:szCs w:val="20"/>
          <w:bdr w:val="none" w:sz="0" w:space="0" w:color="auto"/>
          <w:lang w:val="es-ES"/>
        </w:rPr>
        <w:footnoteReference w:id="56"/>
      </w:r>
      <w:r w:rsidRPr="00836C24">
        <w:rPr>
          <w:rFonts w:asciiTheme="majorHAnsi" w:eastAsia="Times New Roman" w:hAnsiTheme="majorHAnsi" w:cs="Courier New"/>
          <w:sz w:val="20"/>
          <w:szCs w:val="20"/>
          <w:bdr w:val="none" w:sz="0" w:space="0" w:color="auto"/>
          <w:lang w:val="es-ES"/>
        </w:rPr>
        <w:t>. La información disponible indica que a julio de 2004, el mismo no se había resuelto</w:t>
      </w:r>
      <w:r w:rsidRPr="00836C24">
        <w:rPr>
          <w:rStyle w:val="FootnoteReference"/>
          <w:rFonts w:asciiTheme="majorHAnsi" w:eastAsia="Times New Roman" w:hAnsiTheme="majorHAnsi" w:cs="Courier New"/>
          <w:sz w:val="20"/>
          <w:szCs w:val="20"/>
          <w:bdr w:val="none" w:sz="0" w:space="0" w:color="auto"/>
          <w:lang w:val="es-ES"/>
        </w:rPr>
        <w:footnoteReference w:id="57"/>
      </w:r>
      <w:r w:rsidRPr="00836C24">
        <w:rPr>
          <w:rFonts w:asciiTheme="majorHAnsi" w:eastAsia="Times New Roman" w:hAnsiTheme="majorHAnsi" w:cs="Courier New"/>
          <w:sz w:val="20"/>
          <w:szCs w:val="20"/>
          <w:bdr w:val="none" w:sz="0" w:space="0" w:color="auto"/>
          <w:lang w:val="es-ES"/>
        </w:rPr>
        <w:t>. La CIDH no cuenta con más información.</w:t>
      </w:r>
    </w:p>
    <w:p w:rsidR="00915413" w:rsidRPr="00836C24" w:rsidRDefault="00915413" w:rsidP="005039D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73485" w:rsidRPr="00836C24" w:rsidRDefault="00073485" w:rsidP="00FA07A8">
      <w:pPr>
        <w:pStyle w:val="Heading2"/>
        <w:numPr>
          <w:ilvl w:val="1"/>
          <w:numId w:val="55"/>
        </w:numPr>
        <w:tabs>
          <w:tab w:val="clear" w:pos="1800"/>
          <w:tab w:val="num" w:pos="1440"/>
        </w:tabs>
        <w:ind w:hanging="1080"/>
        <w:rPr>
          <w:b w:val="0"/>
          <w:lang w:val="es-VE"/>
        </w:rPr>
      </w:pPr>
      <w:bookmarkStart w:id="56" w:name="_Toc491441639"/>
      <w:r w:rsidRPr="00836C24">
        <w:t>La muerte de la presunta víctima en el marco del Plan Gavilán</w:t>
      </w:r>
      <w:bookmarkEnd w:id="56"/>
    </w:p>
    <w:p w:rsidR="005039D8" w:rsidRPr="00836C24" w:rsidRDefault="00073485" w:rsidP="00842AF1">
      <w:pPr>
        <w:pStyle w:val="Heading3"/>
        <w:numPr>
          <w:ilvl w:val="1"/>
          <w:numId w:val="69"/>
        </w:numPr>
        <w:ind w:left="1440" w:hanging="720"/>
        <w:rPr>
          <w:color w:val="auto"/>
          <w:sz w:val="20"/>
          <w:szCs w:val="20"/>
          <w:bdr w:val="none" w:sz="0" w:space="0" w:color="auto"/>
          <w:lang w:val="es-ES"/>
        </w:rPr>
      </w:pPr>
      <w:bookmarkStart w:id="57" w:name="_Toc491441640"/>
      <w:r w:rsidRPr="00836C24">
        <w:rPr>
          <w:color w:val="auto"/>
          <w:sz w:val="20"/>
          <w:szCs w:val="20"/>
          <w:bdr w:val="none" w:sz="0" w:space="0" w:color="auto"/>
          <w:lang w:val="es-ES"/>
        </w:rPr>
        <w:t>El Plan Gavilán</w:t>
      </w:r>
      <w:bookmarkEnd w:id="57"/>
      <w:r w:rsidRPr="00836C24">
        <w:rPr>
          <w:color w:val="auto"/>
          <w:sz w:val="20"/>
          <w:szCs w:val="20"/>
          <w:bdr w:val="none" w:sz="0" w:space="0" w:color="auto"/>
          <w:lang w:val="es-ES"/>
        </w:rPr>
        <w:t xml:space="preserve"> </w:t>
      </w:r>
    </w:p>
    <w:p w:rsidR="00073485" w:rsidRPr="00836C24" w:rsidRDefault="00073485" w:rsidP="00073485">
      <w:pPr>
        <w:rPr>
          <w:b/>
          <w:sz w:val="20"/>
          <w:szCs w:val="20"/>
          <w:lang w:val="es-VE"/>
        </w:rPr>
      </w:pPr>
    </w:p>
    <w:p w:rsidR="005039D8" w:rsidRPr="00836C24" w:rsidRDefault="005039D8" w:rsidP="005039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El 22 de octubre de 2005 se produjo una fuga de </w:t>
      </w:r>
      <w:r w:rsidR="00D71DDC" w:rsidRPr="00836C24">
        <w:rPr>
          <w:rFonts w:asciiTheme="majorHAnsi" w:hAnsiTheme="majorHAnsi"/>
          <w:sz w:val="20"/>
          <w:szCs w:val="20"/>
          <w:lang w:val="es-VE"/>
        </w:rPr>
        <w:t>diecinueve</w:t>
      </w:r>
      <w:r w:rsidRPr="00836C24">
        <w:rPr>
          <w:rFonts w:asciiTheme="majorHAnsi" w:hAnsiTheme="majorHAnsi"/>
          <w:sz w:val="20"/>
          <w:szCs w:val="20"/>
          <w:lang w:val="es-VE"/>
        </w:rPr>
        <w:t xml:space="preserve"> privados de libertad de la cárcel de máxima seguridad “El Infiernito”, quienes para tal fin cavaron un túnel de aproximadamente 120 metros de longitud desde el sector “A” hasta la malla electrizada de protección perime</w:t>
      </w:r>
      <w:r w:rsidR="00424433" w:rsidRPr="00836C24">
        <w:rPr>
          <w:rFonts w:asciiTheme="majorHAnsi" w:hAnsiTheme="majorHAnsi"/>
          <w:sz w:val="20"/>
          <w:szCs w:val="20"/>
          <w:lang w:val="es-VE"/>
        </w:rPr>
        <w:t xml:space="preserve">tral de las instalaciones. </w:t>
      </w:r>
      <w:r w:rsidRPr="00836C24">
        <w:rPr>
          <w:rFonts w:asciiTheme="majorHAnsi" w:hAnsiTheme="majorHAnsi"/>
          <w:sz w:val="20"/>
          <w:szCs w:val="20"/>
          <w:lang w:val="es-VE"/>
        </w:rPr>
        <w:t>Según el Estado, los privados de libertad contaron con la complicidad de algunos elementos del sistema penitenciario</w:t>
      </w:r>
      <w:r w:rsidRPr="00836C24">
        <w:rPr>
          <w:rFonts w:asciiTheme="majorHAnsi" w:hAnsiTheme="majorHAnsi"/>
          <w:sz w:val="20"/>
          <w:szCs w:val="20"/>
          <w:vertAlign w:val="superscript"/>
        </w:rPr>
        <w:footnoteReference w:id="58"/>
      </w:r>
      <w:r w:rsidRPr="00836C24">
        <w:rPr>
          <w:rFonts w:asciiTheme="majorHAnsi" w:hAnsiTheme="majorHAnsi"/>
          <w:sz w:val="20"/>
          <w:szCs w:val="20"/>
          <w:lang w:val="es-VE"/>
        </w:rPr>
        <w:t xml:space="preserve">. </w:t>
      </w:r>
    </w:p>
    <w:p w:rsidR="005039D8" w:rsidRPr="00836C24" w:rsidRDefault="005039D8" w:rsidP="00073485">
      <w:pPr>
        <w:rPr>
          <w:rFonts w:asciiTheme="majorHAnsi" w:hAnsiTheme="majorHAnsi"/>
          <w:sz w:val="20"/>
          <w:szCs w:val="20"/>
          <w:lang w:val="es-VE"/>
        </w:rPr>
      </w:pPr>
    </w:p>
    <w:p w:rsidR="005039D8" w:rsidRPr="00836C24" w:rsidRDefault="00A26A9F" w:rsidP="00D658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En la misma fecha,</w:t>
      </w:r>
      <w:r w:rsidR="005039D8" w:rsidRPr="00836C24">
        <w:rPr>
          <w:rFonts w:asciiTheme="majorHAnsi" w:hAnsiTheme="majorHAnsi"/>
          <w:sz w:val="20"/>
          <w:szCs w:val="20"/>
          <w:lang w:val="es-VE"/>
        </w:rPr>
        <w:t xml:space="preserve"> el Estado puso en marcha la “Operación Gavilán” con el objetivo de “desarrollar la búsqueda y recaptura de estos peligrosos delincuentes”. Dicho plan implicó la organización de </w:t>
      </w:r>
      <w:r w:rsidR="007E0EAB" w:rsidRPr="00836C24">
        <w:rPr>
          <w:rFonts w:asciiTheme="majorHAnsi" w:hAnsiTheme="majorHAnsi"/>
          <w:sz w:val="20"/>
          <w:szCs w:val="20"/>
          <w:lang w:val="es-VE"/>
        </w:rPr>
        <w:t>ocho</w:t>
      </w:r>
      <w:r w:rsidR="005039D8" w:rsidRPr="00836C24">
        <w:rPr>
          <w:rFonts w:asciiTheme="majorHAnsi" w:hAnsiTheme="majorHAnsi"/>
          <w:sz w:val="20"/>
          <w:szCs w:val="20"/>
          <w:lang w:val="es-VE"/>
        </w:rPr>
        <w:t xml:space="preserve"> equipos de búsqueda</w:t>
      </w:r>
      <w:r w:rsidR="00214A63" w:rsidRPr="00836C24">
        <w:rPr>
          <w:rFonts w:asciiTheme="majorHAnsi" w:hAnsiTheme="majorHAnsi"/>
          <w:sz w:val="20"/>
          <w:szCs w:val="20"/>
          <w:lang w:val="es-VE"/>
        </w:rPr>
        <w:t>,</w:t>
      </w:r>
      <w:r w:rsidR="005039D8" w:rsidRPr="00836C24">
        <w:rPr>
          <w:rFonts w:asciiTheme="majorHAnsi" w:hAnsiTheme="majorHAnsi"/>
          <w:sz w:val="20"/>
          <w:szCs w:val="20"/>
          <w:lang w:val="es-VE"/>
        </w:rPr>
        <w:t xml:space="preserve"> estuvo dirigido por el Comisario de la Policía Nacional Civil, Víctor Hugo Soto Diéguez y participaron 16 miembros de la policía. En cuanto al uso de la fuerza, la copia del plan indica que para el uso de las armas de fuego deben tenerse presentes las normas establecidas en el </w:t>
      </w:r>
      <w:r w:rsidR="00B53F61" w:rsidRPr="00836C24">
        <w:rPr>
          <w:rFonts w:asciiTheme="majorHAnsi" w:hAnsiTheme="majorHAnsi"/>
          <w:sz w:val="20"/>
          <w:szCs w:val="20"/>
          <w:lang w:val="es-VE"/>
        </w:rPr>
        <w:t>a</w:t>
      </w:r>
      <w:r w:rsidR="005039D8" w:rsidRPr="00836C24">
        <w:rPr>
          <w:rFonts w:asciiTheme="majorHAnsi" w:hAnsiTheme="majorHAnsi"/>
          <w:sz w:val="20"/>
          <w:szCs w:val="20"/>
          <w:lang w:val="es-VE"/>
        </w:rPr>
        <w:t xml:space="preserve">rtículo 24 del Código Penal en vigencia, como causas de justificación: </w:t>
      </w:r>
      <w:r w:rsidR="001D0264" w:rsidRPr="00836C24">
        <w:rPr>
          <w:rFonts w:asciiTheme="majorHAnsi" w:hAnsiTheme="majorHAnsi"/>
          <w:sz w:val="20"/>
          <w:szCs w:val="20"/>
          <w:lang w:val="es-VE"/>
        </w:rPr>
        <w:t>l</w:t>
      </w:r>
      <w:r w:rsidR="005039D8" w:rsidRPr="00836C24">
        <w:rPr>
          <w:rFonts w:asciiTheme="majorHAnsi" w:hAnsiTheme="majorHAnsi"/>
          <w:sz w:val="20"/>
          <w:szCs w:val="20"/>
          <w:lang w:val="es-VE"/>
        </w:rPr>
        <w:t xml:space="preserve">a </w:t>
      </w:r>
      <w:r w:rsidR="001D0264" w:rsidRPr="00836C24">
        <w:rPr>
          <w:rFonts w:asciiTheme="majorHAnsi" w:hAnsiTheme="majorHAnsi"/>
          <w:sz w:val="20"/>
          <w:szCs w:val="20"/>
          <w:lang w:val="es-VE"/>
        </w:rPr>
        <w:t>l</w:t>
      </w:r>
      <w:r w:rsidR="005039D8" w:rsidRPr="00836C24">
        <w:rPr>
          <w:rFonts w:asciiTheme="majorHAnsi" w:hAnsiTheme="majorHAnsi"/>
          <w:sz w:val="20"/>
          <w:szCs w:val="20"/>
          <w:lang w:val="es-VE"/>
        </w:rPr>
        <w:t>egítima defensa, el estado de necesidad y el legítimo ejercicio de un derecho</w:t>
      </w:r>
      <w:r w:rsidR="001E66D5" w:rsidRPr="00836C24">
        <w:rPr>
          <w:rFonts w:asciiTheme="majorHAnsi" w:hAnsiTheme="majorHAnsi"/>
          <w:sz w:val="20"/>
          <w:szCs w:val="20"/>
          <w:vertAlign w:val="superscript"/>
          <w:lang w:val="es-VE"/>
        </w:rPr>
        <w:footnoteReference w:id="59"/>
      </w:r>
      <w:r w:rsidR="005039D8" w:rsidRPr="00836C24">
        <w:rPr>
          <w:rFonts w:asciiTheme="majorHAnsi" w:hAnsiTheme="majorHAnsi"/>
          <w:sz w:val="20"/>
          <w:szCs w:val="20"/>
          <w:lang w:val="es-VE"/>
        </w:rPr>
        <w:t>.</w:t>
      </w:r>
    </w:p>
    <w:p w:rsidR="005039D8" w:rsidRPr="00836C24" w:rsidRDefault="005039D8" w:rsidP="005039D8">
      <w:pPr>
        <w:pStyle w:val="ListParagraph"/>
        <w:rPr>
          <w:rFonts w:asciiTheme="majorHAnsi" w:hAnsiTheme="majorHAnsi"/>
          <w:sz w:val="20"/>
          <w:szCs w:val="20"/>
          <w:lang w:val="es-VE"/>
        </w:rPr>
      </w:pPr>
    </w:p>
    <w:p w:rsidR="00073485" w:rsidRPr="00836C24" w:rsidRDefault="005039D8"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 xml:space="preserve"> Según informó el Estado en dicho operativo se recapturó a </w:t>
      </w:r>
      <w:r w:rsidR="007E0EAB" w:rsidRPr="00836C24">
        <w:rPr>
          <w:rFonts w:asciiTheme="majorHAnsi" w:hAnsiTheme="majorHAnsi"/>
          <w:sz w:val="20"/>
          <w:szCs w:val="20"/>
          <w:lang w:val="es-VE"/>
        </w:rPr>
        <w:t>nueve</w:t>
      </w:r>
      <w:r w:rsidRPr="00836C24">
        <w:rPr>
          <w:rFonts w:asciiTheme="majorHAnsi" w:hAnsiTheme="majorHAnsi"/>
          <w:sz w:val="20"/>
          <w:szCs w:val="20"/>
          <w:lang w:val="es-VE"/>
        </w:rPr>
        <w:t xml:space="preserve"> prófugos</w:t>
      </w:r>
      <w:r w:rsidRPr="00836C24">
        <w:rPr>
          <w:rStyle w:val="FootnoteReference"/>
          <w:rFonts w:asciiTheme="majorHAnsi" w:hAnsiTheme="majorHAnsi"/>
          <w:sz w:val="20"/>
          <w:szCs w:val="20"/>
          <w:lang w:val="es-VE"/>
        </w:rPr>
        <w:footnoteReference w:id="60"/>
      </w:r>
      <w:r w:rsidRPr="00836C24">
        <w:rPr>
          <w:rFonts w:asciiTheme="majorHAnsi" w:hAnsiTheme="majorHAnsi"/>
          <w:sz w:val="20"/>
          <w:szCs w:val="20"/>
          <w:lang w:val="es-VE"/>
        </w:rPr>
        <w:t xml:space="preserve">, quedando pendiente la recaptura de </w:t>
      </w:r>
      <w:r w:rsidR="00566EE8" w:rsidRPr="00836C24">
        <w:rPr>
          <w:rFonts w:asciiTheme="majorHAnsi" w:hAnsiTheme="majorHAnsi"/>
          <w:sz w:val="20"/>
          <w:szCs w:val="20"/>
          <w:lang w:val="es-VE"/>
        </w:rPr>
        <w:t>tres</w:t>
      </w:r>
      <w:r w:rsidRPr="00836C24">
        <w:rPr>
          <w:rFonts w:asciiTheme="majorHAnsi" w:hAnsiTheme="majorHAnsi"/>
          <w:sz w:val="20"/>
          <w:szCs w:val="20"/>
          <w:lang w:val="es-VE"/>
        </w:rPr>
        <w:t xml:space="preserve"> fugados y “por la</w:t>
      </w:r>
      <w:r w:rsidR="00EF0A91" w:rsidRPr="00836C24">
        <w:rPr>
          <w:rFonts w:asciiTheme="majorHAnsi" w:hAnsiTheme="majorHAnsi"/>
          <w:sz w:val="20"/>
          <w:szCs w:val="20"/>
          <w:lang w:val="es-VE"/>
        </w:rPr>
        <w:t>s</w:t>
      </w:r>
      <w:r w:rsidRPr="00836C24">
        <w:rPr>
          <w:rFonts w:asciiTheme="majorHAnsi" w:hAnsiTheme="majorHAnsi"/>
          <w:sz w:val="20"/>
          <w:szCs w:val="20"/>
          <w:lang w:val="es-VE"/>
        </w:rPr>
        <w:t xml:space="preserve"> circunstancias que se dieron en los operativos fallecieron 7 </w:t>
      </w:r>
      <w:r w:rsidRPr="00836C24">
        <w:rPr>
          <w:rFonts w:asciiTheme="majorHAnsi" w:hAnsiTheme="majorHAnsi"/>
          <w:sz w:val="20"/>
          <w:szCs w:val="20"/>
          <w:lang w:val="es-VE"/>
        </w:rPr>
        <w:lastRenderedPageBreak/>
        <w:t>prófugos”</w:t>
      </w:r>
      <w:r w:rsidRPr="00836C24">
        <w:rPr>
          <w:rStyle w:val="FootnoteReference"/>
          <w:rFonts w:asciiTheme="majorHAnsi" w:hAnsiTheme="majorHAnsi"/>
          <w:sz w:val="20"/>
          <w:szCs w:val="20"/>
          <w:lang w:val="es-VE"/>
        </w:rPr>
        <w:footnoteReference w:id="61"/>
      </w:r>
      <w:r w:rsidRPr="00836C24">
        <w:rPr>
          <w:rFonts w:asciiTheme="majorHAnsi" w:hAnsiTheme="majorHAnsi"/>
          <w:sz w:val="20"/>
          <w:szCs w:val="20"/>
          <w:lang w:val="es-VE"/>
        </w:rPr>
        <w:t>.</w:t>
      </w:r>
      <w:r w:rsidR="001B5B5A" w:rsidRPr="00836C24">
        <w:rPr>
          <w:rFonts w:asciiTheme="majorHAnsi" w:hAnsiTheme="majorHAnsi"/>
          <w:sz w:val="20"/>
          <w:szCs w:val="20"/>
          <w:lang w:val="es-VE"/>
        </w:rPr>
        <w:t xml:space="preserve"> Conforme indicó el Estado</w:t>
      </w:r>
      <w:r w:rsidR="006E4AD0" w:rsidRPr="00836C24">
        <w:rPr>
          <w:rFonts w:asciiTheme="majorHAnsi" w:hAnsiTheme="majorHAnsi"/>
          <w:sz w:val="20"/>
          <w:szCs w:val="20"/>
          <w:lang w:val="es-VE"/>
        </w:rPr>
        <w:t>,</w:t>
      </w:r>
      <w:r w:rsidR="001B5B5A" w:rsidRPr="00836C24">
        <w:rPr>
          <w:rFonts w:asciiTheme="majorHAnsi" w:hAnsiTheme="majorHAnsi"/>
          <w:sz w:val="20"/>
          <w:szCs w:val="20"/>
          <w:lang w:val="es-VE"/>
        </w:rPr>
        <w:t xml:space="preserve"> dentro de los fallecidos se encuentra Hugo Humberto Ruiz Fuentes</w:t>
      </w:r>
      <w:r w:rsidR="00994D6E" w:rsidRPr="00836C24">
        <w:rPr>
          <w:rFonts w:asciiTheme="majorHAnsi" w:hAnsiTheme="majorHAnsi"/>
          <w:sz w:val="20"/>
          <w:szCs w:val="20"/>
          <w:lang w:val="es-VE"/>
        </w:rPr>
        <w:t>, tal como se detallará en la secció</w:t>
      </w:r>
      <w:r w:rsidR="00A86E5B" w:rsidRPr="00836C24">
        <w:rPr>
          <w:rFonts w:asciiTheme="majorHAnsi" w:hAnsiTheme="majorHAnsi"/>
          <w:sz w:val="20"/>
          <w:szCs w:val="20"/>
          <w:lang w:val="es-VE"/>
        </w:rPr>
        <w:t>n siguiente.</w:t>
      </w:r>
    </w:p>
    <w:p w:rsidR="00A83F22" w:rsidRDefault="00073485" w:rsidP="00197F0E">
      <w:pPr>
        <w:pStyle w:val="Heading3"/>
        <w:numPr>
          <w:ilvl w:val="1"/>
          <w:numId w:val="69"/>
        </w:numPr>
        <w:ind w:left="1440" w:hanging="720"/>
        <w:jc w:val="both"/>
        <w:rPr>
          <w:color w:val="auto"/>
          <w:sz w:val="20"/>
          <w:szCs w:val="20"/>
          <w:bdr w:val="none" w:sz="0" w:space="0" w:color="auto"/>
          <w:lang w:val="es-ES"/>
        </w:rPr>
      </w:pPr>
      <w:bookmarkStart w:id="58" w:name="_Toc491441641"/>
      <w:r w:rsidRPr="00836C24">
        <w:rPr>
          <w:color w:val="auto"/>
          <w:sz w:val="20"/>
          <w:szCs w:val="20"/>
          <w:bdr w:val="none" w:sz="0" w:space="0" w:color="auto"/>
          <w:lang w:val="es-ES"/>
        </w:rPr>
        <w:t>Muerte de la presunta víctima con posterioridad a su fuga de la cárcel</w:t>
      </w:r>
      <w:r w:rsidR="00A86E5B" w:rsidRPr="00836C24">
        <w:rPr>
          <w:color w:val="auto"/>
          <w:sz w:val="20"/>
          <w:szCs w:val="20"/>
          <w:bdr w:val="none" w:sz="0" w:space="0" w:color="auto"/>
          <w:lang w:val="es-ES"/>
        </w:rPr>
        <w:t xml:space="preserve"> e investigaciones al respecto</w:t>
      </w:r>
      <w:bookmarkEnd w:id="58"/>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E208E4"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_tradnl"/>
        </w:rPr>
      </w:pPr>
      <w:r w:rsidRPr="00836C24">
        <w:rPr>
          <w:rFonts w:asciiTheme="majorHAnsi" w:eastAsia="Times New Roman" w:hAnsiTheme="majorHAnsi" w:cs="Courier New"/>
          <w:sz w:val="20"/>
          <w:szCs w:val="20"/>
          <w:bdr w:val="none" w:sz="0" w:space="0" w:color="auto"/>
          <w:lang w:val="es-ES"/>
        </w:rPr>
        <w:t xml:space="preserve">Según informaron las partes, el señor Ruiz Fuentes murió el 14 de noviembre de 2005 en </w:t>
      </w:r>
      <w:r w:rsidR="002A67D1" w:rsidRPr="00836C24">
        <w:rPr>
          <w:rFonts w:asciiTheme="majorHAnsi" w:eastAsia="Times New Roman" w:hAnsiTheme="majorHAnsi" w:cs="Courier New"/>
          <w:sz w:val="20"/>
          <w:szCs w:val="20"/>
          <w:bdr w:val="none" w:sz="0" w:space="0" w:color="auto"/>
          <w:lang w:val="es-ES"/>
        </w:rPr>
        <w:t>la 0 calle 5ta avenida de la Colonia Monja Blanca de Barberena Santa Rosa, en el marco del “Plan Gavilán”.</w:t>
      </w:r>
      <w:r w:rsidR="00E208E4" w:rsidRPr="00836C24">
        <w:rPr>
          <w:rFonts w:asciiTheme="majorHAnsi" w:eastAsia="Times New Roman" w:hAnsiTheme="majorHAnsi" w:cs="Courier New"/>
          <w:sz w:val="20"/>
          <w:szCs w:val="20"/>
          <w:bdr w:val="none" w:sz="0" w:space="0" w:color="auto"/>
          <w:lang w:val="es-ES"/>
        </w:rPr>
        <w:t xml:space="preserve"> </w:t>
      </w:r>
    </w:p>
    <w:p w:rsidR="00E208E4" w:rsidRPr="00836C24" w:rsidRDefault="00E208E4" w:rsidP="00E208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_tradnl"/>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Como resultado de la muerte de la presunta víctima se inició una investigación</w:t>
      </w:r>
      <w:r w:rsidRPr="00836C24">
        <w:rPr>
          <w:rFonts w:asciiTheme="majorHAnsi" w:eastAsia="Times New Roman" w:hAnsiTheme="majorHAnsi" w:cs="Courier New"/>
          <w:i/>
          <w:sz w:val="20"/>
          <w:szCs w:val="20"/>
          <w:bdr w:val="none" w:sz="0" w:space="0" w:color="auto"/>
          <w:lang w:val="es-ES"/>
        </w:rPr>
        <w:t xml:space="preserve"> </w:t>
      </w:r>
      <w:r w:rsidRPr="00836C24">
        <w:rPr>
          <w:rFonts w:asciiTheme="majorHAnsi" w:eastAsia="Times New Roman" w:hAnsiTheme="majorHAnsi" w:cs="Courier New"/>
          <w:sz w:val="20"/>
          <w:szCs w:val="20"/>
          <w:bdr w:val="none" w:sz="0" w:space="0" w:color="auto"/>
          <w:lang w:val="es-ES"/>
        </w:rPr>
        <w:t xml:space="preserve">en la cual se aportaron una serie de elementos probatorios para determinar la causa y circunstancias de su muerte, los cuales se describen a continuación.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Conforme a la autopsia practicada al cadáver, la causa de la muerte fue “perforación cerebral y pulmonar por heridas perforantes de proyectiles de arma de fuego”</w:t>
      </w:r>
      <w:r w:rsidRPr="00836C24">
        <w:rPr>
          <w:rStyle w:val="FootnoteReference"/>
          <w:rFonts w:asciiTheme="majorHAnsi" w:hAnsiTheme="majorHAnsi"/>
          <w:sz w:val="20"/>
          <w:szCs w:val="20"/>
          <w:lang w:val="es-ES"/>
        </w:rPr>
        <w:footnoteReference w:id="62"/>
      </w:r>
      <w:r w:rsidRPr="00836C24">
        <w:rPr>
          <w:rFonts w:asciiTheme="majorHAnsi" w:hAnsiTheme="majorHAnsi"/>
          <w:sz w:val="20"/>
          <w:szCs w:val="20"/>
          <w:lang w:val="es-ES"/>
        </w:rPr>
        <w:t xml:space="preserve">. </w:t>
      </w:r>
    </w:p>
    <w:p w:rsidR="00073485" w:rsidRPr="00836C24" w:rsidRDefault="00073485" w:rsidP="00073485">
      <w:pPr>
        <w:pStyle w:val="ListParagraph"/>
        <w:rPr>
          <w:rFonts w:asciiTheme="majorHAnsi" w:hAnsiTheme="majorHAnsi"/>
          <w:sz w:val="20"/>
          <w:szCs w:val="20"/>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En dicho documento se hace constar que la presunta víctima “presenta herida por proyectil de arma de fuego HPAF con orificio de entrada en el ojo derecho con área de tatuaje alrededor. El orificio es atípico y perfora el párpado superior, órbita, hemisferio derecho y con orificio de salida en el occipital. TRAYECTORIA: Adelante-Atrás. Hay hemorragia intracraneana. Cerebelo se observa pálido. Asimismo, en el tórax presenta “HPAF con orificio de entrada de 0.8 cm de diámetro a nivel del tercer espacio intercostal por fuera de la línea medioclavicular derecha, que perfora: piel, músculo, pulmón derecho y con orificio de salida por fuera de la escápula derecha. TRAYECTORIA: Adelante-Atrás. Hay hemotórax”</w:t>
      </w:r>
      <w:r w:rsidRPr="00836C24">
        <w:rPr>
          <w:rStyle w:val="FootnoteReference"/>
          <w:rFonts w:asciiTheme="majorHAnsi" w:hAnsiTheme="majorHAnsi"/>
          <w:sz w:val="20"/>
          <w:szCs w:val="20"/>
          <w:lang w:val="es-ES"/>
        </w:rPr>
        <w:footnoteReference w:id="63"/>
      </w:r>
      <w:r w:rsidRPr="00836C24">
        <w:rPr>
          <w:rFonts w:asciiTheme="majorHAnsi" w:hAnsiTheme="majorHAnsi"/>
          <w:sz w:val="20"/>
          <w:szCs w:val="20"/>
          <w:lang w:val="es-ES"/>
        </w:rPr>
        <w:t xml:space="preserve">. </w:t>
      </w:r>
    </w:p>
    <w:p w:rsidR="00073485" w:rsidRPr="00836C24" w:rsidRDefault="00073485" w:rsidP="00073485">
      <w:pPr>
        <w:rPr>
          <w:rFonts w:asciiTheme="majorHAnsi" w:hAnsiTheme="majorHAnsi"/>
          <w:sz w:val="20"/>
          <w:szCs w:val="20"/>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El acta policial de 14 de noviembre de 2005 indica que </w:t>
      </w:r>
      <w:r w:rsidRPr="00836C24">
        <w:rPr>
          <w:rFonts w:asciiTheme="majorHAnsi" w:hAnsiTheme="majorHAnsi"/>
          <w:sz w:val="20"/>
          <w:szCs w:val="20"/>
          <w:lang w:val="es-ES"/>
        </w:rPr>
        <w:t>el cadáver fue encontrado en la 0 avenida y 5ta calle de la Colonia Monja Blanca, zona 2 de Barberena, Santa Rosa. En dicha acta se indica que “el hoy occiso tenía empuñada con la mano derecha un arma de fuego tipo pistola, calibre 9 milímetros, marca Jericho”(…), “en la escena del crimen fue localizado 20 bainas de calibre ignorado y una ojiba destruida calibre ignorado, en una de las puertas color rojo de un domicilio que se encuentra en el lugar de los hechos,  se veían cinco perforaciones de proyectil de arma de fuego de calibre ignorado. Así mismo en el lugar de los hechos, se encontraban 12 elementos del Comando Anti Secuestros de la Policía Nacional Civil, comandado por el Comisario de PNC: VICTOR HUGO SOTO DIAZ, quienes custodiaban el área de la escena del crimen, siendo las 22:30 horas (…)”</w:t>
      </w:r>
      <w:r w:rsidRPr="00836C24">
        <w:rPr>
          <w:rStyle w:val="FootnoteReference"/>
          <w:rFonts w:asciiTheme="majorHAnsi" w:hAnsiTheme="majorHAnsi"/>
          <w:sz w:val="20"/>
          <w:szCs w:val="20"/>
          <w:lang w:val="es-ES"/>
        </w:rPr>
        <w:footnoteReference w:id="64"/>
      </w:r>
      <w:r w:rsidRPr="00836C24">
        <w:rPr>
          <w:rFonts w:asciiTheme="majorHAnsi" w:hAnsiTheme="majorHAnsi"/>
          <w:sz w:val="20"/>
          <w:szCs w:val="20"/>
          <w:lang w:val="es-ES"/>
        </w:rPr>
        <w:t>.</w:t>
      </w:r>
    </w:p>
    <w:p w:rsidR="00073485" w:rsidRPr="00836C24" w:rsidRDefault="00073485" w:rsidP="00073485">
      <w:pPr>
        <w:pStyle w:val="ListParagraph"/>
        <w:rPr>
          <w:rFonts w:asciiTheme="majorHAnsi" w:hAnsiTheme="majorHAnsi"/>
          <w:sz w:val="20"/>
          <w:szCs w:val="20"/>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hAnsiTheme="majorHAnsi"/>
          <w:sz w:val="20"/>
          <w:szCs w:val="20"/>
          <w:lang w:val="es-ES"/>
        </w:rPr>
        <w:t>Asimismo, el 15 de noviembre de 2005 el médico forense departamental del Organismo Judicial informó sobre los resultados de la necropsia a la presunta víctima en el que hizo constar que la causa de la muerte fue “perforación cerebral y pulmonar por heridas perforantes de proyectiles de arma de fuego” y agregó en observaciones “no evidencias”</w:t>
      </w:r>
      <w:r w:rsidRPr="00836C24">
        <w:rPr>
          <w:rStyle w:val="FootnoteReference"/>
          <w:rFonts w:asciiTheme="majorHAnsi" w:hAnsiTheme="majorHAnsi"/>
          <w:sz w:val="20"/>
          <w:szCs w:val="20"/>
          <w:lang w:val="es-ES"/>
        </w:rPr>
        <w:footnoteReference w:id="65"/>
      </w:r>
      <w:r w:rsidRPr="00836C24">
        <w:rPr>
          <w:rFonts w:asciiTheme="majorHAnsi" w:hAnsiTheme="majorHAnsi"/>
          <w:sz w:val="20"/>
          <w:szCs w:val="20"/>
          <w:lang w:val="es-ES"/>
        </w:rPr>
        <w:t xml:space="preserve">. </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FA07A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eastAsia="Times New Roman" w:hAnsiTheme="majorHAnsi" w:cs="Courier New"/>
          <w:sz w:val="20"/>
          <w:szCs w:val="20"/>
          <w:bdr w:val="none" w:sz="0" w:space="0" w:color="auto"/>
          <w:lang w:val="es-ES"/>
        </w:rPr>
        <w:t>Según un peritaje médico presentado por Guillermo Austreberto Carranza Izquierdo el 3 de junio de 2008, relacionado con el procesamiento de la escena del crimen, esta no fue procesada debidamente y sufrió alteraciones deliberadas. En dicho peritaje el médico Carranza concluyó que</w:t>
      </w:r>
      <w:r w:rsidRPr="00836C24">
        <w:rPr>
          <w:rFonts w:asciiTheme="majorHAnsi" w:hAnsiTheme="majorHAnsi"/>
          <w:sz w:val="20"/>
          <w:szCs w:val="20"/>
          <w:lang w:val="es-ES"/>
        </w:rPr>
        <w:t xml:space="preserve">: 1. La escena del crimen procesada por la muerte de Hugo Humberto Ruiz Fuentes fue alterada deliberadamente por autoridades gubernamentales; 2. Por la mancha de sangre en la manga derecha del suéter de la presunta víctima se puede </w:t>
      </w:r>
      <w:r w:rsidRPr="00836C24">
        <w:rPr>
          <w:rFonts w:asciiTheme="majorHAnsi" w:hAnsiTheme="majorHAnsi"/>
          <w:sz w:val="20"/>
          <w:szCs w:val="20"/>
          <w:lang w:val="es-ES"/>
        </w:rPr>
        <w:lastRenderedPageBreak/>
        <w:t>concluir que la posición original del cadáver era boca abajo o de cubito ventral, con la cara apoyada sobre el antebrazo derecho; 3. La posición víctima victimario es de pie, frente a frente, apuntando el cañón del arma de fuego en un ángulo de 90 grados, a una distancia de 15 centímetros de la víctima, razón por la cual la víctima parpadeó de forma refleja (…); 4. Por la herida recibida en el rostro la presunta víctima perdió la conciencia y se desplomó al suelo, y esto hace inconsistente que haya podido mantener empuñada el arma de fuego en su mano derecha; 5. Hubo evidencias que fueron ignoradas, entre ellas no se embaló la ropa del occiso, y no se le practicó un estudio para establecer vestigios de sangre humana</w:t>
      </w:r>
      <w:r w:rsidRPr="00836C24">
        <w:rPr>
          <w:rStyle w:val="FootnoteReference"/>
          <w:rFonts w:asciiTheme="majorHAnsi" w:hAnsiTheme="majorHAnsi"/>
          <w:sz w:val="20"/>
          <w:szCs w:val="20"/>
          <w:lang w:val="es-ES"/>
        </w:rPr>
        <w:footnoteReference w:id="66"/>
      </w:r>
      <w:r w:rsidRPr="00836C24">
        <w:rPr>
          <w:rFonts w:asciiTheme="majorHAnsi" w:hAnsiTheme="majorHAnsi"/>
          <w:sz w:val="20"/>
          <w:szCs w:val="20"/>
          <w:lang w:val="es-ES"/>
        </w:rPr>
        <w:t>.</w:t>
      </w:r>
    </w:p>
    <w:p w:rsidR="00073485" w:rsidRPr="00836C24" w:rsidRDefault="00073485" w:rsidP="00842AF1">
      <w:pPr>
        <w:pStyle w:val="Heading3"/>
        <w:numPr>
          <w:ilvl w:val="1"/>
          <w:numId w:val="69"/>
        </w:numPr>
        <w:ind w:left="1440" w:hanging="720"/>
        <w:rPr>
          <w:rFonts w:eastAsia="Times New Roman" w:cs="Courier New"/>
          <w:sz w:val="20"/>
          <w:szCs w:val="20"/>
          <w:bdr w:val="none" w:sz="0" w:space="0" w:color="auto"/>
          <w:lang w:val="es-ES"/>
        </w:rPr>
      </w:pPr>
      <w:bookmarkStart w:id="59" w:name="_Toc491441642"/>
      <w:r w:rsidRPr="00836C24">
        <w:rPr>
          <w:color w:val="auto"/>
          <w:sz w:val="20"/>
          <w:szCs w:val="20"/>
          <w:bdr w:val="none" w:sz="0" w:space="0" w:color="auto"/>
          <w:lang w:val="es-ES"/>
        </w:rPr>
        <w:t>Hipótesis sobre los autores de la muerte</w:t>
      </w:r>
      <w:bookmarkEnd w:id="59"/>
      <w:r w:rsidRPr="00836C24">
        <w:rPr>
          <w:rFonts w:eastAsia="Times New Roman" w:cs="Courier New"/>
          <w:sz w:val="20"/>
          <w:szCs w:val="20"/>
          <w:bdr w:val="none" w:sz="0" w:space="0" w:color="auto"/>
          <w:lang w:val="es-ES"/>
        </w:rPr>
        <w:t xml:space="preserve">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Estado presentó posiciones contradictorias en el trámite del caso ante el sistema interamericano así como en el proceso a nivel interno</w:t>
      </w:r>
      <w:r w:rsidR="002A67D1" w:rsidRPr="00836C24">
        <w:rPr>
          <w:rFonts w:asciiTheme="majorHAnsi" w:eastAsia="Times New Roman" w:hAnsiTheme="majorHAnsi" w:cs="Courier New"/>
          <w:sz w:val="20"/>
          <w:szCs w:val="20"/>
          <w:bdr w:val="none" w:sz="0" w:space="0" w:color="auto"/>
          <w:lang w:val="es-ES"/>
        </w:rPr>
        <w:t xml:space="preserve"> respecto de la muerte de la presunta víctima</w:t>
      </w:r>
      <w:r w:rsidRPr="00836C24">
        <w:rPr>
          <w:rFonts w:asciiTheme="majorHAnsi" w:eastAsia="Times New Roman" w:hAnsiTheme="majorHAnsi" w:cs="Courier New"/>
          <w:sz w:val="20"/>
          <w:szCs w:val="20"/>
          <w:bdr w:val="none" w:sz="0" w:space="0" w:color="auto"/>
          <w:lang w:val="es-ES"/>
        </w:rPr>
        <w:t xml:space="preserve">. Por una parte atribuyó la muerte de la presunta víctima a desconocidos y, por otra parte, indicó que la presunta víctima murió en un enfrentamiento con agentes de la policía.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B521AA"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En relación con la primera hipótesis, según declaró el Director de la Policía Nacional Civil Erwin Sperisen el día de los hechos, </w:t>
      </w:r>
    </w:p>
    <w:p w:rsidR="00B521AA" w:rsidRPr="00836C24" w:rsidRDefault="00B521AA" w:rsidP="00B521AA">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B521A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la Policía Nacional Civil recibió una llamada de un incidente que se dio en la 0 calle 5ta avenida de la Colonia Monja Blanca de Barberena Santa Rosa, en donde falleció una persona. La policía al llegar al lugar, y además de algunos investigadores del SIC por ser un homicidio, al llegar se percataron que (…) se trataba de Hugo Humberto Ruiz Fuentes, quien es uno de los prófugos del infiernito. Esta última vez era su tercera oportunidad que se fugaba. Su primera vez fue en el 2001 de la fuga que hubo y fue recapturado, estuvo en el intento de fuga del 2004 y fue posteriormente, se dio a la fuga ahora en el 2005 y ahora pues falleció en este incidente (…),Queremos decirle a la población que vamos a seguir, se habla de que posiblemente haya otra persona pero todavía no ha sido realmente corroborado de que haya otros prófugos también posiblemente que haya fallecido en el área de Jutiapa (…) Según testigos dicen con qué estaba, había otras personas, sospechosa, ehh que estaban con él, al parecer quisieron reunirse en un lugar, en un restaurante, en una cadena de comida rápida, que se encuentra en Barberena, y, al parecer, allí fue donde se generó una serie de discusiones y al final estas personas le dieron muerte a este </w:t>
      </w:r>
      <w:r w:rsidR="002A4C8A" w:rsidRPr="00836C24">
        <w:rPr>
          <w:rFonts w:asciiTheme="majorHAnsi" w:eastAsia="Times New Roman" w:hAnsiTheme="majorHAnsi" w:cs="Courier New"/>
          <w:sz w:val="20"/>
          <w:szCs w:val="20"/>
          <w:bdr w:val="none" w:sz="0" w:space="0" w:color="auto"/>
          <w:lang w:val="es-ES"/>
        </w:rPr>
        <w:t>individuo (sic)</w:t>
      </w:r>
      <w:r w:rsidRPr="00836C24">
        <w:rPr>
          <w:rStyle w:val="FootnoteReference"/>
          <w:rFonts w:asciiTheme="majorHAnsi" w:eastAsia="Times New Roman" w:hAnsiTheme="majorHAnsi" w:cs="Courier New"/>
          <w:sz w:val="20"/>
          <w:szCs w:val="20"/>
          <w:bdr w:val="none" w:sz="0" w:space="0" w:color="auto"/>
          <w:lang w:val="es-ES"/>
        </w:rPr>
        <w:footnoteReference w:id="67"/>
      </w:r>
      <w:r w:rsidRPr="00836C24">
        <w:rPr>
          <w:rFonts w:asciiTheme="majorHAnsi" w:eastAsia="Times New Roman" w:hAnsiTheme="majorHAnsi" w:cs="Courier New"/>
          <w:sz w:val="20"/>
          <w:szCs w:val="20"/>
          <w:bdr w:val="none" w:sz="0" w:space="0" w:color="auto"/>
          <w:lang w:val="es-ES"/>
        </w:rPr>
        <w:t xml:space="preserve">.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3524"/>
        </w:tabs>
        <w:ind w:left="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ab/>
      </w: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El 21 de febrero de 2006 el Estado indicó ante la CIDH que “algunas personas que transitaban por el lugar indicaron que el señor Ruiz Fuentes se conducía a pie por la calle cuando varios individuos portando armas de fuego y sin mediar palabra le efectuaron varios disparos y le ocasionaron la muerte, quienes posteriormente huyeron del lugar”</w:t>
      </w:r>
      <w:r w:rsidRPr="00836C24">
        <w:rPr>
          <w:rStyle w:val="FootnoteReference"/>
          <w:rFonts w:asciiTheme="majorHAnsi" w:eastAsia="Times New Roman" w:hAnsiTheme="majorHAnsi" w:cs="Courier New"/>
          <w:sz w:val="20"/>
          <w:szCs w:val="20"/>
          <w:bdr w:val="none" w:sz="0" w:space="0" w:color="auto"/>
          <w:lang w:val="es-ES"/>
        </w:rPr>
        <w:footnoteReference w:id="68"/>
      </w:r>
      <w:r w:rsidRPr="00836C24">
        <w:rPr>
          <w:rFonts w:asciiTheme="majorHAnsi" w:eastAsia="Times New Roman" w:hAnsiTheme="majorHAnsi" w:cs="Courier New"/>
          <w:sz w:val="20"/>
          <w:szCs w:val="20"/>
          <w:bdr w:val="none" w:sz="0" w:space="0" w:color="auto"/>
          <w:lang w:val="es-ES"/>
        </w:rPr>
        <w:t xml:space="preserve">.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En igual sentido declaró Juan José Marroquín Solís, de la Dirección de Investigación Criminal de la Policía Nacional Civil de Cuilapa, Santa Rosa, quien indicó que “no se pudo establecer la identidad de las personas responsables de dicho hecho, solo se estableció que eran personas desconocidas que perseguían al hoy fallecido y que le causaron la muerte. A la escena llegó personal del Comando de Antisecuestros de la Policía, con el objeto de establecer la identidad del cadáver, pero no se estableció si ellos tuvieron alguna participación en el hecho”</w:t>
      </w:r>
      <w:r w:rsidRPr="00836C24">
        <w:rPr>
          <w:rStyle w:val="FootnoteReference"/>
          <w:rFonts w:asciiTheme="majorHAnsi" w:eastAsia="Times New Roman" w:hAnsiTheme="majorHAnsi" w:cs="Courier New"/>
          <w:sz w:val="20"/>
          <w:szCs w:val="20"/>
          <w:bdr w:val="none" w:sz="0" w:space="0" w:color="auto"/>
          <w:lang w:val="es-ES"/>
        </w:rPr>
        <w:footnoteReference w:id="69"/>
      </w:r>
      <w:r w:rsidRPr="00836C24">
        <w:rPr>
          <w:rFonts w:asciiTheme="majorHAnsi" w:eastAsia="Times New Roman" w:hAnsiTheme="majorHAnsi" w:cs="Courier New"/>
          <w:sz w:val="20"/>
          <w:szCs w:val="20"/>
          <w:bdr w:val="none" w:sz="0" w:space="0" w:color="auto"/>
          <w:lang w:val="es-ES"/>
        </w:rPr>
        <w:t>.</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 xml:space="preserve">Asimismo, según declaró Meregildo Cermeño Cabrera, agente de la Policía Nacional Civil, al llegar a la escena del crimen “observo que habían (sic) varias personas vestidas de particular, con gorros pasa </w:t>
      </w:r>
      <w:r w:rsidRPr="00836C24">
        <w:rPr>
          <w:rFonts w:asciiTheme="majorHAnsi" w:eastAsia="Times New Roman" w:hAnsiTheme="majorHAnsi" w:cs="Courier New"/>
          <w:sz w:val="20"/>
          <w:szCs w:val="20"/>
          <w:bdr w:val="none" w:sz="0" w:space="0" w:color="auto"/>
          <w:lang w:val="es-ES"/>
        </w:rPr>
        <w:lastRenderedPageBreak/>
        <w:t>montañas, con armas de fuego y armas largas y cortas, los que se encontraban al mando del comisario Victor Hugo Soto Díaz; en el lugar observo también el cuerpo de una persona de sexo masculino; tirado en el suelo, con heridas posiblemente de arma de fuego; como información en la escena del crimen se decía, que el fallecido había tenido intercambio de disparos con sujetos desconocidos (…)”</w:t>
      </w:r>
      <w:r w:rsidRPr="00836C24">
        <w:rPr>
          <w:rStyle w:val="FootnoteReference"/>
          <w:rFonts w:asciiTheme="majorHAnsi" w:eastAsia="Times New Roman" w:hAnsiTheme="majorHAnsi" w:cs="Courier New"/>
          <w:sz w:val="20"/>
          <w:szCs w:val="20"/>
          <w:bdr w:val="none" w:sz="0" w:space="0" w:color="auto"/>
          <w:lang w:val="es-ES"/>
        </w:rPr>
        <w:footnoteReference w:id="70"/>
      </w:r>
      <w:r w:rsidRPr="00836C24">
        <w:rPr>
          <w:rFonts w:asciiTheme="majorHAnsi" w:eastAsia="Times New Roman" w:hAnsiTheme="majorHAnsi" w:cs="Courier New"/>
          <w:sz w:val="20"/>
          <w:szCs w:val="20"/>
          <w:bdr w:val="none" w:sz="0" w:space="0" w:color="auto"/>
          <w:lang w:val="es-ES"/>
        </w:rPr>
        <w:t>.</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A su vez, en un informe de la Fiscalía Distrital del Ministerio Público se indica que la fiscalía considera “que la causa de haberle dado muerte en forma violenta a HUGO HUMBERTO RUIZ FUENTES fue porque ésta persona se estaba dedicando a hechos de delincuencia común”. Asimismo se indica que la Fiscalía considera que “al encontrarse un arma de fuego en la mano derecho del occiso (…) y que dicha arma detonó 14 de las vainas encontradas en la escena del crimen, y un proyectil y, según investigaciones practicadas en la escena del crimen, por personal de la Policía Nacional Civil en las que consta que, por rumores público, el occiso era perseguido por varios sujetos desconocidos, hacer suponer que el señor HUGO HUMBERTO RUIZ FUENTES si disparo el arma de fuego, para tratar de evitar su muerte”</w:t>
      </w:r>
      <w:r w:rsidRPr="00836C24">
        <w:rPr>
          <w:rStyle w:val="FootnoteReference"/>
          <w:rFonts w:asciiTheme="majorHAnsi" w:eastAsia="Times New Roman" w:hAnsiTheme="majorHAnsi" w:cs="Courier New"/>
          <w:sz w:val="20"/>
          <w:szCs w:val="20"/>
          <w:bdr w:val="none" w:sz="0" w:space="0" w:color="auto"/>
          <w:lang w:val="es-ES"/>
        </w:rPr>
        <w:footnoteReference w:id="71"/>
      </w:r>
      <w:r w:rsidRPr="00836C24">
        <w:rPr>
          <w:rFonts w:asciiTheme="majorHAnsi" w:eastAsia="Times New Roman" w:hAnsiTheme="majorHAnsi" w:cs="Courier New"/>
          <w:sz w:val="20"/>
          <w:szCs w:val="20"/>
          <w:bdr w:val="none" w:sz="0" w:space="0" w:color="auto"/>
          <w:lang w:val="es-ES"/>
        </w:rPr>
        <w:t xml:space="preserve">. </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Según informó el Estado ante la CIDH el 24 de julio de 2007, solicitó información al Ministerio Público sobre la investigación, el cual indicó que “las hipótesis que se manejan respecto a la muerte violenta del señor</w:t>
      </w:r>
      <w:r w:rsidRPr="00836C24">
        <w:rPr>
          <w:rFonts w:asciiTheme="majorHAnsi" w:eastAsia="Times New Roman" w:hAnsiTheme="majorHAnsi" w:cs="Courier New"/>
          <w:i/>
          <w:sz w:val="20"/>
          <w:szCs w:val="20"/>
          <w:bdr w:val="none" w:sz="0" w:space="0" w:color="auto"/>
          <w:lang w:val="es-ES"/>
        </w:rPr>
        <w:t xml:space="preserve"> </w:t>
      </w:r>
      <w:r w:rsidRPr="00836C24">
        <w:rPr>
          <w:rFonts w:asciiTheme="majorHAnsi" w:eastAsia="Times New Roman" w:hAnsiTheme="majorHAnsi" w:cs="Courier New"/>
          <w:sz w:val="20"/>
          <w:szCs w:val="20"/>
          <w:bdr w:val="none" w:sz="0" w:space="0" w:color="auto"/>
          <w:lang w:val="es-ES"/>
        </w:rPr>
        <w:t>HUGO HUMBERTO RUIZ FUENTES, se relaciona a la actividad a que se dedicaba y que por reserva de la investigación se excusa por no poder brindar mayor información”</w:t>
      </w:r>
      <w:r w:rsidRPr="00836C24">
        <w:rPr>
          <w:rStyle w:val="FootnoteReference"/>
          <w:rFonts w:asciiTheme="majorHAnsi" w:eastAsia="Times New Roman" w:hAnsiTheme="majorHAnsi" w:cs="Courier New"/>
          <w:sz w:val="20"/>
          <w:szCs w:val="20"/>
          <w:bdr w:val="none" w:sz="0" w:space="0" w:color="auto"/>
          <w:lang w:val="es-ES"/>
        </w:rPr>
        <w:footnoteReference w:id="72"/>
      </w:r>
      <w:r w:rsidRPr="00836C24">
        <w:rPr>
          <w:rFonts w:asciiTheme="majorHAnsi" w:eastAsia="Times New Roman" w:hAnsiTheme="majorHAnsi" w:cs="Courier New"/>
          <w:sz w:val="20"/>
          <w:szCs w:val="20"/>
          <w:bdr w:val="none" w:sz="0" w:space="0" w:color="auto"/>
          <w:lang w:val="es-ES"/>
        </w:rPr>
        <w:t xml:space="preserve">. </w:t>
      </w:r>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Por otra parte, y en relación con la segunda hipótesis, conforme otros medios de comunicación, el fallecimiento de la presunta víctima se debió a un enfrentamiento que este mantuvo con el Comando Élite que estaba tras la búsqueda de las personas fugadas de “El Infiernito”</w:t>
      </w:r>
      <w:r w:rsidRPr="00836C24">
        <w:rPr>
          <w:rStyle w:val="FootnoteReference"/>
          <w:rFonts w:asciiTheme="majorHAnsi" w:eastAsia="Times New Roman" w:hAnsiTheme="majorHAnsi" w:cs="Courier New"/>
          <w:sz w:val="20"/>
          <w:szCs w:val="20"/>
          <w:bdr w:val="none" w:sz="0" w:space="0" w:color="auto"/>
          <w:lang w:val="es-ES"/>
        </w:rPr>
        <w:footnoteReference w:id="73"/>
      </w:r>
      <w:r w:rsidRPr="00836C24">
        <w:rPr>
          <w:rFonts w:asciiTheme="majorHAnsi" w:eastAsia="Times New Roman" w:hAnsiTheme="majorHAnsi" w:cs="Courier New"/>
          <w:sz w:val="20"/>
          <w:szCs w:val="20"/>
          <w:bdr w:val="none" w:sz="0" w:space="0" w:color="auto"/>
          <w:lang w:val="es-ES"/>
        </w:rPr>
        <w:t>. Según un diario, el jefe del Servicio de Investigación Criminal (SIC) Victor Hugo Soto indicó respecto de la muerte de la presunta víctima que “cuando los detectives procedieron a solicitarle que se identificara, desenfundó una pistola y empezó a dispararles. En medio del fuego cruzado el prófugo cayó a media calle”</w:t>
      </w:r>
      <w:r w:rsidRPr="00836C24">
        <w:rPr>
          <w:rStyle w:val="FootnoteReference"/>
          <w:rFonts w:asciiTheme="majorHAnsi" w:eastAsia="Times New Roman" w:hAnsiTheme="majorHAnsi" w:cs="Courier New"/>
          <w:sz w:val="20"/>
          <w:szCs w:val="20"/>
          <w:bdr w:val="none" w:sz="0" w:space="0" w:color="auto"/>
          <w:lang w:val="es-ES"/>
        </w:rPr>
        <w:footnoteReference w:id="74"/>
      </w:r>
      <w:r w:rsidRPr="00836C24">
        <w:rPr>
          <w:rFonts w:asciiTheme="majorHAnsi" w:eastAsia="Times New Roman" w:hAnsiTheme="majorHAnsi" w:cs="Courier New"/>
          <w:sz w:val="20"/>
          <w:szCs w:val="20"/>
          <w:bdr w:val="none" w:sz="0" w:space="0" w:color="auto"/>
          <w:lang w:val="es-ES"/>
        </w:rPr>
        <w:t xml:space="preserve">. </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A1139E"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Según</w:t>
      </w:r>
      <w:r w:rsidR="00073485" w:rsidRPr="00836C24">
        <w:rPr>
          <w:rFonts w:asciiTheme="majorHAnsi" w:eastAsia="Times New Roman" w:hAnsiTheme="majorHAnsi" w:cs="Courier New"/>
          <w:sz w:val="20"/>
          <w:szCs w:val="20"/>
          <w:bdr w:val="none" w:sz="0" w:space="0" w:color="auto"/>
          <w:lang w:val="es-VE"/>
        </w:rPr>
        <w:t xml:space="preserve"> otro diario, el entonces Vice-Ministro de Gobernación Enrique Godoy</w:t>
      </w:r>
      <w:r w:rsidRPr="00836C24">
        <w:rPr>
          <w:rFonts w:asciiTheme="majorHAnsi" w:eastAsia="Times New Roman" w:hAnsiTheme="majorHAnsi" w:cs="Courier New"/>
          <w:sz w:val="20"/>
          <w:szCs w:val="20"/>
          <w:bdr w:val="none" w:sz="0" w:space="0" w:color="auto"/>
          <w:lang w:val="es-VE"/>
        </w:rPr>
        <w:t>,</w:t>
      </w:r>
      <w:r w:rsidR="00073485" w:rsidRPr="00836C24">
        <w:rPr>
          <w:rFonts w:asciiTheme="majorHAnsi" w:eastAsia="Times New Roman" w:hAnsiTheme="majorHAnsi" w:cs="Courier New"/>
          <w:sz w:val="20"/>
          <w:szCs w:val="20"/>
          <w:bdr w:val="none" w:sz="0" w:space="0" w:color="auto"/>
          <w:lang w:val="es-VE"/>
        </w:rPr>
        <w:t xml:space="preserve"> declaró que “el prófugo</w:t>
      </w:r>
      <w:r w:rsidR="00073485" w:rsidRPr="00836C24">
        <w:rPr>
          <w:rFonts w:asciiTheme="majorHAnsi" w:hAnsiTheme="majorHAnsi"/>
          <w:color w:val="000000"/>
          <w:sz w:val="20"/>
          <w:szCs w:val="20"/>
          <w:lang w:val="es-ES_tradnl"/>
        </w:rPr>
        <w:t xml:space="preserve"> Hugo Humberto Ruiz Fuentes, fue muerto a tiros anoche por agentes del Plan Gavilán del Servicio de Investigación Criminal (SIC) tras una persecución ocurrida en Barberena, Santa Rosa</w:t>
      </w:r>
      <w:r w:rsidRPr="00836C24">
        <w:rPr>
          <w:rFonts w:asciiTheme="majorHAnsi" w:hAnsiTheme="majorHAnsi"/>
          <w:color w:val="000000"/>
          <w:sz w:val="20"/>
          <w:szCs w:val="20"/>
          <w:lang w:val="es-ES_tradnl"/>
        </w:rPr>
        <w:t>”</w:t>
      </w:r>
      <w:r w:rsidR="00073485" w:rsidRPr="00836C24">
        <w:rPr>
          <w:rStyle w:val="FootnoteReference"/>
          <w:rFonts w:asciiTheme="majorHAnsi" w:hAnsiTheme="majorHAnsi"/>
          <w:color w:val="000000"/>
          <w:sz w:val="20"/>
          <w:szCs w:val="20"/>
          <w:lang w:val="es-ES_tradnl"/>
        </w:rPr>
        <w:footnoteReference w:id="75"/>
      </w:r>
      <w:r w:rsidR="00073485" w:rsidRPr="00836C24">
        <w:rPr>
          <w:rFonts w:asciiTheme="majorHAnsi" w:hAnsiTheme="majorHAnsi"/>
          <w:color w:val="000000"/>
          <w:sz w:val="20"/>
          <w:szCs w:val="20"/>
          <w:lang w:val="es-ES_tradnl"/>
        </w:rPr>
        <w:t xml:space="preserve">. </w:t>
      </w:r>
    </w:p>
    <w:p w:rsidR="00073485" w:rsidRPr="00836C24" w:rsidRDefault="00073485" w:rsidP="00073485">
      <w:pPr>
        <w:pStyle w:val="ListParagrap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Asimismo, mediante escrito de 22 de noviembre de 2005, presentado ante la Corte Interamericana en el marco del trámite de las medidas provisionales otorgadas por dicho órgano, el Estado informó que el señor Hugo Humberto Ruiz Fuentes “durante su recaptura se opuso a ser detenido, desenfundando su arma, por lo que agentes del Servicio de Investigación Criminal. –SIC–, dispararon causándole la muerte”</w:t>
      </w:r>
      <w:r w:rsidRPr="00836C24">
        <w:rPr>
          <w:rStyle w:val="FootnoteReference"/>
          <w:rFonts w:asciiTheme="majorHAnsi" w:eastAsia="Times New Roman" w:hAnsiTheme="majorHAnsi" w:cs="Courier New"/>
          <w:sz w:val="20"/>
          <w:szCs w:val="20"/>
          <w:bdr w:val="none" w:sz="0" w:space="0" w:color="auto"/>
          <w:lang w:val="es-ES"/>
        </w:rPr>
        <w:footnoteReference w:id="76"/>
      </w:r>
      <w:r w:rsidRPr="00836C24">
        <w:rPr>
          <w:rFonts w:asciiTheme="majorHAnsi" w:eastAsia="Times New Roman" w:hAnsiTheme="majorHAnsi" w:cs="Courier New"/>
          <w:sz w:val="20"/>
          <w:szCs w:val="20"/>
          <w:bdr w:val="none" w:sz="0" w:space="0" w:color="auto"/>
          <w:lang w:val="es-ES"/>
        </w:rPr>
        <w:t>. Ante la CIDH, en escrito de 27 de julio de 2009 el Estado indicó que el señor Ruiz Fuentes fue uno de los prófugos fallecidos en el Plan Gavilán</w:t>
      </w:r>
      <w:r w:rsidRPr="00836C24">
        <w:rPr>
          <w:rStyle w:val="FootnoteReference"/>
          <w:rFonts w:asciiTheme="majorHAnsi" w:hAnsiTheme="majorHAnsi"/>
          <w:sz w:val="20"/>
          <w:szCs w:val="20"/>
          <w:lang w:val="es-VE"/>
        </w:rPr>
        <w:footnoteReference w:id="77"/>
      </w:r>
      <w:r w:rsidRPr="00836C24">
        <w:rPr>
          <w:rFonts w:asciiTheme="majorHAnsi" w:eastAsia="Times New Roman" w:hAnsiTheme="majorHAnsi" w:cs="Courier New"/>
          <w:sz w:val="20"/>
          <w:szCs w:val="20"/>
          <w:bdr w:val="none" w:sz="0" w:space="0" w:color="auto"/>
          <w:lang w:val="es-ES"/>
        </w:rPr>
        <w:t>.</w:t>
      </w:r>
    </w:p>
    <w:p w:rsidR="00073485" w:rsidRPr="00836C24" w:rsidRDefault="00073485" w:rsidP="00842AF1">
      <w:pPr>
        <w:pStyle w:val="Heading3"/>
        <w:numPr>
          <w:ilvl w:val="1"/>
          <w:numId w:val="69"/>
        </w:numPr>
        <w:ind w:left="1440" w:hanging="720"/>
        <w:rPr>
          <w:rFonts w:eastAsia="Times New Roman" w:cs="Courier New"/>
          <w:b w:val="0"/>
          <w:sz w:val="20"/>
          <w:szCs w:val="20"/>
          <w:bdr w:val="none" w:sz="0" w:space="0" w:color="auto"/>
          <w:lang w:val="es-ES"/>
        </w:rPr>
      </w:pPr>
      <w:bookmarkStart w:id="60" w:name="_Toc491441643"/>
      <w:r w:rsidRPr="00836C24">
        <w:rPr>
          <w:color w:val="auto"/>
          <w:sz w:val="20"/>
          <w:szCs w:val="20"/>
          <w:bdr w:val="none" w:sz="0" w:space="0" w:color="auto"/>
          <w:lang w:val="es-ES"/>
        </w:rPr>
        <w:t>Diligencia</w:t>
      </w:r>
      <w:r w:rsidR="008A2A9D" w:rsidRPr="00836C24">
        <w:rPr>
          <w:color w:val="auto"/>
          <w:sz w:val="20"/>
          <w:szCs w:val="20"/>
          <w:bdr w:val="none" w:sz="0" w:space="0" w:color="auto"/>
          <w:lang w:val="es-ES"/>
        </w:rPr>
        <w:t>s</w:t>
      </w:r>
      <w:r w:rsidRPr="00836C24">
        <w:rPr>
          <w:color w:val="auto"/>
          <w:sz w:val="20"/>
          <w:szCs w:val="20"/>
          <w:bdr w:val="none" w:sz="0" w:space="0" w:color="auto"/>
          <w:lang w:val="es-ES"/>
        </w:rPr>
        <w:t xml:space="preserve"> realizadas en la investigación</w:t>
      </w:r>
      <w:bookmarkEnd w:id="60"/>
    </w:p>
    <w:p w:rsidR="00073485" w:rsidRPr="00836C24" w:rsidRDefault="00073485" w:rsidP="0007348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8A2A9D" w:rsidRPr="00836C24" w:rsidRDefault="00073485" w:rsidP="008A2A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lastRenderedPageBreak/>
        <w:t>A continuación se describe la información que consta en el expediente sobre la investigación de la muerte de Hugo Humberto Ruiz Fuentes. El Estado informó que se realizaron una serie de diligencias en el marco de la investigación tales como la recepción de declaraciones testimoniales y de informes de la Unidad de Especialistas en Escena del Crimen, Sección de Balística del Departamento Técnico Científico, entre otras</w:t>
      </w:r>
      <w:r w:rsidRPr="00836C24">
        <w:rPr>
          <w:rStyle w:val="FootnoteReference"/>
          <w:rFonts w:asciiTheme="majorHAnsi" w:eastAsia="Times New Roman" w:hAnsiTheme="majorHAnsi" w:cs="Courier New"/>
          <w:sz w:val="20"/>
          <w:szCs w:val="20"/>
          <w:bdr w:val="none" w:sz="0" w:space="0" w:color="auto"/>
          <w:lang w:val="es-ES"/>
        </w:rPr>
        <w:footnoteReference w:id="78"/>
      </w:r>
      <w:r w:rsidRPr="00836C24">
        <w:rPr>
          <w:rFonts w:asciiTheme="majorHAnsi" w:eastAsia="Times New Roman" w:hAnsiTheme="majorHAnsi" w:cs="Courier New"/>
          <w:sz w:val="20"/>
          <w:szCs w:val="20"/>
          <w:bdr w:val="none" w:sz="0" w:space="0" w:color="auto"/>
          <w:lang w:val="es-ES"/>
        </w:rPr>
        <w:t xml:space="preserve">. </w:t>
      </w:r>
    </w:p>
    <w:p w:rsidR="008A2A9D" w:rsidRPr="00836C24" w:rsidRDefault="008A2A9D" w:rsidP="008A2A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cs="Courier New"/>
          <w:sz w:val="20"/>
          <w:szCs w:val="20"/>
          <w:bdr w:val="none" w:sz="0" w:space="0" w:color="auto"/>
          <w:lang w:val="es-ES"/>
        </w:rPr>
      </w:pPr>
      <w:r w:rsidRPr="00836C24">
        <w:rPr>
          <w:rFonts w:asciiTheme="majorHAnsi" w:eastAsia="Times New Roman" w:hAnsiTheme="majorHAnsi" w:cs="Courier New"/>
          <w:sz w:val="20"/>
          <w:szCs w:val="20"/>
          <w:bdr w:val="none" w:sz="0" w:space="0" w:color="auto"/>
          <w:lang w:val="es-ES"/>
        </w:rPr>
        <w:t>Asimismo, en informe de 22 de octubre de 2007 del Ministerio Público se indican diligencias realizadas. En particular, se menciona que los días 5 y 6 de septiembre de 2007 se contactó a los Jefes de las Unidades Anti-secuestros y homicidios de la Dirección de Investigación Criminal (DINC) de la Policía Nacional Civil quienes indicaron no conocer pormenores del “Plan Gavilán”. Asimismo, se intentó entrevistar al Comisario General Irrain Corado Zuñiga, Sub-Director General del DINC, a efectos de que proporcionara información sobre el Plan Gavilán, sin embargo no fue posible “a pesar de haber intentado hacerlo en varias oportunidades”</w:t>
      </w:r>
      <w:r w:rsidRPr="00836C24">
        <w:rPr>
          <w:rFonts w:asciiTheme="majorHAnsi" w:eastAsia="Times New Roman" w:hAnsiTheme="majorHAnsi" w:cs="Courier New"/>
          <w:sz w:val="20"/>
          <w:szCs w:val="20"/>
          <w:bdr w:val="none" w:sz="0" w:space="0" w:color="auto"/>
          <w:vertAlign w:val="superscript"/>
          <w:lang w:val="es-ES"/>
        </w:rPr>
        <w:footnoteReference w:id="79"/>
      </w:r>
      <w:r w:rsidRPr="00836C24">
        <w:rPr>
          <w:rFonts w:asciiTheme="majorHAnsi" w:eastAsia="Times New Roman" w:hAnsiTheme="majorHAnsi" w:cs="Courier New"/>
          <w:sz w:val="20"/>
          <w:szCs w:val="20"/>
          <w:bdr w:val="none" w:sz="0" w:space="0" w:color="auto"/>
          <w:lang w:val="es-ES"/>
        </w:rPr>
        <w:t>. También se indica que se citó al entonces Director General del DINC, Victor Hugo Soto Diéguez</w:t>
      </w:r>
      <w:r w:rsidR="00A1139E" w:rsidRPr="00836C24">
        <w:rPr>
          <w:rFonts w:asciiTheme="majorHAnsi" w:eastAsia="Times New Roman" w:hAnsiTheme="majorHAnsi" w:cs="Courier New"/>
          <w:sz w:val="20"/>
          <w:szCs w:val="20"/>
          <w:bdr w:val="none" w:sz="0" w:space="0" w:color="auto"/>
          <w:lang w:val="es-ES"/>
        </w:rPr>
        <w:t>,</w:t>
      </w:r>
      <w:r w:rsidRPr="00836C24">
        <w:rPr>
          <w:rFonts w:asciiTheme="majorHAnsi" w:eastAsia="Times New Roman" w:hAnsiTheme="majorHAnsi" w:cs="Courier New"/>
          <w:sz w:val="20"/>
          <w:szCs w:val="20"/>
          <w:bdr w:val="none" w:sz="0" w:space="0" w:color="auto"/>
          <w:lang w:val="es-ES"/>
        </w:rPr>
        <w:t xml:space="preserve"> a declarar el 21 de marzo del año 2006 y 26 de abril de 2006, pero que no se presentó a la cita</w:t>
      </w:r>
      <w:r w:rsidRPr="00836C24">
        <w:rPr>
          <w:rStyle w:val="FootnoteReference"/>
          <w:rFonts w:asciiTheme="majorHAnsi" w:eastAsia="Times New Roman" w:hAnsiTheme="majorHAnsi" w:cs="Courier New"/>
          <w:sz w:val="20"/>
          <w:szCs w:val="20"/>
          <w:bdr w:val="none" w:sz="0" w:space="0" w:color="auto"/>
          <w:lang w:val="es-ES"/>
        </w:rPr>
        <w:footnoteReference w:id="80"/>
      </w:r>
      <w:r w:rsidRPr="00836C24">
        <w:rPr>
          <w:rFonts w:asciiTheme="majorHAnsi" w:eastAsia="Times New Roman" w:hAnsiTheme="majorHAnsi" w:cs="Courier New"/>
          <w:sz w:val="20"/>
          <w:szCs w:val="20"/>
          <w:bdr w:val="none" w:sz="0" w:space="0" w:color="auto"/>
          <w:lang w:val="es-ES"/>
        </w:rPr>
        <w:t xml:space="preserve">. </w:t>
      </w:r>
    </w:p>
    <w:p w:rsidR="008A2A9D" w:rsidRPr="00836C24" w:rsidRDefault="008A2A9D" w:rsidP="008A2A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sz w:val="20"/>
          <w:szCs w:val="20"/>
          <w:bdr w:val="none" w:sz="0" w:space="0" w:color="auto"/>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eastAsia="Times New Roman" w:hAnsiTheme="majorHAnsi" w:cs="Courier New"/>
          <w:sz w:val="20"/>
          <w:szCs w:val="20"/>
          <w:bdr w:val="none" w:sz="0" w:space="0" w:color="auto"/>
          <w:lang w:val="es-ES"/>
        </w:rPr>
        <w:t xml:space="preserve">Por otra parte, resultó de la investigación que según la documentación de la escena del crimen, </w:t>
      </w:r>
      <w:r w:rsidRPr="00836C24">
        <w:rPr>
          <w:rFonts w:asciiTheme="majorHAnsi" w:hAnsiTheme="majorHAnsi"/>
          <w:sz w:val="20"/>
          <w:szCs w:val="20"/>
          <w:lang w:val="es-ES"/>
        </w:rPr>
        <w:t>la presunta víctima tenía en la mano “un arma de fuego, marca Jericho, calibre nueve milímetros, tipo pistola, en un lado del cañón se lee, novecientos cuarenta y uno F (941F) Israel Militari Industrie (IMI), con número de registro esmerilado, tolva para quince cartuchos, las que se encontraba vacía”</w:t>
      </w:r>
      <w:r w:rsidRPr="00836C24">
        <w:rPr>
          <w:rStyle w:val="FootnoteReference"/>
          <w:rFonts w:asciiTheme="majorHAnsi" w:hAnsiTheme="majorHAnsi"/>
          <w:sz w:val="20"/>
          <w:szCs w:val="20"/>
          <w:lang w:val="es-ES"/>
        </w:rPr>
        <w:footnoteReference w:id="81"/>
      </w:r>
      <w:r w:rsidRPr="00836C24">
        <w:rPr>
          <w:rFonts w:asciiTheme="majorHAnsi" w:hAnsiTheme="majorHAnsi"/>
          <w:sz w:val="20"/>
          <w:szCs w:val="20"/>
          <w:lang w:val="es-ES"/>
        </w:rPr>
        <w:t>. La Comisión observa que la Sección de Balística del Ministerio Público realizó un examen a dicha arma de fuego e indicó que “se procedió a realizar la prueba Fry, logrando recuperar la identificación 97321527”</w:t>
      </w:r>
      <w:r w:rsidRPr="00836C24">
        <w:rPr>
          <w:rStyle w:val="FootnoteReference"/>
          <w:rFonts w:asciiTheme="majorHAnsi" w:hAnsiTheme="majorHAnsi"/>
          <w:sz w:val="20"/>
          <w:szCs w:val="20"/>
          <w:lang w:val="es-ES"/>
        </w:rPr>
        <w:footnoteReference w:id="82"/>
      </w:r>
      <w:r w:rsidRPr="00836C24">
        <w:rPr>
          <w:rFonts w:asciiTheme="majorHAnsi" w:hAnsiTheme="majorHAnsi"/>
          <w:sz w:val="20"/>
          <w:szCs w:val="20"/>
          <w:lang w:val="es-ES"/>
        </w:rPr>
        <w:t>. Consta en el expediente que dicha arma de fuego es propiedad del Ministerio de Gobernación y estaba asignada al oficial Evin Rolando Choto Casimiro, razón por la cual se le inició un expediente administrativo por su responsabilidad en la pérdida del arma de fuego con número de registro 97321527</w:t>
      </w:r>
      <w:r w:rsidRPr="00836C24">
        <w:rPr>
          <w:rStyle w:val="FootnoteReference"/>
          <w:rFonts w:asciiTheme="majorHAnsi" w:hAnsiTheme="majorHAnsi"/>
          <w:sz w:val="20"/>
          <w:szCs w:val="20"/>
          <w:lang w:val="es-ES"/>
        </w:rPr>
        <w:footnoteReference w:id="83"/>
      </w:r>
      <w:r w:rsidRPr="00836C24">
        <w:rPr>
          <w:rFonts w:asciiTheme="majorHAnsi" w:hAnsiTheme="majorHAnsi"/>
          <w:sz w:val="20"/>
          <w:szCs w:val="20"/>
          <w:lang w:val="es-ES"/>
        </w:rPr>
        <w:t>. Asimismo, dicha arma de fuego no se encuentra reportada como robada</w:t>
      </w:r>
      <w:r w:rsidRPr="00836C24">
        <w:rPr>
          <w:rStyle w:val="FootnoteReference"/>
          <w:rFonts w:asciiTheme="majorHAnsi" w:hAnsiTheme="majorHAnsi"/>
          <w:sz w:val="20"/>
          <w:szCs w:val="20"/>
          <w:lang w:val="es-ES"/>
        </w:rPr>
        <w:footnoteReference w:id="84"/>
      </w:r>
      <w:r w:rsidRPr="00836C24">
        <w:rPr>
          <w:rFonts w:asciiTheme="majorHAnsi" w:hAnsiTheme="majorHAnsi"/>
          <w:sz w:val="20"/>
          <w:szCs w:val="20"/>
          <w:lang w:val="es-ES"/>
        </w:rPr>
        <w:t>.</w:t>
      </w:r>
    </w:p>
    <w:p w:rsidR="00073485" w:rsidRPr="00836C24" w:rsidRDefault="00073485" w:rsidP="00073485">
      <w:pPr>
        <w:rPr>
          <w:rFonts w:asciiTheme="majorHAnsi" w:hAnsiTheme="majorHAnsi"/>
          <w:sz w:val="20"/>
          <w:szCs w:val="20"/>
          <w:lang w:val="es-ES"/>
        </w:rPr>
      </w:pPr>
    </w:p>
    <w:p w:rsidR="00073485" w:rsidRPr="00836C24" w:rsidRDefault="00073485" w:rsidP="000734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Según informó el Oficial Tercero de la Policía Nacional Civil, el 31 de octubre de 2005, el oficial Evin Rolando Choto Casimiro asistió a una capacitación ambiental en la Municipalidad Metropolitana,  sin embargo finalizada dicha capacitación ya no se presentó a sus labores y “lleva faltando setenta y dos (72) horas de ausencia, sin haberse comunicado por ningún medio con</w:t>
      </w:r>
      <w:r w:rsidR="009B311A">
        <w:rPr>
          <w:rFonts w:asciiTheme="majorHAnsi" w:hAnsiTheme="majorHAnsi"/>
          <w:sz w:val="20"/>
          <w:szCs w:val="20"/>
          <w:lang w:val="es-ES"/>
        </w:rPr>
        <w:t xml:space="preserve"> algún mando de esta comisaría.</w:t>
      </w:r>
      <w:r w:rsidRPr="00836C24">
        <w:rPr>
          <w:rFonts w:asciiTheme="majorHAnsi" w:hAnsiTheme="majorHAnsi"/>
          <w:sz w:val="20"/>
          <w:szCs w:val="20"/>
          <w:lang w:val="es-ES"/>
        </w:rPr>
        <w:t xml:space="preserve"> Lleva consigo el equipo reglamentario consistente en: Un arma de fuego tipo pistola, calibre nueve milímetros, marca </w:t>
      </w:r>
      <w:r w:rsidR="00A1139E" w:rsidRPr="00836C24">
        <w:rPr>
          <w:rFonts w:asciiTheme="majorHAnsi" w:hAnsiTheme="majorHAnsi"/>
          <w:sz w:val="20"/>
          <w:szCs w:val="20"/>
          <w:lang w:val="es-ES"/>
        </w:rPr>
        <w:t>J</w:t>
      </w:r>
      <w:r w:rsidRPr="00836C24">
        <w:rPr>
          <w:rFonts w:asciiTheme="majorHAnsi" w:hAnsiTheme="majorHAnsi"/>
          <w:sz w:val="20"/>
          <w:szCs w:val="20"/>
          <w:lang w:val="es-ES"/>
        </w:rPr>
        <w:t>ericho, registro número 97321527 (…)”</w:t>
      </w:r>
      <w:r w:rsidRPr="00836C24">
        <w:rPr>
          <w:rStyle w:val="FootnoteReference"/>
          <w:rFonts w:asciiTheme="majorHAnsi" w:hAnsiTheme="majorHAnsi"/>
          <w:sz w:val="20"/>
          <w:szCs w:val="20"/>
          <w:lang w:val="es-ES"/>
        </w:rPr>
        <w:footnoteReference w:id="85"/>
      </w:r>
      <w:r w:rsidRPr="00836C24">
        <w:rPr>
          <w:rFonts w:asciiTheme="majorHAnsi" w:hAnsiTheme="majorHAnsi"/>
          <w:sz w:val="20"/>
          <w:szCs w:val="20"/>
          <w:lang w:val="es-ES"/>
        </w:rPr>
        <w:t>.</w:t>
      </w:r>
    </w:p>
    <w:p w:rsidR="00073485" w:rsidRPr="00836C24" w:rsidRDefault="00073485" w:rsidP="00073485">
      <w:pPr>
        <w:pStyle w:val="ListParagraph"/>
        <w:rPr>
          <w:rFonts w:asciiTheme="majorHAnsi" w:hAnsiTheme="majorHAnsi"/>
          <w:sz w:val="20"/>
          <w:szCs w:val="20"/>
          <w:lang w:val="es-ES"/>
        </w:rPr>
      </w:pPr>
    </w:p>
    <w:p w:rsidR="00073485" w:rsidRPr="00836C24" w:rsidRDefault="00073485" w:rsidP="003144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 xml:space="preserve">La Comisión no cuenta con información sobre los resultados de dicha investigación. La Comisión tampoco cuenta con información sobre diligencias adicionales en la investigación por la muerte del señor Ruiz Fuentes. </w:t>
      </w:r>
    </w:p>
    <w:p w:rsidR="00BE0AE3" w:rsidRPr="00836C24" w:rsidRDefault="00615076" w:rsidP="00842AF1">
      <w:pPr>
        <w:pStyle w:val="Heading3"/>
        <w:numPr>
          <w:ilvl w:val="1"/>
          <w:numId w:val="69"/>
        </w:numPr>
        <w:ind w:left="1440" w:hanging="720"/>
        <w:rPr>
          <w:rFonts w:eastAsia="Times New Roman" w:cs="Courier New"/>
          <w:sz w:val="20"/>
          <w:szCs w:val="20"/>
          <w:bdr w:val="none" w:sz="0" w:space="0" w:color="auto"/>
          <w:lang w:val="es-ES"/>
        </w:rPr>
      </w:pPr>
      <w:bookmarkStart w:id="61" w:name="_Toc491441644"/>
      <w:r w:rsidRPr="00836C24">
        <w:rPr>
          <w:color w:val="auto"/>
          <w:sz w:val="20"/>
          <w:szCs w:val="20"/>
          <w:bdr w:val="none" w:sz="0" w:space="0" w:color="auto"/>
          <w:lang w:val="es-ES"/>
        </w:rPr>
        <w:t>Otras investigaciones de las consecuencias</w:t>
      </w:r>
      <w:r w:rsidR="00BE0AE3" w:rsidRPr="00836C24">
        <w:rPr>
          <w:color w:val="auto"/>
          <w:sz w:val="20"/>
          <w:szCs w:val="20"/>
          <w:bdr w:val="none" w:sz="0" w:space="0" w:color="auto"/>
          <w:lang w:val="es-ES"/>
        </w:rPr>
        <w:t xml:space="preserve"> del “Plan Gavilán”</w:t>
      </w:r>
      <w:bookmarkEnd w:id="61"/>
    </w:p>
    <w:p w:rsidR="00BE0AE3" w:rsidRPr="00836C24" w:rsidRDefault="00BE0AE3" w:rsidP="00D6580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VE"/>
        </w:rPr>
      </w:pPr>
    </w:p>
    <w:p w:rsidR="005039D8" w:rsidRPr="00836C24" w:rsidRDefault="00EF0A91" w:rsidP="00EF0A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La Comisión toma nota que con</w:t>
      </w:r>
      <w:r w:rsidR="003144C5" w:rsidRPr="00836C24">
        <w:rPr>
          <w:rFonts w:asciiTheme="majorHAnsi" w:hAnsiTheme="majorHAnsi"/>
          <w:sz w:val="20"/>
          <w:szCs w:val="20"/>
          <w:lang w:val="es-VE"/>
        </w:rPr>
        <w:t xml:space="preserve">forme información de público conocimiento </w:t>
      </w:r>
      <w:r w:rsidRPr="00836C24">
        <w:rPr>
          <w:rFonts w:asciiTheme="majorHAnsi" w:hAnsiTheme="majorHAnsi"/>
          <w:sz w:val="20"/>
          <w:szCs w:val="20"/>
          <w:lang w:val="es-VE"/>
        </w:rPr>
        <w:t>el Estado guatemalteco realiz</w:t>
      </w:r>
      <w:r w:rsidR="00615076" w:rsidRPr="00836C24">
        <w:rPr>
          <w:rFonts w:asciiTheme="majorHAnsi" w:hAnsiTheme="majorHAnsi"/>
          <w:sz w:val="20"/>
          <w:szCs w:val="20"/>
          <w:lang w:val="es-VE"/>
        </w:rPr>
        <w:t>ó ciertas</w:t>
      </w:r>
      <w:r w:rsidRPr="00836C24">
        <w:rPr>
          <w:rFonts w:asciiTheme="majorHAnsi" w:hAnsiTheme="majorHAnsi"/>
          <w:sz w:val="20"/>
          <w:szCs w:val="20"/>
          <w:lang w:val="es-VE"/>
        </w:rPr>
        <w:t xml:space="preserve"> investigaciones penales para deducir responsabilidades derivadas de las consecuencias del operativo</w:t>
      </w:r>
      <w:r w:rsidR="00615076" w:rsidRPr="00836C24">
        <w:rPr>
          <w:rFonts w:asciiTheme="majorHAnsi" w:hAnsiTheme="majorHAnsi"/>
          <w:sz w:val="20"/>
          <w:szCs w:val="20"/>
          <w:lang w:val="es-VE"/>
        </w:rPr>
        <w:t xml:space="preserve"> y la muerte de algunos privados de libertad que se fugaron de la cárcel “El </w:t>
      </w:r>
      <w:r w:rsidR="00615076" w:rsidRPr="00836C24">
        <w:rPr>
          <w:rFonts w:asciiTheme="majorHAnsi" w:hAnsiTheme="majorHAnsi"/>
          <w:sz w:val="20"/>
          <w:szCs w:val="20"/>
          <w:lang w:val="es-VE"/>
        </w:rPr>
        <w:lastRenderedPageBreak/>
        <w:t>Infiernito”</w:t>
      </w:r>
      <w:r w:rsidRPr="00836C24">
        <w:rPr>
          <w:rFonts w:asciiTheme="majorHAnsi" w:hAnsiTheme="majorHAnsi"/>
          <w:sz w:val="20"/>
          <w:szCs w:val="20"/>
          <w:lang w:val="es-VE"/>
        </w:rPr>
        <w:t>. En particular, s</w:t>
      </w:r>
      <w:r w:rsidR="005039D8" w:rsidRPr="00836C24">
        <w:rPr>
          <w:rFonts w:asciiTheme="majorHAnsi" w:hAnsiTheme="majorHAnsi"/>
          <w:sz w:val="20"/>
          <w:szCs w:val="20"/>
          <w:lang w:val="es-VE"/>
        </w:rPr>
        <w:t>egún información de público conocimiento el 8 de agosto de 2013, el Tribunal Primero de Mayor Riesgo B emitió sentencia condenatoria en contra de Víctor Manuel Ramos Molina y Axel Arnoldo Martínez Arreaza por la ejecución extrajudicial de Edwin Estuardo Santacruz</w:t>
      </w:r>
      <w:r w:rsidR="00385DF9" w:rsidRPr="00836C24">
        <w:rPr>
          <w:rFonts w:asciiTheme="majorHAnsi" w:hAnsiTheme="majorHAnsi"/>
          <w:sz w:val="20"/>
          <w:szCs w:val="20"/>
          <w:lang w:val="es-VE"/>
        </w:rPr>
        <w:t>, una de las personas fugadas de la cárcel “El infiernito”</w:t>
      </w:r>
      <w:r w:rsidR="005039D8" w:rsidRPr="00836C24">
        <w:rPr>
          <w:rStyle w:val="FootnoteReference"/>
          <w:rFonts w:asciiTheme="majorHAnsi" w:hAnsiTheme="majorHAnsi"/>
          <w:sz w:val="20"/>
          <w:szCs w:val="20"/>
          <w:lang w:val="es-VE"/>
        </w:rPr>
        <w:footnoteReference w:id="86"/>
      </w:r>
      <w:r w:rsidR="005039D8" w:rsidRPr="00836C24">
        <w:rPr>
          <w:rFonts w:asciiTheme="majorHAnsi" w:hAnsiTheme="majorHAnsi"/>
          <w:sz w:val="20"/>
          <w:szCs w:val="20"/>
          <w:lang w:val="es-VE"/>
        </w:rPr>
        <w:t xml:space="preserve">. En la misma fecha, condenó a 22 de años de cárcel por el delito de ejecución extrajudicial de </w:t>
      </w:r>
      <w:r w:rsidR="00311085" w:rsidRPr="00836C24">
        <w:rPr>
          <w:rFonts w:asciiTheme="majorHAnsi" w:hAnsiTheme="majorHAnsi"/>
          <w:sz w:val="20"/>
          <w:szCs w:val="20"/>
          <w:lang w:val="es-VE"/>
        </w:rPr>
        <w:t>d</w:t>
      </w:r>
      <w:r w:rsidR="005039D8" w:rsidRPr="00836C24">
        <w:rPr>
          <w:rFonts w:asciiTheme="majorHAnsi" w:hAnsiTheme="majorHAnsi"/>
          <w:sz w:val="20"/>
          <w:szCs w:val="20"/>
          <w:lang w:val="es-VE"/>
        </w:rPr>
        <w:t xml:space="preserve"> reos en las cárceles de Pavón e Infiernito ocurridas entre 2005 y 2006, a Víctor Hugo Soto Diéguez, ex jefe de Investigación Criminal de la Policía Nacional Civil</w:t>
      </w:r>
      <w:r w:rsidR="005039D8" w:rsidRPr="00836C24">
        <w:rPr>
          <w:rStyle w:val="FootnoteReference"/>
          <w:rFonts w:asciiTheme="majorHAnsi" w:hAnsiTheme="majorHAnsi"/>
          <w:sz w:val="20"/>
          <w:szCs w:val="20"/>
          <w:lang w:val="es-VE"/>
        </w:rPr>
        <w:footnoteReference w:id="87"/>
      </w:r>
      <w:r w:rsidR="005039D8" w:rsidRPr="00836C24">
        <w:rPr>
          <w:rFonts w:asciiTheme="majorHAnsi" w:hAnsiTheme="majorHAnsi"/>
          <w:sz w:val="20"/>
          <w:szCs w:val="20"/>
          <w:lang w:val="es-VE"/>
        </w:rPr>
        <w:t xml:space="preserve"> .</w:t>
      </w:r>
    </w:p>
    <w:p w:rsidR="00385DF9" w:rsidRPr="00836C24" w:rsidRDefault="00385DF9" w:rsidP="00385D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FB40F7" w:rsidRPr="00836C24" w:rsidRDefault="005039D8" w:rsidP="00D658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Según información de la Comisión Internacional contra la Impunidad en Guatemala, el Tribunal de Mayor Riesgo B se refirió a las muertes de los prófugos de la cárcel “El Infiernito” y señal</w:t>
      </w:r>
      <w:r w:rsidR="00A1139E" w:rsidRPr="00836C24">
        <w:rPr>
          <w:rFonts w:asciiTheme="majorHAnsi" w:hAnsiTheme="majorHAnsi"/>
          <w:sz w:val="20"/>
          <w:szCs w:val="20"/>
          <w:lang w:val="es-VE"/>
        </w:rPr>
        <w:t>ó</w:t>
      </w:r>
      <w:r w:rsidRPr="00836C24">
        <w:rPr>
          <w:rFonts w:asciiTheme="majorHAnsi" w:hAnsiTheme="majorHAnsi"/>
          <w:sz w:val="20"/>
          <w:szCs w:val="20"/>
          <w:lang w:val="es-VE"/>
        </w:rPr>
        <w:t xml:space="preserve"> que “fue evidente la injerencia que hubo de las autoridades en las acciones realizadas para la ejecución extrajudicial de los prófugos” y agregó que “las investigaciones determinaron que se creó una estructura paralela dentro del Estado que tuvo el poder de ejecutar extrajudicialmente a quien ellos consideraban </w:t>
      </w:r>
      <w:r w:rsidR="004A1252" w:rsidRPr="00836C24">
        <w:rPr>
          <w:rFonts w:asciiTheme="majorHAnsi" w:hAnsiTheme="majorHAnsi"/>
          <w:sz w:val="20"/>
          <w:szCs w:val="20"/>
          <w:lang w:val="es-VE"/>
        </w:rPr>
        <w:t>‘</w:t>
      </w:r>
      <w:r w:rsidRPr="00836C24">
        <w:rPr>
          <w:rFonts w:asciiTheme="majorHAnsi" w:hAnsiTheme="majorHAnsi"/>
          <w:sz w:val="20"/>
          <w:szCs w:val="20"/>
          <w:lang w:val="es-VE"/>
        </w:rPr>
        <w:t>lacras</w:t>
      </w:r>
      <w:r w:rsidR="004A1252" w:rsidRPr="00836C24">
        <w:rPr>
          <w:rFonts w:asciiTheme="majorHAnsi" w:hAnsiTheme="majorHAnsi"/>
          <w:sz w:val="20"/>
          <w:szCs w:val="20"/>
          <w:lang w:val="es-VE"/>
        </w:rPr>
        <w:t>’</w:t>
      </w:r>
      <w:r w:rsidRPr="00836C24">
        <w:rPr>
          <w:rFonts w:asciiTheme="majorHAnsi" w:hAnsiTheme="majorHAnsi"/>
          <w:sz w:val="20"/>
          <w:szCs w:val="20"/>
          <w:lang w:val="es-VE"/>
        </w:rPr>
        <w:t xml:space="preserve"> y enemigos de la sociedad”. </w:t>
      </w:r>
      <w:r w:rsidR="00D8428A" w:rsidRPr="00836C24">
        <w:rPr>
          <w:rFonts w:asciiTheme="majorHAnsi" w:hAnsiTheme="majorHAnsi"/>
          <w:sz w:val="20"/>
          <w:szCs w:val="20"/>
          <w:lang w:val="es-VE"/>
        </w:rPr>
        <w:t xml:space="preserve">Dicho Tribunal agregó que </w:t>
      </w:r>
      <w:r w:rsidR="00E06934" w:rsidRPr="00836C24">
        <w:rPr>
          <w:rFonts w:asciiTheme="majorHAnsi" w:hAnsiTheme="majorHAnsi"/>
          <w:sz w:val="20"/>
          <w:szCs w:val="20"/>
          <w:lang w:val="es-VE"/>
        </w:rPr>
        <w:t>“</w:t>
      </w:r>
      <w:r w:rsidR="00D8428A" w:rsidRPr="00836C24">
        <w:rPr>
          <w:rFonts w:asciiTheme="majorHAnsi" w:hAnsiTheme="majorHAnsi"/>
          <w:sz w:val="20"/>
          <w:szCs w:val="20"/>
          <w:lang w:val="es-VE"/>
        </w:rPr>
        <w:t>e</w:t>
      </w:r>
      <w:r w:rsidRPr="00836C24">
        <w:rPr>
          <w:rFonts w:asciiTheme="majorHAnsi" w:hAnsiTheme="majorHAnsi"/>
          <w:sz w:val="20"/>
          <w:szCs w:val="20"/>
          <w:lang w:val="es-VE"/>
        </w:rPr>
        <w:t>ste grupo utilizó todo el poder y la maquinaria del Estado para llevar a cabo su actuar delictivo, y al mismo tiempo lograr la impunidad de sus actos a sabiendas de que los mismos estaban fuera de la ley”</w:t>
      </w:r>
      <w:r w:rsidRPr="00836C24">
        <w:rPr>
          <w:rStyle w:val="FootnoteReference"/>
          <w:rFonts w:asciiTheme="majorHAnsi" w:hAnsiTheme="majorHAnsi"/>
          <w:sz w:val="20"/>
          <w:szCs w:val="20"/>
          <w:lang w:val="es-VE"/>
        </w:rPr>
        <w:footnoteReference w:id="88"/>
      </w:r>
      <w:r w:rsidRPr="00836C24">
        <w:rPr>
          <w:rFonts w:asciiTheme="majorHAnsi" w:hAnsiTheme="majorHAnsi"/>
          <w:sz w:val="20"/>
          <w:szCs w:val="20"/>
          <w:lang w:val="es-VE"/>
        </w:rPr>
        <w:t>.</w:t>
      </w:r>
      <w:r w:rsidRPr="00836C24">
        <w:rPr>
          <w:rFonts w:asciiTheme="majorHAnsi" w:hAnsiTheme="majorHAnsi"/>
          <w:i/>
          <w:sz w:val="20"/>
          <w:szCs w:val="20"/>
          <w:lang w:val="es-VE"/>
        </w:rPr>
        <w:t xml:space="preserve"> </w:t>
      </w:r>
      <w:r w:rsidR="00FB40F7" w:rsidRPr="00836C24">
        <w:rPr>
          <w:rFonts w:asciiTheme="majorHAnsi" w:hAnsiTheme="majorHAnsi"/>
          <w:sz w:val="20"/>
          <w:szCs w:val="20"/>
          <w:lang w:val="es-VE"/>
        </w:rPr>
        <w:t xml:space="preserve">También se encuentra sometido a proceso penal </w:t>
      </w:r>
      <w:r w:rsidR="00541139" w:rsidRPr="00836C24">
        <w:rPr>
          <w:rFonts w:asciiTheme="majorHAnsi" w:hAnsiTheme="majorHAnsi"/>
          <w:sz w:val="20"/>
          <w:szCs w:val="20"/>
          <w:lang w:val="es-VE"/>
        </w:rPr>
        <w:t xml:space="preserve">en España, </w:t>
      </w:r>
      <w:r w:rsidR="00FB40F7" w:rsidRPr="00836C24">
        <w:rPr>
          <w:rFonts w:asciiTheme="majorHAnsi" w:hAnsiTheme="majorHAnsi"/>
          <w:sz w:val="20"/>
          <w:szCs w:val="20"/>
          <w:lang w:val="es-VE"/>
        </w:rPr>
        <w:t>por los hechos mencionados, el ex Ministro de Gobernación en el momento en que ocurrieron los hechos</w:t>
      </w:r>
      <w:r w:rsidR="00FB40F7" w:rsidRPr="00836C24">
        <w:rPr>
          <w:rStyle w:val="FootnoteReference"/>
          <w:rFonts w:asciiTheme="majorHAnsi" w:hAnsiTheme="majorHAnsi"/>
          <w:sz w:val="20"/>
          <w:szCs w:val="20"/>
          <w:lang w:val="es-VE"/>
        </w:rPr>
        <w:footnoteReference w:id="89"/>
      </w:r>
      <w:r w:rsidR="00FB40F7" w:rsidRPr="00836C24">
        <w:rPr>
          <w:rFonts w:asciiTheme="majorHAnsi" w:hAnsiTheme="majorHAnsi"/>
          <w:sz w:val="20"/>
          <w:szCs w:val="20"/>
          <w:lang w:val="es-VE"/>
        </w:rPr>
        <w:t xml:space="preserve">. </w:t>
      </w:r>
    </w:p>
    <w:p w:rsidR="00FB40F7" w:rsidRPr="00836C24" w:rsidRDefault="00FB40F7" w:rsidP="00FB40F7">
      <w:pPr>
        <w:pStyle w:val="ListParagraph"/>
        <w:rPr>
          <w:rFonts w:asciiTheme="majorHAnsi" w:hAnsiTheme="majorHAnsi"/>
          <w:sz w:val="20"/>
          <w:szCs w:val="20"/>
          <w:lang w:val="es-VE"/>
        </w:rPr>
      </w:pPr>
    </w:p>
    <w:p w:rsidR="00F50CA8" w:rsidRPr="00836C24" w:rsidRDefault="005039D8" w:rsidP="005F272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lang w:val="es-VE"/>
        </w:rPr>
      </w:pPr>
      <w:r w:rsidRPr="00836C24">
        <w:rPr>
          <w:rFonts w:asciiTheme="majorHAnsi" w:hAnsiTheme="majorHAnsi"/>
          <w:sz w:val="20"/>
          <w:szCs w:val="20"/>
          <w:lang w:val="es-VE"/>
        </w:rPr>
        <w:t>La Comisión observa que en el mismo sentido, el Relator Especial sobre las ejecuciones extrajudiciales, sumarias o arbitrarias a propósito de su visita a Guatemala entre el 21 y el 25 de agosto de 2006, denunció la existencia de grupos dedicados a la limpieza social en la Policía Nacional Civil. En sus palabras: “la limpieza social es algo más que la actuación de unos pocos agentes corruptos” y agregó que todavía “siguen funcionando grupos dedicados a la limpieza social en la Policía Nacional Civil”</w:t>
      </w:r>
      <w:r w:rsidRPr="00836C24">
        <w:rPr>
          <w:rStyle w:val="FootnoteReference"/>
          <w:rFonts w:asciiTheme="majorHAnsi" w:hAnsiTheme="majorHAnsi"/>
          <w:sz w:val="20"/>
          <w:szCs w:val="20"/>
          <w:lang w:val="es-VE"/>
        </w:rPr>
        <w:footnoteReference w:id="90"/>
      </w:r>
      <w:r w:rsidRPr="00836C24">
        <w:rPr>
          <w:rFonts w:asciiTheme="majorHAnsi" w:hAnsiTheme="majorHAnsi"/>
          <w:sz w:val="20"/>
          <w:szCs w:val="20"/>
          <w:lang w:val="es-VE"/>
        </w:rPr>
        <w:t>.También refirió que “los incidentes de limpieza social no son investigados eficazmente, de modo que los datos oficiales no dan una idea de su prevalencia</w:t>
      </w:r>
      <w:r w:rsidR="00DE59B5" w:rsidRPr="00836C24">
        <w:rPr>
          <w:rFonts w:asciiTheme="majorHAnsi" w:hAnsiTheme="majorHAnsi"/>
          <w:sz w:val="20"/>
          <w:szCs w:val="20"/>
          <w:lang w:val="es-VE"/>
        </w:rPr>
        <w:t>”</w:t>
      </w:r>
      <w:r w:rsidRPr="00836C24">
        <w:rPr>
          <w:rStyle w:val="FootnoteReference"/>
          <w:rFonts w:asciiTheme="majorHAnsi" w:hAnsiTheme="majorHAnsi"/>
          <w:sz w:val="20"/>
          <w:szCs w:val="20"/>
          <w:lang w:val="es-VE"/>
        </w:rPr>
        <w:footnoteReference w:id="91"/>
      </w:r>
      <w:r w:rsidRPr="00836C24">
        <w:rPr>
          <w:lang w:val="es-VE"/>
        </w:rPr>
        <w:t>.</w:t>
      </w:r>
      <w:r w:rsidRPr="00836C24">
        <w:rPr>
          <w:i/>
          <w:lang w:val="es-VE"/>
        </w:rPr>
        <w:t xml:space="preserve"> </w:t>
      </w:r>
      <w:bookmarkStart w:id="62" w:name="_Toc423514424"/>
      <w:bookmarkStart w:id="63" w:name="_Toc433115991"/>
      <w:bookmarkStart w:id="64" w:name="_Toc444958132"/>
      <w:bookmarkStart w:id="65" w:name="_Toc457824495"/>
    </w:p>
    <w:p w:rsidR="00842AF1" w:rsidRPr="00836C24" w:rsidRDefault="00842AF1" w:rsidP="00842AF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1D4C89" w:rsidRPr="00836C24" w:rsidRDefault="001D4C89" w:rsidP="00073485">
      <w:pPr>
        <w:pStyle w:val="Heading1"/>
        <w:numPr>
          <w:ilvl w:val="0"/>
          <w:numId w:val="55"/>
        </w:numPr>
      </w:pPr>
      <w:bookmarkStart w:id="66" w:name="_Toc475546054"/>
      <w:bookmarkStart w:id="67" w:name="_Toc483500316"/>
      <w:bookmarkStart w:id="68" w:name="_Toc491441645"/>
      <w:r w:rsidRPr="00836C24">
        <w:t>AN</w:t>
      </w:r>
      <w:r w:rsidR="00DE59B5" w:rsidRPr="00836C24">
        <w:t>Á</w:t>
      </w:r>
      <w:r w:rsidRPr="00836C24">
        <w:t>LISIS DE DERECHO</w:t>
      </w:r>
      <w:bookmarkEnd w:id="62"/>
      <w:bookmarkEnd w:id="63"/>
      <w:bookmarkEnd w:id="64"/>
      <w:bookmarkEnd w:id="65"/>
      <w:bookmarkEnd w:id="66"/>
      <w:bookmarkEnd w:id="67"/>
      <w:bookmarkEnd w:id="68"/>
      <w:r w:rsidRPr="00836C24">
        <w:t xml:space="preserve"> </w:t>
      </w:r>
    </w:p>
    <w:p w:rsidR="00F236EB" w:rsidRPr="00836C24" w:rsidRDefault="00F236EB" w:rsidP="005F27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eastAsia="Times New Roman" w:hAnsiTheme="majorHAnsi" w:cs="Courier New"/>
          <w:color w:val="212121"/>
          <w:sz w:val="20"/>
          <w:szCs w:val="20"/>
          <w:bdr w:val="none" w:sz="0" w:space="0" w:color="auto"/>
          <w:lang w:val="es-ES"/>
        </w:rPr>
      </w:pPr>
    </w:p>
    <w:p w:rsidR="00C17F6D" w:rsidRPr="00836C24" w:rsidRDefault="00092133" w:rsidP="008A53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0"/>
          <w:tab w:val="num" w:pos="720"/>
          <w:tab w:val="left" w:pos="1440"/>
          <w:tab w:val="num" w:pos="2040"/>
        </w:tabs>
        <w:ind w:left="0" w:firstLine="720"/>
        <w:jc w:val="both"/>
        <w:rPr>
          <w:rFonts w:asciiTheme="majorHAnsi" w:hAnsiTheme="majorHAnsi"/>
          <w:sz w:val="20"/>
          <w:szCs w:val="20"/>
          <w:lang w:val="es-ES"/>
        </w:rPr>
      </w:pPr>
      <w:r w:rsidRPr="00836C24">
        <w:rPr>
          <w:rFonts w:asciiTheme="majorHAnsi" w:hAnsiTheme="majorHAnsi"/>
          <w:sz w:val="20"/>
          <w:szCs w:val="20"/>
          <w:lang w:val="es-ES"/>
        </w:rPr>
        <w:t xml:space="preserve">Tomando en cuenta los alegatos de las partes </w:t>
      </w:r>
      <w:r w:rsidR="00FA7D7F" w:rsidRPr="00836C24">
        <w:rPr>
          <w:rFonts w:asciiTheme="majorHAnsi" w:hAnsiTheme="majorHAnsi"/>
          <w:sz w:val="20"/>
          <w:szCs w:val="20"/>
          <w:lang w:val="es-ES"/>
        </w:rPr>
        <w:t xml:space="preserve">y </w:t>
      </w:r>
      <w:r w:rsidRPr="00836C24">
        <w:rPr>
          <w:rFonts w:asciiTheme="majorHAnsi" w:hAnsiTheme="majorHAnsi"/>
          <w:sz w:val="20"/>
          <w:szCs w:val="20"/>
          <w:lang w:val="es-ES"/>
        </w:rPr>
        <w:t xml:space="preserve">los hechos probados, la Comisión efectuará su análisis de derecho de la siguiente forma: A. </w:t>
      </w:r>
      <w:r w:rsidR="009B4EDE" w:rsidRPr="00836C24">
        <w:rPr>
          <w:rFonts w:asciiTheme="majorHAnsi" w:hAnsiTheme="majorHAnsi"/>
          <w:sz w:val="20"/>
          <w:szCs w:val="20"/>
          <w:lang w:val="es-ES"/>
        </w:rPr>
        <w:t xml:space="preserve">Derechos a la vida, </w:t>
      </w:r>
      <w:r w:rsidR="00066EF0" w:rsidRPr="00836C24">
        <w:rPr>
          <w:rFonts w:asciiTheme="majorHAnsi" w:hAnsiTheme="majorHAnsi"/>
          <w:sz w:val="20"/>
          <w:szCs w:val="20"/>
          <w:lang w:val="es-ES"/>
        </w:rPr>
        <w:t xml:space="preserve">garantías judiciales y protección judicial </w:t>
      </w:r>
      <w:r w:rsidR="006960F5" w:rsidRPr="00836C24">
        <w:rPr>
          <w:rFonts w:asciiTheme="majorHAnsi" w:hAnsiTheme="majorHAnsi"/>
          <w:sz w:val="20"/>
          <w:szCs w:val="20"/>
          <w:lang w:val="es-ES"/>
        </w:rPr>
        <w:t xml:space="preserve">en el marco del proceso que culminó con </w:t>
      </w:r>
      <w:r w:rsidR="00066EF0" w:rsidRPr="00836C24">
        <w:rPr>
          <w:rFonts w:asciiTheme="majorHAnsi" w:hAnsiTheme="majorHAnsi"/>
          <w:sz w:val="20"/>
          <w:szCs w:val="20"/>
          <w:lang w:val="es-ES"/>
        </w:rPr>
        <w:t>la imposición de la pena de muerte</w:t>
      </w:r>
      <w:r w:rsidR="002A4C8A" w:rsidRPr="00836C24">
        <w:rPr>
          <w:rFonts w:asciiTheme="majorHAnsi" w:hAnsiTheme="majorHAnsi"/>
          <w:sz w:val="20"/>
          <w:szCs w:val="20"/>
          <w:lang w:val="es-ES"/>
        </w:rPr>
        <w:t xml:space="preserve"> y la inexistencia de un procedimiento previsto por la ley para conocer el</w:t>
      </w:r>
      <w:r w:rsidR="0033135F" w:rsidRPr="00836C24">
        <w:rPr>
          <w:rFonts w:asciiTheme="majorHAnsi" w:hAnsiTheme="majorHAnsi"/>
          <w:sz w:val="20"/>
          <w:szCs w:val="20"/>
          <w:lang w:val="es-ES"/>
        </w:rPr>
        <w:t xml:space="preserve"> recurso de gracia</w:t>
      </w:r>
      <w:r w:rsidR="006960F5" w:rsidRPr="00836C24">
        <w:rPr>
          <w:rFonts w:asciiTheme="majorHAnsi" w:hAnsiTheme="majorHAnsi"/>
          <w:sz w:val="20"/>
          <w:szCs w:val="20"/>
          <w:lang w:val="es-ES"/>
        </w:rPr>
        <w:t>;</w:t>
      </w:r>
      <w:r w:rsidR="0033135F" w:rsidRPr="00836C24">
        <w:rPr>
          <w:rFonts w:asciiTheme="majorHAnsi" w:hAnsiTheme="majorHAnsi"/>
          <w:sz w:val="20"/>
          <w:szCs w:val="20"/>
          <w:lang w:val="es-ES"/>
        </w:rPr>
        <w:t xml:space="preserve"> B</w:t>
      </w:r>
      <w:r w:rsidRPr="00836C24">
        <w:rPr>
          <w:rFonts w:asciiTheme="majorHAnsi" w:hAnsiTheme="majorHAnsi"/>
          <w:sz w:val="20"/>
          <w:szCs w:val="20"/>
          <w:lang w:val="es-ES"/>
        </w:rPr>
        <w:t xml:space="preserve">. Derecho a la integridad personal </w:t>
      </w:r>
      <w:r w:rsidR="000C4F2A" w:rsidRPr="00836C24">
        <w:rPr>
          <w:rFonts w:asciiTheme="majorHAnsi" w:hAnsiTheme="majorHAnsi"/>
          <w:sz w:val="20"/>
          <w:szCs w:val="20"/>
          <w:lang w:val="es-ES"/>
        </w:rPr>
        <w:t>con respecto al</w:t>
      </w:r>
      <w:r w:rsidRPr="00836C24">
        <w:rPr>
          <w:rFonts w:asciiTheme="majorHAnsi" w:hAnsiTheme="majorHAnsi"/>
          <w:sz w:val="20"/>
          <w:szCs w:val="20"/>
          <w:lang w:val="es-ES"/>
        </w:rPr>
        <w:t xml:space="preserve"> fenóm</w:t>
      </w:r>
      <w:r w:rsidR="000C4F2A" w:rsidRPr="00836C24">
        <w:rPr>
          <w:rFonts w:asciiTheme="majorHAnsi" w:hAnsiTheme="majorHAnsi"/>
          <w:sz w:val="20"/>
          <w:szCs w:val="20"/>
          <w:lang w:val="es-ES"/>
        </w:rPr>
        <w:t>eno del “corredor de la muerte”</w:t>
      </w:r>
      <w:r w:rsidR="006D507E" w:rsidRPr="00836C24">
        <w:rPr>
          <w:rFonts w:asciiTheme="majorHAnsi" w:hAnsiTheme="majorHAnsi"/>
          <w:sz w:val="20"/>
          <w:szCs w:val="20"/>
          <w:lang w:val="es-ES"/>
        </w:rPr>
        <w:t xml:space="preserve"> y disposiciones relevantes de la CIPST</w:t>
      </w:r>
      <w:r w:rsidR="000C4F2A" w:rsidRPr="00836C24">
        <w:rPr>
          <w:rFonts w:asciiTheme="majorHAnsi" w:hAnsiTheme="majorHAnsi"/>
          <w:sz w:val="20"/>
          <w:szCs w:val="20"/>
          <w:lang w:val="es-ES"/>
        </w:rPr>
        <w:t xml:space="preserve">; </w:t>
      </w:r>
      <w:r w:rsidR="00515D9C" w:rsidRPr="00836C24">
        <w:rPr>
          <w:rFonts w:asciiTheme="majorHAnsi" w:hAnsiTheme="majorHAnsi"/>
          <w:sz w:val="20"/>
          <w:szCs w:val="20"/>
          <w:lang w:val="es-ES"/>
        </w:rPr>
        <w:t>C</w:t>
      </w:r>
      <w:r w:rsidR="000C4F2A" w:rsidRPr="00836C24">
        <w:rPr>
          <w:rFonts w:asciiTheme="majorHAnsi" w:hAnsiTheme="majorHAnsi"/>
          <w:sz w:val="20"/>
          <w:szCs w:val="20"/>
          <w:lang w:val="es-ES"/>
        </w:rPr>
        <w:t xml:space="preserve">. </w:t>
      </w:r>
      <w:r w:rsidRPr="00836C24">
        <w:rPr>
          <w:rFonts w:asciiTheme="majorHAnsi" w:hAnsiTheme="majorHAnsi"/>
          <w:sz w:val="20"/>
          <w:szCs w:val="20"/>
          <w:lang w:val="es-ES"/>
        </w:rPr>
        <w:t>Derecho</w:t>
      </w:r>
      <w:r w:rsidR="00515D9C" w:rsidRPr="00836C24">
        <w:rPr>
          <w:rFonts w:asciiTheme="majorHAnsi" w:hAnsiTheme="majorHAnsi"/>
          <w:sz w:val="20"/>
          <w:szCs w:val="20"/>
          <w:lang w:val="es-ES"/>
        </w:rPr>
        <w:t>s</w:t>
      </w:r>
      <w:r w:rsidRPr="00836C24">
        <w:rPr>
          <w:rFonts w:asciiTheme="majorHAnsi" w:hAnsiTheme="majorHAnsi"/>
          <w:sz w:val="20"/>
          <w:szCs w:val="20"/>
          <w:lang w:val="es-ES"/>
        </w:rPr>
        <w:t xml:space="preserve"> a </w:t>
      </w:r>
      <w:r w:rsidR="00A52C7A" w:rsidRPr="00836C24">
        <w:rPr>
          <w:rFonts w:asciiTheme="majorHAnsi" w:hAnsiTheme="majorHAnsi"/>
          <w:sz w:val="20"/>
          <w:szCs w:val="20"/>
          <w:lang w:val="es-ES"/>
        </w:rPr>
        <w:t xml:space="preserve">la </w:t>
      </w:r>
      <w:r w:rsidRPr="00836C24">
        <w:rPr>
          <w:rFonts w:asciiTheme="majorHAnsi" w:hAnsiTheme="majorHAnsi"/>
          <w:sz w:val="20"/>
          <w:szCs w:val="20"/>
          <w:lang w:val="es-ES"/>
        </w:rPr>
        <w:t>integridad personal</w:t>
      </w:r>
      <w:r w:rsidR="00D72AE8" w:rsidRPr="00836C24">
        <w:rPr>
          <w:rFonts w:asciiTheme="majorHAnsi" w:hAnsiTheme="majorHAnsi"/>
          <w:sz w:val="20"/>
          <w:szCs w:val="20"/>
          <w:lang w:val="es-ES"/>
        </w:rPr>
        <w:t xml:space="preserve">, garantías judiciales y protección judicial respecto de </w:t>
      </w:r>
      <w:r w:rsidR="000C4F2A" w:rsidRPr="00836C24">
        <w:rPr>
          <w:rFonts w:asciiTheme="majorHAnsi" w:hAnsiTheme="majorHAnsi"/>
          <w:sz w:val="20"/>
          <w:szCs w:val="20"/>
          <w:lang w:val="es-ES"/>
        </w:rPr>
        <w:t>l</w:t>
      </w:r>
      <w:r w:rsidR="00D72AE8" w:rsidRPr="00836C24">
        <w:rPr>
          <w:rFonts w:asciiTheme="majorHAnsi" w:hAnsiTheme="majorHAnsi"/>
          <w:sz w:val="20"/>
          <w:szCs w:val="20"/>
          <w:lang w:val="es-ES"/>
        </w:rPr>
        <w:t>a detención y la alegada tortura</w:t>
      </w:r>
      <w:r w:rsidR="006D507E" w:rsidRPr="00836C24">
        <w:rPr>
          <w:rFonts w:asciiTheme="majorHAnsi" w:hAnsiTheme="majorHAnsi"/>
          <w:sz w:val="20"/>
          <w:szCs w:val="20"/>
          <w:lang w:val="es-ES"/>
        </w:rPr>
        <w:t xml:space="preserve"> y disposiciones relevantes de la CIPST</w:t>
      </w:r>
      <w:r w:rsidR="000C4F2A" w:rsidRPr="00836C24">
        <w:rPr>
          <w:rFonts w:asciiTheme="majorHAnsi" w:hAnsiTheme="majorHAnsi"/>
          <w:sz w:val="20"/>
          <w:szCs w:val="20"/>
          <w:lang w:val="es-ES"/>
        </w:rPr>
        <w:t>;</w:t>
      </w:r>
      <w:r w:rsidR="0049494B" w:rsidRPr="00836C24">
        <w:rPr>
          <w:rFonts w:asciiTheme="majorHAnsi" w:hAnsiTheme="majorHAnsi"/>
          <w:sz w:val="20"/>
          <w:szCs w:val="20"/>
          <w:lang w:val="es-ES"/>
        </w:rPr>
        <w:t xml:space="preserve"> y</w:t>
      </w:r>
      <w:r w:rsidR="000C4F2A" w:rsidRPr="00836C24">
        <w:rPr>
          <w:rFonts w:asciiTheme="majorHAnsi" w:hAnsiTheme="majorHAnsi"/>
          <w:sz w:val="20"/>
          <w:szCs w:val="20"/>
          <w:lang w:val="es-ES"/>
        </w:rPr>
        <w:t xml:space="preserve"> </w:t>
      </w:r>
      <w:r w:rsidR="00176BE7" w:rsidRPr="00836C24">
        <w:rPr>
          <w:rFonts w:asciiTheme="majorHAnsi" w:hAnsiTheme="majorHAnsi"/>
          <w:sz w:val="20"/>
          <w:szCs w:val="20"/>
          <w:lang w:val="es-ES"/>
        </w:rPr>
        <w:t>D</w:t>
      </w:r>
      <w:r w:rsidRPr="00836C24">
        <w:rPr>
          <w:rFonts w:asciiTheme="majorHAnsi" w:hAnsiTheme="majorHAnsi"/>
          <w:sz w:val="20"/>
          <w:szCs w:val="20"/>
          <w:lang w:val="es-ES"/>
        </w:rPr>
        <w:t xml:space="preserve">. </w:t>
      </w:r>
      <w:r w:rsidR="00B37720" w:rsidRPr="00836C24">
        <w:rPr>
          <w:rFonts w:asciiTheme="majorHAnsi" w:hAnsiTheme="majorHAnsi"/>
          <w:sz w:val="20"/>
          <w:szCs w:val="20"/>
          <w:lang w:val="es-ES"/>
        </w:rPr>
        <w:t>D</w:t>
      </w:r>
      <w:r w:rsidRPr="00836C24">
        <w:rPr>
          <w:rFonts w:asciiTheme="majorHAnsi" w:hAnsiTheme="majorHAnsi"/>
          <w:sz w:val="20"/>
          <w:szCs w:val="20"/>
          <w:lang w:val="es-ES"/>
        </w:rPr>
        <w:t>erecho</w:t>
      </w:r>
      <w:r w:rsidR="00176BE7" w:rsidRPr="00836C24">
        <w:rPr>
          <w:rFonts w:asciiTheme="majorHAnsi" w:hAnsiTheme="majorHAnsi"/>
          <w:sz w:val="20"/>
          <w:szCs w:val="20"/>
          <w:lang w:val="es-ES"/>
        </w:rPr>
        <w:t>s</w:t>
      </w:r>
      <w:r w:rsidRPr="00836C24">
        <w:rPr>
          <w:rFonts w:asciiTheme="majorHAnsi" w:hAnsiTheme="majorHAnsi"/>
          <w:sz w:val="20"/>
          <w:szCs w:val="20"/>
          <w:lang w:val="es-ES"/>
        </w:rPr>
        <w:t xml:space="preserve"> a la vida</w:t>
      </w:r>
      <w:r w:rsidR="00176BE7" w:rsidRPr="00836C24">
        <w:rPr>
          <w:rFonts w:asciiTheme="majorHAnsi" w:hAnsiTheme="majorHAnsi"/>
          <w:sz w:val="20"/>
          <w:szCs w:val="20"/>
          <w:lang w:val="es-ES"/>
        </w:rPr>
        <w:t xml:space="preserve">, garantías judiciales y protección judicial </w:t>
      </w:r>
      <w:r w:rsidR="00B37720" w:rsidRPr="00836C24">
        <w:rPr>
          <w:rFonts w:asciiTheme="majorHAnsi" w:hAnsiTheme="majorHAnsi"/>
          <w:sz w:val="20"/>
          <w:szCs w:val="20"/>
          <w:lang w:val="es-ES"/>
        </w:rPr>
        <w:t>respecto de la muerte</w:t>
      </w:r>
      <w:r w:rsidRPr="00836C24">
        <w:rPr>
          <w:rFonts w:asciiTheme="majorHAnsi" w:hAnsiTheme="majorHAnsi"/>
          <w:sz w:val="20"/>
          <w:szCs w:val="20"/>
          <w:lang w:val="es-ES"/>
        </w:rPr>
        <w:t xml:space="preserve">. </w:t>
      </w:r>
    </w:p>
    <w:p w:rsidR="00D96D45" w:rsidRPr="00836C24" w:rsidRDefault="00D96D45" w:rsidP="00D96D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hAnsiTheme="majorHAnsi"/>
          <w:sz w:val="20"/>
          <w:szCs w:val="20"/>
          <w:lang w:val="es-ES"/>
        </w:rPr>
      </w:pPr>
    </w:p>
    <w:p w:rsidR="00065322" w:rsidRPr="00836C24" w:rsidRDefault="00FD06D7" w:rsidP="007B0539">
      <w:pPr>
        <w:pStyle w:val="Heading2"/>
        <w:keepNext w:val="0"/>
        <w:numPr>
          <w:ilvl w:val="0"/>
          <w:numId w:val="66"/>
        </w:numPr>
        <w:ind w:firstLine="0"/>
      </w:pPr>
      <w:bookmarkStart w:id="69" w:name="_Toc491441646"/>
      <w:r w:rsidRPr="00836C24">
        <w:t>Derechos a la vida</w:t>
      </w:r>
      <w:r w:rsidR="000D05BC" w:rsidRPr="00836C24">
        <w:rPr>
          <w:rStyle w:val="FootnoteReference"/>
          <w:rFonts w:ascii="Cambria" w:hAnsi="Cambria"/>
          <w:b w:val="0"/>
          <w:sz w:val="20"/>
          <w:lang w:val="es-ES"/>
        </w:rPr>
        <w:footnoteReference w:id="92"/>
      </w:r>
      <w:r w:rsidRPr="00836C24">
        <w:t>, garantías judiciales</w:t>
      </w:r>
      <w:r w:rsidR="00E50324" w:rsidRPr="00836C24">
        <w:rPr>
          <w:rStyle w:val="FootnoteReference"/>
          <w:rFonts w:ascii="Cambria" w:hAnsi="Cambria"/>
          <w:b w:val="0"/>
          <w:sz w:val="20"/>
          <w:lang w:val="es-ES"/>
        </w:rPr>
        <w:footnoteReference w:id="93"/>
      </w:r>
      <w:r w:rsidRPr="00836C24">
        <w:t xml:space="preserve"> y protección judicial</w:t>
      </w:r>
      <w:r w:rsidR="00E25941" w:rsidRPr="00836C24">
        <w:rPr>
          <w:rStyle w:val="FootnoteReference"/>
          <w:rFonts w:ascii="Cambria" w:hAnsi="Cambria"/>
          <w:b w:val="0"/>
          <w:sz w:val="20"/>
          <w:lang w:val="es-ES"/>
        </w:rPr>
        <w:footnoteReference w:id="94"/>
      </w:r>
      <w:r w:rsidRPr="00836C24">
        <w:t xml:space="preserve"> en el marco del proceso que culminó con la imposición de la pena de muerte y la inexistencia del recurso de gracia</w:t>
      </w:r>
      <w:bookmarkEnd w:id="69"/>
      <w:r w:rsidRPr="00836C24">
        <w:t xml:space="preserve"> </w:t>
      </w:r>
    </w:p>
    <w:p w:rsidR="000D3568" w:rsidRPr="00836C24" w:rsidRDefault="00B615EF" w:rsidP="00E05BA5">
      <w:pPr>
        <w:pStyle w:val="Heading3"/>
        <w:numPr>
          <w:ilvl w:val="1"/>
          <w:numId w:val="55"/>
        </w:numPr>
        <w:tabs>
          <w:tab w:val="clear" w:pos="1800"/>
          <w:tab w:val="num" w:pos="1440"/>
        </w:tabs>
        <w:ind w:hanging="1080"/>
        <w:rPr>
          <w:color w:val="auto"/>
          <w:sz w:val="20"/>
          <w:szCs w:val="20"/>
          <w:lang w:val="es-ES"/>
        </w:rPr>
      </w:pPr>
      <w:bookmarkStart w:id="70" w:name="_Toc491441647"/>
      <w:r w:rsidRPr="00836C24">
        <w:rPr>
          <w:color w:val="auto"/>
          <w:sz w:val="20"/>
          <w:szCs w:val="20"/>
          <w:lang w:val="es-CO"/>
        </w:rPr>
        <w:lastRenderedPageBreak/>
        <w:t>Consideraciones</w:t>
      </w:r>
      <w:r w:rsidR="00B22C0E" w:rsidRPr="00836C24">
        <w:rPr>
          <w:color w:val="auto"/>
          <w:sz w:val="20"/>
          <w:szCs w:val="20"/>
          <w:lang w:val="es-CO"/>
        </w:rPr>
        <w:t xml:space="preserve"> generales</w:t>
      </w:r>
      <w:r w:rsidRPr="00836C24">
        <w:rPr>
          <w:color w:val="auto"/>
          <w:sz w:val="20"/>
          <w:szCs w:val="20"/>
          <w:lang w:val="es-CO"/>
        </w:rPr>
        <w:t xml:space="preserve"> sobre el estándar de análisis en </w:t>
      </w:r>
      <w:r w:rsidRPr="00836C24">
        <w:rPr>
          <w:color w:val="auto"/>
          <w:sz w:val="20"/>
          <w:szCs w:val="20"/>
          <w:lang w:val="es-DO"/>
        </w:rPr>
        <w:t>casos</w:t>
      </w:r>
      <w:r w:rsidRPr="00836C24">
        <w:rPr>
          <w:color w:val="auto"/>
          <w:sz w:val="20"/>
          <w:szCs w:val="20"/>
          <w:lang w:val="es-CO"/>
        </w:rPr>
        <w:t xml:space="preserve"> de pena de muerte</w:t>
      </w:r>
      <w:bookmarkEnd w:id="70"/>
    </w:p>
    <w:p w:rsidR="000D3568" w:rsidRPr="00836C24" w:rsidRDefault="000D3568"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eastAsia="Cambria" w:hAnsiTheme="majorHAnsi" w:cs="Cambria"/>
          <w:b/>
          <w:color w:val="000000"/>
          <w:sz w:val="20"/>
          <w:szCs w:val="20"/>
          <w:u w:color="000000"/>
          <w:lang w:val="es-ES" w:eastAsia="es-ES"/>
        </w:rPr>
      </w:pPr>
    </w:p>
    <w:p w:rsidR="00F23A9C" w:rsidRPr="00836C24" w:rsidRDefault="00B005D2" w:rsidP="00DC29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Cambria" w:hAnsi="Cambria"/>
          <w:sz w:val="20"/>
          <w:szCs w:val="20"/>
          <w:lang w:val="es-ES"/>
        </w:rPr>
        <w:t>L</w:t>
      </w:r>
      <w:r w:rsidR="00F23A9C" w:rsidRPr="00836C24">
        <w:rPr>
          <w:rFonts w:ascii="Cambria" w:hAnsi="Cambria"/>
          <w:sz w:val="20"/>
          <w:szCs w:val="20"/>
          <w:lang w:val="es-ES"/>
        </w:rPr>
        <w:t xml:space="preserve">a Comisión Interamericana considera pertinente </w:t>
      </w:r>
      <w:r w:rsidR="00F23A9C" w:rsidRPr="00836C24">
        <w:rPr>
          <w:rFonts w:asciiTheme="majorHAnsi" w:hAnsiTheme="majorHAnsi"/>
          <w:sz w:val="20"/>
          <w:szCs w:val="20"/>
          <w:lang w:val="es-ES"/>
        </w:rPr>
        <w:t>reiterar</w:t>
      </w:r>
      <w:r w:rsidR="00F23A9C" w:rsidRPr="00836C24">
        <w:rPr>
          <w:rFonts w:ascii="Cambria" w:hAnsi="Cambria"/>
          <w:sz w:val="20"/>
          <w:szCs w:val="20"/>
          <w:lang w:val="es-ES"/>
        </w:rPr>
        <w:t xml:space="preserve"> sus pronunciamientos anteriores con respecto al escrutinio riguroso a ser utilizado en casos que </w:t>
      </w:r>
      <w:r w:rsidR="00F23A9C" w:rsidRPr="00836C24">
        <w:rPr>
          <w:rFonts w:ascii="Cambria" w:hAnsi="Cambria"/>
          <w:bCs/>
          <w:sz w:val="20"/>
          <w:szCs w:val="20"/>
          <w:lang w:val="es-CO"/>
        </w:rPr>
        <w:t>involucran</w:t>
      </w:r>
      <w:r w:rsidR="00F23A9C" w:rsidRPr="00836C24">
        <w:rPr>
          <w:rFonts w:ascii="Cambria" w:hAnsi="Cambria"/>
          <w:sz w:val="20"/>
          <w:szCs w:val="20"/>
          <w:lang w:val="es-ES"/>
        </w:rPr>
        <w:t xml:space="preserve"> la aplicación de la pena de muerte. El derecho a la vida es ampliamente reconocido como el derecho supremo de los seres humanos y como </w:t>
      </w:r>
      <w:r w:rsidR="00F23A9C" w:rsidRPr="00836C24">
        <w:rPr>
          <w:rFonts w:ascii="Cambria" w:hAnsi="Cambria"/>
          <w:i/>
          <w:sz w:val="20"/>
          <w:szCs w:val="20"/>
          <w:lang w:val="es-ES"/>
        </w:rPr>
        <w:t>conditio sine qua non</w:t>
      </w:r>
      <w:r w:rsidR="00F23A9C" w:rsidRPr="00836C24">
        <w:rPr>
          <w:rFonts w:ascii="Cambria" w:hAnsi="Cambria"/>
          <w:sz w:val="20"/>
          <w:szCs w:val="20"/>
          <w:lang w:val="es-ES"/>
        </w:rPr>
        <w:t xml:space="preserve"> para el goce de todos los demás derechos</w:t>
      </w:r>
      <w:r w:rsidR="00F23A9C" w:rsidRPr="00836C24">
        <w:rPr>
          <w:rStyle w:val="FootnoteReference"/>
          <w:rFonts w:asciiTheme="majorHAnsi" w:hAnsiTheme="majorHAnsi"/>
          <w:sz w:val="20"/>
          <w:szCs w:val="20"/>
          <w:lang w:val="es-ES"/>
        </w:rPr>
        <w:footnoteReference w:id="95"/>
      </w:r>
      <w:r w:rsidR="00F23A9C" w:rsidRPr="00836C24">
        <w:rPr>
          <w:rFonts w:ascii="Cambria" w:hAnsi="Cambria"/>
          <w:sz w:val="20"/>
          <w:szCs w:val="20"/>
          <w:lang w:val="es-ES"/>
        </w:rPr>
        <w:t>.</w:t>
      </w:r>
    </w:p>
    <w:p w:rsidR="00F23A9C" w:rsidRPr="00836C24" w:rsidRDefault="00F23A9C" w:rsidP="00F23A9C">
      <w:pPr>
        <w:pStyle w:val="ListParagraph"/>
        <w:rPr>
          <w:sz w:val="20"/>
          <w:szCs w:val="20"/>
          <w:lang w:val="es-ES"/>
        </w:rPr>
      </w:pPr>
    </w:p>
    <w:p w:rsidR="00DC2903" w:rsidRPr="00836C24" w:rsidRDefault="00374F42" w:rsidP="00DC29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Cambria" w:hAnsi="Cambria"/>
          <w:sz w:val="20"/>
          <w:szCs w:val="20"/>
          <w:lang w:val="es-ES"/>
        </w:rPr>
        <w:t xml:space="preserve">Por ello es de </w:t>
      </w:r>
      <w:r w:rsidR="00F23A9C" w:rsidRPr="00836C24">
        <w:rPr>
          <w:rFonts w:ascii="Cambria" w:hAnsi="Cambria"/>
          <w:sz w:val="20"/>
          <w:szCs w:val="20"/>
          <w:lang w:val="es-ES"/>
        </w:rPr>
        <w:t xml:space="preserve">particular importancia la obligación de la CIDH de </w:t>
      </w:r>
      <w:r w:rsidRPr="00836C24">
        <w:rPr>
          <w:rFonts w:ascii="Cambria" w:hAnsi="Cambria"/>
          <w:sz w:val="20"/>
          <w:szCs w:val="20"/>
          <w:lang w:val="es-ES"/>
        </w:rPr>
        <w:t xml:space="preserve">asegurarse de </w:t>
      </w:r>
      <w:r w:rsidR="00F23A9C" w:rsidRPr="00836C24">
        <w:rPr>
          <w:rFonts w:ascii="Cambria" w:hAnsi="Cambria"/>
          <w:sz w:val="20"/>
          <w:szCs w:val="20"/>
          <w:lang w:val="es-ES"/>
        </w:rPr>
        <w:t>que toda privación a la vida que pueda ocurrir por la aplicación de la pena de muerte cumpla estrictamente con los requisitos establecidos en los instrumentos aplicables del sistema interamericano de derechos humanos, incluida la Declaración Americana</w:t>
      </w:r>
      <w:r w:rsidR="00F23A9C" w:rsidRPr="00836C24">
        <w:rPr>
          <w:rStyle w:val="FootnoteReference"/>
          <w:rFonts w:ascii="Cambria" w:hAnsi="Cambria"/>
          <w:sz w:val="20"/>
          <w:szCs w:val="20"/>
        </w:rPr>
        <w:footnoteReference w:id="96"/>
      </w:r>
      <w:r w:rsidR="00F23A9C" w:rsidRPr="00836C24">
        <w:rPr>
          <w:rFonts w:ascii="Cambria" w:hAnsi="Cambria"/>
          <w:sz w:val="20"/>
          <w:szCs w:val="20"/>
          <w:lang w:val="es-ES"/>
        </w:rPr>
        <w:t xml:space="preserve">. Este escrutinio riguroso es congruente con el enfoque restrictivo que adoptan otros organismos internacionales de derechos humanos cuando analizan casos que involucran la </w:t>
      </w:r>
      <w:r w:rsidR="00F23A9C" w:rsidRPr="00836C24">
        <w:rPr>
          <w:rFonts w:ascii="Cambria" w:hAnsi="Cambria"/>
          <w:sz w:val="20"/>
          <w:szCs w:val="20"/>
          <w:lang w:val="es-ES"/>
        </w:rPr>
        <w:lastRenderedPageBreak/>
        <w:t>pena de muerte</w:t>
      </w:r>
      <w:r w:rsidR="00F23A9C" w:rsidRPr="00836C24">
        <w:rPr>
          <w:rStyle w:val="FootnoteReference"/>
          <w:rFonts w:ascii="Cambria" w:hAnsi="Cambria"/>
          <w:sz w:val="20"/>
          <w:szCs w:val="20"/>
        </w:rPr>
        <w:footnoteReference w:id="97"/>
      </w:r>
      <w:r w:rsidR="00F23A9C" w:rsidRPr="00836C24">
        <w:rPr>
          <w:rFonts w:ascii="Cambria" w:hAnsi="Cambria"/>
          <w:sz w:val="20"/>
          <w:szCs w:val="20"/>
          <w:lang w:val="es-ES"/>
        </w:rPr>
        <w:t xml:space="preserve"> y la Comisión Interamericana lo ha expresado y aplicado en casos anteriores de pena capital que se le han presentado</w:t>
      </w:r>
      <w:r w:rsidR="00F23A9C" w:rsidRPr="00836C24">
        <w:rPr>
          <w:rStyle w:val="FootnoteReference"/>
          <w:rFonts w:ascii="Cambria" w:hAnsi="Cambria"/>
          <w:sz w:val="20"/>
          <w:szCs w:val="20"/>
        </w:rPr>
        <w:footnoteReference w:id="98"/>
      </w:r>
      <w:r w:rsidR="00F23A9C" w:rsidRPr="00836C24">
        <w:rPr>
          <w:rFonts w:ascii="Cambria" w:hAnsi="Cambria"/>
          <w:sz w:val="20"/>
          <w:szCs w:val="20"/>
          <w:lang w:val="es-ES"/>
        </w:rPr>
        <w:t>.</w:t>
      </w:r>
    </w:p>
    <w:p w:rsidR="002E1D5E" w:rsidRPr="00836C24" w:rsidRDefault="002E1D5E" w:rsidP="002E1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lang w:val="es-ES"/>
        </w:rPr>
      </w:pPr>
    </w:p>
    <w:p w:rsidR="00F23A9C" w:rsidRPr="00836C24" w:rsidRDefault="00F23A9C" w:rsidP="00F23A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ES"/>
        </w:rPr>
      </w:pPr>
      <w:r w:rsidRPr="00836C24">
        <w:rPr>
          <w:rFonts w:ascii="Cambria" w:hAnsi="Cambria"/>
          <w:sz w:val="20"/>
          <w:szCs w:val="20"/>
          <w:lang w:val="es-ES"/>
        </w:rPr>
        <w:t>Según ha explicado la Comisión Interamericana</w:t>
      </w:r>
      <w:r w:rsidR="00A263B0" w:rsidRPr="00836C24">
        <w:rPr>
          <w:rFonts w:ascii="Cambria" w:hAnsi="Cambria"/>
          <w:sz w:val="20"/>
          <w:szCs w:val="20"/>
          <w:lang w:val="es-ES"/>
        </w:rPr>
        <w:t>,</w:t>
      </w:r>
      <w:r w:rsidRPr="00836C24">
        <w:rPr>
          <w:rFonts w:ascii="Cambria" w:hAnsi="Cambria"/>
          <w:sz w:val="20"/>
          <w:szCs w:val="20"/>
          <w:lang w:val="es-ES"/>
        </w:rPr>
        <w:t xml:space="preserve"> este estándar de revisión es consecuencia necesaria de la pena en cuestión y </w:t>
      </w:r>
      <w:r w:rsidR="00530F4D" w:rsidRPr="00836C24">
        <w:rPr>
          <w:rFonts w:ascii="Cambria" w:hAnsi="Cambria"/>
          <w:sz w:val="20"/>
          <w:szCs w:val="20"/>
          <w:lang w:val="es-ES"/>
        </w:rPr>
        <w:t xml:space="preserve">de </w:t>
      </w:r>
      <w:r w:rsidRPr="00836C24">
        <w:rPr>
          <w:rFonts w:ascii="Cambria" w:hAnsi="Cambria"/>
          <w:sz w:val="20"/>
          <w:szCs w:val="20"/>
          <w:lang w:val="es-ES"/>
        </w:rPr>
        <w:t>las garantías del debido proceso legal relacionadas</w:t>
      </w:r>
      <w:r w:rsidRPr="00836C24">
        <w:rPr>
          <w:rFonts w:asciiTheme="majorHAnsi" w:hAnsiTheme="majorHAnsi"/>
          <w:sz w:val="20"/>
          <w:szCs w:val="20"/>
          <w:vertAlign w:val="superscript"/>
          <w:lang w:val="es-ES"/>
        </w:rPr>
        <w:footnoteReference w:id="99"/>
      </w:r>
      <w:r w:rsidRPr="00836C24">
        <w:rPr>
          <w:rFonts w:ascii="Cambria" w:hAnsi="Cambria"/>
          <w:sz w:val="20"/>
          <w:szCs w:val="20"/>
          <w:lang w:val="es-ES"/>
        </w:rPr>
        <w:t>. En palabras de la CIDH:</w:t>
      </w:r>
    </w:p>
    <w:p w:rsidR="00F23A9C" w:rsidRPr="00836C24" w:rsidRDefault="00F23A9C" w:rsidP="00F23A9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Calibri"/>
          <w:sz w:val="20"/>
          <w:szCs w:val="20"/>
          <w:lang w:val="es-ES"/>
        </w:rPr>
      </w:pPr>
      <w:r w:rsidRPr="00836C24">
        <w:rPr>
          <w:rFonts w:ascii="Cambria" w:hAnsi="Cambria" w:cs="Calibri"/>
          <w:sz w:val="20"/>
          <w:szCs w:val="20"/>
          <w:lang w:val="es-ES"/>
        </w:rPr>
        <w:t>debido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836C24">
        <w:rPr>
          <w:rStyle w:val="FootnoteReference"/>
          <w:rFonts w:ascii="Cambria" w:hAnsi="Cambria"/>
          <w:sz w:val="20"/>
          <w:szCs w:val="20"/>
        </w:rPr>
        <w:footnoteReference w:id="100"/>
      </w:r>
      <w:r w:rsidRPr="00836C24">
        <w:rPr>
          <w:rFonts w:ascii="Cambria" w:hAnsi="Cambria" w:cs="Calibri"/>
          <w:sz w:val="20"/>
          <w:szCs w:val="20"/>
          <w:lang w:val="es-ES"/>
        </w:rPr>
        <w:t>.</w:t>
      </w:r>
    </w:p>
    <w:p w:rsidR="00F23A9C" w:rsidRPr="00836C24" w:rsidRDefault="00F23A9C" w:rsidP="00F23A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lang w:val="es-ES"/>
        </w:rPr>
      </w:pPr>
    </w:p>
    <w:p w:rsidR="00F23A9C" w:rsidRPr="00836C24" w:rsidRDefault="00F23A9C" w:rsidP="00FD06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La Comisión Interamericana revisará, por lo tanto, las alegaciones de los peticionarios en el presente caso con un nivel de escrutinio riguroso para garantizar, en particular, que los derechos a la vida, a las garantías judiciales y a la protección judicial, entre otros estipulados en la Convención Americana</w:t>
      </w:r>
      <w:r w:rsidR="00E07FF9" w:rsidRPr="00836C24">
        <w:rPr>
          <w:rFonts w:ascii="Cambria" w:hAnsi="Cambria"/>
          <w:sz w:val="20"/>
          <w:szCs w:val="20"/>
          <w:lang w:val="es-ES"/>
        </w:rPr>
        <w:t>,</w:t>
      </w:r>
      <w:r w:rsidRPr="00836C24">
        <w:rPr>
          <w:rFonts w:ascii="Cambria" w:hAnsi="Cambria"/>
          <w:sz w:val="20"/>
          <w:szCs w:val="20"/>
          <w:lang w:val="es-ES"/>
        </w:rPr>
        <w:t xml:space="preserve"> hayan sido respetados por el Estado. </w:t>
      </w:r>
    </w:p>
    <w:p w:rsidR="00E51BA1" w:rsidRPr="00836C24" w:rsidRDefault="00E51BA1" w:rsidP="00A60469">
      <w:pPr>
        <w:pStyle w:val="Heading3"/>
        <w:numPr>
          <w:ilvl w:val="1"/>
          <w:numId w:val="55"/>
        </w:numPr>
        <w:tabs>
          <w:tab w:val="clear" w:pos="1800"/>
          <w:tab w:val="num" w:pos="1440"/>
        </w:tabs>
        <w:ind w:hanging="1080"/>
        <w:rPr>
          <w:rFonts w:eastAsia="Cambria" w:cs="Cambria"/>
          <w:b w:val="0"/>
          <w:color w:val="000000"/>
          <w:sz w:val="20"/>
          <w:szCs w:val="20"/>
          <w:u w:color="000000"/>
          <w:lang w:val="es-ES" w:eastAsia="es-ES"/>
        </w:rPr>
      </w:pPr>
      <w:bookmarkStart w:id="71" w:name="_Toc491441648"/>
      <w:r w:rsidRPr="00836C24">
        <w:rPr>
          <w:color w:val="auto"/>
          <w:sz w:val="20"/>
          <w:szCs w:val="20"/>
          <w:lang w:val="es-CO"/>
        </w:rPr>
        <w:t>Análisis de si en el proceso que culminó con la imposición de la pena de muerte se respetaron las garantías judiciales y la protección judicial</w:t>
      </w:r>
      <w:bookmarkEnd w:id="71"/>
      <w:r w:rsidRPr="00836C24">
        <w:rPr>
          <w:rFonts w:eastAsia="Cambria" w:cs="Cambria"/>
          <w:b w:val="0"/>
          <w:color w:val="000000"/>
          <w:sz w:val="20"/>
          <w:szCs w:val="20"/>
          <w:u w:color="000000"/>
          <w:lang w:val="es-ES" w:eastAsia="es-ES"/>
        </w:rPr>
        <w:t xml:space="preserve"> </w:t>
      </w:r>
    </w:p>
    <w:p w:rsidR="00E51BA1" w:rsidRPr="00836C24" w:rsidRDefault="006B217F" w:rsidP="00A60469">
      <w:pPr>
        <w:pStyle w:val="Heading4"/>
        <w:rPr>
          <w:rFonts w:asciiTheme="majorHAnsi" w:hAnsiTheme="majorHAnsi"/>
          <w:sz w:val="20"/>
          <w:lang w:val="es-ES"/>
        </w:rPr>
      </w:pPr>
      <w:r w:rsidRPr="00836C24">
        <w:rPr>
          <w:rFonts w:asciiTheme="majorHAnsi" w:hAnsiTheme="majorHAnsi"/>
          <w:sz w:val="20"/>
          <w:lang w:val="es-ES"/>
        </w:rPr>
        <w:tab/>
      </w:r>
      <w:r w:rsidR="00954A67" w:rsidRPr="00836C24">
        <w:rPr>
          <w:rFonts w:asciiTheme="majorHAnsi" w:hAnsiTheme="majorHAnsi"/>
          <w:sz w:val="20"/>
          <w:lang w:val="es-ES"/>
        </w:rPr>
        <w:t xml:space="preserve">2.1 </w:t>
      </w:r>
      <w:r w:rsidRPr="00836C24">
        <w:rPr>
          <w:rFonts w:asciiTheme="majorHAnsi" w:hAnsiTheme="majorHAnsi"/>
          <w:sz w:val="20"/>
          <w:lang w:val="es-ES"/>
        </w:rPr>
        <w:tab/>
      </w:r>
      <w:r w:rsidR="00E51BA1" w:rsidRPr="00836C24">
        <w:rPr>
          <w:rFonts w:asciiTheme="majorHAnsi" w:hAnsiTheme="majorHAnsi"/>
          <w:sz w:val="20"/>
          <w:lang w:val="es-ES"/>
        </w:rPr>
        <w:t>Consideraciones generales</w:t>
      </w:r>
    </w:p>
    <w:p w:rsidR="00E51BA1" w:rsidRPr="00836C24" w:rsidRDefault="00E51BA1"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Cambria" w:hAnsi="Cambria"/>
          <w:sz w:val="20"/>
          <w:szCs w:val="20"/>
          <w:lang w:val="es-ES"/>
        </w:rPr>
      </w:pPr>
    </w:p>
    <w:p w:rsidR="004A2E9D" w:rsidRPr="00836C24" w:rsidRDefault="00970036" w:rsidP="004A2E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E</w:t>
      </w:r>
      <w:r w:rsidR="00E51BA1" w:rsidRPr="00836C24">
        <w:rPr>
          <w:rFonts w:ascii="Cambria" w:hAnsi="Cambria"/>
          <w:sz w:val="20"/>
          <w:szCs w:val="20"/>
          <w:lang w:val="es-ES"/>
        </w:rPr>
        <w:t xml:space="preserve">n consonancia con lo </w:t>
      </w:r>
      <w:r w:rsidRPr="00836C24">
        <w:rPr>
          <w:rFonts w:ascii="Cambria" w:hAnsi="Cambria"/>
          <w:sz w:val="20"/>
          <w:szCs w:val="20"/>
          <w:lang w:val="es-ES"/>
        </w:rPr>
        <w:t xml:space="preserve">indicado </w:t>
      </w:r>
      <w:r w:rsidR="00E51BA1" w:rsidRPr="00836C24">
        <w:rPr>
          <w:rFonts w:ascii="Cambria" w:hAnsi="Cambria"/>
          <w:sz w:val="20"/>
          <w:szCs w:val="20"/>
          <w:lang w:val="es-ES"/>
        </w:rPr>
        <w:t>en la sección anterior, la CIDH reitera la importancia fundamental de garantizar el pleno y estricto cumplimiento de las garantías del debido proceso al juzgar a personas por delitos con la pena capital. Tal como ha indicado</w:t>
      </w:r>
      <w:r w:rsidRPr="00836C24">
        <w:rPr>
          <w:rFonts w:ascii="Cambria" w:hAnsi="Cambria"/>
          <w:sz w:val="20"/>
          <w:szCs w:val="20"/>
          <w:lang w:val="es-ES"/>
        </w:rPr>
        <w:t xml:space="preserve"> la</w:t>
      </w:r>
      <w:r w:rsidR="00E51BA1" w:rsidRPr="00836C24">
        <w:rPr>
          <w:rFonts w:ascii="Cambria" w:hAnsi="Cambria"/>
          <w:sz w:val="20"/>
          <w:szCs w:val="20"/>
          <w:lang w:val="es-ES"/>
        </w:rPr>
        <w:t xml:space="preserve"> Comisión, “los Estados que aún mantienen la pena de muerte deben sin excepción ejercer el control más riguroso de la observancia de las garantías judiciales en esos casos”</w:t>
      </w:r>
      <w:r w:rsidR="00E51BA1" w:rsidRPr="00836C24">
        <w:rPr>
          <w:rStyle w:val="FootnoteReference"/>
          <w:rFonts w:ascii="Cambria" w:hAnsi="Cambria"/>
          <w:sz w:val="20"/>
          <w:szCs w:val="20"/>
          <w:lang w:val="es-ES"/>
        </w:rPr>
        <w:footnoteReference w:id="101"/>
      </w:r>
      <w:r w:rsidR="00E51BA1" w:rsidRPr="00836C24">
        <w:rPr>
          <w:rFonts w:ascii="Cambria" w:hAnsi="Cambria"/>
          <w:sz w:val="20"/>
          <w:szCs w:val="20"/>
          <w:lang w:val="es-ES"/>
        </w:rPr>
        <w:t xml:space="preserve"> a </w:t>
      </w:r>
      <w:r w:rsidR="00E51BA1" w:rsidRPr="00836C24">
        <w:rPr>
          <w:rFonts w:ascii="Cambria" w:hAnsi="Cambria" w:cs="Calibri"/>
          <w:sz w:val="20"/>
          <w:szCs w:val="20"/>
          <w:lang w:val="es-VE"/>
        </w:rPr>
        <w:t xml:space="preserve">fin de garantizar que toda privación de la vida a través de dicha pena </w:t>
      </w:r>
      <w:r w:rsidR="00B431BB" w:rsidRPr="00836C24">
        <w:rPr>
          <w:rFonts w:ascii="Cambria" w:hAnsi="Cambria"/>
          <w:sz w:val="20"/>
          <w:szCs w:val="20"/>
          <w:lang w:val="es-ES"/>
        </w:rPr>
        <w:t>no transgreda ninguna obligación consagrada en los instrumentos aplicables del sistema interamericano de derechos humanos</w:t>
      </w:r>
      <w:r w:rsidR="00B431BB" w:rsidRPr="00836C24">
        <w:rPr>
          <w:rStyle w:val="FootnoteReference"/>
          <w:rFonts w:ascii="Cambria" w:hAnsi="Cambria"/>
          <w:sz w:val="20"/>
          <w:szCs w:val="20"/>
        </w:rPr>
        <w:footnoteReference w:id="102"/>
      </w:r>
      <w:r w:rsidR="00B431BB" w:rsidRPr="00836C24">
        <w:rPr>
          <w:rFonts w:ascii="Cambria" w:hAnsi="Cambria"/>
          <w:sz w:val="20"/>
          <w:szCs w:val="20"/>
          <w:lang w:val="es-ES"/>
        </w:rPr>
        <w:t>.</w:t>
      </w:r>
    </w:p>
    <w:p w:rsidR="004A2E9D" w:rsidRPr="00836C24" w:rsidRDefault="004A2E9D" w:rsidP="004A2E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jc w:val="both"/>
        <w:rPr>
          <w:rFonts w:ascii="Cambria" w:hAnsi="Cambria"/>
          <w:sz w:val="20"/>
          <w:szCs w:val="20"/>
          <w:lang w:val="es-ES"/>
        </w:rPr>
      </w:pPr>
    </w:p>
    <w:p w:rsidR="00BA6AD0" w:rsidRPr="00836C24" w:rsidRDefault="004A2E9D" w:rsidP="004A2E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VE"/>
        </w:rPr>
        <w:t xml:space="preserve">En cuanto al derecho a la defensa y, particularmente a la defensa técnica, la Corte Interamericana ha señalado que una acusación puede ser enfrentada y refutada por el inculpado a través de </w:t>
      </w:r>
      <w:r w:rsidRPr="00836C24">
        <w:rPr>
          <w:rFonts w:ascii="Cambria" w:hAnsi="Cambria"/>
          <w:sz w:val="20"/>
          <w:szCs w:val="20"/>
          <w:lang w:val="es-VE"/>
        </w:rPr>
        <w:lastRenderedPageBreak/>
        <w:t xml:space="preserve">sus propios actos, entre ellos la declaración que rinda sobre los hechos que se le atribuyen, y por medio de la defensa técnica, ejercida por un profesional del Derecho, quien asesora al investigado sobre sus deberes y derechos y ejecuta, </w:t>
      </w:r>
      <w:r w:rsidRPr="00836C24">
        <w:rPr>
          <w:rFonts w:ascii="Cambria" w:hAnsi="Cambria"/>
          <w:i/>
          <w:sz w:val="20"/>
          <w:szCs w:val="20"/>
          <w:lang w:val="es-VE"/>
        </w:rPr>
        <w:t xml:space="preserve">inter alia, </w:t>
      </w:r>
      <w:r w:rsidRPr="00836C24">
        <w:rPr>
          <w:rFonts w:ascii="Cambria" w:hAnsi="Cambria"/>
          <w:sz w:val="20"/>
          <w:szCs w:val="20"/>
          <w:lang w:val="es-VE"/>
        </w:rPr>
        <w:t>un control crítico y de legalidad en la producción de pruebas</w:t>
      </w:r>
      <w:r w:rsidRPr="00836C24">
        <w:rPr>
          <w:rStyle w:val="FootnoteReference"/>
          <w:rFonts w:ascii="Cambria" w:hAnsi="Cambria"/>
          <w:sz w:val="20"/>
          <w:szCs w:val="20"/>
        </w:rPr>
        <w:footnoteReference w:id="103"/>
      </w:r>
      <w:r w:rsidRPr="00836C24">
        <w:rPr>
          <w:rFonts w:ascii="Cambria" w:hAnsi="Cambria"/>
          <w:sz w:val="20"/>
          <w:szCs w:val="20"/>
          <w:lang w:val="es-VE"/>
        </w:rPr>
        <w:t>.</w:t>
      </w:r>
      <w:r w:rsidR="00C44766" w:rsidRPr="00836C24">
        <w:rPr>
          <w:rFonts w:ascii="Cambria" w:hAnsi="Cambria"/>
          <w:sz w:val="20"/>
          <w:szCs w:val="20"/>
          <w:lang w:val="es-ES"/>
        </w:rPr>
        <w:t xml:space="preserve"> </w:t>
      </w:r>
      <w:r w:rsidRPr="00836C24">
        <w:rPr>
          <w:rFonts w:ascii="Cambria" w:hAnsi="Cambria"/>
          <w:sz w:val="20"/>
          <w:szCs w:val="20"/>
          <w:lang w:val="es-VE"/>
        </w:rPr>
        <w:t xml:space="preserve">El Tribunal también ha indicado que el derecho a contar con el tiempo y los medios adecuados para preparar </w:t>
      </w:r>
      <w:r w:rsidR="008A53C9" w:rsidRPr="00836C24">
        <w:rPr>
          <w:rFonts w:ascii="Cambria" w:hAnsi="Cambria"/>
          <w:sz w:val="20"/>
          <w:szCs w:val="20"/>
          <w:lang w:val="es-VE"/>
        </w:rPr>
        <w:t>la defensa, consagrada</w:t>
      </w:r>
      <w:r w:rsidRPr="00836C24">
        <w:rPr>
          <w:rFonts w:ascii="Cambria" w:hAnsi="Cambria"/>
          <w:sz w:val="20"/>
          <w:szCs w:val="20"/>
          <w:lang w:val="es-VE"/>
        </w:rPr>
        <w:t xml:space="preserve"> en el artículo 8.2 </w:t>
      </w:r>
      <w:r w:rsidR="008A53C9" w:rsidRPr="00836C24">
        <w:rPr>
          <w:rFonts w:ascii="Cambria" w:hAnsi="Cambria"/>
          <w:sz w:val="20"/>
          <w:szCs w:val="20"/>
          <w:lang w:val="es-VE"/>
        </w:rPr>
        <w:t>c) de la CADH, incluye el respe</w:t>
      </w:r>
      <w:r w:rsidRPr="00836C24">
        <w:rPr>
          <w:rFonts w:ascii="Cambria" w:hAnsi="Cambria"/>
          <w:sz w:val="20"/>
          <w:szCs w:val="20"/>
          <w:lang w:val="es-VE"/>
        </w:rPr>
        <w:t>to al principio del</w:t>
      </w:r>
      <w:r w:rsidRPr="00836C24">
        <w:rPr>
          <w:rFonts w:ascii="Cambria" w:hAnsi="Cambria"/>
          <w:bCs/>
          <w:iCs/>
          <w:sz w:val="20"/>
          <w:szCs w:val="20"/>
          <w:lang w:val="es-VE"/>
        </w:rPr>
        <w:t xml:space="preserve"> contradictorio, que garantiza la intervención del inculpado en el análisis de la prueba</w:t>
      </w:r>
      <w:r w:rsidRPr="00836C24">
        <w:rPr>
          <w:rStyle w:val="FootnoteReference"/>
          <w:rFonts w:ascii="Cambria" w:hAnsi="Cambria"/>
          <w:bCs/>
          <w:iCs/>
          <w:sz w:val="20"/>
          <w:szCs w:val="20"/>
        </w:rPr>
        <w:footnoteReference w:id="104"/>
      </w:r>
      <w:r w:rsidRPr="00836C24">
        <w:rPr>
          <w:rFonts w:ascii="Cambria" w:hAnsi="Cambria"/>
          <w:bCs/>
          <w:iCs/>
          <w:sz w:val="20"/>
          <w:szCs w:val="20"/>
          <w:lang w:val="es-VE"/>
        </w:rPr>
        <w:t>.</w:t>
      </w:r>
      <w:r w:rsidR="00BA6AD0" w:rsidRPr="00836C24">
        <w:rPr>
          <w:rFonts w:ascii="Cambria" w:hAnsi="Cambria"/>
          <w:bCs/>
          <w:iCs/>
          <w:sz w:val="20"/>
          <w:szCs w:val="20"/>
          <w:lang w:val="es-VE"/>
        </w:rPr>
        <w:t xml:space="preserve"> </w:t>
      </w:r>
      <w:r w:rsidR="00CA5A39" w:rsidRPr="00836C24">
        <w:rPr>
          <w:rFonts w:ascii="Cambria" w:hAnsi="Cambria"/>
          <w:sz w:val="20"/>
          <w:szCs w:val="20"/>
          <w:lang w:val="es-ES"/>
        </w:rPr>
        <w:t>L</w:t>
      </w:r>
      <w:r w:rsidR="00CA5A39" w:rsidRPr="00836C24">
        <w:rPr>
          <w:rFonts w:ascii="Cambria" w:hAnsi="Cambria"/>
          <w:sz w:val="20"/>
          <w:szCs w:val="20"/>
          <w:lang w:val="es-CL"/>
        </w:rPr>
        <w:t xml:space="preserve">a </w:t>
      </w:r>
      <w:r w:rsidR="00CA5A39" w:rsidRPr="00836C24">
        <w:rPr>
          <w:rFonts w:ascii="Cambria" w:hAnsi="Cambria"/>
          <w:sz w:val="20"/>
          <w:szCs w:val="20"/>
          <w:lang w:val="es-ES"/>
        </w:rPr>
        <w:t>Comisión</w:t>
      </w:r>
      <w:r w:rsidR="00CA5A39" w:rsidRPr="00836C24">
        <w:rPr>
          <w:rFonts w:ascii="Cambria" w:hAnsi="Cambria"/>
          <w:sz w:val="20"/>
          <w:szCs w:val="20"/>
          <w:lang w:val="es-CL"/>
        </w:rPr>
        <w:t xml:space="preserve"> reitera que la garantía de una defensa adecuada en casos que puedan culminar con la imposición de la pena de muerte debe ser analizada de manera muy estricta. En palabras de la CIDH, </w:t>
      </w:r>
      <w:r w:rsidR="00CA5A39" w:rsidRPr="00836C24">
        <w:rPr>
          <w:rFonts w:ascii="Cambria" w:hAnsi="Cambria"/>
          <w:sz w:val="20"/>
          <w:szCs w:val="20"/>
          <w:lang w:val="es-VE"/>
        </w:rPr>
        <w:t>“el cumplimiento riguroso del derecho de recibir patrocinio letrado competente es impuesto por la posibilidad de la aplicación de la pena de muerte</w:t>
      </w:r>
      <w:r w:rsidR="009F2017" w:rsidRPr="00836C24">
        <w:rPr>
          <w:rFonts w:ascii="Cambria" w:hAnsi="Cambria"/>
          <w:sz w:val="20"/>
          <w:szCs w:val="20"/>
          <w:lang w:val="es-VE"/>
        </w:rPr>
        <w:t>”</w:t>
      </w:r>
      <w:r w:rsidR="00CA5A39" w:rsidRPr="00836C24">
        <w:rPr>
          <w:rStyle w:val="FootnoteReference"/>
          <w:rFonts w:ascii="Cambria" w:hAnsi="Cambria"/>
          <w:sz w:val="20"/>
          <w:szCs w:val="20"/>
          <w:lang w:val="es-ES"/>
        </w:rPr>
        <w:footnoteReference w:id="105"/>
      </w:r>
      <w:r w:rsidR="00CA5A39" w:rsidRPr="00836C24">
        <w:rPr>
          <w:rFonts w:ascii="Cambria" w:hAnsi="Cambria"/>
          <w:sz w:val="20"/>
          <w:szCs w:val="20"/>
          <w:lang w:val="es-VE"/>
        </w:rPr>
        <w:t>.</w:t>
      </w:r>
    </w:p>
    <w:p w:rsidR="00BA6AD0" w:rsidRPr="00836C24" w:rsidRDefault="00BA6AD0" w:rsidP="00BA6A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3D1A2E" w:rsidRPr="00836C24" w:rsidRDefault="008A53C9" w:rsidP="004E0F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Una p</w:t>
      </w:r>
      <w:r w:rsidR="00BA6AD0" w:rsidRPr="00836C24">
        <w:rPr>
          <w:rFonts w:ascii="Cambria" w:hAnsi="Cambria"/>
          <w:sz w:val="20"/>
          <w:szCs w:val="20"/>
          <w:lang w:val="es-ES"/>
        </w:rPr>
        <w:t>arte esencial del ejercicio del derecho de defens</w:t>
      </w:r>
      <w:r w:rsidR="00CA5A39" w:rsidRPr="00836C24">
        <w:rPr>
          <w:rFonts w:ascii="Cambria" w:hAnsi="Cambria"/>
          <w:sz w:val="20"/>
          <w:szCs w:val="20"/>
          <w:lang w:val="es-ES"/>
        </w:rPr>
        <w:t>a</w:t>
      </w:r>
      <w:r w:rsidR="00BA6AD0" w:rsidRPr="00836C24">
        <w:rPr>
          <w:rFonts w:ascii="Cambria" w:hAnsi="Cambria"/>
          <w:sz w:val="20"/>
          <w:szCs w:val="20"/>
          <w:lang w:val="es-ES"/>
        </w:rPr>
        <w:t xml:space="preserve"> se encuentra establecido en el </w:t>
      </w:r>
      <w:r w:rsidR="004A2E9D" w:rsidRPr="00836C24">
        <w:rPr>
          <w:rFonts w:ascii="Cambria" w:hAnsi="Cambria"/>
          <w:sz w:val="20"/>
          <w:szCs w:val="20"/>
          <w:lang w:val="es-VE"/>
        </w:rPr>
        <w:t>artículo 8.2</w:t>
      </w:r>
      <w:r w:rsidR="00E26DE3" w:rsidRPr="00836C24">
        <w:rPr>
          <w:rFonts w:ascii="Cambria" w:hAnsi="Cambria"/>
          <w:sz w:val="20"/>
          <w:szCs w:val="20"/>
          <w:lang w:val="es-VE"/>
        </w:rPr>
        <w:t xml:space="preserve"> f) de la Convención Americana. La CIDH y la Corte han indicado que </w:t>
      </w:r>
      <w:r w:rsidR="004A2E9D" w:rsidRPr="00836C24">
        <w:rPr>
          <w:rFonts w:ascii="Cambria" w:hAnsi="Cambria"/>
          <w:sz w:val="20"/>
          <w:szCs w:val="20"/>
          <w:lang w:val="es-VE"/>
        </w:rPr>
        <w:t>dentro de las prerrogativas que deben concederse a quienes hayan sido acusados está la de examinar los testigos en su contra y a su favor, bajo las mismas condiciones, con el objeto de ejercer su defensa</w:t>
      </w:r>
      <w:r w:rsidR="004A2E9D" w:rsidRPr="00836C24">
        <w:rPr>
          <w:rStyle w:val="FootnoteReference"/>
          <w:rFonts w:ascii="Cambria" w:hAnsi="Cambria"/>
          <w:sz w:val="20"/>
          <w:szCs w:val="20"/>
        </w:rPr>
        <w:footnoteReference w:id="106"/>
      </w:r>
      <w:r w:rsidRPr="00836C24">
        <w:rPr>
          <w:rFonts w:ascii="Cambria" w:hAnsi="Cambria"/>
          <w:sz w:val="20"/>
          <w:szCs w:val="20"/>
          <w:lang w:val="es-VE"/>
        </w:rPr>
        <w:t xml:space="preserve">. </w:t>
      </w:r>
    </w:p>
    <w:p w:rsidR="003D1A2E" w:rsidRPr="00836C24" w:rsidRDefault="003D1A2E" w:rsidP="004E0F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
        </w:rPr>
      </w:pPr>
    </w:p>
    <w:p w:rsidR="00CD4589" w:rsidRPr="00836C24" w:rsidRDefault="004E0FC9" w:rsidP="00954A6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Theme="majorHAnsi" w:hAnsiTheme="majorHAnsi"/>
          <w:sz w:val="20"/>
          <w:szCs w:val="20"/>
          <w:lang w:val="es-VE"/>
        </w:rPr>
        <w:t>Otro aspecto fundamental del derecho de defensa es la posibilida</w:t>
      </w:r>
      <w:r w:rsidR="00CD4589" w:rsidRPr="00836C24">
        <w:rPr>
          <w:rFonts w:asciiTheme="majorHAnsi" w:hAnsiTheme="majorHAnsi"/>
          <w:sz w:val="20"/>
          <w:szCs w:val="20"/>
          <w:lang w:val="es-VE"/>
        </w:rPr>
        <w:t>d de recurr</w:t>
      </w:r>
      <w:r w:rsidRPr="00836C24">
        <w:rPr>
          <w:rFonts w:asciiTheme="majorHAnsi" w:hAnsiTheme="majorHAnsi"/>
          <w:sz w:val="20"/>
          <w:szCs w:val="20"/>
          <w:lang w:val="es-VE"/>
        </w:rPr>
        <w:t xml:space="preserve">ir el </w:t>
      </w:r>
      <w:r w:rsidR="00E51BA1" w:rsidRPr="00836C24">
        <w:rPr>
          <w:rFonts w:asciiTheme="majorHAnsi" w:hAnsiTheme="majorHAnsi"/>
          <w:sz w:val="20"/>
          <w:szCs w:val="20"/>
          <w:lang w:val="es-VE"/>
        </w:rPr>
        <w:t>fallo</w:t>
      </w:r>
      <w:r w:rsidRPr="00836C24">
        <w:rPr>
          <w:rFonts w:asciiTheme="majorHAnsi" w:hAnsiTheme="majorHAnsi"/>
          <w:sz w:val="20"/>
          <w:szCs w:val="20"/>
          <w:lang w:val="es-VE"/>
        </w:rPr>
        <w:t xml:space="preserve"> condenatorio</w:t>
      </w:r>
      <w:r w:rsidR="00E51BA1" w:rsidRPr="00836C24">
        <w:rPr>
          <w:rFonts w:asciiTheme="majorHAnsi" w:hAnsiTheme="majorHAnsi"/>
          <w:sz w:val="20"/>
          <w:szCs w:val="20"/>
          <w:lang w:val="es-VE"/>
        </w:rPr>
        <w:t xml:space="preserve"> an</w:t>
      </w:r>
      <w:r w:rsidR="00E51BA1" w:rsidRPr="00836C24">
        <w:rPr>
          <w:rFonts w:ascii="Cambria" w:hAnsi="Cambria"/>
          <w:sz w:val="20"/>
          <w:szCs w:val="20"/>
          <w:lang w:val="es-VE"/>
        </w:rPr>
        <w:t>te juez o tribunal superior</w:t>
      </w:r>
      <w:r w:rsidR="00684DF8" w:rsidRPr="00836C24">
        <w:rPr>
          <w:rFonts w:ascii="Cambria" w:hAnsi="Cambria"/>
          <w:sz w:val="20"/>
          <w:szCs w:val="20"/>
          <w:lang w:val="es-VE"/>
        </w:rPr>
        <w:t xml:space="preserve">, reconocido en el artículo 8.2 </w:t>
      </w:r>
      <w:r w:rsidR="00E51BA1" w:rsidRPr="00836C24">
        <w:rPr>
          <w:rFonts w:ascii="Cambria" w:hAnsi="Cambria"/>
          <w:sz w:val="20"/>
          <w:szCs w:val="20"/>
          <w:lang w:val="es-VE"/>
        </w:rPr>
        <w:t>h</w:t>
      </w:r>
      <w:r w:rsidR="00684DF8" w:rsidRPr="00836C24">
        <w:rPr>
          <w:rFonts w:ascii="Cambria" w:hAnsi="Cambria"/>
          <w:sz w:val="20"/>
          <w:szCs w:val="20"/>
          <w:lang w:val="es-VE"/>
        </w:rPr>
        <w:t>)</w:t>
      </w:r>
      <w:r w:rsidR="00E51BA1" w:rsidRPr="00836C24">
        <w:rPr>
          <w:rFonts w:ascii="Cambria" w:hAnsi="Cambria"/>
          <w:sz w:val="20"/>
          <w:szCs w:val="20"/>
          <w:lang w:val="es-VE"/>
        </w:rPr>
        <w:t xml:space="preserve"> de la </w:t>
      </w:r>
      <w:r w:rsidR="00E51BA1" w:rsidRPr="00836C24">
        <w:rPr>
          <w:rFonts w:ascii="Cambria" w:hAnsi="Cambria"/>
          <w:sz w:val="20"/>
          <w:szCs w:val="20"/>
          <w:lang w:val="es-ES"/>
        </w:rPr>
        <w:t>Convención</w:t>
      </w:r>
      <w:r w:rsidR="00CD4589" w:rsidRPr="00836C24">
        <w:rPr>
          <w:rFonts w:ascii="Cambria" w:hAnsi="Cambria"/>
          <w:sz w:val="20"/>
          <w:szCs w:val="20"/>
          <w:lang w:val="es-VE"/>
        </w:rPr>
        <w:t xml:space="preserve"> Americana. A fin de que el recurso previsto en la legislación interna </w:t>
      </w:r>
      <w:r w:rsidR="008A53C9" w:rsidRPr="00836C24">
        <w:rPr>
          <w:rFonts w:ascii="Cambria" w:hAnsi="Cambria"/>
          <w:sz w:val="20"/>
          <w:szCs w:val="20"/>
          <w:lang w:val="es-VE"/>
        </w:rPr>
        <w:t>cumpla</w:t>
      </w:r>
      <w:r w:rsidR="00CD4589" w:rsidRPr="00836C24">
        <w:rPr>
          <w:rFonts w:ascii="Cambria" w:hAnsi="Cambria"/>
          <w:sz w:val="20"/>
          <w:szCs w:val="20"/>
          <w:lang w:val="es-VE"/>
        </w:rPr>
        <w:t xml:space="preserve"> con esta garantía, dicho recurso: </w:t>
      </w:r>
    </w:p>
    <w:p w:rsidR="00CD4589" w:rsidRPr="00836C24" w:rsidRDefault="00CD4589" w:rsidP="00CD45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CL"/>
        </w:rPr>
      </w:pPr>
    </w:p>
    <w:p w:rsidR="00E51BA1" w:rsidRPr="00836C24" w:rsidRDefault="00CD4589" w:rsidP="00CD45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right="720"/>
        <w:jc w:val="both"/>
        <w:rPr>
          <w:rFonts w:ascii="Cambria" w:hAnsi="Cambria"/>
          <w:sz w:val="20"/>
          <w:szCs w:val="20"/>
          <w:lang w:val="es-ES"/>
        </w:rPr>
      </w:pPr>
      <w:r w:rsidRPr="00836C24">
        <w:rPr>
          <w:rFonts w:ascii="Cambria" w:hAnsi="Cambria"/>
          <w:sz w:val="20"/>
          <w:szCs w:val="20"/>
          <w:lang w:val="es-CL"/>
        </w:rPr>
        <w:t xml:space="preserve">(…) </w:t>
      </w:r>
      <w:r w:rsidR="00E51BA1" w:rsidRPr="00836C24">
        <w:rPr>
          <w:rFonts w:ascii="Cambria" w:hAnsi="Cambria"/>
          <w:sz w:val="20"/>
          <w:szCs w:val="20"/>
          <w:lang w:val="es-CL"/>
        </w:rPr>
        <w:t>debe constituir un medio adecuado para procurar la corrección de una condena errónea. Ello requiere que pueda analizar las cuestiones fácticas, probatorias y jurídicas 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Consecuentemente, las causales de procedencia del recurso deben posibilitar un control amplio de los aspectos impugnados de la sentencia condenatoria</w:t>
      </w:r>
      <w:r w:rsidR="00E51BA1" w:rsidRPr="00836C24">
        <w:rPr>
          <w:rStyle w:val="FootnoteReference"/>
          <w:rFonts w:ascii="Cambria" w:hAnsi="Cambria"/>
          <w:sz w:val="20"/>
          <w:szCs w:val="20"/>
          <w:lang w:val="es-CL"/>
        </w:rPr>
        <w:footnoteReference w:id="107"/>
      </w:r>
      <w:r w:rsidR="00E51BA1" w:rsidRPr="00836C24">
        <w:rPr>
          <w:rFonts w:ascii="Cambria" w:hAnsi="Cambria"/>
          <w:sz w:val="20"/>
          <w:szCs w:val="20"/>
          <w:lang w:val="es-CL"/>
        </w:rPr>
        <w:t xml:space="preserve">. </w:t>
      </w:r>
    </w:p>
    <w:p w:rsidR="00E51BA1" w:rsidRPr="00836C24" w:rsidRDefault="00ED6EBF" w:rsidP="00ED6E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35"/>
        </w:tabs>
        <w:jc w:val="both"/>
        <w:rPr>
          <w:rFonts w:ascii="Cambria" w:hAnsi="Cambria"/>
          <w:sz w:val="20"/>
          <w:szCs w:val="20"/>
          <w:lang w:val="es-CL"/>
        </w:rPr>
      </w:pPr>
      <w:r w:rsidRPr="00836C24">
        <w:rPr>
          <w:rFonts w:ascii="Cambria" w:hAnsi="Cambria"/>
          <w:sz w:val="20"/>
          <w:szCs w:val="20"/>
          <w:lang w:val="es-CL"/>
        </w:rPr>
        <w:tab/>
      </w:r>
    </w:p>
    <w:p w:rsidR="00E51BA1" w:rsidRPr="00836C24" w:rsidRDefault="00024A05" w:rsidP="00954A6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CL"/>
        </w:rPr>
        <w:t>Por su parte, l</w:t>
      </w:r>
      <w:r w:rsidR="00E51BA1" w:rsidRPr="00836C24">
        <w:rPr>
          <w:rFonts w:ascii="Cambria" w:hAnsi="Cambria"/>
          <w:sz w:val="20"/>
          <w:szCs w:val="20"/>
          <w:lang w:val="es-CL"/>
        </w:rPr>
        <w:t>a CIDH ha indicado que “</w:t>
      </w:r>
      <w:r w:rsidR="00E51BA1" w:rsidRPr="00836C24">
        <w:rPr>
          <w:rFonts w:ascii="Cambria" w:hAnsi="Cambria"/>
          <w:sz w:val="20"/>
          <w:szCs w:val="20"/>
          <w:lang w:val="es-CO"/>
        </w:rPr>
        <w:t xml:space="preserve">el derecho a recurrir no implica necesariamente </w:t>
      </w:r>
      <w:r w:rsidR="00E51BA1" w:rsidRPr="00836C24">
        <w:rPr>
          <w:rFonts w:ascii="Cambria" w:hAnsi="Cambria"/>
          <w:sz w:val="20"/>
          <w:szCs w:val="20"/>
          <w:lang w:val="es-ES_tradnl"/>
        </w:rPr>
        <w:t xml:space="preserve">un nuevo juicio o una nueva “audiencia”, siempre que el tribunal que realiza la </w:t>
      </w:r>
      <w:r w:rsidR="00E51BA1" w:rsidRPr="00836C24">
        <w:rPr>
          <w:rFonts w:ascii="Cambria" w:hAnsi="Cambria" w:cs="Times-Roman"/>
          <w:sz w:val="20"/>
          <w:szCs w:val="20"/>
          <w:lang w:val="es-ES_tradnl" w:bidi="en-US"/>
        </w:rPr>
        <w:t xml:space="preserve">revisión no esté impedido de </w:t>
      </w:r>
      <w:r w:rsidR="00E51BA1" w:rsidRPr="00836C24">
        <w:rPr>
          <w:rFonts w:ascii="Cambria" w:hAnsi="Cambria"/>
          <w:sz w:val="20"/>
          <w:szCs w:val="20"/>
          <w:lang w:val="es-ES_tradnl"/>
        </w:rPr>
        <w:t>estudiar los hechos de la causa</w:t>
      </w:r>
      <w:r w:rsidR="00E51BA1" w:rsidRPr="00836C24">
        <w:rPr>
          <w:rStyle w:val="FootnoteReference"/>
          <w:rFonts w:ascii="Cambria" w:hAnsi="Cambria"/>
          <w:sz w:val="20"/>
          <w:szCs w:val="20"/>
          <w:lang w:val="es-ES_tradnl"/>
        </w:rPr>
        <w:footnoteReference w:id="108"/>
      </w:r>
      <w:r w:rsidR="00E51BA1" w:rsidRPr="00836C24">
        <w:rPr>
          <w:rFonts w:ascii="Cambria" w:hAnsi="Cambria"/>
          <w:sz w:val="20"/>
          <w:szCs w:val="20"/>
          <w:lang w:val="es-ES_tradnl"/>
        </w:rPr>
        <w:t xml:space="preserve">. Lo que exige la norma es la posibilidad de señalar y obtener respuesta sobre errores que hubiera podido </w:t>
      </w:r>
      <w:r w:rsidR="00E51BA1" w:rsidRPr="00836C24">
        <w:rPr>
          <w:rFonts w:ascii="Cambria" w:hAnsi="Cambria"/>
          <w:sz w:val="20"/>
          <w:szCs w:val="20"/>
          <w:lang w:val="es-CL"/>
        </w:rPr>
        <w:t>cometer</w:t>
      </w:r>
      <w:r w:rsidR="00E51BA1" w:rsidRPr="00836C24">
        <w:rPr>
          <w:rFonts w:ascii="Cambria" w:hAnsi="Cambria"/>
          <w:sz w:val="20"/>
          <w:szCs w:val="20"/>
          <w:lang w:val="es-ES_tradnl"/>
        </w:rPr>
        <w:t xml:space="preserve"> el juez o tribunal, sin excluir </w:t>
      </w:r>
      <w:r w:rsidR="00E51BA1" w:rsidRPr="00836C24">
        <w:rPr>
          <w:rFonts w:ascii="Cambria" w:hAnsi="Cambria"/>
          <w:i/>
          <w:sz w:val="20"/>
          <w:szCs w:val="20"/>
          <w:lang w:val="es-ES_tradnl"/>
        </w:rPr>
        <w:t>a priori</w:t>
      </w:r>
      <w:r w:rsidR="00E51BA1" w:rsidRPr="00836C24">
        <w:rPr>
          <w:rFonts w:ascii="Cambria" w:hAnsi="Cambria"/>
          <w:sz w:val="20"/>
          <w:szCs w:val="20"/>
          <w:lang w:val="es-ES_tradnl"/>
        </w:rPr>
        <w:t xml:space="preserve"> ciertas categorías como los hechos y la valoración y recepción de la prueba</w:t>
      </w:r>
      <w:r w:rsidR="00E51BA1" w:rsidRPr="00836C24">
        <w:rPr>
          <w:rStyle w:val="FootnoteReference"/>
          <w:rFonts w:ascii="Cambria" w:hAnsi="Cambria"/>
          <w:sz w:val="20"/>
          <w:szCs w:val="20"/>
          <w:lang w:val="es-ES_tradnl"/>
        </w:rPr>
        <w:footnoteReference w:id="109"/>
      </w:r>
      <w:r w:rsidR="00E51BA1" w:rsidRPr="00836C24">
        <w:rPr>
          <w:rFonts w:ascii="Cambria" w:hAnsi="Cambria"/>
          <w:sz w:val="20"/>
          <w:szCs w:val="20"/>
          <w:lang w:val="es-ES_tradnl"/>
        </w:rPr>
        <w:t>.</w:t>
      </w:r>
    </w:p>
    <w:p w:rsidR="00B8457C" w:rsidRPr="00836C24" w:rsidRDefault="00B8457C" w:rsidP="00B8457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jc w:val="both"/>
        <w:rPr>
          <w:rFonts w:ascii="Cambria" w:hAnsi="Cambria"/>
          <w:sz w:val="20"/>
          <w:szCs w:val="20"/>
          <w:lang w:val="es-ES"/>
        </w:rPr>
      </w:pPr>
    </w:p>
    <w:p w:rsidR="003C15EF" w:rsidRPr="00836C24" w:rsidRDefault="00A24798" w:rsidP="0035122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 xml:space="preserve">De otro lado, </w:t>
      </w:r>
      <w:r w:rsidR="00B8457C" w:rsidRPr="00836C24">
        <w:rPr>
          <w:rFonts w:ascii="Cambria" w:hAnsi="Cambria"/>
          <w:sz w:val="20"/>
          <w:szCs w:val="20"/>
          <w:lang w:val="es-ES"/>
        </w:rPr>
        <w:t>el ejercicio adecuado y efectivo de las garantías descritas del debido proceso descritas, depende significativamente de la defensa técnica con que cuente la pe</w:t>
      </w:r>
      <w:r w:rsidR="00351225" w:rsidRPr="00836C24">
        <w:rPr>
          <w:rFonts w:ascii="Cambria" w:hAnsi="Cambria"/>
          <w:sz w:val="20"/>
          <w:szCs w:val="20"/>
          <w:lang w:val="es-ES"/>
        </w:rPr>
        <w:t xml:space="preserve">rsona sometida a proceso penal. </w:t>
      </w:r>
      <w:r w:rsidR="005456A6" w:rsidRPr="00836C24">
        <w:rPr>
          <w:rFonts w:ascii="Cambria" w:eastAsiaTheme="minorHAnsi" w:hAnsi="Cambria" w:cs="Arial"/>
          <w:sz w:val="20"/>
          <w:szCs w:val="20"/>
          <w:lang w:val="es-CR"/>
        </w:rPr>
        <w:t xml:space="preserve">La Corte Interamericana ha señalado </w:t>
      </w:r>
      <w:r w:rsidR="008A53C9" w:rsidRPr="00836C24">
        <w:rPr>
          <w:rFonts w:ascii="Cambria" w:eastAsiaTheme="minorHAnsi" w:hAnsi="Cambria" w:cs="Arial"/>
          <w:sz w:val="20"/>
          <w:szCs w:val="20"/>
          <w:lang w:val="es-CR"/>
        </w:rPr>
        <w:t xml:space="preserve">que </w:t>
      </w:r>
      <w:r w:rsidR="00351225" w:rsidRPr="00836C24">
        <w:rPr>
          <w:rFonts w:ascii="Cambria" w:eastAsiaTheme="minorHAnsi" w:hAnsi="Cambria" w:cs="Arial"/>
          <w:sz w:val="20"/>
          <w:szCs w:val="20"/>
          <w:lang w:val="es-CR"/>
        </w:rPr>
        <w:t xml:space="preserve">el derecho de defensa comprende un carácter de defensa eficaz, oportuna, realizada por gente capacitada, que permita fortalecer la defensa del interés concreto del </w:t>
      </w:r>
      <w:r w:rsidR="00351225" w:rsidRPr="00836C24">
        <w:rPr>
          <w:rFonts w:ascii="Cambria" w:eastAsiaTheme="minorHAnsi" w:hAnsi="Cambria" w:cs="Arial"/>
          <w:sz w:val="20"/>
          <w:szCs w:val="20"/>
          <w:lang w:val="es-CR"/>
        </w:rPr>
        <w:lastRenderedPageBreak/>
        <w:t>imputado y no como un simple medio para cumplir formalmente con la legitimidad del proceso. Por ende, cualquier forma de defensa aparente resultaría violatoria de la Convención Americana</w:t>
      </w:r>
      <w:r w:rsidR="00ED7067" w:rsidRPr="00836C24">
        <w:rPr>
          <w:rStyle w:val="FootnoteReference"/>
          <w:rFonts w:ascii="Cambria" w:eastAsiaTheme="minorHAnsi" w:hAnsi="Cambria" w:cs="Arial"/>
          <w:sz w:val="20"/>
          <w:szCs w:val="20"/>
          <w:lang w:val="es-CR"/>
        </w:rPr>
        <w:footnoteReference w:id="110"/>
      </w:r>
      <w:r w:rsidR="00351225" w:rsidRPr="00836C24">
        <w:rPr>
          <w:rFonts w:ascii="Cambria" w:eastAsiaTheme="minorHAnsi" w:hAnsi="Cambria" w:cs="Arial"/>
          <w:sz w:val="20"/>
          <w:szCs w:val="20"/>
          <w:lang w:val="es-CR"/>
        </w:rPr>
        <w:t>.</w:t>
      </w:r>
    </w:p>
    <w:p w:rsidR="003C15EF" w:rsidRPr="00836C24" w:rsidRDefault="003C15EF" w:rsidP="003C15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eastAsiaTheme="minorHAnsi" w:hAnsi="Cambria" w:cs="Arial"/>
          <w:sz w:val="20"/>
          <w:szCs w:val="20"/>
          <w:lang w:val="es-CR"/>
        </w:rPr>
      </w:pPr>
    </w:p>
    <w:p w:rsidR="00535530" w:rsidRPr="00836C24" w:rsidRDefault="00351225" w:rsidP="00FD06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eastAsiaTheme="minorHAnsi" w:hAnsi="Cambria" w:cs="Arial"/>
          <w:sz w:val="20"/>
          <w:szCs w:val="20"/>
          <w:lang w:val="es-CR"/>
        </w:rPr>
        <w:t>En el caso Ruano Torres vs. El Salvador, la Corte Interamericana se pronunció</w:t>
      </w:r>
      <w:r w:rsidR="002A2622" w:rsidRPr="00836C24">
        <w:rPr>
          <w:rFonts w:ascii="Cambria" w:eastAsiaTheme="minorHAnsi" w:hAnsi="Cambria" w:cs="Arial"/>
          <w:sz w:val="20"/>
          <w:szCs w:val="20"/>
          <w:lang w:val="es-CR"/>
        </w:rPr>
        <w:t xml:space="preserve"> sobre las circu</w:t>
      </w:r>
      <w:r w:rsidRPr="00836C24">
        <w:rPr>
          <w:rFonts w:ascii="Cambria" w:eastAsiaTheme="minorHAnsi" w:hAnsi="Cambria" w:cs="Arial"/>
          <w:sz w:val="20"/>
          <w:szCs w:val="20"/>
          <w:lang w:val="es-CR"/>
        </w:rPr>
        <w:t>nstancias en las cuales los Estados pueden s</w:t>
      </w:r>
      <w:r w:rsidR="002A2622" w:rsidRPr="00836C24">
        <w:rPr>
          <w:rFonts w:ascii="Cambria" w:eastAsiaTheme="minorHAnsi" w:hAnsi="Cambria" w:cs="Arial"/>
          <w:sz w:val="20"/>
          <w:szCs w:val="20"/>
          <w:lang w:val="es-CR"/>
        </w:rPr>
        <w:t>er responsables como consecuencia</w:t>
      </w:r>
      <w:r w:rsidRPr="00836C24">
        <w:rPr>
          <w:rFonts w:ascii="Cambria" w:eastAsiaTheme="minorHAnsi" w:hAnsi="Cambria" w:cs="Arial"/>
          <w:sz w:val="20"/>
          <w:szCs w:val="20"/>
          <w:lang w:val="es-CR"/>
        </w:rPr>
        <w:t xml:space="preserve"> de actuaciones deficientes y negligentes de la defensa pública. </w:t>
      </w:r>
      <w:r w:rsidR="009230E7" w:rsidRPr="00836C24">
        <w:rPr>
          <w:rFonts w:ascii="Cambria" w:hAnsi="Cambria"/>
          <w:sz w:val="20"/>
          <w:szCs w:val="20"/>
          <w:lang w:val="es-ES"/>
        </w:rPr>
        <w:t xml:space="preserve">Específicamente, la Corte señaló </w:t>
      </w:r>
      <w:r w:rsidR="003A3AAA" w:rsidRPr="00836C24">
        <w:rPr>
          <w:rFonts w:ascii="Cambria" w:eastAsiaTheme="minorHAnsi" w:hAnsi="Cambria" w:cs="Arial"/>
          <w:sz w:val="20"/>
          <w:szCs w:val="20"/>
          <w:lang w:val="es-CR"/>
        </w:rPr>
        <w:t xml:space="preserve">que, para analizar si ha ocurrido una posible vulneración del derecho a la defensa por parte del Estado, tendrá que evaluar si la acción u omisión del defensor público constituyó una negligencia inexcusable o una falla manifiesta en el ejercicio de la defensa que </w:t>
      </w:r>
      <w:r w:rsidR="003A3AAA" w:rsidRPr="00836C24">
        <w:rPr>
          <w:rFonts w:ascii="Cambria" w:eastAsiaTheme="minorHAnsi" w:hAnsi="Cambria" w:cs="Arial"/>
          <w:iCs/>
          <w:sz w:val="20"/>
          <w:szCs w:val="20"/>
          <w:lang w:val="es-CR"/>
        </w:rPr>
        <w:t xml:space="preserve">tuvo o puede tener un efecto decisivo </w:t>
      </w:r>
      <w:r w:rsidR="003A3AAA" w:rsidRPr="00836C24">
        <w:rPr>
          <w:rFonts w:ascii="Cambria" w:eastAsiaTheme="minorHAnsi" w:hAnsi="Cambria" w:cs="Arial"/>
          <w:sz w:val="20"/>
          <w:szCs w:val="20"/>
          <w:lang w:val="es-CR"/>
        </w:rPr>
        <w:t>en contra de los intereses del imputado</w:t>
      </w:r>
      <w:r w:rsidR="009230E7" w:rsidRPr="00836C24">
        <w:rPr>
          <w:rStyle w:val="FootnoteReference"/>
          <w:rFonts w:ascii="Cambria" w:eastAsiaTheme="minorHAnsi" w:hAnsi="Cambria" w:cs="Arial"/>
          <w:sz w:val="20"/>
          <w:szCs w:val="20"/>
          <w:lang w:val="es-CR"/>
        </w:rPr>
        <w:footnoteReference w:id="111"/>
      </w:r>
      <w:r w:rsidR="00535530" w:rsidRPr="00836C24">
        <w:rPr>
          <w:rFonts w:ascii="Cambria" w:eastAsiaTheme="minorHAnsi" w:hAnsi="Cambria" w:cs="Arial"/>
          <w:sz w:val="20"/>
          <w:szCs w:val="20"/>
          <w:lang w:val="es-CR"/>
        </w:rPr>
        <w:t>.</w:t>
      </w:r>
    </w:p>
    <w:p w:rsidR="00535530" w:rsidRPr="00836C24" w:rsidRDefault="00535530" w:rsidP="005355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eastAsiaTheme="minorHAnsi" w:hAnsi="Cambria" w:cs="Arial"/>
          <w:sz w:val="20"/>
          <w:szCs w:val="20"/>
          <w:lang w:val="es-CR"/>
        </w:rPr>
      </w:pPr>
    </w:p>
    <w:p w:rsidR="002133B0" w:rsidRPr="00836C24" w:rsidRDefault="002A2622" w:rsidP="00FD06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ES"/>
        </w:rPr>
      </w:pPr>
      <w:r w:rsidRPr="00836C24">
        <w:rPr>
          <w:rFonts w:ascii="Cambria" w:eastAsiaTheme="minorHAnsi" w:hAnsi="Cambria" w:cs="Arial"/>
          <w:sz w:val="20"/>
          <w:szCs w:val="20"/>
          <w:lang w:val="es-CR"/>
        </w:rPr>
        <w:t>En el mismo caso, la Corte hizo referencia al rol de los jueces y juezas en efectuar un control de las a</w:t>
      </w:r>
      <w:r w:rsidR="00B431BB" w:rsidRPr="00836C24">
        <w:rPr>
          <w:rFonts w:ascii="Cambria" w:eastAsiaTheme="minorHAnsi" w:hAnsi="Cambria" w:cs="Arial"/>
          <w:sz w:val="20"/>
          <w:szCs w:val="20"/>
          <w:lang w:val="es-CR"/>
        </w:rPr>
        <w:t>ctuaciones de la defensa pública</w:t>
      </w:r>
      <w:r w:rsidRPr="00836C24">
        <w:rPr>
          <w:rFonts w:ascii="Cambria" w:eastAsiaTheme="minorHAnsi" w:hAnsi="Cambria" w:cs="Arial"/>
          <w:sz w:val="20"/>
          <w:szCs w:val="20"/>
          <w:lang w:val="es-CR"/>
        </w:rPr>
        <w:t xml:space="preserve"> y</w:t>
      </w:r>
      <w:r w:rsidR="002133B0" w:rsidRPr="00836C24">
        <w:rPr>
          <w:rFonts w:ascii="Cambria" w:eastAsiaTheme="minorHAnsi" w:hAnsi="Cambria" w:cs="Arial"/>
          <w:sz w:val="20"/>
          <w:szCs w:val="20"/>
          <w:lang w:val="es-CR"/>
        </w:rPr>
        <w:t xml:space="preserve"> su correlativa obligación </w:t>
      </w:r>
      <w:r w:rsidRPr="00836C24">
        <w:rPr>
          <w:rFonts w:ascii="Cambria" w:eastAsiaTheme="minorHAnsi" w:hAnsi="Cambria" w:cs="Arial"/>
          <w:sz w:val="20"/>
          <w:szCs w:val="20"/>
          <w:lang w:val="es-CR"/>
        </w:rPr>
        <w:t>de intervenir cuando s</w:t>
      </w:r>
      <w:r w:rsidR="002133B0" w:rsidRPr="00836C24">
        <w:rPr>
          <w:rFonts w:ascii="Cambria" w:eastAsiaTheme="minorHAnsi" w:hAnsi="Cambria" w:cs="Arial"/>
          <w:sz w:val="20"/>
          <w:szCs w:val="20"/>
          <w:lang w:val="es-CR"/>
        </w:rPr>
        <w:t>ea necesario resguardar dicho derecho a favor del imputado. En palabras de la Corte:</w:t>
      </w:r>
    </w:p>
    <w:p w:rsidR="002133B0" w:rsidRPr="00836C24" w:rsidRDefault="002133B0"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eastAsiaTheme="minorHAnsi" w:hAnsi="Cambria" w:cs="Arial"/>
          <w:sz w:val="20"/>
          <w:szCs w:val="20"/>
          <w:lang w:val="es-CR"/>
        </w:rPr>
      </w:pPr>
    </w:p>
    <w:p w:rsidR="003A3AAA" w:rsidRPr="00836C24" w:rsidRDefault="002133B0" w:rsidP="00E32B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right="720"/>
        <w:jc w:val="both"/>
        <w:rPr>
          <w:rFonts w:ascii="Cambria" w:eastAsiaTheme="minorHAnsi" w:hAnsi="Cambria" w:cs="Arial"/>
          <w:sz w:val="20"/>
          <w:szCs w:val="20"/>
          <w:lang w:val="es-CR"/>
        </w:rPr>
      </w:pPr>
      <w:r w:rsidRPr="00836C24">
        <w:rPr>
          <w:rFonts w:ascii="Cambria" w:eastAsiaTheme="minorHAnsi" w:hAnsi="Cambria" w:cs="Arial"/>
          <w:sz w:val="20"/>
          <w:szCs w:val="20"/>
          <w:lang w:val="es-CR"/>
        </w:rPr>
        <w:t xml:space="preserve">(…) </w:t>
      </w:r>
      <w:r w:rsidR="003A3AAA" w:rsidRPr="00836C24">
        <w:rPr>
          <w:rFonts w:ascii="Cambria" w:eastAsiaTheme="minorHAnsi" w:hAnsi="Cambria" w:cs="Arial"/>
          <w:sz w:val="20"/>
          <w:szCs w:val="20"/>
          <w:lang w:val="es-CR"/>
        </w:rPr>
        <w:t>la responsabilidad internacional del Estado puede verse comprometida, además, por la respuesta brindada a través de los órganos judiciales respecto a las actuaciones u omisiones imputables a la defensa pública. Si es evidente que la defensa pública actuó sin la diligencia debida, recae sobre las autoridades judiciales un deber de tutela o control. Ciertamente, la función judicial debe vigilar que el derecho a la defensa no se torne ilusorio a través de una asistencia jurídica ineficaz. En esta línea, resulta esencial la función de resguardo del debido proceso que deben ejercer las autoridades judiciales</w:t>
      </w:r>
      <w:r w:rsidRPr="00836C24">
        <w:rPr>
          <w:rStyle w:val="FootnoteReference"/>
          <w:rFonts w:ascii="Cambria" w:eastAsiaTheme="minorHAnsi" w:hAnsi="Cambria" w:cs="Arial"/>
          <w:sz w:val="20"/>
          <w:szCs w:val="20"/>
          <w:lang w:val="es-CR"/>
        </w:rPr>
        <w:footnoteReference w:id="112"/>
      </w:r>
      <w:r w:rsidR="003A3AAA" w:rsidRPr="00836C24">
        <w:rPr>
          <w:rFonts w:ascii="Cambria" w:eastAsiaTheme="minorHAnsi" w:hAnsi="Cambria" w:cs="Arial"/>
          <w:sz w:val="20"/>
          <w:szCs w:val="20"/>
          <w:lang w:val="es-CR"/>
        </w:rPr>
        <w:t xml:space="preserve">. </w:t>
      </w:r>
    </w:p>
    <w:p w:rsidR="00644FEF" w:rsidRPr="00836C24" w:rsidRDefault="00644FEF"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eastAsiaTheme="minorHAnsi" w:hAnsi="Cambria" w:cs="Arial"/>
          <w:sz w:val="20"/>
          <w:szCs w:val="20"/>
          <w:lang w:val="es-CR"/>
        </w:rPr>
      </w:pPr>
    </w:p>
    <w:p w:rsidR="00B27957" w:rsidRPr="00836C24" w:rsidRDefault="00A62D2B" w:rsidP="005355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eastAsiaTheme="minorHAnsi" w:hAnsi="Cambria" w:cs="Arial"/>
          <w:sz w:val="20"/>
          <w:szCs w:val="20"/>
          <w:lang w:val="es-CR"/>
        </w:rPr>
      </w:pPr>
      <w:r w:rsidRPr="00836C24">
        <w:rPr>
          <w:rFonts w:ascii="Cambria" w:eastAsiaTheme="minorHAnsi" w:hAnsi="Cambria" w:cs="Arial"/>
          <w:sz w:val="20"/>
          <w:szCs w:val="20"/>
          <w:lang w:val="es-CR"/>
        </w:rPr>
        <w:t xml:space="preserve">En consecuencia, la Corte señaló que </w:t>
      </w:r>
      <w:r w:rsidR="00644FEF" w:rsidRPr="00836C24">
        <w:rPr>
          <w:rFonts w:ascii="Cambria" w:eastAsiaTheme="minorHAnsi" w:hAnsi="Cambria" w:cs="Arial"/>
          <w:sz w:val="20"/>
          <w:szCs w:val="20"/>
          <w:lang w:val="es-CR"/>
        </w:rPr>
        <w:t>la responsabilidad internacional del Estado será, pues, también establecida si la negligencia inexcusable o falla manifiesta de la defensa debió haber sido evidente para las autoridades judiciales o bien fueron puestas en conocimiento de las mismas y no se adoptaron las acciones necesarias y suficientes para prevenir y/o remediar la vi</w:t>
      </w:r>
      <w:r w:rsidRPr="00836C24">
        <w:rPr>
          <w:rFonts w:ascii="Cambria" w:eastAsiaTheme="minorHAnsi" w:hAnsi="Cambria" w:cs="Arial"/>
          <w:sz w:val="20"/>
          <w:szCs w:val="20"/>
          <w:lang w:val="es-CR"/>
        </w:rPr>
        <w:t>olación al derecho a la defensa</w:t>
      </w:r>
      <w:r w:rsidRPr="00836C24">
        <w:rPr>
          <w:rStyle w:val="FootnoteReference"/>
          <w:rFonts w:ascii="Cambria" w:eastAsiaTheme="minorHAnsi" w:hAnsi="Cambria" w:cs="Arial"/>
          <w:sz w:val="20"/>
          <w:szCs w:val="20"/>
          <w:lang w:val="es-CR"/>
        </w:rPr>
        <w:footnoteReference w:id="113"/>
      </w:r>
      <w:r w:rsidR="00644FEF" w:rsidRPr="00836C24">
        <w:rPr>
          <w:rFonts w:ascii="Cambria" w:eastAsiaTheme="minorHAnsi" w:hAnsi="Cambria" w:cs="Arial"/>
          <w:sz w:val="20"/>
          <w:szCs w:val="20"/>
          <w:lang w:val="es-CR"/>
        </w:rPr>
        <w:t>.</w:t>
      </w:r>
    </w:p>
    <w:p w:rsidR="00644FEF" w:rsidRPr="00836C24" w:rsidRDefault="00644FEF" w:rsidP="00B279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Cambria" w:eastAsiaTheme="minorHAnsi" w:hAnsi="Cambria" w:cs="Arial"/>
          <w:sz w:val="20"/>
          <w:szCs w:val="20"/>
          <w:lang w:val="es-CR"/>
        </w:rPr>
      </w:pPr>
      <w:r w:rsidRPr="00836C24">
        <w:rPr>
          <w:rFonts w:ascii="Cambria" w:eastAsiaTheme="minorHAnsi" w:hAnsi="Cambria" w:cs="Arial"/>
          <w:sz w:val="20"/>
          <w:szCs w:val="20"/>
          <w:lang w:val="es-CR"/>
        </w:rPr>
        <w:t xml:space="preserve"> </w:t>
      </w:r>
    </w:p>
    <w:p w:rsidR="00B27957" w:rsidRPr="00836C24" w:rsidRDefault="00B27957" w:rsidP="00F505B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Cambria" w:eastAsiaTheme="minorHAnsi" w:hAnsi="Cambria" w:cs="Arial"/>
          <w:sz w:val="20"/>
          <w:szCs w:val="20"/>
          <w:lang w:val="es-CR"/>
        </w:rPr>
        <w:t xml:space="preserve"> </w:t>
      </w:r>
      <w:r w:rsidRPr="00836C24">
        <w:rPr>
          <w:rFonts w:asciiTheme="majorHAnsi" w:hAnsiTheme="majorHAnsi"/>
          <w:sz w:val="20"/>
          <w:szCs w:val="20"/>
          <w:lang w:val="es-CL"/>
        </w:rPr>
        <w:t>La Comisión resalta que el control de las garantías procesales corresponde tanto a las y los abogados defensores</w:t>
      </w:r>
      <w:r w:rsidR="00C86ACF" w:rsidRPr="00836C24">
        <w:rPr>
          <w:rFonts w:asciiTheme="majorHAnsi" w:hAnsiTheme="majorHAnsi"/>
          <w:sz w:val="20"/>
          <w:szCs w:val="20"/>
          <w:lang w:val="es-CL"/>
        </w:rPr>
        <w:t xml:space="preserve"> como representantes</w:t>
      </w:r>
      <w:r w:rsidRPr="00836C24">
        <w:rPr>
          <w:rFonts w:asciiTheme="majorHAnsi" w:hAnsiTheme="majorHAnsi"/>
          <w:sz w:val="20"/>
          <w:szCs w:val="20"/>
          <w:lang w:val="es-CL"/>
        </w:rPr>
        <w:t xml:space="preserve"> como a l</w:t>
      </w:r>
      <w:r w:rsidR="00F505B9" w:rsidRPr="00836C24">
        <w:rPr>
          <w:rFonts w:asciiTheme="majorHAnsi" w:hAnsiTheme="majorHAnsi"/>
          <w:sz w:val="20"/>
          <w:szCs w:val="20"/>
          <w:lang w:val="es-CL"/>
        </w:rPr>
        <w:t>as y los operadores de justicia como autoridades competentes y requeridas para asegurar el debido proceso.</w:t>
      </w:r>
      <w:r w:rsidRPr="00836C24">
        <w:rPr>
          <w:rFonts w:asciiTheme="majorHAnsi" w:hAnsiTheme="majorHAnsi"/>
          <w:sz w:val="20"/>
          <w:szCs w:val="20"/>
          <w:lang w:val="es-CL"/>
        </w:rPr>
        <w:t xml:space="preserve"> La Comisión recuerda que las juezas y jueces desempeñan funciones esenciales para el respeto y garantía de los derechos de protección y debido proceso</w:t>
      </w:r>
      <w:r w:rsidRPr="00836C24">
        <w:rPr>
          <w:rStyle w:val="FootnoteReference"/>
          <w:rFonts w:asciiTheme="majorHAnsi" w:hAnsiTheme="majorHAnsi"/>
          <w:sz w:val="20"/>
          <w:szCs w:val="20"/>
          <w:lang w:val="es-CL"/>
        </w:rPr>
        <w:footnoteReference w:id="114"/>
      </w:r>
      <w:r w:rsidRPr="00836C24">
        <w:rPr>
          <w:rFonts w:asciiTheme="majorHAnsi" w:hAnsiTheme="majorHAnsi"/>
          <w:sz w:val="20"/>
          <w:szCs w:val="20"/>
          <w:lang w:val="es-CL"/>
        </w:rPr>
        <w:t xml:space="preserve">. </w:t>
      </w:r>
    </w:p>
    <w:p w:rsidR="00690FD8" w:rsidRPr="00836C24" w:rsidRDefault="00690FD8"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644FEF" w:rsidRPr="00836C24" w:rsidRDefault="00690FD8" w:rsidP="00FD06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Finalmente,</w:t>
      </w:r>
      <w:r w:rsidRPr="00836C24">
        <w:rPr>
          <w:rFonts w:ascii="Cambria" w:hAnsi="Cambria"/>
          <w:bCs/>
          <w:sz w:val="20"/>
          <w:szCs w:val="20"/>
          <w:lang w:val="es-CO"/>
        </w:rPr>
        <w:t xml:space="preserve"> e</w:t>
      </w:r>
      <w:r w:rsidRPr="00836C24">
        <w:rPr>
          <w:rFonts w:ascii="Cambria" w:hAnsi="Cambria"/>
          <w:sz w:val="20"/>
          <w:szCs w:val="20"/>
          <w:lang w:val="es-CO"/>
        </w:rPr>
        <w:t>n virtud del artículo 25 de la Convención, los Estados deben de ofrecer un recurso adecuado y efectivo contra actos violatorios de sus derechos, tanto los establecidos en la Convención como en la ley</w:t>
      </w:r>
      <w:r w:rsidRPr="00836C24">
        <w:rPr>
          <w:rStyle w:val="FootnoteReference"/>
          <w:rFonts w:ascii="Cambria" w:hAnsi="Cambria"/>
          <w:sz w:val="20"/>
          <w:szCs w:val="20"/>
        </w:rPr>
        <w:footnoteReference w:id="115"/>
      </w:r>
      <w:r w:rsidRPr="00836C24">
        <w:rPr>
          <w:rFonts w:ascii="Cambria" w:hAnsi="Cambria"/>
          <w:sz w:val="20"/>
          <w:szCs w:val="20"/>
          <w:lang w:val="es-CO"/>
        </w:rPr>
        <w:t>.</w:t>
      </w:r>
      <w:r w:rsidRPr="00836C24">
        <w:rPr>
          <w:rFonts w:ascii="Cambria" w:hAnsi="Cambria"/>
          <w:bCs/>
          <w:sz w:val="20"/>
          <w:szCs w:val="20"/>
          <w:lang w:val="es-CO"/>
        </w:rPr>
        <w:t xml:space="preserve"> </w:t>
      </w:r>
    </w:p>
    <w:p w:rsidR="00954A67" w:rsidRPr="00836C24" w:rsidRDefault="006A77C7" w:rsidP="00A60469">
      <w:pPr>
        <w:pStyle w:val="Heading4"/>
        <w:rPr>
          <w:rFonts w:asciiTheme="majorHAnsi" w:eastAsia="Cambria" w:hAnsiTheme="majorHAnsi" w:cs="Cambria"/>
          <w:b w:val="0"/>
          <w:color w:val="000000"/>
          <w:sz w:val="20"/>
          <w:u w:color="000000"/>
          <w:lang w:val="es-ES" w:eastAsia="es-ES"/>
        </w:rPr>
      </w:pPr>
      <w:r w:rsidRPr="00836C24">
        <w:rPr>
          <w:rFonts w:asciiTheme="majorHAnsi" w:eastAsia="Cambria" w:hAnsiTheme="majorHAnsi" w:cs="Cambria"/>
          <w:b w:val="0"/>
          <w:color w:val="000000"/>
          <w:sz w:val="20"/>
          <w:u w:color="000000"/>
          <w:lang w:val="es-ES" w:eastAsia="es-ES"/>
        </w:rPr>
        <w:tab/>
      </w:r>
      <w:r w:rsidRPr="00836C24">
        <w:rPr>
          <w:rFonts w:asciiTheme="majorHAnsi" w:hAnsiTheme="majorHAnsi"/>
          <w:sz w:val="20"/>
          <w:lang w:val="es-ES"/>
        </w:rPr>
        <w:t>2.2</w:t>
      </w:r>
      <w:r w:rsidRPr="00836C24">
        <w:rPr>
          <w:rFonts w:asciiTheme="majorHAnsi" w:hAnsiTheme="majorHAnsi"/>
          <w:sz w:val="20"/>
          <w:lang w:val="es-ES"/>
        </w:rPr>
        <w:tab/>
      </w:r>
      <w:r w:rsidR="00954A67" w:rsidRPr="00836C24">
        <w:rPr>
          <w:rFonts w:asciiTheme="majorHAnsi" w:hAnsiTheme="majorHAnsi"/>
          <w:sz w:val="20"/>
          <w:lang w:val="es-ES"/>
        </w:rPr>
        <w:t>Análisis del caso</w:t>
      </w:r>
      <w:r w:rsidR="00954A67" w:rsidRPr="00836C24">
        <w:rPr>
          <w:rFonts w:asciiTheme="majorHAnsi" w:eastAsia="Cambria" w:hAnsiTheme="majorHAnsi" w:cs="Cambria"/>
          <w:b w:val="0"/>
          <w:color w:val="000000"/>
          <w:sz w:val="20"/>
          <w:u w:color="000000"/>
          <w:lang w:val="es-ES" w:eastAsia="es-ES"/>
        </w:rPr>
        <w:t xml:space="preserve"> </w:t>
      </w:r>
    </w:p>
    <w:p w:rsidR="00954A67" w:rsidRPr="00836C24" w:rsidRDefault="00954A67"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eastAsia="Cambria" w:hAnsiTheme="majorHAnsi" w:cs="Cambria"/>
          <w:b/>
          <w:color w:val="000000"/>
          <w:sz w:val="20"/>
          <w:szCs w:val="20"/>
          <w:u w:color="000000"/>
          <w:lang w:val="es-ES" w:eastAsia="es-ES"/>
        </w:rPr>
      </w:pPr>
    </w:p>
    <w:p w:rsidR="001F2406" w:rsidRPr="00836C24" w:rsidRDefault="0007618C" w:rsidP="00FF0A2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La Comisión</w:t>
      </w:r>
      <w:r w:rsidR="00AF1D8B" w:rsidRPr="00836C24">
        <w:rPr>
          <w:rFonts w:asciiTheme="majorHAnsi" w:hAnsiTheme="majorHAnsi"/>
          <w:sz w:val="20"/>
          <w:szCs w:val="20"/>
          <w:lang w:val="es-CL"/>
        </w:rPr>
        <w:t xml:space="preserve"> i</w:t>
      </w:r>
      <w:r w:rsidRPr="00836C24">
        <w:rPr>
          <w:rFonts w:asciiTheme="majorHAnsi" w:hAnsiTheme="majorHAnsi"/>
          <w:sz w:val="20"/>
          <w:szCs w:val="20"/>
          <w:lang w:val="es-CL"/>
        </w:rPr>
        <w:t>dentific</w:t>
      </w:r>
      <w:r w:rsidR="00AF1D8B" w:rsidRPr="00836C24">
        <w:rPr>
          <w:rFonts w:asciiTheme="majorHAnsi" w:hAnsiTheme="majorHAnsi"/>
          <w:sz w:val="20"/>
          <w:szCs w:val="20"/>
          <w:lang w:val="es-CL"/>
        </w:rPr>
        <w:t xml:space="preserve">a que son tres los argumentos de los peticionarios sobre violaciones de debido proceso. El primero se relaciona con </w:t>
      </w:r>
      <w:r w:rsidR="00877233" w:rsidRPr="00836C24">
        <w:rPr>
          <w:rFonts w:asciiTheme="majorHAnsi" w:hAnsiTheme="majorHAnsi"/>
          <w:sz w:val="20"/>
          <w:szCs w:val="20"/>
          <w:lang w:val="es-CL"/>
        </w:rPr>
        <w:t xml:space="preserve">el hecho de que se habrían dado por probadas cuestiones fácticas que no estaban incluidas en la acusación. El segundo se relaciona con </w:t>
      </w:r>
      <w:r w:rsidR="003615B1" w:rsidRPr="00836C24">
        <w:rPr>
          <w:rFonts w:asciiTheme="majorHAnsi" w:hAnsiTheme="majorHAnsi"/>
          <w:sz w:val="20"/>
          <w:szCs w:val="20"/>
          <w:lang w:val="es-CL"/>
        </w:rPr>
        <w:t xml:space="preserve">la imposibilidad de presentar pruebas </w:t>
      </w:r>
      <w:r w:rsidR="003615B1" w:rsidRPr="00836C24">
        <w:rPr>
          <w:rFonts w:asciiTheme="majorHAnsi" w:hAnsiTheme="majorHAnsi"/>
          <w:sz w:val="20"/>
          <w:szCs w:val="20"/>
          <w:lang w:val="es-CL"/>
        </w:rPr>
        <w:lastRenderedPageBreak/>
        <w:t xml:space="preserve">de descargo en atención a que el defensor del </w:t>
      </w:r>
      <w:r w:rsidR="00F36D85" w:rsidRPr="00836C24">
        <w:rPr>
          <w:rFonts w:asciiTheme="majorHAnsi" w:hAnsiTheme="majorHAnsi"/>
          <w:sz w:val="20"/>
          <w:szCs w:val="20"/>
          <w:lang w:val="es-CL"/>
        </w:rPr>
        <w:t>señor</w:t>
      </w:r>
      <w:r w:rsidR="003615B1" w:rsidRPr="00836C24">
        <w:rPr>
          <w:rFonts w:asciiTheme="majorHAnsi" w:hAnsiTheme="majorHAnsi"/>
          <w:sz w:val="20"/>
          <w:szCs w:val="20"/>
          <w:lang w:val="es-CL"/>
        </w:rPr>
        <w:t xml:space="preserve"> Ruiz Fuentes no había cumplido con una formalidad. Y el tercero se relaciona con el derecho a recurrir el fallo. </w:t>
      </w:r>
    </w:p>
    <w:p w:rsidR="001F2406" w:rsidRPr="00836C24" w:rsidRDefault="001F2406"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jc w:val="both"/>
        <w:rPr>
          <w:rFonts w:asciiTheme="majorHAnsi" w:hAnsiTheme="majorHAnsi"/>
          <w:sz w:val="20"/>
          <w:szCs w:val="20"/>
          <w:lang w:val="es-CL"/>
        </w:rPr>
      </w:pPr>
    </w:p>
    <w:p w:rsidR="001F2406" w:rsidRPr="00836C24" w:rsidRDefault="001F2406" w:rsidP="00FF0A2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En cuanto al primer argumento, la Comisión observa que no cuenta con la acusación de modo que pueda pronunciarse sobre el referido cambio entre los hechos contenidos en la acusación y los dados por probados en la sentencia condenatoria. La Comisión tampoco cuenta con información detallada sobre lo sucedido a lo largo del juicio. En ese sentido, la CIDH no</w:t>
      </w:r>
      <w:r w:rsidR="00C84135" w:rsidRPr="00836C24">
        <w:rPr>
          <w:rFonts w:asciiTheme="majorHAnsi" w:hAnsiTheme="majorHAnsi"/>
          <w:sz w:val="20"/>
          <w:szCs w:val="20"/>
          <w:lang w:val="es-CL"/>
        </w:rPr>
        <w:t xml:space="preserve"> cuenta</w:t>
      </w:r>
      <w:r w:rsidRPr="00836C24">
        <w:rPr>
          <w:rFonts w:asciiTheme="majorHAnsi" w:hAnsiTheme="majorHAnsi"/>
          <w:sz w:val="20"/>
          <w:szCs w:val="20"/>
          <w:lang w:val="es-CL"/>
        </w:rPr>
        <w:t xml:space="preserve"> con elementos suficientes para establecer si el alegado cambio existió y si fue de tal entidad que pueda considerarse como algo intempestivo respecto de lo cual el señor Ruiz Fuentes no pudiera defenderse oportunamente</w:t>
      </w:r>
      <w:r w:rsidR="003F14BB" w:rsidRPr="00836C24">
        <w:rPr>
          <w:rFonts w:asciiTheme="majorHAnsi" w:hAnsiTheme="majorHAnsi"/>
          <w:sz w:val="20"/>
          <w:szCs w:val="20"/>
          <w:lang w:val="es-CL"/>
        </w:rPr>
        <w:t>.</w:t>
      </w:r>
      <w:r w:rsidR="004E1A11" w:rsidRPr="00836C24">
        <w:rPr>
          <w:rFonts w:asciiTheme="majorHAnsi" w:hAnsiTheme="majorHAnsi"/>
          <w:sz w:val="20"/>
          <w:szCs w:val="20"/>
          <w:lang w:val="es-CL"/>
        </w:rPr>
        <w:t xml:space="preserve"> Sin perjuicio de lo anterior, la Comisión tomará en cuenta este argumento al momento de revisar si el recurso de apelación – en el marco del cual el señor Ruiz Fuentes presentó este argumento – cumplió con los requerimientos del artículo 8.2 h) de la Convenci</w:t>
      </w:r>
      <w:r w:rsidR="00D458E6" w:rsidRPr="00836C24">
        <w:rPr>
          <w:rFonts w:asciiTheme="majorHAnsi" w:hAnsiTheme="majorHAnsi"/>
          <w:sz w:val="20"/>
          <w:szCs w:val="20"/>
          <w:lang w:val="es-CL"/>
        </w:rPr>
        <w:t xml:space="preserve">ón. </w:t>
      </w:r>
    </w:p>
    <w:p w:rsidR="001F2406" w:rsidRPr="00836C24" w:rsidRDefault="001F2406"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954A67" w:rsidRPr="00836C24" w:rsidRDefault="008E707F" w:rsidP="00F04E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Respecto del segundo a</w:t>
      </w:r>
      <w:r w:rsidR="00A2492C" w:rsidRPr="00836C24">
        <w:rPr>
          <w:rFonts w:asciiTheme="majorHAnsi" w:hAnsiTheme="majorHAnsi"/>
          <w:sz w:val="20"/>
          <w:szCs w:val="20"/>
          <w:lang w:val="es-CL"/>
        </w:rPr>
        <w:t>rgumento, s</w:t>
      </w:r>
      <w:r w:rsidR="00954A67" w:rsidRPr="00836C24">
        <w:rPr>
          <w:rFonts w:asciiTheme="majorHAnsi" w:hAnsiTheme="majorHAnsi"/>
          <w:sz w:val="20"/>
          <w:szCs w:val="20"/>
          <w:lang w:val="es-CL"/>
        </w:rPr>
        <w:t xml:space="preserve">egún se refirió en la sección de hechos probados, la presunta víctima se vio impedida de presentar pruebas de descargo a su favor durante el juicio, debido a que la persona que ejercía su defensa “omitió firmar y sellar el memorial de ofrecimiento”, por lo que el tribunal de sentencia “no le dio trámite”. En la sentencia de apelación especial, la Sala consideró que “si se rechazó la prueba propuesta fue por la forma antitécnica” en que se presentó. </w:t>
      </w:r>
    </w:p>
    <w:p w:rsidR="00D96D45" w:rsidRPr="00836C24" w:rsidRDefault="00D96D45" w:rsidP="00D96D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lang w:val="es-CL"/>
        </w:rPr>
      </w:pPr>
    </w:p>
    <w:p w:rsidR="00F404C9" w:rsidRPr="00836C24" w:rsidRDefault="00BF05B7" w:rsidP="0061147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La Comisión reconoce que la defensa del señor Ruiz Fuentes era una defensa privada. </w:t>
      </w:r>
      <w:r w:rsidR="009E1D92" w:rsidRPr="00836C24">
        <w:rPr>
          <w:rFonts w:asciiTheme="majorHAnsi" w:hAnsiTheme="majorHAnsi"/>
          <w:sz w:val="20"/>
          <w:szCs w:val="20"/>
          <w:lang w:val="es-CL"/>
        </w:rPr>
        <w:t xml:space="preserve">En ese sentido, el Estado no puede ser considerado responsable por la actuación en sí misma de dicho defensor. </w:t>
      </w:r>
      <w:r w:rsidR="00F404C9" w:rsidRPr="00836C24">
        <w:rPr>
          <w:rFonts w:asciiTheme="majorHAnsi" w:hAnsiTheme="majorHAnsi"/>
          <w:sz w:val="20"/>
          <w:szCs w:val="20"/>
          <w:lang w:val="es-CL"/>
        </w:rPr>
        <w:t>Sin embargo, como se indicó en la sección anterior, el rol del Estado como garante del debido proceso, no se limita a contar con un sistema de defensa pública idónea. Las obligaciones estatales en la materia se extienden al rol de los jueces y juezas de efectuar un control de los procesos para asegurarse que toda persona sometida a proceso penal pueda ejercer su derecho de defensa. En ese sentido, entendiendo que el Estado guatemalteco no puede ser responsable por la omisión del defensor privado, la CIDH analizará la posible responsabilidad internacional del Estado desde el punto de vista de la actuación d</w:t>
      </w:r>
      <w:r w:rsidR="0061147D" w:rsidRPr="00836C24">
        <w:rPr>
          <w:rFonts w:asciiTheme="majorHAnsi" w:hAnsiTheme="majorHAnsi"/>
          <w:sz w:val="20"/>
          <w:szCs w:val="20"/>
          <w:lang w:val="es-CL"/>
        </w:rPr>
        <w:t xml:space="preserve">e sus autoridades judiciales. </w:t>
      </w:r>
    </w:p>
    <w:p w:rsidR="00F404C9" w:rsidRPr="00836C24" w:rsidRDefault="00F404C9"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C24CAD" w:rsidRPr="00836C24" w:rsidRDefault="00EC0FAD" w:rsidP="00FF0A2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La Comisión considera que el error del defensor del señor Ruiz Fuentes no constituyó una equivocación irrelevante en el proceso ni puede entenderse tampoco como una estrategia de defensa. Por el contrario, se trató del incumplimiento de una formalidad que tuvo un impacto muy severo en las posibilidades de defensa del señor Ruiz Fuentes, esto es, la imposibilidad de presentar prueba de descargo. </w:t>
      </w:r>
    </w:p>
    <w:p w:rsidR="00C24CAD" w:rsidRPr="00836C24" w:rsidRDefault="00C24CAD"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lang w:val="es-CL"/>
        </w:rPr>
      </w:pPr>
    </w:p>
    <w:p w:rsidR="00954A67" w:rsidRPr="00836C24" w:rsidRDefault="00C24CAD" w:rsidP="00FF0A2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Frente a esta situación, </w:t>
      </w:r>
      <w:r w:rsidR="00BD1B53" w:rsidRPr="00836C24">
        <w:rPr>
          <w:rFonts w:asciiTheme="majorHAnsi" w:hAnsiTheme="majorHAnsi"/>
          <w:sz w:val="20"/>
          <w:szCs w:val="20"/>
          <w:lang w:val="es-CL"/>
        </w:rPr>
        <w:t xml:space="preserve">y a la luz de lo indicado anteriormente </w:t>
      </w:r>
      <w:r w:rsidR="000903E0" w:rsidRPr="00836C24">
        <w:rPr>
          <w:rFonts w:asciiTheme="majorHAnsi" w:hAnsiTheme="majorHAnsi"/>
          <w:sz w:val="20"/>
          <w:szCs w:val="20"/>
          <w:lang w:val="es-CL"/>
        </w:rPr>
        <w:t>l</w:t>
      </w:r>
      <w:r w:rsidR="00BD1B53" w:rsidRPr="00836C24">
        <w:rPr>
          <w:rFonts w:asciiTheme="majorHAnsi" w:hAnsiTheme="majorHAnsi"/>
          <w:sz w:val="20"/>
          <w:szCs w:val="20"/>
          <w:lang w:val="es-CL"/>
        </w:rPr>
        <w:t>a Comisión considera que la actuación de la autoridad judicial</w:t>
      </w:r>
      <w:r w:rsidR="00C86ACF" w:rsidRPr="00836C24">
        <w:rPr>
          <w:rFonts w:asciiTheme="majorHAnsi" w:hAnsiTheme="majorHAnsi"/>
          <w:sz w:val="20"/>
          <w:szCs w:val="20"/>
          <w:lang w:val="es-CL"/>
        </w:rPr>
        <w:t xml:space="preserve"> en un caso que involucraba la posible imposición de la pena de muerte,</w:t>
      </w:r>
      <w:r w:rsidR="00BD1B53" w:rsidRPr="00836C24">
        <w:rPr>
          <w:rFonts w:asciiTheme="majorHAnsi" w:hAnsiTheme="majorHAnsi"/>
          <w:sz w:val="20"/>
          <w:szCs w:val="20"/>
          <w:lang w:val="es-CL"/>
        </w:rPr>
        <w:t xml:space="preserve"> permitió que se consolidara la afectación al derecho de defensa del señor Ruiz Fuentes al limitarse a no aceptar la prueba ofrecida sobre la base de una formalidad, sin ofrecer la oportunidad para que dicha formalidad fuera subsanada</w:t>
      </w:r>
      <w:r w:rsidR="00601989" w:rsidRPr="00836C24">
        <w:rPr>
          <w:rFonts w:asciiTheme="majorHAnsi" w:hAnsiTheme="majorHAnsi"/>
          <w:sz w:val="20"/>
          <w:szCs w:val="20"/>
          <w:lang w:val="es-CL"/>
        </w:rPr>
        <w:t xml:space="preserve"> por el mismo defensor o por otra persona </w:t>
      </w:r>
      <w:r w:rsidR="001B58B8" w:rsidRPr="00836C24">
        <w:rPr>
          <w:rFonts w:asciiTheme="majorHAnsi" w:hAnsiTheme="majorHAnsi"/>
          <w:sz w:val="20"/>
          <w:szCs w:val="20"/>
          <w:lang w:val="es-CL"/>
        </w:rPr>
        <w:t xml:space="preserve">nombrada por el Estado o </w:t>
      </w:r>
      <w:r w:rsidR="00601989" w:rsidRPr="00836C24">
        <w:rPr>
          <w:rFonts w:asciiTheme="majorHAnsi" w:hAnsiTheme="majorHAnsi"/>
          <w:sz w:val="20"/>
          <w:szCs w:val="20"/>
          <w:lang w:val="es-CL"/>
        </w:rPr>
        <w:t>que el señor Ruiz Fuente</w:t>
      </w:r>
      <w:r w:rsidR="001B58B8" w:rsidRPr="00836C24">
        <w:rPr>
          <w:rFonts w:asciiTheme="majorHAnsi" w:hAnsiTheme="majorHAnsi"/>
          <w:sz w:val="20"/>
          <w:szCs w:val="20"/>
          <w:lang w:val="es-CL"/>
        </w:rPr>
        <w:t>s</w:t>
      </w:r>
      <w:r w:rsidR="00601989" w:rsidRPr="00836C24">
        <w:rPr>
          <w:rFonts w:asciiTheme="majorHAnsi" w:hAnsiTheme="majorHAnsi"/>
          <w:sz w:val="20"/>
          <w:szCs w:val="20"/>
          <w:lang w:val="es-CL"/>
        </w:rPr>
        <w:t xml:space="preserve"> pudiera designar ante la incompetencia de su defensor.</w:t>
      </w:r>
      <w:r w:rsidR="001B58B8" w:rsidRPr="00836C24">
        <w:rPr>
          <w:rFonts w:asciiTheme="majorHAnsi" w:hAnsiTheme="majorHAnsi"/>
          <w:sz w:val="20"/>
          <w:szCs w:val="20"/>
          <w:lang w:val="es-CL"/>
        </w:rPr>
        <w:t xml:space="preserve"> Es decir, para la autoridad judicial debió se</w:t>
      </w:r>
      <w:r w:rsidR="00710F55" w:rsidRPr="00836C24">
        <w:rPr>
          <w:rFonts w:asciiTheme="majorHAnsi" w:hAnsiTheme="majorHAnsi"/>
          <w:sz w:val="20"/>
          <w:szCs w:val="20"/>
          <w:lang w:val="es-CL"/>
        </w:rPr>
        <w:t>r</w:t>
      </w:r>
      <w:r w:rsidR="001B58B8" w:rsidRPr="00836C24">
        <w:rPr>
          <w:rFonts w:asciiTheme="majorHAnsi" w:hAnsiTheme="majorHAnsi"/>
          <w:sz w:val="20"/>
          <w:szCs w:val="20"/>
          <w:lang w:val="es-CL"/>
        </w:rPr>
        <w:t xml:space="preserve"> manifiesto el grave impacto que el rechazo de la prueba de descargo tendría en el ejercicio del derec</w:t>
      </w:r>
      <w:r w:rsidR="00036215" w:rsidRPr="00836C24">
        <w:rPr>
          <w:rFonts w:asciiTheme="majorHAnsi" w:hAnsiTheme="majorHAnsi"/>
          <w:sz w:val="20"/>
          <w:szCs w:val="20"/>
          <w:lang w:val="es-CL"/>
        </w:rPr>
        <w:t>ho de defensa del señor Ruiz Fu</w:t>
      </w:r>
      <w:r w:rsidR="001B58B8" w:rsidRPr="00836C24">
        <w:rPr>
          <w:rFonts w:asciiTheme="majorHAnsi" w:hAnsiTheme="majorHAnsi"/>
          <w:sz w:val="20"/>
          <w:szCs w:val="20"/>
          <w:lang w:val="es-CL"/>
        </w:rPr>
        <w:t>e</w:t>
      </w:r>
      <w:r w:rsidR="00036215" w:rsidRPr="00836C24">
        <w:rPr>
          <w:rFonts w:asciiTheme="majorHAnsi" w:hAnsiTheme="majorHAnsi"/>
          <w:sz w:val="20"/>
          <w:szCs w:val="20"/>
          <w:lang w:val="es-CL"/>
        </w:rPr>
        <w:t>n</w:t>
      </w:r>
      <w:r w:rsidR="001B58B8" w:rsidRPr="00836C24">
        <w:rPr>
          <w:rFonts w:asciiTheme="majorHAnsi" w:hAnsiTheme="majorHAnsi"/>
          <w:sz w:val="20"/>
          <w:szCs w:val="20"/>
          <w:lang w:val="es-CL"/>
        </w:rPr>
        <w:t xml:space="preserve">tes, a pesar de lo cual adoptó una actitud pasiva y no como garante del estricto cumplimiento del debido proceso en los términos descritos arriba. </w:t>
      </w:r>
    </w:p>
    <w:p w:rsidR="001D1AF8" w:rsidRPr="00836C24" w:rsidRDefault="001D1AF8" w:rsidP="00954A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hAnsiTheme="majorHAnsi"/>
          <w:sz w:val="20"/>
          <w:szCs w:val="20"/>
          <w:lang w:val="es-CL"/>
        </w:rPr>
      </w:pPr>
    </w:p>
    <w:p w:rsidR="00954A67" w:rsidRPr="00836C24" w:rsidRDefault="001D1AF8" w:rsidP="00AA7C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Esta pasividad resulta especialmente grave tomando en cuenta la posibilidad de que el proceso culminara con la </w:t>
      </w:r>
      <w:r w:rsidR="00954A67" w:rsidRPr="00836C24">
        <w:rPr>
          <w:rFonts w:asciiTheme="majorHAnsi" w:hAnsiTheme="majorHAnsi"/>
          <w:sz w:val="20"/>
          <w:szCs w:val="20"/>
          <w:lang w:val="es-CL"/>
        </w:rPr>
        <w:t>imposición de la pena de muerte</w:t>
      </w:r>
      <w:r w:rsidRPr="00836C24">
        <w:rPr>
          <w:rFonts w:asciiTheme="majorHAnsi" w:hAnsiTheme="majorHAnsi"/>
          <w:sz w:val="20"/>
          <w:szCs w:val="20"/>
          <w:lang w:val="es-CL"/>
        </w:rPr>
        <w:t xml:space="preserve">. Este sólo hecho ponía en cabeza de la autoridad judicial un especial deber de contralor del estricto cumplimiento de las garantías del debido proceso, incluido el derecho a la defensa técnica. Al no haber actuado de manera consistente con dicho deber, la omisión de la autoridad judicial de conocimiento, comprometió la responsabilidad internacional del Estado. </w:t>
      </w:r>
    </w:p>
    <w:p w:rsidR="00C70933" w:rsidRPr="00836C24" w:rsidRDefault="00C70933" w:rsidP="00C709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EE097E" w:rsidRPr="00836C24" w:rsidRDefault="005F0E44" w:rsidP="00C709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En cuanto al tercer argumento, </w:t>
      </w:r>
      <w:r w:rsidR="00954A67" w:rsidRPr="00836C24">
        <w:rPr>
          <w:rFonts w:asciiTheme="majorHAnsi" w:hAnsiTheme="majorHAnsi"/>
          <w:sz w:val="20"/>
          <w:szCs w:val="20"/>
          <w:lang w:val="es-CL"/>
        </w:rPr>
        <w:t>la Comisión re</w:t>
      </w:r>
      <w:r w:rsidRPr="00836C24">
        <w:rPr>
          <w:rFonts w:asciiTheme="majorHAnsi" w:hAnsiTheme="majorHAnsi"/>
          <w:sz w:val="20"/>
          <w:szCs w:val="20"/>
          <w:lang w:val="es-CL"/>
        </w:rPr>
        <w:t>cuerda</w:t>
      </w:r>
      <w:r w:rsidR="00954A67" w:rsidRPr="00836C24">
        <w:rPr>
          <w:rFonts w:asciiTheme="majorHAnsi" w:hAnsiTheme="majorHAnsi"/>
          <w:sz w:val="20"/>
          <w:szCs w:val="20"/>
          <w:lang w:val="es-CL"/>
        </w:rPr>
        <w:t xml:space="preserve"> que la presunta víctima </w:t>
      </w:r>
      <w:r w:rsidR="00F02989" w:rsidRPr="00836C24">
        <w:rPr>
          <w:rFonts w:asciiTheme="majorHAnsi" w:hAnsiTheme="majorHAnsi"/>
          <w:sz w:val="20"/>
          <w:szCs w:val="20"/>
          <w:lang w:val="es-CL"/>
        </w:rPr>
        <w:t xml:space="preserve">interpuso </w:t>
      </w:r>
      <w:r w:rsidR="00F36D85" w:rsidRPr="00836C24">
        <w:rPr>
          <w:rFonts w:asciiTheme="majorHAnsi" w:hAnsiTheme="majorHAnsi"/>
          <w:sz w:val="20"/>
          <w:szCs w:val="20"/>
          <w:lang w:val="es-CL"/>
        </w:rPr>
        <w:t xml:space="preserve">un </w:t>
      </w:r>
      <w:r w:rsidR="00F02989" w:rsidRPr="00836C24">
        <w:rPr>
          <w:rFonts w:asciiTheme="majorHAnsi" w:hAnsiTheme="majorHAnsi"/>
          <w:sz w:val="20"/>
          <w:szCs w:val="20"/>
          <w:lang w:val="es-CL"/>
        </w:rPr>
        <w:t xml:space="preserve">recurso de </w:t>
      </w:r>
      <w:r w:rsidR="00954A67" w:rsidRPr="00836C24">
        <w:rPr>
          <w:rFonts w:asciiTheme="majorHAnsi" w:hAnsiTheme="majorHAnsi"/>
          <w:sz w:val="20"/>
          <w:szCs w:val="20"/>
          <w:lang w:val="es-CL"/>
        </w:rPr>
        <w:t>apelación especial en contra de la sentencia que lo condenó a la pena de muerte,</w:t>
      </w:r>
      <w:r w:rsidR="003C2B4F" w:rsidRPr="00836C24">
        <w:rPr>
          <w:rFonts w:asciiTheme="majorHAnsi" w:hAnsiTheme="majorHAnsi"/>
          <w:sz w:val="20"/>
          <w:szCs w:val="20"/>
          <w:lang w:val="es-CL"/>
        </w:rPr>
        <w:t xml:space="preserve"> alegando, entre otras cosas,</w:t>
      </w:r>
      <w:r w:rsidR="00954A67" w:rsidRPr="00836C24">
        <w:rPr>
          <w:rFonts w:asciiTheme="majorHAnsi" w:hAnsiTheme="majorHAnsi"/>
          <w:sz w:val="20"/>
          <w:szCs w:val="20"/>
          <w:lang w:val="es-CL"/>
        </w:rPr>
        <w:t xml:space="preserve"> que no existía coincidencia plena entre los hechos descritos en la acusación y los hechos por los que fue condenado y que ciertos de estos hechos eran fundamentales para acreditar la comisión del delito de plagio o secuestro. </w:t>
      </w:r>
      <w:r w:rsidR="003C2B4F" w:rsidRPr="00836C24">
        <w:rPr>
          <w:rFonts w:asciiTheme="majorHAnsi" w:hAnsiTheme="majorHAnsi"/>
          <w:sz w:val="20"/>
          <w:szCs w:val="20"/>
          <w:lang w:val="es-CL"/>
        </w:rPr>
        <w:t xml:space="preserve">Frente a este argumento, la </w:t>
      </w:r>
      <w:r w:rsidR="001D430B" w:rsidRPr="00836C24">
        <w:rPr>
          <w:rFonts w:asciiTheme="majorHAnsi" w:hAnsiTheme="majorHAnsi"/>
          <w:sz w:val="20"/>
          <w:szCs w:val="20"/>
          <w:lang w:val="es-CL"/>
        </w:rPr>
        <w:t>Sala</w:t>
      </w:r>
      <w:r w:rsidR="003A198A" w:rsidRPr="00836C24">
        <w:rPr>
          <w:rFonts w:asciiTheme="majorHAnsi" w:hAnsiTheme="majorHAnsi"/>
          <w:sz w:val="20"/>
          <w:szCs w:val="20"/>
          <w:lang w:val="es-CL"/>
        </w:rPr>
        <w:t xml:space="preserve"> se abstuvo de pronunciarse de fondo, indicando </w:t>
      </w:r>
      <w:r w:rsidR="00954A67" w:rsidRPr="00836C24">
        <w:rPr>
          <w:rFonts w:asciiTheme="majorHAnsi" w:hAnsiTheme="majorHAnsi"/>
          <w:sz w:val="20"/>
          <w:szCs w:val="20"/>
          <w:lang w:val="es-CL"/>
        </w:rPr>
        <w:t xml:space="preserve">en su </w:t>
      </w:r>
      <w:r w:rsidR="00954A67" w:rsidRPr="00836C24">
        <w:rPr>
          <w:rFonts w:asciiTheme="majorHAnsi" w:hAnsiTheme="majorHAnsi"/>
          <w:sz w:val="20"/>
          <w:szCs w:val="20"/>
          <w:lang w:val="es-CL"/>
        </w:rPr>
        <w:lastRenderedPageBreak/>
        <w:t xml:space="preserve">decisión que “no puede en ningún caso hacer mérito de la prueba o de los hechos que se declaren probados” por el Tribunal de Sentencia, por lo que se limitó a convalidar las valoraciones fácticas y probatorias </w:t>
      </w:r>
      <w:r w:rsidR="003A198A" w:rsidRPr="00836C24">
        <w:rPr>
          <w:rFonts w:asciiTheme="majorHAnsi" w:hAnsiTheme="majorHAnsi"/>
          <w:sz w:val="20"/>
          <w:szCs w:val="20"/>
          <w:lang w:val="es-CL"/>
        </w:rPr>
        <w:t>efectuadas en primera</w:t>
      </w:r>
      <w:r w:rsidR="00F36D85" w:rsidRPr="00836C24">
        <w:rPr>
          <w:rFonts w:asciiTheme="majorHAnsi" w:hAnsiTheme="majorHAnsi"/>
          <w:sz w:val="20"/>
          <w:szCs w:val="20"/>
          <w:lang w:val="es-CL"/>
        </w:rPr>
        <w:t xml:space="preserve"> instancia</w:t>
      </w:r>
      <w:r w:rsidR="00954A67" w:rsidRPr="00836C24">
        <w:rPr>
          <w:rFonts w:asciiTheme="majorHAnsi" w:hAnsiTheme="majorHAnsi"/>
          <w:sz w:val="20"/>
          <w:szCs w:val="20"/>
          <w:lang w:val="es-CL"/>
        </w:rPr>
        <w:t>. Dicha decisión fue convalidada a través del recurso de casación.</w:t>
      </w:r>
      <w:r w:rsidR="00745D8E" w:rsidRPr="00836C24">
        <w:rPr>
          <w:rFonts w:asciiTheme="majorHAnsi" w:hAnsiTheme="majorHAnsi"/>
          <w:sz w:val="20"/>
          <w:szCs w:val="20"/>
          <w:lang w:val="es-CL"/>
        </w:rPr>
        <w:t xml:space="preserve"> </w:t>
      </w:r>
    </w:p>
    <w:p w:rsidR="00EE097E" w:rsidRPr="00836C24" w:rsidRDefault="00EE097E"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954A67" w:rsidRPr="00836C24" w:rsidRDefault="00745D8E" w:rsidP="00C709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Conforme al artículo 419 del Código de Procedimiento Penal “(…) el recurso especial de apelación sólo podrá hacerse valer cuando la sentencia contenga cualquiera de los siguientes vicios: 1) De fondo: inobservancia, interpretación indebida o errónea aplicación de la ley. 2) De forma: Inobservancia o errónea aplicación de la ley que constituya un defecto del procedimiento. En este caso, el recurso sólo será admisible si el interesado ha re</w:t>
      </w:r>
      <w:r w:rsidR="00172CED" w:rsidRPr="00836C24">
        <w:rPr>
          <w:rFonts w:asciiTheme="majorHAnsi" w:hAnsiTheme="majorHAnsi"/>
          <w:sz w:val="20"/>
          <w:szCs w:val="20"/>
          <w:lang w:val="es-CL"/>
        </w:rPr>
        <w:t>clamado oportunamente su subsan</w:t>
      </w:r>
      <w:r w:rsidRPr="00836C24">
        <w:rPr>
          <w:rFonts w:asciiTheme="majorHAnsi" w:hAnsiTheme="majorHAnsi"/>
          <w:sz w:val="20"/>
          <w:szCs w:val="20"/>
          <w:lang w:val="es-CL"/>
        </w:rPr>
        <w:t>ación o hecho protesta de anulación, salvo en los casos del artículo siguiente”.</w:t>
      </w:r>
    </w:p>
    <w:p w:rsidR="00EE097E" w:rsidRPr="00836C24" w:rsidRDefault="00EE097E"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EE097E" w:rsidRPr="00836C24" w:rsidRDefault="00EE097E" w:rsidP="00C709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Asimismo, el artículo 430 del mismo Código, al referirse a la sentencia de apelación</w:t>
      </w:r>
      <w:r w:rsidR="00710F55" w:rsidRPr="00836C24">
        <w:rPr>
          <w:rFonts w:asciiTheme="majorHAnsi" w:hAnsiTheme="majorHAnsi"/>
          <w:sz w:val="20"/>
          <w:szCs w:val="20"/>
          <w:lang w:val="es-CL"/>
        </w:rPr>
        <w:t xml:space="preserve"> especial</w:t>
      </w:r>
      <w:r w:rsidRPr="00836C24">
        <w:rPr>
          <w:rFonts w:asciiTheme="majorHAnsi" w:hAnsiTheme="majorHAnsi"/>
          <w:sz w:val="20"/>
          <w:szCs w:val="20"/>
          <w:lang w:val="es-CL"/>
        </w:rPr>
        <w:t>, establecía el princi</w:t>
      </w:r>
      <w:r w:rsidR="00710F55" w:rsidRPr="00836C24">
        <w:rPr>
          <w:rFonts w:asciiTheme="majorHAnsi" w:hAnsiTheme="majorHAnsi"/>
          <w:sz w:val="20"/>
          <w:szCs w:val="20"/>
          <w:lang w:val="es-CL"/>
        </w:rPr>
        <w:t>pio de intangibilidad de la prueba</w:t>
      </w:r>
      <w:r w:rsidRPr="00836C24">
        <w:rPr>
          <w:rFonts w:asciiTheme="majorHAnsi" w:hAnsiTheme="majorHAnsi"/>
          <w:sz w:val="20"/>
          <w:szCs w:val="20"/>
          <w:lang w:val="es-CL"/>
        </w:rPr>
        <w:t xml:space="preserve"> en los siguientes términos: “la sentencia no podrá en ningún caso hacer mérito de la prueba o de los hechos que se declaren probados conforme a las reglas de la sana crítica razonada. Únicamente podrá referirse a ellos para la aplicación de la ley substantiva cuando exista manifiesta contradicción en la sentencia recurrida”. </w:t>
      </w:r>
    </w:p>
    <w:p w:rsidR="00954A67" w:rsidRPr="00836C24" w:rsidRDefault="00954A67" w:rsidP="00954A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rFonts w:asciiTheme="majorHAnsi" w:hAnsiTheme="majorHAnsi"/>
          <w:sz w:val="20"/>
          <w:szCs w:val="20"/>
          <w:lang w:val="es-CL"/>
        </w:rPr>
      </w:pPr>
    </w:p>
    <w:p w:rsidR="00954A67" w:rsidRPr="00836C24" w:rsidRDefault="002E605B" w:rsidP="00A27C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L</w:t>
      </w:r>
      <w:r w:rsidR="00954A67" w:rsidRPr="00836C24">
        <w:rPr>
          <w:rFonts w:asciiTheme="majorHAnsi" w:hAnsiTheme="majorHAnsi"/>
          <w:sz w:val="20"/>
          <w:szCs w:val="20"/>
          <w:lang w:val="es-CL"/>
        </w:rPr>
        <w:t>a Comisión recuerda</w:t>
      </w:r>
      <w:r w:rsidRPr="00836C24">
        <w:rPr>
          <w:rFonts w:asciiTheme="majorHAnsi" w:hAnsiTheme="majorHAnsi"/>
          <w:sz w:val="20"/>
          <w:szCs w:val="20"/>
          <w:lang w:val="es-CL"/>
        </w:rPr>
        <w:t xml:space="preserve"> que conforme a los estándares desc</w:t>
      </w:r>
      <w:r w:rsidR="008721CF" w:rsidRPr="00836C24">
        <w:rPr>
          <w:rFonts w:asciiTheme="majorHAnsi" w:hAnsiTheme="majorHAnsi"/>
          <w:sz w:val="20"/>
          <w:szCs w:val="20"/>
          <w:lang w:val="es-CL"/>
        </w:rPr>
        <w:t xml:space="preserve">ritos, </w:t>
      </w:r>
      <w:r w:rsidR="00954A67" w:rsidRPr="00836C24">
        <w:rPr>
          <w:rFonts w:asciiTheme="majorHAnsi" w:hAnsiTheme="majorHAnsi"/>
          <w:sz w:val="20"/>
          <w:szCs w:val="20"/>
          <w:lang w:val="es-CL"/>
        </w:rPr>
        <w:t xml:space="preserve">no </w:t>
      </w:r>
      <w:r w:rsidR="008721CF" w:rsidRPr="00836C24">
        <w:rPr>
          <w:rFonts w:asciiTheme="majorHAnsi" w:hAnsiTheme="majorHAnsi"/>
          <w:sz w:val="20"/>
          <w:szCs w:val="20"/>
          <w:lang w:val="es-CL"/>
        </w:rPr>
        <w:t xml:space="preserve">se satisface el derecho al recurrir el fallo cuando </w:t>
      </w:r>
      <w:r w:rsidR="00954A67" w:rsidRPr="00836C24">
        <w:rPr>
          <w:rFonts w:asciiTheme="majorHAnsi" w:hAnsiTheme="majorHAnsi"/>
          <w:sz w:val="20"/>
          <w:szCs w:val="20"/>
          <w:lang w:val="es-CL"/>
        </w:rPr>
        <w:t xml:space="preserve">están excluidas de verificación ciertas categorías como los hechos y la valoración de la prueba, como ocurrió en el presente caso. </w:t>
      </w:r>
      <w:r w:rsidR="003A69BC" w:rsidRPr="00836C24">
        <w:rPr>
          <w:rFonts w:asciiTheme="majorHAnsi" w:hAnsiTheme="majorHAnsi"/>
          <w:sz w:val="20"/>
          <w:szCs w:val="20"/>
          <w:lang w:val="es-CL"/>
        </w:rPr>
        <w:t>La Com</w:t>
      </w:r>
      <w:r w:rsidR="005B796D" w:rsidRPr="00836C24">
        <w:rPr>
          <w:rFonts w:asciiTheme="majorHAnsi" w:hAnsiTheme="majorHAnsi"/>
          <w:sz w:val="20"/>
          <w:szCs w:val="20"/>
          <w:lang w:val="es-CL"/>
        </w:rPr>
        <w:t>isión observa que</w:t>
      </w:r>
      <w:r w:rsidR="004F7322" w:rsidRPr="00836C24">
        <w:rPr>
          <w:rFonts w:asciiTheme="majorHAnsi" w:hAnsiTheme="majorHAnsi"/>
          <w:sz w:val="20"/>
          <w:szCs w:val="20"/>
          <w:lang w:val="es-CL"/>
        </w:rPr>
        <w:t xml:space="preserve"> la manera en que deci</w:t>
      </w:r>
      <w:r w:rsidR="006D1BAA" w:rsidRPr="00836C24">
        <w:rPr>
          <w:rFonts w:asciiTheme="majorHAnsi" w:hAnsiTheme="majorHAnsi"/>
          <w:sz w:val="20"/>
          <w:szCs w:val="20"/>
          <w:lang w:val="es-CL"/>
        </w:rPr>
        <w:t>dió</w:t>
      </w:r>
      <w:r w:rsidR="004F7322" w:rsidRPr="00836C24">
        <w:rPr>
          <w:rFonts w:asciiTheme="majorHAnsi" w:hAnsiTheme="majorHAnsi"/>
          <w:sz w:val="20"/>
          <w:szCs w:val="20"/>
          <w:lang w:val="es-CL"/>
        </w:rPr>
        <w:t xml:space="preserve"> el tribunal de segunda instancia en el caso resulta de la propia forma en que está regulado el recurso de apelació</w:t>
      </w:r>
      <w:r w:rsidR="00745D8E" w:rsidRPr="00836C24">
        <w:rPr>
          <w:rFonts w:asciiTheme="majorHAnsi" w:hAnsiTheme="majorHAnsi"/>
          <w:sz w:val="20"/>
          <w:szCs w:val="20"/>
          <w:lang w:val="es-CL"/>
        </w:rPr>
        <w:t>n,</w:t>
      </w:r>
      <w:r w:rsidR="00710F55" w:rsidRPr="00836C24">
        <w:rPr>
          <w:rFonts w:asciiTheme="majorHAnsi" w:hAnsiTheme="majorHAnsi"/>
          <w:sz w:val="20"/>
          <w:szCs w:val="20"/>
          <w:lang w:val="es-CL"/>
        </w:rPr>
        <w:t xml:space="preserve"> con motivos limitados a errores</w:t>
      </w:r>
      <w:r w:rsidR="00745D8E" w:rsidRPr="00836C24">
        <w:rPr>
          <w:rFonts w:asciiTheme="majorHAnsi" w:hAnsiTheme="majorHAnsi"/>
          <w:sz w:val="20"/>
          <w:szCs w:val="20"/>
          <w:lang w:val="es-CL"/>
        </w:rPr>
        <w:t xml:space="preserve"> de derecho o de procedimiento, pero excluyendo del análisis, como regla</w:t>
      </w:r>
      <w:r w:rsidR="00710F55" w:rsidRPr="00836C24">
        <w:rPr>
          <w:rFonts w:asciiTheme="majorHAnsi" w:hAnsiTheme="majorHAnsi"/>
          <w:sz w:val="20"/>
          <w:szCs w:val="20"/>
          <w:lang w:val="es-CL"/>
        </w:rPr>
        <w:t xml:space="preserve"> general</w:t>
      </w:r>
      <w:r w:rsidR="00745D8E" w:rsidRPr="00836C24">
        <w:rPr>
          <w:rFonts w:asciiTheme="majorHAnsi" w:hAnsiTheme="majorHAnsi"/>
          <w:sz w:val="20"/>
          <w:szCs w:val="20"/>
          <w:lang w:val="es-CL"/>
        </w:rPr>
        <w:t>, la revisión de los hechos y la valoración de la prueba.</w:t>
      </w:r>
      <w:r w:rsidR="00433CD4" w:rsidRPr="00836C24">
        <w:rPr>
          <w:rFonts w:asciiTheme="majorHAnsi" w:hAnsiTheme="majorHAnsi"/>
          <w:sz w:val="20"/>
          <w:szCs w:val="20"/>
          <w:lang w:val="es-CL"/>
        </w:rPr>
        <w:t xml:space="preserve"> </w:t>
      </w:r>
    </w:p>
    <w:p w:rsidR="004C30D8" w:rsidRPr="00836C24" w:rsidRDefault="004C30D8"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C86ACF" w:rsidRPr="00836C24" w:rsidRDefault="004C30D8" w:rsidP="00A27C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Finalmente, la Comisión considera que ninguno de los recursos interpuestos por el señor Ruiz Fuentes fueron efectivos, pues no se analizó el fondo de las cuestiones de debido proceso por él planteadas. En ese sentido, </w:t>
      </w:r>
      <w:r w:rsidR="00C86ACF" w:rsidRPr="00836C24">
        <w:rPr>
          <w:rFonts w:asciiTheme="majorHAnsi" w:hAnsiTheme="majorHAnsi"/>
          <w:sz w:val="20"/>
          <w:szCs w:val="20"/>
          <w:lang w:val="es-CL"/>
        </w:rPr>
        <w:t xml:space="preserve">no obstante la existencia formal de múltiples recursos, la presunta víctima no pudo contar con una revisión eficaz de los reclamos respecto al debido proceso. </w:t>
      </w:r>
    </w:p>
    <w:p w:rsidR="00954A67" w:rsidRPr="00836C24" w:rsidRDefault="00954A67" w:rsidP="00954A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hAnsiTheme="majorHAnsi"/>
          <w:sz w:val="20"/>
          <w:szCs w:val="20"/>
          <w:lang w:val="es-CL"/>
        </w:rPr>
      </w:pPr>
    </w:p>
    <w:p w:rsidR="00BC6594" w:rsidRPr="00836C24" w:rsidRDefault="00954A67" w:rsidP="00FD06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En virtud de </w:t>
      </w:r>
      <w:r w:rsidR="0027099C" w:rsidRPr="00836C24">
        <w:rPr>
          <w:rFonts w:asciiTheme="majorHAnsi" w:hAnsiTheme="majorHAnsi"/>
          <w:sz w:val="20"/>
          <w:szCs w:val="20"/>
          <w:lang w:val="es-CL"/>
        </w:rPr>
        <w:t>todo lo anterior, la Comisión considera</w:t>
      </w:r>
      <w:r w:rsidR="00624486" w:rsidRPr="00836C24">
        <w:rPr>
          <w:rFonts w:asciiTheme="majorHAnsi" w:hAnsiTheme="majorHAnsi"/>
          <w:sz w:val="20"/>
          <w:szCs w:val="20"/>
          <w:lang w:val="es-CL"/>
        </w:rPr>
        <w:t xml:space="preserve"> que el Estado de Guatemala</w:t>
      </w:r>
      <w:r w:rsidR="00412CEC" w:rsidRPr="00836C24">
        <w:rPr>
          <w:rFonts w:asciiTheme="majorHAnsi" w:hAnsiTheme="majorHAnsi"/>
          <w:sz w:val="20"/>
          <w:szCs w:val="20"/>
          <w:lang w:val="es-CL"/>
        </w:rPr>
        <w:t xml:space="preserve"> violó</w:t>
      </w:r>
      <w:r w:rsidR="00624486" w:rsidRPr="00836C24">
        <w:rPr>
          <w:rFonts w:asciiTheme="majorHAnsi" w:hAnsiTheme="majorHAnsi"/>
          <w:sz w:val="20"/>
          <w:szCs w:val="20"/>
          <w:lang w:val="es-CL"/>
        </w:rPr>
        <w:t xml:space="preserve"> los derechos establecidos en los artículos</w:t>
      </w:r>
      <w:r w:rsidR="004C30D8" w:rsidRPr="00836C24">
        <w:rPr>
          <w:rFonts w:asciiTheme="majorHAnsi" w:hAnsiTheme="majorHAnsi"/>
          <w:sz w:val="20"/>
          <w:szCs w:val="20"/>
          <w:lang w:val="es-CL"/>
        </w:rPr>
        <w:t xml:space="preserve"> 8.2 c), 8.2 f), </w:t>
      </w:r>
      <w:r w:rsidR="00412CEC" w:rsidRPr="00836C24">
        <w:rPr>
          <w:rFonts w:asciiTheme="majorHAnsi" w:hAnsiTheme="majorHAnsi"/>
          <w:sz w:val="20"/>
          <w:szCs w:val="20"/>
          <w:lang w:val="es-CL"/>
        </w:rPr>
        <w:t>8.2 h)</w:t>
      </w:r>
      <w:r w:rsidR="004C30D8" w:rsidRPr="00836C24">
        <w:rPr>
          <w:rFonts w:asciiTheme="majorHAnsi" w:hAnsiTheme="majorHAnsi"/>
          <w:sz w:val="20"/>
          <w:szCs w:val="20"/>
          <w:lang w:val="es-CL"/>
        </w:rPr>
        <w:t xml:space="preserve"> y 25.1 </w:t>
      </w:r>
      <w:r w:rsidR="0093097D" w:rsidRPr="00836C24">
        <w:rPr>
          <w:rFonts w:asciiTheme="majorHAnsi" w:hAnsiTheme="majorHAnsi"/>
          <w:sz w:val="20"/>
          <w:szCs w:val="20"/>
          <w:lang w:val="es-CL"/>
        </w:rPr>
        <w:t xml:space="preserve">de la Convención Americana en relación con los artículos 1.1 y 2 del mismo instrumento, en perjuicio </w:t>
      </w:r>
      <w:r w:rsidRPr="00836C24">
        <w:rPr>
          <w:rFonts w:asciiTheme="majorHAnsi" w:hAnsiTheme="majorHAnsi"/>
          <w:sz w:val="20"/>
          <w:szCs w:val="20"/>
          <w:lang w:val="es-CL"/>
        </w:rPr>
        <w:t xml:space="preserve">de Hugo Humberto Ruiz Fuentes. </w:t>
      </w:r>
      <w:r w:rsidR="003C48AD" w:rsidRPr="00836C24">
        <w:rPr>
          <w:rFonts w:asciiTheme="majorHAnsi" w:hAnsiTheme="majorHAnsi"/>
          <w:sz w:val="20"/>
          <w:szCs w:val="20"/>
          <w:lang w:val="es-CL"/>
        </w:rPr>
        <w:t>Asimismo, como consecuencia de estas determinaciones, la Comisión concluye que la pena de muerte, al haber sido imp</w:t>
      </w:r>
      <w:r w:rsidR="007D7305" w:rsidRPr="00836C24">
        <w:rPr>
          <w:rFonts w:asciiTheme="majorHAnsi" w:hAnsiTheme="majorHAnsi"/>
          <w:sz w:val="20"/>
          <w:szCs w:val="20"/>
          <w:lang w:val="es-CL"/>
        </w:rPr>
        <w:t>uesta tras un proceso que no respetó</w:t>
      </w:r>
      <w:r w:rsidR="003C48AD" w:rsidRPr="00836C24">
        <w:rPr>
          <w:rFonts w:asciiTheme="majorHAnsi" w:hAnsiTheme="majorHAnsi"/>
          <w:sz w:val="20"/>
          <w:szCs w:val="20"/>
          <w:lang w:val="es-CL"/>
        </w:rPr>
        <w:t xml:space="preserve"> el debido proceso, fue impuesta de manera arbitraria al señor Ruiz Fuentes, en violación también del derecho a la vida establecido en el artículo 4 de la Convenció</w:t>
      </w:r>
      <w:r w:rsidR="00762535" w:rsidRPr="00836C24">
        <w:rPr>
          <w:rFonts w:asciiTheme="majorHAnsi" w:hAnsiTheme="majorHAnsi"/>
          <w:sz w:val="20"/>
          <w:szCs w:val="20"/>
          <w:lang w:val="es-CL"/>
        </w:rPr>
        <w:t>n Americana.</w:t>
      </w:r>
      <w:r w:rsidR="003C48AD" w:rsidRPr="00836C24">
        <w:rPr>
          <w:rFonts w:asciiTheme="majorHAnsi" w:hAnsiTheme="majorHAnsi"/>
          <w:sz w:val="20"/>
          <w:szCs w:val="20"/>
          <w:lang w:val="es-CL"/>
        </w:rPr>
        <w:t xml:space="preserve"> </w:t>
      </w:r>
    </w:p>
    <w:p w:rsidR="00576599" w:rsidRPr="00836C24" w:rsidRDefault="00576599" w:rsidP="00E6158E">
      <w:pPr>
        <w:pStyle w:val="Heading3"/>
        <w:numPr>
          <w:ilvl w:val="1"/>
          <w:numId w:val="55"/>
        </w:numPr>
        <w:tabs>
          <w:tab w:val="clear" w:pos="1800"/>
          <w:tab w:val="num" w:pos="1440"/>
        </w:tabs>
        <w:ind w:hanging="1080"/>
        <w:rPr>
          <w:rFonts w:eastAsia="Cambria" w:cs="Cambria"/>
          <w:b w:val="0"/>
          <w:color w:val="000000"/>
          <w:sz w:val="20"/>
          <w:szCs w:val="20"/>
          <w:u w:color="000000"/>
          <w:lang w:val="es-ES" w:eastAsia="es-ES"/>
        </w:rPr>
      </w:pPr>
      <w:bookmarkStart w:id="72" w:name="_Toc491441649"/>
      <w:r w:rsidRPr="00836C24">
        <w:rPr>
          <w:color w:val="auto"/>
          <w:sz w:val="20"/>
          <w:szCs w:val="20"/>
          <w:lang w:val="es-CO"/>
        </w:rPr>
        <w:t>Análisis de si la imposición de la pen</w:t>
      </w:r>
      <w:r w:rsidR="007D7305" w:rsidRPr="00836C24">
        <w:rPr>
          <w:color w:val="auto"/>
          <w:sz w:val="20"/>
          <w:szCs w:val="20"/>
          <w:lang w:val="es-CO"/>
        </w:rPr>
        <w:t>a de muerte en el caso de secuestro</w:t>
      </w:r>
      <w:r w:rsidRPr="00836C24">
        <w:rPr>
          <w:color w:val="auto"/>
          <w:sz w:val="20"/>
          <w:szCs w:val="20"/>
          <w:lang w:val="es-CO"/>
        </w:rPr>
        <w:t xml:space="preserve"> fue violatoria de la Convención</w:t>
      </w:r>
      <w:bookmarkEnd w:id="72"/>
    </w:p>
    <w:p w:rsidR="00803B21" w:rsidRPr="00836C24" w:rsidRDefault="00803B21" w:rsidP="00E6158E">
      <w:pPr>
        <w:pStyle w:val="Heading4"/>
        <w:ind w:left="720"/>
        <w:rPr>
          <w:rFonts w:asciiTheme="majorHAnsi" w:hAnsiTheme="majorHAnsi"/>
          <w:sz w:val="20"/>
          <w:lang w:val="es-CO"/>
        </w:rPr>
      </w:pPr>
      <w:r w:rsidRPr="00836C24">
        <w:rPr>
          <w:rFonts w:asciiTheme="majorHAnsi" w:hAnsiTheme="majorHAnsi"/>
          <w:sz w:val="20"/>
          <w:lang w:val="es-VE"/>
        </w:rPr>
        <w:t>3.1</w:t>
      </w:r>
      <w:r w:rsidRPr="00836C24">
        <w:rPr>
          <w:rFonts w:asciiTheme="majorHAnsi" w:hAnsiTheme="majorHAnsi"/>
          <w:sz w:val="20"/>
          <w:lang w:val="es-VE"/>
        </w:rPr>
        <w:tab/>
        <w:t>Consideraciones generales</w:t>
      </w:r>
    </w:p>
    <w:p w:rsidR="008A73B4" w:rsidRPr="00836C24" w:rsidRDefault="008A73B4" w:rsidP="00803B21">
      <w:pPr>
        <w:rPr>
          <w:b/>
          <w:sz w:val="20"/>
          <w:szCs w:val="20"/>
          <w:lang w:val="es-CO"/>
        </w:rPr>
      </w:pPr>
      <w:r w:rsidRPr="00836C24">
        <w:rPr>
          <w:b/>
          <w:sz w:val="20"/>
          <w:szCs w:val="20"/>
          <w:lang w:val="es-CO"/>
        </w:rPr>
        <w:t xml:space="preserve"> </w:t>
      </w:r>
    </w:p>
    <w:p w:rsidR="008A73B4" w:rsidRPr="00836C24" w:rsidRDefault="008A73B4" w:rsidP="004303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ahoma" w:hAnsi="Tahoma" w:cs="Tahoma"/>
          <w:sz w:val="18"/>
          <w:szCs w:val="18"/>
          <w:lang w:val="es-VE"/>
        </w:rPr>
      </w:pPr>
      <w:r w:rsidRPr="00836C24">
        <w:rPr>
          <w:rFonts w:asciiTheme="majorHAnsi" w:hAnsiTheme="majorHAnsi"/>
          <w:sz w:val="20"/>
          <w:szCs w:val="20"/>
          <w:lang w:val="es-VE"/>
        </w:rPr>
        <w:t xml:space="preserve">La Comisión </w:t>
      </w:r>
      <w:r w:rsidRPr="00836C24">
        <w:rPr>
          <w:rFonts w:asciiTheme="majorHAnsi" w:hAnsiTheme="majorHAnsi"/>
          <w:sz w:val="20"/>
          <w:szCs w:val="20"/>
          <w:lang w:val="es-CL"/>
        </w:rPr>
        <w:t>recuerda</w:t>
      </w:r>
      <w:r w:rsidRPr="00836C24">
        <w:rPr>
          <w:rFonts w:asciiTheme="majorHAnsi" w:hAnsiTheme="majorHAnsi"/>
          <w:sz w:val="20"/>
          <w:szCs w:val="20"/>
          <w:lang w:val="es-VE"/>
        </w:rPr>
        <w:t xml:space="preserve"> que conforme a la parte final del artículo 4.2 de la Convención Americana, no puede extenderse la aplicación de la pena de muerte a delitos a los que no se aplicaba al momento de ratificación de la Convención Americana. </w:t>
      </w:r>
    </w:p>
    <w:p w:rsidR="008A73B4" w:rsidRPr="00836C24" w:rsidRDefault="008A73B4" w:rsidP="008A73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ahoma" w:hAnsi="Tahoma" w:cs="Tahoma"/>
          <w:sz w:val="18"/>
          <w:szCs w:val="18"/>
          <w:lang w:val="es-VE"/>
        </w:rPr>
      </w:pPr>
    </w:p>
    <w:p w:rsidR="008A73B4" w:rsidRPr="00836C24" w:rsidRDefault="00D415DC" w:rsidP="004303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Pr>
          <w:rFonts w:asciiTheme="majorHAnsi" w:hAnsiTheme="majorHAnsi" w:cs="Tahoma"/>
          <w:sz w:val="20"/>
          <w:szCs w:val="20"/>
          <w:lang w:val="es-VE"/>
        </w:rPr>
        <w:t xml:space="preserve">Asimismo, </w:t>
      </w:r>
      <w:r w:rsidR="008A73B4" w:rsidRPr="00836C24">
        <w:rPr>
          <w:rFonts w:asciiTheme="majorHAnsi" w:hAnsiTheme="majorHAnsi" w:cs="Tahoma"/>
          <w:sz w:val="20"/>
          <w:szCs w:val="20"/>
          <w:lang w:val="es-VE"/>
        </w:rPr>
        <w:t xml:space="preserve">del artículo 4.2 emana la prohibición de no imponer la pena de muerte de manera obligatoria, es decir que en los casos permitidos por la Convención Americana, dicha pena </w:t>
      </w:r>
      <w:r w:rsidR="008A73B4" w:rsidRPr="00836C24">
        <w:rPr>
          <w:rFonts w:asciiTheme="majorHAnsi" w:hAnsiTheme="majorHAnsi"/>
          <w:sz w:val="20"/>
          <w:szCs w:val="20"/>
          <w:lang w:val="es-CL"/>
        </w:rPr>
        <w:t>debe implementarse únicamente mediante sentencias “individualizadas”, es decir que no puede ser una pena automática y obligatoria, y el acusado tiene el derecho de presentar argumentos y pruebas respecto de toda posible circunstancia atenuante relacionada</w:t>
      </w:r>
      <w:r w:rsidR="0045575B" w:rsidRPr="00836C24">
        <w:rPr>
          <w:rFonts w:asciiTheme="majorHAnsi" w:hAnsiTheme="majorHAnsi"/>
          <w:sz w:val="20"/>
          <w:szCs w:val="20"/>
          <w:lang w:val="es-CL"/>
        </w:rPr>
        <w:t xml:space="preserve"> con su persona o con el delito</w:t>
      </w:r>
      <w:r w:rsidR="008A73B4" w:rsidRPr="00836C24">
        <w:rPr>
          <w:rFonts w:asciiTheme="majorHAnsi" w:hAnsiTheme="majorHAnsi"/>
          <w:sz w:val="20"/>
          <w:szCs w:val="20"/>
          <w:lang w:val="es-CL"/>
        </w:rPr>
        <w:t xml:space="preserve">, y el tribunal que dicta la sentencia </w:t>
      </w:r>
      <w:r w:rsidR="0079363E" w:rsidRPr="00836C24">
        <w:rPr>
          <w:rFonts w:asciiTheme="majorHAnsi" w:hAnsiTheme="majorHAnsi"/>
          <w:sz w:val="20"/>
          <w:szCs w:val="20"/>
          <w:lang w:val="es-CL"/>
        </w:rPr>
        <w:lastRenderedPageBreak/>
        <w:t xml:space="preserve">debe contar con la </w:t>
      </w:r>
      <w:r w:rsidR="008A73B4" w:rsidRPr="00836C24">
        <w:rPr>
          <w:rFonts w:asciiTheme="majorHAnsi" w:hAnsiTheme="majorHAnsi"/>
          <w:sz w:val="20"/>
          <w:szCs w:val="20"/>
          <w:lang w:val="es-CL"/>
        </w:rPr>
        <w:t>discrecionalidad para considerar esos factores al determinar si la pena de muerte es un castigo admisible o adecuado</w:t>
      </w:r>
      <w:r w:rsidR="008A73B4" w:rsidRPr="00836C24">
        <w:rPr>
          <w:rStyle w:val="FootnoteReference"/>
          <w:rFonts w:asciiTheme="majorHAnsi" w:hAnsiTheme="majorHAnsi"/>
          <w:sz w:val="20"/>
          <w:szCs w:val="20"/>
          <w:lang w:val="es-CL"/>
        </w:rPr>
        <w:footnoteReference w:id="116"/>
      </w:r>
      <w:r w:rsidR="008A73B4" w:rsidRPr="00836C24">
        <w:rPr>
          <w:rFonts w:asciiTheme="majorHAnsi" w:hAnsiTheme="majorHAnsi"/>
          <w:sz w:val="20"/>
          <w:szCs w:val="20"/>
          <w:lang w:val="es-CL"/>
        </w:rPr>
        <w:t>.</w:t>
      </w:r>
    </w:p>
    <w:p w:rsidR="008A73B4" w:rsidRPr="00836C24" w:rsidRDefault="008A73B4" w:rsidP="008A73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ahoma" w:hAnsi="Tahoma" w:cs="Tahoma"/>
          <w:sz w:val="18"/>
          <w:szCs w:val="18"/>
          <w:lang w:val="es-CL"/>
        </w:rPr>
      </w:pPr>
    </w:p>
    <w:p w:rsidR="008A73B4" w:rsidRPr="00836C24" w:rsidRDefault="008A73B4" w:rsidP="003D48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cs="Tahoma"/>
          <w:sz w:val="20"/>
          <w:szCs w:val="20"/>
          <w:lang w:val="es-VE"/>
        </w:rPr>
      </w:pPr>
      <w:r w:rsidRPr="00836C24">
        <w:rPr>
          <w:rFonts w:asciiTheme="majorHAnsi" w:hAnsiTheme="majorHAnsi" w:cs="Tahoma"/>
          <w:sz w:val="20"/>
          <w:szCs w:val="20"/>
          <w:lang w:val="es-VE"/>
        </w:rPr>
        <w:t>Tanto la Corte como la Comisión ya analizaron el delito de plagio o secuestro contenido en el artículo 201 del Código Penal guatemalteco, aplicado a la presunta víctima del presente caso</w:t>
      </w:r>
      <w:r w:rsidR="0045575B" w:rsidRPr="00836C24">
        <w:rPr>
          <w:rFonts w:asciiTheme="majorHAnsi" w:hAnsiTheme="majorHAnsi" w:cs="Tahoma"/>
          <w:sz w:val="20"/>
          <w:szCs w:val="20"/>
          <w:lang w:val="es-VE"/>
        </w:rPr>
        <w:t>,</w:t>
      </w:r>
      <w:r w:rsidR="00C9728C" w:rsidRPr="00836C24">
        <w:rPr>
          <w:rFonts w:asciiTheme="majorHAnsi" w:hAnsiTheme="majorHAnsi" w:cs="Tahoma"/>
          <w:sz w:val="20"/>
          <w:szCs w:val="20"/>
          <w:lang w:val="es-VE"/>
        </w:rPr>
        <w:t xml:space="preserve"> </w:t>
      </w:r>
      <w:r w:rsidRPr="00836C24">
        <w:rPr>
          <w:rFonts w:asciiTheme="majorHAnsi" w:hAnsiTheme="majorHAnsi" w:cs="Tahoma"/>
          <w:sz w:val="20"/>
          <w:szCs w:val="20"/>
          <w:lang w:val="es-VE"/>
        </w:rPr>
        <w:t>en el caso Raxcacó Reyes vs. Guatemala a la luz del artículo 4.2 de la Convención Americana.</w:t>
      </w:r>
      <w:r w:rsidR="00311494" w:rsidRPr="00836C24">
        <w:rPr>
          <w:rFonts w:asciiTheme="majorHAnsi" w:hAnsiTheme="majorHAnsi" w:cs="Tahoma"/>
          <w:sz w:val="20"/>
          <w:szCs w:val="20"/>
          <w:lang w:val="es-VE"/>
        </w:rPr>
        <w:t xml:space="preserve"> En su análisis, ambos órganos del sistema se refirieron </w:t>
      </w:r>
      <w:r w:rsidR="007150A1" w:rsidRPr="00836C24">
        <w:rPr>
          <w:rFonts w:asciiTheme="majorHAnsi" w:hAnsiTheme="majorHAnsi" w:cs="Tahoma"/>
          <w:sz w:val="20"/>
          <w:szCs w:val="20"/>
          <w:lang w:val="es-VE"/>
        </w:rPr>
        <w:t xml:space="preserve">a ambos estándares indicados anteriormente. Esto es, al relativo a la prohibición de ampliar la pena de muerte; y al relativo a la prohibición de aplicar la pena de muerte de manera automática. </w:t>
      </w:r>
    </w:p>
    <w:p w:rsidR="008A73B4" w:rsidRPr="00836C24" w:rsidRDefault="008A73B4" w:rsidP="008A73B4">
      <w:pPr>
        <w:pStyle w:val="ListParagraph"/>
        <w:rPr>
          <w:rFonts w:asciiTheme="majorHAnsi" w:hAnsiTheme="majorHAnsi" w:cs="Tahoma"/>
          <w:sz w:val="20"/>
          <w:szCs w:val="20"/>
          <w:lang w:val="es-VE"/>
        </w:rPr>
      </w:pPr>
    </w:p>
    <w:p w:rsidR="008A73B4" w:rsidRPr="00836C24" w:rsidRDefault="001266B6" w:rsidP="003D48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cs="Tahoma"/>
          <w:sz w:val="20"/>
          <w:szCs w:val="20"/>
          <w:lang w:val="es-VE"/>
        </w:rPr>
        <w:t>C</w:t>
      </w:r>
      <w:r w:rsidR="001426CB" w:rsidRPr="00836C24">
        <w:rPr>
          <w:rFonts w:asciiTheme="majorHAnsi" w:hAnsiTheme="majorHAnsi" w:cs="Tahoma"/>
          <w:sz w:val="20"/>
          <w:szCs w:val="20"/>
          <w:lang w:val="es-VE"/>
        </w:rPr>
        <w:t>omo se describió en los hechos probados, e</w:t>
      </w:r>
      <w:r w:rsidR="008A73B4" w:rsidRPr="00836C24">
        <w:rPr>
          <w:rFonts w:asciiTheme="majorHAnsi" w:hAnsiTheme="majorHAnsi" w:cs="Tahoma"/>
          <w:sz w:val="20"/>
          <w:szCs w:val="20"/>
          <w:lang w:val="es-VE"/>
        </w:rPr>
        <w:t xml:space="preserve">l artículo 201 del Código Penal establecía que </w:t>
      </w:r>
      <w:r w:rsidR="008A73B4" w:rsidRPr="00836C24">
        <w:rPr>
          <w:rFonts w:asciiTheme="majorHAnsi" w:hAnsiTheme="majorHAnsi"/>
          <w:sz w:val="20"/>
          <w:szCs w:val="20"/>
          <w:lang w:val="es-CL"/>
        </w:rPr>
        <w:t>debía imponerse la pena de muerte a los autores de plagio o secuestro y que en dicho caso “no se apreciará ninguna circunstancia atenuante”. Es decir que imponía la pena sobre la base única de la categoría del delito del que se considera responsable al acusado</w:t>
      </w:r>
      <w:r w:rsidR="008A73B4" w:rsidRPr="00836C24">
        <w:rPr>
          <w:rStyle w:val="FootnoteReference"/>
          <w:rFonts w:asciiTheme="majorHAnsi" w:hAnsiTheme="majorHAnsi"/>
          <w:sz w:val="20"/>
          <w:szCs w:val="20"/>
          <w:lang w:val="es-CL"/>
        </w:rPr>
        <w:footnoteReference w:id="117"/>
      </w:r>
      <w:r w:rsidR="008A73B4" w:rsidRPr="00836C24">
        <w:rPr>
          <w:rFonts w:asciiTheme="majorHAnsi" w:hAnsiTheme="majorHAnsi"/>
          <w:sz w:val="20"/>
          <w:szCs w:val="20"/>
          <w:lang w:val="es-CL"/>
        </w:rPr>
        <w:t xml:space="preserve">. Dicho artículo es consecuencia de una reforma posterior a la ratificación de la Convención Americana, por parte del Estado guatemalteco. </w:t>
      </w:r>
      <w:r w:rsidR="001E72B9" w:rsidRPr="00836C24">
        <w:rPr>
          <w:rFonts w:asciiTheme="majorHAnsi" w:hAnsiTheme="majorHAnsi"/>
          <w:sz w:val="20"/>
          <w:szCs w:val="20"/>
          <w:lang w:val="es-CL"/>
        </w:rPr>
        <w:t>Al</w:t>
      </w:r>
      <w:r w:rsidR="008A73B4" w:rsidRPr="00836C24">
        <w:rPr>
          <w:rFonts w:asciiTheme="majorHAnsi" w:hAnsiTheme="majorHAnsi"/>
          <w:sz w:val="20"/>
          <w:szCs w:val="20"/>
          <w:lang w:val="es-CL"/>
        </w:rPr>
        <w:t xml:space="preserve"> momento de la ratificación, la pena de muerte para el delito de secuestro únicamente estaba prevista </w:t>
      </w:r>
      <w:r w:rsidR="00002F3A" w:rsidRPr="00836C24">
        <w:rPr>
          <w:rFonts w:asciiTheme="majorHAnsi" w:hAnsiTheme="majorHAnsi"/>
          <w:sz w:val="20"/>
          <w:szCs w:val="20"/>
          <w:lang w:val="es-CL"/>
        </w:rPr>
        <w:t xml:space="preserve">en </w:t>
      </w:r>
      <w:r w:rsidR="008A73B4" w:rsidRPr="00836C24">
        <w:rPr>
          <w:rFonts w:asciiTheme="majorHAnsi" w:hAnsiTheme="majorHAnsi"/>
          <w:sz w:val="20"/>
          <w:szCs w:val="20"/>
          <w:lang w:val="es-CL"/>
        </w:rPr>
        <w:t xml:space="preserve">aquellos casos en </w:t>
      </w:r>
      <w:r w:rsidR="00002F3A" w:rsidRPr="00836C24">
        <w:rPr>
          <w:rFonts w:asciiTheme="majorHAnsi" w:hAnsiTheme="majorHAnsi"/>
          <w:sz w:val="20"/>
          <w:szCs w:val="20"/>
          <w:lang w:val="es-CL"/>
        </w:rPr>
        <w:t xml:space="preserve">los cuales </w:t>
      </w:r>
      <w:r w:rsidR="008A73B4" w:rsidRPr="00836C24">
        <w:rPr>
          <w:rFonts w:asciiTheme="majorHAnsi" w:hAnsiTheme="majorHAnsi"/>
          <w:sz w:val="20"/>
          <w:szCs w:val="20"/>
          <w:lang w:val="es-CL"/>
        </w:rPr>
        <w:t>la víctima</w:t>
      </w:r>
      <w:r w:rsidR="007D7305" w:rsidRPr="00836C24">
        <w:rPr>
          <w:rFonts w:asciiTheme="majorHAnsi" w:hAnsiTheme="majorHAnsi"/>
          <w:sz w:val="20"/>
          <w:szCs w:val="20"/>
          <w:lang w:val="es-CL"/>
        </w:rPr>
        <w:t xml:space="preserve"> de un secuestro</w:t>
      </w:r>
      <w:r w:rsidR="008A73B4" w:rsidRPr="00836C24">
        <w:rPr>
          <w:rFonts w:asciiTheme="majorHAnsi" w:hAnsiTheme="majorHAnsi"/>
          <w:sz w:val="20"/>
          <w:szCs w:val="20"/>
          <w:lang w:val="es-CL"/>
        </w:rPr>
        <w:t xml:space="preserve"> fallecía. </w:t>
      </w:r>
    </w:p>
    <w:p w:rsidR="008A73B4" w:rsidRPr="00836C24" w:rsidRDefault="008A73B4" w:rsidP="008A73B4">
      <w:pPr>
        <w:pStyle w:val="ListParagraph"/>
        <w:rPr>
          <w:rFonts w:asciiTheme="majorHAnsi" w:hAnsiTheme="majorHAnsi"/>
          <w:sz w:val="20"/>
          <w:szCs w:val="20"/>
          <w:lang w:val="es-CL"/>
        </w:rPr>
      </w:pPr>
    </w:p>
    <w:p w:rsidR="008A73B4" w:rsidRPr="00836C24" w:rsidRDefault="001266B6" w:rsidP="003D48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A</w:t>
      </w:r>
      <w:r w:rsidR="00B63740" w:rsidRPr="00836C24">
        <w:rPr>
          <w:rFonts w:asciiTheme="majorHAnsi" w:hAnsiTheme="majorHAnsi"/>
          <w:sz w:val="20"/>
          <w:szCs w:val="20"/>
          <w:lang w:val="es-CL"/>
        </w:rPr>
        <w:t>sí, en cuanto a la primera prohibición, l</w:t>
      </w:r>
      <w:r w:rsidR="008A73B4" w:rsidRPr="00836C24">
        <w:rPr>
          <w:rFonts w:asciiTheme="majorHAnsi" w:hAnsiTheme="majorHAnsi"/>
          <w:sz w:val="20"/>
          <w:szCs w:val="20"/>
          <w:lang w:val="es-CL"/>
        </w:rPr>
        <w:t>a CIDH estimó que “al introducirse la reforma al Código Penal guatemalteco mediante Decreto Legislativo 81/96, se eliminó la posibilidad de considerar el resultado de la conducta ilícita como un elemento determinante de la gravedad del hecho y, por ende, orientador de la severidad de la sanción aplicable, de este modo, el Estado contravino el espíritu restrictivo de la Convención Americana, cuyo fin es impedir cualquier extensión del catálogo de delitos castigados con la pena capital”</w:t>
      </w:r>
      <w:r w:rsidR="008A73B4" w:rsidRPr="00836C24">
        <w:rPr>
          <w:rStyle w:val="FootnoteReference"/>
          <w:rFonts w:asciiTheme="majorHAnsi" w:hAnsiTheme="majorHAnsi"/>
          <w:sz w:val="20"/>
          <w:szCs w:val="20"/>
          <w:lang w:val="es-CL"/>
        </w:rPr>
        <w:footnoteReference w:id="118"/>
      </w:r>
      <w:r w:rsidR="008A73B4" w:rsidRPr="00836C24">
        <w:rPr>
          <w:rFonts w:asciiTheme="majorHAnsi" w:hAnsiTheme="majorHAnsi"/>
          <w:sz w:val="20"/>
          <w:szCs w:val="20"/>
          <w:lang w:val="es-CL"/>
        </w:rPr>
        <w:t xml:space="preserve">. </w:t>
      </w:r>
    </w:p>
    <w:p w:rsidR="008A73B4" w:rsidRPr="00836C24" w:rsidRDefault="008A73B4" w:rsidP="008A73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hAnsiTheme="majorHAnsi"/>
          <w:sz w:val="20"/>
          <w:szCs w:val="20"/>
          <w:lang w:val="es-CL"/>
        </w:rPr>
      </w:pPr>
    </w:p>
    <w:p w:rsidR="008A73B4" w:rsidRPr="00836C24" w:rsidRDefault="008A73B4" w:rsidP="003D48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La Corte Interamericana consideró que “si bien el </w:t>
      </w:r>
      <w:r w:rsidRPr="00836C24">
        <w:rPr>
          <w:rFonts w:asciiTheme="majorHAnsi" w:hAnsiTheme="majorHAnsi"/>
          <w:i/>
          <w:sz w:val="20"/>
          <w:szCs w:val="20"/>
          <w:lang w:val="es-CL"/>
        </w:rPr>
        <w:t>nomen iuris</w:t>
      </w:r>
      <w:r w:rsidRPr="00836C24">
        <w:rPr>
          <w:rFonts w:asciiTheme="majorHAnsi" w:hAnsiTheme="majorHAnsi"/>
          <w:sz w:val="20"/>
          <w:szCs w:val="20"/>
          <w:lang w:val="es-CL"/>
        </w:rPr>
        <w:t xml:space="preserve"> del plagio o secuestro permaneció inalterado desde el momento en que Guatemala ratificó la Convención, los supuestos de hecho contenidos en los correspondientes tipos penales cambiaron sustancialmente, hasta hacer posible la aplicación de la pena de muerte por acciones no sancionadas con ésta en el pasado. Aceptar una interpretación contraria permitiría que un delito pudiera ser sustituido o alterado con la inclusión de nuevos supuestos de hecho, no obstante la prohibición expresa de extender la pena capital, contenida en el artículo 4.2 de la Convención”</w:t>
      </w:r>
      <w:r w:rsidRPr="00836C24">
        <w:rPr>
          <w:rStyle w:val="FootnoteReference"/>
          <w:rFonts w:asciiTheme="majorHAnsi" w:hAnsiTheme="majorHAnsi"/>
          <w:sz w:val="20"/>
          <w:szCs w:val="20"/>
          <w:lang w:val="es-CL"/>
        </w:rPr>
        <w:footnoteReference w:id="119"/>
      </w:r>
      <w:r w:rsidRPr="00836C24">
        <w:rPr>
          <w:rFonts w:asciiTheme="majorHAnsi" w:hAnsiTheme="majorHAnsi"/>
          <w:sz w:val="20"/>
          <w:szCs w:val="20"/>
          <w:lang w:val="es-CL"/>
        </w:rPr>
        <w:t xml:space="preserve">. </w:t>
      </w:r>
    </w:p>
    <w:p w:rsidR="008A73B4" w:rsidRPr="00836C24" w:rsidRDefault="008A73B4" w:rsidP="008A73B4">
      <w:pPr>
        <w:pStyle w:val="ListParagraph"/>
        <w:rPr>
          <w:rFonts w:asciiTheme="majorHAnsi" w:hAnsiTheme="majorHAnsi"/>
          <w:sz w:val="20"/>
          <w:szCs w:val="20"/>
          <w:lang w:val="es-CL"/>
        </w:rPr>
      </w:pPr>
    </w:p>
    <w:p w:rsidR="008A73B4" w:rsidRPr="00836C24" w:rsidRDefault="00B0566A" w:rsidP="003D48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En cuanto a la segunda prohibición, </w:t>
      </w:r>
      <w:r w:rsidR="008A73B4" w:rsidRPr="00836C24">
        <w:rPr>
          <w:rFonts w:asciiTheme="majorHAnsi" w:hAnsiTheme="majorHAnsi"/>
          <w:sz w:val="20"/>
          <w:szCs w:val="20"/>
          <w:lang w:val="es-CL"/>
        </w:rPr>
        <w:t>la CIDH consideró que el artículo 201 del Código Penal guatemalteco, impone de manera obligatoria y automática la pena de muerte, y consideró que “para que la imposición de la pena de muerte sea congruente con los artículos 4, 5, 8 y 25 de la Convención es necesario un mecanismo efectivo por el cual el acusado pueda presentar descargos y pruebas ante el Tribunal que pronuncia la sentencia acerca de si la pena de muerte es un castigo permisible y apropiado en las circunstancias de su caso”</w:t>
      </w:r>
      <w:r w:rsidR="008A73B4" w:rsidRPr="00836C24">
        <w:rPr>
          <w:rStyle w:val="FootnoteReference"/>
          <w:rFonts w:asciiTheme="majorHAnsi" w:hAnsiTheme="majorHAnsi"/>
          <w:sz w:val="20"/>
          <w:szCs w:val="20"/>
          <w:lang w:val="es-CL"/>
        </w:rPr>
        <w:t xml:space="preserve"> </w:t>
      </w:r>
      <w:r w:rsidR="008A73B4" w:rsidRPr="00836C24">
        <w:rPr>
          <w:rStyle w:val="FootnoteReference"/>
          <w:rFonts w:asciiTheme="majorHAnsi" w:hAnsiTheme="majorHAnsi"/>
          <w:sz w:val="20"/>
          <w:szCs w:val="20"/>
          <w:lang w:val="es-CL"/>
        </w:rPr>
        <w:footnoteReference w:id="120"/>
      </w:r>
      <w:r w:rsidR="008A73B4" w:rsidRPr="00836C24">
        <w:rPr>
          <w:rFonts w:asciiTheme="majorHAnsi" w:hAnsiTheme="majorHAnsi"/>
          <w:sz w:val="20"/>
          <w:szCs w:val="20"/>
          <w:lang w:val="es-CL"/>
        </w:rPr>
        <w:t xml:space="preserve">. Por ello concluyó que “al imponer la pena de muerte obligatoria al señor Raxcacó Reyes, el Estado guatemalteco violó su derecho a no ser privado arbitrariamente de la vida, </w:t>
      </w:r>
      <w:r w:rsidR="008A73B4" w:rsidRPr="00836C24">
        <w:rPr>
          <w:rFonts w:asciiTheme="majorHAnsi" w:hAnsiTheme="majorHAnsi"/>
          <w:sz w:val="20"/>
          <w:szCs w:val="20"/>
          <w:lang w:val="es-CL"/>
        </w:rPr>
        <w:lastRenderedPageBreak/>
        <w:t>consagrado en el artículo 4</w:t>
      </w:r>
      <w:r w:rsidR="001426CB" w:rsidRPr="00836C24">
        <w:rPr>
          <w:rFonts w:asciiTheme="majorHAnsi" w:hAnsiTheme="majorHAnsi"/>
          <w:sz w:val="20"/>
          <w:szCs w:val="20"/>
          <w:lang w:val="es-CL"/>
        </w:rPr>
        <w:t>.1</w:t>
      </w:r>
      <w:r w:rsidR="008A73B4" w:rsidRPr="00836C24">
        <w:rPr>
          <w:rFonts w:asciiTheme="majorHAnsi" w:hAnsiTheme="majorHAnsi"/>
          <w:sz w:val="20"/>
          <w:szCs w:val="20"/>
          <w:lang w:val="es-CL"/>
        </w:rPr>
        <w:t xml:space="preserve"> de la Convención”</w:t>
      </w:r>
      <w:r w:rsidR="008A73B4" w:rsidRPr="00836C24">
        <w:rPr>
          <w:rStyle w:val="FootnoteReference"/>
          <w:rFonts w:asciiTheme="majorHAnsi" w:hAnsiTheme="majorHAnsi"/>
          <w:sz w:val="20"/>
          <w:szCs w:val="20"/>
          <w:lang w:val="es-CL"/>
        </w:rPr>
        <w:footnoteReference w:id="121"/>
      </w:r>
      <w:r w:rsidR="008A73B4" w:rsidRPr="00836C24">
        <w:rPr>
          <w:rFonts w:asciiTheme="majorHAnsi" w:hAnsiTheme="majorHAnsi"/>
          <w:sz w:val="20"/>
          <w:szCs w:val="20"/>
          <w:lang w:val="es-CL"/>
        </w:rPr>
        <w:t>. En igual sentido se pronunció la Corte Interamericana en la sentencia de dicho caso, concluyendo que el artículo 201 del Código Penal guatemalteco, viola la prohibición de privación arbitraria de la vida establecida en el artículo 4.1 y 4.2 de la Convención</w:t>
      </w:r>
      <w:r w:rsidR="008A73B4" w:rsidRPr="00836C24">
        <w:rPr>
          <w:rStyle w:val="FootnoteReference"/>
          <w:rFonts w:asciiTheme="majorHAnsi" w:hAnsiTheme="majorHAnsi"/>
          <w:sz w:val="20"/>
          <w:szCs w:val="20"/>
          <w:lang w:val="es-CL"/>
        </w:rPr>
        <w:footnoteReference w:id="122"/>
      </w:r>
      <w:r w:rsidR="008A73B4" w:rsidRPr="00836C24">
        <w:rPr>
          <w:rFonts w:asciiTheme="majorHAnsi" w:hAnsiTheme="majorHAnsi"/>
          <w:sz w:val="20"/>
          <w:szCs w:val="20"/>
          <w:lang w:val="es-CL"/>
        </w:rPr>
        <w:t xml:space="preserve">. </w:t>
      </w:r>
    </w:p>
    <w:p w:rsidR="008A73B4" w:rsidRPr="00836C24" w:rsidRDefault="008A73B4" w:rsidP="008A73B4">
      <w:pPr>
        <w:pStyle w:val="ListParagraph"/>
        <w:rPr>
          <w:rFonts w:asciiTheme="majorHAnsi" w:hAnsiTheme="majorHAnsi"/>
          <w:sz w:val="20"/>
          <w:szCs w:val="20"/>
          <w:lang w:val="es-CL"/>
        </w:rPr>
      </w:pPr>
    </w:p>
    <w:p w:rsidR="008A73B4" w:rsidRPr="00836C24" w:rsidRDefault="008A73B4" w:rsidP="006D1B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En </w:t>
      </w:r>
      <w:r w:rsidR="00B07E12" w:rsidRPr="00836C24">
        <w:rPr>
          <w:rFonts w:asciiTheme="majorHAnsi" w:hAnsiTheme="majorHAnsi"/>
          <w:sz w:val="20"/>
          <w:szCs w:val="20"/>
          <w:lang w:val="es-CL"/>
        </w:rPr>
        <w:t>la  misma lí</w:t>
      </w:r>
      <w:r w:rsidR="00845725" w:rsidRPr="00836C24">
        <w:rPr>
          <w:rFonts w:asciiTheme="majorHAnsi" w:hAnsiTheme="majorHAnsi"/>
          <w:sz w:val="20"/>
          <w:szCs w:val="20"/>
          <w:lang w:val="es-CL"/>
        </w:rPr>
        <w:t>nea y relacionando la segunda prohibición descrita al derecho a un recurso efectivo, en un</w:t>
      </w:r>
      <w:r w:rsidR="00B07E12" w:rsidRPr="00836C24">
        <w:rPr>
          <w:rFonts w:asciiTheme="majorHAnsi" w:hAnsiTheme="majorHAnsi"/>
          <w:sz w:val="20"/>
          <w:szCs w:val="20"/>
          <w:lang w:val="es-CL"/>
        </w:rPr>
        <w:t xml:space="preserve"> </w:t>
      </w:r>
      <w:r w:rsidRPr="00836C24">
        <w:rPr>
          <w:rFonts w:asciiTheme="majorHAnsi" w:hAnsiTheme="majorHAnsi"/>
          <w:sz w:val="20"/>
          <w:szCs w:val="20"/>
          <w:lang w:val="es-CL"/>
        </w:rPr>
        <w:t>caso relativo a Bahamas, la CIDH estableció, refiriéndose a la pena de muerte, que “en razón de su aplicación compulsiva y automática, la sentencia obligatoria no puede estar sujeta a una revisión efectiva en una instancia superior. Una vez impuesta la sentencia obligatoria, todo lo que el Tribunal Superior puede hacer es determinar si el acusado fue hallado culpable de un delito para el cual la sentencia ya estaba dispuesta obligatoriamente”</w:t>
      </w:r>
      <w:r w:rsidRPr="00836C24">
        <w:rPr>
          <w:rStyle w:val="FootnoteReference"/>
          <w:rFonts w:asciiTheme="majorHAnsi" w:hAnsiTheme="majorHAnsi"/>
          <w:sz w:val="20"/>
          <w:szCs w:val="20"/>
          <w:lang w:val="es-CL"/>
        </w:rPr>
        <w:footnoteReference w:id="123"/>
      </w:r>
      <w:r w:rsidRPr="00836C24">
        <w:rPr>
          <w:rFonts w:asciiTheme="majorHAnsi" w:hAnsiTheme="majorHAnsi"/>
          <w:sz w:val="20"/>
          <w:szCs w:val="20"/>
          <w:lang w:val="es-CL"/>
        </w:rPr>
        <w:t>.</w:t>
      </w:r>
      <w:r w:rsidR="003F5D2E" w:rsidRPr="00836C24">
        <w:rPr>
          <w:rFonts w:asciiTheme="majorHAnsi" w:hAnsiTheme="majorHAnsi"/>
          <w:sz w:val="20"/>
          <w:szCs w:val="20"/>
          <w:lang w:val="es-CL"/>
        </w:rPr>
        <w:t xml:space="preserve"> </w:t>
      </w:r>
      <w:r w:rsidR="006D1BAA" w:rsidRPr="00836C24">
        <w:rPr>
          <w:rFonts w:asciiTheme="majorHAnsi" w:hAnsiTheme="majorHAnsi"/>
          <w:sz w:val="20"/>
          <w:szCs w:val="20"/>
          <w:lang w:val="es-CL"/>
        </w:rPr>
        <w:t xml:space="preserve">En la demanda del caso Raxcacó Reyes contra Guatemala, </w:t>
      </w:r>
      <w:r w:rsidR="00A64E62" w:rsidRPr="00836C24">
        <w:rPr>
          <w:rFonts w:asciiTheme="majorHAnsi" w:hAnsiTheme="majorHAnsi"/>
          <w:sz w:val="20"/>
          <w:szCs w:val="20"/>
          <w:lang w:val="es-CL"/>
        </w:rPr>
        <w:t xml:space="preserve">la CIDH </w:t>
      </w:r>
      <w:r w:rsidR="00EA4CC2" w:rsidRPr="00836C24">
        <w:rPr>
          <w:rFonts w:asciiTheme="majorHAnsi" w:hAnsiTheme="majorHAnsi"/>
          <w:sz w:val="20"/>
          <w:szCs w:val="20"/>
          <w:lang w:val="es-CL"/>
        </w:rPr>
        <w:t>reiteró lo indicado anteriormente y agregó que “e</w:t>
      </w:r>
      <w:r w:rsidRPr="00836C24">
        <w:rPr>
          <w:rFonts w:asciiTheme="majorHAnsi" w:hAnsiTheme="majorHAnsi"/>
          <w:sz w:val="20"/>
          <w:szCs w:val="20"/>
          <w:lang w:val="es-CL"/>
        </w:rPr>
        <w:t>l carácter obligatorio de la sanción impide que un tribunal de alzada considere si la pena de muerte era el castigo adecuado a las condiciones del procesado y a las circunstancias particulares del caso, así como a la proporcionalidad entre el delito y castigo”</w:t>
      </w:r>
      <w:r w:rsidRPr="00836C24">
        <w:rPr>
          <w:rStyle w:val="FootnoteReference"/>
          <w:rFonts w:asciiTheme="majorHAnsi" w:hAnsiTheme="majorHAnsi"/>
          <w:sz w:val="20"/>
          <w:szCs w:val="20"/>
          <w:lang w:val="es-CL"/>
        </w:rPr>
        <w:footnoteReference w:id="124"/>
      </w:r>
      <w:r w:rsidRPr="00836C24">
        <w:rPr>
          <w:rFonts w:asciiTheme="majorHAnsi" w:hAnsiTheme="majorHAnsi"/>
          <w:sz w:val="20"/>
          <w:szCs w:val="20"/>
          <w:lang w:val="es-CL"/>
        </w:rPr>
        <w:t xml:space="preserve">. </w:t>
      </w:r>
      <w:r w:rsidR="00D415DC">
        <w:rPr>
          <w:rFonts w:asciiTheme="majorHAnsi" w:hAnsiTheme="majorHAnsi"/>
          <w:sz w:val="20"/>
          <w:szCs w:val="20"/>
          <w:lang w:val="es-CL"/>
        </w:rPr>
        <w:t xml:space="preserve"> La Comisión recuerda que la </w:t>
      </w:r>
      <w:r w:rsidR="007D7305" w:rsidRPr="00836C24">
        <w:rPr>
          <w:rFonts w:asciiTheme="majorHAnsi" w:hAnsiTheme="majorHAnsi"/>
          <w:sz w:val="20"/>
          <w:szCs w:val="20"/>
          <w:lang w:val="es-CL"/>
        </w:rPr>
        <w:t xml:space="preserve">aplicación automática de la pena de muerte significa que las y los operadores de justicia no pueden tomar en cuenta factores atenuantes para asegurar que la pena de muerte esté impuesta solo para los delitos más graves. </w:t>
      </w:r>
    </w:p>
    <w:p w:rsidR="008A73B4" w:rsidRPr="00836C24" w:rsidRDefault="008A73B4" w:rsidP="008A73B4">
      <w:pPr>
        <w:pStyle w:val="ListParagraph"/>
        <w:rPr>
          <w:rFonts w:asciiTheme="majorHAnsi" w:hAnsiTheme="majorHAnsi"/>
          <w:sz w:val="20"/>
          <w:szCs w:val="20"/>
          <w:lang w:val="es-CL"/>
        </w:rPr>
      </w:pPr>
    </w:p>
    <w:p w:rsidR="008A73B4" w:rsidRPr="00836C24" w:rsidRDefault="008A73B4" w:rsidP="008A73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Por otra parte</w:t>
      </w:r>
      <w:r w:rsidR="008A663B" w:rsidRPr="00836C24">
        <w:rPr>
          <w:rFonts w:asciiTheme="majorHAnsi" w:hAnsiTheme="majorHAnsi"/>
          <w:sz w:val="20"/>
          <w:szCs w:val="20"/>
          <w:lang w:val="es-CL"/>
        </w:rPr>
        <w:t xml:space="preserve"> y como tercera obligación relevante en el análisis del presente caso,</w:t>
      </w:r>
      <w:r w:rsidR="00A713B5" w:rsidRPr="00836C24">
        <w:rPr>
          <w:rFonts w:asciiTheme="majorHAnsi" w:hAnsiTheme="majorHAnsi"/>
          <w:sz w:val="20"/>
          <w:szCs w:val="20"/>
          <w:lang w:val="es-CL"/>
        </w:rPr>
        <w:t xml:space="preserve"> </w:t>
      </w:r>
      <w:r w:rsidRPr="00836C24">
        <w:rPr>
          <w:rFonts w:asciiTheme="majorHAnsi" w:hAnsiTheme="majorHAnsi"/>
          <w:sz w:val="20"/>
          <w:szCs w:val="20"/>
          <w:lang w:val="es-CL"/>
        </w:rPr>
        <w:t xml:space="preserve">la CIDH recuerda que en virtud del artículo 4.6 de la Convención Americana, toda persona tiene el derecho de solicitar amnistía, indulto o la conmutación de la pena y </w:t>
      </w:r>
      <w:r w:rsidR="00696788" w:rsidRPr="00836C24">
        <w:rPr>
          <w:rFonts w:asciiTheme="majorHAnsi" w:hAnsiTheme="majorHAnsi"/>
          <w:sz w:val="20"/>
          <w:szCs w:val="20"/>
          <w:lang w:val="es-CL"/>
        </w:rPr>
        <w:t xml:space="preserve">ésta </w:t>
      </w:r>
      <w:r w:rsidRPr="00836C24">
        <w:rPr>
          <w:rFonts w:asciiTheme="majorHAnsi" w:hAnsiTheme="majorHAnsi"/>
          <w:sz w:val="20"/>
          <w:szCs w:val="20"/>
          <w:lang w:val="es-CL"/>
        </w:rPr>
        <w:t>no puede ser ejecutada mientras dicha solicitud se encuentre pendiente de resolución</w:t>
      </w:r>
      <w:r w:rsidR="00A03D45" w:rsidRPr="00836C24">
        <w:rPr>
          <w:rFonts w:asciiTheme="majorHAnsi" w:hAnsiTheme="majorHAnsi"/>
          <w:sz w:val="20"/>
          <w:szCs w:val="20"/>
          <w:lang w:val="es-CL"/>
        </w:rPr>
        <w:t xml:space="preserve">. En el caso Fermín Ramirez vs Guatemala, </w:t>
      </w:r>
      <w:r w:rsidRPr="00836C24">
        <w:rPr>
          <w:rFonts w:asciiTheme="majorHAnsi" w:hAnsiTheme="majorHAnsi"/>
          <w:sz w:val="20"/>
          <w:szCs w:val="20"/>
          <w:lang w:val="es-CL"/>
        </w:rPr>
        <w:t xml:space="preserve"> </w:t>
      </w:r>
      <w:r w:rsidR="00A03D45" w:rsidRPr="00836C24">
        <w:rPr>
          <w:rFonts w:asciiTheme="majorHAnsi" w:hAnsiTheme="majorHAnsi"/>
          <w:sz w:val="20"/>
          <w:szCs w:val="20"/>
          <w:lang w:val="es-CL"/>
        </w:rPr>
        <w:t>l</w:t>
      </w:r>
      <w:r w:rsidRPr="00836C24">
        <w:rPr>
          <w:rFonts w:asciiTheme="majorHAnsi" w:hAnsiTheme="majorHAnsi"/>
          <w:sz w:val="20"/>
          <w:szCs w:val="20"/>
          <w:lang w:val="es-CL"/>
        </w:rPr>
        <w:t>a Corte Interamericana</w:t>
      </w:r>
      <w:r w:rsidR="00A03D45" w:rsidRPr="00836C24">
        <w:rPr>
          <w:rFonts w:asciiTheme="majorHAnsi" w:hAnsiTheme="majorHAnsi"/>
          <w:sz w:val="20"/>
          <w:szCs w:val="20"/>
          <w:lang w:val="es-CL"/>
        </w:rPr>
        <w:t xml:space="preserve"> indicó</w:t>
      </w:r>
      <w:r w:rsidRPr="00836C24">
        <w:rPr>
          <w:rFonts w:asciiTheme="majorHAnsi" w:hAnsiTheme="majorHAnsi"/>
          <w:sz w:val="20"/>
          <w:szCs w:val="20"/>
          <w:lang w:val="es-CL"/>
        </w:rPr>
        <w:t xml:space="preserve"> que este derecho “forma parte del corpus juris internacional, en particular de la Convención Americana y del Pacto Internacional de Derechos Civiles y Políticos”</w:t>
      </w:r>
      <w:r w:rsidRPr="00836C24">
        <w:rPr>
          <w:rStyle w:val="FootnoteReference"/>
          <w:rFonts w:asciiTheme="majorHAnsi" w:hAnsiTheme="majorHAnsi"/>
          <w:sz w:val="20"/>
          <w:szCs w:val="20"/>
          <w:lang w:val="es-CL"/>
        </w:rPr>
        <w:footnoteReference w:id="125"/>
      </w:r>
      <w:r w:rsidRPr="00836C24">
        <w:rPr>
          <w:rFonts w:asciiTheme="majorHAnsi" w:hAnsiTheme="majorHAnsi"/>
          <w:sz w:val="20"/>
          <w:szCs w:val="20"/>
          <w:lang w:val="es-CL"/>
        </w:rPr>
        <w:t xml:space="preserve">. Asimismo, la Corte Interamericana, como se indicó en la sección del contexto del presente informe, se refirió a la derogatoria del Decreto 159 en Guatemala y a la promulgación del Acuerdo 235-2000 según el cual ningún organismo del Estado tiene la atribución de conocer y resolver el derecho de gracia. </w:t>
      </w:r>
    </w:p>
    <w:p w:rsidR="008A73B4" w:rsidRPr="00836C24" w:rsidRDefault="00E6158E" w:rsidP="00E6158E">
      <w:pPr>
        <w:pStyle w:val="Heading4"/>
        <w:ind w:left="720"/>
        <w:rPr>
          <w:rFonts w:asciiTheme="majorHAnsi" w:hAnsiTheme="majorHAnsi"/>
          <w:sz w:val="20"/>
          <w:lang w:val="es-VE"/>
        </w:rPr>
      </w:pPr>
      <w:r w:rsidRPr="00836C24">
        <w:rPr>
          <w:rFonts w:asciiTheme="majorHAnsi" w:hAnsiTheme="majorHAnsi"/>
          <w:sz w:val="20"/>
          <w:lang w:val="es-VE"/>
        </w:rPr>
        <w:t xml:space="preserve">3.2           </w:t>
      </w:r>
      <w:r w:rsidR="008A73B4" w:rsidRPr="00836C24">
        <w:rPr>
          <w:rFonts w:asciiTheme="majorHAnsi" w:hAnsiTheme="majorHAnsi"/>
          <w:sz w:val="20"/>
          <w:lang w:val="es-VE"/>
        </w:rPr>
        <w:t xml:space="preserve">Análisis del caso </w:t>
      </w:r>
    </w:p>
    <w:p w:rsidR="008A73B4" w:rsidRPr="00836C24" w:rsidRDefault="008A73B4" w:rsidP="008A73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hAnsiTheme="majorHAnsi"/>
          <w:sz w:val="20"/>
          <w:szCs w:val="20"/>
          <w:lang w:val="es-CL"/>
        </w:rPr>
      </w:pPr>
    </w:p>
    <w:p w:rsidR="00035F23" w:rsidRPr="00836C24" w:rsidRDefault="008A73B4" w:rsidP="001D31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 xml:space="preserve">En el presente caso, la Comisión resalta que se aplicó el artículo 201 del Código Penal cuyo contenido ya fue analizado por la Corte y la Comisión Interamericana, como se indicó en la sección anterior. </w:t>
      </w:r>
    </w:p>
    <w:p w:rsidR="00035F23" w:rsidRPr="00836C24" w:rsidRDefault="00035F23"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ind w:left="720"/>
        <w:jc w:val="both"/>
        <w:rPr>
          <w:rFonts w:asciiTheme="majorHAnsi" w:hAnsiTheme="majorHAnsi"/>
          <w:sz w:val="20"/>
          <w:szCs w:val="20"/>
          <w:lang w:val="es-CL"/>
        </w:rPr>
      </w:pPr>
    </w:p>
    <w:p w:rsidR="00035F23" w:rsidRPr="00836C24" w:rsidRDefault="00035F23" w:rsidP="001D31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VE"/>
        </w:rPr>
        <w:t>En ese sentido y conforme a los está</w:t>
      </w:r>
      <w:r w:rsidR="00AC20E3" w:rsidRPr="00836C24">
        <w:rPr>
          <w:rFonts w:asciiTheme="majorHAnsi" w:hAnsiTheme="majorHAnsi"/>
          <w:sz w:val="20"/>
          <w:szCs w:val="20"/>
          <w:lang w:val="es-VE"/>
        </w:rPr>
        <w:t xml:space="preserve">ndares descritos sobre las obligaciones </w:t>
      </w:r>
      <w:r w:rsidR="0045495E" w:rsidRPr="00836C24">
        <w:rPr>
          <w:rFonts w:asciiTheme="majorHAnsi" w:hAnsiTheme="majorHAnsi"/>
          <w:sz w:val="20"/>
          <w:szCs w:val="20"/>
          <w:lang w:val="es-VE"/>
        </w:rPr>
        <w:t>derivadas del artículo 4.2 de la Convención Americana,</w:t>
      </w:r>
      <w:r w:rsidRPr="00836C24">
        <w:rPr>
          <w:rFonts w:asciiTheme="majorHAnsi" w:hAnsiTheme="majorHAnsi"/>
          <w:sz w:val="20"/>
          <w:szCs w:val="20"/>
          <w:lang w:val="es-VE"/>
        </w:rPr>
        <w:t xml:space="preserve"> el Estado de Guatemala es re</w:t>
      </w:r>
      <w:r w:rsidR="00A03D45" w:rsidRPr="00836C24">
        <w:rPr>
          <w:rFonts w:asciiTheme="majorHAnsi" w:hAnsiTheme="majorHAnsi"/>
          <w:sz w:val="20"/>
          <w:szCs w:val="20"/>
          <w:lang w:val="es-VE"/>
        </w:rPr>
        <w:t>s</w:t>
      </w:r>
      <w:r w:rsidRPr="00836C24">
        <w:rPr>
          <w:rFonts w:asciiTheme="majorHAnsi" w:hAnsiTheme="majorHAnsi"/>
          <w:sz w:val="20"/>
          <w:szCs w:val="20"/>
          <w:lang w:val="es-VE"/>
        </w:rPr>
        <w:t>ponsable por la imposición de la pena de muerte al s</w:t>
      </w:r>
      <w:r w:rsidR="00470D32" w:rsidRPr="00836C24">
        <w:rPr>
          <w:rFonts w:asciiTheme="majorHAnsi" w:hAnsiTheme="majorHAnsi"/>
          <w:sz w:val="20"/>
          <w:szCs w:val="20"/>
          <w:lang w:val="es-VE"/>
        </w:rPr>
        <w:t>eñor Ruiz Fuentes por una conducta – secuestro</w:t>
      </w:r>
      <w:r w:rsidR="00823A5B" w:rsidRPr="00836C24">
        <w:rPr>
          <w:rFonts w:asciiTheme="majorHAnsi" w:hAnsiTheme="majorHAnsi"/>
          <w:sz w:val="20"/>
          <w:szCs w:val="20"/>
          <w:lang w:val="es-VE"/>
        </w:rPr>
        <w:t xml:space="preserve"> no </w:t>
      </w:r>
      <w:r w:rsidR="00470D32" w:rsidRPr="00836C24">
        <w:rPr>
          <w:rFonts w:asciiTheme="majorHAnsi" w:hAnsiTheme="majorHAnsi"/>
          <w:sz w:val="20"/>
          <w:szCs w:val="20"/>
          <w:lang w:val="es-VE"/>
        </w:rPr>
        <w:t>seguido de muerte – que no estaba contemplada co</w:t>
      </w:r>
      <w:r w:rsidR="00A03D45" w:rsidRPr="00836C24">
        <w:rPr>
          <w:rFonts w:asciiTheme="majorHAnsi" w:hAnsiTheme="majorHAnsi"/>
          <w:sz w:val="20"/>
          <w:szCs w:val="20"/>
          <w:lang w:val="es-VE"/>
        </w:rPr>
        <w:t>mo</w:t>
      </w:r>
      <w:r w:rsidR="00470D32" w:rsidRPr="00836C24">
        <w:rPr>
          <w:rFonts w:asciiTheme="majorHAnsi" w:hAnsiTheme="majorHAnsi"/>
          <w:sz w:val="20"/>
          <w:szCs w:val="20"/>
          <w:lang w:val="es-VE"/>
        </w:rPr>
        <w:t xml:space="preserve"> merecedora de la pena de muerte al momento de la ratificación de</w:t>
      </w:r>
      <w:r w:rsidR="000B4935" w:rsidRPr="00836C24">
        <w:rPr>
          <w:rFonts w:asciiTheme="majorHAnsi" w:hAnsiTheme="majorHAnsi"/>
          <w:sz w:val="20"/>
          <w:szCs w:val="20"/>
          <w:lang w:val="es-VE"/>
        </w:rPr>
        <w:t xml:space="preserve"> dicho instrumento </w:t>
      </w:r>
      <w:r w:rsidR="00470D32" w:rsidRPr="00836C24">
        <w:rPr>
          <w:rFonts w:asciiTheme="majorHAnsi" w:hAnsiTheme="majorHAnsi"/>
          <w:sz w:val="20"/>
          <w:szCs w:val="20"/>
          <w:lang w:val="es-VE"/>
        </w:rPr>
        <w:t>por parte de aquél. Asimismo, el Estado es responsable por la imposició</w:t>
      </w:r>
      <w:r w:rsidR="00760512" w:rsidRPr="00836C24">
        <w:rPr>
          <w:rFonts w:asciiTheme="majorHAnsi" w:hAnsiTheme="majorHAnsi"/>
          <w:sz w:val="20"/>
          <w:szCs w:val="20"/>
          <w:lang w:val="es-VE"/>
        </w:rPr>
        <w:t>n de la pena de muerte de manera automática</w:t>
      </w:r>
      <w:r w:rsidR="00384F3B" w:rsidRPr="00836C24">
        <w:rPr>
          <w:rFonts w:asciiTheme="majorHAnsi" w:hAnsiTheme="majorHAnsi"/>
          <w:sz w:val="20"/>
          <w:szCs w:val="20"/>
          <w:lang w:val="es-VE"/>
        </w:rPr>
        <w:t xml:space="preserve"> </w:t>
      </w:r>
      <w:r w:rsidR="00E01769" w:rsidRPr="00836C24">
        <w:rPr>
          <w:rFonts w:asciiTheme="majorHAnsi" w:hAnsiTheme="majorHAnsi"/>
          <w:sz w:val="20"/>
          <w:szCs w:val="20"/>
          <w:lang w:val="es-VE"/>
        </w:rPr>
        <w:t xml:space="preserve">sin consideraciones específicas sobre la situación individual del señor Ruiz Fuentes que hacían aplicable la pena más severa posible. </w:t>
      </w:r>
    </w:p>
    <w:p w:rsidR="00823A5B" w:rsidRPr="00836C24" w:rsidRDefault="00823A5B" w:rsidP="00823A5B">
      <w:pPr>
        <w:pStyle w:val="ListParagraph"/>
        <w:rPr>
          <w:rFonts w:asciiTheme="majorHAnsi" w:hAnsiTheme="majorHAnsi"/>
          <w:sz w:val="20"/>
          <w:szCs w:val="20"/>
          <w:lang w:val="es-CL"/>
        </w:rPr>
      </w:pPr>
    </w:p>
    <w:p w:rsidR="00823A5B" w:rsidRPr="00836C24" w:rsidRDefault="00823A5B" w:rsidP="001D31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lastRenderedPageBreak/>
        <w:t>Las sentencias reflejan concretamente la aplicación de la norma que prohibía la consideración de factores atenuantes, y en consecuencia la aplicación –sin una consideraci</w:t>
      </w:r>
      <w:r w:rsidR="003C3E8E" w:rsidRPr="00836C24">
        <w:rPr>
          <w:rFonts w:asciiTheme="majorHAnsi" w:hAnsiTheme="majorHAnsi"/>
          <w:sz w:val="20"/>
          <w:szCs w:val="20"/>
          <w:lang w:val="es-CL"/>
        </w:rPr>
        <w:t xml:space="preserve">ón individual- de las circunstancias del delito o del condenado- de la única pena dispuesta por ley. </w:t>
      </w:r>
    </w:p>
    <w:p w:rsidR="008A73B4" w:rsidRPr="00836C24" w:rsidRDefault="008A73B4"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s>
        <w:jc w:val="both"/>
        <w:rPr>
          <w:rFonts w:asciiTheme="majorHAnsi" w:hAnsiTheme="majorHAnsi"/>
          <w:sz w:val="20"/>
          <w:szCs w:val="20"/>
          <w:lang w:val="es-CL"/>
        </w:rPr>
      </w:pPr>
    </w:p>
    <w:p w:rsidR="008A73B4" w:rsidRPr="00836C24" w:rsidRDefault="004A7CC3" w:rsidP="001D31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Por otra parte, l</w:t>
      </w:r>
      <w:r w:rsidR="008A73B4" w:rsidRPr="00836C24">
        <w:rPr>
          <w:rFonts w:asciiTheme="majorHAnsi" w:hAnsiTheme="majorHAnsi"/>
          <w:sz w:val="20"/>
          <w:szCs w:val="20"/>
          <w:lang w:val="es-CL"/>
        </w:rPr>
        <w:t xml:space="preserve">a CIDH observa que pese a que la presunta víctima alegó </w:t>
      </w:r>
      <w:r w:rsidRPr="00836C24">
        <w:rPr>
          <w:rFonts w:asciiTheme="majorHAnsi" w:hAnsiTheme="majorHAnsi"/>
          <w:sz w:val="20"/>
          <w:szCs w:val="20"/>
          <w:lang w:val="es-CL"/>
        </w:rPr>
        <w:t xml:space="preserve">reiteradamente en el proceso penal </w:t>
      </w:r>
      <w:r w:rsidR="008A73B4" w:rsidRPr="00836C24">
        <w:rPr>
          <w:rFonts w:asciiTheme="majorHAnsi" w:hAnsiTheme="majorHAnsi"/>
          <w:sz w:val="20"/>
          <w:szCs w:val="20"/>
          <w:lang w:val="es-CL"/>
        </w:rPr>
        <w:t xml:space="preserve">que la aplicación de la pena de muerte era contraria a la Convención Americana, </w:t>
      </w:r>
      <w:r w:rsidRPr="00836C24">
        <w:rPr>
          <w:rFonts w:asciiTheme="majorHAnsi" w:hAnsiTheme="majorHAnsi"/>
          <w:sz w:val="20"/>
          <w:szCs w:val="20"/>
          <w:lang w:val="es-CL"/>
        </w:rPr>
        <w:t xml:space="preserve">los tribunales </w:t>
      </w:r>
      <w:r w:rsidR="008A73B4" w:rsidRPr="00836C24">
        <w:rPr>
          <w:rFonts w:asciiTheme="majorHAnsi" w:hAnsiTheme="majorHAnsi"/>
          <w:sz w:val="20"/>
          <w:szCs w:val="20"/>
          <w:lang w:val="es-CL"/>
        </w:rPr>
        <w:t xml:space="preserve">tanto de primera instancia, </w:t>
      </w:r>
      <w:r w:rsidR="00C01B96" w:rsidRPr="00836C24">
        <w:rPr>
          <w:rFonts w:asciiTheme="majorHAnsi" w:hAnsiTheme="majorHAnsi"/>
          <w:sz w:val="20"/>
          <w:szCs w:val="20"/>
          <w:lang w:val="es-CL"/>
        </w:rPr>
        <w:t xml:space="preserve">como de </w:t>
      </w:r>
      <w:r w:rsidR="008A73B4" w:rsidRPr="00836C24">
        <w:rPr>
          <w:rFonts w:asciiTheme="majorHAnsi" w:hAnsiTheme="majorHAnsi"/>
          <w:sz w:val="20"/>
          <w:szCs w:val="20"/>
          <w:lang w:val="es-CL"/>
        </w:rPr>
        <w:t>apelación</w:t>
      </w:r>
      <w:r w:rsidR="00C01B96" w:rsidRPr="00836C24">
        <w:rPr>
          <w:rFonts w:asciiTheme="majorHAnsi" w:hAnsiTheme="majorHAnsi"/>
          <w:sz w:val="20"/>
          <w:szCs w:val="20"/>
          <w:lang w:val="es-CL"/>
        </w:rPr>
        <w:t xml:space="preserve"> y </w:t>
      </w:r>
      <w:r w:rsidR="008A73B4" w:rsidRPr="00836C24">
        <w:rPr>
          <w:rFonts w:asciiTheme="majorHAnsi" w:hAnsiTheme="majorHAnsi"/>
          <w:sz w:val="20"/>
          <w:szCs w:val="20"/>
          <w:lang w:val="es-CL"/>
        </w:rPr>
        <w:t>casación, estimaron que</w:t>
      </w:r>
      <w:r w:rsidR="008843BF" w:rsidRPr="00836C24">
        <w:rPr>
          <w:rFonts w:asciiTheme="majorHAnsi" w:hAnsiTheme="majorHAnsi"/>
          <w:sz w:val="20"/>
          <w:szCs w:val="20"/>
          <w:lang w:val="es-CL"/>
        </w:rPr>
        <w:t xml:space="preserve"> dicha pena</w:t>
      </w:r>
      <w:r w:rsidR="008A73B4" w:rsidRPr="00836C24">
        <w:rPr>
          <w:rFonts w:asciiTheme="majorHAnsi" w:hAnsiTheme="majorHAnsi"/>
          <w:sz w:val="20"/>
          <w:szCs w:val="20"/>
          <w:lang w:val="es-CL"/>
        </w:rPr>
        <w:t xml:space="preserve"> era aplicable</w:t>
      </w:r>
      <w:r w:rsidR="00AB172A" w:rsidRPr="00836C24">
        <w:rPr>
          <w:rFonts w:asciiTheme="majorHAnsi" w:hAnsiTheme="majorHAnsi"/>
          <w:sz w:val="20"/>
          <w:szCs w:val="20"/>
          <w:lang w:val="es-CL"/>
        </w:rPr>
        <w:t>, bajo una interpretació</w:t>
      </w:r>
      <w:r w:rsidR="003303A8" w:rsidRPr="00836C24">
        <w:rPr>
          <w:rFonts w:asciiTheme="majorHAnsi" w:hAnsiTheme="majorHAnsi"/>
          <w:sz w:val="20"/>
          <w:szCs w:val="20"/>
          <w:lang w:val="es-CL"/>
        </w:rPr>
        <w:t>n conforme a la cua</w:t>
      </w:r>
      <w:r w:rsidR="00A03D45" w:rsidRPr="00836C24">
        <w:rPr>
          <w:rFonts w:asciiTheme="majorHAnsi" w:hAnsiTheme="majorHAnsi"/>
          <w:sz w:val="20"/>
          <w:szCs w:val="20"/>
          <w:lang w:val="es-CL"/>
        </w:rPr>
        <w:t xml:space="preserve">l </w:t>
      </w:r>
      <w:r w:rsidR="003303A8" w:rsidRPr="00836C24">
        <w:rPr>
          <w:rFonts w:asciiTheme="majorHAnsi" w:hAnsiTheme="majorHAnsi"/>
          <w:sz w:val="20"/>
          <w:szCs w:val="20"/>
          <w:lang w:val="es-CL"/>
        </w:rPr>
        <w:t>no existió una ampliación de la pena de muerte, pues el delito de secuestro y</w:t>
      </w:r>
      <w:r w:rsidR="00E97B3B" w:rsidRPr="00836C24">
        <w:rPr>
          <w:rFonts w:asciiTheme="majorHAnsi" w:hAnsiTheme="majorHAnsi"/>
          <w:sz w:val="20"/>
          <w:szCs w:val="20"/>
          <w:lang w:val="es-CL"/>
        </w:rPr>
        <w:t>a contemplaba la pena de muerte. Como se indicó en el párrafo anterior, la interpretación de ambos órganos del sistema ha indicado que sí se trató de una ampliación contraria al artículo 4.2 de la Convención.</w:t>
      </w:r>
      <w:r w:rsidR="003303A8" w:rsidRPr="00836C24">
        <w:rPr>
          <w:rFonts w:asciiTheme="majorHAnsi" w:hAnsiTheme="majorHAnsi"/>
          <w:sz w:val="20"/>
          <w:szCs w:val="20"/>
          <w:lang w:val="es-CL"/>
        </w:rPr>
        <w:t xml:space="preserve"> Además, </w:t>
      </w:r>
      <w:r w:rsidR="005E391D" w:rsidRPr="00836C24">
        <w:rPr>
          <w:rFonts w:asciiTheme="majorHAnsi" w:hAnsiTheme="majorHAnsi"/>
          <w:sz w:val="20"/>
          <w:szCs w:val="20"/>
          <w:lang w:val="es-CL"/>
        </w:rPr>
        <w:t xml:space="preserve">los tribunales internos no analizaron la problemática de la </w:t>
      </w:r>
      <w:r w:rsidR="00103114" w:rsidRPr="00836C24">
        <w:rPr>
          <w:rFonts w:asciiTheme="majorHAnsi" w:hAnsiTheme="majorHAnsi"/>
          <w:sz w:val="20"/>
          <w:szCs w:val="20"/>
          <w:lang w:val="es-CL"/>
        </w:rPr>
        <w:t>aplicación automática de la pena de muerte</w:t>
      </w:r>
      <w:r w:rsidR="004F5E34" w:rsidRPr="00836C24">
        <w:rPr>
          <w:rFonts w:asciiTheme="majorHAnsi" w:hAnsiTheme="majorHAnsi"/>
          <w:sz w:val="20"/>
          <w:szCs w:val="20"/>
          <w:lang w:val="es-CL"/>
        </w:rPr>
        <w:t xml:space="preserve">. </w:t>
      </w:r>
      <w:r w:rsidR="00750F7A" w:rsidRPr="00836C24">
        <w:rPr>
          <w:rFonts w:asciiTheme="majorHAnsi" w:hAnsiTheme="majorHAnsi"/>
          <w:sz w:val="20"/>
          <w:szCs w:val="20"/>
          <w:lang w:val="es-CL"/>
        </w:rPr>
        <w:t>E</w:t>
      </w:r>
      <w:r w:rsidR="008A73B4" w:rsidRPr="00836C24">
        <w:rPr>
          <w:rFonts w:asciiTheme="majorHAnsi" w:hAnsiTheme="majorHAnsi"/>
          <w:sz w:val="20"/>
          <w:szCs w:val="20"/>
          <w:lang w:val="es-CL"/>
        </w:rPr>
        <w:t>n consonancia con los estándares</w:t>
      </w:r>
      <w:r w:rsidR="00750F7A" w:rsidRPr="00836C24">
        <w:rPr>
          <w:rFonts w:asciiTheme="majorHAnsi" w:hAnsiTheme="majorHAnsi"/>
          <w:sz w:val="20"/>
          <w:szCs w:val="20"/>
          <w:lang w:val="es-CL"/>
        </w:rPr>
        <w:t xml:space="preserve"> descritos,</w:t>
      </w:r>
      <w:r w:rsidR="008A73B4" w:rsidRPr="00836C24">
        <w:rPr>
          <w:rFonts w:asciiTheme="majorHAnsi" w:hAnsiTheme="majorHAnsi"/>
          <w:sz w:val="20"/>
          <w:szCs w:val="20"/>
          <w:lang w:val="es-CL"/>
        </w:rPr>
        <w:t xml:space="preserve"> la</w:t>
      </w:r>
      <w:r w:rsidR="00750F7A" w:rsidRPr="00836C24">
        <w:rPr>
          <w:rFonts w:asciiTheme="majorHAnsi" w:hAnsiTheme="majorHAnsi"/>
          <w:sz w:val="20"/>
          <w:szCs w:val="20"/>
          <w:lang w:val="es-CL"/>
        </w:rPr>
        <w:t xml:space="preserve"> CIDH considera que</w:t>
      </w:r>
      <w:r w:rsidR="00FA25D4" w:rsidRPr="00836C24">
        <w:rPr>
          <w:rFonts w:asciiTheme="majorHAnsi" w:hAnsiTheme="majorHAnsi"/>
          <w:sz w:val="20"/>
          <w:szCs w:val="20"/>
          <w:lang w:val="es-CL"/>
        </w:rPr>
        <w:t xml:space="preserve"> además de la violación del artículo 4.2 de la </w:t>
      </w:r>
      <w:r w:rsidR="00A03D45" w:rsidRPr="00836C24">
        <w:rPr>
          <w:rFonts w:asciiTheme="majorHAnsi" w:hAnsiTheme="majorHAnsi"/>
          <w:sz w:val="20"/>
          <w:szCs w:val="20"/>
          <w:lang w:val="es-CL"/>
        </w:rPr>
        <w:t>Convención</w:t>
      </w:r>
      <w:r w:rsidR="00FA25D4" w:rsidRPr="00836C24">
        <w:rPr>
          <w:rFonts w:asciiTheme="majorHAnsi" w:hAnsiTheme="majorHAnsi"/>
          <w:sz w:val="20"/>
          <w:szCs w:val="20"/>
          <w:lang w:val="es-CL"/>
        </w:rPr>
        <w:t>,</w:t>
      </w:r>
      <w:r w:rsidR="00750F7A" w:rsidRPr="00836C24">
        <w:rPr>
          <w:rFonts w:asciiTheme="majorHAnsi" w:hAnsiTheme="majorHAnsi"/>
          <w:sz w:val="20"/>
          <w:szCs w:val="20"/>
          <w:lang w:val="es-CL"/>
        </w:rPr>
        <w:t xml:space="preserve"> el señor Ruiz Fuentes</w:t>
      </w:r>
      <w:r w:rsidR="008A73B4" w:rsidRPr="00836C24">
        <w:rPr>
          <w:rFonts w:asciiTheme="majorHAnsi" w:hAnsiTheme="majorHAnsi"/>
          <w:sz w:val="20"/>
          <w:szCs w:val="20"/>
          <w:lang w:val="es-CL"/>
        </w:rPr>
        <w:t xml:space="preserve"> </w:t>
      </w:r>
      <w:r w:rsidR="00FA25D4" w:rsidRPr="00836C24">
        <w:rPr>
          <w:rFonts w:asciiTheme="majorHAnsi" w:hAnsiTheme="majorHAnsi"/>
          <w:sz w:val="20"/>
          <w:szCs w:val="20"/>
          <w:lang w:val="es-CL"/>
        </w:rPr>
        <w:t>tampoco</w:t>
      </w:r>
      <w:r w:rsidR="008A73B4" w:rsidRPr="00836C24">
        <w:rPr>
          <w:rFonts w:asciiTheme="majorHAnsi" w:hAnsiTheme="majorHAnsi"/>
          <w:sz w:val="20"/>
          <w:szCs w:val="20"/>
          <w:lang w:val="es-CL"/>
        </w:rPr>
        <w:t xml:space="preserve"> contó con un recurso efectivo para impugnar la pena </w:t>
      </w:r>
      <w:r w:rsidR="00AC1478" w:rsidRPr="00836C24">
        <w:rPr>
          <w:rFonts w:asciiTheme="majorHAnsi" w:hAnsiTheme="majorHAnsi"/>
          <w:sz w:val="20"/>
          <w:szCs w:val="20"/>
          <w:lang w:val="es-CL"/>
        </w:rPr>
        <w:t xml:space="preserve">de muerte que </w:t>
      </w:r>
      <w:r w:rsidR="008A73B4" w:rsidRPr="00836C24">
        <w:rPr>
          <w:rFonts w:asciiTheme="majorHAnsi" w:hAnsiTheme="majorHAnsi"/>
          <w:sz w:val="20"/>
          <w:szCs w:val="20"/>
          <w:lang w:val="es-CL"/>
        </w:rPr>
        <w:t xml:space="preserve">le fue impuesta. </w:t>
      </w:r>
    </w:p>
    <w:p w:rsidR="008A73B4" w:rsidRPr="00836C24" w:rsidRDefault="008A73B4" w:rsidP="008A73B4">
      <w:pPr>
        <w:pStyle w:val="ListParagraph"/>
        <w:rPr>
          <w:rFonts w:asciiTheme="majorHAnsi" w:hAnsiTheme="majorHAnsi"/>
          <w:sz w:val="20"/>
          <w:szCs w:val="20"/>
          <w:lang w:val="es-CL"/>
        </w:rPr>
      </w:pPr>
    </w:p>
    <w:p w:rsidR="008A73B4" w:rsidRPr="00836C24" w:rsidRDefault="008A73B4" w:rsidP="001D31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Por otra parte</w:t>
      </w:r>
      <w:r w:rsidR="000309CA" w:rsidRPr="00836C24">
        <w:rPr>
          <w:rFonts w:asciiTheme="majorHAnsi" w:hAnsiTheme="majorHAnsi"/>
          <w:sz w:val="20"/>
          <w:szCs w:val="20"/>
          <w:lang w:val="es-CL"/>
        </w:rPr>
        <w:t xml:space="preserve"> y en cuanto a la obligación derivada del artículo 4.6 de la Convenci</w:t>
      </w:r>
      <w:r w:rsidR="00B611F0" w:rsidRPr="00836C24">
        <w:rPr>
          <w:rFonts w:asciiTheme="majorHAnsi" w:hAnsiTheme="majorHAnsi"/>
          <w:sz w:val="20"/>
          <w:szCs w:val="20"/>
          <w:lang w:val="es-CL"/>
        </w:rPr>
        <w:t>ó</w:t>
      </w:r>
      <w:r w:rsidR="000309CA" w:rsidRPr="00836C24">
        <w:rPr>
          <w:rFonts w:asciiTheme="majorHAnsi" w:hAnsiTheme="majorHAnsi"/>
          <w:sz w:val="20"/>
          <w:szCs w:val="20"/>
          <w:lang w:val="es-CL"/>
        </w:rPr>
        <w:t>n</w:t>
      </w:r>
      <w:r w:rsidR="00A713B5" w:rsidRPr="00836C24">
        <w:rPr>
          <w:rFonts w:asciiTheme="majorHAnsi" w:hAnsiTheme="majorHAnsi"/>
          <w:sz w:val="20"/>
          <w:szCs w:val="20"/>
          <w:lang w:val="es-CL"/>
        </w:rPr>
        <w:t>,</w:t>
      </w:r>
      <w:r w:rsidR="000309CA" w:rsidRPr="00836C24">
        <w:rPr>
          <w:rFonts w:asciiTheme="majorHAnsi" w:hAnsiTheme="majorHAnsi"/>
          <w:sz w:val="20"/>
          <w:szCs w:val="20"/>
          <w:lang w:val="es-CL"/>
        </w:rPr>
        <w:t xml:space="preserve"> </w:t>
      </w:r>
      <w:r w:rsidRPr="00836C24">
        <w:rPr>
          <w:rFonts w:asciiTheme="majorHAnsi" w:hAnsiTheme="majorHAnsi"/>
          <w:sz w:val="20"/>
          <w:szCs w:val="20"/>
          <w:lang w:val="es-CL"/>
        </w:rPr>
        <w:t xml:space="preserve">la CIDH recuerda que la presunta víctima presentó un recurso de gracia ante el Ministro de Gobernación el 16 de diciembre de 2003. El Estado </w:t>
      </w:r>
      <w:r w:rsidR="00B611F0" w:rsidRPr="00836C24">
        <w:rPr>
          <w:rFonts w:asciiTheme="majorHAnsi" w:hAnsiTheme="majorHAnsi"/>
          <w:sz w:val="20"/>
          <w:szCs w:val="20"/>
          <w:lang w:val="es-CL"/>
        </w:rPr>
        <w:t xml:space="preserve">no aportó información que indique </w:t>
      </w:r>
      <w:r w:rsidRPr="00836C24">
        <w:rPr>
          <w:rFonts w:asciiTheme="majorHAnsi" w:hAnsiTheme="majorHAnsi"/>
          <w:sz w:val="20"/>
          <w:szCs w:val="20"/>
          <w:lang w:val="es-CL"/>
        </w:rPr>
        <w:t>que dicho recurso haya sido resuelto</w:t>
      </w:r>
      <w:r w:rsidR="001C0307" w:rsidRPr="00836C24">
        <w:rPr>
          <w:rFonts w:asciiTheme="majorHAnsi" w:hAnsiTheme="majorHAnsi"/>
          <w:sz w:val="20"/>
          <w:szCs w:val="20"/>
          <w:lang w:val="es-CL"/>
        </w:rPr>
        <w:t>, limitándose</w:t>
      </w:r>
      <w:r w:rsidRPr="00836C24">
        <w:rPr>
          <w:rFonts w:asciiTheme="majorHAnsi" w:hAnsiTheme="majorHAnsi"/>
          <w:sz w:val="20"/>
          <w:szCs w:val="20"/>
          <w:lang w:val="es-CL"/>
        </w:rPr>
        <w:t xml:space="preserve"> a indicar que </w:t>
      </w:r>
      <w:r w:rsidR="00D96C84" w:rsidRPr="00836C24">
        <w:rPr>
          <w:rFonts w:asciiTheme="majorHAnsi" w:hAnsiTheme="majorHAnsi"/>
          <w:sz w:val="20"/>
          <w:szCs w:val="20"/>
          <w:lang w:val="es-CL"/>
        </w:rPr>
        <w:t xml:space="preserve">al </w:t>
      </w:r>
      <w:r w:rsidRPr="00836C24">
        <w:rPr>
          <w:rFonts w:asciiTheme="majorHAnsi" w:hAnsiTheme="majorHAnsi"/>
          <w:sz w:val="20"/>
          <w:szCs w:val="20"/>
          <w:lang w:val="es-CL"/>
        </w:rPr>
        <w:t xml:space="preserve">momento en que se presentó la petición ante la CIDH,  </w:t>
      </w:r>
      <w:r w:rsidR="00D96C84" w:rsidRPr="00836C24">
        <w:rPr>
          <w:rFonts w:asciiTheme="majorHAnsi" w:hAnsiTheme="majorHAnsi"/>
          <w:sz w:val="20"/>
          <w:szCs w:val="20"/>
          <w:lang w:val="es-CL"/>
        </w:rPr>
        <w:t xml:space="preserve">dicho recurso </w:t>
      </w:r>
      <w:r w:rsidRPr="00836C24">
        <w:rPr>
          <w:rFonts w:asciiTheme="majorHAnsi" w:hAnsiTheme="majorHAnsi"/>
          <w:sz w:val="20"/>
          <w:szCs w:val="20"/>
          <w:lang w:val="es-CL"/>
        </w:rPr>
        <w:t xml:space="preserve">estaba vigente por lo que la presunta víctima debió agotar dicha vía. </w:t>
      </w:r>
      <w:r w:rsidR="00D96C84" w:rsidRPr="00836C24">
        <w:rPr>
          <w:rFonts w:asciiTheme="majorHAnsi" w:hAnsiTheme="majorHAnsi"/>
          <w:sz w:val="20"/>
          <w:szCs w:val="20"/>
          <w:lang w:val="es-CL"/>
        </w:rPr>
        <w:t>Como se indicó en los hechos probados, a</w:t>
      </w:r>
      <w:r w:rsidRPr="00836C24">
        <w:rPr>
          <w:rFonts w:asciiTheme="majorHAnsi" w:hAnsiTheme="majorHAnsi"/>
          <w:sz w:val="20"/>
          <w:szCs w:val="20"/>
          <w:lang w:val="es-CL"/>
        </w:rPr>
        <w:t xml:space="preserve"> partir del Acuerdo Gubernativo 235-2000 se eliminó dicho recurso de la legislación guatemalteca. </w:t>
      </w:r>
    </w:p>
    <w:p w:rsidR="008A73B4" w:rsidRPr="00836C24" w:rsidRDefault="008A73B4" w:rsidP="008A73B4">
      <w:pPr>
        <w:rPr>
          <w:rFonts w:asciiTheme="majorHAnsi" w:hAnsiTheme="majorHAnsi"/>
          <w:sz w:val="20"/>
          <w:szCs w:val="20"/>
          <w:lang w:val="es-CL"/>
        </w:rPr>
      </w:pPr>
    </w:p>
    <w:p w:rsidR="008A73B4" w:rsidRPr="00836C24" w:rsidRDefault="00292366" w:rsidP="00AA7C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eastAsia="Cambria" w:hAnsiTheme="majorHAnsi" w:cs="Cambria"/>
          <w:b/>
          <w:color w:val="000000"/>
          <w:sz w:val="20"/>
          <w:szCs w:val="20"/>
          <w:u w:color="000000"/>
          <w:lang w:val="es-ES" w:eastAsia="es-ES"/>
        </w:rPr>
      </w:pPr>
      <w:r w:rsidRPr="00836C24">
        <w:rPr>
          <w:rFonts w:asciiTheme="majorHAnsi" w:hAnsiTheme="majorHAnsi"/>
          <w:sz w:val="20"/>
          <w:szCs w:val="20"/>
          <w:lang w:val="es-CL"/>
        </w:rPr>
        <w:t xml:space="preserve">En virtud de las anteriores consideraciones, </w:t>
      </w:r>
      <w:r w:rsidR="008A73B4" w:rsidRPr="00836C24">
        <w:rPr>
          <w:rFonts w:asciiTheme="majorHAnsi" w:hAnsiTheme="majorHAnsi"/>
          <w:sz w:val="20"/>
          <w:szCs w:val="20"/>
          <w:lang w:val="es-CL"/>
        </w:rPr>
        <w:t>la CIDH concluye que el Estado guatemalteco violó los</w:t>
      </w:r>
      <w:r w:rsidRPr="00836C24">
        <w:rPr>
          <w:rFonts w:asciiTheme="majorHAnsi" w:hAnsiTheme="majorHAnsi"/>
          <w:sz w:val="20"/>
          <w:szCs w:val="20"/>
          <w:lang w:val="es-CL"/>
        </w:rPr>
        <w:t xml:space="preserve"> derechos establecidos en los artículos 4.1, 4.2, 4.6 y 25.1 </w:t>
      </w:r>
      <w:r w:rsidR="008A73B4" w:rsidRPr="00836C24">
        <w:rPr>
          <w:rFonts w:asciiTheme="majorHAnsi" w:hAnsiTheme="majorHAnsi"/>
          <w:sz w:val="20"/>
          <w:szCs w:val="20"/>
          <w:lang w:val="es-CL"/>
        </w:rPr>
        <w:t>de la Convención Americana</w:t>
      </w:r>
      <w:r w:rsidR="00EC710A" w:rsidRPr="00836C24">
        <w:rPr>
          <w:rFonts w:asciiTheme="majorHAnsi" w:hAnsiTheme="majorHAnsi"/>
          <w:sz w:val="20"/>
          <w:szCs w:val="20"/>
          <w:lang w:val="es-CL"/>
        </w:rPr>
        <w:t xml:space="preserve"> en perjuicio de Hugo Humberto Fuentes, </w:t>
      </w:r>
      <w:r w:rsidR="008A73B4" w:rsidRPr="00836C24">
        <w:rPr>
          <w:rFonts w:asciiTheme="majorHAnsi" w:hAnsiTheme="majorHAnsi"/>
          <w:sz w:val="20"/>
          <w:szCs w:val="20"/>
          <w:lang w:val="es-CL"/>
        </w:rPr>
        <w:t>al imponer la pena de muerte de manera obligatoria, por una conducta que no la preveía en el momento en el que el Estado guatemalteco ratificó la Convención Americana, y no garantizar ni el acceso a un recurso efectivo para impugnar la pena impuesta, ni el recurso de indulto. Asimismo, tomando en cuenta que el Estado aplicó una norma contraria a la Convención, la CIDH concluye que</w:t>
      </w:r>
      <w:r w:rsidR="00E65019" w:rsidRPr="00836C24">
        <w:rPr>
          <w:rFonts w:asciiTheme="majorHAnsi" w:hAnsiTheme="majorHAnsi"/>
          <w:sz w:val="20"/>
          <w:szCs w:val="20"/>
          <w:lang w:val="es-CL"/>
        </w:rPr>
        <w:t xml:space="preserve">, además de las obligaciones establecidas en el artículo 1.1, </w:t>
      </w:r>
      <w:r w:rsidR="008A73B4" w:rsidRPr="00836C24">
        <w:rPr>
          <w:rFonts w:asciiTheme="majorHAnsi" w:hAnsiTheme="majorHAnsi"/>
          <w:sz w:val="20"/>
          <w:szCs w:val="20"/>
          <w:lang w:val="es-CL"/>
        </w:rPr>
        <w:t>el Estado guatemalteco también</w:t>
      </w:r>
      <w:r w:rsidR="00193851" w:rsidRPr="00836C24">
        <w:rPr>
          <w:rFonts w:asciiTheme="majorHAnsi" w:hAnsiTheme="majorHAnsi"/>
          <w:sz w:val="20"/>
          <w:szCs w:val="20"/>
          <w:lang w:val="es-CL"/>
        </w:rPr>
        <w:t xml:space="preserve"> violó</w:t>
      </w:r>
      <w:r w:rsidR="008A73B4" w:rsidRPr="00836C24">
        <w:rPr>
          <w:rFonts w:asciiTheme="majorHAnsi" w:hAnsiTheme="majorHAnsi"/>
          <w:sz w:val="20"/>
          <w:szCs w:val="20"/>
          <w:lang w:val="es-CL"/>
        </w:rPr>
        <w:t xml:space="preserve"> el artículo 2 de la Convención Americana. </w:t>
      </w:r>
    </w:p>
    <w:p w:rsidR="008A73B4" w:rsidRPr="00836C24" w:rsidRDefault="008A73B4"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eastAsia="Cambria" w:hAnsiTheme="majorHAnsi" w:cs="Cambria"/>
          <w:b/>
          <w:color w:val="000000"/>
          <w:sz w:val="20"/>
          <w:szCs w:val="20"/>
          <w:u w:color="000000"/>
          <w:lang w:val="es-ES" w:eastAsia="es-ES"/>
        </w:rPr>
      </w:pPr>
    </w:p>
    <w:p w:rsidR="00E37D04" w:rsidRPr="00836C24" w:rsidRDefault="00E37D04" w:rsidP="00842AF1">
      <w:pPr>
        <w:pStyle w:val="Heading2"/>
        <w:numPr>
          <w:ilvl w:val="0"/>
          <w:numId w:val="66"/>
        </w:numPr>
        <w:ind w:firstLine="0"/>
      </w:pPr>
      <w:bookmarkStart w:id="73" w:name="_Toc491441650"/>
      <w:r w:rsidRPr="00836C24">
        <w:t>Derecho a la integridad personal</w:t>
      </w:r>
      <w:r w:rsidR="0024782E" w:rsidRPr="00836C24">
        <w:rPr>
          <w:vertAlign w:val="superscript"/>
        </w:rPr>
        <w:footnoteReference w:id="126"/>
      </w:r>
      <w:r w:rsidRPr="00836C24">
        <w:t xml:space="preserve"> con respecto al fenóme</w:t>
      </w:r>
      <w:r w:rsidR="000F08E9" w:rsidRPr="00836C24">
        <w:t>no del “corredor de la muerte” y disposiciones relevantes de la CIPST</w:t>
      </w:r>
      <w:r w:rsidR="00FD72CA" w:rsidRPr="00836C24">
        <w:rPr>
          <w:vertAlign w:val="superscript"/>
        </w:rPr>
        <w:footnoteReference w:id="127"/>
      </w:r>
      <w:bookmarkEnd w:id="73"/>
    </w:p>
    <w:p w:rsidR="000D3568" w:rsidRPr="00836C24" w:rsidRDefault="000D3568" w:rsidP="00FD06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Theme="majorHAnsi" w:hAnsiTheme="majorHAnsi"/>
          <w:b/>
          <w:sz w:val="20"/>
          <w:szCs w:val="20"/>
          <w:lang w:val="es-ES"/>
        </w:rPr>
      </w:pPr>
    </w:p>
    <w:p w:rsidR="007C08C6" w:rsidRPr="00836C24" w:rsidRDefault="007C08C6" w:rsidP="00A1758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t>En casos de personas condenadas a pena de muerte, tanto en el derecho internacional de los derechos humanos como en el derecho comparado se ha venido desarrollando por décadas el</w:t>
      </w:r>
      <w:r w:rsidR="00841E5C" w:rsidRPr="00836C24">
        <w:rPr>
          <w:rFonts w:asciiTheme="majorHAnsi" w:hAnsiTheme="majorHAnsi"/>
          <w:sz w:val="20"/>
          <w:szCs w:val="20"/>
          <w:lang w:val="es-CL"/>
        </w:rPr>
        <w:t xml:space="preserve"> análisis del</w:t>
      </w:r>
      <w:r w:rsidRPr="00836C24">
        <w:rPr>
          <w:rFonts w:asciiTheme="majorHAnsi" w:hAnsiTheme="majorHAnsi"/>
          <w:sz w:val="20"/>
          <w:szCs w:val="20"/>
          <w:lang w:val="es-CL"/>
        </w:rPr>
        <w:t xml:space="preserve"> fenómeno del “corredor de la muerte” a la luz de la prohibición de tratos crueles, inhumanos o degradantes, contemplada tanto a nivel constitucional como en múltiples instrumentos internacionales, incluyendo la Convención Americana. </w:t>
      </w:r>
    </w:p>
    <w:p w:rsidR="007C08C6" w:rsidRPr="00836C24" w:rsidRDefault="007C08C6" w:rsidP="007C08C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7C08C6" w:rsidRPr="00836C24" w:rsidRDefault="007C08C6" w:rsidP="00A1758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L"/>
        </w:rPr>
      </w:pPr>
      <w:r w:rsidRPr="00836C24">
        <w:rPr>
          <w:rFonts w:asciiTheme="majorHAnsi" w:hAnsiTheme="majorHAnsi"/>
          <w:sz w:val="20"/>
          <w:szCs w:val="20"/>
          <w:lang w:val="es-CL"/>
        </w:rPr>
        <w:lastRenderedPageBreak/>
        <w:t>En cuanto al concepto de dicho fenómeno, el Relator Especial de Naciones Unidas sobre la tortura y otros tratos o penas crueles, inhumanos o degradantes ha indicado que</w:t>
      </w:r>
      <w:r w:rsidR="00C309C7" w:rsidRPr="00836C24">
        <w:rPr>
          <w:rFonts w:asciiTheme="majorHAnsi" w:hAnsiTheme="majorHAnsi"/>
          <w:sz w:val="20"/>
          <w:szCs w:val="20"/>
          <w:lang w:val="es-CL"/>
        </w:rPr>
        <w:t>:</w:t>
      </w:r>
    </w:p>
    <w:p w:rsidR="00A17588" w:rsidRPr="00836C24" w:rsidRDefault="00A17588" w:rsidP="00A1758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Theme="majorHAnsi" w:hAnsiTheme="majorHAnsi"/>
          <w:sz w:val="20"/>
          <w:szCs w:val="20"/>
          <w:lang w:val="es-CL"/>
        </w:rPr>
      </w:pPr>
    </w:p>
    <w:p w:rsidR="007C08C6" w:rsidRPr="00836C24" w:rsidRDefault="007C08C6" w:rsidP="00E32B99">
      <w:pPr>
        <w:ind w:left="720" w:right="720"/>
        <w:jc w:val="both"/>
        <w:rPr>
          <w:rFonts w:ascii="Cambria" w:hAnsi="Cambria" w:cs="TimesNewRoman"/>
          <w:sz w:val="20"/>
          <w:szCs w:val="20"/>
          <w:lang w:val="es-CO"/>
        </w:rPr>
      </w:pPr>
      <w:r w:rsidRPr="00836C24">
        <w:rPr>
          <w:rFonts w:ascii="Cambria" w:hAnsi="Cambria" w:cs="TimesNewRoman"/>
          <w:sz w:val="20"/>
          <w:szCs w:val="20"/>
          <w:lang w:val="es-CO"/>
        </w:rPr>
        <w:t>(…) Consiste en una combinación de circunstancias que producen graves traumas mentales y deterioro físico en los presos sentenciados a muerte</w:t>
      </w:r>
      <w:r w:rsidRPr="00836C24">
        <w:rPr>
          <w:rStyle w:val="FootnoteReference"/>
          <w:rFonts w:ascii="Cambria" w:hAnsi="Cambria" w:cs="TimesNewRoman"/>
          <w:sz w:val="20"/>
          <w:szCs w:val="20"/>
          <w:lang w:val="es-CO"/>
        </w:rPr>
        <w:footnoteReference w:id="128"/>
      </w:r>
      <w:r w:rsidRPr="00836C24">
        <w:rPr>
          <w:rFonts w:ascii="Cambria" w:hAnsi="Cambria" w:cs="TimesNewRoman"/>
          <w:sz w:val="20"/>
          <w:szCs w:val="20"/>
          <w:lang w:val="es-CO"/>
        </w:rPr>
        <w:t>.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Pr="00836C24">
        <w:rPr>
          <w:rStyle w:val="FootnoteReference"/>
          <w:rFonts w:ascii="Cambria" w:hAnsi="Cambria" w:cs="TimesNewRoman"/>
          <w:sz w:val="20"/>
          <w:szCs w:val="20"/>
          <w:lang w:val="es-CO"/>
        </w:rPr>
        <w:footnoteReference w:id="129"/>
      </w:r>
      <w:r w:rsidRPr="00836C24">
        <w:rPr>
          <w:rFonts w:ascii="Cambria" w:hAnsi="Cambria" w:cs="TimesNewRoman"/>
          <w:sz w:val="20"/>
          <w:szCs w:val="20"/>
          <w:lang w:val="es-CO"/>
        </w:rPr>
        <w:t>.</w:t>
      </w:r>
    </w:p>
    <w:p w:rsidR="007C08C6" w:rsidRPr="00836C24" w:rsidRDefault="007C08C6" w:rsidP="007C08C6">
      <w:pPr>
        <w:autoSpaceDE w:val="0"/>
        <w:autoSpaceDN w:val="0"/>
        <w:adjustRightInd w:val="0"/>
        <w:ind w:left="720" w:right="720"/>
        <w:jc w:val="both"/>
        <w:rPr>
          <w:rFonts w:ascii="Cambria" w:hAnsi="Cambria" w:cs="TimesNewRoman"/>
          <w:sz w:val="20"/>
          <w:szCs w:val="20"/>
          <w:lang w:val="es-CO"/>
        </w:rPr>
      </w:pPr>
    </w:p>
    <w:p w:rsidR="007C08C6" w:rsidRPr="00836C24" w:rsidRDefault="007C08C6"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Style w:val="sb8d990e2"/>
          <w:rFonts w:asciiTheme="majorHAnsi" w:hAnsiTheme="majorHAnsi"/>
          <w:sz w:val="20"/>
          <w:szCs w:val="20"/>
          <w:lang w:val="es-CL"/>
        </w:rPr>
      </w:pPr>
      <w:r w:rsidRPr="00836C24">
        <w:rPr>
          <w:rFonts w:asciiTheme="majorHAnsi" w:hAnsiTheme="majorHAnsi"/>
          <w:sz w:val="20"/>
          <w:szCs w:val="20"/>
          <w:lang w:val="es-CL"/>
        </w:rPr>
        <w:t xml:space="preserve">En el caso Soering vs. Reino Unido la Corte Europea de Derechos Humanos interpretando la norma que prohíbe tratos crueles, inhumanos y degradantes y refiriéndose a la pena de muerte, señaló que: </w:t>
      </w:r>
    </w:p>
    <w:p w:rsidR="007C08C6" w:rsidRPr="00836C24" w:rsidRDefault="007C08C6" w:rsidP="007C08C6">
      <w:pPr>
        <w:ind w:left="720" w:right="720"/>
        <w:jc w:val="both"/>
        <w:rPr>
          <w:rStyle w:val="sb8d990e2"/>
          <w:rFonts w:ascii="Cambria" w:hAnsi="Cambria"/>
          <w:sz w:val="20"/>
          <w:szCs w:val="20"/>
          <w:lang w:val="es-CO"/>
        </w:rPr>
      </w:pPr>
    </w:p>
    <w:p w:rsidR="007C08C6" w:rsidRPr="00836C24" w:rsidRDefault="007C08C6" w:rsidP="00D96D45">
      <w:pPr>
        <w:ind w:left="720" w:right="720"/>
        <w:jc w:val="both"/>
        <w:rPr>
          <w:rStyle w:val="sb8d990e2"/>
          <w:rFonts w:ascii="Cambria" w:hAnsi="Cambria"/>
          <w:sz w:val="20"/>
          <w:szCs w:val="20"/>
          <w:lang w:val="es-CO"/>
        </w:rPr>
      </w:pPr>
      <w:r w:rsidRPr="00836C24">
        <w:rPr>
          <w:rStyle w:val="sb8d990e2"/>
          <w:rFonts w:ascii="Cambria" w:hAnsi="Cambria"/>
          <w:sz w:val="20"/>
          <w:szCs w:val="20"/>
          <w:lang w:val="es-CO"/>
        </w:rPr>
        <w:t>La forma en que la misma se impone o ejecuta, las circunstancias personales de la persona condenada y la desproporcionalidad con la gravedad del crimen cometido, así como las condiciones de detención a la espera de la ejecución, son ejemplos de factores que pueden hacer aplicable al tratamiento o castigo recibido por la persona condenada, la prohibición establecida en el artículo 3</w:t>
      </w:r>
      <w:r w:rsidRPr="00836C24">
        <w:rPr>
          <w:rStyle w:val="FootnoteReference"/>
          <w:rFonts w:ascii="Cambria" w:hAnsi="Cambria"/>
          <w:sz w:val="20"/>
          <w:szCs w:val="20"/>
        </w:rPr>
        <w:footnoteReference w:id="130"/>
      </w:r>
      <w:r w:rsidRPr="00836C24">
        <w:rPr>
          <w:rStyle w:val="sb8d990e2"/>
          <w:rFonts w:ascii="Cambria" w:hAnsi="Cambria"/>
          <w:sz w:val="20"/>
          <w:szCs w:val="20"/>
          <w:lang w:val="es-CO"/>
        </w:rPr>
        <w:t xml:space="preserve">. </w:t>
      </w:r>
    </w:p>
    <w:p w:rsidR="007C08C6" w:rsidRPr="00836C24" w:rsidRDefault="007C08C6" w:rsidP="007C08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7C08C6" w:rsidRPr="00836C24" w:rsidRDefault="007C08C6"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Cambria" w:hAnsi="Cambria"/>
          <w:sz w:val="20"/>
          <w:szCs w:val="20"/>
          <w:lang w:val="es-CO"/>
        </w:rPr>
      </w:pPr>
      <w:r w:rsidRPr="00836C24">
        <w:rPr>
          <w:rFonts w:asciiTheme="majorHAnsi" w:hAnsiTheme="majorHAnsi"/>
          <w:sz w:val="20"/>
          <w:szCs w:val="20"/>
          <w:lang w:val="es-CL"/>
        </w:rPr>
        <w:t xml:space="preserve">En dicha decisión </w:t>
      </w:r>
      <w:r w:rsidR="00496D4D" w:rsidRPr="00836C24">
        <w:rPr>
          <w:rFonts w:asciiTheme="majorHAnsi" w:hAnsiTheme="majorHAnsi"/>
          <w:sz w:val="20"/>
          <w:szCs w:val="20"/>
          <w:lang w:val="es-CL"/>
        </w:rPr>
        <w:t>e</w:t>
      </w:r>
      <w:r w:rsidRPr="00836C24">
        <w:rPr>
          <w:rFonts w:asciiTheme="majorHAnsi" w:hAnsiTheme="majorHAnsi"/>
          <w:sz w:val="20"/>
          <w:szCs w:val="20"/>
          <w:lang w:val="es-CL"/>
        </w:rPr>
        <w:t>l Tribunal Europeo</w:t>
      </w:r>
      <w:r w:rsidRPr="00836C24">
        <w:rPr>
          <w:rStyle w:val="sb8d990e2"/>
          <w:rFonts w:ascii="Cambria" w:hAnsi="Cambria"/>
          <w:sz w:val="20"/>
          <w:szCs w:val="20"/>
          <w:lang w:val="es-CO"/>
        </w:rPr>
        <w:t xml:space="preserve"> tomó en cuenta un promedio de 6 a 8 años en el corredor de la muerte desde el momento de la imposición de la pena </w:t>
      </w:r>
      <w:r w:rsidRPr="00836C24">
        <w:rPr>
          <w:rFonts w:ascii="Cambria" w:hAnsi="Cambria"/>
          <w:bCs/>
          <w:sz w:val="20"/>
          <w:szCs w:val="20"/>
          <w:lang w:val="es-CO"/>
        </w:rPr>
        <w:t>hasta</w:t>
      </w:r>
      <w:r w:rsidRPr="00836C24">
        <w:rPr>
          <w:rStyle w:val="sb8d990e2"/>
          <w:rFonts w:ascii="Cambria" w:hAnsi="Cambria"/>
          <w:sz w:val="20"/>
          <w:szCs w:val="20"/>
          <w:lang w:val="es-CO"/>
        </w:rPr>
        <w:t xml:space="preserve"> la ejecución y se refirió a la manera en que los propios procedimientos y recursos posteriores a la imposición de la pena de muerte se encuentran relacionados con la referida demora en el corredor de la muerte. A pesar de esta relación, la Corte Europea indicó que: </w:t>
      </w:r>
    </w:p>
    <w:p w:rsidR="007C08C6" w:rsidRPr="00836C24" w:rsidRDefault="007C08C6" w:rsidP="007C08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Style w:val="sb8d990e2"/>
          <w:rFonts w:asciiTheme="majorHAnsi" w:hAnsiTheme="majorHAnsi"/>
          <w:sz w:val="20"/>
          <w:szCs w:val="20"/>
          <w:lang w:val="es-CO"/>
        </w:rPr>
      </w:pPr>
    </w:p>
    <w:p w:rsidR="007C08C6" w:rsidRPr="00836C24" w:rsidRDefault="007C08C6" w:rsidP="00D96D45">
      <w:pPr>
        <w:pStyle w:val="s30eec3f8"/>
        <w:spacing w:before="0" w:beforeAutospacing="0" w:after="0" w:afterAutospacing="0"/>
        <w:ind w:left="720" w:right="720"/>
        <w:jc w:val="both"/>
        <w:rPr>
          <w:rFonts w:ascii="Cambria" w:hAnsi="Cambria"/>
          <w:sz w:val="20"/>
          <w:szCs w:val="20"/>
          <w:lang w:val="es-CO"/>
        </w:rPr>
      </w:pPr>
      <w:r w:rsidRPr="00836C24">
        <w:rPr>
          <w:rStyle w:val="sb8d990e2"/>
          <w:rFonts w:ascii="Cambria" w:eastAsia="Arial Unicode MS" w:hAnsi="Cambria"/>
          <w:sz w:val="20"/>
          <w:szCs w:val="20"/>
          <w:lang w:val="es-CO"/>
        </w:rPr>
        <w:t>(…) si bien es cierto que cierto lapso de tiempo entre la condena y la ejecución es inevitable si se le otorgan las garantías de apelación a la persona condenada, también lo es que es parte de la naturaleza humana que la persona se va a aferrar a la vida mediante el uso de tales garantían al máximo posible. Sin embargo, aun cuando los complejos procedimientos posteriores a la condena en Virginia sean bien intencionados e incluso potencialmente beneficiosos para la persona condenada, la consecuencia es que dicha persona debe soportar por muchos años las condiciones del corredor de la muerte y de la angustia y tensión elevada de vivir bajo la constante sombra de la muerte</w:t>
      </w:r>
      <w:r w:rsidRPr="00836C24">
        <w:rPr>
          <w:rStyle w:val="FootnoteReference"/>
          <w:rFonts w:ascii="Cambria" w:eastAsia="Cambria" w:hAnsi="Cambria"/>
          <w:sz w:val="20"/>
          <w:szCs w:val="20"/>
        </w:rPr>
        <w:footnoteReference w:id="131"/>
      </w:r>
      <w:r w:rsidRPr="00836C24">
        <w:rPr>
          <w:rStyle w:val="sb8d990e2"/>
          <w:rFonts w:ascii="Cambria" w:eastAsia="Arial Unicode MS" w:hAnsi="Cambria"/>
          <w:sz w:val="20"/>
          <w:szCs w:val="20"/>
          <w:lang w:val="es-CO"/>
        </w:rPr>
        <w:t>.</w:t>
      </w:r>
    </w:p>
    <w:p w:rsidR="007C08C6" w:rsidRPr="00836C24" w:rsidRDefault="007C08C6" w:rsidP="007C08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7C08C6" w:rsidRPr="00836C24" w:rsidRDefault="007C08C6"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left" w:pos="1440"/>
          <w:tab w:val="num" w:pos="2040"/>
        </w:tabs>
        <w:ind w:left="0" w:firstLine="720"/>
        <w:jc w:val="both"/>
        <w:rPr>
          <w:rFonts w:asciiTheme="majorHAnsi" w:hAnsiTheme="majorHAnsi"/>
          <w:sz w:val="20"/>
          <w:szCs w:val="20"/>
          <w:lang w:val="es-CO"/>
        </w:rPr>
      </w:pPr>
      <w:r w:rsidRPr="00836C24">
        <w:rPr>
          <w:rFonts w:asciiTheme="majorHAnsi" w:hAnsiTheme="majorHAnsi"/>
          <w:sz w:val="20"/>
          <w:szCs w:val="20"/>
          <w:lang w:val="es-CO"/>
        </w:rPr>
        <w:t>Asimismo, en el caso Al-Saadon y Mufdhi contra el Reino Unido, el Tribunal Europeo indicó que “l</w:t>
      </w:r>
      <w:r w:rsidRPr="00836C24">
        <w:rPr>
          <w:rFonts w:asciiTheme="majorHAnsi" w:hAnsiTheme="majorHAnsi" w:cs="Arial"/>
          <w:color w:val="212121"/>
          <w:sz w:val="20"/>
          <w:szCs w:val="20"/>
          <w:shd w:val="clear" w:color="auto" w:fill="FFFFFF"/>
          <w:lang w:val="es-VE"/>
        </w:rPr>
        <w:t xml:space="preserve">a ejecución judicial implica la destrucción deliberada y premeditada del ser humano por parte de las </w:t>
      </w:r>
      <w:r w:rsidRPr="00836C24">
        <w:rPr>
          <w:rFonts w:asciiTheme="majorHAnsi" w:hAnsiTheme="majorHAnsi"/>
          <w:sz w:val="20"/>
          <w:szCs w:val="20"/>
          <w:lang w:val="es-CL"/>
        </w:rPr>
        <w:t>autoridades</w:t>
      </w:r>
      <w:r w:rsidRPr="00836C24">
        <w:rPr>
          <w:rFonts w:asciiTheme="majorHAnsi" w:hAnsiTheme="majorHAnsi" w:cs="Arial"/>
          <w:color w:val="212121"/>
          <w:sz w:val="20"/>
          <w:szCs w:val="20"/>
          <w:shd w:val="clear" w:color="auto" w:fill="FFFFFF"/>
          <w:lang w:val="es-VE"/>
        </w:rPr>
        <w:t xml:space="preserve"> del Estado. Cualquiera que sea el método de ejecución, la extinción de la vida implica algún dolor físico. Además, el presagio de la muerte a manos del Estado debe inevitablemente dar lugar a un intenso sufrimiento psicológico”</w:t>
      </w:r>
      <w:r w:rsidRPr="00836C24">
        <w:rPr>
          <w:rStyle w:val="FootnoteReference"/>
          <w:rFonts w:asciiTheme="majorHAnsi" w:hAnsiTheme="majorHAnsi" w:cs="Arial"/>
          <w:color w:val="212121"/>
          <w:sz w:val="20"/>
          <w:szCs w:val="20"/>
          <w:shd w:val="clear" w:color="auto" w:fill="FFFFFF"/>
          <w:lang w:val="es-VE"/>
        </w:rPr>
        <w:footnoteReference w:id="132"/>
      </w:r>
      <w:r w:rsidRPr="00836C24">
        <w:rPr>
          <w:rFonts w:asciiTheme="majorHAnsi" w:hAnsiTheme="majorHAnsi" w:cs="Arial"/>
          <w:color w:val="212121"/>
          <w:sz w:val="20"/>
          <w:szCs w:val="20"/>
          <w:shd w:val="clear" w:color="auto" w:fill="FFFFFF"/>
          <w:lang w:val="es-VE"/>
        </w:rPr>
        <w:t xml:space="preserve">. También concluyó que el temor bien fundado de los aplicantes, de que las </w:t>
      </w:r>
      <w:r w:rsidRPr="00836C24">
        <w:rPr>
          <w:rFonts w:asciiTheme="majorHAnsi" w:hAnsiTheme="majorHAnsi" w:cs="Arial"/>
          <w:color w:val="212121"/>
          <w:sz w:val="20"/>
          <w:szCs w:val="20"/>
          <w:shd w:val="clear" w:color="auto" w:fill="FFFFFF"/>
          <w:lang w:val="es-VE"/>
        </w:rPr>
        <w:lastRenderedPageBreak/>
        <w:t>autoridades iraquíes las ejecutasen, entre mayo de 2006 y julio de 2009, l</w:t>
      </w:r>
      <w:r w:rsidR="00C309C7" w:rsidRPr="00836C24">
        <w:rPr>
          <w:rFonts w:asciiTheme="majorHAnsi" w:hAnsiTheme="majorHAnsi" w:cs="Arial"/>
          <w:color w:val="212121"/>
          <w:sz w:val="20"/>
          <w:szCs w:val="20"/>
          <w:shd w:val="clear" w:color="auto" w:fill="FFFFFF"/>
          <w:lang w:val="es-VE"/>
        </w:rPr>
        <w:t>o</w:t>
      </w:r>
      <w:r w:rsidRPr="00836C24">
        <w:rPr>
          <w:rFonts w:asciiTheme="majorHAnsi" w:hAnsiTheme="majorHAnsi" w:cs="Arial"/>
          <w:color w:val="212121"/>
          <w:sz w:val="20"/>
          <w:szCs w:val="20"/>
          <w:shd w:val="clear" w:color="auto" w:fill="FFFFFF"/>
          <w:lang w:val="es-VE"/>
        </w:rPr>
        <w:t>s tuvo que haber sometido a un significativo sufrimiento mental, el cual constituyó tratamiento inhumano contario al artículo 3 de la Convención</w:t>
      </w:r>
      <w:r w:rsidRPr="00836C24">
        <w:rPr>
          <w:rStyle w:val="FootnoteReference"/>
          <w:rFonts w:asciiTheme="majorHAnsi" w:hAnsiTheme="majorHAnsi" w:cs="Arial"/>
          <w:color w:val="212121"/>
          <w:sz w:val="20"/>
          <w:szCs w:val="20"/>
          <w:shd w:val="clear" w:color="auto" w:fill="FFFFFF"/>
          <w:lang w:val="es-VE"/>
        </w:rPr>
        <w:footnoteReference w:id="133"/>
      </w:r>
      <w:r w:rsidRPr="00836C24">
        <w:rPr>
          <w:rFonts w:asciiTheme="majorHAnsi" w:hAnsiTheme="majorHAnsi" w:cs="Arial"/>
          <w:color w:val="212121"/>
          <w:sz w:val="20"/>
          <w:szCs w:val="20"/>
          <w:shd w:val="clear" w:color="auto" w:fill="FFFFFF"/>
          <w:lang w:val="es-VE"/>
        </w:rPr>
        <w:t xml:space="preserve">. </w:t>
      </w:r>
    </w:p>
    <w:p w:rsidR="007C08C6" w:rsidRPr="00836C24" w:rsidRDefault="007C08C6" w:rsidP="007C08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ind w:left="720"/>
        <w:jc w:val="both"/>
        <w:rPr>
          <w:rFonts w:asciiTheme="majorHAnsi" w:hAnsiTheme="majorHAnsi"/>
          <w:sz w:val="20"/>
          <w:szCs w:val="20"/>
          <w:lang w:val="es-CO"/>
        </w:rPr>
      </w:pPr>
    </w:p>
    <w:p w:rsidR="007C08C6" w:rsidRPr="00836C24" w:rsidRDefault="007C08C6"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Por su parte, </w:t>
      </w:r>
      <w:r w:rsidRPr="00836C24">
        <w:rPr>
          <w:rFonts w:ascii="Cambria" w:hAnsi="Cambria"/>
          <w:bCs/>
          <w:sz w:val="20"/>
          <w:szCs w:val="20"/>
          <w:lang w:val="es-CO"/>
        </w:rPr>
        <w:t>la Corte Suprema de Uganda consideró en 2009 que “ejecutar a una persona tras una demora de tres años en condiciones inaceptables conforme a los estándares de Uganda constituiría castigo cruel e inhumano</w:t>
      </w:r>
      <w:r w:rsidRPr="00836C24">
        <w:rPr>
          <w:rFonts w:ascii="Cambria" w:hAnsi="Cambria"/>
          <w:sz w:val="20"/>
          <w:szCs w:val="20"/>
          <w:lang w:val="es-CO"/>
        </w:rPr>
        <w:t>”</w:t>
      </w:r>
      <w:r w:rsidRPr="00836C24">
        <w:rPr>
          <w:rStyle w:val="FootnoteReference"/>
          <w:rFonts w:ascii="Cambria" w:hAnsi="Cambria"/>
          <w:sz w:val="20"/>
          <w:szCs w:val="20"/>
        </w:rPr>
        <w:footnoteReference w:id="134"/>
      </w:r>
      <w:r w:rsidRPr="00836C24">
        <w:rPr>
          <w:rFonts w:ascii="Cambria" w:hAnsi="Cambria"/>
          <w:sz w:val="20"/>
          <w:szCs w:val="20"/>
          <w:lang w:val="es-CO"/>
        </w:rPr>
        <w:t xml:space="preserve">. Por su parte, la Suprema Corte de Zimbabwe indicó desde 1993 que tomando en consideración el consenso académico y judicial respecto del </w:t>
      </w:r>
      <w:r w:rsidRPr="00836C24">
        <w:rPr>
          <w:rFonts w:ascii="Cambria" w:hAnsi="Cambria"/>
          <w:i/>
          <w:sz w:val="20"/>
          <w:szCs w:val="20"/>
          <w:lang w:val="es-CO"/>
        </w:rPr>
        <w:t>death row phenomenon</w:t>
      </w:r>
      <w:r w:rsidRPr="00836C24">
        <w:rPr>
          <w:rFonts w:ascii="Cambria" w:hAnsi="Cambria"/>
          <w:sz w:val="20"/>
          <w:szCs w:val="20"/>
          <w:lang w:val="es-CO"/>
        </w:rPr>
        <w:t xml:space="preserve">, las demoras </w:t>
      </w:r>
      <w:r w:rsidRPr="00836C24">
        <w:rPr>
          <w:rStyle w:val="sb8d990e2"/>
          <w:rFonts w:ascii="Cambria" w:hAnsi="Cambria"/>
          <w:sz w:val="20"/>
          <w:szCs w:val="20"/>
          <w:lang w:val="es-CO"/>
        </w:rPr>
        <w:t>prolongadas</w:t>
      </w:r>
      <w:r w:rsidRPr="00836C24">
        <w:rPr>
          <w:rFonts w:ascii="Cambria" w:hAnsi="Cambria"/>
          <w:sz w:val="20"/>
          <w:szCs w:val="20"/>
          <w:lang w:val="es-CO"/>
        </w:rPr>
        <w:t xml:space="preserve"> y las condiciones severas de detención han llegado a un grado suficiente de seriedad para permitirle al demandante invocar la protección relativa a la prohibición de la tortura y de castigos inhumanos o degradantes. Dicha Corte Suprema sostuvo que 52 y 72 meses, respectivamente, en el corredor de la muerte, constituyó una violación de la prohibición de la tortura y tornaría la ejecución en inconstitucional</w:t>
      </w:r>
      <w:r w:rsidRPr="00836C24">
        <w:rPr>
          <w:rStyle w:val="FootnoteReference"/>
          <w:rFonts w:ascii="Cambria" w:hAnsi="Cambria"/>
          <w:sz w:val="20"/>
          <w:szCs w:val="20"/>
        </w:rPr>
        <w:footnoteReference w:id="135"/>
      </w:r>
      <w:r w:rsidRPr="00836C24">
        <w:rPr>
          <w:rFonts w:ascii="Cambria" w:hAnsi="Cambria"/>
          <w:sz w:val="20"/>
          <w:szCs w:val="20"/>
          <w:lang w:val="es-CO"/>
        </w:rPr>
        <w:t>.</w:t>
      </w:r>
    </w:p>
    <w:p w:rsidR="007C08C6" w:rsidRPr="00836C24" w:rsidRDefault="007C08C6" w:rsidP="007C08C6">
      <w:pPr>
        <w:rPr>
          <w:rFonts w:asciiTheme="majorHAnsi" w:eastAsia="Times New Roman" w:hAnsiTheme="majorHAnsi"/>
          <w:sz w:val="20"/>
          <w:szCs w:val="20"/>
          <w:lang w:val="es-CO"/>
        </w:rPr>
      </w:pPr>
    </w:p>
    <w:p w:rsidR="007C08C6" w:rsidRPr="00836C24" w:rsidRDefault="00C72D1D"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 xml:space="preserve">El señor Ruiz Fuentes </w:t>
      </w:r>
      <w:r w:rsidR="007C08C6" w:rsidRPr="00836C24">
        <w:rPr>
          <w:rFonts w:ascii="Cambria" w:hAnsi="Cambria"/>
          <w:sz w:val="20"/>
          <w:szCs w:val="20"/>
          <w:lang w:val="es-CO"/>
        </w:rPr>
        <w:t>fue condenad</w:t>
      </w:r>
      <w:r w:rsidRPr="00836C24">
        <w:rPr>
          <w:rFonts w:ascii="Cambria" w:hAnsi="Cambria"/>
          <w:sz w:val="20"/>
          <w:szCs w:val="20"/>
          <w:lang w:val="es-CO"/>
        </w:rPr>
        <w:t>o</w:t>
      </w:r>
      <w:r w:rsidR="007C08C6" w:rsidRPr="00836C24">
        <w:rPr>
          <w:rFonts w:ascii="Cambria" w:hAnsi="Cambria"/>
          <w:sz w:val="20"/>
          <w:szCs w:val="20"/>
          <w:lang w:val="es-CO"/>
        </w:rPr>
        <w:t xml:space="preserve"> a la pena de muerte el 14 de mayo de 1999. El Estado informó que en virtud de una decisión de la Corte Interamericana en el marco del trámite de medidas provisionales, el 15 de febrero de 2005 decretó “la suspensión provisional de la ejecución de la pena de muerte”. Asimismo, tal como se indicó en la sección de hechos probados, la presunta víctima se fugó de prisión el 22 de octubre de 2005 y </w:t>
      </w:r>
      <w:r w:rsidR="00841E5C" w:rsidRPr="00836C24">
        <w:rPr>
          <w:rFonts w:ascii="Cambria" w:hAnsi="Cambria"/>
          <w:sz w:val="20"/>
          <w:szCs w:val="20"/>
          <w:lang w:val="es-CO"/>
        </w:rPr>
        <w:t>murió</w:t>
      </w:r>
      <w:r w:rsidR="007C08C6" w:rsidRPr="00836C24">
        <w:rPr>
          <w:rFonts w:ascii="Cambria" w:hAnsi="Cambria"/>
          <w:sz w:val="20"/>
          <w:szCs w:val="20"/>
          <w:lang w:val="es-CO"/>
        </w:rPr>
        <w:t xml:space="preserve"> el 14 de noviembre de 2005. </w:t>
      </w:r>
    </w:p>
    <w:p w:rsidR="007C08C6" w:rsidRPr="00836C24" w:rsidRDefault="007C08C6" w:rsidP="007C08C6">
      <w:pPr>
        <w:pStyle w:val="ListParagraph"/>
        <w:rPr>
          <w:sz w:val="20"/>
          <w:szCs w:val="20"/>
          <w:lang w:val="es-CO"/>
        </w:rPr>
      </w:pPr>
    </w:p>
    <w:p w:rsidR="007C08C6" w:rsidRPr="00836C24" w:rsidRDefault="007C08C6" w:rsidP="00E40DC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Theme="majorHAnsi" w:eastAsia="Times New Roman" w:hAnsiTheme="majorHAnsi"/>
          <w:sz w:val="20"/>
          <w:szCs w:val="20"/>
          <w:lang w:val="es-CO"/>
        </w:rPr>
      </w:pPr>
      <w:r w:rsidRPr="00836C24">
        <w:rPr>
          <w:rFonts w:ascii="Cambria" w:hAnsi="Cambria"/>
          <w:sz w:val="20"/>
          <w:szCs w:val="20"/>
          <w:lang w:val="es-CO"/>
        </w:rPr>
        <w:t>La Comisión estima que corresponde contar el periodo en el que la presunta víctima estuvo en el corredor de la muerte desde el momento de su condena hasta su fuga de prisión. Si bien se suspendió la imposición de la pena de muerte en febrero de 2005, el carácter provisional de la misma no genera la certeza de que no se</w:t>
      </w:r>
      <w:r w:rsidR="00DA6282" w:rsidRPr="00836C24">
        <w:rPr>
          <w:rFonts w:ascii="Cambria" w:hAnsi="Cambria"/>
          <w:sz w:val="20"/>
          <w:szCs w:val="20"/>
          <w:lang w:val="es-CO"/>
        </w:rPr>
        <w:t xml:space="preserve"> ejecutará </w:t>
      </w:r>
      <w:r w:rsidRPr="00836C24">
        <w:rPr>
          <w:rFonts w:ascii="Cambria" w:hAnsi="Cambria"/>
          <w:sz w:val="20"/>
          <w:szCs w:val="20"/>
          <w:lang w:val="es-CO"/>
        </w:rPr>
        <w:t xml:space="preserve">en el futuro, por lo que la persona condenada continúa a la </w:t>
      </w:r>
      <w:r w:rsidR="00CE1A43" w:rsidRPr="00836C24">
        <w:rPr>
          <w:rFonts w:ascii="Cambria" w:hAnsi="Cambria"/>
          <w:sz w:val="20"/>
          <w:szCs w:val="20"/>
          <w:lang w:val="es-CO"/>
        </w:rPr>
        <w:t xml:space="preserve">expectativa con posibilidades reales de </w:t>
      </w:r>
      <w:r w:rsidR="000B063D" w:rsidRPr="00836C24">
        <w:rPr>
          <w:rFonts w:ascii="Cambria" w:hAnsi="Cambria"/>
          <w:sz w:val="20"/>
          <w:szCs w:val="20"/>
          <w:lang w:val="es-CO"/>
        </w:rPr>
        <w:t xml:space="preserve">que ello suceda. </w:t>
      </w:r>
      <w:r w:rsidR="00157BBB" w:rsidRPr="00836C24">
        <w:rPr>
          <w:rFonts w:ascii="Cambria" w:hAnsi="Cambria"/>
          <w:sz w:val="20"/>
          <w:szCs w:val="20"/>
          <w:lang w:val="es-CO"/>
        </w:rPr>
        <w:t xml:space="preserve">En ese sentido, el señor Ruiz Fuentes </w:t>
      </w:r>
      <w:r w:rsidRPr="00836C24">
        <w:rPr>
          <w:rFonts w:ascii="Cambria" w:hAnsi="Cambria"/>
          <w:sz w:val="20"/>
          <w:szCs w:val="20"/>
          <w:lang w:val="es-CO"/>
        </w:rPr>
        <w:t>permaneció</w:t>
      </w:r>
      <w:r w:rsidRPr="00836C24">
        <w:rPr>
          <w:rFonts w:asciiTheme="majorHAnsi" w:eastAsia="Times New Roman" w:hAnsiTheme="majorHAnsi"/>
          <w:sz w:val="20"/>
          <w:szCs w:val="20"/>
          <w:lang w:val="es-CO"/>
        </w:rPr>
        <w:t xml:space="preserve"> </w:t>
      </w:r>
      <w:r w:rsidR="00552058" w:rsidRPr="00836C24">
        <w:rPr>
          <w:rFonts w:asciiTheme="majorHAnsi" w:eastAsia="Times New Roman" w:hAnsiTheme="majorHAnsi"/>
          <w:sz w:val="20"/>
          <w:szCs w:val="20"/>
          <w:lang w:val="es-CO"/>
        </w:rPr>
        <w:t xml:space="preserve">a la espera de su ejecución </w:t>
      </w:r>
      <w:r w:rsidRPr="00836C24">
        <w:rPr>
          <w:rFonts w:asciiTheme="majorHAnsi" w:eastAsia="Times New Roman" w:hAnsiTheme="majorHAnsi"/>
          <w:sz w:val="20"/>
          <w:szCs w:val="20"/>
          <w:lang w:val="es-CO"/>
        </w:rPr>
        <w:t>por más de 6 de años y 5 meses.</w:t>
      </w:r>
    </w:p>
    <w:p w:rsidR="007C08C6" w:rsidRPr="00836C24" w:rsidRDefault="007C08C6" w:rsidP="007C08C6">
      <w:pPr>
        <w:rPr>
          <w:sz w:val="20"/>
          <w:szCs w:val="20"/>
          <w:lang w:val="es-CO"/>
        </w:rPr>
      </w:pPr>
    </w:p>
    <w:p w:rsidR="00476965" w:rsidRPr="00836C24" w:rsidRDefault="007C08C6" w:rsidP="00A713B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i/>
          <w:sz w:val="20"/>
          <w:szCs w:val="20"/>
          <w:lang w:val="es-CO"/>
        </w:rPr>
      </w:pPr>
      <w:r w:rsidRPr="00836C24">
        <w:rPr>
          <w:rFonts w:ascii="Cambria" w:hAnsi="Cambria"/>
          <w:sz w:val="20"/>
          <w:szCs w:val="20"/>
          <w:lang w:val="es-CO"/>
        </w:rPr>
        <w:t>La Comisión</w:t>
      </w:r>
      <w:r w:rsidR="00E860E8" w:rsidRPr="00836C24">
        <w:rPr>
          <w:rFonts w:ascii="Cambria" w:hAnsi="Cambria"/>
          <w:sz w:val="20"/>
          <w:szCs w:val="20"/>
          <w:lang w:val="es-CO"/>
        </w:rPr>
        <w:t xml:space="preserve"> considera</w:t>
      </w:r>
      <w:r w:rsidRPr="00836C24">
        <w:rPr>
          <w:rFonts w:ascii="Cambria" w:hAnsi="Cambria"/>
          <w:sz w:val="20"/>
          <w:szCs w:val="20"/>
          <w:lang w:val="es-CO"/>
        </w:rPr>
        <w:t xml:space="preserve"> que el tiempo </w:t>
      </w:r>
      <w:r w:rsidR="009D7C1A" w:rsidRPr="00836C24">
        <w:rPr>
          <w:rFonts w:ascii="Cambria" w:hAnsi="Cambria"/>
          <w:sz w:val="20"/>
          <w:szCs w:val="20"/>
          <w:lang w:val="es-CO"/>
        </w:rPr>
        <w:t>e</w:t>
      </w:r>
      <w:r w:rsidRPr="00836C24">
        <w:rPr>
          <w:rFonts w:ascii="Cambria" w:hAnsi="Cambria"/>
          <w:sz w:val="20"/>
          <w:szCs w:val="20"/>
          <w:lang w:val="es-CO"/>
        </w:rPr>
        <w:t xml:space="preserve">n que </w:t>
      </w:r>
      <w:r w:rsidR="00DB1AD2" w:rsidRPr="00836C24">
        <w:rPr>
          <w:rFonts w:ascii="Cambria" w:hAnsi="Cambria"/>
          <w:sz w:val="20"/>
          <w:szCs w:val="20"/>
          <w:lang w:val="es-CO"/>
        </w:rPr>
        <w:t xml:space="preserve">permaneció </w:t>
      </w:r>
      <w:r w:rsidR="0008736F" w:rsidRPr="00836C24">
        <w:rPr>
          <w:rFonts w:ascii="Cambria" w:hAnsi="Cambria"/>
          <w:sz w:val="20"/>
          <w:szCs w:val="20"/>
          <w:lang w:val="es-CO"/>
        </w:rPr>
        <w:t>el señor Ruiz Fuentes</w:t>
      </w:r>
      <w:r w:rsidRPr="00836C24">
        <w:rPr>
          <w:rFonts w:ascii="Cambria" w:hAnsi="Cambria"/>
          <w:sz w:val="20"/>
          <w:szCs w:val="20"/>
          <w:lang w:val="es-CO"/>
        </w:rPr>
        <w:t xml:space="preserve"> </w:t>
      </w:r>
      <w:r w:rsidR="00CD6C03" w:rsidRPr="00836C24">
        <w:rPr>
          <w:rFonts w:ascii="Cambria" w:hAnsi="Cambria"/>
          <w:sz w:val="20"/>
          <w:szCs w:val="20"/>
          <w:lang w:val="es-CO"/>
        </w:rPr>
        <w:t xml:space="preserve">tras la imposición de la pena de muerte en un proceso en el que </w:t>
      </w:r>
      <w:r w:rsidRPr="00836C24">
        <w:rPr>
          <w:rFonts w:ascii="Cambria" w:hAnsi="Cambria"/>
          <w:sz w:val="20"/>
          <w:szCs w:val="20"/>
          <w:lang w:val="es-CO"/>
        </w:rPr>
        <w:t>se vulneraron diversas garantías al debido proceso,</w:t>
      </w:r>
      <w:r w:rsidR="00E50413" w:rsidRPr="00836C24">
        <w:rPr>
          <w:rFonts w:ascii="Cambria" w:hAnsi="Cambria"/>
          <w:sz w:val="20"/>
          <w:szCs w:val="20"/>
          <w:lang w:val="es-CO"/>
        </w:rPr>
        <w:t xml:space="preserve"> a la expectativa prolongada de que dicha pena pudiera ejecutarse</w:t>
      </w:r>
      <w:r w:rsidRPr="00836C24">
        <w:rPr>
          <w:rFonts w:ascii="Cambria" w:hAnsi="Cambria"/>
          <w:sz w:val="20"/>
          <w:szCs w:val="20"/>
          <w:lang w:val="es-CO"/>
        </w:rPr>
        <w:t xml:space="preserve"> </w:t>
      </w:r>
      <w:r w:rsidR="00E50413" w:rsidRPr="00836C24">
        <w:rPr>
          <w:rFonts w:ascii="Cambria" w:hAnsi="Cambria"/>
          <w:sz w:val="20"/>
          <w:szCs w:val="20"/>
          <w:lang w:val="es-CO"/>
        </w:rPr>
        <w:t xml:space="preserve">alcanza la </w:t>
      </w:r>
      <w:r w:rsidRPr="00836C24">
        <w:rPr>
          <w:rFonts w:ascii="Cambria" w:hAnsi="Cambria"/>
          <w:sz w:val="20"/>
          <w:szCs w:val="20"/>
          <w:lang w:val="es-CO"/>
        </w:rPr>
        <w:t xml:space="preserve">gravedad </w:t>
      </w:r>
      <w:r w:rsidR="00E50413" w:rsidRPr="00836C24">
        <w:rPr>
          <w:rFonts w:ascii="Cambria" w:hAnsi="Cambria"/>
          <w:sz w:val="20"/>
          <w:szCs w:val="20"/>
          <w:lang w:val="es-CO"/>
        </w:rPr>
        <w:t xml:space="preserve">suficiente </w:t>
      </w:r>
      <w:r w:rsidRPr="00836C24">
        <w:rPr>
          <w:rFonts w:ascii="Cambria" w:hAnsi="Cambria"/>
          <w:sz w:val="20"/>
          <w:szCs w:val="20"/>
          <w:lang w:val="es-CO"/>
        </w:rPr>
        <w:t>como para ser considera</w:t>
      </w:r>
      <w:r w:rsidR="00077B82" w:rsidRPr="00836C24">
        <w:rPr>
          <w:rFonts w:ascii="Cambria" w:hAnsi="Cambria"/>
          <w:sz w:val="20"/>
          <w:szCs w:val="20"/>
          <w:lang w:val="es-CO"/>
        </w:rPr>
        <w:t>do como un</w:t>
      </w:r>
      <w:r w:rsidRPr="00836C24">
        <w:rPr>
          <w:rFonts w:ascii="Cambria" w:hAnsi="Cambria"/>
          <w:sz w:val="20"/>
          <w:szCs w:val="20"/>
          <w:lang w:val="es-CO"/>
        </w:rPr>
        <w:t xml:space="preserve"> trato crue</w:t>
      </w:r>
      <w:r w:rsidR="001C1769" w:rsidRPr="00836C24">
        <w:rPr>
          <w:rFonts w:ascii="Cambria" w:hAnsi="Cambria"/>
          <w:sz w:val="20"/>
          <w:szCs w:val="20"/>
          <w:lang w:val="es-CO"/>
        </w:rPr>
        <w:t>l</w:t>
      </w:r>
      <w:r w:rsidRPr="00836C24">
        <w:rPr>
          <w:rFonts w:ascii="Cambria" w:hAnsi="Cambria"/>
          <w:sz w:val="20"/>
          <w:szCs w:val="20"/>
          <w:lang w:val="es-CO"/>
        </w:rPr>
        <w:t xml:space="preserve">, inhumano </w:t>
      </w:r>
      <w:r w:rsidR="00AC57A7" w:rsidRPr="00836C24">
        <w:rPr>
          <w:rFonts w:ascii="Cambria" w:hAnsi="Cambria"/>
          <w:sz w:val="20"/>
          <w:szCs w:val="20"/>
          <w:lang w:val="es-CO"/>
        </w:rPr>
        <w:t>y</w:t>
      </w:r>
      <w:r w:rsidRPr="00836C24">
        <w:rPr>
          <w:rFonts w:ascii="Cambria" w:hAnsi="Cambria"/>
          <w:sz w:val="20"/>
          <w:szCs w:val="20"/>
          <w:lang w:val="es-CO"/>
        </w:rPr>
        <w:t xml:space="preserve"> degradante, por lo que concluye que el Estado guatemalteco </w:t>
      </w:r>
      <w:r w:rsidR="006F6A3C" w:rsidRPr="00836C24">
        <w:rPr>
          <w:rFonts w:ascii="Cambria" w:hAnsi="Cambria"/>
          <w:sz w:val="20"/>
          <w:szCs w:val="20"/>
          <w:lang w:val="es-CO"/>
        </w:rPr>
        <w:t>violó, en perjuicio de Hugo Humberto Ruiz Fuentes</w:t>
      </w:r>
      <w:r w:rsidR="00C1586F" w:rsidRPr="00836C24">
        <w:rPr>
          <w:rFonts w:ascii="Cambria" w:hAnsi="Cambria"/>
          <w:sz w:val="20"/>
          <w:szCs w:val="20"/>
          <w:lang w:val="es-CO"/>
        </w:rPr>
        <w:t>,</w:t>
      </w:r>
      <w:r w:rsidR="00C1586F" w:rsidRPr="00836C24" w:rsidDel="00C1586F">
        <w:rPr>
          <w:rFonts w:ascii="Cambria" w:hAnsi="Cambria"/>
          <w:sz w:val="20"/>
          <w:szCs w:val="20"/>
          <w:lang w:val="es-CO"/>
        </w:rPr>
        <w:t xml:space="preserve"> </w:t>
      </w:r>
      <w:r w:rsidR="00C1586F" w:rsidRPr="00836C24">
        <w:rPr>
          <w:rFonts w:ascii="Cambria" w:hAnsi="Cambria"/>
          <w:sz w:val="20"/>
          <w:szCs w:val="20"/>
          <w:lang w:val="es-CO"/>
        </w:rPr>
        <w:t>e</w:t>
      </w:r>
      <w:r w:rsidRPr="00836C24">
        <w:rPr>
          <w:rFonts w:ascii="Cambria" w:hAnsi="Cambria"/>
          <w:sz w:val="20"/>
          <w:szCs w:val="20"/>
          <w:lang w:val="es-CO"/>
        </w:rPr>
        <w:t>l derecho a la integridad personal</w:t>
      </w:r>
      <w:r w:rsidR="007F1F7F" w:rsidRPr="00836C24">
        <w:rPr>
          <w:rFonts w:ascii="Cambria" w:hAnsi="Cambria"/>
          <w:sz w:val="20"/>
          <w:szCs w:val="20"/>
          <w:lang w:val="es-CO"/>
        </w:rPr>
        <w:t xml:space="preserve"> </w:t>
      </w:r>
      <w:r w:rsidRPr="00836C24">
        <w:rPr>
          <w:rFonts w:ascii="Cambria" w:hAnsi="Cambria"/>
          <w:sz w:val="20"/>
          <w:szCs w:val="20"/>
          <w:lang w:val="es-CO"/>
        </w:rPr>
        <w:t>previst</w:t>
      </w:r>
      <w:r w:rsidR="007F1F7F" w:rsidRPr="00836C24">
        <w:rPr>
          <w:rFonts w:ascii="Cambria" w:hAnsi="Cambria"/>
          <w:sz w:val="20"/>
          <w:szCs w:val="20"/>
          <w:lang w:val="es-CO"/>
        </w:rPr>
        <w:t>o</w:t>
      </w:r>
      <w:r w:rsidRPr="00836C24">
        <w:rPr>
          <w:rFonts w:ascii="Cambria" w:hAnsi="Cambria"/>
          <w:sz w:val="20"/>
          <w:szCs w:val="20"/>
          <w:lang w:val="es-CO"/>
        </w:rPr>
        <w:t xml:space="preserve"> en </w:t>
      </w:r>
      <w:r w:rsidR="007F1F7F" w:rsidRPr="00836C24">
        <w:rPr>
          <w:rFonts w:ascii="Cambria" w:hAnsi="Cambria"/>
          <w:sz w:val="20"/>
          <w:szCs w:val="20"/>
          <w:lang w:val="es-CO"/>
        </w:rPr>
        <w:t>los</w:t>
      </w:r>
      <w:r w:rsidRPr="00836C24">
        <w:rPr>
          <w:rFonts w:ascii="Cambria" w:hAnsi="Cambria"/>
          <w:sz w:val="20"/>
          <w:szCs w:val="20"/>
          <w:lang w:val="es-CO"/>
        </w:rPr>
        <w:t xml:space="preserve"> artículo</w:t>
      </w:r>
      <w:r w:rsidR="007F1F7F" w:rsidRPr="00836C24">
        <w:rPr>
          <w:rFonts w:ascii="Cambria" w:hAnsi="Cambria"/>
          <w:sz w:val="20"/>
          <w:szCs w:val="20"/>
          <w:lang w:val="es-CO"/>
        </w:rPr>
        <w:t>s</w:t>
      </w:r>
      <w:r w:rsidRPr="00836C24">
        <w:rPr>
          <w:rFonts w:ascii="Cambria" w:hAnsi="Cambria"/>
          <w:sz w:val="20"/>
          <w:szCs w:val="20"/>
          <w:lang w:val="es-CO"/>
        </w:rPr>
        <w:t xml:space="preserve"> 5.1 y 5.2 de la Convención Americana</w:t>
      </w:r>
      <w:r w:rsidR="004B78A9" w:rsidRPr="00836C24">
        <w:rPr>
          <w:rFonts w:ascii="Cambria" w:hAnsi="Cambria"/>
          <w:sz w:val="20"/>
          <w:szCs w:val="20"/>
          <w:lang w:val="es-CO"/>
        </w:rPr>
        <w:t xml:space="preserve"> en relación con el artículo 1.1 del mismo instrumento. </w:t>
      </w:r>
      <w:r w:rsidRPr="00836C24">
        <w:rPr>
          <w:rFonts w:ascii="Cambria" w:hAnsi="Cambria"/>
          <w:sz w:val="20"/>
          <w:szCs w:val="20"/>
          <w:lang w:val="es-CO"/>
        </w:rPr>
        <w:t xml:space="preserve"> </w:t>
      </w:r>
      <w:r w:rsidR="00291461" w:rsidRPr="00836C24">
        <w:rPr>
          <w:rFonts w:ascii="Cambria" w:hAnsi="Cambria"/>
          <w:sz w:val="20"/>
          <w:szCs w:val="20"/>
          <w:lang w:val="es-CO"/>
        </w:rPr>
        <w:t>Asimis</w:t>
      </w:r>
      <w:r w:rsidR="00DC5D3E" w:rsidRPr="00836C24">
        <w:rPr>
          <w:rFonts w:ascii="Cambria" w:hAnsi="Cambria"/>
          <w:sz w:val="20"/>
          <w:szCs w:val="20"/>
          <w:lang w:val="es-CO"/>
        </w:rPr>
        <w:t>m</w:t>
      </w:r>
      <w:r w:rsidR="00291461" w:rsidRPr="00836C24">
        <w:rPr>
          <w:rFonts w:ascii="Cambria" w:hAnsi="Cambria"/>
          <w:sz w:val="20"/>
          <w:szCs w:val="20"/>
          <w:lang w:val="es-CO"/>
        </w:rPr>
        <w:t xml:space="preserve">o, el Estado es responsable por la violación de </w:t>
      </w:r>
      <w:r w:rsidRPr="00836C24">
        <w:rPr>
          <w:rFonts w:ascii="Cambria" w:hAnsi="Cambria"/>
          <w:sz w:val="20"/>
          <w:szCs w:val="20"/>
          <w:lang w:val="es-CO"/>
        </w:rPr>
        <w:t>los artículos 1 y 6 de la C</w:t>
      </w:r>
      <w:r w:rsidR="00C1534A" w:rsidRPr="00836C24">
        <w:rPr>
          <w:rFonts w:ascii="Cambria" w:hAnsi="Cambria"/>
          <w:sz w:val="20"/>
          <w:szCs w:val="20"/>
          <w:lang w:val="es-CO"/>
        </w:rPr>
        <w:t>IPST</w:t>
      </w:r>
      <w:r w:rsidRPr="00836C24">
        <w:rPr>
          <w:rFonts w:ascii="Cambria" w:hAnsi="Cambria"/>
          <w:sz w:val="20"/>
          <w:szCs w:val="20"/>
          <w:lang w:val="es-CO"/>
        </w:rPr>
        <w:t>.</w:t>
      </w:r>
    </w:p>
    <w:p w:rsidR="00D96D45" w:rsidRPr="00836C24" w:rsidRDefault="00D96D45" w:rsidP="00D96D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i/>
          <w:sz w:val="20"/>
          <w:szCs w:val="20"/>
          <w:lang w:val="es-CO"/>
        </w:rPr>
      </w:pPr>
    </w:p>
    <w:p w:rsidR="00960749" w:rsidRPr="00836C24" w:rsidRDefault="00A52C7A" w:rsidP="006936A4">
      <w:pPr>
        <w:pStyle w:val="Heading2"/>
        <w:numPr>
          <w:ilvl w:val="0"/>
          <w:numId w:val="66"/>
        </w:numPr>
        <w:ind w:firstLine="0"/>
      </w:pPr>
      <w:bookmarkStart w:id="74" w:name="_Toc491441651"/>
      <w:r w:rsidRPr="00836C24">
        <w:lastRenderedPageBreak/>
        <w:t>Derechos a la</w:t>
      </w:r>
      <w:r w:rsidR="00FD06D7" w:rsidRPr="00836C24">
        <w:t xml:space="preserve"> integridad personal</w:t>
      </w:r>
      <w:r w:rsidR="008559AE" w:rsidRPr="00836C24">
        <w:rPr>
          <w:vertAlign w:val="superscript"/>
        </w:rPr>
        <w:footnoteReference w:id="136"/>
      </w:r>
      <w:r w:rsidR="00FD06D7" w:rsidRPr="00836C24">
        <w:t>, garantías judiciales</w:t>
      </w:r>
      <w:r w:rsidR="009F5DAF" w:rsidRPr="00836C24">
        <w:rPr>
          <w:vertAlign w:val="superscript"/>
        </w:rPr>
        <w:footnoteReference w:id="137"/>
      </w:r>
      <w:r w:rsidR="00FD06D7" w:rsidRPr="00836C24">
        <w:t xml:space="preserve"> y protección judicial</w:t>
      </w:r>
      <w:r w:rsidR="009F5DAF" w:rsidRPr="00836C24">
        <w:rPr>
          <w:vertAlign w:val="superscript"/>
        </w:rPr>
        <w:footnoteReference w:id="138"/>
      </w:r>
      <w:r w:rsidR="00FD06D7" w:rsidRPr="00836C24">
        <w:t xml:space="preserve"> respecto de la detención y la alegada tortura</w:t>
      </w:r>
      <w:r w:rsidR="000F08E9" w:rsidRPr="00836C24">
        <w:t xml:space="preserve"> y disposiciones relevantes de la CIPST</w:t>
      </w:r>
      <w:r w:rsidR="003A6B87" w:rsidRPr="00836C24">
        <w:rPr>
          <w:vertAlign w:val="superscript"/>
        </w:rPr>
        <w:footnoteReference w:id="139"/>
      </w:r>
      <w:bookmarkEnd w:id="74"/>
    </w:p>
    <w:p w:rsidR="007A580C" w:rsidRPr="00836C24" w:rsidRDefault="00E201D7" w:rsidP="006936A4">
      <w:pPr>
        <w:pStyle w:val="Heading3"/>
        <w:ind w:left="720"/>
        <w:rPr>
          <w:color w:val="auto"/>
          <w:sz w:val="20"/>
          <w:szCs w:val="20"/>
          <w:lang w:val="es-CO"/>
        </w:rPr>
      </w:pPr>
      <w:bookmarkStart w:id="75" w:name="_Toc491441652"/>
      <w:r w:rsidRPr="00836C24">
        <w:rPr>
          <w:color w:val="auto"/>
          <w:sz w:val="20"/>
          <w:szCs w:val="20"/>
          <w:lang w:val="es-CO"/>
        </w:rPr>
        <w:t>1.</w:t>
      </w:r>
      <w:r w:rsidRPr="00836C24">
        <w:rPr>
          <w:color w:val="auto"/>
          <w:sz w:val="20"/>
          <w:szCs w:val="20"/>
          <w:lang w:val="es-CO"/>
        </w:rPr>
        <w:tab/>
      </w:r>
      <w:r w:rsidR="007A580C" w:rsidRPr="00836C24">
        <w:rPr>
          <w:color w:val="auto"/>
          <w:sz w:val="20"/>
          <w:szCs w:val="20"/>
          <w:lang w:val="es-CO"/>
        </w:rPr>
        <w:t>Consideraciones generales</w:t>
      </w:r>
      <w:bookmarkEnd w:id="75"/>
      <w:r w:rsidR="007A580C" w:rsidRPr="00836C24">
        <w:rPr>
          <w:color w:val="auto"/>
          <w:sz w:val="20"/>
          <w:szCs w:val="20"/>
          <w:lang w:val="es-CO"/>
        </w:rPr>
        <w:t xml:space="preserve"> </w:t>
      </w:r>
    </w:p>
    <w:p w:rsidR="007A580C" w:rsidRPr="00836C24" w:rsidRDefault="007A580C" w:rsidP="007A58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440"/>
          <w:tab w:val="num" w:pos="2040"/>
        </w:tabs>
        <w:jc w:val="both"/>
        <w:rPr>
          <w:rFonts w:ascii="Cambria" w:hAnsi="Cambria"/>
          <w:sz w:val="20"/>
          <w:szCs w:val="20"/>
          <w:lang w:val="es-CO"/>
        </w:rPr>
      </w:pPr>
    </w:p>
    <w:p w:rsidR="001C2BBA" w:rsidRPr="00836C24" w:rsidRDefault="001C2BBA" w:rsidP="00DB0D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AR"/>
        </w:rPr>
      </w:pPr>
      <w:r w:rsidRPr="00836C24">
        <w:rPr>
          <w:rFonts w:ascii="Cambria" w:hAnsi="Cambria"/>
          <w:sz w:val="20"/>
          <w:szCs w:val="20"/>
          <w:lang w:val="es-ES"/>
        </w:rPr>
        <w:t xml:space="preserve">La CIDH </w:t>
      </w:r>
      <w:r w:rsidRPr="00836C24">
        <w:rPr>
          <w:rFonts w:ascii="Cambria" w:hAnsi="Cambria"/>
          <w:sz w:val="20"/>
          <w:szCs w:val="20"/>
          <w:lang w:val="es-CO"/>
        </w:rPr>
        <w:t>ha</w:t>
      </w:r>
      <w:r w:rsidRPr="00836C24">
        <w:rPr>
          <w:rFonts w:ascii="Cambria" w:hAnsi="Cambria"/>
          <w:sz w:val="20"/>
          <w:szCs w:val="20"/>
          <w:lang w:val="es-ES"/>
        </w:rPr>
        <w:t xml:space="preserve"> enfatizado que la Convención Americana prohíbe la imposición de la tortura o de un trato o castigo cruel, inhumano o degradante contra las personas en cualquier circunstancia.</w:t>
      </w:r>
      <w:r w:rsidR="00D20556" w:rsidRPr="00836C24">
        <w:rPr>
          <w:rFonts w:ascii="Cambria" w:hAnsi="Cambria"/>
          <w:sz w:val="20"/>
          <w:szCs w:val="20"/>
          <w:lang w:val="es-ES"/>
        </w:rPr>
        <w:t xml:space="preserve"> </w:t>
      </w:r>
      <w:r w:rsidRPr="00836C24">
        <w:rPr>
          <w:rFonts w:ascii="Cambria" w:hAnsi="Cambria"/>
          <w:sz w:val="20"/>
          <w:szCs w:val="20"/>
          <w:lang w:val="es-ES"/>
        </w:rPr>
        <w:t xml:space="preserve">La Comisión ha indicado que "un aspecto esencial del derecho a la seguridad personal es la absoluta prohibición de la tortura, norma perentoria del derecho internacional que crea obligaciones </w:t>
      </w:r>
      <w:r w:rsidRPr="00836C24">
        <w:rPr>
          <w:rFonts w:ascii="Cambria" w:hAnsi="Cambria"/>
          <w:i/>
          <w:sz w:val="20"/>
          <w:szCs w:val="20"/>
          <w:lang w:val="es-ES"/>
        </w:rPr>
        <w:t>erga omnes</w:t>
      </w:r>
      <w:r w:rsidRPr="00836C24">
        <w:rPr>
          <w:rFonts w:ascii="Cambria" w:hAnsi="Cambria"/>
          <w:sz w:val="20"/>
          <w:szCs w:val="20"/>
          <w:lang w:val="es-ES"/>
        </w:rPr>
        <w:t>"</w:t>
      </w:r>
      <w:r w:rsidRPr="00836C24">
        <w:rPr>
          <w:rStyle w:val="FootnoteReference"/>
          <w:rFonts w:ascii="Cambria" w:hAnsi="Cambria"/>
          <w:sz w:val="20"/>
          <w:szCs w:val="20"/>
        </w:rPr>
        <w:footnoteReference w:id="140"/>
      </w:r>
      <w:r w:rsidRPr="00836C24">
        <w:rPr>
          <w:rFonts w:ascii="Cambria" w:hAnsi="Cambria"/>
          <w:sz w:val="20"/>
          <w:szCs w:val="20"/>
          <w:lang w:val="es-ES"/>
        </w:rPr>
        <w:t xml:space="preserve">. </w:t>
      </w:r>
      <w:r w:rsidRPr="00836C24">
        <w:rPr>
          <w:rFonts w:ascii="Cambria" w:hAnsi="Cambria"/>
          <w:sz w:val="20"/>
          <w:szCs w:val="20"/>
          <w:lang w:val="es-CO"/>
        </w:rPr>
        <w:t xml:space="preserve">Asimismo, la CIDH ha calificado la prohibición de la tortura como una norma de </w:t>
      </w:r>
      <w:r w:rsidRPr="00836C24">
        <w:rPr>
          <w:rFonts w:ascii="Cambria" w:hAnsi="Cambria"/>
          <w:i/>
          <w:sz w:val="20"/>
          <w:szCs w:val="20"/>
          <w:lang w:val="es-CO"/>
        </w:rPr>
        <w:t>jus cogens</w:t>
      </w:r>
      <w:r w:rsidRPr="00836C24">
        <w:rPr>
          <w:rStyle w:val="FootnoteReference"/>
          <w:rFonts w:ascii="Cambria" w:hAnsi="Cambria"/>
          <w:sz w:val="20"/>
          <w:szCs w:val="20"/>
        </w:rPr>
        <w:footnoteReference w:id="141"/>
      </w:r>
      <w:r w:rsidRPr="00836C24">
        <w:rPr>
          <w:rFonts w:ascii="Cambria" w:hAnsi="Cambria"/>
          <w:sz w:val="20"/>
          <w:szCs w:val="20"/>
          <w:lang w:val="es-CO"/>
        </w:rPr>
        <w:t>.</w:t>
      </w:r>
    </w:p>
    <w:p w:rsidR="001C2BBA" w:rsidRPr="00836C24" w:rsidRDefault="001C2BBA" w:rsidP="001C2BBA">
      <w:pPr>
        <w:tabs>
          <w:tab w:val="left" w:pos="1440"/>
        </w:tabs>
        <w:jc w:val="both"/>
        <w:rPr>
          <w:rFonts w:ascii="Cambria" w:hAnsi="Cambria"/>
          <w:sz w:val="20"/>
          <w:szCs w:val="20"/>
          <w:lang w:val="es-AR"/>
        </w:rPr>
      </w:pPr>
    </w:p>
    <w:p w:rsidR="00D96D45" w:rsidRPr="0082037E" w:rsidRDefault="001C2BBA" w:rsidP="00D96D4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AR"/>
        </w:rPr>
      </w:pPr>
      <w:r w:rsidRPr="00836C24">
        <w:rPr>
          <w:rFonts w:ascii="Cambria" w:hAnsi="Cambria" w:cs="Arial"/>
          <w:sz w:val="20"/>
          <w:szCs w:val="20"/>
          <w:lang w:val="es-ES"/>
        </w:rPr>
        <w:t xml:space="preserve">Por su parte, la Corte ha señalado reiteradamente que </w:t>
      </w:r>
      <w:r w:rsidRPr="00836C24">
        <w:rPr>
          <w:rFonts w:ascii="Cambria" w:hAnsi="Cambria"/>
          <w:sz w:val="20"/>
          <w:szCs w:val="20"/>
          <w:lang w:val="es-ES"/>
        </w:rPr>
        <w:t xml:space="preserve">"la tortura y las penas o tratos crueles, inhumanos o degradantes están estrictamente prohibidos por el Derecho Internacional de los Derechos Humanos. La </w:t>
      </w:r>
      <w:r w:rsidRPr="00836C24">
        <w:rPr>
          <w:rFonts w:ascii="Cambria" w:hAnsi="Cambria"/>
          <w:sz w:val="20"/>
          <w:szCs w:val="20"/>
          <w:lang w:val="es-CO"/>
        </w:rPr>
        <w:t>prohibición</w:t>
      </w:r>
      <w:r w:rsidRPr="00836C24">
        <w:rPr>
          <w:rFonts w:ascii="Cambria" w:hAnsi="Cambria"/>
          <w:sz w:val="20"/>
          <w:szCs w:val="20"/>
          <w:lang w:val="es-ES"/>
        </w:rPr>
        <w:t xml:space="preserve"> absoluta de la tortura, tanto física como psicológica, pertenece hoy día al dominio del </w:t>
      </w:r>
      <w:r w:rsidRPr="00836C24">
        <w:rPr>
          <w:rFonts w:ascii="Cambria" w:hAnsi="Cambria"/>
          <w:i/>
          <w:sz w:val="20"/>
          <w:szCs w:val="20"/>
          <w:lang w:val="es-ES"/>
        </w:rPr>
        <w:t xml:space="preserve">jus cogens </w:t>
      </w:r>
      <w:r w:rsidRPr="00836C24">
        <w:rPr>
          <w:rFonts w:ascii="Cambria" w:hAnsi="Cambria" w:cs="Arial"/>
          <w:sz w:val="20"/>
          <w:szCs w:val="20"/>
          <w:lang w:val="es-ES"/>
        </w:rPr>
        <w:t>internacional</w:t>
      </w:r>
      <w:r w:rsidRPr="00836C24">
        <w:rPr>
          <w:rFonts w:ascii="Cambria" w:hAnsi="Cambria"/>
          <w:sz w:val="20"/>
          <w:szCs w:val="20"/>
          <w:lang w:val="es-ES"/>
        </w:rPr>
        <w:t>"</w:t>
      </w:r>
      <w:r w:rsidRPr="00836C24">
        <w:rPr>
          <w:rStyle w:val="FootnoteReference"/>
          <w:rFonts w:ascii="Cambria" w:hAnsi="Cambria"/>
          <w:sz w:val="20"/>
          <w:szCs w:val="20"/>
        </w:rPr>
        <w:footnoteReference w:id="142"/>
      </w:r>
      <w:r w:rsidRPr="00836C24">
        <w:rPr>
          <w:rFonts w:ascii="Cambria" w:hAnsi="Cambria"/>
          <w:sz w:val="20"/>
          <w:szCs w:val="20"/>
          <w:lang w:val="es-ES"/>
        </w:rPr>
        <w:t xml:space="preserve">. </w:t>
      </w:r>
      <w:r w:rsidRPr="00836C24">
        <w:rPr>
          <w:rFonts w:ascii="Cambria" w:hAnsi="Cambria"/>
          <w:sz w:val="20"/>
          <w:szCs w:val="20"/>
          <w:lang w:val="es-CO"/>
        </w:rPr>
        <w:t>Dicha prohibición subsiste aún en las circunstancias más difíciles, tales como guerra, amenaza de guerra, lucha contra el terrorismo y cualesquiera otros delitos, estado de sitio o de emergencia, conmoción o conflicto interno, suspensión de garantías constitucionales, inestabilidad política interna u otras emergencias o calamidades públicas</w:t>
      </w:r>
      <w:r w:rsidRPr="00836C24">
        <w:rPr>
          <w:rStyle w:val="FootnoteReference"/>
          <w:rFonts w:ascii="Cambria" w:hAnsi="Cambria"/>
          <w:sz w:val="20"/>
          <w:szCs w:val="20"/>
        </w:rPr>
        <w:footnoteReference w:id="143"/>
      </w:r>
      <w:r w:rsidRPr="00836C24">
        <w:rPr>
          <w:rFonts w:ascii="Cambria" w:hAnsi="Cambria"/>
          <w:sz w:val="20"/>
          <w:szCs w:val="20"/>
          <w:lang w:val="es-CO"/>
        </w:rPr>
        <w:t xml:space="preserve">. Asimismo, la </w:t>
      </w:r>
      <w:r w:rsidRPr="00836C24">
        <w:rPr>
          <w:rFonts w:ascii="Cambria" w:hAnsi="Cambria" w:cs="Arial"/>
          <w:sz w:val="20"/>
          <w:szCs w:val="20"/>
          <w:lang w:val="es-CO"/>
        </w:rPr>
        <w:t>Corte</w:t>
      </w:r>
      <w:r w:rsidRPr="00836C24">
        <w:rPr>
          <w:rFonts w:ascii="Cambria" w:hAnsi="Cambria"/>
          <w:sz w:val="20"/>
          <w:szCs w:val="20"/>
          <w:lang w:val="es-CO"/>
        </w:rPr>
        <w:t xml:space="preserve"> ha indicado que los tratados de alcance universal y regional consagran tal prohibición y el derecho inderogable a no ser torturado. Igualmente, numerosos instrumentos internacionales consagran ese derecho y reiteran la misma prohibición, incluso bajo el derecho internacional humanitario</w:t>
      </w:r>
      <w:r w:rsidRPr="00836C24">
        <w:rPr>
          <w:rStyle w:val="FootnoteReference"/>
          <w:rFonts w:ascii="Cambria" w:hAnsi="Cambria"/>
          <w:sz w:val="20"/>
          <w:szCs w:val="20"/>
        </w:rPr>
        <w:footnoteReference w:id="144"/>
      </w:r>
      <w:r w:rsidRPr="00836C24">
        <w:rPr>
          <w:rFonts w:ascii="Cambria" w:hAnsi="Cambria"/>
          <w:sz w:val="20"/>
          <w:szCs w:val="20"/>
          <w:lang w:val="es-CO"/>
        </w:rPr>
        <w:t>.</w:t>
      </w:r>
    </w:p>
    <w:p w:rsidR="001C2BBA" w:rsidRPr="00836C24" w:rsidRDefault="001C2BBA" w:rsidP="00D751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AR"/>
        </w:rPr>
      </w:pPr>
      <w:r w:rsidRPr="00836C24">
        <w:rPr>
          <w:rFonts w:ascii="Cambria" w:hAnsi="Cambria"/>
          <w:sz w:val="20"/>
          <w:szCs w:val="20"/>
          <w:lang w:val="es-CO"/>
        </w:rPr>
        <w:lastRenderedPageBreak/>
        <w:t>Según</w:t>
      </w:r>
      <w:r w:rsidRPr="00836C24">
        <w:rPr>
          <w:rFonts w:ascii="Cambria" w:hAnsi="Cambria"/>
          <w:sz w:val="20"/>
          <w:szCs w:val="20"/>
          <w:lang w:val="es-ES"/>
        </w:rPr>
        <w:t xml:space="preserve"> la jurisprudencia del sistema interamericano, para que una conducta sea calificada como tortura deben concurrir los siguientes elementos: i) que sea un acto intencional cometido por un agente del Estado o con su autorización o aquiescencia; ii) que cause intenso sufrimiento físico o mental y iii) que se cometa con determinado fin o propósito</w:t>
      </w:r>
      <w:r w:rsidRPr="00836C24">
        <w:rPr>
          <w:rStyle w:val="FootnoteReference"/>
          <w:rFonts w:ascii="Cambria" w:hAnsi="Cambria"/>
          <w:sz w:val="20"/>
          <w:szCs w:val="20"/>
          <w:lang w:val="es-ES"/>
        </w:rPr>
        <w:footnoteReference w:id="145"/>
      </w:r>
      <w:r w:rsidRPr="00836C24">
        <w:rPr>
          <w:rFonts w:ascii="Cambria" w:hAnsi="Cambria"/>
          <w:sz w:val="20"/>
          <w:szCs w:val="20"/>
          <w:lang w:val="es-ES"/>
        </w:rPr>
        <w:t>.</w:t>
      </w:r>
      <w:r w:rsidRPr="00836C24">
        <w:rPr>
          <w:rFonts w:ascii="Cambria" w:hAnsi="Cambria"/>
          <w:sz w:val="20"/>
          <w:szCs w:val="20"/>
          <w:lang w:val="es-AR"/>
        </w:rPr>
        <w:t xml:space="preserve"> </w:t>
      </w:r>
    </w:p>
    <w:p w:rsidR="007A580C" w:rsidRPr="00836C24" w:rsidRDefault="007A580C" w:rsidP="007A58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L"/>
        </w:rPr>
      </w:pPr>
    </w:p>
    <w:p w:rsidR="007A580C" w:rsidRPr="00836C24" w:rsidRDefault="007A580C" w:rsidP="005A58D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L"/>
        </w:rPr>
      </w:pPr>
      <w:r w:rsidRPr="00836C24">
        <w:rPr>
          <w:rFonts w:ascii="Cambria" w:hAnsi="Cambria"/>
          <w:sz w:val="20"/>
          <w:szCs w:val="20"/>
          <w:lang w:val="es-ES_tradnl"/>
        </w:rPr>
        <w:t>Por otra parte, la Comisión recuerda en cuanto a las afectaciones que sufren personas que se encuentran bajo custodia del Estado, que conforme a la jurisprudencia constante de la Comisión y la Corte Interamericana, siempre que una persona es detenida en un estado de salud normal y posteriormente aparece con afectaciones a su salud, corresponde al Estado proveer una expli</w:t>
      </w:r>
      <w:r w:rsidR="001F6E9B" w:rsidRPr="00836C24">
        <w:rPr>
          <w:rFonts w:ascii="Cambria" w:hAnsi="Cambria"/>
          <w:sz w:val="20"/>
          <w:szCs w:val="20"/>
          <w:lang w:val="es-ES_tradnl"/>
        </w:rPr>
        <w:t>cación creíble de esa situación. E</w:t>
      </w:r>
      <w:r w:rsidRPr="00836C24">
        <w:rPr>
          <w:rFonts w:ascii="Cambria" w:hAnsi="Cambria"/>
          <w:sz w:val="20"/>
          <w:szCs w:val="20"/>
          <w:lang w:val="es-ES_tradnl"/>
        </w:rPr>
        <w:t>n consecuencia, existe la presunción de considerar responsable al Estado por las lesiones que exhibe una persona que ha estado bajo la custodia de agentes estatales. En dicho supuesto, recae en el Estado la obligación de proveer una explicación satisfactoria y convincente de lo sucedido y desvirtuar las alegaciones sobre su responsabilidad, mediante elementos probatorios adecuados</w:t>
      </w:r>
      <w:r w:rsidRPr="00836C24">
        <w:rPr>
          <w:rStyle w:val="FootnoteReference"/>
          <w:rFonts w:ascii="Cambria" w:hAnsi="Cambria"/>
          <w:sz w:val="20"/>
          <w:szCs w:val="20"/>
        </w:rPr>
        <w:footnoteReference w:id="146"/>
      </w:r>
      <w:r w:rsidRPr="00836C24">
        <w:rPr>
          <w:rFonts w:ascii="Cambria" w:hAnsi="Cambria"/>
          <w:sz w:val="20"/>
          <w:szCs w:val="20"/>
          <w:lang w:val="es-ES_tradnl"/>
        </w:rPr>
        <w:t xml:space="preserve">. </w:t>
      </w:r>
    </w:p>
    <w:p w:rsidR="007A580C" w:rsidRPr="00836C24" w:rsidRDefault="007A580C" w:rsidP="00B81C80">
      <w:pPr>
        <w:rPr>
          <w:sz w:val="20"/>
          <w:szCs w:val="20"/>
          <w:lang w:val="es-CL"/>
        </w:rPr>
      </w:pPr>
    </w:p>
    <w:p w:rsidR="007A580C" w:rsidRPr="00836C24" w:rsidRDefault="007A580C" w:rsidP="005A58D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L"/>
        </w:rPr>
      </w:pPr>
      <w:r w:rsidRPr="00836C24">
        <w:rPr>
          <w:rFonts w:ascii="Cambria" w:hAnsi="Cambria"/>
          <w:sz w:val="20"/>
          <w:szCs w:val="20"/>
          <w:lang w:val="es-CL"/>
        </w:rPr>
        <w:t xml:space="preserve">La </w:t>
      </w:r>
      <w:r w:rsidRPr="00836C24">
        <w:rPr>
          <w:rFonts w:ascii="Cambria" w:hAnsi="Cambria"/>
          <w:sz w:val="20"/>
          <w:szCs w:val="20"/>
          <w:lang w:val="es-US"/>
        </w:rPr>
        <w:t xml:space="preserve">Corte </w:t>
      </w:r>
      <w:r w:rsidRPr="00836C24">
        <w:rPr>
          <w:rFonts w:ascii="Cambria" w:hAnsi="Cambria"/>
          <w:sz w:val="20"/>
          <w:szCs w:val="20"/>
          <w:lang w:val="es-ES_tradnl"/>
        </w:rPr>
        <w:t>Interamericana</w:t>
      </w:r>
      <w:r w:rsidRPr="00836C24">
        <w:rPr>
          <w:rFonts w:ascii="Cambria" w:hAnsi="Cambria"/>
          <w:sz w:val="20"/>
          <w:szCs w:val="20"/>
          <w:lang w:val="es-US"/>
        </w:rPr>
        <w:t xml:space="preserve"> ha señalado que</w:t>
      </w:r>
      <w:r w:rsidRPr="00836C24">
        <w:rPr>
          <w:rFonts w:ascii="Cambria" w:eastAsia="Times New Roman" w:hAnsi="Cambria"/>
          <w:sz w:val="20"/>
          <w:szCs w:val="20"/>
          <w:lang w:val="es-ES"/>
        </w:rPr>
        <w:t xml:space="preserve"> cuando existe una denuncia o razón fundada para creer que se ha cometido un acto de tortura, existe una obligación estatal de iniciar de oficio e inmediatamente una investigación efectiva que permita identificar, juzgar y sancionar a los </w:t>
      </w:r>
      <w:r w:rsidRPr="00836C24">
        <w:rPr>
          <w:rFonts w:ascii="Cambria" w:eastAsia="Times New Roman" w:hAnsi="Cambria"/>
          <w:sz w:val="20"/>
          <w:szCs w:val="20"/>
          <w:lang w:val="es-ES_tradnl"/>
        </w:rPr>
        <w:t>responsables</w:t>
      </w:r>
      <w:r w:rsidRPr="00836C24">
        <w:rPr>
          <w:rFonts w:ascii="Cambria" w:eastAsia="Times New Roman" w:hAnsi="Cambria"/>
          <w:sz w:val="20"/>
          <w:szCs w:val="20"/>
          <w:lang w:val="es-ES"/>
        </w:rPr>
        <w:t>, conforme a la obligación general de garantizar a toda persona bajo su jurisdicción los derechos humanos consagrados en la Convención, establecida en el artículo 1.1. de la misma en conjunto con el derecho a la integridad personal</w:t>
      </w:r>
      <w:r w:rsidRPr="00836C24">
        <w:rPr>
          <w:rFonts w:ascii="Cambria" w:eastAsia="Times New Roman" w:hAnsi="Cambria"/>
          <w:sz w:val="20"/>
          <w:szCs w:val="20"/>
          <w:vertAlign w:val="superscript"/>
          <w:lang w:val="es-ES"/>
        </w:rPr>
        <w:footnoteReference w:id="147"/>
      </w:r>
      <w:r w:rsidR="004D5D4A" w:rsidRPr="00836C24">
        <w:rPr>
          <w:rFonts w:ascii="Cambria" w:eastAsia="Times New Roman" w:hAnsi="Cambria"/>
          <w:sz w:val="20"/>
          <w:szCs w:val="20"/>
          <w:lang w:val="es-ES"/>
        </w:rPr>
        <w:t xml:space="preserve">. </w:t>
      </w:r>
      <w:r w:rsidRPr="00836C24">
        <w:rPr>
          <w:rFonts w:ascii="Cambria" w:eastAsia="Times New Roman" w:hAnsi="Cambria"/>
          <w:sz w:val="20"/>
          <w:szCs w:val="20"/>
          <w:lang w:val="es-ES"/>
        </w:rPr>
        <w:t>Esta investigación debe ser realizada por todos los medios legales disponibles y orientados a la determinación de la verdad y la investigación, persecución, captura, enjuiciamiento y castigo de todos los responsables de los hechos</w:t>
      </w:r>
      <w:r w:rsidRPr="00836C24">
        <w:rPr>
          <w:rStyle w:val="FootnoteReference"/>
          <w:rFonts w:ascii="Cambria" w:eastAsia="Times New Roman" w:hAnsi="Cambria"/>
          <w:sz w:val="20"/>
          <w:szCs w:val="20"/>
          <w:lang w:val="es-ES"/>
        </w:rPr>
        <w:footnoteReference w:id="148"/>
      </w:r>
      <w:r w:rsidRPr="00836C24">
        <w:rPr>
          <w:rFonts w:ascii="Cambria" w:eastAsia="Times New Roman" w:hAnsi="Cambria"/>
          <w:sz w:val="20"/>
          <w:szCs w:val="20"/>
          <w:lang w:val="es-ES"/>
        </w:rPr>
        <w:t>. La obligación de investigar exhaustivamente hechos de tortura adquiere mayor importancia si éstos se produjeron mientras la víctima se encontraba bajo custodia estatal</w:t>
      </w:r>
      <w:r w:rsidRPr="00836C24">
        <w:rPr>
          <w:rStyle w:val="FootnoteReference"/>
          <w:rFonts w:ascii="Cambria" w:eastAsia="Times New Roman" w:hAnsi="Cambria"/>
          <w:sz w:val="20"/>
          <w:szCs w:val="20"/>
          <w:lang w:val="es-ES"/>
        </w:rPr>
        <w:footnoteReference w:id="149"/>
      </w:r>
      <w:r w:rsidRPr="00836C24">
        <w:rPr>
          <w:rFonts w:ascii="Cambria" w:eastAsia="Times New Roman" w:hAnsi="Cambria"/>
          <w:sz w:val="20"/>
          <w:szCs w:val="20"/>
          <w:lang w:val="es-ES"/>
        </w:rPr>
        <w:t>.</w:t>
      </w:r>
    </w:p>
    <w:p w:rsidR="007A580C" w:rsidRPr="00836C24" w:rsidRDefault="007A580C" w:rsidP="007A580C">
      <w:pPr>
        <w:pStyle w:val="ListParagraph"/>
        <w:rPr>
          <w:rFonts w:eastAsia="Times New Roman"/>
          <w:sz w:val="20"/>
          <w:szCs w:val="20"/>
          <w:lang w:val="es-ES"/>
        </w:rPr>
      </w:pPr>
    </w:p>
    <w:p w:rsidR="00841E5C" w:rsidRPr="00D552A8" w:rsidRDefault="007A580C" w:rsidP="00841E5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L"/>
        </w:rPr>
      </w:pPr>
      <w:r w:rsidRPr="00836C24">
        <w:rPr>
          <w:rFonts w:ascii="Cambria" w:eastAsia="Times New Roman" w:hAnsi="Cambria"/>
          <w:sz w:val="20"/>
          <w:szCs w:val="20"/>
          <w:lang w:val="es-ES"/>
        </w:rPr>
        <w:t>Según la Corte, en los casos en los que existen alegatos de supuestas torturas o malos tratos, el tiempo transcurrido para la realización de las correspondientes pericias médicas es esencial para determinar fehacientemente la existencia del daño, sobre todo cuando no se cuenta con testigos más allá de los perpetradores y las propias víctimas, y en consecuencia los elementos pueden ser escasos. De ello se desprende que para que una investigación sobre hechos de tortura sea efectiva, la misma deberá ser efectuada con prontitud</w:t>
      </w:r>
      <w:r w:rsidRPr="00836C24">
        <w:rPr>
          <w:rStyle w:val="FootnoteReference"/>
          <w:rFonts w:ascii="Cambria" w:eastAsia="Times New Roman" w:hAnsi="Cambria"/>
          <w:sz w:val="20"/>
          <w:szCs w:val="20"/>
          <w:lang w:val="es-ES"/>
        </w:rPr>
        <w:footnoteReference w:id="150"/>
      </w:r>
      <w:r w:rsidRPr="00836C24">
        <w:rPr>
          <w:rFonts w:ascii="Cambria" w:eastAsia="Times New Roman" w:hAnsi="Cambria"/>
          <w:sz w:val="20"/>
          <w:szCs w:val="20"/>
          <w:lang w:val="es-ES"/>
        </w:rPr>
        <w:t xml:space="preserve">. </w:t>
      </w:r>
    </w:p>
    <w:p w:rsidR="007A580C" w:rsidRPr="00836C24" w:rsidRDefault="00077C82" w:rsidP="007A580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L"/>
        </w:rPr>
      </w:pPr>
      <w:r w:rsidRPr="00836C24">
        <w:rPr>
          <w:rFonts w:ascii="Cambria" w:hAnsi="Cambria"/>
          <w:sz w:val="20"/>
          <w:szCs w:val="20"/>
          <w:lang w:val="es-ES"/>
        </w:rPr>
        <w:lastRenderedPageBreak/>
        <w:t xml:space="preserve">Igualmente, el Comité contra la Tortura de las Naciones Unidas ha establecido que frente a alegatos de tortura, es necesario que se realice en todos los casos un examen por un médico independiente de conformidad con el Protocolo de </w:t>
      </w:r>
      <w:r w:rsidRPr="00836C24">
        <w:rPr>
          <w:rFonts w:ascii="Cambria" w:eastAsia="Times New Roman" w:hAnsi="Cambria"/>
          <w:sz w:val="20"/>
          <w:szCs w:val="20"/>
          <w:lang w:val="es-ES"/>
        </w:rPr>
        <w:t>Estambul</w:t>
      </w:r>
      <w:r w:rsidRPr="00836C24">
        <w:rPr>
          <w:rStyle w:val="FootnoteReference"/>
          <w:rFonts w:ascii="Cambria" w:hAnsi="Cambria"/>
          <w:sz w:val="20"/>
          <w:szCs w:val="20"/>
          <w:lang w:val="es-ES"/>
        </w:rPr>
        <w:footnoteReference w:id="151"/>
      </w:r>
      <w:r w:rsidRPr="00836C24">
        <w:rPr>
          <w:rFonts w:ascii="Cambria" w:hAnsi="Cambria"/>
          <w:sz w:val="20"/>
          <w:szCs w:val="20"/>
          <w:lang w:val="es-ES"/>
        </w:rPr>
        <w:t>. De acuerdo con dicho instrumento, la evaluación médica debería contener: i) información sobre el caso; ii) calificaciones del clínico (para el testimonio judicial); iii) declaración relativa a la veracidad del testimonio (para el testimonio judicial); iv) información de base; v) alegaciones de tortura y malos tratos; vi) síntomas y discapacidades físicas; vii) historia/exploración psicológica; viii) fotografías; ix) resultados de las pruebas de diagnóstico; x) consultas; xi) interpretación de los hallazgos; xii) conclusiones y recomendaciones; xiii) declaración de verac</w:t>
      </w:r>
      <w:r w:rsidR="00D552A8">
        <w:rPr>
          <w:rFonts w:ascii="Cambria" w:hAnsi="Cambria"/>
          <w:sz w:val="20"/>
          <w:szCs w:val="20"/>
          <w:lang w:val="es-ES"/>
        </w:rPr>
        <w:t>idad; xiv</w:t>
      </w:r>
      <w:r w:rsidRPr="00836C24">
        <w:rPr>
          <w:rFonts w:ascii="Cambria" w:hAnsi="Cambria"/>
          <w:sz w:val="20"/>
          <w:szCs w:val="20"/>
          <w:lang w:val="es-ES"/>
        </w:rPr>
        <w:t>) declaración de restricciones a la eva</w:t>
      </w:r>
      <w:r w:rsidR="00D552A8">
        <w:rPr>
          <w:rFonts w:ascii="Cambria" w:hAnsi="Cambria"/>
          <w:sz w:val="20"/>
          <w:szCs w:val="20"/>
          <w:lang w:val="es-ES"/>
        </w:rPr>
        <w:t>luación/investigación médica; x</w:t>
      </w:r>
      <w:r w:rsidRPr="00836C24">
        <w:rPr>
          <w:rFonts w:ascii="Cambria" w:hAnsi="Cambria"/>
          <w:sz w:val="20"/>
          <w:szCs w:val="20"/>
          <w:lang w:val="es-ES"/>
        </w:rPr>
        <w:t>v) firma del clínico, fecha, lugar; xv</w:t>
      </w:r>
      <w:r w:rsidR="00D552A8">
        <w:rPr>
          <w:rFonts w:ascii="Cambria" w:hAnsi="Cambria"/>
          <w:sz w:val="20"/>
          <w:szCs w:val="20"/>
          <w:lang w:val="es-ES"/>
        </w:rPr>
        <w:t>i</w:t>
      </w:r>
      <w:r w:rsidRPr="00836C24">
        <w:rPr>
          <w:rFonts w:ascii="Cambria" w:hAnsi="Cambria"/>
          <w:sz w:val="20"/>
          <w:szCs w:val="20"/>
          <w:lang w:val="es-ES"/>
        </w:rPr>
        <w:t>) anexos pertinentes</w:t>
      </w:r>
      <w:r w:rsidRPr="00836C24">
        <w:rPr>
          <w:rStyle w:val="FootnoteReference"/>
          <w:rFonts w:ascii="Cambria" w:hAnsi="Cambria"/>
          <w:sz w:val="20"/>
          <w:szCs w:val="20"/>
          <w:lang w:val="es-ES"/>
        </w:rPr>
        <w:footnoteReference w:id="152"/>
      </w:r>
      <w:r w:rsidRPr="00836C24">
        <w:rPr>
          <w:rFonts w:ascii="Cambria" w:hAnsi="Cambria"/>
          <w:sz w:val="20"/>
          <w:szCs w:val="20"/>
          <w:lang w:val="es-ES"/>
        </w:rPr>
        <w:t>.</w:t>
      </w:r>
    </w:p>
    <w:p w:rsidR="00CC03B1" w:rsidRPr="00836C24" w:rsidRDefault="005972B5" w:rsidP="006936A4">
      <w:pPr>
        <w:pStyle w:val="Heading3"/>
        <w:ind w:left="720"/>
        <w:rPr>
          <w:color w:val="auto"/>
          <w:sz w:val="20"/>
          <w:szCs w:val="20"/>
          <w:lang w:val="es-CO"/>
        </w:rPr>
      </w:pPr>
      <w:bookmarkStart w:id="76" w:name="_Toc491441653"/>
      <w:r w:rsidRPr="00836C24">
        <w:rPr>
          <w:color w:val="auto"/>
          <w:sz w:val="20"/>
          <w:szCs w:val="20"/>
          <w:lang w:val="es-CO"/>
        </w:rPr>
        <w:t>2.</w:t>
      </w:r>
      <w:r w:rsidRPr="00836C24">
        <w:rPr>
          <w:color w:val="auto"/>
          <w:sz w:val="20"/>
          <w:szCs w:val="20"/>
          <w:lang w:val="es-CO"/>
        </w:rPr>
        <w:tab/>
      </w:r>
      <w:r w:rsidR="00CC03B1" w:rsidRPr="00836C24">
        <w:rPr>
          <w:color w:val="auto"/>
          <w:sz w:val="20"/>
          <w:szCs w:val="20"/>
          <w:lang w:val="es-CO"/>
        </w:rPr>
        <w:t>Análisis del caso</w:t>
      </w:r>
      <w:bookmarkEnd w:id="76"/>
    </w:p>
    <w:p w:rsidR="007A580C" w:rsidRPr="00836C24" w:rsidRDefault="007A580C" w:rsidP="007A580C">
      <w:pPr>
        <w:rPr>
          <w:rFonts w:ascii="Cambria" w:hAnsi="Cambria"/>
          <w:lang w:val="es-CO"/>
        </w:rPr>
      </w:pPr>
    </w:p>
    <w:p w:rsidR="007A580C" w:rsidRPr="00836C24" w:rsidRDefault="007A580C" w:rsidP="007A580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L"/>
        </w:rPr>
      </w:pPr>
      <w:r w:rsidRPr="00836C24">
        <w:rPr>
          <w:rFonts w:ascii="Cambria" w:hAnsi="Cambria"/>
          <w:sz w:val="20"/>
          <w:szCs w:val="20"/>
          <w:lang w:val="es-ES_tradnl"/>
        </w:rPr>
        <w:t>A continuación la Comisión analizará los alegatos de tortura de Hugo Humberto Ruiz Fuentes a la luz de l</w:t>
      </w:r>
      <w:r w:rsidR="006E0DA6" w:rsidRPr="00836C24">
        <w:rPr>
          <w:rFonts w:ascii="Cambria" w:hAnsi="Cambria"/>
          <w:sz w:val="20"/>
          <w:szCs w:val="20"/>
          <w:lang w:val="es-ES_tradnl"/>
        </w:rPr>
        <w:t xml:space="preserve">as consideraciones </w:t>
      </w:r>
      <w:r w:rsidRPr="00836C24">
        <w:rPr>
          <w:rFonts w:ascii="Cambria" w:hAnsi="Cambria"/>
          <w:sz w:val="20"/>
          <w:szCs w:val="20"/>
          <w:lang w:val="es-ES_tradnl"/>
        </w:rPr>
        <w:t xml:space="preserve">anteriores </w:t>
      </w:r>
      <w:r w:rsidR="00087CA8" w:rsidRPr="00836C24">
        <w:rPr>
          <w:rFonts w:ascii="Cambria" w:hAnsi="Cambria"/>
          <w:sz w:val="20"/>
          <w:szCs w:val="20"/>
          <w:lang w:val="es-ES_tradnl"/>
        </w:rPr>
        <w:t>tanto</w:t>
      </w:r>
      <w:r w:rsidR="006E0DA6" w:rsidRPr="00836C24">
        <w:rPr>
          <w:rFonts w:ascii="Cambria" w:hAnsi="Cambria"/>
          <w:sz w:val="20"/>
          <w:szCs w:val="20"/>
          <w:lang w:val="es-ES_tradnl"/>
        </w:rPr>
        <w:t xml:space="preserve"> respecto </w:t>
      </w:r>
      <w:r w:rsidR="00841465" w:rsidRPr="00836C24">
        <w:rPr>
          <w:rFonts w:ascii="Cambria" w:hAnsi="Cambria"/>
          <w:sz w:val="20"/>
          <w:szCs w:val="20"/>
          <w:lang w:val="es-ES_tradnl"/>
        </w:rPr>
        <w:t>de la tortura y sus elementos constitutivos, como respecto del deber de investigar denuncia o razón fundada de tortura.</w:t>
      </w:r>
      <w:r w:rsidRPr="00836C24">
        <w:rPr>
          <w:rFonts w:ascii="Cambria" w:hAnsi="Cambria"/>
          <w:sz w:val="20"/>
          <w:szCs w:val="20"/>
          <w:lang w:val="es-ES_tradnl"/>
        </w:rPr>
        <w:t xml:space="preserve"> </w:t>
      </w:r>
      <w:r w:rsidRPr="00836C24">
        <w:rPr>
          <w:rFonts w:ascii="Cambria" w:hAnsi="Cambria"/>
          <w:sz w:val="20"/>
          <w:szCs w:val="20"/>
          <w:lang w:val="es-US"/>
        </w:rPr>
        <w:t xml:space="preserve">La Comisión </w:t>
      </w:r>
      <w:r w:rsidR="00D66F8E" w:rsidRPr="00836C24">
        <w:rPr>
          <w:rFonts w:ascii="Cambria" w:hAnsi="Cambria"/>
          <w:sz w:val="20"/>
          <w:szCs w:val="20"/>
          <w:lang w:val="es-US"/>
        </w:rPr>
        <w:t>recuerda</w:t>
      </w:r>
      <w:r w:rsidRPr="00836C24">
        <w:rPr>
          <w:rFonts w:ascii="Cambria" w:hAnsi="Cambria"/>
          <w:sz w:val="20"/>
          <w:szCs w:val="20"/>
          <w:lang w:val="es-US"/>
        </w:rPr>
        <w:t xml:space="preserve"> que la presunta víctima Hugo Humberto Ruiz Fuentes, alegó haber sido torturado por miembros de la Policía, en el momento de su detención, el 6 de agosto de 1997.</w:t>
      </w:r>
    </w:p>
    <w:p w:rsidR="007A580C" w:rsidRPr="00836C24" w:rsidRDefault="002541B4" w:rsidP="006936A4">
      <w:pPr>
        <w:pStyle w:val="Heading4"/>
        <w:ind w:left="720"/>
        <w:rPr>
          <w:rFonts w:asciiTheme="majorHAnsi" w:hAnsiTheme="majorHAnsi"/>
          <w:sz w:val="20"/>
          <w:lang w:val="es-ES_tradnl"/>
        </w:rPr>
      </w:pPr>
      <w:r w:rsidRPr="00836C24">
        <w:rPr>
          <w:rFonts w:asciiTheme="majorHAnsi" w:hAnsiTheme="majorHAnsi"/>
          <w:sz w:val="20"/>
          <w:lang w:val="es-ES_tradnl"/>
        </w:rPr>
        <w:t>2.1</w:t>
      </w:r>
      <w:r w:rsidRPr="00836C24">
        <w:rPr>
          <w:rFonts w:asciiTheme="majorHAnsi" w:hAnsiTheme="majorHAnsi"/>
          <w:sz w:val="20"/>
          <w:lang w:val="es-ES_tradnl"/>
        </w:rPr>
        <w:tab/>
      </w:r>
      <w:r w:rsidR="007A580C" w:rsidRPr="00836C24">
        <w:rPr>
          <w:rFonts w:asciiTheme="majorHAnsi" w:hAnsiTheme="majorHAnsi"/>
          <w:sz w:val="20"/>
          <w:lang w:val="es-ES_tradnl"/>
        </w:rPr>
        <w:t>Sobre la prueba de las</w:t>
      </w:r>
      <w:r w:rsidR="00CC42F4" w:rsidRPr="00836C24">
        <w:rPr>
          <w:rFonts w:asciiTheme="majorHAnsi" w:hAnsiTheme="majorHAnsi"/>
          <w:sz w:val="20"/>
          <w:lang w:val="es-ES_tradnl"/>
        </w:rPr>
        <w:t xml:space="preserve"> afectaciones a la integridad personal</w:t>
      </w:r>
      <w:r w:rsidR="007A580C" w:rsidRPr="00836C24">
        <w:rPr>
          <w:rFonts w:asciiTheme="majorHAnsi" w:hAnsiTheme="majorHAnsi"/>
          <w:sz w:val="20"/>
          <w:lang w:val="es-ES_tradnl"/>
        </w:rPr>
        <w:t xml:space="preserve"> </w:t>
      </w:r>
    </w:p>
    <w:p w:rsidR="007A580C" w:rsidRPr="00836C24" w:rsidRDefault="007A580C" w:rsidP="007A58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1080"/>
          <w:tab w:val="left" w:pos="1440"/>
          <w:tab w:val="num" w:pos="2040"/>
        </w:tabs>
        <w:jc w:val="both"/>
        <w:rPr>
          <w:rFonts w:ascii="Cambria" w:hAnsi="Cambria"/>
          <w:sz w:val="20"/>
          <w:szCs w:val="20"/>
          <w:lang w:val="es-US"/>
        </w:rPr>
      </w:pPr>
    </w:p>
    <w:p w:rsidR="007A580C" w:rsidRPr="00836C24" w:rsidRDefault="007A580C" w:rsidP="00733AB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eastAsia="Times New Roman" w:hAnsi="Cambria"/>
          <w:sz w:val="20"/>
          <w:szCs w:val="20"/>
          <w:lang w:val="es-ES"/>
        </w:rPr>
        <w:t>Sobre</w:t>
      </w:r>
      <w:r w:rsidRPr="00836C24">
        <w:rPr>
          <w:rFonts w:ascii="Cambria" w:hAnsi="Cambria"/>
          <w:sz w:val="20"/>
          <w:szCs w:val="20"/>
          <w:lang w:val="es-ES_tradnl"/>
        </w:rPr>
        <w:t xml:space="preserve"> la ocurrencia de las afectaciones</w:t>
      </w:r>
      <w:r w:rsidR="00CC42F4" w:rsidRPr="00836C24">
        <w:rPr>
          <w:rFonts w:ascii="Cambria" w:hAnsi="Cambria"/>
          <w:sz w:val="20"/>
          <w:szCs w:val="20"/>
          <w:lang w:val="es-ES_tradnl"/>
        </w:rPr>
        <w:t xml:space="preserve"> a la integridad</w:t>
      </w:r>
      <w:r w:rsidR="00E35BCC" w:rsidRPr="00836C24">
        <w:rPr>
          <w:rFonts w:ascii="Cambria" w:hAnsi="Cambria"/>
          <w:sz w:val="20"/>
          <w:szCs w:val="20"/>
          <w:lang w:val="es-ES_tradnl"/>
        </w:rPr>
        <w:t xml:space="preserve"> personal </w:t>
      </w:r>
      <w:r w:rsidR="007225FE" w:rsidRPr="00836C24">
        <w:rPr>
          <w:rFonts w:ascii="Cambria" w:hAnsi="Cambria"/>
          <w:sz w:val="20"/>
          <w:szCs w:val="20"/>
          <w:lang w:val="es-ES_tradnl"/>
        </w:rPr>
        <w:t>del señor Ruiz Fuentes</w:t>
      </w:r>
      <w:r w:rsidRPr="00836C24">
        <w:rPr>
          <w:rFonts w:ascii="Cambria" w:hAnsi="Cambria"/>
          <w:sz w:val="20"/>
          <w:szCs w:val="20"/>
          <w:lang w:val="es-ES_tradnl"/>
        </w:rPr>
        <w:t>, la Comisión recapitula los elementos probatorios disponibles</w:t>
      </w:r>
      <w:r w:rsidR="009A75FB" w:rsidRPr="00836C24">
        <w:rPr>
          <w:rFonts w:ascii="Cambria" w:hAnsi="Cambria"/>
          <w:sz w:val="20"/>
          <w:szCs w:val="20"/>
          <w:lang w:val="es-ES_tradnl"/>
        </w:rPr>
        <w:t xml:space="preserve"> que fueron descritos en los hechos probados.</w:t>
      </w:r>
    </w:p>
    <w:p w:rsidR="007A580C" w:rsidRPr="00836C24" w:rsidRDefault="007A580C" w:rsidP="007A58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L"/>
        </w:rPr>
      </w:pPr>
    </w:p>
    <w:p w:rsidR="007A580C" w:rsidRPr="00836C24" w:rsidRDefault="007A580C" w:rsidP="00DB1B8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 En primer lugar, la presunta víctima</w:t>
      </w:r>
      <w:r w:rsidR="009D59B9" w:rsidRPr="00836C24">
        <w:rPr>
          <w:rFonts w:ascii="Cambria" w:hAnsi="Cambria"/>
          <w:sz w:val="20"/>
          <w:szCs w:val="20"/>
          <w:lang w:val="es-ES_tradnl"/>
        </w:rPr>
        <w:t xml:space="preserve"> describió su detención en su declaración de </w:t>
      </w:r>
      <w:r w:rsidRPr="00836C24">
        <w:rPr>
          <w:rFonts w:ascii="Cambria" w:hAnsi="Cambria"/>
          <w:sz w:val="20"/>
          <w:szCs w:val="20"/>
          <w:lang w:val="es-ES_tradnl"/>
        </w:rPr>
        <w:t>29 de abril de 1998</w:t>
      </w:r>
      <w:r w:rsidR="00AF4BA1" w:rsidRPr="00836C24">
        <w:rPr>
          <w:rFonts w:ascii="Cambria" w:hAnsi="Cambria"/>
          <w:sz w:val="20"/>
          <w:szCs w:val="20"/>
          <w:lang w:val="es-ES_tradnl"/>
        </w:rPr>
        <w:t xml:space="preserve"> indicando que</w:t>
      </w:r>
      <w:r w:rsidRPr="00836C24">
        <w:rPr>
          <w:rFonts w:ascii="Cambria" w:hAnsi="Cambria"/>
          <w:sz w:val="20"/>
          <w:szCs w:val="20"/>
          <w:lang w:val="es-ES_tradnl"/>
        </w:rPr>
        <w:t xml:space="preserve"> cuando </w:t>
      </w:r>
      <w:r w:rsidR="00A311B8" w:rsidRPr="00836C24">
        <w:rPr>
          <w:rFonts w:ascii="Cambria" w:hAnsi="Cambria"/>
          <w:sz w:val="20"/>
          <w:szCs w:val="20"/>
          <w:lang w:val="es-ES_tradnl"/>
        </w:rPr>
        <w:t>se transportaba</w:t>
      </w:r>
      <w:r w:rsidRPr="00836C24">
        <w:rPr>
          <w:rFonts w:ascii="Cambria" w:hAnsi="Cambria"/>
          <w:sz w:val="20"/>
          <w:szCs w:val="20"/>
          <w:lang w:val="es-ES_tradnl"/>
        </w:rPr>
        <w:t xml:space="preserve"> en un vehículo fue interceptado por individuos que se conducían en dos vehículos, lo subieron a una panel beige y según </w:t>
      </w:r>
      <w:r w:rsidRPr="00836C24">
        <w:rPr>
          <w:rFonts w:ascii="Cambria" w:eastAsia="Times New Roman" w:hAnsi="Cambria"/>
          <w:sz w:val="20"/>
          <w:szCs w:val="20"/>
          <w:lang w:val="es-ES"/>
        </w:rPr>
        <w:t>indicó</w:t>
      </w:r>
      <w:r w:rsidRPr="00836C24">
        <w:rPr>
          <w:rFonts w:ascii="Cambria" w:hAnsi="Cambria"/>
          <w:sz w:val="20"/>
          <w:szCs w:val="20"/>
          <w:lang w:val="es-ES_tradnl"/>
        </w:rPr>
        <w:t xml:space="preserve"> “me golpearon el intestino, las costillas y me preguntaban por varios secuestros como no les decía nada me pegaban”. Agregó lo siguiente: “me golpeaban con un palo que tenía como esponja porque solo sentía el dolor adentro” También indicó que luego lo llevaron a una “casa desconocida donde me bajaron, con el pantalón hasta abajo y el calzoncillo, me tiraron de la panel para abajo, en el lugar estaba un señor grande creo que es Don CONTE COJULUN y les dijo que me pararan luego porque me podía morir (…) me llevaron al hospital en un pick up del Ciprosi (…) como al tercer día de estar en el hospital llegó un señor que dijo ser comisario SOTO (…) y llegaron como tres veces, luego llegaron otros tres de particular y me llevaron unos jugos, diciéndome que no dijera nada de lo que me había pasado, que dijera que me había caído de una casa donde me había tirado”. </w:t>
      </w:r>
    </w:p>
    <w:p w:rsidR="007A580C" w:rsidRPr="00836C24" w:rsidRDefault="007A580C" w:rsidP="007A580C">
      <w:pPr>
        <w:pStyle w:val="ListParagraph"/>
        <w:rPr>
          <w:sz w:val="20"/>
          <w:szCs w:val="20"/>
          <w:lang w:val="es-ES_tradnl"/>
        </w:rPr>
      </w:pPr>
    </w:p>
    <w:p w:rsidR="007A580C" w:rsidRPr="00836C24" w:rsidRDefault="007A580C" w:rsidP="00AA7C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En segundo lugar, constan una serie de informes médicos que dan cuenta de que </w:t>
      </w:r>
      <w:r w:rsidR="00E501EC" w:rsidRPr="00836C24">
        <w:rPr>
          <w:rFonts w:ascii="Cambria" w:hAnsi="Cambria"/>
          <w:sz w:val="20"/>
          <w:szCs w:val="20"/>
          <w:lang w:val="es-ES_tradnl"/>
        </w:rPr>
        <w:t xml:space="preserve">el señor Ruiz Fuentes </w:t>
      </w:r>
      <w:r w:rsidR="009F18AC" w:rsidRPr="00836C24">
        <w:rPr>
          <w:rFonts w:ascii="Cambria" w:hAnsi="Cambria"/>
          <w:sz w:val="20"/>
          <w:szCs w:val="20"/>
          <w:lang w:val="es-ES_tradnl"/>
        </w:rPr>
        <w:t>ingresó el 6 de agosto de 199</w:t>
      </w:r>
      <w:r w:rsidR="00A44BD8" w:rsidRPr="00836C24">
        <w:rPr>
          <w:rFonts w:ascii="Cambria" w:hAnsi="Cambria"/>
          <w:sz w:val="20"/>
          <w:szCs w:val="20"/>
          <w:lang w:val="es-ES_tradnl"/>
        </w:rPr>
        <w:t xml:space="preserve">7 </w:t>
      </w:r>
      <w:r w:rsidR="00A05922" w:rsidRPr="00836C24">
        <w:rPr>
          <w:rFonts w:ascii="Cambria" w:hAnsi="Cambria"/>
          <w:sz w:val="20"/>
          <w:szCs w:val="20"/>
          <w:lang w:val="es-ES_tradnl"/>
        </w:rPr>
        <w:t xml:space="preserve">al </w:t>
      </w:r>
      <w:r w:rsidR="00705169" w:rsidRPr="00836C24">
        <w:rPr>
          <w:rFonts w:ascii="Cambria" w:hAnsi="Cambria"/>
          <w:sz w:val="20"/>
          <w:szCs w:val="20"/>
          <w:lang w:val="es-ES_tradnl"/>
        </w:rPr>
        <w:t>H</w:t>
      </w:r>
      <w:r w:rsidR="00A05922" w:rsidRPr="00836C24">
        <w:rPr>
          <w:rFonts w:ascii="Cambria" w:hAnsi="Cambria"/>
          <w:sz w:val="20"/>
          <w:szCs w:val="20"/>
          <w:lang w:val="es-ES_tradnl"/>
        </w:rPr>
        <w:t xml:space="preserve">ospital Roosevelt y que </w:t>
      </w:r>
      <w:r w:rsidR="00E501EC" w:rsidRPr="00836C24">
        <w:rPr>
          <w:rFonts w:ascii="Cambria" w:hAnsi="Cambria"/>
          <w:sz w:val="20"/>
          <w:szCs w:val="20"/>
          <w:lang w:val="es-ES_tradnl"/>
        </w:rPr>
        <w:t>efectivamente presentaba lesi</w:t>
      </w:r>
      <w:r w:rsidR="00756C11" w:rsidRPr="00836C24">
        <w:rPr>
          <w:rFonts w:ascii="Cambria" w:hAnsi="Cambria"/>
          <w:sz w:val="20"/>
          <w:szCs w:val="20"/>
          <w:lang w:val="es-ES_tradnl"/>
        </w:rPr>
        <w:t xml:space="preserve">ones. </w:t>
      </w:r>
      <w:r w:rsidR="007C012E" w:rsidRPr="00836C24">
        <w:rPr>
          <w:rFonts w:ascii="Cambria" w:hAnsi="Cambria"/>
          <w:sz w:val="20"/>
          <w:szCs w:val="20"/>
          <w:lang w:val="es-ES_tradnl"/>
        </w:rPr>
        <w:t>Al respecto, se cuenta con informes de 9 de diciembre de</w:t>
      </w:r>
      <w:r w:rsidR="00BD6BC5" w:rsidRPr="00836C24">
        <w:rPr>
          <w:rFonts w:ascii="Cambria" w:hAnsi="Cambria"/>
          <w:sz w:val="20"/>
          <w:szCs w:val="20"/>
          <w:lang w:val="es-ES_tradnl"/>
        </w:rPr>
        <w:t xml:space="preserve"> 1997, de 20 de enero de 1998, </w:t>
      </w:r>
      <w:r w:rsidR="007C012E" w:rsidRPr="00836C24">
        <w:rPr>
          <w:rFonts w:ascii="Cambria" w:hAnsi="Cambria"/>
          <w:sz w:val="20"/>
          <w:szCs w:val="20"/>
          <w:lang w:val="es-ES_tradnl"/>
        </w:rPr>
        <w:t>de 13 de febrero de</w:t>
      </w:r>
      <w:r w:rsidR="00BD6BC5" w:rsidRPr="00836C24">
        <w:rPr>
          <w:rFonts w:ascii="Cambria" w:hAnsi="Cambria"/>
          <w:sz w:val="20"/>
          <w:szCs w:val="20"/>
          <w:lang w:val="es-ES_tradnl"/>
        </w:rPr>
        <w:t xml:space="preserve"> 1998 y de 11 de diciembre de 2000.</w:t>
      </w:r>
      <w:r w:rsidR="009F18AC" w:rsidRPr="00836C24">
        <w:rPr>
          <w:rFonts w:ascii="Cambria" w:hAnsi="Cambria"/>
          <w:sz w:val="20"/>
          <w:szCs w:val="20"/>
          <w:lang w:val="es-ES_tradnl"/>
        </w:rPr>
        <w:t xml:space="preserve"> En los mismos se hace referencia a </w:t>
      </w:r>
      <w:r w:rsidRPr="00836C24">
        <w:rPr>
          <w:rFonts w:ascii="Cambria" w:hAnsi="Cambria"/>
          <w:sz w:val="20"/>
          <w:szCs w:val="20"/>
          <w:lang w:val="es-ES_tradnl"/>
        </w:rPr>
        <w:t>“hemoperitoneo”, “múltiples contusiones y erosiones de meso de intestino delgado”, “laceración de meso colon transverso que deja sin un segmento de más o menos 10cs a más o menos 15 cms del ángulo esplénico”, “vasos sangrantes de epiplón mayor”</w:t>
      </w:r>
      <w:r w:rsidR="009F18AC" w:rsidRPr="00836C24">
        <w:rPr>
          <w:rFonts w:ascii="Cambria" w:hAnsi="Cambria"/>
          <w:sz w:val="20"/>
          <w:szCs w:val="20"/>
          <w:lang w:val="es-ES_tradnl"/>
        </w:rPr>
        <w:t>,</w:t>
      </w:r>
      <w:r w:rsidRPr="00836C24">
        <w:rPr>
          <w:rFonts w:ascii="Cambria" w:hAnsi="Cambria"/>
          <w:sz w:val="20"/>
          <w:szCs w:val="20"/>
          <w:lang w:val="es-ES_tradnl"/>
        </w:rPr>
        <w:t xml:space="preserve"> “trauma hepático G-I en segmento VI</w:t>
      </w:r>
      <w:r w:rsidR="009F18AC" w:rsidRPr="00836C24">
        <w:rPr>
          <w:rFonts w:ascii="Cambria" w:hAnsi="Cambria"/>
          <w:sz w:val="20"/>
          <w:szCs w:val="20"/>
          <w:lang w:val="es-ES_tradnl"/>
        </w:rPr>
        <w:t xml:space="preserve">”, </w:t>
      </w:r>
      <w:r w:rsidR="001C27FA" w:rsidRPr="00836C24">
        <w:rPr>
          <w:rFonts w:ascii="Cambria" w:hAnsi="Cambria"/>
          <w:sz w:val="20"/>
          <w:szCs w:val="20"/>
          <w:lang w:val="es-ES_tradnl"/>
        </w:rPr>
        <w:t xml:space="preserve">trauma </w:t>
      </w:r>
      <w:r w:rsidR="00B574E0" w:rsidRPr="00836C24">
        <w:rPr>
          <w:rFonts w:ascii="Cambria" w:hAnsi="Cambria"/>
          <w:sz w:val="20"/>
          <w:szCs w:val="20"/>
          <w:lang w:val="es-ES_tradnl"/>
        </w:rPr>
        <w:t>cerrado de abdomen</w:t>
      </w:r>
      <w:r w:rsidR="00B5562F" w:rsidRPr="00836C24">
        <w:rPr>
          <w:rFonts w:ascii="Cambria" w:hAnsi="Cambria"/>
          <w:sz w:val="20"/>
          <w:szCs w:val="20"/>
          <w:lang w:val="es-ES_tradnl"/>
        </w:rPr>
        <w:t xml:space="preserve">, segmento de colon transverso sin irrigación con </w:t>
      </w:r>
      <w:r w:rsidR="00B5562F" w:rsidRPr="00836C24">
        <w:rPr>
          <w:rFonts w:ascii="Cambria" w:hAnsi="Cambria"/>
          <w:sz w:val="20"/>
          <w:szCs w:val="20"/>
          <w:lang w:val="es-ES"/>
        </w:rPr>
        <w:t>c</w:t>
      </w:r>
      <w:r w:rsidRPr="00836C24">
        <w:rPr>
          <w:rFonts w:ascii="Cambria" w:hAnsi="Cambria"/>
          <w:sz w:val="20"/>
          <w:szCs w:val="20"/>
          <w:lang w:val="es-ES"/>
        </w:rPr>
        <w:t xml:space="preserve">ambios </w:t>
      </w:r>
      <w:r w:rsidR="00B5562F" w:rsidRPr="00836C24">
        <w:rPr>
          <w:rFonts w:ascii="Cambria" w:hAnsi="Cambria"/>
          <w:sz w:val="20"/>
          <w:szCs w:val="20"/>
          <w:lang w:val="es-ES"/>
        </w:rPr>
        <w:t>v</w:t>
      </w:r>
      <w:r w:rsidRPr="00836C24">
        <w:rPr>
          <w:rFonts w:ascii="Cambria" w:hAnsi="Cambria"/>
          <w:sz w:val="20"/>
          <w:szCs w:val="20"/>
          <w:lang w:val="es-ES"/>
        </w:rPr>
        <w:t xml:space="preserve">asculares </w:t>
      </w:r>
      <w:r w:rsidR="00B5562F" w:rsidRPr="00836C24">
        <w:rPr>
          <w:rFonts w:ascii="Cambria" w:hAnsi="Cambria"/>
          <w:sz w:val="20"/>
          <w:szCs w:val="20"/>
          <w:lang w:val="es-ES"/>
        </w:rPr>
        <w:t>i</w:t>
      </w:r>
      <w:r w:rsidRPr="00836C24">
        <w:rPr>
          <w:rFonts w:ascii="Cambria" w:hAnsi="Cambria"/>
          <w:sz w:val="20"/>
          <w:szCs w:val="20"/>
          <w:lang w:val="es-ES"/>
        </w:rPr>
        <w:t xml:space="preserve">rreversibles, </w:t>
      </w:r>
      <w:r w:rsidR="00B5562F" w:rsidRPr="00836C24">
        <w:rPr>
          <w:rFonts w:ascii="Cambria" w:hAnsi="Cambria"/>
          <w:sz w:val="20"/>
          <w:szCs w:val="20"/>
          <w:lang w:val="es-ES"/>
        </w:rPr>
        <w:t xml:space="preserve">trauma hepático, </w:t>
      </w:r>
      <w:r w:rsidR="00FF59DB" w:rsidRPr="00836C24">
        <w:rPr>
          <w:rFonts w:ascii="Cambria" w:hAnsi="Cambria"/>
          <w:sz w:val="20"/>
          <w:szCs w:val="20"/>
          <w:lang w:val="es-ES_tradnl"/>
        </w:rPr>
        <w:t xml:space="preserve">“múltiples golpes y contusiones a nivel abdominal, abdomen globoso y doloroso a la palpación” </w:t>
      </w:r>
      <w:r w:rsidR="00B5562F" w:rsidRPr="00836C24">
        <w:rPr>
          <w:rFonts w:ascii="Cambria" w:hAnsi="Cambria"/>
          <w:sz w:val="20"/>
          <w:szCs w:val="20"/>
          <w:lang w:val="es-ES"/>
        </w:rPr>
        <w:t>entre otras condiciones.</w:t>
      </w:r>
      <w:r w:rsidRPr="00836C24">
        <w:rPr>
          <w:rFonts w:ascii="Cambria" w:hAnsi="Cambria"/>
          <w:sz w:val="20"/>
          <w:szCs w:val="20"/>
          <w:lang w:val="es-ES"/>
        </w:rPr>
        <w:t xml:space="preserve"> </w:t>
      </w:r>
    </w:p>
    <w:p w:rsidR="007A580C" w:rsidRPr="00836C24" w:rsidRDefault="007A580C" w:rsidP="007A580C">
      <w:pPr>
        <w:pStyle w:val="ListParagraph"/>
        <w:rPr>
          <w:sz w:val="20"/>
          <w:szCs w:val="20"/>
          <w:lang w:val="es-ES_tradnl"/>
        </w:rPr>
      </w:pPr>
    </w:p>
    <w:p w:rsidR="007A580C" w:rsidRPr="00836C24" w:rsidRDefault="007A580C" w:rsidP="004A4BF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lastRenderedPageBreak/>
        <w:t>La Comisión considera que</w:t>
      </w:r>
      <w:r w:rsidR="00CA1DB2" w:rsidRPr="00836C24">
        <w:rPr>
          <w:rFonts w:ascii="Cambria" w:hAnsi="Cambria"/>
          <w:sz w:val="20"/>
          <w:szCs w:val="20"/>
          <w:lang w:val="es-ES_tradnl"/>
        </w:rPr>
        <w:t xml:space="preserve"> de</w:t>
      </w:r>
      <w:r w:rsidRPr="00836C24">
        <w:rPr>
          <w:rFonts w:ascii="Cambria" w:hAnsi="Cambria"/>
          <w:sz w:val="20"/>
          <w:szCs w:val="20"/>
          <w:lang w:val="es-ES_tradnl"/>
        </w:rPr>
        <w:t xml:space="preserve"> los informes médicos así como la declaración de la presunta víctima </w:t>
      </w:r>
      <w:r w:rsidR="00CA1DB2" w:rsidRPr="00836C24">
        <w:rPr>
          <w:rFonts w:ascii="Cambria" w:hAnsi="Cambria"/>
          <w:sz w:val="20"/>
          <w:szCs w:val="20"/>
          <w:lang w:val="es-ES_tradnl"/>
        </w:rPr>
        <w:t xml:space="preserve">resulta claro que el señor Ruiz Fuentes </w:t>
      </w:r>
      <w:r w:rsidRPr="00836C24">
        <w:rPr>
          <w:rFonts w:ascii="Cambria" w:hAnsi="Cambria"/>
          <w:sz w:val="20"/>
          <w:szCs w:val="20"/>
          <w:lang w:val="es-ES_tradnl"/>
        </w:rPr>
        <w:t>sufrió lesiones</w:t>
      </w:r>
      <w:r w:rsidR="00CA1DB2" w:rsidRPr="00836C24">
        <w:rPr>
          <w:rFonts w:ascii="Cambria" w:hAnsi="Cambria"/>
          <w:sz w:val="20"/>
          <w:szCs w:val="20"/>
          <w:lang w:val="es-ES_tradnl"/>
        </w:rPr>
        <w:t xml:space="preserve"> en el contexto de su detención. En ese sentido, al tratarse de un procedimiento a través del cual el señor Ruiz Fuentes quedó bajo custodia del Estado, resulta aplicable el estándar citado sobre la necesidad de que el Estado ofrezca</w:t>
      </w:r>
      <w:r w:rsidRPr="00836C24">
        <w:rPr>
          <w:rFonts w:ascii="Cambria" w:hAnsi="Cambria"/>
          <w:sz w:val="20"/>
          <w:szCs w:val="20"/>
          <w:lang w:val="es-ES_tradnl"/>
        </w:rPr>
        <w:t xml:space="preserve"> una explicación creíble sobre el origen de </w:t>
      </w:r>
      <w:r w:rsidR="00CA1DB2" w:rsidRPr="00836C24">
        <w:rPr>
          <w:rFonts w:ascii="Cambria" w:hAnsi="Cambria"/>
          <w:sz w:val="20"/>
          <w:szCs w:val="20"/>
          <w:lang w:val="es-ES_tradnl"/>
        </w:rPr>
        <w:t>las afecta</w:t>
      </w:r>
      <w:r w:rsidR="00915C8A" w:rsidRPr="00836C24">
        <w:rPr>
          <w:rFonts w:ascii="Cambria" w:hAnsi="Cambria"/>
          <w:sz w:val="20"/>
          <w:szCs w:val="20"/>
          <w:lang w:val="es-ES_tradnl"/>
        </w:rPr>
        <w:t>ciones a la integridad personal</w:t>
      </w:r>
      <w:r w:rsidRPr="00836C24">
        <w:rPr>
          <w:rFonts w:ascii="Cambria" w:hAnsi="Cambria"/>
          <w:sz w:val="20"/>
          <w:szCs w:val="20"/>
          <w:lang w:val="es-ES_tradnl"/>
        </w:rPr>
        <w:t>.</w:t>
      </w:r>
      <w:r w:rsidR="00915C8A" w:rsidRPr="00836C24">
        <w:rPr>
          <w:rFonts w:ascii="Cambria" w:hAnsi="Cambria"/>
          <w:sz w:val="20"/>
          <w:szCs w:val="20"/>
          <w:lang w:val="es-ES_tradnl"/>
        </w:rPr>
        <w:t xml:space="preserve"> </w:t>
      </w:r>
    </w:p>
    <w:p w:rsidR="007A580C" w:rsidRPr="00836C24" w:rsidRDefault="007A580C" w:rsidP="007A580C">
      <w:pPr>
        <w:pStyle w:val="ListParagraph"/>
        <w:rPr>
          <w:sz w:val="20"/>
          <w:szCs w:val="20"/>
          <w:lang w:val="es-ES_tradnl"/>
        </w:rPr>
      </w:pPr>
    </w:p>
    <w:p w:rsidR="007A580C" w:rsidRPr="00836C24" w:rsidRDefault="005B30FC" w:rsidP="004A4BF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E</w:t>
      </w:r>
      <w:r w:rsidR="007A580C" w:rsidRPr="00836C24">
        <w:rPr>
          <w:rFonts w:ascii="Cambria" w:hAnsi="Cambria"/>
          <w:sz w:val="20"/>
          <w:szCs w:val="20"/>
          <w:lang w:val="es-ES_tradnl"/>
        </w:rPr>
        <w:t>l Estado negó que la presunta víctima hubiese sido torturada y argumentó que las lesiones que sufrió ocurrieron como consecuencia de una caída cuando intentaba darse a la fuga</w:t>
      </w:r>
      <w:r w:rsidRPr="00836C24">
        <w:rPr>
          <w:rFonts w:ascii="Cambria" w:hAnsi="Cambria"/>
          <w:sz w:val="20"/>
          <w:szCs w:val="20"/>
          <w:lang w:val="es-ES_tradnl"/>
        </w:rPr>
        <w:t xml:space="preserve"> al</w:t>
      </w:r>
      <w:r w:rsidR="007A580C" w:rsidRPr="00836C24">
        <w:rPr>
          <w:rFonts w:ascii="Cambria" w:hAnsi="Cambria"/>
          <w:sz w:val="20"/>
          <w:szCs w:val="20"/>
          <w:lang w:val="es-ES_tradnl"/>
        </w:rPr>
        <w:t xml:space="preserve"> momento de la detención, por lo que tuvo que ser internado en un hospital.</w:t>
      </w:r>
      <w:r w:rsidR="00A34F37" w:rsidRPr="00836C24">
        <w:rPr>
          <w:rFonts w:ascii="Cambria" w:hAnsi="Cambria"/>
          <w:sz w:val="20"/>
          <w:szCs w:val="20"/>
          <w:lang w:val="es-ES_tradnl"/>
        </w:rPr>
        <w:t xml:space="preserve"> Como sustento de esta versión</w:t>
      </w:r>
      <w:r w:rsidR="00F80E5D" w:rsidRPr="00836C24">
        <w:rPr>
          <w:rFonts w:ascii="Cambria" w:hAnsi="Cambria"/>
          <w:sz w:val="20"/>
          <w:szCs w:val="20"/>
          <w:lang w:val="es-ES_tradnl"/>
        </w:rPr>
        <w:t xml:space="preserve">, el Estado </w:t>
      </w:r>
      <w:r w:rsidR="007A580C" w:rsidRPr="00836C24">
        <w:rPr>
          <w:rFonts w:ascii="Cambria" w:hAnsi="Cambria"/>
          <w:sz w:val="20"/>
          <w:szCs w:val="20"/>
          <w:lang w:val="es-ES_tradnl"/>
        </w:rPr>
        <w:t>aportó un Oficio del Departamento de Investigaciones Criminológicas de la Policía Nacional</w:t>
      </w:r>
      <w:r w:rsidR="00F80E5D" w:rsidRPr="00836C24">
        <w:rPr>
          <w:rFonts w:ascii="Cambria" w:hAnsi="Cambria"/>
          <w:sz w:val="20"/>
          <w:szCs w:val="20"/>
          <w:lang w:val="es-ES_tradnl"/>
        </w:rPr>
        <w:t xml:space="preserve"> en el que se describe que el señor Ruiz Fuentes </w:t>
      </w:r>
      <w:r w:rsidR="007A580C" w:rsidRPr="00836C24">
        <w:rPr>
          <w:rFonts w:ascii="Cambria" w:hAnsi="Cambria"/>
          <w:sz w:val="20"/>
          <w:szCs w:val="20"/>
          <w:lang w:val="es-ES_tradnl"/>
        </w:rPr>
        <w:t xml:space="preserve">intentó huir y se lanzó a un terreno baldío de una pared de aproximadamente ocho metros de altura, lo cual le generó “múltiple golpes” por lo que fue llevado a un hospital donde se le diagnosticó con “politraumatismo”. </w:t>
      </w:r>
    </w:p>
    <w:p w:rsidR="007A580C" w:rsidRPr="00836C24" w:rsidRDefault="007A580C">
      <w:pPr>
        <w:pStyle w:val="ListParagraph"/>
        <w:rPr>
          <w:sz w:val="20"/>
          <w:szCs w:val="20"/>
          <w:lang w:val="es-ES_tradnl"/>
        </w:rPr>
      </w:pPr>
    </w:p>
    <w:p w:rsidR="00B27D24" w:rsidRPr="00836C24" w:rsidRDefault="00F80E5D" w:rsidP="00CB5A5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La Comisión observa que la versión planteada por el Estado se basa exclusivamente en los dichos de los agentes de seguridad que participaron en el </w:t>
      </w:r>
      <w:r w:rsidR="00FD1B36" w:rsidRPr="00836C24">
        <w:rPr>
          <w:rFonts w:ascii="Cambria" w:hAnsi="Cambria"/>
          <w:sz w:val="20"/>
          <w:szCs w:val="20"/>
          <w:lang w:val="es-ES_tradnl"/>
        </w:rPr>
        <w:t>operativo</w:t>
      </w:r>
      <w:r w:rsidRPr="00836C24">
        <w:rPr>
          <w:rFonts w:ascii="Cambria" w:hAnsi="Cambria"/>
          <w:sz w:val="20"/>
          <w:szCs w:val="20"/>
          <w:lang w:val="es-ES_tradnl"/>
        </w:rPr>
        <w:t xml:space="preserve"> de detención, los cuales quedaron plasmados en el oficio referido. Es decir, la explicación aportada por el Estado frente a las lesiones del señor Ruiz Fuentes no fue el resultado de una investigación penal</w:t>
      </w:r>
      <w:r w:rsidR="00972516" w:rsidRPr="00836C24">
        <w:rPr>
          <w:rFonts w:ascii="Cambria" w:hAnsi="Cambria"/>
          <w:sz w:val="20"/>
          <w:szCs w:val="20"/>
          <w:lang w:val="es-ES_tradnl"/>
        </w:rPr>
        <w:t xml:space="preserve">. Para efectos de este punto, la Comisión deja </w:t>
      </w:r>
      <w:r w:rsidR="00B27D24" w:rsidRPr="00836C24">
        <w:rPr>
          <w:rFonts w:ascii="Cambria" w:hAnsi="Cambria"/>
          <w:sz w:val="20"/>
          <w:szCs w:val="20"/>
          <w:lang w:val="es-ES_tradnl"/>
        </w:rPr>
        <w:t>establecido que la explicación satisfactoria exigida por la Convención en este tipo de casos no puede constituir la versión de los propios agentes involucra</w:t>
      </w:r>
      <w:r w:rsidR="00E95806" w:rsidRPr="00836C24">
        <w:rPr>
          <w:rFonts w:ascii="Cambria" w:hAnsi="Cambria"/>
          <w:sz w:val="20"/>
          <w:szCs w:val="20"/>
          <w:lang w:val="es-ES_tradnl"/>
        </w:rPr>
        <w:t xml:space="preserve">dos </w:t>
      </w:r>
      <w:r w:rsidR="00105208" w:rsidRPr="00836C24">
        <w:rPr>
          <w:rFonts w:ascii="Cambria" w:hAnsi="Cambria"/>
          <w:sz w:val="20"/>
          <w:szCs w:val="20"/>
          <w:lang w:val="es-ES_tradnl"/>
        </w:rPr>
        <w:t>sin ningún otro elemento de corroboración obtenido a través de una</w:t>
      </w:r>
      <w:r w:rsidR="00E95806" w:rsidRPr="00836C24">
        <w:rPr>
          <w:rFonts w:ascii="Cambria" w:hAnsi="Cambria"/>
          <w:sz w:val="20"/>
          <w:szCs w:val="20"/>
          <w:lang w:val="es-ES_tradnl"/>
        </w:rPr>
        <w:t xml:space="preserve"> investigación conforme a las obligaciones del Estado ante denuncia o razón fundada </w:t>
      </w:r>
      <w:r w:rsidR="0090704B" w:rsidRPr="00836C24">
        <w:rPr>
          <w:rFonts w:ascii="Cambria" w:hAnsi="Cambria"/>
          <w:sz w:val="20"/>
          <w:szCs w:val="20"/>
          <w:lang w:val="es-ES_tradnl"/>
        </w:rPr>
        <w:t xml:space="preserve">de tortura. </w:t>
      </w:r>
    </w:p>
    <w:p w:rsidR="00200AF6" w:rsidRPr="00836C24" w:rsidRDefault="00200AF6"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_tradnl"/>
        </w:rPr>
      </w:pPr>
    </w:p>
    <w:p w:rsidR="00B27D24" w:rsidRPr="00836C24" w:rsidRDefault="00200AF6" w:rsidP="00AA7C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Por su parte, más allá de su declaración y de los informes médicos procurados por el propio señor Ruiz Fuentes y no a instancias del Estado, la presunta víctima no cuenta con otros medios para probar su versión de los hechos. En ese sentido, tomando en cuenta</w:t>
      </w:r>
      <w:r w:rsidR="001566DB" w:rsidRPr="00836C24">
        <w:rPr>
          <w:rFonts w:ascii="Cambria" w:hAnsi="Cambria"/>
          <w:sz w:val="20"/>
          <w:szCs w:val="20"/>
          <w:lang w:val="es-ES_tradnl"/>
        </w:rPr>
        <w:t xml:space="preserve"> que el Estado no cumplió con su carga de aportar una explicación satisfactoria frente a las lesiones exhibidas por el señor Ruiz Fuentes en un operativo estatal a través del cual quedó bajo su custodia</w:t>
      </w:r>
      <w:r w:rsidR="00E021CB" w:rsidRPr="00836C24">
        <w:rPr>
          <w:rFonts w:ascii="Cambria" w:hAnsi="Cambria"/>
          <w:sz w:val="20"/>
          <w:szCs w:val="20"/>
          <w:lang w:val="es-ES_tradnl"/>
        </w:rPr>
        <w:t>.</w:t>
      </w:r>
    </w:p>
    <w:p w:rsidR="00200AF6" w:rsidRPr="00836C24" w:rsidRDefault="00200AF6"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_tradnl"/>
        </w:rPr>
      </w:pPr>
    </w:p>
    <w:p w:rsidR="007A580C" w:rsidRPr="00836C24" w:rsidRDefault="003F65C3" w:rsidP="00642E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La Comisión no deja de notar, además, que la versión aportada por el Estado carece de verosimilitud tomando en cuenta lo inusual que sería que una persona que cae desde 8 metros de altura no presente otros signos de trauma </w:t>
      </w:r>
      <w:r w:rsidR="008455DF" w:rsidRPr="00836C24">
        <w:rPr>
          <w:rFonts w:ascii="Cambria" w:hAnsi="Cambria"/>
          <w:sz w:val="20"/>
          <w:szCs w:val="20"/>
          <w:lang w:val="es-ES_tradnl"/>
        </w:rPr>
        <w:t xml:space="preserve">en la cabeza o en las extremidades, </w:t>
      </w:r>
      <w:r w:rsidRPr="00836C24">
        <w:rPr>
          <w:rFonts w:ascii="Cambria" w:hAnsi="Cambria"/>
          <w:sz w:val="20"/>
          <w:szCs w:val="20"/>
          <w:lang w:val="es-ES_tradnl"/>
        </w:rPr>
        <w:t>más allá del trauma abdominal.</w:t>
      </w:r>
      <w:r w:rsidR="008455DF" w:rsidRPr="00836C24">
        <w:rPr>
          <w:rFonts w:ascii="Cambria" w:hAnsi="Cambria"/>
          <w:sz w:val="20"/>
          <w:szCs w:val="20"/>
          <w:lang w:val="es-ES_tradnl"/>
        </w:rPr>
        <w:t xml:space="preserve"> </w:t>
      </w:r>
      <w:r w:rsidR="00F21DF6" w:rsidRPr="00836C24">
        <w:rPr>
          <w:rFonts w:ascii="Cambria" w:hAnsi="Cambria"/>
          <w:sz w:val="20"/>
          <w:szCs w:val="20"/>
          <w:lang w:val="es-ES_tradnl"/>
        </w:rPr>
        <w:t>Esta</w:t>
      </w:r>
      <w:r w:rsidR="008455DF" w:rsidRPr="00836C24">
        <w:rPr>
          <w:rFonts w:ascii="Cambria" w:hAnsi="Cambria"/>
          <w:sz w:val="20"/>
          <w:szCs w:val="20"/>
          <w:lang w:val="es-ES_tradnl"/>
        </w:rPr>
        <w:t xml:space="preserve"> consideración se</w:t>
      </w:r>
      <w:r w:rsidR="00F21DF6" w:rsidRPr="00836C24">
        <w:rPr>
          <w:rFonts w:ascii="Cambria" w:hAnsi="Cambria"/>
          <w:sz w:val="20"/>
          <w:szCs w:val="20"/>
          <w:lang w:val="es-ES_tradnl"/>
        </w:rPr>
        <w:t xml:space="preserve"> encuentra respaldada por </w:t>
      </w:r>
      <w:r w:rsidR="00ED7DDC" w:rsidRPr="00836C24">
        <w:rPr>
          <w:rFonts w:ascii="Cambria" w:hAnsi="Cambria"/>
          <w:sz w:val="20"/>
          <w:szCs w:val="20"/>
          <w:lang w:val="es-ES_tradnl"/>
        </w:rPr>
        <w:t xml:space="preserve">el informe </w:t>
      </w:r>
      <w:r w:rsidR="00224F7F" w:rsidRPr="00836C24">
        <w:rPr>
          <w:rFonts w:ascii="Cambria" w:hAnsi="Cambria"/>
          <w:sz w:val="20"/>
          <w:szCs w:val="20"/>
          <w:lang w:val="es-ES_tradnl"/>
        </w:rPr>
        <w:t xml:space="preserve">médico </w:t>
      </w:r>
      <w:r w:rsidR="00ED7DDC" w:rsidRPr="00836C24">
        <w:rPr>
          <w:rFonts w:ascii="Cambria" w:hAnsi="Cambria"/>
          <w:sz w:val="20"/>
          <w:szCs w:val="20"/>
          <w:lang w:val="es-ES_tradnl"/>
        </w:rPr>
        <w:t>de 21 de mayo de 2008 en el que se</w:t>
      </w:r>
      <w:r w:rsidR="007A580C" w:rsidRPr="00836C24">
        <w:rPr>
          <w:rFonts w:ascii="Cambria" w:hAnsi="Cambria"/>
          <w:sz w:val="20"/>
          <w:szCs w:val="20"/>
          <w:lang w:val="es-ES_tradnl"/>
        </w:rPr>
        <w:t xml:space="preserve"> concluyó que</w:t>
      </w:r>
      <w:r w:rsidR="009115F3" w:rsidRPr="00836C24">
        <w:rPr>
          <w:rFonts w:ascii="Cambria" w:hAnsi="Cambria"/>
          <w:sz w:val="20"/>
          <w:szCs w:val="20"/>
          <w:lang w:val="es-ES_tradnl"/>
        </w:rPr>
        <w:t xml:space="preserve"> las lesiones</w:t>
      </w:r>
      <w:r w:rsidR="007A580C" w:rsidRPr="00836C24">
        <w:rPr>
          <w:rFonts w:ascii="Cambria" w:hAnsi="Cambria"/>
          <w:sz w:val="20"/>
          <w:szCs w:val="20"/>
          <w:lang w:val="es-ES"/>
        </w:rPr>
        <w:t xml:space="preserve"> </w:t>
      </w:r>
      <w:r w:rsidR="009115F3" w:rsidRPr="00836C24">
        <w:rPr>
          <w:rFonts w:ascii="Cambria" w:hAnsi="Cambria"/>
          <w:sz w:val="20"/>
          <w:szCs w:val="20"/>
          <w:lang w:val="es-ES"/>
        </w:rPr>
        <w:t>“</w:t>
      </w:r>
      <w:r w:rsidR="007A580C" w:rsidRPr="00836C24">
        <w:rPr>
          <w:rFonts w:ascii="Cambria" w:hAnsi="Cambria"/>
          <w:sz w:val="20"/>
          <w:szCs w:val="20"/>
          <w:lang w:val="es-ES"/>
        </w:rPr>
        <w:t>intra-abdominales</w:t>
      </w:r>
      <w:r w:rsidR="009115F3" w:rsidRPr="00836C24">
        <w:rPr>
          <w:rFonts w:ascii="Cambria" w:hAnsi="Cambria"/>
          <w:sz w:val="20"/>
          <w:szCs w:val="20"/>
          <w:lang w:val="es-ES"/>
        </w:rPr>
        <w:t>”</w:t>
      </w:r>
      <w:r w:rsidR="007A580C" w:rsidRPr="00836C24">
        <w:rPr>
          <w:rFonts w:ascii="Cambria" w:hAnsi="Cambria"/>
          <w:sz w:val="20"/>
          <w:szCs w:val="20"/>
          <w:lang w:val="es-ES"/>
        </w:rPr>
        <w:t xml:space="preserve"> que sufrió el </w:t>
      </w:r>
      <w:r w:rsidR="009115F3" w:rsidRPr="00836C24">
        <w:rPr>
          <w:rFonts w:ascii="Cambria" w:hAnsi="Cambria"/>
          <w:sz w:val="20"/>
          <w:szCs w:val="20"/>
          <w:lang w:val="es-ES"/>
        </w:rPr>
        <w:t>s</w:t>
      </w:r>
      <w:r w:rsidR="007A580C" w:rsidRPr="00836C24">
        <w:rPr>
          <w:rFonts w:ascii="Cambria" w:hAnsi="Cambria"/>
          <w:sz w:val="20"/>
          <w:szCs w:val="20"/>
          <w:lang w:val="es-ES"/>
        </w:rPr>
        <w:t>eñor Ruiz Fuentes son consistentes con las causadas por un mecanismo contuso como lo describen los</w:t>
      </w:r>
      <w:r w:rsidR="009115F3" w:rsidRPr="00836C24">
        <w:rPr>
          <w:rFonts w:ascii="Cambria" w:hAnsi="Cambria"/>
          <w:sz w:val="20"/>
          <w:szCs w:val="20"/>
          <w:lang w:val="es-ES"/>
        </w:rPr>
        <w:t xml:space="preserve"> otros</w:t>
      </w:r>
      <w:r w:rsidR="007A580C" w:rsidRPr="00836C24">
        <w:rPr>
          <w:rFonts w:ascii="Cambria" w:hAnsi="Cambria"/>
          <w:sz w:val="20"/>
          <w:szCs w:val="20"/>
          <w:lang w:val="es-ES"/>
        </w:rPr>
        <w:t xml:space="preserve"> informes médicos y las declaraciones de los testigos. </w:t>
      </w:r>
      <w:r w:rsidR="009115F3" w:rsidRPr="00836C24">
        <w:rPr>
          <w:rFonts w:ascii="Cambria" w:hAnsi="Cambria"/>
          <w:sz w:val="20"/>
          <w:szCs w:val="20"/>
          <w:lang w:val="es-ES"/>
        </w:rPr>
        <w:t xml:space="preserve">En dicho informe se agrega que hay </w:t>
      </w:r>
      <w:r w:rsidR="007A580C" w:rsidRPr="00836C24">
        <w:rPr>
          <w:rFonts w:ascii="Cambria" w:hAnsi="Cambria"/>
          <w:sz w:val="20"/>
          <w:szCs w:val="20"/>
          <w:lang w:val="es-ES"/>
        </w:rPr>
        <w:t xml:space="preserve">evidencia forense, como la ausencia de trauma cráneo-encefálico y de fracturas de las extremidades, que favorece la versión de los hechos relatada por el </w:t>
      </w:r>
      <w:r w:rsidR="009115F3" w:rsidRPr="00836C24">
        <w:rPr>
          <w:rFonts w:ascii="Cambria" w:hAnsi="Cambria"/>
          <w:sz w:val="20"/>
          <w:szCs w:val="20"/>
          <w:lang w:val="es-ES"/>
        </w:rPr>
        <w:t>s</w:t>
      </w:r>
      <w:r w:rsidR="007A580C" w:rsidRPr="00836C24">
        <w:rPr>
          <w:rFonts w:ascii="Cambria" w:hAnsi="Cambria"/>
          <w:sz w:val="20"/>
          <w:szCs w:val="20"/>
          <w:lang w:val="es-ES"/>
        </w:rPr>
        <w:t xml:space="preserve">eñor Ruiz Fuentes de que fue golpeado </w:t>
      </w:r>
      <w:r w:rsidR="007A580C" w:rsidRPr="00836C24">
        <w:rPr>
          <w:rFonts w:ascii="Cambria" w:hAnsi="Cambria"/>
          <w:sz w:val="20"/>
          <w:szCs w:val="20"/>
          <w:lang w:val="es-ES_tradnl"/>
        </w:rPr>
        <w:t>repetidamente</w:t>
      </w:r>
      <w:r w:rsidR="007A580C" w:rsidRPr="00836C24">
        <w:rPr>
          <w:rFonts w:ascii="Cambria" w:hAnsi="Cambria"/>
          <w:sz w:val="20"/>
          <w:szCs w:val="20"/>
          <w:lang w:val="es-ES"/>
        </w:rPr>
        <w:t xml:space="preserve"> en el abdomen y no la descripción de los policías</w:t>
      </w:r>
      <w:r w:rsidR="00A02A69" w:rsidRPr="00836C24">
        <w:rPr>
          <w:rFonts w:ascii="Cambria" w:hAnsi="Cambria"/>
          <w:sz w:val="20"/>
          <w:szCs w:val="20"/>
          <w:lang w:val="es-ES"/>
        </w:rPr>
        <w:t>.</w:t>
      </w:r>
    </w:p>
    <w:p w:rsidR="007A580C" w:rsidRPr="00836C24" w:rsidRDefault="007A580C"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sz w:val="20"/>
          <w:szCs w:val="20"/>
          <w:lang w:val="es-ES_tradnl"/>
        </w:rPr>
      </w:pPr>
    </w:p>
    <w:p w:rsidR="007A580C" w:rsidRPr="00836C24" w:rsidRDefault="00E021CB" w:rsidP="007A580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Con base en las anteriores consideraciones, la Comisión reitera que </w:t>
      </w:r>
      <w:r w:rsidR="007A580C" w:rsidRPr="00836C24">
        <w:rPr>
          <w:rFonts w:ascii="Cambria" w:hAnsi="Cambria"/>
          <w:sz w:val="20"/>
          <w:szCs w:val="20"/>
          <w:lang w:val="es-ES_tradnl"/>
        </w:rPr>
        <w:t>la explicación ofrecida por el Estado guatemalteco no satisface el estándar de una explicación satisfactoria, por lo que no</w:t>
      </w:r>
      <w:r w:rsidRPr="00836C24">
        <w:rPr>
          <w:rFonts w:ascii="Cambria" w:hAnsi="Cambria"/>
          <w:sz w:val="20"/>
          <w:szCs w:val="20"/>
          <w:lang w:val="es-ES_tradnl"/>
        </w:rPr>
        <w:t xml:space="preserve"> logró </w:t>
      </w:r>
      <w:r w:rsidR="007A580C" w:rsidRPr="00836C24">
        <w:rPr>
          <w:rFonts w:ascii="Cambria" w:hAnsi="Cambria"/>
          <w:sz w:val="20"/>
          <w:szCs w:val="20"/>
          <w:lang w:val="es-ES_tradnl"/>
        </w:rPr>
        <w:t xml:space="preserve">desvirtuar la presunción de responsabilidad de las lesiones exhibidas por Hugo Humberto Ruiz Fuentes </w:t>
      </w:r>
      <w:r w:rsidRPr="00836C24">
        <w:rPr>
          <w:rFonts w:ascii="Cambria" w:hAnsi="Cambria"/>
          <w:sz w:val="20"/>
          <w:szCs w:val="20"/>
          <w:lang w:val="es-ES_tradnl"/>
        </w:rPr>
        <w:t xml:space="preserve">en el marco de un operativo de sus cuerpos de seguridad en el cual quedó bajo custodia estatal. </w:t>
      </w:r>
      <w:r w:rsidR="007A580C" w:rsidRPr="00836C24">
        <w:rPr>
          <w:rFonts w:ascii="Cambria" w:hAnsi="Cambria"/>
          <w:sz w:val="20"/>
          <w:szCs w:val="20"/>
          <w:lang w:val="es-ES_tradnl"/>
        </w:rPr>
        <w:t>En consecuencia, la Comisión con</w:t>
      </w:r>
      <w:r w:rsidRPr="00836C24">
        <w:rPr>
          <w:rFonts w:ascii="Cambria" w:hAnsi="Cambria"/>
          <w:sz w:val="20"/>
          <w:szCs w:val="20"/>
          <w:lang w:val="es-ES_tradnl"/>
        </w:rPr>
        <w:t xml:space="preserve">cluye </w:t>
      </w:r>
      <w:r w:rsidR="007A580C" w:rsidRPr="00836C24">
        <w:rPr>
          <w:rFonts w:ascii="Cambria" w:hAnsi="Cambria"/>
          <w:sz w:val="20"/>
          <w:szCs w:val="20"/>
          <w:lang w:val="es-ES_tradnl"/>
        </w:rPr>
        <w:t>que las lesiones descritas por Hugo Humberto Ruiz Fuentes y corroborad</w:t>
      </w:r>
      <w:r w:rsidRPr="00836C24">
        <w:rPr>
          <w:rFonts w:ascii="Cambria" w:hAnsi="Cambria"/>
          <w:sz w:val="20"/>
          <w:szCs w:val="20"/>
          <w:lang w:val="es-ES_tradnl"/>
        </w:rPr>
        <w:t>as por los informes</w:t>
      </w:r>
      <w:r w:rsidR="007A580C" w:rsidRPr="00836C24">
        <w:rPr>
          <w:rFonts w:ascii="Cambria" w:hAnsi="Cambria"/>
          <w:sz w:val="20"/>
          <w:szCs w:val="20"/>
          <w:lang w:val="es-ES_tradnl"/>
        </w:rPr>
        <w:t xml:space="preserve">, fueron causadas por agentes estatales. </w:t>
      </w:r>
      <w:r w:rsidRPr="00836C24">
        <w:rPr>
          <w:rFonts w:ascii="Cambria" w:hAnsi="Cambria"/>
          <w:sz w:val="20"/>
          <w:szCs w:val="20"/>
          <w:lang w:val="es-ES_tradnl"/>
        </w:rPr>
        <w:t xml:space="preserve">Como han indicado reiteradamente los órganos del sistema interamericano, concluir lo contrario equivaldría a permitir al Estado utilizar el incumplimiento de su obligación de investigar para </w:t>
      </w:r>
      <w:r w:rsidR="004D5D4A" w:rsidRPr="00836C24">
        <w:rPr>
          <w:rFonts w:ascii="Cambria" w:hAnsi="Cambria"/>
          <w:sz w:val="20"/>
          <w:szCs w:val="20"/>
          <w:lang w:val="es-ES_tradnl"/>
        </w:rPr>
        <w:t>evitar</w:t>
      </w:r>
      <w:r w:rsidRPr="00836C24">
        <w:rPr>
          <w:rFonts w:ascii="Cambria" w:hAnsi="Cambria"/>
          <w:sz w:val="20"/>
          <w:szCs w:val="20"/>
          <w:lang w:val="es-ES_tradnl"/>
        </w:rPr>
        <w:t xml:space="preserve"> su responsabilidad.</w:t>
      </w:r>
    </w:p>
    <w:p w:rsidR="007A580C" w:rsidRPr="00836C24" w:rsidRDefault="00CB5A50" w:rsidP="006936A4">
      <w:pPr>
        <w:pStyle w:val="Heading4"/>
        <w:ind w:left="720"/>
        <w:rPr>
          <w:rFonts w:asciiTheme="majorHAnsi" w:hAnsiTheme="majorHAnsi"/>
          <w:sz w:val="20"/>
          <w:lang w:val="es-ES_tradnl"/>
        </w:rPr>
      </w:pPr>
      <w:r w:rsidRPr="00836C24">
        <w:rPr>
          <w:rFonts w:asciiTheme="majorHAnsi" w:hAnsiTheme="majorHAnsi"/>
          <w:sz w:val="20"/>
          <w:lang w:val="es-ES_tradnl"/>
        </w:rPr>
        <w:t>2.2</w:t>
      </w:r>
      <w:r w:rsidRPr="00836C24">
        <w:rPr>
          <w:rFonts w:asciiTheme="majorHAnsi" w:hAnsiTheme="majorHAnsi"/>
          <w:sz w:val="20"/>
          <w:lang w:val="es-ES_tradnl"/>
        </w:rPr>
        <w:tab/>
      </w:r>
      <w:r w:rsidR="00275F3B" w:rsidRPr="00836C24">
        <w:rPr>
          <w:rFonts w:asciiTheme="majorHAnsi" w:hAnsiTheme="majorHAnsi"/>
          <w:sz w:val="20"/>
          <w:lang w:val="es-ES_tradnl"/>
        </w:rPr>
        <w:t>Sobre la calificación jurídica como tortura</w:t>
      </w:r>
      <w:r w:rsidR="007A580C" w:rsidRPr="00836C24">
        <w:rPr>
          <w:rFonts w:asciiTheme="majorHAnsi" w:hAnsiTheme="majorHAnsi"/>
          <w:sz w:val="20"/>
          <w:lang w:val="es-ES_tradnl"/>
        </w:rPr>
        <w:t xml:space="preserve"> </w:t>
      </w:r>
    </w:p>
    <w:p w:rsidR="007A580C" w:rsidRPr="00836C24" w:rsidRDefault="007A580C" w:rsidP="007A580C">
      <w:pPr>
        <w:rPr>
          <w:sz w:val="20"/>
          <w:szCs w:val="20"/>
          <w:lang w:val="es-ES_tradnl"/>
        </w:rPr>
      </w:pPr>
    </w:p>
    <w:p w:rsidR="007A580C" w:rsidRPr="00836C24" w:rsidRDefault="007A580C" w:rsidP="000A565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La Comisión analizará a continuación si la intensidad de las lesiones, así como sus fines, permiten calificarlas como tortura. </w:t>
      </w:r>
    </w:p>
    <w:p w:rsidR="007A580C" w:rsidRPr="00836C24" w:rsidRDefault="007A580C" w:rsidP="007A58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_tradnl"/>
        </w:rPr>
      </w:pPr>
    </w:p>
    <w:p w:rsidR="00C6324B" w:rsidRPr="00836C24" w:rsidRDefault="007A580C" w:rsidP="00642EA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En cuanto a los elementos de intencionalidad y la existencia de un fin determinado, la Comisión observa que según declaró </w:t>
      </w:r>
      <w:r w:rsidR="00F17E1E" w:rsidRPr="00836C24">
        <w:rPr>
          <w:rFonts w:ascii="Cambria" w:hAnsi="Cambria"/>
          <w:sz w:val="20"/>
          <w:szCs w:val="20"/>
          <w:lang w:val="es-ES_tradnl"/>
        </w:rPr>
        <w:t xml:space="preserve">el señor Ruiz Fuentes, </w:t>
      </w:r>
      <w:r w:rsidRPr="00836C24">
        <w:rPr>
          <w:rFonts w:ascii="Cambria" w:hAnsi="Cambria"/>
          <w:sz w:val="20"/>
          <w:szCs w:val="20"/>
          <w:lang w:val="es-ES_tradnl"/>
        </w:rPr>
        <w:t xml:space="preserve">mientras era golpeado </w:t>
      </w:r>
      <w:r w:rsidR="009D2B3D" w:rsidRPr="00836C24">
        <w:rPr>
          <w:rFonts w:ascii="Cambria" w:hAnsi="Cambria"/>
          <w:sz w:val="20"/>
          <w:szCs w:val="20"/>
          <w:lang w:val="es-ES_tradnl"/>
        </w:rPr>
        <w:t xml:space="preserve">los agentes le preguntaban </w:t>
      </w:r>
      <w:r w:rsidRPr="00836C24">
        <w:rPr>
          <w:rFonts w:ascii="Cambria" w:hAnsi="Cambria"/>
          <w:sz w:val="20"/>
          <w:szCs w:val="20"/>
          <w:lang w:val="es-ES_tradnl"/>
        </w:rPr>
        <w:lastRenderedPageBreak/>
        <w:t>por varios secuestros</w:t>
      </w:r>
      <w:r w:rsidR="009D2B3D" w:rsidRPr="00836C24">
        <w:rPr>
          <w:rFonts w:ascii="Cambria" w:hAnsi="Cambria"/>
          <w:sz w:val="20"/>
          <w:szCs w:val="20"/>
          <w:lang w:val="es-ES_tradnl"/>
        </w:rPr>
        <w:t xml:space="preserve"> y como él no les decía, continuaba siendo golpeado. </w:t>
      </w:r>
      <w:r w:rsidR="0093507E" w:rsidRPr="00836C24">
        <w:rPr>
          <w:rFonts w:ascii="Cambria" w:hAnsi="Cambria"/>
          <w:sz w:val="20"/>
          <w:szCs w:val="20"/>
          <w:lang w:val="es-ES_tradnl"/>
        </w:rPr>
        <w:t>De lo anterior, sumado a las circunstancias propias de la</w:t>
      </w:r>
      <w:r w:rsidR="00CD7853" w:rsidRPr="00836C24">
        <w:rPr>
          <w:rFonts w:ascii="Cambria" w:hAnsi="Cambria"/>
          <w:sz w:val="20"/>
          <w:szCs w:val="20"/>
          <w:lang w:val="es-ES_tradnl"/>
        </w:rPr>
        <w:t xml:space="preserve"> detención del señor Ruiz Fuentes en los términos descritos por él y que cobran especial relevancia ante la falta de investigación por parte del Estado, resulta</w:t>
      </w:r>
      <w:r w:rsidRPr="00836C24">
        <w:rPr>
          <w:rFonts w:ascii="Cambria" w:hAnsi="Cambria"/>
          <w:sz w:val="20"/>
          <w:szCs w:val="20"/>
          <w:lang w:val="es-ES_tradnl"/>
        </w:rPr>
        <w:t xml:space="preserve"> que el motivo de los golpes era obtener</w:t>
      </w:r>
      <w:r w:rsidR="004D5D4A" w:rsidRPr="00836C24">
        <w:rPr>
          <w:rFonts w:ascii="Cambria" w:hAnsi="Cambria"/>
          <w:sz w:val="20"/>
          <w:szCs w:val="20"/>
          <w:lang w:val="es-ES_tradnl"/>
        </w:rPr>
        <w:t xml:space="preserve"> información o</w:t>
      </w:r>
      <w:r w:rsidRPr="00836C24">
        <w:rPr>
          <w:rFonts w:ascii="Cambria" w:hAnsi="Cambria"/>
          <w:sz w:val="20"/>
          <w:szCs w:val="20"/>
          <w:lang w:val="es-ES_tradnl"/>
        </w:rPr>
        <w:t xml:space="preserve"> una confesión de su parte, así como disminuir sus capacidades físicas y mentales. </w:t>
      </w:r>
    </w:p>
    <w:p w:rsidR="00C6324B" w:rsidRPr="00836C24" w:rsidRDefault="00C6324B" w:rsidP="00C632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_tradnl"/>
        </w:rPr>
      </w:pPr>
    </w:p>
    <w:p w:rsidR="004D5D4A" w:rsidRPr="00836C24" w:rsidRDefault="007A580C" w:rsidP="00C632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Sobre el elemento de la intensidad del daño físico y mental, la Comisión observa que según consta en la </w:t>
      </w:r>
      <w:r w:rsidRPr="00836C24">
        <w:rPr>
          <w:rFonts w:ascii="Cambria" w:hAnsi="Cambria"/>
          <w:sz w:val="20"/>
          <w:szCs w:val="20"/>
          <w:lang w:val="es-US"/>
        </w:rPr>
        <w:t>declaración</w:t>
      </w:r>
      <w:r w:rsidRPr="00836C24">
        <w:rPr>
          <w:rFonts w:ascii="Cambria" w:hAnsi="Cambria"/>
          <w:sz w:val="20"/>
          <w:szCs w:val="20"/>
          <w:lang w:val="es-ES_tradnl"/>
        </w:rPr>
        <w:t xml:space="preserve"> de la presunta víctima</w:t>
      </w:r>
      <w:r w:rsidR="00756C11" w:rsidRPr="00836C24">
        <w:rPr>
          <w:rFonts w:ascii="Cambria" w:hAnsi="Cambria"/>
          <w:sz w:val="20"/>
          <w:szCs w:val="20"/>
          <w:lang w:val="es-ES_tradnl"/>
        </w:rPr>
        <w:t>,</w:t>
      </w:r>
      <w:r w:rsidRPr="00836C24">
        <w:rPr>
          <w:rFonts w:ascii="Cambria" w:hAnsi="Cambria"/>
          <w:sz w:val="20"/>
          <w:szCs w:val="20"/>
          <w:lang w:val="es-ES_tradnl"/>
        </w:rPr>
        <w:t xml:space="preserve"> lo golpearon de manera repetida, lo desnudaron y dejaron de golpearlo hasta que un supuesto oficial de policía ordenó que pararan de golpearlo porque se podía morir. Asimismo, como se indicó con anterioridad, </w:t>
      </w:r>
      <w:r w:rsidR="00756C11" w:rsidRPr="00836C24">
        <w:rPr>
          <w:rFonts w:ascii="Cambria" w:hAnsi="Cambria"/>
          <w:sz w:val="20"/>
          <w:szCs w:val="20"/>
          <w:lang w:val="es-ES_tradnl"/>
        </w:rPr>
        <w:t>las descripciones de los informes médicos</w:t>
      </w:r>
      <w:r w:rsidR="0051718E" w:rsidRPr="00836C24">
        <w:rPr>
          <w:rFonts w:ascii="Cambria" w:hAnsi="Cambria"/>
          <w:sz w:val="20"/>
          <w:szCs w:val="20"/>
          <w:lang w:val="es-ES_tradnl"/>
        </w:rPr>
        <w:t xml:space="preserve"> apuntan a </w:t>
      </w:r>
      <w:r w:rsidR="00785814" w:rsidRPr="00836C24">
        <w:rPr>
          <w:rFonts w:ascii="Cambria" w:hAnsi="Cambria"/>
          <w:sz w:val="20"/>
          <w:szCs w:val="20"/>
          <w:lang w:val="es-ES_tradnl"/>
        </w:rPr>
        <w:t>que las lesiones sufridas</w:t>
      </w:r>
      <w:r w:rsidR="0051718E" w:rsidRPr="00836C24">
        <w:rPr>
          <w:rFonts w:ascii="Cambria" w:hAnsi="Cambria"/>
          <w:sz w:val="20"/>
          <w:szCs w:val="20"/>
          <w:lang w:val="es-ES_tradnl"/>
        </w:rPr>
        <w:t xml:space="preserve"> eran de particular gravedad requiri</w:t>
      </w:r>
      <w:r w:rsidR="00785814" w:rsidRPr="00836C24">
        <w:rPr>
          <w:rFonts w:ascii="Cambria" w:hAnsi="Cambria"/>
          <w:sz w:val="20"/>
          <w:szCs w:val="20"/>
          <w:lang w:val="es-ES_tradnl"/>
        </w:rPr>
        <w:t xml:space="preserve">endo incluso que el señor Ruiz Fuentes fuera </w:t>
      </w:r>
      <w:r w:rsidRPr="00836C24">
        <w:rPr>
          <w:rFonts w:ascii="Cambria" w:hAnsi="Cambria"/>
          <w:sz w:val="20"/>
          <w:szCs w:val="20"/>
          <w:lang w:val="es-ES_tradnl"/>
        </w:rPr>
        <w:t>intervenido quirúrgicamente</w:t>
      </w:r>
      <w:r w:rsidR="00710738" w:rsidRPr="00836C24">
        <w:rPr>
          <w:rFonts w:ascii="Cambria" w:hAnsi="Cambria"/>
          <w:sz w:val="20"/>
          <w:szCs w:val="20"/>
          <w:lang w:val="es-ES_tradnl"/>
        </w:rPr>
        <w:t>.</w:t>
      </w:r>
      <w:r w:rsidR="00662577" w:rsidRPr="00836C24">
        <w:rPr>
          <w:rFonts w:ascii="Cambria" w:hAnsi="Cambria"/>
          <w:sz w:val="20"/>
          <w:szCs w:val="20"/>
          <w:lang w:val="es-ES_tradnl"/>
        </w:rPr>
        <w:t xml:space="preserve"> </w:t>
      </w:r>
      <w:r w:rsidR="004D5D4A" w:rsidRPr="00836C24">
        <w:rPr>
          <w:rFonts w:ascii="Cambria" w:hAnsi="Cambria"/>
          <w:sz w:val="20"/>
          <w:szCs w:val="20"/>
          <w:lang w:val="es-ES_tradnl"/>
        </w:rPr>
        <w:t>Asimismo, según consta en el expediente</w:t>
      </w:r>
      <w:r w:rsidR="00662577" w:rsidRPr="00836C24">
        <w:rPr>
          <w:rFonts w:ascii="Cambria" w:hAnsi="Cambria"/>
          <w:sz w:val="20"/>
          <w:szCs w:val="20"/>
          <w:lang w:val="es-ES_tradnl"/>
        </w:rPr>
        <w:t>,</w:t>
      </w:r>
      <w:r w:rsidR="004D5D4A" w:rsidRPr="00836C24">
        <w:rPr>
          <w:rFonts w:ascii="Cambria" w:hAnsi="Cambria"/>
          <w:sz w:val="20"/>
          <w:szCs w:val="20"/>
          <w:lang w:val="es-ES_tradnl"/>
        </w:rPr>
        <w:t xml:space="preserve"> las consecuencias de dichas lesiones se extendieron en el tiempo. </w:t>
      </w:r>
    </w:p>
    <w:p w:rsidR="004D5D4A" w:rsidRPr="00836C24" w:rsidRDefault="004D5D4A" w:rsidP="004D5D4A">
      <w:pPr>
        <w:pStyle w:val="ListParagraph"/>
        <w:rPr>
          <w:sz w:val="20"/>
          <w:szCs w:val="20"/>
          <w:lang w:val="es-ES_tradnl"/>
        </w:rPr>
      </w:pPr>
    </w:p>
    <w:p w:rsidR="00C6324B" w:rsidRPr="00836C24" w:rsidRDefault="00C35936" w:rsidP="00C6324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Estos elementos son suficientes para establecer la severidad de las lesiones causadas. </w:t>
      </w:r>
      <w:r w:rsidR="00C6324B" w:rsidRPr="00836C24">
        <w:rPr>
          <w:rFonts w:ascii="Cambria" w:hAnsi="Cambria"/>
          <w:sz w:val="20"/>
          <w:szCs w:val="20"/>
          <w:lang w:val="es-ES_tradnl"/>
        </w:rPr>
        <w:t xml:space="preserve">Además de lo anterior, la Comisión considera que la desnudez forzada por sí misma genera una situación de temor profundo. </w:t>
      </w:r>
    </w:p>
    <w:p w:rsidR="007A580C" w:rsidRPr="00836C24" w:rsidRDefault="007A580C" w:rsidP="00C6324B">
      <w:pPr>
        <w:rPr>
          <w:lang w:val="es-US"/>
        </w:rPr>
      </w:pPr>
    </w:p>
    <w:p w:rsidR="000A5657" w:rsidRPr="00836C24" w:rsidRDefault="007A580C" w:rsidP="000A565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US"/>
        </w:rPr>
        <w:t xml:space="preserve">En </w:t>
      </w:r>
      <w:r w:rsidRPr="00836C24">
        <w:rPr>
          <w:rFonts w:ascii="Cambria" w:hAnsi="Cambria"/>
          <w:sz w:val="20"/>
          <w:szCs w:val="20"/>
          <w:lang w:val="es-ES_tradnl"/>
        </w:rPr>
        <w:t>virtud</w:t>
      </w:r>
      <w:r w:rsidRPr="00836C24">
        <w:rPr>
          <w:rFonts w:ascii="Cambria" w:hAnsi="Cambria"/>
          <w:sz w:val="20"/>
          <w:szCs w:val="20"/>
          <w:lang w:val="es-US"/>
        </w:rPr>
        <w:t xml:space="preserve"> de las anteriores consideraciones, la Comisión concluye que las lesiones</w:t>
      </w:r>
      <w:r w:rsidR="00275F3B" w:rsidRPr="00836C24">
        <w:rPr>
          <w:rFonts w:ascii="Cambria" w:hAnsi="Cambria"/>
          <w:sz w:val="20"/>
          <w:szCs w:val="20"/>
          <w:lang w:val="es-US"/>
        </w:rPr>
        <w:t xml:space="preserve"> causadas por agentes estatales a</w:t>
      </w:r>
      <w:r w:rsidRPr="00836C24">
        <w:rPr>
          <w:rFonts w:ascii="Cambria" w:hAnsi="Cambria"/>
          <w:sz w:val="20"/>
          <w:szCs w:val="20"/>
          <w:lang w:val="es-US"/>
        </w:rPr>
        <w:t xml:space="preserve"> Hugo Humberto Ruiz Fuentes </w:t>
      </w:r>
      <w:r w:rsidR="00275F3B" w:rsidRPr="00836C24">
        <w:rPr>
          <w:rFonts w:ascii="Cambria" w:hAnsi="Cambria"/>
          <w:sz w:val="20"/>
          <w:szCs w:val="20"/>
          <w:lang w:val="es-US"/>
        </w:rPr>
        <w:t xml:space="preserve">alcanzaron el nivel de tortura. Además, tomando en cuenta lo descrito por el propio señor Ruiz Fuentes, esta actuación iba dirigida, entre otras cosas, a obtener su confesión. </w:t>
      </w:r>
      <w:r w:rsidRPr="00836C24">
        <w:rPr>
          <w:rFonts w:ascii="Cambria" w:hAnsi="Cambria"/>
          <w:sz w:val="20"/>
          <w:szCs w:val="20"/>
          <w:lang w:val="es-US"/>
        </w:rPr>
        <w:t xml:space="preserve">En consecuencia, la Comisión considera que el Estado de Guatemala violó la prohibición absoluta de la tortura y el derecho a no ser obligado a declarar contra sí mismo, establecidos en los artículos 5.1, 5.2 y 8.2 g) de la Convención Americana en relación el artículo 1.1 del mismo instrumento, en perjuicio de Hugo Humberto Ruiz Fuentes. </w:t>
      </w:r>
    </w:p>
    <w:p w:rsidR="007A580C" w:rsidRPr="00836C24" w:rsidRDefault="000A5657" w:rsidP="006936A4">
      <w:pPr>
        <w:pStyle w:val="Heading4"/>
        <w:ind w:left="720"/>
        <w:rPr>
          <w:rFonts w:asciiTheme="majorHAnsi" w:hAnsiTheme="majorHAnsi"/>
          <w:sz w:val="20"/>
          <w:lang w:val="es-ES_tradnl"/>
        </w:rPr>
      </w:pPr>
      <w:r w:rsidRPr="00836C24">
        <w:rPr>
          <w:rFonts w:asciiTheme="majorHAnsi" w:hAnsiTheme="majorHAnsi"/>
          <w:sz w:val="20"/>
          <w:lang w:val="es-ES_tradnl"/>
        </w:rPr>
        <w:t>2.3</w:t>
      </w:r>
      <w:r w:rsidRPr="00836C24">
        <w:rPr>
          <w:rFonts w:asciiTheme="majorHAnsi" w:hAnsiTheme="majorHAnsi"/>
          <w:sz w:val="20"/>
          <w:lang w:val="es-ES_tradnl"/>
        </w:rPr>
        <w:tab/>
      </w:r>
      <w:r w:rsidR="007A580C" w:rsidRPr="00836C24">
        <w:rPr>
          <w:rFonts w:asciiTheme="majorHAnsi" w:hAnsiTheme="majorHAnsi"/>
          <w:sz w:val="20"/>
          <w:lang w:val="es-ES_tradnl"/>
        </w:rPr>
        <w:t xml:space="preserve">Sobre la investigación de la tortura  </w:t>
      </w:r>
    </w:p>
    <w:p w:rsidR="007A580C" w:rsidRPr="00836C24" w:rsidRDefault="007A580C" w:rsidP="007A580C">
      <w:pPr>
        <w:rPr>
          <w:rFonts w:ascii="Cambria" w:eastAsia="Times New Roman" w:hAnsi="Cambria"/>
          <w:sz w:val="20"/>
          <w:szCs w:val="20"/>
          <w:lang w:val="es-ES"/>
        </w:rPr>
      </w:pPr>
    </w:p>
    <w:p w:rsidR="0046317D" w:rsidRPr="00836C24" w:rsidRDefault="007A580C" w:rsidP="00CE608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US"/>
        </w:rPr>
        <w:t xml:space="preserve">En la sección anterior la Comisión dio por probado que agentes estatales cometieron actos de tortura en contra de Hugo Humberto Ruiz Fuentes.  </w:t>
      </w:r>
    </w:p>
    <w:p w:rsidR="0046317D" w:rsidRPr="00836C24" w:rsidRDefault="0046317D"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US"/>
        </w:rPr>
      </w:pPr>
    </w:p>
    <w:p w:rsidR="0046317D" w:rsidRPr="00836C24" w:rsidRDefault="00025C4B" w:rsidP="006D0D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US"/>
        </w:rPr>
        <w:t xml:space="preserve">La Comisión considera que la obligación de iniciar una investigación por estos hechos surgió </w:t>
      </w:r>
      <w:r w:rsidR="00662577" w:rsidRPr="00836C24">
        <w:rPr>
          <w:rFonts w:ascii="Cambria" w:hAnsi="Cambria"/>
          <w:sz w:val="20"/>
          <w:szCs w:val="20"/>
          <w:lang w:val="es-US"/>
        </w:rPr>
        <w:t xml:space="preserve">luego </w:t>
      </w:r>
      <w:r w:rsidRPr="00836C24">
        <w:rPr>
          <w:rFonts w:ascii="Cambria" w:hAnsi="Cambria"/>
          <w:sz w:val="20"/>
          <w:szCs w:val="20"/>
          <w:lang w:val="es-US"/>
        </w:rPr>
        <w:t>que el señor Ruiz Fuentes fue detenido pues el sólo hecho de que tuvo que ser trasladado a un hospital en ese mome</w:t>
      </w:r>
      <w:r w:rsidR="00662577" w:rsidRPr="00836C24">
        <w:rPr>
          <w:rFonts w:ascii="Cambria" w:hAnsi="Cambria"/>
          <w:sz w:val="20"/>
          <w:szCs w:val="20"/>
          <w:lang w:val="es-US"/>
        </w:rPr>
        <w:t>nto, ponía de manifiesto que su condición física o las</w:t>
      </w:r>
      <w:r w:rsidRPr="00836C24">
        <w:rPr>
          <w:rFonts w:ascii="Cambria" w:hAnsi="Cambria"/>
          <w:sz w:val="20"/>
          <w:szCs w:val="20"/>
          <w:lang w:val="es-US"/>
        </w:rPr>
        <w:t xml:space="preserve"> lesiones que evidentemente presentaba pudieron haber sido causadas por los agentes estatales que participaron en dicho operativo. La existencia de una versión por parte de dichos agentes no</w:t>
      </w:r>
      <w:r w:rsidR="00271873" w:rsidRPr="00836C24">
        <w:rPr>
          <w:rFonts w:ascii="Cambria" w:hAnsi="Cambria"/>
          <w:sz w:val="20"/>
          <w:szCs w:val="20"/>
          <w:lang w:val="es-US"/>
        </w:rPr>
        <w:t xml:space="preserve"> puede entenderse bajo ninguna circunstancia razón suficiente para no iniciar una investigación sobre el origen de las lesiones. </w:t>
      </w:r>
      <w:r w:rsidR="006D0D60" w:rsidRPr="00836C24">
        <w:rPr>
          <w:rFonts w:ascii="Cambria" w:hAnsi="Cambria"/>
          <w:sz w:val="20"/>
          <w:szCs w:val="20"/>
          <w:lang w:val="es-US"/>
        </w:rPr>
        <w:t>En ese sentido</w:t>
      </w:r>
      <w:r w:rsidR="0046317D" w:rsidRPr="00836C24">
        <w:rPr>
          <w:rFonts w:ascii="Cambria" w:hAnsi="Cambria"/>
          <w:sz w:val="20"/>
          <w:szCs w:val="20"/>
          <w:lang w:val="es-US"/>
        </w:rPr>
        <w:t xml:space="preserve">, la CIDH considera que desde el momento de la detención existía razón fundada que activaba la obligación inmediata de investigar lo sucedido. Esta obligación se vio reforzada </w:t>
      </w:r>
      <w:r w:rsidR="006D0D60" w:rsidRPr="00836C24">
        <w:rPr>
          <w:rFonts w:ascii="Cambria" w:hAnsi="Cambria"/>
          <w:sz w:val="20"/>
          <w:szCs w:val="20"/>
          <w:lang w:val="es-US"/>
        </w:rPr>
        <w:t xml:space="preserve">tras la declaración del señor Ruiz Fuentes de abril de 1998, en el marco de la cual describió las torturas sufridas y aportó una versión alternativa a la oficial. </w:t>
      </w:r>
      <w:r w:rsidR="0046317D" w:rsidRPr="00836C24">
        <w:rPr>
          <w:rFonts w:ascii="Cambria" w:hAnsi="Cambria"/>
          <w:sz w:val="20"/>
          <w:szCs w:val="20"/>
          <w:lang w:val="es-US"/>
        </w:rPr>
        <w:t xml:space="preserve"> </w:t>
      </w:r>
    </w:p>
    <w:p w:rsidR="0046317D" w:rsidRPr="00836C24" w:rsidRDefault="0046317D" w:rsidP="00AA7C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US"/>
        </w:rPr>
      </w:pPr>
    </w:p>
    <w:p w:rsidR="00285372" w:rsidRPr="00836C24" w:rsidRDefault="006D0D60"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US"/>
        </w:rPr>
        <w:t>A pesar de todo lo a</w:t>
      </w:r>
      <w:r w:rsidR="00FA634C" w:rsidRPr="00836C24">
        <w:rPr>
          <w:rFonts w:ascii="Cambria" w:hAnsi="Cambria"/>
          <w:sz w:val="20"/>
          <w:szCs w:val="20"/>
          <w:lang w:val="es-US"/>
        </w:rPr>
        <w:t>nteri</w:t>
      </w:r>
      <w:r w:rsidRPr="00836C24">
        <w:rPr>
          <w:rFonts w:ascii="Cambria" w:hAnsi="Cambria"/>
          <w:sz w:val="20"/>
          <w:szCs w:val="20"/>
          <w:lang w:val="es-US"/>
        </w:rPr>
        <w:t xml:space="preserve">or, hasta la fecha, </w:t>
      </w:r>
      <w:r w:rsidR="007A580C" w:rsidRPr="00836C24">
        <w:rPr>
          <w:rFonts w:ascii="Cambria" w:hAnsi="Cambria"/>
          <w:sz w:val="20"/>
          <w:szCs w:val="20"/>
          <w:lang w:val="es-US"/>
        </w:rPr>
        <w:t xml:space="preserve">el Estado guatemalteco </w:t>
      </w:r>
      <w:r w:rsidR="00FA634C" w:rsidRPr="00836C24">
        <w:rPr>
          <w:rFonts w:ascii="Cambria" w:hAnsi="Cambria"/>
          <w:sz w:val="20"/>
          <w:szCs w:val="20"/>
          <w:lang w:val="es-US"/>
        </w:rPr>
        <w:t xml:space="preserve">no ha </w:t>
      </w:r>
      <w:r w:rsidR="007A580C" w:rsidRPr="00836C24">
        <w:rPr>
          <w:rFonts w:ascii="Cambria" w:hAnsi="Cambria"/>
          <w:sz w:val="20"/>
          <w:szCs w:val="20"/>
          <w:lang w:val="es-US"/>
        </w:rPr>
        <w:t>inici</w:t>
      </w:r>
      <w:r w:rsidR="00FA634C" w:rsidRPr="00836C24">
        <w:rPr>
          <w:rFonts w:ascii="Cambria" w:hAnsi="Cambria"/>
          <w:sz w:val="20"/>
          <w:szCs w:val="20"/>
          <w:lang w:val="es-US"/>
        </w:rPr>
        <w:t>ado</w:t>
      </w:r>
      <w:r w:rsidR="007A580C" w:rsidRPr="00836C24">
        <w:rPr>
          <w:rFonts w:ascii="Cambria" w:hAnsi="Cambria"/>
          <w:sz w:val="20"/>
          <w:szCs w:val="20"/>
          <w:lang w:val="es-US"/>
        </w:rPr>
        <w:t xml:space="preserve"> investigación alguna sobre estos hechos. </w:t>
      </w:r>
      <w:r w:rsidR="00FA634C" w:rsidRPr="00836C24">
        <w:rPr>
          <w:rFonts w:ascii="Cambria" w:hAnsi="Cambria"/>
          <w:sz w:val="20"/>
          <w:szCs w:val="20"/>
          <w:lang w:val="es-US"/>
        </w:rPr>
        <w:t xml:space="preserve">Esta omisión </w:t>
      </w:r>
      <w:r w:rsidR="007A580C" w:rsidRPr="00836C24">
        <w:rPr>
          <w:rFonts w:ascii="Cambria" w:hAnsi="Cambria"/>
          <w:sz w:val="20"/>
          <w:szCs w:val="20"/>
          <w:lang w:val="es-US"/>
        </w:rPr>
        <w:t xml:space="preserve">constituye un claro incumplimiento del deber de investigar </w:t>
      </w:r>
      <w:r w:rsidR="00FA634C" w:rsidRPr="00836C24">
        <w:rPr>
          <w:rFonts w:ascii="Cambria" w:hAnsi="Cambria"/>
          <w:sz w:val="20"/>
          <w:szCs w:val="20"/>
          <w:lang w:val="es-US"/>
        </w:rPr>
        <w:t xml:space="preserve">cuando existe denuncia o razón fundada de la comisión de </w:t>
      </w:r>
      <w:r w:rsidR="007A580C" w:rsidRPr="00836C24">
        <w:rPr>
          <w:rFonts w:ascii="Cambria" w:hAnsi="Cambria"/>
          <w:sz w:val="20"/>
          <w:szCs w:val="20"/>
          <w:lang w:val="es-US"/>
        </w:rPr>
        <w:t xml:space="preserve">actos de tortura. </w:t>
      </w:r>
      <w:r w:rsidR="00FA634C" w:rsidRPr="00836C24">
        <w:rPr>
          <w:rFonts w:ascii="Cambria" w:hAnsi="Cambria"/>
          <w:sz w:val="20"/>
          <w:szCs w:val="20"/>
          <w:lang w:val="es-US"/>
        </w:rPr>
        <w:t xml:space="preserve">Como se indicó en el párrafo anterior, en el presente caso existió tanto denuncia como razón fundada. </w:t>
      </w:r>
      <w:r w:rsidR="00641289" w:rsidRPr="00836C24">
        <w:rPr>
          <w:rFonts w:ascii="Cambria" w:hAnsi="Cambria"/>
          <w:sz w:val="20"/>
          <w:szCs w:val="20"/>
          <w:lang w:val="es-US"/>
        </w:rPr>
        <w:t xml:space="preserve">En consecuencia, la CIDH concluye que </w:t>
      </w:r>
      <w:r w:rsidR="007A580C" w:rsidRPr="00836C24">
        <w:rPr>
          <w:rFonts w:ascii="Cambria" w:eastAsia="Times New Roman" w:hAnsi="Cambria"/>
          <w:sz w:val="20"/>
          <w:szCs w:val="20"/>
          <w:lang w:val="es-ES"/>
        </w:rPr>
        <w:t xml:space="preserve">el Estado guatemalteco violó los derechos consagrados en los artículos 8.1 y 25.1 de la Convención Americana en relación con las obligaciones establecidas en el artículo 1.1 del mismo instrumento, en perjuicio </w:t>
      </w:r>
      <w:r w:rsidR="00F75E4D" w:rsidRPr="00836C24">
        <w:rPr>
          <w:rFonts w:ascii="Cambria" w:eastAsia="Times New Roman" w:hAnsi="Cambria"/>
          <w:sz w:val="20"/>
          <w:szCs w:val="20"/>
          <w:lang w:val="es-ES"/>
        </w:rPr>
        <w:t xml:space="preserve">de Hugo Humberto Ruiz Fuentes. </w:t>
      </w:r>
      <w:r w:rsidR="007A580C" w:rsidRPr="00836C24">
        <w:rPr>
          <w:rFonts w:ascii="Cambria" w:eastAsia="Times New Roman" w:hAnsi="Cambria"/>
          <w:sz w:val="20"/>
          <w:szCs w:val="20"/>
          <w:lang w:val="es-ES"/>
        </w:rPr>
        <w:t xml:space="preserve">Asimismo, la CIDH concluye que el Estado incumplió las obligaciones establecidas en los artículos 1, 6 y 8 de la CIPST. </w:t>
      </w:r>
    </w:p>
    <w:p w:rsidR="00285372" w:rsidRPr="00836C24" w:rsidRDefault="00285372" w:rsidP="00F04E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US"/>
        </w:rPr>
      </w:pPr>
    </w:p>
    <w:p w:rsidR="00285372" w:rsidRPr="00836C24" w:rsidRDefault="00285372" w:rsidP="00285372">
      <w:pPr>
        <w:pStyle w:val="Heading2"/>
        <w:numPr>
          <w:ilvl w:val="0"/>
          <w:numId w:val="66"/>
        </w:numPr>
        <w:ind w:firstLine="0"/>
        <w:rPr>
          <w:b w:val="0"/>
          <w:lang w:val="es-ES"/>
        </w:rPr>
      </w:pPr>
      <w:bookmarkStart w:id="77" w:name="_Toc491441654"/>
      <w:r w:rsidRPr="00836C24">
        <w:lastRenderedPageBreak/>
        <w:t>Derechos a la vida</w:t>
      </w:r>
      <w:r w:rsidRPr="00836C24">
        <w:rPr>
          <w:vertAlign w:val="superscript"/>
        </w:rPr>
        <w:footnoteReference w:id="153"/>
      </w:r>
      <w:r w:rsidRPr="00836C24">
        <w:t>, garantías judiciales</w:t>
      </w:r>
      <w:r w:rsidRPr="00836C24">
        <w:rPr>
          <w:vertAlign w:val="superscript"/>
        </w:rPr>
        <w:footnoteReference w:id="154"/>
      </w:r>
      <w:r w:rsidRPr="00836C24">
        <w:t xml:space="preserve"> y protección judicial</w:t>
      </w:r>
      <w:r w:rsidRPr="00836C24">
        <w:rPr>
          <w:vertAlign w:val="superscript"/>
        </w:rPr>
        <w:footnoteReference w:id="155"/>
      </w:r>
      <w:r w:rsidRPr="00836C24">
        <w:t xml:space="preserve"> respecto de la muerte</w:t>
      </w:r>
      <w:r w:rsidRPr="00836C24">
        <w:rPr>
          <w:b w:val="0"/>
          <w:lang w:val="es-ES"/>
        </w:rPr>
        <w:t xml:space="preserve"> </w:t>
      </w:r>
      <w:r w:rsidR="009554B0" w:rsidRPr="00836C24">
        <w:rPr>
          <w:lang w:val="es-ES"/>
        </w:rPr>
        <w:t>de Hugo Humberto Ruiz Fuentes</w:t>
      </w:r>
      <w:bookmarkEnd w:id="77"/>
    </w:p>
    <w:p w:rsidR="00285372" w:rsidRPr="00836C24" w:rsidRDefault="00285372" w:rsidP="00317940">
      <w:pPr>
        <w:pStyle w:val="Heading3"/>
        <w:numPr>
          <w:ilvl w:val="0"/>
          <w:numId w:val="70"/>
        </w:numPr>
        <w:tabs>
          <w:tab w:val="left" w:pos="1440"/>
        </w:tabs>
        <w:ind w:left="1440" w:hanging="720"/>
        <w:rPr>
          <w:color w:val="auto"/>
          <w:sz w:val="20"/>
          <w:szCs w:val="20"/>
          <w:lang w:val="es-CO"/>
        </w:rPr>
      </w:pPr>
      <w:bookmarkStart w:id="78" w:name="_Toc491441655"/>
      <w:r w:rsidRPr="00836C24">
        <w:rPr>
          <w:color w:val="auto"/>
          <w:sz w:val="20"/>
          <w:szCs w:val="20"/>
          <w:lang w:val="es-CO"/>
        </w:rPr>
        <w:t>Consideraciones generales</w:t>
      </w:r>
      <w:bookmarkEnd w:id="78"/>
      <w:r w:rsidRPr="00836C24">
        <w:rPr>
          <w:color w:val="auto"/>
          <w:sz w:val="20"/>
          <w:szCs w:val="20"/>
          <w:lang w:val="es-CO"/>
        </w:rPr>
        <w:t xml:space="preserve">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num" w:pos="1080"/>
          <w:tab w:val="left" w:pos="1440"/>
          <w:tab w:val="num" w:pos="2040"/>
        </w:tabs>
        <w:jc w:val="both"/>
        <w:rPr>
          <w:rFonts w:ascii="Cambria" w:hAnsi="Cambria"/>
          <w:b/>
          <w:sz w:val="20"/>
          <w:szCs w:val="20"/>
          <w:lang w:val="es-CO"/>
        </w:rPr>
      </w:pPr>
      <w:r w:rsidRPr="00836C24">
        <w:rPr>
          <w:rFonts w:ascii="Cambria" w:hAnsi="Cambria"/>
          <w:b/>
          <w:sz w:val="20"/>
          <w:szCs w:val="20"/>
          <w:lang w:val="es-CO"/>
        </w:rPr>
        <w:t xml:space="preserve"> </w:t>
      </w: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ES_tradnl"/>
        </w:rPr>
        <w:t>La Comisión recuerda que el derecho a la vida es prerrequisito del disfrute de todos los demás derechos humanos y sin cuyo respeto todos los demás carecen de sentido</w:t>
      </w:r>
      <w:r w:rsidRPr="00836C24">
        <w:rPr>
          <w:rFonts w:ascii="Cambria" w:hAnsi="Cambria"/>
          <w:sz w:val="20"/>
          <w:szCs w:val="20"/>
          <w:vertAlign w:val="superscript"/>
          <w:lang w:val="es-ES_tradnl"/>
        </w:rPr>
        <w:footnoteReference w:id="156"/>
      </w:r>
      <w:r w:rsidRPr="00836C24">
        <w:rPr>
          <w:rFonts w:ascii="Cambria" w:hAnsi="Cambria"/>
          <w:sz w:val="20"/>
          <w:szCs w:val="20"/>
          <w:lang w:val="es-ES_tradnl"/>
        </w:rPr>
        <w:t>.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836C24">
        <w:rPr>
          <w:rFonts w:ascii="Cambria" w:hAnsi="Cambria"/>
          <w:sz w:val="20"/>
          <w:szCs w:val="20"/>
          <w:vertAlign w:val="superscript"/>
          <w:lang w:val="es-ES_tradnl"/>
        </w:rPr>
        <w:footnoteReference w:id="157"/>
      </w:r>
      <w:r w:rsidRPr="00836C24">
        <w:rPr>
          <w:rFonts w:ascii="Cambria" w:hAnsi="Cambria"/>
          <w:sz w:val="20"/>
          <w:szCs w:val="20"/>
          <w:lang w:val="es-ES_tradnl"/>
        </w:rPr>
        <w:t>. Por su parte, la Corte Europea ha señalado la importancia de que el derecho a la vida sea interpretado y aplicado de manera que sus salvaguardas sean prácticas y efectivas</w:t>
      </w:r>
      <w:r w:rsidRPr="00836C24">
        <w:rPr>
          <w:rFonts w:ascii="Cambria" w:hAnsi="Cambria"/>
          <w:sz w:val="20"/>
          <w:szCs w:val="20"/>
          <w:vertAlign w:val="superscript"/>
          <w:lang w:val="es-ES_tradnl"/>
        </w:rPr>
        <w:footnoteReference w:id="158"/>
      </w:r>
      <w:r w:rsidRPr="00836C24">
        <w:rPr>
          <w:rFonts w:ascii="Cambria" w:hAnsi="Cambria"/>
          <w:sz w:val="20"/>
          <w:szCs w:val="20"/>
          <w:lang w:val="es-ES_tradnl"/>
        </w:rPr>
        <w:t>.</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US"/>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ES"/>
        </w:rPr>
        <w:t xml:space="preserve">Tanto la Comisión como la Corte Interamericana han indicado que en </w:t>
      </w:r>
      <w:r w:rsidRPr="00836C24">
        <w:rPr>
          <w:rFonts w:ascii="Cambria" w:hAnsi="Cambria"/>
          <w:spacing w:val="-2"/>
          <w:sz w:val="20"/>
          <w:szCs w:val="20"/>
          <w:lang w:val="es-CR"/>
        </w:rPr>
        <w:t>todo caso de despliegue de la fuerza, en el que agentes estatales hayan producido la muerte o lesiones de una persona, corresponde analizar el uso de la fuerza</w:t>
      </w:r>
      <w:r w:rsidRPr="00836C24">
        <w:rPr>
          <w:rStyle w:val="FootnoteReference"/>
          <w:rFonts w:ascii="Cambria" w:hAnsi="Cambria"/>
          <w:spacing w:val="-2"/>
          <w:sz w:val="20"/>
          <w:szCs w:val="20"/>
          <w:lang w:val="es-CR"/>
        </w:rPr>
        <w:footnoteReference w:id="159"/>
      </w:r>
      <w:r w:rsidRPr="00836C24">
        <w:rPr>
          <w:rFonts w:ascii="Cambria" w:hAnsi="Cambria"/>
          <w:spacing w:val="-2"/>
          <w:sz w:val="20"/>
          <w:szCs w:val="20"/>
          <w:lang w:val="es-CR"/>
        </w:rPr>
        <w:t xml:space="preserve">. En ese sentido, la Comisión analizará los hechos del caso tomando en cuenta lo expresado en su </w:t>
      </w:r>
      <w:r w:rsidRPr="00836C24">
        <w:rPr>
          <w:rFonts w:ascii="Cambria" w:hAnsi="Cambria"/>
          <w:sz w:val="20"/>
          <w:szCs w:val="20"/>
          <w:lang w:val="es-ES"/>
        </w:rPr>
        <w:t>jurisprudencia</w:t>
      </w:r>
      <w:r w:rsidRPr="00836C24">
        <w:rPr>
          <w:rFonts w:ascii="Cambria" w:hAnsi="Cambria"/>
          <w:spacing w:val="-2"/>
          <w:sz w:val="20"/>
          <w:szCs w:val="20"/>
          <w:lang w:val="es-CR"/>
        </w:rPr>
        <w:t xml:space="preserve"> interamericana sobre el derecho a la vida, en relación con las obligaciones de respeto y garantía y en materia de uso de la fuerza</w:t>
      </w:r>
      <w:r w:rsidRPr="00836C24">
        <w:rPr>
          <w:rFonts w:ascii="Cambria" w:hAnsi="Cambria"/>
          <w:bCs/>
          <w:spacing w:val="-2"/>
          <w:sz w:val="20"/>
          <w:szCs w:val="20"/>
          <w:lang w:val="es-CR"/>
        </w:rPr>
        <w:t xml:space="preserve">. Para ello la CIDH tomará en cuenta </w:t>
      </w:r>
      <w:r w:rsidRPr="00836C24">
        <w:rPr>
          <w:rFonts w:ascii="Cambria" w:hAnsi="Cambria"/>
          <w:spacing w:val="-2"/>
          <w:sz w:val="20"/>
          <w:szCs w:val="20"/>
          <w:lang w:val="es-CR"/>
        </w:rPr>
        <w:t xml:space="preserve">diversos instrumentos </w:t>
      </w:r>
      <w:r w:rsidRPr="00836C24">
        <w:rPr>
          <w:rFonts w:ascii="Cambria" w:hAnsi="Cambria"/>
          <w:sz w:val="20"/>
          <w:szCs w:val="20"/>
          <w:lang w:val="es-ES"/>
        </w:rPr>
        <w:t>internacionales</w:t>
      </w:r>
      <w:r w:rsidRPr="00836C24">
        <w:rPr>
          <w:rFonts w:ascii="Cambria" w:hAnsi="Cambria"/>
          <w:spacing w:val="-2"/>
          <w:sz w:val="20"/>
          <w:szCs w:val="20"/>
          <w:lang w:val="es-CR"/>
        </w:rPr>
        <w:t xml:space="preserve"> en la materia y, en particular, los Principios Básicos sobre el empleo de la fuerza y de armas de fuego por los funcionarios encargados de hacer cumplir la ley y del Código de conducta para funcionarios encargados de hacer cumplir la ley (en adelante “</w:t>
      </w:r>
      <w:r w:rsidRPr="00836C24">
        <w:rPr>
          <w:rFonts w:ascii="Cambria" w:hAnsi="Cambria"/>
          <w:sz w:val="20"/>
          <w:szCs w:val="20"/>
          <w:lang w:val="es-CO"/>
        </w:rPr>
        <w:t>Principios sobre empleo de la fuerza” y “Código de Conducta”</w:t>
      </w:r>
      <w:r w:rsidRPr="00836C24">
        <w:rPr>
          <w:rFonts w:ascii="Cambria" w:hAnsi="Cambria"/>
          <w:spacing w:val="-2"/>
          <w:sz w:val="20"/>
          <w:szCs w:val="20"/>
          <w:lang w:val="es-CR"/>
        </w:rPr>
        <w:t xml:space="preserve"> respectivamente).</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cs="Verdana"/>
          <w:sz w:val="20"/>
          <w:szCs w:val="20"/>
          <w:lang w:val="es-CO"/>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cs="Verdana"/>
          <w:sz w:val="20"/>
          <w:szCs w:val="20"/>
          <w:lang w:val="es-CO"/>
        </w:rPr>
        <w:t xml:space="preserve">La CIDH ha indicado que si bien </w:t>
      </w:r>
      <w:r w:rsidRPr="00836C24">
        <w:rPr>
          <w:rFonts w:ascii="Cambria" w:hAnsi="Cambria"/>
          <w:sz w:val="20"/>
          <w:szCs w:val="20"/>
          <w:lang w:val="es-CO"/>
        </w:rPr>
        <w:t>el Estado tiene el derecho y la obligación de brindar protección contra las amenazas y para ello puede utilizar la fuerza letal en ciertas situaciones, dicha facultad debe estar restringida a cuando sea estrictamente necesario y proporcionado. Si no responde a esos principios, el uso de la fuerza letal puede constituir una privación arbitraria de la vida o una ejecución sumaria. Ello equivale a decir que el uso de la fuerza letal tiene necesariamente que estar justificado por el derecho del Estado a proteger la seguridad de todos</w:t>
      </w:r>
      <w:r w:rsidRPr="00836C24">
        <w:rPr>
          <w:rStyle w:val="FootnoteReference"/>
          <w:rFonts w:ascii="Cambria" w:hAnsi="Cambria"/>
          <w:sz w:val="20"/>
          <w:szCs w:val="20"/>
        </w:rPr>
        <w:footnoteReference w:id="160"/>
      </w:r>
      <w:r w:rsidRPr="00836C24">
        <w:rPr>
          <w:rFonts w:ascii="Cambria" w:hAnsi="Cambria"/>
          <w:sz w:val="20"/>
          <w:szCs w:val="20"/>
          <w:lang w:val="es-CO"/>
        </w:rPr>
        <w:t xml:space="preserve">.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CO"/>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CO"/>
        </w:rPr>
        <w:t xml:space="preserve">Cuando se alega que se ha producido una muerte como consecuencia del uso de la fuerza, la Corte </w:t>
      </w:r>
      <w:r w:rsidRPr="00836C24">
        <w:rPr>
          <w:rFonts w:ascii="Cambria" w:hAnsi="Cambria"/>
          <w:sz w:val="20"/>
          <w:szCs w:val="20"/>
          <w:lang w:val="es-ES"/>
        </w:rPr>
        <w:t>Interamericana</w:t>
      </w:r>
      <w:r w:rsidRPr="00836C24">
        <w:rPr>
          <w:rFonts w:ascii="Cambria" w:hAnsi="Cambria"/>
          <w:sz w:val="20"/>
          <w:szCs w:val="20"/>
          <w:lang w:val="es-CO"/>
        </w:rPr>
        <w:t xml:space="preserve"> ha establecido reglas claras sobre la carga de la prueba. En palabras del Tribunal: </w:t>
      </w:r>
    </w:p>
    <w:p w:rsidR="00285372" w:rsidRPr="00836C24" w:rsidRDefault="00285372" w:rsidP="00285372">
      <w:pPr>
        <w:ind w:left="720" w:right="720"/>
        <w:jc w:val="both"/>
        <w:rPr>
          <w:rFonts w:ascii="Cambria" w:hAnsi="Cambria" w:cs="Verdana"/>
          <w:sz w:val="20"/>
          <w:szCs w:val="20"/>
          <w:lang w:val="es-CO"/>
        </w:rPr>
      </w:pPr>
    </w:p>
    <w:p w:rsidR="00285372" w:rsidRPr="00836C24" w:rsidRDefault="00285372" w:rsidP="00D96D45">
      <w:pPr>
        <w:ind w:left="720" w:right="720"/>
        <w:jc w:val="both"/>
        <w:rPr>
          <w:rFonts w:ascii="Cambria" w:hAnsi="Cambria" w:cs="Verdana"/>
          <w:sz w:val="20"/>
          <w:szCs w:val="20"/>
          <w:lang w:val="es-CO"/>
        </w:rPr>
      </w:pPr>
      <w:r w:rsidRPr="00836C24">
        <w:rPr>
          <w:rFonts w:ascii="Cambria" w:hAnsi="Cambria" w:cs="Verdana"/>
          <w:sz w:val="20"/>
          <w:szCs w:val="20"/>
          <w:lang w:val="es-CO"/>
        </w:rPr>
        <w:t xml:space="preserve">(…) en todo caso de uso de fuerza [por parte de agentes estatales] que haya producido la muerte o lesiones a una o más personas corresponde al Estado la obligación de proveer una </w:t>
      </w:r>
      <w:r w:rsidRPr="00836C24">
        <w:rPr>
          <w:rFonts w:ascii="Cambria" w:hAnsi="Cambria" w:cs="Verdana"/>
          <w:sz w:val="20"/>
          <w:szCs w:val="20"/>
          <w:lang w:val="es-CO"/>
        </w:rPr>
        <w:lastRenderedPageBreak/>
        <w:t>explicación satisfactoria y convincente de lo sucedido y desvirtuar las alegaciones sobre su responsabilidad, mediante elementos probatorios adecuados</w:t>
      </w:r>
      <w:r w:rsidRPr="00836C24">
        <w:rPr>
          <w:rStyle w:val="FootnoteReference"/>
          <w:rFonts w:ascii="Cambria" w:hAnsi="Cambria" w:cs="Verdana"/>
          <w:sz w:val="20"/>
          <w:szCs w:val="20"/>
        </w:rPr>
        <w:footnoteReference w:id="161"/>
      </w:r>
      <w:r w:rsidRPr="00836C24">
        <w:rPr>
          <w:rFonts w:ascii="Cambria" w:hAnsi="Cambria" w:cs="Verdana"/>
          <w:sz w:val="20"/>
          <w:szCs w:val="20"/>
          <w:lang w:val="es-CO"/>
        </w:rPr>
        <w:t xml:space="preserve">.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US"/>
        </w:rPr>
      </w:pPr>
    </w:p>
    <w:p w:rsidR="00285372" w:rsidRPr="00836C24" w:rsidRDefault="00285372" w:rsidP="006625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CO"/>
        </w:rPr>
      </w:pPr>
      <w:r w:rsidRPr="00836C24">
        <w:rPr>
          <w:rFonts w:ascii="Cambria" w:hAnsi="Cambria"/>
          <w:sz w:val="20"/>
          <w:szCs w:val="20"/>
          <w:lang w:val="es-CO"/>
        </w:rPr>
        <w:t>En similar sentido, el Comité de Derechos Humanos de la ONU ha indicado que en los casos donde la clarificación de los hechos recaiga exclusivamente sobre el Estado, se pueden llegar a considerar las denuncias como probadas en la ausencia de evidencia o explicación satisfactoria que pueda refutar las pretensiones de los demandantes</w:t>
      </w:r>
      <w:r w:rsidRPr="00836C24">
        <w:rPr>
          <w:rFonts w:ascii="Cambria" w:hAnsi="Cambria"/>
          <w:sz w:val="20"/>
          <w:szCs w:val="20"/>
          <w:vertAlign w:val="superscript"/>
          <w:lang w:val="es-CO"/>
        </w:rPr>
        <w:footnoteReference w:id="162"/>
      </w:r>
      <w:r w:rsidRPr="00836C24">
        <w:rPr>
          <w:rFonts w:ascii="Cambria" w:hAnsi="Cambria"/>
          <w:sz w:val="20"/>
          <w:szCs w:val="20"/>
          <w:lang w:val="es-CO"/>
        </w:rPr>
        <w:t xml:space="preserve">. </w:t>
      </w:r>
    </w:p>
    <w:p w:rsidR="00662577" w:rsidRPr="00836C24" w:rsidRDefault="00662577" w:rsidP="006625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1440"/>
        <w:jc w:val="both"/>
        <w:rPr>
          <w:rFonts w:ascii="Cambria" w:hAnsi="Cambria"/>
          <w:sz w:val="20"/>
          <w:szCs w:val="20"/>
          <w:lang w:val="es-US"/>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US"/>
        </w:rPr>
      </w:pPr>
      <w:r w:rsidRPr="00836C24">
        <w:rPr>
          <w:rFonts w:ascii="Cambria" w:hAnsi="Cambria"/>
          <w:sz w:val="20"/>
          <w:szCs w:val="20"/>
          <w:lang w:val="es-ES"/>
        </w:rPr>
        <w:t xml:space="preserve">En ese sentido, para que una explicación sobre el uso letal de la fuerza pueda ser considerada satisfactoria, es necesario que la misma sea el resultado de una investigación compatible con las garantías de independencia, imparcialidad y </w:t>
      </w:r>
      <w:r w:rsidRPr="00836C24">
        <w:rPr>
          <w:rFonts w:ascii="Cambria" w:hAnsi="Cambria" w:cs="Verdana"/>
          <w:sz w:val="20"/>
          <w:szCs w:val="20"/>
          <w:lang w:val="es-CO"/>
        </w:rPr>
        <w:t>debida</w:t>
      </w:r>
      <w:r w:rsidRPr="00836C24">
        <w:rPr>
          <w:rFonts w:ascii="Cambria" w:hAnsi="Cambria"/>
          <w:sz w:val="20"/>
          <w:szCs w:val="20"/>
          <w:lang w:val="es-ES"/>
        </w:rPr>
        <w:t xml:space="preserve"> diligencia y, además, se refiera a los elementos que conforme a la jurisprudencia interamericana deben concurrir para justificar dicho uso de la fuerza, a saber:</w:t>
      </w:r>
    </w:p>
    <w:p w:rsidR="00285372" w:rsidRPr="00836C24" w:rsidRDefault="00285372" w:rsidP="00285372">
      <w:pPr>
        <w:jc w:val="both"/>
        <w:rPr>
          <w:rFonts w:ascii="Cambria" w:hAnsi="Cambria"/>
          <w:sz w:val="20"/>
          <w:szCs w:val="20"/>
          <w:lang w:val="es-ES"/>
        </w:rPr>
      </w:pPr>
    </w:p>
    <w:p w:rsidR="00285372" w:rsidRPr="00836C24" w:rsidRDefault="00285372" w:rsidP="008B55DD">
      <w:pPr>
        <w:ind w:left="720" w:right="720"/>
        <w:jc w:val="both"/>
        <w:rPr>
          <w:rFonts w:ascii="Cambria" w:hAnsi="Cambria"/>
          <w:sz w:val="20"/>
          <w:szCs w:val="20"/>
          <w:lang w:val="es-ES"/>
        </w:rPr>
      </w:pPr>
      <w:r w:rsidRPr="00836C24">
        <w:rPr>
          <w:rFonts w:ascii="Cambria" w:hAnsi="Cambria"/>
          <w:sz w:val="20"/>
          <w:szCs w:val="20"/>
          <w:lang w:val="es-ES"/>
        </w:rPr>
        <w:t>i. Finalidad legítima: el uso de la fuerza debe estar dirigido a lograr un objetivo legítimo. (…)</w:t>
      </w:r>
    </w:p>
    <w:p w:rsidR="00285372" w:rsidRPr="00836C24" w:rsidRDefault="00285372" w:rsidP="008B55DD">
      <w:pPr>
        <w:ind w:left="720" w:right="720"/>
        <w:jc w:val="both"/>
        <w:rPr>
          <w:rFonts w:ascii="Cambria" w:hAnsi="Cambria"/>
          <w:sz w:val="20"/>
          <w:szCs w:val="20"/>
          <w:lang w:val="es-ES"/>
        </w:rPr>
      </w:pPr>
    </w:p>
    <w:p w:rsidR="00285372" w:rsidRPr="00836C24" w:rsidRDefault="00285372" w:rsidP="008B55DD">
      <w:pPr>
        <w:ind w:left="720" w:right="720"/>
        <w:jc w:val="both"/>
        <w:rPr>
          <w:rFonts w:ascii="Cambria" w:hAnsi="Cambria"/>
          <w:sz w:val="20"/>
          <w:szCs w:val="20"/>
          <w:lang w:val="es-ES"/>
        </w:rPr>
      </w:pPr>
      <w:r w:rsidRPr="00836C24">
        <w:rPr>
          <w:rFonts w:ascii="Cambria" w:hAnsi="Cambria"/>
          <w:sz w:val="20"/>
          <w:szCs w:val="20"/>
          <w:lang w:val="es-ES"/>
        </w:rPr>
        <w:t>ii. Absoluta necesidad: es preciso verificar si existen otros medios disponibles menos lesivos para tutelar la vida e integridad de la persona o situación que se pretende proteger, de conformidad con las circunstancias del caso. (…)</w:t>
      </w:r>
    </w:p>
    <w:p w:rsidR="00285372" w:rsidRPr="00836C24" w:rsidRDefault="00285372" w:rsidP="008B55DD">
      <w:pPr>
        <w:ind w:left="720" w:right="720"/>
        <w:jc w:val="both"/>
        <w:rPr>
          <w:rFonts w:ascii="Cambria" w:hAnsi="Cambria"/>
          <w:sz w:val="20"/>
          <w:szCs w:val="20"/>
          <w:lang w:val="es-ES"/>
        </w:rPr>
      </w:pPr>
    </w:p>
    <w:p w:rsidR="00285372" w:rsidRPr="00836C24" w:rsidRDefault="00285372" w:rsidP="008B55DD">
      <w:pPr>
        <w:ind w:left="720" w:right="720"/>
        <w:jc w:val="both"/>
        <w:rPr>
          <w:rFonts w:ascii="Cambria" w:hAnsi="Cambria"/>
          <w:sz w:val="20"/>
          <w:szCs w:val="20"/>
          <w:lang w:val="es-ES"/>
        </w:rPr>
      </w:pPr>
      <w:r w:rsidRPr="00836C24">
        <w:rPr>
          <w:rFonts w:ascii="Cambria" w:hAnsi="Cambria"/>
          <w:sz w:val="20"/>
          <w:szCs w:val="20"/>
          <w:lang w:val="es-ES"/>
        </w:rPr>
        <w:t>iii. Proporcionalidad: el nivel de fuerza utilizado debe ser acorde con el nivel de resistencia ofrecido, lo cual implica un equilibrio entre la situación a la que se enfrenta el funcionario y su respuesta, considerando el daño potencial que podría ser ocasionado</w:t>
      </w:r>
      <w:r w:rsidRPr="00836C24">
        <w:rPr>
          <w:rStyle w:val="FootnoteReference"/>
          <w:rFonts w:ascii="Cambria" w:hAnsi="Cambria"/>
          <w:sz w:val="20"/>
          <w:szCs w:val="20"/>
        </w:rPr>
        <w:footnoteReference w:id="163"/>
      </w:r>
      <w:r w:rsidRPr="00836C24">
        <w:rPr>
          <w:rFonts w:ascii="Cambria" w:hAnsi="Cambria"/>
          <w:sz w:val="20"/>
          <w:szCs w:val="20"/>
          <w:lang w:val="es-ES"/>
        </w:rPr>
        <w:t>.</w:t>
      </w:r>
    </w:p>
    <w:p w:rsidR="00285372" w:rsidRPr="00836C24" w:rsidRDefault="00285372" w:rsidP="00285372">
      <w:pPr>
        <w:pStyle w:val="ListParagraph"/>
        <w:ind w:left="0"/>
        <w:jc w:val="both"/>
        <w:rPr>
          <w:rFonts w:cs="Verdan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Con base en lo señalado, la finalidad legítima, absoluta necesidad y proporcionalidad del uso de la fuerza deben ser demostradas por el Estado a la luz de las circunstancias particulares del caso concreto. Asimismo, como consecuencia de dichos principios, la Comisión recuerda que los agentes estatales que intervienen en operativos deben aplicar criterios de “uso diferenciado y progresivo de la fuerza, determinando el grado de cooperación, resistencia o agresión por parte del sujeto al cual se pretende intervenir, y con ello, emplear tácticas de negociación, control o uso de la fuerza según corresponda”</w:t>
      </w:r>
      <w:r w:rsidRPr="00836C24">
        <w:rPr>
          <w:rFonts w:ascii="Cambria" w:hAnsi="Cambria"/>
          <w:sz w:val="20"/>
          <w:szCs w:val="20"/>
          <w:vertAlign w:val="superscript"/>
          <w:lang w:val="es-ES"/>
        </w:rPr>
        <w:footnoteReference w:id="164"/>
      </w:r>
      <w:r w:rsidRPr="00836C24">
        <w:rPr>
          <w:rFonts w:ascii="Cambria" w:hAnsi="Cambria"/>
          <w:sz w:val="20"/>
          <w:szCs w:val="20"/>
          <w:lang w:val="es-ES"/>
        </w:rPr>
        <w:t>.</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_tradnl"/>
        </w:rPr>
        <w:t>Cuando se ha producido la muerte o la afectación a la integridad de una persona en circunsta</w:t>
      </w:r>
      <w:r w:rsidR="005B474D">
        <w:rPr>
          <w:rFonts w:ascii="Cambria" w:hAnsi="Cambria"/>
          <w:sz w:val="20"/>
          <w:szCs w:val="20"/>
          <w:lang w:val="es-ES_tradnl"/>
        </w:rPr>
        <w:t xml:space="preserve">ncias violentas, la Comisión y </w:t>
      </w:r>
      <w:r w:rsidRPr="00836C24">
        <w:rPr>
          <w:rFonts w:ascii="Cambria" w:hAnsi="Cambria"/>
          <w:sz w:val="20"/>
          <w:szCs w:val="20"/>
          <w:lang w:val="es-ES_tradnl"/>
        </w:rPr>
        <w:t>la Corte Interamericana han sostenido que de los artículos 8 (garantías judiciales) y 25 (protección judicial) de la Convención Americana surge la obligación de realizar una investigación ex officio, sin dilación, seria, imparcial y efectiva, como un elemento fundamental y condicionante para la protección de los derechos afectados</w:t>
      </w:r>
      <w:r w:rsidRPr="00836C24">
        <w:rPr>
          <w:rFonts w:ascii="Cambria" w:hAnsi="Cambria"/>
          <w:sz w:val="20"/>
          <w:szCs w:val="20"/>
          <w:vertAlign w:val="superscript"/>
          <w:lang w:val="es-ES_tradnl"/>
        </w:rPr>
        <w:footnoteReference w:id="165"/>
      </w:r>
      <w:r w:rsidR="005B474D">
        <w:rPr>
          <w:rFonts w:ascii="Cambria" w:hAnsi="Cambria"/>
          <w:sz w:val="20"/>
          <w:szCs w:val="20"/>
          <w:lang w:val="es-ES_tradnl"/>
        </w:rPr>
        <w:t>.</w:t>
      </w:r>
      <w:r w:rsidRPr="00836C24">
        <w:rPr>
          <w:rFonts w:ascii="Cambria" w:hAnsi="Cambria"/>
          <w:sz w:val="20"/>
          <w:szCs w:val="20"/>
          <w:lang w:val="es-ES_tradnl"/>
        </w:rPr>
        <w:t xml:space="preserve"> Dicho deber a la luz del artículo 1.1 de la Convención Americana, obliga al Estado a proveer un recurso rápido y sencillo para lograr, entre otros resultados, que los responsables de las violaciones de los derechos humanos sean juzgados y para obtener </w:t>
      </w:r>
      <w:r w:rsidRPr="00836C24">
        <w:rPr>
          <w:rFonts w:ascii="Cambria" w:hAnsi="Cambria"/>
          <w:sz w:val="20"/>
          <w:szCs w:val="20"/>
          <w:lang w:val="es-ES_tradnl"/>
        </w:rPr>
        <w:lastRenderedPageBreak/>
        <w:t>una reparación por el daño sufrido</w:t>
      </w:r>
      <w:r w:rsidRPr="00836C24">
        <w:rPr>
          <w:rFonts w:ascii="Cambria" w:hAnsi="Cambria"/>
          <w:sz w:val="20"/>
          <w:szCs w:val="20"/>
          <w:vertAlign w:val="superscript"/>
          <w:lang w:val="es-ES_tradnl"/>
        </w:rPr>
        <w:footnoteReference w:id="166"/>
      </w:r>
      <w:r w:rsidRPr="00836C24">
        <w:rPr>
          <w:rFonts w:ascii="Cambria" w:hAnsi="Cambria"/>
          <w:sz w:val="20"/>
          <w:szCs w:val="20"/>
          <w:lang w:val="es-ES_tradnl"/>
        </w:rPr>
        <w:t>. Por su parte, el artículo 2 de la Convención requiere del Estado suprimir las normas y prácticas que entrañen violación a las garantías previstas en la Convención, así como expedir normas y el desarrollo de prácticas conducentes a la efectiva observancia de la investigación  requerida</w:t>
      </w:r>
      <w:r w:rsidRPr="00836C24">
        <w:rPr>
          <w:rFonts w:ascii="Cambria" w:hAnsi="Cambria"/>
          <w:sz w:val="20"/>
          <w:szCs w:val="20"/>
          <w:vertAlign w:val="superscript"/>
          <w:lang w:val="es-ES_tradnl"/>
        </w:rPr>
        <w:footnoteReference w:id="167"/>
      </w:r>
      <w:r w:rsidRPr="00836C24">
        <w:rPr>
          <w:rFonts w:ascii="Cambria" w:hAnsi="Cambria"/>
          <w:sz w:val="20"/>
          <w:szCs w:val="20"/>
          <w:lang w:val="es-ES_tradnl"/>
        </w:rPr>
        <w:t>.</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MX"/>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
        </w:rPr>
      </w:pPr>
      <w:r w:rsidRPr="00836C24">
        <w:rPr>
          <w:rFonts w:ascii="Cambria" w:hAnsi="Cambria"/>
          <w:sz w:val="20"/>
          <w:szCs w:val="20"/>
          <w:lang w:val="es-MX"/>
        </w:rPr>
        <w:t xml:space="preserve">En </w:t>
      </w:r>
      <w:r w:rsidRPr="00836C24">
        <w:rPr>
          <w:rFonts w:ascii="Cambria" w:hAnsi="Cambria"/>
          <w:sz w:val="20"/>
          <w:szCs w:val="20"/>
          <w:lang w:val="es-ES_tradnl"/>
        </w:rPr>
        <w:t xml:space="preserve">casos en los que la muerte pudo haber sido consecuencia del uso letal de la fuerza por parte de agentes estatales, la Corte Europea ha señalado que debe realizarse el “más cuidadoso escrutinio” tomando en </w:t>
      </w:r>
      <w:r w:rsidRPr="00836C24">
        <w:rPr>
          <w:rFonts w:ascii="Cambria" w:hAnsi="Cambria"/>
          <w:sz w:val="20"/>
          <w:szCs w:val="20"/>
          <w:lang w:val="es-MX"/>
        </w:rPr>
        <w:t>consideración</w:t>
      </w:r>
      <w:r w:rsidRPr="00836C24">
        <w:rPr>
          <w:rFonts w:ascii="Cambria" w:hAnsi="Cambria"/>
          <w:sz w:val="20"/>
          <w:szCs w:val="20"/>
          <w:lang w:val="es-ES_tradnl"/>
        </w:rPr>
        <w:t xml:space="preserve"> no “</w:t>
      </w:r>
      <w:r w:rsidRPr="00836C24">
        <w:rPr>
          <w:rFonts w:ascii="Cambria" w:hAnsi="Cambria"/>
          <w:sz w:val="20"/>
          <w:szCs w:val="20"/>
          <w:lang w:val="es-MX"/>
        </w:rPr>
        <w:t>sólo</w:t>
      </w:r>
      <w:r w:rsidRPr="00836C24">
        <w:rPr>
          <w:rFonts w:ascii="Cambria" w:hAnsi="Cambria"/>
          <w:sz w:val="20"/>
          <w:szCs w:val="20"/>
          <w:lang w:val="es-ES_tradnl"/>
        </w:rPr>
        <w:t xml:space="preserve"> las acciones de los agentes del Estado quienes ejercieron la </w:t>
      </w:r>
      <w:r w:rsidRPr="00836C24">
        <w:rPr>
          <w:rFonts w:ascii="Cambria" w:hAnsi="Cambria"/>
          <w:sz w:val="20"/>
          <w:szCs w:val="20"/>
          <w:lang w:val="es-ES"/>
        </w:rPr>
        <w:t>fuerza</w:t>
      </w:r>
      <w:r w:rsidRPr="00836C24">
        <w:rPr>
          <w:rFonts w:ascii="Cambria" w:hAnsi="Cambria"/>
          <w:sz w:val="20"/>
          <w:szCs w:val="20"/>
          <w:lang w:val="es-ES_tradnl"/>
        </w:rPr>
        <w:t>, sino todas las circunstancias respectivas incluyendo materias tales como la planificación y control de las acciones bajo examen”</w:t>
      </w:r>
      <w:r w:rsidRPr="00836C24">
        <w:rPr>
          <w:rStyle w:val="FootnoteReference"/>
          <w:rFonts w:ascii="Cambria" w:hAnsi="Cambria"/>
          <w:sz w:val="20"/>
          <w:szCs w:val="20"/>
        </w:rPr>
        <w:footnoteReference w:id="168"/>
      </w:r>
      <w:r w:rsidRPr="00836C24">
        <w:rPr>
          <w:rFonts w:ascii="Cambria" w:hAnsi="Cambria"/>
          <w:sz w:val="20"/>
          <w:szCs w:val="20"/>
          <w:lang w:val="es-ES_tradnl"/>
        </w:rPr>
        <w:t>. De esta forma, “cualquier deficiencia en la investigación que socave su capacidad para establecer la causa de la muerte o a la persona responsable arriesgará el cumplimiento de esta norma”</w:t>
      </w:r>
      <w:r w:rsidRPr="00836C24">
        <w:rPr>
          <w:rStyle w:val="FootnoteReference"/>
          <w:rFonts w:ascii="Cambria" w:hAnsi="Cambria"/>
          <w:sz w:val="20"/>
          <w:szCs w:val="20"/>
        </w:rPr>
        <w:footnoteReference w:id="169"/>
      </w:r>
      <w:r w:rsidRPr="00836C24">
        <w:rPr>
          <w:rFonts w:ascii="Cambria" w:hAnsi="Cambria"/>
          <w:sz w:val="20"/>
          <w:szCs w:val="20"/>
          <w:lang w:val="es-ES_tradnl"/>
        </w:rPr>
        <w:t>.</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
        </w:rPr>
      </w:pPr>
      <w:r w:rsidRPr="00836C24">
        <w:rPr>
          <w:rFonts w:ascii="Cambria" w:hAnsi="Cambria"/>
          <w:sz w:val="20"/>
          <w:szCs w:val="20"/>
          <w:lang w:val="es-ES"/>
        </w:rPr>
        <w:t xml:space="preserve">Con respecto al deber de debida diligencia en investigaciones de supuestas ejecuciones extrajudiciales, la Corte Interamericana ha establecido “cada acto estatal que conforma el proceso investigativo, así como la </w:t>
      </w:r>
      <w:r w:rsidRPr="00836C24">
        <w:rPr>
          <w:rFonts w:ascii="Cambria" w:hAnsi="Cambria"/>
          <w:sz w:val="20"/>
          <w:szCs w:val="20"/>
          <w:lang w:val="es-ES_tradnl"/>
        </w:rPr>
        <w:t>investigación</w:t>
      </w:r>
      <w:r w:rsidRPr="00836C24">
        <w:rPr>
          <w:rFonts w:ascii="Cambria" w:hAnsi="Cambria"/>
          <w:sz w:val="20"/>
          <w:szCs w:val="20"/>
          <w:lang w:val="es-ES"/>
        </w:rPr>
        <w:t xml:space="preserve"> en su totalidad, debe estar orientado hacia una finalidad específica, la determinación de la verdad y la investigación, persecución, captura, enjuiciamiento, y en su caso, la sanción de los responsables de los hechos</w:t>
      </w:r>
      <w:r w:rsidRPr="00836C24">
        <w:rPr>
          <w:rStyle w:val="FootnoteReference"/>
          <w:rFonts w:ascii="Cambria" w:hAnsi="Cambria"/>
          <w:sz w:val="20"/>
          <w:szCs w:val="20"/>
        </w:rPr>
        <w:footnoteReference w:id="170"/>
      </w:r>
      <w:r w:rsidRPr="00836C24">
        <w:rPr>
          <w:rFonts w:ascii="Cambria" w:hAnsi="Cambria" w:cs="Arial"/>
          <w:sz w:val="20"/>
          <w:szCs w:val="20"/>
          <w:lang w:val="es-VE"/>
        </w:rPr>
        <w:t>.</w:t>
      </w:r>
      <w:r w:rsidRPr="00836C24">
        <w:rPr>
          <w:rFonts w:ascii="Cambria" w:hAnsi="Cambria"/>
          <w:sz w:val="20"/>
          <w:szCs w:val="20"/>
          <w:lang w:val="es-VE"/>
        </w:rPr>
        <w:t xml:space="preserve"> A ese respecto, el Estado tiene que demostrar que ha realizado una investigación inmediata, exhaustiva, seria e imparcial</w:t>
      </w:r>
      <w:r w:rsidRPr="00836C24">
        <w:rPr>
          <w:rStyle w:val="FootnoteReference"/>
          <w:rFonts w:ascii="Cambria" w:hAnsi="Cambria"/>
          <w:sz w:val="20"/>
          <w:szCs w:val="20"/>
          <w:lang w:val="es-ES"/>
        </w:rPr>
        <w:footnoteReference w:id="171"/>
      </w:r>
      <w:r w:rsidRPr="00836C24">
        <w:rPr>
          <w:rFonts w:ascii="Cambria" w:hAnsi="Cambria"/>
          <w:sz w:val="20"/>
          <w:szCs w:val="20"/>
          <w:lang w:val="es-VE"/>
        </w:rPr>
        <w:t>, la cual debe estar orientada a explorar todas las líneas investigativas posibles</w:t>
      </w:r>
      <w:r w:rsidRPr="00836C24">
        <w:rPr>
          <w:rStyle w:val="FootnoteReference"/>
          <w:rFonts w:ascii="Cambria" w:hAnsi="Cambria" w:cs="Arial"/>
          <w:sz w:val="20"/>
          <w:szCs w:val="20"/>
          <w:lang w:val="es-ES"/>
        </w:rPr>
        <w:footnoteReference w:id="172"/>
      </w:r>
      <w:r w:rsidRPr="00836C24">
        <w:rPr>
          <w:rFonts w:ascii="Cambria" w:hAnsi="Cambria"/>
          <w:sz w:val="20"/>
          <w:szCs w:val="20"/>
          <w:lang w:val="es-VE"/>
        </w:rPr>
        <w:t>. El Estado puede ser responsable por no “ordenar, practicar o valorar pruebas” que pueden ser fundamentales para el debido esclarecimiento de los hechos”</w:t>
      </w:r>
      <w:r w:rsidRPr="00836C24">
        <w:rPr>
          <w:rStyle w:val="FootnoteReference"/>
          <w:rFonts w:ascii="Cambria" w:hAnsi="Cambria"/>
          <w:sz w:val="20"/>
          <w:szCs w:val="20"/>
          <w:lang w:val="es-CO"/>
        </w:rPr>
        <w:footnoteReference w:id="173"/>
      </w:r>
      <w:r w:rsidRPr="00836C24">
        <w:rPr>
          <w:rFonts w:ascii="Cambria" w:hAnsi="Cambria"/>
          <w:sz w:val="20"/>
          <w:szCs w:val="20"/>
          <w:lang w:val="es-VE"/>
        </w:rPr>
        <w:t xml:space="preserve">.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DC39A3" w:rsidRPr="00836C24" w:rsidRDefault="00285372" w:rsidP="0031794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
        </w:rPr>
      </w:pPr>
      <w:r w:rsidRPr="00836C24">
        <w:rPr>
          <w:rFonts w:ascii="Cambria" w:hAnsi="Cambria"/>
          <w:sz w:val="20"/>
          <w:szCs w:val="20"/>
          <w:lang w:val="es-VE"/>
        </w:rPr>
        <w:t>Asimismo, basado en el Manual sobre la Prevención e Investigación Efectiva de Ejecuciones Extrajudiciales, Arbitrarias y Sumarias de Naciones Unidas, tanto la Comisión como la Corte Interamericana ha especificado los principios rectores que es preciso observar cuando se considera que una muerte pudo deberse a una ejecución extrajudicial. Las autoridades estatales que conducen una investigación deben intentar como mínimo, inter alia: a) identificar a la víctima; b) recuperar y preservar el material probatorio relacionado con la muerte, con el fin de ayudar en cualquier potencial investigación penal de los responsables; c) identificar posibles testigos y obtener sus declaraciones en relación con la muerte que se investiga; d) determinar la causa, forma, lugar y momento de la muerte, así como cualquier patrón o práctica que pueda haber causado la muerte;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836C24">
        <w:rPr>
          <w:rStyle w:val="FootnoteReference"/>
          <w:rFonts w:ascii="Cambria" w:hAnsi="Cambria"/>
          <w:sz w:val="20"/>
          <w:szCs w:val="20"/>
          <w:lang w:val="es-VE"/>
        </w:rPr>
        <w:footnoteReference w:id="174"/>
      </w:r>
      <w:r w:rsidRPr="00836C24">
        <w:rPr>
          <w:rFonts w:ascii="Cambria" w:hAnsi="Cambria"/>
          <w:sz w:val="20"/>
          <w:szCs w:val="20"/>
          <w:lang w:val="es-VE"/>
        </w:rPr>
        <w:t>.</w:t>
      </w:r>
    </w:p>
    <w:p w:rsidR="00285372" w:rsidRPr="00836C24" w:rsidRDefault="00285372" w:rsidP="00317940">
      <w:pPr>
        <w:pStyle w:val="Heading3"/>
        <w:numPr>
          <w:ilvl w:val="0"/>
          <w:numId w:val="70"/>
        </w:numPr>
        <w:tabs>
          <w:tab w:val="left" w:pos="1440"/>
        </w:tabs>
        <w:ind w:left="1440" w:hanging="720"/>
        <w:rPr>
          <w:color w:val="auto"/>
          <w:sz w:val="20"/>
          <w:szCs w:val="20"/>
          <w:lang w:val="es-CO"/>
        </w:rPr>
      </w:pPr>
      <w:bookmarkStart w:id="79" w:name="_Toc491441656"/>
      <w:r w:rsidRPr="00836C24">
        <w:rPr>
          <w:color w:val="auto"/>
          <w:sz w:val="20"/>
          <w:szCs w:val="20"/>
          <w:lang w:val="es-CO"/>
        </w:rPr>
        <w:lastRenderedPageBreak/>
        <w:t>Análisis de si la muerte del señor Ruiz Fuentes fue una ejecución extrajudicial</w:t>
      </w:r>
      <w:bookmarkEnd w:id="79"/>
    </w:p>
    <w:p w:rsidR="00285372" w:rsidRPr="00836C24" w:rsidRDefault="00285372" w:rsidP="00285372">
      <w:pPr>
        <w:jc w:val="both"/>
        <w:rPr>
          <w:rFonts w:ascii="Cambria" w:hAnsi="Cambria"/>
          <w:sz w:val="16"/>
          <w:szCs w:val="16"/>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Como se estableció en los hechos probados, el señor Ruiz Fuentes murió violentamente por arma de fuego el 14 de diciembre de 2005, casi dos meses después de s</w:t>
      </w:r>
      <w:r w:rsidR="00471143" w:rsidRPr="00836C24">
        <w:rPr>
          <w:rFonts w:ascii="Cambria" w:hAnsi="Cambria"/>
          <w:sz w:val="20"/>
          <w:szCs w:val="20"/>
          <w:lang w:val="es-VE"/>
        </w:rPr>
        <w:t>u fuga en octubre del mismo año</w:t>
      </w:r>
      <w:r w:rsidRPr="00836C24">
        <w:rPr>
          <w:rFonts w:ascii="Cambria" w:hAnsi="Cambria"/>
          <w:sz w:val="20"/>
          <w:szCs w:val="20"/>
          <w:lang w:val="es-ES_tradnl"/>
        </w:rPr>
        <w:t xml:space="preserve">. Conforme a la autopsia, la causa de la muerte fue “perforación cerebral y pulmonar por heridas perforantes de proyectiles de arma de fuego”. Según la autopsia la herida por proyectil de arma de fuego tiene entrada en el ojo derecho con el área de tatuaje alrededor y la trayectoria es de adelante hacía atrás. También se da cuenta de otra herida por arma de fuego en el tórax cuya trayectoria es también de adelante hacía atrás.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 xml:space="preserve">Los peticionarios alegaron que el señor Ruiz Fuentes fue ejecutado extrajudicialmente en el marco del “Plan Gavilán” el cual tenía por objeto recapturar a los 19 privados de libertad que se fugaron de la cárcel de máxima seguridad “El Infiernito”. El Estado, por su parte, presentó versiones contradictorias respecto de la muerte del señor Ruiz Fuentes, indicando en algunos de sus escritos que falleció de manos de terceras personas vinculadas a la delincuencia, y en otro de sus escritos que efectivamente resultó muerto en el marco del “Plan Gavilán” tras resistirse a ser detenido por miembros de la policía.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 xml:space="preserve">En ese sentido, la CIDH debe determinar si existen suficientes elementos para establecer la participación de agentes de seguridad del Estado en la muerte del señor Ruiz Fuentes y, de ser el caso, si el uso de la fuerza letal por dichos agentes estuvo justificado.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 xml:space="preserve">En primer lugar, la Comisión recuerda que en la ejecución del “Plan Gavilán” murieron siete prófugos y que a nivel interno varios agentes estatales fueron condenados por cometer ejecuciones extrajudiciales en el marco del referido Plan.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_tradnl"/>
        </w:rPr>
      </w:pPr>
    </w:p>
    <w:p w:rsidR="00285372" w:rsidRPr="00836C24" w:rsidRDefault="00E208E4"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En segundo lugar, en el</w:t>
      </w:r>
      <w:r w:rsidR="00285372" w:rsidRPr="00836C24">
        <w:rPr>
          <w:rFonts w:ascii="Cambria" w:hAnsi="Cambria"/>
          <w:sz w:val="20"/>
          <w:szCs w:val="20"/>
          <w:lang w:val="es-ES_tradnl"/>
        </w:rPr>
        <w:t xml:space="preserve"> lugar de los hechos se encontraban miembros del Comando Anti Secuestros de la Policía Nacional Civil al mando del Comisario Víctor Hugo Soto Díaz, s</w:t>
      </w:r>
      <w:r w:rsidRPr="00836C24">
        <w:rPr>
          <w:rFonts w:ascii="Cambria" w:hAnsi="Cambria"/>
          <w:sz w:val="20"/>
          <w:szCs w:val="20"/>
          <w:lang w:val="es-ES_tradnl"/>
        </w:rPr>
        <w:t xml:space="preserve">in que el Estado haya proporcionado una explicación respecto de las razones por las que dicho grupo se encontraba en el lugar de los hechos.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En tercer lugar, existen indicios de encubrimiento por parte de agentes estatales. Según lo indica un peritaje médico, la escena del crimen fue alterada ya que “(…)</w:t>
      </w:r>
      <w:r w:rsidR="00DE7B7B">
        <w:rPr>
          <w:rFonts w:ascii="Cambria" w:hAnsi="Cambria"/>
          <w:sz w:val="20"/>
          <w:szCs w:val="20"/>
          <w:lang w:val="es-ES_tradnl"/>
        </w:rPr>
        <w:t xml:space="preserve"> </w:t>
      </w:r>
      <w:r w:rsidRPr="00836C24">
        <w:rPr>
          <w:rFonts w:ascii="Cambria" w:hAnsi="Cambria"/>
          <w:sz w:val="20"/>
          <w:szCs w:val="20"/>
          <w:lang w:val="es-ES_tradnl"/>
        </w:rPr>
        <w:t xml:space="preserve">2. por la </w:t>
      </w:r>
      <w:r w:rsidRPr="00836C24">
        <w:rPr>
          <w:rFonts w:ascii="Cambria" w:hAnsi="Cambria"/>
          <w:sz w:val="20"/>
          <w:szCs w:val="20"/>
          <w:lang w:val="es-VE"/>
        </w:rPr>
        <w:t>mancha</w:t>
      </w:r>
      <w:r w:rsidRPr="00836C24">
        <w:rPr>
          <w:rFonts w:ascii="Cambria" w:hAnsi="Cambria"/>
          <w:sz w:val="20"/>
          <w:szCs w:val="20"/>
          <w:lang w:val="es-ES_tradnl"/>
        </w:rPr>
        <w:t xml:space="preserve"> de sangre en la manga derecha del suéter de la presunta víctima, se puede concluir que la posición original del cadáver era boca abajo o de cubito ventral, con la cara apoyada sobre el antebrazo derecho; 3. La posición víctima victimario es de pie, frente a frente, apuntando el cañón del arma de fuego en un ángulo de 90 grados, a una distancia de 15 centímetros de la víctima, razón por la cual la víctima parpadeo de forma refleja (…) 4. Por la herida recibida en el rostro la presunta víctima perdió la conciencia y se desplomó al suelo, y esto hace inconsistente que haya podido mantener empuñada el arma de fuego en su mano derecha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 xml:space="preserve">En cuarto lugar y relacionado con el último punto mencionado en el párrafo anterior </w:t>
      </w:r>
      <w:r w:rsidRPr="00836C24">
        <w:rPr>
          <w:rFonts w:ascii="Cambria" w:hAnsi="Cambria"/>
          <w:sz w:val="20"/>
          <w:szCs w:val="20"/>
          <w:lang w:val="es-ES_tradnl"/>
        </w:rPr>
        <w:t xml:space="preserve">en el acta policial se indica que el señor Ruiz Fuentes tenía “empuñada” con la mano derecha un arma de fuego calibre 9 milímetros y que en una de las puertas de un domicilio en el lugar de los hechos, se veían cinco perforaciones de proyectil de arma de fuego calibre ignorado. Frente a este hecho, </w:t>
      </w:r>
      <w:r w:rsidRPr="00836C24">
        <w:rPr>
          <w:rFonts w:ascii="Cambria" w:hAnsi="Cambria"/>
          <w:sz w:val="20"/>
          <w:szCs w:val="20"/>
          <w:lang w:val="es-VE"/>
        </w:rPr>
        <w:t xml:space="preserve">que es </w:t>
      </w:r>
      <w:r w:rsidR="002D52CB" w:rsidRPr="00836C24">
        <w:rPr>
          <w:rFonts w:ascii="Cambria" w:hAnsi="Cambria"/>
          <w:sz w:val="20"/>
          <w:szCs w:val="20"/>
          <w:lang w:val="es-VE"/>
        </w:rPr>
        <w:t>un</w:t>
      </w:r>
      <w:r w:rsidRPr="00836C24">
        <w:rPr>
          <w:rFonts w:ascii="Cambria" w:hAnsi="Cambria"/>
          <w:sz w:val="20"/>
          <w:szCs w:val="20"/>
          <w:lang w:val="es-VE"/>
        </w:rPr>
        <w:t xml:space="preserve"> elemento que podría apuntar a un posible enfrentamiento</w:t>
      </w:r>
      <w:r w:rsidR="004D1529" w:rsidRPr="00836C24">
        <w:rPr>
          <w:rFonts w:ascii="Cambria" w:hAnsi="Cambria"/>
          <w:sz w:val="20"/>
          <w:szCs w:val="20"/>
          <w:lang w:val="es-VE"/>
        </w:rPr>
        <w:t>,</w:t>
      </w:r>
      <w:r w:rsidR="00864E12">
        <w:rPr>
          <w:rFonts w:ascii="Cambria" w:hAnsi="Cambria"/>
          <w:sz w:val="20"/>
          <w:szCs w:val="20"/>
          <w:lang w:val="es-VE"/>
        </w:rPr>
        <w:t xml:space="preserve"> </w:t>
      </w:r>
      <w:r w:rsidRPr="00836C24">
        <w:rPr>
          <w:rFonts w:ascii="Cambria" w:hAnsi="Cambria"/>
          <w:sz w:val="20"/>
          <w:szCs w:val="20"/>
          <w:lang w:val="es-ES_tradnl"/>
        </w:rPr>
        <w:t xml:space="preserve">la Comisión observa tres cuestiones relevantes. La primera es que en la investigación interna se logró identificar que el arma que supuestamente empuñaba el señor Ruiz Fuentes pertenecía al Ministerio de Gobernación y, específicamente, a un oficial que indicó que perdió su arma de fuego, pero que no lo reportó. La investigación administrativa sobre esta situación no produjo ningún resultado. La segunda es que no consta que el Estado hubiese realizado peritajes a fin de demostrar que la persona que detonó el arma de fuego fue la presunta víctima. Y la tercera es que, como se indicó en el párrafo anterior, la prueba pericial concluyó como uno de los elementos que demuestran la alteración de la escena del crimen, que la pérdida de consciencia del señor Ruiz Fuentes hace imposible que hubiere mantenido el arma empuñada como describe el acta policial.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p>
    <w:p w:rsidR="00F8418A" w:rsidRPr="00864E12" w:rsidRDefault="00285372" w:rsidP="00F8418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En quinto lugar, la Comisión observa que las pruebas técnicas indicaron que el disparo que el señor Ruiz Fuentes recibió en el ojo derecho posee tatuaje alrededor, por lo cual se concluye que fue efectuado a</w:t>
      </w:r>
      <w:r w:rsidR="002D52CB" w:rsidRPr="00836C24">
        <w:rPr>
          <w:rFonts w:ascii="Cambria" w:hAnsi="Cambria"/>
          <w:sz w:val="20"/>
          <w:szCs w:val="20"/>
          <w:lang w:val="es-ES_tradnl"/>
        </w:rPr>
        <w:t xml:space="preserve"> muy</w:t>
      </w:r>
      <w:r w:rsidRPr="00836C24">
        <w:rPr>
          <w:rFonts w:ascii="Cambria" w:hAnsi="Cambria"/>
          <w:sz w:val="20"/>
          <w:szCs w:val="20"/>
          <w:lang w:val="es-ES_tradnl"/>
        </w:rPr>
        <w:t xml:space="preserve"> corta distancia, lo que constituye un indicio más de que no se trató de un enfrentamiento. </w:t>
      </w: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lastRenderedPageBreak/>
        <w:t xml:space="preserve">En sexto lugar y como se analizará en la siguiente sección, el Estado no ha logrado esclarecer judicialmente la muerte del señor Ruiz Fuentes y, en consecuencia, no ha desvirtuado todos los anteriores elementos que, tomados en su conjunto, permiten concluir tanto la participación de agentes estatales como la ausencia de un enfrentamiento.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eastAsia="Cambria" w:hAnsi="Cambria" w:cs="Cambria"/>
          <w:color w:val="000000"/>
          <w:sz w:val="20"/>
          <w:szCs w:val="20"/>
          <w:u w:color="000000"/>
          <w:lang w:val="es-ES_tradnl" w:eastAsia="es-ES"/>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eastAsia="Cambria" w:hAnsi="Cambria" w:cs="Cambria"/>
          <w:color w:val="000000"/>
          <w:sz w:val="20"/>
          <w:szCs w:val="20"/>
          <w:u w:color="000000"/>
          <w:lang w:val="es-ES_tradnl" w:eastAsia="es-ES"/>
        </w:rPr>
        <w:t>En virtud de las anteriores consideraciones, l</w:t>
      </w:r>
      <w:r w:rsidRPr="00836C24">
        <w:rPr>
          <w:rFonts w:ascii="Cambria" w:hAnsi="Cambria"/>
          <w:sz w:val="20"/>
          <w:szCs w:val="20"/>
          <w:lang w:val="es-ES_tradnl"/>
        </w:rPr>
        <w:t xml:space="preserve">a Comisión concluye que Hugo Humberto Ruiz Fuentes fue ejecutado extrajudicialmente y, por lo tanto, el Estado de Guatemala violó, en su perjuicio, el derecho a la vida establecido en el artículo 4.1 de la Convención Americana en relación con el artículo 1.1 del mismo instrumento. </w:t>
      </w:r>
    </w:p>
    <w:p w:rsidR="00285372" w:rsidRPr="00836C24" w:rsidRDefault="00285372" w:rsidP="00317940">
      <w:pPr>
        <w:pStyle w:val="Heading3"/>
        <w:numPr>
          <w:ilvl w:val="0"/>
          <w:numId w:val="70"/>
        </w:numPr>
        <w:tabs>
          <w:tab w:val="left" w:pos="1440"/>
        </w:tabs>
        <w:ind w:left="1440" w:hanging="720"/>
        <w:rPr>
          <w:color w:val="auto"/>
          <w:sz w:val="20"/>
          <w:szCs w:val="20"/>
          <w:lang w:val="es-CO"/>
        </w:rPr>
      </w:pPr>
      <w:bookmarkStart w:id="80" w:name="_Toc491441657"/>
      <w:r w:rsidRPr="00836C24">
        <w:rPr>
          <w:color w:val="auto"/>
          <w:sz w:val="20"/>
          <w:szCs w:val="20"/>
          <w:lang w:val="es-CO"/>
        </w:rPr>
        <w:t>Análisis sobre si el Estado cumplió su obligación de investigar la muerte del señor Ruiz Fuentes</w:t>
      </w:r>
      <w:bookmarkEnd w:id="80"/>
      <w:r w:rsidRPr="00836C24">
        <w:rPr>
          <w:color w:val="auto"/>
          <w:sz w:val="20"/>
          <w:szCs w:val="20"/>
          <w:lang w:val="es-CO"/>
        </w:rPr>
        <w:t xml:space="preserve"> </w:t>
      </w:r>
    </w:p>
    <w:p w:rsidR="008B55DD" w:rsidRPr="00836C24" w:rsidRDefault="008B55DD" w:rsidP="00F8418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440" w:hanging="1440"/>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Conforme a los hechos probados, el Estado informó acerca de una serie de diligencias realizadas para investigar la muerte del señor Ruiz Fuentes. En particular, indicó que recibió declaraciones testimoniales, así como informes de la Unidad de Especialistas en Escena del Crimen. También refirió que identificó el arma de fuego que tenía en su mano la presunta víc</w:t>
      </w:r>
      <w:r w:rsidR="002D52CB" w:rsidRPr="00836C24">
        <w:rPr>
          <w:rFonts w:ascii="Cambria" w:hAnsi="Cambria"/>
          <w:sz w:val="20"/>
          <w:szCs w:val="20"/>
          <w:lang w:val="es-ES_tradnl"/>
        </w:rPr>
        <w:t>tima, la cual pertenecía</w:t>
      </w:r>
      <w:r w:rsidRPr="00836C24">
        <w:rPr>
          <w:rFonts w:ascii="Cambria" w:hAnsi="Cambria"/>
          <w:sz w:val="20"/>
          <w:szCs w:val="20"/>
          <w:lang w:val="es-ES_tradnl"/>
        </w:rPr>
        <w:t xml:space="preserve"> a un oficial de la Policía Nacional Civil.</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Tal como se indicó en la sección anterior, existen contradicciones en la versión del Estado sobre si la muerte del señor Ruiz Fuentes fue ocasionada por agentes estatales. El Estado indicó que conforme al proceso a nivel interno, el señor Ruiz Fuentes fue asesinado por personas desconocidas. A su vez, en el trámite de las medidas provisionales ante la Corte Interamericana indicó </w:t>
      </w:r>
      <w:r w:rsidRPr="00836C24">
        <w:rPr>
          <w:rFonts w:ascii="Cambria" w:hAnsi="Cambria"/>
          <w:sz w:val="20"/>
          <w:szCs w:val="20"/>
          <w:lang w:val="es-VE"/>
        </w:rPr>
        <w:t xml:space="preserve">que “durante su recaptura se opuso a ser detenido, desenfundando su arma, por lo que agentes del Servicio de Investigación Criminal –SIC–, dispararon causándole la muerte”.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De la información disponible sobre las investigaciones internas, la Comisión observa que pasad</w:t>
      </w:r>
      <w:r w:rsidR="00F8418A" w:rsidRPr="00836C24">
        <w:rPr>
          <w:rFonts w:ascii="Cambria" w:hAnsi="Cambria"/>
          <w:sz w:val="20"/>
          <w:szCs w:val="20"/>
          <w:lang w:val="es-VE"/>
        </w:rPr>
        <w:t>os casi</w:t>
      </w:r>
      <w:r w:rsidRPr="00836C24">
        <w:rPr>
          <w:rFonts w:ascii="Cambria" w:hAnsi="Cambria"/>
          <w:sz w:val="20"/>
          <w:szCs w:val="20"/>
          <w:lang w:val="es-VE"/>
        </w:rPr>
        <w:t xml:space="preserve"> 12 años de la muerte del señor Ruiz Fu</w:t>
      </w:r>
      <w:r w:rsidR="00F8418A" w:rsidRPr="00836C24">
        <w:rPr>
          <w:rFonts w:ascii="Cambria" w:hAnsi="Cambria"/>
          <w:sz w:val="20"/>
          <w:szCs w:val="20"/>
          <w:lang w:val="es-VE"/>
        </w:rPr>
        <w:t xml:space="preserve">entes, el Estado no ha </w:t>
      </w:r>
      <w:r w:rsidRPr="00836C24">
        <w:rPr>
          <w:rFonts w:ascii="Cambria" w:hAnsi="Cambria"/>
          <w:sz w:val="20"/>
          <w:szCs w:val="20"/>
          <w:lang w:val="es-VE"/>
        </w:rPr>
        <w:t xml:space="preserve">dispuesto todos los medios a su alcance, probatorios, técnicos y/o científicos para establecer y dar seguimiento a líneas de investigación derivadas de los indicios citados anteriormente. Incluso respecto de la supuesta versión de asesinato por personas desconocidas, el Estado tampoco ha </w:t>
      </w:r>
      <w:r w:rsidR="002D52CB" w:rsidRPr="00836C24">
        <w:rPr>
          <w:rFonts w:ascii="Cambria" w:hAnsi="Cambria"/>
          <w:sz w:val="20"/>
          <w:szCs w:val="20"/>
          <w:lang w:val="es-VE"/>
        </w:rPr>
        <w:t xml:space="preserve">explicado las medidas tomadas para </w:t>
      </w:r>
      <w:r w:rsidRPr="00836C24">
        <w:rPr>
          <w:rFonts w:ascii="Cambria" w:hAnsi="Cambria"/>
          <w:sz w:val="20"/>
          <w:szCs w:val="20"/>
          <w:lang w:val="es-VE"/>
        </w:rPr>
        <w:t>da</w:t>
      </w:r>
      <w:r w:rsidR="002D52CB" w:rsidRPr="00836C24">
        <w:rPr>
          <w:rFonts w:ascii="Cambria" w:hAnsi="Cambria"/>
          <w:sz w:val="20"/>
          <w:szCs w:val="20"/>
          <w:lang w:val="es-VE"/>
        </w:rPr>
        <w:t>r</w:t>
      </w:r>
      <w:r w:rsidRPr="00836C24">
        <w:rPr>
          <w:rFonts w:ascii="Cambria" w:hAnsi="Cambria"/>
          <w:sz w:val="20"/>
          <w:szCs w:val="20"/>
          <w:lang w:val="es-VE"/>
        </w:rPr>
        <w:t xml:space="preserve"> un seguimiento diligente ni ha identificado posibles responsables.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jc w:val="both"/>
        <w:rPr>
          <w:rFonts w:ascii="Cambria" w:hAnsi="Cambria"/>
          <w:sz w:val="20"/>
          <w:szCs w:val="20"/>
          <w:lang w:val="es-VE"/>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VE"/>
        </w:rPr>
        <w:t xml:space="preserve">Específicamente, </w:t>
      </w:r>
      <w:r w:rsidRPr="00836C24">
        <w:rPr>
          <w:rFonts w:ascii="Cambria" w:hAnsi="Cambria"/>
          <w:sz w:val="20"/>
          <w:szCs w:val="20"/>
          <w:lang w:val="es-ES_tradnl"/>
        </w:rPr>
        <w:t>la Comisión hace notar que conforme a la propia descripción del Estado sobre la investigación, se omitieron algunas diligencias fundamentales para esclarecer los hechos. Así:</w:t>
      </w:r>
    </w:p>
    <w:p w:rsidR="00285372" w:rsidRPr="00836C24" w:rsidRDefault="00285372" w:rsidP="00285372">
      <w:pPr>
        <w:jc w:val="both"/>
        <w:rPr>
          <w:rFonts w:ascii="Cambria" w:hAnsi="Cambria"/>
          <w:sz w:val="20"/>
          <w:szCs w:val="20"/>
          <w:lang w:val="es-VE"/>
        </w:rPr>
      </w:pP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t>-</w:t>
      </w:r>
      <w:r w:rsidR="008B55DD" w:rsidRPr="00836C24">
        <w:rPr>
          <w:sz w:val="20"/>
          <w:szCs w:val="20"/>
          <w:lang w:val="es-VE"/>
        </w:rPr>
        <w:tab/>
      </w:r>
      <w:r w:rsidRPr="00836C24">
        <w:rPr>
          <w:sz w:val="20"/>
          <w:szCs w:val="20"/>
          <w:lang w:val="es-VE"/>
        </w:rPr>
        <w:t xml:space="preserve">No consta que se hayan practicado pruebas para determinar si el arma que tenía en la mano la presunta víctima, fue detonada, o pruebas como la del “guantelete” o “absorción atómica” para determinar si el arma fue manipulada por la presunta víctima. </w:t>
      </w: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t>-</w:t>
      </w:r>
      <w:r w:rsidR="008B55DD" w:rsidRPr="00836C24">
        <w:rPr>
          <w:sz w:val="20"/>
          <w:szCs w:val="20"/>
          <w:lang w:val="es-VE"/>
        </w:rPr>
        <w:tab/>
      </w:r>
      <w:r w:rsidRPr="00836C24">
        <w:rPr>
          <w:sz w:val="20"/>
          <w:szCs w:val="20"/>
          <w:lang w:val="es-VE"/>
        </w:rPr>
        <w:t xml:space="preserve">Si bien se logró recuperar el número de identificación del arma de fuego a través de la “prueba Fry” y se determinó que la misma es propiedad del Ministerio de Gobernación, y estaba a cargo del Oficial Tercero de la Policía Nacional Civil, no se cuenta con el testimonio de dicho Oficial, ni con una explicación que aclare cómo pudo llegar al señor Ruiz Fuentes. </w:t>
      </w: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t>-</w:t>
      </w:r>
      <w:r w:rsidR="008B55DD" w:rsidRPr="00836C24">
        <w:rPr>
          <w:sz w:val="20"/>
          <w:szCs w:val="20"/>
          <w:lang w:val="es-VE"/>
        </w:rPr>
        <w:tab/>
      </w:r>
      <w:r w:rsidRPr="00836C24">
        <w:rPr>
          <w:sz w:val="20"/>
          <w:szCs w:val="20"/>
          <w:lang w:val="es-VE"/>
        </w:rPr>
        <w:t>No obra información que indique que se hubiese intentado localizar los proyectiles que terminaron con la vida de la presunta víctima y que contribuiría a determinar si en los hechos intervinieron agentes estatales.</w:t>
      </w: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t>-</w:t>
      </w:r>
      <w:r w:rsidR="008B55DD" w:rsidRPr="00836C24">
        <w:rPr>
          <w:sz w:val="20"/>
          <w:szCs w:val="20"/>
          <w:lang w:val="es-VE"/>
        </w:rPr>
        <w:tab/>
      </w:r>
      <w:r w:rsidRPr="00836C24">
        <w:rPr>
          <w:sz w:val="20"/>
          <w:szCs w:val="20"/>
          <w:lang w:val="es-VE"/>
        </w:rPr>
        <w:t xml:space="preserve">Tampoco se realizaron diligencias de reconstrucción de los hechos y trayectorias de disparos, tomando en cuenta además que el tipo de heridas indican que los disparos fueron efectuados a corta distancia.  </w:t>
      </w: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t>-</w:t>
      </w:r>
      <w:r w:rsidR="008B55DD" w:rsidRPr="00836C24">
        <w:rPr>
          <w:sz w:val="20"/>
          <w:szCs w:val="20"/>
          <w:lang w:val="es-VE"/>
        </w:rPr>
        <w:tab/>
      </w:r>
      <w:r w:rsidRPr="00836C24">
        <w:rPr>
          <w:sz w:val="20"/>
          <w:szCs w:val="20"/>
          <w:lang w:val="es-VE"/>
        </w:rPr>
        <w:t>No consta que se hayan obtenido declaraciones del Jefe de la Unidad Anti-secuestros y homicidios de la Dirección de Investigación Criminal de la Policía Nacional Civil o del Director de dicha unidad para efectos de conocer las razones por las cuales estaban en el lugar de los hechos ni los pormenores del “Plan Gavilán”, incluyendo la identidad de las siete personas fallecidas en dicho Plan.</w:t>
      </w:r>
    </w:p>
    <w:p w:rsidR="00285372" w:rsidRPr="00836C24" w:rsidRDefault="00285372" w:rsidP="008B55DD">
      <w:pPr>
        <w:pStyle w:val="ListParagraph"/>
        <w:ind w:left="1080" w:right="720" w:hanging="360"/>
        <w:jc w:val="both"/>
        <w:rPr>
          <w:sz w:val="20"/>
          <w:szCs w:val="20"/>
          <w:lang w:val="es-VE"/>
        </w:rPr>
      </w:pPr>
      <w:r w:rsidRPr="00836C24">
        <w:rPr>
          <w:sz w:val="20"/>
          <w:szCs w:val="20"/>
          <w:lang w:val="es-VE"/>
        </w:rPr>
        <w:lastRenderedPageBreak/>
        <w:t>-</w:t>
      </w:r>
      <w:r w:rsidR="008B55DD" w:rsidRPr="00836C24">
        <w:rPr>
          <w:sz w:val="20"/>
          <w:szCs w:val="20"/>
          <w:lang w:val="es-VE"/>
        </w:rPr>
        <w:tab/>
      </w:r>
      <w:r w:rsidRPr="00836C24">
        <w:rPr>
          <w:sz w:val="20"/>
          <w:szCs w:val="20"/>
          <w:lang w:val="es-VE"/>
        </w:rPr>
        <w:t xml:space="preserve">Tampoco consta información sobre la toma de declaración a los testigos presenciales de los hechos.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 xml:space="preserve">Por otra parte, a pesar que en un informe pericial se estableció que la escena del crimen fue manipulada, no se dio seguimiento alguno a esta situación a fin de establecer las circunstancias de dicha manipulación ni las personas responsables de la misma. De esta manera, los indicios de encubrimiento tampoco fueron investigados. </w:t>
      </w:r>
    </w:p>
    <w:p w:rsidR="00285372" w:rsidRPr="00836C24" w:rsidRDefault="00285372" w:rsidP="00285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ind w:left="720"/>
        <w:jc w:val="both"/>
        <w:rPr>
          <w:rFonts w:ascii="Cambria" w:hAnsi="Cambria"/>
          <w:sz w:val="20"/>
          <w:szCs w:val="20"/>
          <w:lang w:val="es-ES_tradnl"/>
        </w:rPr>
      </w:pPr>
    </w:p>
    <w:p w:rsidR="00285372" w:rsidRPr="00836C24" w:rsidRDefault="00285372" w:rsidP="002853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ES_tradnl"/>
        </w:rPr>
      </w:pPr>
      <w:r w:rsidRPr="00836C24">
        <w:rPr>
          <w:rFonts w:ascii="Cambria" w:hAnsi="Cambria"/>
          <w:sz w:val="20"/>
          <w:szCs w:val="20"/>
          <w:lang w:val="es-ES_tradnl"/>
        </w:rPr>
        <w:t>En virtud de las anteriores consideraciones, la Comisión estima que la investigación penal no ha sido diligente ni efectiva para esclarecer los hechos en un plazo razonable y establecer las responsabilidades. En consecuencia, la Comisión considera que el Estado es responsable por la violación de los derechos establecidos en los artículos 8.1 y 25.1 de la Convención en relación con el artículo 1.1 del mismo instrumento, en perjuicio de Hugo Humberto Ruiz Fuentes, así como de sus familiares</w:t>
      </w:r>
      <w:r w:rsidR="00802E38">
        <w:rPr>
          <w:rFonts w:ascii="Cambria" w:hAnsi="Cambria"/>
          <w:sz w:val="20"/>
          <w:szCs w:val="20"/>
          <w:lang w:val="es-ES_tradnl"/>
        </w:rPr>
        <w:t>.</w:t>
      </w:r>
      <w:bookmarkStart w:id="81" w:name="_GoBack"/>
      <w:bookmarkEnd w:id="81"/>
    </w:p>
    <w:p w:rsidR="00884ED1" w:rsidRPr="00836C24" w:rsidRDefault="00884ED1" w:rsidP="000F0614">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jc w:val="both"/>
        <w:rPr>
          <w:rFonts w:ascii="Cambria" w:eastAsia="Times New Roman" w:hAnsi="Cambria" w:cs="Courier New"/>
          <w:color w:val="212121"/>
          <w:sz w:val="20"/>
          <w:szCs w:val="20"/>
          <w:bdr w:val="none" w:sz="0" w:space="0" w:color="auto"/>
          <w:lang w:val="es-ES"/>
        </w:rPr>
      </w:pPr>
    </w:p>
    <w:p w:rsidR="009A5DD7" w:rsidRPr="00836C24" w:rsidRDefault="009A5DD7" w:rsidP="00073485">
      <w:pPr>
        <w:pStyle w:val="Heading1"/>
        <w:numPr>
          <w:ilvl w:val="0"/>
          <w:numId w:val="55"/>
        </w:numPr>
        <w:rPr>
          <w:rFonts w:ascii="Cambria" w:hAnsi="Cambria"/>
        </w:rPr>
      </w:pPr>
      <w:bookmarkStart w:id="82" w:name="_Toc482785407"/>
      <w:bookmarkStart w:id="83" w:name="_Toc483500323"/>
      <w:bookmarkStart w:id="84" w:name="_Toc491441658"/>
      <w:r w:rsidRPr="00836C24">
        <w:rPr>
          <w:rFonts w:ascii="Cambria" w:hAnsi="Cambria"/>
        </w:rPr>
        <w:t>CONCLUSIONES</w:t>
      </w:r>
      <w:bookmarkEnd w:id="82"/>
      <w:bookmarkEnd w:id="83"/>
      <w:bookmarkEnd w:id="84"/>
    </w:p>
    <w:p w:rsidR="009A5DD7" w:rsidRPr="00836C24" w:rsidRDefault="009A5DD7" w:rsidP="009A5DD7">
      <w:pPr>
        <w:rPr>
          <w:rFonts w:ascii="Cambria" w:hAnsi="Cambria"/>
          <w:sz w:val="20"/>
          <w:szCs w:val="20"/>
          <w:lang w:val="es-ES_tradnl"/>
        </w:rPr>
      </w:pPr>
    </w:p>
    <w:p w:rsidR="00E068C9" w:rsidRPr="00836C24" w:rsidRDefault="00E068C9" w:rsidP="00E068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rFonts w:ascii="Cambria" w:hAnsi="Cambria"/>
          <w:sz w:val="20"/>
          <w:szCs w:val="20"/>
          <w:lang w:val="es-MX"/>
        </w:rPr>
      </w:pPr>
      <w:r w:rsidRPr="00836C24">
        <w:rPr>
          <w:rFonts w:ascii="Cambria" w:hAnsi="Cambria"/>
          <w:sz w:val="20"/>
          <w:szCs w:val="20"/>
          <w:lang w:val="es-MX"/>
        </w:rPr>
        <w:t xml:space="preserve">La Comisión concluye que el Estado de Guatemala es responsable por la violación de los derechos a la vida, a la </w:t>
      </w:r>
      <w:r w:rsidR="00E05BA5" w:rsidRPr="00836C24">
        <w:rPr>
          <w:rFonts w:ascii="Cambria" w:hAnsi="Cambria"/>
          <w:sz w:val="20"/>
          <w:szCs w:val="20"/>
          <w:lang w:val="es-MX"/>
        </w:rPr>
        <w:t xml:space="preserve">integridad personal, </w:t>
      </w:r>
      <w:r w:rsidRPr="00836C24">
        <w:rPr>
          <w:rFonts w:ascii="Cambria" w:hAnsi="Cambria"/>
          <w:sz w:val="20"/>
          <w:szCs w:val="20"/>
          <w:lang w:val="es-MX"/>
        </w:rPr>
        <w:t>a las garantías judiciales y a la protección judicial establecidos en los art</w:t>
      </w:r>
      <w:r w:rsidR="00E05BA5" w:rsidRPr="00836C24">
        <w:rPr>
          <w:rFonts w:ascii="Cambria" w:hAnsi="Cambria"/>
          <w:sz w:val="20"/>
          <w:szCs w:val="20"/>
          <w:lang w:val="es-MX"/>
        </w:rPr>
        <w:t>ículos 4.1, 4.2, 4.6, 5.1, 5.2</w:t>
      </w:r>
      <w:r w:rsidRPr="00836C24">
        <w:rPr>
          <w:rFonts w:ascii="Cambria" w:hAnsi="Cambria"/>
          <w:sz w:val="20"/>
          <w:szCs w:val="20"/>
          <w:lang w:val="es-MX"/>
        </w:rPr>
        <w:t xml:space="preserve">, 8.1, 8.2 c), f), g), h) y 25.1 de la Convención Americana en relación con las obligaciones establecidas en los artículos 1.1 y 2 del mismo instrumento, en perjuicio de Hugo Humberto Ruiz Fuentes. La Comisión también concluye que el Estado de Guatemala es responsable por la violación de los derechos a la integridad personal, garantías judiciales y protección judicial establecidos en los artículos 5.1, 8.1 y 25.1 de la Convención Americana en relación con las obligaciones establecidas en el artículo 1.1 del mismo instrumento, en perjuicio de los familiares de Hugo Humberto Ruiz Fuentes. Finalmente, la Concluye que el Estado de Guatemala violó los artículos 1, 6 y 8 de la Convención Interamericana para Prevenir y Sancionar la Tortura. </w:t>
      </w:r>
    </w:p>
    <w:p w:rsidR="001C3A11" w:rsidRPr="00836C24" w:rsidRDefault="001C3A11" w:rsidP="007809D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s="Courier New"/>
          <w:color w:val="212121"/>
          <w:sz w:val="20"/>
          <w:szCs w:val="20"/>
          <w:bdr w:val="none" w:sz="0" w:space="0" w:color="auto"/>
          <w:lang w:val="es-ES"/>
        </w:rPr>
      </w:pPr>
    </w:p>
    <w:p w:rsidR="008B55DD" w:rsidRPr="00836C24" w:rsidRDefault="008B55DD">
      <w:pPr>
        <w:rPr>
          <w:rFonts w:asciiTheme="majorHAnsi" w:eastAsia="Times New Roman" w:hAnsiTheme="majorHAnsi"/>
          <w:b/>
          <w:sz w:val="20"/>
          <w:szCs w:val="20"/>
          <w:bdr w:val="none" w:sz="0" w:space="0" w:color="auto"/>
          <w:lang w:val="es-ES_tradnl"/>
        </w:rPr>
      </w:pPr>
      <w:bookmarkStart w:id="85" w:name="_Toc482785408"/>
      <w:bookmarkStart w:id="86" w:name="_Toc483500324"/>
      <w:r w:rsidRPr="00836C24">
        <w:rPr>
          <w:lang w:val="es-VE"/>
        </w:rPr>
        <w:br w:type="page"/>
      </w:r>
    </w:p>
    <w:p w:rsidR="009A5DD7" w:rsidRPr="00836C24" w:rsidRDefault="009A5DD7" w:rsidP="00073485">
      <w:pPr>
        <w:pStyle w:val="Heading1"/>
        <w:numPr>
          <w:ilvl w:val="0"/>
          <w:numId w:val="55"/>
        </w:numPr>
      </w:pPr>
      <w:bookmarkStart w:id="87" w:name="_Toc491441659"/>
      <w:r w:rsidRPr="00836C24">
        <w:lastRenderedPageBreak/>
        <w:t>RECOMENDACIONES</w:t>
      </w:r>
      <w:bookmarkEnd w:id="85"/>
      <w:bookmarkEnd w:id="86"/>
      <w:bookmarkEnd w:id="87"/>
      <w:r w:rsidRPr="00836C24">
        <w:t xml:space="preserve"> </w:t>
      </w:r>
    </w:p>
    <w:p w:rsidR="009A5DD7" w:rsidRPr="00836C24" w:rsidRDefault="009A5DD7" w:rsidP="009A5DD7">
      <w:pPr>
        <w:rPr>
          <w:lang w:val="es-ES_tradnl"/>
        </w:rPr>
      </w:pPr>
    </w:p>
    <w:p w:rsidR="009A5DD7" w:rsidRPr="00836C24" w:rsidRDefault="009A5DD7" w:rsidP="00E068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080"/>
          <w:tab w:val="num" w:pos="720"/>
          <w:tab w:val="left" w:pos="1440"/>
          <w:tab w:val="num" w:pos="2040"/>
        </w:tabs>
        <w:ind w:left="0" w:firstLine="720"/>
        <w:jc w:val="both"/>
        <w:rPr>
          <w:lang w:val="es-MX"/>
        </w:rPr>
      </w:pPr>
      <w:r w:rsidRPr="00836C24">
        <w:rPr>
          <w:rFonts w:ascii="Cambria" w:hAnsi="Cambria"/>
          <w:sz w:val="20"/>
          <w:szCs w:val="20"/>
          <w:lang w:val="es-MX"/>
        </w:rPr>
        <w:t>Con fundamento en las anteriores conclusiones,</w:t>
      </w:r>
    </w:p>
    <w:p w:rsidR="009A5DD7" w:rsidRPr="00836C24" w:rsidRDefault="009A5DD7" w:rsidP="009A5D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left="720"/>
        <w:jc w:val="both"/>
        <w:rPr>
          <w:lang w:val="es-MX"/>
        </w:rPr>
      </w:pPr>
    </w:p>
    <w:p w:rsidR="009A5DD7" w:rsidRPr="00836C24" w:rsidRDefault="009A5DD7" w:rsidP="008B55D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lang w:val="es-MX"/>
        </w:rPr>
      </w:pPr>
      <w:r w:rsidRPr="00836C24">
        <w:rPr>
          <w:rFonts w:ascii="Cambria" w:hAnsi="Cambria"/>
          <w:b/>
          <w:sz w:val="20"/>
          <w:szCs w:val="20"/>
          <w:lang w:val="es-ES"/>
        </w:rPr>
        <w:t>LA COMISIÓN INTERAMERICANA DE DERECHOS HUMANOS RECOMIENDA AL ESTADO GUATEMALTECO,</w:t>
      </w:r>
    </w:p>
    <w:p w:rsidR="009A5DD7" w:rsidRPr="00836C24" w:rsidRDefault="009A5DD7" w:rsidP="009A5D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jc w:val="both"/>
        <w:rPr>
          <w:lang w:val="es-MX"/>
        </w:rPr>
      </w:pPr>
    </w:p>
    <w:p w:rsidR="00DA4ED3" w:rsidRPr="00DA4ED3" w:rsidRDefault="009A5DD7" w:rsidP="00DA4ED3">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DA4ED3">
        <w:rPr>
          <w:rFonts w:ascii="Cambria" w:hAnsi="Cambria"/>
          <w:sz w:val="20"/>
          <w:szCs w:val="20"/>
          <w:lang w:val="es-VE"/>
        </w:rPr>
        <w:t>Reparar</w:t>
      </w:r>
      <w:r w:rsidR="004A32F1" w:rsidRPr="00DA4ED3">
        <w:rPr>
          <w:rFonts w:ascii="Cambria" w:hAnsi="Cambria"/>
          <w:sz w:val="20"/>
          <w:szCs w:val="20"/>
          <w:lang w:val="es-VE"/>
        </w:rPr>
        <w:t xml:space="preserve"> integralmente las violaciones de</w:t>
      </w:r>
      <w:r w:rsidRPr="00DA4ED3">
        <w:rPr>
          <w:rFonts w:ascii="Cambria" w:hAnsi="Cambria"/>
          <w:sz w:val="20"/>
          <w:szCs w:val="20"/>
          <w:lang w:val="es-VE"/>
        </w:rPr>
        <w:t xml:space="preserve"> derechos humanos declaradas en el presente informe tanto en el aspecto material como </w:t>
      </w:r>
      <w:r w:rsidR="004A32F1" w:rsidRPr="00DA4ED3">
        <w:rPr>
          <w:rFonts w:ascii="Cambria" w:hAnsi="Cambria"/>
          <w:sz w:val="20"/>
          <w:szCs w:val="20"/>
          <w:lang w:val="es-VE"/>
        </w:rPr>
        <w:t xml:space="preserve">inmaterial. </w:t>
      </w:r>
      <w:r w:rsidR="007E1B8A" w:rsidRPr="00DA4ED3">
        <w:rPr>
          <w:rFonts w:ascii="Cambria" w:hAnsi="Cambria"/>
          <w:sz w:val="20"/>
          <w:szCs w:val="20"/>
          <w:lang w:val="es-VE"/>
        </w:rPr>
        <w:t>Las medidas de reparación deberán incluir una justa compensación así como medidas de satisfacción y rehabilitación</w:t>
      </w:r>
      <w:r w:rsidR="0049716A" w:rsidRPr="00DA4ED3">
        <w:rPr>
          <w:rFonts w:ascii="Cambria" w:hAnsi="Cambria"/>
          <w:sz w:val="20"/>
          <w:szCs w:val="20"/>
          <w:lang w:val="es-VE"/>
        </w:rPr>
        <w:t>, de ser pertinentes,</w:t>
      </w:r>
      <w:r w:rsidR="007E1B8A" w:rsidRPr="00DA4ED3">
        <w:rPr>
          <w:rFonts w:ascii="Cambria" w:hAnsi="Cambria"/>
          <w:sz w:val="20"/>
          <w:szCs w:val="20"/>
          <w:lang w:val="es-VE"/>
        </w:rPr>
        <w:t xml:space="preserve"> en consulta con los familiares del señor Ruiz Fuentes. </w:t>
      </w:r>
      <w:r w:rsidR="00DA4ED3" w:rsidRPr="00DA4ED3">
        <w:rPr>
          <w:rFonts w:ascii="Cambria" w:hAnsi="Cambria"/>
          <w:sz w:val="20"/>
          <w:szCs w:val="20"/>
          <w:lang w:val="es-VE"/>
        </w:rPr>
        <w:t>Con respecto a los familiares de Hugo Humberto Ruiz Fuentes aún no identificados, la CIDH insta al Estado a realizar todos los esfuerzos posibles para ubicarlos, y en caso de no ser posible, aportar el componente pecuniario de la reparación que les correspondería, al Fondo de Asistencia Legal.</w:t>
      </w:r>
    </w:p>
    <w:p w:rsidR="00DA4ED3" w:rsidRPr="00836C24" w:rsidRDefault="00DA4ED3" w:rsidP="008B55DD">
      <w:pPr>
        <w:tabs>
          <w:tab w:val="num" w:pos="0"/>
          <w:tab w:val="left" w:pos="1440"/>
          <w:tab w:val="left" w:pos="9360"/>
        </w:tabs>
        <w:ind w:firstLine="720"/>
        <w:rPr>
          <w:rFonts w:ascii="Cambria" w:hAnsi="Cambria"/>
          <w:sz w:val="20"/>
          <w:szCs w:val="20"/>
          <w:lang w:val="es-VE"/>
        </w:rPr>
      </w:pPr>
    </w:p>
    <w:p w:rsidR="0065442B" w:rsidRPr="00836C24" w:rsidRDefault="0065442B" w:rsidP="00842AF1">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836C24">
        <w:rPr>
          <w:rFonts w:ascii="Cambria" w:hAnsi="Cambria"/>
          <w:sz w:val="20"/>
          <w:szCs w:val="20"/>
          <w:lang w:val="es-VE"/>
        </w:rPr>
        <w:t xml:space="preserve">Investigar los actos de tortura sufridos por el señor Ruiz Fuentes de manera </w:t>
      </w:r>
      <w:r w:rsidR="0049716A" w:rsidRPr="00836C24">
        <w:rPr>
          <w:rFonts w:ascii="Cambria" w:hAnsi="Cambria"/>
          <w:sz w:val="20"/>
          <w:szCs w:val="20"/>
          <w:lang w:val="es-VE"/>
        </w:rPr>
        <w:t>diligente</w:t>
      </w:r>
      <w:r w:rsidRPr="00836C24">
        <w:rPr>
          <w:rFonts w:ascii="Cambria" w:hAnsi="Cambria"/>
          <w:sz w:val="20"/>
          <w:szCs w:val="20"/>
          <w:lang w:val="es-VE"/>
        </w:rPr>
        <w:t xml:space="preserve">, efectiva y en un plazo razonable con el objeto de esclarecer los hechos en forma completa, identificar a los autores e imponer las sanciones que correspondan. </w:t>
      </w:r>
    </w:p>
    <w:p w:rsidR="0065442B" w:rsidRPr="00836C24" w:rsidRDefault="0065442B" w:rsidP="008B55DD">
      <w:pPr>
        <w:pStyle w:val="BodyText3"/>
        <w:tabs>
          <w:tab w:val="num" w:pos="0"/>
          <w:tab w:val="left" w:pos="720"/>
          <w:tab w:val="left" w:pos="1440"/>
          <w:tab w:val="left" w:pos="9360"/>
        </w:tabs>
        <w:spacing w:after="0"/>
        <w:ind w:firstLine="720"/>
        <w:jc w:val="both"/>
        <w:rPr>
          <w:rFonts w:ascii="Cambria" w:hAnsi="Cambria"/>
          <w:sz w:val="20"/>
          <w:szCs w:val="20"/>
          <w:lang w:val="es-VE"/>
        </w:rPr>
      </w:pPr>
    </w:p>
    <w:p w:rsidR="0065442B" w:rsidRPr="00836C24" w:rsidRDefault="0065442B" w:rsidP="00842AF1">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836C24">
        <w:rPr>
          <w:rFonts w:ascii="Cambria" w:hAnsi="Cambria"/>
          <w:sz w:val="20"/>
          <w:szCs w:val="20"/>
          <w:lang w:val="es-VE"/>
        </w:rPr>
        <w:t xml:space="preserve">Investigar la ejecución extrajudicial sufrida por el señor Ruiz Fuentes de manera diligente, efectiva y en un plazo razonable con el objeto de esclarecer los hechos en forma completa, identificar a los autores e imponer las sanciones que correspondan. </w:t>
      </w:r>
    </w:p>
    <w:p w:rsidR="0065442B" w:rsidRPr="00836C24" w:rsidRDefault="0065442B" w:rsidP="008B55DD">
      <w:pPr>
        <w:pStyle w:val="BodyText3"/>
        <w:tabs>
          <w:tab w:val="num" w:pos="0"/>
          <w:tab w:val="left" w:pos="720"/>
          <w:tab w:val="left" w:pos="1440"/>
          <w:tab w:val="left" w:pos="9360"/>
        </w:tabs>
        <w:spacing w:after="0"/>
        <w:ind w:firstLine="720"/>
        <w:jc w:val="both"/>
        <w:rPr>
          <w:rFonts w:ascii="Cambria" w:hAnsi="Cambria"/>
          <w:sz w:val="20"/>
          <w:szCs w:val="20"/>
          <w:lang w:val="es-VE"/>
        </w:rPr>
      </w:pPr>
    </w:p>
    <w:p w:rsidR="00B335C2" w:rsidRPr="00B335C2" w:rsidRDefault="0065442B" w:rsidP="00B335C2">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836C24">
        <w:rPr>
          <w:rFonts w:ascii="Cambria" w:hAnsi="Cambria"/>
          <w:sz w:val="20"/>
          <w:szCs w:val="20"/>
          <w:lang w:val="es-VE"/>
        </w:rPr>
        <w:t>En cuanto</w:t>
      </w:r>
      <w:r w:rsidR="00B335C2">
        <w:rPr>
          <w:rFonts w:ascii="Cambria" w:hAnsi="Cambria"/>
          <w:sz w:val="20"/>
          <w:szCs w:val="20"/>
          <w:lang w:val="es-VE"/>
        </w:rPr>
        <w:t xml:space="preserve"> a la pena de muerte, l</w:t>
      </w:r>
      <w:r w:rsidR="00B335C2" w:rsidRPr="00057EFF">
        <w:rPr>
          <w:rFonts w:ascii="Cambria" w:hAnsi="Cambria"/>
          <w:sz w:val="20"/>
          <w:szCs w:val="20"/>
          <w:lang w:val="es-VE"/>
        </w:rPr>
        <w:t xml:space="preserve">a Comisión toma nota y valora positivamente que desde hace 17 años la pena de muerte no ha sido impuesta por las autoridades judiciales y que también se ha dispuesto la conmutación de la pena desde hace más de una década frente a personas ya condenadas. Asimismo, la Comisión toma nota y valora positivamente que el Poder Ejecutivo durante años hubiese adoptado medidas para evitar la reactivación de la pena de muerte en Guatemala. En ese sentido, la Comisión observa que como consecuencia de acciones tanto del Poder Ejecutivo como del Poder Judicial, han pasado 17 años sin imposición ni ejecución de la pena de muerte en Guatemala. La Comisión entiende que, en la práctica, el Estado guatemalteco ha avanzado en una tendencia hacia la abolición de la pena de muerte, lo que resulta consistente con el espíritu de la Convención Americana en la materia. </w:t>
      </w:r>
      <w:r w:rsidR="00B335C2" w:rsidRPr="00B335C2">
        <w:rPr>
          <w:rFonts w:ascii="Cambria" w:hAnsi="Cambria"/>
          <w:sz w:val="20"/>
          <w:szCs w:val="20"/>
          <w:lang w:val="es-VE"/>
        </w:rPr>
        <w:t>Por lo anterior, tomando en cuenta la práctica de ya casi dos décadas, y lo indicado por la CIDH en su Informe “La Pena de muerte en el Sistema Interamericano de Derechos Humanos: de restricciones a abolición” respecto a que los Estados miembros de la OEA deben eliminar gradualmente la pena de muerte, la Comisión recomienda al Estado de Guatemala adoptar las medidas necesarias para que la legislación interna sea consistente con dicha práctica y así continuar en el camino hacia la abolición de la pena de muerte</w:t>
      </w:r>
      <w:r w:rsidR="00B335C2" w:rsidRPr="00057EFF">
        <w:rPr>
          <w:rFonts w:ascii="Cambria" w:hAnsi="Cambria"/>
          <w:sz w:val="20"/>
          <w:szCs w:val="20"/>
          <w:lang w:val="es-VE"/>
        </w:rPr>
        <w:t>.</w:t>
      </w:r>
    </w:p>
    <w:p w:rsidR="0065442B" w:rsidRPr="00836C24" w:rsidRDefault="0065442B" w:rsidP="00B335C2">
      <w:pPr>
        <w:pStyle w:val="BodyText3"/>
        <w:tabs>
          <w:tab w:val="num" w:pos="0"/>
          <w:tab w:val="left" w:pos="720"/>
          <w:tab w:val="left" w:pos="1440"/>
          <w:tab w:val="left" w:pos="9360"/>
        </w:tabs>
        <w:spacing w:after="0"/>
        <w:jc w:val="both"/>
        <w:rPr>
          <w:rFonts w:ascii="Cambria" w:hAnsi="Cambria"/>
          <w:sz w:val="20"/>
          <w:szCs w:val="20"/>
          <w:lang w:val="es-VE"/>
        </w:rPr>
      </w:pPr>
    </w:p>
    <w:p w:rsidR="0065442B" w:rsidRPr="00836C24" w:rsidRDefault="0065442B" w:rsidP="00842AF1">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836C24">
        <w:rPr>
          <w:rFonts w:ascii="Cambria" w:hAnsi="Cambria"/>
          <w:sz w:val="20"/>
          <w:szCs w:val="20"/>
          <w:lang w:val="es-VE"/>
        </w:rPr>
        <w:t>Adoptar las medidas legislativas, administrativas y de otra índole necesarias para asegurar que en la regulación y en la práctica, las personas condenadas penalmente cuenten con un recurso ante autoridad jerárquica que permita una revisión integral del fallo condenatorio.</w:t>
      </w:r>
    </w:p>
    <w:p w:rsidR="0065442B" w:rsidRPr="00836C24" w:rsidRDefault="0065442B" w:rsidP="008B55DD">
      <w:pPr>
        <w:pStyle w:val="BodyText3"/>
        <w:tabs>
          <w:tab w:val="num" w:pos="0"/>
          <w:tab w:val="left" w:pos="720"/>
          <w:tab w:val="left" w:pos="1440"/>
          <w:tab w:val="left" w:pos="9360"/>
        </w:tabs>
        <w:spacing w:after="0"/>
        <w:ind w:firstLine="720"/>
        <w:jc w:val="both"/>
        <w:rPr>
          <w:rFonts w:ascii="Cambria" w:hAnsi="Cambria"/>
          <w:sz w:val="20"/>
          <w:szCs w:val="20"/>
          <w:lang w:val="es-CO"/>
        </w:rPr>
      </w:pPr>
    </w:p>
    <w:p w:rsidR="0065442B" w:rsidRPr="00836C24" w:rsidRDefault="0065442B" w:rsidP="00842AF1">
      <w:pPr>
        <w:pStyle w:val="BodyText3"/>
        <w:numPr>
          <w:ilvl w:val="0"/>
          <w:numId w:val="64"/>
        </w:numP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836C24">
        <w:rPr>
          <w:rFonts w:ascii="Cambria" w:hAnsi="Cambria"/>
          <w:sz w:val="20"/>
          <w:szCs w:val="20"/>
          <w:lang w:val="es-CO"/>
        </w:rPr>
        <w:t xml:space="preserve">Adoptar medidas administrativas y de otra índole dirigidas a capacitar a los cuerpos de seguridad en la prohibición absoluta de la tortura. Asimismo, el Estado deberá realizar capacitaciones sobre el uso de la fuerza conforme a los estándares internacionales en el marco de operativos de captura de personas privadas de libertad que se hayan dado a la fuga de los centros de detención. </w:t>
      </w:r>
    </w:p>
    <w:p w:rsidR="000A14BC" w:rsidRPr="00836C24" w:rsidRDefault="000A14BC" w:rsidP="00E7184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2040"/>
        </w:tabs>
        <w:jc w:val="both"/>
        <w:rPr>
          <w:rFonts w:asciiTheme="majorHAnsi" w:eastAsia="Times New Roman" w:hAnsiTheme="majorHAnsi"/>
          <w:sz w:val="20"/>
          <w:szCs w:val="20"/>
          <w:lang w:val="es-VE"/>
        </w:rPr>
      </w:pPr>
    </w:p>
    <w:sectPr w:rsidR="000A14BC" w:rsidRPr="00836C24" w:rsidSect="001C4486">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22" w:rsidRDefault="00A83F22">
      <w:r>
        <w:separator/>
      </w:r>
    </w:p>
  </w:endnote>
  <w:endnote w:type="continuationSeparator" w:id="0">
    <w:p w:rsidR="00A83F22" w:rsidRDefault="00A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TimesNewRoman,Italic">
    <w:altName w:val="Optima ExtraBlack"/>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A83F22" w:rsidRPr="00934A2C" w:rsidRDefault="00A83F2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2E38">
          <w:rPr>
            <w:noProof/>
            <w:sz w:val="16"/>
            <w:szCs w:val="22"/>
          </w:rPr>
          <w:t>44</w:t>
        </w:r>
        <w:r w:rsidRPr="00934A2C">
          <w:rPr>
            <w:noProof/>
            <w:sz w:val="16"/>
            <w:szCs w:val="22"/>
          </w:rPr>
          <w:fldChar w:fldCharType="end"/>
        </w:r>
      </w:p>
    </w:sdtContent>
  </w:sdt>
  <w:p w:rsidR="00A83F22" w:rsidRDefault="00A83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22" w:rsidRPr="00934A2C" w:rsidRDefault="00A83F22">
    <w:pPr>
      <w:pStyle w:val="Footer"/>
      <w:jc w:val="center"/>
      <w:rPr>
        <w:sz w:val="16"/>
        <w:szCs w:val="22"/>
      </w:rPr>
    </w:pPr>
  </w:p>
  <w:p w:rsidR="00A83F22" w:rsidRDefault="00A83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22" w:rsidRDefault="00A83F22">
      <w:r>
        <w:separator/>
      </w:r>
    </w:p>
  </w:footnote>
  <w:footnote w:type="continuationSeparator" w:id="0">
    <w:p w:rsidR="00A83F22" w:rsidRDefault="00A83F22">
      <w:r>
        <w:continuationSeparator/>
      </w:r>
    </w:p>
  </w:footnote>
  <w:footnote w:type="continuationNotice" w:id="1">
    <w:p w:rsidR="00A83F22" w:rsidRDefault="00A83F22"/>
  </w:footnote>
  <w:footnote w:id="2">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w:t>
      </w:r>
      <w:hyperlink r:id="rId1" w:history="1">
        <w:r w:rsidRPr="00836C24">
          <w:rPr>
            <w:rStyle w:val="Hyperlink"/>
            <w:rFonts w:asciiTheme="majorHAnsi" w:hAnsiTheme="majorHAnsi"/>
            <w:sz w:val="16"/>
            <w:szCs w:val="16"/>
            <w:lang w:val="es-VE"/>
          </w:rPr>
          <w:t>Informe 14/08</w:t>
        </w:r>
      </w:hyperlink>
      <w:r w:rsidRPr="00836C24">
        <w:rPr>
          <w:rFonts w:asciiTheme="majorHAnsi" w:hAnsiTheme="majorHAnsi"/>
          <w:sz w:val="16"/>
          <w:szCs w:val="16"/>
          <w:lang w:val="es-VE"/>
        </w:rPr>
        <w:t>, Petición 652/04, Admisibilidad, Hugo Humberto Ruiz Fuentes, 5 de marzo de 2008.</w:t>
      </w:r>
    </w:p>
  </w:footnote>
  <w:footnote w:id="3">
    <w:p w:rsidR="00A83F22" w:rsidRPr="007D7109" w:rsidRDefault="00A83F22" w:rsidP="007D7109">
      <w:pPr>
        <w:pStyle w:val="FootnoteText"/>
        <w:ind w:firstLine="720"/>
        <w:rPr>
          <w:rFonts w:asciiTheme="majorHAnsi" w:hAnsiTheme="majorHAnsi"/>
          <w:sz w:val="16"/>
          <w:szCs w:val="16"/>
          <w:lang w:val="es-VE"/>
        </w:rPr>
      </w:pPr>
      <w:r w:rsidRPr="007D7109">
        <w:rPr>
          <w:rStyle w:val="FootnoteReference"/>
          <w:rFonts w:asciiTheme="majorHAnsi" w:hAnsiTheme="majorHAnsi"/>
          <w:sz w:val="16"/>
          <w:szCs w:val="16"/>
        </w:rPr>
        <w:footnoteRef/>
      </w:r>
      <w:r w:rsidRPr="007D7109">
        <w:rPr>
          <w:rFonts w:asciiTheme="majorHAnsi" w:hAnsiTheme="majorHAnsi"/>
          <w:sz w:val="16"/>
          <w:szCs w:val="16"/>
          <w:lang w:val="es-VE"/>
        </w:rPr>
        <w:t xml:space="preserve"> Comunicación de los peticionarios de 7 de julio de 2017.</w:t>
      </w:r>
    </w:p>
  </w:footnote>
  <w:footnote w:id="4">
    <w:p w:rsidR="00A83F22" w:rsidRPr="00836C24" w:rsidRDefault="00A83F22" w:rsidP="00332CDA">
      <w:pPr>
        <w:pStyle w:val="FootnoteText"/>
        <w:spacing w:after="120"/>
        <w:ind w:left="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 Oficio del departamento de investigaciones criminológicas de la Policía Nacional al Juez Segundo de Paz del Municipio de Mixco. </w:t>
      </w:r>
    </w:p>
  </w:footnote>
  <w:footnote w:id="5">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 Oficio del departamento de investigaciones criminológicas de la Policía Nacional al Juez Segundo de Paz del Municipio de Mixco.</w:t>
      </w:r>
    </w:p>
  </w:footnote>
  <w:footnote w:id="6">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 Declaración de Hugo Humberto Ruiz Fuentes rendida ante la Jueza Octava de Primera Instancia Penal, Narcoactividad y Delitos contra el Ambiente de 29 de abril de 1998. </w:t>
      </w:r>
    </w:p>
  </w:footnote>
  <w:footnote w:id="7">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 Declaración de Hugo Humberto Ruiz Fuentes rendida ante la Jueza Octava de Primera Instancia Penal, Narcoactividad y Delitos contra el Ambiente de 29 de abril de 1998. </w:t>
      </w:r>
    </w:p>
  </w:footnote>
  <w:footnote w:id="8">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 Declaración de Hugo Humberto Ruiz Fuentes rendida ante la Jueza Octava de Primera Instancia Penal, Narcoactividad y Delitos contra el Ambiente de 29 de abril de 1998. </w:t>
      </w:r>
    </w:p>
  </w:footnote>
  <w:footnote w:id="9">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 Declaración de Hugo Humberto Ruiz Fuentes rendida ante la Jueza Octava de Primera Instancia Penal, Narcoactividad y Delitos contra el Ambiente de 29 de abril de 1998. </w:t>
      </w:r>
    </w:p>
  </w:footnote>
  <w:footnote w:id="10">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3. Informe médico de Hugo Humberto Ruiz Fuentes de 9 de diciembre de 1997.  </w:t>
      </w:r>
    </w:p>
  </w:footnote>
  <w:footnote w:id="11">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4. Informe del médico residente del Departamento de Cirugía del Hospital Roosevelt, del 20 de enero de 1998. </w:t>
      </w:r>
    </w:p>
  </w:footnote>
  <w:footnote w:id="12">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5. Informe del departamento médico forense del Organismo Judicial de 13 de febrero de 1998. </w:t>
      </w:r>
    </w:p>
  </w:footnote>
  <w:footnote w:id="13">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6. Informe médico de Hugo Humberto Ruiz Fuentes de11 de diciembre de 2000. Anexo 2 al escrito de los peticionarios de 12 de julio de 2007.</w:t>
      </w:r>
    </w:p>
  </w:footnote>
  <w:footnote w:id="14">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Al respecto se indica que pudo revisar 6 documentos: 1. Acta de debate C-4-98 Oficial 1 del Tribunal Sexto de Sentencia Penal, Narcoactividad y Delitos contra el Ambiente de 20 de abril de 1999; 2. Informe médico del Hospital Roosevelt de 9 de diciembre de 1997; 3. Informe médico del Hospital Roosevelt de 20 de enero de 1998; 4. Informe médico del Hospital Roosevelt de 11 de diciembre de 2000; 5. Declaración de Hugo Humberto Ruiz Fuentes ante la Juez Octavo de Primera Instancia Penal, Narcoactividad y Delitos contra el Ambiente de 29 de abril de 1998; 6. Seis fotografías del inmueble localizado en la 2ª calle lote 77, zona 6 de Mixco, Colonia Diez de Mayo. Anexo 7. Informe de Alejandro Moreno dirigido a Alejandro Rodríguez Barillas de 21 de mayo de 2008.</w:t>
      </w:r>
    </w:p>
  </w:footnote>
  <w:footnote w:id="15">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7. Informe de Alejandro Moreno dirigido a Alejandro Rodríguez Barillas de 21 de mayo de 2008. </w:t>
      </w:r>
    </w:p>
  </w:footnote>
  <w:footnote w:id="16">
    <w:p w:rsidR="00A83F22" w:rsidRPr="00836C24" w:rsidRDefault="00A83F22" w:rsidP="00332CDA">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8. Sentencia condenatoria emitida por el Tribunal Sexto de Sentencia Penal, Narcoactividad y Delitos contra el Ambiente de Guatemala de 14 de mayo de 1999.</w:t>
      </w:r>
    </w:p>
  </w:footnote>
  <w:footnote w:id="17">
    <w:p w:rsidR="00A83F22" w:rsidRPr="00836C24" w:rsidRDefault="00A83F22" w:rsidP="0017632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hyperlink r:id="rId2" w:history="1">
        <w:r w:rsidRPr="00836C24">
          <w:rPr>
            <w:rStyle w:val="Hyperlink"/>
            <w:rFonts w:asciiTheme="majorHAnsi" w:hAnsiTheme="majorHAnsi"/>
            <w:sz w:val="16"/>
            <w:szCs w:val="16"/>
            <w:lang w:val="es-VE"/>
          </w:rPr>
          <w:t>Constitución Política de la República de Guatemala</w:t>
        </w:r>
      </w:hyperlink>
      <w:r w:rsidRPr="00836C24">
        <w:rPr>
          <w:rFonts w:asciiTheme="majorHAnsi" w:hAnsiTheme="majorHAnsi"/>
          <w:sz w:val="16"/>
          <w:szCs w:val="16"/>
          <w:lang w:val="es-VE"/>
        </w:rPr>
        <w:t xml:space="preserve"> de 1985. </w:t>
      </w:r>
    </w:p>
  </w:footnote>
  <w:footnote w:id="18">
    <w:p w:rsidR="00A83F22" w:rsidRPr="00836C24" w:rsidRDefault="00A83F22" w:rsidP="00176325">
      <w:pPr>
        <w:pStyle w:val="FootnoteText"/>
        <w:spacing w:after="120"/>
        <w:ind w:firstLine="720"/>
        <w:jc w:val="both"/>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Decreto Número 17-73, Código Penal de Guatemala.  </w:t>
      </w:r>
    </w:p>
  </w:footnote>
  <w:footnote w:id="19">
    <w:p w:rsidR="00A83F22" w:rsidRPr="00836C24" w:rsidRDefault="00A83F22" w:rsidP="00176325">
      <w:pPr>
        <w:pStyle w:val="FootnoteText"/>
        <w:spacing w:after="120"/>
        <w:ind w:firstLine="720"/>
        <w:jc w:val="both"/>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Decreto Número 17-73, Código Penal de Guatemala.  </w:t>
      </w:r>
    </w:p>
  </w:footnote>
  <w:footnote w:id="20">
    <w:p w:rsidR="00A83F22" w:rsidRPr="00836C24" w:rsidRDefault="00A83F22" w:rsidP="00176325">
      <w:pPr>
        <w:pStyle w:val="FootnoteText"/>
        <w:ind w:firstLine="720"/>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Decreto Número 38-94 del Congreso de la República de Guatemala. </w:t>
      </w:r>
    </w:p>
  </w:footnote>
  <w:footnote w:id="21">
    <w:p w:rsidR="00A83F22" w:rsidRPr="00836C24" w:rsidRDefault="00A83F22" w:rsidP="003A5D1B">
      <w:pPr>
        <w:pStyle w:val="FootnoteText"/>
        <w:ind w:firstLine="720"/>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Decreto Número 14-85 del Congreso de la República de Guatemala.</w:t>
      </w:r>
    </w:p>
  </w:footnote>
  <w:footnote w:id="22">
    <w:p w:rsidR="00A83F22" w:rsidRPr="00836C24" w:rsidRDefault="00A83F22" w:rsidP="00024DB4">
      <w:pPr>
        <w:pStyle w:val="FootnoteText"/>
        <w:ind w:firstLine="720"/>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Decreto Número 81-96 del Congreso de la República de Guatemala. </w:t>
      </w:r>
    </w:p>
  </w:footnote>
  <w:footnote w:id="23">
    <w:p w:rsidR="00A83F22" w:rsidRPr="00836C24" w:rsidRDefault="00A83F22" w:rsidP="001862E9">
      <w:pPr>
        <w:pStyle w:val="FootnoteText"/>
        <w:ind w:firstLine="720"/>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Decreto Número 17-2009 del Congreso de la República de Guatemala, Ley del Fortalecimiento de la Persecución Penal. </w:t>
      </w:r>
    </w:p>
  </w:footnote>
  <w:footnote w:id="24">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Amnistía Internacional. Guatemala, El retorno de la pena de muerte. Marzo de 1997; ver también CIDH, Informe Anual de la Comisión Interamericana de Derechos Humanos, OEA/Ser.L/V/II.63 doc.10, 28 de septiembre de 1984, Guatemala, párr.9.</w:t>
      </w:r>
    </w:p>
  </w:footnote>
  <w:footnote w:id="25">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hyperlink r:id="rId3" w:history="1">
        <w:r w:rsidRPr="00836C24">
          <w:rPr>
            <w:rStyle w:val="Hyperlink"/>
            <w:rFonts w:asciiTheme="majorHAnsi" w:hAnsiTheme="majorHAnsi"/>
            <w:sz w:val="16"/>
            <w:szCs w:val="16"/>
            <w:lang w:val="es-VE"/>
          </w:rPr>
          <w:t>Decreto Número 100-96</w:t>
        </w:r>
      </w:hyperlink>
      <w:r w:rsidRPr="00836C24">
        <w:rPr>
          <w:rFonts w:asciiTheme="majorHAnsi" w:hAnsiTheme="majorHAnsi"/>
          <w:sz w:val="16"/>
          <w:szCs w:val="16"/>
          <w:lang w:val="es-VE"/>
        </w:rPr>
        <w:t xml:space="preserve"> de 28 de noviembre de 1996, Ley que Establece el Procedimiento para la Ejecución de la Pena de Muerte. </w:t>
      </w:r>
    </w:p>
  </w:footnote>
  <w:footnote w:id="26">
    <w:p w:rsidR="00A83F22" w:rsidRPr="00836C24" w:rsidRDefault="00A83F22" w:rsidP="00010146">
      <w:pPr>
        <w:pStyle w:val="FootnoteText"/>
        <w:ind w:firstLine="708"/>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CIDH, Informe Anual de la Comisión Interamericana de Derechos Humanos de 1997,OEA/Ser.L/V/II.doc.6, 17 de febrero de 1998, párr.26-29.</w:t>
      </w:r>
    </w:p>
  </w:footnote>
  <w:footnote w:id="27">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de Constitucionalidad, Expediente 1015-96, Gaceta Jurisprudencial No. 41-Amparos en Única Instancia. </w:t>
      </w:r>
    </w:p>
  </w:footnote>
  <w:footnote w:id="28">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w:t>
      </w:r>
      <w:hyperlink r:id="rId4" w:history="1">
        <w:r w:rsidRPr="00836C24">
          <w:rPr>
            <w:rStyle w:val="Hyperlink"/>
            <w:rFonts w:asciiTheme="majorHAnsi" w:hAnsiTheme="majorHAnsi"/>
            <w:sz w:val="16"/>
            <w:szCs w:val="16"/>
            <w:lang w:val="es-VE"/>
          </w:rPr>
          <w:t>Decreto número 32-2000</w:t>
        </w:r>
      </w:hyperlink>
      <w:r w:rsidRPr="00836C24">
        <w:rPr>
          <w:rFonts w:asciiTheme="majorHAnsi" w:hAnsiTheme="majorHAnsi"/>
          <w:sz w:val="16"/>
          <w:szCs w:val="16"/>
          <w:lang w:val="es-VE"/>
        </w:rPr>
        <w:t xml:space="preserve"> publicado el 1 de junio de 2000.</w:t>
      </w:r>
    </w:p>
  </w:footnote>
  <w:footnote w:id="29">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Artículo 132 del Decreto 17-73 del Congreso de la República de Guatemala, Código Penal. </w:t>
      </w:r>
    </w:p>
  </w:footnote>
  <w:footnote w:id="30">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w:t>
      </w:r>
      <w:hyperlink r:id="rId5" w:history="1">
        <w:r w:rsidRPr="00836C24">
          <w:rPr>
            <w:rStyle w:val="Hyperlink"/>
            <w:rFonts w:asciiTheme="majorHAnsi" w:hAnsiTheme="majorHAnsi"/>
            <w:sz w:val="16"/>
            <w:szCs w:val="16"/>
            <w:lang w:val="es-VE"/>
          </w:rPr>
          <w:t>Artículo 5 del Decreto 20-96</w:t>
        </w:r>
      </w:hyperlink>
      <w:r w:rsidRPr="00836C24">
        <w:rPr>
          <w:rFonts w:asciiTheme="majorHAnsi" w:hAnsiTheme="majorHAnsi"/>
          <w:sz w:val="16"/>
          <w:szCs w:val="16"/>
          <w:lang w:val="es-VE"/>
        </w:rPr>
        <w:t xml:space="preserve"> del Congreso de la República de Guatemala. </w:t>
      </w:r>
    </w:p>
  </w:footnote>
  <w:footnote w:id="31">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Caso Fermín Ramírez vs. Guatemala. </w:t>
      </w:r>
      <w:r w:rsidRPr="00836C24">
        <w:rPr>
          <w:rFonts w:asciiTheme="majorHAnsi" w:hAnsiTheme="majorHAnsi"/>
          <w:sz w:val="16"/>
          <w:szCs w:val="16"/>
          <w:lang w:val="es-VE"/>
        </w:rPr>
        <w:t xml:space="preserve">Fondo, Reparaciones y Costas. Sentencia de 20 de junio de 2005. Serie C No. 126, párr.94 y ss. </w:t>
      </w:r>
    </w:p>
  </w:footnote>
  <w:footnote w:id="32">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Fermín Ramírez vs. Guatemala. Fondo, Reparaciones y Costas. Sentencia de 20 de junio de 2005. Serie C No. 126, párr.94 y ss. </w:t>
      </w:r>
    </w:p>
  </w:footnote>
  <w:footnote w:id="33">
    <w:p w:rsidR="00A83F22" w:rsidRPr="00836C24" w:rsidRDefault="00A83F22" w:rsidP="000900D2">
      <w:pPr>
        <w:pStyle w:val="FootnoteText"/>
        <w:ind w:firstLine="708"/>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Fermín Ramírez vs. Guatemala. Fondo, Reparaciones y Costas. Sentencia de 20 de junio de 2005. Serie C No. 126, párr.107. </w:t>
      </w:r>
    </w:p>
  </w:footnote>
  <w:footnote w:id="34">
    <w:p w:rsidR="00A83F22" w:rsidRPr="00836C24" w:rsidRDefault="00A83F22" w:rsidP="000900D2">
      <w:pPr>
        <w:pStyle w:val="FootnoteText"/>
        <w:ind w:firstLine="708"/>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Fermín Ramírez vs. Guatemala. Fondo, Reparaciones y Costas. Sentencia de 20 de junio de 2005. Serie C No. 126, párr.110.</w:t>
      </w:r>
    </w:p>
  </w:footnote>
  <w:footnote w:id="35">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Fermín Ramírez vs. Guatemala. Fondo, Reparaciones y Costas. Sentencia de 20 de junio de 2005. Serie C No. 126.</w:t>
      </w:r>
    </w:p>
  </w:footnote>
  <w:footnote w:id="36">
    <w:p w:rsidR="00A83F22" w:rsidRPr="00836C24" w:rsidRDefault="00A83F22" w:rsidP="00E32B99">
      <w:pPr>
        <w:pStyle w:val="FootnoteText"/>
        <w:spacing w:after="120"/>
        <w:ind w:left="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Raxcacó Reyes vs. Guatemala. Fondo, Reparaciones y Cosas. Sentencia de 15 de septiembre de 2005. Serie C No. 133, párr.85.</w:t>
      </w:r>
    </w:p>
  </w:footnote>
  <w:footnote w:id="37">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artículo de prensa publicado en Agencia Efe, </w:t>
      </w:r>
      <w:hyperlink r:id="rId6" w:history="1">
        <w:r w:rsidRPr="00836C24">
          <w:rPr>
            <w:rStyle w:val="Hyperlink"/>
            <w:rFonts w:asciiTheme="majorHAnsi" w:hAnsiTheme="majorHAnsi"/>
            <w:sz w:val="16"/>
            <w:szCs w:val="16"/>
            <w:lang w:val="es-VE"/>
          </w:rPr>
          <w:t>Piden en Guatemala restituir figura de indulto, y con ella, la pena de muerte</w:t>
        </w:r>
      </w:hyperlink>
      <w:r w:rsidRPr="00836C24">
        <w:rPr>
          <w:rFonts w:asciiTheme="majorHAnsi" w:hAnsiTheme="majorHAnsi"/>
          <w:sz w:val="16"/>
          <w:szCs w:val="16"/>
          <w:lang w:val="es-VE"/>
        </w:rPr>
        <w:t xml:space="preserve">, 10 de marzo de 2016, El periódico, </w:t>
      </w:r>
      <w:hyperlink r:id="rId7" w:history="1">
        <w:r w:rsidRPr="00836C24">
          <w:rPr>
            <w:rStyle w:val="Hyperlink"/>
            <w:rFonts w:asciiTheme="majorHAnsi" w:hAnsiTheme="majorHAnsi"/>
            <w:sz w:val="16"/>
            <w:szCs w:val="16"/>
            <w:lang w:val="es-VE"/>
          </w:rPr>
          <w:t>conmutación de la pena de muerte</w:t>
        </w:r>
      </w:hyperlink>
      <w:r w:rsidRPr="00836C24">
        <w:rPr>
          <w:rFonts w:asciiTheme="majorHAnsi" w:hAnsiTheme="majorHAnsi"/>
          <w:sz w:val="16"/>
          <w:szCs w:val="16"/>
          <w:lang w:val="es-VE"/>
        </w:rPr>
        <w:t>, 12 de febrero de 2016. La CIDH también ha documentado una serie de decisiones a nivel interno previas al año 2000, por medio de las cuales tribunales internos decidieron no aplicar la pena de muerte porque contrariaba los términos de aplicación del artículo 4.2 de la Convención Americana. Al respecto, en su informe anual de 1997 la CIDH indicó: “</w:t>
      </w:r>
      <w:r w:rsidRPr="00836C24">
        <w:rPr>
          <w:rFonts w:asciiTheme="majorHAnsi" w:hAnsiTheme="majorHAnsi"/>
          <w:spacing w:val="-2"/>
          <w:sz w:val="16"/>
          <w:szCs w:val="16"/>
          <w:lang w:val="es-VE"/>
        </w:rPr>
        <w:t xml:space="preserve">En su último informe, la Comisión hizo referencia a la sentencia notable de la Sala Novena de la Corte de Apelaciones del 30 de enero de 1997, por la que conmutó tres sentencias de muerte en condenas de 50 años en base a lo dispuesto por el derecho interno, incluida la obligación que impone al Estado el artículo 4 de la Convención Americana.  La Comisión ha recibido información de que el Tribunal de Sentencia Penal, Narcoactividad y Delitos contra el Ambiente del Departamento de Santa Rosa, Cuilapa adoptó una decisión similar el 8 de mayo de 1997, en el caso de Guillermo López Contreras, habiendo dictaminado que, de acuerdo con los términos del régimen jurídico aplicable, el Tribunal no podía legalmente imponer la pena de muerte por un delito para el que no se preveía ese castigo a la fecha de la ratificación de la Convención.  La Comisión reconoce y valora tales decisiones que respetan y reflejan debidamente las obligaciones internacionales asumidas por el Estado en materia de derechos humanos”. Ver CIDH, Informe Anual de la Comisión Interamericana de Derechos Humanos de 1997, Guatemala, OEA/Ser.L/V/II.98, Doc.6, 17 de febrero de 1998, párr.27. </w:t>
      </w:r>
    </w:p>
  </w:footnote>
  <w:footnote w:id="38">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Congreso de la República de Guatemala,  Decreto Número 6-2008, </w:t>
      </w:r>
      <w:hyperlink r:id="rId8" w:history="1">
        <w:r w:rsidRPr="00836C24">
          <w:rPr>
            <w:rStyle w:val="Hyperlink"/>
            <w:rFonts w:asciiTheme="majorHAnsi" w:hAnsiTheme="majorHAnsi"/>
            <w:sz w:val="16"/>
            <w:szCs w:val="16"/>
            <w:lang w:val="es-VE"/>
          </w:rPr>
          <w:t>Ley Reguladora de la Conmutación de la Pena para los Condenados a Muerte</w:t>
        </w:r>
      </w:hyperlink>
      <w:r w:rsidRPr="00836C24">
        <w:rPr>
          <w:rFonts w:asciiTheme="majorHAnsi" w:hAnsiTheme="majorHAnsi"/>
          <w:sz w:val="16"/>
          <w:szCs w:val="16"/>
          <w:lang w:val="es-VE"/>
        </w:rPr>
        <w:t xml:space="preserve">. </w:t>
      </w:r>
    </w:p>
  </w:footnote>
  <w:footnote w:id="39">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Artículo de prensa publicado en elmundo.es,  </w:t>
      </w:r>
      <w:hyperlink r:id="rId9" w:history="1">
        <w:r w:rsidRPr="00836C24">
          <w:rPr>
            <w:rStyle w:val="Hyperlink"/>
            <w:rFonts w:asciiTheme="majorHAnsi" w:hAnsiTheme="majorHAnsi"/>
            <w:sz w:val="16"/>
            <w:szCs w:val="16"/>
            <w:lang w:val="es-VE"/>
          </w:rPr>
          <w:t>Colom veta la ley que restituyó la pena de muerte en Guatemala</w:t>
        </w:r>
      </w:hyperlink>
      <w:r w:rsidRPr="00836C24">
        <w:rPr>
          <w:rFonts w:asciiTheme="majorHAnsi" w:hAnsiTheme="majorHAnsi"/>
          <w:sz w:val="16"/>
          <w:szCs w:val="16"/>
          <w:lang w:val="es-VE"/>
        </w:rPr>
        <w:t xml:space="preserve">, 15 de marzo de 2008; Artículo de prensa publicado en BBCMundo.com, </w:t>
      </w:r>
      <w:hyperlink r:id="rId10" w:history="1">
        <w:r w:rsidRPr="00836C24">
          <w:rPr>
            <w:rStyle w:val="Hyperlink"/>
            <w:rFonts w:asciiTheme="majorHAnsi" w:hAnsiTheme="majorHAnsi"/>
            <w:sz w:val="16"/>
            <w:szCs w:val="16"/>
            <w:lang w:val="es-VE"/>
          </w:rPr>
          <w:t>Colom vetó pena de muerte</w:t>
        </w:r>
      </w:hyperlink>
      <w:r w:rsidRPr="00836C24">
        <w:rPr>
          <w:rFonts w:asciiTheme="majorHAnsi" w:hAnsiTheme="majorHAnsi"/>
          <w:sz w:val="16"/>
          <w:szCs w:val="16"/>
          <w:lang w:val="es-VE"/>
        </w:rPr>
        <w:t>, 15 de marzo de 2008.</w:t>
      </w:r>
    </w:p>
  </w:footnote>
  <w:footnote w:id="40">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Artículo de prensa publicado en laprensa.com.ni, </w:t>
      </w:r>
      <w:hyperlink r:id="rId11" w:history="1">
        <w:r w:rsidRPr="00836C24">
          <w:rPr>
            <w:rStyle w:val="Hyperlink"/>
            <w:rFonts w:asciiTheme="majorHAnsi" w:hAnsiTheme="majorHAnsi"/>
            <w:sz w:val="16"/>
            <w:szCs w:val="16"/>
            <w:lang w:val="es-VE"/>
          </w:rPr>
          <w:t>Colom veta ley con que reactivarían pena de muerte</w:t>
        </w:r>
      </w:hyperlink>
      <w:r w:rsidRPr="00836C24">
        <w:rPr>
          <w:rFonts w:asciiTheme="majorHAnsi" w:hAnsiTheme="majorHAnsi"/>
          <w:sz w:val="16"/>
          <w:szCs w:val="16"/>
          <w:lang w:val="es-VE"/>
        </w:rPr>
        <w:t xml:space="preserve">, 5 de noviembre de 2010. </w:t>
      </w:r>
    </w:p>
  </w:footnote>
  <w:footnote w:id="41">
    <w:p w:rsidR="00A83F22" w:rsidRPr="00836C24" w:rsidRDefault="00A83F22" w:rsidP="00E32B99">
      <w:pPr>
        <w:pStyle w:val="FootnoteText"/>
        <w:spacing w:after="120"/>
        <w:ind w:firstLine="708"/>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hyperlink r:id="rId12" w:history="1">
        <w:r w:rsidRPr="00836C24">
          <w:rPr>
            <w:rStyle w:val="Hyperlink"/>
            <w:rFonts w:asciiTheme="majorHAnsi" w:hAnsiTheme="majorHAnsi"/>
            <w:sz w:val="16"/>
            <w:szCs w:val="16"/>
            <w:lang w:val="es-AR"/>
          </w:rPr>
          <w:t>Iniciativas de ley presentadas ante el Congreso de la República de Guatemala</w:t>
        </w:r>
      </w:hyperlink>
      <w:r w:rsidRPr="00836C24">
        <w:rPr>
          <w:rFonts w:asciiTheme="majorHAnsi" w:hAnsiTheme="majorHAnsi"/>
          <w:sz w:val="16"/>
          <w:szCs w:val="16"/>
          <w:lang w:val="es-AR"/>
        </w:rPr>
        <w:t xml:space="preserve">. </w:t>
      </w:r>
    </w:p>
  </w:footnote>
  <w:footnote w:id="42">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8. Sentencia condenatoria emitida por el Tribunal Sexto de Sentencia Penal, Narcoactividad y Delitos contra el Ambiente de Guatemala de 14 de mayo de 1999.</w:t>
      </w:r>
    </w:p>
  </w:footnote>
  <w:footnote w:id="43">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Guatemala ratificó la Convención Americana el 25 de mayo de 1978. </w:t>
      </w:r>
    </w:p>
  </w:footnote>
  <w:footnote w:id="44">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9. Voto razonado de la Jueza Silvia Roxana Morales Alvarado de Gordillo en el proceso penal 4-98. Sentencia condenatoria emitida por el Tribunal Sexto de Sentencia Penal, Narcoactividad y Delitos contra el Ambiente de Guatemala de 14 de mayo de 1999.</w:t>
      </w:r>
    </w:p>
  </w:footnote>
  <w:footnote w:id="45">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También indicó que el siguiente hecho indicado en el numeral III de la sentencia, no estaba incluido en la acusación: “a) Posteriormente arrancaron el pick-up que los esperaba cuyo conductor resultó ser el procesado Hugo Humberto Ruiz Fuentes, tomando rumbo ignorado trasladando posteriormente al menor a la cabina colocándole una gorra en la cara. Anexo 10. Sentencia de la Sala Cuarta de la Corte de Apelaciones de 13 de septiembre de 1999.</w:t>
      </w:r>
    </w:p>
  </w:footnote>
  <w:footnote w:id="46">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10. Sentencia de la Sala Cuarta de la Corte de Apelaciones de 13 de septiembre de 1999.</w:t>
      </w:r>
    </w:p>
  </w:footnote>
  <w:footnote w:id="47">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10. Sentencia de la Sala Cuarta de la Corte de Apelaciones de 13 de septiembre de 1999.</w:t>
      </w:r>
    </w:p>
  </w:footnote>
  <w:footnote w:id="48">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Dicho artículo indica: “Preeminencia del Derecho Internacional. Se establece el principio general de que en materia de derechos humanos, los tratados y convenciones aceptados y ratificados por Guatemala, tienen preeminencia sobre el derecho interno”.  Constitución Política de la República de Guatemala.</w:t>
      </w:r>
    </w:p>
  </w:footnote>
  <w:footnote w:id="49">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10. Sentencia de la Sala Cuarta de la Corte de Apelaciones de 13 de septiembre de 1999.</w:t>
      </w:r>
    </w:p>
  </w:footnote>
  <w:footnote w:id="50">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11. Recurso de casación interpuesto por Hugo Humberto Ruiz Fuentes y Jorge Mario Murga Rodríguez ante la Corte Suprema de Justicia el 4 de noviembre de 1999. </w:t>
      </w:r>
    </w:p>
  </w:footnote>
  <w:footnote w:id="51">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12. Sentencia de la Cámara Penal de la Corte Suprema de Justicia que deniega los recursos de casación planteados de 20 de julio de 2000.</w:t>
      </w:r>
    </w:p>
  </w:footnote>
  <w:footnote w:id="52">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13. Recurso de amparo planteado por Hugo Humberto Ruiz Fuentes y Jorge Mario Murga Rodríguez el 29 de agosto de 2000. </w:t>
      </w:r>
    </w:p>
  </w:footnote>
  <w:footnote w:id="53">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14. Sentencia de la Corte de Constitucionalidad que deniega amparo interpuesto por Hugo Humberto Ruiz Fuentes y Jorge Mario Murga Rodríguez el 4 de julio de 2001. </w:t>
      </w:r>
    </w:p>
  </w:footnote>
  <w:footnote w:id="54">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15. Recurso de revisión planteado por Hugo Humberto Ruiz Fuentes ante la Cámara Pena de la Corte Suprema de Justicia el 16 de diciembre de 2000.</w:t>
      </w:r>
    </w:p>
  </w:footnote>
  <w:footnote w:id="55">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16. Decisión de la Cámara Penal de la Corte Suprema de Justicia que deniega recurso de revisión de 1 de diciembre de 2003. </w:t>
      </w:r>
    </w:p>
  </w:footnote>
  <w:footnote w:id="56">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17. Recurso de gracia interpuesto por la presunta víctima ante el Ministro de Gobernación el 16 de diciembre de 2003.</w:t>
      </w:r>
    </w:p>
  </w:footnote>
  <w:footnote w:id="57">
    <w:p w:rsidR="00A83F22" w:rsidRPr="00836C24" w:rsidRDefault="00A83F22" w:rsidP="00254C4B">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Raxcacó y otros, resolución de la Corte de 30 de agosto de 2004. Solicitud de medidas provisionales presentada por la Comisión Interamericana de Derechos Humanos respecto de Guatemala. </w:t>
      </w:r>
    </w:p>
  </w:footnote>
  <w:footnote w:id="58">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18. Plan de Acción Interno No. 002-2005 “Operación Gavilán”. Anexo al escrito de observaciones del Estado en el caso de Hugo Humberto Ruiz Fuentes de 18 de agosto de 2009.</w:t>
      </w:r>
    </w:p>
  </w:footnote>
  <w:footnote w:id="59">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18. Plan de acción interno No. 002-2005 “Operación Gavilán”. Anexo al escrito de observaciones del Estado en el caso de Hugo Humberto Ruiz Fuentes de 18 de agosto de 2009.</w:t>
      </w:r>
    </w:p>
  </w:footnote>
  <w:footnote w:id="60">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en el caso de Hugo Humberto Ruiz Fuentes de 18 de agosto de 2009.</w:t>
      </w:r>
    </w:p>
  </w:footnote>
  <w:footnote w:id="61">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en el caso de Hugo Humberto Ruiz Fuentes de 27 de julio de 2009.</w:t>
      </w:r>
    </w:p>
  </w:footnote>
  <w:footnote w:id="62">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19. Autopsia practicada por médico forense departamental del Organismo judicial de Cuilapa, Santa Rosa de 15 de noviembre de 2005. Anexo 1 al escrito de los peticionarios de 12 de julio de 2007.</w:t>
      </w:r>
    </w:p>
  </w:footnote>
  <w:footnote w:id="63">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19. Autopsia practicada por médico forense departamental del Organismo judicial de Cuilapa, Santa Rosa de 15 de noviembre de 2005. Anexo 1 al escrito de los peticionarios de 12 de julio de 2007.</w:t>
      </w:r>
    </w:p>
  </w:footnote>
  <w:footnote w:id="64">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20. Acta policial de 14 de noviembre de 2005. Anexo 3 al escrito de los peticionarios de 12 de julio de 2007.</w:t>
      </w:r>
    </w:p>
  </w:footnote>
  <w:footnote w:id="65">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21. Informe del Médico Forense Departamental del Organismo Judiial de Cuilapa, Santa Rosa, Edgar Ricardo Arriola Barrios de 15 de noviembre de 2005. </w:t>
      </w:r>
    </w:p>
  </w:footnote>
  <w:footnote w:id="66">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22. Peritaje Médico Legal de Guillermo Austreberto Carranza Izquierdo.</w:t>
      </w:r>
    </w:p>
  </w:footnote>
  <w:footnote w:id="67">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23. Noticias de Radio y Televisión sobre la recaptura de los fugados del infiernito, octubre 2005. Reportaje de Tele Diario 13. </w:t>
      </w:r>
    </w:p>
  </w:footnote>
  <w:footnote w:id="68">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de 21 de febrero de 2006. </w:t>
      </w:r>
    </w:p>
  </w:footnote>
  <w:footnote w:id="69">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24. Declaración de Juan José Marroquín Solís rendida ante la Fiscalía Distrital del Ministerio Público, Cuilapa, Santa Rosa, el 21 de marzo de 2006.</w:t>
      </w:r>
    </w:p>
  </w:footnote>
  <w:footnote w:id="70">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25. Declaración de Meregildo Cermeño Cabrera rendida ante la Fiscalía del Ministerio Público el 7 de noviembre de 2007. </w:t>
      </w:r>
    </w:p>
  </w:footnote>
  <w:footnote w:id="71">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26. Informe del Fiscal Distrital dirigido al Coordinador de la Secretaria Técnica del Ministerio Público de 8 de junio de 2007. </w:t>
      </w:r>
    </w:p>
  </w:footnote>
  <w:footnote w:id="72">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de 24 de julio de 2007. </w:t>
      </w:r>
    </w:p>
  </w:footnote>
  <w:footnote w:id="73">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27. Noticias de Radio y Televisión sobre la recaptura de los fugados del infiernito, octubre 2005. Reportaje de Noti 7. </w:t>
      </w:r>
    </w:p>
  </w:footnote>
  <w:footnote w:id="74">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Artículo de prensa publicado en Nuestro Diario. Prófugo abatido en enfrentamiento. 15 de noviembre de 2005. </w:t>
      </w:r>
    </w:p>
  </w:footnote>
  <w:footnote w:id="75">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Artículo de prensa publicado en Diario “</w:t>
      </w:r>
      <w:r w:rsidRPr="00836C24">
        <w:rPr>
          <w:rFonts w:asciiTheme="majorHAnsi" w:eastAsia="Arial Unicode MS" w:hAnsiTheme="majorHAnsi" w:cs="Times New Roman"/>
          <w:sz w:val="16"/>
          <w:szCs w:val="16"/>
          <w:lang w:val="es-VE" w:eastAsia="en-US"/>
        </w:rPr>
        <w:t>El Periódico”, nota de 15 de noviembre de 2005,pág. 6.</w:t>
      </w:r>
    </w:p>
  </w:footnote>
  <w:footnote w:id="76">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Resolución de la Corte Interamericana de Derechos Humanos de 4 de julio de 2006, Raxcacó Reyes y otros, Párr.20.</w:t>
      </w:r>
    </w:p>
  </w:footnote>
  <w:footnote w:id="77">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en el caso de Hugo Humberto Ruiz Fuentes de 27 de julio de 2009.</w:t>
      </w:r>
    </w:p>
  </w:footnote>
  <w:footnote w:id="78">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Escrito de observaciones del Estado de 24 de julio de 2007. </w:t>
      </w:r>
    </w:p>
  </w:footnote>
  <w:footnote w:id="79">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28. Informe del Profesional en investigaciones criminalísticas del Ministerio Público del 22 de octubre de 2007. </w:t>
      </w:r>
    </w:p>
  </w:footnote>
  <w:footnote w:id="80">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29. Informe del Agente Fiscal del Ministerio Público de 22 de octubre de 2007.</w:t>
      </w:r>
    </w:p>
  </w:footnote>
  <w:footnote w:id="81">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30. Acta de Auxiliar Fiscal del Ministerio Público de Santa Rosa, Félix Audel Gomez Carias, 14 de noviembre de 2005.</w:t>
      </w:r>
    </w:p>
  </w:footnote>
  <w:footnote w:id="82">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31. Informe de la Sección de Balística del Ministerio Público de 28 de marzo de 2006. </w:t>
      </w:r>
    </w:p>
  </w:footnote>
  <w:footnote w:id="83">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32. Resolución de la Sub-Dirección General de Finanzas y Logística de la Dirección General de la Policía Nacional Civil. </w:t>
      </w:r>
    </w:p>
  </w:footnote>
  <w:footnote w:id="84">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Anexo 33. Oficio del Ministerio de la Defensa Nacional del 28 de junio de 2007.</w:t>
      </w:r>
    </w:p>
  </w:footnote>
  <w:footnote w:id="85">
    <w:p w:rsidR="00A83F22" w:rsidRPr="00836C24" w:rsidRDefault="00A83F22" w:rsidP="00073485">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Anexo 34. Acta número 80-2005 levantada en la comisaría número 11 de la Policía Nacional Civil el 7 de noviembre de 2005. </w:t>
      </w:r>
    </w:p>
  </w:footnote>
  <w:footnote w:id="86">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CICIG, Comunicado de prensa 041 </w:t>
      </w:r>
      <w:hyperlink r:id="rId13" w:history="1">
        <w:r w:rsidRPr="00836C24">
          <w:rPr>
            <w:rStyle w:val="Hyperlink"/>
            <w:rFonts w:asciiTheme="majorHAnsi" w:hAnsiTheme="majorHAnsi"/>
            <w:sz w:val="16"/>
            <w:szCs w:val="16"/>
            <w:lang w:val="es-VE"/>
          </w:rPr>
          <w:t>Tribunal condena a responsables de ejecuciones extrajudiciales</w:t>
        </w:r>
      </w:hyperlink>
      <w:r w:rsidRPr="00836C24">
        <w:rPr>
          <w:rFonts w:asciiTheme="majorHAnsi" w:hAnsiTheme="majorHAnsi"/>
          <w:sz w:val="16"/>
          <w:szCs w:val="16"/>
          <w:lang w:val="es-VE"/>
        </w:rPr>
        <w:t>, 8 de agosto de 2013.</w:t>
      </w:r>
    </w:p>
  </w:footnote>
  <w:footnote w:id="87">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CICIG, Comunicado de prensa 041 Tribunal condena a responsables de ejecuciones extrajudiciales, 8 de agosto de 2013; </w:t>
      </w:r>
      <w:r w:rsidRPr="00836C24">
        <w:rPr>
          <w:rStyle w:val="Hyperlink"/>
          <w:rFonts w:asciiTheme="majorHAnsi" w:hAnsiTheme="majorHAnsi"/>
          <w:sz w:val="16"/>
          <w:szCs w:val="16"/>
          <w:u w:val="none"/>
          <w:lang w:val="es-VE"/>
        </w:rPr>
        <w:t xml:space="preserve">ver también </w:t>
      </w:r>
      <w:hyperlink r:id="rId14" w:history="1">
        <w:r w:rsidRPr="00836C24">
          <w:rPr>
            <w:rStyle w:val="Hyperlink"/>
            <w:rFonts w:asciiTheme="majorHAnsi" w:hAnsiTheme="majorHAnsi"/>
            <w:sz w:val="16"/>
            <w:szCs w:val="16"/>
            <w:lang w:val="es-VE"/>
          </w:rPr>
          <w:t>Sentencias condenatorias en procesos que apoya la CICIG</w:t>
        </w:r>
      </w:hyperlink>
      <w:r w:rsidRPr="00836C24">
        <w:rPr>
          <w:rStyle w:val="Hyperlink"/>
          <w:rFonts w:asciiTheme="majorHAnsi" w:hAnsiTheme="majorHAnsi"/>
          <w:sz w:val="16"/>
          <w:szCs w:val="16"/>
          <w:u w:val="none"/>
          <w:lang w:val="es-VE"/>
        </w:rPr>
        <w:t>.</w:t>
      </w:r>
    </w:p>
  </w:footnote>
  <w:footnote w:id="88">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CICIG, Comunicado de prensa 041 Tribunal condena a responsables de ejecuciones extrajudiciales, 8 de agosto de 2013.</w:t>
      </w:r>
    </w:p>
  </w:footnote>
  <w:footnote w:id="89">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Ver Noticia publicada en Prensa Libre, </w:t>
      </w:r>
      <w:hyperlink r:id="rId15" w:history="1">
        <w:r w:rsidRPr="00836C24">
          <w:rPr>
            <w:rStyle w:val="Hyperlink"/>
            <w:rFonts w:asciiTheme="majorHAnsi" w:hAnsiTheme="majorHAnsi"/>
            <w:sz w:val="16"/>
            <w:szCs w:val="16"/>
            <w:lang w:val="es-VE"/>
          </w:rPr>
          <w:t>Fiscalía insiste en pedir 160 años de cárcel para Carlos Vielman</w:t>
        </w:r>
      </w:hyperlink>
      <w:r w:rsidRPr="00836C24">
        <w:rPr>
          <w:rFonts w:asciiTheme="majorHAnsi" w:hAnsiTheme="majorHAnsi"/>
          <w:sz w:val="16"/>
          <w:szCs w:val="16"/>
          <w:lang w:val="es-VE"/>
        </w:rPr>
        <w:t>, 21 de febrero de 2017.</w:t>
      </w:r>
    </w:p>
  </w:footnote>
  <w:footnote w:id="90">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Informe del Relator Especial, Philip Alston, sobre las ejecuciones extrajudiciales, sumarias o arbitrarias. Misión a Guatemala del 21 al 25 de agosto de 2006. A/HRC/4/20/Add.2, 19 de febrero de 2007.</w:t>
      </w:r>
    </w:p>
  </w:footnote>
  <w:footnote w:id="91">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Informe del Relator Especial, Philip Alston, sobre las ejecuciones extrajudiciales, sumarias o arbitrarias. Misión a Guatemala del 21 al 25 de agosto de 2006. A/HRC/4/20/Add.2, 19 de febrero de 2007.</w:t>
      </w:r>
    </w:p>
  </w:footnote>
  <w:footnote w:id="92">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El artículo 4 de la Convención Americana establece en lo pertinente: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836C24">
        <w:rPr>
          <w:rFonts w:asciiTheme="majorHAnsi" w:hAnsiTheme="majorHAnsi" w:cs="Tahoma"/>
          <w:color w:val="000000"/>
          <w:sz w:val="16"/>
          <w:szCs w:val="16"/>
          <w:bdr w:val="none" w:sz="0" w:space="0" w:color="auto"/>
          <w:lang w:val="es-VE"/>
        </w:rPr>
        <w:t> 1. Toda persona tiene derecho a que se respete su vida.  Este derecho estará protegido por la ley y, en general, a partir del momento de la concepción.  Nadie puede ser privado de la vida arbitrariamente.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836C24">
        <w:rPr>
          <w:rFonts w:asciiTheme="majorHAnsi" w:hAnsiTheme="majorHAnsi" w:cs="Tahoma"/>
          <w:color w:val="000000"/>
          <w:sz w:val="16"/>
          <w:szCs w:val="16"/>
          <w:bdr w:val="none" w:sz="0" w:space="0" w:color="auto"/>
          <w:lang w:val="es-VE"/>
        </w:rPr>
        <w:t>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836C24">
        <w:rPr>
          <w:rFonts w:asciiTheme="majorHAnsi" w:hAnsiTheme="majorHAnsi" w:cs="Tahoma"/>
          <w:color w:val="000000"/>
          <w:sz w:val="16"/>
          <w:szCs w:val="16"/>
          <w:bdr w:val="none" w:sz="0" w:space="0" w:color="auto"/>
          <w:lang w:val="es-VE"/>
        </w:rPr>
        <w:t> 3. No se restablecerá la pena de muerte en los Estados que la han abolido.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836C24">
        <w:rPr>
          <w:rFonts w:asciiTheme="majorHAnsi" w:hAnsiTheme="majorHAnsi" w:cs="Tahoma"/>
          <w:color w:val="000000"/>
          <w:sz w:val="16"/>
          <w:szCs w:val="16"/>
          <w:bdr w:val="none" w:sz="0" w:space="0" w:color="auto"/>
          <w:lang w:val="es-VE"/>
        </w:rPr>
        <w:t>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5"/>
        <w:jc w:val="both"/>
        <w:rPr>
          <w:rFonts w:asciiTheme="majorHAnsi" w:hAnsiTheme="majorHAnsi" w:cs="Tahoma"/>
          <w:color w:val="000000"/>
          <w:sz w:val="16"/>
          <w:szCs w:val="16"/>
          <w:bdr w:val="none" w:sz="0" w:space="0" w:color="auto"/>
          <w:lang w:val="es-VE"/>
        </w:rPr>
      </w:pPr>
      <w:r w:rsidRPr="00836C24">
        <w:rPr>
          <w:rFonts w:asciiTheme="majorHAnsi" w:hAnsiTheme="majorHAnsi" w:cs="Tahoma"/>
          <w:color w:val="000000"/>
          <w:sz w:val="16"/>
          <w:szCs w:val="16"/>
          <w:bdr w:val="none" w:sz="0" w:space="0" w:color="auto"/>
          <w:lang w:val="es-VE"/>
        </w:rPr>
        <w:t>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w:t>
      </w:r>
    </w:p>
  </w:footnote>
  <w:footnote w:id="93">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spacing w:after="120"/>
        <w:jc w:val="both"/>
        <w:rPr>
          <w:rFonts w:asciiTheme="majorHAnsi" w:hAnsiTheme="majorHAnsi"/>
          <w:sz w:val="16"/>
          <w:szCs w:val="16"/>
          <w:lang w:val="es-ES"/>
        </w:rPr>
      </w:pPr>
      <w:r w:rsidRPr="00836C24">
        <w:rPr>
          <w:rFonts w:asciiTheme="majorHAnsi" w:hAnsiTheme="majorHAnsi"/>
          <w:sz w:val="16"/>
          <w:szCs w:val="16"/>
          <w:lang w:val="es-VE"/>
        </w:rPr>
        <w:tab/>
      </w: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El artículo 8 de la Convención Americana establece en lo pertinente, lo siguiente: </w:t>
      </w:r>
    </w:p>
    <w:p w:rsidR="00A83F22" w:rsidRPr="00836C24" w:rsidRDefault="00A83F22" w:rsidP="00842AF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spacing w:after="120"/>
        <w:ind w:left="0" w:firstLine="720"/>
        <w:jc w:val="both"/>
        <w:rPr>
          <w:rFonts w:asciiTheme="majorHAnsi" w:hAnsiTheme="majorHAnsi"/>
          <w:sz w:val="16"/>
          <w:szCs w:val="16"/>
          <w:lang w:val="es-VE"/>
        </w:rPr>
      </w:pPr>
      <w:r w:rsidRPr="00836C24">
        <w:rPr>
          <w:rFonts w:asciiTheme="majorHAnsi" w:hAnsiTheme="majorHAnsi" w:cs="Tahoma"/>
          <w:sz w:val="16"/>
          <w:szCs w:val="16"/>
          <w:lang w:val="es-VE"/>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A83F22" w:rsidRPr="00836C24" w:rsidRDefault="00A83F22" w:rsidP="00842AF1">
      <w:pPr>
        <w:pStyle w:val="FootnoteText"/>
        <w:numPr>
          <w:ilvl w:val="0"/>
          <w:numId w:val="63"/>
        </w:numPr>
        <w:tabs>
          <w:tab w:val="left" w:pos="900"/>
        </w:tabs>
        <w:spacing w:after="120"/>
        <w:ind w:left="0" w:firstLine="720"/>
        <w:jc w:val="both"/>
        <w:rPr>
          <w:rFonts w:asciiTheme="majorHAnsi" w:hAnsiTheme="majorHAnsi"/>
          <w:sz w:val="16"/>
          <w:szCs w:val="16"/>
          <w:lang w:val="es-ES"/>
        </w:rPr>
      </w:pPr>
      <w:r w:rsidRPr="00836C24">
        <w:rPr>
          <w:rFonts w:asciiTheme="majorHAnsi" w:hAnsiTheme="majorHAnsi" w:cs="Verdana"/>
          <w:sz w:val="16"/>
          <w:szCs w:val="16"/>
          <w:lang w:val="es-ES" w:bidi="en-US"/>
        </w:rPr>
        <w:t xml:space="preserve">Toda persona inculpada de delito tiene derecho a que se presuma su inocencia mientras no se establezca legalmente su culpabilidad. Durante el proceso, toda persona tiene derecho, en plena igualdad, a las siguientes garantías mínimas: (…) </w:t>
      </w:r>
      <w:r w:rsidRPr="00836C24">
        <w:rPr>
          <w:rFonts w:asciiTheme="majorHAnsi" w:hAnsiTheme="majorHAnsi" w:cs="Tahoma"/>
          <w:sz w:val="16"/>
          <w:szCs w:val="16"/>
          <w:lang w:val="es-VE"/>
        </w:rPr>
        <w:t>d) derecho del inculpado de defenderse personalmente o de ser asistido por un defensor de su elección y de comunicarse libre y privadamente con su defensor; (…) f) derecho de la defensa de interrogar a los testigos presentes en el tribunal y de obtener la comparecencia, como testigos o peritos, de otras personas que puedan arrojar luz sobre los hechos; (…) h) derecho de recurrir del fallo ante juez o tribunal superior.</w:t>
      </w:r>
    </w:p>
  </w:footnote>
  <w:footnote w:id="94">
    <w:p w:rsidR="00A83F22" w:rsidRPr="00836C24" w:rsidRDefault="00A83F22" w:rsidP="00E32B99">
      <w:pPr>
        <w:tabs>
          <w:tab w:val="left" w:pos="720"/>
        </w:tabs>
        <w:spacing w:after="120"/>
        <w:jc w:val="both"/>
        <w:rPr>
          <w:rFonts w:asciiTheme="majorHAnsi" w:hAnsiTheme="majorHAnsi"/>
          <w:sz w:val="16"/>
          <w:szCs w:val="16"/>
          <w:lang w:val="es-CO"/>
        </w:rPr>
      </w:pPr>
      <w:r w:rsidRPr="00836C24">
        <w:rPr>
          <w:rFonts w:asciiTheme="majorHAnsi" w:hAnsiTheme="majorHAnsi"/>
          <w:sz w:val="16"/>
          <w:szCs w:val="16"/>
          <w:lang w:val="es-VE"/>
        </w:rPr>
        <w:tab/>
      </w: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El artículo 25 de la Convención Americana establece en lo pertinente, lo siguiente: </w:t>
      </w:r>
      <w:r w:rsidRPr="00836C24">
        <w:rPr>
          <w:rFonts w:asciiTheme="majorHAnsi" w:hAnsiTheme="majorHAnsi" w:cs="Tahoma"/>
          <w:color w:val="000000"/>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5">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Informe No. 76/16, Caso 12.254. Fondo. Victor Saldaño. Estados Unidos. 10 de diciembre de 2016, párr. 169.</w:t>
      </w:r>
    </w:p>
  </w:footnote>
  <w:footnote w:id="96">
    <w:p w:rsidR="00A83F22" w:rsidRPr="00836C24" w:rsidRDefault="00A83F22" w:rsidP="00E32B99">
      <w:pPr>
        <w:pStyle w:val="FootnoteText"/>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lang w:val="es-ES_tradnl"/>
        </w:rPr>
        <w:footnoteRef/>
      </w:r>
      <w:r w:rsidRPr="00836C24">
        <w:rPr>
          <w:rFonts w:asciiTheme="majorHAnsi" w:hAnsiTheme="majorHAnsi"/>
          <w:sz w:val="16"/>
          <w:szCs w:val="16"/>
          <w:lang w:val="es-ES_tradnl"/>
        </w:rPr>
        <w:t xml:space="preserve"> Véase, en este sentido, CIDH, La pena de muerte en el Sistema Interamericano de Derechos Humanos: de restricciones a abolición, OEA/Ser.L/V/II.Doc. 68, 31 de diciembre de 2011.</w:t>
      </w:r>
    </w:p>
  </w:footnote>
  <w:footnote w:id="97">
    <w:p w:rsidR="00A83F22" w:rsidRPr="00836C24" w:rsidRDefault="00A83F22" w:rsidP="00E32B99">
      <w:pPr>
        <w:pStyle w:val="FootnoteText"/>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lang w:val="es-ES_tradnl"/>
        </w:rPr>
        <w:footnoteRef/>
      </w:r>
      <w:r w:rsidRPr="00836C24">
        <w:rPr>
          <w:rFonts w:asciiTheme="majorHAnsi" w:hAnsiTheme="majorHAnsi"/>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“[s]iendo la ejecución de la pena de muerte una medida de carácter irreversible, exige del Estado el más estricto y riguroso respeto de las garantías judiciales, de modo a evitar una violación de éstas, que, a su vez, acarrearía una privación arbitraria de la vida”); CDH-ONU, </w:t>
      </w:r>
      <w:r w:rsidRPr="00836C24">
        <w:rPr>
          <w:rFonts w:asciiTheme="majorHAnsi" w:hAnsiTheme="majorHAnsi"/>
          <w:iCs/>
          <w:sz w:val="16"/>
          <w:szCs w:val="16"/>
          <w:lang w:val="es-ES_tradnl"/>
        </w:rPr>
        <w:t>Baboheram-Adhin et al. v. Suriname</w:t>
      </w:r>
      <w:r w:rsidRPr="00836C24">
        <w:rPr>
          <w:rFonts w:asciiTheme="majorHAnsi" w:hAnsiTheme="majorHAnsi"/>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Bacre Waly Ndiaye,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Doc.E/CN.4/1995/61 (14 de diciembre de 1994) (en adelante el “Informe Ndiaye”),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98">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lang w:val="es-ES_tradnl"/>
        </w:rPr>
        <w:footnoteRef/>
      </w:r>
      <w:r w:rsidRPr="00836C24">
        <w:rPr>
          <w:rFonts w:asciiTheme="majorHAnsi" w:hAnsiTheme="majorHAnsi"/>
          <w:sz w:val="16"/>
          <w:szCs w:val="16"/>
          <w:lang w:val="es-ES_tradnl"/>
        </w:rPr>
        <w:t xml:space="preserve"> CIDH, Informe No. 11/15, Caso 12.833, Fondo (</w:t>
      </w:r>
      <w:r w:rsidRPr="00836C24">
        <w:rPr>
          <w:rFonts w:asciiTheme="majorHAnsi" w:hAnsiTheme="majorHAnsi"/>
          <w:sz w:val="16"/>
          <w:szCs w:val="16"/>
          <w:lang w:val="es-ES"/>
        </w:rPr>
        <w:t>Publicación), Félix Rocha Díaz, Estados Unidos, 23 de marzo de 2015, párrafo 54; Informe No. 44/14, Caso 12.873, Fondo (publicación), Edgar Tamayo Arias, Estados Unidos, 17 de julio de 2014, párrafo. 127;</w:t>
      </w:r>
      <w:r w:rsidRPr="00836C24">
        <w:rPr>
          <w:rFonts w:asciiTheme="majorHAnsi" w:hAnsiTheme="majorHAnsi"/>
          <w:iCs/>
          <w:sz w:val="16"/>
          <w:szCs w:val="16"/>
          <w:lang w:val="es-ES"/>
        </w:rPr>
        <w:t xml:space="preserve"> </w:t>
      </w:r>
      <w:r w:rsidRPr="00836C24">
        <w:rPr>
          <w:rFonts w:asciiTheme="majorHAnsi" w:hAnsiTheme="majorHAnsi"/>
          <w:sz w:val="16"/>
          <w:szCs w:val="16"/>
          <w:lang w:val="es-ES"/>
        </w:rPr>
        <w:t xml:space="preserve">Informe No. 57/96, </w:t>
      </w:r>
      <w:r w:rsidRPr="00836C24">
        <w:rPr>
          <w:rFonts w:asciiTheme="majorHAnsi" w:hAnsiTheme="majorHAnsi"/>
          <w:iCs/>
          <w:sz w:val="16"/>
          <w:szCs w:val="16"/>
          <w:lang w:val="es-ES"/>
        </w:rPr>
        <w:t>Andrews, Estados Unidos</w:t>
      </w:r>
      <w:r w:rsidRPr="00836C24">
        <w:rPr>
          <w:rFonts w:asciiTheme="majorHAnsi" w:hAnsiTheme="majorHAnsi"/>
          <w:sz w:val="16"/>
          <w:szCs w:val="16"/>
          <w:lang w:val="es-ES"/>
        </w:rPr>
        <w:t>, Informe Anual de la CIDH, 1997, párrafos 170-171.</w:t>
      </w:r>
    </w:p>
  </w:footnote>
  <w:footnote w:id="99">
    <w:p w:rsidR="00A83F22" w:rsidRPr="00836C24" w:rsidRDefault="00A83F22" w:rsidP="00E32B99">
      <w:pPr>
        <w:autoSpaceDE w:val="0"/>
        <w:autoSpaceDN w:val="0"/>
        <w:adjustRightInd w:val="0"/>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CIDH, La pena de muerte en el Sistema Interamericano de Derechos Humanos: de restricciones a abolición, OEA/Ser.L/V/II.Doc. 68, 31 de diciembre de 2011</w:t>
      </w:r>
      <w:r w:rsidRPr="00836C24">
        <w:rPr>
          <w:rFonts w:asciiTheme="majorHAnsi" w:hAnsiTheme="majorHAnsi" w:cs="Calibri"/>
          <w:sz w:val="16"/>
          <w:szCs w:val="16"/>
          <w:lang w:val="es-ES"/>
        </w:rPr>
        <w:t>, párrafo</w:t>
      </w:r>
      <w:r w:rsidRPr="00836C24">
        <w:rPr>
          <w:rFonts w:asciiTheme="majorHAnsi" w:hAnsiTheme="majorHAnsi"/>
          <w:sz w:val="16"/>
          <w:szCs w:val="16"/>
          <w:lang w:val="es-ES"/>
        </w:rPr>
        <w:t xml:space="preserve"> 41.</w:t>
      </w:r>
    </w:p>
  </w:footnote>
  <w:footnote w:id="100">
    <w:p w:rsidR="00A83F22" w:rsidRPr="00836C24" w:rsidRDefault="00A83F22" w:rsidP="00E32B99">
      <w:pPr>
        <w:autoSpaceDE w:val="0"/>
        <w:autoSpaceDN w:val="0"/>
        <w:adjustRightInd w:val="0"/>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CIDH, Informe No. 78/07, Caso 12.265, Fondo (Publicación), Chad Roger Goodman, Bahamas, 15 de octubre de 2007, párrafo 34.</w:t>
      </w:r>
    </w:p>
  </w:footnote>
  <w:footnote w:id="101">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La pena de muerte en el Sistema Interamericano de Derechos Humanos: de restricciones a abolición, OEA/Ser.L/V/II.Doc.68, 31 de diciembre de 2011, Pág. 91.</w:t>
      </w:r>
    </w:p>
  </w:footnote>
  <w:footnote w:id="102">
    <w:p w:rsidR="00A83F22" w:rsidRPr="00836C24" w:rsidRDefault="00A83F22" w:rsidP="00B431BB">
      <w:pPr>
        <w:pStyle w:val="FootnoteText"/>
        <w:ind w:firstLine="720"/>
        <w:jc w:val="both"/>
        <w:rPr>
          <w:rFonts w:asciiTheme="majorHAnsi" w:hAnsiTheme="majorHAnsi"/>
          <w:sz w:val="16"/>
          <w:szCs w:val="16"/>
          <w:lang w:val="es-ES_tradnl"/>
        </w:rPr>
      </w:pPr>
      <w:r w:rsidRPr="00836C24">
        <w:rPr>
          <w:rStyle w:val="FootnoteReference"/>
          <w:rFonts w:asciiTheme="majorHAnsi" w:hAnsiTheme="majorHAnsi"/>
          <w:sz w:val="16"/>
          <w:szCs w:val="16"/>
          <w:lang w:val="es-ES_tradnl"/>
        </w:rPr>
        <w:footnoteRef/>
      </w:r>
      <w:r w:rsidRPr="00836C24">
        <w:rPr>
          <w:rFonts w:asciiTheme="majorHAnsi" w:hAnsiTheme="majorHAnsi"/>
          <w:sz w:val="16"/>
          <w:szCs w:val="16"/>
          <w:lang w:val="es-ES_tradnl"/>
        </w:rPr>
        <w:t xml:space="preserve"> Véase, en este sentido, CIDH, La pena de muerte en el Sistema Interamericano de Derechos Humanos: de restricciones a abolición, OEA/Ser.L/V/II.Doc. 68, 31 de diciembre de 2011.</w:t>
      </w:r>
    </w:p>
  </w:footnote>
  <w:footnote w:id="103">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Pr>
          <w:rFonts w:asciiTheme="majorHAnsi" w:hAnsiTheme="majorHAnsi"/>
          <w:sz w:val="16"/>
          <w:szCs w:val="16"/>
          <w:lang w:val="pt-BR"/>
        </w:rPr>
        <w:t xml:space="preserve"> Corte IDH</w:t>
      </w:r>
      <w:r w:rsidRPr="00836C24">
        <w:rPr>
          <w:rFonts w:asciiTheme="majorHAnsi" w:hAnsiTheme="majorHAnsi"/>
          <w:sz w:val="16"/>
          <w:szCs w:val="16"/>
          <w:lang w:val="pt-BR"/>
        </w:rPr>
        <w:t xml:space="preserve">, </w:t>
      </w:r>
      <w:r w:rsidRPr="00836C24">
        <w:rPr>
          <w:rFonts w:asciiTheme="majorHAnsi" w:hAnsiTheme="majorHAnsi"/>
          <w:bCs/>
          <w:i/>
          <w:sz w:val="16"/>
          <w:szCs w:val="16"/>
          <w:lang w:val="pt-BR"/>
        </w:rPr>
        <w:t xml:space="preserve">Caso Barreto Leiva Vs. </w:t>
      </w:r>
      <w:r w:rsidRPr="00836C24">
        <w:rPr>
          <w:rFonts w:asciiTheme="majorHAnsi" w:hAnsiTheme="majorHAnsi"/>
          <w:bCs/>
          <w:i/>
          <w:sz w:val="16"/>
          <w:szCs w:val="16"/>
          <w:lang w:val="es-VE"/>
        </w:rPr>
        <w:t>Venezuela.</w:t>
      </w:r>
      <w:r w:rsidRPr="00836C24">
        <w:rPr>
          <w:rFonts w:asciiTheme="majorHAnsi" w:hAnsiTheme="majorHAnsi"/>
          <w:b/>
          <w:bCs/>
          <w:sz w:val="16"/>
          <w:szCs w:val="16"/>
          <w:lang w:val="es-VE"/>
        </w:rPr>
        <w:t xml:space="preserve"> </w:t>
      </w:r>
      <w:r w:rsidRPr="00836C24">
        <w:rPr>
          <w:rFonts w:asciiTheme="majorHAnsi" w:hAnsiTheme="majorHAnsi"/>
          <w:sz w:val="16"/>
          <w:szCs w:val="16"/>
          <w:lang w:val="es-VE"/>
        </w:rPr>
        <w:t xml:space="preserve">Fondo, Reparaciones y Costas. Sentencia de 17 de noviembre de 2009. Serie C No. 206. Párr. 61. </w:t>
      </w:r>
    </w:p>
  </w:footnote>
  <w:footnote w:id="104">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A83F22">
        <w:rPr>
          <w:rFonts w:asciiTheme="majorHAnsi" w:hAnsiTheme="majorHAnsi"/>
          <w:sz w:val="16"/>
          <w:szCs w:val="16"/>
          <w:lang w:val="es-VE"/>
        </w:rPr>
        <w:t xml:space="preserve"> Corte IDH, </w:t>
      </w:r>
      <w:r w:rsidRPr="00A83F22">
        <w:rPr>
          <w:rFonts w:asciiTheme="majorHAnsi" w:hAnsiTheme="majorHAnsi"/>
          <w:bCs/>
          <w:i/>
          <w:sz w:val="16"/>
          <w:szCs w:val="16"/>
          <w:lang w:val="es-VE"/>
        </w:rPr>
        <w:t xml:space="preserve">Caso Barreto Leiva Vs. </w:t>
      </w:r>
      <w:r w:rsidRPr="00836C24">
        <w:rPr>
          <w:rFonts w:asciiTheme="majorHAnsi" w:hAnsiTheme="majorHAnsi"/>
          <w:bCs/>
          <w:i/>
          <w:sz w:val="16"/>
          <w:szCs w:val="16"/>
          <w:lang w:val="es-VE"/>
        </w:rPr>
        <w:t>Venezuela.</w:t>
      </w:r>
      <w:r w:rsidRPr="00836C24">
        <w:rPr>
          <w:rFonts w:asciiTheme="majorHAnsi" w:hAnsiTheme="majorHAnsi"/>
          <w:b/>
          <w:bCs/>
          <w:sz w:val="16"/>
          <w:szCs w:val="16"/>
          <w:lang w:val="es-VE"/>
        </w:rPr>
        <w:t xml:space="preserve"> </w:t>
      </w:r>
      <w:r w:rsidRPr="00836C24">
        <w:rPr>
          <w:rFonts w:asciiTheme="majorHAnsi" w:hAnsiTheme="majorHAnsi"/>
          <w:sz w:val="16"/>
          <w:szCs w:val="16"/>
          <w:lang w:val="es-VE"/>
        </w:rPr>
        <w:t xml:space="preserve">Fondo, Reparaciones y Costas. Sentencia de 17 de noviembre de 2009. Serie C No. 206. Párr. 54. </w:t>
      </w:r>
    </w:p>
  </w:footnote>
  <w:footnote w:id="105">
    <w:p w:rsidR="00A83F22" w:rsidRPr="00836C24" w:rsidRDefault="00A83F22" w:rsidP="00E32B99">
      <w:pPr>
        <w:pStyle w:val="FootnoteText"/>
        <w:tabs>
          <w:tab w:val="left" w:pos="180"/>
          <w:tab w:val="left" w:pos="360"/>
        </w:tabs>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lang w:val="es-ES"/>
        </w:rPr>
        <w:footnoteRef/>
      </w:r>
      <w:r w:rsidRPr="00836C24">
        <w:rPr>
          <w:rFonts w:asciiTheme="majorHAnsi" w:hAnsiTheme="majorHAnsi"/>
          <w:sz w:val="16"/>
          <w:szCs w:val="16"/>
          <w:lang w:val="es-ES"/>
        </w:rPr>
        <w:t xml:space="preserve"> CIDH, La pena de muerte en el sistema interamericano de derechos humanos: de restricciones a abolición, OEA/Ser.L/V/II.Doc. 68, 31 de diciembre de 2011, pág. 131.</w:t>
      </w:r>
    </w:p>
  </w:footnote>
  <w:footnote w:id="106">
    <w:p w:rsidR="00A83F22" w:rsidRPr="00836C24" w:rsidRDefault="00A83F22" w:rsidP="00D43B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40"/>
          <w:tab w:val="num" w:pos="2040"/>
        </w:tabs>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CIDH. Informe No. 76/11. Caso 11.769 A. Fondo. J. Perú. 20 de julio de 2011. Párr. 254; Corte I.D.H., </w:t>
      </w:r>
      <w:r w:rsidRPr="00836C24">
        <w:rPr>
          <w:rFonts w:asciiTheme="majorHAnsi" w:hAnsiTheme="majorHAnsi"/>
          <w:i/>
          <w:sz w:val="16"/>
          <w:szCs w:val="16"/>
          <w:lang w:val="es-ES"/>
        </w:rPr>
        <w:t xml:space="preserve">Caso García Asto y Ramírez Rojas Vs. </w:t>
      </w:r>
      <w:r w:rsidRPr="00836C24">
        <w:rPr>
          <w:rFonts w:asciiTheme="majorHAnsi" w:hAnsiTheme="majorHAnsi"/>
          <w:i/>
          <w:sz w:val="16"/>
          <w:szCs w:val="16"/>
          <w:lang w:val="es-VE"/>
        </w:rPr>
        <w:t>Perú</w:t>
      </w:r>
      <w:r w:rsidRPr="00836C24">
        <w:rPr>
          <w:rFonts w:asciiTheme="majorHAnsi" w:hAnsiTheme="majorHAnsi"/>
          <w:sz w:val="16"/>
          <w:szCs w:val="16"/>
          <w:lang w:val="es-VE"/>
        </w:rPr>
        <w:t xml:space="preserve">. Sentencia de 25 de noviembre de 2005. Serie C No. 137. Párr. 152. Citando: </w:t>
      </w:r>
      <w:r w:rsidRPr="00836C24">
        <w:rPr>
          <w:rFonts w:asciiTheme="majorHAnsi" w:hAnsiTheme="majorHAnsi"/>
          <w:sz w:val="16"/>
          <w:szCs w:val="16"/>
          <w:lang w:val="it-IT"/>
        </w:rPr>
        <w:t xml:space="preserve">Corte I.D.H., </w:t>
      </w:r>
      <w:r w:rsidRPr="00836C24">
        <w:rPr>
          <w:rFonts w:asciiTheme="majorHAnsi" w:hAnsiTheme="majorHAnsi"/>
          <w:i/>
          <w:sz w:val="16"/>
          <w:szCs w:val="16"/>
          <w:lang w:val="it-IT"/>
        </w:rPr>
        <w:t>Caso Lori Berenson Mejía Vs. Perú</w:t>
      </w:r>
      <w:r w:rsidRPr="00836C24">
        <w:rPr>
          <w:rFonts w:asciiTheme="majorHAnsi" w:hAnsiTheme="majorHAnsi"/>
          <w:sz w:val="16"/>
          <w:szCs w:val="16"/>
          <w:lang w:val="it-IT"/>
        </w:rPr>
        <w:t>. Sentencia de 25 de noviembre de 2004. Serie C No. 119</w:t>
      </w:r>
      <w:r w:rsidRPr="00836C24">
        <w:rPr>
          <w:rFonts w:asciiTheme="majorHAnsi" w:hAnsiTheme="majorHAnsi"/>
          <w:color w:val="000000"/>
          <w:sz w:val="16"/>
          <w:szCs w:val="16"/>
          <w:lang w:val="es-VE"/>
        </w:rPr>
        <w:t xml:space="preserve">, párr. 184; y </w:t>
      </w:r>
      <w:r w:rsidRPr="00836C24">
        <w:rPr>
          <w:rFonts w:asciiTheme="majorHAnsi" w:hAnsiTheme="majorHAnsi"/>
          <w:sz w:val="16"/>
          <w:szCs w:val="16"/>
          <w:lang w:val="es-VE"/>
        </w:rPr>
        <w:t xml:space="preserve">Corte I.D.H., </w:t>
      </w:r>
      <w:r w:rsidRPr="00836C24">
        <w:rPr>
          <w:rFonts w:asciiTheme="majorHAnsi" w:hAnsiTheme="majorHAnsi"/>
          <w:i/>
          <w:sz w:val="16"/>
          <w:szCs w:val="16"/>
          <w:lang w:val="es-VE"/>
        </w:rPr>
        <w:t xml:space="preserve">Caso Castillo Petruzzi y otros Vs. Perú. </w:t>
      </w:r>
      <w:r w:rsidRPr="00836C24">
        <w:rPr>
          <w:rFonts w:asciiTheme="majorHAnsi" w:hAnsiTheme="majorHAnsi"/>
          <w:sz w:val="16"/>
          <w:szCs w:val="16"/>
          <w:lang w:val="es-VE"/>
        </w:rPr>
        <w:t xml:space="preserve"> Sentencia de 30 de mayo de 1999. Serie C No. 52, párr. 154</w:t>
      </w:r>
      <w:r w:rsidRPr="00836C24">
        <w:rPr>
          <w:rFonts w:asciiTheme="majorHAnsi" w:hAnsiTheme="majorHAnsi"/>
          <w:color w:val="000000"/>
          <w:sz w:val="16"/>
          <w:szCs w:val="16"/>
          <w:lang w:val="es-VE"/>
        </w:rPr>
        <w:t>.</w:t>
      </w:r>
    </w:p>
  </w:footnote>
  <w:footnote w:id="107">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Mohamed vs. Argentina. Excepción Preliminar, Fondo, Reparaciones y Costas. Sentencia de 23 de noviembre de 2012. Serie C No. 255, párr.100. </w:t>
      </w:r>
    </w:p>
  </w:footnote>
  <w:footnote w:id="108">
    <w:p w:rsidR="00A83F22" w:rsidRPr="00836C24" w:rsidRDefault="00A83F22" w:rsidP="00E32B99">
      <w:pPr>
        <w:pStyle w:val="FootnoteText"/>
        <w:tabs>
          <w:tab w:val="left" w:pos="720"/>
        </w:tabs>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CIDH, Informe No. 33/14, Caso 12.820, Fondo, Manfred Amrhein y otros, Costa Rica, 4 de abril de 2014, Párr.192.</w:t>
      </w:r>
    </w:p>
  </w:footnote>
  <w:footnote w:id="109">
    <w:p w:rsidR="00A83F22" w:rsidRPr="00836C24" w:rsidRDefault="00A83F22" w:rsidP="00E32B99">
      <w:pPr>
        <w:pStyle w:val="FootnoteText"/>
        <w:spacing w:after="120"/>
        <w:ind w:firstLine="720"/>
        <w:jc w:val="both"/>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CIDH, Informe No. 172/10, Caso 12.561, Fondo, César Alberto Mendoza y otros (Prisión y reclusión perpetuas de adolescentes), Argentina, 2 de noviembre de 2010, párr. </w:t>
      </w:r>
      <w:r w:rsidRPr="00836C24">
        <w:rPr>
          <w:rFonts w:asciiTheme="majorHAnsi" w:hAnsiTheme="majorHAnsi"/>
          <w:sz w:val="16"/>
          <w:szCs w:val="16"/>
          <w:lang w:val="pt-BR"/>
        </w:rPr>
        <w:t>189.</w:t>
      </w:r>
    </w:p>
  </w:footnote>
  <w:footnote w:id="110">
    <w:p w:rsidR="00A83F22" w:rsidRPr="00836C24" w:rsidRDefault="00A83F22" w:rsidP="00E32B99">
      <w:pPr>
        <w:pStyle w:val="FootnoteText"/>
        <w:spacing w:after="120"/>
        <w:ind w:firstLine="720"/>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Ruano Torres vs. El Salvador. Párr. 158. </w:t>
      </w:r>
    </w:p>
  </w:footnote>
  <w:footnote w:id="111">
    <w:p w:rsidR="00A83F22" w:rsidRPr="00836C24" w:rsidRDefault="00A83F22" w:rsidP="00E32B99">
      <w:pPr>
        <w:pStyle w:val="FootnoteText"/>
        <w:spacing w:after="120"/>
        <w:ind w:firstLine="720"/>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Ruano Torres vs. El Salvador. Párr. 164. </w:t>
      </w:r>
    </w:p>
  </w:footnote>
  <w:footnote w:id="112">
    <w:p w:rsidR="00A83F22" w:rsidRPr="00836C24" w:rsidRDefault="00A83F22" w:rsidP="00E32B99">
      <w:pPr>
        <w:pStyle w:val="FootnoteText"/>
        <w:spacing w:after="120"/>
        <w:ind w:firstLine="720"/>
        <w:rPr>
          <w:rFonts w:asciiTheme="majorHAnsi" w:hAnsiTheme="majorHAnsi"/>
          <w:sz w:val="16"/>
          <w:szCs w:val="16"/>
          <w:lang w:val="pt-BR"/>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Ruano Torres vs. El Salvador. Párr. 168. </w:t>
      </w:r>
    </w:p>
  </w:footnote>
  <w:footnote w:id="113">
    <w:p w:rsidR="00A83F22" w:rsidRPr="00836C24" w:rsidRDefault="00A83F22" w:rsidP="00E32B99">
      <w:pPr>
        <w:pStyle w:val="FootnoteText"/>
        <w:spacing w:after="120"/>
        <w:ind w:firstLine="720"/>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Ruano Torres vs. El Salvador. </w:t>
      </w:r>
      <w:r w:rsidRPr="00836C24">
        <w:rPr>
          <w:rFonts w:asciiTheme="majorHAnsi" w:hAnsiTheme="majorHAnsi"/>
          <w:sz w:val="16"/>
          <w:szCs w:val="16"/>
          <w:lang w:val="es-ES"/>
        </w:rPr>
        <w:t xml:space="preserve">Párr. 172. </w:t>
      </w:r>
    </w:p>
  </w:footnote>
  <w:footnote w:id="114">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Garantías para la independencia de las y los operadores de justicia. Hacia el fortalecimiento del acceso a la justicia y el estado de derecho en las Américas, OEA/Ser.L/V/II.Doc.44, 5 de diciembre de 2013, párr.16.</w:t>
      </w:r>
    </w:p>
  </w:footnote>
  <w:footnote w:id="115">
    <w:p w:rsidR="00A83F22" w:rsidRPr="00836C24" w:rsidRDefault="00A83F22" w:rsidP="00E32B99">
      <w:pPr>
        <w:spacing w:after="120"/>
        <w:ind w:firstLine="720"/>
        <w:jc w:val="both"/>
        <w:rPr>
          <w:rFonts w:asciiTheme="majorHAnsi" w:hAnsiTheme="majorHAnsi"/>
          <w:sz w:val="16"/>
          <w:szCs w:val="16"/>
          <w:lang w:val="es-CO"/>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w:t>
      </w:r>
      <w:r w:rsidRPr="00836C24">
        <w:rPr>
          <w:rFonts w:asciiTheme="majorHAnsi" w:hAnsiTheme="majorHAnsi" w:cs="Arial"/>
          <w:sz w:val="16"/>
          <w:szCs w:val="16"/>
          <w:lang w:val="es-ES_tradnl"/>
        </w:rPr>
        <w:t>Corte IDH.</w:t>
      </w:r>
      <w:r w:rsidRPr="00836C24">
        <w:rPr>
          <w:rFonts w:asciiTheme="majorHAnsi" w:hAnsiTheme="majorHAnsi"/>
          <w:sz w:val="16"/>
          <w:szCs w:val="16"/>
          <w:lang w:val="es-ES_tradnl"/>
        </w:rPr>
        <w:t xml:space="preserve"> </w:t>
      </w:r>
      <w:r w:rsidRPr="00836C24">
        <w:rPr>
          <w:rFonts w:asciiTheme="majorHAnsi" w:hAnsiTheme="majorHAnsi"/>
          <w:i/>
          <w:sz w:val="16"/>
          <w:szCs w:val="16"/>
          <w:lang w:val="es-ES_tradnl"/>
        </w:rPr>
        <w:t>Caso Castillo Páez Vs. Perú.</w:t>
      </w:r>
      <w:r w:rsidRPr="00836C24">
        <w:rPr>
          <w:rFonts w:asciiTheme="majorHAnsi" w:hAnsiTheme="majorHAnsi"/>
          <w:sz w:val="16"/>
          <w:szCs w:val="16"/>
          <w:lang w:val="es-ES_tradnl"/>
        </w:rPr>
        <w:t xml:space="preserve"> Fondo. Sentencia de 3 de noviembre de 1997. </w:t>
      </w:r>
      <w:r w:rsidRPr="00836C24">
        <w:rPr>
          <w:rFonts w:asciiTheme="majorHAnsi" w:hAnsiTheme="majorHAnsi"/>
          <w:sz w:val="16"/>
          <w:szCs w:val="16"/>
          <w:lang w:val="es-CO"/>
        </w:rPr>
        <w:t xml:space="preserve">Serie C No. 34, párr. 82; </w:t>
      </w:r>
      <w:r w:rsidRPr="00836C24">
        <w:rPr>
          <w:rFonts w:asciiTheme="majorHAnsi" w:hAnsiTheme="majorHAnsi"/>
          <w:i/>
          <w:sz w:val="16"/>
          <w:szCs w:val="16"/>
          <w:lang w:val="es-CO"/>
        </w:rPr>
        <w:t>Caso Claude Reyes y otros Vs. Chile</w:t>
      </w:r>
      <w:r w:rsidRPr="00836C24">
        <w:rPr>
          <w:rFonts w:asciiTheme="majorHAnsi" w:hAnsiTheme="majorHAnsi"/>
          <w:sz w:val="16"/>
          <w:szCs w:val="16"/>
          <w:lang w:val="es-CO"/>
        </w:rPr>
        <w:t xml:space="preserve">. Fondo, Reparaciones y Costas. Sentencia de 19 de septiembre de 2006. Serie C No. 151, párr. 131, y </w:t>
      </w:r>
      <w:r w:rsidRPr="00836C24">
        <w:rPr>
          <w:rFonts w:asciiTheme="majorHAnsi" w:hAnsiTheme="majorHAnsi" w:cs="Verdana-Bold"/>
          <w:bCs/>
          <w:i/>
          <w:sz w:val="16"/>
          <w:szCs w:val="16"/>
          <w:lang w:val="es-CO" w:bidi="en-US"/>
        </w:rPr>
        <w:t>Caso Castañeda Gutman Vs. México</w:t>
      </w:r>
      <w:r w:rsidRPr="00836C24">
        <w:rPr>
          <w:rFonts w:asciiTheme="majorHAnsi" w:hAnsiTheme="majorHAnsi" w:cs="Verdana-Bold"/>
          <w:bCs/>
          <w:sz w:val="16"/>
          <w:szCs w:val="16"/>
          <w:lang w:val="es-CO" w:bidi="en-US"/>
        </w:rPr>
        <w:t xml:space="preserve">. </w:t>
      </w:r>
      <w:r w:rsidRPr="00836C24">
        <w:rPr>
          <w:rFonts w:asciiTheme="majorHAnsi" w:hAnsiTheme="majorHAnsi" w:cs="Verdana"/>
          <w:sz w:val="16"/>
          <w:szCs w:val="16"/>
          <w:lang w:val="es-CO" w:bidi="en-US"/>
        </w:rPr>
        <w:t>Excepciones Preliminares, Fondo, Reparaciones y Costas. Sentencia de 6 de agosto de 2008. Serie C No. 18</w:t>
      </w:r>
      <w:r w:rsidRPr="00836C24">
        <w:rPr>
          <w:rFonts w:asciiTheme="majorHAnsi" w:hAnsiTheme="majorHAnsi"/>
          <w:sz w:val="16"/>
          <w:szCs w:val="16"/>
          <w:lang w:val="es-CO"/>
        </w:rPr>
        <w:t xml:space="preserve">3, párr. 78.  </w:t>
      </w:r>
    </w:p>
  </w:footnote>
  <w:footnote w:id="116">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La pena de muerte en el Sistema Interamericano de Derechos Humanos: de restricciones a abolición, OEA/Ser.L/V/II.Doc.68, 31 de diciembre de 2011, pág.48.</w:t>
      </w:r>
    </w:p>
  </w:footnote>
  <w:footnote w:id="117">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Demanda de la Comisión Interamericana de Derechos Humanos ante la Corte Interamericana de Derechos Humanos en el Caso: Ronald Ernesto Raxcacó Reyes, Caso 12.402 Contra la República de Guatemala, párr.48.</w:t>
      </w:r>
    </w:p>
  </w:footnote>
  <w:footnote w:id="118">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Demanda de la Comisión Interamericana de Derechos Humanos ante la Corte Interamericana de Derechos Humanos en el Caso: Ronald Ernesto Raxcacó Reyes, Caso 12.402 Contra la República de Guatemala, párr.95.</w:t>
      </w:r>
    </w:p>
  </w:footnote>
  <w:footnote w:id="119">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Raxcacó Reyes vs. Guatemala. Fondo, Reparaciones y Costas. Sentencia de 15 de septiembre de 2005. Serie C No. 133, párr.66.</w:t>
      </w:r>
    </w:p>
  </w:footnote>
  <w:footnote w:id="120">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Demanda de la Comisión Interamericana de Derechos Humanos ante la Corte Interamericana de Derechos Humanos en el Caso: Ronald Ernesto Raxcacó Reyes, Caso 12.402 Contra la República de Guatemala, párr.48.</w:t>
      </w:r>
    </w:p>
  </w:footnote>
  <w:footnote w:id="121">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Demanda de la Comisión Interamericana de Derechos Humanos ante la Corte Interamericana de Derechos Humanos en el Caso: Ronald Ernesto Raxcacó Reyes, Caso 12.402 Contra la República de Guatemala, párr.77.</w:t>
      </w:r>
    </w:p>
  </w:footnote>
  <w:footnote w:id="122">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Raxcacó Reyes vs. Guatemala. Fondo, Reparaciones y Costas. Sentencia de 15 de septiembre de 2005. Serie C No. 133, párr.82; ver también  CIDH, Quinto Informe sobre la Situación de los Derechos Humanos en Guatemala,  OEA/Ser.L/V/II.111 Doc.21 rev.  6 de abril de 2001, párr. 66 y ss. </w:t>
      </w:r>
    </w:p>
  </w:footnote>
  <w:footnote w:id="123">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Informe No 48/01, Caso No. 12.067 y otros, Michael Edwards y otros, Las Bahamas, 4 de abril de 2001, párrs. 135-154; ver también Comunicado de Prensa, </w:t>
      </w:r>
      <w:hyperlink r:id="rId16" w:history="1">
        <w:r w:rsidRPr="00836C24">
          <w:rPr>
            <w:rStyle w:val="Hyperlink"/>
            <w:rFonts w:asciiTheme="majorHAnsi" w:hAnsiTheme="majorHAnsi"/>
            <w:sz w:val="16"/>
            <w:szCs w:val="16"/>
            <w:lang w:val="es-VE"/>
          </w:rPr>
          <w:t>CIDH insta a los Estados eliminar la pena de muerte o aplicar moratoria en su aplicación</w:t>
        </w:r>
      </w:hyperlink>
      <w:r w:rsidRPr="00836C24">
        <w:rPr>
          <w:rFonts w:asciiTheme="majorHAnsi" w:hAnsiTheme="majorHAnsi"/>
          <w:sz w:val="16"/>
          <w:szCs w:val="16"/>
          <w:lang w:val="es-VE"/>
        </w:rPr>
        <w:t xml:space="preserve">, 9 de octubre de 2013. </w:t>
      </w:r>
    </w:p>
  </w:footnote>
  <w:footnote w:id="124">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CIDH, Demanda de la Comisión Interamericana de Derechos Humanos ante la Corte Interamericana de Derechos Humanos en el Caso: Ronald Ernesto Raxcacó Reyes, Caso 12.402 Contra la República de Guatemala, párr.80.</w:t>
      </w:r>
    </w:p>
  </w:footnote>
  <w:footnote w:id="125">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 Corte IDH, Caso Fermín Ramírez Vs. </w:t>
      </w:r>
      <w:r w:rsidRPr="00836C24">
        <w:rPr>
          <w:rFonts w:asciiTheme="majorHAnsi" w:hAnsiTheme="majorHAnsi"/>
          <w:sz w:val="16"/>
          <w:szCs w:val="16"/>
          <w:lang w:val="es-VE"/>
        </w:rPr>
        <w:t>Guatemala. Sentencia de 20 de junio de 2005. Serie C No. 126, párr. 110.</w:t>
      </w:r>
    </w:p>
  </w:footnote>
  <w:footnote w:id="126">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120"/>
        <w:jc w:val="both"/>
        <w:rPr>
          <w:rFonts w:asciiTheme="majorHAnsi" w:hAnsiTheme="majorHAnsi"/>
          <w:sz w:val="16"/>
          <w:szCs w:val="16"/>
          <w:lang w:val="es-VE"/>
        </w:rPr>
      </w:pPr>
      <w:r w:rsidRPr="00836C24">
        <w:rPr>
          <w:rFonts w:asciiTheme="majorHAnsi" w:hAnsiTheme="majorHAnsi"/>
          <w:sz w:val="16"/>
          <w:szCs w:val="16"/>
          <w:lang w:val="es-VE"/>
        </w:rPr>
        <w:tab/>
      </w: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El artículo 5 de la Convención Americana establece en lo pertinente:</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cs="Tahoma"/>
          <w:color w:val="000000"/>
          <w:sz w:val="16"/>
          <w:szCs w:val="16"/>
          <w:lang w:val="es-VE"/>
        </w:rPr>
      </w:pPr>
      <w:r w:rsidRPr="00836C24">
        <w:rPr>
          <w:rFonts w:asciiTheme="majorHAnsi" w:hAnsiTheme="majorHAnsi" w:cs="Tahoma"/>
          <w:color w:val="000000"/>
          <w:sz w:val="16"/>
          <w:szCs w:val="16"/>
          <w:lang w:val="es-VE"/>
        </w:rPr>
        <w:t xml:space="preserve">1. Toda </w:t>
      </w:r>
      <w:r w:rsidRPr="00836C24">
        <w:rPr>
          <w:rFonts w:asciiTheme="majorHAnsi" w:hAnsiTheme="majorHAnsi"/>
          <w:sz w:val="16"/>
          <w:szCs w:val="16"/>
          <w:lang w:val="es-VE"/>
        </w:rPr>
        <w:t>persona</w:t>
      </w:r>
      <w:r w:rsidRPr="00836C24">
        <w:rPr>
          <w:rFonts w:asciiTheme="majorHAnsi" w:hAnsiTheme="majorHAnsi" w:cs="Tahoma"/>
          <w:color w:val="000000"/>
          <w:sz w:val="16"/>
          <w:szCs w:val="16"/>
          <w:lang w:val="es-VE"/>
        </w:rPr>
        <w:t xml:space="preserve"> tiene derecho a que se respete su integridad física, psíquica y moral.</w:t>
      </w:r>
    </w:p>
    <w:p w:rsidR="00A83F22" w:rsidRPr="00836C24" w:rsidRDefault="00A83F22" w:rsidP="00E32B99">
      <w:pPr>
        <w:pStyle w:val="FootnoteText"/>
        <w:spacing w:after="120"/>
        <w:jc w:val="both"/>
        <w:rPr>
          <w:rFonts w:asciiTheme="majorHAnsi" w:hAnsiTheme="majorHAnsi"/>
          <w:sz w:val="16"/>
          <w:szCs w:val="16"/>
          <w:lang w:val="es-ES"/>
        </w:rPr>
      </w:pPr>
      <w:r w:rsidRPr="00836C24">
        <w:rPr>
          <w:rFonts w:asciiTheme="majorHAnsi" w:hAnsiTheme="majorHAnsi" w:cs="Tahoma"/>
          <w:sz w:val="16"/>
          <w:szCs w:val="16"/>
          <w:lang w:val="es-VE"/>
        </w:rPr>
        <w:t xml:space="preserve">2. Nadie debe ser sometido a torturas ni a penas o tratos crueles, inhumanos o degradantes. Toda persona </w:t>
      </w:r>
      <w:r w:rsidRPr="00836C24">
        <w:rPr>
          <w:rFonts w:asciiTheme="majorHAnsi" w:hAnsiTheme="majorHAnsi" w:cs="Times New Roman"/>
          <w:color w:val="auto"/>
          <w:sz w:val="16"/>
          <w:szCs w:val="16"/>
          <w:lang w:val="es-VE"/>
        </w:rPr>
        <w:t>privada</w:t>
      </w:r>
      <w:r w:rsidRPr="00836C24">
        <w:rPr>
          <w:rFonts w:asciiTheme="majorHAnsi" w:hAnsiTheme="majorHAnsi" w:cs="Tahoma"/>
          <w:sz w:val="16"/>
          <w:szCs w:val="16"/>
          <w:lang w:val="es-VE"/>
        </w:rPr>
        <w:t xml:space="preserve"> de libertad será tratada con el respeto debido a la dignidad inherente al ser humano.</w:t>
      </w:r>
    </w:p>
  </w:footnote>
  <w:footnote w:id="127">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jc w:val="both"/>
        <w:rPr>
          <w:rFonts w:asciiTheme="majorHAnsi" w:hAnsiTheme="majorHAnsi"/>
          <w:sz w:val="16"/>
          <w:szCs w:val="16"/>
          <w:lang w:val="es-VE"/>
        </w:rPr>
      </w:pPr>
      <w:r w:rsidRPr="00836C24">
        <w:rPr>
          <w:rFonts w:asciiTheme="majorHAnsi" w:hAnsiTheme="majorHAnsi"/>
          <w:sz w:val="16"/>
          <w:szCs w:val="16"/>
          <w:lang w:val="es-VE"/>
        </w:rPr>
        <w:tab/>
      </w: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Los artículos 1 y 6 de la CIPST establecen que: </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sz w:val="16"/>
          <w:szCs w:val="16"/>
          <w:lang w:val="es-VE"/>
        </w:rPr>
      </w:pPr>
      <w:r w:rsidRPr="00836C24">
        <w:rPr>
          <w:rFonts w:asciiTheme="majorHAnsi" w:hAnsiTheme="majorHAnsi"/>
          <w:sz w:val="16"/>
          <w:szCs w:val="16"/>
          <w:lang w:val="es-VE"/>
        </w:rPr>
        <w:t>Artículo 1. Los Estados partes se obligan a prevenir y sancionar la tortura en los términos de dicha Convención.</w:t>
      </w:r>
    </w:p>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jc w:val="both"/>
        <w:rPr>
          <w:rFonts w:asciiTheme="majorHAnsi" w:hAnsiTheme="majorHAnsi"/>
          <w:sz w:val="16"/>
          <w:szCs w:val="16"/>
          <w:lang w:val="es-ES"/>
        </w:rPr>
      </w:pPr>
      <w:r w:rsidRPr="00836C24">
        <w:rPr>
          <w:rFonts w:asciiTheme="majorHAnsi" w:hAnsiTheme="majorHAnsi"/>
          <w:sz w:val="16"/>
          <w:szCs w:val="16"/>
          <w:lang w:val="es-VE"/>
        </w:rPr>
        <w:t>Artículo 6. De conformidad con lo dispuesto en el artículo 1, los Estados partes tomarán medidas efectivas para prevenir y sancionar la tortura en el ámbito de su jurisdicción. 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w:t>
      </w:r>
    </w:p>
  </w:footnote>
  <w:footnote w:id="128">
    <w:p w:rsidR="00A83F22" w:rsidRPr="00836C24" w:rsidRDefault="00A83F22" w:rsidP="00E32B99">
      <w:pPr>
        <w:autoSpaceDE w:val="0"/>
        <w:autoSpaceDN w:val="0"/>
        <w:adjustRightInd w:val="0"/>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lang w:val="es-CO"/>
        </w:rPr>
        <w:t xml:space="preserve"> Naciones Unidas. Informe del Relator Especial sobre la tortura y otros tratos o penas crueles, inhumanos o degradantes. </w:t>
      </w:r>
      <w:r w:rsidRPr="00836C24">
        <w:rPr>
          <w:rFonts w:asciiTheme="majorHAnsi" w:hAnsiTheme="majorHAnsi"/>
          <w:sz w:val="16"/>
          <w:szCs w:val="16"/>
        </w:rPr>
        <w:t xml:space="preserve">9 de agosto de 2012. </w:t>
      </w:r>
      <w:r w:rsidRPr="00836C24">
        <w:rPr>
          <w:rFonts w:asciiTheme="majorHAnsi" w:hAnsiTheme="majorHAnsi"/>
          <w:bCs/>
          <w:sz w:val="16"/>
          <w:szCs w:val="16"/>
        </w:rPr>
        <w:t xml:space="preserve">A/67/279, Párr. 42. Citando. </w:t>
      </w:r>
      <w:r w:rsidRPr="00836C24">
        <w:rPr>
          <w:rFonts w:asciiTheme="majorHAnsi" w:hAnsiTheme="majorHAnsi" w:cs="TimesNewRoman"/>
          <w:sz w:val="16"/>
          <w:szCs w:val="16"/>
        </w:rPr>
        <w:t xml:space="preserve">Patrick Hudson, “Does the Death Row Phenomenon Violate a Prisoner’s Rights Under International Law”, </w:t>
      </w:r>
      <w:r w:rsidRPr="0082037E">
        <w:rPr>
          <w:rFonts w:asciiTheme="majorHAnsi" w:hAnsiTheme="majorHAnsi" w:cs="TimesNewRoman,Italic"/>
          <w:iCs/>
          <w:sz w:val="16"/>
          <w:szCs w:val="16"/>
        </w:rPr>
        <w:t>European Journal of International Law</w:t>
      </w:r>
      <w:r w:rsidRPr="0082037E">
        <w:rPr>
          <w:rFonts w:asciiTheme="majorHAnsi" w:hAnsiTheme="majorHAnsi" w:cs="TimesNewRoman"/>
          <w:sz w:val="16"/>
          <w:szCs w:val="16"/>
        </w:rPr>
        <w:t>, vol.</w:t>
      </w:r>
      <w:r w:rsidRPr="00836C24">
        <w:rPr>
          <w:rFonts w:asciiTheme="majorHAnsi" w:hAnsiTheme="majorHAnsi" w:cs="TimesNewRoman"/>
          <w:sz w:val="16"/>
          <w:szCs w:val="16"/>
        </w:rPr>
        <w:t xml:space="preserve"> 11, núm. No. 4, págs. 834 a 837.</w:t>
      </w:r>
    </w:p>
  </w:footnote>
  <w:footnote w:id="129">
    <w:p w:rsidR="00A83F22" w:rsidRPr="00836C24" w:rsidRDefault="00A83F22" w:rsidP="00E32B99">
      <w:pPr>
        <w:autoSpaceDE w:val="0"/>
        <w:autoSpaceDN w:val="0"/>
        <w:adjustRightInd w:val="0"/>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Naciones Unidas. Informe del Relator Especial sobre la tortura y otros tratos o penas crueles, inhumanos o degradantes. 9 de agosto de 2012. </w:t>
      </w:r>
      <w:r w:rsidRPr="00836C24">
        <w:rPr>
          <w:rFonts w:asciiTheme="majorHAnsi" w:hAnsiTheme="majorHAnsi"/>
          <w:bCs/>
          <w:sz w:val="16"/>
          <w:szCs w:val="16"/>
        </w:rPr>
        <w:t xml:space="preserve">A/67/279, Párr. 42. </w:t>
      </w:r>
    </w:p>
  </w:footnote>
  <w:footnote w:id="130">
    <w:p w:rsidR="00A83F22" w:rsidRPr="00836C24" w:rsidRDefault="00A83F22" w:rsidP="00E32B99">
      <w:pPr>
        <w:pStyle w:val="FootnoteText"/>
        <w:tabs>
          <w:tab w:val="right" w:pos="540"/>
        </w:tabs>
        <w:spacing w:after="120"/>
        <w:ind w:left="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w:t>
      </w:r>
      <w:r w:rsidRPr="00836C24">
        <w:rPr>
          <w:rFonts w:asciiTheme="majorHAnsi" w:hAnsiTheme="majorHAnsi"/>
          <w:bCs/>
          <w:sz w:val="16"/>
          <w:szCs w:val="16"/>
        </w:rPr>
        <w:t>ECtHR. Case of Soering v. The United Kingdom. Application No. 14038/88. Judgment, 07 July 1989. Para. 104.</w:t>
      </w:r>
    </w:p>
  </w:footnote>
  <w:footnote w:id="131">
    <w:p w:rsidR="00A83F22" w:rsidRPr="00836C24" w:rsidRDefault="00A83F22" w:rsidP="00E32B99">
      <w:pPr>
        <w:pStyle w:val="FootnoteText"/>
        <w:tabs>
          <w:tab w:val="right" w:pos="540"/>
          <w:tab w:val="left" w:pos="720"/>
          <w:tab w:val="left" w:pos="900"/>
        </w:tabs>
        <w:spacing w:after="120"/>
        <w:ind w:left="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w:t>
      </w:r>
      <w:r w:rsidRPr="00836C24">
        <w:rPr>
          <w:rFonts w:asciiTheme="majorHAnsi" w:hAnsiTheme="majorHAnsi"/>
          <w:bCs/>
          <w:sz w:val="16"/>
          <w:szCs w:val="16"/>
        </w:rPr>
        <w:t>ECtHR. Case of Soering v. The United Kingdom. Application No. 14038/88. Judgment, 07 July 1989. Para. 106.</w:t>
      </w:r>
    </w:p>
  </w:footnote>
  <w:footnote w:id="132">
    <w:p w:rsidR="00A83F22" w:rsidRPr="00836C24" w:rsidRDefault="00A83F22" w:rsidP="00D43BEE">
      <w:pPr>
        <w:pStyle w:val="FootnoteText"/>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ECthr. Case of Al-Saadon and Mufdhi v. The United Kingdom. Application No. 61498/08. Judgment 2 march 2010 Para. 115. </w:t>
      </w:r>
      <w:r w:rsidRPr="00836C24">
        <w:rPr>
          <w:rFonts w:asciiTheme="majorHAnsi" w:hAnsiTheme="majorHAnsi"/>
          <w:sz w:val="16"/>
          <w:szCs w:val="16"/>
          <w:lang w:val="es-VE"/>
        </w:rPr>
        <w:t xml:space="preserve">Ver también el caso Bader y Knabor vs. Suecia, en el que el Tribunal Europeo indicó que </w:t>
      </w:r>
      <w:r w:rsidRPr="00836C24">
        <w:rPr>
          <w:rFonts w:asciiTheme="majorHAnsi" w:hAnsiTheme="majorHAnsi" w:cs="Arial"/>
          <w:color w:val="212121"/>
          <w:sz w:val="16"/>
          <w:szCs w:val="16"/>
          <w:shd w:val="clear" w:color="auto" w:fill="FFFFFF"/>
          <w:lang w:val="es-VE"/>
        </w:rPr>
        <w:t xml:space="preserve">imponer una sentencia de muerte a una persona después de un juicio injusto, en circunstancias en que exista una posibilidad real de que se ejecute la sentencia, genera un grado significativo de angustia y temor humano, contrario al artículo 3 de la Convención. </w:t>
      </w:r>
      <w:r w:rsidRPr="00836C24">
        <w:rPr>
          <w:rFonts w:asciiTheme="majorHAnsi" w:hAnsiTheme="majorHAnsi" w:cs="Arial"/>
          <w:color w:val="212121"/>
          <w:sz w:val="16"/>
          <w:szCs w:val="16"/>
          <w:shd w:val="clear" w:color="auto" w:fill="FFFFFF"/>
        </w:rPr>
        <w:t>ECthr. Case of Bader and Kanbor v. Sweden. Application no.13284/04. Judgment 8 november 2005. Pág.10.</w:t>
      </w:r>
    </w:p>
  </w:footnote>
  <w:footnote w:id="133">
    <w:p w:rsidR="00A83F22" w:rsidRPr="00836C24" w:rsidRDefault="00A83F22" w:rsidP="00E32B99">
      <w:pPr>
        <w:pStyle w:val="FootnoteText"/>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ECthr. Case of Al-Saadon and Mufdhi v. The United Kingdom. Application No. 61498/08. Judgment 2 march 2010 Para. 137.</w:t>
      </w:r>
    </w:p>
  </w:footnote>
  <w:footnote w:id="134">
    <w:p w:rsidR="00A83F22" w:rsidRPr="00836C24" w:rsidRDefault="00A83F22" w:rsidP="00E32B99">
      <w:pPr>
        <w:pStyle w:val="FootnoteText"/>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Supreme Court of Uganda in </w:t>
      </w:r>
      <w:r w:rsidRPr="00836C24">
        <w:rPr>
          <w:rFonts w:asciiTheme="majorHAnsi" w:hAnsiTheme="majorHAnsi"/>
          <w:i/>
          <w:sz w:val="16"/>
          <w:szCs w:val="16"/>
        </w:rPr>
        <w:t>Attorney General v. Susan Kigula</w:t>
      </w:r>
      <w:r w:rsidRPr="00836C24">
        <w:rPr>
          <w:rFonts w:asciiTheme="majorHAnsi" w:hAnsiTheme="majorHAnsi"/>
          <w:sz w:val="16"/>
          <w:szCs w:val="16"/>
        </w:rPr>
        <w:t xml:space="preserve"> and 417 others (Constitutional Appeal No. 3 of 2006), 2009.</w:t>
      </w:r>
    </w:p>
  </w:footnote>
  <w:footnote w:id="135">
    <w:p w:rsidR="00A83F22" w:rsidRPr="00836C24" w:rsidRDefault="00A83F22" w:rsidP="00E32B99">
      <w:pPr>
        <w:pStyle w:val="FootnoteText"/>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Judgment of the Supreme Court of Zimbabwe of 24 June 1993 in </w:t>
      </w:r>
      <w:r w:rsidRPr="00836C24">
        <w:rPr>
          <w:rFonts w:asciiTheme="majorHAnsi" w:hAnsiTheme="majorHAnsi"/>
          <w:i/>
          <w:iCs/>
          <w:sz w:val="16"/>
          <w:szCs w:val="16"/>
        </w:rPr>
        <w:t>Catholic Commissioner for Justice and Peace in Zimbabwe v. Attorney General</w:t>
      </w:r>
      <w:r w:rsidRPr="00836C24">
        <w:rPr>
          <w:rFonts w:asciiTheme="majorHAnsi" w:hAnsiTheme="majorHAnsi"/>
          <w:sz w:val="16"/>
          <w:szCs w:val="16"/>
        </w:rPr>
        <w:t xml:space="preserve"> (4) SA 239 (ZS).</w:t>
      </w:r>
    </w:p>
  </w:footnote>
  <w:footnote w:id="136">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del artículo 5 de la Convención ya fue transcrito anteriormente. </w:t>
      </w:r>
    </w:p>
  </w:footnote>
  <w:footnote w:id="137">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El contenido relevante del artículo 8 de la Convención ya fue transcrito anteriormente. Se agrega en este punto el artículo 8.2 g) de dicho instrumento que consagra “el derecho a no ser obligado a declarar contra sí mismo ni a declararse culpable”.</w:t>
      </w:r>
    </w:p>
  </w:footnote>
  <w:footnote w:id="138">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del artículo 25 de la Convención ya fue transcrito anteriormente. </w:t>
      </w:r>
    </w:p>
  </w:footnote>
  <w:footnote w:id="139">
    <w:p w:rsidR="00A83F22" w:rsidRPr="00836C24" w:rsidRDefault="00A83F22" w:rsidP="00E32B9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120"/>
        <w:ind w:firstLine="720"/>
        <w:jc w:val="both"/>
        <w:rPr>
          <w:rFonts w:asciiTheme="majorHAnsi" w:hAnsiTheme="majorHAnsi"/>
          <w:sz w:val="16"/>
          <w:szCs w:val="16"/>
          <w:lang w:val="es-ES" w:eastAsia="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 los artículos 1 y 6 de la CIPST ya fue transcrito anteriormente. Se agrega en este punto el artículo 8 de dicho instrumento que señala: </w:t>
      </w:r>
      <w:r w:rsidRPr="00836C24">
        <w:rPr>
          <w:rFonts w:asciiTheme="majorHAnsi" w:hAnsiTheme="majorHAnsi"/>
          <w:sz w:val="16"/>
          <w:szCs w:val="16"/>
          <w:lang w:val="es-ES" w:eastAsia="es-ES"/>
        </w:rPr>
        <w:t>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footnote>
  <w:footnote w:id="140">
    <w:p w:rsidR="00A83F22" w:rsidRPr="00836C24" w:rsidRDefault="00A83F22" w:rsidP="00E32B99">
      <w:pPr>
        <w:pStyle w:val="FootnoteText"/>
        <w:keepNext/>
        <w:spacing w:after="120"/>
        <w:ind w:firstLine="720"/>
        <w:jc w:val="both"/>
        <w:rPr>
          <w:rFonts w:asciiTheme="majorHAnsi" w:hAnsiTheme="majorHAnsi"/>
          <w:sz w:val="16"/>
          <w:szCs w:val="16"/>
          <w:lang w:val="es-ES_tradnl"/>
        </w:rPr>
      </w:pPr>
      <w:r w:rsidRPr="00836C24">
        <w:rPr>
          <w:rStyle w:val="FootnoteReference"/>
          <w:rFonts w:asciiTheme="majorHAnsi" w:hAnsiTheme="majorHAnsi"/>
          <w:color w:val="auto"/>
          <w:sz w:val="16"/>
          <w:szCs w:val="16"/>
        </w:rPr>
        <w:footnoteRef/>
      </w:r>
      <w:r w:rsidRPr="00836C24">
        <w:rPr>
          <w:rFonts w:asciiTheme="majorHAnsi" w:hAnsiTheme="majorHAnsi"/>
          <w:color w:val="auto"/>
          <w:sz w:val="16"/>
          <w:szCs w:val="16"/>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118. </w:t>
      </w:r>
    </w:p>
  </w:footnote>
  <w:footnote w:id="141">
    <w:p w:rsidR="00A83F22" w:rsidRPr="00836C24" w:rsidRDefault="00A83F22" w:rsidP="00E32B99">
      <w:pPr>
        <w:pStyle w:val="FootnoteText"/>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CIDH, Informe sobre Terrorismo y Derechos Humanos, OEA/SER.L/V/II.116, Doc. 5 rev. 1, corr., 22 de octubre de 2002. Citando. CIDH, Informe sobre la Situación de Derechos Humanos de los Solicitantes de Asilo en el Marco del Sistema Canadiense de Determinación de la Condición de Refugiado, OEA/Ser.L/V/II.106, Doc. 40 rev., 28 de febrero de 2000. Párr. 154. </w:t>
      </w:r>
    </w:p>
  </w:footnote>
  <w:footnote w:id="142">
    <w:p w:rsidR="00A83F22" w:rsidRPr="00836C24" w:rsidRDefault="00A83F22" w:rsidP="00E32B99">
      <w:pPr>
        <w:keepNext/>
        <w:tabs>
          <w:tab w:val="left" w:pos="900"/>
          <w:tab w:val="left" w:pos="1080"/>
        </w:tabs>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Corte IDH. Caso Bueno Alves Vs. Argentina. Fondo, Reparaciones y Costas. Sentencia de 11 de mayo de 2007. Serie C No. 164, párr. 76; Corte IDH. Caso del Penal Miguel Castro Castro Vs. Perú. Fondo, Reparaciones y Costas. Sentencia de 25 de noviembre de 2006. Serie C No. 160, párr. 271; y Corte IDH. Caso Baldeón García Vs. Perú. Fondo, Reparaciones y Costas. Sentencia de 6 de abril de 2006. Serie C No. 147, párr. 117. </w:t>
      </w:r>
    </w:p>
  </w:footnote>
  <w:footnote w:id="143">
    <w:p w:rsidR="00A83F22" w:rsidRPr="00836C24" w:rsidRDefault="00A83F22" w:rsidP="00E32B99">
      <w:pPr>
        <w:tabs>
          <w:tab w:val="left" w:pos="900"/>
          <w:tab w:val="left" w:pos="1080"/>
        </w:tabs>
        <w:spacing w:after="120"/>
        <w:ind w:firstLine="720"/>
        <w:jc w:val="both"/>
        <w:rPr>
          <w:rFonts w:asciiTheme="majorHAnsi" w:hAnsiTheme="majorHAnsi"/>
          <w:sz w:val="16"/>
          <w:szCs w:val="16"/>
          <w:lang w:val="es-CO"/>
        </w:rPr>
      </w:pPr>
      <w:r w:rsidRPr="00836C24">
        <w:rPr>
          <w:rStyle w:val="FootnoteReference"/>
          <w:rFonts w:asciiTheme="majorHAnsi" w:hAnsiTheme="majorHAnsi"/>
          <w:color w:val="000000"/>
          <w:sz w:val="16"/>
          <w:szCs w:val="16"/>
        </w:rPr>
        <w:footnoteRef/>
      </w:r>
      <w:r w:rsidRPr="00836C24">
        <w:rPr>
          <w:rFonts w:asciiTheme="majorHAnsi" w:hAnsiTheme="majorHAnsi"/>
          <w:sz w:val="16"/>
          <w:szCs w:val="16"/>
          <w:lang w:val="es-ES"/>
        </w:rPr>
        <w:t xml:space="preserve"> Corte I.D.H., Caso Bueno Alves.  Sentencia de 11 de mayo de 2007.  Serie C. No. 164. </w:t>
      </w:r>
      <w:r w:rsidRPr="00836C24">
        <w:rPr>
          <w:rFonts w:asciiTheme="majorHAnsi" w:hAnsiTheme="majorHAnsi"/>
          <w:sz w:val="16"/>
          <w:szCs w:val="16"/>
          <w:lang w:val="es-ES_tradnl"/>
        </w:rPr>
        <w:t xml:space="preserve">Párr. 76; </w:t>
      </w:r>
      <w:r w:rsidRPr="00836C24">
        <w:rPr>
          <w:rFonts w:asciiTheme="majorHAnsi" w:hAnsiTheme="majorHAnsi"/>
          <w:sz w:val="16"/>
          <w:szCs w:val="16"/>
          <w:lang w:val="es-ES"/>
        </w:rPr>
        <w:t xml:space="preserve">Corte I.D.H., </w:t>
      </w:r>
      <w:r w:rsidRPr="00836C24">
        <w:rPr>
          <w:rFonts w:asciiTheme="majorHAnsi" w:hAnsiTheme="majorHAnsi"/>
          <w:bCs/>
          <w:color w:val="000000"/>
          <w:sz w:val="16"/>
          <w:szCs w:val="16"/>
          <w:lang w:val="es-ES"/>
        </w:rPr>
        <w:t xml:space="preserve">Caso del Penal Miguel Castro Castro. </w:t>
      </w:r>
      <w:r w:rsidRPr="00836C24">
        <w:rPr>
          <w:rFonts w:asciiTheme="majorHAnsi" w:hAnsiTheme="majorHAnsi"/>
          <w:color w:val="000000"/>
          <w:sz w:val="16"/>
          <w:szCs w:val="16"/>
          <w:lang w:val="es-ES"/>
        </w:rPr>
        <w:t>Sentencia de 25 de noviembre de 2006. Serie C No. 160.</w:t>
      </w:r>
      <w:r w:rsidRPr="00836C24">
        <w:rPr>
          <w:rFonts w:asciiTheme="majorHAnsi" w:hAnsiTheme="majorHAnsi"/>
          <w:sz w:val="16"/>
          <w:szCs w:val="16"/>
          <w:lang w:val="es-ES"/>
        </w:rPr>
        <w:t xml:space="preserve"> P</w:t>
      </w:r>
      <w:r w:rsidRPr="00836C24">
        <w:rPr>
          <w:rFonts w:asciiTheme="majorHAnsi" w:hAnsiTheme="majorHAnsi"/>
          <w:sz w:val="16"/>
          <w:szCs w:val="16"/>
          <w:lang w:val="es-CO"/>
        </w:rPr>
        <w:t xml:space="preserve">árr. 271; y Corte I.D.H., Caso Baldeón García. Sentencia de 6 de abril de 2006. Serie C No. 147. Párr. 117. </w:t>
      </w:r>
    </w:p>
  </w:footnote>
  <w:footnote w:id="144">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Corte I.D.H., Caso Bueno Alves.  </w:t>
      </w:r>
      <w:r w:rsidRPr="00836C24">
        <w:rPr>
          <w:rFonts w:asciiTheme="majorHAnsi" w:hAnsiTheme="majorHAnsi"/>
          <w:sz w:val="16"/>
          <w:szCs w:val="16"/>
          <w:lang w:val="es-ES"/>
        </w:rPr>
        <w:t xml:space="preserve">Sentencia de 11 de mayo de 2007.  Serie C. No. 164. </w:t>
      </w:r>
      <w:r w:rsidRPr="00836C24">
        <w:rPr>
          <w:rFonts w:asciiTheme="majorHAnsi" w:hAnsiTheme="majorHAnsi"/>
          <w:sz w:val="16"/>
          <w:szCs w:val="16"/>
          <w:lang w:val="es-ES_tradnl"/>
        </w:rPr>
        <w:t xml:space="preserve">Párr. 77. Citando: Pacto Internacional de Derechos Civiles y Políticos, Art. 7; Convención contra la Tortura y Otros Tratos o Penas Crueles, Inhumanos o Degradantes, Art. 2; Convención sobre los Derechos del Niño, Art. 37, y Convención internacional sobre la protección de los derechos de todos los trabajadores migratorios y de sus familiares, Art. 10; Convención Interamericana para Prevenir y Sancionar la Tortura, art. 2; Carta Africana de los Derechos del Hombre y de los Pueblos, Art. 5; Carta Africana de los Derechos y Bienestar del Niño, Art. 16; Convención Interamericana para Prevenir, Erradicar y Sancionar la Violencia contra la Mujer (Convención de Belém do Pará), Art. 4, y Convenio Europeo para la Protección de los Derechos Humanos y de las Libertades Fundamentales, Art. 3; Conjunto de Principios para la protección de todas las personas sometidas a cualquier forma de detención o prisión, Principio 6; Código de conducta para funcionarios encargados de hacer cumplir la ley, Art. 5; Reglas de las Naciones Unidas para la protección de los menores privados de libertad, Regla 87(a); Declaración sobre los derechos humanos de los individuos que no son nacionales del país en que viven, Art. 6; Reglas mínimas de las Naciones Unidas para la administración de la justicia de menores (Reglas de Beijing), Regla 17.3; Declaración sobre la protección de la mujer y el niño en estados de emergencia o de conflicto armado, Art. 4, y Líneas directrices del Comité de Ministros del Consejo de Europa sobre los derechos humanos y la lucha contra el terrorismo, Directriz IV; y Art. 3 común a los cuatro Convenios de Ginebra; Convenio de Ginebra relativo al trato debido a los prisioneros de guerra (Convenio III), Arts. 49, 52, 87 y 89, 97; Convenio de Ginebra relativo a la protección debida a las personas civiles en tiempo de guerra (Convenio IV), Arts. 40, 51, 95, 96, 100 y 119; Protocolo Adicional a los Convenios de Ginebra del 12 de agosto de 1949 relativo a la Protección de las Víctimas de los Conflictos Armados Internacionales (Protocolo I), Art. 75.2.ii, y Protocolo adicional a los Convenios de Ginebra del 12 de agosto de 1949 relativo a la protección de las víctimas de los conflictos armados sin carácter internacional (Protocolo II), Art. 4.2.a. </w:t>
      </w:r>
    </w:p>
  </w:footnote>
  <w:footnote w:id="145">
    <w:p w:rsidR="00A83F22" w:rsidRPr="00836C24" w:rsidRDefault="00A83F22" w:rsidP="00E32B99">
      <w:pPr>
        <w:pStyle w:val="FootnoteText"/>
        <w:keepNext/>
        <w:spacing w:after="120"/>
        <w:ind w:firstLine="720"/>
        <w:jc w:val="both"/>
        <w:rPr>
          <w:rFonts w:asciiTheme="majorHAnsi" w:hAnsiTheme="majorHAnsi"/>
          <w:sz w:val="16"/>
          <w:szCs w:val="16"/>
          <w:lang w:val="es-ES"/>
        </w:rPr>
      </w:pPr>
      <w:r w:rsidRPr="00836C24">
        <w:rPr>
          <w:rStyle w:val="FootnoteReference"/>
          <w:rFonts w:asciiTheme="majorHAnsi" w:hAnsiTheme="majorHAnsi"/>
          <w:color w:val="auto"/>
          <w:sz w:val="16"/>
          <w:szCs w:val="16"/>
        </w:rPr>
        <w:footnoteRef/>
      </w:r>
      <w:r w:rsidRPr="00836C24">
        <w:rPr>
          <w:rFonts w:asciiTheme="majorHAnsi" w:hAnsiTheme="majorHAnsi"/>
          <w:color w:val="auto"/>
          <w:sz w:val="16"/>
          <w:szCs w:val="16"/>
          <w:lang w:val="es-ES"/>
        </w:rPr>
        <w:t xml:space="preserve"> CIDH, Informe No. 5/96, Caso 10.970, Fondo, Raquel Martin Mejía, Perú, 1 de marzo de 1996, sección 3. análisis y Corte IDH. Caso Bueno Alves Vs. Argentina. Fondo, Reparaciones y Costas. Sentencia de 11 de mayo de 2007. Serie C No. 164, </w:t>
      </w:r>
      <w:r w:rsidRPr="00836C24">
        <w:rPr>
          <w:rFonts w:asciiTheme="majorHAnsi" w:hAnsiTheme="majorHAnsi"/>
          <w:color w:val="auto"/>
          <w:sz w:val="16"/>
          <w:szCs w:val="16"/>
          <w:lang w:val="es-ES_tradnl"/>
        </w:rPr>
        <w:t>párr. 79.</w:t>
      </w:r>
      <w:r w:rsidRPr="00836C24">
        <w:rPr>
          <w:rFonts w:asciiTheme="majorHAnsi" w:hAnsiTheme="majorHAnsi"/>
          <w:color w:val="auto"/>
          <w:sz w:val="16"/>
          <w:szCs w:val="16"/>
          <w:lang w:val="es-ES"/>
        </w:rPr>
        <w:t xml:space="preserve"> </w:t>
      </w:r>
    </w:p>
  </w:footnote>
  <w:footnote w:id="146">
    <w:p w:rsidR="00A83F22" w:rsidRPr="00836C24" w:rsidRDefault="00A83F22" w:rsidP="00E32B99">
      <w:pPr>
        <w:pStyle w:val="FootnoteText"/>
        <w:spacing w:after="120"/>
        <w:ind w:firstLine="720"/>
        <w:jc w:val="both"/>
        <w:rPr>
          <w:rFonts w:asciiTheme="majorHAnsi" w:hAnsiTheme="majorHAnsi"/>
          <w:sz w:val="16"/>
          <w:szCs w:val="16"/>
          <w:lang w:val="es-ES_tradnl"/>
        </w:rPr>
      </w:pPr>
      <w:r w:rsidRPr="00836C24">
        <w:rPr>
          <w:rStyle w:val="FootnoteReference"/>
          <w:rFonts w:asciiTheme="majorHAnsi" w:hAnsiTheme="majorHAnsi"/>
          <w:color w:val="auto"/>
          <w:sz w:val="16"/>
          <w:szCs w:val="16"/>
        </w:rPr>
        <w:footnoteRef/>
      </w:r>
      <w:r w:rsidRPr="00836C24">
        <w:rPr>
          <w:rFonts w:asciiTheme="majorHAnsi" w:hAnsiTheme="majorHAnsi"/>
          <w:sz w:val="16"/>
          <w:szCs w:val="16"/>
          <w:lang w:val="es-ES_tradnl"/>
        </w:rPr>
        <w:t xml:space="preserve"> CIDH. Informe 172/10. César Alberto Mendoza y otros (Prisión y Reclusión perpetuas de adolescentes). Fondo. Argentina. 2 de noviembre de 2010. Párr. 298; </w:t>
      </w:r>
      <w:r w:rsidRPr="00836C24">
        <w:rPr>
          <w:rFonts w:asciiTheme="majorHAnsi" w:hAnsiTheme="majorHAnsi"/>
          <w:color w:val="auto"/>
          <w:sz w:val="16"/>
          <w:szCs w:val="16"/>
          <w:lang w:val="es-ES"/>
        </w:rPr>
        <w:t xml:space="preserve">Corte IDH. Caso Cabrera García y Montiel Flores Vs. México. Excepción Preliminar, Fondo, Reparaciones y Costas. Sentencia de 26 de noviembre de 2010 Serie C No. 220, párr. </w:t>
      </w:r>
      <w:r w:rsidRPr="00836C24">
        <w:rPr>
          <w:rFonts w:asciiTheme="majorHAnsi" w:hAnsiTheme="majorHAnsi"/>
          <w:color w:val="auto"/>
          <w:sz w:val="16"/>
          <w:szCs w:val="16"/>
          <w:lang w:val="es-MX"/>
        </w:rPr>
        <w:t>134 y Corte IDH. Caso Mendoza y otros Vs. Argentina. Excepciones Preliminares, Fondo y Reparaciones. Sentencia de 14 de mayo de 2013 Serie C No. 260.</w:t>
      </w:r>
    </w:p>
  </w:footnote>
  <w:footnote w:id="147">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lang w:val="es-ES"/>
        </w:rPr>
        <w:footnoteRef/>
      </w:r>
      <w:r w:rsidRPr="00836C24">
        <w:rPr>
          <w:rFonts w:asciiTheme="majorHAnsi" w:hAnsiTheme="majorHAnsi"/>
          <w:sz w:val="16"/>
          <w:szCs w:val="16"/>
          <w:lang w:val="es-ES"/>
        </w:rPr>
        <w:t xml:space="preserve"> Corte IDH, </w:t>
      </w:r>
      <w:r w:rsidRPr="00836C24">
        <w:rPr>
          <w:rFonts w:asciiTheme="majorHAnsi" w:hAnsiTheme="majorHAnsi"/>
          <w:bCs/>
          <w:i/>
          <w:sz w:val="16"/>
          <w:szCs w:val="16"/>
          <w:lang w:val="es-ES"/>
        </w:rPr>
        <w:t>Caso Baldeón García</w:t>
      </w:r>
      <w:r w:rsidRPr="00836C24">
        <w:rPr>
          <w:rFonts w:asciiTheme="majorHAnsi" w:hAnsiTheme="majorHAnsi"/>
          <w:bCs/>
          <w:sz w:val="16"/>
          <w:szCs w:val="16"/>
          <w:lang w:val="es-ES"/>
        </w:rPr>
        <w:t>.</w:t>
      </w:r>
      <w:r w:rsidRPr="00836C24">
        <w:rPr>
          <w:rFonts w:asciiTheme="majorHAnsi" w:hAnsiTheme="majorHAnsi"/>
          <w:b/>
          <w:bCs/>
          <w:sz w:val="16"/>
          <w:szCs w:val="16"/>
          <w:lang w:val="es-ES"/>
        </w:rPr>
        <w:t xml:space="preserve"> </w:t>
      </w:r>
      <w:r w:rsidRPr="00836C24">
        <w:rPr>
          <w:rFonts w:asciiTheme="majorHAnsi" w:hAnsiTheme="majorHAnsi"/>
          <w:sz w:val="16"/>
          <w:szCs w:val="16"/>
          <w:lang w:val="es-ES"/>
        </w:rPr>
        <w:t xml:space="preserve">Fondo, Reparaciones y Costas. Sentencia de 6 de abril de 2006. Serie C No. 147, párr. 156; </w:t>
      </w:r>
      <w:r w:rsidRPr="00836C24">
        <w:rPr>
          <w:rFonts w:asciiTheme="majorHAnsi" w:hAnsiTheme="majorHAnsi"/>
          <w:bCs/>
          <w:i/>
          <w:sz w:val="16"/>
          <w:szCs w:val="16"/>
          <w:lang w:val="es-ES"/>
        </w:rPr>
        <w:t>Caso Gutiérrez Soler</w:t>
      </w:r>
      <w:r w:rsidRPr="00836C24">
        <w:rPr>
          <w:rFonts w:asciiTheme="majorHAnsi" w:hAnsiTheme="majorHAnsi"/>
          <w:bCs/>
          <w:sz w:val="16"/>
          <w:szCs w:val="16"/>
          <w:lang w:val="es-ES"/>
        </w:rPr>
        <w:t>.</w:t>
      </w:r>
      <w:r w:rsidRPr="00836C24">
        <w:rPr>
          <w:rFonts w:asciiTheme="majorHAnsi" w:hAnsiTheme="majorHAnsi"/>
          <w:b/>
          <w:bCs/>
          <w:sz w:val="16"/>
          <w:szCs w:val="16"/>
          <w:lang w:val="es-ES"/>
        </w:rPr>
        <w:t xml:space="preserve"> </w:t>
      </w:r>
      <w:r w:rsidRPr="00836C24">
        <w:rPr>
          <w:rFonts w:asciiTheme="majorHAnsi" w:hAnsiTheme="majorHAnsi"/>
          <w:sz w:val="16"/>
          <w:szCs w:val="16"/>
          <w:lang w:val="es-ES"/>
        </w:rPr>
        <w:t xml:space="preserve">Fondo, Reparaciones y Costas. Sentencia de 12 de septiembre de 2005. Serie C No. 132, párr. 54; </w:t>
      </w:r>
      <w:r w:rsidRPr="00836C24">
        <w:rPr>
          <w:rFonts w:asciiTheme="majorHAnsi" w:hAnsiTheme="majorHAnsi"/>
          <w:i/>
          <w:sz w:val="16"/>
          <w:szCs w:val="16"/>
          <w:lang w:val="es-ES"/>
        </w:rPr>
        <w:t>Caso Tibi</w:t>
      </w:r>
      <w:r w:rsidRPr="00836C24">
        <w:rPr>
          <w:rFonts w:asciiTheme="majorHAnsi" w:hAnsiTheme="majorHAnsi"/>
          <w:sz w:val="16"/>
          <w:szCs w:val="16"/>
          <w:lang w:val="es-ES"/>
        </w:rPr>
        <w:t xml:space="preserve">. Sentencia de 7 de septiembre de 2004. Serie C No. 114, párr. 159 y </w:t>
      </w:r>
      <w:r w:rsidRPr="00836C24">
        <w:rPr>
          <w:rFonts w:asciiTheme="majorHAnsi" w:hAnsiTheme="majorHAnsi"/>
          <w:bCs/>
          <w:sz w:val="16"/>
          <w:szCs w:val="16"/>
          <w:lang w:val="es-ES"/>
        </w:rPr>
        <w:t>Caso Ximenes Lopes.</w:t>
      </w:r>
      <w:r w:rsidRPr="00836C24">
        <w:rPr>
          <w:rFonts w:asciiTheme="majorHAnsi" w:hAnsiTheme="majorHAnsi"/>
          <w:b/>
          <w:bCs/>
          <w:sz w:val="16"/>
          <w:szCs w:val="16"/>
          <w:lang w:val="es-ES"/>
        </w:rPr>
        <w:t xml:space="preserve"> </w:t>
      </w:r>
      <w:r w:rsidRPr="00836C24">
        <w:rPr>
          <w:rFonts w:asciiTheme="majorHAnsi" w:hAnsiTheme="majorHAnsi"/>
          <w:sz w:val="16"/>
          <w:szCs w:val="16"/>
          <w:lang w:val="es-ES"/>
        </w:rPr>
        <w:t xml:space="preserve">Fondo, Reparaciones y Costas. Sentencia de 4 de julio de 2006. Serie C No. 149, párr. 148. En el mismo sentido, </w:t>
      </w:r>
      <w:r w:rsidRPr="00836C24">
        <w:rPr>
          <w:rFonts w:asciiTheme="majorHAnsi" w:hAnsiTheme="majorHAnsi"/>
          <w:i/>
          <w:sz w:val="16"/>
          <w:szCs w:val="16"/>
          <w:lang w:val="es-ES"/>
        </w:rPr>
        <w:t>Eur.C.H.R.</w:t>
      </w:r>
      <w:r w:rsidRPr="00836C24">
        <w:rPr>
          <w:rFonts w:asciiTheme="majorHAnsi" w:hAnsiTheme="majorHAnsi"/>
          <w:sz w:val="16"/>
          <w:szCs w:val="16"/>
          <w:lang w:val="es-ES"/>
        </w:rPr>
        <w:t xml:space="preserve">, </w:t>
      </w:r>
      <w:r w:rsidRPr="00836C24">
        <w:rPr>
          <w:rFonts w:asciiTheme="majorHAnsi" w:hAnsiTheme="majorHAnsi"/>
          <w:i/>
          <w:sz w:val="16"/>
          <w:szCs w:val="16"/>
          <w:lang w:val="es-ES"/>
        </w:rPr>
        <w:t xml:space="preserve">Assenov and others v. Bulgaria, </w:t>
      </w:r>
      <w:r w:rsidRPr="00836C24">
        <w:rPr>
          <w:rFonts w:asciiTheme="majorHAnsi" w:hAnsiTheme="majorHAnsi"/>
          <w:sz w:val="16"/>
          <w:szCs w:val="16"/>
          <w:lang w:val="es-ES"/>
        </w:rPr>
        <w:t xml:space="preserve">no. 90/1997/874/1086, Judgment of 28 October 1998, par. 102 y </w:t>
      </w:r>
      <w:r w:rsidRPr="00836C24">
        <w:rPr>
          <w:rFonts w:asciiTheme="majorHAnsi" w:hAnsiTheme="majorHAnsi"/>
          <w:i/>
          <w:sz w:val="16"/>
          <w:szCs w:val="16"/>
          <w:lang w:val="es-ES"/>
        </w:rPr>
        <w:t>Eur.C.H.R.</w:t>
      </w:r>
      <w:r w:rsidRPr="00836C24">
        <w:rPr>
          <w:rFonts w:asciiTheme="majorHAnsi" w:hAnsiTheme="majorHAnsi"/>
          <w:sz w:val="16"/>
          <w:szCs w:val="16"/>
          <w:lang w:val="es-ES"/>
        </w:rPr>
        <w:t xml:space="preserve">, </w:t>
      </w:r>
      <w:r w:rsidRPr="00836C24">
        <w:rPr>
          <w:rFonts w:asciiTheme="majorHAnsi" w:hAnsiTheme="majorHAnsi"/>
          <w:i/>
          <w:sz w:val="16"/>
          <w:szCs w:val="16"/>
          <w:lang w:val="es-ES"/>
        </w:rPr>
        <w:t xml:space="preserve">Ilhan v. Turkey </w:t>
      </w:r>
      <w:r w:rsidRPr="00836C24">
        <w:rPr>
          <w:rFonts w:asciiTheme="majorHAnsi" w:hAnsiTheme="majorHAnsi"/>
          <w:sz w:val="16"/>
          <w:szCs w:val="16"/>
          <w:lang w:val="es-ES"/>
        </w:rPr>
        <w:t>[GC]</w:t>
      </w:r>
      <w:r w:rsidRPr="00836C24">
        <w:rPr>
          <w:rFonts w:asciiTheme="majorHAnsi" w:hAnsiTheme="majorHAnsi"/>
          <w:i/>
          <w:sz w:val="16"/>
          <w:szCs w:val="16"/>
          <w:lang w:val="es-ES"/>
        </w:rPr>
        <w:t xml:space="preserve">, </w:t>
      </w:r>
      <w:r w:rsidRPr="00836C24">
        <w:rPr>
          <w:rFonts w:asciiTheme="majorHAnsi" w:hAnsiTheme="majorHAnsi"/>
          <w:sz w:val="16"/>
          <w:szCs w:val="16"/>
          <w:lang w:val="es-ES"/>
        </w:rPr>
        <w:t>no. 22277/93, Judgment of 27 June 2000, paras. 89-93.</w:t>
      </w:r>
    </w:p>
  </w:footnote>
  <w:footnote w:id="148">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Montero Aranguren y otros (Retén de Catia) vs. Venezuela. Fondo, Reparaciones y Costas. Sentencia de 5 de julio de 2006. Serie C No. 150, párr.79.</w:t>
      </w:r>
    </w:p>
  </w:footnote>
  <w:footnote w:id="149">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Bueno Alves vs. Argentina. Fondo, Reparaciones y Costas. Sentencia de 11 de mayo de 2007. Serie C No. 16, párr.109.</w:t>
      </w:r>
    </w:p>
  </w:footnote>
  <w:footnote w:id="150">
    <w:p w:rsidR="00A83F22" w:rsidRPr="00836C24"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Bueno Alves vs. Argentina. Fondo, Reparaciones y Costas. Sentencia de 11 de mayo de 2007. Serie C No. 16, párr.111.</w:t>
      </w:r>
    </w:p>
  </w:footnote>
  <w:footnote w:id="151">
    <w:p w:rsidR="00A83F22" w:rsidRPr="00836C24" w:rsidRDefault="00A83F22" w:rsidP="00E32B99">
      <w:pPr>
        <w:pStyle w:val="FootnoteText"/>
        <w:keepNext/>
        <w:spacing w:after="120"/>
        <w:ind w:firstLine="720"/>
        <w:jc w:val="both"/>
        <w:rPr>
          <w:rFonts w:asciiTheme="majorHAnsi" w:hAnsiTheme="majorHAnsi"/>
          <w:sz w:val="16"/>
          <w:szCs w:val="16"/>
          <w:lang w:val="es-CO"/>
        </w:rPr>
      </w:pPr>
      <w:r w:rsidRPr="00836C24">
        <w:rPr>
          <w:rStyle w:val="FootnoteReference"/>
          <w:rFonts w:asciiTheme="majorHAnsi" w:hAnsiTheme="majorHAnsi"/>
          <w:color w:val="auto"/>
          <w:sz w:val="16"/>
          <w:szCs w:val="16"/>
          <w:lang w:val="es-ES"/>
        </w:rPr>
        <w:footnoteRef/>
      </w:r>
      <w:r w:rsidRPr="00836C24">
        <w:rPr>
          <w:rFonts w:asciiTheme="majorHAnsi" w:hAnsiTheme="majorHAnsi"/>
          <w:color w:val="auto"/>
          <w:sz w:val="16"/>
          <w:szCs w:val="16"/>
          <w:lang w:val="es-ES"/>
        </w:rPr>
        <w:t xml:space="preserve"> Comité contra la Tortura. Examen de informes presentados por los Estados Partes en virtud del artículo 19 de la Convención.  CAT/c/MEX/CO/4. 6 de febrero de 2007. </w:t>
      </w:r>
    </w:p>
  </w:footnote>
  <w:footnote w:id="152">
    <w:p w:rsidR="00A83F22" w:rsidRPr="00836C24" w:rsidRDefault="00A83F22" w:rsidP="00E32B99">
      <w:pPr>
        <w:pStyle w:val="FootnoteText"/>
        <w:keepNext/>
        <w:spacing w:after="120"/>
        <w:ind w:firstLine="720"/>
        <w:jc w:val="both"/>
        <w:rPr>
          <w:rFonts w:asciiTheme="majorHAnsi" w:hAnsiTheme="majorHAnsi"/>
          <w:sz w:val="16"/>
          <w:szCs w:val="16"/>
          <w:lang w:val="es-CO"/>
        </w:rPr>
      </w:pPr>
      <w:r w:rsidRPr="00836C24">
        <w:rPr>
          <w:rStyle w:val="FootnoteReference"/>
          <w:rFonts w:asciiTheme="majorHAnsi" w:hAnsiTheme="majorHAnsi"/>
          <w:color w:val="auto"/>
          <w:sz w:val="16"/>
          <w:szCs w:val="16"/>
          <w:lang w:val="es-ES"/>
        </w:rPr>
        <w:footnoteRef/>
      </w:r>
      <w:r w:rsidRPr="00836C24">
        <w:rPr>
          <w:rFonts w:asciiTheme="majorHAnsi" w:hAnsiTheme="majorHAnsi"/>
          <w:color w:val="auto"/>
          <w:sz w:val="16"/>
          <w:szCs w:val="16"/>
          <w:lang w:val="es-ES"/>
        </w:rPr>
        <w:t xml:space="preserve"> Véase: Manual para la investigación y documentación eficaces de la tortura y otros tratos o penas crueles, inhumanos o degradantes "Protocolo de Estambul". Oficina del Alto Comisionado de las Naciones Unidas para los Derechos Humanos, Naciones Unidas, Nueva Cork y Ginebra, 2001. </w:t>
      </w:r>
    </w:p>
  </w:footnote>
  <w:footnote w:id="153">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del artículo 4 de la Convención ya fue transcrito anteriormente. </w:t>
      </w:r>
    </w:p>
  </w:footnote>
  <w:footnote w:id="154">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del artículo 8 de la Convención ya fue transcrito anteriormente. </w:t>
      </w:r>
    </w:p>
  </w:footnote>
  <w:footnote w:id="155">
    <w:p w:rsidR="00A83F22" w:rsidRPr="00836C24" w:rsidRDefault="00A83F22" w:rsidP="00E32B99">
      <w:pPr>
        <w:pStyle w:val="FootnoteText"/>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w:t>
      </w:r>
      <w:r w:rsidRPr="00836C24">
        <w:rPr>
          <w:rFonts w:asciiTheme="majorHAnsi" w:hAnsiTheme="majorHAnsi"/>
          <w:sz w:val="16"/>
          <w:szCs w:val="16"/>
          <w:lang w:val="es-ES"/>
        </w:rPr>
        <w:t xml:space="preserve">El contenido relevante del artículo 25 de la Convención ya fue transcrito anteriormente. </w:t>
      </w:r>
    </w:p>
  </w:footnote>
  <w:footnote w:id="156">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CIDH, Caso 12.270, Informe No. 2/15, Fondo, Johan Alexis Ortiz Hernández, Venezuela, 29 de enero de 2015, párr. </w:t>
      </w:r>
      <w:r w:rsidRPr="00836C24">
        <w:rPr>
          <w:rFonts w:asciiTheme="majorHAnsi" w:hAnsiTheme="majorHAnsi"/>
          <w:sz w:val="16"/>
          <w:szCs w:val="16"/>
        </w:rPr>
        <w:t>185.ECHR, Case McCann and others v. The United Kingdom. Application No. 27229/95, 27 September 1995, § 146.</w:t>
      </w:r>
    </w:p>
  </w:footnote>
  <w:footnote w:id="157">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w:t>
      </w:r>
      <w:r w:rsidRPr="00836C24">
        <w:rPr>
          <w:rFonts w:asciiTheme="majorHAnsi" w:hAnsiTheme="majorHAnsi"/>
          <w:sz w:val="16"/>
          <w:szCs w:val="16"/>
          <w:lang w:val="es-ES_tradnl"/>
        </w:rPr>
        <w:t xml:space="preserve">Corte IDH. </w:t>
      </w:r>
      <w:r w:rsidRPr="00836C24">
        <w:rPr>
          <w:rFonts w:asciiTheme="majorHAnsi" w:hAnsiTheme="majorHAnsi"/>
          <w:bCs/>
          <w:sz w:val="16"/>
          <w:szCs w:val="16"/>
          <w:lang w:val="es-ES_tradnl"/>
        </w:rPr>
        <w:t xml:space="preserve">Caso Zambrano Vélez y otros Vs. Ecuador. </w:t>
      </w:r>
      <w:r w:rsidRPr="00836C24">
        <w:rPr>
          <w:rFonts w:asciiTheme="majorHAnsi" w:hAnsiTheme="majorHAnsi"/>
          <w:sz w:val="16"/>
          <w:szCs w:val="16"/>
          <w:lang w:val="es-ES_tradnl"/>
        </w:rPr>
        <w:t xml:space="preserve">Fondo, Reparaciones y Costas. Sentencia de 4 de julio de 2007. Serie C No. 166, párr. 80. Asimismo, véase: </w:t>
      </w:r>
      <w:r w:rsidRPr="00836C24">
        <w:rPr>
          <w:rFonts w:asciiTheme="majorHAnsi" w:hAnsiTheme="majorHAnsi"/>
          <w:sz w:val="16"/>
          <w:szCs w:val="16"/>
          <w:lang w:val="es-ES"/>
        </w:rPr>
        <w:t xml:space="preserve">CIDH, Caso 12.270, Informe No. 2/15, Fondo, Johan Alexis Ortiz Hernández, Venezuela, 29 de enero de 2015, párr. </w:t>
      </w:r>
      <w:r w:rsidRPr="00836C24">
        <w:rPr>
          <w:rFonts w:asciiTheme="majorHAnsi" w:hAnsiTheme="majorHAnsi"/>
          <w:sz w:val="16"/>
          <w:szCs w:val="16"/>
        </w:rPr>
        <w:t>186.</w:t>
      </w:r>
    </w:p>
  </w:footnote>
  <w:footnote w:id="158">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ECHR, Case McCann and others v. The United Kingdom. </w:t>
      </w:r>
      <w:r w:rsidRPr="00836C24">
        <w:rPr>
          <w:rFonts w:asciiTheme="majorHAnsi" w:hAnsiTheme="majorHAnsi"/>
          <w:sz w:val="16"/>
          <w:szCs w:val="16"/>
          <w:lang w:val="es-VE"/>
        </w:rPr>
        <w:t>Application No. 27229/95, 27 September 1995, § 146.</w:t>
      </w:r>
    </w:p>
  </w:footnote>
  <w:footnote w:id="159">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lang w:val="es-CO"/>
        </w:rPr>
      </w:pPr>
      <w:r w:rsidRPr="00836C24">
        <w:rPr>
          <w:rStyle w:val="FootnoteReference"/>
          <w:rFonts w:asciiTheme="majorHAnsi" w:hAnsiTheme="majorHAnsi"/>
          <w:sz w:val="16"/>
          <w:szCs w:val="16"/>
        </w:rPr>
        <w:footnoteRef/>
      </w:r>
      <w:r w:rsidRPr="00836C24">
        <w:rPr>
          <w:rFonts w:asciiTheme="majorHAnsi" w:hAnsiTheme="majorHAnsi"/>
          <w:sz w:val="16"/>
          <w:szCs w:val="16"/>
          <w:lang w:val="es-CO"/>
        </w:rPr>
        <w:t xml:space="preserve"> </w:t>
      </w:r>
      <w:r w:rsidRPr="00836C24">
        <w:rPr>
          <w:rFonts w:asciiTheme="majorHAnsi" w:hAnsiTheme="majorHAnsi" w:cs="Verdana"/>
          <w:bCs/>
          <w:sz w:val="16"/>
          <w:szCs w:val="16"/>
          <w:lang w:val="es-CO"/>
        </w:rPr>
        <w:t xml:space="preserve">Corte IDH. Caso Hermanos Landaeta Mejías y otros vs. Venezuela. Excepciones Preliminares, Fondo, Reparaciones y Costas. Sentencia de 27 de agosto de 2014. Serie C No. 281, párr. 123; </w:t>
      </w:r>
      <w:r w:rsidRPr="00836C24">
        <w:rPr>
          <w:rFonts w:asciiTheme="majorHAnsi" w:hAnsiTheme="majorHAnsi"/>
          <w:sz w:val="16"/>
          <w:szCs w:val="16"/>
          <w:lang w:val="es-VE"/>
        </w:rPr>
        <w:t>CIDH, Caso 11.442, Informe No. 90/14, Fondo, Luis Jorge Valencia Hinojosa, Ecuador, 4 de noviembre de 2014, párr. 123.</w:t>
      </w:r>
    </w:p>
  </w:footnote>
  <w:footnote w:id="160">
    <w:p w:rsidR="00A83F22" w:rsidRPr="00836C24" w:rsidRDefault="00A83F22" w:rsidP="00E32B99">
      <w:pPr>
        <w:pStyle w:val="FootnoteText"/>
        <w:tabs>
          <w:tab w:val="left" w:pos="720"/>
        </w:tabs>
        <w:spacing w:after="120"/>
        <w:ind w:firstLine="720"/>
        <w:jc w:val="both"/>
        <w:rPr>
          <w:rFonts w:asciiTheme="majorHAnsi" w:hAnsiTheme="majorHAnsi"/>
          <w:sz w:val="16"/>
          <w:szCs w:val="16"/>
          <w:lang w:val="es-ES_tradnl"/>
        </w:rPr>
      </w:pPr>
      <w:r w:rsidRPr="00836C24">
        <w:rPr>
          <w:rStyle w:val="FootnoteReference"/>
          <w:rFonts w:asciiTheme="majorHAnsi" w:hAnsiTheme="majorHAnsi"/>
          <w:sz w:val="16"/>
          <w:szCs w:val="16"/>
        </w:rPr>
        <w:footnoteRef/>
      </w:r>
      <w:r w:rsidRPr="00836C24">
        <w:rPr>
          <w:rFonts w:asciiTheme="majorHAnsi" w:hAnsiTheme="majorHAnsi"/>
          <w:sz w:val="16"/>
          <w:szCs w:val="16"/>
          <w:lang w:val="es-MX"/>
        </w:rPr>
        <w:t xml:space="preserve"> CIDH. Informe No. 11/10. </w:t>
      </w:r>
      <w:r w:rsidRPr="00836C24">
        <w:rPr>
          <w:rFonts w:asciiTheme="majorHAnsi" w:hAnsiTheme="majorHAnsi"/>
          <w:sz w:val="16"/>
          <w:szCs w:val="16"/>
          <w:lang w:val="es-CO"/>
        </w:rPr>
        <w:t xml:space="preserve">Caso 12.488. Fondo. Miembros de la Familia Barrios. Venezuela. 16 de marzo de 2010. 91. </w:t>
      </w:r>
      <w:r w:rsidRPr="00836C24">
        <w:rPr>
          <w:rFonts w:asciiTheme="majorHAnsi" w:hAnsiTheme="majorHAnsi"/>
          <w:sz w:val="16"/>
          <w:szCs w:val="16"/>
          <w:lang w:val="es-ES_tradnl"/>
        </w:rPr>
        <w:t xml:space="preserve">CIDH. Informe sobre Terrorismo y Derechos Humanos. Párr. 88. </w:t>
      </w:r>
    </w:p>
  </w:footnote>
  <w:footnote w:id="161">
    <w:p w:rsidR="00A83F22" w:rsidRPr="00836C24" w:rsidRDefault="00A83F22" w:rsidP="00E32B99">
      <w:pPr>
        <w:pStyle w:val="FootnoteText"/>
        <w:tabs>
          <w:tab w:val="left" w:pos="720"/>
          <w:tab w:val="left" w:pos="900"/>
        </w:tabs>
        <w:spacing w:after="120"/>
        <w:ind w:firstLine="720"/>
        <w:jc w:val="both"/>
        <w:rPr>
          <w:rFonts w:asciiTheme="majorHAnsi" w:hAnsiTheme="majorHAnsi" w:cs="Arial"/>
          <w:sz w:val="16"/>
          <w:szCs w:val="16"/>
          <w:lang w:val="es-CO"/>
        </w:rPr>
      </w:pPr>
      <w:r w:rsidRPr="00836C24">
        <w:rPr>
          <w:rStyle w:val="FootnoteReference"/>
          <w:rFonts w:asciiTheme="majorHAnsi" w:hAnsiTheme="majorHAnsi"/>
          <w:sz w:val="16"/>
          <w:szCs w:val="16"/>
        </w:rPr>
        <w:footnoteRef/>
      </w:r>
      <w:r w:rsidRPr="00836C24">
        <w:rPr>
          <w:rFonts w:asciiTheme="majorHAnsi" w:hAnsiTheme="majorHAnsi"/>
          <w:sz w:val="16"/>
          <w:szCs w:val="16"/>
          <w:lang w:val="es-CO"/>
        </w:rPr>
        <w:t xml:space="preserve"> Corte IDH. </w:t>
      </w:r>
      <w:r w:rsidRPr="00836C24">
        <w:rPr>
          <w:rFonts w:asciiTheme="majorHAnsi" w:hAnsiTheme="majorHAnsi"/>
          <w:bCs/>
          <w:sz w:val="16"/>
          <w:szCs w:val="16"/>
          <w:lang w:val="es-CO"/>
        </w:rPr>
        <w:t xml:space="preserve">Caso Zambrano Vélez y otros Vs. Ecuador. </w:t>
      </w:r>
      <w:r w:rsidRPr="00836C24">
        <w:rPr>
          <w:rFonts w:asciiTheme="majorHAnsi" w:hAnsiTheme="majorHAnsi"/>
          <w:sz w:val="16"/>
          <w:szCs w:val="16"/>
          <w:lang w:val="es-CO"/>
        </w:rPr>
        <w:t xml:space="preserve">Fondo, Reparaciones y Costas. Sentencia de 4 de julio de 2007. Serie C No. 166. Párr. 108; </w:t>
      </w:r>
      <w:r w:rsidRPr="00836C24">
        <w:rPr>
          <w:rStyle w:val="Strong"/>
          <w:rFonts w:asciiTheme="majorHAnsi" w:hAnsiTheme="majorHAnsi"/>
          <w:b w:val="0"/>
          <w:sz w:val="16"/>
          <w:szCs w:val="16"/>
          <w:lang w:val="es-CO"/>
        </w:rPr>
        <w:t>Caso Cruz Sánchez y otros Vs. Perú. Excepciones Preliminares, Fondo, Reparaciones y Costas. Sentencia de 17 de abril de 2015. Serie C No. 292, párr. 291; y Caso Hermanos Landaeta Mejías y otros Vs. Venezuela. Excepciones Preliminares, Fondo, Reparaciones y Costas. Sentencia de 27 de agosto de 2014. Serie C No. 281. Párr. 132</w:t>
      </w:r>
      <w:r w:rsidRPr="00836C24">
        <w:rPr>
          <w:rStyle w:val="Strong"/>
          <w:rFonts w:asciiTheme="majorHAnsi" w:hAnsiTheme="majorHAnsi"/>
          <w:sz w:val="16"/>
          <w:szCs w:val="16"/>
          <w:lang w:val="es-CO"/>
        </w:rPr>
        <w:t>.</w:t>
      </w:r>
    </w:p>
  </w:footnote>
  <w:footnote w:id="162">
    <w:p w:rsidR="00A83F22" w:rsidRPr="00836C24" w:rsidRDefault="00A83F22" w:rsidP="00E32B99">
      <w:pPr>
        <w:pStyle w:val="FootnoteText"/>
        <w:tabs>
          <w:tab w:val="left" w:pos="720"/>
        </w:tabs>
        <w:spacing w:after="120"/>
        <w:ind w:firstLine="720"/>
        <w:jc w:val="both"/>
        <w:rPr>
          <w:rFonts w:asciiTheme="majorHAnsi" w:hAnsiTheme="majorHAnsi"/>
          <w:sz w:val="16"/>
          <w:szCs w:val="16"/>
          <w:lang w:val="es-CO"/>
        </w:rPr>
      </w:pPr>
      <w:r w:rsidRPr="00836C24">
        <w:rPr>
          <w:rStyle w:val="FootnoteReference"/>
          <w:rFonts w:asciiTheme="majorHAnsi" w:hAnsiTheme="majorHAnsi"/>
          <w:sz w:val="16"/>
          <w:szCs w:val="16"/>
        </w:rPr>
        <w:footnoteRef/>
      </w:r>
      <w:r w:rsidRPr="00836C24">
        <w:rPr>
          <w:rFonts w:asciiTheme="majorHAnsi" w:hAnsiTheme="majorHAnsi"/>
          <w:sz w:val="16"/>
          <w:szCs w:val="16"/>
          <w:lang w:val="es-CO"/>
        </w:rPr>
        <w:t xml:space="preserve"> ONU, Comité de Derechos Humanos. </w:t>
      </w:r>
      <w:r w:rsidRPr="00836C24">
        <w:rPr>
          <w:rFonts w:asciiTheme="majorHAnsi" w:hAnsiTheme="majorHAnsi"/>
          <w:iCs/>
          <w:sz w:val="16"/>
          <w:szCs w:val="16"/>
          <w:lang w:val="es-CO"/>
        </w:rPr>
        <w:t xml:space="preserve">Caso Irene Bleier Lewenhoff and Rosa Valiño de Bleier Vs. Uruguay. </w:t>
      </w:r>
      <w:r w:rsidRPr="00836C24">
        <w:rPr>
          <w:rFonts w:asciiTheme="majorHAnsi" w:hAnsiTheme="majorHAnsi"/>
          <w:sz w:val="16"/>
          <w:szCs w:val="16"/>
          <w:lang w:val="es-CO"/>
        </w:rPr>
        <w:t xml:space="preserve">Comunicación No. 30/1978, UN Doc. CCPR/C/OP/1, de 29 de Marzo de 1982, párr. 13.3; </w:t>
      </w:r>
      <w:r w:rsidRPr="00836C24">
        <w:rPr>
          <w:rFonts w:asciiTheme="majorHAnsi" w:hAnsiTheme="majorHAnsi"/>
          <w:iCs/>
          <w:sz w:val="16"/>
          <w:szCs w:val="16"/>
          <w:lang w:val="es-CO"/>
        </w:rPr>
        <w:t xml:space="preserve">Caso Albert Womah Mukong Vs. Camerún. </w:t>
      </w:r>
      <w:r w:rsidRPr="00836C24">
        <w:rPr>
          <w:rFonts w:asciiTheme="majorHAnsi" w:hAnsiTheme="majorHAnsi"/>
          <w:sz w:val="16"/>
          <w:szCs w:val="16"/>
          <w:lang w:val="es-CO"/>
        </w:rPr>
        <w:t xml:space="preserve">Comunicación No. 458/1991, UN Doc. CCPR/C/51/D/458/1991, de 21 de julio de 1994, párr. 9.2, y </w:t>
      </w:r>
      <w:r w:rsidRPr="00836C24">
        <w:rPr>
          <w:rFonts w:asciiTheme="majorHAnsi" w:hAnsiTheme="majorHAnsi"/>
          <w:iCs/>
          <w:sz w:val="16"/>
          <w:szCs w:val="16"/>
          <w:lang w:val="es-CO"/>
        </w:rPr>
        <w:t>Caso Turdukan Zhumbaeva Vs. Kyrgyzstan</w:t>
      </w:r>
      <w:r w:rsidRPr="00836C24">
        <w:rPr>
          <w:rFonts w:asciiTheme="majorHAnsi" w:hAnsiTheme="majorHAnsi"/>
          <w:sz w:val="16"/>
          <w:szCs w:val="16"/>
          <w:lang w:val="es-CO"/>
        </w:rPr>
        <w:t xml:space="preserve">. Comunicación Nº 1756/2008, UN Doc. CCPR/C/102/D/1756/2008, de 29 de julio de 2011, párr. 8.7.  </w:t>
      </w:r>
    </w:p>
  </w:footnote>
  <w:footnote w:id="163">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rPr>
        <w:footnoteRef/>
      </w:r>
      <w:r w:rsidRPr="00836C24">
        <w:rPr>
          <w:rFonts w:asciiTheme="majorHAnsi" w:hAnsiTheme="majorHAnsi"/>
          <w:sz w:val="16"/>
          <w:szCs w:val="16"/>
          <w:lang w:val="es-ES"/>
        </w:rPr>
        <w:t xml:space="preserve"> </w:t>
      </w:r>
      <w:r w:rsidRPr="00836C24">
        <w:rPr>
          <w:rFonts w:asciiTheme="majorHAnsi" w:eastAsia="Arial Unicode MS" w:hAnsiTheme="majorHAnsi" w:cs="Times New Roman"/>
          <w:bCs/>
          <w:sz w:val="16"/>
          <w:szCs w:val="16"/>
          <w:shd w:val="clear" w:color="auto" w:fill="FFFFFF"/>
          <w:lang w:val="es-ES" w:eastAsia="en-US"/>
        </w:rPr>
        <w:t>Corte IDH. Caso Hermanos Landaeta Mejías y otros Vs. Venezuela. Excepciones Preliminares, Fondo, Reparaciones y Costas. Sentencia de 27 de agosto de 2014. Serie C No. 281, párr. 134.</w:t>
      </w:r>
    </w:p>
  </w:footnote>
  <w:footnote w:id="164">
    <w:p w:rsidR="00A83F22" w:rsidRPr="00836C24" w:rsidRDefault="00A83F22" w:rsidP="00E32B99">
      <w:pPr>
        <w:tabs>
          <w:tab w:val="left" w:pos="720"/>
          <w:tab w:val="left" w:pos="900"/>
          <w:tab w:val="left" w:pos="1080"/>
        </w:tabs>
        <w:spacing w:after="120"/>
        <w:ind w:firstLine="720"/>
        <w:jc w:val="both"/>
        <w:rPr>
          <w:rFonts w:asciiTheme="majorHAnsi" w:hAnsiTheme="majorHAnsi"/>
          <w:sz w:val="16"/>
          <w:szCs w:val="16"/>
          <w:lang w:val="es-PE"/>
        </w:rPr>
      </w:pPr>
      <w:r w:rsidRPr="00836C24">
        <w:rPr>
          <w:rStyle w:val="FootnoteReference"/>
          <w:rFonts w:asciiTheme="majorHAnsi" w:hAnsiTheme="majorHAnsi"/>
          <w:sz w:val="16"/>
          <w:szCs w:val="16"/>
        </w:rPr>
        <w:footnoteRef/>
      </w:r>
      <w:r w:rsidRPr="00836C24">
        <w:rPr>
          <w:rFonts w:asciiTheme="majorHAnsi" w:hAnsiTheme="majorHAnsi"/>
          <w:sz w:val="16"/>
          <w:szCs w:val="16"/>
          <w:lang w:val="es-MX"/>
        </w:rPr>
        <w:t xml:space="preserve"> Corte IDH. Caso Nadege Dorzema y otros Vs. República Dominicana. Fondo Reparaciones y Costas. Sentencia de 24 de octubre de 2012 Serie C No. 251, párr. 85.</w:t>
      </w:r>
    </w:p>
  </w:footnote>
  <w:footnote w:id="165">
    <w:p w:rsidR="00A83F22" w:rsidRPr="00836C24" w:rsidRDefault="00A83F22" w:rsidP="00E32B99">
      <w:pPr>
        <w:tabs>
          <w:tab w:val="left" w:pos="720"/>
          <w:tab w:val="left" w:pos="900"/>
          <w:tab w:val="left" w:pos="1080"/>
        </w:tabs>
        <w:spacing w:after="120"/>
        <w:ind w:firstLine="720"/>
        <w:jc w:val="both"/>
        <w:rPr>
          <w:rFonts w:asciiTheme="majorHAnsi" w:hAnsiTheme="majorHAnsi"/>
          <w:sz w:val="16"/>
          <w:szCs w:val="16"/>
          <w:lang w:val="es-PE"/>
        </w:rPr>
      </w:pPr>
      <w:r w:rsidRPr="00836C24">
        <w:rPr>
          <w:rStyle w:val="FootnoteReference"/>
          <w:rFonts w:asciiTheme="majorHAnsi" w:hAnsiTheme="majorHAnsi"/>
          <w:sz w:val="16"/>
          <w:szCs w:val="16"/>
        </w:rPr>
        <w:footnoteRef/>
      </w:r>
      <w:r w:rsidRPr="00836C24">
        <w:rPr>
          <w:rFonts w:asciiTheme="majorHAnsi" w:hAnsiTheme="majorHAnsi" w:cs="Arial"/>
          <w:sz w:val="16"/>
          <w:szCs w:val="16"/>
          <w:lang w:val="es-CO"/>
        </w:rPr>
        <w:t xml:space="preserve"> </w:t>
      </w:r>
      <w:r w:rsidRPr="00836C24">
        <w:rPr>
          <w:rFonts w:asciiTheme="majorHAnsi" w:hAnsiTheme="majorHAnsi"/>
          <w:sz w:val="16"/>
          <w:szCs w:val="16"/>
          <w:lang w:val="es-ES"/>
        </w:rPr>
        <w:t xml:space="preserve">CIDH, Informe No. 85/13, Caso 12.251, Admisibilidad y Fondo, Vereda la Esperanza, Colombia, 4 de noviembre de 2013, párr. </w:t>
      </w:r>
      <w:r w:rsidRPr="00836C24">
        <w:rPr>
          <w:rFonts w:asciiTheme="majorHAnsi" w:hAnsiTheme="majorHAnsi"/>
          <w:sz w:val="16"/>
          <w:szCs w:val="16"/>
          <w:lang w:val="es-MX"/>
        </w:rPr>
        <w:t xml:space="preserve">242; y </w:t>
      </w:r>
      <w:r w:rsidRPr="00836C24">
        <w:rPr>
          <w:rFonts w:asciiTheme="majorHAnsi" w:hAnsiTheme="majorHAnsi" w:cs="Arial"/>
          <w:sz w:val="16"/>
          <w:szCs w:val="16"/>
          <w:lang w:val="es-CO"/>
        </w:rPr>
        <w:t xml:space="preserve">Corte IDH. Caso Kawas Fernández Vs. </w:t>
      </w:r>
      <w:r w:rsidRPr="00836C24">
        <w:rPr>
          <w:rFonts w:asciiTheme="majorHAnsi" w:hAnsiTheme="majorHAnsi" w:cs="Arial"/>
          <w:sz w:val="16"/>
          <w:szCs w:val="16"/>
          <w:lang w:val="es-MX"/>
        </w:rPr>
        <w:t>Honduras. Fondo, Reparaciones y Costas. Sentencia de 3 de abril de 2009 Serie C No. 196, párr. 75</w:t>
      </w:r>
      <w:r w:rsidRPr="00836C24">
        <w:rPr>
          <w:rFonts w:asciiTheme="majorHAnsi" w:hAnsiTheme="majorHAnsi"/>
          <w:sz w:val="16"/>
          <w:szCs w:val="16"/>
          <w:lang w:val="es-MX"/>
        </w:rPr>
        <w:t xml:space="preserve">. </w:t>
      </w:r>
    </w:p>
  </w:footnote>
  <w:footnote w:id="166">
    <w:p w:rsidR="00A83F22" w:rsidRPr="00836C24" w:rsidRDefault="00A83F22" w:rsidP="00E32B99">
      <w:pPr>
        <w:tabs>
          <w:tab w:val="left" w:pos="720"/>
        </w:tabs>
        <w:spacing w:after="120"/>
        <w:ind w:firstLine="720"/>
        <w:jc w:val="both"/>
        <w:rPr>
          <w:rFonts w:asciiTheme="majorHAnsi" w:hAnsiTheme="majorHAnsi"/>
          <w:sz w:val="16"/>
          <w:szCs w:val="16"/>
          <w:lang w:val="es-ES"/>
        </w:rPr>
      </w:pPr>
      <w:r w:rsidRPr="00836C24">
        <w:rPr>
          <w:rStyle w:val="FootnoteReference"/>
          <w:rFonts w:asciiTheme="majorHAnsi" w:hAnsiTheme="majorHAnsi"/>
          <w:sz w:val="16"/>
          <w:szCs w:val="16"/>
          <w:lang w:val="es-ES"/>
        </w:rPr>
        <w:footnoteRef/>
      </w:r>
      <w:r w:rsidRPr="00836C24">
        <w:rPr>
          <w:rFonts w:asciiTheme="majorHAnsi" w:hAnsiTheme="majorHAnsi"/>
          <w:sz w:val="16"/>
          <w:szCs w:val="16"/>
          <w:lang w:val="es-PE"/>
        </w:rPr>
        <w:t xml:space="preserve"> Corte IDH. </w:t>
      </w:r>
      <w:r w:rsidRPr="00836C24">
        <w:rPr>
          <w:rFonts w:asciiTheme="majorHAnsi" w:hAnsiTheme="majorHAnsi"/>
          <w:iCs/>
          <w:sz w:val="16"/>
          <w:szCs w:val="16"/>
          <w:lang w:val="es-PE"/>
        </w:rPr>
        <w:t xml:space="preserve">Caso Loayza Tamayo Vs. Perú. </w:t>
      </w:r>
      <w:r w:rsidRPr="00836C24">
        <w:rPr>
          <w:rFonts w:asciiTheme="majorHAnsi" w:hAnsiTheme="majorHAnsi"/>
          <w:iCs/>
          <w:sz w:val="16"/>
          <w:szCs w:val="16"/>
          <w:lang w:val="es-ES"/>
        </w:rPr>
        <w:t>Reparaciones</w:t>
      </w:r>
      <w:r w:rsidRPr="00836C24">
        <w:rPr>
          <w:rFonts w:asciiTheme="majorHAnsi" w:hAnsiTheme="majorHAnsi"/>
          <w:sz w:val="16"/>
          <w:szCs w:val="16"/>
          <w:lang w:val="es-ES"/>
        </w:rPr>
        <w:t xml:space="preserve">. Sentencia de 27 de noviembre de 1998. Serie C No. 42, párr. 169; </w:t>
      </w:r>
      <w:r w:rsidRPr="00836C24">
        <w:rPr>
          <w:rFonts w:asciiTheme="majorHAnsi" w:hAnsiTheme="majorHAnsi"/>
          <w:iCs/>
          <w:sz w:val="16"/>
          <w:szCs w:val="16"/>
          <w:lang w:val="es-ES"/>
        </w:rPr>
        <w:t>Caso Velásquez Rodríguez Vs. Honduras. Excepciones Preliminares</w:t>
      </w:r>
      <w:r w:rsidRPr="00836C24">
        <w:rPr>
          <w:rFonts w:asciiTheme="majorHAnsi" w:hAnsiTheme="majorHAnsi"/>
          <w:sz w:val="16"/>
          <w:szCs w:val="16"/>
          <w:lang w:val="es-ES"/>
        </w:rPr>
        <w:t>. Sentencia de 26 de junio de 1987. Serie C No. 1. párr. 91.</w:t>
      </w:r>
    </w:p>
  </w:footnote>
  <w:footnote w:id="167">
    <w:p w:rsidR="00A83F22" w:rsidRPr="00836C24" w:rsidRDefault="00A83F22" w:rsidP="00E32B99">
      <w:pPr>
        <w:tabs>
          <w:tab w:val="left" w:pos="720"/>
          <w:tab w:val="left" w:pos="900"/>
          <w:tab w:val="left" w:pos="1080"/>
        </w:tabs>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lang w:val="es-ES_tradnl"/>
        </w:rPr>
        <w:t xml:space="preserve"> </w:t>
      </w:r>
      <w:r w:rsidRPr="00836C24">
        <w:rPr>
          <w:rFonts w:asciiTheme="majorHAnsi" w:hAnsiTheme="majorHAnsi"/>
          <w:sz w:val="16"/>
          <w:szCs w:val="16"/>
          <w:lang w:val="es-MX"/>
        </w:rPr>
        <w:t xml:space="preserve">Corte IDH. Caso Almonacid Arellano y otros Vs. Chile. Sentencia de 26 de septiembre de 2006. </w:t>
      </w:r>
      <w:r w:rsidRPr="00836C24">
        <w:rPr>
          <w:rFonts w:asciiTheme="majorHAnsi" w:hAnsiTheme="majorHAnsi"/>
          <w:sz w:val="16"/>
          <w:szCs w:val="16"/>
          <w:lang w:val="es-ES"/>
        </w:rPr>
        <w:t xml:space="preserve">Serie C No. 154., párr. 118; </w:t>
      </w:r>
      <w:r w:rsidRPr="00836C24">
        <w:rPr>
          <w:rFonts w:asciiTheme="majorHAnsi" w:hAnsiTheme="majorHAnsi"/>
          <w:sz w:val="16"/>
          <w:szCs w:val="16"/>
          <w:lang w:val="es-ES_tradnl"/>
        </w:rPr>
        <w:t>y Caso “La Última Tentación de Cristo” (Olmedo Bustos y otros) Vs. Chile</w:t>
      </w:r>
      <w:r w:rsidRPr="00836C24">
        <w:rPr>
          <w:rFonts w:asciiTheme="majorHAnsi" w:hAnsiTheme="majorHAnsi"/>
          <w:sz w:val="16"/>
          <w:szCs w:val="16"/>
          <w:lang w:val="es-MX"/>
        </w:rPr>
        <w:t>. Sentencia de 5 de febrero de 2001. Serie C No. 73</w:t>
      </w:r>
      <w:r w:rsidRPr="00836C24">
        <w:rPr>
          <w:rFonts w:asciiTheme="majorHAnsi" w:hAnsiTheme="majorHAnsi"/>
          <w:sz w:val="16"/>
          <w:szCs w:val="16"/>
          <w:lang w:val="es-ES_tradnl"/>
        </w:rPr>
        <w:t xml:space="preserve">, párr. </w:t>
      </w:r>
      <w:r w:rsidRPr="00836C24">
        <w:rPr>
          <w:rFonts w:asciiTheme="majorHAnsi" w:hAnsiTheme="majorHAnsi"/>
          <w:sz w:val="16"/>
          <w:szCs w:val="16"/>
        </w:rPr>
        <w:t>85.</w:t>
      </w:r>
    </w:p>
  </w:footnote>
  <w:footnote w:id="168">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lang w:val="es-MX"/>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ECHR, </w:t>
      </w:r>
      <w:r w:rsidRPr="00836C24">
        <w:rPr>
          <w:rStyle w:val="ju-005fpara--char"/>
          <w:rFonts w:asciiTheme="majorHAnsi" w:hAnsiTheme="majorHAnsi"/>
          <w:iCs/>
          <w:sz w:val="16"/>
          <w:szCs w:val="16"/>
        </w:rPr>
        <w:t>McCann and Others v. the United Kingdom</w:t>
      </w:r>
      <w:r w:rsidRPr="00836C24">
        <w:rPr>
          <w:rFonts w:asciiTheme="majorHAnsi" w:hAnsiTheme="majorHAnsi"/>
          <w:sz w:val="16"/>
          <w:szCs w:val="16"/>
        </w:rPr>
        <w:t xml:space="preserve">, Application no. </w:t>
      </w:r>
      <w:r w:rsidRPr="00836C24">
        <w:rPr>
          <w:rFonts w:asciiTheme="majorHAnsi" w:hAnsiTheme="majorHAnsi"/>
          <w:sz w:val="16"/>
          <w:szCs w:val="16"/>
          <w:lang w:val="es-MX"/>
        </w:rPr>
        <w:t>No. 27229/95, September 1995, § 36.</w:t>
      </w:r>
    </w:p>
  </w:footnote>
  <w:footnote w:id="169">
    <w:p w:rsidR="00A83F22" w:rsidRPr="00836C24" w:rsidRDefault="00A83F22" w:rsidP="00E32B99">
      <w:pPr>
        <w:pStyle w:val="FootnoteText"/>
        <w:tabs>
          <w:tab w:val="left" w:pos="720"/>
          <w:tab w:val="left" w:pos="900"/>
          <w:tab w:val="left" w:pos="1080"/>
        </w:tabs>
        <w:spacing w:after="120"/>
        <w:ind w:firstLine="720"/>
        <w:jc w:val="both"/>
        <w:rPr>
          <w:rFonts w:asciiTheme="majorHAnsi" w:hAnsiTheme="majorHAnsi"/>
          <w:sz w:val="16"/>
          <w:szCs w:val="16"/>
        </w:rPr>
      </w:pPr>
      <w:r w:rsidRPr="00836C24">
        <w:rPr>
          <w:rStyle w:val="FootnoteReference"/>
          <w:rFonts w:asciiTheme="majorHAnsi" w:hAnsiTheme="majorHAnsi"/>
          <w:sz w:val="16"/>
          <w:szCs w:val="16"/>
        </w:rPr>
        <w:footnoteRef/>
      </w:r>
      <w:r w:rsidRPr="00836C24">
        <w:rPr>
          <w:rFonts w:asciiTheme="majorHAnsi" w:hAnsiTheme="majorHAnsi"/>
          <w:sz w:val="16"/>
          <w:szCs w:val="16"/>
        </w:rPr>
        <w:t xml:space="preserve"> ECHR, Milkhalkova and others v. Ukraine, Application no. 10919/05, 13 January 2011, § 42.</w:t>
      </w:r>
    </w:p>
  </w:footnote>
  <w:footnote w:id="170">
    <w:p w:rsidR="00A83F22" w:rsidRPr="00836C24" w:rsidRDefault="00A83F22" w:rsidP="00E32B99">
      <w:pPr>
        <w:pStyle w:val="FootnoteText"/>
        <w:spacing w:after="120"/>
        <w:ind w:firstLine="709"/>
        <w:jc w:val="both"/>
        <w:rPr>
          <w:rFonts w:asciiTheme="majorHAnsi" w:hAnsiTheme="majorHAnsi"/>
          <w:sz w:val="16"/>
          <w:szCs w:val="16"/>
          <w:lang w:val="es-PE"/>
        </w:rPr>
      </w:pPr>
      <w:r w:rsidRPr="00836C24">
        <w:rPr>
          <w:rStyle w:val="FootnoteReference"/>
          <w:rFonts w:asciiTheme="majorHAnsi" w:hAnsiTheme="majorHAnsi"/>
          <w:sz w:val="16"/>
          <w:szCs w:val="16"/>
        </w:rPr>
        <w:footnoteRef/>
      </w:r>
      <w:r w:rsidRPr="00836C24">
        <w:rPr>
          <w:rFonts w:asciiTheme="majorHAnsi" w:hAnsiTheme="majorHAnsi"/>
          <w:sz w:val="16"/>
          <w:szCs w:val="16"/>
          <w:lang w:val="es-MX"/>
        </w:rPr>
        <w:t xml:space="preserve"> Corte IDH. Caso Cantoral Huamaní y García Santa Cruz Vs. Perú. Excepción Preliminar, Fondo, Reparaciones y Costas. Sentencia de 10 de julio de 2007. Serie C No. 167, párr. 131.</w:t>
      </w:r>
    </w:p>
  </w:footnote>
  <w:footnote w:id="171">
    <w:p w:rsidR="00A83F22" w:rsidRPr="00836C24" w:rsidRDefault="00A83F22" w:rsidP="00E32B99">
      <w:pPr>
        <w:spacing w:after="120"/>
        <w:ind w:firstLine="709"/>
        <w:jc w:val="both"/>
        <w:rPr>
          <w:rFonts w:asciiTheme="majorHAnsi" w:hAnsiTheme="majorHAnsi"/>
          <w:sz w:val="16"/>
          <w:szCs w:val="16"/>
          <w:lang w:val="pt-BR"/>
        </w:rPr>
      </w:pPr>
      <w:r w:rsidRPr="00836C24">
        <w:rPr>
          <w:rStyle w:val="FootnoteReference"/>
          <w:rFonts w:asciiTheme="majorHAnsi" w:hAnsiTheme="majorHAnsi"/>
          <w:sz w:val="16"/>
          <w:szCs w:val="16"/>
          <w:lang w:val="es-ES"/>
        </w:rPr>
        <w:footnoteRef/>
      </w:r>
      <w:r w:rsidRPr="00836C24">
        <w:rPr>
          <w:rFonts w:asciiTheme="majorHAnsi" w:hAnsiTheme="majorHAnsi"/>
          <w:sz w:val="16"/>
          <w:szCs w:val="16"/>
          <w:lang w:val="es-ES"/>
        </w:rPr>
        <w:t xml:space="preserve"> CIDH, Informe de Fondo, N˚ 55/97, Juan Carlos Abella y Otros (Argentina), 18 de noviembre de 1997, párr. </w:t>
      </w:r>
      <w:r w:rsidRPr="00836C24">
        <w:rPr>
          <w:rFonts w:asciiTheme="majorHAnsi" w:hAnsiTheme="majorHAnsi"/>
          <w:sz w:val="16"/>
          <w:szCs w:val="16"/>
          <w:lang w:val="pt-BR"/>
        </w:rPr>
        <w:t>412.</w:t>
      </w:r>
    </w:p>
  </w:footnote>
  <w:footnote w:id="172">
    <w:p w:rsidR="00A83F22" w:rsidRPr="00836C24" w:rsidRDefault="00A83F22" w:rsidP="00E32B99">
      <w:pPr>
        <w:pStyle w:val="FootnoteText"/>
        <w:spacing w:after="120"/>
        <w:ind w:firstLine="709"/>
        <w:jc w:val="both"/>
        <w:rPr>
          <w:rFonts w:asciiTheme="majorHAnsi" w:hAnsiTheme="majorHAnsi"/>
          <w:sz w:val="16"/>
          <w:szCs w:val="16"/>
          <w:lang w:val="es-PE"/>
        </w:rPr>
      </w:pPr>
      <w:r w:rsidRPr="00836C24">
        <w:rPr>
          <w:rStyle w:val="FootnoteReference"/>
          <w:rFonts w:asciiTheme="majorHAnsi" w:hAnsiTheme="majorHAnsi"/>
          <w:sz w:val="16"/>
          <w:szCs w:val="16"/>
        </w:rPr>
        <w:footnoteRef/>
      </w:r>
      <w:r w:rsidRPr="00836C24">
        <w:rPr>
          <w:rFonts w:asciiTheme="majorHAnsi" w:hAnsiTheme="majorHAnsi"/>
          <w:sz w:val="16"/>
          <w:szCs w:val="16"/>
          <w:lang w:val="pt-BR"/>
        </w:rPr>
        <w:t xml:space="preserve">CIDH, Informe No. 25/09 Fondo (Sebastião Camargo Filho) Brasil, 19 de marzo de 2009, párr. </w:t>
      </w:r>
      <w:r w:rsidRPr="00836C24">
        <w:rPr>
          <w:rFonts w:asciiTheme="majorHAnsi" w:hAnsiTheme="majorHAnsi"/>
          <w:sz w:val="16"/>
          <w:szCs w:val="16"/>
          <w:lang w:val="es-ES_tradnl"/>
        </w:rPr>
        <w:t xml:space="preserve">109. Ver también, </w:t>
      </w:r>
      <w:r w:rsidRPr="00836C24">
        <w:rPr>
          <w:rFonts w:asciiTheme="majorHAnsi" w:hAnsiTheme="majorHAnsi"/>
          <w:sz w:val="16"/>
          <w:szCs w:val="16"/>
          <w:lang w:val="es-VE"/>
        </w:rPr>
        <w:t xml:space="preserve">CIDH, Acceso a la Justicia para las Mujeres Víctimas de Violencia en las Américas, </w:t>
      </w:r>
      <w:r w:rsidRPr="00836C24">
        <w:rPr>
          <w:rFonts w:asciiTheme="majorHAnsi" w:hAnsiTheme="majorHAnsi"/>
          <w:sz w:val="16"/>
          <w:szCs w:val="16"/>
          <w:lang w:val="es-ES_tradnl"/>
        </w:rPr>
        <w:t>OEA/Ser. L/V/II. doc.68, 20 de enero de 2007, párr. 41.</w:t>
      </w:r>
    </w:p>
  </w:footnote>
  <w:footnote w:id="173">
    <w:p w:rsidR="00A83F22" w:rsidRPr="00836C24" w:rsidRDefault="00A83F22" w:rsidP="00E32B99">
      <w:pPr>
        <w:pStyle w:val="FootnoteText"/>
        <w:spacing w:after="120"/>
        <w:ind w:firstLine="709"/>
        <w:jc w:val="both"/>
        <w:rPr>
          <w:rFonts w:asciiTheme="majorHAnsi" w:hAnsiTheme="majorHAnsi"/>
          <w:sz w:val="16"/>
          <w:szCs w:val="16"/>
          <w:lang w:val="es-PE"/>
        </w:rPr>
      </w:pPr>
      <w:r w:rsidRPr="00836C24">
        <w:rPr>
          <w:rStyle w:val="FootnoteReference"/>
          <w:rFonts w:asciiTheme="majorHAnsi" w:hAnsiTheme="majorHAnsi"/>
          <w:sz w:val="16"/>
          <w:szCs w:val="16"/>
        </w:rPr>
        <w:footnoteRef/>
      </w:r>
      <w:r w:rsidRPr="00836C24">
        <w:rPr>
          <w:rFonts w:asciiTheme="majorHAnsi" w:hAnsiTheme="majorHAnsi"/>
          <w:sz w:val="16"/>
          <w:szCs w:val="16"/>
          <w:lang w:val="es-MX"/>
        </w:rPr>
        <w:t xml:space="preserve"> </w:t>
      </w:r>
      <w:r w:rsidRPr="00836C24">
        <w:rPr>
          <w:rFonts w:asciiTheme="majorHAnsi" w:hAnsiTheme="majorHAnsi"/>
          <w:sz w:val="16"/>
          <w:szCs w:val="16"/>
          <w:lang w:val="es-PE"/>
        </w:rPr>
        <w:t xml:space="preserve">Corte IDH. </w:t>
      </w:r>
      <w:r w:rsidRPr="00836C24">
        <w:rPr>
          <w:rFonts w:asciiTheme="majorHAnsi" w:hAnsiTheme="majorHAnsi"/>
          <w:iCs/>
          <w:sz w:val="16"/>
          <w:szCs w:val="16"/>
          <w:lang w:val="es-ES_tradnl"/>
        </w:rPr>
        <w:t>Caso de los “Niños de la Calle” (Villagrán Morales y otros).</w:t>
      </w:r>
      <w:r w:rsidRPr="00836C24">
        <w:rPr>
          <w:rFonts w:asciiTheme="majorHAnsi" w:hAnsiTheme="majorHAnsi"/>
          <w:sz w:val="16"/>
          <w:szCs w:val="16"/>
          <w:lang w:val="es-ES_tradnl"/>
        </w:rPr>
        <w:t xml:space="preserve"> Sentencia de 19 de noviembre de 1999. Serie C No. 63,</w:t>
      </w:r>
      <w:r w:rsidRPr="00836C24">
        <w:rPr>
          <w:rFonts w:asciiTheme="majorHAnsi" w:hAnsiTheme="majorHAnsi"/>
          <w:sz w:val="16"/>
          <w:szCs w:val="16"/>
          <w:lang w:val="es-CR"/>
        </w:rPr>
        <w:t xml:space="preserve"> párr. 230. </w:t>
      </w:r>
      <w:r w:rsidRPr="00836C24">
        <w:rPr>
          <w:rFonts w:asciiTheme="majorHAnsi" w:hAnsiTheme="majorHAnsi"/>
          <w:sz w:val="16"/>
          <w:szCs w:val="16"/>
          <w:lang w:val="es-ES_tradnl"/>
        </w:rPr>
        <w:t xml:space="preserve">Ver también, </w:t>
      </w:r>
      <w:r w:rsidRPr="00836C24">
        <w:rPr>
          <w:rFonts w:asciiTheme="majorHAnsi" w:hAnsiTheme="majorHAnsi"/>
          <w:sz w:val="16"/>
          <w:szCs w:val="16"/>
          <w:lang w:val="es-VE"/>
        </w:rPr>
        <w:t xml:space="preserve">CIDH, Acceso a la Justicia para las Mujeres Víctimas de Violencia en las Américas, </w:t>
      </w:r>
      <w:r w:rsidRPr="00836C24">
        <w:rPr>
          <w:rFonts w:asciiTheme="majorHAnsi" w:hAnsiTheme="majorHAnsi"/>
          <w:sz w:val="16"/>
          <w:szCs w:val="16"/>
          <w:lang w:val="es-ES_tradnl"/>
        </w:rPr>
        <w:t>OEA/Ser. L/V/II. doc.68, 20 de enero de 2007, párr. 41.</w:t>
      </w:r>
    </w:p>
  </w:footnote>
  <w:footnote w:id="174">
    <w:p w:rsidR="00A83F22" w:rsidRPr="00E32B99" w:rsidRDefault="00A83F22" w:rsidP="00E32B99">
      <w:pPr>
        <w:pStyle w:val="FootnoteText"/>
        <w:spacing w:after="120"/>
        <w:ind w:firstLine="720"/>
        <w:jc w:val="both"/>
        <w:rPr>
          <w:rFonts w:asciiTheme="majorHAnsi" w:hAnsiTheme="majorHAnsi"/>
          <w:sz w:val="16"/>
          <w:szCs w:val="16"/>
          <w:lang w:val="es-VE"/>
        </w:rPr>
      </w:pPr>
      <w:r w:rsidRPr="00836C24">
        <w:rPr>
          <w:rStyle w:val="FootnoteReference"/>
          <w:rFonts w:asciiTheme="majorHAnsi" w:hAnsiTheme="majorHAnsi"/>
          <w:sz w:val="16"/>
          <w:szCs w:val="16"/>
        </w:rPr>
        <w:footnoteRef/>
      </w:r>
      <w:r w:rsidRPr="00836C24">
        <w:rPr>
          <w:rFonts w:asciiTheme="majorHAnsi" w:hAnsiTheme="majorHAnsi"/>
          <w:sz w:val="16"/>
          <w:szCs w:val="16"/>
          <w:lang w:val="es-VE"/>
        </w:rPr>
        <w:t xml:space="preserve"> Corte IDH. Caso Juan Humberto Sánchez vs. Honduras. Excepciones Preliminares, Fondo, Reparaciones y Costas. Sentencia de 7 de junio de 2003. Serie C No. 99, párr.128.</w:t>
      </w:r>
      <w:r w:rsidRPr="00E32B99">
        <w:rPr>
          <w:rFonts w:asciiTheme="majorHAnsi" w:hAnsiTheme="majorHAnsi"/>
          <w:sz w:val="16"/>
          <w:szCs w:val="16"/>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22" w:rsidRDefault="00A83F22"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83F22" w:rsidRDefault="00A83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22" w:rsidRDefault="00A83F22" w:rsidP="00A50FCF">
    <w:pPr>
      <w:pStyle w:val="Header"/>
      <w:tabs>
        <w:tab w:val="clear" w:pos="4320"/>
        <w:tab w:val="clear" w:pos="8640"/>
      </w:tabs>
      <w:jc w:val="center"/>
      <w:rPr>
        <w:sz w:val="22"/>
        <w:szCs w:val="22"/>
      </w:rPr>
    </w:pPr>
    <w:r>
      <w:rPr>
        <w:noProof/>
        <w:sz w:val="22"/>
        <w:szCs w:val="22"/>
      </w:rPr>
      <w:drawing>
        <wp:inline distT="0" distB="0" distL="0" distR="0" wp14:anchorId="063A9589" wp14:editId="1087501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83F22" w:rsidRPr="00EC7D62" w:rsidRDefault="00A83F22" w:rsidP="00A50FCF">
    <w:pPr>
      <w:pStyle w:val="Header"/>
      <w:tabs>
        <w:tab w:val="clear" w:pos="4320"/>
        <w:tab w:val="clear" w:pos="8640"/>
      </w:tabs>
      <w:jc w:val="center"/>
      <w:rPr>
        <w:sz w:val="22"/>
        <w:szCs w:val="22"/>
      </w:rPr>
    </w:pPr>
    <w:r>
      <w:rPr>
        <w:sz w:val="22"/>
        <w:szCs w:val="22"/>
      </w:rPr>
      <w:pict w14:anchorId="21088BF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6EC6EC4"/>
    <w:multiLevelType w:val="hybridMultilevel"/>
    <w:tmpl w:val="C89826B4"/>
    <w:lvl w:ilvl="0" w:tplc="37401D20">
      <w:start w:val="1"/>
      <w:numFmt w:val="decimal"/>
      <w:lvlText w:val="%1."/>
      <w:lvlJc w:val="left"/>
      <w:pPr>
        <w:ind w:left="1080" w:hanging="360"/>
      </w:pPr>
      <w:rPr>
        <w:rFonts w:hint="default"/>
        <w:lang w:val="es-ES_tradn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81037BD"/>
    <w:multiLevelType w:val="multilevel"/>
    <w:tmpl w:val="3BBE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FE8103F"/>
    <w:multiLevelType w:val="hybridMultilevel"/>
    <w:tmpl w:val="7C20510A"/>
    <w:lvl w:ilvl="0" w:tplc="0546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8C235C"/>
    <w:multiLevelType w:val="multilevel"/>
    <w:tmpl w:val="CC52E276"/>
    <w:lvl w:ilvl="0">
      <w:start w:val="1"/>
      <w:numFmt w:val="decimal"/>
      <w:lvlText w:val="%1."/>
      <w:lvlJc w:val="left"/>
      <w:pPr>
        <w:ind w:left="1080" w:hanging="360"/>
      </w:pPr>
      <w:rPr>
        <w:rFonts w:ascii="Cambria" w:hAnsi="Cambria" w:hint="default"/>
        <w:sz w:val="16"/>
        <w:szCs w:val="16"/>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1B1060"/>
    <w:multiLevelType w:val="hybridMultilevel"/>
    <w:tmpl w:val="C24A11D0"/>
    <w:lvl w:ilvl="0" w:tplc="A5BCB49E">
      <w:start w:val="1"/>
      <w:numFmt w:val="upperLetter"/>
      <w:lvlText w:val="%1."/>
      <w:lvlJc w:val="left"/>
      <w:pPr>
        <w:ind w:left="11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C61D90"/>
    <w:multiLevelType w:val="hybridMultilevel"/>
    <w:tmpl w:val="26BC633E"/>
    <w:lvl w:ilvl="0" w:tplc="CC2E9194">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E3E6238"/>
    <w:multiLevelType w:val="multilevel"/>
    <w:tmpl w:val="99C8F59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3F06B0B"/>
    <w:multiLevelType w:val="hybridMultilevel"/>
    <w:tmpl w:val="186AFED2"/>
    <w:lvl w:ilvl="0" w:tplc="86A875A4">
      <w:start w:val="1"/>
      <w:numFmt w:val="upp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6A101BB"/>
    <w:multiLevelType w:val="hybridMultilevel"/>
    <w:tmpl w:val="8B9A016A"/>
    <w:lvl w:ilvl="0" w:tplc="CB3E82CC">
      <w:start w:val="1"/>
      <w:numFmt w:val="upperRoman"/>
      <w:lvlText w:val="%1."/>
      <w:lvlJc w:val="left"/>
      <w:pPr>
        <w:tabs>
          <w:tab w:val="num" w:pos="1440"/>
        </w:tabs>
        <w:ind w:left="1440" w:hanging="720"/>
      </w:pPr>
      <w:rPr>
        <w:rFonts w:cs="Times New Roman" w:hint="default"/>
        <w:b/>
      </w:rPr>
    </w:lvl>
    <w:lvl w:ilvl="1" w:tplc="15EEB154">
      <w:start w:val="1"/>
      <w:numFmt w:val="decimal"/>
      <w:lvlText w:val="%2."/>
      <w:lvlJc w:val="left"/>
      <w:pPr>
        <w:tabs>
          <w:tab w:val="num" w:pos="1800"/>
        </w:tabs>
        <w:ind w:left="1800" w:hanging="360"/>
      </w:pPr>
      <w:rPr>
        <w:rFonts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A52205B"/>
    <w:multiLevelType w:val="hybridMultilevel"/>
    <w:tmpl w:val="1C3A3166"/>
    <w:lvl w:ilvl="0" w:tplc="905452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6EE50F68"/>
    <w:multiLevelType w:val="multilevel"/>
    <w:tmpl w:val="E05488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72E03F7A"/>
    <w:multiLevelType w:val="multilevel"/>
    <w:tmpl w:val="FBA6C8A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3"/>
  </w:num>
  <w:num w:numId="4">
    <w:abstractNumId w:val="24"/>
  </w:num>
  <w:num w:numId="5">
    <w:abstractNumId w:val="54"/>
  </w:num>
  <w:num w:numId="6">
    <w:abstractNumId w:val="30"/>
  </w:num>
  <w:num w:numId="7">
    <w:abstractNumId w:val="6"/>
  </w:num>
  <w:num w:numId="8">
    <w:abstractNumId w:val="18"/>
  </w:num>
  <w:num w:numId="9">
    <w:abstractNumId w:val="49"/>
  </w:num>
  <w:num w:numId="10">
    <w:abstractNumId w:val="1"/>
  </w:num>
  <w:num w:numId="11">
    <w:abstractNumId w:val="41"/>
  </w:num>
  <w:num w:numId="12">
    <w:abstractNumId w:val="42"/>
  </w:num>
  <w:num w:numId="13">
    <w:abstractNumId w:val="50"/>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9"/>
  </w:num>
  <w:num w:numId="26">
    <w:abstractNumId w:val="20"/>
  </w:num>
  <w:num w:numId="27">
    <w:abstractNumId w:val="25"/>
  </w:num>
  <w:num w:numId="28">
    <w:abstractNumId w:val="26"/>
  </w:num>
  <w:num w:numId="29">
    <w:abstractNumId w:val="27"/>
  </w:num>
  <w:num w:numId="30">
    <w:abstractNumId w:val="29"/>
  </w:num>
  <w:num w:numId="31">
    <w:abstractNumId w:val="31"/>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5"/>
  </w:num>
  <w:num w:numId="40">
    <w:abstractNumId w:val="46"/>
  </w:num>
  <w:num w:numId="41">
    <w:abstractNumId w:val="53"/>
  </w:num>
  <w:num w:numId="42">
    <w:abstractNumId w:val="56"/>
  </w:num>
  <w:num w:numId="43">
    <w:abstractNumId w:val="58"/>
  </w:num>
  <w:num w:numId="44">
    <w:abstractNumId w:val="61"/>
  </w:num>
  <w:num w:numId="45">
    <w:abstractNumId w:val="62"/>
  </w:num>
  <w:num w:numId="46">
    <w:abstractNumId w:val="64"/>
  </w:num>
  <w:num w:numId="47">
    <w:abstractNumId w:val="65"/>
  </w:num>
  <w:num w:numId="48">
    <w:abstractNumId w:val="66"/>
  </w:num>
  <w:num w:numId="49">
    <w:abstractNumId w:val="68"/>
  </w:num>
  <w:num w:numId="50">
    <w:abstractNumId w:val="69"/>
  </w:num>
  <w:num w:numId="51">
    <w:abstractNumId w:val="23"/>
  </w:num>
  <w:num w:numId="52">
    <w:abstractNumId w:val="47"/>
  </w:num>
  <w:num w:numId="53">
    <w:abstractNumId w:val="51"/>
  </w:num>
  <w:num w:numId="54">
    <w:abstractNumId w:val="44"/>
  </w:num>
  <w:num w:numId="55">
    <w:abstractNumId w:val="55"/>
  </w:num>
  <w:num w:numId="56">
    <w:abstractNumId w:val="0"/>
  </w:num>
  <w:num w:numId="57">
    <w:abstractNumId w:val="67"/>
  </w:num>
  <w:num w:numId="58">
    <w:abstractNumId w:val="33"/>
  </w:num>
  <w:num w:numId="59">
    <w:abstractNumId w:val="32"/>
  </w:num>
  <w:num w:numId="60">
    <w:abstractNumId w:val="48"/>
  </w:num>
  <w:num w:numId="61">
    <w:abstractNumId w:val="28"/>
  </w:num>
  <w:num w:numId="62">
    <w:abstractNumId w:val="21"/>
  </w:num>
  <w:num w:numId="63">
    <w:abstractNumId w:val="22"/>
  </w:num>
  <w:num w:numId="64">
    <w:abstractNumId w:val="52"/>
  </w:num>
  <w:num w:numId="65">
    <w:abstractNumId w:val="43"/>
  </w:num>
  <w:num w:numId="66">
    <w:abstractNumId w:val="57"/>
  </w:num>
  <w:num w:numId="67">
    <w:abstractNumId w:val="17"/>
  </w:num>
  <w:num w:numId="68">
    <w:abstractNumId w:val="60"/>
  </w:num>
  <w:num w:numId="69">
    <w:abstractNumId w:val="59"/>
  </w:num>
  <w:num w:numId="70">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65"/>
    <w:rsid w:val="000002C8"/>
    <w:rsid w:val="0000032A"/>
    <w:rsid w:val="00000333"/>
    <w:rsid w:val="0000036F"/>
    <w:rsid w:val="00000472"/>
    <w:rsid w:val="00000645"/>
    <w:rsid w:val="00000CDA"/>
    <w:rsid w:val="00000D64"/>
    <w:rsid w:val="00000F71"/>
    <w:rsid w:val="00000FB1"/>
    <w:rsid w:val="000011BD"/>
    <w:rsid w:val="000016B0"/>
    <w:rsid w:val="000017F9"/>
    <w:rsid w:val="00001855"/>
    <w:rsid w:val="00001FAC"/>
    <w:rsid w:val="00002210"/>
    <w:rsid w:val="0000270F"/>
    <w:rsid w:val="00002784"/>
    <w:rsid w:val="00002F3A"/>
    <w:rsid w:val="00003017"/>
    <w:rsid w:val="00003756"/>
    <w:rsid w:val="000037CA"/>
    <w:rsid w:val="00003C0A"/>
    <w:rsid w:val="00003E8B"/>
    <w:rsid w:val="00003F84"/>
    <w:rsid w:val="00004149"/>
    <w:rsid w:val="00004260"/>
    <w:rsid w:val="00004302"/>
    <w:rsid w:val="00004579"/>
    <w:rsid w:val="0000484F"/>
    <w:rsid w:val="000049DA"/>
    <w:rsid w:val="00004A86"/>
    <w:rsid w:val="00004CD3"/>
    <w:rsid w:val="00004DE7"/>
    <w:rsid w:val="000059E7"/>
    <w:rsid w:val="00005A60"/>
    <w:rsid w:val="00005ACB"/>
    <w:rsid w:val="00005CC5"/>
    <w:rsid w:val="00005E52"/>
    <w:rsid w:val="00005F8B"/>
    <w:rsid w:val="00006210"/>
    <w:rsid w:val="00006454"/>
    <w:rsid w:val="000065BB"/>
    <w:rsid w:val="0000665B"/>
    <w:rsid w:val="000066E8"/>
    <w:rsid w:val="00006939"/>
    <w:rsid w:val="00006AEB"/>
    <w:rsid w:val="00006B28"/>
    <w:rsid w:val="00006E1F"/>
    <w:rsid w:val="00006F41"/>
    <w:rsid w:val="00006FC6"/>
    <w:rsid w:val="000070D7"/>
    <w:rsid w:val="00007135"/>
    <w:rsid w:val="0000713D"/>
    <w:rsid w:val="0000721C"/>
    <w:rsid w:val="000072F0"/>
    <w:rsid w:val="0000789A"/>
    <w:rsid w:val="000079F2"/>
    <w:rsid w:val="00007C3A"/>
    <w:rsid w:val="00007D20"/>
    <w:rsid w:val="00007E1F"/>
    <w:rsid w:val="00007E84"/>
    <w:rsid w:val="00007EBD"/>
    <w:rsid w:val="00010146"/>
    <w:rsid w:val="00010828"/>
    <w:rsid w:val="00010836"/>
    <w:rsid w:val="00010E7B"/>
    <w:rsid w:val="00010F73"/>
    <w:rsid w:val="00010FC1"/>
    <w:rsid w:val="000111A4"/>
    <w:rsid w:val="00011213"/>
    <w:rsid w:val="0001139F"/>
    <w:rsid w:val="000116A9"/>
    <w:rsid w:val="0001172F"/>
    <w:rsid w:val="00011738"/>
    <w:rsid w:val="00011A95"/>
    <w:rsid w:val="00011BC3"/>
    <w:rsid w:val="00011BFA"/>
    <w:rsid w:val="00011D28"/>
    <w:rsid w:val="000129F6"/>
    <w:rsid w:val="00012E69"/>
    <w:rsid w:val="00012E8F"/>
    <w:rsid w:val="00013196"/>
    <w:rsid w:val="00013262"/>
    <w:rsid w:val="00013304"/>
    <w:rsid w:val="00013730"/>
    <w:rsid w:val="0001377C"/>
    <w:rsid w:val="00013833"/>
    <w:rsid w:val="00013ABA"/>
    <w:rsid w:val="00013EF8"/>
    <w:rsid w:val="00014052"/>
    <w:rsid w:val="0001468F"/>
    <w:rsid w:val="000147EE"/>
    <w:rsid w:val="000152F0"/>
    <w:rsid w:val="000156A6"/>
    <w:rsid w:val="000159EC"/>
    <w:rsid w:val="00015B68"/>
    <w:rsid w:val="00015C39"/>
    <w:rsid w:val="00015CF2"/>
    <w:rsid w:val="00015EEB"/>
    <w:rsid w:val="00016415"/>
    <w:rsid w:val="00016669"/>
    <w:rsid w:val="000167C9"/>
    <w:rsid w:val="00016D21"/>
    <w:rsid w:val="00016D84"/>
    <w:rsid w:val="00016F24"/>
    <w:rsid w:val="0001714B"/>
    <w:rsid w:val="000175F4"/>
    <w:rsid w:val="00017661"/>
    <w:rsid w:val="0001788C"/>
    <w:rsid w:val="00017896"/>
    <w:rsid w:val="00017A0C"/>
    <w:rsid w:val="00017AC3"/>
    <w:rsid w:val="00017B7E"/>
    <w:rsid w:val="00017D12"/>
    <w:rsid w:val="00017E9A"/>
    <w:rsid w:val="00020394"/>
    <w:rsid w:val="00020576"/>
    <w:rsid w:val="00020701"/>
    <w:rsid w:val="000209DF"/>
    <w:rsid w:val="00021607"/>
    <w:rsid w:val="000216A9"/>
    <w:rsid w:val="000216C0"/>
    <w:rsid w:val="00021B34"/>
    <w:rsid w:val="00021B90"/>
    <w:rsid w:val="00021D6E"/>
    <w:rsid w:val="00021EB3"/>
    <w:rsid w:val="00022008"/>
    <w:rsid w:val="0002248F"/>
    <w:rsid w:val="000224F0"/>
    <w:rsid w:val="00022680"/>
    <w:rsid w:val="00022CE6"/>
    <w:rsid w:val="00023070"/>
    <w:rsid w:val="0002339E"/>
    <w:rsid w:val="000234A9"/>
    <w:rsid w:val="0002381A"/>
    <w:rsid w:val="0002392D"/>
    <w:rsid w:val="00023C43"/>
    <w:rsid w:val="00023CC4"/>
    <w:rsid w:val="00023F0A"/>
    <w:rsid w:val="0002440E"/>
    <w:rsid w:val="0002480B"/>
    <w:rsid w:val="00024A05"/>
    <w:rsid w:val="00024A8B"/>
    <w:rsid w:val="00024A9E"/>
    <w:rsid w:val="00024DB4"/>
    <w:rsid w:val="00024F9A"/>
    <w:rsid w:val="00025118"/>
    <w:rsid w:val="0002538A"/>
    <w:rsid w:val="000258DF"/>
    <w:rsid w:val="00025A94"/>
    <w:rsid w:val="00025C4B"/>
    <w:rsid w:val="00026077"/>
    <w:rsid w:val="00026570"/>
    <w:rsid w:val="00026687"/>
    <w:rsid w:val="00026955"/>
    <w:rsid w:val="00026E33"/>
    <w:rsid w:val="00026EEE"/>
    <w:rsid w:val="00026FEC"/>
    <w:rsid w:val="00027093"/>
    <w:rsid w:val="00027161"/>
    <w:rsid w:val="000272B8"/>
    <w:rsid w:val="0002773C"/>
    <w:rsid w:val="00027921"/>
    <w:rsid w:val="0002796C"/>
    <w:rsid w:val="00027BC7"/>
    <w:rsid w:val="00027E8E"/>
    <w:rsid w:val="000302DD"/>
    <w:rsid w:val="000308E4"/>
    <w:rsid w:val="000309CA"/>
    <w:rsid w:val="00030CAE"/>
    <w:rsid w:val="00030CF4"/>
    <w:rsid w:val="00030D5E"/>
    <w:rsid w:val="00030EEA"/>
    <w:rsid w:val="00030EEC"/>
    <w:rsid w:val="0003101C"/>
    <w:rsid w:val="0003117D"/>
    <w:rsid w:val="0003140D"/>
    <w:rsid w:val="0003150E"/>
    <w:rsid w:val="00031F77"/>
    <w:rsid w:val="00032079"/>
    <w:rsid w:val="000322A7"/>
    <w:rsid w:val="000329AF"/>
    <w:rsid w:val="00032AF7"/>
    <w:rsid w:val="00032C1D"/>
    <w:rsid w:val="00032DB2"/>
    <w:rsid w:val="00032DD1"/>
    <w:rsid w:val="00033658"/>
    <w:rsid w:val="00033798"/>
    <w:rsid w:val="00033A34"/>
    <w:rsid w:val="00033C0A"/>
    <w:rsid w:val="00033C8B"/>
    <w:rsid w:val="00033D3F"/>
    <w:rsid w:val="00033E63"/>
    <w:rsid w:val="0003418C"/>
    <w:rsid w:val="000341A8"/>
    <w:rsid w:val="00034465"/>
    <w:rsid w:val="00034479"/>
    <w:rsid w:val="000345D8"/>
    <w:rsid w:val="00034608"/>
    <w:rsid w:val="0003487D"/>
    <w:rsid w:val="000348CD"/>
    <w:rsid w:val="000349FD"/>
    <w:rsid w:val="00034B03"/>
    <w:rsid w:val="00034B08"/>
    <w:rsid w:val="000351F0"/>
    <w:rsid w:val="000353C6"/>
    <w:rsid w:val="00035565"/>
    <w:rsid w:val="00035642"/>
    <w:rsid w:val="00035866"/>
    <w:rsid w:val="00035898"/>
    <w:rsid w:val="0003596B"/>
    <w:rsid w:val="00035F23"/>
    <w:rsid w:val="00035F55"/>
    <w:rsid w:val="00036090"/>
    <w:rsid w:val="00036215"/>
    <w:rsid w:val="00036409"/>
    <w:rsid w:val="0003681B"/>
    <w:rsid w:val="0003720D"/>
    <w:rsid w:val="0003738C"/>
    <w:rsid w:val="00037754"/>
    <w:rsid w:val="00037942"/>
    <w:rsid w:val="00037C0D"/>
    <w:rsid w:val="00037D4A"/>
    <w:rsid w:val="00037DD7"/>
    <w:rsid w:val="00040177"/>
    <w:rsid w:val="000403C2"/>
    <w:rsid w:val="0004040B"/>
    <w:rsid w:val="000404C8"/>
    <w:rsid w:val="000407EB"/>
    <w:rsid w:val="00040AE9"/>
    <w:rsid w:val="00040B5F"/>
    <w:rsid w:val="00040C3A"/>
    <w:rsid w:val="00040E37"/>
    <w:rsid w:val="00040EE5"/>
    <w:rsid w:val="0004176A"/>
    <w:rsid w:val="00041976"/>
    <w:rsid w:val="00041A0C"/>
    <w:rsid w:val="00041BD3"/>
    <w:rsid w:val="00041CCA"/>
    <w:rsid w:val="000422ED"/>
    <w:rsid w:val="000423AC"/>
    <w:rsid w:val="00042707"/>
    <w:rsid w:val="00042748"/>
    <w:rsid w:val="000427BE"/>
    <w:rsid w:val="00042807"/>
    <w:rsid w:val="000428AA"/>
    <w:rsid w:val="00042AA3"/>
    <w:rsid w:val="00042B39"/>
    <w:rsid w:val="0004316F"/>
    <w:rsid w:val="00043246"/>
    <w:rsid w:val="000436BC"/>
    <w:rsid w:val="00043744"/>
    <w:rsid w:val="00043959"/>
    <w:rsid w:val="00043A9B"/>
    <w:rsid w:val="00043B7E"/>
    <w:rsid w:val="0004416B"/>
    <w:rsid w:val="000443AB"/>
    <w:rsid w:val="000444CD"/>
    <w:rsid w:val="0004481A"/>
    <w:rsid w:val="00044B69"/>
    <w:rsid w:val="00044D50"/>
    <w:rsid w:val="00044DFD"/>
    <w:rsid w:val="0004559B"/>
    <w:rsid w:val="000455F8"/>
    <w:rsid w:val="00045932"/>
    <w:rsid w:val="00045AA7"/>
    <w:rsid w:val="00045C17"/>
    <w:rsid w:val="00045EAD"/>
    <w:rsid w:val="000460A7"/>
    <w:rsid w:val="00046100"/>
    <w:rsid w:val="0004618D"/>
    <w:rsid w:val="00046395"/>
    <w:rsid w:val="000465C7"/>
    <w:rsid w:val="0004682F"/>
    <w:rsid w:val="000469F1"/>
    <w:rsid w:val="00046B21"/>
    <w:rsid w:val="00046BF1"/>
    <w:rsid w:val="00046C0E"/>
    <w:rsid w:val="0004735A"/>
    <w:rsid w:val="000473FB"/>
    <w:rsid w:val="00047441"/>
    <w:rsid w:val="00047885"/>
    <w:rsid w:val="000479B6"/>
    <w:rsid w:val="00047DE8"/>
    <w:rsid w:val="0005068C"/>
    <w:rsid w:val="00050A98"/>
    <w:rsid w:val="00050BD1"/>
    <w:rsid w:val="0005105A"/>
    <w:rsid w:val="00051497"/>
    <w:rsid w:val="00051C33"/>
    <w:rsid w:val="00051C44"/>
    <w:rsid w:val="00051FFA"/>
    <w:rsid w:val="000521A8"/>
    <w:rsid w:val="000525EF"/>
    <w:rsid w:val="0005283E"/>
    <w:rsid w:val="00052A54"/>
    <w:rsid w:val="00052C79"/>
    <w:rsid w:val="00052E3D"/>
    <w:rsid w:val="000531B7"/>
    <w:rsid w:val="0005362B"/>
    <w:rsid w:val="0005370C"/>
    <w:rsid w:val="00053C8B"/>
    <w:rsid w:val="00053D00"/>
    <w:rsid w:val="00053EDB"/>
    <w:rsid w:val="00053FC6"/>
    <w:rsid w:val="00054266"/>
    <w:rsid w:val="00054314"/>
    <w:rsid w:val="0005482F"/>
    <w:rsid w:val="0005493D"/>
    <w:rsid w:val="00054BCE"/>
    <w:rsid w:val="00054D12"/>
    <w:rsid w:val="00054D4F"/>
    <w:rsid w:val="00055001"/>
    <w:rsid w:val="000551F8"/>
    <w:rsid w:val="000553EC"/>
    <w:rsid w:val="000554EC"/>
    <w:rsid w:val="00055503"/>
    <w:rsid w:val="0005571E"/>
    <w:rsid w:val="00055963"/>
    <w:rsid w:val="00055AAA"/>
    <w:rsid w:val="000561C0"/>
    <w:rsid w:val="000562FB"/>
    <w:rsid w:val="000566C8"/>
    <w:rsid w:val="0005677C"/>
    <w:rsid w:val="00056859"/>
    <w:rsid w:val="00056C6B"/>
    <w:rsid w:val="00056E11"/>
    <w:rsid w:val="000570A5"/>
    <w:rsid w:val="000574FF"/>
    <w:rsid w:val="0005789F"/>
    <w:rsid w:val="000579EC"/>
    <w:rsid w:val="00060F12"/>
    <w:rsid w:val="00061278"/>
    <w:rsid w:val="00061389"/>
    <w:rsid w:val="00061C6E"/>
    <w:rsid w:val="00061D6C"/>
    <w:rsid w:val="00062052"/>
    <w:rsid w:val="0006210F"/>
    <w:rsid w:val="00062663"/>
    <w:rsid w:val="0006292A"/>
    <w:rsid w:val="00062A19"/>
    <w:rsid w:val="00062AD7"/>
    <w:rsid w:val="00062B74"/>
    <w:rsid w:val="00062DAA"/>
    <w:rsid w:val="00062F65"/>
    <w:rsid w:val="00062F68"/>
    <w:rsid w:val="0006337A"/>
    <w:rsid w:val="000640B9"/>
    <w:rsid w:val="00064379"/>
    <w:rsid w:val="0006453F"/>
    <w:rsid w:val="000646CE"/>
    <w:rsid w:val="00064785"/>
    <w:rsid w:val="00064809"/>
    <w:rsid w:val="00064A26"/>
    <w:rsid w:val="00064A4D"/>
    <w:rsid w:val="00064AAD"/>
    <w:rsid w:val="00064CCA"/>
    <w:rsid w:val="00064D5C"/>
    <w:rsid w:val="00064E24"/>
    <w:rsid w:val="00064F88"/>
    <w:rsid w:val="00065322"/>
    <w:rsid w:val="00065907"/>
    <w:rsid w:val="000659A5"/>
    <w:rsid w:val="00065A77"/>
    <w:rsid w:val="00065FA9"/>
    <w:rsid w:val="000662FE"/>
    <w:rsid w:val="0006645E"/>
    <w:rsid w:val="000664AA"/>
    <w:rsid w:val="000668E2"/>
    <w:rsid w:val="00066AF8"/>
    <w:rsid w:val="00066CC1"/>
    <w:rsid w:val="00066DC1"/>
    <w:rsid w:val="00066DC3"/>
    <w:rsid w:val="00066EF0"/>
    <w:rsid w:val="00066EF9"/>
    <w:rsid w:val="00066FD3"/>
    <w:rsid w:val="000670F6"/>
    <w:rsid w:val="00067387"/>
    <w:rsid w:val="000673D7"/>
    <w:rsid w:val="000673DA"/>
    <w:rsid w:val="00067805"/>
    <w:rsid w:val="0006782A"/>
    <w:rsid w:val="00067A21"/>
    <w:rsid w:val="00067A85"/>
    <w:rsid w:val="00067E17"/>
    <w:rsid w:val="0007061E"/>
    <w:rsid w:val="0007068E"/>
    <w:rsid w:val="000708D6"/>
    <w:rsid w:val="000709B6"/>
    <w:rsid w:val="00070D39"/>
    <w:rsid w:val="00070D46"/>
    <w:rsid w:val="00071078"/>
    <w:rsid w:val="000710A8"/>
    <w:rsid w:val="0007147B"/>
    <w:rsid w:val="000714A8"/>
    <w:rsid w:val="000716C5"/>
    <w:rsid w:val="00071B3F"/>
    <w:rsid w:val="00072066"/>
    <w:rsid w:val="000723BA"/>
    <w:rsid w:val="00072A6F"/>
    <w:rsid w:val="00072D08"/>
    <w:rsid w:val="000731E4"/>
    <w:rsid w:val="00073293"/>
    <w:rsid w:val="00073485"/>
    <w:rsid w:val="00073559"/>
    <w:rsid w:val="0007379B"/>
    <w:rsid w:val="000738B8"/>
    <w:rsid w:val="00073936"/>
    <w:rsid w:val="00073C75"/>
    <w:rsid w:val="00073F9D"/>
    <w:rsid w:val="0007430D"/>
    <w:rsid w:val="00074739"/>
    <w:rsid w:val="00074A38"/>
    <w:rsid w:val="00074A70"/>
    <w:rsid w:val="00074FE8"/>
    <w:rsid w:val="00075027"/>
    <w:rsid w:val="00075262"/>
    <w:rsid w:val="00075334"/>
    <w:rsid w:val="00075397"/>
    <w:rsid w:val="000754FE"/>
    <w:rsid w:val="000756B3"/>
    <w:rsid w:val="00075D33"/>
    <w:rsid w:val="00075E23"/>
    <w:rsid w:val="00075F8F"/>
    <w:rsid w:val="0007618C"/>
    <w:rsid w:val="000765B6"/>
    <w:rsid w:val="000766DB"/>
    <w:rsid w:val="00076A85"/>
    <w:rsid w:val="00076F4F"/>
    <w:rsid w:val="0007700D"/>
    <w:rsid w:val="000771A8"/>
    <w:rsid w:val="0007724E"/>
    <w:rsid w:val="000776FB"/>
    <w:rsid w:val="0007798E"/>
    <w:rsid w:val="00077A05"/>
    <w:rsid w:val="00077B82"/>
    <w:rsid w:val="00077C02"/>
    <w:rsid w:val="00077C82"/>
    <w:rsid w:val="00077E55"/>
    <w:rsid w:val="00077E68"/>
    <w:rsid w:val="0008002E"/>
    <w:rsid w:val="00080090"/>
    <w:rsid w:val="00080D8C"/>
    <w:rsid w:val="00080E85"/>
    <w:rsid w:val="00081000"/>
    <w:rsid w:val="00081241"/>
    <w:rsid w:val="000815AB"/>
    <w:rsid w:val="00081789"/>
    <w:rsid w:val="000817EB"/>
    <w:rsid w:val="00081831"/>
    <w:rsid w:val="00081915"/>
    <w:rsid w:val="000819B7"/>
    <w:rsid w:val="00082212"/>
    <w:rsid w:val="00082268"/>
    <w:rsid w:val="0008286E"/>
    <w:rsid w:val="00082981"/>
    <w:rsid w:val="00082D95"/>
    <w:rsid w:val="00082DFB"/>
    <w:rsid w:val="00082FD1"/>
    <w:rsid w:val="000831D4"/>
    <w:rsid w:val="000832CE"/>
    <w:rsid w:val="00083563"/>
    <w:rsid w:val="00083645"/>
    <w:rsid w:val="00083661"/>
    <w:rsid w:val="000838F8"/>
    <w:rsid w:val="00083CD3"/>
    <w:rsid w:val="00083E46"/>
    <w:rsid w:val="000840CC"/>
    <w:rsid w:val="0008426D"/>
    <w:rsid w:val="000846D0"/>
    <w:rsid w:val="00084A48"/>
    <w:rsid w:val="00085014"/>
    <w:rsid w:val="000852BF"/>
    <w:rsid w:val="00085342"/>
    <w:rsid w:val="0008583A"/>
    <w:rsid w:val="000858E8"/>
    <w:rsid w:val="000859B7"/>
    <w:rsid w:val="00085AAE"/>
    <w:rsid w:val="00085C02"/>
    <w:rsid w:val="00085F41"/>
    <w:rsid w:val="00086043"/>
    <w:rsid w:val="000862C6"/>
    <w:rsid w:val="000863E5"/>
    <w:rsid w:val="00086897"/>
    <w:rsid w:val="00086AA8"/>
    <w:rsid w:val="0008725D"/>
    <w:rsid w:val="0008736F"/>
    <w:rsid w:val="000873CC"/>
    <w:rsid w:val="000877E4"/>
    <w:rsid w:val="00087C95"/>
    <w:rsid w:val="00087CA8"/>
    <w:rsid w:val="00087D18"/>
    <w:rsid w:val="00087F4C"/>
    <w:rsid w:val="000900D2"/>
    <w:rsid w:val="0009019E"/>
    <w:rsid w:val="00090355"/>
    <w:rsid w:val="000903E0"/>
    <w:rsid w:val="000905B3"/>
    <w:rsid w:val="00090C6F"/>
    <w:rsid w:val="00091369"/>
    <w:rsid w:val="00091B5A"/>
    <w:rsid w:val="00092133"/>
    <w:rsid w:val="000923CA"/>
    <w:rsid w:val="00092B3D"/>
    <w:rsid w:val="00092DCD"/>
    <w:rsid w:val="00092EEA"/>
    <w:rsid w:val="00093196"/>
    <w:rsid w:val="00093275"/>
    <w:rsid w:val="0009344A"/>
    <w:rsid w:val="000936FF"/>
    <w:rsid w:val="00093BA5"/>
    <w:rsid w:val="00093C1D"/>
    <w:rsid w:val="00094037"/>
    <w:rsid w:val="0009424C"/>
    <w:rsid w:val="00094499"/>
    <w:rsid w:val="000949E4"/>
    <w:rsid w:val="00095659"/>
    <w:rsid w:val="000958A5"/>
    <w:rsid w:val="00095959"/>
    <w:rsid w:val="00095BE7"/>
    <w:rsid w:val="00096E32"/>
    <w:rsid w:val="000971C4"/>
    <w:rsid w:val="000972F8"/>
    <w:rsid w:val="00097447"/>
    <w:rsid w:val="0009765A"/>
    <w:rsid w:val="0009773E"/>
    <w:rsid w:val="000978D9"/>
    <w:rsid w:val="0009791F"/>
    <w:rsid w:val="00097DA5"/>
    <w:rsid w:val="00097FAD"/>
    <w:rsid w:val="000A0531"/>
    <w:rsid w:val="000A057E"/>
    <w:rsid w:val="000A064B"/>
    <w:rsid w:val="000A0655"/>
    <w:rsid w:val="000A06F5"/>
    <w:rsid w:val="000A0743"/>
    <w:rsid w:val="000A083B"/>
    <w:rsid w:val="000A0CF5"/>
    <w:rsid w:val="000A0D6F"/>
    <w:rsid w:val="000A103F"/>
    <w:rsid w:val="000A12EE"/>
    <w:rsid w:val="000A13D0"/>
    <w:rsid w:val="000A14BC"/>
    <w:rsid w:val="000A1664"/>
    <w:rsid w:val="000A17E2"/>
    <w:rsid w:val="000A180A"/>
    <w:rsid w:val="000A195F"/>
    <w:rsid w:val="000A1973"/>
    <w:rsid w:val="000A1C54"/>
    <w:rsid w:val="000A1CBC"/>
    <w:rsid w:val="000A2034"/>
    <w:rsid w:val="000A2060"/>
    <w:rsid w:val="000A2066"/>
    <w:rsid w:val="000A22FF"/>
    <w:rsid w:val="000A23C0"/>
    <w:rsid w:val="000A2610"/>
    <w:rsid w:val="000A268B"/>
    <w:rsid w:val="000A27F3"/>
    <w:rsid w:val="000A2868"/>
    <w:rsid w:val="000A2904"/>
    <w:rsid w:val="000A2C17"/>
    <w:rsid w:val="000A2C5F"/>
    <w:rsid w:val="000A30E2"/>
    <w:rsid w:val="000A3352"/>
    <w:rsid w:val="000A35B7"/>
    <w:rsid w:val="000A373B"/>
    <w:rsid w:val="000A392E"/>
    <w:rsid w:val="000A395F"/>
    <w:rsid w:val="000A3ADC"/>
    <w:rsid w:val="000A3AFC"/>
    <w:rsid w:val="000A3FCF"/>
    <w:rsid w:val="000A495B"/>
    <w:rsid w:val="000A4BDA"/>
    <w:rsid w:val="000A51A6"/>
    <w:rsid w:val="000A546E"/>
    <w:rsid w:val="000A54CF"/>
    <w:rsid w:val="000A55A4"/>
    <w:rsid w:val="000A5657"/>
    <w:rsid w:val="000A56CB"/>
    <w:rsid w:val="000A575F"/>
    <w:rsid w:val="000A5A10"/>
    <w:rsid w:val="000A5CD6"/>
    <w:rsid w:val="000A5E04"/>
    <w:rsid w:val="000A5FEB"/>
    <w:rsid w:val="000A7128"/>
    <w:rsid w:val="000A73B5"/>
    <w:rsid w:val="000A76B6"/>
    <w:rsid w:val="000A777B"/>
    <w:rsid w:val="000A77DD"/>
    <w:rsid w:val="000A77FA"/>
    <w:rsid w:val="000A7E6B"/>
    <w:rsid w:val="000B062E"/>
    <w:rsid w:val="000B063D"/>
    <w:rsid w:val="000B08E4"/>
    <w:rsid w:val="000B099E"/>
    <w:rsid w:val="000B0AB4"/>
    <w:rsid w:val="000B0AD2"/>
    <w:rsid w:val="000B0B59"/>
    <w:rsid w:val="000B0B6B"/>
    <w:rsid w:val="000B0C9D"/>
    <w:rsid w:val="000B0CCE"/>
    <w:rsid w:val="000B12AB"/>
    <w:rsid w:val="000B143A"/>
    <w:rsid w:val="000B15F9"/>
    <w:rsid w:val="000B1B6C"/>
    <w:rsid w:val="000B1E2E"/>
    <w:rsid w:val="000B21D2"/>
    <w:rsid w:val="000B2317"/>
    <w:rsid w:val="000B2869"/>
    <w:rsid w:val="000B2D3E"/>
    <w:rsid w:val="000B2DDA"/>
    <w:rsid w:val="000B2FC1"/>
    <w:rsid w:val="000B33A5"/>
    <w:rsid w:val="000B389F"/>
    <w:rsid w:val="000B3E7D"/>
    <w:rsid w:val="000B3F89"/>
    <w:rsid w:val="000B40ED"/>
    <w:rsid w:val="000B421C"/>
    <w:rsid w:val="000B4935"/>
    <w:rsid w:val="000B4B9B"/>
    <w:rsid w:val="000B4DD2"/>
    <w:rsid w:val="000B5C0D"/>
    <w:rsid w:val="000B5EF5"/>
    <w:rsid w:val="000B60D1"/>
    <w:rsid w:val="000B68EE"/>
    <w:rsid w:val="000B6C88"/>
    <w:rsid w:val="000B6CA3"/>
    <w:rsid w:val="000B6F56"/>
    <w:rsid w:val="000B7175"/>
    <w:rsid w:val="000B7473"/>
    <w:rsid w:val="000B77D4"/>
    <w:rsid w:val="000C0358"/>
    <w:rsid w:val="000C0E5C"/>
    <w:rsid w:val="000C0F9F"/>
    <w:rsid w:val="000C1465"/>
    <w:rsid w:val="000C14E7"/>
    <w:rsid w:val="000C174B"/>
    <w:rsid w:val="000C185A"/>
    <w:rsid w:val="000C1AEB"/>
    <w:rsid w:val="000C1C31"/>
    <w:rsid w:val="000C1C40"/>
    <w:rsid w:val="000C1F2C"/>
    <w:rsid w:val="000C21D9"/>
    <w:rsid w:val="000C246A"/>
    <w:rsid w:val="000C2B26"/>
    <w:rsid w:val="000C2D1E"/>
    <w:rsid w:val="000C2FC6"/>
    <w:rsid w:val="000C34D5"/>
    <w:rsid w:val="000C3537"/>
    <w:rsid w:val="000C35AA"/>
    <w:rsid w:val="000C38D0"/>
    <w:rsid w:val="000C3FAF"/>
    <w:rsid w:val="000C44F4"/>
    <w:rsid w:val="000C4608"/>
    <w:rsid w:val="000C4643"/>
    <w:rsid w:val="000C46DB"/>
    <w:rsid w:val="000C49E5"/>
    <w:rsid w:val="000C4F2A"/>
    <w:rsid w:val="000C50A7"/>
    <w:rsid w:val="000C521B"/>
    <w:rsid w:val="000C53B7"/>
    <w:rsid w:val="000C5670"/>
    <w:rsid w:val="000C5702"/>
    <w:rsid w:val="000C57F5"/>
    <w:rsid w:val="000C5826"/>
    <w:rsid w:val="000C5BC3"/>
    <w:rsid w:val="000C5BC5"/>
    <w:rsid w:val="000C5FF7"/>
    <w:rsid w:val="000C606A"/>
    <w:rsid w:val="000C610A"/>
    <w:rsid w:val="000C6197"/>
    <w:rsid w:val="000C6396"/>
    <w:rsid w:val="000C67F1"/>
    <w:rsid w:val="000C6BA3"/>
    <w:rsid w:val="000C6D0F"/>
    <w:rsid w:val="000C6E2F"/>
    <w:rsid w:val="000C6F08"/>
    <w:rsid w:val="000C720D"/>
    <w:rsid w:val="000C74AA"/>
    <w:rsid w:val="000C7731"/>
    <w:rsid w:val="000C7A01"/>
    <w:rsid w:val="000C7DF3"/>
    <w:rsid w:val="000C7FD6"/>
    <w:rsid w:val="000D05BC"/>
    <w:rsid w:val="000D0883"/>
    <w:rsid w:val="000D10DB"/>
    <w:rsid w:val="000D13F2"/>
    <w:rsid w:val="000D180C"/>
    <w:rsid w:val="000D1921"/>
    <w:rsid w:val="000D197F"/>
    <w:rsid w:val="000D1A13"/>
    <w:rsid w:val="000D1F6E"/>
    <w:rsid w:val="000D2081"/>
    <w:rsid w:val="000D2264"/>
    <w:rsid w:val="000D2722"/>
    <w:rsid w:val="000D2AC5"/>
    <w:rsid w:val="000D2B31"/>
    <w:rsid w:val="000D2BBE"/>
    <w:rsid w:val="000D2CA1"/>
    <w:rsid w:val="000D2E8A"/>
    <w:rsid w:val="000D2EB4"/>
    <w:rsid w:val="000D2FEA"/>
    <w:rsid w:val="000D3087"/>
    <w:rsid w:val="000D30AD"/>
    <w:rsid w:val="000D3568"/>
    <w:rsid w:val="000D38BF"/>
    <w:rsid w:val="000D3CCE"/>
    <w:rsid w:val="000D3FFB"/>
    <w:rsid w:val="000D4302"/>
    <w:rsid w:val="000D467B"/>
    <w:rsid w:val="000D47FD"/>
    <w:rsid w:val="000D4EDA"/>
    <w:rsid w:val="000D532D"/>
    <w:rsid w:val="000D5813"/>
    <w:rsid w:val="000D5B0A"/>
    <w:rsid w:val="000D5F45"/>
    <w:rsid w:val="000D60AC"/>
    <w:rsid w:val="000D610A"/>
    <w:rsid w:val="000D63AB"/>
    <w:rsid w:val="000D6940"/>
    <w:rsid w:val="000D6C2C"/>
    <w:rsid w:val="000D6F0B"/>
    <w:rsid w:val="000D6F86"/>
    <w:rsid w:val="000D7268"/>
    <w:rsid w:val="000D77A5"/>
    <w:rsid w:val="000D7D62"/>
    <w:rsid w:val="000D7E5C"/>
    <w:rsid w:val="000D7FE4"/>
    <w:rsid w:val="000E08AE"/>
    <w:rsid w:val="000E0926"/>
    <w:rsid w:val="000E115B"/>
    <w:rsid w:val="000E1361"/>
    <w:rsid w:val="000E13FE"/>
    <w:rsid w:val="000E15C5"/>
    <w:rsid w:val="000E15E0"/>
    <w:rsid w:val="000E1735"/>
    <w:rsid w:val="000E1754"/>
    <w:rsid w:val="000E2205"/>
    <w:rsid w:val="000E2692"/>
    <w:rsid w:val="000E26E8"/>
    <w:rsid w:val="000E2B85"/>
    <w:rsid w:val="000E2C13"/>
    <w:rsid w:val="000E2D08"/>
    <w:rsid w:val="000E2F92"/>
    <w:rsid w:val="000E33DF"/>
    <w:rsid w:val="000E3494"/>
    <w:rsid w:val="000E36B8"/>
    <w:rsid w:val="000E36DB"/>
    <w:rsid w:val="000E417B"/>
    <w:rsid w:val="000E41D6"/>
    <w:rsid w:val="000E43B8"/>
    <w:rsid w:val="000E4430"/>
    <w:rsid w:val="000E451B"/>
    <w:rsid w:val="000E4C6D"/>
    <w:rsid w:val="000E4DE0"/>
    <w:rsid w:val="000E4F17"/>
    <w:rsid w:val="000E5533"/>
    <w:rsid w:val="000E5573"/>
    <w:rsid w:val="000E568E"/>
    <w:rsid w:val="000E5E47"/>
    <w:rsid w:val="000E5EB5"/>
    <w:rsid w:val="000E5F2D"/>
    <w:rsid w:val="000E6341"/>
    <w:rsid w:val="000E6354"/>
    <w:rsid w:val="000E6571"/>
    <w:rsid w:val="000E68C0"/>
    <w:rsid w:val="000E696E"/>
    <w:rsid w:val="000E6A01"/>
    <w:rsid w:val="000E6BB4"/>
    <w:rsid w:val="000E6D56"/>
    <w:rsid w:val="000E6E28"/>
    <w:rsid w:val="000E6F30"/>
    <w:rsid w:val="000E7026"/>
    <w:rsid w:val="000E74A1"/>
    <w:rsid w:val="000E75B9"/>
    <w:rsid w:val="000E786A"/>
    <w:rsid w:val="000E79C6"/>
    <w:rsid w:val="000E7A84"/>
    <w:rsid w:val="000E7AB0"/>
    <w:rsid w:val="000E7DB1"/>
    <w:rsid w:val="000E7F36"/>
    <w:rsid w:val="000F01D6"/>
    <w:rsid w:val="000F02CF"/>
    <w:rsid w:val="000F02DD"/>
    <w:rsid w:val="000F05CF"/>
    <w:rsid w:val="000F0614"/>
    <w:rsid w:val="000F0780"/>
    <w:rsid w:val="000F08E9"/>
    <w:rsid w:val="000F0B6A"/>
    <w:rsid w:val="000F0BDE"/>
    <w:rsid w:val="000F0D0E"/>
    <w:rsid w:val="000F0D25"/>
    <w:rsid w:val="000F0FCE"/>
    <w:rsid w:val="000F11EC"/>
    <w:rsid w:val="000F13A9"/>
    <w:rsid w:val="000F144C"/>
    <w:rsid w:val="000F1550"/>
    <w:rsid w:val="000F15CF"/>
    <w:rsid w:val="000F1847"/>
    <w:rsid w:val="000F1BFB"/>
    <w:rsid w:val="000F20A0"/>
    <w:rsid w:val="000F24D2"/>
    <w:rsid w:val="000F2783"/>
    <w:rsid w:val="000F28D2"/>
    <w:rsid w:val="000F2C6B"/>
    <w:rsid w:val="000F30EA"/>
    <w:rsid w:val="000F3321"/>
    <w:rsid w:val="000F373A"/>
    <w:rsid w:val="000F3750"/>
    <w:rsid w:val="000F37CF"/>
    <w:rsid w:val="000F4474"/>
    <w:rsid w:val="000F4860"/>
    <w:rsid w:val="000F4AD6"/>
    <w:rsid w:val="000F4BEA"/>
    <w:rsid w:val="000F5157"/>
    <w:rsid w:val="000F536B"/>
    <w:rsid w:val="000F57A1"/>
    <w:rsid w:val="000F5858"/>
    <w:rsid w:val="000F5A43"/>
    <w:rsid w:val="000F5F5D"/>
    <w:rsid w:val="000F60D7"/>
    <w:rsid w:val="000F6422"/>
    <w:rsid w:val="000F664E"/>
    <w:rsid w:val="000F67BF"/>
    <w:rsid w:val="000F6895"/>
    <w:rsid w:val="000F6BAD"/>
    <w:rsid w:val="000F7590"/>
    <w:rsid w:val="000F7AA3"/>
    <w:rsid w:val="001000AB"/>
    <w:rsid w:val="001001AF"/>
    <w:rsid w:val="00100457"/>
    <w:rsid w:val="001007B4"/>
    <w:rsid w:val="00100911"/>
    <w:rsid w:val="00100A54"/>
    <w:rsid w:val="00100C29"/>
    <w:rsid w:val="00100DF8"/>
    <w:rsid w:val="00100E78"/>
    <w:rsid w:val="00101020"/>
    <w:rsid w:val="001013B1"/>
    <w:rsid w:val="001013B3"/>
    <w:rsid w:val="001015B1"/>
    <w:rsid w:val="0010161C"/>
    <w:rsid w:val="0010163B"/>
    <w:rsid w:val="00101D95"/>
    <w:rsid w:val="0010210A"/>
    <w:rsid w:val="0010239E"/>
    <w:rsid w:val="00102BA3"/>
    <w:rsid w:val="00102E54"/>
    <w:rsid w:val="00103114"/>
    <w:rsid w:val="00103220"/>
    <w:rsid w:val="00103340"/>
    <w:rsid w:val="00103453"/>
    <w:rsid w:val="00103563"/>
    <w:rsid w:val="00103A90"/>
    <w:rsid w:val="00103F08"/>
    <w:rsid w:val="00104006"/>
    <w:rsid w:val="0010409F"/>
    <w:rsid w:val="001041CF"/>
    <w:rsid w:val="0010427D"/>
    <w:rsid w:val="00104550"/>
    <w:rsid w:val="0010487A"/>
    <w:rsid w:val="001048C3"/>
    <w:rsid w:val="00104D50"/>
    <w:rsid w:val="00104EEF"/>
    <w:rsid w:val="00104F2B"/>
    <w:rsid w:val="00104F8F"/>
    <w:rsid w:val="00105168"/>
    <w:rsid w:val="00105208"/>
    <w:rsid w:val="00105495"/>
    <w:rsid w:val="00105618"/>
    <w:rsid w:val="001058D8"/>
    <w:rsid w:val="00105BF1"/>
    <w:rsid w:val="00105BFF"/>
    <w:rsid w:val="00105C91"/>
    <w:rsid w:val="00105F78"/>
    <w:rsid w:val="00106184"/>
    <w:rsid w:val="001063C9"/>
    <w:rsid w:val="00106478"/>
    <w:rsid w:val="001069C6"/>
    <w:rsid w:val="00106BB9"/>
    <w:rsid w:val="00106D45"/>
    <w:rsid w:val="00106F98"/>
    <w:rsid w:val="00107131"/>
    <w:rsid w:val="001072D6"/>
    <w:rsid w:val="001072DB"/>
    <w:rsid w:val="0010736F"/>
    <w:rsid w:val="0010779C"/>
    <w:rsid w:val="00107C7C"/>
    <w:rsid w:val="00107DE1"/>
    <w:rsid w:val="00107E5D"/>
    <w:rsid w:val="001108C5"/>
    <w:rsid w:val="001108D8"/>
    <w:rsid w:val="00110AC6"/>
    <w:rsid w:val="00111119"/>
    <w:rsid w:val="00111342"/>
    <w:rsid w:val="0011146D"/>
    <w:rsid w:val="00111511"/>
    <w:rsid w:val="00111D6D"/>
    <w:rsid w:val="00111D90"/>
    <w:rsid w:val="001121B5"/>
    <w:rsid w:val="0011230D"/>
    <w:rsid w:val="0011287E"/>
    <w:rsid w:val="001129E9"/>
    <w:rsid w:val="00112E9A"/>
    <w:rsid w:val="00112EC0"/>
    <w:rsid w:val="001135F0"/>
    <w:rsid w:val="001137BC"/>
    <w:rsid w:val="0011380D"/>
    <w:rsid w:val="001138D7"/>
    <w:rsid w:val="00113BF1"/>
    <w:rsid w:val="00113E36"/>
    <w:rsid w:val="00113F73"/>
    <w:rsid w:val="00114098"/>
    <w:rsid w:val="00114195"/>
    <w:rsid w:val="0011455B"/>
    <w:rsid w:val="00114738"/>
    <w:rsid w:val="001148E3"/>
    <w:rsid w:val="00114A3E"/>
    <w:rsid w:val="00114DF5"/>
    <w:rsid w:val="00114F8B"/>
    <w:rsid w:val="00114FA2"/>
    <w:rsid w:val="0011518A"/>
    <w:rsid w:val="0011525E"/>
    <w:rsid w:val="001154EB"/>
    <w:rsid w:val="0011559D"/>
    <w:rsid w:val="00115971"/>
    <w:rsid w:val="001159C2"/>
    <w:rsid w:val="00115EFC"/>
    <w:rsid w:val="00116A99"/>
    <w:rsid w:val="00116AE4"/>
    <w:rsid w:val="00116D4D"/>
    <w:rsid w:val="00116DE9"/>
    <w:rsid w:val="0011729F"/>
    <w:rsid w:val="00117468"/>
    <w:rsid w:val="001175B6"/>
    <w:rsid w:val="00117804"/>
    <w:rsid w:val="001179C8"/>
    <w:rsid w:val="00117CAE"/>
    <w:rsid w:val="00117EC8"/>
    <w:rsid w:val="00117FA0"/>
    <w:rsid w:val="001207B6"/>
    <w:rsid w:val="00120826"/>
    <w:rsid w:val="001215D4"/>
    <w:rsid w:val="00121824"/>
    <w:rsid w:val="0012194D"/>
    <w:rsid w:val="00121AE2"/>
    <w:rsid w:val="00121B13"/>
    <w:rsid w:val="00121B3D"/>
    <w:rsid w:val="00121CC2"/>
    <w:rsid w:val="00121DA5"/>
    <w:rsid w:val="00121FE7"/>
    <w:rsid w:val="0012206A"/>
    <w:rsid w:val="001220F4"/>
    <w:rsid w:val="00122244"/>
    <w:rsid w:val="00122361"/>
    <w:rsid w:val="00122517"/>
    <w:rsid w:val="00122FFA"/>
    <w:rsid w:val="00123214"/>
    <w:rsid w:val="0012389D"/>
    <w:rsid w:val="0012394B"/>
    <w:rsid w:val="00123B05"/>
    <w:rsid w:val="001241EA"/>
    <w:rsid w:val="001244C2"/>
    <w:rsid w:val="0012463E"/>
    <w:rsid w:val="001246BA"/>
    <w:rsid w:val="001246C5"/>
    <w:rsid w:val="00124961"/>
    <w:rsid w:val="00124FDB"/>
    <w:rsid w:val="00125199"/>
    <w:rsid w:val="001256DB"/>
    <w:rsid w:val="00125A0D"/>
    <w:rsid w:val="00125B5D"/>
    <w:rsid w:val="00125F82"/>
    <w:rsid w:val="00126439"/>
    <w:rsid w:val="001264D4"/>
    <w:rsid w:val="001266B6"/>
    <w:rsid w:val="001267D6"/>
    <w:rsid w:val="00126A4C"/>
    <w:rsid w:val="00126B53"/>
    <w:rsid w:val="00126F99"/>
    <w:rsid w:val="001271B3"/>
    <w:rsid w:val="001272DF"/>
    <w:rsid w:val="0012741B"/>
    <w:rsid w:val="0012771D"/>
    <w:rsid w:val="00127A2E"/>
    <w:rsid w:val="00127BEC"/>
    <w:rsid w:val="00130061"/>
    <w:rsid w:val="0013019B"/>
    <w:rsid w:val="001302EC"/>
    <w:rsid w:val="001308B3"/>
    <w:rsid w:val="00130E7E"/>
    <w:rsid w:val="0013134A"/>
    <w:rsid w:val="00131518"/>
    <w:rsid w:val="00131531"/>
    <w:rsid w:val="0013174C"/>
    <w:rsid w:val="001317DE"/>
    <w:rsid w:val="00131C81"/>
    <w:rsid w:val="00131D31"/>
    <w:rsid w:val="00131D92"/>
    <w:rsid w:val="00132556"/>
    <w:rsid w:val="00132991"/>
    <w:rsid w:val="001329AA"/>
    <w:rsid w:val="00132C5C"/>
    <w:rsid w:val="00132F69"/>
    <w:rsid w:val="001335C7"/>
    <w:rsid w:val="00133762"/>
    <w:rsid w:val="001339CE"/>
    <w:rsid w:val="00133EE5"/>
    <w:rsid w:val="00134011"/>
    <w:rsid w:val="00134213"/>
    <w:rsid w:val="001348B4"/>
    <w:rsid w:val="0013490B"/>
    <w:rsid w:val="00134917"/>
    <w:rsid w:val="00134B10"/>
    <w:rsid w:val="00134CAE"/>
    <w:rsid w:val="00134EC9"/>
    <w:rsid w:val="001357D3"/>
    <w:rsid w:val="00135AFF"/>
    <w:rsid w:val="00135B2B"/>
    <w:rsid w:val="00135D6D"/>
    <w:rsid w:val="001362B1"/>
    <w:rsid w:val="001362B9"/>
    <w:rsid w:val="00136851"/>
    <w:rsid w:val="00136BF2"/>
    <w:rsid w:val="00136BFD"/>
    <w:rsid w:val="00136C3F"/>
    <w:rsid w:val="00136CE2"/>
    <w:rsid w:val="00137213"/>
    <w:rsid w:val="00137255"/>
    <w:rsid w:val="001374B9"/>
    <w:rsid w:val="001375A9"/>
    <w:rsid w:val="001378F1"/>
    <w:rsid w:val="00137918"/>
    <w:rsid w:val="00137A99"/>
    <w:rsid w:val="00137B73"/>
    <w:rsid w:val="00137DCE"/>
    <w:rsid w:val="00137E46"/>
    <w:rsid w:val="001400F9"/>
    <w:rsid w:val="0014020B"/>
    <w:rsid w:val="00140280"/>
    <w:rsid w:val="00140AB7"/>
    <w:rsid w:val="00140CCF"/>
    <w:rsid w:val="00140D24"/>
    <w:rsid w:val="00140DE5"/>
    <w:rsid w:val="00141302"/>
    <w:rsid w:val="001414D2"/>
    <w:rsid w:val="00141A57"/>
    <w:rsid w:val="00141F57"/>
    <w:rsid w:val="00142184"/>
    <w:rsid w:val="00142341"/>
    <w:rsid w:val="001426CB"/>
    <w:rsid w:val="00142959"/>
    <w:rsid w:val="001429AA"/>
    <w:rsid w:val="00142F23"/>
    <w:rsid w:val="00142F74"/>
    <w:rsid w:val="001435E4"/>
    <w:rsid w:val="00143640"/>
    <w:rsid w:val="001437B1"/>
    <w:rsid w:val="00143A28"/>
    <w:rsid w:val="00143E73"/>
    <w:rsid w:val="00143F2D"/>
    <w:rsid w:val="00143FB6"/>
    <w:rsid w:val="00144168"/>
    <w:rsid w:val="0014430E"/>
    <w:rsid w:val="001443D1"/>
    <w:rsid w:val="00144B59"/>
    <w:rsid w:val="00144DDE"/>
    <w:rsid w:val="00144E97"/>
    <w:rsid w:val="00144F3C"/>
    <w:rsid w:val="00144F7B"/>
    <w:rsid w:val="00144F9D"/>
    <w:rsid w:val="0014619F"/>
    <w:rsid w:val="00146216"/>
    <w:rsid w:val="0014627C"/>
    <w:rsid w:val="0014640C"/>
    <w:rsid w:val="001464BE"/>
    <w:rsid w:val="0014683B"/>
    <w:rsid w:val="00146DFF"/>
    <w:rsid w:val="00146E2B"/>
    <w:rsid w:val="00147111"/>
    <w:rsid w:val="001472B0"/>
    <w:rsid w:val="001472B3"/>
    <w:rsid w:val="00147374"/>
    <w:rsid w:val="0014754E"/>
    <w:rsid w:val="00147620"/>
    <w:rsid w:val="0014789A"/>
    <w:rsid w:val="00147A87"/>
    <w:rsid w:val="00147CDE"/>
    <w:rsid w:val="00147D6E"/>
    <w:rsid w:val="00147DC2"/>
    <w:rsid w:val="00150181"/>
    <w:rsid w:val="0015077B"/>
    <w:rsid w:val="001507B5"/>
    <w:rsid w:val="00150901"/>
    <w:rsid w:val="00150993"/>
    <w:rsid w:val="001509F1"/>
    <w:rsid w:val="00150C34"/>
    <w:rsid w:val="00150C96"/>
    <w:rsid w:val="00150D67"/>
    <w:rsid w:val="00150E42"/>
    <w:rsid w:val="001510FC"/>
    <w:rsid w:val="001516CA"/>
    <w:rsid w:val="001517D4"/>
    <w:rsid w:val="001518CD"/>
    <w:rsid w:val="001518FF"/>
    <w:rsid w:val="00151A03"/>
    <w:rsid w:val="00151A9C"/>
    <w:rsid w:val="00151C6F"/>
    <w:rsid w:val="001520CE"/>
    <w:rsid w:val="00152570"/>
    <w:rsid w:val="00152A76"/>
    <w:rsid w:val="00153168"/>
    <w:rsid w:val="00153559"/>
    <w:rsid w:val="00153864"/>
    <w:rsid w:val="00153902"/>
    <w:rsid w:val="00153995"/>
    <w:rsid w:val="00153C1B"/>
    <w:rsid w:val="00153C77"/>
    <w:rsid w:val="00153EF6"/>
    <w:rsid w:val="0015428A"/>
    <w:rsid w:val="00154311"/>
    <w:rsid w:val="001545F9"/>
    <w:rsid w:val="0015476E"/>
    <w:rsid w:val="00154C44"/>
    <w:rsid w:val="00154EAA"/>
    <w:rsid w:val="00154FCE"/>
    <w:rsid w:val="0015559D"/>
    <w:rsid w:val="0015564B"/>
    <w:rsid w:val="00155AF7"/>
    <w:rsid w:val="00155B80"/>
    <w:rsid w:val="00155CBD"/>
    <w:rsid w:val="0015623F"/>
    <w:rsid w:val="001562AA"/>
    <w:rsid w:val="0015653E"/>
    <w:rsid w:val="001566DB"/>
    <w:rsid w:val="001567E9"/>
    <w:rsid w:val="00156B5A"/>
    <w:rsid w:val="00156D89"/>
    <w:rsid w:val="00156F91"/>
    <w:rsid w:val="001572C1"/>
    <w:rsid w:val="00157BBB"/>
    <w:rsid w:val="00157D0A"/>
    <w:rsid w:val="001600F0"/>
    <w:rsid w:val="0016081C"/>
    <w:rsid w:val="001608AF"/>
    <w:rsid w:val="00160B83"/>
    <w:rsid w:val="00160BF1"/>
    <w:rsid w:val="00160DBE"/>
    <w:rsid w:val="0016133E"/>
    <w:rsid w:val="0016148D"/>
    <w:rsid w:val="001617EA"/>
    <w:rsid w:val="00161AC0"/>
    <w:rsid w:val="00161CB4"/>
    <w:rsid w:val="00161E86"/>
    <w:rsid w:val="0016214B"/>
    <w:rsid w:val="00162431"/>
    <w:rsid w:val="0016286B"/>
    <w:rsid w:val="00162936"/>
    <w:rsid w:val="0016299D"/>
    <w:rsid w:val="001629BF"/>
    <w:rsid w:val="00162C7D"/>
    <w:rsid w:val="00162CA0"/>
    <w:rsid w:val="00162CED"/>
    <w:rsid w:val="00162D93"/>
    <w:rsid w:val="00163082"/>
    <w:rsid w:val="0016376A"/>
    <w:rsid w:val="00163A4B"/>
    <w:rsid w:val="00163CC4"/>
    <w:rsid w:val="00163DD9"/>
    <w:rsid w:val="001640BE"/>
    <w:rsid w:val="001642A7"/>
    <w:rsid w:val="001644A9"/>
    <w:rsid w:val="00164537"/>
    <w:rsid w:val="00164E6C"/>
    <w:rsid w:val="00164E70"/>
    <w:rsid w:val="0016540B"/>
    <w:rsid w:val="00165554"/>
    <w:rsid w:val="00165734"/>
    <w:rsid w:val="001657A5"/>
    <w:rsid w:val="00165B4C"/>
    <w:rsid w:val="00165BE5"/>
    <w:rsid w:val="00165D74"/>
    <w:rsid w:val="0016621A"/>
    <w:rsid w:val="001662E0"/>
    <w:rsid w:val="0016638B"/>
    <w:rsid w:val="001668AD"/>
    <w:rsid w:val="00167657"/>
    <w:rsid w:val="0016793E"/>
    <w:rsid w:val="00167A03"/>
    <w:rsid w:val="00167A34"/>
    <w:rsid w:val="00167A48"/>
    <w:rsid w:val="00167F7E"/>
    <w:rsid w:val="0017016B"/>
    <w:rsid w:val="0017022F"/>
    <w:rsid w:val="0017068B"/>
    <w:rsid w:val="001707AB"/>
    <w:rsid w:val="001707C9"/>
    <w:rsid w:val="00170B77"/>
    <w:rsid w:val="00170D93"/>
    <w:rsid w:val="00170E57"/>
    <w:rsid w:val="00171223"/>
    <w:rsid w:val="001715E1"/>
    <w:rsid w:val="00171A98"/>
    <w:rsid w:val="00171AC1"/>
    <w:rsid w:val="00171C75"/>
    <w:rsid w:val="00171E19"/>
    <w:rsid w:val="00171E69"/>
    <w:rsid w:val="00171FD6"/>
    <w:rsid w:val="00172176"/>
    <w:rsid w:val="00172431"/>
    <w:rsid w:val="00172786"/>
    <w:rsid w:val="00172ADB"/>
    <w:rsid w:val="00172BA6"/>
    <w:rsid w:val="00172CED"/>
    <w:rsid w:val="00173581"/>
    <w:rsid w:val="00173BFF"/>
    <w:rsid w:val="00173D98"/>
    <w:rsid w:val="00173E25"/>
    <w:rsid w:val="001740A2"/>
    <w:rsid w:val="00174320"/>
    <w:rsid w:val="001746C2"/>
    <w:rsid w:val="00174BA1"/>
    <w:rsid w:val="00174F9C"/>
    <w:rsid w:val="00175014"/>
    <w:rsid w:val="00175199"/>
    <w:rsid w:val="001751C7"/>
    <w:rsid w:val="001751CF"/>
    <w:rsid w:val="00175231"/>
    <w:rsid w:val="00175520"/>
    <w:rsid w:val="00175573"/>
    <w:rsid w:val="001756A7"/>
    <w:rsid w:val="001758DD"/>
    <w:rsid w:val="00175BCB"/>
    <w:rsid w:val="00175BED"/>
    <w:rsid w:val="00175E08"/>
    <w:rsid w:val="00175FC7"/>
    <w:rsid w:val="00176325"/>
    <w:rsid w:val="00176353"/>
    <w:rsid w:val="00176BE7"/>
    <w:rsid w:val="00176CDE"/>
    <w:rsid w:val="001770BB"/>
    <w:rsid w:val="001774AA"/>
    <w:rsid w:val="0017778B"/>
    <w:rsid w:val="001777F9"/>
    <w:rsid w:val="001777FD"/>
    <w:rsid w:val="00177B10"/>
    <w:rsid w:val="001801B2"/>
    <w:rsid w:val="001801CE"/>
    <w:rsid w:val="00180466"/>
    <w:rsid w:val="001808A1"/>
    <w:rsid w:val="0018090E"/>
    <w:rsid w:val="00180AF9"/>
    <w:rsid w:val="00180C93"/>
    <w:rsid w:val="00180FC3"/>
    <w:rsid w:val="001816B3"/>
    <w:rsid w:val="001817CD"/>
    <w:rsid w:val="00181839"/>
    <w:rsid w:val="001818D6"/>
    <w:rsid w:val="00181A4D"/>
    <w:rsid w:val="00181EB1"/>
    <w:rsid w:val="00181F9D"/>
    <w:rsid w:val="00181FF3"/>
    <w:rsid w:val="001820E3"/>
    <w:rsid w:val="00182194"/>
    <w:rsid w:val="001821E7"/>
    <w:rsid w:val="001822BF"/>
    <w:rsid w:val="0018242E"/>
    <w:rsid w:val="0018292C"/>
    <w:rsid w:val="00182955"/>
    <w:rsid w:val="00182B71"/>
    <w:rsid w:val="00182EB1"/>
    <w:rsid w:val="00182F97"/>
    <w:rsid w:val="0018301D"/>
    <w:rsid w:val="001830E0"/>
    <w:rsid w:val="0018361F"/>
    <w:rsid w:val="001837BC"/>
    <w:rsid w:val="00183818"/>
    <w:rsid w:val="00183B96"/>
    <w:rsid w:val="00183D57"/>
    <w:rsid w:val="0018406F"/>
    <w:rsid w:val="001840B7"/>
    <w:rsid w:val="001840DF"/>
    <w:rsid w:val="00184368"/>
    <w:rsid w:val="001844F8"/>
    <w:rsid w:val="00184701"/>
    <w:rsid w:val="00184A77"/>
    <w:rsid w:val="00184CAF"/>
    <w:rsid w:val="00184CD1"/>
    <w:rsid w:val="00186012"/>
    <w:rsid w:val="00186065"/>
    <w:rsid w:val="0018609E"/>
    <w:rsid w:val="001861F1"/>
    <w:rsid w:val="001862E9"/>
    <w:rsid w:val="00186817"/>
    <w:rsid w:val="001869BA"/>
    <w:rsid w:val="00186D50"/>
    <w:rsid w:val="00186DDA"/>
    <w:rsid w:val="00186EB3"/>
    <w:rsid w:val="00186F05"/>
    <w:rsid w:val="001871DC"/>
    <w:rsid w:val="001871E0"/>
    <w:rsid w:val="00187415"/>
    <w:rsid w:val="001874E7"/>
    <w:rsid w:val="001875BF"/>
    <w:rsid w:val="00187970"/>
    <w:rsid w:val="00187A90"/>
    <w:rsid w:val="00187D91"/>
    <w:rsid w:val="00187E90"/>
    <w:rsid w:val="00187EE6"/>
    <w:rsid w:val="00187F36"/>
    <w:rsid w:val="00190141"/>
    <w:rsid w:val="00190293"/>
    <w:rsid w:val="00190382"/>
    <w:rsid w:val="001904BF"/>
    <w:rsid w:val="00190849"/>
    <w:rsid w:val="00190881"/>
    <w:rsid w:val="0019090E"/>
    <w:rsid w:val="00190A6E"/>
    <w:rsid w:val="00190CDC"/>
    <w:rsid w:val="0019117A"/>
    <w:rsid w:val="0019124E"/>
    <w:rsid w:val="0019153B"/>
    <w:rsid w:val="00191901"/>
    <w:rsid w:val="00191BCD"/>
    <w:rsid w:val="00191D9E"/>
    <w:rsid w:val="0019252A"/>
    <w:rsid w:val="00192852"/>
    <w:rsid w:val="00192860"/>
    <w:rsid w:val="00192A6A"/>
    <w:rsid w:val="0019315D"/>
    <w:rsid w:val="001932A7"/>
    <w:rsid w:val="001934F7"/>
    <w:rsid w:val="0019353E"/>
    <w:rsid w:val="00193851"/>
    <w:rsid w:val="00193E53"/>
    <w:rsid w:val="001944AF"/>
    <w:rsid w:val="00194612"/>
    <w:rsid w:val="0019477D"/>
    <w:rsid w:val="00194890"/>
    <w:rsid w:val="0019489B"/>
    <w:rsid w:val="00194A77"/>
    <w:rsid w:val="00194B6D"/>
    <w:rsid w:val="00195339"/>
    <w:rsid w:val="001954BF"/>
    <w:rsid w:val="001954FD"/>
    <w:rsid w:val="0019598F"/>
    <w:rsid w:val="0019636B"/>
    <w:rsid w:val="00196576"/>
    <w:rsid w:val="00196BB0"/>
    <w:rsid w:val="0019744E"/>
    <w:rsid w:val="001979CC"/>
    <w:rsid w:val="00197D1C"/>
    <w:rsid w:val="00197F0E"/>
    <w:rsid w:val="001A0392"/>
    <w:rsid w:val="001A04E5"/>
    <w:rsid w:val="001A06B6"/>
    <w:rsid w:val="001A0A80"/>
    <w:rsid w:val="001A0BF7"/>
    <w:rsid w:val="001A0C64"/>
    <w:rsid w:val="001A0E10"/>
    <w:rsid w:val="001A0EE5"/>
    <w:rsid w:val="001A11A5"/>
    <w:rsid w:val="001A167D"/>
    <w:rsid w:val="001A222D"/>
    <w:rsid w:val="001A26C4"/>
    <w:rsid w:val="001A2E9E"/>
    <w:rsid w:val="001A2EE1"/>
    <w:rsid w:val="001A30F7"/>
    <w:rsid w:val="001A326F"/>
    <w:rsid w:val="001A33CF"/>
    <w:rsid w:val="001A39C9"/>
    <w:rsid w:val="001A3AC1"/>
    <w:rsid w:val="001A3D33"/>
    <w:rsid w:val="001A4150"/>
    <w:rsid w:val="001A4B19"/>
    <w:rsid w:val="001A56BE"/>
    <w:rsid w:val="001A5D0E"/>
    <w:rsid w:val="001A60CC"/>
    <w:rsid w:val="001A6142"/>
    <w:rsid w:val="001A6A3C"/>
    <w:rsid w:val="001A724D"/>
    <w:rsid w:val="001A732B"/>
    <w:rsid w:val="001A73F3"/>
    <w:rsid w:val="001A75E5"/>
    <w:rsid w:val="001A7821"/>
    <w:rsid w:val="001A7870"/>
    <w:rsid w:val="001A7911"/>
    <w:rsid w:val="001A7FAE"/>
    <w:rsid w:val="001B029E"/>
    <w:rsid w:val="001B0329"/>
    <w:rsid w:val="001B05AB"/>
    <w:rsid w:val="001B07C4"/>
    <w:rsid w:val="001B0833"/>
    <w:rsid w:val="001B0BFE"/>
    <w:rsid w:val="001B0C0C"/>
    <w:rsid w:val="001B0CFF"/>
    <w:rsid w:val="001B0E3E"/>
    <w:rsid w:val="001B17A9"/>
    <w:rsid w:val="001B1C23"/>
    <w:rsid w:val="001B1FA7"/>
    <w:rsid w:val="001B20BE"/>
    <w:rsid w:val="001B24D6"/>
    <w:rsid w:val="001B2D1A"/>
    <w:rsid w:val="001B2D9F"/>
    <w:rsid w:val="001B2DA4"/>
    <w:rsid w:val="001B2E70"/>
    <w:rsid w:val="001B3128"/>
    <w:rsid w:val="001B317F"/>
    <w:rsid w:val="001B3309"/>
    <w:rsid w:val="001B38E8"/>
    <w:rsid w:val="001B38EF"/>
    <w:rsid w:val="001B397A"/>
    <w:rsid w:val="001B3E86"/>
    <w:rsid w:val="001B416D"/>
    <w:rsid w:val="001B42FF"/>
    <w:rsid w:val="001B4300"/>
    <w:rsid w:val="001B4309"/>
    <w:rsid w:val="001B464B"/>
    <w:rsid w:val="001B4868"/>
    <w:rsid w:val="001B4E9A"/>
    <w:rsid w:val="001B4EEE"/>
    <w:rsid w:val="001B512E"/>
    <w:rsid w:val="001B58B8"/>
    <w:rsid w:val="001B58DF"/>
    <w:rsid w:val="001B59CB"/>
    <w:rsid w:val="001B5B5A"/>
    <w:rsid w:val="001B5BCA"/>
    <w:rsid w:val="001B5FF6"/>
    <w:rsid w:val="001B61B1"/>
    <w:rsid w:val="001B6514"/>
    <w:rsid w:val="001B659F"/>
    <w:rsid w:val="001B668D"/>
    <w:rsid w:val="001B67FC"/>
    <w:rsid w:val="001B68DD"/>
    <w:rsid w:val="001B706E"/>
    <w:rsid w:val="001B7386"/>
    <w:rsid w:val="001B73E2"/>
    <w:rsid w:val="001B79BA"/>
    <w:rsid w:val="001B7CF7"/>
    <w:rsid w:val="001B7DAC"/>
    <w:rsid w:val="001C01AB"/>
    <w:rsid w:val="001C02FD"/>
    <w:rsid w:val="001C0307"/>
    <w:rsid w:val="001C0846"/>
    <w:rsid w:val="001C08F4"/>
    <w:rsid w:val="001C0C46"/>
    <w:rsid w:val="001C0C84"/>
    <w:rsid w:val="001C0D33"/>
    <w:rsid w:val="001C11BE"/>
    <w:rsid w:val="001C15C5"/>
    <w:rsid w:val="001C1769"/>
    <w:rsid w:val="001C186C"/>
    <w:rsid w:val="001C1919"/>
    <w:rsid w:val="001C1B04"/>
    <w:rsid w:val="001C1B41"/>
    <w:rsid w:val="001C1D3F"/>
    <w:rsid w:val="001C1FDD"/>
    <w:rsid w:val="001C258F"/>
    <w:rsid w:val="001C2648"/>
    <w:rsid w:val="001C27FA"/>
    <w:rsid w:val="001C2994"/>
    <w:rsid w:val="001C2BBA"/>
    <w:rsid w:val="001C2D17"/>
    <w:rsid w:val="001C3127"/>
    <w:rsid w:val="001C3605"/>
    <w:rsid w:val="001C3A11"/>
    <w:rsid w:val="001C3B7C"/>
    <w:rsid w:val="001C3E92"/>
    <w:rsid w:val="001C4035"/>
    <w:rsid w:val="001C41DF"/>
    <w:rsid w:val="001C441C"/>
    <w:rsid w:val="001C4486"/>
    <w:rsid w:val="001C46F0"/>
    <w:rsid w:val="001C48D2"/>
    <w:rsid w:val="001C4958"/>
    <w:rsid w:val="001C49B1"/>
    <w:rsid w:val="001C4BDB"/>
    <w:rsid w:val="001C4D40"/>
    <w:rsid w:val="001C5071"/>
    <w:rsid w:val="001C5387"/>
    <w:rsid w:val="001C55C1"/>
    <w:rsid w:val="001C5CF6"/>
    <w:rsid w:val="001C5F5D"/>
    <w:rsid w:val="001C6093"/>
    <w:rsid w:val="001C6129"/>
    <w:rsid w:val="001C6599"/>
    <w:rsid w:val="001C65BC"/>
    <w:rsid w:val="001C65C8"/>
    <w:rsid w:val="001C6685"/>
    <w:rsid w:val="001C6A0C"/>
    <w:rsid w:val="001C7030"/>
    <w:rsid w:val="001C7080"/>
    <w:rsid w:val="001C7135"/>
    <w:rsid w:val="001C741A"/>
    <w:rsid w:val="001C79C5"/>
    <w:rsid w:val="001C7CE1"/>
    <w:rsid w:val="001C7D08"/>
    <w:rsid w:val="001C7FB9"/>
    <w:rsid w:val="001D0110"/>
    <w:rsid w:val="001D018F"/>
    <w:rsid w:val="001D0264"/>
    <w:rsid w:val="001D0551"/>
    <w:rsid w:val="001D08B3"/>
    <w:rsid w:val="001D0A0C"/>
    <w:rsid w:val="001D0A2D"/>
    <w:rsid w:val="001D0A6B"/>
    <w:rsid w:val="001D0BFB"/>
    <w:rsid w:val="001D0C3F"/>
    <w:rsid w:val="001D0FE9"/>
    <w:rsid w:val="001D1AB6"/>
    <w:rsid w:val="001D1AF8"/>
    <w:rsid w:val="001D1B18"/>
    <w:rsid w:val="001D236F"/>
    <w:rsid w:val="001D2A57"/>
    <w:rsid w:val="001D2E51"/>
    <w:rsid w:val="001D2FDE"/>
    <w:rsid w:val="001D316E"/>
    <w:rsid w:val="001D3204"/>
    <w:rsid w:val="001D3235"/>
    <w:rsid w:val="001D3C9B"/>
    <w:rsid w:val="001D430B"/>
    <w:rsid w:val="001D4838"/>
    <w:rsid w:val="001D4920"/>
    <w:rsid w:val="001D4C89"/>
    <w:rsid w:val="001D4DCB"/>
    <w:rsid w:val="001D4E2C"/>
    <w:rsid w:val="001D4F50"/>
    <w:rsid w:val="001D517C"/>
    <w:rsid w:val="001D53DD"/>
    <w:rsid w:val="001D546F"/>
    <w:rsid w:val="001D568D"/>
    <w:rsid w:val="001D574C"/>
    <w:rsid w:val="001D5CAE"/>
    <w:rsid w:val="001D5D94"/>
    <w:rsid w:val="001D601A"/>
    <w:rsid w:val="001D60EB"/>
    <w:rsid w:val="001D6250"/>
    <w:rsid w:val="001D62E7"/>
    <w:rsid w:val="001D65EF"/>
    <w:rsid w:val="001D66C0"/>
    <w:rsid w:val="001D679A"/>
    <w:rsid w:val="001D6933"/>
    <w:rsid w:val="001D69AF"/>
    <w:rsid w:val="001D6A0D"/>
    <w:rsid w:val="001D6D90"/>
    <w:rsid w:val="001D70A5"/>
    <w:rsid w:val="001D70DC"/>
    <w:rsid w:val="001D7122"/>
    <w:rsid w:val="001D714A"/>
    <w:rsid w:val="001D72C4"/>
    <w:rsid w:val="001D78C3"/>
    <w:rsid w:val="001D791A"/>
    <w:rsid w:val="001D79BD"/>
    <w:rsid w:val="001D7D0B"/>
    <w:rsid w:val="001D7EE5"/>
    <w:rsid w:val="001E007F"/>
    <w:rsid w:val="001E0437"/>
    <w:rsid w:val="001E0550"/>
    <w:rsid w:val="001E0701"/>
    <w:rsid w:val="001E0794"/>
    <w:rsid w:val="001E0A72"/>
    <w:rsid w:val="001E0B07"/>
    <w:rsid w:val="001E0D57"/>
    <w:rsid w:val="001E0DAE"/>
    <w:rsid w:val="001E0E8D"/>
    <w:rsid w:val="001E1877"/>
    <w:rsid w:val="001E191A"/>
    <w:rsid w:val="001E199C"/>
    <w:rsid w:val="001E1A30"/>
    <w:rsid w:val="001E1D6E"/>
    <w:rsid w:val="001E20DA"/>
    <w:rsid w:val="001E238B"/>
    <w:rsid w:val="001E2770"/>
    <w:rsid w:val="001E2ACA"/>
    <w:rsid w:val="001E2B2F"/>
    <w:rsid w:val="001E3CF8"/>
    <w:rsid w:val="001E3D9F"/>
    <w:rsid w:val="001E3EFF"/>
    <w:rsid w:val="001E3F2B"/>
    <w:rsid w:val="001E40A0"/>
    <w:rsid w:val="001E446E"/>
    <w:rsid w:val="001E44AA"/>
    <w:rsid w:val="001E459F"/>
    <w:rsid w:val="001E478E"/>
    <w:rsid w:val="001E4FA3"/>
    <w:rsid w:val="001E4FB1"/>
    <w:rsid w:val="001E5403"/>
    <w:rsid w:val="001E5543"/>
    <w:rsid w:val="001E5710"/>
    <w:rsid w:val="001E616F"/>
    <w:rsid w:val="001E626D"/>
    <w:rsid w:val="001E66D5"/>
    <w:rsid w:val="001E6967"/>
    <w:rsid w:val="001E72B9"/>
    <w:rsid w:val="001E730E"/>
    <w:rsid w:val="001E7B01"/>
    <w:rsid w:val="001E7D16"/>
    <w:rsid w:val="001E7E5D"/>
    <w:rsid w:val="001E7F5B"/>
    <w:rsid w:val="001F0137"/>
    <w:rsid w:val="001F01C9"/>
    <w:rsid w:val="001F02E2"/>
    <w:rsid w:val="001F08D3"/>
    <w:rsid w:val="001F0A22"/>
    <w:rsid w:val="001F0BAC"/>
    <w:rsid w:val="001F1455"/>
    <w:rsid w:val="001F1783"/>
    <w:rsid w:val="001F19A7"/>
    <w:rsid w:val="001F1FCA"/>
    <w:rsid w:val="001F2029"/>
    <w:rsid w:val="001F21BE"/>
    <w:rsid w:val="001F2406"/>
    <w:rsid w:val="001F2493"/>
    <w:rsid w:val="001F2850"/>
    <w:rsid w:val="001F2A99"/>
    <w:rsid w:val="001F3206"/>
    <w:rsid w:val="001F34D5"/>
    <w:rsid w:val="001F379C"/>
    <w:rsid w:val="001F3808"/>
    <w:rsid w:val="001F3C33"/>
    <w:rsid w:val="001F431E"/>
    <w:rsid w:val="001F46B7"/>
    <w:rsid w:val="001F4AD7"/>
    <w:rsid w:val="001F4BD9"/>
    <w:rsid w:val="001F50AD"/>
    <w:rsid w:val="001F5239"/>
    <w:rsid w:val="001F53B9"/>
    <w:rsid w:val="001F5500"/>
    <w:rsid w:val="001F57FF"/>
    <w:rsid w:val="001F58AE"/>
    <w:rsid w:val="001F5955"/>
    <w:rsid w:val="001F5F72"/>
    <w:rsid w:val="001F6968"/>
    <w:rsid w:val="001F6A75"/>
    <w:rsid w:val="001F6B91"/>
    <w:rsid w:val="001F6E9B"/>
    <w:rsid w:val="001F7006"/>
    <w:rsid w:val="001F7317"/>
    <w:rsid w:val="001F7957"/>
    <w:rsid w:val="001F7DEA"/>
    <w:rsid w:val="00200042"/>
    <w:rsid w:val="0020078A"/>
    <w:rsid w:val="00200852"/>
    <w:rsid w:val="00200AF6"/>
    <w:rsid w:val="002010F0"/>
    <w:rsid w:val="00201149"/>
    <w:rsid w:val="00201165"/>
    <w:rsid w:val="002016AB"/>
    <w:rsid w:val="00201863"/>
    <w:rsid w:val="00201FCC"/>
    <w:rsid w:val="002021B7"/>
    <w:rsid w:val="0020239B"/>
    <w:rsid w:val="00202470"/>
    <w:rsid w:val="00202938"/>
    <w:rsid w:val="00202F0D"/>
    <w:rsid w:val="002035AD"/>
    <w:rsid w:val="0020428A"/>
    <w:rsid w:val="00204333"/>
    <w:rsid w:val="00204433"/>
    <w:rsid w:val="002044DA"/>
    <w:rsid w:val="0020451F"/>
    <w:rsid w:val="0020472B"/>
    <w:rsid w:val="00204A07"/>
    <w:rsid w:val="002050C1"/>
    <w:rsid w:val="00205360"/>
    <w:rsid w:val="002054F0"/>
    <w:rsid w:val="00205C87"/>
    <w:rsid w:val="002062EF"/>
    <w:rsid w:val="00206580"/>
    <w:rsid w:val="00206678"/>
    <w:rsid w:val="00206B09"/>
    <w:rsid w:val="00206EEA"/>
    <w:rsid w:val="00206FD6"/>
    <w:rsid w:val="00207A7B"/>
    <w:rsid w:val="00207BA3"/>
    <w:rsid w:val="00207D88"/>
    <w:rsid w:val="00207E60"/>
    <w:rsid w:val="002100A6"/>
    <w:rsid w:val="002102E0"/>
    <w:rsid w:val="002106BD"/>
    <w:rsid w:val="00210A0E"/>
    <w:rsid w:val="00210CEC"/>
    <w:rsid w:val="00210D17"/>
    <w:rsid w:val="00210D4F"/>
    <w:rsid w:val="002112B7"/>
    <w:rsid w:val="00211639"/>
    <w:rsid w:val="002116B9"/>
    <w:rsid w:val="002117CE"/>
    <w:rsid w:val="002119CF"/>
    <w:rsid w:val="00211E68"/>
    <w:rsid w:val="002120DB"/>
    <w:rsid w:val="002126B2"/>
    <w:rsid w:val="002126D9"/>
    <w:rsid w:val="0021289C"/>
    <w:rsid w:val="00212DC0"/>
    <w:rsid w:val="00212FEF"/>
    <w:rsid w:val="002133B0"/>
    <w:rsid w:val="002133DD"/>
    <w:rsid w:val="002139B8"/>
    <w:rsid w:val="00213CE7"/>
    <w:rsid w:val="00213DC7"/>
    <w:rsid w:val="00213FE5"/>
    <w:rsid w:val="002140EF"/>
    <w:rsid w:val="002144DC"/>
    <w:rsid w:val="00214897"/>
    <w:rsid w:val="00214939"/>
    <w:rsid w:val="0021499E"/>
    <w:rsid w:val="00214A52"/>
    <w:rsid w:val="00214A63"/>
    <w:rsid w:val="00214E23"/>
    <w:rsid w:val="00214EA4"/>
    <w:rsid w:val="00214F4E"/>
    <w:rsid w:val="00215540"/>
    <w:rsid w:val="00215546"/>
    <w:rsid w:val="002159C3"/>
    <w:rsid w:val="00215C4E"/>
    <w:rsid w:val="00215D04"/>
    <w:rsid w:val="00215DDB"/>
    <w:rsid w:val="00215E62"/>
    <w:rsid w:val="00215FDC"/>
    <w:rsid w:val="00216276"/>
    <w:rsid w:val="002163E3"/>
    <w:rsid w:val="002164B6"/>
    <w:rsid w:val="0021687A"/>
    <w:rsid w:val="00216B25"/>
    <w:rsid w:val="00216D92"/>
    <w:rsid w:val="00216E12"/>
    <w:rsid w:val="00217073"/>
    <w:rsid w:val="002170A0"/>
    <w:rsid w:val="002172C5"/>
    <w:rsid w:val="00217648"/>
    <w:rsid w:val="00217785"/>
    <w:rsid w:val="0021778B"/>
    <w:rsid w:val="0021787A"/>
    <w:rsid w:val="00217918"/>
    <w:rsid w:val="00217A4F"/>
    <w:rsid w:val="00217BE0"/>
    <w:rsid w:val="00217D23"/>
    <w:rsid w:val="00217D58"/>
    <w:rsid w:val="00217DCB"/>
    <w:rsid w:val="00217FE3"/>
    <w:rsid w:val="0022012F"/>
    <w:rsid w:val="002201A4"/>
    <w:rsid w:val="0022080F"/>
    <w:rsid w:val="00220995"/>
    <w:rsid w:val="00220BC5"/>
    <w:rsid w:val="00220C98"/>
    <w:rsid w:val="00220FA2"/>
    <w:rsid w:val="00221775"/>
    <w:rsid w:val="00221882"/>
    <w:rsid w:val="00221A95"/>
    <w:rsid w:val="00221B4F"/>
    <w:rsid w:val="00221D3B"/>
    <w:rsid w:val="00221F78"/>
    <w:rsid w:val="002221C3"/>
    <w:rsid w:val="0022325B"/>
    <w:rsid w:val="0022363F"/>
    <w:rsid w:val="00223668"/>
    <w:rsid w:val="00223DC1"/>
    <w:rsid w:val="00223E1A"/>
    <w:rsid w:val="00223F08"/>
    <w:rsid w:val="00223FF8"/>
    <w:rsid w:val="00224155"/>
    <w:rsid w:val="0022476D"/>
    <w:rsid w:val="0022485A"/>
    <w:rsid w:val="0022498F"/>
    <w:rsid w:val="00224A01"/>
    <w:rsid w:val="00224D21"/>
    <w:rsid w:val="00224D3C"/>
    <w:rsid w:val="00224F49"/>
    <w:rsid w:val="00224F7F"/>
    <w:rsid w:val="002250A3"/>
    <w:rsid w:val="00225473"/>
    <w:rsid w:val="0022568F"/>
    <w:rsid w:val="002259E0"/>
    <w:rsid w:val="00225BFF"/>
    <w:rsid w:val="00225CB4"/>
    <w:rsid w:val="00226095"/>
    <w:rsid w:val="00226321"/>
    <w:rsid w:val="00226436"/>
    <w:rsid w:val="00226EE6"/>
    <w:rsid w:val="00227171"/>
    <w:rsid w:val="00227496"/>
    <w:rsid w:val="002275B6"/>
    <w:rsid w:val="0022760C"/>
    <w:rsid w:val="00227A36"/>
    <w:rsid w:val="0023068D"/>
    <w:rsid w:val="00230E87"/>
    <w:rsid w:val="00230ED4"/>
    <w:rsid w:val="00231343"/>
    <w:rsid w:val="0023138D"/>
    <w:rsid w:val="0023177B"/>
    <w:rsid w:val="00231A7E"/>
    <w:rsid w:val="00231B3A"/>
    <w:rsid w:val="00231E2D"/>
    <w:rsid w:val="00231F27"/>
    <w:rsid w:val="00231F5B"/>
    <w:rsid w:val="00232081"/>
    <w:rsid w:val="00232323"/>
    <w:rsid w:val="0023253E"/>
    <w:rsid w:val="00232699"/>
    <w:rsid w:val="0023295C"/>
    <w:rsid w:val="00232D05"/>
    <w:rsid w:val="00232FEF"/>
    <w:rsid w:val="00233153"/>
    <w:rsid w:val="00233203"/>
    <w:rsid w:val="0023335B"/>
    <w:rsid w:val="0023344B"/>
    <w:rsid w:val="002334C5"/>
    <w:rsid w:val="00233556"/>
    <w:rsid w:val="00233754"/>
    <w:rsid w:val="00233A2A"/>
    <w:rsid w:val="00233ADE"/>
    <w:rsid w:val="00233B11"/>
    <w:rsid w:val="00233D58"/>
    <w:rsid w:val="00233FED"/>
    <w:rsid w:val="00234195"/>
    <w:rsid w:val="002341E6"/>
    <w:rsid w:val="002348D2"/>
    <w:rsid w:val="002349F9"/>
    <w:rsid w:val="00234AFA"/>
    <w:rsid w:val="00234B78"/>
    <w:rsid w:val="00234E9B"/>
    <w:rsid w:val="00235211"/>
    <w:rsid w:val="00235217"/>
    <w:rsid w:val="002352F1"/>
    <w:rsid w:val="00235B23"/>
    <w:rsid w:val="00235B7B"/>
    <w:rsid w:val="00235D59"/>
    <w:rsid w:val="00236430"/>
    <w:rsid w:val="002367BF"/>
    <w:rsid w:val="00236929"/>
    <w:rsid w:val="00236BB6"/>
    <w:rsid w:val="00236BC1"/>
    <w:rsid w:val="0023712E"/>
    <w:rsid w:val="00237511"/>
    <w:rsid w:val="002376A1"/>
    <w:rsid w:val="00237EF9"/>
    <w:rsid w:val="002406F8"/>
    <w:rsid w:val="0024081C"/>
    <w:rsid w:val="00240952"/>
    <w:rsid w:val="002409E7"/>
    <w:rsid w:val="00240E4C"/>
    <w:rsid w:val="002413C6"/>
    <w:rsid w:val="00241518"/>
    <w:rsid w:val="00241871"/>
    <w:rsid w:val="00241EF7"/>
    <w:rsid w:val="00242435"/>
    <w:rsid w:val="00242711"/>
    <w:rsid w:val="002428FF"/>
    <w:rsid w:val="00242EAC"/>
    <w:rsid w:val="00242EE2"/>
    <w:rsid w:val="0024314E"/>
    <w:rsid w:val="002431F3"/>
    <w:rsid w:val="002435CE"/>
    <w:rsid w:val="00243749"/>
    <w:rsid w:val="00243836"/>
    <w:rsid w:val="002438FF"/>
    <w:rsid w:val="0024399A"/>
    <w:rsid w:val="00243EC1"/>
    <w:rsid w:val="0024436B"/>
    <w:rsid w:val="00244577"/>
    <w:rsid w:val="0024466B"/>
    <w:rsid w:val="002447E7"/>
    <w:rsid w:val="0024495A"/>
    <w:rsid w:val="00244DCC"/>
    <w:rsid w:val="00244DD4"/>
    <w:rsid w:val="00245284"/>
    <w:rsid w:val="00245DC5"/>
    <w:rsid w:val="00246249"/>
    <w:rsid w:val="00246503"/>
    <w:rsid w:val="00246521"/>
    <w:rsid w:val="00246D1F"/>
    <w:rsid w:val="002470AA"/>
    <w:rsid w:val="00247102"/>
    <w:rsid w:val="002472DC"/>
    <w:rsid w:val="00247403"/>
    <w:rsid w:val="00247542"/>
    <w:rsid w:val="00247701"/>
    <w:rsid w:val="00247733"/>
    <w:rsid w:val="0024782E"/>
    <w:rsid w:val="002479A1"/>
    <w:rsid w:val="002479E8"/>
    <w:rsid w:val="00250154"/>
    <w:rsid w:val="00250188"/>
    <w:rsid w:val="002501DF"/>
    <w:rsid w:val="002502FA"/>
    <w:rsid w:val="0025035A"/>
    <w:rsid w:val="002504A4"/>
    <w:rsid w:val="00250562"/>
    <w:rsid w:val="00250E0E"/>
    <w:rsid w:val="00250F6D"/>
    <w:rsid w:val="0025115D"/>
    <w:rsid w:val="002512A9"/>
    <w:rsid w:val="0025155D"/>
    <w:rsid w:val="00251815"/>
    <w:rsid w:val="00251AD4"/>
    <w:rsid w:val="00251C44"/>
    <w:rsid w:val="00251E70"/>
    <w:rsid w:val="00251F14"/>
    <w:rsid w:val="00252253"/>
    <w:rsid w:val="00252308"/>
    <w:rsid w:val="002525D7"/>
    <w:rsid w:val="00252808"/>
    <w:rsid w:val="002528A3"/>
    <w:rsid w:val="002529EF"/>
    <w:rsid w:val="00252CD9"/>
    <w:rsid w:val="00252D46"/>
    <w:rsid w:val="00252E62"/>
    <w:rsid w:val="00252F69"/>
    <w:rsid w:val="00253419"/>
    <w:rsid w:val="0025362D"/>
    <w:rsid w:val="0025368F"/>
    <w:rsid w:val="00253D89"/>
    <w:rsid w:val="00253ECD"/>
    <w:rsid w:val="00253F46"/>
    <w:rsid w:val="002541B4"/>
    <w:rsid w:val="00254727"/>
    <w:rsid w:val="002548ED"/>
    <w:rsid w:val="0025491D"/>
    <w:rsid w:val="00254C4B"/>
    <w:rsid w:val="002555EB"/>
    <w:rsid w:val="00255A87"/>
    <w:rsid w:val="00255C35"/>
    <w:rsid w:val="00255E75"/>
    <w:rsid w:val="002560A3"/>
    <w:rsid w:val="0025618D"/>
    <w:rsid w:val="002561F9"/>
    <w:rsid w:val="0025645E"/>
    <w:rsid w:val="0025650C"/>
    <w:rsid w:val="002566A9"/>
    <w:rsid w:val="002569BD"/>
    <w:rsid w:val="002571C0"/>
    <w:rsid w:val="002571E1"/>
    <w:rsid w:val="0025721A"/>
    <w:rsid w:val="00257226"/>
    <w:rsid w:val="0025762A"/>
    <w:rsid w:val="0025788C"/>
    <w:rsid w:val="002578CE"/>
    <w:rsid w:val="002578DF"/>
    <w:rsid w:val="002579F1"/>
    <w:rsid w:val="00257E30"/>
    <w:rsid w:val="00260014"/>
    <w:rsid w:val="0026030B"/>
    <w:rsid w:val="00260324"/>
    <w:rsid w:val="0026036B"/>
    <w:rsid w:val="00260498"/>
    <w:rsid w:val="00260B9D"/>
    <w:rsid w:val="00261164"/>
    <w:rsid w:val="00261D46"/>
    <w:rsid w:val="00261FF3"/>
    <w:rsid w:val="002628DF"/>
    <w:rsid w:val="00262B65"/>
    <w:rsid w:val="00262F24"/>
    <w:rsid w:val="00262FE7"/>
    <w:rsid w:val="002636F0"/>
    <w:rsid w:val="0026393D"/>
    <w:rsid w:val="002639B4"/>
    <w:rsid w:val="00263AE7"/>
    <w:rsid w:val="00263BA0"/>
    <w:rsid w:val="00263C9E"/>
    <w:rsid w:val="002648B6"/>
    <w:rsid w:val="0026496A"/>
    <w:rsid w:val="00264C08"/>
    <w:rsid w:val="00264D51"/>
    <w:rsid w:val="002652B1"/>
    <w:rsid w:val="00265475"/>
    <w:rsid w:val="00265763"/>
    <w:rsid w:val="00265864"/>
    <w:rsid w:val="00265875"/>
    <w:rsid w:val="00265979"/>
    <w:rsid w:val="00265CC8"/>
    <w:rsid w:val="00265E2F"/>
    <w:rsid w:val="00266228"/>
    <w:rsid w:val="002669D7"/>
    <w:rsid w:val="00266B56"/>
    <w:rsid w:val="00266B61"/>
    <w:rsid w:val="00266C53"/>
    <w:rsid w:val="0026712A"/>
    <w:rsid w:val="002676E2"/>
    <w:rsid w:val="00267EE9"/>
    <w:rsid w:val="00267FD8"/>
    <w:rsid w:val="002701C5"/>
    <w:rsid w:val="0027028C"/>
    <w:rsid w:val="002704DB"/>
    <w:rsid w:val="0027099C"/>
    <w:rsid w:val="00270CCF"/>
    <w:rsid w:val="00270D43"/>
    <w:rsid w:val="00270DE7"/>
    <w:rsid w:val="00270E01"/>
    <w:rsid w:val="00271392"/>
    <w:rsid w:val="00271490"/>
    <w:rsid w:val="00271873"/>
    <w:rsid w:val="00272278"/>
    <w:rsid w:val="00272A9A"/>
    <w:rsid w:val="00272E96"/>
    <w:rsid w:val="00272FED"/>
    <w:rsid w:val="00273352"/>
    <w:rsid w:val="002733DC"/>
    <w:rsid w:val="0027361F"/>
    <w:rsid w:val="00273723"/>
    <w:rsid w:val="00273AAB"/>
    <w:rsid w:val="00273B48"/>
    <w:rsid w:val="00273C3E"/>
    <w:rsid w:val="00273D68"/>
    <w:rsid w:val="00274946"/>
    <w:rsid w:val="00274F86"/>
    <w:rsid w:val="002752D3"/>
    <w:rsid w:val="00275A72"/>
    <w:rsid w:val="00275A82"/>
    <w:rsid w:val="00275F3B"/>
    <w:rsid w:val="002763AE"/>
    <w:rsid w:val="00276436"/>
    <w:rsid w:val="0027668F"/>
    <w:rsid w:val="0027673F"/>
    <w:rsid w:val="0027675D"/>
    <w:rsid w:val="00276CBA"/>
    <w:rsid w:val="00276D62"/>
    <w:rsid w:val="0027723F"/>
    <w:rsid w:val="00277379"/>
    <w:rsid w:val="002773C2"/>
    <w:rsid w:val="002775FE"/>
    <w:rsid w:val="00277AC6"/>
    <w:rsid w:val="00277FA7"/>
    <w:rsid w:val="002802D8"/>
    <w:rsid w:val="00280503"/>
    <w:rsid w:val="00280702"/>
    <w:rsid w:val="00280936"/>
    <w:rsid w:val="00280D03"/>
    <w:rsid w:val="0028148D"/>
    <w:rsid w:val="00281754"/>
    <w:rsid w:val="002817B4"/>
    <w:rsid w:val="00281A16"/>
    <w:rsid w:val="00281BD1"/>
    <w:rsid w:val="002822DA"/>
    <w:rsid w:val="002826B4"/>
    <w:rsid w:val="00282B79"/>
    <w:rsid w:val="00282E05"/>
    <w:rsid w:val="0028341F"/>
    <w:rsid w:val="00283A12"/>
    <w:rsid w:val="00283F6A"/>
    <w:rsid w:val="0028436C"/>
    <w:rsid w:val="002843AA"/>
    <w:rsid w:val="002845CB"/>
    <w:rsid w:val="002846F5"/>
    <w:rsid w:val="00284873"/>
    <w:rsid w:val="002849E0"/>
    <w:rsid w:val="00284B8B"/>
    <w:rsid w:val="00284D12"/>
    <w:rsid w:val="00284DE8"/>
    <w:rsid w:val="002851FD"/>
    <w:rsid w:val="00285372"/>
    <w:rsid w:val="002854DD"/>
    <w:rsid w:val="00285591"/>
    <w:rsid w:val="002856B3"/>
    <w:rsid w:val="002856BB"/>
    <w:rsid w:val="00285772"/>
    <w:rsid w:val="0028583A"/>
    <w:rsid w:val="00285A63"/>
    <w:rsid w:val="00285A70"/>
    <w:rsid w:val="00285D52"/>
    <w:rsid w:val="00285F07"/>
    <w:rsid w:val="00285F63"/>
    <w:rsid w:val="002861AB"/>
    <w:rsid w:val="00286308"/>
    <w:rsid w:val="00286476"/>
    <w:rsid w:val="00286796"/>
    <w:rsid w:val="0028679F"/>
    <w:rsid w:val="002868D4"/>
    <w:rsid w:val="00286D5A"/>
    <w:rsid w:val="00286F74"/>
    <w:rsid w:val="00287511"/>
    <w:rsid w:val="002876A9"/>
    <w:rsid w:val="002878E8"/>
    <w:rsid w:val="00287957"/>
    <w:rsid w:val="00287AD5"/>
    <w:rsid w:val="00287BD8"/>
    <w:rsid w:val="00290140"/>
    <w:rsid w:val="0029016B"/>
    <w:rsid w:val="00290E00"/>
    <w:rsid w:val="00290EA6"/>
    <w:rsid w:val="00291197"/>
    <w:rsid w:val="00291461"/>
    <w:rsid w:val="002915A4"/>
    <w:rsid w:val="00291690"/>
    <w:rsid w:val="00291852"/>
    <w:rsid w:val="002918D5"/>
    <w:rsid w:val="00291B27"/>
    <w:rsid w:val="00291CB2"/>
    <w:rsid w:val="00291E29"/>
    <w:rsid w:val="00292366"/>
    <w:rsid w:val="00292977"/>
    <w:rsid w:val="00292AF9"/>
    <w:rsid w:val="0029305B"/>
    <w:rsid w:val="002933D1"/>
    <w:rsid w:val="00293632"/>
    <w:rsid w:val="002936AB"/>
    <w:rsid w:val="0029381F"/>
    <w:rsid w:val="00293886"/>
    <w:rsid w:val="002939B1"/>
    <w:rsid w:val="00293A69"/>
    <w:rsid w:val="00293BD4"/>
    <w:rsid w:val="002941C1"/>
    <w:rsid w:val="002949A6"/>
    <w:rsid w:val="00294A8A"/>
    <w:rsid w:val="00294BF5"/>
    <w:rsid w:val="00295580"/>
    <w:rsid w:val="00295652"/>
    <w:rsid w:val="00295B56"/>
    <w:rsid w:val="00295E72"/>
    <w:rsid w:val="00296CBC"/>
    <w:rsid w:val="00296F9A"/>
    <w:rsid w:val="00296FC5"/>
    <w:rsid w:val="002975E5"/>
    <w:rsid w:val="002978BD"/>
    <w:rsid w:val="002978D3"/>
    <w:rsid w:val="00297DAC"/>
    <w:rsid w:val="002A0144"/>
    <w:rsid w:val="002A03BB"/>
    <w:rsid w:val="002A08CF"/>
    <w:rsid w:val="002A0AAE"/>
    <w:rsid w:val="002A0AE2"/>
    <w:rsid w:val="002A0C80"/>
    <w:rsid w:val="002A0ED4"/>
    <w:rsid w:val="002A0F05"/>
    <w:rsid w:val="002A1758"/>
    <w:rsid w:val="002A1897"/>
    <w:rsid w:val="002A1AEE"/>
    <w:rsid w:val="002A1D53"/>
    <w:rsid w:val="002A22A6"/>
    <w:rsid w:val="002A2373"/>
    <w:rsid w:val="002A2622"/>
    <w:rsid w:val="002A26A9"/>
    <w:rsid w:val="002A2830"/>
    <w:rsid w:val="002A28BC"/>
    <w:rsid w:val="002A29C5"/>
    <w:rsid w:val="002A2B81"/>
    <w:rsid w:val="002A2BB8"/>
    <w:rsid w:val="002A2C85"/>
    <w:rsid w:val="002A2FD2"/>
    <w:rsid w:val="002A3123"/>
    <w:rsid w:val="002A3139"/>
    <w:rsid w:val="002A3245"/>
    <w:rsid w:val="002A34E1"/>
    <w:rsid w:val="002A357B"/>
    <w:rsid w:val="002A35C4"/>
    <w:rsid w:val="002A3A10"/>
    <w:rsid w:val="002A3EE3"/>
    <w:rsid w:val="002A3F12"/>
    <w:rsid w:val="002A41C3"/>
    <w:rsid w:val="002A4AC6"/>
    <w:rsid w:val="002A4AF0"/>
    <w:rsid w:val="002A4C8A"/>
    <w:rsid w:val="002A4DAF"/>
    <w:rsid w:val="002A4E25"/>
    <w:rsid w:val="002A4FFC"/>
    <w:rsid w:val="002A502C"/>
    <w:rsid w:val="002A51F5"/>
    <w:rsid w:val="002A5423"/>
    <w:rsid w:val="002A55D8"/>
    <w:rsid w:val="002A56D7"/>
    <w:rsid w:val="002A5820"/>
    <w:rsid w:val="002A58AC"/>
    <w:rsid w:val="002A58E7"/>
    <w:rsid w:val="002A5980"/>
    <w:rsid w:val="002A59D5"/>
    <w:rsid w:val="002A5E63"/>
    <w:rsid w:val="002A5F69"/>
    <w:rsid w:val="002A60ED"/>
    <w:rsid w:val="002A62C7"/>
    <w:rsid w:val="002A67D1"/>
    <w:rsid w:val="002A6D47"/>
    <w:rsid w:val="002A6D6E"/>
    <w:rsid w:val="002A741D"/>
    <w:rsid w:val="002A75CD"/>
    <w:rsid w:val="002A760C"/>
    <w:rsid w:val="002A7867"/>
    <w:rsid w:val="002A7958"/>
    <w:rsid w:val="002A797C"/>
    <w:rsid w:val="002A7B21"/>
    <w:rsid w:val="002A7C3B"/>
    <w:rsid w:val="002B02DF"/>
    <w:rsid w:val="002B049F"/>
    <w:rsid w:val="002B1269"/>
    <w:rsid w:val="002B144E"/>
    <w:rsid w:val="002B1508"/>
    <w:rsid w:val="002B1FC1"/>
    <w:rsid w:val="002B2064"/>
    <w:rsid w:val="002B20C2"/>
    <w:rsid w:val="002B255A"/>
    <w:rsid w:val="002B2684"/>
    <w:rsid w:val="002B26AA"/>
    <w:rsid w:val="002B26C1"/>
    <w:rsid w:val="002B31DE"/>
    <w:rsid w:val="002B3376"/>
    <w:rsid w:val="002B3710"/>
    <w:rsid w:val="002B38D3"/>
    <w:rsid w:val="002B3A7D"/>
    <w:rsid w:val="002B44BF"/>
    <w:rsid w:val="002B454A"/>
    <w:rsid w:val="002B468E"/>
    <w:rsid w:val="002B4C45"/>
    <w:rsid w:val="002B4F84"/>
    <w:rsid w:val="002B5929"/>
    <w:rsid w:val="002B5C25"/>
    <w:rsid w:val="002B5C5B"/>
    <w:rsid w:val="002B5CA7"/>
    <w:rsid w:val="002B6194"/>
    <w:rsid w:val="002B6403"/>
    <w:rsid w:val="002B65ED"/>
    <w:rsid w:val="002B6A63"/>
    <w:rsid w:val="002B6C6C"/>
    <w:rsid w:val="002B6DE9"/>
    <w:rsid w:val="002B71EF"/>
    <w:rsid w:val="002B76B0"/>
    <w:rsid w:val="002B7912"/>
    <w:rsid w:val="002B79AD"/>
    <w:rsid w:val="002B7DEB"/>
    <w:rsid w:val="002B7ED9"/>
    <w:rsid w:val="002C0027"/>
    <w:rsid w:val="002C006D"/>
    <w:rsid w:val="002C0080"/>
    <w:rsid w:val="002C0102"/>
    <w:rsid w:val="002C045F"/>
    <w:rsid w:val="002C0A67"/>
    <w:rsid w:val="002C0D63"/>
    <w:rsid w:val="002C1573"/>
    <w:rsid w:val="002C15C4"/>
    <w:rsid w:val="002C1C29"/>
    <w:rsid w:val="002C1C64"/>
    <w:rsid w:val="002C1FF8"/>
    <w:rsid w:val="002C23A0"/>
    <w:rsid w:val="002C24AA"/>
    <w:rsid w:val="002C2904"/>
    <w:rsid w:val="002C29B8"/>
    <w:rsid w:val="002C2B7C"/>
    <w:rsid w:val="002C2BC3"/>
    <w:rsid w:val="002C2FAA"/>
    <w:rsid w:val="002C3390"/>
    <w:rsid w:val="002C33F8"/>
    <w:rsid w:val="002C34A2"/>
    <w:rsid w:val="002C34AB"/>
    <w:rsid w:val="002C34DC"/>
    <w:rsid w:val="002C382D"/>
    <w:rsid w:val="002C3926"/>
    <w:rsid w:val="002C393D"/>
    <w:rsid w:val="002C3B14"/>
    <w:rsid w:val="002C4030"/>
    <w:rsid w:val="002C4287"/>
    <w:rsid w:val="002C42C4"/>
    <w:rsid w:val="002C4389"/>
    <w:rsid w:val="002C4A65"/>
    <w:rsid w:val="002C5523"/>
    <w:rsid w:val="002C591F"/>
    <w:rsid w:val="002C5A11"/>
    <w:rsid w:val="002C5EAF"/>
    <w:rsid w:val="002C6225"/>
    <w:rsid w:val="002C633D"/>
    <w:rsid w:val="002C6433"/>
    <w:rsid w:val="002C64EE"/>
    <w:rsid w:val="002C65E0"/>
    <w:rsid w:val="002C6BCA"/>
    <w:rsid w:val="002C6EF4"/>
    <w:rsid w:val="002C708C"/>
    <w:rsid w:val="002C75D4"/>
    <w:rsid w:val="002C764F"/>
    <w:rsid w:val="002C7799"/>
    <w:rsid w:val="002C7A03"/>
    <w:rsid w:val="002C7A05"/>
    <w:rsid w:val="002D00ED"/>
    <w:rsid w:val="002D06E9"/>
    <w:rsid w:val="002D0721"/>
    <w:rsid w:val="002D0DB1"/>
    <w:rsid w:val="002D1830"/>
    <w:rsid w:val="002D18B6"/>
    <w:rsid w:val="002D18D9"/>
    <w:rsid w:val="002D22FB"/>
    <w:rsid w:val="002D28A6"/>
    <w:rsid w:val="002D2B26"/>
    <w:rsid w:val="002D304E"/>
    <w:rsid w:val="002D31B6"/>
    <w:rsid w:val="002D3204"/>
    <w:rsid w:val="002D38A8"/>
    <w:rsid w:val="002D39A0"/>
    <w:rsid w:val="002D3B27"/>
    <w:rsid w:val="002D3B8F"/>
    <w:rsid w:val="002D3D48"/>
    <w:rsid w:val="002D432A"/>
    <w:rsid w:val="002D43E1"/>
    <w:rsid w:val="002D462C"/>
    <w:rsid w:val="002D469A"/>
    <w:rsid w:val="002D48A9"/>
    <w:rsid w:val="002D491B"/>
    <w:rsid w:val="002D49D8"/>
    <w:rsid w:val="002D4A1A"/>
    <w:rsid w:val="002D4DC7"/>
    <w:rsid w:val="002D52CB"/>
    <w:rsid w:val="002D6432"/>
    <w:rsid w:val="002D6537"/>
    <w:rsid w:val="002D65D6"/>
    <w:rsid w:val="002D660F"/>
    <w:rsid w:val="002D67B6"/>
    <w:rsid w:val="002D6DFA"/>
    <w:rsid w:val="002D6F1F"/>
    <w:rsid w:val="002D6FEA"/>
    <w:rsid w:val="002D7609"/>
    <w:rsid w:val="002D7848"/>
    <w:rsid w:val="002D7C75"/>
    <w:rsid w:val="002D7E61"/>
    <w:rsid w:val="002D7EA2"/>
    <w:rsid w:val="002D7FF1"/>
    <w:rsid w:val="002E011E"/>
    <w:rsid w:val="002E02FF"/>
    <w:rsid w:val="002E06CC"/>
    <w:rsid w:val="002E07B0"/>
    <w:rsid w:val="002E0A05"/>
    <w:rsid w:val="002E1155"/>
    <w:rsid w:val="002E118C"/>
    <w:rsid w:val="002E11D8"/>
    <w:rsid w:val="002E1601"/>
    <w:rsid w:val="002E1727"/>
    <w:rsid w:val="002E17BB"/>
    <w:rsid w:val="002E1808"/>
    <w:rsid w:val="002E187C"/>
    <w:rsid w:val="002E1D5E"/>
    <w:rsid w:val="002E20C2"/>
    <w:rsid w:val="002E214D"/>
    <w:rsid w:val="002E2524"/>
    <w:rsid w:val="002E256E"/>
    <w:rsid w:val="002E2876"/>
    <w:rsid w:val="002E2970"/>
    <w:rsid w:val="002E2A8A"/>
    <w:rsid w:val="002E2B53"/>
    <w:rsid w:val="002E2BFD"/>
    <w:rsid w:val="002E2D5E"/>
    <w:rsid w:val="002E2F2D"/>
    <w:rsid w:val="002E30E4"/>
    <w:rsid w:val="002E3978"/>
    <w:rsid w:val="002E3E41"/>
    <w:rsid w:val="002E4339"/>
    <w:rsid w:val="002E489D"/>
    <w:rsid w:val="002E4B52"/>
    <w:rsid w:val="002E548B"/>
    <w:rsid w:val="002E5579"/>
    <w:rsid w:val="002E5624"/>
    <w:rsid w:val="002E583B"/>
    <w:rsid w:val="002E5999"/>
    <w:rsid w:val="002E5ECA"/>
    <w:rsid w:val="002E5FBD"/>
    <w:rsid w:val="002E605B"/>
    <w:rsid w:val="002E65F8"/>
    <w:rsid w:val="002E6725"/>
    <w:rsid w:val="002E67C3"/>
    <w:rsid w:val="002E67CD"/>
    <w:rsid w:val="002E68C8"/>
    <w:rsid w:val="002E6E9D"/>
    <w:rsid w:val="002E7000"/>
    <w:rsid w:val="002E709F"/>
    <w:rsid w:val="002E71E3"/>
    <w:rsid w:val="002E78CE"/>
    <w:rsid w:val="002E7AA2"/>
    <w:rsid w:val="002E7AFF"/>
    <w:rsid w:val="002E7B91"/>
    <w:rsid w:val="002E7C1A"/>
    <w:rsid w:val="002F02D3"/>
    <w:rsid w:val="002F07A3"/>
    <w:rsid w:val="002F085C"/>
    <w:rsid w:val="002F0CCD"/>
    <w:rsid w:val="002F0FB2"/>
    <w:rsid w:val="002F1177"/>
    <w:rsid w:val="002F1768"/>
    <w:rsid w:val="002F18EA"/>
    <w:rsid w:val="002F1DF4"/>
    <w:rsid w:val="002F1ED2"/>
    <w:rsid w:val="002F225F"/>
    <w:rsid w:val="002F2480"/>
    <w:rsid w:val="002F250C"/>
    <w:rsid w:val="002F26D5"/>
    <w:rsid w:val="002F2883"/>
    <w:rsid w:val="002F2D34"/>
    <w:rsid w:val="002F2EE9"/>
    <w:rsid w:val="002F308C"/>
    <w:rsid w:val="002F3247"/>
    <w:rsid w:val="002F3964"/>
    <w:rsid w:val="002F39BC"/>
    <w:rsid w:val="002F3CDA"/>
    <w:rsid w:val="002F3D36"/>
    <w:rsid w:val="002F3DE9"/>
    <w:rsid w:val="002F3F97"/>
    <w:rsid w:val="002F3FD1"/>
    <w:rsid w:val="002F440F"/>
    <w:rsid w:val="002F449A"/>
    <w:rsid w:val="002F464F"/>
    <w:rsid w:val="002F4708"/>
    <w:rsid w:val="002F4834"/>
    <w:rsid w:val="002F485D"/>
    <w:rsid w:val="002F4876"/>
    <w:rsid w:val="002F4A1F"/>
    <w:rsid w:val="002F4E0D"/>
    <w:rsid w:val="002F4E25"/>
    <w:rsid w:val="002F531B"/>
    <w:rsid w:val="002F5526"/>
    <w:rsid w:val="002F56DC"/>
    <w:rsid w:val="002F596C"/>
    <w:rsid w:val="002F5A8D"/>
    <w:rsid w:val="002F5BD4"/>
    <w:rsid w:val="002F5C30"/>
    <w:rsid w:val="002F5DAF"/>
    <w:rsid w:val="002F5EF7"/>
    <w:rsid w:val="002F5F89"/>
    <w:rsid w:val="002F6296"/>
    <w:rsid w:val="002F63F9"/>
    <w:rsid w:val="002F69BB"/>
    <w:rsid w:val="002F6F78"/>
    <w:rsid w:val="002F7046"/>
    <w:rsid w:val="00300295"/>
    <w:rsid w:val="003005A7"/>
    <w:rsid w:val="00300756"/>
    <w:rsid w:val="0030082A"/>
    <w:rsid w:val="00300DE6"/>
    <w:rsid w:val="00300F64"/>
    <w:rsid w:val="00301489"/>
    <w:rsid w:val="003016B9"/>
    <w:rsid w:val="003016F1"/>
    <w:rsid w:val="003017B6"/>
    <w:rsid w:val="0030185C"/>
    <w:rsid w:val="003018E5"/>
    <w:rsid w:val="00301E20"/>
    <w:rsid w:val="00301F70"/>
    <w:rsid w:val="003021A5"/>
    <w:rsid w:val="00302347"/>
    <w:rsid w:val="00302733"/>
    <w:rsid w:val="00302A64"/>
    <w:rsid w:val="00302DD3"/>
    <w:rsid w:val="00302F2C"/>
    <w:rsid w:val="003032E4"/>
    <w:rsid w:val="00303433"/>
    <w:rsid w:val="003034B3"/>
    <w:rsid w:val="003034CE"/>
    <w:rsid w:val="003036B5"/>
    <w:rsid w:val="003037F0"/>
    <w:rsid w:val="00303974"/>
    <w:rsid w:val="003039F4"/>
    <w:rsid w:val="0030433B"/>
    <w:rsid w:val="003045D6"/>
    <w:rsid w:val="00304768"/>
    <w:rsid w:val="00304A46"/>
    <w:rsid w:val="00304AD9"/>
    <w:rsid w:val="00304CFD"/>
    <w:rsid w:val="00304F17"/>
    <w:rsid w:val="0030512D"/>
    <w:rsid w:val="00305309"/>
    <w:rsid w:val="00305470"/>
    <w:rsid w:val="00305918"/>
    <w:rsid w:val="00305956"/>
    <w:rsid w:val="00305D7F"/>
    <w:rsid w:val="00305E4F"/>
    <w:rsid w:val="00305F49"/>
    <w:rsid w:val="00305FAB"/>
    <w:rsid w:val="0030616D"/>
    <w:rsid w:val="003063B2"/>
    <w:rsid w:val="00306486"/>
    <w:rsid w:val="003067CA"/>
    <w:rsid w:val="00306880"/>
    <w:rsid w:val="00306C37"/>
    <w:rsid w:val="00306E40"/>
    <w:rsid w:val="00306F10"/>
    <w:rsid w:val="0030711D"/>
    <w:rsid w:val="00307586"/>
    <w:rsid w:val="00307920"/>
    <w:rsid w:val="00307B49"/>
    <w:rsid w:val="00307EE5"/>
    <w:rsid w:val="003100F4"/>
    <w:rsid w:val="0031045A"/>
    <w:rsid w:val="003106C3"/>
    <w:rsid w:val="00310F57"/>
    <w:rsid w:val="00311085"/>
    <w:rsid w:val="0031128E"/>
    <w:rsid w:val="003112A9"/>
    <w:rsid w:val="00311494"/>
    <w:rsid w:val="00311790"/>
    <w:rsid w:val="0031181D"/>
    <w:rsid w:val="00311901"/>
    <w:rsid w:val="003119AD"/>
    <w:rsid w:val="00311C12"/>
    <w:rsid w:val="00311EFE"/>
    <w:rsid w:val="00312253"/>
    <w:rsid w:val="003122F4"/>
    <w:rsid w:val="00312593"/>
    <w:rsid w:val="003126ED"/>
    <w:rsid w:val="003128E4"/>
    <w:rsid w:val="00312979"/>
    <w:rsid w:val="003129F0"/>
    <w:rsid w:val="00312AFD"/>
    <w:rsid w:val="00312F2F"/>
    <w:rsid w:val="00312F89"/>
    <w:rsid w:val="00312F99"/>
    <w:rsid w:val="0031367E"/>
    <w:rsid w:val="00313A8E"/>
    <w:rsid w:val="00313AD6"/>
    <w:rsid w:val="00313D05"/>
    <w:rsid w:val="00313F08"/>
    <w:rsid w:val="00314078"/>
    <w:rsid w:val="003144C5"/>
    <w:rsid w:val="00314765"/>
    <w:rsid w:val="00314791"/>
    <w:rsid w:val="00314834"/>
    <w:rsid w:val="00314836"/>
    <w:rsid w:val="00314901"/>
    <w:rsid w:val="00314A30"/>
    <w:rsid w:val="00314A7F"/>
    <w:rsid w:val="0031515E"/>
    <w:rsid w:val="00315471"/>
    <w:rsid w:val="0031575A"/>
    <w:rsid w:val="00316517"/>
    <w:rsid w:val="00316E88"/>
    <w:rsid w:val="00316FB5"/>
    <w:rsid w:val="003170EA"/>
    <w:rsid w:val="00317250"/>
    <w:rsid w:val="003173B1"/>
    <w:rsid w:val="00317940"/>
    <w:rsid w:val="00317BFE"/>
    <w:rsid w:val="00317EC9"/>
    <w:rsid w:val="0032030A"/>
    <w:rsid w:val="0032049A"/>
    <w:rsid w:val="0032096E"/>
    <w:rsid w:val="003209F5"/>
    <w:rsid w:val="00320B60"/>
    <w:rsid w:val="00321576"/>
    <w:rsid w:val="0032165A"/>
    <w:rsid w:val="003216F4"/>
    <w:rsid w:val="0032186D"/>
    <w:rsid w:val="00321A20"/>
    <w:rsid w:val="00321C42"/>
    <w:rsid w:val="003222B3"/>
    <w:rsid w:val="00322497"/>
    <w:rsid w:val="003229C1"/>
    <w:rsid w:val="00322AB0"/>
    <w:rsid w:val="00322BA6"/>
    <w:rsid w:val="00323190"/>
    <w:rsid w:val="003231D4"/>
    <w:rsid w:val="00323215"/>
    <w:rsid w:val="00323253"/>
    <w:rsid w:val="0032363A"/>
    <w:rsid w:val="00323C5F"/>
    <w:rsid w:val="0032412C"/>
    <w:rsid w:val="00324254"/>
    <w:rsid w:val="00324343"/>
    <w:rsid w:val="00324432"/>
    <w:rsid w:val="003247D2"/>
    <w:rsid w:val="00324DE2"/>
    <w:rsid w:val="0032515D"/>
    <w:rsid w:val="003252C8"/>
    <w:rsid w:val="00325747"/>
    <w:rsid w:val="0032576C"/>
    <w:rsid w:val="00325794"/>
    <w:rsid w:val="0032594F"/>
    <w:rsid w:val="00325B5A"/>
    <w:rsid w:val="00326114"/>
    <w:rsid w:val="00326392"/>
    <w:rsid w:val="003264ED"/>
    <w:rsid w:val="003265A7"/>
    <w:rsid w:val="00326665"/>
    <w:rsid w:val="00326775"/>
    <w:rsid w:val="003269D9"/>
    <w:rsid w:val="00326A29"/>
    <w:rsid w:val="003273FC"/>
    <w:rsid w:val="0032749A"/>
    <w:rsid w:val="003274CA"/>
    <w:rsid w:val="003274F4"/>
    <w:rsid w:val="00327595"/>
    <w:rsid w:val="003275B4"/>
    <w:rsid w:val="00327A16"/>
    <w:rsid w:val="00327BA0"/>
    <w:rsid w:val="00327BFD"/>
    <w:rsid w:val="00327C4D"/>
    <w:rsid w:val="00330140"/>
    <w:rsid w:val="00330266"/>
    <w:rsid w:val="003302A4"/>
    <w:rsid w:val="003303A8"/>
    <w:rsid w:val="00330443"/>
    <w:rsid w:val="00330504"/>
    <w:rsid w:val="00330B2C"/>
    <w:rsid w:val="00330CFA"/>
    <w:rsid w:val="00330F9A"/>
    <w:rsid w:val="00330FB1"/>
    <w:rsid w:val="00331015"/>
    <w:rsid w:val="0033135F"/>
    <w:rsid w:val="00331547"/>
    <w:rsid w:val="003315CA"/>
    <w:rsid w:val="0033169F"/>
    <w:rsid w:val="00331880"/>
    <w:rsid w:val="00331B98"/>
    <w:rsid w:val="00331D6B"/>
    <w:rsid w:val="00331DB6"/>
    <w:rsid w:val="00331E5D"/>
    <w:rsid w:val="0033267B"/>
    <w:rsid w:val="00332983"/>
    <w:rsid w:val="00332C85"/>
    <w:rsid w:val="00332CDA"/>
    <w:rsid w:val="003332ED"/>
    <w:rsid w:val="00333392"/>
    <w:rsid w:val="00333430"/>
    <w:rsid w:val="003338C1"/>
    <w:rsid w:val="00333AB7"/>
    <w:rsid w:val="00333B27"/>
    <w:rsid w:val="003340F9"/>
    <w:rsid w:val="00334139"/>
    <w:rsid w:val="00334281"/>
    <w:rsid w:val="00334A3E"/>
    <w:rsid w:val="00334B5B"/>
    <w:rsid w:val="003351CA"/>
    <w:rsid w:val="00336068"/>
    <w:rsid w:val="0033611B"/>
    <w:rsid w:val="00336412"/>
    <w:rsid w:val="003367AD"/>
    <w:rsid w:val="00336B10"/>
    <w:rsid w:val="00336DBE"/>
    <w:rsid w:val="00336E99"/>
    <w:rsid w:val="00337307"/>
    <w:rsid w:val="003375BD"/>
    <w:rsid w:val="00337624"/>
    <w:rsid w:val="00337BAC"/>
    <w:rsid w:val="00337D8A"/>
    <w:rsid w:val="003401E5"/>
    <w:rsid w:val="003402C6"/>
    <w:rsid w:val="003403D3"/>
    <w:rsid w:val="00340417"/>
    <w:rsid w:val="003409C6"/>
    <w:rsid w:val="00340E9B"/>
    <w:rsid w:val="00341046"/>
    <w:rsid w:val="003410BD"/>
    <w:rsid w:val="00341327"/>
    <w:rsid w:val="00341959"/>
    <w:rsid w:val="003419A1"/>
    <w:rsid w:val="00341C8E"/>
    <w:rsid w:val="00341D78"/>
    <w:rsid w:val="00341D8B"/>
    <w:rsid w:val="00342026"/>
    <w:rsid w:val="00342457"/>
    <w:rsid w:val="003424A0"/>
    <w:rsid w:val="00342A5D"/>
    <w:rsid w:val="00343226"/>
    <w:rsid w:val="00343559"/>
    <w:rsid w:val="00343BE6"/>
    <w:rsid w:val="00343DA6"/>
    <w:rsid w:val="00343E90"/>
    <w:rsid w:val="00344699"/>
    <w:rsid w:val="00344A5B"/>
    <w:rsid w:val="00344A84"/>
    <w:rsid w:val="00344E9A"/>
    <w:rsid w:val="003450CB"/>
    <w:rsid w:val="00345593"/>
    <w:rsid w:val="003457B7"/>
    <w:rsid w:val="0034594D"/>
    <w:rsid w:val="00345A36"/>
    <w:rsid w:val="00345FA9"/>
    <w:rsid w:val="00346183"/>
    <w:rsid w:val="0034641D"/>
    <w:rsid w:val="00346643"/>
    <w:rsid w:val="003466F3"/>
    <w:rsid w:val="0034698F"/>
    <w:rsid w:val="00346C95"/>
    <w:rsid w:val="00346D29"/>
    <w:rsid w:val="00346D2B"/>
    <w:rsid w:val="00347065"/>
    <w:rsid w:val="00347342"/>
    <w:rsid w:val="0034738C"/>
    <w:rsid w:val="003473A0"/>
    <w:rsid w:val="00347717"/>
    <w:rsid w:val="00347AA1"/>
    <w:rsid w:val="00347B81"/>
    <w:rsid w:val="003500CC"/>
    <w:rsid w:val="00350137"/>
    <w:rsid w:val="00350803"/>
    <w:rsid w:val="003508CD"/>
    <w:rsid w:val="00350CF0"/>
    <w:rsid w:val="00350FEF"/>
    <w:rsid w:val="003510D6"/>
    <w:rsid w:val="00351147"/>
    <w:rsid w:val="00351225"/>
    <w:rsid w:val="003513C8"/>
    <w:rsid w:val="003513F0"/>
    <w:rsid w:val="00351467"/>
    <w:rsid w:val="00351681"/>
    <w:rsid w:val="003518C0"/>
    <w:rsid w:val="0035200C"/>
    <w:rsid w:val="00352033"/>
    <w:rsid w:val="003523EE"/>
    <w:rsid w:val="003527E2"/>
    <w:rsid w:val="003528C1"/>
    <w:rsid w:val="0035295D"/>
    <w:rsid w:val="00352C95"/>
    <w:rsid w:val="00352E67"/>
    <w:rsid w:val="00352F12"/>
    <w:rsid w:val="003533D2"/>
    <w:rsid w:val="003533E0"/>
    <w:rsid w:val="00353503"/>
    <w:rsid w:val="0035379E"/>
    <w:rsid w:val="00353818"/>
    <w:rsid w:val="00353892"/>
    <w:rsid w:val="00353946"/>
    <w:rsid w:val="00353972"/>
    <w:rsid w:val="00353E3C"/>
    <w:rsid w:val="003543CE"/>
    <w:rsid w:val="00354A4D"/>
    <w:rsid w:val="00354E25"/>
    <w:rsid w:val="00354E59"/>
    <w:rsid w:val="0035504C"/>
    <w:rsid w:val="003550D4"/>
    <w:rsid w:val="00355188"/>
    <w:rsid w:val="003555B8"/>
    <w:rsid w:val="003556B3"/>
    <w:rsid w:val="00355769"/>
    <w:rsid w:val="003558F5"/>
    <w:rsid w:val="003559ED"/>
    <w:rsid w:val="00355A42"/>
    <w:rsid w:val="00355E3E"/>
    <w:rsid w:val="00356185"/>
    <w:rsid w:val="003561A3"/>
    <w:rsid w:val="0035634C"/>
    <w:rsid w:val="003564C6"/>
    <w:rsid w:val="00357157"/>
    <w:rsid w:val="00357274"/>
    <w:rsid w:val="0035729D"/>
    <w:rsid w:val="00357486"/>
    <w:rsid w:val="00357600"/>
    <w:rsid w:val="00357AB2"/>
    <w:rsid w:val="00357E90"/>
    <w:rsid w:val="00357EBE"/>
    <w:rsid w:val="00357FAB"/>
    <w:rsid w:val="00360380"/>
    <w:rsid w:val="00360575"/>
    <w:rsid w:val="00360991"/>
    <w:rsid w:val="00360DF4"/>
    <w:rsid w:val="00360DF5"/>
    <w:rsid w:val="00360DF6"/>
    <w:rsid w:val="00360E13"/>
    <w:rsid w:val="00360EC9"/>
    <w:rsid w:val="00360F78"/>
    <w:rsid w:val="00361520"/>
    <w:rsid w:val="003615B1"/>
    <w:rsid w:val="003616FA"/>
    <w:rsid w:val="00361940"/>
    <w:rsid w:val="00361E5F"/>
    <w:rsid w:val="00361F65"/>
    <w:rsid w:val="00362008"/>
    <w:rsid w:val="0036247E"/>
    <w:rsid w:val="0036249D"/>
    <w:rsid w:val="003624CE"/>
    <w:rsid w:val="00362560"/>
    <w:rsid w:val="0036281C"/>
    <w:rsid w:val="0036287E"/>
    <w:rsid w:val="003628E9"/>
    <w:rsid w:val="00362A2B"/>
    <w:rsid w:val="00362AE8"/>
    <w:rsid w:val="00363772"/>
    <w:rsid w:val="0036385B"/>
    <w:rsid w:val="003639E7"/>
    <w:rsid w:val="00363A3F"/>
    <w:rsid w:val="00363B69"/>
    <w:rsid w:val="00364165"/>
    <w:rsid w:val="003645B4"/>
    <w:rsid w:val="00364AC9"/>
    <w:rsid w:val="00364D74"/>
    <w:rsid w:val="00364DAE"/>
    <w:rsid w:val="00364E00"/>
    <w:rsid w:val="00364FA0"/>
    <w:rsid w:val="0036502F"/>
    <w:rsid w:val="0036510E"/>
    <w:rsid w:val="003652AB"/>
    <w:rsid w:val="00365879"/>
    <w:rsid w:val="0036599E"/>
    <w:rsid w:val="00365CF7"/>
    <w:rsid w:val="00365EB8"/>
    <w:rsid w:val="0036618F"/>
    <w:rsid w:val="003661B2"/>
    <w:rsid w:val="0036634F"/>
    <w:rsid w:val="0036651A"/>
    <w:rsid w:val="00366ADD"/>
    <w:rsid w:val="00366DDF"/>
    <w:rsid w:val="003670E7"/>
    <w:rsid w:val="003675E5"/>
    <w:rsid w:val="0036776F"/>
    <w:rsid w:val="00367BDC"/>
    <w:rsid w:val="00367C3F"/>
    <w:rsid w:val="00367E2C"/>
    <w:rsid w:val="00370085"/>
    <w:rsid w:val="003701D9"/>
    <w:rsid w:val="00370353"/>
    <w:rsid w:val="0037050A"/>
    <w:rsid w:val="00371913"/>
    <w:rsid w:val="003719DF"/>
    <w:rsid w:val="00371A6F"/>
    <w:rsid w:val="003720BB"/>
    <w:rsid w:val="00372131"/>
    <w:rsid w:val="003722AA"/>
    <w:rsid w:val="003724A9"/>
    <w:rsid w:val="0037278A"/>
    <w:rsid w:val="00372870"/>
    <w:rsid w:val="00372A1A"/>
    <w:rsid w:val="00372B1B"/>
    <w:rsid w:val="00373626"/>
    <w:rsid w:val="003738D7"/>
    <w:rsid w:val="00373A0C"/>
    <w:rsid w:val="00373B73"/>
    <w:rsid w:val="00373BC3"/>
    <w:rsid w:val="00373E57"/>
    <w:rsid w:val="003742C8"/>
    <w:rsid w:val="003742D2"/>
    <w:rsid w:val="00374597"/>
    <w:rsid w:val="00374654"/>
    <w:rsid w:val="00374692"/>
    <w:rsid w:val="0037480D"/>
    <w:rsid w:val="0037498B"/>
    <w:rsid w:val="00374B7D"/>
    <w:rsid w:val="00374E7F"/>
    <w:rsid w:val="00374F42"/>
    <w:rsid w:val="00375401"/>
    <w:rsid w:val="003757D0"/>
    <w:rsid w:val="00375C0E"/>
    <w:rsid w:val="00375C1E"/>
    <w:rsid w:val="00375D8A"/>
    <w:rsid w:val="00376037"/>
    <w:rsid w:val="003760F3"/>
    <w:rsid w:val="0037647A"/>
    <w:rsid w:val="00376490"/>
    <w:rsid w:val="00376B3E"/>
    <w:rsid w:val="00376D82"/>
    <w:rsid w:val="00377287"/>
    <w:rsid w:val="003779B8"/>
    <w:rsid w:val="00377B58"/>
    <w:rsid w:val="00377CE5"/>
    <w:rsid w:val="003800B9"/>
    <w:rsid w:val="0038019B"/>
    <w:rsid w:val="003803A8"/>
    <w:rsid w:val="00380743"/>
    <w:rsid w:val="00380AEC"/>
    <w:rsid w:val="00380B64"/>
    <w:rsid w:val="00380BCE"/>
    <w:rsid w:val="00380DD1"/>
    <w:rsid w:val="00380DFA"/>
    <w:rsid w:val="00380F5B"/>
    <w:rsid w:val="00381110"/>
    <w:rsid w:val="00381275"/>
    <w:rsid w:val="0038158C"/>
    <w:rsid w:val="003818C1"/>
    <w:rsid w:val="003819B8"/>
    <w:rsid w:val="00381C61"/>
    <w:rsid w:val="00381F0C"/>
    <w:rsid w:val="003824FD"/>
    <w:rsid w:val="00382761"/>
    <w:rsid w:val="00382C39"/>
    <w:rsid w:val="00382F87"/>
    <w:rsid w:val="0038307F"/>
    <w:rsid w:val="003835B2"/>
    <w:rsid w:val="003836AB"/>
    <w:rsid w:val="00383FF6"/>
    <w:rsid w:val="00384606"/>
    <w:rsid w:val="00384754"/>
    <w:rsid w:val="00384D4E"/>
    <w:rsid w:val="00384E4C"/>
    <w:rsid w:val="00384F3B"/>
    <w:rsid w:val="00385269"/>
    <w:rsid w:val="00385C70"/>
    <w:rsid w:val="00385DF9"/>
    <w:rsid w:val="00386545"/>
    <w:rsid w:val="003865FC"/>
    <w:rsid w:val="003867B5"/>
    <w:rsid w:val="0038683C"/>
    <w:rsid w:val="003868E9"/>
    <w:rsid w:val="00386A5A"/>
    <w:rsid w:val="00386A9E"/>
    <w:rsid w:val="00386CF0"/>
    <w:rsid w:val="00386DC5"/>
    <w:rsid w:val="00386F16"/>
    <w:rsid w:val="00387517"/>
    <w:rsid w:val="00387697"/>
    <w:rsid w:val="00387929"/>
    <w:rsid w:val="00387A24"/>
    <w:rsid w:val="00387B9A"/>
    <w:rsid w:val="00387E8F"/>
    <w:rsid w:val="00387FC1"/>
    <w:rsid w:val="003900E6"/>
    <w:rsid w:val="003905DC"/>
    <w:rsid w:val="00390688"/>
    <w:rsid w:val="0039082B"/>
    <w:rsid w:val="00390877"/>
    <w:rsid w:val="00390C07"/>
    <w:rsid w:val="00390CF8"/>
    <w:rsid w:val="00390E1A"/>
    <w:rsid w:val="0039120B"/>
    <w:rsid w:val="00391277"/>
    <w:rsid w:val="003912A6"/>
    <w:rsid w:val="003917FB"/>
    <w:rsid w:val="00391E81"/>
    <w:rsid w:val="00392130"/>
    <w:rsid w:val="003921AA"/>
    <w:rsid w:val="003922B2"/>
    <w:rsid w:val="003929D0"/>
    <w:rsid w:val="00392E4C"/>
    <w:rsid w:val="003930A2"/>
    <w:rsid w:val="00393272"/>
    <w:rsid w:val="00393329"/>
    <w:rsid w:val="00393445"/>
    <w:rsid w:val="00393448"/>
    <w:rsid w:val="0039344F"/>
    <w:rsid w:val="00393575"/>
    <w:rsid w:val="003935EE"/>
    <w:rsid w:val="00393769"/>
    <w:rsid w:val="00393872"/>
    <w:rsid w:val="0039440A"/>
    <w:rsid w:val="00394901"/>
    <w:rsid w:val="00394AF9"/>
    <w:rsid w:val="00394C3D"/>
    <w:rsid w:val="00394CD0"/>
    <w:rsid w:val="00394E1F"/>
    <w:rsid w:val="00395131"/>
    <w:rsid w:val="003951C8"/>
    <w:rsid w:val="0039521B"/>
    <w:rsid w:val="00395347"/>
    <w:rsid w:val="00395583"/>
    <w:rsid w:val="00395A28"/>
    <w:rsid w:val="00395C27"/>
    <w:rsid w:val="00395D74"/>
    <w:rsid w:val="0039652B"/>
    <w:rsid w:val="0039660E"/>
    <w:rsid w:val="003966C1"/>
    <w:rsid w:val="003966C4"/>
    <w:rsid w:val="00396E3C"/>
    <w:rsid w:val="00397012"/>
    <w:rsid w:val="003970C8"/>
    <w:rsid w:val="003974DF"/>
    <w:rsid w:val="0039767F"/>
    <w:rsid w:val="003978EF"/>
    <w:rsid w:val="00397AFA"/>
    <w:rsid w:val="00397C9F"/>
    <w:rsid w:val="00397CEF"/>
    <w:rsid w:val="003A02D7"/>
    <w:rsid w:val="003A06CF"/>
    <w:rsid w:val="003A113D"/>
    <w:rsid w:val="003A174E"/>
    <w:rsid w:val="003A198A"/>
    <w:rsid w:val="003A1CAB"/>
    <w:rsid w:val="003A1D79"/>
    <w:rsid w:val="003A1E4B"/>
    <w:rsid w:val="003A2270"/>
    <w:rsid w:val="003A2506"/>
    <w:rsid w:val="003A27F6"/>
    <w:rsid w:val="003A2A49"/>
    <w:rsid w:val="003A2B0E"/>
    <w:rsid w:val="003A2D55"/>
    <w:rsid w:val="003A2EFC"/>
    <w:rsid w:val="003A31E7"/>
    <w:rsid w:val="003A3AAA"/>
    <w:rsid w:val="003A3ACF"/>
    <w:rsid w:val="003A41F2"/>
    <w:rsid w:val="003A4255"/>
    <w:rsid w:val="003A431E"/>
    <w:rsid w:val="003A4385"/>
    <w:rsid w:val="003A458A"/>
    <w:rsid w:val="003A4815"/>
    <w:rsid w:val="003A4996"/>
    <w:rsid w:val="003A49CD"/>
    <w:rsid w:val="003A4B71"/>
    <w:rsid w:val="003A4CCF"/>
    <w:rsid w:val="003A557C"/>
    <w:rsid w:val="003A55D6"/>
    <w:rsid w:val="003A5852"/>
    <w:rsid w:val="003A58E2"/>
    <w:rsid w:val="003A5933"/>
    <w:rsid w:val="003A5976"/>
    <w:rsid w:val="003A5B81"/>
    <w:rsid w:val="003A5B8E"/>
    <w:rsid w:val="003A5C21"/>
    <w:rsid w:val="003A5CF9"/>
    <w:rsid w:val="003A5D1B"/>
    <w:rsid w:val="003A5F00"/>
    <w:rsid w:val="003A5F02"/>
    <w:rsid w:val="003A61C6"/>
    <w:rsid w:val="003A6220"/>
    <w:rsid w:val="003A6675"/>
    <w:rsid w:val="003A66F0"/>
    <w:rsid w:val="003A69BC"/>
    <w:rsid w:val="003A6A82"/>
    <w:rsid w:val="003A6B87"/>
    <w:rsid w:val="003A6E09"/>
    <w:rsid w:val="003A6F51"/>
    <w:rsid w:val="003A7106"/>
    <w:rsid w:val="003A723B"/>
    <w:rsid w:val="003A724A"/>
    <w:rsid w:val="003A74BB"/>
    <w:rsid w:val="003A77F1"/>
    <w:rsid w:val="003A7814"/>
    <w:rsid w:val="003A7971"/>
    <w:rsid w:val="003A7C0D"/>
    <w:rsid w:val="003A7E29"/>
    <w:rsid w:val="003A7FA8"/>
    <w:rsid w:val="003B0471"/>
    <w:rsid w:val="003B0584"/>
    <w:rsid w:val="003B08C7"/>
    <w:rsid w:val="003B0A7F"/>
    <w:rsid w:val="003B0C66"/>
    <w:rsid w:val="003B0CA0"/>
    <w:rsid w:val="003B1523"/>
    <w:rsid w:val="003B16AC"/>
    <w:rsid w:val="003B1B1C"/>
    <w:rsid w:val="003B1D11"/>
    <w:rsid w:val="003B1E2E"/>
    <w:rsid w:val="003B1E51"/>
    <w:rsid w:val="003B2285"/>
    <w:rsid w:val="003B23B6"/>
    <w:rsid w:val="003B26A4"/>
    <w:rsid w:val="003B2B17"/>
    <w:rsid w:val="003B2EC0"/>
    <w:rsid w:val="003B3094"/>
    <w:rsid w:val="003B3146"/>
    <w:rsid w:val="003B396A"/>
    <w:rsid w:val="003B3A0B"/>
    <w:rsid w:val="003B3CD9"/>
    <w:rsid w:val="003B3D0B"/>
    <w:rsid w:val="003B42F6"/>
    <w:rsid w:val="003B451A"/>
    <w:rsid w:val="003B4572"/>
    <w:rsid w:val="003B486C"/>
    <w:rsid w:val="003B49DF"/>
    <w:rsid w:val="003B4DAF"/>
    <w:rsid w:val="003B4EFA"/>
    <w:rsid w:val="003B5118"/>
    <w:rsid w:val="003B52CE"/>
    <w:rsid w:val="003B56B1"/>
    <w:rsid w:val="003B5823"/>
    <w:rsid w:val="003B595A"/>
    <w:rsid w:val="003B59D9"/>
    <w:rsid w:val="003B5E55"/>
    <w:rsid w:val="003B5F2D"/>
    <w:rsid w:val="003B6528"/>
    <w:rsid w:val="003B6713"/>
    <w:rsid w:val="003B6C36"/>
    <w:rsid w:val="003B6D3A"/>
    <w:rsid w:val="003B71FF"/>
    <w:rsid w:val="003B771B"/>
    <w:rsid w:val="003B78A3"/>
    <w:rsid w:val="003B7910"/>
    <w:rsid w:val="003B7AD5"/>
    <w:rsid w:val="003B7B5D"/>
    <w:rsid w:val="003B7E4E"/>
    <w:rsid w:val="003B7E9C"/>
    <w:rsid w:val="003B7EF5"/>
    <w:rsid w:val="003C0A19"/>
    <w:rsid w:val="003C13F3"/>
    <w:rsid w:val="003C15EF"/>
    <w:rsid w:val="003C18BC"/>
    <w:rsid w:val="003C1A9C"/>
    <w:rsid w:val="003C1AFC"/>
    <w:rsid w:val="003C2014"/>
    <w:rsid w:val="003C251B"/>
    <w:rsid w:val="003C2A17"/>
    <w:rsid w:val="003C2A78"/>
    <w:rsid w:val="003C2AB0"/>
    <w:rsid w:val="003C2AB7"/>
    <w:rsid w:val="003C2ABC"/>
    <w:rsid w:val="003C2B4F"/>
    <w:rsid w:val="003C2D4B"/>
    <w:rsid w:val="003C2EF9"/>
    <w:rsid w:val="003C2F4A"/>
    <w:rsid w:val="003C3010"/>
    <w:rsid w:val="003C3634"/>
    <w:rsid w:val="003C3C82"/>
    <w:rsid w:val="003C3E8E"/>
    <w:rsid w:val="003C3FB0"/>
    <w:rsid w:val="003C431B"/>
    <w:rsid w:val="003C43EA"/>
    <w:rsid w:val="003C464D"/>
    <w:rsid w:val="003C48A0"/>
    <w:rsid w:val="003C48AD"/>
    <w:rsid w:val="003C4A42"/>
    <w:rsid w:val="003C4B22"/>
    <w:rsid w:val="003C50A4"/>
    <w:rsid w:val="003C5129"/>
    <w:rsid w:val="003C5224"/>
    <w:rsid w:val="003C5285"/>
    <w:rsid w:val="003C5489"/>
    <w:rsid w:val="003C579E"/>
    <w:rsid w:val="003C5B0F"/>
    <w:rsid w:val="003C5C5D"/>
    <w:rsid w:val="003C5F03"/>
    <w:rsid w:val="003C676B"/>
    <w:rsid w:val="003C6815"/>
    <w:rsid w:val="003C7130"/>
    <w:rsid w:val="003C73C4"/>
    <w:rsid w:val="003C7470"/>
    <w:rsid w:val="003C7713"/>
    <w:rsid w:val="003C77DC"/>
    <w:rsid w:val="003C7A03"/>
    <w:rsid w:val="003C7A3E"/>
    <w:rsid w:val="003C7BD0"/>
    <w:rsid w:val="003C7C62"/>
    <w:rsid w:val="003C7D0C"/>
    <w:rsid w:val="003C7F06"/>
    <w:rsid w:val="003D113D"/>
    <w:rsid w:val="003D139E"/>
    <w:rsid w:val="003D13EF"/>
    <w:rsid w:val="003D1521"/>
    <w:rsid w:val="003D1851"/>
    <w:rsid w:val="003D18B7"/>
    <w:rsid w:val="003D19F6"/>
    <w:rsid w:val="003D1A2E"/>
    <w:rsid w:val="003D1A88"/>
    <w:rsid w:val="003D1FF6"/>
    <w:rsid w:val="003D207D"/>
    <w:rsid w:val="003D28C3"/>
    <w:rsid w:val="003D290E"/>
    <w:rsid w:val="003D2B70"/>
    <w:rsid w:val="003D2C70"/>
    <w:rsid w:val="003D30EC"/>
    <w:rsid w:val="003D319A"/>
    <w:rsid w:val="003D3A29"/>
    <w:rsid w:val="003D3BC2"/>
    <w:rsid w:val="003D3BED"/>
    <w:rsid w:val="003D42E9"/>
    <w:rsid w:val="003D439F"/>
    <w:rsid w:val="003D4461"/>
    <w:rsid w:val="003D4573"/>
    <w:rsid w:val="003D487E"/>
    <w:rsid w:val="003D4A75"/>
    <w:rsid w:val="003D4D12"/>
    <w:rsid w:val="003D4D71"/>
    <w:rsid w:val="003D508F"/>
    <w:rsid w:val="003D5097"/>
    <w:rsid w:val="003D5135"/>
    <w:rsid w:val="003D59E3"/>
    <w:rsid w:val="003D5B20"/>
    <w:rsid w:val="003D5E2F"/>
    <w:rsid w:val="003D6089"/>
    <w:rsid w:val="003D6240"/>
    <w:rsid w:val="003D63EB"/>
    <w:rsid w:val="003D64EB"/>
    <w:rsid w:val="003D679D"/>
    <w:rsid w:val="003D6899"/>
    <w:rsid w:val="003D722F"/>
    <w:rsid w:val="003D7282"/>
    <w:rsid w:val="003D79DA"/>
    <w:rsid w:val="003D7A6C"/>
    <w:rsid w:val="003D7B49"/>
    <w:rsid w:val="003D7BAA"/>
    <w:rsid w:val="003D7F8C"/>
    <w:rsid w:val="003E01DC"/>
    <w:rsid w:val="003E0275"/>
    <w:rsid w:val="003E0724"/>
    <w:rsid w:val="003E0811"/>
    <w:rsid w:val="003E0EC0"/>
    <w:rsid w:val="003E1053"/>
    <w:rsid w:val="003E111D"/>
    <w:rsid w:val="003E151B"/>
    <w:rsid w:val="003E18BC"/>
    <w:rsid w:val="003E1A21"/>
    <w:rsid w:val="003E22FD"/>
    <w:rsid w:val="003E2556"/>
    <w:rsid w:val="003E2978"/>
    <w:rsid w:val="003E2B6D"/>
    <w:rsid w:val="003E2CF6"/>
    <w:rsid w:val="003E315B"/>
    <w:rsid w:val="003E36E8"/>
    <w:rsid w:val="003E3BF9"/>
    <w:rsid w:val="003E3DAA"/>
    <w:rsid w:val="003E3EAA"/>
    <w:rsid w:val="003E40BD"/>
    <w:rsid w:val="003E40FA"/>
    <w:rsid w:val="003E41AB"/>
    <w:rsid w:val="003E424E"/>
    <w:rsid w:val="003E515A"/>
    <w:rsid w:val="003E52CE"/>
    <w:rsid w:val="003E5416"/>
    <w:rsid w:val="003E5438"/>
    <w:rsid w:val="003E5767"/>
    <w:rsid w:val="003E5E7F"/>
    <w:rsid w:val="003E63E0"/>
    <w:rsid w:val="003E6604"/>
    <w:rsid w:val="003E67DE"/>
    <w:rsid w:val="003E6A99"/>
    <w:rsid w:val="003E6B54"/>
    <w:rsid w:val="003E6B60"/>
    <w:rsid w:val="003E6CA1"/>
    <w:rsid w:val="003E6D73"/>
    <w:rsid w:val="003E6F59"/>
    <w:rsid w:val="003E7128"/>
    <w:rsid w:val="003E73F9"/>
    <w:rsid w:val="003E74F1"/>
    <w:rsid w:val="003E761C"/>
    <w:rsid w:val="003E7ACD"/>
    <w:rsid w:val="003F007D"/>
    <w:rsid w:val="003F0888"/>
    <w:rsid w:val="003F0E4E"/>
    <w:rsid w:val="003F14BB"/>
    <w:rsid w:val="003F153A"/>
    <w:rsid w:val="003F17F3"/>
    <w:rsid w:val="003F1959"/>
    <w:rsid w:val="003F1A19"/>
    <w:rsid w:val="003F1E96"/>
    <w:rsid w:val="003F2149"/>
    <w:rsid w:val="003F245F"/>
    <w:rsid w:val="003F2712"/>
    <w:rsid w:val="003F2A42"/>
    <w:rsid w:val="003F2A5C"/>
    <w:rsid w:val="003F2AEF"/>
    <w:rsid w:val="003F2E36"/>
    <w:rsid w:val="003F2ED2"/>
    <w:rsid w:val="003F329E"/>
    <w:rsid w:val="003F3396"/>
    <w:rsid w:val="003F342F"/>
    <w:rsid w:val="003F38EE"/>
    <w:rsid w:val="003F38F1"/>
    <w:rsid w:val="003F39E7"/>
    <w:rsid w:val="003F3A91"/>
    <w:rsid w:val="003F3AD6"/>
    <w:rsid w:val="003F3C02"/>
    <w:rsid w:val="003F3CFA"/>
    <w:rsid w:val="003F3FBF"/>
    <w:rsid w:val="003F439C"/>
    <w:rsid w:val="003F4456"/>
    <w:rsid w:val="003F44DD"/>
    <w:rsid w:val="003F4531"/>
    <w:rsid w:val="003F46B5"/>
    <w:rsid w:val="003F47C5"/>
    <w:rsid w:val="003F49E4"/>
    <w:rsid w:val="003F4A56"/>
    <w:rsid w:val="003F4DA9"/>
    <w:rsid w:val="003F4F6B"/>
    <w:rsid w:val="003F4FFA"/>
    <w:rsid w:val="003F501E"/>
    <w:rsid w:val="003F54E0"/>
    <w:rsid w:val="003F5747"/>
    <w:rsid w:val="003F5758"/>
    <w:rsid w:val="003F5ABB"/>
    <w:rsid w:val="003F5AEF"/>
    <w:rsid w:val="003F5BA5"/>
    <w:rsid w:val="003F5D2E"/>
    <w:rsid w:val="003F5DBC"/>
    <w:rsid w:val="003F6293"/>
    <w:rsid w:val="003F6338"/>
    <w:rsid w:val="003F638A"/>
    <w:rsid w:val="003F6439"/>
    <w:rsid w:val="003F65C3"/>
    <w:rsid w:val="003F6984"/>
    <w:rsid w:val="003F6E8F"/>
    <w:rsid w:val="003F706E"/>
    <w:rsid w:val="003F7539"/>
    <w:rsid w:val="003F7E40"/>
    <w:rsid w:val="003F7F73"/>
    <w:rsid w:val="003F7FAD"/>
    <w:rsid w:val="004001F4"/>
    <w:rsid w:val="0040034D"/>
    <w:rsid w:val="004003F0"/>
    <w:rsid w:val="004003F5"/>
    <w:rsid w:val="00400678"/>
    <w:rsid w:val="004007C2"/>
    <w:rsid w:val="004009FC"/>
    <w:rsid w:val="00400AEF"/>
    <w:rsid w:val="00400C45"/>
    <w:rsid w:val="00400F7F"/>
    <w:rsid w:val="004010B0"/>
    <w:rsid w:val="004011E9"/>
    <w:rsid w:val="00401967"/>
    <w:rsid w:val="00401A7F"/>
    <w:rsid w:val="00402035"/>
    <w:rsid w:val="0040277E"/>
    <w:rsid w:val="00402AC2"/>
    <w:rsid w:val="0040313F"/>
    <w:rsid w:val="004032CC"/>
    <w:rsid w:val="004033A5"/>
    <w:rsid w:val="004040DA"/>
    <w:rsid w:val="0040438E"/>
    <w:rsid w:val="00404395"/>
    <w:rsid w:val="0040441C"/>
    <w:rsid w:val="00404812"/>
    <w:rsid w:val="00404E55"/>
    <w:rsid w:val="00404F46"/>
    <w:rsid w:val="00404FE6"/>
    <w:rsid w:val="00405361"/>
    <w:rsid w:val="0040594E"/>
    <w:rsid w:val="00405A32"/>
    <w:rsid w:val="00405A3D"/>
    <w:rsid w:val="00405BC8"/>
    <w:rsid w:val="00405C29"/>
    <w:rsid w:val="00406039"/>
    <w:rsid w:val="00406215"/>
    <w:rsid w:val="00406695"/>
    <w:rsid w:val="0040688D"/>
    <w:rsid w:val="00406CB5"/>
    <w:rsid w:val="00406F64"/>
    <w:rsid w:val="00407303"/>
    <w:rsid w:val="00407735"/>
    <w:rsid w:val="004079F1"/>
    <w:rsid w:val="00407A34"/>
    <w:rsid w:val="00407EFB"/>
    <w:rsid w:val="004102E9"/>
    <w:rsid w:val="0041047E"/>
    <w:rsid w:val="004106B4"/>
    <w:rsid w:val="00410A7A"/>
    <w:rsid w:val="00410B38"/>
    <w:rsid w:val="00411767"/>
    <w:rsid w:val="004119AE"/>
    <w:rsid w:val="0041202A"/>
    <w:rsid w:val="00412250"/>
    <w:rsid w:val="00412267"/>
    <w:rsid w:val="004127C5"/>
    <w:rsid w:val="00412C81"/>
    <w:rsid w:val="00412C9A"/>
    <w:rsid w:val="00412CEC"/>
    <w:rsid w:val="0041306A"/>
    <w:rsid w:val="004138E9"/>
    <w:rsid w:val="0041393C"/>
    <w:rsid w:val="00413AFD"/>
    <w:rsid w:val="00413C9E"/>
    <w:rsid w:val="00413CE4"/>
    <w:rsid w:val="00413DF4"/>
    <w:rsid w:val="00414181"/>
    <w:rsid w:val="00414227"/>
    <w:rsid w:val="00414291"/>
    <w:rsid w:val="0041491C"/>
    <w:rsid w:val="00414E80"/>
    <w:rsid w:val="00415135"/>
    <w:rsid w:val="0041541E"/>
    <w:rsid w:val="004154FF"/>
    <w:rsid w:val="0041575D"/>
    <w:rsid w:val="004158D1"/>
    <w:rsid w:val="00415BBD"/>
    <w:rsid w:val="0041616C"/>
    <w:rsid w:val="00416215"/>
    <w:rsid w:val="00416470"/>
    <w:rsid w:val="004165C2"/>
    <w:rsid w:val="0041672D"/>
    <w:rsid w:val="00416ADC"/>
    <w:rsid w:val="00416B51"/>
    <w:rsid w:val="00416EFD"/>
    <w:rsid w:val="004170C6"/>
    <w:rsid w:val="00417159"/>
    <w:rsid w:val="00417460"/>
    <w:rsid w:val="0041778C"/>
    <w:rsid w:val="0041782F"/>
    <w:rsid w:val="00417966"/>
    <w:rsid w:val="00417AC6"/>
    <w:rsid w:val="00417C85"/>
    <w:rsid w:val="00417CBD"/>
    <w:rsid w:val="00417E46"/>
    <w:rsid w:val="00417E6F"/>
    <w:rsid w:val="004201CB"/>
    <w:rsid w:val="0042041E"/>
    <w:rsid w:val="00420489"/>
    <w:rsid w:val="004205DD"/>
    <w:rsid w:val="004208A5"/>
    <w:rsid w:val="00420965"/>
    <w:rsid w:val="00420BC3"/>
    <w:rsid w:val="0042105C"/>
    <w:rsid w:val="00421205"/>
    <w:rsid w:val="0042136A"/>
    <w:rsid w:val="00421621"/>
    <w:rsid w:val="004216C5"/>
    <w:rsid w:val="00421995"/>
    <w:rsid w:val="00421A18"/>
    <w:rsid w:val="00421EFD"/>
    <w:rsid w:val="004222DA"/>
    <w:rsid w:val="004224B7"/>
    <w:rsid w:val="00422594"/>
    <w:rsid w:val="004225F7"/>
    <w:rsid w:val="0042274D"/>
    <w:rsid w:val="004227C6"/>
    <w:rsid w:val="00422E2F"/>
    <w:rsid w:val="0042303C"/>
    <w:rsid w:val="004231F7"/>
    <w:rsid w:val="00423A73"/>
    <w:rsid w:val="00423B60"/>
    <w:rsid w:val="00423D15"/>
    <w:rsid w:val="00424118"/>
    <w:rsid w:val="00424433"/>
    <w:rsid w:val="00424452"/>
    <w:rsid w:val="00424806"/>
    <w:rsid w:val="00424962"/>
    <w:rsid w:val="00424BA4"/>
    <w:rsid w:val="00424BAB"/>
    <w:rsid w:val="00424CB5"/>
    <w:rsid w:val="00424CF7"/>
    <w:rsid w:val="00424E79"/>
    <w:rsid w:val="00424EA8"/>
    <w:rsid w:val="0042533D"/>
    <w:rsid w:val="00425426"/>
    <w:rsid w:val="004254C0"/>
    <w:rsid w:val="00425563"/>
    <w:rsid w:val="004255FD"/>
    <w:rsid w:val="0042566E"/>
    <w:rsid w:val="004257BA"/>
    <w:rsid w:val="00425B38"/>
    <w:rsid w:val="00425D56"/>
    <w:rsid w:val="00425F29"/>
    <w:rsid w:val="00426021"/>
    <w:rsid w:val="004261C8"/>
    <w:rsid w:val="00426453"/>
    <w:rsid w:val="004265E4"/>
    <w:rsid w:val="0042699F"/>
    <w:rsid w:val="00426CA6"/>
    <w:rsid w:val="00426CF0"/>
    <w:rsid w:val="00426F7D"/>
    <w:rsid w:val="004270D6"/>
    <w:rsid w:val="00427486"/>
    <w:rsid w:val="00427868"/>
    <w:rsid w:val="00427A2E"/>
    <w:rsid w:val="00427B6E"/>
    <w:rsid w:val="00427BBB"/>
    <w:rsid w:val="004301DB"/>
    <w:rsid w:val="004301E0"/>
    <w:rsid w:val="00430331"/>
    <w:rsid w:val="0043054F"/>
    <w:rsid w:val="00430576"/>
    <w:rsid w:val="00430739"/>
    <w:rsid w:val="0043088F"/>
    <w:rsid w:val="004308D1"/>
    <w:rsid w:val="00430A11"/>
    <w:rsid w:val="004314FA"/>
    <w:rsid w:val="00431F79"/>
    <w:rsid w:val="00431FF9"/>
    <w:rsid w:val="004322D9"/>
    <w:rsid w:val="0043231F"/>
    <w:rsid w:val="0043250E"/>
    <w:rsid w:val="0043280F"/>
    <w:rsid w:val="00432898"/>
    <w:rsid w:val="00432899"/>
    <w:rsid w:val="00432994"/>
    <w:rsid w:val="00432C81"/>
    <w:rsid w:val="0043308F"/>
    <w:rsid w:val="0043310F"/>
    <w:rsid w:val="004332D8"/>
    <w:rsid w:val="00433664"/>
    <w:rsid w:val="00433818"/>
    <w:rsid w:val="0043397E"/>
    <w:rsid w:val="00433AF2"/>
    <w:rsid w:val="00433C97"/>
    <w:rsid w:val="00433CD4"/>
    <w:rsid w:val="00433D0F"/>
    <w:rsid w:val="00433EE7"/>
    <w:rsid w:val="004343C2"/>
    <w:rsid w:val="0043456A"/>
    <w:rsid w:val="00434630"/>
    <w:rsid w:val="00434785"/>
    <w:rsid w:val="004347ED"/>
    <w:rsid w:val="00434849"/>
    <w:rsid w:val="004348D0"/>
    <w:rsid w:val="00434AC3"/>
    <w:rsid w:val="00434D64"/>
    <w:rsid w:val="00435092"/>
    <w:rsid w:val="00435241"/>
    <w:rsid w:val="00435797"/>
    <w:rsid w:val="00435BC8"/>
    <w:rsid w:val="00435E08"/>
    <w:rsid w:val="004363AB"/>
    <w:rsid w:val="00436503"/>
    <w:rsid w:val="00436E99"/>
    <w:rsid w:val="00436FF4"/>
    <w:rsid w:val="0043708E"/>
    <w:rsid w:val="00437367"/>
    <w:rsid w:val="00437845"/>
    <w:rsid w:val="004378F2"/>
    <w:rsid w:val="004378FB"/>
    <w:rsid w:val="00437BE0"/>
    <w:rsid w:val="00437CB9"/>
    <w:rsid w:val="00437D43"/>
    <w:rsid w:val="00437E1C"/>
    <w:rsid w:val="00437E20"/>
    <w:rsid w:val="00437FE1"/>
    <w:rsid w:val="004403AC"/>
    <w:rsid w:val="004405C0"/>
    <w:rsid w:val="004406C7"/>
    <w:rsid w:val="0044075A"/>
    <w:rsid w:val="0044079F"/>
    <w:rsid w:val="00440931"/>
    <w:rsid w:val="0044096C"/>
    <w:rsid w:val="00440B67"/>
    <w:rsid w:val="00440D99"/>
    <w:rsid w:val="00440F62"/>
    <w:rsid w:val="004410E8"/>
    <w:rsid w:val="00441200"/>
    <w:rsid w:val="0044121F"/>
    <w:rsid w:val="004417F8"/>
    <w:rsid w:val="00441AA4"/>
    <w:rsid w:val="00441BB1"/>
    <w:rsid w:val="00441ECB"/>
    <w:rsid w:val="0044249C"/>
    <w:rsid w:val="004424FF"/>
    <w:rsid w:val="00442850"/>
    <w:rsid w:val="004428BF"/>
    <w:rsid w:val="004429C4"/>
    <w:rsid w:val="00442B7F"/>
    <w:rsid w:val="00442F24"/>
    <w:rsid w:val="00443419"/>
    <w:rsid w:val="00443644"/>
    <w:rsid w:val="00443D9D"/>
    <w:rsid w:val="00444095"/>
    <w:rsid w:val="00444265"/>
    <w:rsid w:val="0044444F"/>
    <w:rsid w:val="00444461"/>
    <w:rsid w:val="00444BE3"/>
    <w:rsid w:val="00444C04"/>
    <w:rsid w:val="00444E38"/>
    <w:rsid w:val="004451A2"/>
    <w:rsid w:val="004451FE"/>
    <w:rsid w:val="00445FE0"/>
    <w:rsid w:val="00446174"/>
    <w:rsid w:val="00446198"/>
    <w:rsid w:val="004461C6"/>
    <w:rsid w:val="00446A1B"/>
    <w:rsid w:val="00446A4A"/>
    <w:rsid w:val="00447155"/>
    <w:rsid w:val="00447215"/>
    <w:rsid w:val="0044774D"/>
    <w:rsid w:val="004479D4"/>
    <w:rsid w:val="00447D51"/>
    <w:rsid w:val="00447F13"/>
    <w:rsid w:val="00450A47"/>
    <w:rsid w:val="00450CA7"/>
    <w:rsid w:val="00450EE8"/>
    <w:rsid w:val="0045185C"/>
    <w:rsid w:val="004518EC"/>
    <w:rsid w:val="0045203F"/>
    <w:rsid w:val="004523F2"/>
    <w:rsid w:val="00452549"/>
    <w:rsid w:val="0045254F"/>
    <w:rsid w:val="00452B97"/>
    <w:rsid w:val="004538B2"/>
    <w:rsid w:val="00453BE6"/>
    <w:rsid w:val="00453C42"/>
    <w:rsid w:val="00453E6F"/>
    <w:rsid w:val="0045495E"/>
    <w:rsid w:val="00454B88"/>
    <w:rsid w:val="00454F14"/>
    <w:rsid w:val="00455060"/>
    <w:rsid w:val="004551A8"/>
    <w:rsid w:val="004552AC"/>
    <w:rsid w:val="0045575B"/>
    <w:rsid w:val="004557E0"/>
    <w:rsid w:val="00455AC0"/>
    <w:rsid w:val="00455C5C"/>
    <w:rsid w:val="00455C89"/>
    <w:rsid w:val="004562A5"/>
    <w:rsid w:val="004563A6"/>
    <w:rsid w:val="0045640E"/>
    <w:rsid w:val="0045661F"/>
    <w:rsid w:val="0045690B"/>
    <w:rsid w:val="00456C1F"/>
    <w:rsid w:val="00456CCA"/>
    <w:rsid w:val="00456D5C"/>
    <w:rsid w:val="004571E7"/>
    <w:rsid w:val="0045758B"/>
    <w:rsid w:val="0045771C"/>
    <w:rsid w:val="0045788B"/>
    <w:rsid w:val="0045799B"/>
    <w:rsid w:val="00457A3B"/>
    <w:rsid w:val="00457DA5"/>
    <w:rsid w:val="004601D7"/>
    <w:rsid w:val="00460327"/>
    <w:rsid w:val="004604B5"/>
    <w:rsid w:val="00460A17"/>
    <w:rsid w:val="00460A38"/>
    <w:rsid w:val="004610A9"/>
    <w:rsid w:val="004611CE"/>
    <w:rsid w:val="0046125C"/>
    <w:rsid w:val="0046192F"/>
    <w:rsid w:val="00462414"/>
    <w:rsid w:val="0046247F"/>
    <w:rsid w:val="00462771"/>
    <w:rsid w:val="00462B59"/>
    <w:rsid w:val="00462D95"/>
    <w:rsid w:val="00462F00"/>
    <w:rsid w:val="00462F66"/>
    <w:rsid w:val="00462FE6"/>
    <w:rsid w:val="004630DE"/>
    <w:rsid w:val="00463106"/>
    <w:rsid w:val="0046317D"/>
    <w:rsid w:val="004631FC"/>
    <w:rsid w:val="004636CE"/>
    <w:rsid w:val="00463AB9"/>
    <w:rsid w:val="00463C21"/>
    <w:rsid w:val="00463C4C"/>
    <w:rsid w:val="00463D1C"/>
    <w:rsid w:val="00464741"/>
    <w:rsid w:val="00464949"/>
    <w:rsid w:val="00464BB4"/>
    <w:rsid w:val="00464E29"/>
    <w:rsid w:val="0046538D"/>
    <w:rsid w:val="0046545E"/>
    <w:rsid w:val="004664F9"/>
    <w:rsid w:val="004668D6"/>
    <w:rsid w:val="00466977"/>
    <w:rsid w:val="004669A8"/>
    <w:rsid w:val="004669ED"/>
    <w:rsid w:val="00466D04"/>
    <w:rsid w:val="00466F31"/>
    <w:rsid w:val="004671C7"/>
    <w:rsid w:val="00467534"/>
    <w:rsid w:val="00467B7E"/>
    <w:rsid w:val="00467D54"/>
    <w:rsid w:val="00470046"/>
    <w:rsid w:val="00470053"/>
    <w:rsid w:val="0047017B"/>
    <w:rsid w:val="00470193"/>
    <w:rsid w:val="0047063A"/>
    <w:rsid w:val="004706B2"/>
    <w:rsid w:val="004709B0"/>
    <w:rsid w:val="00470B7D"/>
    <w:rsid w:val="00470D32"/>
    <w:rsid w:val="00470DAF"/>
    <w:rsid w:val="00470E85"/>
    <w:rsid w:val="004710B3"/>
    <w:rsid w:val="00471143"/>
    <w:rsid w:val="004711FE"/>
    <w:rsid w:val="0047125D"/>
    <w:rsid w:val="00471322"/>
    <w:rsid w:val="0047147B"/>
    <w:rsid w:val="00471484"/>
    <w:rsid w:val="0047196C"/>
    <w:rsid w:val="004719AA"/>
    <w:rsid w:val="004719E3"/>
    <w:rsid w:val="00471A37"/>
    <w:rsid w:val="00471E58"/>
    <w:rsid w:val="004720AD"/>
    <w:rsid w:val="00472759"/>
    <w:rsid w:val="0047286F"/>
    <w:rsid w:val="00472A16"/>
    <w:rsid w:val="00472C8A"/>
    <w:rsid w:val="00472CC8"/>
    <w:rsid w:val="00473632"/>
    <w:rsid w:val="00473B36"/>
    <w:rsid w:val="00473B4A"/>
    <w:rsid w:val="00474253"/>
    <w:rsid w:val="00474277"/>
    <w:rsid w:val="0047462B"/>
    <w:rsid w:val="00474A08"/>
    <w:rsid w:val="00474B8A"/>
    <w:rsid w:val="00474D13"/>
    <w:rsid w:val="0047509E"/>
    <w:rsid w:val="0047544B"/>
    <w:rsid w:val="00475B24"/>
    <w:rsid w:val="00475EA8"/>
    <w:rsid w:val="004762C7"/>
    <w:rsid w:val="00476335"/>
    <w:rsid w:val="0047664A"/>
    <w:rsid w:val="004768CB"/>
    <w:rsid w:val="00476965"/>
    <w:rsid w:val="00476BE0"/>
    <w:rsid w:val="0047724B"/>
    <w:rsid w:val="004772A6"/>
    <w:rsid w:val="00477592"/>
    <w:rsid w:val="0047785D"/>
    <w:rsid w:val="00477AC5"/>
    <w:rsid w:val="00480377"/>
    <w:rsid w:val="004806EB"/>
    <w:rsid w:val="0048083C"/>
    <w:rsid w:val="00480A29"/>
    <w:rsid w:val="00480BE6"/>
    <w:rsid w:val="00480CDD"/>
    <w:rsid w:val="00480D60"/>
    <w:rsid w:val="00480E41"/>
    <w:rsid w:val="00480FFA"/>
    <w:rsid w:val="004810D5"/>
    <w:rsid w:val="00481138"/>
    <w:rsid w:val="004812FD"/>
    <w:rsid w:val="004813E2"/>
    <w:rsid w:val="00481581"/>
    <w:rsid w:val="004821E1"/>
    <w:rsid w:val="00482575"/>
    <w:rsid w:val="004825DA"/>
    <w:rsid w:val="004826DF"/>
    <w:rsid w:val="00482C5C"/>
    <w:rsid w:val="00482E64"/>
    <w:rsid w:val="0048309F"/>
    <w:rsid w:val="004837BD"/>
    <w:rsid w:val="0048391F"/>
    <w:rsid w:val="00483AF1"/>
    <w:rsid w:val="00483BF2"/>
    <w:rsid w:val="00484645"/>
    <w:rsid w:val="004846C0"/>
    <w:rsid w:val="00484838"/>
    <w:rsid w:val="00484BE1"/>
    <w:rsid w:val="00484DFB"/>
    <w:rsid w:val="00485209"/>
    <w:rsid w:val="00485289"/>
    <w:rsid w:val="0048532F"/>
    <w:rsid w:val="004854D9"/>
    <w:rsid w:val="0048585D"/>
    <w:rsid w:val="004859F8"/>
    <w:rsid w:val="00485F16"/>
    <w:rsid w:val="004862FF"/>
    <w:rsid w:val="0048630E"/>
    <w:rsid w:val="00486431"/>
    <w:rsid w:val="0048659E"/>
    <w:rsid w:val="004866AE"/>
    <w:rsid w:val="004868C6"/>
    <w:rsid w:val="00486F1C"/>
    <w:rsid w:val="00486FF7"/>
    <w:rsid w:val="00487237"/>
    <w:rsid w:val="00487781"/>
    <w:rsid w:val="004879A8"/>
    <w:rsid w:val="004879E6"/>
    <w:rsid w:val="00487A9D"/>
    <w:rsid w:val="00490384"/>
    <w:rsid w:val="004904D3"/>
    <w:rsid w:val="004904F9"/>
    <w:rsid w:val="004905CB"/>
    <w:rsid w:val="00490680"/>
    <w:rsid w:val="00490944"/>
    <w:rsid w:val="00490A3E"/>
    <w:rsid w:val="00490CA2"/>
    <w:rsid w:val="00490E0C"/>
    <w:rsid w:val="00490F2E"/>
    <w:rsid w:val="004910CC"/>
    <w:rsid w:val="00491C36"/>
    <w:rsid w:val="004921AB"/>
    <w:rsid w:val="0049241D"/>
    <w:rsid w:val="004925D0"/>
    <w:rsid w:val="0049269C"/>
    <w:rsid w:val="00492892"/>
    <w:rsid w:val="004929C8"/>
    <w:rsid w:val="00492AE3"/>
    <w:rsid w:val="00492B05"/>
    <w:rsid w:val="00492B71"/>
    <w:rsid w:val="00492E0E"/>
    <w:rsid w:val="00492F3F"/>
    <w:rsid w:val="004930F4"/>
    <w:rsid w:val="00493830"/>
    <w:rsid w:val="00493B99"/>
    <w:rsid w:val="00493C0B"/>
    <w:rsid w:val="00493EF9"/>
    <w:rsid w:val="0049419D"/>
    <w:rsid w:val="0049438E"/>
    <w:rsid w:val="00494610"/>
    <w:rsid w:val="0049462E"/>
    <w:rsid w:val="0049494B"/>
    <w:rsid w:val="004949A4"/>
    <w:rsid w:val="00494B65"/>
    <w:rsid w:val="00494F1F"/>
    <w:rsid w:val="00495159"/>
    <w:rsid w:val="004956BF"/>
    <w:rsid w:val="004956F6"/>
    <w:rsid w:val="00495B50"/>
    <w:rsid w:val="00495F35"/>
    <w:rsid w:val="00496186"/>
    <w:rsid w:val="00496351"/>
    <w:rsid w:val="00496D4D"/>
    <w:rsid w:val="00496F75"/>
    <w:rsid w:val="0049716A"/>
    <w:rsid w:val="004976AC"/>
    <w:rsid w:val="00497B10"/>
    <w:rsid w:val="00497F49"/>
    <w:rsid w:val="004A03E4"/>
    <w:rsid w:val="004A05B5"/>
    <w:rsid w:val="004A0651"/>
    <w:rsid w:val="004A0B3F"/>
    <w:rsid w:val="004A0C87"/>
    <w:rsid w:val="004A0D3E"/>
    <w:rsid w:val="004A11F8"/>
    <w:rsid w:val="004A1252"/>
    <w:rsid w:val="004A16C6"/>
    <w:rsid w:val="004A173E"/>
    <w:rsid w:val="004A1843"/>
    <w:rsid w:val="004A1A25"/>
    <w:rsid w:val="004A1B09"/>
    <w:rsid w:val="004A1D30"/>
    <w:rsid w:val="004A1E90"/>
    <w:rsid w:val="004A1EF4"/>
    <w:rsid w:val="004A1FA2"/>
    <w:rsid w:val="004A1FF8"/>
    <w:rsid w:val="004A2094"/>
    <w:rsid w:val="004A2571"/>
    <w:rsid w:val="004A258B"/>
    <w:rsid w:val="004A2856"/>
    <w:rsid w:val="004A2E9D"/>
    <w:rsid w:val="004A2EB8"/>
    <w:rsid w:val="004A2F2E"/>
    <w:rsid w:val="004A31A9"/>
    <w:rsid w:val="004A32F1"/>
    <w:rsid w:val="004A3419"/>
    <w:rsid w:val="004A3A49"/>
    <w:rsid w:val="004A4942"/>
    <w:rsid w:val="004A4BFE"/>
    <w:rsid w:val="004A52A6"/>
    <w:rsid w:val="004A533F"/>
    <w:rsid w:val="004A5667"/>
    <w:rsid w:val="004A5942"/>
    <w:rsid w:val="004A5BC7"/>
    <w:rsid w:val="004A5D6F"/>
    <w:rsid w:val="004A6051"/>
    <w:rsid w:val="004A617D"/>
    <w:rsid w:val="004A6257"/>
    <w:rsid w:val="004A6E53"/>
    <w:rsid w:val="004A70F3"/>
    <w:rsid w:val="004A71B1"/>
    <w:rsid w:val="004A7339"/>
    <w:rsid w:val="004A744D"/>
    <w:rsid w:val="004A797F"/>
    <w:rsid w:val="004A79F0"/>
    <w:rsid w:val="004A7B9A"/>
    <w:rsid w:val="004A7BEC"/>
    <w:rsid w:val="004A7CC3"/>
    <w:rsid w:val="004A7E5C"/>
    <w:rsid w:val="004B01BA"/>
    <w:rsid w:val="004B0689"/>
    <w:rsid w:val="004B087B"/>
    <w:rsid w:val="004B0B09"/>
    <w:rsid w:val="004B0C2F"/>
    <w:rsid w:val="004B0DE7"/>
    <w:rsid w:val="004B0E0B"/>
    <w:rsid w:val="004B0EDD"/>
    <w:rsid w:val="004B13E6"/>
    <w:rsid w:val="004B1BE5"/>
    <w:rsid w:val="004B24F2"/>
    <w:rsid w:val="004B2543"/>
    <w:rsid w:val="004B2554"/>
    <w:rsid w:val="004B2646"/>
    <w:rsid w:val="004B265F"/>
    <w:rsid w:val="004B2990"/>
    <w:rsid w:val="004B2AD6"/>
    <w:rsid w:val="004B2DCD"/>
    <w:rsid w:val="004B316C"/>
    <w:rsid w:val="004B31A2"/>
    <w:rsid w:val="004B327C"/>
    <w:rsid w:val="004B32EA"/>
    <w:rsid w:val="004B3822"/>
    <w:rsid w:val="004B3950"/>
    <w:rsid w:val="004B3A73"/>
    <w:rsid w:val="004B3ACD"/>
    <w:rsid w:val="004B3D32"/>
    <w:rsid w:val="004B3DE0"/>
    <w:rsid w:val="004B3E96"/>
    <w:rsid w:val="004B44D1"/>
    <w:rsid w:val="004B4588"/>
    <w:rsid w:val="004B466E"/>
    <w:rsid w:val="004B50A2"/>
    <w:rsid w:val="004B520F"/>
    <w:rsid w:val="004B541C"/>
    <w:rsid w:val="004B556E"/>
    <w:rsid w:val="004B5E6C"/>
    <w:rsid w:val="004B5FEC"/>
    <w:rsid w:val="004B651B"/>
    <w:rsid w:val="004B65B5"/>
    <w:rsid w:val="004B6CBD"/>
    <w:rsid w:val="004B6F69"/>
    <w:rsid w:val="004B705D"/>
    <w:rsid w:val="004B70BC"/>
    <w:rsid w:val="004B71DC"/>
    <w:rsid w:val="004B788A"/>
    <w:rsid w:val="004B78A9"/>
    <w:rsid w:val="004B7F0B"/>
    <w:rsid w:val="004C00F6"/>
    <w:rsid w:val="004C0369"/>
    <w:rsid w:val="004C0442"/>
    <w:rsid w:val="004C051E"/>
    <w:rsid w:val="004C0A40"/>
    <w:rsid w:val="004C0C69"/>
    <w:rsid w:val="004C0C8C"/>
    <w:rsid w:val="004C0F03"/>
    <w:rsid w:val="004C1192"/>
    <w:rsid w:val="004C124F"/>
    <w:rsid w:val="004C19F4"/>
    <w:rsid w:val="004C1AF5"/>
    <w:rsid w:val="004C1E57"/>
    <w:rsid w:val="004C1FA2"/>
    <w:rsid w:val="004C20D2"/>
    <w:rsid w:val="004C2836"/>
    <w:rsid w:val="004C28A0"/>
    <w:rsid w:val="004C2CDF"/>
    <w:rsid w:val="004C3017"/>
    <w:rsid w:val="004C30BE"/>
    <w:rsid w:val="004C30D8"/>
    <w:rsid w:val="004C31F0"/>
    <w:rsid w:val="004C32D2"/>
    <w:rsid w:val="004C33D2"/>
    <w:rsid w:val="004C36C5"/>
    <w:rsid w:val="004C373B"/>
    <w:rsid w:val="004C38AD"/>
    <w:rsid w:val="004C3FD6"/>
    <w:rsid w:val="004C4074"/>
    <w:rsid w:val="004C41C9"/>
    <w:rsid w:val="004C4B62"/>
    <w:rsid w:val="004C4B6F"/>
    <w:rsid w:val="004C4D01"/>
    <w:rsid w:val="004C4EA6"/>
    <w:rsid w:val="004C5112"/>
    <w:rsid w:val="004C518B"/>
    <w:rsid w:val="004C526B"/>
    <w:rsid w:val="004C54C9"/>
    <w:rsid w:val="004C5730"/>
    <w:rsid w:val="004C5AD6"/>
    <w:rsid w:val="004C5B63"/>
    <w:rsid w:val="004C5D37"/>
    <w:rsid w:val="004C5D40"/>
    <w:rsid w:val="004C5E9F"/>
    <w:rsid w:val="004C5ED3"/>
    <w:rsid w:val="004C609C"/>
    <w:rsid w:val="004C642E"/>
    <w:rsid w:val="004C666F"/>
    <w:rsid w:val="004C6757"/>
    <w:rsid w:val="004C67C3"/>
    <w:rsid w:val="004C69F4"/>
    <w:rsid w:val="004C6A80"/>
    <w:rsid w:val="004C6FB2"/>
    <w:rsid w:val="004C706E"/>
    <w:rsid w:val="004C7450"/>
    <w:rsid w:val="004C78D5"/>
    <w:rsid w:val="004C7A88"/>
    <w:rsid w:val="004C7FD6"/>
    <w:rsid w:val="004D0030"/>
    <w:rsid w:val="004D0630"/>
    <w:rsid w:val="004D0708"/>
    <w:rsid w:val="004D0917"/>
    <w:rsid w:val="004D0970"/>
    <w:rsid w:val="004D0E7F"/>
    <w:rsid w:val="004D0F07"/>
    <w:rsid w:val="004D11E0"/>
    <w:rsid w:val="004D14B8"/>
    <w:rsid w:val="004D1529"/>
    <w:rsid w:val="004D182F"/>
    <w:rsid w:val="004D19C3"/>
    <w:rsid w:val="004D201E"/>
    <w:rsid w:val="004D2149"/>
    <w:rsid w:val="004D2643"/>
    <w:rsid w:val="004D276F"/>
    <w:rsid w:val="004D30AE"/>
    <w:rsid w:val="004D350A"/>
    <w:rsid w:val="004D3B62"/>
    <w:rsid w:val="004D3DAE"/>
    <w:rsid w:val="004D3DDC"/>
    <w:rsid w:val="004D4178"/>
    <w:rsid w:val="004D43BA"/>
    <w:rsid w:val="004D4485"/>
    <w:rsid w:val="004D4704"/>
    <w:rsid w:val="004D4AD2"/>
    <w:rsid w:val="004D4B43"/>
    <w:rsid w:val="004D4BC8"/>
    <w:rsid w:val="004D4C6B"/>
    <w:rsid w:val="004D4D99"/>
    <w:rsid w:val="004D4FEE"/>
    <w:rsid w:val="004D5333"/>
    <w:rsid w:val="004D53D0"/>
    <w:rsid w:val="004D58CB"/>
    <w:rsid w:val="004D5A17"/>
    <w:rsid w:val="004D5D4A"/>
    <w:rsid w:val="004D5EB4"/>
    <w:rsid w:val="004D5EBF"/>
    <w:rsid w:val="004D5ED4"/>
    <w:rsid w:val="004D5F62"/>
    <w:rsid w:val="004D6025"/>
    <w:rsid w:val="004D60D4"/>
    <w:rsid w:val="004D6324"/>
    <w:rsid w:val="004D6460"/>
    <w:rsid w:val="004D64FB"/>
    <w:rsid w:val="004D6611"/>
    <w:rsid w:val="004D677D"/>
    <w:rsid w:val="004D6A7F"/>
    <w:rsid w:val="004D6A88"/>
    <w:rsid w:val="004D6AC8"/>
    <w:rsid w:val="004D6DF5"/>
    <w:rsid w:val="004D6F68"/>
    <w:rsid w:val="004D7133"/>
    <w:rsid w:val="004D741F"/>
    <w:rsid w:val="004D7BB7"/>
    <w:rsid w:val="004E0095"/>
    <w:rsid w:val="004E07AE"/>
    <w:rsid w:val="004E097C"/>
    <w:rsid w:val="004E0DAA"/>
    <w:rsid w:val="004E0FC9"/>
    <w:rsid w:val="004E0FCD"/>
    <w:rsid w:val="004E173C"/>
    <w:rsid w:val="004E17C8"/>
    <w:rsid w:val="004E193A"/>
    <w:rsid w:val="004E1A11"/>
    <w:rsid w:val="004E1D1E"/>
    <w:rsid w:val="004E1DE1"/>
    <w:rsid w:val="004E1FA6"/>
    <w:rsid w:val="004E2649"/>
    <w:rsid w:val="004E274B"/>
    <w:rsid w:val="004E2C4D"/>
    <w:rsid w:val="004E3014"/>
    <w:rsid w:val="004E308B"/>
    <w:rsid w:val="004E3657"/>
    <w:rsid w:val="004E376F"/>
    <w:rsid w:val="004E3899"/>
    <w:rsid w:val="004E3B05"/>
    <w:rsid w:val="004E41F5"/>
    <w:rsid w:val="004E4868"/>
    <w:rsid w:val="004E4F27"/>
    <w:rsid w:val="004E4F29"/>
    <w:rsid w:val="004E4F80"/>
    <w:rsid w:val="004E50AF"/>
    <w:rsid w:val="004E5351"/>
    <w:rsid w:val="004E54FC"/>
    <w:rsid w:val="004E58E8"/>
    <w:rsid w:val="004E58ED"/>
    <w:rsid w:val="004E6607"/>
    <w:rsid w:val="004E6D2E"/>
    <w:rsid w:val="004E6EA6"/>
    <w:rsid w:val="004E6FE0"/>
    <w:rsid w:val="004E70AB"/>
    <w:rsid w:val="004E70E8"/>
    <w:rsid w:val="004E73D4"/>
    <w:rsid w:val="004E7475"/>
    <w:rsid w:val="004E77CB"/>
    <w:rsid w:val="004E788C"/>
    <w:rsid w:val="004E7996"/>
    <w:rsid w:val="004E79B7"/>
    <w:rsid w:val="004E7C81"/>
    <w:rsid w:val="004E7CC8"/>
    <w:rsid w:val="004E7E35"/>
    <w:rsid w:val="004F0290"/>
    <w:rsid w:val="004F0655"/>
    <w:rsid w:val="004F0A83"/>
    <w:rsid w:val="004F11A9"/>
    <w:rsid w:val="004F123A"/>
    <w:rsid w:val="004F133B"/>
    <w:rsid w:val="004F15D8"/>
    <w:rsid w:val="004F193A"/>
    <w:rsid w:val="004F1A94"/>
    <w:rsid w:val="004F1AF1"/>
    <w:rsid w:val="004F1DA0"/>
    <w:rsid w:val="004F23A6"/>
    <w:rsid w:val="004F256E"/>
    <w:rsid w:val="004F2674"/>
    <w:rsid w:val="004F2C05"/>
    <w:rsid w:val="004F2CE6"/>
    <w:rsid w:val="004F2EE9"/>
    <w:rsid w:val="004F3269"/>
    <w:rsid w:val="004F334B"/>
    <w:rsid w:val="004F34D2"/>
    <w:rsid w:val="004F361D"/>
    <w:rsid w:val="004F36CD"/>
    <w:rsid w:val="004F3B0B"/>
    <w:rsid w:val="004F3C45"/>
    <w:rsid w:val="004F3CB3"/>
    <w:rsid w:val="004F414D"/>
    <w:rsid w:val="004F46D8"/>
    <w:rsid w:val="004F4ACF"/>
    <w:rsid w:val="004F4EED"/>
    <w:rsid w:val="004F4F61"/>
    <w:rsid w:val="004F4FF8"/>
    <w:rsid w:val="004F5006"/>
    <w:rsid w:val="004F525F"/>
    <w:rsid w:val="004F55F5"/>
    <w:rsid w:val="004F5715"/>
    <w:rsid w:val="004F573D"/>
    <w:rsid w:val="004F5791"/>
    <w:rsid w:val="004F57C9"/>
    <w:rsid w:val="004F57FF"/>
    <w:rsid w:val="004F58B7"/>
    <w:rsid w:val="004F5B2D"/>
    <w:rsid w:val="004F5E34"/>
    <w:rsid w:val="004F5F30"/>
    <w:rsid w:val="004F600F"/>
    <w:rsid w:val="004F604D"/>
    <w:rsid w:val="004F6231"/>
    <w:rsid w:val="004F63E9"/>
    <w:rsid w:val="004F6740"/>
    <w:rsid w:val="004F67E1"/>
    <w:rsid w:val="004F6A8C"/>
    <w:rsid w:val="004F6B5E"/>
    <w:rsid w:val="004F6BA3"/>
    <w:rsid w:val="004F6D63"/>
    <w:rsid w:val="004F7322"/>
    <w:rsid w:val="004F7398"/>
    <w:rsid w:val="004F73A5"/>
    <w:rsid w:val="005001F6"/>
    <w:rsid w:val="00500955"/>
    <w:rsid w:val="005011E6"/>
    <w:rsid w:val="0050125E"/>
    <w:rsid w:val="00501399"/>
    <w:rsid w:val="005013C5"/>
    <w:rsid w:val="0050153F"/>
    <w:rsid w:val="00501B1B"/>
    <w:rsid w:val="00501BDE"/>
    <w:rsid w:val="00501D9A"/>
    <w:rsid w:val="00501F6C"/>
    <w:rsid w:val="00502121"/>
    <w:rsid w:val="00502203"/>
    <w:rsid w:val="005023A0"/>
    <w:rsid w:val="005025A5"/>
    <w:rsid w:val="00502973"/>
    <w:rsid w:val="00502BA5"/>
    <w:rsid w:val="00502D37"/>
    <w:rsid w:val="00502E41"/>
    <w:rsid w:val="00502E53"/>
    <w:rsid w:val="00502EE0"/>
    <w:rsid w:val="0050307A"/>
    <w:rsid w:val="005039D8"/>
    <w:rsid w:val="00503A50"/>
    <w:rsid w:val="00503B8D"/>
    <w:rsid w:val="005041EC"/>
    <w:rsid w:val="0050429C"/>
    <w:rsid w:val="0050469A"/>
    <w:rsid w:val="00504801"/>
    <w:rsid w:val="005049F3"/>
    <w:rsid w:val="00504A1A"/>
    <w:rsid w:val="00504D4C"/>
    <w:rsid w:val="00504DD5"/>
    <w:rsid w:val="00504E15"/>
    <w:rsid w:val="00504E79"/>
    <w:rsid w:val="00504E85"/>
    <w:rsid w:val="00504FE2"/>
    <w:rsid w:val="00505151"/>
    <w:rsid w:val="00505527"/>
    <w:rsid w:val="005055D2"/>
    <w:rsid w:val="005059A1"/>
    <w:rsid w:val="00505A3B"/>
    <w:rsid w:val="00505A4D"/>
    <w:rsid w:val="00505C5A"/>
    <w:rsid w:val="00505D03"/>
    <w:rsid w:val="0050603A"/>
    <w:rsid w:val="0050633D"/>
    <w:rsid w:val="00506918"/>
    <w:rsid w:val="00506954"/>
    <w:rsid w:val="00506CF6"/>
    <w:rsid w:val="00506D0A"/>
    <w:rsid w:val="005070E5"/>
    <w:rsid w:val="005072E2"/>
    <w:rsid w:val="00507BC4"/>
    <w:rsid w:val="00507BDD"/>
    <w:rsid w:val="00510157"/>
    <w:rsid w:val="005101F6"/>
    <w:rsid w:val="00510211"/>
    <w:rsid w:val="00510234"/>
    <w:rsid w:val="00510255"/>
    <w:rsid w:val="00510325"/>
    <w:rsid w:val="005104D4"/>
    <w:rsid w:val="0051067D"/>
    <w:rsid w:val="00510CEA"/>
    <w:rsid w:val="0051128D"/>
    <w:rsid w:val="005114B6"/>
    <w:rsid w:val="00511514"/>
    <w:rsid w:val="005115C7"/>
    <w:rsid w:val="00511DBD"/>
    <w:rsid w:val="005121F5"/>
    <w:rsid w:val="00512302"/>
    <w:rsid w:val="00512714"/>
    <w:rsid w:val="005128E4"/>
    <w:rsid w:val="00512E8A"/>
    <w:rsid w:val="005133DB"/>
    <w:rsid w:val="005134B9"/>
    <w:rsid w:val="0051361F"/>
    <w:rsid w:val="00513755"/>
    <w:rsid w:val="005139CB"/>
    <w:rsid w:val="005139D5"/>
    <w:rsid w:val="00513CB7"/>
    <w:rsid w:val="00513E30"/>
    <w:rsid w:val="00514330"/>
    <w:rsid w:val="0051487D"/>
    <w:rsid w:val="00514F22"/>
    <w:rsid w:val="00514FA3"/>
    <w:rsid w:val="005155B3"/>
    <w:rsid w:val="0051562E"/>
    <w:rsid w:val="005156EF"/>
    <w:rsid w:val="005156FA"/>
    <w:rsid w:val="00515A14"/>
    <w:rsid w:val="00515B37"/>
    <w:rsid w:val="00515D9C"/>
    <w:rsid w:val="00515DC3"/>
    <w:rsid w:val="0051673E"/>
    <w:rsid w:val="00516778"/>
    <w:rsid w:val="00516871"/>
    <w:rsid w:val="005169D0"/>
    <w:rsid w:val="00516C63"/>
    <w:rsid w:val="00516D23"/>
    <w:rsid w:val="00516DCE"/>
    <w:rsid w:val="0051718E"/>
    <w:rsid w:val="00517746"/>
    <w:rsid w:val="00517A9A"/>
    <w:rsid w:val="00520869"/>
    <w:rsid w:val="00520989"/>
    <w:rsid w:val="00520AD9"/>
    <w:rsid w:val="00520B5A"/>
    <w:rsid w:val="00520BAB"/>
    <w:rsid w:val="00520CF4"/>
    <w:rsid w:val="005216DC"/>
    <w:rsid w:val="0052196E"/>
    <w:rsid w:val="00521BD9"/>
    <w:rsid w:val="00521C52"/>
    <w:rsid w:val="00521C8E"/>
    <w:rsid w:val="00521CF5"/>
    <w:rsid w:val="0052239B"/>
    <w:rsid w:val="0052266E"/>
    <w:rsid w:val="00522AFD"/>
    <w:rsid w:val="0052356C"/>
    <w:rsid w:val="00523571"/>
    <w:rsid w:val="00523909"/>
    <w:rsid w:val="005239B1"/>
    <w:rsid w:val="0052405D"/>
    <w:rsid w:val="0052425B"/>
    <w:rsid w:val="005245C0"/>
    <w:rsid w:val="0052469C"/>
    <w:rsid w:val="00524703"/>
    <w:rsid w:val="0052491D"/>
    <w:rsid w:val="00524B98"/>
    <w:rsid w:val="00524C2F"/>
    <w:rsid w:val="005254C4"/>
    <w:rsid w:val="00525560"/>
    <w:rsid w:val="0052567E"/>
    <w:rsid w:val="005259A3"/>
    <w:rsid w:val="00525D29"/>
    <w:rsid w:val="00525F37"/>
    <w:rsid w:val="00525F9B"/>
    <w:rsid w:val="00526081"/>
    <w:rsid w:val="005260C9"/>
    <w:rsid w:val="00526252"/>
    <w:rsid w:val="0052651C"/>
    <w:rsid w:val="00527688"/>
    <w:rsid w:val="005276EF"/>
    <w:rsid w:val="005278B0"/>
    <w:rsid w:val="00527C71"/>
    <w:rsid w:val="00527D40"/>
    <w:rsid w:val="00527E01"/>
    <w:rsid w:val="00527E99"/>
    <w:rsid w:val="0053018C"/>
    <w:rsid w:val="005307E1"/>
    <w:rsid w:val="00530AED"/>
    <w:rsid w:val="00530D87"/>
    <w:rsid w:val="00530E8B"/>
    <w:rsid w:val="00530F4D"/>
    <w:rsid w:val="0053119B"/>
    <w:rsid w:val="00531486"/>
    <w:rsid w:val="005315D6"/>
    <w:rsid w:val="005319E8"/>
    <w:rsid w:val="00531BC2"/>
    <w:rsid w:val="00531C16"/>
    <w:rsid w:val="00531E33"/>
    <w:rsid w:val="00531E73"/>
    <w:rsid w:val="00531F93"/>
    <w:rsid w:val="0053252B"/>
    <w:rsid w:val="00532590"/>
    <w:rsid w:val="00532692"/>
    <w:rsid w:val="005328A1"/>
    <w:rsid w:val="00532A86"/>
    <w:rsid w:val="00533269"/>
    <w:rsid w:val="005334E2"/>
    <w:rsid w:val="0053366D"/>
    <w:rsid w:val="00533740"/>
    <w:rsid w:val="00533F0F"/>
    <w:rsid w:val="005342C2"/>
    <w:rsid w:val="00534382"/>
    <w:rsid w:val="00534464"/>
    <w:rsid w:val="00534C25"/>
    <w:rsid w:val="00535168"/>
    <w:rsid w:val="0053535A"/>
    <w:rsid w:val="00535530"/>
    <w:rsid w:val="005362D9"/>
    <w:rsid w:val="00536644"/>
    <w:rsid w:val="00536BCA"/>
    <w:rsid w:val="005370C8"/>
    <w:rsid w:val="0053714C"/>
    <w:rsid w:val="0053723D"/>
    <w:rsid w:val="005373F9"/>
    <w:rsid w:val="0053747D"/>
    <w:rsid w:val="0053750A"/>
    <w:rsid w:val="005376D7"/>
    <w:rsid w:val="00537750"/>
    <w:rsid w:val="00537A41"/>
    <w:rsid w:val="00537BA6"/>
    <w:rsid w:val="00537E23"/>
    <w:rsid w:val="00537E73"/>
    <w:rsid w:val="005403C4"/>
    <w:rsid w:val="00540577"/>
    <w:rsid w:val="005406CB"/>
    <w:rsid w:val="0054097C"/>
    <w:rsid w:val="00540A6A"/>
    <w:rsid w:val="00540C2B"/>
    <w:rsid w:val="00540EA2"/>
    <w:rsid w:val="0054100B"/>
    <w:rsid w:val="005410E2"/>
    <w:rsid w:val="00541139"/>
    <w:rsid w:val="00541638"/>
    <w:rsid w:val="00541B5A"/>
    <w:rsid w:val="00541F66"/>
    <w:rsid w:val="0054210D"/>
    <w:rsid w:val="0054242C"/>
    <w:rsid w:val="00542583"/>
    <w:rsid w:val="00542774"/>
    <w:rsid w:val="005429D5"/>
    <w:rsid w:val="00542A42"/>
    <w:rsid w:val="00542A9F"/>
    <w:rsid w:val="00542DA9"/>
    <w:rsid w:val="00542EF4"/>
    <w:rsid w:val="0054312D"/>
    <w:rsid w:val="005432FB"/>
    <w:rsid w:val="00543399"/>
    <w:rsid w:val="00543535"/>
    <w:rsid w:val="00543AD2"/>
    <w:rsid w:val="00543B86"/>
    <w:rsid w:val="00543E41"/>
    <w:rsid w:val="00543EE5"/>
    <w:rsid w:val="00543FF6"/>
    <w:rsid w:val="00544007"/>
    <w:rsid w:val="00544144"/>
    <w:rsid w:val="0054436F"/>
    <w:rsid w:val="005444EF"/>
    <w:rsid w:val="00544570"/>
    <w:rsid w:val="0054465B"/>
    <w:rsid w:val="00544AAD"/>
    <w:rsid w:val="00544ABA"/>
    <w:rsid w:val="00544C49"/>
    <w:rsid w:val="00544CFA"/>
    <w:rsid w:val="00544F8F"/>
    <w:rsid w:val="00544FDE"/>
    <w:rsid w:val="005451EB"/>
    <w:rsid w:val="005456A6"/>
    <w:rsid w:val="0054575C"/>
    <w:rsid w:val="00545A37"/>
    <w:rsid w:val="00545E4B"/>
    <w:rsid w:val="00545FCB"/>
    <w:rsid w:val="0054604C"/>
    <w:rsid w:val="005461B1"/>
    <w:rsid w:val="0054639F"/>
    <w:rsid w:val="00546645"/>
    <w:rsid w:val="0054677D"/>
    <w:rsid w:val="00546A27"/>
    <w:rsid w:val="00546A52"/>
    <w:rsid w:val="0054729D"/>
    <w:rsid w:val="00547331"/>
    <w:rsid w:val="0054741E"/>
    <w:rsid w:val="00547757"/>
    <w:rsid w:val="005477CF"/>
    <w:rsid w:val="00547E2E"/>
    <w:rsid w:val="00550874"/>
    <w:rsid w:val="00550CD0"/>
    <w:rsid w:val="00550D2B"/>
    <w:rsid w:val="00550D8E"/>
    <w:rsid w:val="00550FA9"/>
    <w:rsid w:val="0055110A"/>
    <w:rsid w:val="00551166"/>
    <w:rsid w:val="0055148C"/>
    <w:rsid w:val="005516A1"/>
    <w:rsid w:val="00552058"/>
    <w:rsid w:val="005520EC"/>
    <w:rsid w:val="00552344"/>
    <w:rsid w:val="005523F0"/>
    <w:rsid w:val="0055250F"/>
    <w:rsid w:val="00552650"/>
    <w:rsid w:val="005529AC"/>
    <w:rsid w:val="00552E56"/>
    <w:rsid w:val="00552EF8"/>
    <w:rsid w:val="00552F7D"/>
    <w:rsid w:val="00553A72"/>
    <w:rsid w:val="00553A91"/>
    <w:rsid w:val="00553C83"/>
    <w:rsid w:val="00553FAF"/>
    <w:rsid w:val="00554356"/>
    <w:rsid w:val="00554574"/>
    <w:rsid w:val="0055459E"/>
    <w:rsid w:val="005545D8"/>
    <w:rsid w:val="005548EB"/>
    <w:rsid w:val="00554EFD"/>
    <w:rsid w:val="00555008"/>
    <w:rsid w:val="00555072"/>
    <w:rsid w:val="005554D2"/>
    <w:rsid w:val="0055568D"/>
    <w:rsid w:val="00555928"/>
    <w:rsid w:val="00555B04"/>
    <w:rsid w:val="00556013"/>
    <w:rsid w:val="0055622C"/>
    <w:rsid w:val="005565FA"/>
    <w:rsid w:val="00556617"/>
    <w:rsid w:val="0055682B"/>
    <w:rsid w:val="00556BF8"/>
    <w:rsid w:val="00556E03"/>
    <w:rsid w:val="00556EE9"/>
    <w:rsid w:val="00557104"/>
    <w:rsid w:val="00557125"/>
    <w:rsid w:val="00557549"/>
    <w:rsid w:val="00557B7A"/>
    <w:rsid w:val="00557E63"/>
    <w:rsid w:val="00557F06"/>
    <w:rsid w:val="00557FAE"/>
    <w:rsid w:val="0056011B"/>
    <w:rsid w:val="00560142"/>
    <w:rsid w:val="00560418"/>
    <w:rsid w:val="00560543"/>
    <w:rsid w:val="00560687"/>
    <w:rsid w:val="005606BF"/>
    <w:rsid w:val="00560707"/>
    <w:rsid w:val="0056073E"/>
    <w:rsid w:val="00560753"/>
    <w:rsid w:val="00560AB5"/>
    <w:rsid w:val="00560D7D"/>
    <w:rsid w:val="00560DA6"/>
    <w:rsid w:val="00560F4B"/>
    <w:rsid w:val="005613EE"/>
    <w:rsid w:val="0056174C"/>
    <w:rsid w:val="005617AA"/>
    <w:rsid w:val="00561A87"/>
    <w:rsid w:val="00561C20"/>
    <w:rsid w:val="00561D5A"/>
    <w:rsid w:val="00561FA0"/>
    <w:rsid w:val="005623EA"/>
    <w:rsid w:val="005626E9"/>
    <w:rsid w:val="0056270B"/>
    <w:rsid w:val="00563158"/>
    <w:rsid w:val="00563264"/>
    <w:rsid w:val="0056357E"/>
    <w:rsid w:val="00563767"/>
    <w:rsid w:val="00563885"/>
    <w:rsid w:val="00563887"/>
    <w:rsid w:val="0056392C"/>
    <w:rsid w:val="00563977"/>
    <w:rsid w:val="00563B06"/>
    <w:rsid w:val="00563BAE"/>
    <w:rsid w:val="00563F9A"/>
    <w:rsid w:val="005642AA"/>
    <w:rsid w:val="005644B8"/>
    <w:rsid w:val="00564554"/>
    <w:rsid w:val="0056495C"/>
    <w:rsid w:val="00564A47"/>
    <w:rsid w:val="00565026"/>
    <w:rsid w:val="005652C1"/>
    <w:rsid w:val="0056548E"/>
    <w:rsid w:val="00565499"/>
    <w:rsid w:val="00565684"/>
    <w:rsid w:val="00565885"/>
    <w:rsid w:val="00565A04"/>
    <w:rsid w:val="0056619F"/>
    <w:rsid w:val="005662DD"/>
    <w:rsid w:val="00566347"/>
    <w:rsid w:val="0056639B"/>
    <w:rsid w:val="00566921"/>
    <w:rsid w:val="00566BC9"/>
    <w:rsid w:val="00566EE8"/>
    <w:rsid w:val="005674CB"/>
    <w:rsid w:val="0056773F"/>
    <w:rsid w:val="005679FF"/>
    <w:rsid w:val="00570114"/>
    <w:rsid w:val="00570334"/>
    <w:rsid w:val="00570607"/>
    <w:rsid w:val="005709FB"/>
    <w:rsid w:val="00570B7D"/>
    <w:rsid w:val="00570C70"/>
    <w:rsid w:val="00570C92"/>
    <w:rsid w:val="00571064"/>
    <w:rsid w:val="0057123C"/>
    <w:rsid w:val="005715B7"/>
    <w:rsid w:val="00571632"/>
    <w:rsid w:val="00571C90"/>
    <w:rsid w:val="00571DE0"/>
    <w:rsid w:val="00572032"/>
    <w:rsid w:val="00572700"/>
    <w:rsid w:val="00572A86"/>
    <w:rsid w:val="00572B98"/>
    <w:rsid w:val="00572DDE"/>
    <w:rsid w:val="0057309A"/>
    <w:rsid w:val="00573798"/>
    <w:rsid w:val="0057389F"/>
    <w:rsid w:val="00573C8E"/>
    <w:rsid w:val="00573E39"/>
    <w:rsid w:val="0057402A"/>
    <w:rsid w:val="00574086"/>
    <w:rsid w:val="00574396"/>
    <w:rsid w:val="0057447D"/>
    <w:rsid w:val="0057455E"/>
    <w:rsid w:val="00574BCF"/>
    <w:rsid w:val="00574BE6"/>
    <w:rsid w:val="00574E64"/>
    <w:rsid w:val="00574EF7"/>
    <w:rsid w:val="00575540"/>
    <w:rsid w:val="00575753"/>
    <w:rsid w:val="005758A8"/>
    <w:rsid w:val="00575998"/>
    <w:rsid w:val="00575C14"/>
    <w:rsid w:val="00575E2A"/>
    <w:rsid w:val="00575E9C"/>
    <w:rsid w:val="00575F26"/>
    <w:rsid w:val="0057643D"/>
    <w:rsid w:val="00576599"/>
    <w:rsid w:val="00576860"/>
    <w:rsid w:val="00576C86"/>
    <w:rsid w:val="00576E74"/>
    <w:rsid w:val="00576F11"/>
    <w:rsid w:val="00576F2E"/>
    <w:rsid w:val="005771D0"/>
    <w:rsid w:val="0057728A"/>
    <w:rsid w:val="005772F8"/>
    <w:rsid w:val="00577581"/>
    <w:rsid w:val="00577665"/>
    <w:rsid w:val="00577783"/>
    <w:rsid w:val="00577C88"/>
    <w:rsid w:val="00577DED"/>
    <w:rsid w:val="00580031"/>
    <w:rsid w:val="00580333"/>
    <w:rsid w:val="00580A83"/>
    <w:rsid w:val="00580CCA"/>
    <w:rsid w:val="0058101F"/>
    <w:rsid w:val="005810CD"/>
    <w:rsid w:val="0058177F"/>
    <w:rsid w:val="0058192E"/>
    <w:rsid w:val="0058194B"/>
    <w:rsid w:val="00581A89"/>
    <w:rsid w:val="00581CDD"/>
    <w:rsid w:val="00581DFC"/>
    <w:rsid w:val="00581E6D"/>
    <w:rsid w:val="00582096"/>
    <w:rsid w:val="005825C4"/>
    <w:rsid w:val="00582959"/>
    <w:rsid w:val="00582A0B"/>
    <w:rsid w:val="00582D36"/>
    <w:rsid w:val="00582F5F"/>
    <w:rsid w:val="00582FE3"/>
    <w:rsid w:val="005834A5"/>
    <w:rsid w:val="0058377A"/>
    <w:rsid w:val="005837C1"/>
    <w:rsid w:val="00583C78"/>
    <w:rsid w:val="00583D18"/>
    <w:rsid w:val="0058400D"/>
    <w:rsid w:val="005842E2"/>
    <w:rsid w:val="00584C57"/>
    <w:rsid w:val="00584D24"/>
    <w:rsid w:val="00584DD1"/>
    <w:rsid w:val="005855B2"/>
    <w:rsid w:val="005858DC"/>
    <w:rsid w:val="00585A8F"/>
    <w:rsid w:val="00585D83"/>
    <w:rsid w:val="00585E67"/>
    <w:rsid w:val="00585FFF"/>
    <w:rsid w:val="0058619A"/>
    <w:rsid w:val="005862CB"/>
    <w:rsid w:val="00586F50"/>
    <w:rsid w:val="00587276"/>
    <w:rsid w:val="005874C8"/>
    <w:rsid w:val="00587C05"/>
    <w:rsid w:val="00587CE3"/>
    <w:rsid w:val="00587D44"/>
    <w:rsid w:val="00587D9C"/>
    <w:rsid w:val="00587EDF"/>
    <w:rsid w:val="0059005F"/>
    <w:rsid w:val="00590771"/>
    <w:rsid w:val="00590A5F"/>
    <w:rsid w:val="00590AC9"/>
    <w:rsid w:val="00590B1D"/>
    <w:rsid w:val="00590CE7"/>
    <w:rsid w:val="005912A2"/>
    <w:rsid w:val="005913D4"/>
    <w:rsid w:val="00591708"/>
    <w:rsid w:val="005918C2"/>
    <w:rsid w:val="0059191A"/>
    <w:rsid w:val="00591AE6"/>
    <w:rsid w:val="00591D12"/>
    <w:rsid w:val="005920D5"/>
    <w:rsid w:val="005920FD"/>
    <w:rsid w:val="005921BB"/>
    <w:rsid w:val="005921DF"/>
    <w:rsid w:val="005921FF"/>
    <w:rsid w:val="005923CF"/>
    <w:rsid w:val="00592672"/>
    <w:rsid w:val="00592B7B"/>
    <w:rsid w:val="00592F5D"/>
    <w:rsid w:val="005934E4"/>
    <w:rsid w:val="005934E5"/>
    <w:rsid w:val="00593870"/>
    <w:rsid w:val="00593875"/>
    <w:rsid w:val="00593896"/>
    <w:rsid w:val="0059391D"/>
    <w:rsid w:val="00593B1B"/>
    <w:rsid w:val="00594297"/>
    <w:rsid w:val="005943E2"/>
    <w:rsid w:val="005949AD"/>
    <w:rsid w:val="00594B9F"/>
    <w:rsid w:val="00594E73"/>
    <w:rsid w:val="00594FDC"/>
    <w:rsid w:val="00594FFE"/>
    <w:rsid w:val="0059504F"/>
    <w:rsid w:val="00595AF4"/>
    <w:rsid w:val="00595E71"/>
    <w:rsid w:val="0059609F"/>
    <w:rsid w:val="0059641C"/>
    <w:rsid w:val="005964E5"/>
    <w:rsid w:val="00596572"/>
    <w:rsid w:val="00596629"/>
    <w:rsid w:val="0059662E"/>
    <w:rsid w:val="005967AB"/>
    <w:rsid w:val="00596865"/>
    <w:rsid w:val="00596CAC"/>
    <w:rsid w:val="00596E2A"/>
    <w:rsid w:val="00596E80"/>
    <w:rsid w:val="00596F17"/>
    <w:rsid w:val="00597060"/>
    <w:rsid w:val="005970A8"/>
    <w:rsid w:val="005970DF"/>
    <w:rsid w:val="0059717F"/>
    <w:rsid w:val="005972B5"/>
    <w:rsid w:val="005976A9"/>
    <w:rsid w:val="00597ADB"/>
    <w:rsid w:val="00597D4B"/>
    <w:rsid w:val="00597FA0"/>
    <w:rsid w:val="005A066F"/>
    <w:rsid w:val="005A0918"/>
    <w:rsid w:val="005A0E84"/>
    <w:rsid w:val="005A0FE5"/>
    <w:rsid w:val="005A1455"/>
    <w:rsid w:val="005A15BE"/>
    <w:rsid w:val="005A201E"/>
    <w:rsid w:val="005A2053"/>
    <w:rsid w:val="005A22F6"/>
    <w:rsid w:val="005A2996"/>
    <w:rsid w:val="005A3348"/>
    <w:rsid w:val="005A33FB"/>
    <w:rsid w:val="005A3463"/>
    <w:rsid w:val="005A36F2"/>
    <w:rsid w:val="005A3886"/>
    <w:rsid w:val="005A3E3F"/>
    <w:rsid w:val="005A3EFF"/>
    <w:rsid w:val="005A3F06"/>
    <w:rsid w:val="005A4311"/>
    <w:rsid w:val="005A46A2"/>
    <w:rsid w:val="005A4777"/>
    <w:rsid w:val="005A4BD4"/>
    <w:rsid w:val="005A4D17"/>
    <w:rsid w:val="005A4E99"/>
    <w:rsid w:val="005A5320"/>
    <w:rsid w:val="005A545C"/>
    <w:rsid w:val="005A555E"/>
    <w:rsid w:val="005A55AD"/>
    <w:rsid w:val="005A5702"/>
    <w:rsid w:val="005A58DC"/>
    <w:rsid w:val="005A5C58"/>
    <w:rsid w:val="005A5F2C"/>
    <w:rsid w:val="005A61C9"/>
    <w:rsid w:val="005A63AF"/>
    <w:rsid w:val="005A64E9"/>
    <w:rsid w:val="005A672C"/>
    <w:rsid w:val="005A6818"/>
    <w:rsid w:val="005A68B0"/>
    <w:rsid w:val="005A6D0E"/>
    <w:rsid w:val="005A71C6"/>
    <w:rsid w:val="005A7569"/>
    <w:rsid w:val="005A763E"/>
    <w:rsid w:val="005A77C4"/>
    <w:rsid w:val="005A78EF"/>
    <w:rsid w:val="005A7A04"/>
    <w:rsid w:val="005A7A72"/>
    <w:rsid w:val="005A7D4B"/>
    <w:rsid w:val="005A7ED9"/>
    <w:rsid w:val="005A7FEA"/>
    <w:rsid w:val="005B018D"/>
    <w:rsid w:val="005B048D"/>
    <w:rsid w:val="005B0539"/>
    <w:rsid w:val="005B0EA9"/>
    <w:rsid w:val="005B1236"/>
    <w:rsid w:val="005B1410"/>
    <w:rsid w:val="005B142C"/>
    <w:rsid w:val="005B1538"/>
    <w:rsid w:val="005B155B"/>
    <w:rsid w:val="005B1670"/>
    <w:rsid w:val="005B17D0"/>
    <w:rsid w:val="005B1C5F"/>
    <w:rsid w:val="005B22CA"/>
    <w:rsid w:val="005B2461"/>
    <w:rsid w:val="005B246E"/>
    <w:rsid w:val="005B26D5"/>
    <w:rsid w:val="005B27A1"/>
    <w:rsid w:val="005B2949"/>
    <w:rsid w:val="005B2B19"/>
    <w:rsid w:val="005B3078"/>
    <w:rsid w:val="005B307E"/>
    <w:rsid w:val="005B30FC"/>
    <w:rsid w:val="005B3401"/>
    <w:rsid w:val="005B3859"/>
    <w:rsid w:val="005B3A06"/>
    <w:rsid w:val="005B3CF4"/>
    <w:rsid w:val="005B4313"/>
    <w:rsid w:val="005B4396"/>
    <w:rsid w:val="005B4442"/>
    <w:rsid w:val="005B458F"/>
    <w:rsid w:val="005B46E5"/>
    <w:rsid w:val="005B474D"/>
    <w:rsid w:val="005B4954"/>
    <w:rsid w:val="005B4B89"/>
    <w:rsid w:val="005B52B0"/>
    <w:rsid w:val="005B542E"/>
    <w:rsid w:val="005B54B1"/>
    <w:rsid w:val="005B55BE"/>
    <w:rsid w:val="005B586F"/>
    <w:rsid w:val="005B5E1E"/>
    <w:rsid w:val="005B5F46"/>
    <w:rsid w:val="005B6207"/>
    <w:rsid w:val="005B66E4"/>
    <w:rsid w:val="005B6806"/>
    <w:rsid w:val="005B6874"/>
    <w:rsid w:val="005B6890"/>
    <w:rsid w:val="005B6B14"/>
    <w:rsid w:val="005B6B30"/>
    <w:rsid w:val="005B7153"/>
    <w:rsid w:val="005B72CA"/>
    <w:rsid w:val="005B796D"/>
    <w:rsid w:val="005B7ADF"/>
    <w:rsid w:val="005C0276"/>
    <w:rsid w:val="005C0370"/>
    <w:rsid w:val="005C04F7"/>
    <w:rsid w:val="005C0569"/>
    <w:rsid w:val="005C0612"/>
    <w:rsid w:val="005C0771"/>
    <w:rsid w:val="005C0C4D"/>
    <w:rsid w:val="005C1183"/>
    <w:rsid w:val="005C13B1"/>
    <w:rsid w:val="005C1795"/>
    <w:rsid w:val="005C181C"/>
    <w:rsid w:val="005C1A4C"/>
    <w:rsid w:val="005C1E7A"/>
    <w:rsid w:val="005C29D7"/>
    <w:rsid w:val="005C2A8E"/>
    <w:rsid w:val="005C2BCB"/>
    <w:rsid w:val="005C2CA1"/>
    <w:rsid w:val="005C319B"/>
    <w:rsid w:val="005C31A7"/>
    <w:rsid w:val="005C396F"/>
    <w:rsid w:val="005C3AAC"/>
    <w:rsid w:val="005C3AF8"/>
    <w:rsid w:val="005C3B88"/>
    <w:rsid w:val="005C4225"/>
    <w:rsid w:val="005C439E"/>
    <w:rsid w:val="005C4651"/>
    <w:rsid w:val="005C4767"/>
    <w:rsid w:val="005C490F"/>
    <w:rsid w:val="005C49B8"/>
    <w:rsid w:val="005C4BC0"/>
    <w:rsid w:val="005C4F99"/>
    <w:rsid w:val="005C5643"/>
    <w:rsid w:val="005C57A0"/>
    <w:rsid w:val="005C612F"/>
    <w:rsid w:val="005C6514"/>
    <w:rsid w:val="005C6576"/>
    <w:rsid w:val="005C65DE"/>
    <w:rsid w:val="005C6F03"/>
    <w:rsid w:val="005C71A5"/>
    <w:rsid w:val="005C7488"/>
    <w:rsid w:val="005C74BF"/>
    <w:rsid w:val="005C772D"/>
    <w:rsid w:val="005C7F7D"/>
    <w:rsid w:val="005D02E8"/>
    <w:rsid w:val="005D041A"/>
    <w:rsid w:val="005D0D6B"/>
    <w:rsid w:val="005D12CC"/>
    <w:rsid w:val="005D1F4F"/>
    <w:rsid w:val="005D2501"/>
    <w:rsid w:val="005D2926"/>
    <w:rsid w:val="005D2B1A"/>
    <w:rsid w:val="005D3109"/>
    <w:rsid w:val="005D35DB"/>
    <w:rsid w:val="005D3666"/>
    <w:rsid w:val="005D3C3E"/>
    <w:rsid w:val="005D3CB6"/>
    <w:rsid w:val="005D442E"/>
    <w:rsid w:val="005D4463"/>
    <w:rsid w:val="005D44F3"/>
    <w:rsid w:val="005D4841"/>
    <w:rsid w:val="005D4947"/>
    <w:rsid w:val="005D4AA9"/>
    <w:rsid w:val="005D4B0E"/>
    <w:rsid w:val="005D4BFB"/>
    <w:rsid w:val="005D4C09"/>
    <w:rsid w:val="005D4DAE"/>
    <w:rsid w:val="005D52C5"/>
    <w:rsid w:val="005D5528"/>
    <w:rsid w:val="005D5539"/>
    <w:rsid w:val="005D5AE2"/>
    <w:rsid w:val="005D5CC0"/>
    <w:rsid w:val="005D5CD2"/>
    <w:rsid w:val="005D6024"/>
    <w:rsid w:val="005D64B9"/>
    <w:rsid w:val="005D6695"/>
    <w:rsid w:val="005D69DF"/>
    <w:rsid w:val="005D6E6E"/>
    <w:rsid w:val="005D6E8A"/>
    <w:rsid w:val="005D76E5"/>
    <w:rsid w:val="005E00FD"/>
    <w:rsid w:val="005E0415"/>
    <w:rsid w:val="005E04E5"/>
    <w:rsid w:val="005E081B"/>
    <w:rsid w:val="005E09DC"/>
    <w:rsid w:val="005E0A12"/>
    <w:rsid w:val="005E11B7"/>
    <w:rsid w:val="005E1599"/>
    <w:rsid w:val="005E17DF"/>
    <w:rsid w:val="005E1D97"/>
    <w:rsid w:val="005E1F03"/>
    <w:rsid w:val="005E21D4"/>
    <w:rsid w:val="005E235D"/>
    <w:rsid w:val="005E2874"/>
    <w:rsid w:val="005E2A54"/>
    <w:rsid w:val="005E2F8B"/>
    <w:rsid w:val="005E3264"/>
    <w:rsid w:val="005E3806"/>
    <w:rsid w:val="005E3919"/>
    <w:rsid w:val="005E391D"/>
    <w:rsid w:val="005E3988"/>
    <w:rsid w:val="005E39C7"/>
    <w:rsid w:val="005E3C6C"/>
    <w:rsid w:val="005E4055"/>
    <w:rsid w:val="005E4081"/>
    <w:rsid w:val="005E41C6"/>
    <w:rsid w:val="005E421A"/>
    <w:rsid w:val="005E441F"/>
    <w:rsid w:val="005E4479"/>
    <w:rsid w:val="005E45A4"/>
    <w:rsid w:val="005E4808"/>
    <w:rsid w:val="005E48F2"/>
    <w:rsid w:val="005E5437"/>
    <w:rsid w:val="005E5580"/>
    <w:rsid w:val="005E56C9"/>
    <w:rsid w:val="005E59D9"/>
    <w:rsid w:val="005E5F4D"/>
    <w:rsid w:val="005E63E4"/>
    <w:rsid w:val="005E6507"/>
    <w:rsid w:val="005E65A6"/>
    <w:rsid w:val="005E65A7"/>
    <w:rsid w:val="005E66E5"/>
    <w:rsid w:val="005E699D"/>
    <w:rsid w:val="005E6E99"/>
    <w:rsid w:val="005E6F6C"/>
    <w:rsid w:val="005E6F71"/>
    <w:rsid w:val="005E723C"/>
    <w:rsid w:val="005E7833"/>
    <w:rsid w:val="005E7839"/>
    <w:rsid w:val="005E7C5A"/>
    <w:rsid w:val="005E7F73"/>
    <w:rsid w:val="005F04D3"/>
    <w:rsid w:val="005F05EF"/>
    <w:rsid w:val="005F0A37"/>
    <w:rsid w:val="005F0DAD"/>
    <w:rsid w:val="005F0DCA"/>
    <w:rsid w:val="005F0E44"/>
    <w:rsid w:val="005F0F33"/>
    <w:rsid w:val="005F10FD"/>
    <w:rsid w:val="005F12AF"/>
    <w:rsid w:val="005F178D"/>
    <w:rsid w:val="005F17ED"/>
    <w:rsid w:val="005F1F3B"/>
    <w:rsid w:val="005F1F6E"/>
    <w:rsid w:val="005F25C4"/>
    <w:rsid w:val="005F2728"/>
    <w:rsid w:val="005F2751"/>
    <w:rsid w:val="005F2F23"/>
    <w:rsid w:val="005F345D"/>
    <w:rsid w:val="005F349E"/>
    <w:rsid w:val="005F3A3B"/>
    <w:rsid w:val="005F3AA0"/>
    <w:rsid w:val="005F3BAA"/>
    <w:rsid w:val="005F3DAE"/>
    <w:rsid w:val="005F400F"/>
    <w:rsid w:val="005F41B6"/>
    <w:rsid w:val="005F4951"/>
    <w:rsid w:val="005F4DAF"/>
    <w:rsid w:val="005F5386"/>
    <w:rsid w:val="005F539F"/>
    <w:rsid w:val="005F5622"/>
    <w:rsid w:val="005F59E6"/>
    <w:rsid w:val="005F5E4B"/>
    <w:rsid w:val="005F6105"/>
    <w:rsid w:val="005F6475"/>
    <w:rsid w:val="005F66E5"/>
    <w:rsid w:val="005F6AA6"/>
    <w:rsid w:val="005F6F1E"/>
    <w:rsid w:val="005F7076"/>
    <w:rsid w:val="005F70D5"/>
    <w:rsid w:val="005F7154"/>
    <w:rsid w:val="005F74FD"/>
    <w:rsid w:val="005F7876"/>
    <w:rsid w:val="005F7B04"/>
    <w:rsid w:val="005F7DE2"/>
    <w:rsid w:val="005F7EE4"/>
    <w:rsid w:val="005F7F85"/>
    <w:rsid w:val="005F7FD1"/>
    <w:rsid w:val="00600363"/>
    <w:rsid w:val="00600DEB"/>
    <w:rsid w:val="00600ED5"/>
    <w:rsid w:val="0060104B"/>
    <w:rsid w:val="0060132C"/>
    <w:rsid w:val="006016BA"/>
    <w:rsid w:val="00601989"/>
    <w:rsid w:val="006019A6"/>
    <w:rsid w:val="00601AC3"/>
    <w:rsid w:val="00601CA7"/>
    <w:rsid w:val="00601D10"/>
    <w:rsid w:val="0060208A"/>
    <w:rsid w:val="00602325"/>
    <w:rsid w:val="00602481"/>
    <w:rsid w:val="006024D3"/>
    <w:rsid w:val="006027F0"/>
    <w:rsid w:val="00602908"/>
    <w:rsid w:val="00602AF6"/>
    <w:rsid w:val="00602B78"/>
    <w:rsid w:val="00602BE9"/>
    <w:rsid w:val="006031D9"/>
    <w:rsid w:val="006032C8"/>
    <w:rsid w:val="006037CA"/>
    <w:rsid w:val="00603A8C"/>
    <w:rsid w:val="00603CC3"/>
    <w:rsid w:val="00603E3C"/>
    <w:rsid w:val="00603E73"/>
    <w:rsid w:val="00603F29"/>
    <w:rsid w:val="00603F9E"/>
    <w:rsid w:val="00604126"/>
    <w:rsid w:val="0060419C"/>
    <w:rsid w:val="00604481"/>
    <w:rsid w:val="0060448F"/>
    <w:rsid w:val="006049D5"/>
    <w:rsid w:val="00604A58"/>
    <w:rsid w:val="00604DF8"/>
    <w:rsid w:val="00604E7B"/>
    <w:rsid w:val="00605273"/>
    <w:rsid w:val="006055B4"/>
    <w:rsid w:val="00605636"/>
    <w:rsid w:val="00605639"/>
    <w:rsid w:val="00605C21"/>
    <w:rsid w:val="00605DF3"/>
    <w:rsid w:val="00605ED0"/>
    <w:rsid w:val="00605F21"/>
    <w:rsid w:val="00606418"/>
    <w:rsid w:val="0060676C"/>
    <w:rsid w:val="00606B13"/>
    <w:rsid w:val="0060703A"/>
    <w:rsid w:val="006070A1"/>
    <w:rsid w:val="00607355"/>
    <w:rsid w:val="006078AB"/>
    <w:rsid w:val="006078DA"/>
    <w:rsid w:val="00610191"/>
    <w:rsid w:val="00610224"/>
    <w:rsid w:val="0061040B"/>
    <w:rsid w:val="0061044D"/>
    <w:rsid w:val="006104A9"/>
    <w:rsid w:val="00610598"/>
    <w:rsid w:val="006105A6"/>
    <w:rsid w:val="006105BA"/>
    <w:rsid w:val="0061067B"/>
    <w:rsid w:val="00610D16"/>
    <w:rsid w:val="00610F85"/>
    <w:rsid w:val="00611411"/>
    <w:rsid w:val="0061147D"/>
    <w:rsid w:val="006114B3"/>
    <w:rsid w:val="006118C9"/>
    <w:rsid w:val="00611F1F"/>
    <w:rsid w:val="00612699"/>
    <w:rsid w:val="00612985"/>
    <w:rsid w:val="00612AAA"/>
    <w:rsid w:val="00612DCC"/>
    <w:rsid w:val="00612ED7"/>
    <w:rsid w:val="006132F4"/>
    <w:rsid w:val="006133B9"/>
    <w:rsid w:val="006137AB"/>
    <w:rsid w:val="00613B4E"/>
    <w:rsid w:val="006145AD"/>
    <w:rsid w:val="006147AC"/>
    <w:rsid w:val="006149CE"/>
    <w:rsid w:val="00614C69"/>
    <w:rsid w:val="00614F48"/>
    <w:rsid w:val="00615076"/>
    <w:rsid w:val="00615532"/>
    <w:rsid w:val="0061565D"/>
    <w:rsid w:val="006158A1"/>
    <w:rsid w:val="00615C7C"/>
    <w:rsid w:val="00615C9D"/>
    <w:rsid w:val="0061631D"/>
    <w:rsid w:val="00616468"/>
    <w:rsid w:val="00616517"/>
    <w:rsid w:val="006165A2"/>
    <w:rsid w:val="00616733"/>
    <w:rsid w:val="00616911"/>
    <w:rsid w:val="00616A06"/>
    <w:rsid w:val="00616C27"/>
    <w:rsid w:val="0061720A"/>
    <w:rsid w:val="00617467"/>
    <w:rsid w:val="0061763B"/>
    <w:rsid w:val="0061774B"/>
    <w:rsid w:val="0061776D"/>
    <w:rsid w:val="006177DF"/>
    <w:rsid w:val="00617A5D"/>
    <w:rsid w:val="00617C65"/>
    <w:rsid w:val="00617F15"/>
    <w:rsid w:val="006202A8"/>
    <w:rsid w:val="0062090E"/>
    <w:rsid w:val="00620984"/>
    <w:rsid w:val="006209D8"/>
    <w:rsid w:val="00620D96"/>
    <w:rsid w:val="006211B2"/>
    <w:rsid w:val="00621376"/>
    <w:rsid w:val="00621C71"/>
    <w:rsid w:val="00621DA7"/>
    <w:rsid w:val="00621E20"/>
    <w:rsid w:val="00621EFD"/>
    <w:rsid w:val="0062206A"/>
    <w:rsid w:val="00622121"/>
    <w:rsid w:val="006222AD"/>
    <w:rsid w:val="006222C7"/>
    <w:rsid w:val="006222F0"/>
    <w:rsid w:val="00622977"/>
    <w:rsid w:val="00622D9E"/>
    <w:rsid w:val="0062320A"/>
    <w:rsid w:val="00623415"/>
    <w:rsid w:val="0062361B"/>
    <w:rsid w:val="006236F8"/>
    <w:rsid w:val="00623732"/>
    <w:rsid w:val="00623AF6"/>
    <w:rsid w:val="00623F54"/>
    <w:rsid w:val="00624486"/>
    <w:rsid w:val="006244EF"/>
    <w:rsid w:val="00624B07"/>
    <w:rsid w:val="00624B36"/>
    <w:rsid w:val="00624C18"/>
    <w:rsid w:val="00624D25"/>
    <w:rsid w:val="00624F13"/>
    <w:rsid w:val="0062540E"/>
    <w:rsid w:val="00625B29"/>
    <w:rsid w:val="00625E2A"/>
    <w:rsid w:val="00625F0F"/>
    <w:rsid w:val="00625FC4"/>
    <w:rsid w:val="006262B7"/>
    <w:rsid w:val="006265D6"/>
    <w:rsid w:val="0062667C"/>
    <w:rsid w:val="006266E4"/>
    <w:rsid w:val="00626A1D"/>
    <w:rsid w:val="00626A68"/>
    <w:rsid w:val="00626B0C"/>
    <w:rsid w:val="00626D8B"/>
    <w:rsid w:val="00627295"/>
    <w:rsid w:val="00627303"/>
    <w:rsid w:val="0062761B"/>
    <w:rsid w:val="00627893"/>
    <w:rsid w:val="00627A84"/>
    <w:rsid w:val="00627C9F"/>
    <w:rsid w:val="00627DB9"/>
    <w:rsid w:val="00627DC1"/>
    <w:rsid w:val="00627F22"/>
    <w:rsid w:val="00630099"/>
    <w:rsid w:val="006300F6"/>
    <w:rsid w:val="00630243"/>
    <w:rsid w:val="006303C3"/>
    <w:rsid w:val="00630421"/>
    <w:rsid w:val="0063069F"/>
    <w:rsid w:val="00630801"/>
    <w:rsid w:val="006308B0"/>
    <w:rsid w:val="00630992"/>
    <w:rsid w:val="00630ACE"/>
    <w:rsid w:val="00630F0A"/>
    <w:rsid w:val="006311E9"/>
    <w:rsid w:val="006312A6"/>
    <w:rsid w:val="00631456"/>
    <w:rsid w:val="0063197A"/>
    <w:rsid w:val="006319C2"/>
    <w:rsid w:val="00631CFC"/>
    <w:rsid w:val="00632039"/>
    <w:rsid w:val="00632354"/>
    <w:rsid w:val="0063273D"/>
    <w:rsid w:val="006328B3"/>
    <w:rsid w:val="00632CED"/>
    <w:rsid w:val="00633006"/>
    <w:rsid w:val="00633421"/>
    <w:rsid w:val="0063380B"/>
    <w:rsid w:val="0063384C"/>
    <w:rsid w:val="0063388A"/>
    <w:rsid w:val="006339B3"/>
    <w:rsid w:val="00633A4A"/>
    <w:rsid w:val="00633AFA"/>
    <w:rsid w:val="00634193"/>
    <w:rsid w:val="006344F7"/>
    <w:rsid w:val="006348A4"/>
    <w:rsid w:val="00634935"/>
    <w:rsid w:val="00634CF8"/>
    <w:rsid w:val="00634F0C"/>
    <w:rsid w:val="00635014"/>
    <w:rsid w:val="006353EF"/>
    <w:rsid w:val="0063586B"/>
    <w:rsid w:val="00635B81"/>
    <w:rsid w:val="00635EB4"/>
    <w:rsid w:val="00636164"/>
    <w:rsid w:val="006367BE"/>
    <w:rsid w:val="006368A4"/>
    <w:rsid w:val="006369CE"/>
    <w:rsid w:val="00636E36"/>
    <w:rsid w:val="00636EEC"/>
    <w:rsid w:val="00637390"/>
    <w:rsid w:val="006375F5"/>
    <w:rsid w:val="00637A7D"/>
    <w:rsid w:val="00637CB5"/>
    <w:rsid w:val="00637E9F"/>
    <w:rsid w:val="0064018B"/>
    <w:rsid w:val="00640598"/>
    <w:rsid w:val="00640C5B"/>
    <w:rsid w:val="00640DA6"/>
    <w:rsid w:val="00640E35"/>
    <w:rsid w:val="00640F7D"/>
    <w:rsid w:val="00641289"/>
    <w:rsid w:val="00641554"/>
    <w:rsid w:val="006415F5"/>
    <w:rsid w:val="00641972"/>
    <w:rsid w:val="00641FFA"/>
    <w:rsid w:val="00642011"/>
    <w:rsid w:val="00642021"/>
    <w:rsid w:val="00642053"/>
    <w:rsid w:val="00642149"/>
    <w:rsid w:val="0064214F"/>
    <w:rsid w:val="00642160"/>
    <w:rsid w:val="00642299"/>
    <w:rsid w:val="00642671"/>
    <w:rsid w:val="006427A2"/>
    <w:rsid w:val="00642810"/>
    <w:rsid w:val="00642846"/>
    <w:rsid w:val="0064298C"/>
    <w:rsid w:val="00642B2C"/>
    <w:rsid w:val="00642EA6"/>
    <w:rsid w:val="00642EA7"/>
    <w:rsid w:val="006431B7"/>
    <w:rsid w:val="006432DF"/>
    <w:rsid w:val="0064371D"/>
    <w:rsid w:val="00643A04"/>
    <w:rsid w:val="00643B1A"/>
    <w:rsid w:val="00643CAC"/>
    <w:rsid w:val="00643DAE"/>
    <w:rsid w:val="00643E88"/>
    <w:rsid w:val="00644100"/>
    <w:rsid w:val="0064414C"/>
    <w:rsid w:val="006443A2"/>
    <w:rsid w:val="00644635"/>
    <w:rsid w:val="00644CEF"/>
    <w:rsid w:val="00644FB9"/>
    <w:rsid w:val="00644FEF"/>
    <w:rsid w:val="0064529F"/>
    <w:rsid w:val="00645394"/>
    <w:rsid w:val="006457EE"/>
    <w:rsid w:val="0064594A"/>
    <w:rsid w:val="00645C6C"/>
    <w:rsid w:val="0064625E"/>
    <w:rsid w:val="00646263"/>
    <w:rsid w:val="00646318"/>
    <w:rsid w:val="006463F5"/>
    <w:rsid w:val="00646412"/>
    <w:rsid w:val="0064649C"/>
    <w:rsid w:val="0064680A"/>
    <w:rsid w:val="00646AAA"/>
    <w:rsid w:val="00646B23"/>
    <w:rsid w:val="00646BF0"/>
    <w:rsid w:val="0064715E"/>
    <w:rsid w:val="006475D3"/>
    <w:rsid w:val="006478AE"/>
    <w:rsid w:val="006479EC"/>
    <w:rsid w:val="00647CBF"/>
    <w:rsid w:val="00647D67"/>
    <w:rsid w:val="00647F10"/>
    <w:rsid w:val="006501D8"/>
    <w:rsid w:val="006504B1"/>
    <w:rsid w:val="006505DC"/>
    <w:rsid w:val="00650B75"/>
    <w:rsid w:val="00650DF0"/>
    <w:rsid w:val="00650FD4"/>
    <w:rsid w:val="006510E9"/>
    <w:rsid w:val="00651248"/>
    <w:rsid w:val="00651686"/>
    <w:rsid w:val="006517C3"/>
    <w:rsid w:val="006519DE"/>
    <w:rsid w:val="006519E9"/>
    <w:rsid w:val="00651A84"/>
    <w:rsid w:val="00652129"/>
    <w:rsid w:val="00652333"/>
    <w:rsid w:val="00652714"/>
    <w:rsid w:val="00652C07"/>
    <w:rsid w:val="00652F5E"/>
    <w:rsid w:val="0065315F"/>
    <w:rsid w:val="006533A7"/>
    <w:rsid w:val="006534FF"/>
    <w:rsid w:val="0065354E"/>
    <w:rsid w:val="00653813"/>
    <w:rsid w:val="00653B5F"/>
    <w:rsid w:val="00653C47"/>
    <w:rsid w:val="006541D1"/>
    <w:rsid w:val="00654330"/>
    <w:rsid w:val="0065442B"/>
    <w:rsid w:val="0065473B"/>
    <w:rsid w:val="00654AA0"/>
    <w:rsid w:val="00654CA8"/>
    <w:rsid w:val="00654E47"/>
    <w:rsid w:val="00654E4B"/>
    <w:rsid w:val="00654E84"/>
    <w:rsid w:val="0065526D"/>
    <w:rsid w:val="006553B3"/>
    <w:rsid w:val="0065540B"/>
    <w:rsid w:val="006555CD"/>
    <w:rsid w:val="00655637"/>
    <w:rsid w:val="006556DA"/>
    <w:rsid w:val="0065583B"/>
    <w:rsid w:val="006558F3"/>
    <w:rsid w:val="006559B7"/>
    <w:rsid w:val="00655DC3"/>
    <w:rsid w:val="00655F48"/>
    <w:rsid w:val="006560F5"/>
    <w:rsid w:val="006565CC"/>
    <w:rsid w:val="00656A10"/>
    <w:rsid w:val="00656A12"/>
    <w:rsid w:val="006570B1"/>
    <w:rsid w:val="006571BA"/>
    <w:rsid w:val="00657915"/>
    <w:rsid w:val="00657A9F"/>
    <w:rsid w:val="00657BF3"/>
    <w:rsid w:val="00657C5E"/>
    <w:rsid w:val="00657DE7"/>
    <w:rsid w:val="00657E2F"/>
    <w:rsid w:val="0066006C"/>
    <w:rsid w:val="006602D9"/>
    <w:rsid w:val="00660616"/>
    <w:rsid w:val="00660A23"/>
    <w:rsid w:val="00661526"/>
    <w:rsid w:val="0066159A"/>
    <w:rsid w:val="006615AD"/>
    <w:rsid w:val="006618BC"/>
    <w:rsid w:val="00661A1B"/>
    <w:rsid w:val="00662116"/>
    <w:rsid w:val="00662132"/>
    <w:rsid w:val="006621D5"/>
    <w:rsid w:val="00662338"/>
    <w:rsid w:val="0066234E"/>
    <w:rsid w:val="006623FE"/>
    <w:rsid w:val="00662577"/>
    <w:rsid w:val="00662608"/>
    <w:rsid w:val="006626A2"/>
    <w:rsid w:val="00662AE2"/>
    <w:rsid w:val="00662FED"/>
    <w:rsid w:val="0066329E"/>
    <w:rsid w:val="00663AAF"/>
    <w:rsid w:val="00663CA0"/>
    <w:rsid w:val="00663E95"/>
    <w:rsid w:val="00663EF4"/>
    <w:rsid w:val="00664A64"/>
    <w:rsid w:val="00664B01"/>
    <w:rsid w:val="00664BBD"/>
    <w:rsid w:val="00664EA3"/>
    <w:rsid w:val="006650A7"/>
    <w:rsid w:val="00665324"/>
    <w:rsid w:val="00665BA0"/>
    <w:rsid w:val="00665C39"/>
    <w:rsid w:val="00665EB9"/>
    <w:rsid w:val="00665F90"/>
    <w:rsid w:val="006660D0"/>
    <w:rsid w:val="0066637A"/>
    <w:rsid w:val="0066678B"/>
    <w:rsid w:val="00666B07"/>
    <w:rsid w:val="0066736C"/>
    <w:rsid w:val="0066745B"/>
    <w:rsid w:val="006674FE"/>
    <w:rsid w:val="006676FD"/>
    <w:rsid w:val="00667AB0"/>
    <w:rsid w:val="00667BC7"/>
    <w:rsid w:val="00667CA7"/>
    <w:rsid w:val="00667EDC"/>
    <w:rsid w:val="006700BC"/>
    <w:rsid w:val="0067030C"/>
    <w:rsid w:val="00670732"/>
    <w:rsid w:val="00670833"/>
    <w:rsid w:val="00670BA7"/>
    <w:rsid w:val="00671028"/>
    <w:rsid w:val="00671984"/>
    <w:rsid w:val="00671B92"/>
    <w:rsid w:val="00671BD1"/>
    <w:rsid w:val="00671CD9"/>
    <w:rsid w:val="00671DE9"/>
    <w:rsid w:val="00671E37"/>
    <w:rsid w:val="0067213E"/>
    <w:rsid w:val="0067281D"/>
    <w:rsid w:val="00672A60"/>
    <w:rsid w:val="00672EF7"/>
    <w:rsid w:val="00673038"/>
    <w:rsid w:val="0067328F"/>
    <w:rsid w:val="00673E32"/>
    <w:rsid w:val="006746BC"/>
    <w:rsid w:val="00674BFC"/>
    <w:rsid w:val="00674D3E"/>
    <w:rsid w:val="00674D66"/>
    <w:rsid w:val="00674E0A"/>
    <w:rsid w:val="00674E4D"/>
    <w:rsid w:val="00675765"/>
    <w:rsid w:val="006758F4"/>
    <w:rsid w:val="00675923"/>
    <w:rsid w:val="00675B13"/>
    <w:rsid w:val="00675D16"/>
    <w:rsid w:val="00676262"/>
    <w:rsid w:val="006764B0"/>
    <w:rsid w:val="00676930"/>
    <w:rsid w:val="00676AB0"/>
    <w:rsid w:val="00676BC8"/>
    <w:rsid w:val="00676BEC"/>
    <w:rsid w:val="00677345"/>
    <w:rsid w:val="006774F4"/>
    <w:rsid w:val="006777D4"/>
    <w:rsid w:val="00677817"/>
    <w:rsid w:val="00677A9F"/>
    <w:rsid w:val="00677AD8"/>
    <w:rsid w:val="00677AEF"/>
    <w:rsid w:val="00677B62"/>
    <w:rsid w:val="0068001B"/>
    <w:rsid w:val="00680080"/>
    <w:rsid w:val="0068009E"/>
    <w:rsid w:val="0068023D"/>
    <w:rsid w:val="00680407"/>
    <w:rsid w:val="00680B66"/>
    <w:rsid w:val="0068105A"/>
    <w:rsid w:val="0068128F"/>
    <w:rsid w:val="00681B7D"/>
    <w:rsid w:val="00681CE7"/>
    <w:rsid w:val="00681D15"/>
    <w:rsid w:val="006820CE"/>
    <w:rsid w:val="00682170"/>
    <w:rsid w:val="006823E6"/>
    <w:rsid w:val="00682960"/>
    <w:rsid w:val="006829AF"/>
    <w:rsid w:val="00682A00"/>
    <w:rsid w:val="00682B10"/>
    <w:rsid w:val="00682BA1"/>
    <w:rsid w:val="00682BC7"/>
    <w:rsid w:val="006833DA"/>
    <w:rsid w:val="006833FF"/>
    <w:rsid w:val="0068357C"/>
    <w:rsid w:val="00683685"/>
    <w:rsid w:val="006837F8"/>
    <w:rsid w:val="00683B3E"/>
    <w:rsid w:val="0068424C"/>
    <w:rsid w:val="006844D5"/>
    <w:rsid w:val="00684A8E"/>
    <w:rsid w:val="00684ADA"/>
    <w:rsid w:val="00684C05"/>
    <w:rsid w:val="00684DF8"/>
    <w:rsid w:val="00685083"/>
    <w:rsid w:val="00685217"/>
    <w:rsid w:val="00685399"/>
    <w:rsid w:val="006853B8"/>
    <w:rsid w:val="006857A6"/>
    <w:rsid w:val="00685917"/>
    <w:rsid w:val="006860C3"/>
    <w:rsid w:val="0068623F"/>
    <w:rsid w:val="006868CE"/>
    <w:rsid w:val="00686C4E"/>
    <w:rsid w:val="00686CD2"/>
    <w:rsid w:val="00686D7F"/>
    <w:rsid w:val="00686E08"/>
    <w:rsid w:val="00687233"/>
    <w:rsid w:val="006874D5"/>
    <w:rsid w:val="0068762B"/>
    <w:rsid w:val="0068775D"/>
    <w:rsid w:val="00687961"/>
    <w:rsid w:val="00687C60"/>
    <w:rsid w:val="00687DC4"/>
    <w:rsid w:val="00687F7E"/>
    <w:rsid w:val="00690574"/>
    <w:rsid w:val="00690D4C"/>
    <w:rsid w:val="00690FD8"/>
    <w:rsid w:val="0069104F"/>
    <w:rsid w:val="006911E3"/>
    <w:rsid w:val="00691211"/>
    <w:rsid w:val="006919A3"/>
    <w:rsid w:val="00691A60"/>
    <w:rsid w:val="006928EA"/>
    <w:rsid w:val="00692B0E"/>
    <w:rsid w:val="00692CD1"/>
    <w:rsid w:val="00692E60"/>
    <w:rsid w:val="006936A4"/>
    <w:rsid w:val="006936B5"/>
    <w:rsid w:val="00693E9F"/>
    <w:rsid w:val="00694478"/>
    <w:rsid w:val="006945B0"/>
    <w:rsid w:val="00694B5E"/>
    <w:rsid w:val="0069542B"/>
    <w:rsid w:val="006954B6"/>
    <w:rsid w:val="006959DA"/>
    <w:rsid w:val="00695B2C"/>
    <w:rsid w:val="00695D7D"/>
    <w:rsid w:val="00695DB8"/>
    <w:rsid w:val="00695DF9"/>
    <w:rsid w:val="00695E32"/>
    <w:rsid w:val="00695FCA"/>
    <w:rsid w:val="00695FD8"/>
    <w:rsid w:val="00696003"/>
    <w:rsid w:val="006960F5"/>
    <w:rsid w:val="0069616F"/>
    <w:rsid w:val="006966B2"/>
    <w:rsid w:val="00696788"/>
    <w:rsid w:val="00696955"/>
    <w:rsid w:val="0069695B"/>
    <w:rsid w:val="00696C7D"/>
    <w:rsid w:val="00696F5C"/>
    <w:rsid w:val="00697206"/>
    <w:rsid w:val="006974EF"/>
    <w:rsid w:val="006A040E"/>
    <w:rsid w:val="006A071C"/>
    <w:rsid w:val="006A07CA"/>
    <w:rsid w:val="006A0950"/>
    <w:rsid w:val="006A0A4F"/>
    <w:rsid w:val="006A0D73"/>
    <w:rsid w:val="006A0F6F"/>
    <w:rsid w:val="006A1131"/>
    <w:rsid w:val="006A12B2"/>
    <w:rsid w:val="006A12EA"/>
    <w:rsid w:val="006A1409"/>
    <w:rsid w:val="006A177B"/>
    <w:rsid w:val="006A17CB"/>
    <w:rsid w:val="006A17D2"/>
    <w:rsid w:val="006A1B76"/>
    <w:rsid w:val="006A1DC1"/>
    <w:rsid w:val="006A1DD4"/>
    <w:rsid w:val="006A26BC"/>
    <w:rsid w:val="006A2865"/>
    <w:rsid w:val="006A288D"/>
    <w:rsid w:val="006A2B0F"/>
    <w:rsid w:val="006A2D14"/>
    <w:rsid w:val="006A2D37"/>
    <w:rsid w:val="006A2FCE"/>
    <w:rsid w:val="006A34DF"/>
    <w:rsid w:val="006A3668"/>
    <w:rsid w:val="006A37BA"/>
    <w:rsid w:val="006A3B28"/>
    <w:rsid w:val="006A3BB7"/>
    <w:rsid w:val="006A3DA8"/>
    <w:rsid w:val="006A4388"/>
    <w:rsid w:val="006A4937"/>
    <w:rsid w:val="006A494C"/>
    <w:rsid w:val="006A4B7F"/>
    <w:rsid w:val="006A4BE6"/>
    <w:rsid w:val="006A4C34"/>
    <w:rsid w:val="006A4F24"/>
    <w:rsid w:val="006A5080"/>
    <w:rsid w:val="006A5279"/>
    <w:rsid w:val="006A52B0"/>
    <w:rsid w:val="006A5378"/>
    <w:rsid w:val="006A5619"/>
    <w:rsid w:val="006A5D09"/>
    <w:rsid w:val="006A6032"/>
    <w:rsid w:val="006A6116"/>
    <w:rsid w:val="006A6396"/>
    <w:rsid w:val="006A6530"/>
    <w:rsid w:val="006A686E"/>
    <w:rsid w:val="006A6879"/>
    <w:rsid w:val="006A6958"/>
    <w:rsid w:val="006A6C28"/>
    <w:rsid w:val="006A6E4C"/>
    <w:rsid w:val="006A6F86"/>
    <w:rsid w:val="006A7061"/>
    <w:rsid w:val="006A7102"/>
    <w:rsid w:val="006A7208"/>
    <w:rsid w:val="006A73E6"/>
    <w:rsid w:val="006A75AD"/>
    <w:rsid w:val="006A77C7"/>
    <w:rsid w:val="006A789A"/>
    <w:rsid w:val="006A7A63"/>
    <w:rsid w:val="006A7DF0"/>
    <w:rsid w:val="006A7EE1"/>
    <w:rsid w:val="006B004E"/>
    <w:rsid w:val="006B0320"/>
    <w:rsid w:val="006B09F4"/>
    <w:rsid w:val="006B0A06"/>
    <w:rsid w:val="006B0DFA"/>
    <w:rsid w:val="006B0F94"/>
    <w:rsid w:val="006B1252"/>
    <w:rsid w:val="006B1287"/>
    <w:rsid w:val="006B140A"/>
    <w:rsid w:val="006B15CE"/>
    <w:rsid w:val="006B17C3"/>
    <w:rsid w:val="006B1A48"/>
    <w:rsid w:val="006B1BD8"/>
    <w:rsid w:val="006B1D23"/>
    <w:rsid w:val="006B217F"/>
    <w:rsid w:val="006B2809"/>
    <w:rsid w:val="006B2A30"/>
    <w:rsid w:val="006B2CC7"/>
    <w:rsid w:val="006B2D5C"/>
    <w:rsid w:val="006B2FBF"/>
    <w:rsid w:val="006B33C4"/>
    <w:rsid w:val="006B347B"/>
    <w:rsid w:val="006B34B4"/>
    <w:rsid w:val="006B351F"/>
    <w:rsid w:val="006B3714"/>
    <w:rsid w:val="006B388E"/>
    <w:rsid w:val="006B3AF1"/>
    <w:rsid w:val="006B3D00"/>
    <w:rsid w:val="006B3D88"/>
    <w:rsid w:val="006B3F3E"/>
    <w:rsid w:val="006B4811"/>
    <w:rsid w:val="006B4B1A"/>
    <w:rsid w:val="006B4D46"/>
    <w:rsid w:val="006B4DA8"/>
    <w:rsid w:val="006B51B9"/>
    <w:rsid w:val="006B57E1"/>
    <w:rsid w:val="006B58EA"/>
    <w:rsid w:val="006B5B8E"/>
    <w:rsid w:val="006B5F56"/>
    <w:rsid w:val="006B5F66"/>
    <w:rsid w:val="006B661B"/>
    <w:rsid w:val="006B69B5"/>
    <w:rsid w:val="006B6CA3"/>
    <w:rsid w:val="006B6D74"/>
    <w:rsid w:val="006B6F1E"/>
    <w:rsid w:val="006B6F29"/>
    <w:rsid w:val="006B7198"/>
    <w:rsid w:val="006B71F6"/>
    <w:rsid w:val="006B74C2"/>
    <w:rsid w:val="006B76C0"/>
    <w:rsid w:val="006B7F9D"/>
    <w:rsid w:val="006B7FA2"/>
    <w:rsid w:val="006C032E"/>
    <w:rsid w:val="006C05DB"/>
    <w:rsid w:val="006C075B"/>
    <w:rsid w:val="006C0784"/>
    <w:rsid w:val="006C078E"/>
    <w:rsid w:val="006C0A5B"/>
    <w:rsid w:val="006C0A65"/>
    <w:rsid w:val="006C0BE5"/>
    <w:rsid w:val="006C0D0B"/>
    <w:rsid w:val="006C0EB5"/>
    <w:rsid w:val="006C0FB6"/>
    <w:rsid w:val="006C11B7"/>
    <w:rsid w:val="006C128E"/>
    <w:rsid w:val="006C129D"/>
    <w:rsid w:val="006C15B5"/>
    <w:rsid w:val="006C16D2"/>
    <w:rsid w:val="006C1767"/>
    <w:rsid w:val="006C17B3"/>
    <w:rsid w:val="006C1ADB"/>
    <w:rsid w:val="006C1D5B"/>
    <w:rsid w:val="006C1E07"/>
    <w:rsid w:val="006C2316"/>
    <w:rsid w:val="006C2891"/>
    <w:rsid w:val="006C2924"/>
    <w:rsid w:val="006C2E02"/>
    <w:rsid w:val="006C3076"/>
    <w:rsid w:val="006C31F8"/>
    <w:rsid w:val="006C341D"/>
    <w:rsid w:val="006C39B1"/>
    <w:rsid w:val="006C3B01"/>
    <w:rsid w:val="006C4468"/>
    <w:rsid w:val="006C4EB1"/>
    <w:rsid w:val="006C58EB"/>
    <w:rsid w:val="006C5A70"/>
    <w:rsid w:val="006C6102"/>
    <w:rsid w:val="006C62AA"/>
    <w:rsid w:val="006C6946"/>
    <w:rsid w:val="006C7244"/>
    <w:rsid w:val="006C7306"/>
    <w:rsid w:val="006C7774"/>
    <w:rsid w:val="006C77B8"/>
    <w:rsid w:val="006D0196"/>
    <w:rsid w:val="006D0592"/>
    <w:rsid w:val="006D0772"/>
    <w:rsid w:val="006D0A39"/>
    <w:rsid w:val="006D0AAE"/>
    <w:rsid w:val="006D0B3C"/>
    <w:rsid w:val="006D0CB1"/>
    <w:rsid w:val="006D0D60"/>
    <w:rsid w:val="006D0E40"/>
    <w:rsid w:val="006D0F9A"/>
    <w:rsid w:val="006D132D"/>
    <w:rsid w:val="006D13E0"/>
    <w:rsid w:val="006D1BAA"/>
    <w:rsid w:val="006D1C43"/>
    <w:rsid w:val="006D1DAA"/>
    <w:rsid w:val="006D1DBD"/>
    <w:rsid w:val="006D2A5F"/>
    <w:rsid w:val="006D2C15"/>
    <w:rsid w:val="006D2D0D"/>
    <w:rsid w:val="006D2EC4"/>
    <w:rsid w:val="006D362F"/>
    <w:rsid w:val="006D39C6"/>
    <w:rsid w:val="006D4019"/>
    <w:rsid w:val="006D40D8"/>
    <w:rsid w:val="006D47BD"/>
    <w:rsid w:val="006D497B"/>
    <w:rsid w:val="006D4E75"/>
    <w:rsid w:val="006D4F77"/>
    <w:rsid w:val="006D507E"/>
    <w:rsid w:val="006D5677"/>
    <w:rsid w:val="006D57EF"/>
    <w:rsid w:val="006D5960"/>
    <w:rsid w:val="006D5D2C"/>
    <w:rsid w:val="006D5ED9"/>
    <w:rsid w:val="006D6189"/>
    <w:rsid w:val="006D640D"/>
    <w:rsid w:val="006D6521"/>
    <w:rsid w:val="006D6D14"/>
    <w:rsid w:val="006D6EC5"/>
    <w:rsid w:val="006D708A"/>
    <w:rsid w:val="006D70B2"/>
    <w:rsid w:val="006D71C7"/>
    <w:rsid w:val="006D7534"/>
    <w:rsid w:val="006D796E"/>
    <w:rsid w:val="006D7A04"/>
    <w:rsid w:val="006D7C4C"/>
    <w:rsid w:val="006D7D4B"/>
    <w:rsid w:val="006D7E6F"/>
    <w:rsid w:val="006E0021"/>
    <w:rsid w:val="006E00A3"/>
    <w:rsid w:val="006E0123"/>
    <w:rsid w:val="006E0166"/>
    <w:rsid w:val="006E0732"/>
    <w:rsid w:val="006E07E8"/>
    <w:rsid w:val="006E0DA6"/>
    <w:rsid w:val="006E1178"/>
    <w:rsid w:val="006E1697"/>
    <w:rsid w:val="006E1A3B"/>
    <w:rsid w:val="006E1CC1"/>
    <w:rsid w:val="006E1F28"/>
    <w:rsid w:val="006E1F2E"/>
    <w:rsid w:val="006E230E"/>
    <w:rsid w:val="006E239A"/>
    <w:rsid w:val="006E25DC"/>
    <w:rsid w:val="006E26D2"/>
    <w:rsid w:val="006E2743"/>
    <w:rsid w:val="006E28E8"/>
    <w:rsid w:val="006E2908"/>
    <w:rsid w:val="006E2DE9"/>
    <w:rsid w:val="006E33B3"/>
    <w:rsid w:val="006E362D"/>
    <w:rsid w:val="006E3AF6"/>
    <w:rsid w:val="006E3E8D"/>
    <w:rsid w:val="006E3EFB"/>
    <w:rsid w:val="006E434B"/>
    <w:rsid w:val="006E4619"/>
    <w:rsid w:val="006E4AD0"/>
    <w:rsid w:val="006E4E21"/>
    <w:rsid w:val="006E5002"/>
    <w:rsid w:val="006E54B0"/>
    <w:rsid w:val="006E56C1"/>
    <w:rsid w:val="006E582A"/>
    <w:rsid w:val="006E58D1"/>
    <w:rsid w:val="006E5989"/>
    <w:rsid w:val="006E59D4"/>
    <w:rsid w:val="006E5B92"/>
    <w:rsid w:val="006E5BFC"/>
    <w:rsid w:val="006E5DDA"/>
    <w:rsid w:val="006E5E19"/>
    <w:rsid w:val="006E6193"/>
    <w:rsid w:val="006E6208"/>
    <w:rsid w:val="006E621E"/>
    <w:rsid w:val="006E66A1"/>
    <w:rsid w:val="006E6C31"/>
    <w:rsid w:val="006E6C59"/>
    <w:rsid w:val="006E6E08"/>
    <w:rsid w:val="006E6EF6"/>
    <w:rsid w:val="006E7141"/>
    <w:rsid w:val="006E72D0"/>
    <w:rsid w:val="006E73D4"/>
    <w:rsid w:val="006E73E6"/>
    <w:rsid w:val="006E7495"/>
    <w:rsid w:val="006E752E"/>
    <w:rsid w:val="006E76E6"/>
    <w:rsid w:val="006E7B34"/>
    <w:rsid w:val="006E7DF9"/>
    <w:rsid w:val="006F0078"/>
    <w:rsid w:val="006F029E"/>
    <w:rsid w:val="006F0305"/>
    <w:rsid w:val="006F09EB"/>
    <w:rsid w:val="006F0A0A"/>
    <w:rsid w:val="006F0BBD"/>
    <w:rsid w:val="006F0CCA"/>
    <w:rsid w:val="006F1121"/>
    <w:rsid w:val="006F1545"/>
    <w:rsid w:val="006F165F"/>
    <w:rsid w:val="006F16D0"/>
    <w:rsid w:val="006F1A0A"/>
    <w:rsid w:val="006F1C06"/>
    <w:rsid w:val="006F1CF4"/>
    <w:rsid w:val="006F1DCA"/>
    <w:rsid w:val="006F1F62"/>
    <w:rsid w:val="006F241B"/>
    <w:rsid w:val="006F2584"/>
    <w:rsid w:val="006F273B"/>
    <w:rsid w:val="006F27B6"/>
    <w:rsid w:val="006F284C"/>
    <w:rsid w:val="006F2B4A"/>
    <w:rsid w:val="006F32DC"/>
    <w:rsid w:val="006F32EF"/>
    <w:rsid w:val="006F3397"/>
    <w:rsid w:val="006F3495"/>
    <w:rsid w:val="006F34E3"/>
    <w:rsid w:val="006F3C62"/>
    <w:rsid w:val="006F3DC4"/>
    <w:rsid w:val="006F4064"/>
    <w:rsid w:val="006F474A"/>
    <w:rsid w:val="006F491C"/>
    <w:rsid w:val="006F49D2"/>
    <w:rsid w:val="006F4BD2"/>
    <w:rsid w:val="006F4CE6"/>
    <w:rsid w:val="006F4E46"/>
    <w:rsid w:val="006F4F5B"/>
    <w:rsid w:val="006F5275"/>
    <w:rsid w:val="006F5779"/>
    <w:rsid w:val="006F58F8"/>
    <w:rsid w:val="006F5AAE"/>
    <w:rsid w:val="006F5C1B"/>
    <w:rsid w:val="006F5DD5"/>
    <w:rsid w:val="006F5E2C"/>
    <w:rsid w:val="006F5F5B"/>
    <w:rsid w:val="006F6110"/>
    <w:rsid w:val="006F6A3C"/>
    <w:rsid w:val="006F6D88"/>
    <w:rsid w:val="006F6FE5"/>
    <w:rsid w:val="006F735A"/>
    <w:rsid w:val="006F792D"/>
    <w:rsid w:val="006F79EC"/>
    <w:rsid w:val="006F7CCB"/>
    <w:rsid w:val="006F7CE7"/>
    <w:rsid w:val="006F7EE3"/>
    <w:rsid w:val="007003DD"/>
    <w:rsid w:val="00700454"/>
    <w:rsid w:val="00700A19"/>
    <w:rsid w:val="00700B6B"/>
    <w:rsid w:val="00700BE6"/>
    <w:rsid w:val="00700D9E"/>
    <w:rsid w:val="00701315"/>
    <w:rsid w:val="00701983"/>
    <w:rsid w:val="007019A7"/>
    <w:rsid w:val="00701B3F"/>
    <w:rsid w:val="00701F15"/>
    <w:rsid w:val="00701F4D"/>
    <w:rsid w:val="0070217A"/>
    <w:rsid w:val="007022F6"/>
    <w:rsid w:val="00702755"/>
    <w:rsid w:val="00702BB1"/>
    <w:rsid w:val="00702F28"/>
    <w:rsid w:val="007032B2"/>
    <w:rsid w:val="00703461"/>
    <w:rsid w:val="0070385B"/>
    <w:rsid w:val="00703A3A"/>
    <w:rsid w:val="00703E09"/>
    <w:rsid w:val="00703E40"/>
    <w:rsid w:val="00703E6F"/>
    <w:rsid w:val="00704084"/>
    <w:rsid w:val="00704237"/>
    <w:rsid w:val="007042C0"/>
    <w:rsid w:val="0070448F"/>
    <w:rsid w:val="0070498B"/>
    <w:rsid w:val="00704E13"/>
    <w:rsid w:val="00704F4E"/>
    <w:rsid w:val="00705169"/>
    <w:rsid w:val="0070520F"/>
    <w:rsid w:val="00705668"/>
    <w:rsid w:val="00705C69"/>
    <w:rsid w:val="00705E34"/>
    <w:rsid w:val="00706388"/>
    <w:rsid w:val="0070693D"/>
    <w:rsid w:val="0070697F"/>
    <w:rsid w:val="00706E87"/>
    <w:rsid w:val="007073E2"/>
    <w:rsid w:val="00707437"/>
    <w:rsid w:val="0070745F"/>
    <w:rsid w:val="0070749A"/>
    <w:rsid w:val="007074D6"/>
    <w:rsid w:val="007079BD"/>
    <w:rsid w:val="00707B58"/>
    <w:rsid w:val="00707B7D"/>
    <w:rsid w:val="00707BF5"/>
    <w:rsid w:val="00707F92"/>
    <w:rsid w:val="00710113"/>
    <w:rsid w:val="00710559"/>
    <w:rsid w:val="0071056F"/>
    <w:rsid w:val="007106B4"/>
    <w:rsid w:val="00710738"/>
    <w:rsid w:val="00710772"/>
    <w:rsid w:val="007107AF"/>
    <w:rsid w:val="007107C2"/>
    <w:rsid w:val="0071082A"/>
    <w:rsid w:val="00710831"/>
    <w:rsid w:val="00710D41"/>
    <w:rsid w:val="00710F55"/>
    <w:rsid w:val="007114BB"/>
    <w:rsid w:val="0071162D"/>
    <w:rsid w:val="00711B80"/>
    <w:rsid w:val="00711E01"/>
    <w:rsid w:val="00711F99"/>
    <w:rsid w:val="007124F8"/>
    <w:rsid w:val="00712705"/>
    <w:rsid w:val="007127ED"/>
    <w:rsid w:val="007127FA"/>
    <w:rsid w:val="00712A15"/>
    <w:rsid w:val="00712C37"/>
    <w:rsid w:val="00712DD6"/>
    <w:rsid w:val="007134FD"/>
    <w:rsid w:val="00713548"/>
    <w:rsid w:val="00713551"/>
    <w:rsid w:val="00713632"/>
    <w:rsid w:val="00713B81"/>
    <w:rsid w:val="00713E33"/>
    <w:rsid w:val="00714373"/>
    <w:rsid w:val="007144B7"/>
    <w:rsid w:val="007145D6"/>
    <w:rsid w:val="007146D8"/>
    <w:rsid w:val="00714B32"/>
    <w:rsid w:val="00714C80"/>
    <w:rsid w:val="00714F4B"/>
    <w:rsid w:val="007150A1"/>
    <w:rsid w:val="007150A7"/>
    <w:rsid w:val="0071555D"/>
    <w:rsid w:val="007155B6"/>
    <w:rsid w:val="00715756"/>
    <w:rsid w:val="0071591F"/>
    <w:rsid w:val="00715B3B"/>
    <w:rsid w:val="00715E51"/>
    <w:rsid w:val="007160EE"/>
    <w:rsid w:val="0071619F"/>
    <w:rsid w:val="0071640E"/>
    <w:rsid w:val="007166D4"/>
    <w:rsid w:val="00716AA6"/>
    <w:rsid w:val="00716C41"/>
    <w:rsid w:val="00716FBE"/>
    <w:rsid w:val="007177DE"/>
    <w:rsid w:val="00717B02"/>
    <w:rsid w:val="00717EF6"/>
    <w:rsid w:val="00717FFA"/>
    <w:rsid w:val="007200CC"/>
    <w:rsid w:val="00720558"/>
    <w:rsid w:val="00720893"/>
    <w:rsid w:val="00720928"/>
    <w:rsid w:val="007209F2"/>
    <w:rsid w:val="00720F2C"/>
    <w:rsid w:val="00720F4C"/>
    <w:rsid w:val="00720F8E"/>
    <w:rsid w:val="00720FD7"/>
    <w:rsid w:val="0072101B"/>
    <w:rsid w:val="00721111"/>
    <w:rsid w:val="0072111C"/>
    <w:rsid w:val="007214EF"/>
    <w:rsid w:val="00721568"/>
    <w:rsid w:val="007215FC"/>
    <w:rsid w:val="007215FD"/>
    <w:rsid w:val="0072179D"/>
    <w:rsid w:val="0072199C"/>
    <w:rsid w:val="00721AD2"/>
    <w:rsid w:val="00721B11"/>
    <w:rsid w:val="00721F44"/>
    <w:rsid w:val="007222C5"/>
    <w:rsid w:val="007224C2"/>
    <w:rsid w:val="007225FE"/>
    <w:rsid w:val="00722A09"/>
    <w:rsid w:val="00722AA3"/>
    <w:rsid w:val="00722C88"/>
    <w:rsid w:val="00722D18"/>
    <w:rsid w:val="00722D61"/>
    <w:rsid w:val="00722D7E"/>
    <w:rsid w:val="00722DBA"/>
    <w:rsid w:val="00723163"/>
    <w:rsid w:val="0072344D"/>
    <w:rsid w:val="00723A38"/>
    <w:rsid w:val="0072411E"/>
    <w:rsid w:val="00724D14"/>
    <w:rsid w:val="00724D73"/>
    <w:rsid w:val="00724E06"/>
    <w:rsid w:val="00724F09"/>
    <w:rsid w:val="007250D4"/>
    <w:rsid w:val="007253B8"/>
    <w:rsid w:val="00725557"/>
    <w:rsid w:val="007255D9"/>
    <w:rsid w:val="007255DB"/>
    <w:rsid w:val="00725626"/>
    <w:rsid w:val="00725C8A"/>
    <w:rsid w:val="00725E74"/>
    <w:rsid w:val="0072622B"/>
    <w:rsid w:val="007264EF"/>
    <w:rsid w:val="00726906"/>
    <w:rsid w:val="00726AC1"/>
    <w:rsid w:val="00726EB2"/>
    <w:rsid w:val="0072728A"/>
    <w:rsid w:val="00727331"/>
    <w:rsid w:val="007273F5"/>
    <w:rsid w:val="007274DE"/>
    <w:rsid w:val="007276A9"/>
    <w:rsid w:val="00727828"/>
    <w:rsid w:val="00727AD9"/>
    <w:rsid w:val="00727C60"/>
    <w:rsid w:val="00727F16"/>
    <w:rsid w:val="00730111"/>
    <w:rsid w:val="007301C7"/>
    <w:rsid w:val="007303F5"/>
    <w:rsid w:val="00730AED"/>
    <w:rsid w:val="007314E0"/>
    <w:rsid w:val="00731881"/>
    <w:rsid w:val="007319B6"/>
    <w:rsid w:val="00731B6C"/>
    <w:rsid w:val="00732113"/>
    <w:rsid w:val="00732153"/>
    <w:rsid w:val="007321C3"/>
    <w:rsid w:val="0073271A"/>
    <w:rsid w:val="00732A0F"/>
    <w:rsid w:val="00732AA5"/>
    <w:rsid w:val="00733029"/>
    <w:rsid w:val="00733032"/>
    <w:rsid w:val="0073332C"/>
    <w:rsid w:val="00733344"/>
    <w:rsid w:val="00733371"/>
    <w:rsid w:val="0073398A"/>
    <w:rsid w:val="00733A89"/>
    <w:rsid w:val="00733ABF"/>
    <w:rsid w:val="00733BC5"/>
    <w:rsid w:val="00733F97"/>
    <w:rsid w:val="00733FB1"/>
    <w:rsid w:val="007341B8"/>
    <w:rsid w:val="00734347"/>
    <w:rsid w:val="007343B5"/>
    <w:rsid w:val="007344DA"/>
    <w:rsid w:val="00734509"/>
    <w:rsid w:val="00734F47"/>
    <w:rsid w:val="00735244"/>
    <w:rsid w:val="007353CB"/>
    <w:rsid w:val="00735439"/>
    <w:rsid w:val="00735820"/>
    <w:rsid w:val="00735C10"/>
    <w:rsid w:val="00735E15"/>
    <w:rsid w:val="00735F77"/>
    <w:rsid w:val="007363AB"/>
    <w:rsid w:val="00736554"/>
    <w:rsid w:val="00736621"/>
    <w:rsid w:val="0073687C"/>
    <w:rsid w:val="00736A4B"/>
    <w:rsid w:val="00736A5A"/>
    <w:rsid w:val="00736DB2"/>
    <w:rsid w:val="007370C7"/>
    <w:rsid w:val="00737152"/>
    <w:rsid w:val="0073741F"/>
    <w:rsid w:val="00737A22"/>
    <w:rsid w:val="00737B0C"/>
    <w:rsid w:val="00740406"/>
    <w:rsid w:val="00740435"/>
    <w:rsid w:val="00740558"/>
    <w:rsid w:val="007406AC"/>
    <w:rsid w:val="00740986"/>
    <w:rsid w:val="0074098F"/>
    <w:rsid w:val="00740C75"/>
    <w:rsid w:val="00740D0C"/>
    <w:rsid w:val="00740EC3"/>
    <w:rsid w:val="00741846"/>
    <w:rsid w:val="00741CA3"/>
    <w:rsid w:val="0074209F"/>
    <w:rsid w:val="007420F2"/>
    <w:rsid w:val="007421AC"/>
    <w:rsid w:val="007425C7"/>
    <w:rsid w:val="007427DE"/>
    <w:rsid w:val="00742B58"/>
    <w:rsid w:val="00742D79"/>
    <w:rsid w:val="00743714"/>
    <w:rsid w:val="00743769"/>
    <w:rsid w:val="007438F1"/>
    <w:rsid w:val="00743D3B"/>
    <w:rsid w:val="00744187"/>
    <w:rsid w:val="00744230"/>
    <w:rsid w:val="00744387"/>
    <w:rsid w:val="0074447C"/>
    <w:rsid w:val="007444E9"/>
    <w:rsid w:val="00744539"/>
    <w:rsid w:val="0074478D"/>
    <w:rsid w:val="0074488D"/>
    <w:rsid w:val="00744B30"/>
    <w:rsid w:val="00744F40"/>
    <w:rsid w:val="0074509F"/>
    <w:rsid w:val="007454BF"/>
    <w:rsid w:val="00745A9C"/>
    <w:rsid w:val="00745C39"/>
    <w:rsid w:val="00745D8E"/>
    <w:rsid w:val="00745F34"/>
    <w:rsid w:val="0074602F"/>
    <w:rsid w:val="0074626D"/>
    <w:rsid w:val="0074649B"/>
    <w:rsid w:val="0074667F"/>
    <w:rsid w:val="0074670B"/>
    <w:rsid w:val="00746BEB"/>
    <w:rsid w:val="00746D77"/>
    <w:rsid w:val="007470B2"/>
    <w:rsid w:val="007472EA"/>
    <w:rsid w:val="00747495"/>
    <w:rsid w:val="00747573"/>
    <w:rsid w:val="007475AC"/>
    <w:rsid w:val="0075008E"/>
    <w:rsid w:val="007502D0"/>
    <w:rsid w:val="0075056B"/>
    <w:rsid w:val="00750CAC"/>
    <w:rsid w:val="00750DC5"/>
    <w:rsid w:val="00750F7A"/>
    <w:rsid w:val="0075120E"/>
    <w:rsid w:val="00751715"/>
    <w:rsid w:val="007518E6"/>
    <w:rsid w:val="00751BB1"/>
    <w:rsid w:val="00751BC3"/>
    <w:rsid w:val="0075203A"/>
    <w:rsid w:val="007525DE"/>
    <w:rsid w:val="0075265F"/>
    <w:rsid w:val="00752782"/>
    <w:rsid w:val="007527F2"/>
    <w:rsid w:val="007528B9"/>
    <w:rsid w:val="007528BE"/>
    <w:rsid w:val="00752A4D"/>
    <w:rsid w:val="00752CFF"/>
    <w:rsid w:val="00752DDB"/>
    <w:rsid w:val="00752FD6"/>
    <w:rsid w:val="007531C1"/>
    <w:rsid w:val="007534E4"/>
    <w:rsid w:val="007536A9"/>
    <w:rsid w:val="0075385A"/>
    <w:rsid w:val="00753C72"/>
    <w:rsid w:val="00753D5C"/>
    <w:rsid w:val="00754112"/>
    <w:rsid w:val="007543A5"/>
    <w:rsid w:val="007543E1"/>
    <w:rsid w:val="007545C9"/>
    <w:rsid w:val="007547CF"/>
    <w:rsid w:val="00754E62"/>
    <w:rsid w:val="00755402"/>
    <w:rsid w:val="0075546D"/>
    <w:rsid w:val="007554FC"/>
    <w:rsid w:val="007555A2"/>
    <w:rsid w:val="007555B4"/>
    <w:rsid w:val="007556D6"/>
    <w:rsid w:val="007559AC"/>
    <w:rsid w:val="00755A09"/>
    <w:rsid w:val="00755FDC"/>
    <w:rsid w:val="007560F5"/>
    <w:rsid w:val="00756151"/>
    <w:rsid w:val="007566A3"/>
    <w:rsid w:val="00756BE5"/>
    <w:rsid w:val="00756C11"/>
    <w:rsid w:val="00757255"/>
    <w:rsid w:val="007573DE"/>
    <w:rsid w:val="007576D1"/>
    <w:rsid w:val="007578A2"/>
    <w:rsid w:val="00757EE9"/>
    <w:rsid w:val="00757F54"/>
    <w:rsid w:val="00760390"/>
    <w:rsid w:val="00760512"/>
    <w:rsid w:val="00761D35"/>
    <w:rsid w:val="00761DA2"/>
    <w:rsid w:val="00761FB0"/>
    <w:rsid w:val="00762321"/>
    <w:rsid w:val="00762535"/>
    <w:rsid w:val="0076258E"/>
    <w:rsid w:val="007627B0"/>
    <w:rsid w:val="00762A48"/>
    <w:rsid w:val="00762BBB"/>
    <w:rsid w:val="00762F57"/>
    <w:rsid w:val="0076318F"/>
    <w:rsid w:val="0076334D"/>
    <w:rsid w:val="007642E5"/>
    <w:rsid w:val="00764578"/>
    <w:rsid w:val="007647B1"/>
    <w:rsid w:val="007647E8"/>
    <w:rsid w:val="00764B8E"/>
    <w:rsid w:val="00764F31"/>
    <w:rsid w:val="007650EA"/>
    <w:rsid w:val="00765397"/>
    <w:rsid w:val="00765557"/>
    <w:rsid w:val="00765727"/>
    <w:rsid w:val="007658BB"/>
    <w:rsid w:val="00766170"/>
    <w:rsid w:val="0076643F"/>
    <w:rsid w:val="00766855"/>
    <w:rsid w:val="00766DE1"/>
    <w:rsid w:val="00766EA0"/>
    <w:rsid w:val="00766FA2"/>
    <w:rsid w:val="00766FD3"/>
    <w:rsid w:val="0076720B"/>
    <w:rsid w:val="007673D9"/>
    <w:rsid w:val="00767453"/>
    <w:rsid w:val="00767501"/>
    <w:rsid w:val="007676F1"/>
    <w:rsid w:val="007677F1"/>
    <w:rsid w:val="00767EB3"/>
    <w:rsid w:val="007700EA"/>
    <w:rsid w:val="007707E3"/>
    <w:rsid w:val="00770A17"/>
    <w:rsid w:val="00770B4A"/>
    <w:rsid w:val="00770C19"/>
    <w:rsid w:val="007710D8"/>
    <w:rsid w:val="00771293"/>
    <w:rsid w:val="007716DA"/>
    <w:rsid w:val="00771ACE"/>
    <w:rsid w:val="00771C9A"/>
    <w:rsid w:val="00772433"/>
    <w:rsid w:val="00772665"/>
    <w:rsid w:val="00772A89"/>
    <w:rsid w:val="00772B17"/>
    <w:rsid w:val="00772B90"/>
    <w:rsid w:val="00772C4C"/>
    <w:rsid w:val="00772CC1"/>
    <w:rsid w:val="00772EFA"/>
    <w:rsid w:val="00772F6C"/>
    <w:rsid w:val="0077372B"/>
    <w:rsid w:val="00773B94"/>
    <w:rsid w:val="00773E4D"/>
    <w:rsid w:val="00774408"/>
    <w:rsid w:val="007746B6"/>
    <w:rsid w:val="00774989"/>
    <w:rsid w:val="00774B7A"/>
    <w:rsid w:val="00774C6F"/>
    <w:rsid w:val="00774C7A"/>
    <w:rsid w:val="00774DF0"/>
    <w:rsid w:val="007753D7"/>
    <w:rsid w:val="007755C7"/>
    <w:rsid w:val="007758BD"/>
    <w:rsid w:val="00775EA0"/>
    <w:rsid w:val="00776045"/>
    <w:rsid w:val="007764B4"/>
    <w:rsid w:val="0077672F"/>
    <w:rsid w:val="007767EF"/>
    <w:rsid w:val="00776913"/>
    <w:rsid w:val="00776D12"/>
    <w:rsid w:val="00776DC6"/>
    <w:rsid w:val="00776F61"/>
    <w:rsid w:val="00776FDE"/>
    <w:rsid w:val="00777114"/>
    <w:rsid w:val="0077756C"/>
    <w:rsid w:val="00777CE0"/>
    <w:rsid w:val="00777F44"/>
    <w:rsid w:val="007801FB"/>
    <w:rsid w:val="00780581"/>
    <w:rsid w:val="00780661"/>
    <w:rsid w:val="0078099E"/>
    <w:rsid w:val="007809D3"/>
    <w:rsid w:val="007809F9"/>
    <w:rsid w:val="00780D8F"/>
    <w:rsid w:val="00780F38"/>
    <w:rsid w:val="00781213"/>
    <w:rsid w:val="007814C9"/>
    <w:rsid w:val="00781531"/>
    <w:rsid w:val="0078174E"/>
    <w:rsid w:val="0078193A"/>
    <w:rsid w:val="00781B47"/>
    <w:rsid w:val="00781B69"/>
    <w:rsid w:val="00782585"/>
    <w:rsid w:val="007825A5"/>
    <w:rsid w:val="00782A6F"/>
    <w:rsid w:val="00782B6A"/>
    <w:rsid w:val="00782C20"/>
    <w:rsid w:val="00782CFB"/>
    <w:rsid w:val="0078318D"/>
    <w:rsid w:val="0078329E"/>
    <w:rsid w:val="00783570"/>
    <w:rsid w:val="00783876"/>
    <w:rsid w:val="007839DC"/>
    <w:rsid w:val="00783B7E"/>
    <w:rsid w:val="007841CF"/>
    <w:rsid w:val="007842BC"/>
    <w:rsid w:val="0078432E"/>
    <w:rsid w:val="0078460C"/>
    <w:rsid w:val="00784766"/>
    <w:rsid w:val="007848A4"/>
    <w:rsid w:val="00784A7A"/>
    <w:rsid w:val="00784AC1"/>
    <w:rsid w:val="00784C30"/>
    <w:rsid w:val="00784C71"/>
    <w:rsid w:val="00784E03"/>
    <w:rsid w:val="007851BE"/>
    <w:rsid w:val="00785213"/>
    <w:rsid w:val="0078551E"/>
    <w:rsid w:val="00785691"/>
    <w:rsid w:val="00785814"/>
    <w:rsid w:val="00785B6E"/>
    <w:rsid w:val="00785BBF"/>
    <w:rsid w:val="00785F90"/>
    <w:rsid w:val="00786126"/>
    <w:rsid w:val="00786389"/>
    <w:rsid w:val="007863BC"/>
    <w:rsid w:val="0078689C"/>
    <w:rsid w:val="0078697D"/>
    <w:rsid w:val="00786A91"/>
    <w:rsid w:val="00786DB3"/>
    <w:rsid w:val="007872AB"/>
    <w:rsid w:val="00787666"/>
    <w:rsid w:val="00790178"/>
    <w:rsid w:val="00790243"/>
    <w:rsid w:val="00790652"/>
    <w:rsid w:val="00790CB4"/>
    <w:rsid w:val="00790F1F"/>
    <w:rsid w:val="00790F8B"/>
    <w:rsid w:val="00790FAB"/>
    <w:rsid w:val="007910AA"/>
    <w:rsid w:val="007910FE"/>
    <w:rsid w:val="00791141"/>
    <w:rsid w:val="007911CE"/>
    <w:rsid w:val="007913E9"/>
    <w:rsid w:val="00791828"/>
    <w:rsid w:val="00791A91"/>
    <w:rsid w:val="00792525"/>
    <w:rsid w:val="00792A15"/>
    <w:rsid w:val="00793493"/>
    <w:rsid w:val="0079363E"/>
    <w:rsid w:val="007938CA"/>
    <w:rsid w:val="00793AED"/>
    <w:rsid w:val="00793CB7"/>
    <w:rsid w:val="0079417D"/>
    <w:rsid w:val="00794475"/>
    <w:rsid w:val="00794641"/>
    <w:rsid w:val="0079488C"/>
    <w:rsid w:val="00794A84"/>
    <w:rsid w:val="00794EE7"/>
    <w:rsid w:val="007950AC"/>
    <w:rsid w:val="0079553C"/>
    <w:rsid w:val="007955DC"/>
    <w:rsid w:val="007957F7"/>
    <w:rsid w:val="0079598C"/>
    <w:rsid w:val="00795E6D"/>
    <w:rsid w:val="0079611D"/>
    <w:rsid w:val="00796236"/>
    <w:rsid w:val="00796238"/>
    <w:rsid w:val="007962DA"/>
    <w:rsid w:val="00796736"/>
    <w:rsid w:val="00796A26"/>
    <w:rsid w:val="00796E57"/>
    <w:rsid w:val="007977FD"/>
    <w:rsid w:val="00797DD9"/>
    <w:rsid w:val="007A0454"/>
    <w:rsid w:val="007A0688"/>
    <w:rsid w:val="007A0E26"/>
    <w:rsid w:val="007A101F"/>
    <w:rsid w:val="007A10D1"/>
    <w:rsid w:val="007A17E4"/>
    <w:rsid w:val="007A1CE0"/>
    <w:rsid w:val="007A1EC7"/>
    <w:rsid w:val="007A26BF"/>
    <w:rsid w:val="007A29CE"/>
    <w:rsid w:val="007A29E9"/>
    <w:rsid w:val="007A33CA"/>
    <w:rsid w:val="007A35BD"/>
    <w:rsid w:val="007A3C6D"/>
    <w:rsid w:val="007A3D67"/>
    <w:rsid w:val="007A3DCB"/>
    <w:rsid w:val="007A3DE5"/>
    <w:rsid w:val="007A3E5E"/>
    <w:rsid w:val="007A3EC1"/>
    <w:rsid w:val="007A4039"/>
    <w:rsid w:val="007A4188"/>
    <w:rsid w:val="007A440D"/>
    <w:rsid w:val="007A46C7"/>
    <w:rsid w:val="007A4794"/>
    <w:rsid w:val="007A4A25"/>
    <w:rsid w:val="007A4E0E"/>
    <w:rsid w:val="007A4E9B"/>
    <w:rsid w:val="007A539D"/>
    <w:rsid w:val="007A553A"/>
    <w:rsid w:val="007A580C"/>
    <w:rsid w:val="007A5817"/>
    <w:rsid w:val="007A6847"/>
    <w:rsid w:val="007A6B39"/>
    <w:rsid w:val="007A6E2E"/>
    <w:rsid w:val="007A6E5C"/>
    <w:rsid w:val="007A6E65"/>
    <w:rsid w:val="007A7070"/>
    <w:rsid w:val="007A7AD1"/>
    <w:rsid w:val="007A7FED"/>
    <w:rsid w:val="007B01BB"/>
    <w:rsid w:val="007B03A8"/>
    <w:rsid w:val="007B03C2"/>
    <w:rsid w:val="007B043F"/>
    <w:rsid w:val="007B0539"/>
    <w:rsid w:val="007B05F9"/>
    <w:rsid w:val="007B07D4"/>
    <w:rsid w:val="007B0A16"/>
    <w:rsid w:val="007B0C7B"/>
    <w:rsid w:val="007B0CE3"/>
    <w:rsid w:val="007B0DFF"/>
    <w:rsid w:val="007B0E26"/>
    <w:rsid w:val="007B0E6D"/>
    <w:rsid w:val="007B0EC9"/>
    <w:rsid w:val="007B12AB"/>
    <w:rsid w:val="007B1354"/>
    <w:rsid w:val="007B1A8A"/>
    <w:rsid w:val="007B1F4F"/>
    <w:rsid w:val="007B20AB"/>
    <w:rsid w:val="007B2B9C"/>
    <w:rsid w:val="007B3057"/>
    <w:rsid w:val="007B330B"/>
    <w:rsid w:val="007B34B4"/>
    <w:rsid w:val="007B3656"/>
    <w:rsid w:val="007B3C7F"/>
    <w:rsid w:val="007B3D30"/>
    <w:rsid w:val="007B3E4B"/>
    <w:rsid w:val="007B3EFF"/>
    <w:rsid w:val="007B3F37"/>
    <w:rsid w:val="007B41C9"/>
    <w:rsid w:val="007B48C7"/>
    <w:rsid w:val="007B4920"/>
    <w:rsid w:val="007B515B"/>
    <w:rsid w:val="007B5162"/>
    <w:rsid w:val="007B51AE"/>
    <w:rsid w:val="007B52BC"/>
    <w:rsid w:val="007B59A2"/>
    <w:rsid w:val="007B5D67"/>
    <w:rsid w:val="007B5DDA"/>
    <w:rsid w:val="007B60E9"/>
    <w:rsid w:val="007B61EF"/>
    <w:rsid w:val="007B6779"/>
    <w:rsid w:val="007B6CC3"/>
    <w:rsid w:val="007B70F7"/>
    <w:rsid w:val="007B7113"/>
    <w:rsid w:val="007B73C9"/>
    <w:rsid w:val="007B752C"/>
    <w:rsid w:val="007B75D3"/>
    <w:rsid w:val="007B79CB"/>
    <w:rsid w:val="007B7C16"/>
    <w:rsid w:val="007C012E"/>
    <w:rsid w:val="007C01B1"/>
    <w:rsid w:val="007C0801"/>
    <w:rsid w:val="007C08C6"/>
    <w:rsid w:val="007C09E1"/>
    <w:rsid w:val="007C0A72"/>
    <w:rsid w:val="007C0B70"/>
    <w:rsid w:val="007C0C13"/>
    <w:rsid w:val="007C0DA5"/>
    <w:rsid w:val="007C1089"/>
    <w:rsid w:val="007C1B4C"/>
    <w:rsid w:val="007C1CC8"/>
    <w:rsid w:val="007C1DBF"/>
    <w:rsid w:val="007C1F44"/>
    <w:rsid w:val="007C2060"/>
    <w:rsid w:val="007C2330"/>
    <w:rsid w:val="007C23D2"/>
    <w:rsid w:val="007C23EC"/>
    <w:rsid w:val="007C27C3"/>
    <w:rsid w:val="007C2A6F"/>
    <w:rsid w:val="007C2E57"/>
    <w:rsid w:val="007C2FF6"/>
    <w:rsid w:val="007C3334"/>
    <w:rsid w:val="007C3508"/>
    <w:rsid w:val="007C351D"/>
    <w:rsid w:val="007C3570"/>
    <w:rsid w:val="007C3E46"/>
    <w:rsid w:val="007C4000"/>
    <w:rsid w:val="007C452A"/>
    <w:rsid w:val="007C4F8A"/>
    <w:rsid w:val="007C51D7"/>
    <w:rsid w:val="007C53AA"/>
    <w:rsid w:val="007C547B"/>
    <w:rsid w:val="007C5491"/>
    <w:rsid w:val="007C5641"/>
    <w:rsid w:val="007C6899"/>
    <w:rsid w:val="007C68C5"/>
    <w:rsid w:val="007C69F8"/>
    <w:rsid w:val="007C6E82"/>
    <w:rsid w:val="007C6F41"/>
    <w:rsid w:val="007C6F65"/>
    <w:rsid w:val="007C7891"/>
    <w:rsid w:val="007C7C29"/>
    <w:rsid w:val="007C7E5C"/>
    <w:rsid w:val="007D0013"/>
    <w:rsid w:val="007D0278"/>
    <w:rsid w:val="007D031E"/>
    <w:rsid w:val="007D0B97"/>
    <w:rsid w:val="007D0C17"/>
    <w:rsid w:val="007D0C8C"/>
    <w:rsid w:val="007D0E3C"/>
    <w:rsid w:val="007D0E4B"/>
    <w:rsid w:val="007D10B3"/>
    <w:rsid w:val="007D1170"/>
    <w:rsid w:val="007D11B8"/>
    <w:rsid w:val="007D1432"/>
    <w:rsid w:val="007D16DC"/>
    <w:rsid w:val="007D175E"/>
    <w:rsid w:val="007D19F7"/>
    <w:rsid w:val="007D1B51"/>
    <w:rsid w:val="007D2080"/>
    <w:rsid w:val="007D2484"/>
    <w:rsid w:val="007D2494"/>
    <w:rsid w:val="007D260D"/>
    <w:rsid w:val="007D2781"/>
    <w:rsid w:val="007D2A18"/>
    <w:rsid w:val="007D2B98"/>
    <w:rsid w:val="007D2C5A"/>
    <w:rsid w:val="007D2D97"/>
    <w:rsid w:val="007D30F0"/>
    <w:rsid w:val="007D31DC"/>
    <w:rsid w:val="007D33BB"/>
    <w:rsid w:val="007D3D79"/>
    <w:rsid w:val="007D45CE"/>
    <w:rsid w:val="007D4D0A"/>
    <w:rsid w:val="007D4E45"/>
    <w:rsid w:val="007D4F01"/>
    <w:rsid w:val="007D5069"/>
    <w:rsid w:val="007D540E"/>
    <w:rsid w:val="007D549E"/>
    <w:rsid w:val="007D55A1"/>
    <w:rsid w:val="007D5AD1"/>
    <w:rsid w:val="007D5AEA"/>
    <w:rsid w:val="007D5C8D"/>
    <w:rsid w:val="007D5F10"/>
    <w:rsid w:val="007D5F5F"/>
    <w:rsid w:val="007D5F9E"/>
    <w:rsid w:val="007D6705"/>
    <w:rsid w:val="007D6FA3"/>
    <w:rsid w:val="007D7109"/>
    <w:rsid w:val="007D715A"/>
    <w:rsid w:val="007D7305"/>
    <w:rsid w:val="007D733F"/>
    <w:rsid w:val="007D7568"/>
    <w:rsid w:val="007D76FF"/>
    <w:rsid w:val="007D7C4D"/>
    <w:rsid w:val="007D7F07"/>
    <w:rsid w:val="007E0337"/>
    <w:rsid w:val="007E03CE"/>
    <w:rsid w:val="007E05CF"/>
    <w:rsid w:val="007E07FA"/>
    <w:rsid w:val="007E0A89"/>
    <w:rsid w:val="007E0D10"/>
    <w:rsid w:val="007E0D92"/>
    <w:rsid w:val="007E0EAB"/>
    <w:rsid w:val="007E1190"/>
    <w:rsid w:val="007E1554"/>
    <w:rsid w:val="007E15CA"/>
    <w:rsid w:val="007E1751"/>
    <w:rsid w:val="007E1768"/>
    <w:rsid w:val="007E1B8A"/>
    <w:rsid w:val="007E1DDF"/>
    <w:rsid w:val="007E21BC"/>
    <w:rsid w:val="007E28DA"/>
    <w:rsid w:val="007E2B3E"/>
    <w:rsid w:val="007E2D37"/>
    <w:rsid w:val="007E321F"/>
    <w:rsid w:val="007E38E5"/>
    <w:rsid w:val="007E41D2"/>
    <w:rsid w:val="007E42A0"/>
    <w:rsid w:val="007E441B"/>
    <w:rsid w:val="007E4519"/>
    <w:rsid w:val="007E46DE"/>
    <w:rsid w:val="007E4902"/>
    <w:rsid w:val="007E4D79"/>
    <w:rsid w:val="007E5009"/>
    <w:rsid w:val="007E50B5"/>
    <w:rsid w:val="007E5462"/>
    <w:rsid w:val="007E5490"/>
    <w:rsid w:val="007E5655"/>
    <w:rsid w:val="007E585F"/>
    <w:rsid w:val="007E593F"/>
    <w:rsid w:val="007E5A40"/>
    <w:rsid w:val="007E5D40"/>
    <w:rsid w:val="007E61C5"/>
    <w:rsid w:val="007E6417"/>
    <w:rsid w:val="007E72BE"/>
    <w:rsid w:val="007E7362"/>
    <w:rsid w:val="007E742C"/>
    <w:rsid w:val="007E7510"/>
    <w:rsid w:val="007E752B"/>
    <w:rsid w:val="007E75FB"/>
    <w:rsid w:val="007E799A"/>
    <w:rsid w:val="007E7C40"/>
    <w:rsid w:val="007E7C48"/>
    <w:rsid w:val="007E7EEE"/>
    <w:rsid w:val="007E7F43"/>
    <w:rsid w:val="007F0264"/>
    <w:rsid w:val="007F0496"/>
    <w:rsid w:val="007F058E"/>
    <w:rsid w:val="007F0713"/>
    <w:rsid w:val="007F0A18"/>
    <w:rsid w:val="007F0C72"/>
    <w:rsid w:val="007F0D3D"/>
    <w:rsid w:val="007F0D3F"/>
    <w:rsid w:val="007F0E4E"/>
    <w:rsid w:val="007F171B"/>
    <w:rsid w:val="007F1BA9"/>
    <w:rsid w:val="007F1CD8"/>
    <w:rsid w:val="007F1D45"/>
    <w:rsid w:val="007F1F7F"/>
    <w:rsid w:val="007F2072"/>
    <w:rsid w:val="007F22E5"/>
    <w:rsid w:val="007F260E"/>
    <w:rsid w:val="007F27F6"/>
    <w:rsid w:val="007F2DC3"/>
    <w:rsid w:val="007F3406"/>
    <w:rsid w:val="007F35EE"/>
    <w:rsid w:val="007F3721"/>
    <w:rsid w:val="007F3B01"/>
    <w:rsid w:val="007F400D"/>
    <w:rsid w:val="007F48EE"/>
    <w:rsid w:val="007F4C17"/>
    <w:rsid w:val="007F4F45"/>
    <w:rsid w:val="007F5266"/>
    <w:rsid w:val="007F5537"/>
    <w:rsid w:val="007F55EC"/>
    <w:rsid w:val="007F5A3A"/>
    <w:rsid w:val="007F5C72"/>
    <w:rsid w:val="007F5D54"/>
    <w:rsid w:val="007F6080"/>
    <w:rsid w:val="007F6089"/>
    <w:rsid w:val="007F60D4"/>
    <w:rsid w:val="007F62F3"/>
    <w:rsid w:val="007F63E6"/>
    <w:rsid w:val="007F66BA"/>
    <w:rsid w:val="007F673D"/>
    <w:rsid w:val="007F69D0"/>
    <w:rsid w:val="007F6BD5"/>
    <w:rsid w:val="007F6CBD"/>
    <w:rsid w:val="007F6F48"/>
    <w:rsid w:val="007F6F94"/>
    <w:rsid w:val="007F7981"/>
    <w:rsid w:val="007F79B5"/>
    <w:rsid w:val="007F7A91"/>
    <w:rsid w:val="007F7AA6"/>
    <w:rsid w:val="007F7D9D"/>
    <w:rsid w:val="008000F9"/>
    <w:rsid w:val="008004DC"/>
    <w:rsid w:val="00800630"/>
    <w:rsid w:val="00800842"/>
    <w:rsid w:val="0080085C"/>
    <w:rsid w:val="0080094F"/>
    <w:rsid w:val="008009F7"/>
    <w:rsid w:val="008009FA"/>
    <w:rsid w:val="00800B51"/>
    <w:rsid w:val="0080142B"/>
    <w:rsid w:val="00801688"/>
    <w:rsid w:val="00801BBC"/>
    <w:rsid w:val="00801C82"/>
    <w:rsid w:val="00801D53"/>
    <w:rsid w:val="00802182"/>
    <w:rsid w:val="008022B4"/>
    <w:rsid w:val="0080241F"/>
    <w:rsid w:val="00802659"/>
    <w:rsid w:val="00802E38"/>
    <w:rsid w:val="00802E76"/>
    <w:rsid w:val="0080344D"/>
    <w:rsid w:val="0080398A"/>
    <w:rsid w:val="00803B21"/>
    <w:rsid w:val="00803C4D"/>
    <w:rsid w:val="00803CC0"/>
    <w:rsid w:val="00803F1C"/>
    <w:rsid w:val="00804360"/>
    <w:rsid w:val="008045F4"/>
    <w:rsid w:val="00804937"/>
    <w:rsid w:val="00804AD4"/>
    <w:rsid w:val="008050EC"/>
    <w:rsid w:val="00805177"/>
    <w:rsid w:val="008052B3"/>
    <w:rsid w:val="008057D9"/>
    <w:rsid w:val="00805A26"/>
    <w:rsid w:val="00805EDF"/>
    <w:rsid w:val="00805F7A"/>
    <w:rsid w:val="0080600E"/>
    <w:rsid w:val="008060E0"/>
    <w:rsid w:val="0080612C"/>
    <w:rsid w:val="00806251"/>
    <w:rsid w:val="0080639F"/>
    <w:rsid w:val="0080685C"/>
    <w:rsid w:val="008069C1"/>
    <w:rsid w:val="008069D1"/>
    <w:rsid w:val="00806CE0"/>
    <w:rsid w:val="00806D71"/>
    <w:rsid w:val="0080746B"/>
    <w:rsid w:val="00807593"/>
    <w:rsid w:val="008079CC"/>
    <w:rsid w:val="00810541"/>
    <w:rsid w:val="00810566"/>
    <w:rsid w:val="00810860"/>
    <w:rsid w:val="0081099C"/>
    <w:rsid w:val="00810AC5"/>
    <w:rsid w:val="00810B64"/>
    <w:rsid w:val="00810F65"/>
    <w:rsid w:val="00811051"/>
    <w:rsid w:val="008112F7"/>
    <w:rsid w:val="008117BB"/>
    <w:rsid w:val="00811988"/>
    <w:rsid w:val="00811B47"/>
    <w:rsid w:val="00811E7F"/>
    <w:rsid w:val="00812296"/>
    <w:rsid w:val="008124AE"/>
    <w:rsid w:val="00812ACD"/>
    <w:rsid w:val="00812ADE"/>
    <w:rsid w:val="00812B05"/>
    <w:rsid w:val="00812EFB"/>
    <w:rsid w:val="00812F47"/>
    <w:rsid w:val="0081371C"/>
    <w:rsid w:val="00813A9F"/>
    <w:rsid w:val="00813B10"/>
    <w:rsid w:val="008140C5"/>
    <w:rsid w:val="00814173"/>
    <w:rsid w:val="0081449E"/>
    <w:rsid w:val="00814506"/>
    <w:rsid w:val="008146EC"/>
    <w:rsid w:val="00814818"/>
    <w:rsid w:val="0081496B"/>
    <w:rsid w:val="00815195"/>
    <w:rsid w:val="00815207"/>
    <w:rsid w:val="00815398"/>
    <w:rsid w:val="00815497"/>
    <w:rsid w:val="00815971"/>
    <w:rsid w:val="00815A24"/>
    <w:rsid w:val="00815A4B"/>
    <w:rsid w:val="00815E08"/>
    <w:rsid w:val="00816112"/>
    <w:rsid w:val="00816270"/>
    <w:rsid w:val="0081647F"/>
    <w:rsid w:val="00816513"/>
    <w:rsid w:val="008167A5"/>
    <w:rsid w:val="00816A42"/>
    <w:rsid w:val="00816AE5"/>
    <w:rsid w:val="00816ED6"/>
    <w:rsid w:val="00816F45"/>
    <w:rsid w:val="008170D4"/>
    <w:rsid w:val="00817276"/>
    <w:rsid w:val="0081746C"/>
    <w:rsid w:val="00817576"/>
    <w:rsid w:val="00817612"/>
    <w:rsid w:val="00817A0E"/>
    <w:rsid w:val="00817AA5"/>
    <w:rsid w:val="00817B08"/>
    <w:rsid w:val="00817C4A"/>
    <w:rsid w:val="00817DF4"/>
    <w:rsid w:val="00817E57"/>
    <w:rsid w:val="00820291"/>
    <w:rsid w:val="0082037E"/>
    <w:rsid w:val="0082046F"/>
    <w:rsid w:val="00820F92"/>
    <w:rsid w:val="00821959"/>
    <w:rsid w:val="00821C2C"/>
    <w:rsid w:val="00821FF7"/>
    <w:rsid w:val="0082233B"/>
    <w:rsid w:val="008225CB"/>
    <w:rsid w:val="008226D0"/>
    <w:rsid w:val="0082287D"/>
    <w:rsid w:val="00822988"/>
    <w:rsid w:val="00822FF5"/>
    <w:rsid w:val="0082333F"/>
    <w:rsid w:val="008234BE"/>
    <w:rsid w:val="0082350F"/>
    <w:rsid w:val="008235E6"/>
    <w:rsid w:val="00823783"/>
    <w:rsid w:val="008238F3"/>
    <w:rsid w:val="00823A5B"/>
    <w:rsid w:val="0082476C"/>
    <w:rsid w:val="00824A3F"/>
    <w:rsid w:val="00824E4E"/>
    <w:rsid w:val="008253A6"/>
    <w:rsid w:val="00825623"/>
    <w:rsid w:val="0082564F"/>
    <w:rsid w:val="008258DE"/>
    <w:rsid w:val="00825B5A"/>
    <w:rsid w:val="00825D2C"/>
    <w:rsid w:val="00825E86"/>
    <w:rsid w:val="00825F48"/>
    <w:rsid w:val="00825F67"/>
    <w:rsid w:val="00825FF9"/>
    <w:rsid w:val="008266B8"/>
    <w:rsid w:val="00826860"/>
    <w:rsid w:val="00826C65"/>
    <w:rsid w:val="00826DE6"/>
    <w:rsid w:val="008271E7"/>
    <w:rsid w:val="00827229"/>
    <w:rsid w:val="00827365"/>
    <w:rsid w:val="00827496"/>
    <w:rsid w:val="00827622"/>
    <w:rsid w:val="0082785F"/>
    <w:rsid w:val="008306E5"/>
    <w:rsid w:val="00830929"/>
    <w:rsid w:val="008309CD"/>
    <w:rsid w:val="00830B1C"/>
    <w:rsid w:val="00830C4A"/>
    <w:rsid w:val="00830F17"/>
    <w:rsid w:val="0083140A"/>
    <w:rsid w:val="0083146E"/>
    <w:rsid w:val="008318FB"/>
    <w:rsid w:val="00831D3B"/>
    <w:rsid w:val="00832212"/>
    <w:rsid w:val="008325D9"/>
    <w:rsid w:val="00832784"/>
    <w:rsid w:val="00832873"/>
    <w:rsid w:val="00832B46"/>
    <w:rsid w:val="00832E7E"/>
    <w:rsid w:val="0083327F"/>
    <w:rsid w:val="0083343D"/>
    <w:rsid w:val="00833633"/>
    <w:rsid w:val="00833661"/>
    <w:rsid w:val="008336D0"/>
    <w:rsid w:val="008337BE"/>
    <w:rsid w:val="008338A4"/>
    <w:rsid w:val="0083395A"/>
    <w:rsid w:val="00833B1B"/>
    <w:rsid w:val="00833D8C"/>
    <w:rsid w:val="00833EAA"/>
    <w:rsid w:val="008340B1"/>
    <w:rsid w:val="00834158"/>
    <w:rsid w:val="008342BE"/>
    <w:rsid w:val="0083487F"/>
    <w:rsid w:val="008350B4"/>
    <w:rsid w:val="00835161"/>
    <w:rsid w:val="00835216"/>
    <w:rsid w:val="008352BF"/>
    <w:rsid w:val="0083554E"/>
    <w:rsid w:val="00835819"/>
    <w:rsid w:val="0083588E"/>
    <w:rsid w:val="00835BD9"/>
    <w:rsid w:val="00835C46"/>
    <w:rsid w:val="00836060"/>
    <w:rsid w:val="0083613A"/>
    <w:rsid w:val="00836907"/>
    <w:rsid w:val="008369AB"/>
    <w:rsid w:val="008369D8"/>
    <w:rsid w:val="00836C24"/>
    <w:rsid w:val="00836E35"/>
    <w:rsid w:val="00836F27"/>
    <w:rsid w:val="00837083"/>
    <w:rsid w:val="008375A0"/>
    <w:rsid w:val="00837C45"/>
    <w:rsid w:val="00837CFB"/>
    <w:rsid w:val="00837DC6"/>
    <w:rsid w:val="0084036C"/>
    <w:rsid w:val="00841465"/>
    <w:rsid w:val="00841611"/>
    <w:rsid w:val="008417D9"/>
    <w:rsid w:val="008418D2"/>
    <w:rsid w:val="00841B6E"/>
    <w:rsid w:val="00841B90"/>
    <w:rsid w:val="00841D37"/>
    <w:rsid w:val="00841D55"/>
    <w:rsid w:val="00841E5C"/>
    <w:rsid w:val="00841E8D"/>
    <w:rsid w:val="00842033"/>
    <w:rsid w:val="008423EA"/>
    <w:rsid w:val="00842510"/>
    <w:rsid w:val="00842675"/>
    <w:rsid w:val="00842AF1"/>
    <w:rsid w:val="00842BB7"/>
    <w:rsid w:val="008436B8"/>
    <w:rsid w:val="00843934"/>
    <w:rsid w:val="00843B8E"/>
    <w:rsid w:val="00843BA5"/>
    <w:rsid w:val="00843E99"/>
    <w:rsid w:val="00843F3D"/>
    <w:rsid w:val="0084404F"/>
    <w:rsid w:val="0084424C"/>
    <w:rsid w:val="00844620"/>
    <w:rsid w:val="00844730"/>
    <w:rsid w:val="00844798"/>
    <w:rsid w:val="00844E00"/>
    <w:rsid w:val="00845264"/>
    <w:rsid w:val="00845447"/>
    <w:rsid w:val="008455DF"/>
    <w:rsid w:val="00845725"/>
    <w:rsid w:val="008457C2"/>
    <w:rsid w:val="00845825"/>
    <w:rsid w:val="0084582A"/>
    <w:rsid w:val="00845DC2"/>
    <w:rsid w:val="00846006"/>
    <w:rsid w:val="0084624B"/>
    <w:rsid w:val="0084626F"/>
    <w:rsid w:val="0084643A"/>
    <w:rsid w:val="0084650F"/>
    <w:rsid w:val="00846555"/>
    <w:rsid w:val="0084665C"/>
    <w:rsid w:val="00846690"/>
    <w:rsid w:val="0084677D"/>
    <w:rsid w:val="00846850"/>
    <w:rsid w:val="00846981"/>
    <w:rsid w:val="00846CB1"/>
    <w:rsid w:val="00846DCA"/>
    <w:rsid w:val="00847119"/>
    <w:rsid w:val="008471AB"/>
    <w:rsid w:val="008472E2"/>
    <w:rsid w:val="00847539"/>
    <w:rsid w:val="00847AE5"/>
    <w:rsid w:val="00847D04"/>
    <w:rsid w:val="00847D66"/>
    <w:rsid w:val="00847E88"/>
    <w:rsid w:val="00850500"/>
    <w:rsid w:val="008505C6"/>
    <w:rsid w:val="00850819"/>
    <w:rsid w:val="008508B9"/>
    <w:rsid w:val="00850E4D"/>
    <w:rsid w:val="00851376"/>
    <w:rsid w:val="008514D3"/>
    <w:rsid w:val="0085156D"/>
    <w:rsid w:val="008515F1"/>
    <w:rsid w:val="00851A7D"/>
    <w:rsid w:val="00851BEA"/>
    <w:rsid w:val="00851DA5"/>
    <w:rsid w:val="008520EB"/>
    <w:rsid w:val="008525A9"/>
    <w:rsid w:val="00852640"/>
    <w:rsid w:val="0085266B"/>
    <w:rsid w:val="00853489"/>
    <w:rsid w:val="00853829"/>
    <w:rsid w:val="00853B54"/>
    <w:rsid w:val="00853F9D"/>
    <w:rsid w:val="008540B6"/>
    <w:rsid w:val="008540EE"/>
    <w:rsid w:val="0085423E"/>
    <w:rsid w:val="0085457E"/>
    <w:rsid w:val="008548E4"/>
    <w:rsid w:val="00854A32"/>
    <w:rsid w:val="00854F8F"/>
    <w:rsid w:val="008550C6"/>
    <w:rsid w:val="008554B8"/>
    <w:rsid w:val="0085567C"/>
    <w:rsid w:val="008556CA"/>
    <w:rsid w:val="0085595F"/>
    <w:rsid w:val="008559AE"/>
    <w:rsid w:val="00855D9C"/>
    <w:rsid w:val="008563A3"/>
    <w:rsid w:val="00856BCB"/>
    <w:rsid w:val="00856BF3"/>
    <w:rsid w:val="00856D9E"/>
    <w:rsid w:val="00857A82"/>
    <w:rsid w:val="00857D41"/>
    <w:rsid w:val="00857ED7"/>
    <w:rsid w:val="0086031A"/>
    <w:rsid w:val="008603F2"/>
    <w:rsid w:val="00860798"/>
    <w:rsid w:val="00860A9F"/>
    <w:rsid w:val="00860B0A"/>
    <w:rsid w:val="00860B5F"/>
    <w:rsid w:val="008611BC"/>
    <w:rsid w:val="00861880"/>
    <w:rsid w:val="008619A1"/>
    <w:rsid w:val="00861D82"/>
    <w:rsid w:val="00862253"/>
    <w:rsid w:val="0086261F"/>
    <w:rsid w:val="008626EC"/>
    <w:rsid w:val="008627EF"/>
    <w:rsid w:val="008629F3"/>
    <w:rsid w:val="00862EC5"/>
    <w:rsid w:val="0086335C"/>
    <w:rsid w:val="00863367"/>
    <w:rsid w:val="00863802"/>
    <w:rsid w:val="00863ED4"/>
    <w:rsid w:val="008643F9"/>
    <w:rsid w:val="008644FA"/>
    <w:rsid w:val="0086456A"/>
    <w:rsid w:val="008645D3"/>
    <w:rsid w:val="008646C9"/>
    <w:rsid w:val="00864E12"/>
    <w:rsid w:val="00864FF5"/>
    <w:rsid w:val="008650CC"/>
    <w:rsid w:val="008655E7"/>
    <w:rsid w:val="008656C2"/>
    <w:rsid w:val="008657F3"/>
    <w:rsid w:val="00865CB9"/>
    <w:rsid w:val="00865D33"/>
    <w:rsid w:val="00865D59"/>
    <w:rsid w:val="00865E62"/>
    <w:rsid w:val="00866186"/>
    <w:rsid w:val="008661D0"/>
    <w:rsid w:val="008664EC"/>
    <w:rsid w:val="008665ED"/>
    <w:rsid w:val="00866771"/>
    <w:rsid w:val="008668F6"/>
    <w:rsid w:val="00866E4E"/>
    <w:rsid w:val="00867001"/>
    <w:rsid w:val="00867083"/>
    <w:rsid w:val="0086721D"/>
    <w:rsid w:val="008674C2"/>
    <w:rsid w:val="008674C8"/>
    <w:rsid w:val="00867A05"/>
    <w:rsid w:val="00867A6D"/>
    <w:rsid w:val="00867AC2"/>
    <w:rsid w:val="00867B68"/>
    <w:rsid w:val="0087015F"/>
    <w:rsid w:val="0087074B"/>
    <w:rsid w:val="00870CEE"/>
    <w:rsid w:val="00870F88"/>
    <w:rsid w:val="008710B2"/>
    <w:rsid w:val="00871537"/>
    <w:rsid w:val="00871ACF"/>
    <w:rsid w:val="00871D0C"/>
    <w:rsid w:val="00871E4D"/>
    <w:rsid w:val="008721CF"/>
    <w:rsid w:val="008721DA"/>
    <w:rsid w:val="0087259A"/>
    <w:rsid w:val="0087271C"/>
    <w:rsid w:val="00872A19"/>
    <w:rsid w:val="00872A3D"/>
    <w:rsid w:val="00873491"/>
    <w:rsid w:val="008737A5"/>
    <w:rsid w:val="00873836"/>
    <w:rsid w:val="00873AF3"/>
    <w:rsid w:val="00873E8E"/>
    <w:rsid w:val="00873F92"/>
    <w:rsid w:val="00874327"/>
    <w:rsid w:val="00874427"/>
    <w:rsid w:val="00874731"/>
    <w:rsid w:val="0087479F"/>
    <w:rsid w:val="00874C92"/>
    <w:rsid w:val="00874DE8"/>
    <w:rsid w:val="00874F08"/>
    <w:rsid w:val="0087507A"/>
    <w:rsid w:val="0087511D"/>
    <w:rsid w:val="00875141"/>
    <w:rsid w:val="0087517E"/>
    <w:rsid w:val="0087518B"/>
    <w:rsid w:val="0087528D"/>
    <w:rsid w:val="00875B95"/>
    <w:rsid w:val="00875C31"/>
    <w:rsid w:val="008762FF"/>
    <w:rsid w:val="00876822"/>
    <w:rsid w:val="008769DF"/>
    <w:rsid w:val="00876A9F"/>
    <w:rsid w:val="008771AD"/>
    <w:rsid w:val="00877233"/>
    <w:rsid w:val="00877250"/>
    <w:rsid w:val="00877442"/>
    <w:rsid w:val="0087747E"/>
    <w:rsid w:val="0087778E"/>
    <w:rsid w:val="00877CD0"/>
    <w:rsid w:val="00880B5E"/>
    <w:rsid w:val="00880BC8"/>
    <w:rsid w:val="00880F27"/>
    <w:rsid w:val="00880FE8"/>
    <w:rsid w:val="00881157"/>
    <w:rsid w:val="008812F3"/>
    <w:rsid w:val="00881512"/>
    <w:rsid w:val="00881A67"/>
    <w:rsid w:val="00881B88"/>
    <w:rsid w:val="00881FF1"/>
    <w:rsid w:val="008823A7"/>
    <w:rsid w:val="0088252D"/>
    <w:rsid w:val="008825B3"/>
    <w:rsid w:val="008828EF"/>
    <w:rsid w:val="00882A03"/>
    <w:rsid w:val="00882DE2"/>
    <w:rsid w:val="00882FB6"/>
    <w:rsid w:val="00882FD5"/>
    <w:rsid w:val="008830A2"/>
    <w:rsid w:val="008833C1"/>
    <w:rsid w:val="00883438"/>
    <w:rsid w:val="0088368C"/>
    <w:rsid w:val="008836BC"/>
    <w:rsid w:val="00883E21"/>
    <w:rsid w:val="008843BF"/>
    <w:rsid w:val="00884DB2"/>
    <w:rsid w:val="00884ED1"/>
    <w:rsid w:val="00884FB6"/>
    <w:rsid w:val="00885223"/>
    <w:rsid w:val="00885396"/>
    <w:rsid w:val="00885450"/>
    <w:rsid w:val="00885553"/>
    <w:rsid w:val="00885737"/>
    <w:rsid w:val="008857A5"/>
    <w:rsid w:val="00885974"/>
    <w:rsid w:val="00885987"/>
    <w:rsid w:val="00885C06"/>
    <w:rsid w:val="00885CA7"/>
    <w:rsid w:val="00885E54"/>
    <w:rsid w:val="0088636C"/>
    <w:rsid w:val="0088678D"/>
    <w:rsid w:val="0088679A"/>
    <w:rsid w:val="00886814"/>
    <w:rsid w:val="00887304"/>
    <w:rsid w:val="0088761F"/>
    <w:rsid w:val="00887BD0"/>
    <w:rsid w:val="00887C19"/>
    <w:rsid w:val="00887CD8"/>
    <w:rsid w:val="00887F99"/>
    <w:rsid w:val="008902F5"/>
    <w:rsid w:val="00890634"/>
    <w:rsid w:val="00890650"/>
    <w:rsid w:val="008909B7"/>
    <w:rsid w:val="00890C56"/>
    <w:rsid w:val="00890FA9"/>
    <w:rsid w:val="00890FEF"/>
    <w:rsid w:val="0089119C"/>
    <w:rsid w:val="008914B5"/>
    <w:rsid w:val="00891AD0"/>
    <w:rsid w:val="00891F36"/>
    <w:rsid w:val="00892723"/>
    <w:rsid w:val="008927C7"/>
    <w:rsid w:val="00892A41"/>
    <w:rsid w:val="00892AB5"/>
    <w:rsid w:val="00892AD7"/>
    <w:rsid w:val="008934E9"/>
    <w:rsid w:val="00893506"/>
    <w:rsid w:val="0089369B"/>
    <w:rsid w:val="00893713"/>
    <w:rsid w:val="00893818"/>
    <w:rsid w:val="00893DA3"/>
    <w:rsid w:val="00893DFD"/>
    <w:rsid w:val="00893EF9"/>
    <w:rsid w:val="00894134"/>
    <w:rsid w:val="00894765"/>
    <w:rsid w:val="00894809"/>
    <w:rsid w:val="00894D26"/>
    <w:rsid w:val="008950CD"/>
    <w:rsid w:val="00895389"/>
    <w:rsid w:val="00895472"/>
    <w:rsid w:val="008957E2"/>
    <w:rsid w:val="008958F9"/>
    <w:rsid w:val="00895D38"/>
    <w:rsid w:val="00895EE9"/>
    <w:rsid w:val="00895FA2"/>
    <w:rsid w:val="00896099"/>
    <w:rsid w:val="008964DF"/>
    <w:rsid w:val="00896625"/>
    <w:rsid w:val="00896628"/>
    <w:rsid w:val="00896807"/>
    <w:rsid w:val="00896F65"/>
    <w:rsid w:val="00897145"/>
    <w:rsid w:val="00897313"/>
    <w:rsid w:val="0089759E"/>
    <w:rsid w:val="00897C0D"/>
    <w:rsid w:val="00897C86"/>
    <w:rsid w:val="00897D76"/>
    <w:rsid w:val="00897E12"/>
    <w:rsid w:val="008A011A"/>
    <w:rsid w:val="008A0437"/>
    <w:rsid w:val="008A0457"/>
    <w:rsid w:val="008A04E1"/>
    <w:rsid w:val="008A0DAD"/>
    <w:rsid w:val="008A0EC3"/>
    <w:rsid w:val="008A18E2"/>
    <w:rsid w:val="008A1A16"/>
    <w:rsid w:val="008A1E5C"/>
    <w:rsid w:val="008A2170"/>
    <w:rsid w:val="008A21D5"/>
    <w:rsid w:val="008A2501"/>
    <w:rsid w:val="008A27CC"/>
    <w:rsid w:val="008A292E"/>
    <w:rsid w:val="008A2A9D"/>
    <w:rsid w:val="008A2B89"/>
    <w:rsid w:val="008A2F89"/>
    <w:rsid w:val="008A30E2"/>
    <w:rsid w:val="008A3196"/>
    <w:rsid w:val="008A3473"/>
    <w:rsid w:val="008A3644"/>
    <w:rsid w:val="008A375B"/>
    <w:rsid w:val="008A3ABE"/>
    <w:rsid w:val="008A3B82"/>
    <w:rsid w:val="008A41EF"/>
    <w:rsid w:val="008A4355"/>
    <w:rsid w:val="008A43E2"/>
    <w:rsid w:val="008A4533"/>
    <w:rsid w:val="008A4748"/>
    <w:rsid w:val="008A47F3"/>
    <w:rsid w:val="008A4985"/>
    <w:rsid w:val="008A49F0"/>
    <w:rsid w:val="008A4B90"/>
    <w:rsid w:val="008A4BC0"/>
    <w:rsid w:val="008A4C2F"/>
    <w:rsid w:val="008A53C9"/>
    <w:rsid w:val="008A5A9D"/>
    <w:rsid w:val="008A5C86"/>
    <w:rsid w:val="008A5EA2"/>
    <w:rsid w:val="008A5EAB"/>
    <w:rsid w:val="008A60A1"/>
    <w:rsid w:val="008A62B2"/>
    <w:rsid w:val="008A633B"/>
    <w:rsid w:val="008A63C6"/>
    <w:rsid w:val="008A63E9"/>
    <w:rsid w:val="008A64EF"/>
    <w:rsid w:val="008A6547"/>
    <w:rsid w:val="008A663B"/>
    <w:rsid w:val="008A6716"/>
    <w:rsid w:val="008A6880"/>
    <w:rsid w:val="008A6B26"/>
    <w:rsid w:val="008A6C80"/>
    <w:rsid w:val="008A6CB5"/>
    <w:rsid w:val="008A72C5"/>
    <w:rsid w:val="008A72E6"/>
    <w:rsid w:val="008A73B4"/>
    <w:rsid w:val="008A742E"/>
    <w:rsid w:val="008A75D0"/>
    <w:rsid w:val="008A7874"/>
    <w:rsid w:val="008A7E0F"/>
    <w:rsid w:val="008B00E3"/>
    <w:rsid w:val="008B08E2"/>
    <w:rsid w:val="008B0C96"/>
    <w:rsid w:val="008B0EF3"/>
    <w:rsid w:val="008B10ED"/>
    <w:rsid w:val="008B12F5"/>
    <w:rsid w:val="008B1402"/>
    <w:rsid w:val="008B15CE"/>
    <w:rsid w:val="008B192D"/>
    <w:rsid w:val="008B1A58"/>
    <w:rsid w:val="008B1BBB"/>
    <w:rsid w:val="008B1C8D"/>
    <w:rsid w:val="008B1CF7"/>
    <w:rsid w:val="008B1E57"/>
    <w:rsid w:val="008B20E5"/>
    <w:rsid w:val="008B212B"/>
    <w:rsid w:val="008B21E9"/>
    <w:rsid w:val="008B2522"/>
    <w:rsid w:val="008B26CE"/>
    <w:rsid w:val="008B2D49"/>
    <w:rsid w:val="008B2D5F"/>
    <w:rsid w:val="008B31CA"/>
    <w:rsid w:val="008B3941"/>
    <w:rsid w:val="008B3DB5"/>
    <w:rsid w:val="008B41A1"/>
    <w:rsid w:val="008B426B"/>
    <w:rsid w:val="008B450E"/>
    <w:rsid w:val="008B4895"/>
    <w:rsid w:val="008B48CE"/>
    <w:rsid w:val="008B4B39"/>
    <w:rsid w:val="008B4CCC"/>
    <w:rsid w:val="008B4E58"/>
    <w:rsid w:val="008B5010"/>
    <w:rsid w:val="008B502C"/>
    <w:rsid w:val="008B516E"/>
    <w:rsid w:val="008B5196"/>
    <w:rsid w:val="008B5210"/>
    <w:rsid w:val="008B55C7"/>
    <w:rsid w:val="008B55DD"/>
    <w:rsid w:val="008B59E8"/>
    <w:rsid w:val="008B5ACB"/>
    <w:rsid w:val="008B6017"/>
    <w:rsid w:val="008B60FC"/>
    <w:rsid w:val="008B675B"/>
    <w:rsid w:val="008B6765"/>
    <w:rsid w:val="008B67FC"/>
    <w:rsid w:val="008B6888"/>
    <w:rsid w:val="008B6BB8"/>
    <w:rsid w:val="008B6D49"/>
    <w:rsid w:val="008B6EC0"/>
    <w:rsid w:val="008B744E"/>
    <w:rsid w:val="008B751D"/>
    <w:rsid w:val="008B777D"/>
    <w:rsid w:val="008B77CB"/>
    <w:rsid w:val="008B793B"/>
    <w:rsid w:val="008B7C48"/>
    <w:rsid w:val="008B7FD8"/>
    <w:rsid w:val="008C056E"/>
    <w:rsid w:val="008C0A49"/>
    <w:rsid w:val="008C0C3D"/>
    <w:rsid w:val="008C0CCF"/>
    <w:rsid w:val="008C10D9"/>
    <w:rsid w:val="008C1B2F"/>
    <w:rsid w:val="008C1BB7"/>
    <w:rsid w:val="008C1FE0"/>
    <w:rsid w:val="008C2225"/>
    <w:rsid w:val="008C294B"/>
    <w:rsid w:val="008C2AE9"/>
    <w:rsid w:val="008C3270"/>
    <w:rsid w:val="008C33D1"/>
    <w:rsid w:val="008C3431"/>
    <w:rsid w:val="008C3892"/>
    <w:rsid w:val="008C3C05"/>
    <w:rsid w:val="008C3F6A"/>
    <w:rsid w:val="008C4927"/>
    <w:rsid w:val="008C4928"/>
    <w:rsid w:val="008C4A05"/>
    <w:rsid w:val="008C4C11"/>
    <w:rsid w:val="008C5146"/>
    <w:rsid w:val="008C5543"/>
    <w:rsid w:val="008C5562"/>
    <w:rsid w:val="008C5713"/>
    <w:rsid w:val="008C5C35"/>
    <w:rsid w:val="008C5D8E"/>
    <w:rsid w:val="008C6103"/>
    <w:rsid w:val="008C6399"/>
    <w:rsid w:val="008C6414"/>
    <w:rsid w:val="008C6603"/>
    <w:rsid w:val="008C6720"/>
    <w:rsid w:val="008C6927"/>
    <w:rsid w:val="008C6949"/>
    <w:rsid w:val="008C6CD8"/>
    <w:rsid w:val="008C6EAF"/>
    <w:rsid w:val="008C70D3"/>
    <w:rsid w:val="008C710F"/>
    <w:rsid w:val="008C74AB"/>
    <w:rsid w:val="008C77C0"/>
    <w:rsid w:val="008C7AB2"/>
    <w:rsid w:val="008C7DB1"/>
    <w:rsid w:val="008D046B"/>
    <w:rsid w:val="008D098C"/>
    <w:rsid w:val="008D0A1E"/>
    <w:rsid w:val="008D0BE4"/>
    <w:rsid w:val="008D0EC6"/>
    <w:rsid w:val="008D1265"/>
    <w:rsid w:val="008D1330"/>
    <w:rsid w:val="008D1A69"/>
    <w:rsid w:val="008D1DCC"/>
    <w:rsid w:val="008D1F00"/>
    <w:rsid w:val="008D1F6E"/>
    <w:rsid w:val="008D1FC9"/>
    <w:rsid w:val="008D21E0"/>
    <w:rsid w:val="008D23D9"/>
    <w:rsid w:val="008D2449"/>
    <w:rsid w:val="008D2719"/>
    <w:rsid w:val="008D29D4"/>
    <w:rsid w:val="008D2A0D"/>
    <w:rsid w:val="008D2E8E"/>
    <w:rsid w:val="008D3224"/>
    <w:rsid w:val="008D33B3"/>
    <w:rsid w:val="008D3823"/>
    <w:rsid w:val="008D39B8"/>
    <w:rsid w:val="008D3FA1"/>
    <w:rsid w:val="008D4062"/>
    <w:rsid w:val="008D41F9"/>
    <w:rsid w:val="008D43AD"/>
    <w:rsid w:val="008D4432"/>
    <w:rsid w:val="008D4690"/>
    <w:rsid w:val="008D4727"/>
    <w:rsid w:val="008D473F"/>
    <w:rsid w:val="008D4768"/>
    <w:rsid w:val="008D48B0"/>
    <w:rsid w:val="008D48BA"/>
    <w:rsid w:val="008D4A3F"/>
    <w:rsid w:val="008D4C94"/>
    <w:rsid w:val="008D5095"/>
    <w:rsid w:val="008D54E7"/>
    <w:rsid w:val="008D5CB6"/>
    <w:rsid w:val="008D60FB"/>
    <w:rsid w:val="008D6267"/>
    <w:rsid w:val="008D65CF"/>
    <w:rsid w:val="008D68B9"/>
    <w:rsid w:val="008D6B07"/>
    <w:rsid w:val="008D75CA"/>
    <w:rsid w:val="008D76ED"/>
    <w:rsid w:val="008D7912"/>
    <w:rsid w:val="008D7923"/>
    <w:rsid w:val="008E0137"/>
    <w:rsid w:val="008E0280"/>
    <w:rsid w:val="008E03B8"/>
    <w:rsid w:val="008E075C"/>
    <w:rsid w:val="008E07BC"/>
    <w:rsid w:val="008E082F"/>
    <w:rsid w:val="008E0960"/>
    <w:rsid w:val="008E0B0A"/>
    <w:rsid w:val="008E0EDA"/>
    <w:rsid w:val="008E11CA"/>
    <w:rsid w:val="008E1471"/>
    <w:rsid w:val="008E1700"/>
    <w:rsid w:val="008E17DB"/>
    <w:rsid w:val="008E1940"/>
    <w:rsid w:val="008E1C1E"/>
    <w:rsid w:val="008E20A5"/>
    <w:rsid w:val="008E2248"/>
    <w:rsid w:val="008E22AA"/>
    <w:rsid w:val="008E22F7"/>
    <w:rsid w:val="008E25ED"/>
    <w:rsid w:val="008E26AC"/>
    <w:rsid w:val="008E2A39"/>
    <w:rsid w:val="008E2B0E"/>
    <w:rsid w:val="008E2E04"/>
    <w:rsid w:val="008E2FC3"/>
    <w:rsid w:val="008E31B9"/>
    <w:rsid w:val="008E3511"/>
    <w:rsid w:val="008E354C"/>
    <w:rsid w:val="008E3759"/>
    <w:rsid w:val="008E3944"/>
    <w:rsid w:val="008E3B2C"/>
    <w:rsid w:val="008E3EC0"/>
    <w:rsid w:val="008E3FED"/>
    <w:rsid w:val="008E4267"/>
    <w:rsid w:val="008E4296"/>
    <w:rsid w:val="008E449B"/>
    <w:rsid w:val="008E47E6"/>
    <w:rsid w:val="008E4946"/>
    <w:rsid w:val="008E4C06"/>
    <w:rsid w:val="008E50F6"/>
    <w:rsid w:val="008E510D"/>
    <w:rsid w:val="008E53C0"/>
    <w:rsid w:val="008E5415"/>
    <w:rsid w:val="008E59E4"/>
    <w:rsid w:val="008E5A1F"/>
    <w:rsid w:val="008E5CEA"/>
    <w:rsid w:val="008E5DA5"/>
    <w:rsid w:val="008E69E2"/>
    <w:rsid w:val="008E6A8E"/>
    <w:rsid w:val="008E6E7A"/>
    <w:rsid w:val="008E6F74"/>
    <w:rsid w:val="008E706B"/>
    <w:rsid w:val="008E707F"/>
    <w:rsid w:val="008E70A9"/>
    <w:rsid w:val="008E7255"/>
    <w:rsid w:val="008E74C9"/>
    <w:rsid w:val="008E74E7"/>
    <w:rsid w:val="008E75D4"/>
    <w:rsid w:val="008E7E47"/>
    <w:rsid w:val="008F0098"/>
    <w:rsid w:val="008F024A"/>
    <w:rsid w:val="008F02C2"/>
    <w:rsid w:val="008F050C"/>
    <w:rsid w:val="008F0CBE"/>
    <w:rsid w:val="008F10DF"/>
    <w:rsid w:val="008F12CF"/>
    <w:rsid w:val="008F1605"/>
    <w:rsid w:val="008F1612"/>
    <w:rsid w:val="008F17F5"/>
    <w:rsid w:val="008F1912"/>
    <w:rsid w:val="008F19CD"/>
    <w:rsid w:val="008F1E69"/>
    <w:rsid w:val="008F1F46"/>
    <w:rsid w:val="008F1F8A"/>
    <w:rsid w:val="008F2394"/>
    <w:rsid w:val="008F2478"/>
    <w:rsid w:val="008F25BE"/>
    <w:rsid w:val="008F27D0"/>
    <w:rsid w:val="008F2A26"/>
    <w:rsid w:val="008F2D9D"/>
    <w:rsid w:val="008F2E27"/>
    <w:rsid w:val="008F305F"/>
    <w:rsid w:val="008F3062"/>
    <w:rsid w:val="008F3064"/>
    <w:rsid w:val="008F3087"/>
    <w:rsid w:val="008F31FB"/>
    <w:rsid w:val="008F3479"/>
    <w:rsid w:val="008F3526"/>
    <w:rsid w:val="008F3561"/>
    <w:rsid w:val="008F37C4"/>
    <w:rsid w:val="008F39A9"/>
    <w:rsid w:val="008F3E0A"/>
    <w:rsid w:val="008F3FD2"/>
    <w:rsid w:val="008F425A"/>
    <w:rsid w:val="008F4487"/>
    <w:rsid w:val="008F44DD"/>
    <w:rsid w:val="008F45C9"/>
    <w:rsid w:val="008F4711"/>
    <w:rsid w:val="008F471E"/>
    <w:rsid w:val="008F47E2"/>
    <w:rsid w:val="008F4962"/>
    <w:rsid w:val="008F4EFD"/>
    <w:rsid w:val="008F55C8"/>
    <w:rsid w:val="008F57B0"/>
    <w:rsid w:val="008F58FC"/>
    <w:rsid w:val="008F5B40"/>
    <w:rsid w:val="008F5E8B"/>
    <w:rsid w:val="008F5FB3"/>
    <w:rsid w:val="008F627B"/>
    <w:rsid w:val="008F66DC"/>
    <w:rsid w:val="008F696E"/>
    <w:rsid w:val="008F69CB"/>
    <w:rsid w:val="008F6A7F"/>
    <w:rsid w:val="008F6BBA"/>
    <w:rsid w:val="008F6DFE"/>
    <w:rsid w:val="008F7000"/>
    <w:rsid w:val="008F724A"/>
    <w:rsid w:val="008F7500"/>
    <w:rsid w:val="008F7553"/>
    <w:rsid w:val="008F7B8B"/>
    <w:rsid w:val="008F7FA4"/>
    <w:rsid w:val="009003AE"/>
    <w:rsid w:val="00900920"/>
    <w:rsid w:val="00900A15"/>
    <w:rsid w:val="00900AF1"/>
    <w:rsid w:val="00901029"/>
    <w:rsid w:val="00901586"/>
    <w:rsid w:val="00901A4C"/>
    <w:rsid w:val="009023CC"/>
    <w:rsid w:val="00902509"/>
    <w:rsid w:val="00902609"/>
    <w:rsid w:val="0090270B"/>
    <w:rsid w:val="00902EDB"/>
    <w:rsid w:val="00902EF1"/>
    <w:rsid w:val="00902F13"/>
    <w:rsid w:val="00902F2B"/>
    <w:rsid w:val="0090300E"/>
    <w:rsid w:val="009032C1"/>
    <w:rsid w:val="00903DD0"/>
    <w:rsid w:val="009041DC"/>
    <w:rsid w:val="009042DB"/>
    <w:rsid w:val="009042DC"/>
    <w:rsid w:val="00904343"/>
    <w:rsid w:val="009044B4"/>
    <w:rsid w:val="009046A1"/>
    <w:rsid w:val="00904BD6"/>
    <w:rsid w:val="00905478"/>
    <w:rsid w:val="009054D0"/>
    <w:rsid w:val="0090550F"/>
    <w:rsid w:val="00905516"/>
    <w:rsid w:val="009056A6"/>
    <w:rsid w:val="00905AB9"/>
    <w:rsid w:val="00905C12"/>
    <w:rsid w:val="00905F8E"/>
    <w:rsid w:val="0090610F"/>
    <w:rsid w:val="0090613B"/>
    <w:rsid w:val="0090614E"/>
    <w:rsid w:val="0090649D"/>
    <w:rsid w:val="00906820"/>
    <w:rsid w:val="00906DAC"/>
    <w:rsid w:val="00906E1D"/>
    <w:rsid w:val="00906E40"/>
    <w:rsid w:val="0090704B"/>
    <w:rsid w:val="00907063"/>
    <w:rsid w:val="009072E5"/>
    <w:rsid w:val="00907324"/>
    <w:rsid w:val="009078C0"/>
    <w:rsid w:val="00907A69"/>
    <w:rsid w:val="00907F68"/>
    <w:rsid w:val="00910381"/>
    <w:rsid w:val="009105A9"/>
    <w:rsid w:val="0091063B"/>
    <w:rsid w:val="00910C41"/>
    <w:rsid w:val="00910D7B"/>
    <w:rsid w:val="009111B6"/>
    <w:rsid w:val="00911472"/>
    <w:rsid w:val="009115E7"/>
    <w:rsid w:val="009115F3"/>
    <w:rsid w:val="00911823"/>
    <w:rsid w:val="009119A7"/>
    <w:rsid w:val="00911AD8"/>
    <w:rsid w:val="00911CD9"/>
    <w:rsid w:val="00911D16"/>
    <w:rsid w:val="00911DA9"/>
    <w:rsid w:val="009121A0"/>
    <w:rsid w:val="009123E5"/>
    <w:rsid w:val="00912540"/>
    <w:rsid w:val="00912B46"/>
    <w:rsid w:val="00912FB7"/>
    <w:rsid w:val="0091348F"/>
    <w:rsid w:val="00913739"/>
    <w:rsid w:val="009137EA"/>
    <w:rsid w:val="0091389C"/>
    <w:rsid w:val="00913A78"/>
    <w:rsid w:val="00913D8D"/>
    <w:rsid w:val="0091441A"/>
    <w:rsid w:val="00914424"/>
    <w:rsid w:val="009148CF"/>
    <w:rsid w:val="00914ADF"/>
    <w:rsid w:val="00914ECD"/>
    <w:rsid w:val="00914F05"/>
    <w:rsid w:val="00915037"/>
    <w:rsid w:val="00915413"/>
    <w:rsid w:val="009154A4"/>
    <w:rsid w:val="009155FB"/>
    <w:rsid w:val="0091583A"/>
    <w:rsid w:val="009158F7"/>
    <w:rsid w:val="0091593A"/>
    <w:rsid w:val="00915C8A"/>
    <w:rsid w:val="00916621"/>
    <w:rsid w:val="00916739"/>
    <w:rsid w:val="009168E6"/>
    <w:rsid w:val="009169B5"/>
    <w:rsid w:val="009169CB"/>
    <w:rsid w:val="00916AB6"/>
    <w:rsid w:val="00916AF3"/>
    <w:rsid w:val="00916E0F"/>
    <w:rsid w:val="00917159"/>
    <w:rsid w:val="009171C7"/>
    <w:rsid w:val="0091725E"/>
    <w:rsid w:val="0091750E"/>
    <w:rsid w:val="009177D4"/>
    <w:rsid w:val="009179E9"/>
    <w:rsid w:val="009203E9"/>
    <w:rsid w:val="0092041F"/>
    <w:rsid w:val="00920607"/>
    <w:rsid w:val="009206C5"/>
    <w:rsid w:val="009206D8"/>
    <w:rsid w:val="00920889"/>
    <w:rsid w:val="00920930"/>
    <w:rsid w:val="009209D4"/>
    <w:rsid w:val="009209FD"/>
    <w:rsid w:val="00920A58"/>
    <w:rsid w:val="00920A8C"/>
    <w:rsid w:val="00920AB3"/>
    <w:rsid w:val="00920C3E"/>
    <w:rsid w:val="00920F28"/>
    <w:rsid w:val="00921832"/>
    <w:rsid w:val="00921904"/>
    <w:rsid w:val="009219E0"/>
    <w:rsid w:val="00921AB4"/>
    <w:rsid w:val="00921E5E"/>
    <w:rsid w:val="00921F39"/>
    <w:rsid w:val="00921F55"/>
    <w:rsid w:val="009221B2"/>
    <w:rsid w:val="00922273"/>
    <w:rsid w:val="00922964"/>
    <w:rsid w:val="00922D48"/>
    <w:rsid w:val="00922FB8"/>
    <w:rsid w:val="00922FC4"/>
    <w:rsid w:val="009230E7"/>
    <w:rsid w:val="00923148"/>
    <w:rsid w:val="0092326C"/>
    <w:rsid w:val="0092359B"/>
    <w:rsid w:val="009238E7"/>
    <w:rsid w:val="00923C90"/>
    <w:rsid w:val="0092405F"/>
    <w:rsid w:val="0092424C"/>
    <w:rsid w:val="009242C2"/>
    <w:rsid w:val="00924764"/>
    <w:rsid w:val="009249B2"/>
    <w:rsid w:val="00924C64"/>
    <w:rsid w:val="00925367"/>
    <w:rsid w:val="00925733"/>
    <w:rsid w:val="00925A19"/>
    <w:rsid w:val="00925DDC"/>
    <w:rsid w:val="00926755"/>
    <w:rsid w:val="00926943"/>
    <w:rsid w:val="00926A08"/>
    <w:rsid w:val="00926A94"/>
    <w:rsid w:val="00926AA0"/>
    <w:rsid w:val="00926BAE"/>
    <w:rsid w:val="00926CC3"/>
    <w:rsid w:val="00926D4F"/>
    <w:rsid w:val="00927033"/>
    <w:rsid w:val="009271A8"/>
    <w:rsid w:val="00927354"/>
    <w:rsid w:val="00927535"/>
    <w:rsid w:val="009275F3"/>
    <w:rsid w:val="00927A47"/>
    <w:rsid w:val="00927D83"/>
    <w:rsid w:val="00927ED8"/>
    <w:rsid w:val="00930133"/>
    <w:rsid w:val="009301F7"/>
    <w:rsid w:val="00930785"/>
    <w:rsid w:val="0093097D"/>
    <w:rsid w:val="009309EB"/>
    <w:rsid w:val="00930F4D"/>
    <w:rsid w:val="0093120D"/>
    <w:rsid w:val="009312A3"/>
    <w:rsid w:val="009316D4"/>
    <w:rsid w:val="00931907"/>
    <w:rsid w:val="00931B1C"/>
    <w:rsid w:val="00931D6C"/>
    <w:rsid w:val="00931E9D"/>
    <w:rsid w:val="009324FB"/>
    <w:rsid w:val="00932773"/>
    <w:rsid w:val="00932BC6"/>
    <w:rsid w:val="00932C5D"/>
    <w:rsid w:val="00932E91"/>
    <w:rsid w:val="0093313B"/>
    <w:rsid w:val="009333AA"/>
    <w:rsid w:val="00933700"/>
    <w:rsid w:val="00933DAD"/>
    <w:rsid w:val="00933EE9"/>
    <w:rsid w:val="00933FCE"/>
    <w:rsid w:val="00934070"/>
    <w:rsid w:val="009343DE"/>
    <w:rsid w:val="00934959"/>
    <w:rsid w:val="009349BE"/>
    <w:rsid w:val="00934A2C"/>
    <w:rsid w:val="00934B18"/>
    <w:rsid w:val="00934B4C"/>
    <w:rsid w:val="00934D16"/>
    <w:rsid w:val="00934DFB"/>
    <w:rsid w:val="00935013"/>
    <w:rsid w:val="0093501B"/>
    <w:rsid w:val="0093507E"/>
    <w:rsid w:val="009353D7"/>
    <w:rsid w:val="00935485"/>
    <w:rsid w:val="009355D3"/>
    <w:rsid w:val="00935949"/>
    <w:rsid w:val="00935BCB"/>
    <w:rsid w:val="00936594"/>
    <w:rsid w:val="009366E0"/>
    <w:rsid w:val="0093685A"/>
    <w:rsid w:val="00936B61"/>
    <w:rsid w:val="00936F64"/>
    <w:rsid w:val="009370F3"/>
    <w:rsid w:val="00937444"/>
    <w:rsid w:val="0093771D"/>
    <w:rsid w:val="00937862"/>
    <w:rsid w:val="00937BCD"/>
    <w:rsid w:val="00940613"/>
    <w:rsid w:val="0094082C"/>
    <w:rsid w:val="00940AFA"/>
    <w:rsid w:val="00940DF6"/>
    <w:rsid w:val="00940F33"/>
    <w:rsid w:val="00940FB2"/>
    <w:rsid w:val="009411A4"/>
    <w:rsid w:val="0094120E"/>
    <w:rsid w:val="009413D3"/>
    <w:rsid w:val="00941659"/>
    <w:rsid w:val="009416EC"/>
    <w:rsid w:val="00941EAA"/>
    <w:rsid w:val="00941EBA"/>
    <w:rsid w:val="00942414"/>
    <w:rsid w:val="009424DA"/>
    <w:rsid w:val="0094275B"/>
    <w:rsid w:val="009429BC"/>
    <w:rsid w:val="00942AD5"/>
    <w:rsid w:val="00942C1C"/>
    <w:rsid w:val="00942EC2"/>
    <w:rsid w:val="009431B7"/>
    <w:rsid w:val="00943552"/>
    <w:rsid w:val="00943D43"/>
    <w:rsid w:val="0094437C"/>
    <w:rsid w:val="0094444C"/>
    <w:rsid w:val="0094464C"/>
    <w:rsid w:val="00944AC4"/>
    <w:rsid w:val="00944C2A"/>
    <w:rsid w:val="00944C59"/>
    <w:rsid w:val="00944F05"/>
    <w:rsid w:val="0094547C"/>
    <w:rsid w:val="00945A2C"/>
    <w:rsid w:val="00945A76"/>
    <w:rsid w:val="00945C70"/>
    <w:rsid w:val="00945C77"/>
    <w:rsid w:val="00945F3A"/>
    <w:rsid w:val="0094696E"/>
    <w:rsid w:val="00946B9A"/>
    <w:rsid w:val="00946EFD"/>
    <w:rsid w:val="00946F18"/>
    <w:rsid w:val="009470BC"/>
    <w:rsid w:val="009475F5"/>
    <w:rsid w:val="009478C0"/>
    <w:rsid w:val="009479ED"/>
    <w:rsid w:val="00947E15"/>
    <w:rsid w:val="009500D7"/>
    <w:rsid w:val="009502A2"/>
    <w:rsid w:val="009503D9"/>
    <w:rsid w:val="009507D3"/>
    <w:rsid w:val="009508AA"/>
    <w:rsid w:val="00950B7F"/>
    <w:rsid w:val="00950E0E"/>
    <w:rsid w:val="00951062"/>
    <w:rsid w:val="00951AE2"/>
    <w:rsid w:val="00951E65"/>
    <w:rsid w:val="0095229E"/>
    <w:rsid w:val="0095245A"/>
    <w:rsid w:val="00952502"/>
    <w:rsid w:val="0095257D"/>
    <w:rsid w:val="0095296A"/>
    <w:rsid w:val="009529DA"/>
    <w:rsid w:val="00952AE7"/>
    <w:rsid w:val="00952BCA"/>
    <w:rsid w:val="00952E64"/>
    <w:rsid w:val="00952EDD"/>
    <w:rsid w:val="00952FD1"/>
    <w:rsid w:val="00952FE3"/>
    <w:rsid w:val="009538B9"/>
    <w:rsid w:val="0095390E"/>
    <w:rsid w:val="00953A76"/>
    <w:rsid w:val="0095411D"/>
    <w:rsid w:val="00954147"/>
    <w:rsid w:val="009542D4"/>
    <w:rsid w:val="009546E1"/>
    <w:rsid w:val="009546F4"/>
    <w:rsid w:val="00954809"/>
    <w:rsid w:val="0095497F"/>
    <w:rsid w:val="00954991"/>
    <w:rsid w:val="00954A67"/>
    <w:rsid w:val="00954DFF"/>
    <w:rsid w:val="009552C9"/>
    <w:rsid w:val="009554B0"/>
    <w:rsid w:val="0095569B"/>
    <w:rsid w:val="009556DC"/>
    <w:rsid w:val="00955960"/>
    <w:rsid w:val="009559BF"/>
    <w:rsid w:val="00955AA1"/>
    <w:rsid w:val="00955E9C"/>
    <w:rsid w:val="00955F89"/>
    <w:rsid w:val="009562F9"/>
    <w:rsid w:val="0095634C"/>
    <w:rsid w:val="009565D1"/>
    <w:rsid w:val="009567A7"/>
    <w:rsid w:val="00956842"/>
    <w:rsid w:val="0095700E"/>
    <w:rsid w:val="00957448"/>
    <w:rsid w:val="0095753F"/>
    <w:rsid w:val="00957674"/>
    <w:rsid w:val="00957E2C"/>
    <w:rsid w:val="00960021"/>
    <w:rsid w:val="00960749"/>
    <w:rsid w:val="00960A27"/>
    <w:rsid w:val="00960AC4"/>
    <w:rsid w:val="00960AF4"/>
    <w:rsid w:val="00960E51"/>
    <w:rsid w:val="00960ECF"/>
    <w:rsid w:val="009610C2"/>
    <w:rsid w:val="00961148"/>
    <w:rsid w:val="00961AAB"/>
    <w:rsid w:val="00961DDF"/>
    <w:rsid w:val="00961F36"/>
    <w:rsid w:val="00962838"/>
    <w:rsid w:val="00962B4C"/>
    <w:rsid w:val="009633F4"/>
    <w:rsid w:val="00963625"/>
    <w:rsid w:val="0096395A"/>
    <w:rsid w:val="00963D2D"/>
    <w:rsid w:val="009642AE"/>
    <w:rsid w:val="0096435F"/>
    <w:rsid w:val="009643C0"/>
    <w:rsid w:val="00964642"/>
    <w:rsid w:val="00964A6F"/>
    <w:rsid w:val="00964B3F"/>
    <w:rsid w:val="00964E61"/>
    <w:rsid w:val="00964FF0"/>
    <w:rsid w:val="0096528E"/>
    <w:rsid w:val="00965364"/>
    <w:rsid w:val="00965692"/>
    <w:rsid w:val="00965A2F"/>
    <w:rsid w:val="00965FF1"/>
    <w:rsid w:val="009661AF"/>
    <w:rsid w:val="0096646F"/>
    <w:rsid w:val="00966665"/>
    <w:rsid w:val="009666D9"/>
    <w:rsid w:val="0096684C"/>
    <w:rsid w:val="00966BE2"/>
    <w:rsid w:val="00966DEB"/>
    <w:rsid w:val="00967024"/>
    <w:rsid w:val="00967045"/>
    <w:rsid w:val="0096706E"/>
    <w:rsid w:val="009673BF"/>
    <w:rsid w:val="00967592"/>
    <w:rsid w:val="009675EE"/>
    <w:rsid w:val="0096763A"/>
    <w:rsid w:val="0096766E"/>
    <w:rsid w:val="00967BDC"/>
    <w:rsid w:val="00967CCC"/>
    <w:rsid w:val="00967DAD"/>
    <w:rsid w:val="00970036"/>
    <w:rsid w:val="0097048E"/>
    <w:rsid w:val="00970B97"/>
    <w:rsid w:val="00971148"/>
    <w:rsid w:val="009712C6"/>
    <w:rsid w:val="00971629"/>
    <w:rsid w:val="00971902"/>
    <w:rsid w:val="009719FA"/>
    <w:rsid w:val="00971ADF"/>
    <w:rsid w:val="00972061"/>
    <w:rsid w:val="0097211D"/>
    <w:rsid w:val="009723AC"/>
    <w:rsid w:val="00972516"/>
    <w:rsid w:val="00972540"/>
    <w:rsid w:val="00972CBA"/>
    <w:rsid w:val="00972E9F"/>
    <w:rsid w:val="00973118"/>
    <w:rsid w:val="009731EE"/>
    <w:rsid w:val="00973BDF"/>
    <w:rsid w:val="00973E7C"/>
    <w:rsid w:val="00974482"/>
    <w:rsid w:val="00974685"/>
    <w:rsid w:val="0097483A"/>
    <w:rsid w:val="00974C38"/>
    <w:rsid w:val="00974CB1"/>
    <w:rsid w:val="00974D7E"/>
    <w:rsid w:val="00974EC9"/>
    <w:rsid w:val="00975034"/>
    <w:rsid w:val="0097516C"/>
    <w:rsid w:val="009753E0"/>
    <w:rsid w:val="0097544B"/>
    <w:rsid w:val="00975C4E"/>
    <w:rsid w:val="00975E4C"/>
    <w:rsid w:val="00975F13"/>
    <w:rsid w:val="009760C3"/>
    <w:rsid w:val="00976430"/>
    <w:rsid w:val="0097656C"/>
    <w:rsid w:val="00976577"/>
    <w:rsid w:val="00976633"/>
    <w:rsid w:val="00976CBA"/>
    <w:rsid w:val="00976F8B"/>
    <w:rsid w:val="009772CA"/>
    <w:rsid w:val="0097742E"/>
    <w:rsid w:val="009778CA"/>
    <w:rsid w:val="00977AE2"/>
    <w:rsid w:val="00977B1C"/>
    <w:rsid w:val="00977B52"/>
    <w:rsid w:val="00977D82"/>
    <w:rsid w:val="00977DB4"/>
    <w:rsid w:val="00977E73"/>
    <w:rsid w:val="00977F70"/>
    <w:rsid w:val="0098038C"/>
    <w:rsid w:val="009805B0"/>
    <w:rsid w:val="009809FF"/>
    <w:rsid w:val="00980B7F"/>
    <w:rsid w:val="00980E04"/>
    <w:rsid w:val="00980EDD"/>
    <w:rsid w:val="00981174"/>
    <w:rsid w:val="0098144F"/>
    <w:rsid w:val="00981873"/>
    <w:rsid w:val="00981E2F"/>
    <w:rsid w:val="00981FBA"/>
    <w:rsid w:val="0098223E"/>
    <w:rsid w:val="0098252F"/>
    <w:rsid w:val="009827F4"/>
    <w:rsid w:val="00982A48"/>
    <w:rsid w:val="00982BBB"/>
    <w:rsid w:val="00982C0F"/>
    <w:rsid w:val="00982D5E"/>
    <w:rsid w:val="00982DA4"/>
    <w:rsid w:val="00984198"/>
    <w:rsid w:val="00984776"/>
    <w:rsid w:val="00984E1B"/>
    <w:rsid w:val="0098519D"/>
    <w:rsid w:val="009853D7"/>
    <w:rsid w:val="009855B9"/>
    <w:rsid w:val="00985879"/>
    <w:rsid w:val="00985B24"/>
    <w:rsid w:val="00985C1C"/>
    <w:rsid w:val="00985C45"/>
    <w:rsid w:val="00986095"/>
    <w:rsid w:val="00986489"/>
    <w:rsid w:val="0098652C"/>
    <w:rsid w:val="009867A2"/>
    <w:rsid w:val="00986BFB"/>
    <w:rsid w:val="00986E88"/>
    <w:rsid w:val="00987846"/>
    <w:rsid w:val="00987964"/>
    <w:rsid w:val="00987AC9"/>
    <w:rsid w:val="00987E41"/>
    <w:rsid w:val="00987F72"/>
    <w:rsid w:val="00990093"/>
    <w:rsid w:val="009901A9"/>
    <w:rsid w:val="0099057A"/>
    <w:rsid w:val="009907F7"/>
    <w:rsid w:val="00990B08"/>
    <w:rsid w:val="00990C85"/>
    <w:rsid w:val="00990CE5"/>
    <w:rsid w:val="00991017"/>
    <w:rsid w:val="0099106A"/>
    <w:rsid w:val="009910E7"/>
    <w:rsid w:val="009913E4"/>
    <w:rsid w:val="00991613"/>
    <w:rsid w:val="00991BFF"/>
    <w:rsid w:val="00991CC6"/>
    <w:rsid w:val="00991EC9"/>
    <w:rsid w:val="00992087"/>
    <w:rsid w:val="009922A2"/>
    <w:rsid w:val="009923C4"/>
    <w:rsid w:val="00992497"/>
    <w:rsid w:val="009927B2"/>
    <w:rsid w:val="009932DD"/>
    <w:rsid w:val="0099354C"/>
    <w:rsid w:val="009937D9"/>
    <w:rsid w:val="00993864"/>
    <w:rsid w:val="0099465A"/>
    <w:rsid w:val="00994A61"/>
    <w:rsid w:val="00994D6E"/>
    <w:rsid w:val="0099503C"/>
    <w:rsid w:val="0099533F"/>
    <w:rsid w:val="009957F8"/>
    <w:rsid w:val="00995985"/>
    <w:rsid w:val="009959C5"/>
    <w:rsid w:val="009959C9"/>
    <w:rsid w:val="00995A4A"/>
    <w:rsid w:val="00995B97"/>
    <w:rsid w:val="00995C0D"/>
    <w:rsid w:val="0099633B"/>
    <w:rsid w:val="00996486"/>
    <w:rsid w:val="00996B8A"/>
    <w:rsid w:val="00997407"/>
    <w:rsid w:val="00997BC5"/>
    <w:rsid w:val="00997E31"/>
    <w:rsid w:val="00997E52"/>
    <w:rsid w:val="00997F87"/>
    <w:rsid w:val="00997FDB"/>
    <w:rsid w:val="009A0323"/>
    <w:rsid w:val="009A03A9"/>
    <w:rsid w:val="009A092B"/>
    <w:rsid w:val="009A11B4"/>
    <w:rsid w:val="009A140A"/>
    <w:rsid w:val="009A18C2"/>
    <w:rsid w:val="009A1ABF"/>
    <w:rsid w:val="009A1B4C"/>
    <w:rsid w:val="009A1C21"/>
    <w:rsid w:val="009A1D44"/>
    <w:rsid w:val="009A1F4D"/>
    <w:rsid w:val="009A22C5"/>
    <w:rsid w:val="009A2539"/>
    <w:rsid w:val="009A25F6"/>
    <w:rsid w:val="009A2749"/>
    <w:rsid w:val="009A2BDD"/>
    <w:rsid w:val="009A2C0D"/>
    <w:rsid w:val="009A2DE2"/>
    <w:rsid w:val="009A30F6"/>
    <w:rsid w:val="009A33E2"/>
    <w:rsid w:val="009A3A00"/>
    <w:rsid w:val="009A3DB8"/>
    <w:rsid w:val="009A4178"/>
    <w:rsid w:val="009A4AD3"/>
    <w:rsid w:val="009A4AE5"/>
    <w:rsid w:val="009A4B37"/>
    <w:rsid w:val="009A4CC9"/>
    <w:rsid w:val="009A4EC8"/>
    <w:rsid w:val="009A4F41"/>
    <w:rsid w:val="009A5295"/>
    <w:rsid w:val="009A56F1"/>
    <w:rsid w:val="009A585B"/>
    <w:rsid w:val="009A591E"/>
    <w:rsid w:val="009A5B34"/>
    <w:rsid w:val="009A5D42"/>
    <w:rsid w:val="009A5DD7"/>
    <w:rsid w:val="009A607F"/>
    <w:rsid w:val="009A6186"/>
    <w:rsid w:val="009A640E"/>
    <w:rsid w:val="009A68FF"/>
    <w:rsid w:val="009A69A0"/>
    <w:rsid w:val="009A6CA2"/>
    <w:rsid w:val="009A72E5"/>
    <w:rsid w:val="009A738A"/>
    <w:rsid w:val="009A75FB"/>
    <w:rsid w:val="009A78E7"/>
    <w:rsid w:val="009A79B7"/>
    <w:rsid w:val="009A7A66"/>
    <w:rsid w:val="009A7DF4"/>
    <w:rsid w:val="009A7FAE"/>
    <w:rsid w:val="009B02F7"/>
    <w:rsid w:val="009B046F"/>
    <w:rsid w:val="009B05A4"/>
    <w:rsid w:val="009B062E"/>
    <w:rsid w:val="009B0C3E"/>
    <w:rsid w:val="009B0C5D"/>
    <w:rsid w:val="009B0CD6"/>
    <w:rsid w:val="009B0D9C"/>
    <w:rsid w:val="009B120B"/>
    <w:rsid w:val="009B13D5"/>
    <w:rsid w:val="009B1688"/>
    <w:rsid w:val="009B1A6B"/>
    <w:rsid w:val="009B1BE0"/>
    <w:rsid w:val="009B1C6F"/>
    <w:rsid w:val="009B2084"/>
    <w:rsid w:val="009B220F"/>
    <w:rsid w:val="009B2454"/>
    <w:rsid w:val="009B2623"/>
    <w:rsid w:val="009B2830"/>
    <w:rsid w:val="009B2B4D"/>
    <w:rsid w:val="009B311A"/>
    <w:rsid w:val="009B3386"/>
    <w:rsid w:val="009B33E4"/>
    <w:rsid w:val="009B342D"/>
    <w:rsid w:val="009B3595"/>
    <w:rsid w:val="009B381A"/>
    <w:rsid w:val="009B381B"/>
    <w:rsid w:val="009B3B35"/>
    <w:rsid w:val="009B3B7F"/>
    <w:rsid w:val="009B3C9E"/>
    <w:rsid w:val="009B401D"/>
    <w:rsid w:val="009B4027"/>
    <w:rsid w:val="009B4626"/>
    <w:rsid w:val="009B4685"/>
    <w:rsid w:val="009B47F9"/>
    <w:rsid w:val="009B4994"/>
    <w:rsid w:val="009B4CA0"/>
    <w:rsid w:val="009B4EDE"/>
    <w:rsid w:val="009B4FCE"/>
    <w:rsid w:val="009B50A1"/>
    <w:rsid w:val="009B52CE"/>
    <w:rsid w:val="009B5398"/>
    <w:rsid w:val="009B53F0"/>
    <w:rsid w:val="009B56B9"/>
    <w:rsid w:val="009B5B35"/>
    <w:rsid w:val="009B5EF1"/>
    <w:rsid w:val="009B6281"/>
    <w:rsid w:val="009B62CA"/>
    <w:rsid w:val="009B6461"/>
    <w:rsid w:val="009B6585"/>
    <w:rsid w:val="009B67B0"/>
    <w:rsid w:val="009B6919"/>
    <w:rsid w:val="009B6C83"/>
    <w:rsid w:val="009B70DE"/>
    <w:rsid w:val="009B7119"/>
    <w:rsid w:val="009B7333"/>
    <w:rsid w:val="009B7765"/>
    <w:rsid w:val="009B7C38"/>
    <w:rsid w:val="009B7C50"/>
    <w:rsid w:val="009B7D05"/>
    <w:rsid w:val="009B7D9B"/>
    <w:rsid w:val="009C04E8"/>
    <w:rsid w:val="009C0618"/>
    <w:rsid w:val="009C0C08"/>
    <w:rsid w:val="009C0C46"/>
    <w:rsid w:val="009C0C6C"/>
    <w:rsid w:val="009C121B"/>
    <w:rsid w:val="009C15E1"/>
    <w:rsid w:val="009C1664"/>
    <w:rsid w:val="009C176D"/>
    <w:rsid w:val="009C1821"/>
    <w:rsid w:val="009C1890"/>
    <w:rsid w:val="009C1C1B"/>
    <w:rsid w:val="009C1DAB"/>
    <w:rsid w:val="009C22AA"/>
    <w:rsid w:val="009C23AE"/>
    <w:rsid w:val="009C23B6"/>
    <w:rsid w:val="009C244A"/>
    <w:rsid w:val="009C2C3F"/>
    <w:rsid w:val="009C2D00"/>
    <w:rsid w:val="009C339C"/>
    <w:rsid w:val="009C3511"/>
    <w:rsid w:val="009C3942"/>
    <w:rsid w:val="009C3BA8"/>
    <w:rsid w:val="009C3C33"/>
    <w:rsid w:val="009C3C4B"/>
    <w:rsid w:val="009C3CC1"/>
    <w:rsid w:val="009C3D85"/>
    <w:rsid w:val="009C44EC"/>
    <w:rsid w:val="009C46B8"/>
    <w:rsid w:val="009C475A"/>
    <w:rsid w:val="009C48CD"/>
    <w:rsid w:val="009C494E"/>
    <w:rsid w:val="009C4C5F"/>
    <w:rsid w:val="009C4D2F"/>
    <w:rsid w:val="009C54CA"/>
    <w:rsid w:val="009C600C"/>
    <w:rsid w:val="009C60C5"/>
    <w:rsid w:val="009C61BB"/>
    <w:rsid w:val="009C6760"/>
    <w:rsid w:val="009C6A0D"/>
    <w:rsid w:val="009C6B63"/>
    <w:rsid w:val="009C6F5F"/>
    <w:rsid w:val="009C7131"/>
    <w:rsid w:val="009C72C8"/>
    <w:rsid w:val="009C74A3"/>
    <w:rsid w:val="009C777D"/>
    <w:rsid w:val="009C7859"/>
    <w:rsid w:val="009C7AEB"/>
    <w:rsid w:val="009C7BAA"/>
    <w:rsid w:val="009C7D64"/>
    <w:rsid w:val="009C7EA2"/>
    <w:rsid w:val="009C7F63"/>
    <w:rsid w:val="009C7FE4"/>
    <w:rsid w:val="009D037E"/>
    <w:rsid w:val="009D08CE"/>
    <w:rsid w:val="009D09B1"/>
    <w:rsid w:val="009D0FBA"/>
    <w:rsid w:val="009D15D2"/>
    <w:rsid w:val="009D181B"/>
    <w:rsid w:val="009D1822"/>
    <w:rsid w:val="009D1A08"/>
    <w:rsid w:val="009D1A38"/>
    <w:rsid w:val="009D1B77"/>
    <w:rsid w:val="009D21A7"/>
    <w:rsid w:val="009D230B"/>
    <w:rsid w:val="009D260E"/>
    <w:rsid w:val="009D2752"/>
    <w:rsid w:val="009D2B3D"/>
    <w:rsid w:val="009D2C16"/>
    <w:rsid w:val="009D2ECA"/>
    <w:rsid w:val="009D3020"/>
    <w:rsid w:val="009D33B2"/>
    <w:rsid w:val="009D33F5"/>
    <w:rsid w:val="009D3685"/>
    <w:rsid w:val="009D38F1"/>
    <w:rsid w:val="009D38F5"/>
    <w:rsid w:val="009D3A41"/>
    <w:rsid w:val="009D3EF3"/>
    <w:rsid w:val="009D42E6"/>
    <w:rsid w:val="009D5733"/>
    <w:rsid w:val="009D5770"/>
    <w:rsid w:val="009D57B4"/>
    <w:rsid w:val="009D5963"/>
    <w:rsid w:val="009D59B9"/>
    <w:rsid w:val="009D5F2C"/>
    <w:rsid w:val="009D5F93"/>
    <w:rsid w:val="009D60B5"/>
    <w:rsid w:val="009D6140"/>
    <w:rsid w:val="009D620B"/>
    <w:rsid w:val="009D6CFD"/>
    <w:rsid w:val="009D6D2F"/>
    <w:rsid w:val="009D6E78"/>
    <w:rsid w:val="009D74D7"/>
    <w:rsid w:val="009D7611"/>
    <w:rsid w:val="009D767A"/>
    <w:rsid w:val="009D7969"/>
    <w:rsid w:val="009D7C1A"/>
    <w:rsid w:val="009D7CFD"/>
    <w:rsid w:val="009E0289"/>
    <w:rsid w:val="009E05E3"/>
    <w:rsid w:val="009E0B61"/>
    <w:rsid w:val="009E0B84"/>
    <w:rsid w:val="009E0C30"/>
    <w:rsid w:val="009E11CC"/>
    <w:rsid w:val="009E12CB"/>
    <w:rsid w:val="009E12D8"/>
    <w:rsid w:val="009E13FC"/>
    <w:rsid w:val="009E1402"/>
    <w:rsid w:val="009E1BAF"/>
    <w:rsid w:val="009E1D92"/>
    <w:rsid w:val="009E21ED"/>
    <w:rsid w:val="009E26D8"/>
    <w:rsid w:val="009E273A"/>
    <w:rsid w:val="009E2826"/>
    <w:rsid w:val="009E2F48"/>
    <w:rsid w:val="009E3012"/>
    <w:rsid w:val="009E32CC"/>
    <w:rsid w:val="009E3B6A"/>
    <w:rsid w:val="009E3D1E"/>
    <w:rsid w:val="009E4117"/>
    <w:rsid w:val="009E45CB"/>
    <w:rsid w:val="009E4975"/>
    <w:rsid w:val="009E4D84"/>
    <w:rsid w:val="009E4E45"/>
    <w:rsid w:val="009E4E91"/>
    <w:rsid w:val="009E50CA"/>
    <w:rsid w:val="009E53DE"/>
    <w:rsid w:val="009E5525"/>
    <w:rsid w:val="009E5577"/>
    <w:rsid w:val="009E55C9"/>
    <w:rsid w:val="009E58B4"/>
    <w:rsid w:val="009E5B0C"/>
    <w:rsid w:val="009E5B13"/>
    <w:rsid w:val="009E5B14"/>
    <w:rsid w:val="009E5DD1"/>
    <w:rsid w:val="009E5E52"/>
    <w:rsid w:val="009E5FE1"/>
    <w:rsid w:val="009E61C0"/>
    <w:rsid w:val="009E63A1"/>
    <w:rsid w:val="009E6937"/>
    <w:rsid w:val="009E695C"/>
    <w:rsid w:val="009E6AB4"/>
    <w:rsid w:val="009E6C3E"/>
    <w:rsid w:val="009E6CC1"/>
    <w:rsid w:val="009E6D6F"/>
    <w:rsid w:val="009E761F"/>
    <w:rsid w:val="009E79F2"/>
    <w:rsid w:val="009E7C0B"/>
    <w:rsid w:val="009E7DC4"/>
    <w:rsid w:val="009E7E3B"/>
    <w:rsid w:val="009F0505"/>
    <w:rsid w:val="009F0941"/>
    <w:rsid w:val="009F0DD7"/>
    <w:rsid w:val="009F0ED2"/>
    <w:rsid w:val="009F0F41"/>
    <w:rsid w:val="009F1026"/>
    <w:rsid w:val="009F12D3"/>
    <w:rsid w:val="009F156C"/>
    <w:rsid w:val="009F1747"/>
    <w:rsid w:val="009F18AC"/>
    <w:rsid w:val="009F19B5"/>
    <w:rsid w:val="009F1D4D"/>
    <w:rsid w:val="009F2017"/>
    <w:rsid w:val="009F20B0"/>
    <w:rsid w:val="009F2659"/>
    <w:rsid w:val="009F2AF7"/>
    <w:rsid w:val="009F2EF7"/>
    <w:rsid w:val="009F3075"/>
    <w:rsid w:val="009F32AE"/>
    <w:rsid w:val="009F32C6"/>
    <w:rsid w:val="009F33BF"/>
    <w:rsid w:val="009F38F6"/>
    <w:rsid w:val="009F3CAF"/>
    <w:rsid w:val="009F40AE"/>
    <w:rsid w:val="009F4735"/>
    <w:rsid w:val="009F476B"/>
    <w:rsid w:val="009F4EFC"/>
    <w:rsid w:val="009F50F4"/>
    <w:rsid w:val="009F51B6"/>
    <w:rsid w:val="009F5402"/>
    <w:rsid w:val="009F552D"/>
    <w:rsid w:val="009F564E"/>
    <w:rsid w:val="009F59B8"/>
    <w:rsid w:val="009F5AF5"/>
    <w:rsid w:val="009F5DAF"/>
    <w:rsid w:val="009F6313"/>
    <w:rsid w:val="009F63BF"/>
    <w:rsid w:val="009F6409"/>
    <w:rsid w:val="009F6745"/>
    <w:rsid w:val="009F6C1A"/>
    <w:rsid w:val="009F6CA0"/>
    <w:rsid w:val="009F6CD8"/>
    <w:rsid w:val="009F72BB"/>
    <w:rsid w:val="009F73E1"/>
    <w:rsid w:val="009F7549"/>
    <w:rsid w:val="009F7C21"/>
    <w:rsid w:val="009F7DCB"/>
    <w:rsid w:val="00A00055"/>
    <w:rsid w:val="00A00144"/>
    <w:rsid w:val="00A0073D"/>
    <w:rsid w:val="00A00B69"/>
    <w:rsid w:val="00A00BFD"/>
    <w:rsid w:val="00A0131C"/>
    <w:rsid w:val="00A016E4"/>
    <w:rsid w:val="00A01C60"/>
    <w:rsid w:val="00A01C70"/>
    <w:rsid w:val="00A01D16"/>
    <w:rsid w:val="00A01D5D"/>
    <w:rsid w:val="00A01DF3"/>
    <w:rsid w:val="00A01E78"/>
    <w:rsid w:val="00A01ED8"/>
    <w:rsid w:val="00A025AC"/>
    <w:rsid w:val="00A02652"/>
    <w:rsid w:val="00A02673"/>
    <w:rsid w:val="00A027FA"/>
    <w:rsid w:val="00A028A8"/>
    <w:rsid w:val="00A0293C"/>
    <w:rsid w:val="00A02A12"/>
    <w:rsid w:val="00A02A69"/>
    <w:rsid w:val="00A02BDB"/>
    <w:rsid w:val="00A03143"/>
    <w:rsid w:val="00A0334E"/>
    <w:rsid w:val="00A033C9"/>
    <w:rsid w:val="00A033DA"/>
    <w:rsid w:val="00A037F6"/>
    <w:rsid w:val="00A03D45"/>
    <w:rsid w:val="00A044AF"/>
    <w:rsid w:val="00A04A60"/>
    <w:rsid w:val="00A04AD4"/>
    <w:rsid w:val="00A04AF7"/>
    <w:rsid w:val="00A04CFC"/>
    <w:rsid w:val="00A05269"/>
    <w:rsid w:val="00A052AC"/>
    <w:rsid w:val="00A05477"/>
    <w:rsid w:val="00A05922"/>
    <w:rsid w:val="00A05A90"/>
    <w:rsid w:val="00A05B93"/>
    <w:rsid w:val="00A06120"/>
    <w:rsid w:val="00A0623D"/>
    <w:rsid w:val="00A06467"/>
    <w:rsid w:val="00A0692F"/>
    <w:rsid w:val="00A06E28"/>
    <w:rsid w:val="00A07017"/>
    <w:rsid w:val="00A070F3"/>
    <w:rsid w:val="00A071F0"/>
    <w:rsid w:val="00A072D4"/>
    <w:rsid w:val="00A07707"/>
    <w:rsid w:val="00A07AD8"/>
    <w:rsid w:val="00A07AF5"/>
    <w:rsid w:val="00A07C4A"/>
    <w:rsid w:val="00A07E5F"/>
    <w:rsid w:val="00A104DF"/>
    <w:rsid w:val="00A10A00"/>
    <w:rsid w:val="00A10B59"/>
    <w:rsid w:val="00A10BE2"/>
    <w:rsid w:val="00A10E6B"/>
    <w:rsid w:val="00A10ED4"/>
    <w:rsid w:val="00A10F16"/>
    <w:rsid w:val="00A10FA5"/>
    <w:rsid w:val="00A1139E"/>
    <w:rsid w:val="00A11505"/>
    <w:rsid w:val="00A115B1"/>
    <w:rsid w:val="00A1170C"/>
    <w:rsid w:val="00A117B7"/>
    <w:rsid w:val="00A11AE1"/>
    <w:rsid w:val="00A11E23"/>
    <w:rsid w:val="00A11FFA"/>
    <w:rsid w:val="00A12152"/>
    <w:rsid w:val="00A12768"/>
    <w:rsid w:val="00A12867"/>
    <w:rsid w:val="00A129D6"/>
    <w:rsid w:val="00A129F4"/>
    <w:rsid w:val="00A12DA6"/>
    <w:rsid w:val="00A12F23"/>
    <w:rsid w:val="00A13103"/>
    <w:rsid w:val="00A1346B"/>
    <w:rsid w:val="00A13654"/>
    <w:rsid w:val="00A1380F"/>
    <w:rsid w:val="00A1385C"/>
    <w:rsid w:val="00A13900"/>
    <w:rsid w:val="00A13976"/>
    <w:rsid w:val="00A139B1"/>
    <w:rsid w:val="00A13D36"/>
    <w:rsid w:val="00A13DD1"/>
    <w:rsid w:val="00A14ABF"/>
    <w:rsid w:val="00A154C3"/>
    <w:rsid w:val="00A15569"/>
    <w:rsid w:val="00A15A90"/>
    <w:rsid w:val="00A15BCA"/>
    <w:rsid w:val="00A15D6A"/>
    <w:rsid w:val="00A160DA"/>
    <w:rsid w:val="00A1622F"/>
    <w:rsid w:val="00A16A61"/>
    <w:rsid w:val="00A16B1B"/>
    <w:rsid w:val="00A16D37"/>
    <w:rsid w:val="00A17003"/>
    <w:rsid w:val="00A17157"/>
    <w:rsid w:val="00A173EC"/>
    <w:rsid w:val="00A17588"/>
    <w:rsid w:val="00A17685"/>
    <w:rsid w:val="00A1783E"/>
    <w:rsid w:val="00A17852"/>
    <w:rsid w:val="00A178DD"/>
    <w:rsid w:val="00A17EC0"/>
    <w:rsid w:val="00A20048"/>
    <w:rsid w:val="00A20353"/>
    <w:rsid w:val="00A20425"/>
    <w:rsid w:val="00A20460"/>
    <w:rsid w:val="00A20A63"/>
    <w:rsid w:val="00A20DBC"/>
    <w:rsid w:val="00A2145C"/>
    <w:rsid w:val="00A21721"/>
    <w:rsid w:val="00A219A8"/>
    <w:rsid w:val="00A21A95"/>
    <w:rsid w:val="00A21B9A"/>
    <w:rsid w:val="00A221A0"/>
    <w:rsid w:val="00A2220D"/>
    <w:rsid w:val="00A2234D"/>
    <w:rsid w:val="00A23138"/>
    <w:rsid w:val="00A2319A"/>
    <w:rsid w:val="00A231BB"/>
    <w:rsid w:val="00A231C0"/>
    <w:rsid w:val="00A235A8"/>
    <w:rsid w:val="00A2376D"/>
    <w:rsid w:val="00A2380B"/>
    <w:rsid w:val="00A23D7A"/>
    <w:rsid w:val="00A23FFF"/>
    <w:rsid w:val="00A24010"/>
    <w:rsid w:val="00A24083"/>
    <w:rsid w:val="00A24527"/>
    <w:rsid w:val="00A24798"/>
    <w:rsid w:val="00A24801"/>
    <w:rsid w:val="00A2492C"/>
    <w:rsid w:val="00A24E43"/>
    <w:rsid w:val="00A24E67"/>
    <w:rsid w:val="00A24F19"/>
    <w:rsid w:val="00A2510D"/>
    <w:rsid w:val="00A25182"/>
    <w:rsid w:val="00A25228"/>
    <w:rsid w:val="00A253D7"/>
    <w:rsid w:val="00A2546A"/>
    <w:rsid w:val="00A2547A"/>
    <w:rsid w:val="00A254D2"/>
    <w:rsid w:val="00A2556A"/>
    <w:rsid w:val="00A2561A"/>
    <w:rsid w:val="00A25621"/>
    <w:rsid w:val="00A2572D"/>
    <w:rsid w:val="00A25B0A"/>
    <w:rsid w:val="00A25B6D"/>
    <w:rsid w:val="00A25E38"/>
    <w:rsid w:val="00A25E3F"/>
    <w:rsid w:val="00A262AF"/>
    <w:rsid w:val="00A263B0"/>
    <w:rsid w:val="00A2643F"/>
    <w:rsid w:val="00A26639"/>
    <w:rsid w:val="00A26681"/>
    <w:rsid w:val="00A26A9F"/>
    <w:rsid w:val="00A26C11"/>
    <w:rsid w:val="00A26F8A"/>
    <w:rsid w:val="00A27205"/>
    <w:rsid w:val="00A2742D"/>
    <w:rsid w:val="00A275D7"/>
    <w:rsid w:val="00A27675"/>
    <w:rsid w:val="00A27C34"/>
    <w:rsid w:val="00A27D56"/>
    <w:rsid w:val="00A27D5F"/>
    <w:rsid w:val="00A30211"/>
    <w:rsid w:val="00A3090A"/>
    <w:rsid w:val="00A30A66"/>
    <w:rsid w:val="00A30DA9"/>
    <w:rsid w:val="00A311B8"/>
    <w:rsid w:val="00A31632"/>
    <w:rsid w:val="00A317DD"/>
    <w:rsid w:val="00A32032"/>
    <w:rsid w:val="00A3207B"/>
    <w:rsid w:val="00A320D6"/>
    <w:rsid w:val="00A322CA"/>
    <w:rsid w:val="00A3259F"/>
    <w:rsid w:val="00A328B3"/>
    <w:rsid w:val="00A329E8"/>
    <w:rsid w:val="00A32BAF"/>
    <w:rsid w:val="00A32F4A"/>
    <w:rsid w:val="00A33604"/>
    <w:rsid w:val="00A33976"/>
    <w:rsid w:val="00A339A3"/>
    <w:rsid w:val="00A33BB5"/>
    <w:rsid w:val="00A33CDB"/>
    <w:rsid w:val="00A33F2C"/>
    <w:rsid w:val="00A33F57"/>
    <w:rsid w:val="00A34040"/>
    <w:rsid w:val="00A340AF"/>
    <w:rsid w:val="00A344B3"/>
    <w:rsid w:val="00A34625"/>
    <w:rsid w:val="00A34A7E"/>
    <w:rsid w:val="00A34F37"/>
    <w:rsid w:val="00A3515F"/>
    <w:rsid w:val="00A356AE"/>
    <w:rsid w:val="00A3575D"/>
    <w:rsid w:val="00A357AB"/>
    <w:rsid w:val="00A357FF"/>
    <w:rsid w:val="00A359A7"/>
    <w:rsid w:val="00A35CBB"/>
    <w:rsid w:val="00A35CE3"/>
    <w:rsid w:val="00A35E49"/>
    <w:rsid w:val="00A3607C"/>
    <w:rsid w:val="00A36098"/>
    <w:rsid w:val="00A360C8"/>
    <w:rsid w:val="00A36165"/>
    <w:rsid w:val="00A36354"/>
    <w:rsid w:val="00A363BD"/>
    <w:rsid w:val="00A366C8"/>
    <w:rsid w:val="00A36B39"/>
    <w:rsid w:val="00A36B9D"/>
    <w:rsid w:val="00A36D42"/>
    <w:rsid w:val="00A37440"/>
    <w:rsid w:val="00A3756B"/>
    <w:rsid w:val="00A3760F"/>
    <w:rsid w:val="00A3764A"/>
    <w:rsid w:val="00A376DC"/>
    <w:rsid w:val="00A379F0"/>
    <w:rsid w:val="00A379F5"/>
    <w:rsid w:val="00A405E8"/>
    <w:rsid w:val="00A40EE9"/>
    <w:rsid w:val="00A40F16"/>
    <w:rsid w:val="00A411BD"/>
    <w:rsid w:val="00A4193D"/>
    <w:rsid w:val="00A41959"/>
    <w:rsid w:val="00A4206A"/>
    <w:rsid w:val="00A420E9"/>
    <w:rsid w:val="00A42259"/>
    <w:rsid w:val="00A426BF"/>
    <w:rsid w:val="00A427A2"/>
    <w:rsid w:val="00A4297C"/>
    <w:rsid w:val="00A42CF6"/>
    <w:rsid w:val="00A42D88"/>
    <w:rsid w:val="00A42E32"/>
    <w:rsid w:val="00A42F03"/>
    <w:rsid w:val="00A430F9"/>
    <w:rsid w:val="00A43282"/>
    <w:rsid w:val="00A43286"/>
    <w:rsid w:val="00A43685"/>
    <w:rsid w:val="00A43843"/>
    <w:rsid w:val="00A439A9"/>
    <w:rsid w:val="00A43D5D"/>
    <w:rsid w:val="00A44165"/>
    <w:rsid w:val="00A44265"/>
    <w:rsid w:val="00A443E5"/>
    <w:rsid w:val="00A44446"/>
    <w:rsid w:val="00A4449E"/>
    <w:rsid w:val="00A44586"/>
    <w:rsid w:val="00A44BD8"/>
    <w:rsid w:val="00A44E84"/>
    <w:rsid w:val="00A44EAD"/>
    <w:rsid w:val="00A44ED3"/>
    <w:rsid w:val="00A456BE"/>
    <w:rsid w:val="00A4583D"/>
    <w:rsid w:val="00A458BB"/>
    <w:rsid w:val="00A45C15"/>
    <w:rsid w:val="00A45D58"/>
    <w:rsid w:val="00A46904"/>
    <w:rsid w:val="00A46B7B"/>
    <w:rsid w:val="00A46BA2"/>
    <w:rsid w:val="00A46C4D"/>
    <w:rsid w:val="00A46F61"/>
    <w:rsid w:val="00A46FDF"/>
    <w:rsid w:val="00A47090"/>
    <w:rsid w:val="00A4737C"/>
    <w:rsid w:val="00A477D3"/>
    <w:rsid w:val="00A47911"/>
    <w:rsid w:val="00A47F9F"/>
    <w:rsid w:val="00A503DE"/>
    <w:rsid w:val="00A508E5"/>
    <w:rsid w:val="00A509E2"/>
    <w:rsid w:val="00A50B61"/>
    <w:rsid w:val="00A50B7B"/>
    <w:rsid w:val="00A50D2D"/>
    <w:rsid w:val="00A50F2F"/>
    <w:rsid w:val="00A50FA3"/>
    <w:rsid w:val="00A50FCF"/>
    <w:rsid w:val="00A512A5"/>
    <w:rsid w:val="00A51744"/>
    <w:rsid w:val="00A517B4"/>
    <w:rsid w:val="00A51B1B"/>
    <w:rsid w:val="00A51E46"/>
    <w:rsid w:val="00A52457"/>
    <w:rsid w:val="00A528D1"/>
    <w:rsid w:val="00A52C7A"/>
    <w:rsid w:val="00A52D26"/>
    <w:rsid w:val="00A52D34"/>
    <w:rsid w:val="00A52D6B"/>
    <w:rsid w:val="00A531DA"/>
    <w:rsid w:val="00A5335B"/>
    <w:rsid w:val="00A5337B"/>
    <w:rsid w:val="00A53982"/>
    <w:rsid w:val="00A53D16"/>
    <w:rsid w:val="00A54597"/>
    <w:rsid w:val="00A54861"/>
    <w:rsid w:val="00A54AB9"/>
    <w:rsid w:val="00A550B7"/>
    <w:rsid w:val="00A551AD"/>
    <w:rsid w:val="00A55219"/>
    <w:rsid w:val="00A55B8D"/>
    <w:rsid w:val="00A55C7B"/>
    <w:rsid w:val="00A55EEF"/>
    <w:rsid w:val="00A55FD1"/>
    <w:rsid w:val="00A5642C"/>
    <w:rsid w:val="00A56499"/>
    <w:rsid w:val="00A564DC"/>
    <w:rsid w:val="00A56556"/>
    <w:rsid w:val="00A565AC"/>
    <w:rsid w:val="00A565B7"/>
    <w:rsid w:val="00A57053"/>
    <w:rsid w:val="00A57629"/>
    <w:rsid w:val="00A578E6"/>
    <w:rsid w:val="00A57B49"/>
    <w:rsid w:val="00A57E57"/>
    <w:rsid w:val="00A57F82"/>
    <w:rsid w:val="00A60070"/>
    <w:rsid w:val="00A600BE"/>
    <w:rsid w:val="00A60469"/>
    <w:rsid w:val="00A60593"/>
    <w:rsid w:val="00A60715"/>
    <w:rsid w:val="00A60DF4"/>
    <w:rsid w:val="00A610CD"/>
    <w:rsid w:val="00A615B0"/>
    <w:rsid w:val="00A61884"/>
    <w:rsid w:val="00A61F90"/>
    <w:rsid w:val="00A62016"/>
    <w:rsid w:val="00A62098"/>
    <w:rsid w:val="00A6209A"/>
    <w:rsid w:val="00A62487"/>
    <w:rsid w:val="00A627D2"/>
    <w:rsid w:val="00A627DA"/>
    <w:rsid w:val="00A628DA"/>
    <w:rsid w:val="00A62B85"/>
    <w:rsid w:val="00A62C2D"/>
    <w:rsid w:val="00A62CF1"/>
    <w:rsid w:val="00A62D2B"/>
    <w:rsid w:val="00A63437"/>
    <w:rsid w:val="00A635E2"/>
    <w:rsid w:val="00A637C7"/>
    <w:rsid w:val="00A63A78"/>
    <w:rsid w:val="00A640EF"/>
    <w:rsid w:val="00A6411A"/>
    <w:rsid w:val="00A64818"/>
    <w:rsid w:val="00A64923"/>
    <w:rsid w:val="00A64A93"/>
    <w:rsid w:val="00A64B60"/>
    <w:rsid w:val="00A64E62"/>
    <w:rsid w:val="00A65066"/>
    <w:rsid w:val="00A65410"/>
    <w:rsid w:val="00A65569"/>
    <w:rsid w:val="00A65638"/>
    <w:rsid w:val="00A65662"/>
    <w:rsid w:val="00A65830"/>
    <w:rsid w:val="00A658E1"/>
    <w:rsid w:val="00A65954"/>
    <w:rsid w:val="00A65AC3"/>
    <w:rsid w:val="00A65ACB"/>
    <w:rsid w:val="00A65CC1"/>
    <w:rsid w:val="00A65FB0"/>
    <w:rsid w:val="00A66084"/>
    <w:rsid w:val="00A66363"/>
    <w:rsid w:val="00A66490"/>
    <w:rsid w:val="00A666C4"/>
    <w:rsid w:val="00A66DBA"/>
    <w:rsid w:val="00A67020"/>
    <w:rsid w:val="00A6723A"/>
    <w:rsid w:val="00A673A8"/>
    <w:rsid w:val="00A678A1"/>
    <w:rsid w:val="00A678CE"/>
    <w:rsid w:val="00A6797B"/>
    <w:rsid w:val="00A679A7"/>
    <w:rsid w:val="00A67C6B"/>
    <w:rsid w:val="00A67FD8"/>
    <w:rsid w:val="00A7030D"/>
    <w:rsid w:val="00A7105A"/>
    <w:rsid w:val="00A713B5"/>
    <w:rsid w:val="00A71400"/>
    <w:rsid w:val="00A714AB"/>
    <w:rsid w:val="00A7190E"/>
    <w:rsid w:val="00A71B46"/>
    <w:rsid w:val="00A71B59"/>
    <w:rsid w:val="00A72174"/>
    <w:rsid w:val="00A7230A"/>
    <w:rsid w:val="00A72957"/>
    <w:rsid w:val="00A729D1"/>
    <w:rsid w:val="00A72E2D"/>
    <w:rsid w:val="00A72EDD"/>
    <w:rsid w:val="00A731BF"/>
    <w:rsid w:val="00A73269"/>
    <w:rsid w:val="00A73892"/>
    <w:rsid w:val="00A73A7C"/>
    <w:rsid w:val="00A73B2E"/>
    <w:rsid w:val="00A73B7E"/>
    <w:rsid w:val="00A7401D"/>
    <w:rsid w:val="00A7407B"/>
    <w:rsid w:val="00A7408E"/>
    <w:rsid w:val="00A740B9"/>
    <w:rsid w:val="00A74A27"/>
    <w:rsid w:val="00A74AA1"/>
    <w:rsid w:val="00A74C97"/>
    <w:rsid w:val="00A757F2"/>
    <w:rsid w:val="00A75A9C"/>
    <w:rsid w:val="00A75B29"/>
    <w:rsid w:val="00A76046"/>
    <w:rsid w:val="00A76263"/>
    <w:rsid w:val="00A76DB5"/>
    <w:rsid w:val="00A77001"/>
    <w:rsid w:val="00A77801"/>
    <w:rsid w:val="00A77C7A"/>
    <w:rsid w:val="00A77E21"/>
    <w:rsid w:val="00A80672"/>
    <w:rsid w:val="00A807F2"/>
    <w:rsid w:val="00A80A6B"/>
    <w:rsid w:val="00A80D36"/>
    <w:rsid w:val="00A80E92"/>
    <w:rsid w:val="00A81008"/>
    <w:rsid w:val="00A814EE"/>
    <w:rsid w:val="00A81617"/>
    <w:rsid w:val="00A8166D"/>
    <w:rsid w:val="00A817B6"/>
    <w:rsid w:val="00A81A2C"/>
    <w:rsid w:val="00A81D4D"/>
    <w:rsid w:val="00A81DE1"/>
    <w:rsid w:val="00A81E6D"/>
    <w:rsid w:val="00A81E88"/>
    <w:rsid w:val="00A82364"/>
    <w:rsid w:val="00A8239B"/>
    <w:rsid w:val="00A82517"/>
    <w:rsid w:val="00A825A1"/>
    <w:rsid w:val="00A82EA7"/>
    <w:rsid w:val="00A831E4"/>
    <w:rsid w:val="00A83678"/>
    <w:rsid w:val="00A837F7"/>
    <w:rsid w:val="00A8380C"/>
    <w:rsid w:val="00A83D29"/>
    <w:rsid w:val="00A83D2C"/>
    <w:rsid w:val="00A83F22"/>
    <w:rsid w:val="00A84096"/>
    <w:rsid w:val="00A8423F"/>
    <w:rsid w:val="00A842A0"/>
    <w:rsid w:val="00A84314"/>
    <w:rsid w:val="00A84403"/>
    <w:rsid w:val="00A84477"/>
    <w:rsid w:val="00A8492D"/>
    <w:rsid w:val="00A849C5"/>
    <w:rsid w:val="00A84A29"/>
    <w:rsid w:val="00A84D3B"/>
    <w:rsid w:val="00A84EEE"/>
    <w:rsid w:val="00A8532D"/>
    <w:rsid w:val="00A85477"/>
    <w:rsid w:val="00A8571D"/>
    <w:rsid w:val="00A859F8"/>
    <w:rsid w:val="00A85C23"/>
    <w:rsid w:val="00A85E23"/>
    <w:rsid w:val="00A85F99"/>
    <w:rsid w:val="00A862F8"/>
    <w:rsid w:val="00A866D0"/>
    <w:rsid w:val="00A86937"/>
    <w:rsid w:val="00A86C0A"/>
    <w:rsid w:val="00A86D00"/>
    <w:rsid w:val="00A86E5B"/>
    <w:rsid w:val="00A86F06"/>
    <w:rsid w:val="00A8707F"/>
    <w:rsid w:val="00A87156"/>
    <w:rsid w:val="00A87157"/>
    <w:rsid w:val="00A87570"/>
    <w:rsid w:val="00A8761A"/>
    <w:rsid w:val="00A87819"/>
    <w:rsid w:val="00A87877"/>
    <w:rsid w:val="00A90034"/>
    <w:rsid w:val="00A9097D"/>
    <w:rsid w:val="00A90A31"/>
    <w:rsid w:val="00A90B35"/>
    <w:rsid w:val="00A912E1"/>
    <w:rsid w:val="00A91484"/>
    <w:rsid w:val="00A918C1"/>
    <w:rsid w:val="00A9258C"/>
    <w:rsid w:val="00A92B2D"/>
    <w:rsid w:val="00A92D19"/>
    <w:rsid w:val="00A92E97"/>
    <w:rsid w:val="00A93138"/>
    <w:rsid w:val="00A93522"/>
    <w:rsid w:val="00A9366F"/>
    <w:rsid w:val="00A93F13"/>
    <w:rsid w:val="00A94080"/>
    <w:rsid w:val="00A9421E"/>
    <w:rsid w:val="00A94E0E"/>
    <w:rsid w:val="00A94E9F"/>
    <w:rsid w:val="00A94F3C"/>
    <w:rsid w:val="00A950BC"/>
    <w:rsid w:val="00A9538F"/>
    <w:rsid w:val="00A953BF"/>
    <w:rsid w:val="00A95457"/>
    <w:rsid w:val="00A95535"/>
    <w:rsid w:val="00A95679"/>
    <w:rsid w:val="00A95835"/>
    <w:rsid w:val="00A95C36"/>
    <w:rsid w:val="00A95C6E"/>
    <w:rsid w:val="00A95CBB"/>
    <w:rsid w:val="00A95CF3"/>
    <w:rsid w:val="00A96001"/>
    <w:rsid w:val="00A970C5"/>
    <w:rsid w:val="00A972D1"/>
    <w:rsid w:val="00A978BF"/>
    <w:rsid w:val="00A97B33"/>
    <w:rsid w:val="00A97BA9"/>
    <w:rsid w:val="00A97FB6"/>
    <w:rsid w:val="00AA027F"/>
    <w:rsid w:val="00AA048A"/>
    <w:rsid w:val="00AA04A2"/>
    <w:rsid w:val="00AA0751"/>
    <w:rsid w:val="00AA087A"/>
    <w:rsid w:val="00AA09A2"/>
    <w:rsid w:val="00AA09AD"/>
    <w:rsid w:val="00AA09B7"/>
    <w:rsid w:val="00AA1294"/>
    <w:rsid w:val="00AA1D44"/>
    <w:rsid w:val="00AA1D67"/>
    <w:rsid w:val="00AA26F7"/>
    <w:rsid w:val="00AA299D"/>
    <w:rsid w:val="00AA2C53"/>
    <w:rsid w:val="00AA2DB1"/>
    <w:rsid w:val="00AA2DB7"/>
    <w:rsid w:val="00AA32A7"/>
    <w:rsid w:val="00AA3666"/>
    <w:rsid w:val="00AA380B"/>
    <w:rsid w:val="00AA3CC3"/>
    <w:rsid w:val="00AA3DE2"/>
    <w:rsid w:val="00AA3DF8"/>
    <w:rsid w:val="00AA3F11"/>
    <w:rsid w:val="00AA42C4"/>
    <w:rsid w:val="00AA4463"/>
    <w:rsid w:val="00AA477C"/>
    <w:rsid w:val="00AA4D9D"/>
    <w:rsid w:val="00AA50BE"/>
    <w:rsid w:val="00AA5321"/>
    <w:rsid w:val="00AA54F6"/>
    <w:rsid w:val="00AA556F"/>
    <w:rsid w:val="00AA56D0"/>
    <w:rsid w:val="00AA5754"/>
    <w:rsid w:val="00AA61E8"/>
    <w:rsid w:val="00AA64DD"/>
    <w:rsid w:val="00AA652D"/>
    <w:rsid w:val="00AA695B"/>
    <w:rsid w:val="00AA7736"/>
    <w:rsid w:val="00AA78EE"/>
    <w:rsid w:val="00AA7937"/>
    <w:rsid w:val="00AA7CD7"/>
    <w:rsid w:val="00AA7DEB"/>
    <w:rsid w:val="00AA7F6F"/>
    <w:rsid w:val="00AA7FE0"/>
    <w:rsid w:val="00AB00C5"/>
    <w:rsid w:val="00AB0116"/>
    <w:rsid w:val="00AB0351"/>
    <w:rsid w:val="00AB0512"/>
    <w:rsid w:val="00AB0C45"/>
    <w:rsid w:val="00AB0E74"/>
    <w:rsid w:val="00AB1082"/>
    <w:rsid w:val="00AB1190"/>
    <w:rsid w:val="00AB1501"/>
    <w:rsid w:val="00AB15C9"/>
    <w:rsid w:val="00AB172A"/>
    <w:rsid w:val="00AB184F"/>
    <w:rsid w:val="00AB190A"/>
    <w:rsid w:val="00AB1C07"/>
    <w:rsid w:val="00AB1D5F"/>
    <w:rsid w:val="00AB1DE7"/>
    <w:rsid w:val="00AB1E31"/>
    <w:rsid w:val="00AB21D6"/>
    <w:rsid w:val="00AB259A"/>
    <w:rsid w:val="00AB2716"/>
    <w:rsid w:val="00AB2F76"/>
    <w:rsid w:val="00AB3046"/>
    <w:rsid w:val="00AB314E"/>
    <w:rsid w:val="00AB36A9"/>
    <w:rsid w:val="00AB3B18"/>
    <w:rsid w:val="00AB3EDA"/>
    <w:rsid w:val="00AB3FCB"/>
    <w:rsid w:val="00AB43F6"/>
    <w:rsid w:val="00AB446E"/>
    <w:rsid w:val="00AB44FD"/>
    <w:rsid w:val="00AB48B7"/>
    <w:rsid w:val="00AB52F0"/>
    <w:rsid w:val="00AB547F"/>
    <w:rsid w:val="00AB5770"/>
    <w:rsid w:val="00AB5BFB"/>
    <w:rsid w:val="00AB5CE7"/>
    <w:rsid w:val="00AB60D9"/>
    <w:rsid w:val="00AB61E4"/>
    <w:rsid w:val="00AB624E"/>
    <w:rsid w:val="00AB62FD"/>
    <w:rsid w:val="00AB6544"/>
    <w:rsid w:val="00AB66AE"/>
    <w:rsid w:val="00AB66BF"/>
    <w:rsid w:val="00AB6874"/>
    <w:rsid w:val="00AB6EEE"/>
    <w:rsid w:val="00AB7183"/>
    <w:rsid w:val="00AB75C6"/>
    <w:rsid w:val="00AB76A6"/>
    <w:rsid w:val="00AB7D09"/>
    <w:rsid w:val="00AB7E0F"/>
    <w:rsid w:val="00AC00C7"/>
    <w:rsid w:val="00AC0121"/>
    <w:rsid w:val="00AC0177"/>
    <w:rsid w:val="00AC02FB"/>
    <w:rsid w:val="00AC09AA"/>
    <w:rsid w:val="00AC0D64"/>
    <w:rsid w:val="00AC0E16"/>
    <w:rsid w:val="00AC1166"/>
    <w:rsid w:val="00AC1248"/>
    <w:rsid w:val="00AC1478"/>
    <w:rsid w:val="00AC19CB"/>
    <w:rsid w:val="00AC1C1E"/>
    <w:rsid w:val="00AC20E3"/>
    <w:rsid w:val="00AC21C1"/>
    <w:rsid w:val="00AC2928"/>
    <w:rsid w:val="00AC2AC5"/>
    <w:rsid w:val="00AC2E7F"/>
    <w:rsid w:val="00AC3102"/>
    <w:rsid w:val="00AC341A"/>
    <w:rsid w:val="00AC3617"/>
    <w:rsid w:val="00AC3C4D"/>
    <w:rsid w:val="00AC3E50"/>
    <w:rsid w:val="00AC3E53"/>
    <w:rsid w:val="00AC4030"/>
    <w:rsid w:val="00AC4285"/>
    <w:rsid w:val="00AC42C7"/>
    <w:rsid w:val="00AC4BEC"/>
    <w:rsid w:val="00AC534C"/>
    <w:rsid w:val="00AC5504"/>
    <w:rsid w:val="00AC57A7"/>
    <w:rsid w:val="00AC5976"/>
    <w:rsid w:val="00AC5AD5"/>
    <w:rsid w:val="00AC5ADF"/>
    <w:rsid w:val="00AC5B1D"/>
    <w:rsid w:val="00AC5B89"/>
    <w:rsid w:val="00AC5F68"/>
    <w:rsid w:val="00AC6687"/>
    <w:rsid w:val="00AC678E"/>
    <w:rsid w:val="00AC6C7A"/>
    <w:rsid w:val="00AC6D1C"/>
    <w:rsid w:val="00AC6DFA"/>
    <w:rsid w:val="00AC7163"/>
    <w:rsid w:val="00AC72A3"/>
    <w:rsid w:val="00AC73B6"/>
    <w:rsid w:val="00AC74B7"/>
    <w:rsid w:val="00AC750B"/>
    <w:rsid w:val="00AC766D"/>
    <w:rsid w:val="00AC7CE6"/>
    <w:rsid w:val="00AC7E43"/>
    <w:rsid w:val="00AC7FB7"/>
    <w:rsid w:val="00AD013C"/>
    <w:rsid w:val="00AD0364"/>
    <w:rsid w:val="00AD040E"/>
    <w:rsid w:val="00AD0B73"/>
    <w:rsid w:val="00AD10FD"/>
    <w:rsid w:val="00AD1142"/>
    <w:rsid w:val="00AD1157"/>
    <w:rsid w:val="00AD198B"/>
    <w:rsid w:val="00AD1AC2"/>
    <w:rsid w:val="00AD1B9D"/>
    <w:rsid w:val="00AD1C92"/>
    <w:rsid w:val="00AD1D81"/>
    <w:rsid w:val="00AD1DB5"/>
    <w:rsid w:val="00AD1F92"/>
    <w:rsid w:val="00AD20C3"/>
    <w:rsid w:val="00AD2893"/>
    <w:rsid w:val="00AD2972"/>
    <w:rsid w:val="00AD2C61"/>
    <w:rsid w:val="00AD2CA9"/>
    <w:rsid w:val="00AD2DA0"/>
    <w:rsid w:val="00AD2F8F"/>
    <w:rsid w:val="00AD3083"/>
    <w:rsid w:val="00AD31E9"/>
    <w:rsid w:val="00AD32A1"/>
    <w:rsid w:val="00AD3494"/>
    <w:rsid w:val="00AD34CF"/>
    <w:rsid w:val="00AD3691"/>
    <w:rsid w:val="00AD3A18"/>
    <w:rsid w:val="00AD3B36"/>
    <w:rsid w:val="00AD3BFB"/>
    <w:rsid w:val="00AD4156"/>
    <w:rsid w:val="00AD446C"/>
    <w:rsid w:val="00AD44F8"/>
    <w:rsid w:val="00AD452F"/>
    <w:rsid w:val="00AD4659"/>
    <w:rsid w:val="00AD4990"/>
    <w:rsid w:val="00AD534E"/>
    <w:rsid w:val="00AD5703"/>
    <w:rsid w:val="00AD573B"/>
    <w:rsid w:val="00AD5D4D"/>
    <w:rsid w:val="00AD5D94"/>
    <w:rsid w:val="00AD6117"/>
    <w:rsid w:val="00AD6380"/>
    <w:rsid w:val="00AD6856"/>
    <w:rsid w:val="00AD68E8"/>
    <w:rsid w:val="00AD6A7C"/>
    <w:rsid w:val="00AD6F41"/>
    <w:rsid w:val="00AD7002"/>
    <w:rsid w:val="00AD7098"/>
    <w:rsid w:val="00AD7BB2"/>
    <w:rsid w:val="00AD7D00"/>
    <w:rsid w:val="00AD7F25"/>
    <w:rsid w:val="00AD7F4B"/>
    <w:rsid w:val="00AD7FD7"/>
    <w:rsid w:val="00AE02FB"/>
    <w:rsid w:val="00AE05ED"/>
    <w:rsid w:val="00AE063F"/>
    <w:rsid w:val="00AE0CEB"/>
    <w:rsid w:val="00AE0EE6"/>
    <w:rsid w:val="00AE103A"/>
    <w:rsid w:val="00AE1585"/>
    <w:rsid w:val="00AE16D7"/>
    <w:rsid w:val="00AE16DB"/>
    <w:rsid w:val="00AE1770"/>
    <w:rsid w:val="00AE185A"/>
    <w:rsid w:val="00AE1C57"/>
    <w:rsid w:val="00AE20CB"/>
    <w:rsid w:val="00AE2101"/>
    <w:rsid w:val="00AE2157"/>
    <w:rsid w:val="00AE2548"/>
    <w:rsid w:val="00AE2C5D"/>
    <w:rsid w:val="00AE2D52"/>
    <w:rsid w:val="00AE2F84"/>
    <w:rsid w:val="00AE3479"/>
    <w:rsid w:val="00AE3A24"/>
    <w:rsid w:val="00AE3C08"/>
    <w:rsid w:val="00AE46DB"/>
    <w:rsid w:val="00AE472C"/>
    <w:rsid w:val="00AE48BB"/>
    <w:rsid w:val="00AE4924"/>
    <w:rsid w:val="00AE4D51"/>
    <w:rsid w:val="00AE4FC5"/>
    <w:rsid w:val="00AE5488"/>
    <w:rsid w:val="00AE54EB"/>
    <w:rsid w:val="00AE5CC4"/>
    <w:rsid w:val="00AE5FFD"/>
    <w:rsid w:val="00AE60F2"/>
    <w:rsid w:val="00AE6775"/>
    <w:rsid w:val="00AE68F1"/>
    <w:rsid w:val="00AE6AC2"/>
    <w:rsid w:val="00AE6B83"/>
    <w:rsid w:val="00AE6BC9"/>
    <w:rsid w:val="00AE6C70"/>
    <w:rsid w:val="00AE6DE4"/>
    <w:rsid w:val="00AE6F59"/>
    <w:rsid w:val="00AE6F91"/>
    <w:rsid w:val="00AE702A"/>
    <w:rsid w:val="00AE73B1"/>
    <w:rsid w:val="00AE74FE"/>
    <w:rsid w:val="00AE7715"/>
    <w:rsid w:val="00AE77C4"/>
    <w:rsid w:val="00AF03CA"/>
    <w:rsid w:val="00AF05C1"/>
    <w:rsid w:val="00AF076C"/>
    <w:rsid w:val="00AF0937"/>
    <w:rsid w:val="00AF0B04"/>
    <w:rsid w:val="00AF0DA1"/>
    <w:rsid w:val="00AF0FB9"/>
    <w:rsid w:val="00AF122B"/>
    <w:rsid w:val="00AF127A"/>
    <w:rsid w:val="00AF17B0"/>
    <w:rsid w:val="00AF1CC1"/>
    <w:rsid w:val="00AF1D8B"/>
    <w:rsid w:val="00AF1EC1"/>
    <w:rsid w:val="00AF2050"/>
    <w:rsid w:val="00AF2089"/>
    <w:rsid w:val="00AF228A"/>
    <w:rsid w:val="00AF240F"/>
    <w:rsid w:val="00AF284A"/>
    <w:rsid w:val="00AF298E"/>
    <w:rsid w:val="00AF2D6E"/>
    <w:rsid w:val="00AF3064"/>
    <w:rsid w:val="00AF3883"/>
    <w:rsid w:val="00AF3A3D"/>
    <w:rsid w:val="00AF3E3C"/>
    <w:rsid w:val="00AF423D"/>
    <w:rsid w:val="00AF425D"/>
    <w:rsid w:val="00AF4278"/>
    <w:rsid w:val="00AF44C3"/>
    <w:rsid w:val="00AF4BA1"/>
    <w:rsid w:val="00AF4BB3"/>
    <w:rsid w:val="00AF4BC2"/>
    <w:rsid w:val="00AF4C2C"/>
    <w:rsid w:val="00AF4D3A"/>
    <w:rsid w:val="00AF52A5"/>
    <w:rsid w:val="00AF53C6"/>
    <w:rsid w:val="00AF5571"/>
    <w:rsid w:val="00AF596C"/>
    <w:rsid w:val="00AF5AA9"/>
    <w:rsid w:val="00AF5D99"/>
    <w:rsid w:val="00AF5E4C"/>
    <w:rsid w:val="00AF5E7A"/>
    <w:rsid w:val="00AF5F6D"/>
    <w:rsid w:val="00AF6094"/>
    <w:rsid w:val="00AF60E0"/>
    <w:rsid w:val="00AF66D2"/>
    <w:rsid w:val="00AF691C"/>
    <w:rsid w:val="00AF6A32"/>
    <w:rsid w:val="00AF6AFF"/>
    <w:rsid w:val="00AF6D56"/>
    <w:rsid w:val="00AF734D"/>
    <w:rsid w:val="00AF7544"/>
    <w:rsid w:val="00AF7667"/>
    <w:rsid w:val="00AF76FB"/>
    <w:rsid w:val="00AF77AE"/>
    <w:rsid w:val="00AF7B8C"/>
    <w:rsid w:val="00AF7DB3"/>
    <w:rsid w:val="00AF7F89"/>
    <w:rsid w:val="00B0000C"/>
    <w:rsid w:val="00B00247"/>
    <w:rsid w:val="00B005D2"/>
    <w:rsid w:val="00B00B50"/>
    <w:rsid w:val="00B00FAB"/>
    <w:rsid w:val="00B011EA"/>
    <w:rsid w:val="00B011F2"/>
    <w:rsid w:val="00B01497"/>
    <w:rsid w:val="00B0159E"/>
    <w:rsid w:val="00B016B8"/>
    <w:rsid w:val="00B0192B"/>
    <w:rsid w:val="00B01CCE"/>
    <w:rsid w:val="00B025E2"/>
    <w:rsid w:val="00B02C4E"/>
    <w:rsid w:val="00B02FBE"/>
    <w:rsid w:val="00B0318B"/>
    <w:rsid w:val="00B0341D"/>
    <w:rsid w:val="00B03882"/>
    <w:rsid w:val="00B03A26"/>
    <w:rsid w:val="00B03B60"/>
    <w:rsid w:val="00B03D8D"/>
    <w:rsid w:val="00B041D8"/>
    <w:rsid w:val="00B04775"/>
    <w:rsid w:val="00B04817"/>
    <w:rsid w:val="00B04897"/>
    <w:rsid w:val="00B04ACE"/>
    <w:rsid w:val="00B04B7D"/>
    <w:rsid w:val="00B0566A"/>
    <w:rsid w:val="00B05B37"/>
    <w:rsid w:val="00B05DFC"/>
    <w:rsid w:val="00B0644A"/>
    <w:rsid w:val="00B0675F"/>
    <w:rsid w:val="00B06987"/>
    <w:rsid w:val="00B06C1C"/>
    <w:rsid w:val="00B06CFC"/>
    <w:rsid w:val="00B06E1C"/>
    <w:rsid w:val="00B06FE4"/>
    <w:rsid w:val="00B07000"/>
    <w:rsid w:val="00B077CE"/>
    <w:rsid w:val="00B07E12"/>
    <w:rsid w:val="00B07E78"/>
    <w:rsid w:val="00B07EBA"/>
    <w:rsid w:val="00B07ECA"/>
    <w:rsid w:val="00B102E9"/>
    <w:rsid w:val="00B10684"/>
    <w:rsid w:val="00B10D93"/>
    <w:rsid w:val="00B10F4E"/>
    <w:rsid w:val="00B11004"/>
    <w:rsid w:val="00B11875"/>
    <w:rsid w:val="00B11B2D"/>
    <w:rsid w:val="00B11BE3"/>
    <w:rsid w:val="00B11CC4"/>
    <w:rsid w:val="00B11DCE"/>
    <w:rsid w:val="00B121A7"/>
    <w:rsid w:val="00B12238"/>
    <w:rsid w:val="00B12280"/>
    <w:rsid w:val="00B12686"/>
    <w:rsid w:val="00B1294D"/>
    <w:rsid w:val="00B129EC"/>
    <w:rsid w:val="00B12FA9"/>
    <w:rsid w:val="00B1305F"/>
    <w:rsid w:val="00B13102"/>
    <w:rsid w:val="00B13110"/>
    <w:rsid w:val="00B1311E"/>
    <w:rsid w:val="00B131AB"/>
    <w:rsid w:val="00B131FD"/>
    <w:rsid w:val="00B1357B"/>
    <w:rsid w:val="00B13ADD"/>
    <w:rsid w:val="00B13C95"/>
    <w:rsid w:val="00B13D6E"/>
    <w:rsid w:val="00B13DA0"/>
    <w:rsid w:val="00B13DE9"/>
    <w:rsid w:val="00B1414A"/>
    <w:rsid w:val="00B14334"/>
    <w:rsid w:val="00B14767"/>
    <w:rsid w:val="00B14E0A"/>
    <w:rsid w:val="00B14E2D"/>
    <w:rsid w:val="00B14F30"/>
    <w:rsid w:val="00B14F7A"/>
    <w:rsid w:val="00B15121"/>
    <w:rsid w:val="00B15CE2"/>
    <w:rsid w:val="00B15D1A"/>
    <w:rsid w:val="00B160E9"/>
    <w:rsid w:val="00B164CA"/>
    <w:rsid w:val="00B1664E"/>
    <w:rsid w:val="00B16895"/>
    <w:rsid w:val="00B16901"/>
    <w:rsid w:val="00B16A2E"/>
    <w:rsid w:val="00B16EB9"/>
    <w:rsid w:val="00B1736D"/>
    <w:rsid w:val="00B17715"/>
    <w:rsid w:val="00B1773A"/>
    <w:rsid w:val="00B177BC"/>
    <w:rsid w:val="00B17DBA"/>
    <w:rsid w:val="00B17F4A"/>
    <w:rsid w:val="00B20071"/>
    <w:rsid w:val="00B203D2"/>
    <w:rsid w:val="00B203F2"/>
    <w:rsid w:val="00B20412"/>
    <w:rsid w:val="00B20723"/>
    <w:rsid w:val="00B20BA7"/>
    <w:rsid w:val="00B2115C"/>
    <w:rsid w:val="00B21524"/>
    <w:rsid w:val="00B218CB"/>
    <w:rsid w:val="00B21948"/>
    <w:rsid w:val="00B21BE2"/>
    <w:rsid w:val="00B221F3"/>
    <w:rsid w:val="00B224D4"/>
    <w:rsid w:val="00B22C0E"/>
    <w:rsid w:val="00B233D9"/>
    <w:rsid w:val="00B23860"/>
    <w:rsid w:val="00B23BBF"/>
    <w:rsid w:val="00B2426C"/>
    <w:rsid w:val="00B247B7"/>
    <w:rsid w:val="00B24991"/>
    <w:rsid w:val="00B24A9D"/>
    <w:rsid w:val="00B24BC8"/>
    <w:rsid w:val="00B24F31"/>
    <w:rsid w:val="00B24F59"/>
    <w:rsid w:val="00B25283"/>
    <w:rsid w:val="00B256B0"/>
    <w:rsid w:val="00B2572A"/>
    <w:rsid w:val="00B25CDF"/>
    <w:rsid w:val="00B25D3C"/>
    <w:rsid w:val="00B25D62"/>
    <w:rsid w:val="00B26250"/>
    <w:rsid w:val="00B262A4"/>
    <w:rsid w:val="00B26458"/>
    <w:rsid w:val="00B264BC"/>
    <w:rsid w:val="00B2650C"/>
    <w:rsid w:val="00B26584"/>
    <w:rsid w:val="00B266B7"/>
    <w:rsid w:val="00B266DC"/>
    <w:rsid w:val="00B2694A"/>
    <w:rsid w:val="00B26AAC"/>
    <w:rsid w:val="00B26B12"/>
    <w:rsid w:val="00B26C14"/>
    <w:rsid w:val="00B26D96"/>
    <w:rsid w:val="00B26F07"/>
    <w:rsid w:val="00B26FB4"/>
    <w:rsid w:val="00B2753D"/>
    <w:rsid w:val="00B27827"/>
    <w:rsid w:val="00B27957"/>
    <w:rsid w:val="00B27BCD"/>
    <w:rsid w:val="00B27D24"/>
    <w:rsid w:val="00B27D61"/>
    <w:rsid w:val="00B30197"/>
    <w:rsid w:val="00B302A6"/>
    <w:rsid w:val="00B302C7"/>
    <w:rsid w:val="00B304B7"/>
    <w:rsid w:val="00B30539"/>
    <w:rsid w:val="00B30977"/>
    <w:rsid w:val="00B30CFD"/>
    <w:rsid w:val="00B3141A"/>
    <w:rsid w:val="00B314C0"/>
    <w:rsid w:val="00B314DB"/>
    <w:rsid w:val="00B316B5"/>
    <w:rsid w:val="00B316B6"/>
    <w:rsid w:val="00B318E3"/>
    <w:rsid w:val="00B31924"/>
    <w:rsid w:val="00B319EC"/>
    <w:rsid w:val="00B3207A"/>
    <w:rsid w:val="00B3221D"/>
    <w:rsid w:val="00B3231C"/>
    <w:rsid w:val="00B32E38"/>
    <w:rsid w:val="00B32F4A"/>
    <w:rsid w:val="00B33091"/>
    <w:rsid w:val="00B33488"/>
    <w:rsid w:val="00B335C2"/>
    <w:rsid w:val="00B33A27"/>
    <w:rsid w:val="00B33E12"/>
    <w:rsid w:val="00B34258"/>
    <w:rsid w:val="00B34437"/>
    <w:rsid w:val="00B34535"/>
    <w:rsid w:val="00B34991"/>
    <w:rsid w:val="00B349D1"/>
    <w:rsid w:val="00B34ACE"/>
    <w:rsid w:val="00B34D89"/>
    <w:rsid w:val="00B34DF4"/>
    <w:rsid w:val="00B35113"/>
    <w:rsid w:val="00B35161"/>
    <w:rsid w:val="00B356B0"/>
    <w:rsid w:val="00B35E98"/>
    <w:rsid w:val="00B36240"/>
    <w:rsid w:val="00B36D53"/>
    <w:rsid w:val="00B3701B"/>
    <w:rsid w:val="00B3718B"/>
    <w:rsid w:val="00B37446"/>
    <w:rsid w:val="00B37664"/>
    <w:rsid w:val="00B37720"/>
    <w:rsid w:val="00B379F2"/>
    <w:rsid w:val="00B40069"/>
    <w:rsid w:val="00B4041B"/>
    <w:rsid w:val="00B4060E"/>
    <w:rsid w:val="00B40934"/>
    <w:rsid w:val="00B40ADC"/>
    <w:rsid w:val="00B40F8F"/>
    <w:rsid w:val="00B40FB2"/>
    <w:rsid w:val="00B40FC2"/>
    <w:rsid w:val="00B41074"/>
    <w:rsid w:val="00B41174"/>
    <w:rsid w:val="00B412CE"/>
    <w:rsid w:val="00B4164E"/>
    <w:rsid w:val="00B4171E"/>
    <w:rsid w:val="00B417D2"/>
    <w:rsid w:val="00B4182B"/>
    <w:rsid w:val="00B41C05"/>
    <w:rsid w:val="00B41E18"/>
    <w:rsid w:val="00B4264B"/>
    <w:rsid w:val="00B42AD2"/>
    <w:rsid w:val="00B42BA3"/>
    <w:rsid w:val="00B42BDB"/>
    <w:rsid w:val="00B42C1A"/>
    <w:rsid w:val="00B431BB"/>
    <w:rsid w:val="00B4321D"/>
    <w:rsid w:val="00B434AA"/>
    <w:rsid w:val="00B434F2"/>
    <w:rsid w:val="00B43507"/>
    <w:rsid w:val="00B4368D"/>
    <w:rsid w:val="00B43AE5"/>
    <w:rsid w:val="00B43BEA"/>
    <w:rsid w:val="00B43BF1"/>
    <w:rsid w:val="00B43CAB"/>
    <w:rsid w:val="00B43CB8"/>
    <w:rsid w:val="00B43E21"/>
    <w:rsid w:val="00B43FC8"/>
    <w:rsid w:val="00B442C7"/>
    <w:rsid w:val="00B44752"/>
    <w:rsid w:val="00B44C7C"/>
    <w:rsid w:val="00B44CDD"/>
    <w:rsid w:val="00B44DD3"/>
    <w:rsid w:val="00B45219"/>
    <w:rsid w:val="00B45319"/>
    <w:rsid w:val="00B45621"/>
    <w:rsid w:val="00B456B1"/>
    <w:rsid w:val="00B45759"/>
    <w:rsid w:val="00B458A8"/>
    <w:rsid w:val="00B45DF4"/>
    <w:rsid w:val="00B46228"/>
    <w:rsid w:val="00B4632A"/>
    <w:rsid w:val="00B46398"/>
    <w:rsid w:val="00B466AF"/>
    <w:rsid w:val="00B4679B"/>
    <w:rsid w:val="00B46A0F"/>
    <w:rsid w:val="00B46A8B"/>
    <w:rsid w:val="00B46F78"/>
    <w:rsid w:val="00B47055"/>
    <w:rsid w:val="00B470F9"/>
    <w:rsid w:val="00B47278"/>
    <w:rsid w:val="00B473D0"/>
    <w:rsid w:val="00B47486"/>
    <w:rsid w:val="00B476CE"/>
    <w:rsid w:val="00B506D1"/>
    <w:rsid w:val="00B50B43"/>
    <w:rsid w:val="00B50D3F"/>
    <w:rsid w:val="00B50E30"/>
    <w:rsid w:val="00B50E37"/>
    <w:rsid w:val="00B50EBB"/>
    <w:rsid w:val="00B51482"/>
    <w:rsid w:val="00B51D11"/>
    <w:rsid w:val="00B51DD6"/>
    <w:rsid w:val="00B51F3F"/>
    <w:rsid w:val="00B520E4"/>
    <w:rsid w:val="00B521AA"/>
    <w:rsid w:val="00B523B9"/>
    <w:rsid w:val="00B528E6"/>
    <w:rsid w:val="00B529BF"/>
    <w:rsid w:val="00B52E4C"/>
    <w:rsid w:val="00B530F1"/>
    <w:rsid w:val="00B5326D"/>
    <w:rsid w:val="00B5354B"/>
    <w:rsid w:val="00B53AD5"/>
    <w:rsid w:val="00B53F61"/>
    <w:rsid w:val="00B545D7"/>
    <w:rsid w:val="00B54749"/>
    <w:rsid w:val="00B5478A"/>
    <w:rsid w:val="00B547BC"/>
    <w:rsid w:val="00B54933"/>
    <w:rsid w:val="00B54A0E"/>
    <w:rsid w:val="00B54C2A"/>
    <w:rsid w:val="00B54F1B"/>
    <w:rsid w:val="00B5508B"/>
    <w:rsid w:val="00B5550F"/>
    <w:rsid w:val="00B55599"/>
    <w:rsid w:val="00B5562F"/>
    <w:rsid w:val="00B55CE1"/>
    <w:rsid w:val="00B55FF8"/>
    <w:rsid w:val="00B561AD"/>
    <w:rsid w:val="00B56419"/>
    <w:rsid w:val="00B5652C"/>
    <w:rsid w:val="00B56AC1"/>
    <w:rsid w:val="00B56B37"/>
    <w:rsid w:val="00B56CBE"/>
    <w:rsid w:val="00B56FE9"/>
    <w:rsid w:val="00B570E7"/>
    <w:rsid w:val="00B574E0"/>
    <w:rsid w:val="00B57970"/>
    <w:rsid w:val="00B57AF8"/>
    <w:rsid w:val="00B57E19"/>
    <w:rsid w:val="00B57F96"/>
    <w:rsid w:val="00B600EF"/>
    <w:rsid w:val="00B600F0"/>
    <w:rsid w:val="00B6024D"/>
    <w:rsid w:val="00B605E4"/>
    <w:rsid w:val="00B60964"/>
    <w:rsid w:val="00B6099A"/>
    <w:rsid w:val="00B60B60"/>
    <w:rsid w:val="00B60C61"/>
    <w:rsid w:val="00B6113A"/>
    <w:rsid w:val="00B611F0"/>
    <w:rsid w:val="00B6127E"/>
    <w:rsid w:val="00B61362"/>
    <w:rsid w:val="00B615EF"/>
    <w:rsid w:val="00B61680"/>
    <w:rsid w:val="00B6191C"/>
    <w:rsid w:val="00B61A09"/>
    <w:rsid w:val="00B61E91"/>
    <w:rsid w:val="00B61F6A"/>
    <w:rsid w:val="00B621A1"/>
    <w:rsid w:val="00B630CF"/>
    <w:rsid w:val="00B63484"/>
    <w:rsid w:val="00B636B5"/>
    <w:rsid w:val="00B63740"/>
    <w:rsid w:val="00B63838"/>
    <w:rsid w:val="00B63922"/>
    <w:rsid w:val="00B63DDB"/>
    <w:rsid w:val="00B642DE"/>
    <w:rsid w:val="00B64393"/>
    <w:rsid w:val="00B644AA"/>
    <w:rsid w:val="00B646C3"/>
    <w:rsid w:val="00B64A9C"/>
    <w:rsid w:val="00B64AE2"/>
    <w:rsid w:val="00B64B6B"/>
    <w:rsid w:val="00B64B86"/>
    <w:rsid w:val="00B65485"/>
    <w:rsid w:val="00B65585"/>
    <w:rsid w:val="00B65B17"/>
    <w:rsid w:val="00B65B7D"/>
    <w:rsid w:val="00B65F02"/>
    <w:rsid w:val="00B65FAC"/>
    <w:rsid w:val="00B66476"/>
    <w:rsid w:val="00B6650F"/>
    <w:rsid w:val="00B6674E"/>
    <w:rsid w:val="00B66DDF"/>
    <w:rsid w:val="00B66F20"/>
    <w:rsid w:val="00B6720D"/>
    <w:rsid w:val="00B674E6"/>
    <w:rsid w:val="00B67A69"/>
    <w:rsid w:val="00B67B13"/>
    <w:rsid w:val="00B67DA3"/>
    <w:rsid w:val="00B706EF"/>
    <w:rsid w:val="00B707CB"/>
    <w:rsid w:val="00B70B44"/>
    <w:rsid w:val="00B70B98"/>
    <w:rsid w:val="00B70E8D"/>
    <w:rsid w:val="00B711E2"/>
    <w:rsid w:val="00B71885"/>
    <w:rsid w:val="00B71AF7"/>
    <w:rsid w:val="00B71BBE"/>
    <w:rsid w:val="00B71E8B"/>
    <w:rsid w:val="00B7222E"/>
    <w:rsid w:val="00B72332"/>
    <w:rsid w:val="00B72338"/>
    <w:rsid w:val="00B723ED"/>
    <w:rsid w:val="00B727DB"/>
    <w:rsid w:val="00B7294B"/>
    <w:rsid w:val="00B7294E"/>
    <w:rsid w:val="00B72977"/>
    <w:rsid w:val="00B72B38"/>
    <w:rsid w:val="00B72C4A"/>
    <w:rsid w:val="00B73061"/>
    <w:rsid w:val="00B732CC"/>
    <w:rsid w:val="00B73798"/>
    <w:rsid w:val="00B737A1"/>
    <w:rsid w:val="00B737FD"/>
    <w:rsid w:val="00B7397F"/>
    <w:rsid w:val="00B739D9"/>
    <w:rsid w:val="00B74317"/>
    <w:rsid w:val="00B74930"/>
    <w:rsid w:val="00B74B77"/>
    <w:rsid w:val="00B74BEA"/>
    <w:rsid w:val="00B74CF0"/>
    <w:rsid w:val="00B74DF9"/>
    <w:rsid w:val="00B7583A"/>
    <w:rsid w:val="00B758D6"/>
    <w:rsid w:val="00B75A71"/>
    <w:rsid w:val="00B760E4"/>
    <w:rsid w:val="00B765BB"/>
    <w:rsid w:val="00B76A78"/>
    <w:rsid w:val="00B76F8A"/>
    <w:rsid w:val="00B771FA"/>
    <w:rsid w:val="00B772CB"/>
    <w:rsid w:val="00B77911"/>
    <w:rsid w:val="00B77987"/>
    <w:rsid w:val="00B77CA4"/>
    <w:rsid w:val="00B77FA9"/>
    <w:rsid w:val="00B80262"/>
    <w:rsid w:val="00B803AC"/>
    <w:rsid w:val="00B803BE"/>
    <w:rsid w:val="00B8064A"/>
    <w:rsid w:val="00B80B1E"/>
    <w:rsid w:val="00B80B3F"/>
    <w:rsid w:val="00B80BBB"/>
    <w:rsid w:val="00B81169"/>
    <w:rsid w:val="00B81208"/>
    <w:rsid w:val="00B81288"/>
    <w:rsid w:val="00B812D3"/>
    <w:rsid w:val="00B8136C"/>
    <w:rsid w:val="00B814A0"/>
    <w:rsid w:val="00B8166D"/>
    <w:rsid w:val="00B81742"/>
    <w:rsid w:val="00B819AD"/>
    <w:rsid w:val="00B81C16"/>
    <w:rsid w:val="00B81C52"/>
    <w:rsid w:val="00B81C80"/>
    <w:rsid w:val="00B81EAB"/>
    <w:rsid w:val="00B825FA"/>
    <w:rsid w:val="00B8268E"/>
    <w:rsid w:val="00B82744"/>
    <w:rsid w:val="00B82D41"/>
    <w:rsid w:val="00B82F7D"/>
    <w:rsid w:val="00B8300B"/>
    <w:rsid w:val="00B83140"/>
    <w:rsid w:val="00B832D3"/>
    <w:rsid w:val="00B8368E"/>
    <w:rsid w:val="00B83B21"/>
    <w:rsid w:val="00B83B56"/>
    <w:rsid w:val="00B83C7C"/>
    <w:rsid w:val="00B83CAA"/>
    <w:rsid w:val="00B83ED3"/>
    <w:rsid w:val="00B8457C"/>
    <w:rsid w:val="00B8460A"/>
    <w:rsid w:val="00B84923"/>
    <w:rsid w:val="00B84D32"/>
    <w:rsid w:val="00B84D3D"/>
    <w:rsid w:val="00B84DDA"/>
    <w:rsid w:val="00B84FF0"/>
    <w:rsid w:val="00B850B6"/>
    <w:rsid w:val="00B851B0"/>
    <w:rsid w:val="00B851ED"/>
    <w:rsid w:val="00B85958"/>
    <w:rsid w:val="00B85A22"/>
    <w:rsid w:val="00B85B17"/>
    <w:rsid w:val="00B85D0F"/>
    <w:rsid w:val="00B8600E"/>
    <w:rsid w:val="00B86BAA"/>
    <w:rsid w:val="00B86D74"/>
    <w:rsid w:val="00B86DBC"/>
    <w:rsid w:val="00B87185"/>
    <w:rsid w:val="00B87ADF"/>
    <w:rsid w:val="00B87DB6"/>
    <w:rsid w:val="00B90151"/>
    <w:rsid w:val="00B903F9"/>
    <w:rsid w:val="00B9049A"/>
    <w:rsid w:val="00B906F3"/>
    <w:rsid w:val="00B90768"/>
    <w:rsid w:val="00B90CB4"/>
    <w:rsid w:val="00B90D86"/>
    <w:rsid w:val="00B90E72"/>
    <w:rsid w:val="00B90E79"/>
    <w:rsid w:val="00B90EC1"/>
    <w:rsid w:val="00B91111"/>
    <w:rsid w:val="00B91154"/>
    <w:rsid w:val="00B9126E"/>
    <w:rsid w:val="00B91369"/>
    <w:rsid w:val="00B91566"/>
    <w:rsid w:val="00B917C7"/>
    <w:rsid w:val="00B91B61"/>
    <w:rsid w:val="00B91B6E"/>
    <w:rsid w:val="00B91CAC"/>
    <w:rsid w:val="00B91D22"/>
    <w:rsid w:val="00B91D9A"/>
    <w:rsid w:val="00B92358"/>
    <w:rsid w:val="00B9294F"/>
    <w:rsid w:val="00B92B20"/>
    <w:rsid w:val="00B92C9B"/>
    <w:rsid w:val="00B92D5A"/>
    <w:rsid w:val="00B930D1"/>
    <w:rsid w:val="00B93439"/>
    <w:rsid w:val="00B93474"/>
    <w:rsid w:val="00B9354E"/>
    <w:rsid w:val="00B93BA5"/>
    <w:rsid w:val="00B93D72"/>
    <w:rsid w:val="00B93F68"/>
    <w:rsid w:val="00B93FE4"/>
    <w:rsid w:val="00B94024"/>
    <w:rsid w:val="00B9432B"/>
    <w:rsid w:val="00B944B2"/>
    <w:rsid w:val="00B944FB"/>
    <w:rsid w:val="00B94589"/>
    <w:rsid w:val="00B94790"/>
    <w:rsid w:val="00B948CD"/>
    <w:rsid w:val="00B94B27"/>
    <w:rsid w:val="00B94C3F"/>
    <w:rsid w:val="00B94EAB"/>
    <w:rsid w:val="00B952E8"/>
    <w:rsid w:val="00B955AE"/>
    <w:rsid w:val="00B95C9D"/>
    <w:rsid w:val="00B95CD3"/>
    <w:rsid w:val="00B95DE5"/>
    <w:rsid w:val="00B95E11"/>
    <w:rsid w:val="00B95EE0"/>
    <w:rsid w:val="00B95F34"/>
    <w:rsid w:val="00B961C3"/>
    <w:rsid w:val="00B96300"/>
    <w:rsid w:val="00B9665E"/>
    <w:rsid w:val="00B966CC"/>
    <w:rsid w:val="00B96B24"/>
    <w:rsid w:val="00B96C96"/>
    <w:rsid w:val="00B97217"/>
    <w:rsid w:val="00B97310"/>
    <w:rsid w:val="00B977C7"/>
    <w:rsid w:val="00B97C86"/>
    <w:rsid w:val="00BA04E9"/>
    <w:rsid w:val="00BA0A5E"/>
    <w:rsid w:val="00BA10F2"/>
    <w:rsid w:val="00BA11E1"/>
    <w:rsid w:val="00BA1A67"/>
    <w:rsid w:val="00BA1C9C"/>
    <w:rsid w:val="00BA1D6D"/>
    <w:rsid w:val="00BA1D94"/>
    <w:rsid w:val="00BA234D"/>
    <w:rsid w:val="00BA23FD"/>
    <w:rsid w:val="00BA2600"/>
    <w:rsid w:val="00BA276C"/>
    <w:rsid w:val="00BA2899"/>
    <w:rsid w:val="00BA295C"/>
    <w:rsid w:val="00BA2CD4"/>
    <w:rsid w:val="00BA2D6A"/>
    <w:rsid w:val="00BA2DC2"/>
    <w:rsid w:val="00BA2F04"/>
    <w:rsid w:val="00BA397F"/>
    <w:rsid w:val="00BA3E56"/>
    <w:rsid w:val="00BA42C6"/>
    <w:rsid w:val="00BA4746"/>
    <w:rsid w:val="00BA4797"/>
    <w:rsid w:val="00BA483C"/>
    <w:rsid w:val="00BA4E7D"/>
    <w:rsid w:val="00BA526A"/>
    <w:rsid w:val="00BA528B"/>
    <w:rsid w:val="00BA53BB"/>
    <w:rsid w:val="00BA55A1"/>
    <w:rsid w:val="00BA573E"/>
    <w:rsid w:val="00BA5D29"/>
    <w:rsid w:val="00BA5D33"/>
    <w:rsid w:val="00BA5E29"/>
    <w:rsid w:val="00BA5E32"/>
    <w:rsid w:val="00BA5E8E"/>
    <w:rsid w:val="00BA619C"/>
    <w:rsid w:val="00BA63B3"/>
    <w:rsid w:val="00BA678E"/>
    <w:rsid w:val="00BA683E"/>
    <w:rsid w:val="00BA68B8"/>
    <w:rsid w:val="00BA6AD0"/>
    <w:rsid w:val="00BA6B53"/>
    <w:rsid w:val="00BA7312"/>
    <w:rsid w:val="00BA74C3"/>
    <w:rsid w:val="00BA75DB"/>
    <w:rsid w:val="00BA76C8"/>
    <w:rsid w:val="00BA778F"/>
    <w:rsid w:val="00BA792D"/>
    <w:rsid w:val="00BA79CE"/>
    <w:rsid w:val="00BA7C8E"/>
    <w:rsid w:val="00BA7CCA"/>
    <w:rsid w:val="00BA7F1C"/>
    <w:rsid w:val="00BA7F2B"/>
    <w:rsid w:val="00BB01F4"/>
    <w:rsid w:val="00BB0213"/>
    <w:rsid w:val="00BB0796"/>
    <w:rsid w:val="00BB0BEB"/>
    <w:rsid w:val="00BB11B1"/>
    <w:rsid w:val="00BB1354"/>
    <w:rsid w:val="00BB15C3"/>
    <w:rsid w:val="00BB19E7"/>
    <w:rsid w:val="00BB1DDA"/>
    <w:rsid w:val="00BB1F5B"/>
    <w:rsid w:val="00BB205B"/>
    <w:rsid w:val="00BB208D"/>
    <w:rsid w:val="00BB23E0"/>
    <w:rsid w:val="00BB256D"/>
    <w:rsid w:val="00BB2CBA"/>
    <w:rsid w:val="00BB2D95"/>
    <w:rsid w:val="00BB2F1B"/>
    <w:rsid w:val="00BB2F42"/>
    <w:rsid w:val="00BB306F"/>
    <w:rsid w:val="00BB3189"/>
    <w:rsid w:val="00BB336D"/>
    <w:rsid w:val="00BB35DD"/>
    <w:rsid w:val="00BB35E4"/>
    <w:rsid w:val="00BB369E"/>
    <w:rsid w:val="00BB3B9C"/>
    <w:rsid w:val="00BB3DFB"/>
    <w:rsid w:val="00BB408A"/>
    <w:rsid w:val="00BB4116"/>
    <w:rsid w:val="00BB4145"/>
    <w:rsid w:val="00BB41C9"/>
    <w:rsid w:val="00BB4253"/>
    <w:rsid w:val="00BB49EB"/>
    <w:rsid w:val="00BB4BC3"/>
    <w:rsid w:val="00BB4CC8"/>
    <w:rsid w:val="00BB5240"/>
    <w:rsid w:val="00BB52E6"/>
    <w:rsid w:val="00BB5322"/>
    <w:rsid w:val="00BB5557"/>
    <w:rsid w:val="00BB572A"/>
    <w:rsid w:val="00BB5D6B"/>
    <w:rsid w:val="00BB5FC7"/>
    <w:rsid w:val="00BB64B7"/>
    <w:rsid w:val="00BB650E"/>
    <w:rsid w:val="00BB658B"/>
    <w:rsid w:val="00BB664F"/>
    <w:rsid w:val="00BB6A5D"/>
    <w:rsid w:val="00BB6E97"/>
    <w:rsid w:val="00BB7246"/>
    <w:rsid w:val="00BB72FE"/>
    <w:rsid w:val="00BB74B7"/>
    <w:rsid w:val="00BB79ED"/>
    <w:rsid w:val="00BB7C91"/>
    <w:rsid w:val="00BB7D53"/>
    <w:rsid w:val="00BB7E95"/>
    <w:rsid w:val="00BC0178"/>
    <w:rsid w:val="00BC05A0"/>
    <w:rsid w:val="00BC05DA"/>
    <w:rsid w:val="00BC0622"/>
    <w:rsid w:val="00BC0D77"/>
    <w:rsid w:val="00BC1478"/>
    <w:rsid w:val="00BC18C9"/>
    <w:rsid w:val="00BC1A04"/>
    <w:rsid w:val="00BC2110"/>
    <w:rsid w:val="00BC25BD"/>
    <w:rsid w:val="00BC2753"/>
    <w:rsid w:val="00BC2AF0"/>
    <w:rsid w:val="00BC2AFC"/>
    <w:rsid w:val="00BC2D8D"/>
    <w:rsid w:val="00BC2EDB"/>
    <w:rsid w:val="00BC3610"/>
    <w:rsid w:val="00BC37F3"/>
    <w:rsid w:val="00BC3918"/>
    <w:rsid w:val="00BC39E9"/>
    <w:rsid w:val="00BC3C59"/>
    <w:rsid w:val="00BC4041"/>
    <w:rsid w:val="00BC433F"/>
    <w:rsid w:val="00BC4A2D"/>
    <w:rsid w:val="00BC4BBC"/>
    <w:rsid w:val="00BC4BE9"/>
    <w:rsid w:val="00BC4BEB"/>
    <w:rsid w:val="00BC4D36"/>
    <w:rsid w:val="00BC4DAA"/>
    <w:rsid w:val="00BC4E19"/>
    <w:rsid w:val="00BC4F90"/>
    <w:rsid w:val="00BC57DB"/>
    <w:rsid w:val="00BC5941"/>
    <w:rsid w:val="00BC5BCB"/>
    <w:rsid w:val="00BC5E4A"/>
    <w:rsid w:val="00BC6005"/>
    <w:rsid w:val="00BC6548"/>
    <w:rsid w:val="00BC6594"/>
    <w:rsid w:val="00BC65A4"/>
    <w:rsid w:val="00BC668B"/>
    <w:rsid w:val="00BC668F"/>
    <w:rsid w:val="00BC6855"/>
    <w:rsid w:val="00BC6C67"/>
    <w:rsid w:val="00BC6DCB"/>
    <w:rsid w:val="00BC6F74"/>
    <w:rsid w:val="00BC70E9"/>
    <w:rsid w:val="00BC7131"/>
    <w:rsid w:val="00BC7311"/>
    <w:rsid w:val="00BC736B"/>
    <w:rsid w:val="00BC75B1"/>
    <w:rsid w:val="00BC7733"/>
    <w:rsid w:val="00BC79CF"/>
    <w:rsid w:val="00BC7E53"/>
    <w:rsid w:val="00BD00E1"/>
    <w:rsid w:val="00BD0135"/>
    <w:rsid w:val="00BD09C0"/>
    <w:rsid w:val="00BD0CF9"/>
    <w:rsid w:val="00BD0D9F"/>
    <w:rsid w:val="00BD0EB4"/>
    <w:rsid w:val="00BD139E"/>
    <w:rsid w:val="00BD191C"/>
    <w:rsid w:val="00BD1B53"/>
    <w:rsid w:val="00BD2028"/>
    <w:rsid w:val="00BD2299"/>
    <w:rsid w:val="00BD22F2"/>
    <w:rsid w:val="00BD23C2"/>
    <w:rsid w:val="00BD2703"/>
    <w:rsid w:val="00BD2DF4"/>
    <w:rsid w:val="00BD324A"/>
    <w:rsid w:val="00BD3342"/>
    <w:rsid w:val="00BD33F7"/>
    <w:rsid w:val="00BD3653"/>
    <w:rsid w:val="00BD38E4"/>
    <w:rsid w:val="00BD3A3F"/>
    <w:rsid w:val="00BD3D6F"/>
    <w:rsid w:val="00BD3D92"/>
    <w:rsid w:val="00BD41AE"/>
    <w:rsid w:val="00BD41BB"/>
    <w:rsid w:val="00BD441B"/>
    <w:rsid w:val="00BD4730"/>
    <w:rsid w:val="00BD495B"/>
    <w:rsid w:val="00BD4B89"/>
    <w:rsid w:val="00BD4CE2"/>
    <w:rsid w:val="00BD51C3"/>
    <w:rsid w:val="00BD5704"/>
    <w:rsid w:val="00BD5E95"/>
    <w:rsid w:val="00BD5F33"/>
    <w:rsid w:val="00BD6504"/>
    <w:rsid w:val="00BD6538"/>
    <w:rsid w:val="00BD6918"/>
    <w:rsid w:val="00BD6BC5"/>
    <w:rsid w:val="00BD6DAC"/>
    <w:rsid w:val="00BD726E"/>
    <w:rsid w:val="00BD740F"/>
    <w:rsid w:val="00BD7463"/>
    <w:rsid w:val="00BD761D"/>
    <w:rsid w:val="00BD76BF"/>
    <w:rsid w:val="00BD7826"/>
    <w:rsid w:val="00BD79CE"/>
    <w:rsid w:val="00BD7DCC"/>
    <w:rsid w:val="00BD7F86"/>
    <w:rsid w:val="00BE025B"/>
    <w:rsid w:val="00BE02F6"/>
    <w:rsid w:val="00BE047B"/>
    <w:rsid w:val="00BE048F"/>
    <w:rsid w:val="00BE0AE3"/>
    <w:rsid w:val="00BE0B95"/>
    <w:rsid w:val="00BE0CBC"/>
    <w:rsid w:val="00BE0D78"/>
    <w:rsid w:val="00BE0EDF"/>
    <w:rsid w:val="00BE0F76"/>
    <w:rsid w:val="00BE120D"/>
    <w:rsid w:val="00BE158C"/>
    <w:rsid w:val="00BE167E"/>
    <w:rsid w:val="00BE1964"/>
    <w:rsid w:val="00BE1967"/>
    <w:rsid w:val="00BE19E0"/>
    <w:rsid w:val="00BE2175"/>
    <w:rsid w:val="00BE21C8"/>
    <w:rsid w:val="00BE227E"/>
    <w:rsid w:val="00BE2530"/>
    <w:rsid w:val="00BE29AA"/>
    <w:rsid w:val="00BE2AE0"/>
    <w:rsid w:val="00BE2BF1"/>
    <w:rsid w:val="00BE2FB6"/>
    <w:rsid w:val="00BE3101"/>
    <w:rsid w:val="00BE31DC"/>
    <w:rsid w:val="00BE3526"/>
    <w:rsid w:val="00BE358A"/>
    <w:rsid w:val="00BE376B"/>
    <w:rsid w:val="00BE3A33"/>
    <w:rsid w:val="00BE3D72"/>
    <w:rsid w:val="00BE3DD0"/>
    <w:rsid w:val="00BE3FD6"/>
    <w:rsid w:val="00BE4112"/>
    <w:rsid w:val="00BE4A27"/>
    <w:rsid w:val="00BE4AE9"/>
    <w:rsid w:val="00BE4C47"/>
    <w:rsid w:val="00BE5379"/>
    <w:rsid w:val="00BE5402"/>
    <w:rsid w:val="00BE5855"/>
    <w:rsid w:val="00BE58DF"/>
    <w:rsid w:val="00BE5987"/>
    <w:rsid w:val="00BE5F4F"/>
    <w:rsid w:val="00BE6435"/>
    <w:rsid w:val="00BE64AF"/>
    <w:rsid w:val="00BE64B7"/>
    <w:rsid w:val="00BE65AE"/>
    <w:rsid w:val="00BE6A64"/>
    <w:rsid w:val="00BE6B69"/>
    <w:rsid w:val="00BE6BF1"/>
    <w:rsid w:val="00BE6C00"/>
    <w:rsid w:val="00BE6C3F"/>
    <w:rsid w:val="00BE6E94"/>
    <w:rsid w:val="00BE705C"/>
    <w:rsid w:val="00BE72B5"/>
    <w:rsid w:val="00BE73F9"/>
    <w:rsid w:val="00BE7498"/>
    <w:rsid w:val="00BE7509"/>
    <w:rsid w:val="00BE75DE"/>
    <w:rsid w:val="00BE7C1D"/>
    <w:rsid w:val="00BE7D95"/>
    <w:rsid w:val="00BF031D"/>
    <w:rsid w:val="00BF03D8"/>
    <w:rsid w:val="00BF0402"/>
    <w:rsid w:val="00BF05B7"/>
    <w:rsid w:val="00BF0A61"/>
    <w:rsid w:val="00BF0ACA"/>
    <w:rsid w:val="00BF0BCC"/>
    <w:rsid w:val="00BF0FCC"/>
    <w:rsid w:val="00BF1807"/>
    <w:rsid w:val="00BF180B"/>
    <w:rsid w:val="00BF1823"/>
    <w:rsid w:val="00BF1864"/>
    <w:rsid w:val="00BF1880"/>
    <w:rsid w:val="00BF1A40"/>
    <w:rsid w:val="00BF1B7B"/>
    <w:rsid w:val="00BF2146"/>
    <w:rsid w:val="00BF2516"/>
    <w:rsid w:val="00BF26E9"/>
    <w:rsid w:val="00BF293C"/>
    <w:rsid w:val="00BF2EF8"/>
    <w:rsid w:val="00BF2FF3"/>
    <w:rsid w:val="00BF3161"/>
    <w:rsid w:val="00BF3178"/>
    <w:rsid w:val="00BF339D"/>
    <w:rsid w:val="00BF3411"/>
    <w:rsid w:val="00BF3461"/>
    <w:rsid w:val="00BF34CC"/>
    <w:rsid w:val="00BF34D3"/>
    <w:rsid w:val="00BF3DF6"/>
    <w:rsid w:val="00BF4CCB"/>
    <w:rsid w:val="00BF4D34"/>
    <w:rsid w:val="00BF4EFB"/>
    <w:rsid w:val="00BF5612"/>
    <w:rsid w:val="00BF5AF5"/>
    <w:rsid w:val="00BF5FB1"/>
    <w:rsid w:val="00BF6159"/>
    <w:rsid w:val="00BF61E1"/>
    <w:rsid w:val="00BF6533"/>
    <w:rsid w:val="00BF6AD4"/>
    <w:rsid w:val="00BF6B82"/>
    <w:rsid w:val="00BF6FD8"/>
    <w:rsid w:val="00BF717E"/>
    <w:rsid w:val="00BF72EC"/>
    <w:rsid w:val="00BF7D6D"/>
    <w:rsid w:val="00BF7F7C"/>
    <w:rsid w:val="00C00058"/>
    <w:rsid w:val="00C0075D"/>
    <w:rsid w:val="00C00A9D"/>
    <w:rsid w:val="00C00CE3"/>
    <w:rsid w:val="00C00E20"/>
    <w:rsid w:val="00C01824"/>
    <w:rsid w:val="00C01B96"/>
    <w:rsid w:val="00C01D45"/>
    <w:rsid w:val="00C01E60"/>
    <w:rsid w:val="00C01EB1"/>
    <w:rsid w:val="00C0258D"/>
    <w:rsid w:val="00C0275D"/>
    <w:rsid w:val="00C02859"/>
    <w:rsid w:val="00C029AF"/>
    <w:rsid w:val="00C02B17"/>
    <w:rsid w:val="00C02C79"/>
    <w:rsid w:val="00C02D36"/>
    <w:rsid w:val="00C02EA6"/>
    <w:rsid w:val="00C0310B"/>
    <w:rsid w:val="00C035E3"/>
    <w:rsid w:val="00C03680"/>
    <w:rsid w:val="00C03899"/>
    <w:rsid w:val="00C03993"/>
    <w:rsid w:val="00C03F9C"/>
    <w:rsid w:val="00C04314"/>
    <w:rsid w:val="00C04499"/>
    <w:rsid w:val="00C045F5"/>
    <w:rsid w:val="00C047D5"/>
    <w:rsid w:val="00C047D9"/>
    <w:rsid w:val="00C04CBF"/>
    <w:rsid w:val="00C04F37"/>
    <w:rsid w:val="00C052ED"/>
    <w:rsid w:val="00C054DF"/>
    <w:rsid w:val="00C05756"/>
    <w:rsid w:val="00C0580F"/>
    <w:rsid w:val="00C0593D"/>
    <w:rsid w:val="00C05AAD"/>
    <w:rsid w:val="00C05C0C"/>
    <w:rsid w:val="00C05EC5"/>
    <w:rsid w:val="00C06120"/>
    <w:rsid w:val="00C062C0"/>
    <w:rsid w:val="00C067C3"/>
    <w:rsid w:val="00C068D1"/>
    <w:rsid w:val="00C06C6C"/>
    <w:rsid w:val="00C06D6E"/>
    <w:rsid w:val="00C07105"/>
    <w:rsid w:val="00C071D4"/>
    <w:rsid w:val="00C07B37"/>
    <w:rsid w:val="00C07F88"/>
    <w:rsid w:val="00C07FFC"/>
    <w:rsid w:val="00C1008E"/>
    <w:rsid w:val="00C10156"/>
    <w:rsid w:val="00C1072B"/>
    <w:rsid w:val="00C10C6B"/>
    <w:rsid w:val="00C10CCF"/>
    <w:rsid w:val="00C11042"/>
    <w:rsid w:val="00C113F3"/>
    <w:rsid w:val="00C1169C"/>
    <w:rsid w:val="00C116DE"/>
    <w:rsid w:val="00C116E8"/>
    <w:rsid w:val="00C11818"/>
    <w:rsid w:val="00C118D8"/>
    <w:rsid w:val="00C11A27"/>
    <w:rsid w:val="00C12104"/>
    <w:rsid w:val="00C121E6"/>
    <w:rsid w:val="00C12270"/>
    <w:rsid w:val="00C12378"/>
    <w:rsid w:val="00C12709"/>
    <w:rsid w:val="00C12DEE"/>
    <w:rsid w:val="00C12DF1"/>
    <w:rsid w:val="00C1313C"/>
    <w:rsid w:val="00C13281"/>
    <w:rsid w:val="00C135D0"/>
    <w:rsid w:val="00C13881"/>
    <w:rsid w:val="00C13D44"/>
    <w:rsid w:val="00C143A1"/>
    <w:rsid w:val="00C148FE"/>
    <w:rsid w:val="00C14978"/>
    <w:rsid w:val="00C14B6B"/>
    <w:rsid w:val="00C152A5"/>
    <w:rsid w:val="00C1534A"/>
    <w:rsid w:val="00C1586F"/>
    <w:rsid w:val="00C15A24"/>
    <w:rsid w:val="00C15A62"/>
    <w:rsid w:val="00C15E00"/>
    <w:rsid w:val="00C15E41"/>
    <w:rsid w:val="00C15EAC"/>
    <w:rsid w:val="00C160CF"/>
    <w:rsid w:val="00C1629F"/>
    <w:rsid w:val="00C16451"/>
    <w:rsid w:val="00C168B1"/>
    <w:rsid w:val="00C169C4"/>
    <w:rsid w:val="00C169FE"/>
    <w:rsid w:val="00C174CA"/>
    <w:rsid w:val="00C176D4"/>
    <w:rsid w:val="00C1780A"/>
    <w:rsid w:val="00C1787E"/>
    <w:rsid w:val="00C17BE7"/>
    <w:rsid w:val="00C17C8F"/>
    <w:rsid w:val="00C17EBE"/>
    <w:rsid w:val="00C17F6D"/>
    <w:rsid w:val="00C2009B"/>
    <w:rsid w:val="00C2045A"/>
    <w:rsid w:val="00C2053E"/>
    <w:rsid w:val="00C208A5"/>
    <w:rsid w:val="00C20D9C"/>
    <w:rsid w:val="00C20E98"/>
    <w:rsid w:val="00C21308"/>
    <w:rsid w:val="00C21337"/>
    <w:rsid w:val="00C21762"/>
    <w:rsid w:val="00C21974"/>
    <w:rsid w:val="00C21E02"/>
    <w:rsid w:val="00C21FDE"/>
    <w:rsid w:val="00C2207C"/>
    <w:rsid w:val="00C2211A"/>
    <w:rsid w:val="00C2240A"/>
    <w:rsid w:val="00C2268A"/>
    <w:rsid w:val="00C22742"/>
    <w:rsid w:val="00C2275F"/>
    <w:rsid w:val="00C22BEF"/>
    <w:rsid w:val="00C22E44"/>
    <w:rsid w:val="00C233AC"/>
    <w:rsid w:val="00C23507"/>
    <w:rsid w:val="00C2355D"/>
    <w:rsid w:val="00C236C1"/>
    <w:rsid w:val="00C2373E"/>
    <w:rsid w:val="00C240BD"/>
    <w:rsid w:val="00C24487"/>
    <w:rsid w:val="00C24543"/>
    <w:rsid w:val="00C24624"/>
    <w:rsid w:val="00C247B9"/>
    <w:rsid w:val="00C24859"/>
    <w:rsid w:val="00C24A94"/>
    <w:rsid w:val="00C24CAD"/>
    <w:rsid w:val="00C24CDF"/>
    <w:rsid w:val="00C250DB"/>
    <w:rsid w:val="00C2517B"/>
    <w:rsid w:val="00C25480"/>
    <w:rsid w:val="00C25607"/>
    <w:rsid w:val="00C256A2"/>
    <w:rsid w:val="00C2582F"/>
    <w:rsid w:val="00C25B4E"/>
    <w:rsid w:val="00C260BF"/>
    <w:rsid w:val="00C2655E"/>
    <w:rsid w:val="00C265A1"/>
    <w:rsid w:val="00C266A0"/>
    <w:rsid w:val="00C26A02"/>
    <w:rsid w:val="00C26AD6"/>
    <w:rsid w:val="00C2728C"/>
    <w:rsid w:val="00C27349"/>
    <w:rsid w:val="00C278B3"/>
    <w:rsid w:val="00C27A6A"/>
    <w:rsid w:val="00C27AA3"/>
    <w:rsid w:val="00C27B9B"/>
    <w:rsid w:val="00C27F2A"/>
    <w:rsid w:val="00C300ED"/>
    <w:rsid w:val="00C304FA"/>
    <w:rsid w:val="00C30573"/>
    <w:rsid w:val="00C30972"/>
    <w:rsid w:val="00C309C7"/>
    <w:rsid w:val="00C30AC4"/>
    <w:rsid w:val="00C30B18"/>
    <w:rsid w:val="00C30B9C"/>
    <w:rsid w:val="00C30D2D"/>
    <w:rsid w:val="00C315BA"/>
    <w:rsid w:val="00C31AE8"/>
    <w:rsid w:val="00C31CD7"/>
    <w:rsid w:val="00C32100"/>
    <w:rsid w:val="00C3244B"/>
    <w:rsid w:val="00C3249B"/>
    <w:rsid w:val="00C32539"/>
    <w:rsid w:val="00C32799"/>
    <w:rsid w:val="00C32962"/>
    <w:rsid w:val="00C329B6"/>
    <w:rsid w:val="00C331D7"/>
    <w:rsid w:val="00C33446"/>
    <w:rsid w:val="00C33726"/>
    <w:rsid w:val="00C33F62"/>
    <w:rsid w:val="00C34113"/>
    <w:rsid w:val="00C34137"/>
    <w:rsid w:val="00C3457E"/>
    <w:rsid w:val="00C34695"/>
    <w:rsid w:val="00C34834"/>
    <w:rsid w:val="00C34A4C"/>
    <w:rsid w:val="00C34CEF"/>
    <w:rsid w:val="00C34E9B"/>
    <w:rsid w:val="00C34F6F"/>
    <w:rsid w:val="00C35013"/>
    <w:rsid w:val="00C3530F"/>
    <w:rsid w:val="00C3534A"/>
    <w:rsid w:val="00C354CD"/>
    <w:rsid w:val="00C3552C"/>
    <w:rsid w:val="00C356D3"/>
    <w:rsid w:val="00C35936"/>
    <w:rsid w:val="00C35CE9"/>
    <w:rsid w:val="00C3601A"/>
    <w:rsid w:val="00C3617B"/>
    <w:rsid w:val="00C3623E"/>
    <w:rsid w:val="00C36652"/>
    <w:rsid w:val="00C368BD"/>
    <w:rsid w:val="00C36BF9"/>
    <w:rsid w:val="00C36DFD"/>
    <w:rsid w:val="00C372B6"/>
    <w:rsid w:val="00C37533"/>
    <w:rsid w:val="00C3766B"/>
    <w:rsid w:val="00C3782B"/>
    <w:rsid w:val="00C37FDB"/>
    <w:rsid w:val="00C401C4"/>
    <w:rsid w:val="00C40219"/>
    <w:rsid w:val="00C4028A"/>
    <w:rsid w:val="00C4032E"/>
    <w:rsid w:val="00C405FE"/>
    <w:rsid w:val="00C40641"/>
    <w:rsid w:val="00C4082F"/>
    <w:rsid w:val="00C40D8C"/>
    <w:rsid w:val="00C40F01"/>
    <w:rsid w:val="00C4102B"/>
    <w:rsid w:val="00C41462"/>
    <w:rsid w:val="00C415F7"/>
    <w:rsid w:val="00C4160B"/>
    <w:rsid w:val="00C4162A"/>
    <w:rsid w:val="00C4162E"/>
    <w:rsid w:val="00C4166B"/>
    <w:rsid w:val="00C417C3"/>
    <w:rsid w:val="00C41985"/>
    <w:rsid w:val="00C41AD0"/>
    <w:rsid w:val="00C41B7E"/>
    <w:rsid w:val="00C41D1E"/>
    <w:rsid w:val="00C41D81"/>
    <w:rsid w:val="00C4267E"/>
    <w:rsid w:val="00C42BE7"/>
    <w:rsid w:val="00C42CEA"/>
    <w:rsid w:val="00C42E8D"/>
    <w:rsid w:val="00C431B7"/>
    <w:rsid w:val="00C433C4"/>
    <w:rsid w:val="00C437CD"/>
    <w:rsid w:val="00C43C67"/>
    <w:rsid w:val="00C43CBF"/>
    <w:rsid w:val="00C43E22"/>
    <w:rsid w:val="00C440BB"/>
    <w:rsid w:val="00C440EB"/>
    <w:rsid w:val="00C441D8"/>
    <w:rsid w:val="00C44748"/>
    <w:rsid w:val="00C44766"/>
    <w:rsid w:val="00C44880"/>
    <w:rsid w:val="00C4519A"/>
    <w:rsid w:val="00C45376"/>
    <w:rsid w:val="00C45415"/>
    <w:rsid w:val="00C45612"/>
    <w:rsid w:val="00C45834"/>
    <w:rsid w:val="00C45D0C"/>
    <w:rsid w:val="00C46451"/>
    <w:rsid w:val="00C46486"/>
    <w:rsid w:val="00C46810"/>
    <w:rsid w:val="00C46C5D"/>
    <w:rsid w:val="00C46D69"/>
    <w:rsid w:val="00C473B3"/>
    <w:rsid w:val="00C47936"/>
    <w:rsid w:val="00C47943"/>
    <w:rsid w:val="00C50392"/>
    <w:rsid w:val="00C50724"/>
    <w:rsid w:val="00C50AE1"/>
    <w:rsid w:val="00C50BC3"/>
    <w:rsid w:val="00C50E0A"/>
    <w:rsid w:val="00C512B7"/>
    <w:rsid w:val="00C51515"/>
    <w:rsid w:val="00C51884"/>
    <w:rsid w:val="00C51A9D"/>
    <w:rsid w:val="00C51AA5"/>
    <w:rsid w:val="00C51B54"/>
    <w:rsid w:val="00C51D13"/>
    <w:rsid w:val="00C52032"/>
    <w:rsid w:val="00C520A7"/>
    <w:rsid w:val="00C529DC"/>
    <w:rsid w:val="00C52E97"/>
    <w:rsid w:val="00C53067"/>
    <w:rsid w:val="00C5332A"/>
    <w:rsid w:val="00C53354"/>
    <w:rsid w:val="00C533FC"/>
    <w:rsid w:val="00C53612"/>
    <w:rsid w:val="00C53A80"/>
    <w:rsid w:val="00C53ADC"/>
    <w:rsid w:val="00C53D99"/>
    <w:rsid w:val="00C54035"/>
    <w:rsid w:val="00C540FE"/>
    <w:rsid w:val="00C54104"/>
    <w:rsid w:val="00C544C8"/>
    <w:rsid w:val="00C548BE"/>
    <w:rsid w:val="00C54BCF"/>
    <w:rsid w:val="00C54C92"/>
    <w:rsid w:val="00C54EB5"/>
    <w:rsid w:val="00C554CF"/>
    <w:rsid w:val="00C55590"/>
    <w:rsid w:val="00C5560D"/>
    <w:rsid w:val="00C55C98"/>
    <w:rsid w:val="00C55DC5"/>
    <w:rsid w:val="00C56267"/>
    <w:rsid w:val="00C562B4"/>
    <w:rsid w:val="00C5660B"/>
    <w:rsid w:val="00C56633"/>
    <w:rsid w:val="00C567DF"/>
    <w:rsid w:val="00C569CD"/>
    <w:rsid w:val="00C56A7B"/>
    <w:rsid w:val="00C56BB7"/>
    <w:rsid w:val="00C573E1"/>
    <w:rsid w:val="00C576B7"/>
    <w:rsid w:val="00C578A4"/>
    <w:rsid w:val="00C57C08"/>
    <w:rsid w:val="00C57CC7"/>
    <w:rsid w:val="00C57E21"/>
    <w:rsid w:val="00C60071"/>
    <w:rsid w:val="00C604DB"/>
    <w:rsid w:val="00C6050F"/>
    <w:rsid w:val="00C605C2"/>
    <w:rsid w:val="00C6079C"/>
    <w:rsid w:val="00C60EAA"/>
    <w:rsid w:val="00C60EEA"/>
    <w:rsid w:val="00C60FD6"/>
    <w:rsid w:val="00C61082"/>
    <w:rsid w:val="00C6114D"/>
    <w:rsid w:val="00C61566"/>
    <w:rsid w:val="00C616B6"/>
    <w:rsid w:val="00C61BA9"/>
    <w:rsid w:val="00C61CC5"/>
    <w:rsid w:val="00C62087"/>
    <w:rsid w:val="00C62141"/>
    <w:rsid w:val="00C62241"/>
    <w:rsid w:val="00C62779"/>
    <w:rsid w:val="00C62AE2"/>
    <w:rsid w:val="00C62CFF"/>
    <w:rsid w:val="00C62E6F"/>
    <w:rsid w:val="00C630D7"/>
    <w:rsid w:val="00C6324B"/>
    <w:rsid w:val="00C63412"/>
    <w:rsid w:val="00C634ED"/>
    <w:rsid w:val="00C6366B"/>
    <w:rsid w:val="00C63994"/>
    <w:rsid w:val="00C639C6"/>
    <w:rsid w:val="00C639FB"/>
    <w:rsid w:val="00C63D51"/>
    <w:rsid w:val="00C6438A"/>
    <w:rsid w:val="00C64C20"/>
    <w:rsid w:val="00C6568F"/>
    <w:rsid w:val="00C65722"/>
    <w:rsid w:val="00C65E14"/>
    <w:rsid w:val="00C65EAD"/>
    <w:rsid w:val="00C66807"/>
    <w:rsid w:val="00C66B04"/>
    <w:rsid w:val="00C66B72"/>
    <w:rsid w:val="00C66CA5"/>
    <w:rsid w:val="00C66E3D"/>
    <w:rsid w:val="00C67228"/>
    <w:rsid w:val="00C675D4"/>
    <w:rsid w:val="00C67740"/>
    <w:rsid w:val="00C7030F"/>
    <w:rsid w:val="00C70378"/>
    <w:rsid w:val="00C7056B"/>
    <w:rsid w:val="00C70812"/>
    <w:rsid w:val="00C70933"/>
    <w:rsid w:val="00C709D4"/>
    <w:rsid w:val="00C709FD"/>
    <w:rsid w:val="00C70B35"/>
    <w:rsid w:val="00C7121C"/>
    <w:rsid w:val="00C713CE"/>
    <w:rsid w:val="00C713D2"/>
    <w:rsid w:val="00C71C0F"/>
    <w:rsid w:val="00C71DDD"/>
    <w:rsid w:val="00C71F60"/>
    <w:rsid w:val="00C722BA"/>
    <w:rsid w:val="00C72302"/>
    <w:rsid w:val="00C725C5"/>
    <w:rsid w:val="00C726E4"/>
    <w:rsid w:val="00C72736"/>
    <w:rsid w:val="00C72939"/>
    <w:rsid w:val="00C729FE"/>
    <w:rsid w:val="00C72AB3"/>
    <w:rsid w:val="00C72AD4"/>
    <w:rsid w:val="00C72D1D"/>
    <w:rsid w:val="00C73345"/>
    <w:rsid w:val="00C73D8E"/>
    <w:rsid w:val="00C73EBD"/>
    <w:rsid w:val="00C746F6"/>
    <w:rsid w:val="00C74A29"/>
    <w:rsid w:val="00C74AF3"/>
    <w:rsid w:val="00C751A0"/>
    <w:rsid w:val="00C7553C"/>
    <w:rsid w:val="00C755F5"/>
    <w:rsid w:val="00C7582E"/>
    <w:rsid w:val="00C75A24"/>
    <w:rsid w:val="00C75BB3"/>
    <w:rsid w:val="00C75D26"/>
    <w:rsid w:val="00C7606B"/>
    <w:rsid w:val="00C7625C"/>
    <w:rsid w:val="00C762F5"/>
    <w:rsid w:val="00C7651F"/>
    <w:rsid w:val="00C7669B"/>
    <w:rsid w:val="00C768DE"/>
    <w:rsid w:val="00C769B0"/>
    <w:rsid w:val="00C76DF0"/>
    <w:rsid w:val="00C7755C"/>
    <w:rsid w:val="00C777AC"/>
    <w:rsid w:val="00C777EF"/>
    <w:rsid w:val="00C77B1A"/>
    <w:rsid w:val="00C77BDE"/>
    <w:rsid w:val="00C80067"/>
    <w:rsid w:val="00C8077D"/>
    <w:rsid w:val="00C80B39"/>
    <w:rsid w:val="00C80BAE"/>
    <w:rsid w:val="00C80D43"/>
    <w:rsid w:val="00C8114D"/>
    <w:rsid w:val="00C817A5"/>
    <w:rsid w:val="00C819AF"/>
    <w:rsid w:val="00C81B10"/>
    <w:rsid w:val="00C821A3"/>
    <w:rsid w:val="00C825C1"/>
    <w:rsid w:val="00C82945"/>
    <w:rsid w:val="00C82ED9"/>
    <w:rsid w:val="00C834DD"/>
    <w:rsid w:val="00C8384D"/>
    <w:rsid w:val="00C83A04"/>
    <w:rsid w:val="00C83C2A"/>
    <w:rsid w:val="00C83F12"/>
    <w:rsid w:val="00C84135"/>
    <w:rsid w:val="00C842DF"/>
    <w:rsid w:val="00C84510"/>
    <w:rsid w:val="00C84A25"/>
    <w:rsid w:val="00C851E6"/>
    <w:rsid w:val="00C853B0"/>
    <w:rsid w:val="00C85578"/>
    <w:rsid w:val="00C856C0"/>
    <w:rsid w:val="00C85A89"/>
    <w:rsid w:val="00C85B93"/>
    <w:rsid w:val="00C85E9A"/>
    <w:rsid w:val="00C85F9F"/>
    <w:rsid w:val="00C86148"/>
    <w:rsid w:val="00C861DF"/>
    <w:rsid w:val="00C86278"/>
    <w:rsid w:val="00C8646E"/>
    <w:rsid w:val="00C86ACF"/>
    <w:rsid w:val="00C86EE8"/>
    <w:rsid w:val="00C86F17"/>
    <w:rsid w:val="00C872FB"/>
    <w:rsid w:val="00C8759D"/>
    <w:rsid w:val="00C87837"/>
    <w:rsid w:val="00C87E2B"/>
    <w:rsid w:val="00C87EB8"/>
    <w:rsid w:val="00C90B4A"/>
    <w:rsid w:val="00C90D02"/>
    <w:rsid w:val="00C90F17"/>
    <w:rsid w:val="00C90FA6"/>
    <w:rsid w:val="00C9127C"/>
    <w:rsid w:val="00C914C4"/>
    <w:rsid w:val="00C9157C"/>
    <w:rsid w:val="00C9166A"/>
    <w:rsid w:val="00C9176B"/>
    <w:rsid w:val="00C9192C"/>
    <w:rsid w:val="00C91A11"/>
    <w:rsid w:val="00C91BCA"/>
    <w:rsid w:val="00C91F1F"/>
    <w:rsid w:val="00C91FAE"/>
    <w:rsid w:val="00C92371"/>
    <w:rsid w:val="00C925E5"/>
    <w:rsid w:val="00C9263A"/>
    <w:rsid w:val="00C92BBF"/>
    <w:rsid w:val="00C92DFD"/>
    <w:rsid w:val="00C93069"/>
    <w:rsid w:val="00C93076"/>
    <w:rsid w:val="00C933F9"/>
    <w:rsid w:val="00C9346A"/>
    <w:rsid w:val="00C93901"/>
    <w:rsid w:val="00C939C5"/>
    <w:rsid w:val="00C93D7B"/>
    <w:rsid w:val="00C93F0B"/>
    <w:rsid w:val="00C9443A"/>
    <w:rsid w:val="00C94480"/>
    <w:rsid w:val="00C94963"/>
    <w:rsid w:val="00C94BF7"/>
    <w:rsid w:val="00C94C3A"/>
    <w:rsid w:val="00C94D25"/>
    <w:rsid w:val="00C94D5E"/>
    <w:rsid w:val="00C94E03"/>
    <w:rsid w:val="00C95188"/>
    <w:rsid w:val="00C9543D"/>
    <w:rsid w:val="00C9562B"/>
    <w:rsid w:val="00C9567A"/>
    <w:rsid w:val="00C95E86"/>
    <w:rsid w:val="00C95F29"/>
    <w:rsid w:val="00C96C27"/>
    <w:rsid w:val="00C96E9B"/>
    <w:rsid w:val="00C9728C"/>
    <w:rsid w:val="00C9741F"/>
    <w:rsid w:val="00C9749F"/>
    <w:rsid w:val="00C9767B"/>
    <w:rsid w:val="00C97AD9"/>
    <w:rsid w:val="00C97B5F"/>
    <w:rsid w:val="00CA02D4"/>
    <w:rsid w:val="00CA03F7"/>
    <w:rsid w:val="00CA0614"/>
    <w:rsid w:val="00CA08D1"/>
    <w:rsid w:val="00CA09B0"/>
    <w:rsid w:val="00CA0BD8"/>
    <w:rsid w:val="00CA0FAD"/>
    <w:rsid w:val="00CA115B"/>
    <w:rsid w:val="00CA1167"/>
    <w:rsid w:val="00CA1392"/>
    <w:rsid w:val="00CA1713"/>
    <w:rsid w:val="00CA1877"/>
    <w:rsid w:val="00CA18FF"/>
    <w:rsid w:val="00CA19CA"/>
    <w:rsid w:val="00CA1CAE"/>
    <w:rsid w:val="00CA1CFC"/>
    <w:rsid w:val="00CA1DB2"/>
    <w:rsid w:val="00CA20AB"/>
    <w:rsid w:val="00CA20D3"/>
    <w:rsid w:val="00CA2398"/>
    <w:rsid w:val="00CA2420"/>
    <w:rsid w:val="00CA2443"/>
    <w:rsid w:val="00CA24E3"/>
    <w:rsid w:val="00CA2AED"/>
    <w:rsid w:val="00CA2C51"/>
    <w:rsid w:val="00CA2F0C"/>
    <w:rsid w:val="00CA2FD0"/>
    <w:rsid w:val="00CA31B2"/>
    <w:rsid w:val="00CA346B"/>
    <w:rsid w:val="00CA39F5"/>
    <w:rsid w:val="00CA3FAB"/>
    <w:rsid w:val="00CA4050"/>
    <w:rsid w:val="00CA438E"/>
    <w:rsid w:val="00CA4570"/>
    <w:rsid w:val="00CA4E0B"/>
    <w:rsid w:val="00CA4E81"/>
    <w:rsid w:val="00CA51DB"/>
    <w:rsid w:val="00CA594D"/>
    <w:rsid w:val="00CA5A39"/>
    <w:rsid w:val="00CA5B59"/>
    <w:rsid w:val="00CA5BC8"/>
    <w:rsid w:val="00CA5EFF"/>
    <w:rsid w:val="00CA6001"/>
    <w:rsid w:val="00CA61B4"/>
    <w:rsid w:val="00CA6347"/>
    <w:rsid w:val="00CA646A"/>
    <w:rsid w:val="00CA69B4"/>
    <w:rsid w:val="00CA6A7E"/>
    <w:rsid w:val="00CA6B51"/>
    <w:rsid w:val="00CA704F"/>
    <w:rsid w:val="00CA710A"/>
    <w:rsid w:val="00CA7628"/>
    <w:rsid w:val="00CA7658"/>
    <w:rsid w:val="00CA77C5"/>
    <w:rsid w:val="00CA7835"/>
    <w:rsid w:val="00CA7A77"/>
    <w:rsid w:val="00CA7D38"/>
    <w:rsid w:val="00CA7EA3"/>
    <w:rsid w:val="00CB0568"/>
    <w:rsid w:val="00CB09A0"/>
    <w:rsid w:val="00CB09E7"/>
    <w:rsid w:val="00CB0ACA"/>
    <w:rsid w:val="00CB0B97"/>
    <w:rsid w:val="00CB1367"/>
    <w:rsid w:val="00CB13AA"/>
    <w:rsid w:val="00CB15BF"/>
    <w:rsid w:val="00CB1774"/>
    <w:rsid w:val="00CB1900"/>
    <w:rsid w:val="00CB1970"/>
    <w:rsid w:val="00CB1B22"/>
    <w:rsid w:val="00CB1DEC"/>
    <w:rsid w:val="00CB1DFB"/>
    <w:rsid w:val="00CB1F54"/>
    <w:rsid w:val="00CB212D"/>
    <w:rsid w:val="00CB2209"/>
    <w:rsid w:val="00CB2365"/>
    <w:rsid w:val="00CB25B4"/>
    <w:rsid w:val="00CB2660"/>
    <w:rsid w:val="00CB268E"/>
    <w:rsid w:val="00CB2B44"/>
    <w:rsid w:val="00CB2DFC"/>
    <w:rsid w:val="00CB33DA"/>
    <w:rsid w:val="00CB3658"/>
    <w:rsid w:val="00CB3766"/>
    <w:rsid w:val="00CB3934"/>
    <w:rsid w:val="00CB3975"/>
    <w:rsid w:val="00CB3A04"/>
    <w:rsid w:val="00CB3AA7"/>
    <w:rsid w:val="00CB3D2A"/>
    <w:rsid w:val="00CB3F4F"/>
    <w:rsid w:val="00CB401E"/>
    <w:rsid w:val="00CB420B"/>
    <w:rsid w:val="00CB447C"/>
    <w:rsid w:val="00CB4946"/>
    <w:rsid w:val="00CB4D49"/>
    <w:rsid w:val="00CB51F9"/>
    <w:rsid w:val="00CB5393"/>
    <w:rsid w:val="00CB5405"/>
    <w:rsid w:val="00CB55E6"/>
    <w:rsid w:val="00CB5A50"/>
    <w:rsid w:val="00CB5B57"/>
    <w:rsid w:val="00CB5CC9"/>
    <w:rsid w:val="00CB6563"/>
    <w:rsid w:val="00CB675A"/>
    <w:rsid w:val="00CB68A6"/>
    <w:rsid w:val="00CB6914"/>
    <w:rsid w:val="00CB6A15"/>
    <w:rsid w:val="00CB6BBC"/>
    <w:rsid w:val="00CB6BD5"/>
    <w:rsid w:val="00CB6CDB"/>
    <w:rsid w:val="00CB6E4D"/>
    <w:rsid w:val="00CB7019"/>
    <w:rsid w:val="00CB7174"/>
    <w:rsid w:val="00CB72FC"/>
    <w:rsid w:val="00CB75DC"/>
    <w:rsid w:val="00CB768E"/>
    <w:rsid w:val="00CC033F"/>
    <w:rsid w:val="00CC03B1"/>
    <w:rsid w:val="00CC0411"/>
    <w:rsid w:val="00CC0526"/>
    <w:rsid w:val="00CC06B3"/>
    <w:rsid w:val="00CC08FE"/>
    <w:rsid w:val="00CC0C3B"/>
    <w:rsid w:val="00CC1D21"/>
    <w:rsid w:val="00CC2014"/>
    <w:rsid w:val="00CC2355"/>
    <w:rsid w:val="00CC23DD"/>
    <w:rsid w:val="00CC2479"/>
    <w:rsid w:val="00CC25EE"/>
    <w:rsid w:val="00CC2BC5"/>
    <w:rsid w:val="00CC2CE0"/>
    <w:rsid w:val="00CC2D25"/>
    <w:rsid w:val="00CC2F8A"/>
    <w:rsid w:val="00CC2FB9"/>
    <w:rsid w:val="00CC305E"/>
    <w:rsid w:val="00CC3194"/>
    <w:rsid w:val="00CC31C5"/>
    <w:rsid w:val="00CC33E4"/>
    <w:rsid w:val="00CC40F6"/>
    <w:rsid w:val="00CC42F4"/>
    <w:rsid w:val="00CC437D"/>
    <w:rsid w:val="00CC44AC"/>
    <w:rsid w:val="00CC4507"/>
    <w:rsid w:val="00CC4FB6"/>
    <w:rsid w:val="00CC4FCD"/>
    <w:rsid w:val="00CC54BA"/>
    <w:rsid w:val="00CC5619"/>
    <w:rsid w:val="00CC5A69"/>
    <w:rsid w:val="00CC5DFD"/>
    <w:rsid w:val="00CC5E90"/>
    <w:rsid w:val="00CC5E9E"/>
    <w:rsid w:val="00CC5FD0"/>
    <w:rsid w:val="00CC6286"/>
    <w:rsid w:val="00CC62A2"/>
    <w:rsid w:val="00CC636E"/>
    <w:rsid w:val="00CC68DB"/>
    <w:rsid w:val="00CC6DEA"/>
    <w:rsid w:val="00CC6EB4"/>
    <w:rsid w:val="00CC6EEB"/>
    <w:rsid w:val="00CC7018"/>
    <w:rsid w:val="00CC7072"/>
    <w:rsid w:val="00CC7123"/>
    <w:rsid w:val="00CC73C1"/>
    <w:rsid w:val="00CC759E"/>
    <w:rsid w:val="00CC76D2"/>
    <w:rsid w:val="00CC7862"/>
    <w:rsid w:val="00CC7B6E"/>
    <w:rsid w:val="00CC7BE0"/>
    <w:rsid w:val="00CC7D0D"/>
    <w:rsid w:val="00CC7F14"/>
    <w:rsid w:val="00CD046C"/>
    <w:rsid w:val="00CD04FC"/>
    <w:rsid w:val="00CD07FB"/>
    <w:rsid w:val="00CD0EA6"/>
    <w:rsid w:val="00CD1071"/>
    <w:rsid w:val="00CD1103"/>
    <w:rsid w:val="00CD127C"/>
    <w:rsid w:val="00CD186A"/>
    <w:rsid w:val="00CD1947"/>
    <w:rsid w:val="00CD1B0D"/>
    <w:rsid w:val="00CD215D"/>
    <w:rsid w:val="00CD21B3"/>
    <w:rsid w:val="00CD21DC"/>
    <w:rsid w:val="00CD241B"/>
    <w:rsid w:val="00CD25E8"/>
    <w:rsid w:val="00CD2990"/>
    <w:rsid w:val="00CD2A95"/>
    <w:rsid w:val="00CD2B79"/>
    <w:rsid w:val="00CD31BC"/>
    <w:rsid w:val="00CD352F"/>
    <w:rsid w:val="00CD39A2"/>
    <w:rsid w:val="00CD3E9E"/>
    <w:rsid w:val="00CD4108"/>
    <w:rsid w:val="00CD4338"/>
    <w:rsid w:val="00CD4589"/>
    <w:rsid w:val="00CD489C"/>
    <w:rsid w:val="00CD49CE"/>
    <w:rsid w:val="00CD4B8B"/>
    <w:rsid w:val="00CD4BA5"/>
    <w:rsid w:val="00CD4EAB"/>
    <w:rsid w:val="00CD50D6"/>
    <w:rsid w:val="00CD5CE4"/>
    <w:rsid w:val="00CD5E89"/>
    <w:rsid w:val="00CD6484"/>
    <w:rsid w:val="00CD66CD"/>
    <w:rsid w:val="00CD6740"/>
    <w:rsid w:val="00CD6BFE"/>
    <w:rsid w:val="00CD6C03"/>
    <w:rsid w:val="00CD6F85"/>
    <w:rsid w:val="00CD72F1"/>
    <w:rsid w:val="00CD73B3"/>
    <w:rsid w:val="00CD741C"/>
    <w:rsid w:val="00CD7561"/>
    <w:rsid w:val="00CD7853"/>
    <w:rsid w:val="00CD7ABD"/>
    <w:rsid w:val="00CD7C47"/>
    <w:rsid w:val="00CE0033"/>
    <w:rsid w:val="00CE009C"/>
    <w:rsid w:val="00CE02F4"/>
    <w:rsid w:val="00CE04B9"/>
    <w:rsid w:val="00CE0543"/>
    <w:rsid w:val="00CE076C"/>
    <w:rsid w:val="00CE0D7C"/>
    <w:rsid w:val="00CE0F5A"/>
    <w:rsid w:val="00CE1745"/>
    <w:rsid w:val="00CE17C9"/>
    <w:rsid w:val="00CE1801"/>
    <w:rsid w:val="00CE1A43"/>
    <w:rsid w:val="00CE1A73"/>
    <w:rsid w:val="00CE1DFC"/>
    <w:rsid w:val="00CE20B6"/>
    <w:rsid w:val="00CE245D"/>
    <w:rsid w:val="00CE26E5"/>
    <w:rsid w:val="00CE2A89"/>
    <w:rsid w:val="00CE2FB5"/>
    <w:rsid w:val="00CE311B"/>
    <w:rsid w:val="00CE318B"/>
    <w:rsid w:val="00CE366D"/>
    <w:rsid w:val="00CE371E"/>
    <w:rsid w:val="00CE3D55"/>
    <w:rsid w:val="00CE40FF"/>
    <w:rsid w:val="00CE41AC"/>
    <w:rsid w:val="00CE4343"/>
    <w:rsid w:val="00CE434E"/>
    <w:rsid w:val="00CE4419"/>
    <w:rsid w:val="00CE44CE"/>
    <w:rsid w:val="00CE4A64"/>
    <w:rsid w:val="00CE4C21"/>
    <w:rsid w:val="00CE4D31"/>
    <w:rsid w:val="00CE5199"/>
    <w:rsid w:val="00CE5305"/>
    <w:rsid w:val="00CE547B"/>
    <w:rsid w:val="00CE59DE"/>
    <w:rsid w:val="00CE5A44"/>
    <w:rsid w:val="00CE5C5B"/>
    <w:rsid w:val="00CE5D46"/>
    <w:rsid w:val="00CE5DB7"/>
    <w:rsid w:val="00CE6083"/>
    <w:rsid w:val="00CE6108"/>
    <w:rsid w:val="00CE6181"/>
    <w:rsid w:val="00CE6649"/>
    <w:rsid w:val="00CE66D5"/>
    <w:rsid w:val="00CE672C"/>
    <w:rsid w:val="00CE6D06"/>
    <w:rsid w:val="00CE6E9A"/>
    <w:rsid w:val="00CE78B1"/>
    <w:rsid w:val="00CE7C68"/>
    <w:rsid w:val="00CE7F4A"/>
    <w:rsid w:val="00CE7FB0"/>
    <w:rsid w:val="00CF011F"/>
    <w:rsid w:val="00CF012B"/>
    <w:rsid w:val="00CF02D8"/>
    <w:rsid w:val="00CF0811"/>
    <w:rsid w:val="00CF0F98"/>
    <w:rsid w:val="00CF102F"/>
    <w:rsid w:val="00CF11CB"/>
    <w:rsid w:val="00CF18D1"/>
    <w:rsid w:val="00CF1FAC"/>
    <w:rsid w:val="00CF2938"/>
    <w:rsid w:val="00CF29AF"/>
    <w:rsid w:val="00CF2B4C"/>
    <w:rsid w:val="00CF2D2D"/>
    <w:rsid w:val="00CF3144"/>
    <w:rsid w:val="00CF351C"/>
    <w:rsid w:val="00CF396D"/>
    <w:rsid w:val="00CF3A2D"/>
    <w:rsid w:val="00CF3E28"/>
    <w:rsid w:val="00CF3E8C"/>
    <w:rsid w:val="00CF3FE8"/>
    <w:rsid w:val="00CF42D1"/>
    <w:rsid w:val="00CF438A"/>
    <w:rsid w:val="00CF43DB"/>
    <w:rsid w:val="00CF45D6"/>
    <w:rsid w:val="00CF4A54"/>
    <w:rsid w:val="00CF4CB0"/>
    <w:rsid w:val="00CF4EE8"/>
    <w:rsid w:val="00CF4F4B"/>
    <w:rsid w:val="00CF54A5"/>
    <w:rsid w:val="00CF55F9"/>
    <w:rsid w:val="00CF581D"/>
    <w:rsid w:val="00CF5907"/>
    <w:rsid w:val="00CF5B9C"/>
    <w:rsid w:val="00CF5C49"/>
    <w:rsid w:val="00CF637A"/>
    <w:rsid w:val="00CF6754"/>
    <w:rsid w:val="00CF6787"/>
    <w:rsid w:val="00CF67F9"/>
    <w:rsid w:val="00CF690A"/>
    <w:rsid w:val="00CF6C35"/>
    <w:rsid w:val="00CF6DE7"/>
    <w:rsid w:val="00CF7664"/>
    <w:rsid w:val="00CF7A42"/>
    <w:rsid w:val="00CF7E17"/>
    <w:rsid w:val="00CF7EB4"/>
    <w:rsid w:val="00D0014F"/>
    <w:rsid w:val="00D00383"/>
    <w:rsid w:val="00D00431"/>
    <w:rsid w:val="00D0086F"/>
    <w:rsid w:val="00D00928"/>
    <w:rsid w:val="00D00C12"/>
    <w:rsid w:val="00D00DF1"/>
    <w:rsid w:val="00D00FF0"/>
    <w:rsid w:val="00D01027"/>
    <w:rsid w:val="00D010CF"/>
    <w:rsid w:val="00D0122F"/>
    <w:rsid w:val="00D013AC"/>
    <w:rsid w:val="00D013FD"/>
    <w:rsid w:val="00D0171F"/>
    <w:rsid w:val="00D0175B"/>
    <w:rsid w:val="00D018AD"/>
    <w:rsid w:val="00D01BBD"/>
    <w:rsid w:val="00D01E41"/>
    <w:rsid w:val="00D01FD1"/>
    <w:rsid w:val="00D022A2"/>
    <w:rsid w:val="00D02480"/>
    <w:rsid w:val="00D02DAA"/>
    <w:rsid w:val="00D02DB7"/>
    <w:rsid w:val="00D03673"/>
    <w:rsid w:val="00D03E7E"/>
    <w:rsid w:val="00D03F26"/>
    <w:rsid w:val="00D04259"/>
    <w:rsid w:val="00D044BD"/>
    <w:rsid w:val="00D046A0"/>
    <w:rsid w:val="00D046C4"/>
    <w:rsid w:val="00D04F27"/>
    <w:rsid w:val="00D052B4"/>
    <w:rsid w:val="00D05582"/>
    <w:rsid w:val="00D05748"/>
    <w:rsid w:val="00D05894"/>
    <w:rsid w:val="00D059DE"/>
    <w:rsid w:val="00D05B0B"/>
    <w:rsid w:val="00D05B7D"/>
    <w:rsid w:val="00D05D29"/>
    <w:rsid w:val="00D062FF"/>
    <w:rsid w:val="00D0639F"/>
    <w:rsid w:val="00D063AD"/>
    <w:rsid w:val="00D066BF"/>
    <w:rsid w:val="00D068DE"/>
    <w:rsid w:val="00D06C0D"/>
    <w:rsid w:val="00D0706F"/>
    <w:rsid w:val="00D071B0"/>
    <w:rsid w:val="00D072E9"/>
    <w:rsid w:val="00D07351"/>
    <w:rsid w:val="00D078F2"/>
    <w:rsid w:val="00D07B33"/>
    <w:rsid w:val="00D07CD3"/>
    <w:rsid w:val="00D10017"/>
    <w:rsid w:val="00D1016C"/>
    <w:rsid w:val="00D10504"/>
    <w:rsid w:val="00D108E9"/>
    <w:rsid w:val="00D10E07"/>
    <w:rsid w:val="00D10F5B"/>
    <w:rsid w:val="00D112E6"/>
    <w:rsid w:val="00D115FA"/>
    <w:rsid w:val="00D1165D"/>
    <w:rsid w:val="00D11A5E"/>
    <w:rsid w:val="00D11B06"/>
    <w:rsid w:val="00D122CE"/>
    <w:rsid w:val="00D1255D"/>
    <w:rsid w:val="00D12665"/>
    <w:rsid w:val="00D127BA"/>
    <w:rsid w:val="00D1284F"/>
    <w:rsid w:val="00D1292D"/>
    <w:rsid w:val="00D12CAB"/>
    <w:rsid w:val="00D12EFE"/>
    <w:rsid w:val="00D13137"/>
    <w:rsid w:val="00D1390E"/>
    <w:rsid w:val="00D13C2A"/>
    <w:rsid w:val="00D13D09"/>
    <w:rsid w:val="00D13FCE"/>
    <w:rsid w:val="00D1453E"/>
    <w:rsid w:val="00D14557"/>
    <w:rsid w:val="00D149F1"/>
    <w:rsid w:val="00D14D4D"/>
    <w:rsid w:val="00D14D5F"/>
    <w:rsid w:val="00D14ECA"/>
    <w:rsid w:val="00D14F16"/>
    <w:rsid w:val="00D15325"/>
    <w:rsid w:val="00D15370"/>
    <w:rsid w:val="00D159C3"/>
    <w:rsid w:val="00D15B6C"/>
    <w:rsid w:val="00D15D38"/>
    <w:rsid w:val="00D15EC3"/>
    <w:rsid w:val="00D15F59"/>
    <w:rsid w:val="00D162A1"/>
    <w:rsid w:val="00D163F2"/>
    <w:rsid w:val="00D1647D"/>
    <w:rsid w:val="00D166BA"/>
    <w:rsid w:val="00D167D5"/>
    <w:rsid w:val="00D167FE"/>
    <w:rsid w:val="00D16870"/>
    <w:rsid w:val="00D169E2"/>
    <w:rsid w:val="00D173C6"/>
    <w:rsid w:val="00D173D2"/>
    <w:rsid w:val="00D17482"/>
    <w:rsid w:val="00D17929"/>
    <w:rsid w:val="00D17CC0"/>
    <w:rsid w:val="00D17FBF"/>
    <w:rsid w:val="00D200F6"/>
    <w:rsid w:val="00D20226"/>
    <w:rsid w:val="00D202AC"/>
    <w:rsid w:val="00D203B3"/>
    <w:rsid w:val="00D2052B"/>
    <w:rsid w:val="00D20556"/>
    <w:rsid w:val="00D20558"/>
    <w:rsid w:val="00D20A44"/>
    <w:rsid w:val="00D20AB9"/>
    <w:rsid w:val="00D20B84"/>
    <w:rsid w:val="00D20BD7"/>
    <w:rsid w:val="00D20D0E"/>
    <w:rsid w:val="00D20EA8"/>
    <w:rsid w:val="00D20FB9"/>
    <w:rsid w:val="00D2116F"/>
    <w:rsid w:val="00D211CE"/>
    <w:rsid w:val="00D21320"/>
    <w:rsid w:val="00D21891"/>
    <w:rsid w:val="00D21966"/>
    <w:rsid w:val="00D21A95"/>
    <w:rsid w:val="00D21A9E"/>
    <w:rsid w:val="00D21B3A"/>
    <w:rsid w:val="00D21D43"/>
    <w:rsid w:val="00D21E3A"/>
    <w:rsid w:val="00D21ECA"/>
    <w:rsid w:val="00D21F40"/>
    <w:rsid w:val="00D22010"/>
    <w:rsid w:val="00D22505"/>
    <w:rsid w:val="00D22566"/>
    <w:rsid w:val="00D22575"/>
    <w:rsid w:val="00D225CE"/>
    <w:rsid w:val="00D226F1"/>
    <w:rsid w:val="00D2281E"/>
    <w:rsid w:val="00D22A2B"/>
    <w:rsid w:val="00D22E8A"/>
    <w:rsid w:val="00D2333E"/>
    <w:rsid w:val="00D2360B"/>
    <w:rsid w:val="00D236A7"/>
    <w:rsid w:val="00D2399B"/>
    <w:rsid w:val="00D239E9"/>
    <w:rsid w:val="00D247B5"/>
    <w:rsid w:val="00D248F7"/>
    <w:rsid w:val="00D24A7F"/>
    <w:rsid w:val="00D24ED7"/>
    <w:rsid w:val="00D24EFB"/>
    <w:rsid w:val="00D251F2"/>
    <w:rsid w:val="00D25592"/>
    <w:rsid w:val="00D255FE"/>
    <w:rsid w:val="00D2562A"/>
    <w:rsid w:val="00D2577D"/>
    <w:rsid w:val="00D25974"/>
    <w:rsid w:val="00D25DA5"/>
    <w:rsid w:val="00D25E35"/>
    <w:rsid w:val="00D25E53"/>
    <w:rsid w:val="00D25FD8"/>
    <w:rsid w:val="00D2602F"/>
    <w:rsid w:val="00D26301"/>
    <w:rsid w:val="00D2631B"/>
    <w:rsid w:val="00D26A84"/>
    <w:rsid w:val="00D26D2F"/>
    <w:rsid w:val="00D271E9"/>
    <w:rsid w:val="00D27665"/>
    <w:rsid w:val="00D27690"/>
    <w:rsid w:val="00D276A7"/>
    <w:rsid w:val="00D27700"/>
    <w:rsid w:val="00D27B53"/>
    <w:rsid w:val="00D30235"/>
    <w:rsid w:val="00D302B9"/>
    <w:rsid w:val="00D306D1"/>
    <w:rsid w:val="00D306F3"/>
    <w:rsid w:val="00D308F8"/>
    <w:rsid w:val="00D309B3"/>
    <w:rsid w:val="00D30B38"/>
    <w:rsid w:val="00D30BB0"/>
    <w:rsid w:val="00D30DD0"/>
    <w:rsid w:val="00D3127C"/>
    <w:rsid w:val="00D31642"/>
    <w:rsid w:val="00D31674"/>
    <w:rsid w:val="00D318D8"/>
    <w:rsid w:val="00D31F3C"/>
    <w:rsid w:val="00D32002"/>
    <w:rsid w:val="00D32014"/>
    <w:rsid w:val="00D32082"/>
    <w:rsid w:val="00D324B3"/>
    <w:rsid w:val="00D3282D"/>
    <w:rsid w:val="00D329C8"/>
    <w:rsid w:val="00D32AF5"/>
    <w:rsid w:val="00D33614"/>
    <w:rsid w:val="00D33852"/>
    <w:rsid w:val="00D33903"/>
    <w:rsid w:val="00D33AF6"/>
    <w:rsid w:val="00D33CE8"/>
    <w:rsid w:val="00D33E17"/>
    <w:rsid w:val="00D34291"/>
    <w:rsid w:val="00D343B8"/>
    <w:rsid w:val="00D345DE"/>
    <w:rsid w:val="00D34740"/>
    <w:rsid w:val="00D34786"/>
    <w:rsid w:val="00D34BE9"/>
    <w:rsid w:val="00D34C63"/>
    <w:rsid w:val="00D34E8F"/>
    <w:rsid w:val="00D34EC4"/>
    <w:rsid w:val="00D3556A"/>
    <w:rsid w:val="00D35634"/>
    <w:rsid w:val="00D35829"/>
    <w:rsid w:val="00D35966"/>
    <w:rsid w:val="00D35BD0"/>
    <w:rsid w:val="00D35D07"/>
    <w:rsid w:val="00D35F36"/>
    <w:rsid w:val="00D35F98"/>
    <w:rsid w:val="00D360E3"/>
    <w:rsid w:val="00D36259"/>
    <w:rsid w:val="00D363CB"/>
    <w:rsid w:val="00D367BC"/>
    <w:rsid w:val="00D3681A"/>
    <w:rsid w:val="00D3682C"/>
    <w:rsid w:val="00D36B0E"/>
    <w:rsid w:val="00D36DC7"/>
    <w:rsid w:val="00D3710A"/>
    <w:rsid w:val="00D3731F"/>
    <w:rsid w:val="00D37396"/>
    <w:rsid w:val="00D373F6"/>
    <w:rsid w:val="00D379EF"/>
    <w:rsid w:val="00D37B53"/>
    <w:rsid w:val="00D37BBE"/>
    <w:rsid w:val="00D40168"/>
    <w:rsid w:val="00D401E6"/>
    <w:rsid w:val="00D4075D"/>
    <w:rsid w:val="00D409A3"/>
    <w:rsid w:val="00D413C3"/>
    <w:rsid w:val="00D415DC"/>
    <w:rsid w:val="00D415E8"/>
    <w:rsid w:val="00D4163E"/>
    <w:rsid w:val="00D41751"/>
    <w:rsid w:val="00D41B02"/>
    <w:rsid w:val="00D41B21"/>
    <w:rsid w:val="00D41B66"/>
    <w:rsid w:val="00D41BBF"/>
    <w:rsid w:val="00D41DC9"/>
    <w:rsid w:val="00D42D8E"/>
    <w:rsid w:val="00D43262"/>
    <w:rsid w:val="00D43675"/>
    <w:rsid w:val="00D43835"/>
    <w:rsid w:val="00D43A4E"/>
    <w:rsid w:val="00D43AD3"/>
    <w:rsid w:val="00D43B9E"/>
    <w:rsid w:val="00D43BEE"/>
    <w:rsid w:val="00D43F6C"/>
    <w:rsid w:val="00D43FEB"/>
    <w:rsid w:val="00D44154"/>
    <w:rsid w:val="00D44D1C"/>
    <w:rsid w:val="00D44E75"/>
    <w:rsid w:val="00D45354"/>
    <w:rsid w:val="00D455DD"/>
    <w:rsid w:val="00D456CE"/>
    <w:rsid w:val="00D45802"/>
    <w:rsid w:val="00D458E6"/>
    <w:rsid w:val="00D45CA7"/>
    <w:rsid w:val="00D46045"/>
    <w:rsid w:val="00D4610B"/>
    <w:rsid w:val="00D461A2"/>
    <w:rsid w:val="00D46263"/>
    <w:rsid w:val="00D4628A"/>
    <w:rsid w:val="00D4665B"/>
    <w:rsid w:val="00D46970"/>
    <w:rsid w:val="00D46A1F"/>
    <w:rsid w:val="00D46B2C"/>
    <w:rsid w:val="00D46CEA"/>
    <w:rsid w:val="00D46E22"/>
    <w:rsid w:val="00D46E48"/>
    <w:rsid w:val="00D46EBE"/>
    <w:rsid w:val="00D471E9"/>
    <w:rsid w:val="00D4750B"/>
    <w:rsid w:val="00D47537"/>
    <w:rsid w:val="00D47A8E"/>
    <w:rsid w:val="00D47E7A"/>
    <w:rsid w:val="00D5022E"/>
    <w:rsid w:val="00D506C4"/>
    <w:rsid w:val="00D50823"/>
    <w:rsid w:val="00D50CF0"/>
    <w:rsid w:val="00D50D70"/>
    <w:rsid w:val="00D50D9E"/>
    <w:rsid w:val="00D50E69"/>
    <w:rsid w:val="00D51633"/>
    <w:rsid w:val="00D51F61"/>
    <w:rsid w:val="00D52113"/>
    <w:rsid w:val="00D522D3"/>
    <w:rsid w:val="00D52474"/>
    <w:rsid w:val="00D524E7"/>
    <w:rsid w:val="00D52D14"/>
    <w:rsid w:val="00D52D7B"/>
    <w:rsid w:val="00D52EDC"/>
    <w:rsid w:val="00D52F9C"/>
    <w:rsid w:val="00D531E3"/>
    <w:rsid w:val="00D532F7"/>
    <w:rsid w:val="00D534C7"/>
    <w:rsid w:val="00D538AD"/>
    <w:rsid w:val="00D5390E"/>
    <w:rsid w:val="00D53D62"/>
    <w:rsid w:val="00D53ECA"/>
    <w:rsid w:val="00D541CC"/>
    <w:rsid w:val="00D543A9"/>
    <w:rsid w:val="00D5477A"/>
    <w:rsid w:val="00D550AF"/>
    <w:rsid w:val="00D5519A"/>
    <w:rsid w:val="00D552A8"/>
    <w:rsid w:val="00D553E1"/>
    <w:rsid w:val="00D557EC"/>
    <w:rsid w:val="00D55A37"/>
    <w:rsid w:val="00D55BB5"/>
    <w:rsid w:val="00D562DC"/>
    <w:rsid w:val="00D5671A"/>
    <w:rsid w:val="00D56BFB"/>
    <w:rsid w:val="00D57276"/>
    <w:rsid w:val="00D5747F"/>
    <w:rsid w:val="00D57732"/>
    <w:rsid w:val="00D57CC6"/>
    <w:rsid w:val="00D57E70"/>
    <w:rsid w:val="00D6022F"/>
    <w:rsid w:val="00D60299"/>
    <w:rsid w:val="00D603D4"/>
    <w:rsid w:val="00D607FA"/>
    <w:rsid w:val="00D60CA1"/>
    <w:rsid w:val="00D60F3A"/>
    <w:rsid w:val="00D612F9"/>
    <w:rsid w:val="00D616FB"/>
    <w:rsid w:val="00D61B34"/>
    <w:rsid w:val="00D61CF7"/>
    <w:rsid w:val="00D6214E"/>
    <w:rsid w:val="00D626C0"/>
    <w:rsid w:val="00D62720"/>
    <w:rsid w:val="00D628CB"/>
    <w:rsid w:val="00D62A8E"/>
    <w:rsid w:val="00D62D3D"/>
    <w:rsid w:val="00D62EE3"/>
    <w:rsid w:val="00D6322D"/>
    <w:rsid w:val="00D63773"/>
    <w:rsid w:val="00D63D41"/>
    <w:rsid w:val="00D63EBC"/>
    <w:rsid w:val="00D6401D"/>
    <w:rsid w:val="00D64185"/>
    <w:rsid w:val="00D64A85"/>
    <w:rsid w:val="00D652B5"/>
    <w:rsid w:val="00D65495"/>
    <w:rsid w:val="00D65800"/>
    <w:rsid w:val="00D65A02"/>
    <w:rsid w:val="00D65F09"/>
    <w:rsid w:val="00D65F25"/>
    <w:rsid w:val="00D661BB"/>
    <w:rsid w:val="00D66395"/>
    <w:rsid w:val="00D66426"/>
    <w:rsid w:val="00D664FC"/>
    <w:rsid w:val="00D66684"/>
    <w:rsid w:val="00D66A14"/>
    <w:rsid w:val="00D66B72"/>
    <w:rsid w:val="00D66F8E"/>
    <w:rsid w:val="00D670D4"/>
    <w:rsid w:val="00D67255"/>
    <w:rsid w:val="00D67780"/>
    <w:rsid w:val="00D6785E"/>
    <w:rsid w:val="00D67B63"/>
    <w:rsid w:val="00D67CC4"/>
    <w:rsid w:val="00D70810"/>
    <w:rsid w:val="00D70B0A"/>
    <w:rsid w:val="00D712D3"/>
    <w:rsid w:val="00D7130B"/>
    <w:rsid w:val="00D71422"/>
    <w:rsid w:val="00D7151E"/>
    <w:rsid w:val="00D71A72"/>
    <w:rsid w:val="00D71DDC"/>
    <w:rsid w:val="00D7200F"/>
    <w:rsid w:val="00D724ED"/>
    <w:rsid w:val="00D7257D"/>
    <w:rsid w:val="00D72582"/>
    <w:rsid w:val="00D72716"/>
    <w:rsid w:val="00D7282B"/>
    <w:rsid w:val="00D72AE8"/>
    <w:rsid w:val="00D72DC6"/>
    <w:rsid w:val="00D73102"/>
    <w:rsid w:val="00D7337D"/>
    <w:rsid w:val="00D73420"/>
    <w:rsid w:val="00D73451"/>
    <w:rsid w:val="00D737C1"/>
    <w:rsid w:val="00D73B10"/>
    <w:rsid w:val="00D73BE4"/>
    <w:rsid w:val="00D7401B"/>
    <w:rsid w:val="00D7431C"/>
    <w:rsid w:val="00D7451B"/>
    <w:rsid w:val="00D747D5"/>
    <w:rsid w:val="00D74BA2"/>
    <w:rsid w:val="00D74D79"/>
    <w:rsid w:val="00D7519B"/>
    <w:rsid w:val="00D751D6"/>
    <w:rsid w:val="00D752E8"/>
    <w:rsid w:val="00D754E1"/>
    <w:rsid w:val="00D7558D"/>
    <w:rsid w:val="00D758B9"/>
    <w:rsid w:val="00D75996"/>
    <w:rsid w:val="00D75997"/>
    <w:rsid w:val="00D75E0D"/>
    <w:rsid w:val="00D75E7C"/>
    <w:rsid w:val="00D7603D"/>
    <w:rsid w:val="00D7609D"/>
    <w:rsid w:val="00D76222"/>
    <w:rsid w:val="00D76409"/>
    <w:rsid w:val="00D767FC"/>
    <w:rsid w:val="00D7682C"/>
    <w:rsid w:val="00D7684D"/>
    <w:rsid w:val="00D76B90"/>
    <w:rsid w:val="00D77087"/>
    <w:rsid w:val="00D7724D"/>
    <w:rsid w:val="00D773E7"/>
    <w:rsid w:val="00D77660"/>
    <w:rsid w:val="00D77E3E"/>
    <w:rsid w:val="00D80192"/>
    <w:rsid w:val="00D80196"/>
    <w:rsid w:val="00D80452"/>
    <w:rsid w:val="00D809B6"/>
    <w:rsid w:val="00D809CB"/>
    <w:rsid w:val="00D80B10"/>
    <w:rsid w:val="00D80BAC"/>
    <w:rsid w:val="00D810A9"/>
    <w:rsid w:val="00D810EB"/>
    <w:rsid w:val="00D812CF"/>
    <w:rsid w:val="00D81689"/>
    <w:rsid w:val="00D816A8"/>
    <w:rsid w:val="00D81D92"/>
    <w:rsid w:val="00D81DB1"/>
    <w:rsid w:val="00D8270C"/>
    <w:rsid w:val="00D828B3"/>
    <w:rsid w:val="00D82936"/>
    <w:rsid w:val="00D8295A"/>
    <w:rsid w:val="00D82C41"/>
    <w:rsid w:val="00D82F57"/>
    <w:rsid w:val="00D82F90"/>
    <w:rsid w:val="00D83270"/>
    <w:rsid w:val="00D832DD"/>
    <w:rsid w:val="00D83493"/>
    <w:rsid w:val="00D834FD"/>
    <w:rsid w:val="00D83533"/>
    <w:rsid w:val="00D83D0E"/>
    <w:rsid w:val="00D8428A"/>
    <w:rsid w:val="00D84457"/>
    <w:rsid w:val="00D8456A"/>
    <w:rsid w:val="00D8460F"/>
    <w:rsid w:val="00D84B05"/>
    <w:rsid w:val="00D84F1F"/>
    <w:rsid w:val="00D85002"/>
    <w:rsid w:val="00D850AC"/>
    <w:rsid w:val="00D85115"/>
    <w:rsid w:val="00D85295"/>
    <w:rsid w:val="00D85638"/>
    <w:rsid w:val="00D85731"/>
    <w:rsid w:val="00D85874"/>
    <w:rsid w:val="00D858B7"/>
    <w:rsid w:val="00D85BCD"/>
    <w:rsid w:val="00D85D3C"/>
    <w:rsid w:val="00D85EAB"/>
    <w:rsid w:val="00D85EF7"/>
    <w:rsid w:val="00D86094"/>
    <w:rsid w:val="00D860DF"/>
    <w:rsid w:val="00D86479"/>
    <w:rsid w:val="00D868E2"/>
    <w:rsid w:val="00D86926"/>
    <w:rsid w:val="00D86B6A"/>
    <w:rsid w:val="00D86C32"/>
    <w:rsid w:val="00D86C80"/>
    <w:rsid w:val="00D871DD"/>
    <w:rsid w:val="00D87369"/>
    <w:rsid w:val="00D8739D"/>
    <w:rsid w:val="00D873CB"/>
    <w:rsid w:val="00D87607"/>
    <w:rsid w:val="00D878B9"/>
    <w:rsid w:val="00D87BF1"/>
    <w:rsid w:val="00D900B7"/>
    <w:rsid w:val="00D90284"/>
    <w:rsid w:val="00D90291"/>
    <w:rsid w:val="00D906E2"/>
    <w:rsid w:val="00D906FD"/>
    <w:rsid w:val="00D90CDF"/>
    <w:rsid w:val="00D91193"/>
    <w:rsid w:val="00D91266"/>
    <w:rsid w:val="00D912E1"/>
    <w:rsid w:val="00D917CF"/>
    <w:rsid w:val="00D91882"/>
    <w:rsid w:val="00D91BCE"/>
    <w:rsid w:val="00D91DF1"/>
    <w:rsid w:val="00D91F0B"/>
    <w:rsid w:val="00D9245F"/>
    <w:rsid w:val="00D92701"/>
    <w:rsid w:val="00D927A3"/>
    <w:rsid w:val="00D928B6"/>
    <w:rsid w:val="00D9291F"/>
    <w:rsid w:val="00D92961"/>
    <w:rsid w:val="00D92C49"/>
    <w:rsid w:val="00D92CC8"/>
    <w:rsid w:val="00D92D6D"/>
    <w:rsid w:val="00D9324C"/>
    <w:rsid w:val="00D938BF"/>
    <w:rsid w:val="00D93ACB"/>
    <w:rsid w:val="00D9413C"/>
    <w:rsid w:val="00D94765"/>
    <w:rsid w:val="00D9479F"/>
    <w:rsid w:val="00D94887"/>
    <w:rsid w:val="00D94A3B"/>
    <w:rsid w:val="00D95628"/>
    <w:rsid w:val="00D956C3"/>
    <w:rsid w:val="00D957DD"/>
    <w:rsid w:val="00D95A66"/>
    <w:rsid w:val="00D95CAC"/>
    <w:rsid w:val="00D95FB0"/>
    <w:rsid w:val="00D96050"/>
    <w:rsid w:val="00D961AB"/>
    <w:rsid w:val="00D96436"/>
    <w:rsid w:val="00D96480"/>
    <w:rsid w:val="00D967D0"/>
    <w:rsid w:val="00D96C84"/>
    <w:rsid w:val="00D96D45"/>
    <w:rsid w:val="00D96E10"/>
    <w:rsid w:val="00D96E4F"/>
    <w:rsid w:val="00D9739F"/>
    <w:rsid w:val="00D97446"/>
    <w:rsid w:val="00D974F6"/>
    <w:rsid w:val="00D9757F"/>
    <w:rsid w:val="00D9763D"/>
    <w:rsid w:val="00D9793C"/>
    <w:rsid w:val="00D97B6E"/>
    <w:rsid w:val="00DA05DA"/>
    <w:rsid w:val="00DA080E"/>
    <w:rsid w:val="00DA0ACA"/>
    <w:rsid w:val="00DA0B90"/>
    <w:rsid w:val="00DA0CF1"/>
    <w:rsid w:val="00DA11C9"/>
    <w:rsid w:val="00DA1224"/>
    <w:rsid w:val="00DA1276"/>
    <w:rsid w:val="00DA138B"/>
    <w:rsid w:val="00DA14C4"/>
    <w:rsid w:val="00DA14C8"/>
    <w:rsid w:val="00DA14E2"/>
    <w:rsid w:val="00DA1707"/>
    <w:rsid w:val="00DA1993"/>
    <w:rsid w:val="00DA1B9E"/>
    <w:rsid w:val="00DA2039"/>
    <w:rsid w:val="00DA203D"/>
    <w:rsid w:val="00DA2351"/>
    <w:rsid w:val="00DA264A"/>
    <w:rsid w:val="00DA2675"/>
    <w:rsid w:val="00DA2C92"/>
    <w:rsid w:val="00DA326B"/>
    <w:rsid w:val="00DA380D"/>
    <w:rsid w:val="00DA391E"/>
    <w:rsid w:val="00DA4062"/>
    <w:rsid w:val="00DA4372"/>
    <w:rsid w:val="00DA4513"/>
    <w:rsid w:val="00DA451E"/>
    <w:rsid w:val="00DA4592"/>
    <w:rsid w:val="00DA4DF8"/>
    <w:rsid w:val="00DA4ED3"/>
    <w:rsid w:val="00DA59AB"/>
    <w:rsid w:val="00DA5B57"/>
    <w:rsid w:val="00DA5F7B"/>
    <w:rsid w:val="00DA5F80"/>
    <w:rsid w:val="00DA5FD7"/>
    <w:rsid w:val="00DA6282"/>
    <w:rsid w:val="00DA6AB0"/>
    <w:rsid w:val="00DA6D54"/>
    <w:rsid w:val="00DA7111"/>
    <w:rsid w:val="00DA7B5F"/>
    <w:rsid w:val="00DA7BF2"/>
    <w:rsid w:val="00DA7E3F"/>
    <w:rsid w:val="00DA7EE8"/>
    <w:rsid w:val="00DB0010"/>
    <w:rsid w:val="00DB00A0"/>
    <w:rsid w:val="00DB06FA"/>
    <w:rsid w:val="00DB091F"/>
    <w:rsid w:val="00DB0A25"/>
    <w:rsid w:val="00DB0D49"/>
    <w:rsid w:val="00DB0D85"/>
    <w:rsid w:val="00DB11C3"/>
    <w:rsid w:val="00DB1255"/>
    <w:rsid w:val="00DB1335"/>
    <w:rsid w:val="00DB13F3"/>
    <w:rsid w:val="00DB14AA"/>
    <w:rsid w:val="00DB1657"/>
    <w:rsid w:val="00DB1767"/>
    <w:rsid w:val="00DB1843"/>
    <w:rsid w:val="00DB1AD2"/>
    <w:rsid w:val="00DB1B8A"/>
    <w:rsid w:val="00DB22F3"/>
    <w:rsid w:val="00DB2856"/>
    <w:rsid w:val="00DB29D2"/>
    <w:rsid w:val="00DB32E8"/>
    <w:rsid w:val="00DB330D"/>
    <w:rsid w:val="00DB3618"/>
    <w:rsid w:val="00DB397C"/>
    <w:rsid w:val="00DB3C3F"/>
    <w:rsid w:val="00DB3D82"/>
    <w:rsid w:val="00DB4292"/>
    <w:rsid w:val="00DB4904"/>
    <w:rsid w:val="00DB4CE5"/>
    <w:rsid w:val="00DB50A5"/>
    <w:rsid w:val="00DB5637"/>
    <w:rsid w:val="00DB567E"/>
    <w:rsid w:val="00DB5817"/>
    <w:rsid w:val="00DB5A76"/>
    <w:rsid w:val="00DB5BF0"/>
    <w:rsid w:val="00DB5C1D"/>
    <w:rsid w:val="00DB6648"/>
    <w:rsid w:val="00DB6960"/>
    <w:rsid w:val="00DB69E7"/>
    <w:rsid w:val="00DB6A25"/>
    <w:rsid w:val="00DB6BC5"/>
    <w:rsid w:val="00DB6CA2"/>
    <w:rsid w:val="00DB6DCC"/>
    <w:rsid w:val="00DB76E2"/>
    <w:rsid w:val="00DB7853"/>
    <w:rsid w:val="00DB7AEB"/>
    <w:rsid w:val="00DB7BC2"/>
    <w:rsid w:val="00DB7CD5"/>
    <w:rsid w:val="00DC0183"/>
    <w:rsid w:val="00DC01D2"/>
    <w:rsid w:val="00DC0482"/>
    <w:rsid w:val="00DC0551"/>
    <w:rsid w:val="00DC05B8"/>
    <w:rsid w:val="00DC0767"/>
    <w:rsid w:val="00DC0A3C"/>
    <w:rsid w:val="00DC0D80"/>
    <w:rsid w:val="00DC0DE3"/>
    <w:rsid w:val="00DC11E7"/>
    <w:rsid w:val="00DC140D"/>
    <w:rsid w:val="00DC1580"/>
    <w:rsid w:val="00DC166C"/>
    <w:rsid w:val="00DC1A2E"/>
    <w:rsid w:val="00DC1D18"/>
    <w:rsid w:val="00DC1E9C"/>
    <w:rsid w:val="00DC2903"/>
    <w:rsid w:val="00DC2B87"/>
    <w:rsid w:val="00DC2C10"/>
    <w:rsid w:val="00DC32D8"/>
    <w:rsid w:val="00DC337C"/>
    <w:rsid w:val="00DC3564"/>
    <w:rsid w:val="00DC3942"/>
    <w:rsid w:val="00DC3981"/>
    <w:rsid w:val="00DC39A3"/>
    <w:rsid w:val="00DC3B33"/>
    <w:rsid w:val="00DC4351"/>
    <w:rsid w:val="00DC435F"/>
    <w:rsid w:val="00DC499C"/>
    <w:rsid w:val="00DC4DB4"/>
    <w:rsid w:val="00DC51DD"/>
    <w:rsid w:val="00DC51F6"/>
    <w:rsid w:val="00DC5A67"/>
    <w:rsid w:val="00DC5B0D"/>
    <w:rsid w:val="00DC5C29"/>
    <w:rsid w:val="00DC5D3E"/>
    <w:rsid w:val="00DC6095"/>
    <w:rsid w:val="00DC6180"/>
    <w:rsid w:val="00DC61EE"/>
    <w:rsid w:val="00DC6667"/>
    <w:rsid w:val="00DC672D"/>
    <w:rsid w:val="00DC6783"/>
    <w:rsid w:val="00DC67B2"/>
    <w:rsid w:val="00DC6884"/>
    <w:rsid w:val="00DC6B69"/>
    <w:rsid w:val="00DC6F0A"/>
    <w:rsid w:val="00DC6F6C"/>
    <w:rsid w:val="00DC6F7C"/>
    <w:rsid w:val="00DC7023"/>
    <w:rsid w:val="00DC7355"/>
    <w:rsid w:val="00DC74E5"/>
    <w:rsid w:val="00DC769A"/>
    <w:rsid w:val="00DC7BAF"/>
    <w:rsid w:val="00DC7E66"/>
    <w:rsid w:val="00DD063E"/>
    <w:rsid w:val="00DD0888"/>
    <w:rsid w:val="00DD0BBA"/>
    <w:rsid w:val="00DD0E82"/>
    <w:rsid w:val="00DD1443"/>
    <w:rsid w:val="00DD2142"/>
    <w:rsid w:val="00DD237C"/>
    <w:rsid w:val="00DD24ED"/>
    <w:rsid w:val="00DD256F"/>
    <w:rsid w:val="00DD298A"/>
    <w:rsid w:val="00DD2EC0"/>
    <w:rsid w:val="00DD31F9"/>
    <w:rsid w:val="00DD32A8"/>
    <w:rsid w:val="00DD3BC4"/>
    <w:rsid w:val="00DD3D86"/>
    <w:rsid w:val="00DD3E65"/>
    <w:rsid w:val="00DD3EF7"/>
    <w:rsid w:val="00DD410F"/>
    <w:rsid w:val="00DD4387"/>
    <w:rsid w:val="00DD4510"/>
    <w:rsid w:val="00DD4712"/>
    <w:rsid w:val="00DD49CF"/>
    <w:rsid w:val="00DD4BD2"/>
    <w:rsid w:val="00DD4C4D"/>
    <w:rsid w:val="00DD4CA8"/>
    <w:rsid w:val="00DD4D63"/>
    <w:rsid w:val="00DD4E5F"/>
    <w:rsid w:val="00DD515F"/>
    <w:rsid w:val="00DD59FB"/>
    <w:rsid w:val="00DD5B44"/>
    <w:rsid w:val="00DD5BBB"/>
    <w:rsid w:val="00DD5F5E"/>
    <w:rsid w:val="00DD649A"/>
    <w:rsid w:val="00DD65CF"/>
    <w:rsid w:val="00DD684B"/>
    <w:rsid w:val="00DD686E"/>
    <w:rsid w:val="00DD6890"/>
    <w:rsid w:val="00DD6B98"/>
    <w:rsid w:val="00DD6BA1"/>
    <w:rsid w:val="00DD6D14"/>
    <w:rsid w:val="00DD6D40"/>
    <w:rsid w:val="00DD6D92"/>
    <w:rsid w:val="00DD6F74"/>
    <w:rsid w:val="00DD70A5"/>
    <w:rsid w:val="00DD70D2"/>
    <w:rsid w:val="00DD7FCE"/>
    <w:rsid w:val="00DE02F3"/>
    <w:rsid w:val="00DE0367"/>
    <w:rsid w:val="00DE067B"/>
    <w:rsid w:val="00DE07D2"/>
    <w:rsid w:val="00DE07E4"/>
    <w:rsid w:val="00DE09A1"/>
    <w:rsid w:val="00DE09A5"/>
    <w:rsid w:val="00DE0A59"/>
    <w:rsid w:val="00DE0DDA"/>
    <w:rsid w:val="00DE1353"/>
    <w:rsid w:val="00DE18AE"/>
    <w:rsid w:val="00DE19C3"/>
    <w:rsid w:val="00DE1ECE"/>
    <w:rsid w:val="00DE21FB"/>
    <w:rsid w:val="00DE2229"/>
    <w:rsid w:val="00DE2387"/>
    <w:rsid w:val="00DE26A0"/>
    <w:rsid w:val="00DE2805"/>
    <w:rsid w:val="00DE2A16"/>
    <w:rsid w:val="00DE2B80"/>
    <w:rsid w:val="00DE2B9E"/>
    <w:rsid w:val="00DE2DAB"/>
    <w:rsid w:val="00DE2DCE"/>
    <w:rsid w:val="00DE30FA"/>
    <w:rsid w:val="00DE3193"/>
    <w:rsid w:val="00DE3395"/>
    <w:rsid w:val="00DE449B"/>
    <w:rsid w:val="00DE488D"/>
    <w:rsid w:val="00DE4C67"/>
    <w:rsid w:val="00DE4D69"/>
    <w:rsid w:val="00DE4EC3"/>
    <w:rsid w:val="00DE54C6"/>
    <w:rsid w:val="00DE563E"/>
    <w:rsid w:val="00DE56F7"/>
    <w:rsid w:val="00DE59B5"/>
    <w:rsid w:val="00DE610F"/>
    <w:rsid w:val="00DE6CA6"/>
    <w:rsid w:val="00DE70AC"/>
    <w:rsid w:val="00DE710B"/>
    <w:rsid w:val="00DE7267"/>
    <w:rsid w:val="00DE7423"/>
    <w:rsid w:val="00DE77CF"/>
    <w:rsid w:val="00DE792A"/>
    <w:rsid w:val="00DE7B7B"/>
    <w:rsid w:val="00DF01D3"/>
    <w:rsid w:val="00DF05E8"/>
    <w:rsid w:val="00DF087C"/>
    <w:rsid w:val="00DF0C1C"/>
    <w:rsid w:val="00DF0D34"/>
    <w:rsid w:val="00DF0F2C"/>
    <w:rsid w:val="00DF0FC5"/>
    <w:rsid w:val="00DF1593"/>
    <w:rsid w:val="00DF1B4B"/>
    <w:rsid w:val="00DF1BCE"/>
    <w:rsid w:val="00DF203B"/>
    <w:rsid w:val="00DF22C9"/>
    <w:rsid w:val="00DF26AA"/>
    <w:rsid w:val="00DF2C04"/>
    <w:rsid w:val="00DF2CDA"/>
    <w:rsid w:val="00DF2D7E"/>
    <w:rsid w:val="00DF2EBC"/>
    <w:rsid w:val="00DF30DA"/>
    <w:rsid w:val="00DF332F"/>
    <w:rsid w:val="00DF3594"/>
    <w:rsid w:val="00DF36A5"/>
    <w:rsid w:val="00DF39A9"/>
    <w:rsid w:val="00DF3BCF"/>
    <w:rsid w:val="00DF40D4"/>
    <w:rsid w:val="00DF41C7"/>
    <w:rsid w:val="00DF43CA"/>
    <w:rsid w:val="00DF493D"/>
    <w:rsid w:val="00DF4976"/>
    <w:rsid w:val="00DF4BDC"/>
    <w:rsid w:val="00DF4C06"/>
    <w:rsid w:val="00DF4DC3"/>
    <w:rsid w:val="00DF4E47"/>
    <w:rsid w:val="00DF4E8E"/>
    <w:rsid w:val="00DF4F53"/>
    <w:rsid w:val="00DF4FA5"/>
    <w:rsid w:val="00DF51BD"/>
    <w:rsid w:val="00DF52DC"/>
    <w:rsid w:val="00DF54E8"/>
    <w:rsid w:val="00DF5598"/>
    <w:rsid w:val="00DF55E9"/>
    <w:rsid w:val="00DF561A"/>
    <w:rsid w:val="00DF5814"/>
    <w:rsid w:val="00DF584F"/>
    <w:rsid w:val="00DF5850"/>
    <w:rsid w:val="00DF5C0A"/>
    <w:rsid w:val="00DF5D4F"/>
    <w:rsid w:val="00DF5E7D"/>
    <w:rsid w:val="00DF6137"/>
    <w:rsid w:val="00DF6243"/>
    <w:rsid w:val="00DF640C"/>
    <w:rsid w:val="00DF6541"/>
    <w:rsid w:val="00DF6BE3"/>
    <w:rsid w:val="00DF6D65"/>
    <w:rsid w:val="00DF6EE0"/>
    <w:rsid w:val="00DF7034"/>
    <w:rsid w:val="00DF70B7"/>
    <w:rsid w:val="00DF7380"/>
    <w:rsid w:val="00DF7740"/>
    <w:rsid w:val="00E0018F"/>
    <w:rsid w:val="00E00575"/>
    <w:rsid w:val="00E0068F"/>
    <w:rsid w:val="00E007B6"/>
    <w:rsid w:val="00E00943"/>
    <w:rsid w:val="00E00BED"/>
    <w:rsid w:val="00E00E8B"/>
    <w:rsid w:val="00E014C5"/>
    <w:rsid w:val="00E01699"/>
    <w:rsid w:val="00E01769"/>
    <w:rsid w:val="00E017C6"/>
    <w:rsid w:val="00E019F2"/>
    <w:rsid w:val="00E01F68"/>
    <w:rsid w:val="00E0215A"/>
    <w:rsid w:val="00E021CB"/>
    <w:rsid w:val="00E0225F"/>
    <w:rsid w:val="00E0238B"/>
    <w:rsid w:val="00E025B6"/>
    <w:rsid w:val="00E026F6"/>
    <w:rsid w:val="00E02802"/>
    <w:rsid w:val="00E02C24"/>
    <w:rsid w:val="00E02D81"/>
    <w:rsid w:val="00E02F88"/>
    <w:rsid w:val="00E03197"/>
    <w:rsid w:val="00E0340B"/>
    <w:rsid w:val="00E03501"/>
    <w:rsid w:val="00E03579"/>
    <w:rsid w:val="00E03835"/>
    <w:rsid w:val="00E03899"/>
    <w:rsid w:val="00E038C5"/>
    <w:rsid w:val="00E039CA"/>
    <w:rsid w:val="00E03C99"/>
    <w:rsid w:val="00E03D10"/>
    <w:rsid w:val="00E03FB1"/>
    <w:rsid w:val="00E0434E"/>
    <w:rsid w:val="00E0459B"/>
    <w:rsid w:val="00E04626"/>
    <w:rsid w:val="00E04B4C"/>
    <w:rsid w:val="00E04B90"/>
    <w:rsid w:val="00E050D2"/>
    <w:rsid w:val="00E05117"/>
    <w:rsid w:val="00E05283"/>
    <w:rsid w:val="00E0542D"/>
    <w:rsid w:val="00E054BE"/>
    <w:rsid w:val="00E05590"/>
    <w:rsid w:val="00E05839"/>
    <w:rsid w:val="00E05963"/>
    <w:rsid w:val="00E05B00"/>
    <w:rsid w:val="00E05BA5"/>
    <w:rsid w:val="00E05DD4"/>
    <w:rsid w:val="00E06457"/>
    <w:rsid w:val="00E06482"/>
    <w:rsid w:val="00E06652"/>
    <w:rsid w:val="00E068C9"/>
    <w:rsid w:val="00E06900"/>
    <w:rsid w:val="00E06907"/>
    <w:rsid w:val="00E06934"/>
    <w:rsid w:val="00E07283"/>
    <w:rsid w:val="00E073AA"/>
    <w:rsid w:val="00E07432"/>
    <w:rsid w:val="00E07651"/>
    <w:rsid w:val="00E07921"/>
    <w:rsid w:val="00E07A00"/>
    <w:rsid w:val="00E07BDD"/>
    <w:rsid w:val="00E07C8F"/>
    <w:rsid w:val="00E07E2F"/>
    <w:rsid w:val="00E07E9F"/>
    <w:rsid w:val="00E07F44"/>
    <w:rsid w:val="00E07FF9"/>
    <w:rsid w:val="00E07FFB"/>
    <w:rsid w:val="00E100AC"/>
    <w:rsid w:val="00E100F6"/>
    <w:rsid w:val="00E10211"/>
    <w:rsid w:val="00E10A9E"/>
    <w:rsid w:val="00E10B87"/>
    <w:rsid w:val="00E11263"/>
    <w:rsid w:val="00E113FD"/>
    <w:rsid w:val="00E11C7C"/>
    <w:rsid w:val="00E11EFC"/>
    <w:rsid w:val="00E12008"/>
    <w:rsid w:val="00E121A5"/>
    <w:rsid w:val="00E124D4"/>
    <w:rsid w:val="00E129DA"/>
    <w:rsid w:val="00E12D6E"/>
    <w:rsid w:val="00E12FA4"/>
    <w:rsid w:val="00E132E4"/>
    <w:rsid w:val="00E134C8"/>
    <w:rsid w:val="00E1365D"/>
    <w:rsid w:val="00E137B9"/>
    <w:rsid w:val="00E138AA"/>
    <w:rsid w:val="00E138C0"/>
    <w:rsid w:val="00E13D83"/>
    <w:rsid w:val="00E13F90"/>
    <w:rsid w:val="00E140CF"/>
    <w:rsid w:val="00E14556"/>
    <w:rsid w:val="00E1478D"/>
    <w:rsid w:val="00E14A07"/>
    <w:rsid w:val="00E14C31"/>
    <w:rsid w:val="00E14F9B"/>
    <w:rsid w:val="00E150F2"/>
    <w:rsid w:val="00E15153"/>
    <w:rsid w:val="00E15226"/>
    <w:rsid w:val="00E1541F"/>
    <w:rsid w:val="00E15E74"/>
    <w:rsid w:val="00E161B6"/>
    <w:rsid w:val="00E166A0"/>
    <w:rsid w:val="00E168F4"/>
    <w:rsid w:val="00E16A50"/>
    <w:rsid w:val="00E16C12"/>
    <w:rsid w:val="00E16C4B"/>
    <w:rsid w:val="00E16D17"/>
    <w:rsid w:val="00E17B93"/>
    <w:rsid w:val="00E201D7"/>
    <w:rsid w:val="00E20589"/>
    <w:rsid w:val="00E206A7"/>
    <w:rsid w:val="00E2087C"/>
    <w:rsid w:val="00E208E4"/>
    <w:rsid w:val="00E209A8"/>
    <w:rsid w:val="00E20C90"/>
    <w:rsid w:val="00E20E99"/>
    <w:rsid w:val="00E20EBA"/>
    <w:rsid w:val="00E211E8"/>
    <w:rsid w:val="00E21558"/>
    <w:rsid w:val="00E21691"/>
    <w:rsid w:val="00E2197C"/>
    <w:rsid w:val="00E219C7"/>
    <w:rsid w:val="00E21A2F"/>
    <w:rsid w:val="00E21F0D"/>
    <w:rsid w:val="00E22213"/>
    <w:rsid w:val="00E2257A"/>
    <w:rsid w:val="00E2265D"/>
    <w:rsid w:val="00E226AD"/>
    <w:rsid w:val="00E229A6"/>
    <w:rsid w:val="00E22AFB"/>
    <w:rsid w:val="00E22D18"/>
    <w:rsid w:val="00E22FD5"/>
    <w:rsid w:val="00E2332B"/>
    <w:rsid w:val="00E2335C"/>
    <w:rsid w:val="00E236F6"/>
    <w:rsid w:val="00E23818"/>
    <w:rsid w:val="00E23870"/>
    <w:rsid w:val="00E239AD"/>
    <w:rsid w:val="00E23E3D"/>
    <w:rsid w:val="00E23EAA"/>
    <w:rsid w:val="00E23FC1"/>
    <w:rsid w:val="00E24905"/>
    <w:rsid w:val="00E24E60"/>
    <w:rsid w:val="00E24EAC"/>
    <w:rsid w:val="00E25594"/>
    <w:rsid w:val="00E256CB"/>
    <w:rsid w:val="00E25941"/>
    <w:rsid w:val="00E25B14"/>
    <w:rsid w:val="00E25FD2"/>
    <w:rsid w:val="00E26C3D"/>
    <w:rsid w:val="00E26DE3"/>
    <w:rsid w:val="00E26F09"/>
    <w:rsid w:val="00E26FA8"/>
    <w:rsid w:val="00E27024"/>
    <w:rsid w:val="00E2717A"/>
    <w:rsid w:val="00E2726E"/>
    <w:rsid w:val="00E276D7"/>
    <w:rsid w:val="00E27713"/>
    <w:rsid w:val="00E27782"/>
    <w:rsid w:val="00E27C22"/>
    <w:rsid w:val="00E27E1F"/>
    <w:rsid w:val="00E27FBC"/>
    <w:rsid w:val="00E30410"/>
    <w:rsid w:val="00E30427"/>
    <w:rsid w:val="00E30B11"/>
    <w:rsid w:val="00E30B8F"/>
    <w:rsid w:val="00E31015"/>
    <w:rsid w:val="00E31199"/>
    <w:rsid w:val="00E31298"/>
    <w:rsid w:val="00E3130F"/>
    <w:rsid w:val="00E31324"/>
    <w:rsid w:val="00E3162A"/>
    <w:rsid w:val="00E3177E"/>
    <w:rsid w:val="00E31AA3"/>
    <w:rsid w:val="00E3229C"/>
    <w:rsid w:val="00E32549"/>
    <w:rsid w:val="00E3262D"/>
    <w:rsid w:val="00E3282D"/>
    <w:rsid w:val="00E32B99"/>
    <w:rsid w:val="00E32E6B"/>
    <w:rsid w:val="00E331F8"/>
    <w:rsid w:val="00E334EE"/>
    <w:rsid w:val="00E336DD"/>
    <w:rsid w:val="00E345CB"/>
    <w:rsid w:val="00E34862"/>
    <w:rsid w:val="00E34B4D"/>
    <w:rsid w:val="00E34B77"/>
    <w:rsid w:val="00E34E0F"/>
    <w:rsid w:val="00E34F06"/>
    <w:rsid w:val="00E34F67"/>
    <w:rsid w:val="00E34F86"/>
    <w:rsid w:val="00E3510C"/>
    <w:rsid w:val="00E352FD"/>
    <w:rsid w:val="00E35456"/>
    <w:rsid w:val="00E3569E"/>
    <w:rsid w:val="00E3598B"/>
    <w:rsid w:val="00E35BCC"/>
    <w:rsid w:val="00E35C6A"/>
    <w:rsid w:val="00E35CA6"/>
    <w:rsid w:val="00E36321"/>
    <w:rsid w:val="00E3639C"/>
    <w:rsid w:val="00E3643F"/>
    <w:rsid w:val="00E36659"/>
    <w:rsid w:val="00E36709"/>
    <w:rsid w:val="00E36EA1"/>
    <w:rsid w:val="00E36EFF"/>
    <w:rsid w:val="00E36F31"/>
    <w:rsid w:val="00E370AD"/>
    <w:rsid w:val="00E370FE"/>
    <w:rsid w:val="00E3711F"/>
    <w:rsid w:val="00E37318"/>
    <w:rsid w:val="00E375F7"/>
    <w:rsid w:val="00E379FB"/>
    <w:rsid w:val="00E37D04"/>
    <w:rsid w:val="00E37D41"/>
    <w:rsid w:val="00E40449"/>
    <w:rsid w:val="00E404DA"/>
    <w:rsid w:val="00E40DC4"/>
    <w:rsid w:val="00E40EAA"/>
    <w:rsid w:val="00E4100A"/>
    <w:rsid w:val="00E41873"/>
    <w:rsid w:val="00E41A17"/>
    <w:rsid w:val="00E41AE4"/>
    <w:rsid w:val="00E41D6E"/>
    <w:rsid w:val="00E421BA"/>
    <w:rsid w:val="00E4227A"/>
    <w:rsid w:val="00E424EB"/>
    <w:rsid w:val="00E429E1"/>
    <w:rsid w:val="00E42B15"/>
    <w:rsid w:val="00E42BC5"/>
    <w:rsid w:val="00E42C57"/>
    <w:rsid w:val="00E42DC6"/>
    <w:rsid w:val="00E42F53"/>
    <w:rsid w:val="00E43157"/>
    <w:rsid w:val="00E43391"/>
    <w:rsid w:val="00E434DA"/>
    <w:rsid w:val="00E43532"/>
    <w:rsid w:val="00E435B7"/>
    <w:rsid w:val="00E4369B"/>
    <w:rsid w:val="00E438BC"/>
    <w:rsid w:val="00E43C7E"/>
    <w:rsid w:val="00E44029"/>
    <w:rsid w:val="00E4427A"/>
    <w:rsid w:val="00E442BF"/>
    <w:rsid w:val="00E442EF"/>
    <w:rsid w:val="00E443D8"/>
    <w:rsid w:val="00E44507"/>
    <w:rsid w:val="00E446E1"/>
    <w:rsid w:val="00E4495D"/>
    <w:rsid w:val="00E44A08"/>
    <w:rsid w:val="00E44BBE"/>
    <w:rsid w:val="00E44F1B"/>
    <w:rsid w:val="00E44FB5"/>
    <w:rsid w:val="00E4564E"/>
    <w:rsid w:val="00E45D84"/>
    <w:rsid w:val="00E45E4A"/>
    <w:rsid w:val="00E461B1"/>
    <w:rsid w:val="00E461CE"/>
    <w:rsid w:val="00E461DF"/>
    <w:rsid w:val="00E4688F"/>
    <w:rsid w:val="00E46CFE"/>
    <w:rsid w:val="00E46E9F"/>
    <w:rsid w:val="00E47085"/>
    <w:rsid w:val="00E47274"/>
    <w:rsid w:val="00E475CB"/>
    <w:rsid w:val="00E476A7"/>
    <w:rsid w:val="00E476F7"/>
    <w:rsid w:val="00E47DAA"/>
    <w:rsid w:val="00E501EC"/>
    <w:rsid w:val="00E5027C"/>
    <w:rsid w:val="00E502C3"/>
    <w:rsid w:val="00E50324"/>
    <w:rsid w:val="00E50413"/>
    <w:rsid w:val="00E50802"/>
    <w:rsid w:val="00E508DA"/>
    <w:rsid w:val="00E50985"/>
    <w:rsid w:val="00E5098A"/>
    <w:rsid w:val="00E509AD"/>
    <w:rsid w:val="00E50ACD"/>
    <w:rsid w:val="00E51096"/>
    <w:rsid w:val="00E5111B"/>
    <w:rsid w:val="00E511CD"/>
    <w:rsid w:val="00E5125E"/>
    <w:rsid w:val="00E5178A"/>
    <w:rsid w:val="00E5183E"/>
    <w:rsid w:val="00E519B9"/>
    <w:rsid w:val="00E51B92"/>
    <w:rsid w:val="00E51BA1"/>
    <w:rsid w:val="00E51F35"/>
    <w:rsid w:val="00E52120"/>
    <w:rsid w:val="00E52195"/>
    <w:rsid w:val="00E52778"/>
    <w:rsid w:val="00E527EF"/>
    <w:rsid w:val="00E52B0D"/>
    <w:rsid w:val="00E52B9C"/>
    <w:rsid w:val="00E532BF"/>
    <w:rsid w:val="00E53475"/>
    <w:rsid w:val="00E53522"/>
    <w:rsid w:val="00E53D1F"/>
    <w:rsid w:val="00E545C9"/>
    <w:rsid w:val="00E5464B"/>
    <w:rsid w:val="00E54667"/>
    <w:rsid w:val="00E5476A"/>
    <w:rsid w:val="00E549E8"/>
    <w:rsid w:val="00E54CF0"/>
    <w:rsid w:val="00E555A6"/>
    <w:rsid w:val="00E55C1E"/>
    <w:rsid w:val="00E55C9B"/>
    <w:rsid w:val="00E55EE9"/>
    <w:rsid w:val="00E56170"/>
    <w:rsid w:val="00E562F1"/>
    <w:rsid w:val="00E567D1"/>
    <w:rsid w:val="00E5697D"/>
    <w:rsid w:val="00E56AA3"/>
    <w:rsid w:val="00E56DC9"/>
    <w:rsid w:val="00E571A2"/>
    <w:rsid w:val="00E57390"/>
    <w:rsid w:val="00E577BB"/>
    <w:rsid w:val="00E57951"/>
    <w:rsid w:val="00E57D93"/>
    <w:rsid w:val="00E60177"/>
    <w:rsid w:val="00E601E1"/>
    <w:rsid w:val="00E6041E"/>
    <w:rsid w:val="00E605DC"/>
    <w:rsid w:val="00E6076F"/>
    <w:rsid w:val="00E6079F"/>
    <w:rsid w:val="00E60984"/>
    <w:rsid w:val="00E60DCD"/>
    <w:rsid w:val="00E60E2F"/>
    <w:rsid w:val="00E60F11"/>
    <w:rsid w:val="00E611C5"/>
    <w:rsid w:val="00E6134B"/>
    <w:rsid w:val="00E6158E"/>
    <w:rsid w:val="00E6166A"/>
    <w:rsid w:val="00E616CB"/>
    <w:rsid w:val="00E61AF4"/>
    <w:rsid w:val="00E620D3"/>
    <w:rsid w:val="00E6236C"/>
    <w:rsid w:val="00E625E8"/>
    <w:rsid w:val="00E626A4"/>
    <w:rsid w:val="00E63181"/>
    <w:rsid w:val="00E6318B"/>
    <w:rsid w:val="00E632A1"/>
    <w:rsid w:val="00E633AE"/>
    <w:rsid w:val="00E6354B"/>
    <w:rsid w:val="00E6377D"/>
    <w:rsid w:val="00E638E9"/>
    <w:rsid w:val="00E63F00"/>
    <w:rsid w:val="00E64439"/>
    <w:rsid w:val="00E64AFA"/>
    <w:rsid w:val="00E64C50"/>
    <w:rsid w:val="00E64E6F"/>
    <w:rsid w:val="00E64F6D"/>
    <w:rsid w:val="00E65019"/>
    <w:rsid w:val="00E6503F"/>
    <w:rsid w:val="00E65121"/>
    <w:rsid w:val="00E6521A"/>
    <w:rsid w:val="00E65231"/>
    <w:rsid w:val="00E65686"/>
    <w:rsid w:val="00E6583F"/>
    <w:rsid w:val="00E65A0A"/>
    <w:rsid w:val="00E65D77"/>
    <w:rsid w:val="00E65E9D"/>
    <w:rsid w:val="00E65EEA"/>
    <w:rsid w:val="00E6608B"/>
    <w:rsid w:val="00E66401"/>
    <w:rsid w:val="00E666EC"/>
    <w:rsid w:val="00E667B2"/>
    <w:rsid w:val="00E66CA6"/>
    <w:rsid w:val="00E671D9"/>
    <w:rsid w:val="00E6751B"/>
    <w:rsid w:val="00E67D4F"/>
    <w:rsid w:val="00E67FE0"/>
    <w:rsid w:val="00E7071E"/>
    <w:rsid w:val="00E709CE"/>
    <w:rsid w:val="00E70C6E"/>
    <w:rsid w:val="00E70CE8"/>
    <w:rsid w:val="00E70DB4"/>
    <w:rsid w:val="00E7107C"/>
    <w:rsid w:val="00E71634"/>
    <w:rsid w:val="00E717D1"/>
    <w:rsid w:val="00E71846"/>
    <w:rsid w:val="00E7199C"/>
    <w:rsid w:val="00E71AC7"/>
    <w:rsid w:val="00E71D4F"/>
    <w:rsid w:val="00E720CA"/>
    <w:rsid w:val="00E722E2"/>
    <w:rsid w:val="00E725D4"/>
    <w:rsid w:val="00E72680"/>
    <w:rsid w:val="00E72705"/>
    <w:rsid w:val="00E72BF4"/>
    <w:rsid w:val="00E72EBA"/>
    <w:rsid w:val="00E73324"/>
    <w:rsid w:val="00E7399E"/>
    <w:rsid w:val="00E73DA2"/>
    <w:rsid w:val="00E73F34"/>
    <w:rsid w:val="00E741A4"/>
    <w:rsid w:val="00E741C9"/>
    <w:rsid w:val="00E74444"/>
    <w:rsid w:val="00E746DB"/>
    <w:rsid w:val="00E74D92"/>
    <w:rsid w:val="00E74DC8"/>
    <w:rsid w:val="00E751B6"/>
    <w:rsid w:val="00E751DA"/>
    <w:rsid w:val="00E752DD"/>
    <w:rsid w:val="00E75431"/>
    <w:rsid w:val="00E75A4B"/>
    <w:rsid w:val="00E75C30"/>
    <w:rsid w:val="00E75CDA"/>
    <w:rsid w:val="00E761D6"/>
    <w:rsid w:val="00E763FB"/>
    <w:rsid w:val="00E767F0"/>
    <w:rsid w:val="00E76888"/>
    <w:rsid w:val="00E775F0"/>
    <w:rsid w:val="00E77728"/>
    <w:rsid w:val="00E77817"/>
    <w:rsid w:val="00E77DCE"/>
    <w:rsid w:val="00E77E37"/>
    <w:rsid w:val="00E802E4"/>
    <w:rsid w:val="00E8030C"/>
    <w:rsid w:val="00E8072F"/>
    <w:rsid w:val="00E80909"/>
    <w:rsid w:val="00E80D57"/>
    <w:rsid w:val="00E80E14"/>
    <w:rsid w:val="00E80FE4"/>
    <w:rsid w:val="00E810C5"/>
    <w:rsid w:val="00E81BF2"/>
    <w:rsid w:val="00E820D5"/>
    <w:rsid w:val="00E821A1"/>
    <w:rsid w:val="00E822A7"/>
    <w:rsid w:val="00E82893"/>
    <w:rsid w:val="00E829D7"/>
    <w:rsid w:val="00E82BA0"/>
    <w:rsid w:val="00E82BEE"/>
    <w:rsid w:val="00E82CCE"/>
    <w:rsid w:val="00E82DD9"/>
    <w:rsid w:val="00E830D2"/>
    <w:rsid w:val="00E8354B"/>
    <w:rsid w:val="00E83682"/>
    <w:rsid w:val="00E838BB"/>
    <w:rsid w:val="00E83BBD"/>
    <w:rsid w:val="00E83C3F"/>
    <w:rsid w:val="00E83F5C"/>
    <w:rsid w:val="00E840EE"/>
    <w:rsid w:val="00E841AF"/>
    <w:rsid w:val="00E84437"/>
    <w:rsid w:val="00E84727"/>
    <w:rsid w:val="00E849E5"/>
    <w:rsid w:val="00E84B42"/>
    <w:rsid w:val="00E84E07"/>
    <w:rsid w:val="00E84EB5"/>
    <w:rsid w:val="00E8505C"/>
    <w:rsid w:val="00E85662"/>
    <w:rsid w:val="00E85717"/>
    <w:rsid w:val="00E85865"/>
    <w:rsid w:val="00E8587C"/>
    <w:rsid w:val="00E85940"/>
    <w:rsid w:val="00E85A35"/>
    <w:rsid w:val="00E85BB1"/>
    <w:rsid w:val="00E860E8"/>
    <w:rsid w:val="00E8629D"/>
    <w:rsid w:val="00E86983"/>
    <w:rsid w:val="00E86A9C"/>
    <w:rsid w:val="00E86B98"/>
    <w:rsid w:val="00E8734C"/>
    <w:rsid w:val="00E8744A"/>
    <w:rsid w:val="00E876D9"/>
    <w:rsid w:val="00E877A1"/>
    <w:rsid w:val="00E8789F"/>
    <w:rsid w:val="00E900BE"/>
    <w:rsid w:val="00E90559"/>
    <w:rsid w:val="00E90613"/>
    <w:rsid w:val="00E9074C"/>
    <w:rsid w:val="00E90AEF"/>
    <w:rsid w:val="00E90B04"/>
    <w:rsid w:val="00E90BF7"/>
    <w:rsid w:val="00E917E5"/>
    <w:rsid w:val="00E918B2"/>
    <w:rsid w:val="00E918FD"/>
    <w:rsid w:val="00E91A0A"/>
    <w:rsid w:val="00E91BB5"/>
    <w:rsid w:val="00E91BED"/>
    <w:rsid w:val="00E91CE8"/>
    <w:rsid w:val="00E91D64"/>
    <w:rsid w:val="00E91F27"/>
    <w:rsid w:val="00E92441"/>
    <w:rsid w:val="00E9247F"/>
    <w:rsid w:val="00E925A2"/>
    <w:rsid w:val="00E9272C"/>
    <w:rsid w:val="00E92B0C"/>
    <w:rsid w:val="00E92C44"/>
    <w:rsid w:val="00E92CA6"/>
    <w:rsid w:val="00E931CF"/>
    <w:rsid w:val="00E936F8"/>
    <w:rsid w:val="00E9373C"/>
    <w:rsid w:val="00E93945"/>
    <w:rsid w:val="00E93ACE"/>
    <w:rsid w:val="00E93FD8"/>
    <w:rsid w:val="00E943D5"/>
    <w:rsid w:val="00E94A36"/>
    <w:rsid w:val="00E950CD"/>
    <w:rsid w:val="00E950E9"/>
    <w:rsid w:val="00E9542C"/>
    <w:rsid w:val="00E956AB"/>
    <w:rsid w:val="00E956AD"/>
    <w:rsid w:val="00E95806"/>
    <w:rsid w:val="00E95905"/>
    <w:rsid w:val="00E95C05"/>
    <w:rsid w:val="00E960E0"/>
    <w:rsid w:val="00E960F8"/>
    <w:rsid w:val="00E96636"/>
    <w:rsid w:val="00E967BC"/>
    <w:rsid w:val="00E967FF"/>
    <w:rsid w:val="00E96DDD"/>
    <w:rsid w:val="00E96E07"/>
    <w:rsid w:val="00E96E1A"/>
    <w:rsid w:val="00E97A6C"/>
    <w:rsid w:val="00E97A79"/>
    <w:rsid w:val="00E97B3B"/>
    <w:rsid w:val="00E97B71"/>
    <w:rsid w:val="00E97C19"/>
    <w:rsid w:val="00E97F29"/>
    <w:rsid w:val="00EA00A7"/>
    <w:rsid w:val="00EA030C"/>
    <w:rsid w:val="00EA058D"/>
    <w:rsid w:val="00EA092F"/>
    <w:rsid w:val="00EA0A0E"/>
    <w:rsid w:val="00EA0ACD"/>
    <w:rsid w:val="00EA0C81"/>
    <w:rsid w:val="00EA10FA"/>
    <w:rsid w:val="00EA1360"/>
    <w:rsid w:val="00EA14B3"/>
    <w:rsid w:val="00EA16D3"/>
    <w:rsid w:val="00EA16FC"/>
    <w:rsid w:val="00EA19B5"/>
    <w:rsid w:val="00EA1A04"/>
    <w:rsid w:val="00EA1BEE"/>
    <w:rsid w:val="00EA1C2A"/>
    <w:rsid w:val="00EA1CA1"/>
    <w:rsid w:val="00EA301B"/>
    <w:rsid w:val="00EA33E8"/>
    <w:rsid w:val="00EA3A10"/>
    <w:rsid w:val="00EA3BB7"/>
    <w:rsid w:val="00EA3CC1"/>
    <w:rsid w:val="00EA3D34"/>
    <w:rsid w:val="00EA4447"/>
    <w:rsid w:val="00EA4459"/>
    <w:rsid w:val="00EA4585"/>
    <w:rsid w:val="00EA458C"/>
    <w:rsid w:val="00EA4702"/>
    <w:rsid w:val="00EA4730"/>
    <w:rsid w:val="00EA4837"/>
    <w:rsid w:val="00EA4865"/>
    <w:rsid w:val="00EA4B01"/>
    <w:rsid w:val="00EA4CC2"/>
    <w:rsid w:val="00EA5190"/>
    <w:rsid w:val="00EA53B4"/>
    <w:rsid w:val="00EA59B1"/>
    <w:rsid w:val="00EA59BB"/>
    <w:rsid w:val="00EA5C48"/>
    <w:rsid w:val="00EA5D1F"/>
    <w:rsid w:val="00EA5DBC"/>
    <w:rsid w:val="00EA5E58"/>
    <w:rsid w:val="00EA609D"/>
    <w:rsid w:val="00EA63A4"/>
    <w:rsid w:val="00EA640E"/>
    <w:rsid w:val="00EA68AD"/>
    <w:rsid w:val="00EA6B9C"/>
    <w:rsid w:val="00EA6BBB"/>
    <w:rsid w:val="00EA6E86"/>
    <w:rsid w:val="00EA71E0"/>
    <w:rsid w:val="00EA7416"/>
    <w:rsid w:val="00EA74FD"/>
    <w:rsid w:val="00EA79AB"/>
    <w:rsid w:val="00EA7DA0"/>
    <w:rsid w:val="00EA7DAD"/>
    <w:rsid w:val="00EB0009"/>
    <w:rsid w:val="00EB0237"/>
    <w:rsid w:val="00EB0584"/>
    <w:rsid w:val="00EB0A73"/>
    <w:rsid w:val="00EB0CC8"/>
    <w:rsid w:val="00EB0CE7"/>
    <w:rsid w:val="00EB0EBD"/>
    <w:rsid w:val="00EB1199"/>
    <w:rsid w:val="00EB1228"/>
    <w:rsid w:val="00EB1307"/>
    <w:rsid w:val="00EB1348"/>
    <w:rsid w:val="00EB151A"/>
    <w:rsid w:val="00EB17DA"/>
    <w:rsid w:val="00EB1949"/>
    <w:rsid w:val="00EB1FA6"/>
    <w:rsid w:val="00EB2252"/>
    <w:rsid w:val="00EB24A6"/>
    <w:rsid w:val="00EB24F9"/>
    <w:rsid w:val="00EB26D3"/>
    <w:rsid w:val="00EB2AC2"/>
    <w:rsid w:val="00EB2D76"/>
    <w:rsid w:val="00EB38D2"/>
    <w:rsid w:val="00EB38FE"/>
    <w:rsid w:val="00EB3952"/>
    <w:rsid w:val="00EB39AE"/>
    <w:rsid w:val="00EB3E59"/>
    <w:rsid w:val="00EB3F5A"/>
    <w:rsid w:val="00EB408E"/>
    <w:rsid w:val="00EB413B"/>
    <w:rsid w:val="00EB454D"/>
    <w:rsid w:val="00EB473E"/>
    <w:rsid w:val="00EB492B"/>
    <w:rsid w:val="00EB496A"/>
    <w:rsid w:val="00EB4EF7"/>
    <w:rsid w:val="00EB521A"/>
    <w:rsid w:val="00EB576A"/>
    <w:rsid w:val="00EB60D2"/>
    <w:rsid w:val="00EB6159"/>
    <w:rsid w:val="00EB65F1"/>
    <w:rsid w:val="00EB6709"/>
    <w:rsid w:val="00EB68BD"/>
    <w:rsid w:val="00EB6964"/>
    <w:rsid w:val="00EB6BB4"/>
    <w:rsid w:val="00EB6DE1"/>
    <w:rsid w:val="00EB71A1"/>
    <w:rsid w:val="00EB720C"/>
    <w:rsid w:val="00EB7601"/>
    <w:rsid w:val="00EB7776"/>
    <w:rsid w:val="00EB7C0C"/>
    <w:rsid w:val="00EB7CCF"/>
    <w:rsid w:val="00EB7D08"/>
    <w:rsid w:val="00EB7DDA"/>
    <w:rsid w:val="00EC01D9"/>
    <w:rsid w:val="00EC07A3"/>
    <w:rsid w:val="00EC0B67"/>
    <w:rsid w:val="00EC0FAD"/>
    <w:rsid w:val="00EC1348"/>
    <w:rsid w:val="00EC250C"/>
    <w:rsid w:val="00EC25B8"/>
    <w:rsid w:val="00EC271E"/>
    <w:rsid w:val="00EC2A68"/>
    <w:rsid w:val="00EC3420"/>
    <w:rsid w:val="00EC3939"/>
    <w:rsid w:val="00EC3B35"/>
    <w:rsid w:val="00EC3F5A"/>
    <w:rsid w:val="00EC456F"/>
    <w:rsid w:val="00EC46F5"/>
    <w:rsid w:val="00EC48FA"/>
    <w:rsid w:val="00EC4DAF"/>
    <w:rsid w:val="00EC5171"/>
    <w:rsid w:val="00EC542B"/>
    <w:rsid w:val="00EC57CD"/>
    <w:rsid w:val="00EC57F1"/>
    <w:rsid w:val="00EC5871"/>
    <w:rsid w:val="00EC5AE5"/>
    <w:rsid w:val="00EC5C06"/>
    <w:rsid w:val="00EC5C9A"/>
    <w:rsid w:val="00EC5CB1"/>
    <w:rsid w:val="00EC5EC4"/>
    <w:rsid w:val="00EC5F21"/>
    <w:rsid w:val="00EC5FC9"/>
    <w:rsid w:val="00EC5FD0"/>
    <w:rsid w:val="00EC6131"/>
    <w:rsid w:val="00EC6162"/>
    <w:rsid w:val="00EC64A6"/>
    <w:rsid w:val="00EC699E"/>
    <w:rsid w:val="00EC6C07"/>
    <w:rsid w:val="00EC6FCD"/>
    <w:rsid w:val="00EC710A"/>
    <w:rsid w:val="00EC730A"/>
    <w:rsid w:val="00EC75CD"/>
    <w:rsid w:val="00EC7729"/>
    <w:rsid w:val="00EC7E71"/>
    <w:rsid w:val="00ED075D"/>
    <w:rsid w:val="00ED0EC2"/>
    <w:rsid w:val="00ED1109"/>
    <w:rsid w:val="00ED13EE"/>
    <w:rsid w:val="00ED1421"/>
    <w:rsid w:val="00ED1454"/>
    <w:rsid w:val="00ED14D5"/>
    <w:rsid w:val="00ED1725"/>
    <w:rsid w:val="00ED18DC"/>
    <w:rsid w:val="00ED1A3E"/>
    <w:rsid w:val="00ED1B04"/>
    <w:rsid w:val="00ED1C68"/>
    <w:rsid w:val="00ED211C"/>
    <w:rsid w:val="00ED248C"/>
    <w:rsid w:val="00ED2642"/>
    <w:rsid w:val="00ED27A3"/>
    <w:rsid w:val="00ED2824"/>
    <w:rsid w:val="00ED295A"/>
    <w:rsid w:val="00ED295F"/>
    <w:rsid w:val="00ED2B97"/>
    <w:rsid w:val="00ED2DC6"/>
    <w:rsid w:val="00ED2FCF"/>
    <w:rsid w:val="00ED3118"/>
    <w:rsid w:val="00ED31DE"/>
    <w:rsid w:val="00ED3A60"/>
    <w:rsid w:val="00ED3D04"/>
    <w:rsid w:val="00ED4148"/>
    <w:rsid w:val="00ED4370"/>
    <w:rsid w:val="00ED465A"/>
    <w:rsid w:val="00ED4911"/>
    <w:rsid w:val="00ED4F32"/>
    <w:rsid w:val="00ED50C9"/>
    <w:rsid w:val="00ED52D6"/>
    <w:rsid w:val="00ED54AA"/>
    <w:rsid w:val="00ED5BBB"/>
    <w:rsid w:val="00ED5D69"/>
    <w:rsid w:val="00ED5FA0"/>
    <w:rsid w:val="00ED65C4"/>
    <w:rsid w:val="00ED6765"/>
    <w:rsid w:val="00ED67F1"/>
    <w:rsid w:val="00ED6EBF"/>
    <w:rsid w:val="00ED6F6C"/>
    <w:rsid w:val="00ED7067"/>
    <w:rsid w:val="00ED75BD"/>
    <w:rsid w:val="00ED76BE"/>
    <w:rsid w:val="00ED7C53"/>
    <w:rsid w:val="00ED7DDC"/>
    <w:rsid w:val="00ED7DE2"/>
    <w:rsid w:val="00ED7FD0"/>
    <w:rsid w:val="00EE0032"/>
    <w:rsid w:val="00EE0034"/>
    <w:rsid w:val="00EE0397"/>
    <w:rsid w:val="00EE0432"/>
    <w:rsid w:val="00EE0747"/>
    <w:rsid w:val="00EE07CF"/>
    <w:rsid w:val="00EE097E"/>
    <w:rsid w:val="00EE0A42"/>
    <w:rsid w:val="00EE0E65"/>
    <w:rsid w:val="00EE0EF2"/>
    <w:rsid w:val="00EE0F3C"/>
    <w:rsid w:val="00EE0F45"/>
    <w:rsid w:val="00EE0F71"/>
    <w:rsid w:val="00EE1406"/>
    <w:rsid w:val="00EE1655"/>
    <w:rsid w:val="00EE1908"/>
    <w:rsid w:val="00EE1981"/>
    <w:rsid w:val="00EE1A7D"/>
    <w:rsid w:val="00EE1F51"/>
    <w:rsid w:val="00EE246F"/>
    <w:rsid w:val="00EE24F0"/>
    <w:rsid w:val="00EE2B90"/>
    <w:rsid w:val="00EE2B93"/>
    <w:rsid w:val="00EE2CE9"/>
    <w:rsid w:val="00EE2E44"/>
    <w:rsid w:val="00EE36BC"/>
    <w:rsid w:val="00EE3881"/>
    <w:rsid w:val="00EE3C36"/>
    <w:rsid w:val="00EE3CBA"/>
    <w:rsid w:val="00EE3EEA"/>
    <w:rsid w:val="00EE40D7"/>
    <w:rsid w:val="00EE4181"/>
    <w:rsid w:val="00EE42B2"/>
    <w:rsid w:val="00EE4414"/>
    <w:rsid w:val="00EE44D5"/>
    <w:rsid w:val="00EE4937"/>
    <w:rsid w:val="00EE4D3A"/>
    <w:rsid w:val="00EE4F2C"/>
    <w:rsid w:val="00EE5038"/>
    <w:rsid w:val="00EE51CE"/>
    <w:rsid w:val="00EE52BC"/>
    <w:rsid w:val="00EE56E1"/>
    <w:rsid w:val="00EE5735"/>
    <w:rsid w:val="00EE5AB2"/>
    <w:rsid w:val="00EE62E2"/>
    <w:rsid w:val="00EE66D5"/>
    <w:rsid w:val="00EE6BFA"/>
    <w:rsid w:val="00EE6E06"/>
    <w:rsid w:val="00EE6F9B"/>
    <w:rsid w:val="00EE78D4"/>
    <w:rsid w:val="00EE7AF3"/>
    <w:rsid w:val="00EE7DB5"/>
    <w:rsid w:val="00EE7DC6"/>
    <w:rsid w:val="00EE7FEB"/>
    <w:rsid w:val="00EF0086"/>
    <w:rsid w:val="00EF019F"/>
    <w:rsid w:val="00EF041B"/>
    <w:rsid w:val="00EF09B3"/>
    <w:rsid w:val="00EF0A91"/>
    <w:rsid w:val="00EF0CFD"/>
    <w:rsid w:val="00EF0E20"/>
    <w:rsid w:val="00EF0E91"/>
    <w:rsid w:val="00EF10AE"/>
    <w:rsid w:val="00EF1533"/>
    <w:rsid w:val="00EF1620"/>
    <w:rsid w:val="00EF18A6"/>
    <w:rsid w:val="00EF1FDC"/>
    <w:rsid w:val="00EF20EA"/>
    <w:rsid w:val="00EF25E4"/>
    <w:rsid w:val="00EF2CC9"/>
    <w:rsid w:val="00EF2E44"/>
    <w:rsid w:val="00EF300A"/>
    <w:rsid w:val="00EF3628"/>
    <w:rsid w:val="00EF36A2"/>
    <w:rsid w:val="00EF3789"/>
    <w:rsid w:val="00EF380F"/>
    <w:rsid w:val="00EF3997"/>
    <w:rsid w:val="00EF3A41"/>
    <w:rsid w:val="00EF3AAC"/>
    <w:rsid w:val="00EF3ACE"/>
    <w:rsid w:val="00EF3F32"/>
    <w:rsid w:val="00EF3F5D"/>
    <w:rsid w:val="00EF40D4"/>
    <w:rsid w:val="00EF42B8"/>
    <w:rsid w:val="00EF4A52"/>
    <w:rsid w:val="00EF4B8C"/>
    <w:rsid w:val="00EF4C19"/>
    <w:rsid w:val="00EF4D4A"/>
    <w:rsid w:val="00EF4D82"/>
    <w:rsid w:val="00EF5489"/>
    <w:rsid w:val="00EF55FC"/>
    <w:rsid w:val="00EF58B9"/>
    <w:rsid w:val="00EF5C2B"/>
    <w:rsid w:val="00EF5C68"/>
    <w:rsid w:val="00EF5F2C"/>
    <w:rsid w:val="00EF619B"/>
    <w:rsid w:val="00EF65A4"/>
    <w:rsid w:val="00EF65DB"/>
    <w:rsid w:val="00EF66D7"/>
    <w:rsid w:val="00EF6B97"/>
    <w:rsid w:val="00EF6C7F"/>
    <w:rsid w:val="00EF6DE9"/>
    <w:rsid w:val="00EF7060"/>
    <w:rsid w:val="00EF73D7"/>
    <w:rsid w:val="00EF758E"/>
    <w:rsid w:val="00EF769D"/>
    <w:rsid w:val="00EF7710"/>
    <w:rsid w:val="00EF7AD6"/>
    <w:rsid w:val="00EF7ADD"/>
    <w:rsid w:val="00EF7B0E"/>
    <w:rsid w:val="00EF7C5E"/>
    <w:rsid w:val="00EF7E01"/>
    <w:rsid w:val="00F00055"/>
    <w:rsid w:val="00F00323"/>
    <w:rsid w:val="00F0043F"/>
    <w:rsid w:val="00F00735"/>
    <w:rsid w:val="00F00B55"/>
    <w:rsid w:val="00F00B7C"/>
    <w:rsid w:val="00F00C77"/>
    <w:rsid w:val="00F0113C"/>
    <w:rsid w:val="00F0183F"/>
    <w:rsid w:val="00F01B8B"/>
    <w:rsid w:val="00F01E62"/>
    <w:rsid w:val="00F01F7B"/>
    <w:rsid w:val="00F02058"/>
    <w:rsid w:val="00F02506"/>
    <w:rsid w:val="00F02540"/>
    <w:rsid w:val="00F0272F"/>
    <w:rsid w:val="00F0274E"/>
    <w:rsid w:val="00F027CA"/>
    <w:rsid w:val="00F02865"/>
    <w:rsid w:val="00F02932"/>
    <w:rsid w:val="00F02987"/>
    <w:rsid w:val="00F02989"/>
    <w:rsid w:val="00F029E9"/>
    <w:rsid w:val="00F029FA"/>
    <w:rsid w:val="00F02AD1"/>
    <w:rsid w:val="00F03017"/>
    <w:rsid w:val="00F031DF"/>
    <w:rsid w:val="00F03977"/>
    <w:rsid w:val="00F03B99"/>
    <w:rsid w:val="00F03C7D"/>
    <w:rsid w:val="00F03D56"/>
    <w:rsid w:val="00F03DA3"/>
    <w:rsid w:val="00F03E30"/>
    <w:rsid w:val="00F0417F"/>
    <w:rsid w:val="00F042BD"/>
    <w:rsid w:val="00F048F3"/>
    <w:rsid w:val="00F04CB4"/>
    <w:rsid w:val="00F04ED8"/>
    <w:rsid w:val="00F04F35"/>
    <w:rsid w:val="00F0509B"/>
    <w:rsid w:val="00F05E26"/>
    <w:rsid w:val="00F06349"/>
    <w:rsid w:val="00F06515"/>
    <w:rsid w:val="00F065B7"/>
    <w:rsid w:val="00F065D0"/>
    <w:rsid w:val="00F06AA1"/>
    <w:rsid w:val="00F06BB9"/>
    <w:rsid w:val="00F0704D"/>
    <w:rsid w:val="00F07182"/>
    <w:rsid w:val="00F071A7"/>
    <w:rsid w:val="00F07980"/>
    <w:rsid w:val="00F07BE5"/>
    <w:rsid w:val="00F07D4B"/>
    <w:rsid w:val="00F07F99"/>
    <w:rsid w:val="00F100C3"/>
    <w:rsid w:val="00F10203"/>
    <w:rsid w:val="00F1043F"/>
    <w:rsid w:val="00F1049E"/>
    <w:rsid w:val="00F107B2"/>
    <w:rsid w:val="00F10A01"/>
    <w:rsid w:val="00F10D7E"/>
    <w:rsid w:val="00F10EF7"/>
    <w:rsid w:val="00F10F5F"/>
    <w:rsid w:val="00F10FF9"/>
    <w:rsid w:val="00F11623"/>
    <w:rsid w:val="00F11B32"/>
    <w:rsid w:val="00F11CDE"/>
    <w:rsid w:val="00F11CF8"/>
    <w:rsid w:val="00F121B8"/>
    <w:rsid w:val="00F12D3C"/>
    <w:rsid w:val="00F12E32"/>
    <w:rsid w:val="00F12E5C"/>
    <w:rsid w:val="00F12F7B"/>
    <w:rsid w:val="00F13524"/>
    <w:rsid w:val="00F138B4"/>
    <w:rsid w:val="00F13B62"/>
    <w:rsid w:val="00F14024"/>
    <w:rsid w:val="00F141E4"/>
    <w:rsid w:val="00F146ED"/>
    <w:rsid w:val="00F14D01"/>
    <w:rsid w:val="00F14E7D"/>
    <w:rsid w:val="00F14F60"/>
    <w:rsid w:val="00F1510C"/>
    <w:rsid w:val="00F154CF"/>
    <w:rsid w:val="00F15811"/>
    <w:rsid w:val="00F15C84"/>
    <w:rsid w:val="00F15FDD"/>
    <w:rsid w:val="00F1644E"/>
    <w:rsid w:val="00F16538"/>
    <w:rsid w:val="00F16B67"/>
    <w:rsid w:val="00F16D7C"/>
    <w:rsid w:val="00F16E58"/>
    <w:rsid w:val="00F172A9"/>
    <w:rsid w:val="00F1734C"/>
    <w:rsid w:val="00F1755B"/>
    <w:rsid w:val="00F17789"/>
    <w:rsid w:val="00F17CDC"/>
    <w:rsid w:val="00F17E1E"/>
    <w:rsid w:val="00F202AA"/>
    <w:rsid w:val="00F2057E"/>
    <w:rsid w:val="00F2075F"/>
    <w:rsid w:val="00F20ABD"/>
    <w:rsid w:val="00F20CC3"/>
    <w:rsid w:val="00F2142B"/>
    <w:rsid w:val="00F218B3"/>
    <w:rsid w:val="00F2192C"/>
    <w:rsid w:val="00F219EA"/>
    <w:rsid w:val="00F21A94"/>
    <w:rsid w:val="00F21AB2"/>
    <w:rsid w:val="00F21DF6"/>
    <w:rsid w:val="00F223FC"/>
    <w:rsid w:val="00F22765"/>
    <w:rsid w:val="00F228CD"/>
    <w:rsid w:val="00F22B42"/>
    <w:rsid w:val="00F22DF2"/>
    <w:rsid w:val="00F22F20"/>
    <w:rsid w:val="00F2325A"/>
    <w:rsid w:val="00F236D8"/>
    <w:rsid w:val="00F236EB"/>
    <w:rsid w:val="00F2398A"/>
    <w:rsid w:val="00F23A9C"/>
    <w:rsid w:val="00F23B3A"/>
    <w:rsid w:val="00F23B45"/>
    <w:rsid w:val="00F23C77"/>
    <w:rsid w:val="00F23C80"/>
    <w:rsid w:val="00F23DB8"/>
    <w:rsid w:val="00F23F87"/>
    <w:rsid w:val="00F24770"/>
    <w:rsid w:val="00F247A0"/>
    <w:rsid w:val="00F2488D"/>
    <w:rsid w:val="00F248DE"/>
    <w:rsid w:val="00F24DEA"/>
    <w:rsid w:val="00F250C7"/>
    <w:rsid w:val="00F250FC"/>
    <w:rsid w:val="00F253CC"/>
    <w:rsid w:val="00F2551C"/>
    <w:rsid w:val="00F255D0"/>
    <w:rsid w:val="00F2579B"/>
    <w:rsid w:val="00F25A36"/>
    <w:rsid w:val="00F25CD8"/>
    <w:rsid w:val="00F25D69"/>
    <w:rsid w:val="00F25DC9"/>
    <w:rsid w:val="00F2600C"/>
    <w:rsid w:val="00F26524"/>
    <w:rsid w:val="00F26610"/>
    <w:rsid w:val="00F26A2B"/>
    <w:rsid w:val="00F26BDA"/>
    <w:rsid w:val="00F26F0A"/>
    <w:rsid w:val="00F2702A"/>
    <w:rsid w:val="00F270F1"/>
    <w:rsid w:val="00F2770D"/>
    <w:rsid w:val="00F2796D"/>
    <w:rsid w:val="00F27A79"/>
    <w:rsid w:val="00F27EFA"/>
    <w:rsid w:val="00F27FEF"/>
    <w:rsid w:val="00F30124"/>
    <w:rsid w:val="00F30148"/>
    <w:rsid w:val="00F3016F"/>
    <w:rsid w:val="00F301F1"/>
    <w:rsid w:val="00F3062D"/>
    <w:rsid w:val="00F30798"/>
    <w:rsid w:val="00F308BC"/>
    <w:rsid w:val="00F308DF"/>
    <w:rsid w:val="00F3189E"/>
    <w:rsid w:val="00F318EF"/>
    <w:rsid w:val="00F31DDD"/>
    <w:rsid w:val="00F31EA0"/>
    <w:rsid w:val="00F31EB3"/>
    <w:rsid w:val="00F32461"/>
    <w:rsid w:val="00F3246D"/>
    <w:rsid w:val="00F32619"/>
    <w:rsid w:val="00F32627"/>
    <w:rsid w:val="00F328BD"/>
    <w:rsid w:val="00F32D94"/>
    <w:rsid w:val="00F330E4"/>
    <w:rsid w:val="00F336FF"/>
    <w:rsid w:val="00F33725"/>
    <w:rsid w:val="00F33748"/>
    <w:rsid w:val="00F33955"/>
    <w:rsid w:val="00F33AF9"/>
    <w:rsid w:val="00F33BBE"/>
    <w:rsid w:val="00F33E96"/>
    <w:rsid w:val="00F3449B"/>
    <w:rsid w:val="00F34894"/>
    <w:rsid w:val="00F34B5A"/>
    <w:rsid w:val="00F34D6F"/>
    <w:rsid w:val="00F351BB"/>
    <w:rsid w:val="00F3585A"/>
    <w:rsid w:val="00F35B60"/>
    <w:rsid w:val="00F35F7E"/>
    <w:rsid w:val="00F35FC3"/>
    <w:rsid w:val="00F36342"/>
    <w:rsid w:val="00F3657A"/>
    <w:rsid w:val="00F367DC"/>
    <w:rsid w:val="00F367FD"/>
    <w:rsid w:val="00F3684D"/>
    <w:rsid w:val="00F3692A"/>
    <w:rsid w:val="00F36BBC"/>
    <w:rsid w:val="00F36BD1"/>
    <w:rsid w:val="00F36D85"/>
    <w:rsid w:val="00F36DD3"/>
    <w:rsid w:val="00F370CD"/>
    <w:rsid w:val="00F37106"/>
    <w:rsid w:val="00F37504"/>
    <w:rsid w:val="00F3776F"/>
    <w:rsid w:val="00F3784C"/>
    <w:rsid w:val="00F3785A"/>
    <w:rsid w:val="00F37BB9"/>
    <w:rsid w:val="00F4002B"/>
    <w:rsid w:val="00F400D1"/>
    <w:rsid w:val="00F4013D"/>
    <w:rsid w:val="00F404C9"/>
    <w:rsid w:val="00F4059E"/>
    <w:rsid w:val="00F40611"/>
    <w:rsid w:val="00F40950"/>
    <w:rsid w:val="00F40F53"/>
    <w:rsid w:val="00F4141B"/>
    <w:rsid w:val="00F416E2"/>
    <w:rsid w:val="00F41724"/>
    <w:rsid w:val="00F417F4"/>
    <w:rsid w:val="00F41BBF"/>
    <w:rsid w:val="00F42346"/>
    <w:rsid w:val="00F42613"/>
    <w:rsid w:val="00F426B7"/>
    <w:rsid w:val="00F42707"/>
    <w:rsid w:val="00F428F3"/>
    <w:rsid w:val="00F42AAE"/>
    <w:rsid w:val="00F42BD0"/>
    <w:rsid w:val="00F43422"/>
    <w:rsid w:val="00F435E2"/>
    <w:rsid w:val="00F4360C"/>
    <w:rsid w:val="00F43B3A"/>
    <w:rsid w:val="00F43DBD"/>
    <w:rsid w:val="00F4406D"/>
    <w:rsid w:val="00F4462C"/>
    <w:rsid w:val="00F446CF"/>
    <w:rsid w:val="00F446F3"/>
    <w:rsid w:val="00F446F9"/>
    <w:rsid w:val="00F44A15"/>
    <w:rsid w:val="00F44C09"/>
    <w:rsid w:val="00F44C14"/>
    <w:rsid w:val="00F44CA5"/>
    <w:rsid w:val="00F44CCA"/>
    <w:rsid w:val="00F44D14"/>
    <w:rsid w:val="00F44EFB"/>
    <w:rsid w:val="00F44FED"/>
    <w:rsid w:val="00F45116"/>
    <w:rsid w:val="00F454F8"/>
    <w:rsid w:val="00F45631"/>
    <w:rsid w:val="00F4571E"/>
    <w:rsid w:val="00F458B4"/>
    <w:rsid w:val="00F45942"/>
    <w:rsid w:val="00F45ADC"/>
    <w:rsid w:val="00F45B86"/>
    <w:rsid w:val="00F45C02"/>
    <w:rsid w:val="00F460BD"/>
    <w:rsid w:val="00F46136"/>
    <w:rsid w:val="00F46421"/>
    <w:rsid w:val="00F46B6A"/>
    <w:rsid w:val="00F46D7F"/>
    <w:rsid w:val="00F46DCE"/>
    <w:rsid w:val="00F46E91"/>
    <w:rsid w:val="00F47077"/>
    <w:rsid w:val="00F471FE"/>
    <w:rsid w:val="00F47228"/>
    <w:rsid w:val="00F47235"/>
    <w:rsid w:val="00F476EA"/>
    <w:rsid w:val="00F47751"/>
    <w:rsid w:val="00F50106"/>
    <w:rsid w:val="00F50213"/>
    <w:rsid w:val="00F503E5"/>
    <w:rsid w:val="00F50484"/>
    <w:rsid w:val="00F505B9"/>
    <w:rsid w:val="00F506DB"/>
    <w:rsid w:val="00F50950"/>
    <w:rsid w:val="00F50C83"/>
    <w:rsid w:val="00F50CA8"/>
    <w:rsid w:val="00F50D1D"/>
    <w:rsid w:val="00F50E2F"/>
    <w:rsid w:val="00F51029"/>
    <w:rsid w:val="00F510CC"/>
    <w:rsid w:val="00F5120C"/>
    <w:rsid w:val="00F5126E"/>
    <w:rsid w:val="00F519CF"/>
    <w:rsid w:val="00F52036"/>
    <w:rsid w:val="00F5250D"/>
    <w:rsid w:val="00F52523"/>
    <w:rsid w:val="00F52669"/>
    <w:rsid w:val="00F5266C"/>
    <w:rsid w:val="00F52D29"/>
    <w:rsid w:val="00F53091"/>
    <w:rsid w:val="00F536AD"/>
    <w:rsid w:val="00F536F2"/>
    <w:rsid w:val="00F537C8"/>
    <w:rsid w:val="00F537DE"/>
    <w:rsid w:val="00F539AD"/>
    <w:rsid w:val="00F53C56"/>
    <w:rsid w:val="00F53D74"/>
    <w:rsid w:val="00F54512"/>
    <w:rsid w:val="00F54740"/>
    <w:rsid w:val="00F54BB1"/>
    <w:rsid w:val="00F54ECA"/>
    <w:rsid w:val="00F54EF3"/>
    <w:rsid w:val="00F55096"/>
    <w:rsid w:val="00F550DF"/>
    <w:rsid w:val="00F55253"/>
    <w:rsid w:val="00F555C4"/>
    <w:rsid w:val="00F55695"/>
    <w:rsid w:val="00F5569F"/>
    <w:rsid w:val="00F5572B"/>
    <w:rsid w:val="00F557DF"/>
    <w:rsid w:val="00F56089"/>
    <w:rsid w:val="00F560E0"/>
    <w:rsid w:val="00F56791"/>
    <w:rsid w:val="00F56AF1"/>
    <w:rsid w:val="00F56BA5"/>
    <w:rsid w:val="00F56C29"/>
    <w:rsid w:val="00F56C88"/>
    <w:rsid w:val="00F56E69"/>
    <w:rsid w:val="00F57246"/>
    <w:rsid w:val="00F5765D"/>
    <w:rsid w:val="00F57702"/>
    <w:rsid w:val="00F57724"/>
    <w:rsid w:val="00F57978"/>
    <w:rsid w:val="00F57B9F"/>
    <w:rsid w:val="00F57D68"/>
    <w:rsid w:val="00F6021C"/>
    <w:rsid w:val="00F607B9"/>
    <w:rsid w:val="00F60E22"/>
    <w:rsid w:val="00F60E5B"/>
    <w:rsid w:val="00F60E6C"/>
    <w:rsid w:val="00F60E8A"/>
    <w:rsid w:val="00F61227"/>
    <w:rsid w:val="00F6165A"/>
    <w:rsid w:val="00F61A1A"/>
    <w:rsid w:val="00F61FE4"/>
    <w:rsid w:val="00F62282"/>
    <w:rsid w:val="00F62600"/>
    <w:rsid w:val="00F62748"/>
    <w:rsid w:val="00F62C58"/>
    <w:rsid w:val="00F62D1E"/>
    <w:rsid w:val="00F62FE2"/>
    <w:rsid w:val="00F6302F"/>
    <w:rsid w:val="00F63469"/>
    <w:rsid w:val="00F634D9"/>
    <w:rsid w:val="00F63CCB"/>
    <w:rsid w:val="00F640C5"/>
    <w:rsid w:val="00F6432D"/>
    <w:rsid w:val="00F649AD"/>
    <w:rsid w:val="00F64B8B"/>
    <w:rsid w:val="00F64DB1"/>
    <w:rsid w:val="00F65086"/>
    <w:rsid w:val="00F653D2"/>
    <w:rsid w:val="00F65545"/>
    <w:rsid w:val="00F659EC"/>
    <w:rsid w:val="00F669A4"/>
    <w:rsid w:val="00F6703B"/>
    <w:rsid w:val="00F6731B"/>
    <w:rsid w:val="00F67538"/>
    <w:rsid w:val="00F676E7"/>
    <w:rsid w:val="00F67A0A"/>
    <w:rsid w:val="00F67A50"/>
    <w:rsid w:val="00F67B09"/>
    <w:rsid w:val="00F67C38"/>
    <w:rsid w:val="00F70327"/>
    <w:rsid w:val="00F704B2"/>
    <w:rsid w:val="00F70DE9"/>
    <w:rsid w:val="00F70FB8"/>
    <w:rsid w:val="00F711C6"/>
    <w:rsid w:val="00F7124D"/>
    <w:rsid w:val="00F71A9D"/>
    <w:rsid w:val="00F7244A"/>
    <w:rsid w:val="00F72BD4"/>
    <w:rsid w:val="00F72EB4"/>
    <w:rsid w:val="00F73170"/>
    <w:rsid w:val="00F734BE"/>
    <w:rsid w:val="00F73584"/>
    <w:rsid w:val="00F735AE"/>
    <w:rsid w:val="00F73687"/>
    <w:rsid w:val="00F7394A"/>
    <w:rsid w:val="00F739DF"/>
    <w:rsid w:val="00F74151"/>
    <w:rsid w:val="00F74322"/>
    <w:rsid w:val="00F746C3"/>
    <w:rsid w:val="00F746FE"/>
    <w:rsid w:val="00F74763"/>
    <w:rsid w:val="00F74E0A"/>
    <w:rsid w:val="00F75766"/>
    <w:rsid w:val="00F75A47"/>
    <w:rsid w:val="00F75E4D"/>
    <w:rsid w:val="00F75F3C"/>
    <w:rsid w:val="00F76487"/>
    <w:rsid w:val="00F764FE"/>
    <w:rsid w:val="00F76B81"/>
    <w:rsid w:val="00F76E2B"/>
    <w:rsid w:val="00F77C37"/>
    <w:rsid w:val="00F77CF9"/>
    <w:rsid w:val="00F77DF8"/>
    <w:rsid w:val="00F77F43"/>
    <w:rsid w:val="00F77FB6"/>
    <w:rsid w:val="00F804AE"/>
    <w:rsid w:val="00F80657"/>
    <w:rsid w:val="00F8067B"/>
    <w:rsid w:val="00F8067F"/>
    <w:rsid w:val="00F80A4F"/>
    <w:rsid w:val="00F80E5D"/>
    <w:rsid w:val="00F80E66"/>
    <w:rsid w:val="00F81147"/>
    <w:rsid w:val="00F816DE"/>
    <w:rsid w:val="00F8198E"/>
    <w:rsid w:val="00F819BC"/>
    <w:rsid w:val="00F81BE3"/>
    <w:rsid w:val="00F82261"/>
    <w:rsid w:val="00F82642"/>
    <w:rsid w:val="00F82DD5"/>
    <w:rsid w:val="00F82E43"/>
    <w:rsid w:val="00F83145"/>
    <w:rsid w:val="00F8358D"/>
    <w:rsid w:val="00F83A86"/>
    <w:rsid w:val="00F83E2B"/>
    <w:rsid w:val="00F84077"/>
    <w:rsid w:val="00F8418A"/>
    <w:rsid w:val="00F843AA"/>
    <w:rsid w:val="00F8473C"/>
    <w:rsid w:val="00F84D44"/>
    <w:rsid w:val="00F852F7"/>
    <w:rsid w:val="00F852FC"/>
    <w:rsid w:val="00F85337"/>
    <w:rsid w:val="00F8562C"/>
    <w:rsid w:val="00F85974"/>
    <w:rsid w:val="00F85A52"/>
    <w:rsid w:val="00F860B1"/>
    <w:rsid w:val="00F8621E"/>
    <w:rsid w:val="00F866A6"/>
    <w:rsid w:val="00F868FF"/>
    <w:rsid w:val="00F869AF"/>
    <w:rsid w:val="00F869E0"/>
    <w:rsid w:val="00F86AB6"/>
    <w:rsid w:val="00F86B10"/>
    <w:rsid w:val="00F86B3A"/>
    <w:rsid w:val="00F8747D"/>
    <w:rsid w:val="00F875DA"/>
    <w:rsid w:val="00F876AC"/>
    <w:rsid w:val="00F877C0"/>
    <w:rsid w:val="00F87AE1"/>
    <w:rsid w:val="00F90217"/>
    <w:rsid w:val="00F90433"/>
    <w:rsid w:val="00F9043B"/>
    <w:rsid w:val="00F90590"/>
    <w:rsid w:val="00F90767"/>
    <w:rsid w:val="00F90AEF"/>
    <w:rsid w:val="00F90CAC"/>
    <w:rsid w:val="00F90CC2"/>
    <w:rsid w:val="00F90CDD"/>
    <w:rsid w:val="00F90CE4"/>
    <w:rsid w:val="00F91160"/>
    <w:rsid w:val="00F9133E"/>
    <w:rsid w:val="00F91542"/>
    <w:rsid w:val="00F917D1"/>
    <w:rsid w:val="00F91A90"/>
    <w:rsid w:val="00F91BBA"/>
    <w:rsid w:val="00F91BDC"/>
    <w:rsid w:val="00F9209D"/>
    <w:rsid w:val="00F92433"/>
    <w:rsid w:val="00F92511"/>
    <w:rsid w:val="00F92850"/>
    <w:rsid w:val="00F92A8E"/>
    <w:rsid w:val="00F93327"/>
    <w:rsid w:val="00F9392B"/>
    <w:rsid w:val="00F93F64"/>
    <w:rsid w:val="00F93F8F"/>
    <w:rsid w:val="00F94216"/>
    <w:rsid w:val="00F94442"/>
    <w:rsid w:val="00F9451A"/>
    <w:rsid w:val="00F9491D"/>
    <w:rsid w:val="00F94F45"/>
    <w:rsid w:val="00F954CA"/>
    <w:rsid w:val="00F9568E"/>
    <w:rsid w:val="00F957AE"/>
    <w:rsid w:val="00F957C6"/>
    <w:rsid w:val="00F95A27"/>
    <w:rsid w:val="00F95A69"/>
    <w:rsid w:val="00F95D34"/>
    <w:rsid w:val="00F96160"/>
    <w:rsid w:val="00F9621D"/>
    <w:rsid w:val="00F96326"/>
    <w:rsid w:val="00F963B8"/>
    <w:rsid w:val="00F964F8"/>
    <w:rsid w:val="00F9653B"/>
    <w:rsid w:val="00F9666C"/>
    <w:rsid w:val="00F96778"/>
    <w:rsid w:val="00F96B55"/>
    <w:rsid w:val="00F96C41"/>
    <w:rsid w:val="00F96E6F"/>
    <w:rsid w:val="00F971FA"/>
    <w:rsid w:val="00F97516"/>
    <w:rsid w:val="00F976A7"/>
    <w:rsid w:val="00F97A52"/>
    <w:rsid w:val="00F97E2D"/>
    <w:rsid w:val="00F97E62"/>
    <w:rsid w:val="00F97FFA"/>
    <w:rsid w:val="00FA00E2"/>
    <w:rsid w:val="00FA02EB"/>
    <w:rsid w:val="00FA032B"/>
    <w:rsid w:val="00FA0338"/>
    <w:rsid w:val="00FA069A"/>
    <w:rsid w:val="00FA0711"/>
    <w:rsid w:val="00FA07A8"/>
    <w:rsid w:val="00FA084C"/>
    <w:rsid w:val="00FA08DD"/>
    <w:rsid w:val="00FA0908"/>
    <w:rsid w:val="00FA093F"/>
    <w:rsid w:val="00FA0D1A"/>
    <w:rsid w:val="00FA0D48"/>
    <w:rsid w:val="00FA174E"/>
    <w:rsid w:val="00FA1A07"/>
    <w:rsid w:val="00FA1A78"/>
    <w:rsid w:val="00FA1EE7"/>
    <w:rsid w:val="00FA1FAA"/>
    <w:rsid w:val="00FA1FBB"/>
    <w:rsid w:val="00FA2595"/>
    <w:rsid w:val="00FA25D4"/>
    <w:rsid w:val="00FA2B3C"/>
    <w:rsid w:val="00FA2BD3"/>
    <w:rsid w:val="00FA2E9D"/>
    <w:rsid w:val="00FA30A1"/>
    <w:rsid w:val="00FA35B3"/>
    <w:rsid w:val="00FA3858"/>
    <w:rsid w:val="00FA3987"/>
    <w:rsid w:val="00FA3D42"/>
    <w:rsid w:val="00FA4035"/>
    <w:rsid w:val="00FA410D"/>
    <w:rsid w:val="00FA4293"/>
    <w:rsid w:val="00FA4491"/>
    <w:rsid w:val="00FA46DA"/>
    <w:rsid w:val="00FA4AD3"/>
    <w:rsid w:val="00FA4CD5"/>
    <w:rsid w:val="00FA4D1D"/>
    <w:rsid w:val="00FA5392"/>
    <w:rsid w:val="00FA57A0"/>
    <w:rsid w:val="00FA5957"/>
    <w:rsid w:val="00FA5C21"/>
    <w:rsid w:val="00FA5DE9"/>
    <w:rsid w:val="00FA5EAE"/>
    <w:rsid w:val="00FA5F9C"/>
    <w:rsid w:val="00FA60B9"/>
    <w:rsid w:val="00FA6127"/>
    <w:rsid w:val="00FA634C"/>
    <w:rsid w:val="00FA65A6"/>
    <w:rsid w:val="00FA65BB"/>
    <w:rsid w:val="00FA6691"/>
    <w:rsid w:val="00FA66D9"/>
    <w:rsid w:val="00FA6914"/>
    <w:rsid w:val="00FA6A30"/>
    <w:rsid w:val="00FA6C23"/>
    <w:rsid w:val="00FA6DA6"/>
    <w:rsid w:val="00FA7271"/>
    <w:rsid w:val="00FA7419"/>
    <w:rsid w:val="00FA7494"/>
    <w:rsid w:val="00FA7605"/>
    <w:rsid w:val="00FA77B7"/>
    <w:rsid w:val="00FA7959"/>
    <w:rsid w:val="00FA79C6"/>
    <w:rsid w:val="00FA7C9D"/>
    <w:rsid w:val="00FA7D7F"/>
    <w:rsid w:val="00FB0522"/>
    <w:rsid w:val="00FB05F9"/>
    <w:rsid w:val="00FB069F"/>
    <w:rsid w:val="00FB098E"/>
    <w:rsid w:val="00FB0A94"/>
    <w:rsid w:val="00FB0B2E"/>
    <w:rsid w:val="00FB0EC0"/>
    <w:rsid w:val="00FB1072"/>
    <w:rsid w:val="00FB1084"/>
    <w:rsid w:val="00FB10AB"/>
    <w:rsid w:val="00FB1351"/>
    <w:rsid w:val="00FB142C"/>
    <w:rsid w:val="00FB14D9"/>
    <w:rsid w:val="00FB1666"/>
    <w:rsid w:val="00FB1AC2"/>
    <w:rsid w:val="00FB2096"/>
    <w:rsid w:val="00FB275C"/>
    <w:rsid w:val="00FB297F"/>
    <w:rsid w:val="00FB2A66"/>
    <w:rsid w:val="00FB2E57"/>
    <w:rsid w:val="00FB2E91"/>
    <w:rsid w:val="00FB2ED7"/>
    <w:rsid w:val="00FB3912"/>
    <w:rsid w:val="00FB3A4F"/>
    <w:rsid w:val="00FB3D94"/>
    <w:rsid w:val="00FB3F52"/>
    <w:rsid w:val="00FB3F5D"/>
    <w:rsid w:val="00FB40F7"/>
    <w:rsid w:val="00FB4104"/>
    <w:rsid w:val="00FB4364"/>
    <w:rsid w:val="00FB43DD"/>
    <w:rsid w:val="00FB465A"/>
    <w:rsid w:val="00FB4BD3"/>
    <w:rsid w:val="00FB4E37"/>
    <w:rsid w:val="00FB4EB8"/>
    <w:rsid w:val="00FB52E5"/>
    <w:rsid w:val="00FB54A0"/>
    <w:rsid w:val="00FB57E4"/>
    <w:rsid w:val="00FB5E1B"/>
    <w:rsid w:val="00FB616C"/>
    <w:rsid w:val="00FB62CE"/>
    <w:rsid w:val="00FB62CF"/>
    <w:rsid w:val="00FB6330"/>
    <w:rsid w:val="00FB64DE"/>
    <w:rsid w:val="00FB6512"/>
    <w:rsid w:val="00FB68F0"/>
    <w:rsid w:val="00FB6A39"/>
    <w:rsid w:val="00FB6DB5"/>
    <w:rsid w:val="00FB726D"/>
    <w:rsid w:val="00FB739A"/>
    <w:rsid w:val="00FB78FA"/>
    <w:rsid w:val="00FB7B6A"/>
    <w:rsid w:val="00FC0A1C"/>
    <w:rsid w:val="00FC0F90"/>
    <w:rsid w:val="00FC0FA1"/>
    <w:rsid w:val="00FC149A"/>
    <w:rsid w:val="00FC1660"/>
    <w:rsid w:val="00FC171D"/>
    <w:rsid w:val="00FC172B"/>
    <w:rsid w:val="00FC1E0D"/>
    <w:rsid w:val="00FC1F8E"/>
    <w:rsid w:val="00FC2002"/>
    <w:rsid w:val="00FC219A"/>
    <w:rsid w:val="00FC2226"/>
    <w:rsid w:val="00FC257B"/>
    <w:rsid w:val="00FC27FD"/>
    <w:rsid w:val="00FC2925"/>
    <w:rsid w:val="00FC2B0C"/>
    <w:rsid w:val="00FC3301"/>
    <w:rsid w:val="00FC33C2"/>
    <w:rsid w:val="00FC351A"/>
    <w:rsid w:val="00FC36C7"/>
    <w:rsid w:val="00FC375C"/>
    <w:rsid w:val="00FC38B3"/>
    <w:rsid w:val="00FC3A77"/>
    <w:rsid w:val="00FC3B9C"/>
    <w:rsid w:val="00FC3E44"/>
    <w:rsid w:val="00FC4122"/>
    <w:rsid w:val="00FC415B"/>
    <w:rsid w:val="00FC47B1"/>
    <w:rsid w:val="00FC47E0"/>
    <w:rsid w:val="00FC488C"/>
    <w:rsid w:val="00FC5180"/>
    <w:rsid w:val="00FC54C6"/>
    <w:rsid w:val="00FC54E2"/>
    <w:rsid w:val="00FC551C"/>
    <w:rsid w:val="00FC563C"/>
    <w:rsid w:val="00FC5691"/>
    <w:rsid w:val="00FC5AF3"/>
    <w:rsid w:val="00FC6038"/>
    <w:rsid w:val="00FC6152"/>
    <w:rsid w:val="00FC634A"/>
    <w:rsid w:val="00FC6609"/>
    <w:rsid w:val="00FC6FE3"/>
    <w:rsid w:val="00FC721A"/>
    <w:rsid w:val="00FC7319"/>
    <w:rsid w:val="00FC73F0"/>
    <w:rsid w:val="00FC78EB"/>
    <w:rsid w:val="00FC7C8A"/>
    <w:rsid w:val="00FC7D96"/>
    <w:rsid w:val="00FD0360"/>
    <w:rsid w:val="00FD0576"/>
    <w:rsid w:val="00FD05AE"/>
    <w:rsid w:val="00FD05B2"/>
    <w:rsid w:val="00FD06D7"/>
    <w:rsid w:val="00FD0724"/>
    <w:rsid w:val="00FD094F"/>
    <w:rsid w:val="00FD0C3E"/>
    <w:rsid w:val="00FD0C7F"/>
    <w:rsid w:val="00FD0EFE"/>
    <w:rsid w:val="00FD11D8"/>
    <w:rsid w:val="00FD125C"/>
    <w:rsid w:val="00FD12E4"/>
    <w:rsid w:val="00FD13DD"/>
    <w:rsid w:val="00FD1971"/>
    <w:rsid w:val="00FD1A5F"/>
    <w:rsid w:val="00FD1ABA"/>
    <w:rsid w:val="00FD1AFA"/>
    <w:rsid w:val="00FD1B36"/>
    <w:rsid w:val="00FD1C57"/>
    <w:rsid w:val="00FD1CEF"/>
    <w:rsid w:val="00FD1F21"/>
    <w:rsid w:val="00FD21EF"/>
    <w:rsid w:val="00FD2274"/>
    <w:rsid w:val="00FD2282"/>
    <w:rsid w:val="00FD26A1"/>
    <w:rsid w:val="00FD27E6"/>
    <w:rsid w:val="00FD2882"/>
    <w:rsid w:val="00FD2B50"/>
    <w:rsid w:val="00FD2E3F"/>
    <w:rsid w:val="00FD2FDF"/>
    <w:rsid w:val="00FD3315"/>
    <w:rsid w:val="00FD339E"/>
    <w:rsid w:val="00FD350A"/>
    <w:rsid w:val="00FD3C3B"/>
    <w:rsid w:val="00FD3D23"/>
    <w:rsid w:val="00FD3DC9"/>
    <w:rsid w:val="00FD421B"/>
    <w:rsid w:val="00FD4229"/>
    <w:rsid w:val="00FD44C4"/>
    <w:rsid w:val="00FD46A6"/>
    <w:rsid w:val="00FD49F4"/>
    <w:rsid w:val="00FD4EA0"/>
    <w:rsid w:val="00FD4EC1"/>
    <w:rsid w:val="00FD4F75"/>
    <w:rsid w:val="00FD51B3"/>
    <w:rsid w:val="00FD54DA"/>
    <w:rsid w:val="00FD5540"/>
    <w:rsid w:val="00FD56E1"/>
    <w:rsid w:val="00FD5921"/>
    <w:rsid w:val="00FD5C38"/>
    <w:rsid w:val="00FD5F29"/>
    <w:rsid w:val="00FD60E3"/>
    <w:rsid w:val="00FD61D4"/>
    <w:rsid w:val="00FD66F9"/>
    <w:rsid w:val="00FD6C3F"/>
    <w:rsid w:val="00FD6EA3"/>
    <w:rsid w:val="00FD6F72"/>
    <w:rsid w:val="00FD6FEF"/>
    <w:rsid w:val="00FD70E8"/>
    <w:rsid w:val="00FD729D"/>
    <w:rsid w:val="00FD72CA"/>
    <w:rsid w:val="00FD73FC"/>
    <w:rsid w:val="00FD76F2"/>
    <w:rsid w:val="00FD7903"/>
    <w:rsid w:val="00FD79FD"/>
    <w:rsid w:val="00FD79FF"/>
    <w:rsid w:val="00FD7F9C"/>
    <w:rsid w:val="00FE00CC"/>
    <w:rsid w:val="00FE0262"/>
    <w:rsid w:val="00FE0851"/>
    <w:rsid w:val="00FE0A9C"/>
    <w:rsid w:val="00FE0BC9"/>
    <w:rsid w:val="00FE0E1A"/>
    <w:rsid w:val="00FE0E59"/>
    <w:rsid w:val="00FE0EE6"/>
    <w:rsid w:val="00FE0F47"/>
    <w:rsid w:val="00FE12C4"/>
    <w:rsid w:val="00FE15F2"/>
    <w:rsid w:val="00FE18F9"/>
    <w:rsid w:val="00FE1DFE"/>
    <w:rsid w:val="00FE1F1B"/>
    <w:rsid w:val="00FE1F8C"/>
    <w:rsid w:val="00FE234C"/>
    <w:rsid w:val="00FE234D"/>
    <w:rsid w:val="00FE29EC"/>
    <w:rsid w:val="00FE31C6"/>
    <w:rsid w:val="00FE350D"/>
    <w:rsid w:val="00FE3566"/>
    <w:rsid w:val="00FE3895"/>
    <w:rsid w:val="00FE3B38"/>
    <w:rsid w:val="00FE4071"/>
    <w:rsid w:val="00FE4289"/>
    <w:rsid w:val="00FE4398"/>
    <w:rsid w:val="00FE45EF"/>
    <w:rsid w:val="00FE487F"/>
    <w:rsid w:val="00FE4928"/>
    <w:rsid w:val="00FE49FF"/>
    <w:rsid w:val="00FE4B5C"/>
    <w:rsid w:val="00FE5017"/>
    <w:rsid w:val="00FE52B3"/>
    <w:rsid w:val="00FE54FC"/>
    <w:rsid w:val="00FE584B"/>
    <w:rsid w:val="00FE5B47"/>
    <w:rsid w:val="00FE5E14"/>
    <w:rsid w:val="00FE63A5"/>
    <w:rsid w:val="00FE66A3"/>
    <w:rsid w:val="00FE6783"/>
    <w:rsid w:val="00FE68A1"/>
    <w:rsid w:val="00FE6B45"/>
    <w:rsid w:val="00FE6BB0"/>
    <w:rsid w:val="00FE6F27"/>
    <w:rsid w:val="00FE7413"/>
    <w:rsid w:val="00FE762A"/>
    <w:rsid w:val="00FE7E5A"/>
    <w:rsid w:val="00FF0199"/>
    <w:rsid w:val="00FF03CA"/>
    <w:rsid w:val="00FF0590"/>
    <w:rsid w:val="00FF08C7"/>
    <w:rsid w:val="00FF0923"/>
    <w:rsid w:val="00FF0A2A"/>
    <w:rsid w:val="00FF0BCF"/>
    <w:rsid w:val="00FF11B9"/>
    <w:rsid w:val="00FF14ED"/>
    <w:rsid w:val="00FF1539"/>
    <w:rsid w:val="00FF18E8"/>
    <w:rsid w:val="00FF1BD8"/>
    <w:rsid w:val="00FF222C"/>
    <w:rsid w:val="00FF22DB"/>
    <w:rsid w:val="00FF24F4"/>
    <w:rsid w:val="00FF2A34"/>
    <w:rsid w:val="00FF2B48"/>
    <w:rsid w:val="00FF2D28"/>
    <w:rsid w:val="00FF2E0B"/>
    <w:rsid w:val="00FF2EA1"/>
    <w:rsid w:val="00FF2FF7"/>
    <w:rsid w:val="00FF30E6"/>
    <w:rsid w:val="00FF342C"/>
    <w:rsid w:val="00FF3492"/>
    <w:rsid w:val="00FF3556"/>
    <w:rsid w:val="00FF3C0C"/>
    <w:rsid w:val="00FF3C4E"/>
    <w:rsid w:val="00FF460C"/>
    <w:rsid w:val="00FF4690"/>
    <w:rsid w:val="00FF4706"/>
    <w:rsid w:val="00FF4711"/>
    <w:rsid w:val="00FF48F6"/>
    <w:rsid w:val="00FF4D55"/>
    <w:rsid w:val="00FF4E38"/>
    <w:rsid w:val="00FF4EBD"/>
    <w:rsid w:val="00FF4F04"/>
    <w:rsid w:val="00FF522C"/>
    <w:rsid w:val="00FF53EA"/>
    <w:rsid w:val="00FF5851"/>
    <w:rsid w:val="00FF59DB"/>
    <w:rsid w:val="00FF5EE6"/>
    <w:rsid w:val="00FF6BD0"/>
    <w:rsid w:val="00FF6BFA"/>
    <w:rsid w:val="00FF7255"/>
    <w:rsid w:val="00FF7621"/>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
    <w:link w:val="ListParagraphChar"/>
    <w:uiPriority w:val="34"/>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uiPriority w:val="99"/>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rsid w:val="00690F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Index1">
    <w:name w:val="index 1"/>
    <w:basedOn w:val="Normal"/>
    <w:next w:val="Normal"/>
    <w:autoRedefine/>
    <w:uiPriority w:val="99"/>
    <w:unhideWhenUsed/>
    <w:rsid w:val="00B5478A"/>
    <w:pPr>
      <w:ind w:left="240" w:hanging="240"/>
    </w:pPr>
  </w:style>
  <w:style w:type="paragraph" w:styleId="Index2">
    <w:name w:val="index 2"/>
    <w:basedOn w:val="Normal"/>
    <w:next w:val="Normal"/>
    <w:autoRedefine/>
    <w:uiPriority w:val="99"/>
    <w:unhideWhenUsed/>
    <w:rsid w:val="00B5478A"/>
    <w:pPr>
      <w:ind w:left="480" w:hanging="240"/>
    </w:pPr>
  </w:style>
  <w:style w:type="paragraph" w:styleId="Index3">
    <w:name w:val="index 3"/>
    <w:basedOn w:val="Normal"/>
    <w:next w:val="Normal"/>
    <w:autoRedefine/>
    <w:uiPriority w:val="99"/>
    <w:unhideWhenUsed/>
    <w:rsid w:val="00B5478A"/>
    <w:pPr>
      <w:ind w:left="720" w:hanging="240"/>
    </w:pPr>
  </w:style>
  <w:style w:type="paragraph" w:styleId="Index4">
    <w:name w:val="index 4"/>
    <w:basedOn w:val="Normal"/>
    <w:next w:val="Normal"/>
    <w:autoRedefine/>
    <w:uiPriority w:val="99"/>
    <w:unhideWhenUsed/>
    <w:rsid w:val="00B5478A"/>
    <w:pPr>
      <w:ind w:left="960" w:hanging="240"/>
    </w:pPr>
  </w:style>
  <w:style w:type="paragraph" w:styleId="Index5">
    <w:name w:val="index 5"/>
    <w:basedOn w:val="Normal"/>
    <w:next w:val="Normal"/>
    <w:autoRedefine/>
    <w:uiPriority w:val="99"/>
    <w:unhideWhenUsed/>
    <w:rsid w:val="00B5478A"/>
    <w:pPr>
      <w:ind w:left="1200" w:hanging="240"/>
    </w:pPr>
  </w:style>
  <w:style w:type="paragraph" w:styleId="Index6">
    <w:name w:val="index 6"/>
    <w:basedOn w:val="Normal"/>
    <w:next w:val="Normal"/>
    <w:autoRedefine/>
    <w:uiPriority w:val="99"/>
    <w:unhideWhenUsed/>
    <w:rsid w:val="00B5478A"/>
    <w:pPr>
      <w:ind w:left="1440" w:hanging="240"/>
    </w:pPr>
  </w:style>
  <w:style w:type="paragraph" w:styleId="Index7">
    <w:name w:val="index 7"/>
    <w:basedOn w:val="Normal"/>
    <w:next w:val="Normal"/>
    <w:autoRedefine/>
    <w:uiPriority w:val="99"/>
    <w:unhideWhenUsed/>
    <w:rsid w:val="00B5478A"/>
    <w:pPr>
      <w:ind w:left="1680" w:hanging="240"/>
    </w:pPr>
  </w:style>
  <w:style w:type="paragraph" w:styleId="Index8">
    <w:name w:val="index 8"/>
    <w:basedOn w:val="Normal"/>
    <w:next w:val="Normal"/>
    <w:autoRedefine/>
    <w:uiPriority w:val="99"/>
    <w:unhideWhenUsed/>
    <w:rsid w:val="00B5478A"/>
    <w:pPr>
      <w:ind w:left="1920" w:hanging="240"/>
    </w:pPr>
  </w:style>
  <w:style w:type="paragraph" w:styleId="Index9">
    <w:name w:val="index 9"/>
    <w:basedOn w:val="Normal"/>
    <w:next w:val="Normal"/>
    <w:autoRedefine/>
    <w:uiPriority w:val="99"/>
    <w:unhideWhenUsed/>
    <w:rsid w:val="00B5478A"/>
    <w:pPr>
      <w:ind w:left="2160" w:hanging="240"/>
    </w:pPr>
  </w:style>
  <w:style w:type="paragraph" w:styleId="IndexHeading">
    <w:name w:val="index heading"/>
    <w:basedOn w:val="Normal"/>
    <w:next w:val="Index1"/>
    <w:uiPriority w:val="99"/>
    <w:unhideWhenUsed/>
    <w:rsid w:val="00B5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
    <w:link w:val="ListParagraphChar"/>
    <w:uiPriority w:val="34"/>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uiPriority w:val="99"/>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uiPriority w:val="99"/>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rsid w:val="00690F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Index1">
    <w:name w:val="index 1"/>
    <w:basedOn w:val="Normal"/>
    <w:next w:val="Normal"/>
    <w:autoRedefine/>
    <w:uiPriority w:val="99"/>
    <w:unhideWhenUsed/>
    <w:rsid w:val="00B5478A"/>
    <w:pPr>
      <w:ind w:left="240" w:hanging="240"/>
    </w:pPr>
  </w:style>
  <w:style w:type="paragraph" w:styleId="Index2">
    <w:name w:val="index 2"/>
    <w:basedOn w:val="Normal"/>
    <w:next w:val="Normal"/>
    <w:autoRedefine/>
    <w:uiPriority w:val="99"/>
    <w:unhideWhenUsed/>
    <w:rsid w:val="00B5478A"/>
    <w:pPr>
      <w:ind w:left="480" w:hanging="240"/>
    </w:pPr>
  </w:style>
  <w:style w:type="paragraph" w:styleId="Index3">
    <w:name w:val="index 3"/>
    <w:basedOn w:val="Normal"/>
    <w:next w:val="Normal"/>
    <w:autoRedefine/>
    <w:uiPriority w:val="99"/>
    <w:unhideWhenUsed/>
    <w:rsid w:val="00B5478A"/>
    <w:pPr>
      <w:ind w:left="720" w:hanging="240"/>
    </w:pPr>
  </w:style>
  <w:style w:type="paragraph" w:styleId="Index4">
    <w:name w:val="index 4"/>
    <w:basedOn w:val="Normal"/>
    <w:next w:val="Normal"/>
    <w:autoRedefine/>
    <w:uiPriority w:val="99"/>
    <w:unhideWhenUsed/>
    <w:rsid w:val="00B5478A"/>
    <w:pPr>
      <w:ind w:left="960" w:hanging="240"/>
    </w:pPr>
  </w:style>
  <w:style w:type="paragraph" w:styleId="Index5">
    <w:name w:val="index 5"/>
    <w:basedOn w:val="Normal"/>
    <w:next w:val="Normal"/>
    <w:autoRedefine/>
    <w:uiPriority w:val="99"/>
    <w:unhideWhenUsed/>
    <w:rsid w:val="00B5478A"/>
    <w:pPr>
      <w:ind w:left="1200" w:hanging="240"/>
    </w:pPr>
  </w:style>
  <w:style w:type="paragraph" w:styleId="Index6">
    <w:name w:val="index 6"/>
    <w:basedOn w:val="Normal"/>
    <w:next w:val="Normal"/>
    <w:autoRedefine/>
    <w:uiPriority w:val="99"/>
    <w:unhideWhenUsed/>
    <w:rsid w:val="00B5478A"/>
    <w:pPr>
      <w:ind w:left="1440" w:hanging="240"/>
    </w:pPr>
  </w:style>
  <w:style w:type="paragraph" w:styleId="Index7">
    <w:name w:val="index 7"/>
    <w:basedOn w:val="Normal"/>
    <w:next w:val="Normal"/>
    <w:autoRedefine/>
    <w:uiPriority w:val="99"/>
    <w:unhideWhenUsed/>
    <w:rsid w:val="00B5478A"/>
    <w:pPr>
      <w:ind w:left="1680" w:hanging="240"/>
    </w:pPr>
  </w:style>
  <w:style w:type="paragraph" w:styleId="Index8">
    <w:name w:val="index 8"/>
    <w:basedOn w:val="Normal"/>
    <w:next w:val="Normal"/>
    <w:autoRedefine/>
    <w:uiPriority w:val="99"/>
    <w:unhideWhenUsed/>
    <w:rsid w:val="00B5478A"/>
    <w:pPr>
      <w:ind w:left="1920" w:hanging="240"/>
    </w:pPr>
  </w:style>
  <w:style w:type="paragraph" w:styleId="Index9">
    <w:name w:val="index 9"/>
    <w:basedOn w:val="Normal"/>
    <w:next w:val="Normal"/>
    <w:autoRedefine/>
    <w:uiPriority w:val="99"/>
    <w:unhideWhenUsed/>
    <w:rsid w:val="00B5478A"/>
    <w:pPr>
      <w:ind w:left="2160" w:hanging="240"/>
    </w:pPr>
  </w:style>
  <w:style w:type="paragraph" w:styleId="IndexHeading">
    <w:name w:val="index heading"/>
    <w:basedOn w:val="Normal"/>
    <w:next w:val="Index1"/>
    <w:uiPriority w:val="99"/>
    <w:unhideWhenUsed/>
    <w:rsid w:val="00B5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5586">
      <w:bodyDiv w:val="1"/>
      <w:marLeft w:val="0"/>
      <w:marRight w:val="0"/>
      <w:marTop w:val="0"/>
      <w:marBottom w:val="0"/>
      <w:divBdr>
        <w:top w:val="none" w:sz="0" w:space="0" w:color="auto"/>
        <w:left w:val="none" w:sz="0" w:space="0" w:color="auto"/>
        <w:bottom w:val="none" w:sz="0" w:space="0" w:color="auto"/>
        <w:right w:val="none" w:sz="0" w:space="0" w:color="auto"/>
      </w:divBdr>
      <w:divsChild>
        <w:div w:id="1353456201">
          <w:marLeft w:val="0"/>
          <w:marRight w:val="0"/>
          <w:marTop w:val="0"/>
          <w:marBottom w:val="0"/>
          <w:divBdr>
            <w:top w:val="none" w:sz="0" w:space="0" w:color="auto"/>
            <w:left w:val="none" w:sz="0" w:space="0" w:color="auto"/>
            <w:bottom w:val="none" w:sz="0" w:space="0" w:color="auto"/>
            <w:right w:val="none" w:sz="0" w:space="0" w:color="auto"/>
          </w:divBdr>
          <w:divsChild>
            <w:div w:id="1301301712">
              <w:marLeft w:val="0"/>
              <w:marRight w:val="0"/>
              <w:marTop w:val="0"/>
              <w:marBottom w:val="0"/>
              <w:divBdr>
                <w:top w:val="none" w:sz="0" w:space="0" w:color="auto"/>
                <w:left w:val="none" w:sz="0" w:space="0" w:color="auto"/>
                <w:bottom w:val="none" w:sz="0" w:space="0" w:color="auto"/>
                <w:right w:val="none" w:sz="0" w:space="0" w:color="auto"/>
              </w:divBdr>
              <w:divsChild>
                <w:div w:id="1378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285085130">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40344965">
      <w:bodyDiv w:val="1"/>
      <w:marLeft w:val="0"/>
      <w:marRight w:val="0"/>
      <w:marTop w:val="0"/>
      <w:marBottom w:val="0"/>
      <w:divBdr>
        <w:top w:val="none" w:sz="0" w:space="0" w:color="auto"/>
        <w:left w:val="none" w:sz="0" w:space="0" w:color="auto"/>
        <w:bottom w:val="none" w:sz="0" w:space="0" w:color="auto"/>
        <w:right w:val="none" w:sz="0" w:space="0" w:color="auto"/>
      </w:divBdr>
    </w:div>
    <w:div w:id="53454078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6089">
      <w:bodyDiv w:val="1"/>
      <w:marLeft w:val="0"/>
      <w:marRight w:val="0"/>
      <w:marTop w:val="0"/>
      <w:marBottom w:val="0"/>
      <w:divBdr>
        <w:top w:val="none" w:sz="0" w:space="0" w:color="auto"/>
        <w:left w:val="none" w:sz="0" w:space="0" w:color="auto"/>
        <w:bottom w:val="none" w:sz="0" w:space="0" w:color="auto"/>
        <w:right w:val="none" w:sz="0" w:space="0" w:color="auto"/>
      </w:divBdr>
    </w:div>
    <w:div w:id="589699361">
      <w:bodyDiv w:val="1"/>
      <w:marLeft w:val="0"/>
      <w:marRight w:val="0"/>
      <w:marTop w:val="0"/>
      <w:marBottom w:val="0"/>
      <w:divBdr>
        <w:top w:val="none" w:sz="0" w:space="0" w:color="auto"/>
        <w:left w:val="none" w:sz="0" w:space="0" w:color="auto"/>
        <w:bottom w:val="none" w:sz="0" w:space="0" w:color="auto"/>
        <w:right w:val="none" w:sz="0" w:space="0" w:color="auto"/>
      </w:divBdr>
    </w:div>
    <w:div w:id="606502532">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14300285">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15961032">
      <w:bodyDiv w:val="1"/>
      <w:marLeft w:val="0"/>
      <w:marRight w:val="0"/>
      <w:marTop w:val="0"/>
      <w:marBottom w:val="0"/>
      <w:divBdr>
        <w:top w:val="none" w:sz="0" w:space="0" w:color="auto"/>
        <w:left w:val="none" w:sz="0" w:space="0" w:color="auto"/>
        <w:bottom w:val="none" w:sz="0" w:space="0" w:color="auto"/>
        <w:right w:val="none" w:sz="0" w:space="0" w:color="auto"/>
      </w:divBdr>
      <w:divsChild>
        <w:div w:id="1428816711">
          <w:marLeft w:val="0"/>
          <w:marRight w:val="0"/>
          <w:marTop w:val="0"/>
          <w:marBottom w:val="0"/>
          <w:divBdr>
            <w:top w:val="none" w:sz="0" w:space="0" w:color="auto"/>
            <w:left w:val="none" w:sz="0" w:space="0" w:color="auto"/>
            <w:bottom w:val="none" w:sz="0" w:space="0" w:color="auto"/>
            <w:right w:val="none" w:sz="0" w:space="0" w:color="auto"/>
          </w:divBdr>
          <w:divsChild>
            <w:div w:id="63534394">
              <w:marLeft w:val="0"/>
              <w:marRight w:val="0"/>
              <w:marTop w:val="0"/>
              <w:marBottom w:val="0"/>
              <w:divBdr>
                <w:top w:val="none" w:sz="0" w:space="0" w:color="auto"/>
                <w:left w:val="none" w:sz="0" w:space="0" w:color="auto"/>
                <w:bottom w:val="none" w:sz="0" w:space="0" w:color="auto"/>
                <w:right w:val="none" w:sz="0" w:space="0" w:color="auto"/>
              </w:divBdr>
              <w:divsChild>
                <w:div w:id="1519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4984648">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63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6764">
      <w:bodyDiv w:val="1"/>
      <w:marLeft w:val="0"/>
      <w:marRight w:val="0"/>
      <w:marTop w:val="0"/>
      <w:marBottom w:val="0"/>
      <w:divBdr>
        <w:top w:val="none" w:sz="0" w:space="0" w:color="auto"/>
        <w:left w:val="none" w:sz="0" w:space="0" w:color="auto"/>
        <w:bottom w:val="none" w:sz="0" w:space="0" w:color="auto"/>
        <w:right w:val="none" w:sz="0" w:space="0" w:color="auto"/>
      </w:divBdr>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2137100">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3114">
      <w:bodyDiv w:val="1"/>
      <w:marLeft w:val="0"/>
      <w:marRight w:val="0"/>
      <w:marTop w:val="0"/>
      <w:marBottom w:val="0"/>
      <w:divBdr>
        <w:top w:val="none" w:sz="0" w:space="0" w:color="auto"/>
        <w:left w:val="none" w:sz="0" w:space="0" w:color="auto"/>
        <w:bottom w:val="none" w:sz="0" w:space="0" w:color="auto"/>
        <w:right w:val="none" w:sz="0" w:space="0" w:color="auto"/>
      </w:divBdr>
      <w:divsChild>
        <w:div w:id="824705897">
          <w:marLeft w:val="0"/>
          <w:marRight w:val="0"/>
          <w:marTop w:val="0"/>
          <w:marBottom w:val="0"/>
          <w:divBdr>
            <w:top w:val="none" w:sz="0" w:space="0" w:color="auto"/>
            <w:left w:val="none" w:sz="0" w:space="0" w:color="auto"/>
            <w:bottom w:val="none" w:sz="0" w:space="0" w:color="auto"/>
            <w:right w:val="none" w:sz="0" w:space="0" w:color="auto"/>
          </w:divBdr>
          <w:divsChild>
            <w:div w:id="1783112884">
              <w:marLeft w:val="0"/>
              <w:marRight w:val="0"/>
              <w:marTop w:val="0"/>
              <w:marBottom w:val="0"/>
              <w:divBdr>
                <w:top w:val="none" w:sz="0" w:space="0" w:color="auto"/>
                <w:left w:val="none" w:sz="0" w:space="0" w:color="auto"/>
                <w:bottom w:val="none" w:sz="0" w:space="0" w:color="auto"/>
                <w:right w:val="none" w:sz="0" w:space="0" w:color="auto"/>
              </w:divBdr>
              <w:divsChild>
                <w:div w:id="12505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8499">
      <w:bodyDiv w:val="1"/>
      <w:marLeft w:val="0"/>
      <w:marRight w:val="0"/>
      <w:marTop w:val="0"/>
      <w:marBottom w:val="0"/>
      <w:divBdr>
        <w:top w:val="none" w:sz="0" w:space="0" w:color="auto"/>
        <w:left w:val="none" w:sz="0" w:space="0" w:color="auto"/>
        <w:bottom w:val="none" w:sz="0" w:space="0" w:color="auto"/>
        <w:right w:val="none" w:sz="0" w:space="0" w:color="auto"/>
      </w:divBdr>
    </w:div>
    <w:div w:id="1663240243">
      <w:bodyDiv w:val="1"/>
      <w:marLeft w:val="0"/>
      <w:marRight w:val="0"/>
      <w:marTop w:val="0"/>
      <w:marBottom w:val="0"/>
      <w:divBdr>
        <w:top w:val="none" w:sz="0" w:space="0" w:color="auto"/>
        <w:left w:val="none" w:sz="0" w:space="0" w:color="auto"/>
        <w:bottom w:val="none" w:sz="0" w:space="0" w:color="auto"/>
        <w:right w:val="none" w:sz="0" w:space="0" w:color="auto"/>
      </w:divBdr>
      <w:divsChild>
        <w:div w:id="110058648">
          <w:marLeft w:val="0"/>
          <w:marRight w:val="0"/>
          <w:marTop w:val="0"/>
          <w:marBottom w:val="0"/>
          <w:divBdr>
            <w:top w:val="none" w:sz="0" w:space="0" w:color="auto"/>
            <w:left w:val="none" w:sz="0" w:space="0" w:color="auto"/>
            <w:bottom w:val="none" w:sz="0" w:space="0" w:color="auto"/>
            <w:right w:val="none" w:sz="0" w:space="0" w:color="auto"/>
          </w:divBdr>
          <w:divsChild>
            <w:div w:id="125511039">
              <w:marLeft w:val="0"/>
              <w:marRight w:val="0"/>
              <w:marTop w:val="180"/>
              <w:marBottom w:val="0"/>
              <w:divBdr>
                <w:top w:val="none" w:sz="0" w:space="0" w:color="auto"/>
                <w:left w:val="none" w:sz="0" w:space="0" w:color="auto"/>
                <w:bottom w:val="none" w:sz="0" w:space="0" w:color="auto"/>
                <w:right w:val="none" w:sz="0" w:space="0" w:color="auto"/>
              </w:divBdr>
              <w:divsChild>
                <w:div w:id="811212909">
                  <w:marLeft w:val="0"/>
                  <w:marRight w:val="0"/>
                  <w:marTop w:val="0"/>
                  <w:marBottom w:val="0"/>
                  <w:divBdr>
                    <w:top w:val="none" w:sz="0" w:space="0" w:color="auto"/>
                    <w:left w:val="none" w:sz="0" w:space="0" w:color="auto"/>
                    <w:bottom w:val="none" w:sz="0" w:space="0" w:color="auto"/>
                    <w:right w:val="none" w:sz="0" w:space="0" w:color="auto"/>
                  </w:divBdr>
                  <w:divsChild>
                    <w:div w:id="1576278586">
                      <w:marLeft w:val="0"/>
                      <w:marRight w:val="0"/>
                      <w:marTop w:val="0"/>
                      <w:marBottom w:val="0"/>
                      <w:divBdr>
                        <w:top w:val="none" w:sz="0" w:space="0" w:color="auto"/>
                        <w:left w:val="none" w:sz="0" w:space="0" w:color="auto"/>
                        <w:bottom w:val="none" w:sz="0" w:space="0" w:color="auto"/>
                        <w:right w:val="none" w:sz="0" w:space="0" w:color="auto"/>
                      </w:divBdr>
                      <w:divsChild>
                        <w:div w:id="1747874853">
                          <w:marLeft w:val="180"/>
                          <w:marRight w:val="180"/>
                          <w:marTop w:val="0"/>
                          <w:marBottom w:val="0"/>
                          <w:divBdr>
                            <w:top w:val="single" w:sz="6" w:space="3" w:color="E5E5E5"/>
                            <w:left w:val="none" w:sz="0" w:space="0" w:color="auto"/>
                            <w:bottom w:val="none" w:sz="0" w:space="0" w:color="auto"/>
                            <w:right w:val="none" w:sz="0" w:space="0" w:color="auto"/>
                          </w:divBdr>
                          <w:divsChild>
                            <w:div w:id="1412317578">
                              <w:marLeft w:val="0"/>
                              <w:marRight w:val="0"/>
                              <w:marTop w:val="0"/>
                              <w:marBottom w:val="0"/>
                              <w:divBdr>
                                <w:top w:val="none" w:sz="0" w:space="0" w:color="auto"/>
                                <w:left w:val="none" w:sz="0" w:space="0" w:color="auto"/>
                                <w:bottom w:val="none" w:sz="0" w:space="0" w:color="auto"/>
                                <w:right w:val="none" w:sz="0" w:space="0" w:color="auto"/>
                              </w:divBdr>
                              <w:divsChild>
                                <w:div w:id="496187862">
                                  <w:marLeft w:val="0"/>
                                  <w:marRight w:val="0"/>
                                  <w:marTop w:val="0"/>
                                  <w:marBottom w:val="0"/>
                                  <w:divBdr>
                                    <w:top w:val="none" w:sz="0" w:space="0" w:color="auto"/>
                                    <w:left w:val="none" w:sz="0" w:space="0" w:color="auto"/>
                                    <w:bottom w:val="none" w:sz="0" w:space="0" w:color="auto"/>
                                    <w:right w:val="none" w:sz="0" w:space="0" w:color="auto"/>
                                  </w:divBdr>
                                  <w:divsChild>
                                    <w:div w:id="356152939">
                                      <w:marLeft w:val="0"/>
                                      <w:marRight w:val="0"/>
                                      <w:marTop w:val="0"/>
                                      <w:marBottom w:val="0"/>
                                      <w:divBdr>
                                        <w:top w:val="none" w:sz="0" w:space="0" w:color="auto"/>
                                        <w:left w:val="none" w:sz="0" w:space="0" w:color="auto"/>
                                        <w:bottom w:val="none" w:sz="0" w:space="0" w:color="auto"/>
                                        <w:right w:val="none" w:sz="0" w:space="0" w:color="auto"/>
                                      </w:divBdr>
                                    </w:div>
                                    <w:div w:id="495000895">
                                      <w:marLeft w:val="0"/>
                                      <w:marRight w:val="0"/>
                                      <w:marTop w:val="0"/>
                                      <w:marBottom w:val="0"/>
                                      <w:divBdr>
                                        <w:top w:val="none" w:sz="0" w:space="0" w:color="auto"/>
                                        <w:left w:val="none" w:sz="0" w:space="0" w:color="auto"/>
                                        <w:bottom w:val="none" w:sz="0" w:space="0" w:color="auto"/>
                                        <w:right w:val="none" w:sz="0" w:space="0" w:color="auto"/>
                                      </w:divBdr>
                                      <w:divsChild>
                                        <w:div w:id="148594779">
                                          <w:marLeft w:val="0"/>
                                          <w:marRight w:val="0"/>
                                          <w:marTop w:val="0"/>
                                          <w:marBottom w:val="0"/>
                                          <w:divBdr>
                                            <w:top w:val="none" w:sz="0" w:space="0" w:color="auto"/>
                                            <w:left w:val="none" w:sz="0" w:space="0" w:color="auto"/>
                                            <w:bottom w:val="none" w:sz="0" w:space="0" w:color="auto"/>
                                            <w:right w:val="none" w:sz="0" w:space="0" w:color="auto"/>
                                          </w:divBdr>
                                          <w:divsChild>
                                            <w:div w:id="2064522916">
                                              <w:marLeft w:val="0"/>
                                              <w:marRight w:val="0"/>
                                              <w:marTop w:val="0"/>
                                              <w:marBottom w:val="0"/>
                                              <w:divBdr>
                                                <w:top w:val="none" w:sz="0" w:space="0" w:color="auto"/>
                                                <w:left w:val="none" w:sz="0" w:space="0" w:color="auto"/>
                                                <w:bottom w:val="none" w:sz="0" w:space="0" w:color="auto"/>
                                                <w:right w:val="none" w:sz="0" w:space="0" w:color="auto"/>
                                              </w:divBdr>
                                              <w:divsChild>
                                                <w:div w:id="1291472498">
                                                  <w:marLeft w:val="0"/>
                                                  <w:marRight w:val="0"/>
                                                  <w:marTop w:val="0"/>
                                                  <w:marBottom w:val="0"/>
                                                  <w:divBdr>
                                                    <w:top w:val="none" w:sz="0" w:space="0" w:color="auto"/>
                                                    <w:left w:val="none" w:sz="0" w:space="0" w:color="auto"/>
                                                    <w:bottom w:val="none" w:sz="0" w:space="0" w:color="auto"/>
                                                    <w:right w:val="none" w:sz="0" w:space="0" w:color="auto"/>
                                                  </w:divBdr>
                                                  <w:divsChild>
                                                    <w:div w:id="1644576901">
                                                      <w:marLeft w:val="0"/>
                                                      <w:marRight w:val="0"/>
                                                      <w:marTop w:val="0"/>
                                                      <w:marBottom w:val="0"/>
                                                      <w:divBdr>
                                                        <w:top w:val="none" w:sz="0" w:space="0" w:color="auto"/>
                                                        <w:left w:val="none" w:sz="0" w:space="0" w:color="auto"/>
                                                        <w:bottom w:val="none" w:sz="0" w:space="0" w:color="auto"/>
                                                        <w:right w:val="none" w:sz="0" w:space="0" w:color="auto"/>
                                                      </w:divBdr>
                                                      <w:divsChild>
                                                        <w:div w:id="1328242944">
                                                          <w:marLeft w:val="0"/>
                                                          <w:marRight w:val="0"/>
                                                          <w:marTop w:val="480"/>
                                                          <w:marBottom w:val="0"/>
                                                          <w:divBdr>
                                                            <w:top w:val="none" w:sz="0" w:space="0" w:color="auto"/>
                                                            <w:left w:val="none" w:sz="0" w:space="0" w:color="auto"/>
                                                            <w:bottom w:val="none" w:sz="0" w:space="0" w:color="auto"/>
                                                            <w:right w:val="none" w:sz="0" w:space="0" w:color="auto"/>
                                                          </w:divBdr>
                                                          <w:divsChild>
                                                            <w:div w:id="479883735">
                                                              <w:marLeft w:val="0"/>
                                                              <w:marRight w:val="0"/>
                                                              <w:marTop w:val="0"/>
                                                              <w:marBottom w:val="0"/>
                                                              <w:divBdr>
                                                                <w:top w:val="none" w:sz="0" w:space="0" w:color="auto"/>
                                                                <w:left w:val="none" w:sz="0" w:space="0" w:color="auto"/>
                                                                <w:bottom w:val="none" w:sz="0" w:space="0" w:color="auto"/>
                                                                <w:right w:val="none" w:sz="0" w:space="0" w:color="auto"/>
                                                              </w:divBdr>
                                                              <w:divsChild>
                                                                <w:div w:id="193545575">
                                                                  <w:marLeft w:val="0"/>
                                                                  <w:marRight w:val="0"/>
                                                                  <w:marTop w:val="0"/>
                                                                  <w:marBottom w:val="0"/>
                                                                  <w:divBdr>
                                                                    <w:top w:val="none" w:sz="0" w:space="0" w:color="auto"/>
                                                                    <w:left w:val="none" w:sz="0" w:space="0" w:color="auto"/>
                                                                    <w:bottom w:val="none" w:sz="0" w:space="0" w:color="auto"/>
                                                                    <w:right w:val="none" w:sz="0" w:space="0" w:color="auto"/>
                                                                  </w:divBdr>
                                                                  <w:divsChild>
                                                                    <w:div w:id="1297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8080">
                                                              <w:marLeft w:val="0"/>
                                                              <w:marRight w:val="0"/>
                                                              <w:marTop w:val="0"/>
                                                              <w:marBottom w:val="0"/>
                                                              <w:divBdr>
                                                                <w:top w:val="none" w:sz="0" w:space="0" w:color="auto"/>
                                                                <w:left w:val="none" w:sz="0" w:space="0" w:color="auto"/>
                                                                <w:bottom w:val="none" w:sz="0" w:space="0" w:color="auto"/>
                                                                <w:right w:val="none" w:sz="0" w:space="0" w:color="auto"/>
                                                              </w:divBdr>
                                                              <w:divsChild>
                                                                <w:div w:id="1499879915">
                                                                  <w:marLeft w:val="0"/>
                                                                  <w:marRight w:val="0"/>
                                                                  <w:marTop w:val="0"/>
                                                                  <w:marBottom w:val="0"/>
                                                                  <w:divBdr>
                                                                    <w:top w:val="none" w:sz="0" w:space="0" w:color="auto"/>
                                                                    <w:left w:val="none" w:sz="0" w:space="0" w:color="auto"/>
                                                                    <w:bottom w:val="none" w:sz="0" w:space="0" w:color="auto"/>
                                                                    <w:right w:val="none" w:sz="0" w:space="0" w:color="auto"/>
                                                                  </w:divBdr>
                                                                  <w:divsChild>
                                                                    <w:div w:id="1803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789">
                                                              <w:marLeft w:val="0"/>
                                                              <w:marRight w:val="0"/>
                                                              <w:marTop w:val="0"/>
                                                              <w:marBottom w:val="0"/>
                                                              <w:divBdr>
                                                                <w:top w:val="none" w:sz="0" w:space="0" w:color="auto"/>
                                                                <w:left w:val="none" w:sz="0" w:space="0" w:color="auto"/>
                                                                <w:bottom w:val="none" w:sz="0" w:space="0" w:color="auto"/>
                                                                <w:right w:val="none" w:sz="0" w:space="0" w:color="auto"/>
                                                              </w:divBdr>
                                                              <w:divsChild>
                                                                <w:div w:id="647708941">
                                                                  <w:marLeft w:val="0"/>
                                                                  <w:marRight w:val="0"/>
                                                                  <w:marTop w:val="0"/>
                                                                  <w:marBottom w:val="0"/>
                                                                  <w:divBdr>
                                                                    <w:top w:val="none" w:sz="0" w:space="0" w:color="auto"/>
                                                                    <w:left w:val="none" w:sz="0" w:space="0" w:color="auto"/>
                                                                    <w:bottom w:val="none" w:sz="0" w:space="0" w:color="auto"/>
                                                                    <w:right w:val="none" w:sz="0" w:space="0" w:color="auto"/>
                                                                  </w:divBdr>
                                                                  <w:divsChild>
                                                                    <w:div w:id="78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2853">
                                                              <w:marLeft w:val="0"/>
                                                              <w:marRight w:val="0"/>
                                                              <w:marTop w:val="0"/>
                                                              <w:marBottom w:val="0"/>
                                                              <w:divBdr>
                                                                <w:top w:val="none" w:sz="0" w:space="0" w:color="auto"/>
                                                                <w:left w:val="none" w:sz="0" w:space="0" w:color="auto"/>
                                                                <w:bottom w:val="none" w:sz="0" w:space="0" w:color="auto"/>
                                                                <w:right w:val="none" w:sz="0" w:space="0" w:color="auto"/>
                                                              </w:divBdr>
                                                              <w:divsChild>
                                                                <w:div w:id="1856916083">
                                                                  <w:marLeft w:val="0"/>
                                                                  <w:marRight w:val="0"/>
                                                                  <w:marTop w:val="0"/>
                                                                  <w:marBottom w:val="0"/>
                                                                  <w:divBdr>
                                                                    <w:top w:val="none" w:sz="0" w:space="0" w:color="auto"/>
                                                                    <w:left w:val="none" w:sz="0" w:space="0" w:color="auto"/>
                                                                    <w:bottom w:val="none" w:sz="0" w:space="0" w:color="auto"/>
                                                                    <w:right w:val="none" w:sz="0" w:space="0" w:color="auto"/>
                                                                  </w:divBdr>
                                                                  <w:divsChild>
                                                                    <w:div w:id="1264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283">
                                                              <w:marLeft w:val="0"/>
                                                              <w:marRight w:val="0"/>
                                                              <w:marTop w:val="0"/>
                                                              <w:marBottom w:val="0"/>
                                                              <w:divBdr>
                                                                <w:top w:val="none" w:sz="0" w:space="0" w:color="auto"/>
                                                                <w:left w:val="none" w:sz="0" w:space="0" w:color="auto"/>
                                                                <w:bottom w:val="none" w:sz="0" w:space="0" w:color="auto"/>
                                                                <w:right w:val="none" w:sz="0" w:space="0" w:color="auto"/>
                                                              </w:divBdr>
                                                              <w:divsChild>
                                                                <w:div w:id="1996033417">
                                                                  <w:marLeft w:val="0"/>
                                                                  <w:marRight w:val="0"/>
                                                                  <w:marTop w:val="0"/>
                                                                  <w:marBottom w:val="0"/>
                                                                  <w:divBdr>
                                                                    <w:top w:val="none" w:sz="0" w:space="0" w:color="auto"/>
                                                                    <w:left w:val="none" w:sz="0" w:space="0" w:color="auto"/>
                                                                    <w:bottom w:val="none" w:sz="0" w:space="0" w:color="auto"/>
                                                                    <w:right w:val="none" w:sz="0" w:space="0" w:color="auto"/>
                                                                  </w:divBdr>
                                                                  <w:divsChild>
                                                                    <w:div w:id="1973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646">
                                                              <w:marLeft w:val="0"/>
                                                              <w:marRight w:val="0"/>
                                                              <w:marTop w:val="0"/>
                                                              <w:marBottom w:val="0"/>
                                                              <w:divBdr>
                                                                <w:top w:val="none" w:sz="0" w:space="0" w:color="auto"/>
                                                                <w:left w:val="none" w:sz="0" w:space="0" w:color="auto"/>
                                                                <w:bottom w:val="none" w:sz="0" w:space="0" w:color="auto"/>
                                                                <w:right w:val="none" w:sz="0" w:space="0" w:color="auto"/>
                                                              </w:divBdr>
                                                              <w:divsChild>
                                                                <w:div w:id="1809011367">
                                                                  <w:marLeft w:val="0"/>
                                                                  <w:marRight w:val="0"/>
                                                                  <w:marTop w:val="0"/>
                                                                  <w:marBottom w:val="0"/>
                                                                  <w:divBdr>
                                                                    <w:top w:val="none" w:sz="0" w:space="0" w:color="auto"/>
                                                                    <w:left w:val="none" w:sz="0" w:space="0" w:color="auto"/>
                                                                    <w:bottom w:val="none" w:sz="0" w:space="0" w:color="auto"/>
                                                                    <w:right w:val="none" w:sz="0" w:space="0" w:color="auto"/>
                                                                  </w:divBdr>
                                                                  <w:divsChild>
                                                                    <w:div w:id="1073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16594">
          <w:marLeft w:val="0"/>
          <w:marRight w:val="0"/>
          <w:marTop w:val="0"/>
          <w:marBottom w:val="0"/>
          <w:divBdr>
            <w:top w:val="none" w:sz="0" w:space="0" w:color="auto"/>
            <w:left w:val="none" w:sz="0" w:space="0" w:color="auto"/>
            <w:bottom w:val="none" w:sz="0" w:space="0" w:color="auto"/>
            <w:right w:val="none" w:sz="0" w:space="0" w:color="auto"/>
          </w:divBdr>
          <w:divsChild>
            <w:div w:id="1357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1890607112">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old.congreso.gob.gt/archivos/decretos/2008/gtdcx6-2008.pdf" TargetMode="External"/><Relationship Id="rId13" Type="http://schemas.openxmlformats.org/officeDocument/2006/relationships/hyperlink" Target="http://www.cicig.org/index.php?mact=News,cntnt01,detail,0&amp;cntnt01articleid=420&amp;cntnt01returnid=67" TargetMode="External"/><Relationship Id="rId3" Type="http://schemas.openxmlformats.org/officeDocument/2006/relationships/hyperlink" Target="http://www.refworld.org/docid/3ae6b4d014.html" TargetMode="External"/><Relationship Id="rId7" Type="http://schemas.openxmlformats.org/officeDocument/2006/relationships/hyperlink" Target="http://elperiodico.com.gt/2016/02/12/opinion/conmutacion-de-la-pena-de-muerte/" TargetMode="External"/><Relationship Id="rId12" Type="http://schemas.openxmlformats.org/officeDocument/2006/relationships/hyperlink" Target="http://old.congreso.gob.gt/archivos/iniciativas/registro5100.pdf" TargetMode="External"/><Relationship Id="rId2" Type="http://schemas.openxmlformats.org/officeDocument/2006/relationships/hyperlink" Target="https://www.oas.org/juridico/mla/sp/gtm/sp_gtm-int-text-const.pdf." TargetMode="External"/><Relationship Id="rId16" Type="http://schemas.openxmlformats.org/officeDocument/2006/relationships/hyperlink" Target="http://www.oas.org/es/cidh/prensa/comunicados/2013/074.asp" TargetMode="External"/><Relationship Id="rId1" Type="http://schemas.openxmlformats.org/officeDocument/2006/relationships/hyperlink" Target="http://www.cidh.oas.org/annualrep/2008sp/Guatemala652.04.sp.htm" TargetMode="External"/><Relationship Id="rId6" Type="http://schemas.openxmlformats.org/officeDocument/2006/relationships/hyperlink" Target="http://www.efe.com/efe/america/politica/piden-en-guatemala-restituir-figura-de-indulto-y-con-ella-la-pena-muerte/20000035-2863701" TargetMode="External"/><Relationship Id="rId11" Type="http://schemas.openxmlformats.org/officeDocument/2006/relationships/hyperlink" Target="http://www.laprensa.com.ni/2010/11/05/internacionales/42724-colom-veta-ley-con-que-reactivarian-pena-de-muerte" TargetMode="External"/><Relationship Id="rId5" Type="http://schemas.openxmlformats.org/officeDocument/2006/relationships/hyperlink" Target="http://old.congreso.gob.gt/archivos/decretos/1996/gtdcx20-1996.pdf" TargetMode="External"/><Relationship Id="rId15" Type="http://schemas.openxmlformats.org/officeDocument/2006/relationships/hyperlink" Target="http://www.prensalibre.com/guatemala/justicia/fiscalia-espaola-mantiene-peticion-de-160-aos-de-carcel-para-carlos-vielmann." TargetMode="External"/><Relationship Id="rId10" Type="http://schemas.openxmlformats.org/officeDocument/2006/relationships/hyperlink" Target="http://news.bbc.co.uk/hi/spanish/latin_america/newsid_7297000/7297884.stm" TargetMode="External"/><Relationship Id="rId4" Type="http://schemas.openxmlformats.org/officeDocument/2006/relationships/hyperlink" Target="http://old.congreso.gob.gt/archivos/decretos/2000/gtdcx32-2000.pdf," TargetMode="External"/><Relationship Id="rId9" Type="http://schemas.openxmlformats.org/officeDocument/2006/relationships/hyperlink" Target="http://www.elmundo.es/elmundo/2008/03/15/internacional/1205539033.html" TargetMode="External"/><Relationship Id="rId14" Type="http://schemas.openxmlformats.org/officeDocument/2006/relationships/hyperlink" Target="http://www.cicig.org/uploads/documents/2013/SENT-20131018-01-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257A-851F-403C-9479-EB2C59EC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46</Pages>
  <Words>21128</Words>
  <Characters>120435</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46</cp:revision>
  <cp:lastPrinted>2017-05-24T16:07:00Z</cp:lastPrinted>
  <dcterms:created xsi:type="dcterms:W3CDTF">2017-06-20T19:17:00Z</dcterms:created>
  <dcterms:modified xsi:type="dcterms:W3CDTF">2017-09-21T22:05:00Z</dcterms:modified>
</cp:coreProperties>
</file>