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35E6" w14:textId="75ECF2A7" w:rsidR="00040C3A" w:rsidRPr="00683301" w:rsidRDefault="00A318DC" w:rsidP="00A20CD5">
      <w:pPr>
        <w:jc w:val="both"/>
        <w:rPr>
          <w:rFonts w:ascii="Cambria" w:hAnsi="Cambria" w:cs="Univers"/>
          <w:b/>
          <w:bCs/>
          <w:sz w:val="20"/>
          <w:szCs w:val="20"/>
          <w:lang w:val="es-ES"/>
        </w:rPr>
      </w:pPr>
      <w:r w:rsidRPr="00683301">
        <w:rPr>
          <w:rFonts w:ascii="Cambria" w:hAnsi="Cambria"/>
          <w:noProof/>
          <w:sz w:val="20"/>
          <w:szCs w:val="20"/>
          <w:lang w:val="es-ES" w:eastAsia="es-ES"/>
        </w:rPr>
        <mc:AlternateContent>
          <mc:Choice Requires="wps">
            <w:drawing>
              <wp:anchor distT="0" distB="0" distL="114300" distR="114300" simplePos="0" relativeHeight="251654144" behindDoc="0" locked="0" layoutInCell="1" allowOverlap="1" wp14:anchorId="2199EF67" wp14:editId="7F0B774E">
                <wp:simplePos x="0" y="0"/>
                <wp:positionH relativeFrom="column">
                  <wp:posOffset>-415290</wp:posOffset>
                </wp:positionH>
                <wp:positionV relativeFrom="paragraph">
                  <wp:posOffset>-438785</wp:posOffset>
                </wp:positionV>
                <wp:extent cx="1543050" cy="9096375"/>
                <wp:effectExtent l="0" t="0" r="635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219A6114" id="Rectangle 1" o:spid="_x0000_s1026" style="position:absolute;margin-left:-32.7pt;margin-top:-34.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" fillcolor="#4a7194" stroked="f" strokeweight="2pt">
                <v:path arrowok="t"/>
              </v:rect>
            </w:pict>
          </mc:Fallback>
        </mc:AlternateContent>
      </w:r>
      <w:r w:rsidRPr="00683301">
        <w:rPr>
          <w:rFonts w:ascii="Cambria" w:hAnsi="Cambria"/>
          <w:noProof/>
          <w:sz w:val="20"/>
          <w:szCs w:val="20"/>
          <w:lang w:val="es-ES" w:eastAsia="es-ES"/>
        </w:rPr>
        <mc:AlternateContent>
          <mc:Choice Requires="wps">
            <w:drawing>
              <wp:anchor distT="0" distB="0" distL="114300" distR="114300" simplePos="0" relativeHeight="251658240" behindDoc="0" locked="0" layoutInCell="1" allowOverlap="1" wp14:anchorId="2981F585" wp14:editId="166FBA47">
                <wp:simplePos x="0" y="0"/>
                <wp:positionH relativeFrom="column">
                  <wp:posOffset>1282065</wp:posOffset>
                </wp:positionH>
                <wp:positionV relativeFrom="paragraph">
                  <wp:posOffset>-423545</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1FEE2107" w14:textId="543D6092" w:rsidR="0025354A" w:rsidRDefault="00A318DC" w:rsidP="00AE5488">
                            <w:r>
                              <w:rPr>
                                <w:noProof/>
                                <w:lang w:val="es-ES" w:eastAsia="es-ES"/>
                              </w:rPr>
                              <w:drawing>
                                <wp:inline distT="0" distB="0" distL="0" distR="0" wp14:anchorId="16295249" wp14:editId="42E131B9">
                                  <wp:extent cx="2648585" cy="514985"/>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514985"/>
                                          </a:xfrm>
                                          <a:prstGeom prst="rect">
                                            <a:avLst/>
                                          </a:prstGeom>
                                          <a:noFill/>
                                          <a:ln>
                                            <a:noFill/>
                                          </a:ln>
                                        </pic:spPr>
                                      </pic:pic>
                                    </a:graphicData>
                                  </a:graphic>
                                </wp:inline>
                              </w:drawing>
                            </w:r>
                            <w:r w:rsidR="0025354A">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981F585" id="_x0000_t202" coordsize="21600,21600" o:spt="202" path="m0,0l0,21600,21600,21600,21600,0xe">
                <v:stroke joinstyle="miter"/>
                <v:path gradientshapeok="t" o:connecttype="rect"/>
              </v:shapetype>
              <v:shape id="Text Box 11" o:spid="_x0000_s1026" type="#_x0000_t202" style="position:absolute;left:0;text-align:left;margin-left:100.95pt;margin-top:-33.3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" filled="f" stroked="f" strokeweight=".5pt">
                <v:path arrowok="t"/>
                <v:textbox>
                  <w:txbxContent>
                    <w:p w14:paraId="1FEE2107" w14:textId="543D6092" w:rsidR="0025354A" w:rsidRDefault="00A318DC" w:rsidP="00AE5488">
                      <w:r>
                        <w:rPr>
                          <w:noProof/>
                        </w:rPr>
                        <w:drawing>
                          <wp:inline distT="0" distB="0" distL="0" distR="0" wp14:anchorId="16295249" wp14:editId="42E131B9">
                            <wp:extent cx="2648585" cy="514985"/>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585" cy="514985"/>
                                    </a:xfrm>
                                    <a:prstGeom prst="rect">
                                      <a:avLst/>
                                    </a:prstGeom>
                                    <a:noFill/>
                                    <a:ln>
                                      <a:noFill/>
                                    </a:ln>
                                  </pic:spPr>
                                </pic:pic>
                              </a:graphicData>
                            </a:graphic>
                          </wp:inline>
                        </w:drawing>
                      </w:r>
                      <w:r w:rsidR="0025354A">
                        <w:tab/>
                        <w:t xml:space="preserve">                              </w:t>
                      </w:r>
                    </w:p>
                  </w:txbxContent>
                </v:textbox>
              </v:shape>
            </w:pict>
          </mc:Fallback>
        </mc:AlternateContent>
      </w:r>
    </w:p>
    <w:p w14:paraId="42F8AA25" w14:textId="77777777" w:rsidR="00040C3A" w:rsidRPr="00683301" w:rsidRDefault="00040C3A" w:rsidP="00A20CD5">
      <w:pPr>
        <w:tabs>
          <w:tab w:val="center" w:pos="5400"/>
        </w:tabs>
        <w:suppressAutoHyphens/>
        <w:jc w:val="both"/>
        <w:rPr>
          <w:rFonts w:ascii="Cambria" w:hAnsi="Cambria"/>
          <w:sz w:val="20"/>
          <w:szCs w:val="20"/>
          <w:lang w:val="es-ES"/>
        </w:rPr>
      </w:pPr>
    </w:p>
    <w:p w14:paraId="58A4355E" w14:textId="77777777" w:rsidR="00040C3A" w:rsidRPr="00683301" w:rsidRDefault="00040C3A" w:rsidP="00A20CD5">
      <w:pPr>
        <w:tabs>
          <w:tab w:val="center" w:pos="5400"/>
        </w:tabs>
        <w:suppressAutoHyphens/>
        <w:jc w:val="both"/>
        <w:rPr>
          <w:rFonts w:ascii="Cambria" w:hAnsi="Cambria"/>
          <w:sz w:val="20"/>
          <w:szCs w:val="20"/>
          <w:lang w:val="es-ES"/>
        </w:rPr>
      </w:pPr>
    </w:p>
    <w:p w14:paraId="2EA02E84" w14:textId="77777777" w:rsidR="005128E4" w:rsidRPr="00683301" w:rsidRDefault="005128E4" w:rsidP="00A20CD5">
      <w:pPr>
        <w:tabs>
          <w:tab w:val="center" w:pos="5400"/>
        </w:tabs>
        <w:suppressAutoHyphens/>
        <w:jc w:val="both"/>
        <w:rPr>
          <w:rFonts w:ascii="Cambria" w:hAnsi="Cambria"/>
          <w:sz w:val="20"/>
          <w:szCs w:val="20"/>
          <w:lang w:val="es-ES"/>
        </w:rPr>
      </w:pPr>
    </w:p>
    <w:p w14:paraId="52254FD9" w14:textId="77777777" w:rsidR="005128E4" w:rsidRPr="00683301" w:rsidRDefault="005128E4" w:rsidP="00A20CD5">
      <w:pPr>
        <w:tabs>
          <w:tab w:val="center" w:pos="5400"/>
        </w:tabs>
        <w:suppressAutoHyphens/>
        <w:jc w:val="both"/>
        <w:rPr>
          <w:rFonts w:ascii="Cambria" w:hAnsi="Cambria"/>
          <w:sz w:val="20"/>
          <w:szCs w:val="20"/>
          <w:lang w:val="es-ES"/>
        </w:rPr>
      </w:pPr>
    </w:p>
    <w:p w14:paraId="7C752620" w14:textId="77777777" w:rsidR="005128E4" w:rsidRPr="00683301" w:rsidRDefault="005128E4" w:rsidP="00A20CD5">
      <w:pPr>
        <w:tabs>
          <w:tab w:val="center" w:pos="5400"/>
        </w:tabs>
        <w:suppressAutoHyphens/>
        <w:jc w:val="both"/>
        <w:rPr>
          <w:rFonts w:ascii="Cambria" w:hAnsi="Cambria"/>
          <w:sz w:val="20"/>
          <w:szCs w:val="20"/>
          <w:lang w:val="es-ES"/>
        </w:rPr>
      </w:pPr>
    </w:p>
    <w:p w14:paraId="354481DA" w14:textId="77777777" w:rsidR="00040C3A" w:rsidRPr="00683301" w:rsidRDefault="00040C3A" w:rsidP="00A20CD5">
      <w:pPr>
        <w:tabs>
          <w:tab w:val="center" w:pos="5400"/>
        </w:tabs>
        <w:suppressAutoHyphens/>
        <w:jc w:val="both"/>
        <w:rPr>
          <w:rFonts w:ascii="Cambria" w:hAnsi="Cambria"/>
          <w:sz w:val="20"/>
          <w:szCs w:val="20"/>
          <w:lang w:val="es-ES"/>
        </w:rPr>
      </w:pPr>
    </w:p>
    <w:p w14:paraId="20365526" w14:textId="77777777" w:rsidR="00040C3A" w:rsidRPr="00683301" w:rsidRDefault="00040C3A" w:rsidP="00A20CD5">
      <w:pPr>
        <w:tabs>
          <w:tab w:val="center" w:pos="5400"/>
        </w:tabs>
        <w:suppressAutoHyphens/>
        <w:jc w:val="both"/>
        <w:rPr>
          <w:rFonts w:ascii="Cambria" w:hAnsi="Cambria"/>
          <w:sz w:val="20"/>
          <w:szCs w:val="20"/>
          <w:lang w:val="es-ES"/>
        </w:rPr>
      </w:pPr>
    </w:p>
    <w:p w14:paraId="5F6D5B2F" w14:textId="77777777" w:rsidR="005B52B0" w:rsidRPr="00683301" w:rsidRDefault="005B52B0" w:rsidP="00A20CD5">
      <w:pPr>
        <w:tabs>
          <w:tab w:val="center" w:pos="5400"/>
        </w:tabs>
        <w:suppressAutoHyphens/>
        <w:jc w:val="both"/>
        <w:rPr>
          <w:rFonts w:ascii="Cambria" w:hAnsi="Cambria"/>
          <w:sz w:val="20"/>
          <w:szCs w:val="20"/>
          <w:lang w:val="es-ES"/>
        </w:rPr>
      </w:pPr>
    </w:p>
    <w:p w14:paraId="015005C0" w14:textId="77777777" w:rsidR="005B52B0" w:rsidRPr="00683301" w:rsidRDefault="005B52B0" w:rsidP="00A20CD5">
      <w:pPr>
        <w:tabs>
          <w:tab w:val="center" w:pos="5400"/>
        </w:tabs>
        <w:suppressAutoHyphens/>
        <w:jc w:val="both"/>
        <w:rPr>
          <w:rFonts w:ascii="Cambria" w:hAnsi="Cambria"/>
          <w:sz w:val="20"/>
          <w:szCs w:val="20"/>
          <w:lang w:val="es-ES"/>
        </w:rPr>
      </w:pPr>
    </w:p>
    <w:p w14:paraId="75F94AE6" w14:textId="77777777" w:rsidR="005B52B0" w:rsidRPr="00683301" w:rsidRDefault="005B52B0" w:rsidP="00A20CD5">
      <w:pPr>
        <w:tabs>
          <w:tab w:val="center" w:pos="5400"/>
        </w:tabs>
        <w:suppressAutoHyphens/>
        <w:jc w:val="both"/>
        <w:rPr>
          <w:rFonts w:ascii="Cambria" w:hAnsi="Cambria"/>
          <w:sz w:val="20"/>
          <w:szCs w:val="20"/>
          <w:lang w:val="es-ES"/>
        </w:rPr>
      </w:pPr>
    </w:p>
    <w:p w14:paraId="77BB4394" w14:textId="77777777" w:rsidR="00040C3A" w:rsidRPr="00683301" w:rsidRDefault="00040C3A" w:rsidP="00A20CD5">
      <w:pPr>
        <w:tabs>
          <w:tab w:val="center" w:pos="5400"/>
        </w:tabs>
        <w:suppressAutoHyphens/>
        <w:jc w:val="both"/>
        <w:rPr>
          <w:rFonts w:ascii="Cambria" w:hAnsi="Cambria"/>
          <w:sz w:val="20"/>
          <w:szCs w:val="20"/>
          <w:lang w:val="es-ES"/>
        </w:rPr>
      </w:pPr>
    </w:p>
    <w:p w14:paraId="661C6B0A" w14:textId="77777777" w:rsidR="00040C3A" w:rsidRPr="00683301" w:rsidRDefault="00040C3A" w:rsidP="00A20CD5">
      <w:pPr>
        <w:tabs>
          <w:tab w:val="center" w:pos="5400"/>
        </w:tabs>
        <w:suppressAutoHyphens/>
        <w:jc w:val="both"/>
        <w:rPr>
          <w:rFonts w:ascii="Cambria" w:hAnsi="Cambria"/>
          <w:sz w:val="20"/>
          <w:szCs w:val="20"/>
          <w:lang w:val="es-ES"/>
        </w:rPr>
      </w:pPr>
    </w:p>
    <w:p w14:paraId="6B435C96" w14:textId="631C9400" w:rsidR="00040C3A" w:rsidRPr="00683301" w:rsidRDefault="00A318DC" w:rsidP="00A20CD5">
      <w:pPr>
        <w:tabs>
          <w:tab w:val="center" w:pos="5400"/>
        </w:tabs>
        <w:suppressAutoHyphens/>
        <w:jc w:val="both"/>
        <w:rPr>
          <w:rFonts w:ascii="Cambria" w:hAnsi="Cambria"/>
          <w:sz w:val="20"/>
          <w:szCs w:val="20"/>
          <w:lang w:val="es-ES"/>
        </w:rPr>
      </w:pPr>
      <w:r w:rsidRPr="00683301">
        <w:rPr>
          <w:rFonts w:ascii="Cambria" w:hAnsi="Cambria"/>
          <w:noProof/>
          <w:sz w:val="20"/>
          <w:szCs w:val="20"/>
          <w:lang w:val="es-ES" w:eastAsia="es-ES"/>
        </w:rPr>
        <mc:AlternateContent>
          <mc:Choice Requires="wps">
            <w:drawing>
              <wp:anchor distT="0" distB="0" distL="114300" distR="114300" simplePos="0" relativeHeight="251655168" behindDoc="0" locked="0" layoutInCell="1" allowOverlap="1" wp14:anchorId="79B4C482" wp14:editId="70A0C7C4">
                <wp:simplePos x="0" y="0"/>
                <wp:positionH relativeFrom="column">
                  <wp:posOffset>1352550</wp:posOffset>
                </wp:positionH>
                <wp:positionV relativeFrom="paragraph">
                  <wp:posOffset>107315</wp:posOffset>
                </wp:positionV>
                <wp:extent cx="4441190" cy="218122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7C3F93B0" w14:textId="0C9B1BE3" w:rsidR="0025354A" w:rsidRPr="00673E50" w:rsidRDefault="0025354A" w:rsidP="00997BC5">
                            <w:pPr>
                              <w:spacing w:line="276" w:lineRule="auto"/>
                              <w:rPr>
                                <w:rFonts w:ascii="Cambria" w:hAnsi="Cambria" w:cs="Arial"/>
                                <w:b/>
                                <w:bCs/>
                                <w:color w:val="0D0D0D"/>
                                <w:sz w:val="36"/>
                                <w:szCs w:val="22"/>
                                <w:lang w:val="es-ES"/>
                              </w:rPr>
                            </w:pPr>
                            <w:r w:rsidRPr="00673E50">
                              <w:rPr>
                                <w:rFonts w:ascii="Cambria" w:hAnsi="Cambria" w:cs="Arial"/>
                                <w:b/>
                                <w:bCs/>
                                <w:color w:val="0D0D0D"/>
                                <w:sz w:val="36"/>
                                <w:szCs w:val="22"/>
                                <w:lang w:val="es-ES"/>
                              </w:rPr>
                              <w:t xml:space="preserve">INFORME </w:t>
                            </w:r>
                            <w:r w:rsidRPr="00673E50">
                              <w:rPr>
                                <w:rFonts w:ascii="Cambria" w:hAnsi="Cambria" w:cs="Arial"/>
                                <w:b/>
                                <w:bCs/>
                                <w:color w:val="0D0D0D"/>
                                <w:sz w:val="36"/>
                                <w:szCs w:val="40"/>
                                <w:lang w:val="es-ES"/>
                              </w:rPr>
                              <w:t>No.</w:t>
                            </w:r>
                            <w:r w:rsidRPr="00673E50">
                              <w:rPr>
                                <w:rFonts w:ascii="Cambria" w:hAnsi="Cambria" w:cs="Arial"/>
                                <w:b/>
                                <w:bCs/>
                                <w:color w:val="0D0D0D"/>
                                <w:sz w:val="36"/>
                                <w:szCs w:val="22"/>
                                <w:lang w:val="es-ES"/>
                              </w:rPr>
                              <w:t xml:space="preserve"> </w:t>
                            </w:r>
                            <w:r w:rsidR="00512E0B">
                              <w:rPr>
                                <w:rFonts w:ascii="Cambria" w:hAnsi="Cambria" w:cs="Arial"/>
                                <w:b/>
                                <w:bCs/>
                                <w:color w:val="0D0D0D"/>
                                <w:sz w:val="36"/>
                                <w:szCs w:val="22"/>
                                <w:lang w:val="es-ES"/>
                              </w:rPr>
                              <w:t>40</w:t>
                            </w:r>
                            <w:r>
                              <w:rPr>
                                <w:rFonts w:ascii="Cambria" w:hAnsi="Cambria" w:cs="Arial"/>
                                <w:b/>
                                <w:bCs/>
                                <w:color w:val="0D0D0D"/>
                                <w:sz w:val="36"/>
                                <w:szCs w:val="22"/>
                                <w:lang w:val="es-ES"/>
                              </w:rPr>
                              <w:t>/17</w:t>
                            </w:r>
                          </w:p>
                          <w:p w14:paraId="2E11BE00" w14:textId="77777777" w:rsidR="0025354A" w:rsidRPr="00673E50" w:rsidRDefault="0025354A" w:rsidP="00997BC5">
                            <w:pPr>
                              <w:spacing w:line="276" w:lineRule="auto"/>
                              <w:rPr>
                                <w:rFonts w:ascii="Cambria" w:hAnsi="Cambria" w:cs="Arial"/>
                                <w:b/>
                                <w:color w:val="0D0D0D"/>
                                <w:sz w:val="36"/>
                                <w:szCs w:val="22"/>
                                <w:lang w:val="es-ES"/>
                              </w:rPr>
                            </w:pPr>
                            <w:r>
                              <w:rPr>
                                <w:rFonts w:ascii="Cambria" w:hAnsi="Cambria" w:cs="Arial"/>
                                <w:b/>
                                <w:color w:val="0D0D0D"/>
                                <w:sz w:val="36"/>
                                <w:szCs w:val="22"/>
                                <w:lang w:val="es-ES"/>
                              </w:rPr>
                              <w:t>CASO 12.197</w:t>
                            </w:r>
                          </w:p>
                          <w:p w14:paraId="79B2D199" w14:textId="77777777" w:rsidR="0025354A" w:rsidRPr="007372D2" w:rsidRDefault="0025354A" w:rsidP="00161414">
                            <w:pPr>
                              <w:spacing w:line="276" w:lineRule="auto"/>
                              <w:rPr>
                                <w:rFonts w:ascii="Cambria" w:hAnsi="Cambria" w:cs="Arial"/>
                                <w:color w:val="0D0D0D"/>
                                <w:szCs w:val="22"/>
                                <w:lang w:val="es-ES_tradnl"/>
                              </w:rPr>
                            </w:pPr>
                            <w:r w:rsidRPr="007372D2">
                              <w:rPr>
                                <w:rFonts w:ascii="Cambria" w:hAnsi="Cambria" w:cs="Arial"/>
                                <w:color w:val="0D0D0D"/>
                                <w:szCs w:val="22"/>
                                <w:lang w:val="es-ES_tradnl"/>
                              </w:rPr>
                              <w:t>INFORME DE FONDO</w:t>
                            </w:r>
                          </w:p>
                          <w:p w14:paraId="5C1FE559" w14:textId="77777777" w:rsidR="0025354A" w:rsidRPr="007372D2" w:rsidRDefault="0025354A" w:rsidP="00997BC5">
                            <w:pPr>
                              <w:spacing w:line="276" w:lineRule="auto"/>
                              <w:rPr>
                                <w:rFonts w:ascii="Cambria" w:hAnsi="Cambria" w:cs="Arial"/>
                                <w:color w:val="0D0D0D"/>
                                <w:szCs w:val="22"/>
                                <w:lang w:val="es-ES_tradnl"/>
                              </w:rPr>
                            </w:pPr>
                            <w:bookmarkStart w:id="0" w:name="_ftnref1"/>
                          </w:p>
                          <w:p w14:paraId="4EAE7075" w14:textId="77777777" w:rsidR="0025354A" w:rsidRPr="007372D2" w:rsidRDefault="0025354A" w:rsidP="00997BC5">
                            <w:pPr>
                              <w:spacing w:line="276" w:lineRule="auto"/>
                              <w:rPr>
                                <w:rFonts w:ascii="Cambria" w:hAnsi="Cambria" w:cs="Arial"/>
                                <w:color w:val="0D0D0D"/>
                                <w:szCs w:val="22"/>
                                <w:lang w:val="es-ES"/>
                              </w:rPr>
                            </w:pPr>
                            <w:r>
                              <w:rPr>
                                <w:rFonts w:ascii="Cambria" w:hAnsi="Cambria" w:cs="Arial"/>
                                <w:color w:val="0D0D0D"/>
                                <w:szCs w:val="22"/>
                                <w:lang w:val="es-ES_tradnl"/>
                              </w:rPr>
                              <w:t>RAMÓN ROSENDO CARRANZA ALARCÓN</w:t>
                            </w:r>
                          </w:p>
                          <w:bookmarkEnd w:id="0"/>
                          <w:p w14:paraId="151D0C47" w14:textId="77777777" w:rsidR="0025354A" w:rsidRPr="007372D2" w:rsidRDefault="0025354A" w:rsidP="00997BC5">
                            <w:pPr>
                              <w:spacing w:line="276" w:lineRule="auto"/>
                              <w:rPr>
                                <w:rFonts w:ascii="Cambria" w:hAnsi="Cambria" w:cs="Arial"/>
                                <w:color w:val="0D0D0D"/>
                                <w:szCs w:val="22"/>
                                <w:lang w:val="es-ES"/>
                              </w:rPr>
                            </w:pPr>
                            <w:r>
                              <w:rPr>
                                <w:rFonts w:ascii="Cambria" w:hAnsi="Cambria" w:cs="Arial"/>
                                <w:color w:val="0D0D0D"/>
                                <w:szCs w:val="22"/>
                                <w:lang w:val="es-ES_tradnl"/>
                              </w:rPr>
                              <w:t>ECUADOR</w:t>
                            </w:r>
                          </w:p>
                          <w:p w14:paraId="166CB61E" w14:textId="77777777" w:rsidR="0025354A" w:rsidRPr="007372D2" w:rsidRDefault="0025354A"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14:paraId="7C3F93B0" w14:textId="0C9B1BE3" w:rsidR="0025354A" w:rsidRPr="00673E50" w:rsidRDefault="0025354A" w:rsidP="00997BC5">
                      <w:pPr>
                        <w:spacing w:line="276" w:lineRule="auto"/>
                        <w:rPr>
                          <w:rFonts w:ascii="Cambria" w:hAnsi="Cambria" w:cs="Arial"/>
                          <w:b/>
                          <w:bCs/>
                          <w:color w:val="0D0D0D"/>
                          <w:sz w:val="36"/>
                          <w:szCs w:val="22"/>
                          <w:lang w:val="es-ES"/>
                        </w:rPr>
                      </w:pPr>
                      <w:r w:rsidRPr="00673E50">
                        <w:rPr>
                          <w:rFonts w:ascii="Cambria" w:hAnsi="Cambria" w:cs="Arial"/>
                          <w:b/>
                          <w:bCs/>
                          <w:color w:val="0D0D0D"/>
                          <w:sz w:val="36"/>
                          <w:szCs w:val="22"/>
                          <w:lang w:val="es-ES"/>
                        </w:rPr>
                        <w:t xml:space="preserve">INFORME </w:t>
                      </w:r>
                      <w:r w:rsidRPr="00673E50">
                        <w:rPr>
                          <w:rFonts w:ascii="Cambria" w:hAnsi="Cambria" w:cs="Arial"/>
                          <w:b/>
                          <w:bCs/>
                          <w:color w:val="0D0D0D"/>
                          <w:sz w:val="36"/>
                          <w:szCs w:val="40"/>
                          <w:lang w:val="es-ES"/>
                        </w:rPr>
                        <w:t>No.</w:t>
                      </w:r>
                      <w:r w:rsidRPr="00673E50">
                        <w:rPr>
                          <w:rFonts w:ascii="Cambria" w:hAnsi="Cambria" w:cs="Arial"/>
                          <w:b/>
                          <w:bCs/>
                          <w:color w:val="0D0D0D"/>
                          <w:sz w:val="36"/>
                          <w:szCs w:val="22"/>
                          <w:lang w:val="es-ES"/>
                        </w:rPr>
                        <w:t xml:space="preserve"> </w:t>
                      </w:r>
                      <w:r w:rsidR="00512E0B">
                        <w:rPr>
                          <w:rFonts w:ascii="Cambria" w:hAnsi="Cambria" w:cs="Arial"/>
                          <w:b/>
                          <w:bCs/>
                          <w:color w:val="0D0D0D"/>
                          <w:sz w:val="36"/>
                          <w:szCs w:val="22"/>
                          <w:lang w:val="es-ES"/>
                        </w:rPr>
                        <w:t>40</w:t>
                      </w:r>
                      <w:r>
                        <w:rPr>
                          <w:rFonts w:ascii="Cambria" w:hAnsi="Cambria" w:cs="Arial"/>
                          <w:b/>
                          <w:bCs/>
                          <w:color w:val="0D0D0D"/>
                          <w:sz w:val="36"/>
                          <w:szCs w:val="22"/>
                          <w:lang w:val="es-ES"/>
                        </w:rPr>
                        <w:t>/17</w:t>
                      </w:r>
                    </w:p>
                    <w:p w14:paraId="2E11BE00" w14:textId="77777777" w:rsidR="0025354A" w:rsidRPr="00673E50" w:rsidRDefault="0025354A" w:rsidP="00997BC5">
                      <w:pPr>
                        <w:spacing w:line="276" w:lineRule="auto"/>
                        <w:rPr>
                          <w:rFonts w:ascii="Cambria" w:hAnsi="Cambria" w:cs="Arial"/>
                          <w:b/>
                          <w:color w:val="0D0D0D"/>
                          <w:sz w:val="36"/>
                          <w:szCs w:val="22"/>
                          <w:lang w:val="es-ES"/>
                        </w:rPr>
                      </w:pPr>
                      <w:r>
                        <w:rPr>
                          <w:rFonts w:ascii="Cambria" w:hAnsi="Cambria" w:cs="Arial"/>
                          <w:b/>
                          <w:color w:val="0D0D0D"/>
                          <w:sz w:val="36"/>
                          <w:szCs w:val="22"/>
                          <w:lang w:val="es-ES"/>
                        </w:rPr>
                        <w:t>CASO 12.197</w:t>
                      </w:r>
                    </w:p>
                    <w:p w14:paraId="79B2D199" w14:textId="77777777" w:rsidR="0025354A" w:rsidRPr="007372D2" w:rsidRDefault="0025354A" w:rsidP="00161414">
                      <w:pPr>
                        <w:spacing w:line="276" w:lineRule="auto"/>
                        <w:rPr>
                          <w:rFonts w:ascii="Cambria" w:hAnsi="Cambria" w:cs="Arial"/>
                          <w:color w:val="0D0D0D"/>
                          <w:szCs w:val="22"/>
                          <w:lang w:val="es-ES_tradnl"/>
                        </w:rPr>
                      </w:pPr>
                      <w:r w:rsidRPr="007372D2">
                        <w:rPr>
                          <w:rFonts w:ascii="Cambria" w:hAnsi="Cambria" w:cs="Arial"/>
                          <w:color w:val="0D0D0D"/>
                          <w:szCs w:val="22"/>
                          <w:lang w:val="es-ES_tradnl"/>
                        </w:rPr>
                        <w:t>INFORME DE FONDO</w:t>
                      </w:r>
                    </w:p>
                    <w:p w14:paraId="5C1FE559" w14:textId="77777777" w:rsidR="0025354A" w:rsidRPr="007372D2" w:rsidRDefault="0025354A" w:rsidP="00997BC5">
                      <w:pPr>
                        <w:spacing w:line="276" w:lineRule="auto"/>
                        <w:rPr>
                          <w:rFonts w:ascii="Cambria" w:hAnsi="Cambria" w:cs="Arial"/>
                          <w:color w:val="0D0D0D"/>
                          <w:szCs w:val="22"/>
                          <w:lang w:val="es-ES_tradnl"/>
                        </w:rPr>
                      </w:pPr>
                      <w:bookmarkStart w:id="1" w:name="_ftnref1"/>
                    </w:p>
                    <w:p w14:paraId="4EAE7075" w14:textId="77777777" w:rsidR="0025354A" w:rsidRPr="007372D2" w:rsidRDefault="0025354A" w:rsidP="00997BC5">
                      <w:pPr>
                        <w:spacing w:line="276" w:lineRule="auto"/>
                        <w:rPr>
                          <w:rFonts w:ascii="Cambria" w:hAnsi="Cambria" w:cs="Arial"/>
                          <w:color w:val="0D0D0D"/>
                          <w:szCs w:val="22"/>
                          <w:lang w:val="es-ES"/>
                        </w:rPr>
                      </w:pPr>
                      <w:r>
                        <w:rPr>
                          <w:rFonts w:ascii="Cambria" w:hAnsi="Cambria" w:cs="Arial"/>
                          <w:color w:val="0D0D0D"/>
                          <w:szCs w:val="22"/>
                          <w:lang w:val="es-ES_tradnl"/>
                        </w:rPr>
                        <w:t>RAMÓN ROSENDO CARRANZA ALARCÓN</w:t>
                      </w:r>
                    </w:p>
                    <w:bookmarkEnd w:id="1"/>
                    <w:p w14:paraId="151D0C47" w14:textId="77777777" w:rsidR="0025354A" w:rsidRPr="007372D2" w:rsidRDefault="0025354A" w:rsidP="00997BC5">
                      <w:pPr>
                        <w:spacing w:line="276" w:lineRule="auto"/>
                        <w:rPr>
                          <w:rFonts w:ascii="Cambria" w:hAnsi="Cambria" w:cs="Arial"/>
                          <w:color w:val="0D0D0D"/>
                          <w:szCs w:val="22"/>
                          <w:lang w:val="es-ES"/>
                        </w:rPr>
                      </w:pPr>
                      <w:r>
                        <w:rPr>
                          <w:rFonts w:ascii="Cambria" w:hAnsi="Cambria" w:cs="Arial"/>
                          <w:color w:val="0D0D0D"/>
                          <w:szCs w:val="22"/>
                          <w:lang w:val="es-ES_tradnl"/>
                        </w:rPr>
                        <w:t>ECUADOR</w:t>
                      </w:r>
                    </w:p>
                    <w:p w14:paraId="166CB61E" w14:textId="77777777" w:rsidR="0025354A" w:rsidRPr="007372D2" w:rsidRDefault="0025354A" w:rsidP="007A5817">
                      <w:pPr>
                        <w:rPr>
                          <w:color w:val="0D0D0D"/>
                          <w:lang w:val="es-ES_tradnl"/>
                        </w:rPr>
                      </w:pPr>
                    </w:p>
                  </w:txbxContent>
                </v:textbox>
              </v:shape>
            </w:pict>
          </mc:Fallback>
        </mc:AlternateContent>
      </w:r>
      <w:r w:rsidRPr="00683301">
        <w:rPr>
          <w:rFonts w:ascii="Cambria" w:hAnsi="Cambria"/>
          <w:noProof/>
          <w:sz w:val="20"/>
          <w:szCs w:val="20"/>
          <w:lang w:val="es-ES" w:eastAsia="es-ES"/>
        </w:rPr>
        <mc:AlternateContent>
          <mc:Choice Requires="wps">
            <w:drawing>
              <wp:anchor distT="0" distB="0" distL="114300" distR="114300" simplePos="0" relativeHeight="251657216" behindDoc="0" locked="0" layoutInCell="1" allowOverlap="1" wp14:anchorId="26E39D39" wp14:editId="2AC22F38">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2975F6E6" w14:textId="77777777" w:rsidR="0025354A" w:rsidRPr="00A06A17" w:rsidRDefault="0025354A" w:rsidP="007A5817">
                            <w:pPr>
                              <w:spacing w:line="276" w:lineRule="auto"/>
                              <w:jc w:val="right"/>
                              <w:rPr>
                                <w:rFonts w:ascii="Calibri" w:hAnsi="Calibri"/>
                                <w:color w:val="FFFFFF"/>
                                <w:sz w:val="22"/>
                                <w:lang w:val="pt-BR"/>
                              </w:rPr>
                            </w:pPr>
                            <w:r w:rsidRPr="00A06A17">
                              <w:rPr>
                                <w:rFonts w:ascii="Calibri" w:hAnsi="Calibri"/>
                                <w:color w:val="FFFFFF"/>
                                <w:sz w:val="22"/>
                                <w:lang w:val="pt-BR"/>
                              </w:rPr>
                              <w:t>O</w:t>
                            </w:r>
                            <w:r w:rsidR="007C2AAE" w:rsidRPr="00A06A17">
                              <w:rPr>
                                <w:rFonts w:ascii="Calibri" w:hAnsi="Calibri"/>
                                <w:color w:val="FFFFFF"/>
                                <w:sz w:val="22"/>
                                <w:lang w:val="pt-BR"/>
                              </w:rPr>
                              <w:t>EA/Ser.L/V/II.162</w:t>
                            </w:r>
                          </w:p>
                          <w:p w14:paraId="2D8D8BA8" w14:textId="1A61F644" w:rsidR="0025354A" w:rsidRPr="00A06A17" w:rsidRDefault="0025354A" w:rsidP="007A5817">
                            <w:pPr>
                              <w:spacing w:line="276" w:lineRule="auto"/>
                              <w:jc w:val="right"/>
                              <w:rPr>
                                <w:rFonts w:ascii="Calibri" w:hAnsi="Calibri"/>
                                <w:color w:val="FFFFFF"/>
                                <w:sz w:val="22"/>
                                <w:lang w:val="pt-BR"/>
                              </w:rPr>
                            </w:pPr>
                            <w:r w:rsidRPr="00A06A17">
                              <w:rPr>
                                <w:rFonts w:ascii="Calibri" w:hAnsi="Calibri"/>
                                <w:color w:val="FFFFFF"/>
                                <w:sz w:val="22"/>
                                <w:lang w:val="pt-BR"/>
                              </w:rPr>
                              <w:t xml:space="preserve">Doc. </w:t>
                            </w:r>
                            <w:r w:rsidR="00512E0B" w:rsidRPr="00A06A17">
                              <w:rPr>
                                <w:rFonts w:ascii="Calibri" w:hAnsi="Calibri"/>
                                <w:color w:val="FFFFFF"/>
                                <w:sz w:val="22"/>
                                <w:lang w:val="pt-BR"/>
                              </w:rPr>
                              <w:t>52</w:t>
                            </w:r>
                          </w:p>
                          <w:p w14:paraId="2A33650E" w14:textId="6DD59896" w:rsidR="0025354A" w:rsidRPr="00703939" w:rsidRDefault="00512E0B" w:rsidP="007A5817">
                            <w:pPr>
                              <w:spacing w:line="276" w:lineRule="auto"/>
                              <w:jc w:val="right"/>
                              <w:rPr>
                                <w:rFonts w:ascii="Calibri" w:hAnsi="Calibri"/>
                                <w:color w:val="FFFFFF"/>
                                <w:sz w:val="22"/>
                                <w:lang w:val="es-ES"/>
                              </w:rPr>
                            </w:pPr>
                            <w:r>
                              <w:rPr>
                                <w:rFonts w:ascii="Calibri" w:hAnsi="Calibri"/>
                                <w:color w:val="FFFFFF"/>
                                <w:sz w:val="22"/>
                                <w:lang w:val="es-ES"/>
                              </w:rPr>
                              <w:t>23 de mayo</w:t>
                            </w:r>
                            <w:r w:rsidR="0025354A">
                              <w:rPr>
                                <w:rFonts w:ascii="Calibri" w:hAnsi="Calibri"/>
                                <w:color w:val="FFFFFF"/>
                                <w:sz w:val="22"/>
                                <w:lang w:val="es-ES"/>
                              </w:rPr>
                              <w:t xml:space="preserve"> de 2017</w:t>
                            </w:r>
                          </w:p>
                          <w:p w14:paraId="10B88655" w14:textId="77777777" w:rsidR="0025354A" w:rsidRPr="00703939" w:rsidRDefault="0025354A" w:rsidP="007A5817">
                            <w:pPr>
                              <w:spacing w:line="276" w:lineRule="auto"/>
                              <w:jc w:val="right"/>
                              <w:rPr>
                                <w:rFonts w:ascii="Calibri" w:hAnsi="Calibri"/>
                                <w:color w:val="FFFFFF"/>
                                <w:sz w:val="22"/>
                                <w:lang w:val="es-ES"/>
                              </w:rPr>
                            </w:pPr>
                            <w:r w:rsidRPr="00703939">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95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" filled="f" stroked="f" strokeweight=".5pt">
                <v:path arrowok="t"/>
                <v:textbox>
                  <w:txbxContent>
                    <w:p w14:paraId="2975F6E6" w14:textId="77777777" w:rsidR="0025354A" w:rsidRPr="00512E0B" w:rsidRDefault="0025354A" w:rsidP="007A5817">
                      <w:pPr>
                        <w:spacing w:line="276" w:lineRule="auto"/>
                        <w:jc w:val="right"/>
                        <w:rPr>
                          <w:rFonts w:ascii="Calibri" w:hAnsi="Calibri"/>
                          <w:color w:val="FFFFFF"/>
                          <w:sz w:val="22"/>
                          <w:lang w:val="es-ES"/>
                        </w:rPr>
                      </w:pPr>
                      <w:r w:rsidRPr="00512E0B">
                        <w:rPr>
                          <w:rFonts w:ascii="Calibri" w:hAnsi="Calibri"/>
                          <w:color w:val="FFFFFF"/>
                          <w:sz w:val="22"/>
                          <w:lang w:val="es-ES"/>
                        </w:rPr>
                        <w:t>O</w:t>
                      </w:r>
                      <w:r w:rsidR="007C2AAE" w:rsidRPr="00512E0B">
                        <w:rPr>
                          <w:rFonts w:ascii="Calibri" w:hAnsi="Calibri"/>
                          <w:color w:val="FFFFFF"/>
                          <w:sz w:val="22"/>
                          <w:lang w:val="es-ES"/>
                        </w:rPr>
                        <w:t>EA/</w:t>
                      </w:r>
                      <w:proofErr w:type="spellStart"/>
                      <w:r w:rsidR="007C2AAE" w:rsidRPr="00512E0B">
                        <w:rPr>
                          <w:rFonts w:ascii="Calibri" w:hAnsi="Calibri"/>
                          <w:color w:val="FFFFFF"/>
                          <w:sz w:val="22"/>
                          <w:lang w:val="es-ES"/>
                        </w:rPr>
                        <w:t>Ser.L</w:t>
                      </w:r>
                      <w:proofErr w:type="spellEnd"/>
                      <w:r w:rsidR="007C2AAE" w:rsidRPr="00512E0B">
                        <w:rPr>
                          <w:rFonts w:ascii="Calibri" w:hAnsi="Calibri"/>
                          <w:color w:val="FFFFFF"/>
                          <w:sz w:val="22"/>
                          <w:lang w:val="es-ES"/>
                        </w:rPr>
                        <w:t>/V/II.162</w:t>
                      </w:r>
                    </w:p>
                    <w:p w14:paraId="2D8D8BA8" w14:textId="1A61F644" w:rsidR="0025354A" w:rsidRPr="00512E0B" w:rsidRDefault="0025354A" w:rsidP="007A5817">
                      <w:pPr>
                        <w:spacing w:line="276" w:lineRule="auto"/>
                        <w:jc w:val="right"/>
                        <w:rPr>
                          <w:rFonts w:ascii="Calibri" w:hAnsi="Calibri"/>
                          <w:color w:val="FFFFFF"/>
                          <w:sz w:val="22"/>
                          <w:lang w:val="es-ES"/>
                        </w:rPr>
                      </w:pPr>
                      <w:r w:rsidRPr="00512E0B">
                        <w:rPr>
                          <w:rFonts w:ascii="Calibri" w:hAnsi="Calibri"/>
                          <w:color w:val="FFFFFF"/>
                          <w:sz w:val="22"/>
                          <w:lang w:val="es-ES"/>
                        </w:rPr>
                        <w:t xml:space="preserve">Doc. </w:t>
                      </w:r>
                      <w:r w:rsidR="00512E0B" w:rsidRPr="00512E0B">
                        <w:rPr>
                          <w:rFonts w:ascii="Calibri" w:hAnsi="Calibri"/>
                          <w:color w:val="FFFFFF"/>
                          <w:sz w:val="22"/>
                          <w:lang w:val="es-ES"/>
                        </w:rPr>
                        <w:t>52</w:t>
                      </w:r>
                    </w:p>
                    <w:p w14:paraId="2A33650E" w14:textId="6DD59896" w:rsidR="0025354A" w:rsidRPr="00703939" w:rsidRDefault="00512E0B" w:rsidP="007A5817">
                      <w:pPr>
                        <w:spacing w:line="276" w:lineRule="auto"/>
                        <w:jc w:val="right"/>
                        <w:rPr>
                          <w:rFonts w:ascii="Calibri" w:hAnsi="Calibri"/>
                          <w:color w:val="FFFFFF"/>
                          <w:sz w:val="22"/>
                          <w:lang w:val="es-ES"/>
                        </w:rPr>
                      </w:pPr>
                      <w:r>
                        <w:rPr>
                          <w:rFonts w:ascii="Calibri" w:hAnsi="Calibri"/>
                          <w:color w:val="FFFFFF"/>
                          <w:sz w:val="22"/>
                          <w:lang w:val="es-ES"/>
                        </w:rPr>
                        <w:t>23 de mayo</w:t>
                      </w:r>
                      <w:r w:rsidR="0025354A">
                        <w:rPr>
                          <w:rFonts w:ascii="Calibri" w:hAnsi="Calibri"/>
                          <w:color w:val="FFFFFF"/>
                          <w:sz w:val="22"/>
                          <w:lang w:val="es-ES"/>
                        </w:rPr>
                        <w:t xml:space="preserve"> de 2017</w:t>
                      </w:r>
                    </w:p>
                    <w:p w14:paraId="10B88655" w14:textId="77777777" w:rsidR="0025354A" w:rsidRPr="00703939" w:rsidRDefault="0025354A" w:rsidP="007A5817">
                      <w:pPr>
                        <w:spacing w:line="276" w:lineRule="auto"/>
                        <w:jc w:val="right"/>
                        <w:rPr>
                          <w:rFonts w:ascii="Calibri" w:hAnsi="Calibri"/>
                          <w:color w:val="FFFFFF"/>
                          <w:sz w:val="22"/>
                          <w:lang w:val="es-ES"/>
                        </w:rPr>
                      </w:pPr>
                      <w:r w:rsidRPr="00703939">
                        <w:rPr>
                          <w:rFonts w:ascii="Calibri" w:hAnsi="Calibri"/>
                          <w:color w:val="FFFFFF"/>
                          <w:sz w:val="22"/>
                          <w:lang w:val="es-ES"/>
                        </w:rPr>
                        <w:t>Original: español</w:t>
                      </w:r>
                    </w:p>
                  </w:txbxContent>
                </v:textbox>
              </v:shape>
            </w:pict>
          </mc:Fallback>
        </mc:AlternateContent>
      </w:r>
    </w:p>
    <w:p w14:paraId="1243CD4C" w14:textId="77777777" w:rsidR="00040C3A" w:rsidRPr="00683301" w:rsidRDefault="00040C3A" w:rsidP="00A20CD5">
      <w:pPr>
        <w:tabs>
          <w:tab w:val="center" w:pos="5400"/>
        </w:tabs>
        <w:suppressAutoHyphens/>
        <w:jc w:val="both"/>
        <w:rPr>
          <w:rFonts w:ascii="Cambria" w:hAnsi="Cambria"/>
          <w:sz w:val="20"/>
          <w:szCs w:val="20"/>
          <w:lang w:val="es-ES"/>
        </w:rPr>
      </w:pPr>
    </w:p>
    <w:p w14:paraId="4E27982D" w14:textId="77777777" w:rsidR="00040C3A" w:rsidRPr="00683301" w:rsidRDefault="00040C3A" w:rsidP="00A20CD5">
      <w:pPr>
        <w:tabs>
          <w:tab w:val="center" w:pos="5400"/>
        </w:tabs>
        <w:suppressAutoHyphens/>
        <w:jc w:val="both"/>
        <w:rPr>
          <w:rFonts w:ascii="Cambria" w:hAnsi="Cambria"/>
          <w:sz w:val="20"/>
          <w:szCs w:val="20"/>
          <w:lang w:val="es-ES"/>
        </w:rPr>
      </w:pPr>
    </w:p>
    <w:p w14:paraId="6005DFB2" w14:textId="77777777" w:rsidR="00040C3A" w:rsidRPr="00683301" w:rsidRDefault="00040C3A" w:rsidP="00A20CD5">
      <w:pPr>
        <w:tabs>
          <w:tab w:val="center" w:pos="5400"/>
        </w:tabs>
        <w:suppressAutoHyphens/>
        <w:jc w:val="both"/>
        <w:rPr>
          <w:rFonts w:ascii="Cambria" w:hAnsi="Cambria" w:cs="Arial"/>
          <w:sz w:val="20"/>
          <w:szCs w:val="20"/>
          <w:lang w:val="es-ES"/>
        </w:rPr>
      </w:pPr>
    </w:p>
    <w:p w14:paraId="5C639856" w14:textId="77777777" w:rsidR="00040C3A" w:rsidRPr="00683301" w:rsidRDefault="00040C3A" w:rsidP="00A20CD5">
      <w:pPr>
        <w:tabs>
          <w:tab w:val="center" w:pos="5400"/>
        </w:tabs>
        <w:suppressAutoHyphens/>
        <w:jc w:val="both"/>
        <w:rPr>
          <w:rFonts w:ascii="Cambria" w:hAnsi="Cambria"/>
          <w:sz w:val="20"/>
          <w:szCs w:val="20"/>
          <w:lang w:val="es-ES"/>
        </w:rPr>
      </w:pPr>
    </w:p>
    <w:p w14:paraId="73D811ED" w14:textId="77777777" w:rsidR="00040C3A" w:rsidRPr="00683301" w:rsidRDefault="00040C3A" w:rsidP="00A20CD5">
      <w:pPr>
        <w:tabs>
          <w:tab w:val="center" w:pos="5400"/>
        </w:tabs>
        <w:suppressAutoHyphens/>
        <w:jc w:val="both"/>
        <w:rPr>
          <w:rFonts w:ascii="Cambria" w:hAnsi="Cambria"/>
          <w:sz w:val="20"/>
          <w:szCs w:val="20"/>
          <w:lang w:val="es-ES"/>
        </w:rPr>
      </w:pPr>
    </w:p>
    <w:p w14:paraId="4334A683" w14:textId="77777777" w:rsidR="00040C3A" w:rsidRPr="00683301" w:rsidRDefault="00040C3A" w:rsidP="00A20CD5">
      <w:pPr>
        <w:tabs>
          <w:tab w:val="center" w:pos="5400"/>
        </w:tabs>
        <w:suppressAutoHyphens/>
        <w:jc w:val="both"/>
        <w:rPr>
          <w:rFonts w:ascii="Cambria" w:hAnsi="Cambria"/>
          <w:sz w:val="20"/>
          <w:szCs w:val="20"/>
          <w:lang w:val="es-ES"/>
        </w:rPr>
      </w:pPr>
    </w:p>
    <w:p w14:paraId="55E4BB57" w14:textId="77777777" w:rsidR="00040C3A" w:rsidRPr="00683301" w:rsidRDefault="00040C3A" w:rsidP="00A20CD5">
      <w:pPr>
        <w:tabs>
          <w:tab w:val="center" w:pos="5400"/>
        </w:tabs>
        <w:suppressAutoHyphens/>
        <w:jc w:val="both"/>
        <w:rPr>
          <w:rFonts w:ascii="Cambria" w:hAnsi="Cambria"/>
          <w:sz w:val="20"/>
          <w:szCs w:val="20"/>
          <w:lang w:val="es-ES"/>
        </w:rPr>
      </w:pPr>
    </w:p>
    <w:p w14:paraId="42F3EAF2" w14:textId="77777777" w:rsidR="005128E4" w:rsidRPr="00683301" w:rsidRDefault="005128E4" w:rsidP="00A20CD5">
      <w:pPr>
        <w:tabs>
          <w:tab w:val="center" w:pos="5400"/>
        </w:tabs>
        <w:suppressAutoHyphens/>
        <w:jc w:val="both"/>
        <w:rPr>
          <w:rFonts w:ascii="Cambria" w:hAnsi="Cambria"/>
          <w:sz w:val="20"/>
          <w:szCs w:val="20"/>
          <w:lang w:val="es-ES"/>
        </w:rPr>
      </w:pPr>
    </w:p>
    <w:p w14:paraId="228926CC" w14:textId="77777777" w:rsidR="00040C3A" w:rsidRPr="00683301" w:rsidRDefault="00040C3A" w:rsidP="00A20CD5">
      <w:pPr>
        <w:tabs>
          <w:tab w:val="center" w:pos="5400"/>
        </w:tabs>
        <w:suppressAutoHyphens/>
        <w:jc w:val="both"/>
        <w:rPr>
          <w:rFonts w:ascii="Cambria" w:hAnsi="Cambria"/>
          <w:sz w:val="20"/>
          <w:szCs w:val="20"/>
          <w:lang w:val="es-ES"/>
        </w:rPr>
      </w:pPr>
    </w:p>
    <w:p w14:paraId="02A234A2" w14:textId="77777777" w:rsidR="005128E4" w:rsidRPr="00683301" w:rsidRDefault="005128E4" w:rsidP="00A20CD5">
      <w:pPr>
        <w:tabs>
          <w:tab w:val="center" w:pos="5400"/>
        </w:tabs>
        <w:suppressAutoHyphens/>
        <w:jc w:val="both"/>
        <w:rPr>
          <w:rFonts w:ascii="Cambria" w:hAnsi="Cambria"/>
          <w:sz w:val="20"/>
          <w:szCs w:val="20"/>
          <w:lang w:val="es-ES"/>
        </w:rPr>
      </w:pPr>
    </w:p>
    <w:p w14:paraId="23C9DA22" w14:textId="77777777" w:rsidR="005128E4" w:rsidRPr="00683301" w:rsidRDefault="005128E4" w:rsidP="00A20CD5">
      <w:pPr>
        <w:tabs>
          <w:tab w:val="center" w:pos="5400"/>
        </w:tabs>
        <w:suppressAutoHyphens/>
        <w:jc w:val="both"/>
        <w:rPr>
          <w:rFonts w:ascii="Cambria" w:hAnsi="Cambria"/>
          <w:sz w:val="20"/>
          <w:szCs w:val="20"/>
          <w:lang w:val="es-ES"/>
        </w:rPr>
      </w:pPr>
    </w:p>
    <w:p w14:paraId="11C2156F" w14:textId="77777777" w:rsidR="005128E4" w:rsidRPr="00683301" w:rsidRDefault="005128E4" w:rsidP="00A20CD5">
      <w:pPr>
        <w:tabs>
          <w:tab w:val="center" w:pos="5400"/>
        </w:tabs>
        <w:suppressAutoHyphens/>
        <w:jc w:val="both"/>
        <w:rPr>
          <w:rFonts w:ascii="Cambria" w:hAnsi="Cambria"/>
          <w:sz w:val="20"/>
          <w:szCs w:val="20"/>
          <w:lang w:val="es-ES"/>
        </w:rPr>
      </w:pPr>
    </w:p>
    <w:p w14:paraId="5DBD0DF4" w14:textId="77777777" w:rsidR="00040C3A" w:rsidRPr="00683301" w:rsidRDefault="00040C3A" w:rsidP="00A20CD5">
      <w:pPr>
        <w:tabs>
          <w:tab w:val="center" w:pos="5400"/>
        </w:tabs>
        <w:suppressAutoHyphens/>
        <w:jc w:val="both"/>
        <w:rPr>
          <w:rFonts w:ascii="Cambria" w:hAnsi="Cambria"/>
          <w:sz w:val="20"/>
          <w:szCs w:val="20"/>
          <w:lang w:val="es-ES"/>
        </w:rPr>
      </w:pPr>
    </w:p>
    <w:p w14:paraId="38CD202F" w14:textId="77777777" w:rsidR="00040C3A" w:rsidRPr="00683301" w:rsidRDefault="00040C3A" w:rsidP="00A20CD5">
      <w:pPr>
        <w:tabs>
          <w:tab w:val="center" w:pos="5400"/>
        </w:tabs>
        <w:suppressAutoHyphens/>
        <w:jc w:val="both"/>
        <w:rPr>
          <w:rFonts w:ascii="Cambria" w:hAnsi="Cambria"/>
          <w:sz w:val="20"/>
          <w:szCs w:val="20"/>
          <w:lang w:val="es-ES"/>
        </w:rPr>
      </w:pPr>
    </w:p>
    <w:p w14:paraId="30587D0C" w14:textId="77777777" w:rsidR="00A50FCF" w:rsidRPr="00683301" w:rsidRDefault="00A50FCF" w:rsidP="00A20CD5">
      <w:pPr>
        <w:tabs>
          <w:tab w:val="center" w:pos="5400"/>
        </w:tabs>
        <w:suppressAutoHyphens/>
        <w:jc w:val="both"/>
        <w:rPr>
          <w:rFonts w:ascii="Cambria" w:hAnsi="Cambria"/>
          <w:sz w:val="20"/>
          <w:szCs w:val="20"/>
          <w:lang w:val="es-ES"/>
        </w:rPr>
      </w:pPr>
    </w:p>
    <w:p w14:paraId="4DC20442" w14:textId="77777777" w:rsidR="00A50FCF" w:rsidRPr="00683301" w:rsidRDefault="00A50FCF" w:rsidP="00A20CD5">
      <w:pPr>
        <w:tabs>
          <w:tab w:val="center" w:pos="5400"/>
        </w:tabs>
        <w:suppressAutoHyphens/>
        <w:jc w:val="both"/>
        <w:rPr>
          <w:rFonts w:ascii="Cambria" w:hAnsi="Cambria"/>
          <w:sz w:val="20"/>
          <w:szCs w:val="20"/>
          <w:lang w:val="es-ES"/>
        </w:rPr>
      </w:pPr>
    </w:p>
    <w:p w14:paraId="272A3C15" w14:textId="77777777" w:rsidR="00A50FCF" w:rsidRPr="00683301" w:rsidRDefault="00A50FCF" w:rsidP="00A20CD5">
      <w:pPr>
        <w:tabs>
          <w:tab w:val="center" w:pos="5400"/>
        </w:tabs>
        <w:suppressAutoHyphens/>
        <w:jc w:val="both"/>
        <w:rPr>
          <w:rFonts w:ascii="Cambria" w:hAnsi="Cambria"/>
          <w:sz w:val="20"/>
          <w:szCs w:val="20"/>
          <w:lang w:val="es-ES"/>
        </w:rPr>
      </w:pPr>
    </w:p>
    <w:p w14:paraId="1A4FBEE2" w14:textId="77777777" w:rsidR="00A50FCF" w:rsidRPr="00683301" w:rsidRDefault="00A50FCF" w:rsidP="00A20CD5">
      <w:pPr>
        <w:tabs>
          <w:tab w:val="center" w:pos="5400"/>
        </w:tabs>
        <w:suppressAutoHyphens/>
        <w:jc w:val="both"/>
        <w:rPr>
          <w:rFonts w:ascii="Cambria" w:hAnsi="Cambria"/>
          <w:sz w:val="20"/>
          <w:szCs w:val="20"/>
          <w:lang w:val="es-ES"/>
        </w:rPr>
      </w:pPr>
    </w:p>
    <w:p w14:paraId="005AA1FF" w14:textId="77777777" w:rsidR="00A50FCF" w:rsidRPr="00683301" w:rsidRDefault="00A50FCF" w:rsidP="00A20CD5">
      <w:pPr>
        <w:tabs>
          <w:tab w:val="center" w:pos="5400"/>
        </w:tabs>
        <w:suppressAutoHyphens/>
        <w:jc w:val="both"/>
        <w:rPr>
          <w:rFonts w:ascii="Cambria" w:hAnsi="Cambria"/>
          <w:sz w:val="20"/>
          <w:szCs w:val="20"/>
          <w:lang w:val="es-ES"/>
        </w:rPr>
      </w:pPr>
    </w:p>
    <w:p w14:paraId="30056876" w14:textId="77777777" w:rsidR="00A50FCF" w:rsidRPr="00683301" w:rsidRDefault="00A50FCF" w:rsidP="00A20CD5">
      <w:pPr>
        <w:tabs>
          <w:tab w:val="center" w:pos="5400"/>
        </w:tabs>
        <w:suppressAutoHyphens/>
        <w:jc w:val="both"/>
        <w:rPr>
          <w:rFonts w:ascii="Cambria" w:hAnsi="Cambria"/>
          <w:sz w:val="20"/>
          <w:szCs w:val="20"/>
          <w:lang w:val="es-ES"/>
        </w:rPr>
      </w:pPr>
    </w:p>
    <w:p w14:paraId="5A8552E1" w14:textId="77777777" w:rsidR="00A50FCF" w:rsidRPr="00683301" w:rsidRDefault="00A50FCF" w:rsidP="00A20CD5">
      <w:pPr>
        <w:tabs>
          <w:tab w:val="center" w:pos="5400"/>
        </w:tabs>
        <w:suppressAutoHyphens/>
        <w:jc w:val="both"/>
        <w:rPr>
          <w:rFonts w:ascii="Cambria" w:hAnsi="Cambria"/>
          <w:sz w:val="20"/>
          <w:szCs w:val="20"/>
          <w:lang w:val="es-ES"/>
        </w:rPr>
      </w:pPr>
    </w:p>
    <w:p w14:paraId="47C96C10" w14:textId="77777777" w:rsidR="00A50FCF" w:rsidRPr="00683301" w:rsidRDefault="00A50FCF" w:rsidP="00A20CD5">
      <w:pPr>
        <w:tabs>
          <w:tab w:val="center" w:pos="5400"/>
        </w:tabs>
        <w:suppressAutoHyphens/>
        <w:jc w:val="both"/>
        <w:rPr>
          <w:rFonts w:ascii="Cambria" w:hAnsi="Cambria"/>
          <w:sz w:val="20"/>
          <w:szCs w:val="20"/>
          <w:lang w:val="es-ES"/>
        </w:rPr>
      </w:pPr>
    </w:p>
    <w:p w14:paraId="154371FD" w14:textId="77777777" w:rsidR="00A50FCF" w:rsidRPr="00683301" w:rsidRDefault="00A50FCF" w:rsidP="00A20CD5">
      <w:pPr>
        <w:tabs>
          <w:tab w:val="center" w:pos="5400"/>
        </w:tabs>
        <w:suppressAutoHyphens/>
        <w:jc w:val="both"/>
        <w:rPr>
          <w:rFonts w:ascii="Cambria" w:hAnsi="Cambria"/>
          <w:sz w:val="20"/>
          <w:szCs w:val="20"/>
          <w:lang w:val="es-ES"/>
        </w:rPr>
      </w:pPr>
    </w:p>
    <w:p w14:paraId="5778B806" w14:textId="77777777" w:rsidR="00A50FCF" w:rsidRPr="00683301" w:rsidRDefault="00A50FCF" w:rsidP="00A20CD5">
      <w:pPr>
        <w:tabs>
          <w:tab w:val="center" w:pos="5400"/>
        </w:tabs>
        <w:suppressAutoHyphens/>
        <w:jc w:val="both"/>
        <w:rPr>
          <w:rFonts w:ascii="Cambria" w:hAnsi="Cambria"/>
          <w:sz w:val="20"/>
          <w:szCs w:val="20"/>
          <w:lang w:val="es-ES"/>
        </w:rPr>
      </w:pPr>
    </w:p>
    <w:p w14:paraId="4D389219" w14:textId="77777777" w:rsidR="00A50FCF" w:rsidRPr="00683301" w:rsidRDefault="00A50FCF" w:rsidP="00A20CD5">
      <w:pPr>
        <w:tabs>
          <w:tab w:val="center" w:pos="5400"/>
        </w:tabs>
        <w:suppressAutoHyphens/>
        <w:jc w:val="both"/>
        <w:rPr>
          <w:rFonts w:ascii="Cambria" w:hAnsi="Cambria"/>
          <w:sz w:val="20"/>
          <w:szCs w:val="20"/>
          <w:lang w:val="es-ES"/>
        </w:rPr>
      </w:pPr>
    </w:p>
    <w:p w14:paraId="0E49B3B5" w14:textId="77777777" w:rsidR="00A50FCF" w:rsidRPr="00683301" w:rsidRDefault="00A50FCF" w:rsidP="00A20CD5">
      <w:pPr>
        <w:tabs>
          <w:tab w:val="center" w:pos="5400"/>
        </w:tabs>
        <w:suppressAutoHyphens/>
        <w:jc w:val="both"/>
        <w:rPr>
          <w:rFonts w:ascii="Cambria" w:hAnsi="Cambria"/>
          <w:sz w:val="20"/>
          <w:szCs w:val="20"/>
          <w:lang w:val="es-ES"/>
        </w:rPr>
      </w:pPr>
    </w:p>
    <w:p w14:paraId="3C7FEC70" w14:textId="77777777" w:rsidR="00A50FCF" w:rsidRPr="00683301" w:rsidRDefault="00A50FCF" w:rsidP="00A20CD5">
      <w:pPr>
        <w:tabs>
          <w:tab w:val="center" w:pos="5400"/>
        </w:tabs>
        <w:suppressAutoHyphens/>
        <w:jc w:val="both"/>
        <w:rPr>
          <w:rFonts w:ascii="Cambria" w:hAnsi="Cambria"/>
          <w:sz w:val="20"/>
          <w:szCs w:val="20"/>
          <w:lang w:val="es-ES"/>
        </w:rPr>
      </w:pPr>
    </w:p>
    <w:p w14:paraId="129E5BAF" w14:textId="77777777" w:rsidR="00A50FCF" w:rsidRPr="00683301" w:rsidRDefault="00A50FCF" w:rsidP="00A20CD5">
      <w:pPr>
        <w:tabs>
          <w:tab w:val="center" w:pos="5400"/>
        </w:tabs>
        <w:suppressAutoHyphens/>
        <w:jc w:val="both"/>
        <w:rPr>
          <w:rFonts w:ascii="Cambria" w:hAnsi="Cambria"/>
          <w:sz w:val="20"/>
          <w:szCs w:val="20"/>
          <w:lang w:val="es-ES"/>
        </w:rPr>
      </w:pPr>
    </w:p>
    <w:p w14:paraId="602FF7A1" w14:textId="4C0739DE" w:rsidR="00A50FCF" w:rsidRPr="00683301" w:rsidRDefault="00A318DC" w:rsidP="00A20CD5">
      <w:pPr>
        <w:tabs>
          <w:tab w:val="center" w:pos="5400"/>
        </w:tabs>
        <w:suppressAutoHyphens/>
        <w:jc w:val="both"/>
        <w:rPr>
          <w:rFonts w:ascii="Cambria" w:hAnsi="Cambria"/>
          <w:sz w:val="20"/>
          <w:szCs w:val="20"/>
          <w:lang w:val="es-ES"/>
        </w:rPr>
      </w:pPr>
      <w:r w:rsidRPr="00683301">
        <w:rPr>
          <w:rFonts w:ascii="Cambria" w:hAnsi="Cambria"/>
          <w:noProof/>
          <w:sz w:val="20"/>
          <w:szCs w:val="20"/>
          <w:lang w:val="es-ES" w:eastAsia="es-ES"/>
        </w:rPr>
        <mc:AlternateContent>
          <mc:Choice Requires="wps">
            <w:drawing>
              <wp:anchor distT="0" distB="0" distL="114300" distR="114300" simplePos="0" relativeHeight="251656192" behindDoc="0" locked="0" layoutInCell="1" allowOverlap="1" wp14:anchorId="05136010" wp14:editId="3A9A499F">
                <wp:simplePos x="0" y="0"/>
                <wp:positionH relativeFrom="column">
                  <wp:posOffset>1371600</wp:posOffset>
                </wp:positionH>
                <wp:positionV relativeFrom="paragraph">
                  <wp:posOffset>53340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1000D826" w14:textId="170B60E1" w:rsidR="0025354A" w:rsidRPr="007372D2" w:rsidRDefault="0025354A" w:rsidP="00247403">
                            <w:pPr>
                              <w:tabs>
                                <w:tab w:val="center" w:pos="5400"/>
                              </w:tabs>
                              <w:suppressAutoHyphens/>
                              <w:spacing w:before="60"/>
                              <w:rPr>
                                <w:rFonts w:ascii="Cambria" w:hAnsi="Cambria" w:cs="Univers"/>
                                <w:color w:val="0D0D0D"/>
                                <w:sz w:val="18"/>
                                <w:szCs w:val="20"/>
                                <w:lang w:val="es-ES_tradnl"/>
                              </w:rPr>
                            </w:pPr>
                            <w:r w:rsidRPr="007372D2">
                              <w:rPr>
                                <w:rFonts w:ascii="Cambria" w:hAnsi="Cambria"/>
                                <w:color w:val="0D0D0D"/>
                                <w:sz w:val="18"/>
                                <w:szCs w:val="20"/>
                                <w:lang w:val="es-ES"/>
                              </w:rPr>
                              <w:t xml:space="preserve">Aprobado por la Comisión en su sesión No. </w:t>
                            </w:r>
                            <w:r w:rsidR="00512E0B">
                              <w:rPr>
                                <w:rFonts w:ascii="Cambria" w:hAnsi="Cambria"/>
                                <w:color w:val="0D0D0D"/>
                                <w:sz w:val="18"/>
                                <w:szCs w:val="20"/>
                                <w:lang w:val="es-ES"/>
                              </w:rPr>
                              <w:t>2083</w:t>
                            </w:r>
                            <w:r w:rsidRPr="007372D2">
                              <w:rPr>
                                <w:rFonts w:ascii="Cambria" w:hAnsi="Cambria"/>
                                <w:color w:val="0D0D0D"/>
                                <w:sz w:val="18"/>
                                <w:szCs w:val="20"/>
                                <w:lang w:val="es-ES"/>
                              </w:rPr>
                              <w:t xml:space="preserve"> celebrada el </w:t>
                            </w:r>
                            <w:r w:rsidR="00512E0B">
                              <w:rPr>
                                <w:rFonts w:ascii="Cambria" w:hAnsi="Cambria"/>
                                <w:color w:val="0D0D0D"/>
                                <w:sz w:val="18"/>
                                <w:szCs w:val="20"/>
                                <w:lang w:val="es-ES"/>
                              </w:rPr>
                              <w:t>23 de mayo</w:t>
                            </w:r>
                            <w:r>
                              <w:rPr>
                                <w:rFonts w:ascii="Cambria" w:hAnsi="Cambria"/>
                                <w:color w:val="0D0D0D"/>
                                <w:sz w:val="18"/>
                                <w:szCs w:val="20"/>
                                <w:lang w:val="es-ES"/>
                              </w:rPr>
                              <w:t xml:space="preserve"> de 2017</w:t>
                            </w:r>
                            <w:r w:rsidRPr="007372D2">
                              <w:rPr>
                                <w:rFonts w:ascii="Cambria" w:hAnsi="Cambria"/>
                                <w:color w:val="0D0D0D"/>
                                <w:sz w:val="18"/>
                                <w:szCs w:val="20"/>
                                <w:lang w:val="es-ES"/>
                              </w:rPr>
                              <w:br/>
                            </w:r>
                            <w:r w:rsidR="007C2AAE">
                              <w:rPr>
                                <w:rFonts w:ascii="Cambria" w:hAnsi="Cambria" w:cs="Univers"/>
                                <w:color w:val="0D0D0D"/>
                                <w:sz w:val="18"/>
                                <w:szCs w:val="20"/>
                                <w:lang w:val="es-ES_tradnl"/>
                              </w:rPr>
                              <w:t>162</w:t>
                            </w:r>
                            <w:r w:rsidRPr="007372D2">
                              <w:rPr>
                                <w:rFonts w:ascii="Cambria" w:hAnsi="Cambria" w:cs="Univers"/>
                                <w:color w:val="0D0D0D"/>
                                <w:sz w:val="18"/>
                                <w:szCs w:val="20"/>
                                <w:lang w:val="es-ES_tradnl"/>
                              </w:rPr>
                              <w:t xml:space="preserve"> período </w:t>
                            </w:r>
                            <w:r w:rsidR="00512E0B">
                              <w:rPr>
                                <w:rFonts w:ascii="Cambria" w:hAnsi="Cambria" w:cs="Univers"/>
                                <w:color w:val="0D0D0D"/>
                                <w:sz w:val="18"/>
                                <w:szCs w:val="20"/>
                                <w:lang w:val="es-ES_tradnl"/>
                              </w:rPr>
                              <w:t>extra</w:t>
                            </w:r>
                            <w:r w:rsidRPr="007372D2">
                              <w:rPr>
                                <w:rFonts w:ascii="Cambria" w:hAnsi="Cambria" w:cs="Univers"/>
                                <w:color w:val="0D0D0D"/>
                                <w:sz w:val="18"/>
                                <w:szCs w:val="20"/>
                                <w:lang w:val="es-ES_tradnl"/>
                              </w:rPr>
                              <w:t>ordinario de sesiones</w:t>
                            </w:r>
                          </w:p>
                          <w:p w14:paraId="0B70D724" w14:textId="77777777" w:rsidR="0025354A" w:rsidRPr="007372D2" w:rsidRDefault="0025354A" w:rsidP="00247403">
                            <w:pPr>
                              <w:tabs>
                                <w:tab w:val="center" w:pos="5400"/>
                              </w:tabs>
                              <w:suppressAutoHyphens/>
                              <w:spacing w:before="60"/>
                              <w:rPr>
                                <w:rFonts w:ascii="Calibri" w:hAnsi="Calibri" w:cs="Univers"/>
                                <w:color w:val="0D0D0D"/>
                                <w:sz w:val="20"/>
                                <w:szCs w:val="20"/>
                                <w:lang w:val="es-ES"/>
                              </w:rPr>
                            </w:pPr>
                          </w:p>
                          <w:p w14:paraId="02FA2F70" w14:textId="77777777" w:rsidR="0025354A" w:rsidRPr="007372D2" w:rsidRDefault="0025354A"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8pt;margin-top:4.2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" filled="f" stroked="f" strokeweight=".5pt">
                <v:path arrowok="t"/>
                <v:textbox>
                  <w:txbxContent>
                    <w:p w14:paraId="1000D826" w14:textId="170B60E1" w:rsidR="0025354A" w:rsidRPr="007372D2" w:rsidRDefault="0025354A" w:rsidP="00247403">
                      <w:pPr>
                        <w:tabs>
                          <w:tab w:val="center" w:pos="5400"/>
                        </w:tabs>
                        <w:suppressAutoHyphens/>
                        <w:spacing w:before="60"/>
                        <w:rPr>
                          <w:rFonts w:ascii="Cambria" w:hAnsi="Cambria" w:cs="Univers"/>
                          <w:color w:val="0D0D0D"/>
                          <w:sz w:val="18"/>
                          <w:szCs w:val="20"/>
                          <w:lang w:val="es-ES_tradnl"/>
                        </w:rPr>
                      </w:pPr>
                      <w:r w:rsidRPr="007372D2">
                        <w:rPr>
                          <w:rFonts w:ascii="Cambria" w:hAnsi="Cambria"/>
                          <w:color w:val="0D0D0D"/>
                          <w:sz w:val="18"/>
                          <w:szCs w:val="20"/>
                          <w:lang w:val="es-ES"/>
                        </w:rPr>
                        <w:t xml:space="preserve">Aprobado por la Comisión en su sesión No. </w:t>
                      </w:r>
                      <w:r w:rsidR="00512E0B">
                        <w:rPr>
                          <w:rFonts w:ascii="Cambria" w:hAnsi="Cambria"/>
                          <w:color w:val="0D0D0D"/>
                          <w:sz w:val="18"/>
                          <w:szCs w:val="20"/>
                          <w:lang w:val="es-ES"/>
                        </w:rPr>
                        <w:t>2083</w:t>
                      </w:r>
                      <w:r w:rsidRPr="007372D2">
                        <w:rPr>
                          <w:rFonts w:ascii="Cambria" w:hAnsi="Cambria"/>
                          <w:color w:val="0D0D0D"/>
                          <w:sz w:val="18"/>
                          <w:szCs w:val="20"/>
                          <w:lang w:val="es-ES"/>
                        </w:rPr>
                        <w:t xml:space="preserve"> celebrada el </w:t>
                      </w:r>
                      <w:r w:rsidR="00512E0B">
                        <w:rPr>
                          <w:rFonts w:ascii="Cambria" w:hAnsi="Cambria"/>
                          <w:color w:val="0D0D0D"/>
                          <w:sz w:val="18"/>
                          <w:szCs w:val="20"/>
                          <w:lang w:val="es-ES"/>
                        </w:rPr>
                        <w:t>23 de mayo</w:t>
                      </w:r>
                      <w:r>
                        <w:rPr>
                          <w:rFonts w:ascii="Cambria" w:hAnsi="Cambria"/>
                          <w:color w:val="0D0D0D"/>
                          <w:sz w:val="18"/>
                          <w:szCs w:val="20"/>
                          <w:lang w:val="es-ES"/>
                        </w:rPr>
                        <w:t xml:space="preserve"> </w:t>
                      </w:r>
                      <w:proofErr w:type="spellStart"/>
                      <w:r>
                        <w:rPr>
                          <w:rFonts w:ascii="Cambria" w:hAnsi="Cambria"/>
                          <w:color w:val="0D0D0D"/>
                          <w:sz w:val="18"/>
                          <w:szCs w:val="20"/>
                          <w:lang w:val="es-ES"/>
                        </w:rPr>
                        <w:t>de</w:t>
                      </w:r>
                      <w:proofErr w:type="spellEnd"/>
                      <w:r>
                        <w:rPr>
                          <w:rFonts w:ascii="Cambria" w:hAnsi="Cambria"/>
                          <w:color w:val="0D0D0D"/>
                          <w:sz w:val="18"/>
                          <w:szCs w:val="20"/>
                          <w:lang w:val="es-ES"/>
                        </w:rPr>
                        <w:t xml:space="preserve"> 2017</w:t>
                      </w:r>
                      <w:r w:rsidRPr="007372D2">
                        <w:rPr>
                          <w:rFonts w:ascii="Cambria" w:hAnsi="Cambria"/>
                          <w:color w:val="0D0D0D"/>
                          <w:sz w:val="18"/>
                          <w:szCs w:val="20"/>
                          <w:lang w:val="es-ES"/>
                        </w:rPr>
                        <w:br/>
                      </w:r>
                      <w:r w:rsidR="007C2AAE">
                        <w:rPr>
                          <w:rFonts w:ascii="Cambria" w:hAnsi="Cambria" w:cs="Univers"/>
                          <w:color w:val="0D0D0D"/>
                          <w:sz w:val="18"/>
                          <w:szCs w:val="20"/>
                          <w:lang w:val="es-ES_tradnl"/>
                        </w:rPr>
                        <w:t>162</w:t>
                      </w:r>
                      <w:r w:rsidRPr="007372D2">
                        <w:rPr>
                          <w:rFonts w:ascii="Cambria" w:hAnsi="Cambria" w:cs="Univers"/>
                          <w:color w:val="0D0D0D"/>
                          <w:sz w:val="18"/>
                          <w:szCs w:val="20"/>
                          <w:lang w:val="es-ES_tradnl"/>
                        </w:rPr>
                        <w:t xml:space="preserve"> período </w:t>
                      </w:r>
                      <w:r w:rsidR="00512E0B">
                        <w:rPr>
                          <w:rFonts w:ascii="Cambria" w:hAnsi="Cambria" w:cs="Univers"/>
                          <w:color w:val="0D0D0D"/>
                          <w:sz w:val="18"/>
                          <w:szCs w:val="20"/>
                          <w:lang w:val="es-ES_tradnl"/>
                        </w:rPr>
                        <w:t>extra</w:t>
                      </w:r>
                      <w:r w:rsidRPr="007372D2">
                        <w:rPr>
                          <w:rFonts w:ascii="Cambria" w:hAnsi="Cambria" w:cs="Univers"/>
                          <w:color w:val="0D0D0D"/>
                          <w:sz w:val="18"/>
                          <w:szCs w:val="20"/>
                          <w:lang w:val="es-ES_tradnl"/>
                        </w:rPr>
                        <w:t>ordinario de sesiones</w:t>
                      </w:r>
                    </w:p>
                    <w:p w14:paraId="0B70D724" w14:textId="77777777" w:rsidR="0025354A" w:rsidRPr="007372D2" w:rsidRDefault="0025354A" w:rsidP="00247403">
                      <w:pPr>
                        <w:tabs>
                          <w:tab w:val="center" w:pos="5400"/>
                        </w:tabs>
                        <w:suppressAutoHyphens/>
                        <w:spacing w:before="60"/>
                        <w:rPr>
                          <w:rFonts w:ascii="Calibri" w:hAnsi="Calibri" w:cs="Univers"/>
                          <w:color w:val="0D0D0D"/>
                          <w:sz w:val="20"/>
                          <w:szCs w:val="20"/>
                          <w:lang w:val="es-ES"/>
                        </w:rPr>
                      </w:pPr>
                    </w:p>
                    <w:p w14:paraId="02FA2F70" w14:textId="77777777" w:rsidR="0025354A" w:rsidRPr="007372D2" w:rsidRDefault="0025354A"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2B3BB807" w14:textId="77777777" w:rsidR="00A50FCF" w:rsidRPr="00683301" w:rsidRDefault="00A50FCF" w:rsidP="00A20CD5">
      <w:pPr>
        <w:tabs>
          <w:tab w:val="center" w:pos="5400"/>
        </w:tabs>
        <w:suppressAutoHyphens/>
        <w:jc w:val="both"/>
        <w:rPr>
          <w:rFonts w:ascii="Cambria" w:hAnsi="Cambria"/>
          <w:sz w:val="20"/>
          <w:szCs w:val="20"/>
          <w:lang w:val="es-ES"/>
        </w:rPr>
      </w:pPr>
    </w:p>
    <w:p w14:paraId="2D0FA489" w14:textId="77777777" w:rsidR="00A50FCF" w:rsidRPr="00683301" w:rsidRDefault="00A50FCF" w:rsidP="00A20CD5">
      <w:pPr>
        <w:tabs>
          <w:tab w:val="center" w:pos="5400"/>
        </w:tabs>
        <w:suppressAutoHyphens/>
        <w:jc w:val="both"/>
        <w:rPr>
          <w:rFonts w:ascii="Cambria" w:hAnsi="Cambria"/>
          <w:sz w:val="20"/>
          <w:szCs w:val="20"/>
          <w:lang w:val="es-ES"/>
        </w:rPr>
      </w:pPr>
    </w:p>
    <w:p w14:paraId="4C27D3E4" w14:textId="77777777" w:rsidR="00A50FCF" w:rsidRPr="00683301" w:rsidRDefault="00A50FCF" w:rsidP="00A20CD5">
      <w:pPr>
        <w:tabs>
          <w:tab w:val="center" w:pos="5400"/>
        </w:tabs>
        <w:suppressAutoHyphens/>
        <w:jc w:val="both"/>
        <w:rPr>
          <w:rFonts w:ascii="Cambria" w:hAnsi="Cambria"/>
          <w:sz w:val="20"/>
          <w:szCs w:val="20"/>
          <w:lang w:val="es-ES"/>
        </w:rPr>
      </w:pPr>
    </w:p>
    <w:p w14:paraId="2EF8AD8B" w14:textId="77777777" w:rsidR="00A50FCF" w:rsidRPr="00683301" w:rsidRDefault="00A50FCF" w:rsidP="00A20CD5">
      <w:pPr>
        <w:tabs>
          <w:tab w:val="center" w:pos="5400"/>
        </w:tabs>
        <w:suppressAutoHyphens/>
        <w:jc w:val="both"/>
        <w:rPr>
          <w:rFonts w:ascii="Cambria" w:hAnsi="Cambria"/>
          <w:sz w:val="20"/>
          <w:szCs w:val="20"/>
          <w:lang w:val="es-ES"/>
        </w:rPr>
      </w:pPr>
    </w:p>
    <w:p w14:paraId="15266D90" w14:textId="102E6602" w:rsidR="00A50FCF" w:rsidRPr="00683301" w:rsidRDefault="00A318DC" w:rsidP="00A20CD5">
      <w:pPr>
        <w:tabs>
          <w:tab w:val="center" w:pos="5400"/>
        </w:tabs>
        <w:suppressAutoHyphens/>
        <w:jc w:val="both"/>
        <w:rPr>
          <w:rFonts w:ascii="Cambria" w:hAnsi="Cambria"/>
          <w:sz w:val="20"/>
          <w:szCs w:val="20"/>
          <w:lang w:val="es-ES"/>
        </w:rPr>
      </w:pPr>
      <w:r w:rsidRPr="00683301">
        <w:rPr>
          <w:rFonts w:ascii="Cambria" w:hAnsi="Cambria"/>
          <w:noProof/>
          <w:sz w:val="20"/>
          <w:szCs w:val="20"/>
          <w:lang w:val="es-ES" w:eastAsia="es-ES"/>
        </w:rPr>
        <mc:AlternateContent>
          <mc:Choice Requires="wps">
            <w:drawing>
              <wp:anchor distT="0" distB="0" distL="114300" distR="114300" simplePos="0" relativeHeight="251659264" behindDoc="0" locked="0" layoutInCell="1" allowOverlap="1" wp14:anchorId="5358FCCF" wp14:editId="3655AF2F">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70281D61" w14:textId="6AF9A181" w:rsidR="0025354A" w:rsidRPr="002C6DD2" w:rsidRDefault="0025354A" w:rsidP="00FB2A16">
                            <w:pPr>
                              <w:spacing w:line="276" w:lineRule="auto"/>
                              <w:jc w:val="both"/>
                              <w:rPr>
                                <w:rFonts w:ascii="Cambria" w:hAnsi="Cambria"/>
                                <w:color w:val="595959"/>
                                <w:sz w:val="18"/>
                                <w:szCs w:val="18"/>
                                <w:lang w:val="es-ES"/>
                              </w:rPr>
                            </w:pPr>
                            <w:r w:rsidRPr="00BD4146">
                              <w:rPr>
                                <w:rFonts w:ascii="Cambria" w:hAnsi="Cambria"/>
                                <w:b/>
                                <w:color w:val="595959"/>
                                <w:sz w:val="18"/>
                                <w:szCs w:val="18"/>
                                <w:lang w:val="es-ES"/>
                              </w:rPr>
                              <w:t>Citar como:</w:t>
                            </w:r>
                            <w:r w:rsidRPr="00BD4146">
                              <w:rPr>
                                <w:rFonts w:ascii="Cambria" w:hAnsi="Cambria"/>
                                <w:color w:val="595959"/>
                                <w:sz w:val="18"/>
                                <w:szCs w:val="18"/>
                                <w:lang w:val="es-ES"/>
                              </w:rPr>
                              <w:t xml:space="preserve"> CIDH, Informe No. </w:t>
                            </w:r>
                            <w:r w:rsidR="00512E0B">
                              <w:rPr>
                                <w:rFonts w:ascii="Cambria" w:hAnsi="Cambria"/>
                                <w:color w:val="595959"/>
                                <w:sz w:val="18"/>
                                <w:szCs w:val="18"/>
                                <w:lang w:val="es-ES_tradnl"/>
                              </w:rPr>
                              <w:t>40/17</w:t>
                            </w:r>
                            <w:r w:rsidRPr="007372D2">
                              <w:rPr>
                                <w:rFonts w:ascii="Cambria" w:hAnsi="Cambria"/>
                                <w:color w:val="595959"/>
                                <w:sz w:val="18"/>
                                <w:szCs w:val="18"/>
                                <w:lang w:val="es-ES_tradnl"/>
                              </w:rPr>
                              <w:t>, Caso</w:t>
                            </w:r>
                            <w:r>
                              <w:rPr>
                                <w:rFonts w:ascii="Cambria" w:hAnsi="Cambria"/>
                                <w:color w:val="595959"/>
                                <w:sz w:val="18"/>
                                <w:szCs w:val="18"/>
                                <w:lang w:val="es-ES_tradnl"/>
                              </w:rPr>
                              <w:t xml:space="preserve"> 12.197, Fondo, Ramón Rosendo C</w:t>
                            </w:r>
                            <w:r w:rsidR="001038FA">
                              <w:rPr>
                                <w:rFonts w:ascii="Cambria" w:hAnsi="Cambria"/>
                                <w:color w:val="595959"/>
                                <w:sz w:val="18"/>
                                <w:szCs w:val="18"/>
                                <w:lang w:val="es-ES_tradnl"/>
                              </w:rPr>
                              <w:t xml:space="preserve">arranza Alarcón, Ecuador, </w:t>
                            </w:r>
                            <w:r w:rsidR="00BD4146">
                              <w:rPr>
                                <w:rFonts w:ascii="Cambria" w:hAnsi="Cambria"/>
                                <w:color w:val="595959"/>
                                <w:sz w:val="18"/>
                                <w:szCs w:val="18"/>
                                <w:lang w:val="es-ES_tradnl"/>
                              </w:rPr>
                              <w:t>23 de mayo</w:t>
                            </w:r>
                            <w:r>
                              <w:rPr>
                                <w:rFonts w:ascii="Cambria" w:hAnsi="Cambria"/>
                                <w:color w:val="595959"/>
                                <w:sz w:val="18"/>
                                <w:szCs w:val="18"/>
                                <w:lang w:val="es-ES_tradnl"/>
                              </w:rPr>
                              <w:t xml:space="preserve"> de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14:paraId="70281D61" w14:textId="6AF9A181" w:rsidR="0025354A" w:rsidRPr="002C6DD2" w:rsidRDefault="0025354A" w:rsidP="00FB2A16">
                      <w:pPr>
                        <w:spacing w:line="276" w:lineRule="auto"/>
                        <w:jc w:val="both"/>
                        <w:rPr>
                          <w:rFonts w:ascii="Cambria" w:hAnsi="Cambria"/>
                          <w:color w:val="595959"/>
                          <w:sz w:val="18"/>
                          <w:szCs w:val="18"/>
                          <w:lang w:val="es-ES"/>
                        </w:rPr>
                      </w:pPr>
                      <w:r w:rsidRPr="00BD4146">
                        <w:rPr>
                          <w:rFonts w:ascii="Cambria" w:hAnsi="Cambria"/>
                          <w:b/>
                          <w:color w:val="595959"/>
                          <w:sz w:val="18"/>
                          <w:szCs w:val="18"/>
                          <w:lang w:val="es-ES"/>
                        </w:rPr>
                        <w:t>Citar como:</w:t>
                      </w:r>
                      <w:r w:rsidRPr="00BD4146">
                        <w:rPr>
                          <w:rFonts w:ascii="Cambria" w:hAnsi="Cambria"/>
                          <w:color w:val="595959"/>
                          <w:sz w:val="18"/>
                          <w:szCs w:val="18"/>
                          <w:lang w:val="es-ES"/>
                        </w:rPr>
                        <w:t xml:space="preserve"> CIDH, Informe No. </w:t>
                      </w:r>
                      <w:r w:rsidR="00512E0B">
                        <w:rPr>
                          <w:rFonts w:ascii="Cambria" w:hAnsi="Cambria"/>
                          <w:color w:val="595959"/>
                          <w:sz w:val="18"/>
                          <w:szCs w:val="18"/>
                          <w:lang w:val="es-ES_tradnl"/>
                        </w:rPr>
                        <w:t>40/17</w:t>
                      </w:r>
                      <w:r w:rsidRPr="007372D2">
                        <w:rPr>
                          <w:rFonts w:ascii="Cambria" w:hAnsi="Cambria"/>
                          <w:color w:val="595959"/>
                          <w:sz w:val="18"/>
                          <w:szCs w:val="18"/>
                          <w:lang w:val="es-ES_tradnl"/>
                        </w:rPr>
                        <w:t>, Caso</w:t>
                      </w:r>
                      <w:r>
                        <w:rPr>
                          <w:rFonts w:ascii="Cambria" w:hAnsi="Cambria"/>
                          <w:color w:val="595959"/>
                          <w:sz w:val="18"/>
                          <w:szCs w:val="18"/>
                          <w:lang w:val="es-ES_tradnl"/>
                        </w:rPr>
                        <w:t xml:space="preserve"> 12.197, Fondo, Ramón Rosendo C</w:t>
                      </w:r>
                      <w:r w:rsidR="001038FA">
                        <w:rPr>
                          <w:rFonts w:ascii="Cambria" w:hAnsi="Cambria"/>
                          <w:color w:val="595959"/>
                          <w:sz w:val="18"/>
                          <w:szCs w:val="18"/>
                          <w:lang w:val="es-ES_tradnl"/>
                        </w:rPr>
                        <w:t xml:space="preserve">arranza Alarcón, Ecuador, </w:t>
                      </w:r>
                      <w:r w:rsidR="00BD4146">
                        <w:rPr>
                          <w:rFonts w:ascii="Cambria" w:hAnsi="Cambria"/>
                          <w:color w:val="595959"/>
                          <w:sz w:val="18"/>
                          <w:szCs w:val="18"/>
                          <w:lang w:val="es-ES_tradnl"/>
                        </w:rPr>
                        <w:t>23 de mayo</w:t>
                      </w:r>
                      <w:r>
                        <w:rPr>
                          <w:rFonts w:ascii="Cambria" w:hAnsi="Cambria"/>
                          <w:color w:val="595959"/>
                          <w:sz w:val="18"/>
                          <w:szCs w:val="18"/>
                          <w:lang w:val="es-ES_tradnl"/>
                        </w:rPr>
                        <w:t xml:space="preserve"> de 2017. </w:t>
                      </w:r>
                    </w:p>
                  </w:txbxContent>
                </v:textbox>
              </v:shape>
            </w:pict>
          </mc:Fallback>
        </mc:AlternateContent>
      </w:r>
    </w:p>
    <w:p w14:paraId="7E45EC66" w14:textId="77777777" w:rsidR="00A50FCF" w:rsidRPr="00683301" w:rsidRDefault="00A50FCF" w:rsidP="00A20CD5">
      <w:pPr>
        <w:tabs>
          <w:tab w:val="center" w:pos="5400"/>
        </w:tabs>
        <w:suppressAutoHyphens/>
        <w:jc w:val="both"/>
        <w:rPr>
          <w:rFonts w:ascii="Cambria" w:hAnsi="Cambria"/>
          <w:sz w:val="20"/>
          <w:szCs w:val="20"/>
          <w:lang w:val="es-ES"/>
        </w:rPr>
      </w:pPr>
    </w:p>
    <w:p w14:paraId="5B8B0302" w14:textId="60235A2B" w:rsidR="0090270B" w:rsidRPr="00683301" w:rsidRDefault="00A318DC" w:rsidP="00A20CD5">
      <w:pPr>
        <w:tabs>
          <w:tab w:val="center" w:pos="5400"/>
        </w:tabs>
        <w:suppressAutoHyphens/>
        <w:jc w:val="both"/>
        <w:rPr>
          <w:rFonts w:ascii="Cambria" w:hAnsi="Cambria"/>
          <w:b/>
          <w:sz w:val="20"/>
          <w:szCs w:val="20"/>
          <w:lang w:val="es-ES"/>
        </w:rPr>
      </w:pPr>
      <w:r w:rsidRPr="00683301">
        <w:rPr>
          <w:rFonts w:ascii="Cambria" w:hAnsi="Cambria"/>
          <w:noProof/>
          <w:sz w:val="20"/>
          <w:szCs w:val="20"/>
          <w:lang w:val="es-ES" w:eastAsia="es-ES"/>
        </w:rPr>
        <mc:AlternateContent>
          <mc:Choice Requires="wps">
            <w:drawing>
              <wp:anchor distT="0" distB="0" distL="114300" distR="114300" simplePos="0" relativeHeight="251660288" behindDoc="0" locked="0" layoutInCell="1" allowOverlap="1" wp14:anchorId="17E7777B" wp14:editId="14F04212">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58FABAA1" w14:textId="02EED2EC" w:rsidR="0025354A" w:rsidRPr="007372D2" w:rsidRDefault="00A318DC" w:rsidP="00F02AD1">
                            <w:pPr>
                              <w:rPr>
                                <w:color w:val="FFFFFF"/>
                              </w:rPr>
                            </w:pPr>
                            <w:r>
                              <w:rPr>
                                <w:noProof/>
                                <w:color w:val="FFFFFF"/>
                                <w:lang w:val="es-ES" w:eastAsia="es-ES"/>
                              </w:rPr>
                              <w:drawing>
                                <wp:inline distT="0" distB="0" distL="0" distR="0" wp14:anchorId="4A467A22" wp14:editId="1140EDC8">
                                  <wp:extent cx="1341120" cy="386080"/>
                                  <wp:effectExtent l="0" t="0" r="508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386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7E7777B"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" fillcolor="window" stroked="f" strokeweight=".5pt">
                <v:path arrowok="t"/>
                <v:textbox>
                  <w:txbxContent>
                    <w:p w14:paraId="58FABAA1" w14:textId="02EED2EC" w:rsidR="0025354A" w:rsidRPr="007372D2" w:rsidRDefault="00A318DC" w:rsidP="00F02AD1">
                      <w:pPr>
                        <w:rPr>
                          <w:color w:val="FFFFFF"/>
                        </w:rPr>
                      </w:pPr>
                      <w:r>
                        <w:rPr>
                          <w:noProof/>
                          <w:color w:val="FFFFFF"/>
                        </w:rPr>
                        <w:drawing>
                          <wp:inline distT="0" distB="0" distL="0" distR="0" wp14:anchorId="4A467A22" wp14:editId="1140EDC8">
                            <wp:extent cx="1341120" cy="386080"/>
                            <wp:effectExtent l="0" t="0" r="508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1120" cy="386080"/>
                                    </a:xfrm>
                                    <a:prstGeom prst="rect">
                                      <a:avLst/>
                                    </a:prstGeom>
                                    <a:noFill/>
                                    <a:ln>
                                      <a:noFill/>
                                    </a:ln>
                                  </pic:spPr>
                                </pic:pic>
                              </a:graphicData>
                            </a:graphic>
                          </wp:inline>
                        </w:drawing>
                      </w:r>
                    </w:p>
                  </w:txbxContent>
                </v:textbox>
              </v:shape>
            </w:pict>
          </mc:Fallback>
        </mc:AlternateContent>
      </w:r>
      <w:r w:rsidRPr="00683301">
        <w:rPr>
          <w:rFonts w:ascii="Cambria" w:hAnsi="Cambria"/>
          <w:noProof/>
          <w:sz w:val="20"/>
          <w:szCs w:val="20"/>
          <w:lang w:val="es-ES" w:eastAsia="es-ES"/>
        </w:rPr>
        <mc:AlternateContent>
          <mc:Choice Requires="wps">
            <w:drawing>
              <wp:anchor distT="0" distB="0" distL="114300" distR="114300" simplePos="0" relativeHeight="251661312" behindDoc="0" locked="0" layoutInCell="1" allowOverlap="1" wp14:anchorId="25DF5AD7" wp14:editId="6DFA7013">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33FA56DE" w14:textId="77777777" w:rsidR="0025354A" w:rsidRPr="007372D2" w:rsidRDefault="0025354A" w:rsidP="00D306D1">
                            <w:pPr>
                              <w:jc w:val="center"/>
                              <w:rPr>
                                <w:rFonts w:ascii="Calibri" w:hAnsi="Calibri"/>
                                <w:b/>
                                <w:color w:val="FFFFFF"/>
                              </w:rPr>
                            </w:pPr>
                            <w:r w:rsidRPr="007372D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5DF5AD7"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" filled="f" stroked="f" strokeweight=".5pt">
                <v:path arrowok="t"/>
                <v:textbox>
                  <w:txbxContent>
                    <w:p w14:paraId="33FA56DE" w14:textId="77777777" w:rsidR="0025354A" w:rsidRPr="007372D2" w:rsidRDefault="0025354A" w:rsidP="00D306D1">
                      <w:pPr>
                        <w:jc w:val="center"/>
                        <w:rPr>
                          <w:rFonts w:ascii="Calibri" w:hAnsi="Calibri"/>
                          <w:b/>
                          <w:color w:val="FFFFFF"/>
                        </w:rPr>
                      </w:pPr>
                      <w:r w:rsidRPr="007372D2">
                        <w:rPr>
                          <w:rFonts w:ascii="Calibri" w:hAnsi="Calibri"/>
                          <w:b/>
                          <w:color w:val="FFFFFF"/>
                          <w:lang w:val="pt-BR"/>
                        </w:rPr>
                        <w:t>www.cidh.org</w:t>
                      </w:r>
                    </w:p>
                  </w:txbxContent>
                </v:textbox>
              </v:shape>
            </w:pict>
          </mc:Fallback>
        </mc:AlternateContent>
      </w:r>
    </w:p>
    <w:p w14:paraId="7EFF4A99" w14:textId="77777777" w:rsidR="0070697F" w:rsidRPr="00683301" w:rsidRDefault="0070697F" w:rsidP="00A20CD5">
      <w:pPr>
        <w:tabs>
          <w:tab w:val="center" w:pos="5400"/>
        </w:tabs>
        <w:suppressAutoHyphens/>
        <w:jc w:val="both"/>
        <w:rPr>
          <w:rFonts w:ascii="Cambria" w:hAnsi="Cambria"/>
          <w:b/>
          <w:sz w:val="20"/>
          <w:szCs w:val="20"/>
          <w:lang w:val="es-ES"/>
        </w:rPr>
        <w:sectPr w:rsidR="0070697F" w:rsidRPr="00683301"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2DDDED9" w14:textId="6C92ED06" w:rsidR="00722C9F" w:rsidRPr="00683301" w:rsidRDefault="00722C9F" w:rsidP="00C140DA">
      <w:pPr>
        <w:tabs>
          <w:tab w:val="center" w:pos="5400"/>
        </w:tabs>
        <w:suppressAutoHyphens/>
        <w:spacing w:line="276" w:lineRule="auto"/>
        <w:jc w:val="center"/>
        <w:rPr>
          <w:rFonts w:ascii="Cambria" w:hAnsi="Cambria"/>
          <w:b/>
          <w:sz w:val="18"/>
          <w:szCs w:val="18"/>
          <w:lang w:val="es-ES"/>
        </w:rPr>
      </w:pPr>
      <w:r w:rsidRPr="00683301">
        <w:rPr>
          <w:rFonts w:ascii="Cambria" w:hAnsi="Cambria"/>
          <w:b/>
          <w:sz w:val="18"/>
          <w:szCs w:val="18"/>
          <w:lang w:val="es-ES"/>
        </w:rPr>
        <w:lastRenderedPageBreak/>
        <w:t xml:space="preserve">INFORME No. </w:t>
      </w:r>
      <w:r w:rsidR="00512E0B">
        <w:rPr>
          <w:rFonts w:ascii="Cambria" w:hAnsi="Cambria"/>
          <w:b/>
          <w:sz w:val="18"/>
          <w:szCs w:val="18"/>
          <w:lang w:val="es-ES"/>
        </w:rPr>
        <w:t>40</w:t>
      </w:r>
      <w:r w:rsidRPr="00683301">
        <w:rPr>
          <w:rFonts w:ascii="Cambria" w:hAnsi="Cambria"/>
          <w:b/>
          <w:sz w:val="18"/>
          <w:szCs w:val="18"/>
          <w:lang w:val="es-ES"/>
        </w:rPr>
        <w:t>/1</w:t>
      </w:r>
      <w:r w:rsidR="00C140DA" w:rsidRPr="00683301">
        <w:rPr>
          <w:rFonts w:ascii="Cambria" w:hAnsi="Cambria"/>
          <w:b/>
          <w:sz w:val="18"/>
          <w:szCs w:val="18"/>
          <w:lang w:val="es-ES"/>
        </w:rPr>
        <w:t>7</w:t>
      </w:r>
    </w:p>
    <w:p w14:paraId="34BAE9B3" w14:textId="77777777" w:rsidR="00722C9F" w:rsidRPr="00683301" w:rsidRDefault="00722C9F" w:rsidP="00C140DA">
      <w:pPr>
        <w:tabs>
          <w:tab w:val="center" w:pos="5400"/>
        </w:tabs>
        <w:suppressAutoHyphens/>
        <w:spacing w:line="276" w:lineRule="auto"/>
        <w:jc w:val="center"/>
        <w:rPr>
          <w:rFonts w:ascii="Cambria" w:hAnsi="Cambria"/>
          <w:b/>
          <w:sz w:val="18"/>
          <w:szCs w:val="18"/>
          <w:lang w:val="es-ES"/>
        </w:rPr>
      </w:pPr>
      <w:r w:rsidRPr="00683301">
        <w:rPr>
          <w:rFonts w:ascii="Cambria" w:hAnsi="Cambria"/>
          <w:b/>
          <w:sz w:val="18"/>
          <w:szCs w:val="18"/>
          <w:lang w:val="es-ES"/>
        </w:rPr>
        <w:t xml:space="preserve">CASO </w:t>
      </w:r>
      <w:r w:rsidR="00BF7A83" w:rsidRPr="00683301">
        <w:rPr>
          <w:rFonts w:ascii="Cambria" w:hAnsi="Cambria"/>
          <w:b/>
          <w:sz w:val="18"/>
          <w:szCs w:val="18"/>
          <w:lang w:val="es-ES"/>
        </w:rPr>
        <w:t>12.197</w:t>
      </w:r>
    </w:p>
    <w:p w14:paraId="01A43AB8" w14:textId="05B5D0B9" w:rsidR="00722C9F" w:rsidRPr="00683301" w:rsidRDefault="00161414" w:rsidP="00C140DA">
      <w:pPr>
        <w:tabs>
          <w:tab w:val="center" w:pos="5400"/>
        </w:tabs>
        <w:suppressAutoHyphens/>
        <w:spacing w:line="276" w:lineRule="auto"/>
        <w:jc w:val="center"/>
        <w:rPr>
          <w:rFonts w:ascii="Cambria" w:hAnsi="Cambria"/>
          <w:sz w:val="18"/>
          <w:szCs w:val="18"/>
          <w:lang w:val="es-ES"/>
        </w:rPr>
      </w:pPr>
      <w:r w:rsidRPr="00683301">
        <w:rPr>
          <w:rFonts w:ascii="Cambria" w:hAnsi="Cambria"/>
          <w:sz w:val="18"/>
          <w:szCs w:val="18"/>
          <w:lang w:val="es-ES"/>
        </w:rPr>
        <w:t>FONDO</w:t>
      </w:r>
    </w:p>
    <w:p w14:paraId="146D4B49" w14:textId="77777777" w:rsidR="00722C9F" w:rsidRPr="00683301" w:rsidRDefault="00BF7A83" w:rsidP="00C140DA">
      <w:pPr>
        <w:tabs>
          <w:tab w:val="center" w:pos="5400"/>
        </w:tabs>
        <w:suppressAutoHyphens/>
        <w:spacing w:line="276" w:lineRule="auto"/>
        <w:jc w:val="center"/>
        <w:rPr>
          <w:rFonts w:ascii="Cambria" w:hAnsi="Cambria"/>
          <w:sz w:val="18"/>
          <w:szCs w:val="18"/>
          <w:lang w:val="es-ES"/>
        </w:rPr>
      </w:pPr>
      <w:r w:rsidRPr="00683301">
        <w:rPr>
          <w:rFonts w:ascii="Cambria" w:hAnsi="Cambria"/>
          <w:sz w:val="18"/>
          <w:szCs w:val="18"/>
          <w:lang w:val="es-ES"/>
        </w:rPr>
        <w:t>RAMÓN ROSENDO CARRANZA ALARCÓN</w:t>
      </w:r>
    </w:p>
    <w:p w14:paraId="3FEDE9F7" w14:textId="77777777" w:rsidR="0070697F" w:rsidRPr="00683301" w:rsidRDefault="005B585D" w:rsidP="00C140DA">
      <w:pPr>
        <w:tabs>
          <w:tab w:val="center" w:pos="5400"/>
        </w:tabs>
        <w:suppressAutoHyphens/>
        <w:spacing w:line="276" w:lineRule="auto"/>
        <w:jc w:val="center"/>
        <w:rPr>
          <w:rFonts w:ascii="Cambria" w:hAnsi="Cambria"/>
          <w:sz w:val="18"/>
          <w:szCs w:val="18"/>
          <w:lang w:val="es-ES"/>
        </w:rPr>
      </w:pPr>
      <w:r w:rsidRPr="00683301">
        <w:rPr>
          <w:rFonts w:ascii="Cambria" w:hAnsi="Cambria"/>
          <w:sz w:val="18"/>
          <w:szCs w:val="18"/>
          <w:lang w:val="es-ES"/>
        </w:rPr>
        <w:t>ECUADOR</w:t>
      </w:r>
    </w:p>
    <w:p w14:paraId="253581C9" w14:textId="1E57ECB1" w:rsidR="00722C9F" w:rsidRPr="00683301" w:rsidRDefault="00512E0B" w:rsidP="00C140DA">
      <w:pPr>
        <w:tabs>
          <w:tab w:val="center" w:pos="5400"/>
        </w:tabs>
        <w:suppressAutoHyphens/>
        <w:spacing w:line="276" w:lineRule="auto"/>
        <w:jc w:val="center"/>
        <w:rPr>
          <w:rFonts w:ascii="Cambria" w:hAnsi="Cambria"/>
          <w:sz w:val="18"/>
          <w:szCs w:val="18"/>
          <w:lang w:val="es-ES"/>
        </w:rPr>
      </w:pPr>
      <w:r>
        <w:rPr>
          <w:rFonts w:ascii="Cambria" w:hAnsi="Cambria"/>
          <w:sz w:val="18"/>
          <w:szCs w:val="18"/>
          <w:lang w:val="es-ES"/>
        </w:rPr>
        <w:t xml:space="preserve">23 DE MAYO DE </w:t>
      </w:r>
      <w:r w:rsidR="00C140DA" w:rsidRPr="00683301">
        <w:rPr>
          <w:rFonts w:ascii="Cambria" w:hAnsi="Cambria"/>
          <w:sz w:val="18"/>
          <w:szCs w:val="18"/>
          <w:lang w:val="es-ES"/>
        </w:rPr>
        <w:t>2017</w:t>
      </w:r>
    </w:p>
    <w:p w14:paraId="10C0BE1C" w14:textId="77777777" w:rsidR="00722C9F" w:rsidRPr="00683301" w:rsidRDefault="00722C9F" w:rsidP="00A20CD5">
      <w:pPr>
        <w:tabs>
          <w:tab w:val="center" w:pos="5400"/>
        </w:tabs>
        <w:suppressAutoHyphens/>
        <w:spacing w:line="276" w:lineRule="auto"/>
        <w:jc w:val="both"/>
        <w:rPr>
          <w:rFonts w:ascii="Cambria" w:hAnsi="Cambria"/>
          <w:sz w:val="20"/>
          <w:szCs w:val="20"/>
          <w:lang w:val="es-ES"/>
        </w:rPr>
      </w:pPr>
    </w:p>
    <w:p w14:paraId="4D49F397" w14:textId="77777777" w:rsidR="00722C9F" w:rsidRPr="00512E0B" w:rsidRDefault="00722C9F" w:rsidP="00C140DA">
      <w:pPr>
        <w:tabs>
          <w:tab w:val="center" w:pos="5400"/>
        </w:tabs>
        <w:suppressAutoHyphens/>
        <w:spacing w:line="276" w:lineRule="auto"/>
        <w:jc w:val="center"/>
        <w:rPr>
          <w:rFonts w:asciiTheme="majorHAnsi" w:hAnsiTheme="majorHAnsi"/>
          <w:b/>
          <w:sz w:val="20"/>
          <w:szCs w:val="20"/>
          <w:lang w:val="es-ES"/>
        </w:rPr>
      </w:pPr>
      <w:r w:rsidRPr="00512E0B">
        <w:rPr>
          <w:rFonts w:asciiTheme="majorHAnsi" w:hAnsiTheme="majorHAnsi"/>
          <w:b/>
          <w:sz w:val="20"/>
          <w:szCs w:val="20"/>
          <w:lang w:val="es-ES"/>
        </w:rPr>
        <w:t>ÍNDICE</w:t>
      </w:r>
    </w:p>
    <w:p w14:paraId="2912C345" w14:textId="77777777" w:rsidR="0070697F" w:rsidRPr="00512E0B" w:rsidRDefault="0070697F" w:rsidP="00A20CD5">
      <w:pPr>
        <w:tabs>
          <w:tab w:val="center" w:pos="5400"/>
        </w:tabs>
        <w:suppressAutoHyphens/>
        <w:spacing w:line="276" w:lineRule="auto"/>
        <w:jc w:val="both"/>
        <w:rPr>
          <w:rFonts w:asciiTheme="majorHAnsi" w:hAnsiTheme="majorHAnsi"/>
          <w:sz w:val="20"/>
          <w:szCs w:val="20"/>
          <w:lang w:val="es-ES"/>
        </w:rPr>
      </w:pPr>
    </w:p>
    <w:p w14:paraId="4FD9F89F" w14:textId="77777777" w:rsidR="00587B56" w:rsidRPr="00512E0B" w:rsidRDefault="00587B56"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r w:rsidRPr="00512E0B">
        <w:rPr>
          <w:rFonts w:asciiTheme="majorHAnsi" w:hAnsiTheme="majorHAnsi"/>
          <w:sz w:val="20"/>
          <w:szCs w:val="20"/>
          <w:lang w:val="es-ES"/>
        </w:rPr>
        <w:fldChar w:fldCharType="begin"/>
      </w:r>
      <w:r w:rsidRPr="00512E0B">
        <w:rPr>
          <w:rFonts w:asciiTheme="majorHAnsi" w:hAnsiTheme="majorHAnsi"/>
          <w:sz w:val="20"/>
          <w:szCs w:val="20"/>
          <w:lang w:val="es-ES"/>
        </w:rPr>
        <w:instrText xml:space="preserve"> TOC \o "1-3" \h \z \u </w:instrText>
      </w:r>
      <w:r w:rsidRPr="00512E0B">
        <w:rPr>
          <w:rFonts w:asciiTheme="majorHAnsi" w:hAnsiTheme="majorHAnsi"/>
          <w:sz w:val="20"/>
          <w:szCs w:val="20"/>
          <w:lang w:val="es-ES"/>
        </w:rPr>
        <w:fldChar w:fldCharType="separate"/>
      </w:r>
      <w:hyperlink w:anchor="_Toc482278236" w:history="1">
        <w:r w:rsidRPr="00512E0B">
          <w:rPr>
            <w:rStyle w:val="Hyperlink"/>
            <w:rFonts w:asciiTheme="majorHAnsi" w:hAnsiTheme="majorHAnsi"/>
            <w:b/>
            <w:noProof/>
            <w:sz w:val="20"/>
            <w:szCs w:val="20"/>
            <w:lang w:val="es-ES"/>
          </w:rPr>
          <w:t>I.</w:t>
        </w:r>
        <w:r w:rsidRPr="00512E0B">
          <w:rPr>
            <w:rFonts w:asciiTheme="majorHAnsi" w:eastAsia="Times New Roman" w:hAnsiTheme="majorHAnsi"/>
            <w:b/>
            <w:noProof/>
            <w:sz w:val="20"/>
            <w:szCs w:val="20"/>
            <w:bdr w:val="none" w:sz="0" w:space="0" w:color="auto"/>
            <w:lang w:val="es-ES"/>
          </w:rPr>
          <w:tab/>
        </w:r>
        <w:r w:rsidRPr="00512E0B">
          <w:rPr>
            <w:rStyle w:val="Hyperlink"/>
            <w:rFonts w:asciiTheme="majorHAnsi" w:hAnsiTheme="majorHAnsi"/>
            <w:b/>
            <w:noProof/>
            <w:sz w:val="20"/>
            <w:szCs w:val="20"/>
            <w:lang w:val="es-ES"/>
          </w:rPr>
          <w:t>RESUMEN</w:t>
        </w:r>
        <w:r w:rsidRPr="00512E0B">
          <w:rPr>
            <w:rFonts w:asciiTheme="majorHAnsi" w:hAnsiTheme="majorHAnsi"/>
            <w:b/>
            <w:noProof/>
            <w:webHidden/>
            <w:sz w:val="20"/>
            <w:szCs w:val="20"/>
            <w:lang w:val="es-ES"/>
          </w:rPr>
          <w:tab/>
        </w:r>
        <w:r w:rsidRPr="00512E0B">
          <w:rPr>
            <w:rFonts w:asciiTheme="majorHAnsi" w:hAnsiTheme="majorHAnsi"/>
            <w:b/>
            <w:noProof/>
            <w:webHidden/>
            <w:sz w:val="20"/>
            <w:szCs w:val="20"/>
            <w:lang w:val="es-ES"/>
          </w:rPr>
          <w:fldChar w:fldCharType="begin"/>
        </w:r>
        <w:r w:rsidRPr="00512E0B">
          <w:rPr>
            <w:rFonts w:asciiTheme="majorHAnsi" w:hAnsiTheme="majorHAnsi"/>
            <w:b/>
            <w:noProof/>
            <w:webHidden/>
            <w:sz w:val="20"/>
            <w:szCs w:val="20"/>
            <w:lang w:val="es-ES"/>
          </w:rPr>
          <w:instrText xml:space="preserve"> PAGEREF _Toc482278236 \h </w:instrText>
        </w:r>
        <w:r w:rsidRPr="00512E0B">
          <w:rPr>
            <w:rFonts w:asciiTheme="majorHAnsi" w:hAnsiTheme="majorHAnsi"/>
            <w:b/>
            <w:noProof/>
            <w:webHidden/>
            <w:sz w:val="20"/>
            <w:szCs w:val="20"/>
            <w:lang w:val="es-ES"/>
          </w:rPr>
        </w:r>
        <w:r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2</w:t>
        </w:r>
        <w:r w:rsidRPr="00512E0B">
          <w:rPr>
            <w:rFonts w:asciiTheme="majorHAnsi" w:hAnsiTheme="majorHAnsi"/>
            <w:b/>
            <w:noProof/>
            <w:webHidden/>
            <w:sz w:val="20"/>
            <w:szCs w:val="20"/>
            <w:lang w:val="es-ES"/>
          </w:rPr>
          <w:fldChar w:fldCharType="end"/>
        </w:r>
      </w:hyperlink>
    </w:p>
    <w:p w14:paraId="2E201147" w14:textId="77777777" w:rsidR="00512E0B" w:rsidRPr="00512E0B" w:rsidRDefault="00512E0B" w:rsidP="00587B56">
      <w:pPr>
        <w:pStyle w:val="TOC1"/>
        <w:tabs>
          <w:tab w:val="left" w:pos="720"/>
          <w:tab w:val="left" w:pos="1440"/>
          <w:tab w:val="right" w:leader="dot" w:pos="9350"/>
        </w:tabs>
        <w:rPr>
          <w:rFonts w:asciiTheme="majorHAnsi" w:hAnsiTheme="majorHAnsi"/>
          <w:b/>
          <w:sz w:val="20"/>
          <w:szCs w:val="20"/>
        </w:rPr>
      </w:pPr>
    </w:p>
    <w:p w14:paraId="7823BB55" w14:textId="77777777" w:rsidR="00587B56" w:rsidRPr="00512E0B" w:rsidRDefault="00280BF1"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hyperlink w:anchor="_Toc482278237" w:history="1">
        <w:r w:rsidR="00587B56" w:rsidRPr="00512E0B">
          <w:rPr>
            <w:rStyle w:val="Hyperlink"/>
            <w:rFonts w:asciiTheme="majorHAnsi" w:hAnsiTheme="majorHAnsi"/>
            <w:b/>
            <w:noProof/>
            <w:sz w:val="20"/>
            <w:szCs w:val="20"/>
            <w:lang w:val="es-ES"/>
          </w:rPr>
          <w:t>II.</w:t>
        </w:r>
        <w:r w:rsidR="00587B56" w:rsidRPr="00512E0B">
          <w:rPr>
            <w:rFonts w:asciiTheme="majorHAnsi" w:eastAsia="Times New Roman" w:hAnsiTheme="majorHAnsi"/>
            <w:b/>
            <w:noProof/>
            <w:sz w:val="20"/>
            <w:szCs w:val="20"/>
            <w:bdr w:val="none" w:sz="0" w:space="0" w:color="auto"/>
            <w:lang w:val="es-ES"/>
          </w:rPr>
          <w:tab/>
        </w:r>
        <w:r w:rsidR="00587B56" w:rsidRPr="00512E0B">
          <w:rPr>
            <w:rStyle w:val="Hyperlink"/>
            <w:rFonts w:asciiTheme="majorHAnsi" w:hAnsiTheme="majorHAnsi"/>
            <w:b/>
            <w:noProof/>
            <w:sz w:val="20"/>
            <w:szCs w:val="20"/>
            <w:lang w:val="es-ES"/>
          </w:rPr>
          <w:t>TRÁMITE ANTE LA COMISIÓN</w:t>
        </w:r>
        <w:r w:rsidR="00587B56" w:rsidRPr="00512E0B">
          <w:rPr>
            <w:rFonts w:asciiTheme="majorHAnsi" w:hAnsiTheme="majorHAnsi"/>
            <w:b/>
            <w:noProof/>
            <w:webHidden/>
            <w:sz w:val="20"/>
            <w:szCs w:val="20"/>
            <w:lang w:val="es-ES"/>
          </w:rPr>
          <w:tab/>
        </w:r>
        <w:r w:rsidR="00587B56" w:rsidRPr="00512E0B">
          <w:rPr>
            <w:rFonts w:asciiTheme="majorHAnsi" w:hAnsiTheme="majorHAnsi"/>
            <w:b/>
            <w:noProof/>
            <w:webHidden/>
            <w:sz w:val="20"/>
            <w:szCs w:val="20"/>
            <w:lang w:val="es-ES"/>
          </w:rPr>
          <w:fldChar w:fldCharType="begin"/>
        </w:r>
        <w:r w:rsidR="00587B56" w:rsidRPr="00512E0B">
          <w:rPr>
            <w:rFonts w:asciiTheme="majorHAnsi" w:hAnsiTheme="majorHAnsi"/>
            <w:b/>
            <w:noProof/>
            <w:webHidden/>
            <w:sz w:val="20"/>
            <w:szCs w:val="20"/>
            <w:lang w:val="es-ES"/>
          </w:rPr>
          <w:instrText xml:space="preserve"> PAGEREF _Toc482278237 \h </w:instrText>
        </w:r>
        <w:r w:rsidR="00587B56" w:rsidRPr="00512E0B">
          <w:rPr>
            <w:rFonts w:asciiTheme="majorHAnsi" w:hAnsiTheme="majorHAnsi"/>
            <w:b/>
            <w:noProof/>
            <w:webHidden/>
            <w:sz w:val="20"/>
            <w:szCs w:val="20"/>
            <w:lang w:val="es-ES"/>
          </w:rPr>
        </w:r>
        <w:r w:rsidR="00587B56"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2</w:t>
        </w:r>
        <w:r w:rsidR="00587B56" w:rsidRPr="00512E0B">
          <w:rPr>
            <w:rFonts w:asciiTheme="majorHAnsi" w:hAnsiTheme="majorHAnsi"/>
            <w:b/>
            <w:noProof/>
            <w:webHidden/>
            <w:sz w:val="20"/>
            <w:szCs w:val="20"/>
            <w:lang w:val="es-ES"/>
          </w:rPr>
          <w:fldChar w:fldCharType="end"/>
        </w:r>
      </w:hyperlink>
    </w:p>
    <w:p w14:paraId="1F439581" w14:textId="77777777" w:rsidR="00512E0B" w:rsidRPr="00512E0B" w:rsidRDefault="00512E0B" w:rsidP="00587B56">
      <w:pPr>
        <w:pStyle w:val="TOC1"/>
        <w:tabs>
          <w:tab w:val="left" w:pos="720"/>
          <w:tab w:val="left" w:pos="1440"/>
          <w:tab w:val="right" w:leader="dot" w:pos="9350"/>
        </w:tabs>
        <w:rPr>
          <w:rFonts w:asciiTheme="majorHAnsi" w:hAnsiTheme="majorHAnsi"/>
          <w:b/>
          <w:sz w:val="20"/>
          <w:szCs w:val="20"/>
        </w:rPr>
      </w:pPr>
    </w:p>
    <w:p w14:paraId="0DD6A857" w14:textId="77777777" w:rsidR="00587B56" w:rsidRPr="00512E0B" w:rsidRDefault="00280BF1"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hyperlink w:anchor="_Toc482278238" w:history="1">
        <w:r w:rsidR="00587B56" w:rsidRPr="00512E0B">
          <w:rPr>
            <w:rStyle w:val="Hyperlink"/>
            <w:rFonts w:asciiTheme="majorHAnsi" w:hAnsiTheme="majorHAnsi"/>
            <w:b/>
            <w:noProof/>
            <w:sz w:val="20"/>
            <w:szCs w:val="20"/>
            <w:lang w:val="es-ES"/>
          </w:rPr>
          <w:t>III.</w:t>
        </w:r>
        <w:r w:rsidR="00587B56" w:rsidRPr="00512E0B">
          <w:rPr>
            <w:rFonts w:asciiTheme="majorHAnsi" w:eastAsia="Times New Roman" w:hAnsiTheme="majorHAnsi"/>
            <w:b/>
            <w:noProof/>
            <w:sz w:val="20"/>
            <w:szCs w:val="20"/>
            <w:bdr w:val="none" w:sz="0" w:space="0" w:color="auto"/>
            <w:lang w:val="es-ES"/>
          </w:rPr>
          <w:tab/>
        </w:r>
        <w:r w:rsidR="00587B56" w:rsidRPr="00512E0B">
          <w:rPr>
            <w:rStyle w:val="Hyperlink"/>
            <w:rFonts w:asciiTheme="majorHAnsi" w:hAnsiTheme="majorHAnsi"/>
            <w:b/>
            <w:noProof/>
            <w:sz w:val="20"/>
            <w:szCs w:val="20"/>
            <w:lang w:val="es-ES"/>
          </w:rPr>
          <w:t>POSICIÓN DE LAS PARTES</w:t>
        </w:r>
        <w:r w:rsidR="00587B56" w:rsidRPr="00512E0B">
          <w:rPr>
            <w:rFonts w:asciiTheme="majorHAnsi" w:hAnsiTheme="majorHAnsi"/>
            <w:b/>
            <w:noProof/>
            <w:webHidden/>
            <w:sz w:val="20"/>
            <w:szCs w:val="20"/>
            <w:lang w:val="es-ES"/>
          </w:rPr>
          <w:tab/>
        </w:r>
        <w:r w:rsidR="00587B56" w:rsidRPr="00512E0B">
          <w:rPr>
            <w:rFonts w:asciiTheme="majorHAnsi" w:hAnsiTheme="majorHAnsi"/>
            <w:b/>
            <w:noProof/>
            <w:webHidden/>
            <w:sz w:val="20"/>
            <w:szCs w:val="20"/>
            <w:lang w:val="es-ES"/>
          </w:rPr>
          <w:fldChar w:fldCharType="begin"/>
        </w:r>
        <w:r w:rsidR="00587B56" w:rsidRPr="00512E0B">
          <w:rPr>
            <w:rFonts w:asciiTheme="majorHAnsi" w:hAnsiTheme="majorHAnsi"/>
            <w:b/>
            <w:noProof/>
            <w:webHidden/>
            <w:sz w:val="20"/>
            <w:szCs w:val="20"/>
            <w:lang w:val="es-ES"/>
          </w:rPr>
          <w:instrText xml:space="preserve"> PAGEREF _Toc482278238 \h </w:instrText>
        </w:r>
        <w:r w:rsidR="00587B56" w:rsidRPr="00512E0B">
          <w:rPr>
            <w:rFonts w:asciiTheme="majorHAnsi" w:hAnsiTheme="majorHAnsi"/>
            <w:b/>
            <w:noProof/>
            <w:webHidden/>
            <w:sz w:val="20"/>
            <w:szCs w:val="20"/>
            <w:lang w:val="es-ES"/>
          </w:rPr>
        </w:r>
        <w:r w:rsidR="00587B56"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2</w:t>
        </w:r>
        <w:r w:rsidR="00587B56" w:rsidRPr="00512E0B">
          <w:rPr>
            <w:rFonts w:asciiTheme="majorHAnsi" w:hAnsiTheme="majorHAnsi"/>
            <w:b/>
            <w:noProof/>
            <w:webHidden/>
            <w:sz w:val="20"/>
            <w:szCs w:val="20"/>
            <w:lang w:val="es-ES"/>
          </w:rPr>
          <w:fldChar w:fldCharType="end"/>
        </w:r>
      </w:hyperlink>
    </w:p>
    <w:p w14:paraId="7F04B9D7" w14:textId="77777777" w:rsidR="00587B56" w:rsidRPr="00512E0B" w:rsidRDefault="00280BF1" w:rsidP="00587B56">
      <w:pPr>
        <w:pStyle w:val="TOC2"/>
        <w:tabs>
          <w:tab w:val="left" w:pos="720"/>
        </w:tabs>
        <w:rPr>
          <w:rFonts w:asciiTheme="majorHAnsi" w:eastAsia="Times New Roman" w:hAnsiTheme="majorHAnsi"/>
          <w:noProof/>
          <w:sz w:val="20"/>
          <w:szCs w:val="20"/>
          <w:bdr w:val="none" w:sz="0" w:space="0" w:color="auto"/>
          <w:lang w:val="es-ES"/>
        </w:rPr>
      </w:pPr>
      <w:hyperlink w:anchor="_Toc482278239" w:history="1">
        <w:r w:rsidR="00587B56" w:rsidRPr="00512E0B">
          <w:rPr>
            <w:rStyle w:val="Hyperlink"/>
            <w:rFonts w:asciiTheme="majorHAnsi" w:hAnsiTheme="majorHAnsi"/>
            <w:noProof/>
            <w:sz w:val="20"/>
            <w:szCs w:val="20"/>
            <w:lang w:val="es-ES"/>
          </w:rPr>
          <w:t>A.</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Posición del peticionario</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_Toc482278239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2</w:t>
        </w:r>
        <w:r w:rsidR="00587B56" w:rsidRPr="00512E0B">
          <w:rPr>
            <w:rFonts w:asciiTheme="majorHAnsi" w:hAnsiTheme="majorHAnsi"/>
            <w:noProof/>
            <w:webHidden/>
            <w:sz w:val="20"/>
            <w:szCs w:val="20"/>
            <w:lang w:val="es-ES"/>
          </w:rPr>
          <w:fldChar w:fldCharType="end"/>
        </w:r>
      </w:hyperlink>
    </w:p>
    <w:p w14:paraId="735A5BB2" w14:textId="77777777" w:rsidR="00587B56" w:rsidRPr="00512E0B" w:rsidRDefault="00280BF1" w:rsidP="00587B56">
      <w:pPr>
        <w:pStyle w:val="TOC2"/>
        <w:tabs>
          <w:tab w:val="left" w:pos="720"/>
        </w:tabs>
        <w:rPr>
          <w:rFonts w:asciiTheme="majorHAnsi" w:eastAsia="Times New Roman" w:hAnsiTheme="majorHAnsi"/>
          <w:noProof/>
          <w:sz w:val="20"/>
          <w:szCs w:val="20"/>
          <w:bdr w:val="none" w:sz="0" w:space="0" w:color="auto"/>
          <w:lang w:val="es-ES"/>
        </w:rPr>
      </w:pPr>
      <w:hyperlink w:anchor="_Toc482278240" w:history="1">
        <w:r w:rsidR="00587B56" w:rsidRPr="00512E0B">
          <w:rPr>
            <w:rStyle w:val="Hyperlink"/>
            <w:rFonts w:asciiTheme="majorHAnsi" w:hAnsiTheme="majorHAnsi"/>
            <w:noProof/>
            <w:sz w:val="20"/>
            <w:szCs w:val="20"/>
            <w:lang w:val="es-ES"/>
          </w:rPr>
          <w:t>B.</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Posición del Estado</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_Toc482278240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3</w:t>
        </w:r>
        <w:r w:rsidR="00587B56" w:rsidRPr="00512E0B">
          <w:rPr>
            <w:rFonts w:asciiTheme="majorHAnsi" w:hAnsiTheme="majorHAnsi"/>
            <w:noProof/>
            <w:webHidden/>
            <w:sz w:val="20"/>
            <w:szCs w:val="20"/>
            <w:lang w:val="es-ES"/>
          </w:rPr>
          <w:fldChar w:fldCharType="end"/>
        </w:r>
      </w:hyperlink>
    </w:p>
    <w:p w14:paraId="7ECB3EFD" w14:textId="77777777" w:rsidR="00512E0B" w:rsidRPr="00512E0B" w:rsidRDefault="00512E0B" w:rsidP="00587B56">
      <w:pPr>
        <w:pStyle w:val="TOC1"/>
        <w:tabs>
          <w:tab w:val="left" w:pos="720"/>
          <w:tab w:val="left" w:pos="1440"/>
          <w:tab w:val="right" w:leader="dot" w:pos="9350"/>
        </w:tabs>
        <w:rPr>
          <w:rFonts w:asciiTheme="majorHAnsi" w:hAnsiTheme="majorHAnsi"/>
          <w:b/>
          <w:sz w:val="20"/>
          <w:szCs w:val="20"/>
        </w:rPr>
      </w:pPr>
    </w:p>
    <w:p w14:paraId="6C7CBFC3" w14:textId="77777777" w:rsidR="00587B56" w:rsidRPr="00512E0B" w:rsidRDefault="00280BF1"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hyperlink w:anchor="_Toc482278241" w:history="1">
        <w:r w:rsidR="00587B56" w:rsidRPr="00512E0B">
          <w:rPr>
            <w:rStyle w:val="Hyperlink"/>
            <w:rFonts w:asciiTheme="majorHAnsi" w:hAnsiTheme="majorHAnsi"/>
            <w:b/>
            <w:noProof/>
            <w:sz w:val="20"/>
            <w:szCs w:val="20"/>
            <w:lang w:val="es-ES"/>
          </w:rPr>
          <w:t>IV.</w:t>
        </w:r>
        <w:r w:rsidR="00587B56" w:rsidRPr="00512E0B">
          <w:rPr>
            <w:rFonts w:asciiTheme="majorHAnsi" w:eastAsia="Times New Roman" w:hAnsiTheme="majorHAnsi"/>
            <w:b/>
            <w:noProof/>
            <w:sz w:val="20"/>
            <w:szCs w:val="20"/>
            <w:bdr w:val="none" w:sz="0" w:space="0" w:color="auto"/>
            <w:lang w:val="es-ES"/>
          </w:rPr>
          <w:tab/>
        </w:r>
        <w:r w:rsidR="00587B56" w:rsidRPr="00512E0B">
          <w:rPr>
            <w:rStyle w:val="Hyperlink"/>
            <w:rFonts w:asciiTheme="majorHAnsi" w:hAnsiTheme="majorHAnsi"/>
            <w:b/>
            <w:noProof/>
            <w:sz w:val="20"/>
            <w:szCs w:val="20"/>
            <w:lang w:val="es-ES"/>
          </w:rPr>
          <w:t>HECHOS PROBADOS</w:t>
        </w:r>
        <w:r w:rsidR="00587B56" w:rsidRPr="00512E0B">
          <w:rPr>
            <w:rFonts w:asciiTheme="majorHAnsi" w:hAnsiTheme="majorHAnsi"/>
            <w:b/>
            <w:noProof/>
            <w:webHidden/>
            <w:sz w:val="20"/>
            <w:szCs w:val="20"/>
            <w:lang w:val="es-ES"/>
          </w:rPr>
          <w:tab/>
        </w:r>
        <w:r w:rsidR="00587B56" w:rsidRPr="00512E0B">
          <w:rPr>
            <w:rFonts w:asciiTheme="majorHAnsi" w:hAnsiTheme="majorHAnsi"/>
            <w:b/>
            <w:noProof/>
            <w:webHidden/>
            <w:sz w:val="20"/>
            <w:szCs w:val="20"/>
            <w:lang w:val="es-ES"/>
          </w:rPr>
          <w:fldChar w:fldCharType="begin"/>
        </w:r>
        <w:r w:rsidR="00587B56" w:rsidRPr="00512E0B">
          <w:rPr>
            <w:rFonts w:asciiTheme="majorHAnsi" w:hAnsiTheme="majorHAnsi"/>
            <w:b/>
            <w:noProof/>
            <w:webHidden/>
            <w:sz w:val="20"/>
            <w:szCs w:val="20"/>
            <w:lang w:val="es-ES"/>
          </w:rPr>
          <w:instrText xml:space="preserve"> PAGEREF _Toc482278241 \h </w:instrText>
        </w:r>
        <w:r w:rsidR="00587B56" w:rsidRPr="00512E0B">
          <w:rPr>
            <w:rFonts w:asciiTheme="majorHAnsi" w:hAnsiTheme="majorHAnsi"/>
            <w:b/>
            <w:noProof/>
            <w:webHidden/>
            <w:sz w:val="20"/>
            <w:szCs w:val="20"/>
            <w:lang w:val="es-ES"/>
          </w:rPr>
        </w:r>
        <w:r w:rsidR="00587B56"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3</w:t>
        </w:r>
        <w:r w:rsidR="00587B56" w:rsidRPr="00512E0B">
          <w:rPr>
            <w:rFonts w:asciiTheme="majorHAnsi" w:hAnsiTheme="majorHAnsi"/>
            <w:b/>
            <w:noProof/>
            <w:webHidden/>
            <w:sz w:val="20"/>
            <w:szCs w:val="20"/>
            <w:lang w:val="es-ES"/>
          </w:rPr>
          <w:fldChar w:fldCharType="end"/>
        </w:r>
      </w:hyperlink>
    </w:p>
    <w:p w14:paraId="563C7AE7" w14:textId="77777777" w:rsidR="00512E0B" w:rsidRPr="00512E0B" w:rsidRDefault="00512E0B" w:rsidP="00587B56">
      <w:pPr>
        <w:pStyle w:val="TOC1"/>
        <w:tabs>
          <w:tab w:val="left" w:pos="720"/>
          <w:tab w:val="left" w:pos="1440"/>
          <w:tab w:val="right" w:leader="dot" w:pos="9350"/>
        </w:tabs>
        <w:rPr>
          <w:rFonts w:asciiTheme="majorHAnsi" w:hAnsiTheme="majorHAnsi"/>
          <w:b/>
          <w:sz w:val="20"/>
          <w:szCs w:val="20"/>
        </w:rPr>
      </w:pPr>
    </w:p>
    <w:p w14:paraId="08D57EAD" w14:textId="77777777" w:rsidR="00587B56" w:rsidRPr="00512E0B" w:rsidRDefault="00280BF1"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hyperlink w:anchor="_Toc482278242" w:history="1">
        <w:r w:rsidR="00587B56" w:rsidRPr="00512E0B">
          <w:rPr>
            <w:rStyle w:val="Hyperlink"/>
            <w:rFonts w:asciiTheme="majorHAnsi" w:hAnsiTheme="majorHAnsi"/>
            <w:b/>
            <w:noProof/>
            <w:sz w:val="20"/>
            <w:szCs w:val="20"/>
            <w:lang w:val="es-ES"/>
          </w:rPr>
          <w:t>V.</w:t>
        </w:r>
        <w:r w:rsidR="00587B56" w:rsidRPr="00512E0B">
          <w:rPr>
            <w:rFonts w:asciiTheme="majorHAnsi" w:eastAsia="Times New Roman" w:hAnsiTheme="majorHAnsi"/>
            <w:b/>
            <w:noProof/>
            <w:sz w:val="20"/>
            <w:szCs w:val="20"/>
            <w:bdr w:val="none" w:sz="0" w:space="0" w:color="auto"/>
            <w:lang w:val="es-ES"/>
          </w:rPr>
          <w:tab/>
        </w:r>
        <w:r w:rsidR="00587B56" w:rsidRPr="00512E0B">
          <w:rPr>
            <w:rStyle w:val="Hyperlink"/>
            <w:rFonts w:asciiTheme="majorHAnsi" w:hAnsiTheme="majorHAnsi"/>
            <w:b/>
            <w:noProof/>
            <w:sz w:val="20"/>
            <w:szCs w:val="20"/>
            <w:lang w:val="es-ES"/>
          </w:rPr>
          <w:t>ANÁLISIS DE DERECHO</w:t>
        </w:r>
        <w:r w:rsidR="00587B56" w:rsidRPr="00512E0B">
          <w:rPr>
            <w:rFonts w:asciiTheme="majorHAnsi" w:hAnsiTheme="majorHAnsi"/>
            <w:b/>
            <w:noProof/>
            <w:webHidden/>
            <w:sz w:val="20"/>
            <w:szCs w:val="20"/>
            <w:lang w:val="es-ES"/>
          </w:rPr>
          <w:tab/>
        </w:r>
        <w:r w:rsidR="00587B56" w:rsidRPr="00512E0B">
          <w:rPr>
            <w:rFonts w:asciiTheme="majorHAnsi" w:hAnsiTheme="majorHAnsi"/>
            <w:b/>
            <w:noProof/>
            <w:webHidden/>
            <w:sz w:val="20"/>
            <w:szCs w:val="20"/>
            <w:lang w:val="es-ES"/>
          </w:rPr>
          <w:fldChar w:fldCharType="begin"/>
        </w:r>
        <w:r w:rsidR="00587B56" w:rsidRPr="00512E0B">
          <w:rPr>
            <w:rFonts w:asciiTheme="majorHAnsi" w:hAnsiTheme="majorHAnsi"/>
            <w:b/>
            <w:noProof/>
            <w:webHidden/>
            <w:sz w:val="20"/>
            <w:szCs w:val="20"/>
            <w:lang w:val="es-ES"/>
          </w:rPr>
          <w:instrText xml:space="preserve"> PAGEREF _Toc482278242 \h </w:instrText>
        </w:r>
        <w:r w:rsidR="00587B56" w:rsidRPr="00512E0B">
          <w:rPr>
            <w:rFonts w:asciiTheme="majorHAnsi" w:hAnsiTheme="majorHAnsi"/>
            <w:b/>
            <w:noProof/>
            <w:webHidden/>
            <w:sz w:val="20"/>
            <w:szCs w:val="20"/>
            <w:lang w:val="es-ES"/>
          </w:rPr>
        </w:r>
        <w:r w:rsidR="00587B56"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7</w:t>
        </w:r>
        <w:r w:rsidR="00587B56" w:rsidRPr="00512E0B">
          <w:rPr>
            <w:rFonts w:asciiTheme="majorHAnsi" w:hAnsiTheme="majorHAnsi"/>
            <w:b/>
            <w:noProof/>
            <w:webHidden/>
            <w:sz w:val="20"/>
            <w:szCs w:val="20"/>
            <w:lang w:val="es-ES"/>
          </w:rPr>
          <w:fldChar w:fldCharType="end"/>
        </w:r>
      </w:hyperlink>
    </w:p>
    <w:p w14:paraId="01695671" w14:textId="77777777" w:rsidR="00587B56" w:rsidRPr="00512E0B" w:rsidRDefault="00280BF1" w:rsidP="00587B56">
      <w:pPr>
        <w:pStyle w:val="TOC2"/>
        <w:tabs>
          <w:tab w:val="left" w:pos="720"/>
        </w:tabs>
        <w:rPr>
          <w:rFonts w:asciiTheme="majorHAnsi" w:eastAsia="Times New Roman" w:hAnsiTheme="majorHAnsi"/>
          <w:noProof/>
          <w:sz w:val="20"/>
          <w:szCs w:val="20"/>
          <w:bdr w:val="none" w:sz="0" w:space="0" w:color="auto"/>
          <w:lang w:val="es-ES"/>
        </w:rPr>
      </w:pPr>
      <w:hyperlink w:anchor="_Toc482278243" w:history="1">
        <w:r w:rsidR="00587B56" w:rsidRPr="00512E0B">
          <w:rPr>
            <w:rStyle w:val="Hyperlink"/>
            <w:rFonts w:asciiTheme="majorHAnsi" w:hAnsiTheme="majorHAnsi"/>
            <w:noProof/>
            <w:sz w:val="20"/>
            <w:szCs w:val="20"/>
            <w:lang w:val="es-ES"/>
          </w:rPr>
          <w:t>A.</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Cuestión previa sobre el alcance del caso</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_Toc482278243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7</w:t>
        </w:r>
        <w:r w:rsidR="00587B56" w:rsidRPr="00512E0B">
          <w:rPr>
            <w:rFonts w:asciiTheme="majorHAnsi" w:hAnsiTheme="majorHAnsi"/>
            <w:noProof/>
            <w:webHidden/>
            <w:sz w:val="20"/>
            <w:szCs w:val="20"/>
            <w:lang w:val="es-ES"/>
          </w:rPr>
          <w:fldChar w:fldCharType="end"/>
        </w:r>
      </w:hyperlink>
    </w:p>
    <w:p w14:paraId="4125EB3E" w14:textId="77777777" w:rsidR="00587B56" w:rsidRPr="00512E0B" w:rsidRDefault="00280BF1" w:rsidP="00587B56">
      <w:pPr>
        <w:pStyle w:val="TOC2"/>
        <w:tabs>
          <w:tab w:val="left" w:pos="720"/>
        </w:tabs>
        <w:rPr>
          <w:rFonts w:asciiTheme="majorHAnsi" w:eastAsia="Times New Roman" w:hAnsiTheme="majorHAnsi"/>
          <w:noProof/>
          <w:sz w:val="20"/>
          <w:szCs w:val="20"/>
          <w:bdr w:val="none" w:sz="0" w:space="0" w:color="auto"/>
          <w:lang w:val="es-ES"/>
        </w:rPr>
      </w:pPr>
      <w:hyperlink w:anchor="_Toc482278244" w:history="1">
        <w:r w:rsidR="00587B56" w:rsidRPr="00512E0B">
          <w:rPr>
            <w:rStyle w:val="Hyperlink"/>
            <w:rFonts w:asciiTheme="majorHAnsi" w:hAnsiTheme="majorHAnsi"/>
            <w:noProof/>
            <w:sz w:val="20"/>
            <w:szCs w:val="20"/>
            <w:lang w:val="es-ES"/>
          </w:rPr>
          <w:t>B.</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Derecho a la libertad personal y a la presunción de inocencia</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_Toc482278244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8</w:t>
        </w:r>
        <w:r w:rsidR="00587B56" w:rsidRPr="00512E0B">
          <w:rPr>
            <w:rFonts w:asciiTheme="majorHAnsi" w:hAnsiTheme="majorHAnsi"/>
            <w:noProof/>
            <w:webHidden/>
            <w:sz w:val="20"/>
            <w:szCs w:val="20"/>
            <w:lang w:val="es-ES"/>
          </w:rPr>
          <w:fldChar w:fldCharType="end"/>
        </w:r>
      </w:hyperlink>
    </w:p>
    <w:p w14:paraId="66BE7A38" w14:textId="77777777" w:rsidR="00587B56" w:rsidRPr="00512E0B" w:rsidRDefault="00280BF1" w:rsidP="00587B56">
      <w:pPr>
        <w:pStyle w:val="TOC3"/>
        <w:tabs>
          <w:tab w:val="left" w:pos="720"/>
          <w:tab w:val="left" w:pos="2160"/>
        </w:tabs>
        <w:rPr>
          <w:rFonts w:asciiTheme="majorHAnsi" w:eastAsia="Times New Roman" w:hAnsiTheme="majorHAnsi"/>
          <w:noProof/>
          <w:sz w:val="20"/>
          <w:szCs w:val="20"/>
          <w:bdr w:val="none" w:sz="0" w:space="0" w:color="auto"/>
          <w:lang w:val="es-ES"/>
        </w:rPr>
      </w:pPr>
      <w:hyperlink w:anchor="_Toc482278245" w:history="1">
        <w:r w:rsidR="00587B56" w:rsidRPr="00512E0B">
          <w:rPr>
            <w:rStyle w:val="Hyperlink"/>
            <w:rFonts w:asciiTheme="majorHAnsi" w:hAnsiTheme="majorHAnsi"/>
            <w:noProof/>
            <w:sz w:val="20"/>
            <w:szCs w:val="20"/>
            <w:lang w:val="es-ES"/>
          </w:rPr>
          <w:t>1.</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Consideraciones generales sobre la detención preventiva</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_Toc482278245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8</w:t>
        </w:r>
        <w:r w:rsidR="00587B56" w:rsidRPr="00512E0B">
          <w:rPr>
            <w:rFonts w:asciiTheme="majorHAnsi" w:hAnsiTheme="majorHAnsi"/>
            <w:noProof/>
            <w:webHidden/>
            <w:sz w:val="20"/>
            <w:szCs w:val="20"/>
            <w:lang w:val="es-ES"/>
          </w:rPr>
          <w:fldChar w:fldCharType="end"/>
        </w:r>
      </w:hyperlink>
    </w:p>
    <w:p w14:paraId="3463B3B3" w14:textId="77777777" w:rsidR="00587B56" w:rsidRPr="00512E0B" w:rsidRDefault="00280BF1" w:rsidP="00587B56">
      <w:pPr>
        <w:pStyle w:val="TOC3"/>
        <w:tabs>
          <w:tab w:val="left" w:pos="720"/>
          <w:tab w:val="left" w:pos="2160"/>
        </w:tabs>
        <w:rPr>
          <w:rFonts w:asciiTheme="majorHAnsi" w:eastAsia="Times New Roman" w:hAnsiTheme="majorHAnsi"/>
          <w:noProof/>
          <w:sz w:val="20"/>
          <w:szCs w:val="20"/>
          <w:bdr w:val="none" w:sz="0" w:space="0" w:color="auto"/>
          <w:lang w:val="es-ES"/>
        </w:rPr>
      </w:pPr>
      <w:hyperlink w:anchor="_Toc482278246" w:history="1">
        <w:r w:rsidR="00587B56" w:rsidRPr="00512E0B">
          <w:rPr>
            <w:rStyle w:val="Hyperlink"/>
            <w:rFonts w:asciiTheme="majorHAnsi" w:hAnsiTheme="majorHAnsi"/>
            <w:noProof/>
            <w:sz w:val="20"/>
            <w:szCs w:val="20"/>
            <w:lang w:val="es-ES"/>
          </w:rPr>
          <w:t>2.</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Análisis del caso</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_Toc482278246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10</w:t>
        </w:r>
        <w:r w:rsidR="00587B56" w:rsidRPr="00512E0B">
          <w:rPr>
            <w:rFonts w:asciiTheme="majorHAnsi" w:hAnsiTheme="majorHAnsi"/>
            <w:noProof/>
            <w:webHidden/>
            <w:sz w:val="20"/>
            <w:szCs w:val="20"/>
            <w:lang w:val="es-ES"/>
          </w:rPr>
          <w:fldChar w:fldCharType="end"/>
        </w:r>
      </w:hyperlink>
    </w:p>
    <w:p w14:paraId="6FF1AF71" w14:textId="77777777" w:rsidR="00587B56" w:rsidRPr="00512E0B" w:rsidRDefault="00280BF1" w:rsidP="00587B56">
      <w:pPr>
        <w:pStyle w:val="TOC2"/>
        <w:tabs>
          <w:tab w:val="left" w:pos="720"/>
        </w:tabs>
        <w:rPr>
          <w:rFonts w:asciiTheme="majorHAnsi" w:eastAsia="Times New Roman" w:hAnsiTheme="majorHAnsi"/>
          <w:noProof/>
          <w:sz w:val="20"/>
          <w:szCs w:val="20"/>
          <w:bdr w:val="none" w:sz="0" w:space="0" w:color="auto"/>
          <w:lang w:val="es-ES"/>
        </w:rPr>
      </w:pPr>
      <w:hyperlink w:anchor="_Toc482278247" w:history="1">
        <w:r w:rsidR="00587B56" w:rsidRPr="00512E0B">
          <w:rPr>
            <w:rStyle w:val="Hyperlink"/>
            <w:rFonts w:asciiTheme="majorHAnsi" w:hAnsiTheme="majorHAnsi"/>
            <w:noProof/>
            <w:sz w:val="20"/>
            <w:szCs w:val="20"/>
            <w:lang w:val="es-ES"/>
          </w:rPr>
          <w:t>C.</w:t>
        </w:r>
        <w:r w:rsidR="00587B56" w:rsidRPr="00512E0B">
          <w:rPr>
            <w:rFonts w:asciiTheme="majorHAnsi" w:eastAsia="Times New Roman" w:hAnsiTheme="majorHAnsi"/>
            <w:noProof/>
            <w:sz w:val="20"/>
            <w:szCs w:val="20"/>
            <w:bdr w:val="none" w:sz="0" w:space="0" w:color="auto"/>
            <w:lang w:val="es-ES"/>
          </w:rPr>
          <w:tab/>
        </w:r>
        <w:r w:rsidR="00587B56" w:rsidRPr="00512E0B">
          <w:rPr>
            <w:rStyle w:val="Hyperlink"/>
            <w:rFonts w:asciiTheme="majorHAnsi" w:hAnsiTheme="majorHAnsi"/>
            <w:noProof/>
            <w:sz w:val="20"/>
            <w:szCs w:val="20"/>
            <w:lang w:val="es-ES"/>
          </w:rPr>
          <w:t>Derecho a ser juzgado en un plazo razonable</w:t>
        </w:r>
        <w:r w:rsidR="00587B56" w:rsidRPr="00512E0B">
          <w:rPr>
            <w:rFonts w:asciiTheme="majorHAnsi" w:hAnsiTheme="majorHAnsi"/>
            <w:noProof/>
            <w:webHidden/>
            <w:sz w:val="20"/>
            <w:szCs w:val="20"/>
            <w:lang w:val="es-ES"/>
          </w:rPr>
          <w:tab/>
        </w:r>
        <w:r w:rsidR="00587B56" w:rsidRPr="00512E0B">
          <w:rPr>
            <w:rFonts w:asciiTheme="majorHAnsi" w:hAnsiTheme="majorHAnsi"/>
            <w:noProof/>
            <w:webHidden/>
            <w:sz w:val="20"/>
            <w:szCs w:val="20"/>
            <w:lang w:val="es-ES"/>
          </w:rPr>
          <w:fldChar w:fldCharType="begin"/>
        </w:r>
        <w:r w:rsidR="00587B56" w:rsidRPr="00512E0B">
          <w:rPr>
            <w:rFonts w:asciiTheme="majorHAnsi" w:hAnsiTheme="majorHAnsi"/>
            <w:noProof/>
            <w:webHidden/>
            <w:sz w:val="20"/>
            <w:szCs w:val="20"/>
            <w:lang w:val="es-ES"/>
          </w:rPr>
          <w:instrText xml:space="preserve"> PAGEREF _Toc482278247 \h </w:instrText>
        </w:r>
        <w:r w:rsidR="00587B56" w:rsidRPr="00512E0B">
          <w:rPr>
            <w:rFonts w:asciiTheme="majorHAnsi" w:hAnsiTheme="majorHAnsi"/>
            <w:noProof/>
            <w:webHidden/>
            <w:sz w:val="20"/>
            <w:szCs w:val="20"/>
            <w:lang w:val="es-ES"/>
          </w:rPr>
        </w:r>
        <w:r w:rsidR="00587B56" w:rsidRPr="00512E0B">
          <w:rPr>
            <w:rFonts w:asciiTheme="majorHAnsi" w:hAnsiTheme="majorHAnsi"/>
            <w:noProof/>
            <w:webHidden/>
            <w:sz w:val="20"/>
            <w:szCs w:val="20"/>
            <w:lang w:val="es-ES"/>
          </w:rPr>
          <w:fldChar w:fldCharType="separate"/>
        </w:r>
        <w:r w:rsidR="009916DF" w:rsidRPr="00512E0B">
          <w:rPr>
            <w:rFonts w:asciiTheme="majorHAnsi" w:hAnsiTheme="majorHAnsi"/>
            <w:noProof/>
            <w:webHidden/>
            <w:sz w:val="20"/>
            <w:szCs w:val="20"/>
            <w:lang w:val="es-ES"/>
          </w:rPr>
          <w:t>11</w:t>
        </w:r>
        <w:r w:rsidR="00587B56" w:rsidRPr="00512E0B">
          <w:rPr>
            <w:rFonts w:asciiTheme="majorHAnsi" w:hAnsiTheme="majorHAnsi"/>
            <w:noProof/>
            <w:webHidden/>
            <w:sz w:val="20"/>
            <w:szCs w:val="20"/>
            <w:lang w:val="es-ES"/>
          </w:rPr>
          <w:fldChar w:fldCharType="end"/>
        </w:r>
      </w:hyperlink>
    </w:p>
    <w:p w14:paraId="6943C7A8" w14:textId="77777777" w:rsidR="00512E0B" w:rsidRPr="00512E0B" w:rsidRDefault="00512E0B" w:rsidP="00587B56">
      <w:pPr>
        <w:pStyle w:val="TOC1"/>
        <w:tabs>
          <w:tab w:val="left" w:pos="720"/>
          <w:tab w:val="left" w:pos="1440"/>
          <w:tab w:val="right" w:leader="dot" w:pos="9350"/>
        </w:tabs>
        <w:rPr>
          <w:rFonts w:asciiTheme="majorHAnsi" w:hAnsiTheme="majorHAnsi"/>
          <w:b/>
          <w:sz w:val="20"/>
          <w:szCs w:val="20"/>
        </w:rPr>
      </w:pPr>
    </w:p>
    <w:p w14:paraId="25E484F4" w14:textId="77777777" w:rsidR="00587B56" w:rsidRPr="00512E0B" w:rsidRDefault="00280BF1"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hyperlink w:anchor="_Toc482278248" w:history="1">
        <w:r w:rsidR="00587B56" w:rsidRPr="00512E0B">
          <w:rPr>
            <w:rStyle w:val="Hyperlink"/>
            <w:rFonts w:asciiTheme="majorHAnsi" w:hAnsiTheme="majorHAnsi"/>
            <w:b/>
            <w:noProof/>
            <w:sz w:val="20"/>
            <w:szCs w:val="20"/>
            <w:lang w:val="es-ES"/>
          </w:rPr>
          <w:t>VI.</w:t>
        </w:r>
        <w:r w:rsidR="00587B56" w:rsidRPr="00512E0B">
          <w:rPr>
            <w:rFonts w:asciiTheme="majorHAnsi" w:eastAsia="Times New Roman" w:hAnsiTheme="majorHAnsi"/>
            <w:b/>
            <w:noProof/>
            <w:sz w:val="20"/>
            <w:szCs w:val="20"/>
            <w:bdr w:val="none" w:sz="0" w:space="0" w:color="auto"/>
            <w:lang w:val="es-ES"/>
          </w:rPr>
          <w:tab/>
        </w:r>
        <w:r w:rsidR="00587B56" w:rsidRPr="00512E0B">
          <w:rPr>
            <w:rStyle w:val="Hyperlink"/>
            <w:rFonts w:asciiTheme="majorHAnsi" w:hAnsiTheme="majorHAnsi"/>
            <w:b/>
            <w:noProof/>
            <w:sz w:val="20"/>
            <w:szCs w:val="20"/>
            <w:lang w:val="es-ES"/>
          </w:rPr>
          <w:t>CONCLUSIONES</w:t>
        </w:r>
        <w:r w:rsidR="00587B56" w:rsidRPr="00512E0B">
          <w:rPr>
            <w:rFonts w:asciiTheme="majorHAnsi" w:hAnsiTheme="majorHAnsi"/>
            <w:b/>
            <w:noProof/>
            <w:webHidden/>
            <w:sz w:val="20"/>
            <w:szCs w:val="20"/>
            <w:lang w:val="es-ES"/>
          </w:rPr>
          <w:tab/>
        </w:r>
        <w:r w:rsidR="00587B56" w:rsidRPr="00512E0B">
          <w:rPr>
            <w:rFonts w:asciiTheme="majorHAnsi" w:hAnsiTheme="majorHAnsi"/>
            <w:b/>
            <w:noProof/>
            <w:webHidden/>
            <w:sz w:val="20"/>
            <w:szCs w:val="20"/>
            <w:lang w:val="es-ES"/>
          </w:rPr>
          <w:fldChar w:fldCharType="begin"/>
        </w:r>
        <w:r w:rsidR="00587B56" w:rsidRPr="00512E0B">
          <w:rPr>
            <w:rFonts w:asciiTheme="majorHAnsi" w:hAnsiTheme="majorHAnsi"/>
            <w:b/>
            <w:noProof/>
            <w:webHidden/>
            <w:sz w:val="20"/>
            <w:szCs w:val="20"/>
            <w:lang w:val="es-ES"/>
          </w:rPr>
          <w:instrText xml:space="preserve"> PAGEREF _Toc482278248 \h </w:instrText>
        </w:r>
        <w:r w:rsidR="00587B56" w:rsidRPr="00512E0B">
          <w:rPr>
            <w:rFonts w:asciiTheme="majorHAnsi" w:hAnsiTheme="majorHAnsi"/>
            <w:b/>
            <w:noProof/>
            <w:webHidden/>
            <w:sz w:val="20"/>
            <w:szCs w:val="20"/>
            <w:lang w:val="es-ES"/>
          </w:rPr>
        </w:r>
        <w:r w:rsidR="00587B56"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12</w:t>
        </w:r>
        <w:r w:rsidR="00587B56" w:rsidRPr="00512E0B">
          <w:rPr>
            <w:rFonts w:asciiTheme="majorHAnsi" w:hAnsiTheme="majorHAnsi"/>
            <w:b/>
            <w:noProof/>
            <w:webHidden/>
            <w:sz w:val="20"/>
            <w:szCs w:val="20"/>
            <w:lang w:val="es-ES"/>
          </w:rPr>
          <w:fldChar w:fldCharType="end"/>
        </w:r>
      </w:hyperlink>
    </w:p>
    <w:p w14:paraId="684F6CC4" w14:textId="77777777" w:rsidR="00512E0B" w:rsidRPr="00512E0B" w:rsidRDefault="00512E0B" w:rsidP="00587B56">
      <w:pPr>
        <w:pStyle w:val="TOC1"/>
        <w:tabs>
          <w:tab w:val="left" w:pos="720"/>
          <w:tab w:val="left" w:pos="1440"/>
          <w:tab w:val="right" w:leader="dot" w:pos="9350"/>
        </w:tabs>
        <w:rPr>
          <w:rFonts w:asciiTheme="majorHAnsi" w:hAnsiTheme="majorHAnsi"/>
          <w:b/>
          <w:sz w:val="20"/>
          <w:szCs w:val="20"/>
        </w:rPr>
      </w:pPr>
    </w:p>
    <w:p w14:paraId="4ACD44B4" w14:textId="77777777" w:rsidR="00587B56" w:rsidRPr="00512E0B" w:rsidRDefault="00280BF1" w:rsidP="00587B56">
      <w:pPr>
        <w:pStyle w:val="TOC1"/>
        <w:tabs>
          <w:tab w:val="left" w:pos="720"/>
          <w:tab w:val="left" w:pos="1440"/>
          <w:tab w:val="right" w:leader="dot" w:pos="9350"/>
        </w:tabs>
        <w:rPr>
          <w:rFonts w:asciiTheme="majorHAnsi" w:eastAsia="Times New Roman" w:hAnsiTheme="majorHAnsi"/>
          <w:b/>
          <w:noProof/>
          <w:sz w:val="20"/>
          <w:szCs w:val="20"/>
          <w:bdr w:val="none" w:sz="0" w:space="0" w:color="auto"/>
          <w:lang w:val="es-ES"/>
        </w:rPr>
      </w:pPr>
      <w:hyperlink w:anchor="_Toc482278249" w:history="1">
        <w:r w:rsidR="00587B56" w:rsidRPr="00512E0B">
          <w:rPr>
            <w:rStyle w:val="Hyperlink"/>
            <w:rFonts w:asciiTheme="majorHAnsi" w:hAnsiTheme="majorHAnsi"/>
            <w:b/>
            <w:noProof/>
            <w:sz w:val="20"/>
            <w:szCs w:val="20"/>
            <w:lang w:val="es-ES"/>
          </w:rPr>
          <w:t>VII.</w:t>
        </w:r>
        <w:r w:rsidR="00587B56" w:rsidRPr="00512E0B">
          <w:rPr>
            <w:rFonts w:asciiTheme="majorHAnsi" w:eastAsia="Times New Roman" w:hAnsiTheme="majorHAnsi"/>
            <w:b/>
            <w:noProof/>
            <w:sz w:val="20"/>
            <w:szCs w:val="20"/>
            <w:bdr w:val="none" w:sz="0" w:space="0" w:color="auto"/>
            <w:lang w:val="es-ES"/>
          </w:rPr>
          <w:tab/>
        </w:r>
        <w:r w:rsidR="00587B56" w:rsidRPr="00512E0B">
          <w:rPr>
            <w:rStyle w:val="Hyperlink"/>
            <w:rFonts w:asciiTheme="majorHAnsi" w:hAnsiTheme="majorHAnsi"/>
            <w:b/>
            <w:noProof/>
            <w:sz w:val="20"/>
            <w:szCs w:val="20"/>
            <w:lang w:val="es-ES"/>
          </w:rPr>
          <w:t>RECOMENDACIONES</w:t>
        </w:r>
        <w:r w:rsidR="00587B56" w:rsidRPr="00512E0B">
          <w:rPr>
            <w:rFonts w:asciiTheme="majorHAnsi" w:hAnsiTheme="majorHAnsi"/>
            <w:b/>
            <w:noProof/>
            <w:webHidden/>
            <w:sz w:val="20"/>
            <w:szCs w:val="20"/>
            <w:lang w:val="es-ES"/>
          </w:rPr>
          <w:tab/>
        </w:r>
        <w:r w:rsidR="00587B56" w:rsidRPr="00512E0B">
          <w:rPr>
            <w:rFonts w:asciiTheme="majorHAnsi" w:hAnsiTheme="majorHAnsi"/>
            <w:b/>
            <w:noProof/>
            <w:webHidden/>
            <w:sz w:val="20"/>
            <w:szCs w:val="20"/>
            <w:lang w:val="es-ES"/>
          </w:rPr>
          <w:fldChar w:fldCharType="begin"/>
        </w:r>
        <w:r w:rsidR="00587B56" w:rsidRPr="00512E0B">
          <w:rPr>
            <w:rFonts w:asciiTheme="majorHAnsi" w:hAnsiTheme="majorHAnsi"/>
            <w:b/>
            <w:noProof/>
            <w:webHidden/>
            <w:sz w:val="20"/>
            <w:szCs w:val="20"/>
            <w:lang w:val="es-ES"/>
          </w:rPr>
          <w:instrText xml:space="preserve"> PAGEREF _Toc482278249 \h </w:instrText>
        </w:r>
        <w:r w:rsidR="00587B56" w:rsidRPr="00512E0B">
          <w:rPr>
            <w:rFonts w:asciiTheme="majorHAnsi" w:hAnsiTheme="majorHAnsi"/>
            <w:b/>
            <w:noProof/>
            <w:webHidden/>
            <w:sz w:val="20"/>
            <w:szCs w:val="20"/>
            <w:lang w:val="es-ES"/>
          </w:rPr>
        </w:r>
        <w:r w:rsidR="00587B56" w:rsidRPr="00512E0B">
          <w:rPr>
            <w:rFonts w:asciiTheme="majorHAnsi" w:hAnsiTheme="majorHAnsi"/>
            <w:b/>
            <w:noProof/>
            <w:webHidden/>
            <w:sz w:val="20"/>
            <w:szCs w:val="20"/>
            <w:lang w:val="es-ES"/>
          </w:rPr>
          <w:fldChar w:fldCharType="separate"/>
        </w:r>
        <w:r w:rsidR="009916DF" w:rsidRPr="00512E0B">
          <w:rPr>
            <w:rFonts w:asciiTheme="majorHAnsi" w:hAnsiTheme="majorHAnsi"/>
            <w:b/>
            <w:noProof/>
            <w:webHidden/>
            <w:sz w:val="20"/>
            <w:szCs w:val="20"/>
            <w:lang w:val="es-ES"/>
          </w:rPr>
          <w:t>13</w:t>
        </w:r>
        <w:r w:rsidR="00587B56" w:rsidRPr="00512E0B">
          <w:rPr>
            <w:rFonts w:asciiTheme="majorHAnsi" w:hAnsiTheme="majorHAnsi"/>
            <w:b/>
            <w:noProof/>
            <w:webHidden/>
            <w:sz w:val="20"/>
            <w:szCs w:val="20"/>
            <w:lang w:val="es-ES"/>
          </w:rPr>
          <w:fldChar w:fldCharType="end"/>
        </w:r>
      </w:hyperlink>
    </w:p>
    <w:p w14:paraId="3FD192D8" w14:textId="77777777" w:rsidR="00587B56" w:rsidRPr="00683301" w:rsidRDefault="00587B56" w:rsidP="00587B56">
      <w:pPr>
        <w:tabs>
          <w:tab w:val="left" w:pos="720"/>
          <w:tab w:val="center" w:pos="5400"/>
        </w:tabs>
        <w:suppressAutoHyphens/>
        <w:spacing w:line="276" w:lineRule="auto"/>
        <w:jc w:val="both"/>
        <w:rPr>
          <w:rFonts w:ascii="Cambria" w:hAnsi="Cambria"/>
          <w:sz w:val="20"/>
          <w:szCs w:val="20"/>
          <w:lang w:val="es-ES"/>
        </w:rPr>
      </w:pPr>
      <w:r w:rsidRPr="00512E0B">
        <w:rPr>
          <w:rFonts w:asciiTheme="majorHAnsi" w:hAnsiTheme="majorHAnsi"/>
          <w:sz w:val="20"/>
          <w:szCs w:val="20"/>
          <w:lang w:val="es-ES"/>
        </w:rPr>
        <w:fldChar w:fldCharType="end"/>
      </w:r>
    </w:p>
    <w:p w14:paraId="65FB400F" w14:textId="088A7C68" w:rsidR="00C140DA" w:rsidRPr="00683301" w:rsidRDefault="00161414" w:rsidP="00C140DA">
      <w:pPr>
        <w:jc w:val="center"/>
        <w:rPr>
          <w:rFonts w:ascii="Cambria" w:hAnsi="Cambria"/>
          <w:sz w:val="18"/>
          <w:szCs w:val="18"/>
          <w:lang w:val="es-ES"/>
        </w:rPr>
      </w:pPr>
      <w:r w:rsidRPr="00683301">
        <w:rPr>
          <w:rFonts w:ascii="Cambria" w:hAnsi="Cambria"/>
          <w:sz w:val="20"/>
          <w:szCs w:val="20"/>
          <w:lang w:val="es-ES"/>
        </w:rPr>
        <w:br w:type="page"/>
      </w:r>
      <w:r w:rsidR="00C140DA" w:rsidRPr="00683301">
        <w:rPr>
          <w:rFonts w:ascii="Cambria" w:hAnsi="Cambria"/>
          <w:b/>
          <w:sz w:val="18"/>
          <w:szCs w:val="18"/>
          <w:lang w:val="es-ES"/>
        </w:rPr>
        <w:lastRenderedPageBreak/>
        <w:t xml:space="preserve">INFORME No. </w:t>
      </w:r>
      <w:r w:rsidR="00512E0B">
        <w:rPr>
          <w:rFonts w:ascii="Cambria" w:hAnsi="Cambria"/>
          <w:b/>
          <w:sz w:val="18"/>
          <w:szCs w:val="18"/>
          <w:lang w:val="es-ES"/>
        </w:rPr>
        <w:t>40</w:t>
      </w:r>
      <w:r w:rsidR="00C140DA" w:rsidRPr="00683301">
        <w:rPr>
          <w:rFonts w:ascii="Cambria" w:hAnsi="Cambria"/>
          <w:b/>
          <w:sz w:val="18"/>
          <w:szCs w:val="18"/>
          <w:lang w:val="es-ES"/>
        </w:rPr>
        <w:t>/17</w:t>
      </w:r>
    </w:p>
    <w:p w14:paraId="72D56640" w14:textId="77777777" w:rsidR="00C140DA" w:rsidRPr="00683301" w:rsidRDefault="00C140DA" w:rsidP="00C140DA">
      <w:pPr>
        <w:tabs>
          <w:tab w:val="center" w:pos="5400"/>
        </w:tabs>
        <w:suppressAutoHyphens/>
        <w:spacing w:line="276" w:lineRule="auto"/>
        <w:jc w:val="center"/>
        <w:rPr>
          <w:rFonts w:ascii="Cambria" w:hAnsi="Cambria"/>
          <w:b/>
          <w:sz w:val="18"/>
          <w:szCs w:val="18"/>
          <w:lang w:val="es-ES"/>
        </w:rPr>
      </w:pPr>
      <w:r w:rsidRPr="00683301">
        <w:rPr>
          <w:rFonts w:ascii="Cambria" w:hAnsi="Cambria"/>
          <w:b/>
          <w:sz w:val="18"/>
          <w:szCs w:val="18"/>
          <w:lang w:val="es-ES"/>
        </w:rPr>
        <w:t>CASO 12.197</w:t>
      </w:r>
    </w:p>
    <w:p w14:paraId="7FC0872D" w14:textId="2B14EA41" w:rsidR="00C140DA" w:rsidRPr="00683301" w:rsidRDefault="00C140DA" w:rsidP="00C140DA">
      <w:pPr>
        <w:tabs>
          <w:tab w:val="center" w:pos="5400"/>
        </w:tabs>
        <w:suppressAutoHyphens/>
        <w:spacing w:line="276" w:lineRule="auto"/>
        <w:jc w:val="center"/>
        <w:rPr>
          <w:rFonts w:ascii="Cambria" w:hAnsi="Cambria"/>
          <w:sz w:val="18"/>
          <w:szCs w:val="18"/>
          <w:lang w:val="es-ES"/>
        </w:rPr>
      </w:pPr>
      <w:r w:rsidRPr="00683301">
        <w:rPr>
          <w:rFonts w:ascii="Cambria" w:hAnsi="Cambria"/>
          <w:sz w:val="18"/>
          <w:szCs w:val="18"/>
          <w:lang w:val="es-ES"/>
        </w:rPr>
        <w:t>FONDO</w:t>
      </w:r>
    </w:p>
    <w:p w14:paraId="180ED923" w14:textId="77777777" w:rsidR="00C140DA" w:rsidRPr="00683301" w:rsidRDefault="00C140DA" w:rsidP="00C140DA">
      <w:pPr>
        <w:tabs>
          <w:tab w:val="center" w:pos="5400"/>
        </w:tabs>
        <w:suppressAutoHyphens/>
        <w:spacing w:line="276" w:lineRule="auto"/>
        <w:jc w:val="center"/>
        <w:rPr>
          <w:rFonts w:ascii="Cambria" w:hAnsi="Cambria"/>
          <w:sz w:val="18"/>
          <w:szCs w:val="18"/>
          <w:lang w:val="es-ES"/>
        </w:rPr>
      </w:pPr>
      <w:r w:rsidRPr="00683301">
        <w:rPr>
          <w:rFonts w:ascii="Cambria" w:hAnsi="Cambria"/>
          <w:sz w:val="18"/>
          <w:szCs w:val="18"/>
          <w:lang w:val="es-ES"/>
        </w:rPr>
        <w:t>RAMÓN ROSENDO CARRANZA ALARCÓN</w:t>
      </w:r>
    </w:p>
    <w:p w14:paraId="0CACDD13" w14:textId="77777777" w:rsidR="00C140DA" w:rsidRPr="00683301" w:rsidRDefault="00C140DA" w:rsidP="00C140DA">
      <w:pPr>
        <w:tabs>
          <w:tab w:val="center" w:pos="5400"/>
        </w:tabs>
        <w:suppressAutoHyphens/>
        <w:spacing w:line="276" w:lineRule="auto"/>
        <w:jc w:val="center"/>
        <w:rPr>
          <w:rFonts w:ascii="Cambria" w:hAnsi="Cambria"/>
          <w:sz w:val="18"/>
          <w:szCs w:val="18"/>
          <w:lang w:val="es-ES"/>
        </w:rPr>
      </w:pPr>
      <w:r w:rsidRPr="00683301">
        <w:rPr>
          <w:rFonts w:ascii="Cambria" w:hAnsi="Cambria"/>
          <w:sz w:val="18"/>
          <w:szCs w:val="18"/>
          <w:lang w:val="es-ES"/>
        </w:rPr>
        <w:t>ECUADOR</w:t>
      </w:r>
    </w:p>
    <w:p w14:paraId="5EA9CEB5" w14:textId="43D35B07" w:rsidR="00C140DA" w:rsidRPr="00683301" w:rsidRDefault="00512E0B" w:rsidP="00C140DA">
      <w:pPr>
        <w:tabs>
          <w:tab w:val="center" w:pos="5400"/>
        </w:tabs>
        <w:suppressAutoHyphens/>
        <w:spacing w:line="276" w:lineRule="auto"/>
        <w:jc w:val="center"/>
        <w:rPr>
          <w:rFonts w:ascii="Cambria" w:hAnsi="Cambria"/>
          <w:sz w:val="18"/>
          <w:szCs w:val="18"/>
          <w:lang w:val="es-ES"/>
        </w:rPr>
      </w:pPr>
      <w:r>
        <w:rPr>
          <w:rFonts w:ascii="Cambria" w:hAnsi="Cambria"/>
          <w:sz w:val="18"/>
          <w:szCs w:val="18"/>
          <w:lang w:val="es-ES"/>
        </w:rPr>
        <w:t xml:space="preserve">23 DE MAYO DE </w:t>
      </w:r>
      <w:r w:rsidR="00C140DA" w:rsidRPr="00683301">
        <w:rPr>
          <w:rFonts w:ascii="Cambria" w:hAnsi="Cambria"/>
          <w:sz w:val="18"/>
          <w:szCs w:val="18"/>
          <w:lang w:val="es-ES"/>
        </w:rPr>
        <w:t>2017</w:t>
      </w:r>
    </w:p>
    <w:p w14:paraId="336BE76C" w14:textId="77777777" w:rsidR="000F494B" w:rsidRPr="00683301" w:rsidRDefault="000F494B" w:rsidP="00B7712A">
      <w:pPr>
        <w:tabs>
          <w:tab w:val="center" w:pos="5400"/>
        </w:tabs>
        <w:suppressAutoHyphens/>
        <w:jc w:val="both"/>
        <w:rPr>
          <w:rFonts w:ascii="Cambria" w:hAnsi="Cambria"/>
          <w:sz w:val="20"/>
          <w:szCs w:val="20"/>
          <w:lang w:val="es-ES"/>
        </w:rPr>
      </w:pPr>
    </w:p>
    <w:p w14:paraId="4D99E2C4" w14:textId="77777777" w:rsidR="00D1255F" w:rsidRPr="00683301" w:rsidRDefault="00D1255F" w:rsidP="00B7712A">
      <w:pPr>
        <w:tabs>
          <w:tab w:val="center" w:pos="5400"/>
        </w:tabs>
        <w:suppressAutoHyphens/>
        <w:jc w:val="both"/>
        <w:rPr>
          <w:rFonts w:ascii="Cambria" w:hAnsi="Cambria"/>
          <w:sz w:val="20"/>
          <w:szCs w:val="20"/>
          <w:lang w:val="es-ES"/>
        </w:rPr>
      </w:pPr>
    </w:p>
    <w:p w14:paraId="239D4C73" w14:textId="77777777" w:rsidR="000F494B" w:rsidRPr="00683301" w:rsidRDefault="000F494B" w:rsidP="00BB058F">
      <w:pPr>
        <w:pStyle w:val="Heading1"/>
        <w:rPr>
          <w:lang w:val="es-ES"/>
        </w:rPr>
      </w:pPr>
      <w:bookmarkStart w:id="1" w:name="_Toc370830569"/>
      <w:bookmarkStart w:id="2" w:name="_Toc370831280"/>
      <w:bookmarkStart w:id="3" w:name="_Toc412635569"/>
      <w:bookmarkStart w:id="4" w:name="_Toc416685625"/>
      <w:bookmarkStart w:id="5" w:name="_Toc482278236"/>
      <w:r w:rsidRPr="00683301">
        <w:rPr>
          <w:lang w:val="es-ES"/>
        </w:rPr>
        <w:t>RESUMEN</w:t>
      </w:r>
      <w:bookmarkEnd w:id="1"/>
      <w:bookmarkEnd w:id="2"/>
      <w:bookmarkEnd w:id="3"/>
      <w:bookmarkEnd w:id="4"/>
      <w:bookmarkEnd w:id="5"/>
    </w:p>
    <w:p w14:paraId="648AAA0C" w14:textId="77777777" w:rsidR="000F494B" w:rsidRPr="00683301" w:rsidRDefault="000F494B" w:rsidP="00B7712A">
      <w:pPr>
        <w:ind w:firstLine="567"/>
        <w:jc w:val="both"/>
        <w:rPr>
          <w:rFonts w:ascii="Cambria" w:hAnsi="Cambria" w:cs="Arial"/>
          <w:sz w:val="20"/>
          <w:szCs w:val="20"/>
          <w:lang w:val="es-ES"/>
        </w:rPr>
      </w:pPr>
    </w:p>
    <w:p w14:paraId="36AA7922" w14:textId="77777777" w:rsidR="00B7712A" w:rsidRPr="00683301" w:rsidRDefault="000F494B"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El </w:t>
      </w:r>
      <w:r w:rsidR="00BF7A83" w:rsidRPr="00683301">
        <w:rPr>
          <w:rFonts w:ascii="Cambria" w:hAnsi="Cambria"/>
          <w:sz w:val="20"/>
          <w:szCs w:val="20"/>
          <w:lang w:val="es-ES"/>
        </w:rPr>
        <w:t>5 de abril de 1998</w:t>
      </w:r>
      <w:r w:rsidRPr="00683301">
        <w:rPr>
          <w:rFonts w:ascii="Cambria" w:hAnsi="Cambria"/>
          <w:sz w:val="20"/>
          <w:szCs w:val="20"/>
          <w:lang w:val="es-ES"/>
        </w:rPr>
        <w:t xml:space="preserve"> la Comisión Interamericana de Derechos Humanos (en adelante “la Comisión”, “la Comisión Interamericana” o “la CIDH”) recibió una petición</w:t>
      </w:r>
      <w:r w:rsidR="00F67642" w:rsidRPr="00683301">
        <w:rPr>
          <w:rFonts w:ascii="Cambria" w:hAnsi="Cambria"/>
          <w:sz w:val="20"/>
          <w:szCs w:val="20"/>
          <w:lang w:val="es-ES"/>
        </w:rPr>
        <w:t xml:space="preserve"> presentada</w:t>
      </w:r>
      <w:r w:rsidR="005B585D" w:rsidRPr="00683301">
        <w:rPr>
          <w:rFonts w:ascii="Cambria" w:hAnsi="Cambria"/>
          <w:sz w:val="20"/>
          <w:szCs w:val="20"/>
          <w:lang w:val="es-ES"/>
        </w:rPr>
        <w:t xml:space="preserve"> por</w:t>
      </w:r>
      <w:r w:rsidR="00F67642" w:rsidRPr="00683301">
        <w:rPr>
          <w:rFonts w:ascii="Cambria" w:hAnsi="Cambria"/>
          <w:sz w:val="20"/>
          <w:szCs w:val="20"/>
          <w:lang w:val="es-ES"/>
        </w:rPr>
        <w:t xml:space="preserve"> </w:t>
      </w:r>
      <w:r w:rsidR="00BF7A83" w:rsidRPr="00683301">
        <w:rPr>
          <w:rFonts w:ascii="Cambria" w:hAnsi="Cambria"/>
          <w:sz w:val="20"/>
          <w:szCs w:val="20"/>
          <w:lang w:val="es-ES"/>
        </w:rPr>
        <w:t xml:space="preserve">José Leonardo Obando Laaz (en adelante “el peticionario”) en el cual </w:t>
      </w:r>
      <w:r w:rsidR="00B7712A" w:rsidRPr="00683301">
        <w:rPr>
          <w:rFonts w:ascii="Cambria" w:hAnsi="Cambria"/>
          <w:sz w:val="20"/>
          <w:szCs w:val="20"/>
          <w:lang w:val="es-ES"/>
        </w:rPr>
        <w:t>se alegó</w:t>
      </w:r>
      <w:r w:rsidR="00BF7A83" w:rsidRPr="00683301">
        <w:rPr>
          <w:rFonts w:ascii="Cambria" w:hAnsi="Cambria"/>
          <w:sz w:val="20"/>
          <w:szCs w:val="20"/>
          <w:lang w:val="es-ES"/>
        </w:rPr>
        <w:t xml:space="preserve"> la responsabilidad de la República del Ecuador por la </w:t>
      </w:r>
      <w:r w:rsidR="00937642" w:rsidRPr="00683301">
        <w:rPr>
          <w:rFonts w:ascii="Cambria" w:hAnsi="Cambria"/>
          <w:sz w:val="20"/>
          <w:szCs w:val="20"/>
          <w:lang w:val="es-ES"/>
        </w:rPr>
        <w:t>detención ilegal y arbitraria de Ramón Rosendo Carranza Alarcón en noviembre de 1994</w:t>
      </w:r>
      <w:r w:rsidR="00944F64" w:rsidRPr="00683301">
        <w:rPr>
          <w:rFonts w:ascii="Cambria" w:hAnsi="Cambria"/>
          <w:sz w:val="20"/>
          <w:szCs w:val="20"/>
          <w:lang w:val="es-ES"/>
        </w:rPr>
        <w:t xml:space="preserve"> por parte de agentes públicos</w:t>
      </w:r>
      <w:r w:rsidR="00937642" w:rsidRPr="00683301">
        <w:rPr>
          <w:rFonts w:ascii="Cambria" w:hAnsi="Cambria"/>
          <w:sz w:val="20"/>
          <w:szCs w:val="20"/>
          <w:lang w:val="es-ES"/>
        </w:rPr>
        <w:t xml:space="preserve">, así como por el plazo irrazonable de </w:t>
      </w:r>
      <w:r w:rsidR="000D5912" w:rsidRPr="00683301">
        <w:rPr>
          <w:rFonts w:ascii="Cambria" w:hAnsi="Cambria"/>
          <w:sz w:val="20"/>
          <w:szCs w:val="20"/>
          <w:lang w:val="es-ES"/>
        </w:rPr>
        <w:t xml:space="preserve">detención preventiva que sufrió en el marco de una investigación y proceso penal </w:t>
      </w:r>
      <w:r w:rsidR="00F47A02" w:rsidRPr="00683301">
        <w:rPr>
          <w:rFonts w:ascii="Cambria" w:hAnsi="Cambria"/>
          <w:sz w:val="20"/>
          <w:szCs w:val="20"/>
          <w:lang w:val="es-ES"/>
        </w:rPr>
        <w:t xml:space="preserve">por el delito de asesinato. </w:t>
      </w:r>
      <w:r w:rsidR="00937642" w:rsidRPr="00683301">
        <w:rPr>
          <w:rFonts w:ascii="Cambria" w:hAnsi="Cambria"/>
          <w:sz w:val="20"/>
          <w:szCs w:val="20"/>
          <w:lang w:val="es-ES"/>
        </w:rPr>
        <w:t xml:space="preserve"> </w:t>
      </w:r>
    </w:p>
    <w:p w14:paraId="44F5E0F9" w14:textId="77777777" w:rsidR="00A20AB1" w:rsidRPr="00683301" w:rsidRDefault="00A20AB1" w:rsidP="0093764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27C47F35" w14:textId="77777777" w:rsidR="00944F64" w:rsidRPr="00683301" w:rsidRDefault="00937642"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w:t>
      </w:r>
      <w:r w:rsidR="00BF7A83" w:rsidRPr="00683301">
        <w:rPr>
          <w:rFonts w:ascii="Cambria" w:hAnsi="Cambria"/>
          <w:sz w:val="20"/>
          <w:szCs w:val="20"/>
          <w:lang w:val="es-ES"/>
        </w:rPr>
        <w:t>l Estado alegó que</w:t>
      </w:r>
      <w:r w:rsidR="00944F64" w:rsidRPr="00683301">
        <w:rPr>
          <w:rFonts w:ascii="Cambria" w:hAnsi="Cambria"/>
          <w:sz w:val="20"/>
          <w:szCs w:val="20"/>
          <w:lang w:val="es-ES"/>
        </w:rPr>
        <w:t xml:space="preserve"> el arresto del señor Carranza y la duración de su detención preventiva se realizó conforme a lo establecido en el ordenamiento jurídico interno y a los estándares internacionales. Sostuvo que el señor Carranza dispuso de diversos recursos adecuados y efectivos a efectos de cuestionar cualquier presunta afectación de sus derechos.</w:t>
      </w:r>
    </w:p>
    <w:p w14:paraId="3850EA6C" w14:textId="77777777" w:rsidR="00926134" w:rsidRPr="00683301" w:rsidRDefault="00926134"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33E06BB" w14:textId="77777777" w:rsidR="000F494B" w:rsidRPr="00683301" w:rsidRDefault="00E01979"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T</w:t>
      </w:r>
      <w:r w:rsidR="000F494B" w:rsidRPr="00683301">
        <w:rPr>
          <w:rFonts w:ascii="Cambria" w:hAnsi="Cambria"/>
          <w:sz w:val="20"/>
          <w:szCs w:val="20"/>
          <w:lang w:val="es-ES"/>
        </w:rPr>
        <w:t>ras analizar la información disponible,</w:t>
      </w:r>
      <w:r w:rsidR="00801DA6" w:rsidRPr="00683301">
        <w:rPr>
          <w:rFonts w:ascii="Cambria" w:hAnsi="Cambria"/>
          <w:sz w:val="20"/>
          <w:szCs w:val="20"/>
          <w:lang w:val="es-ES"/>
        </w:rPr>
        <w:t xml:space="preserve"> </w:t>
      </w:r>
      <w:r w:rsidR="000F494B" w:rsidRPr="00683301">
        <w:rPr>
          <w:rFonts w:ascii="Cambria" w:hAnsi="Cambria"/>
          <w:sz w:val="20"/>
          <w:szCs w:val="20"/>
          <w:lang w:val="es-ES"/>
        </w:rPr>
        <w:t xml:space="preserve">la Comisión concluyó que el Estado es responsable </w:t>
      </w:r>
      <w:r w:rsidR="00F66BD7" w:rsidRPr="00683301">
        <w:rPr>
          <w:rFonts w:ascii="Cambria" w:hAnsi="Cambria"/>
          <w:sz w:val="20"/>
          <w:szCs w:val="20"/>
          <w:lang w:val="es-ES"/>
        </w:rPr>
        <w:t>por la violación de los derechos a la</w:t>
      </w:r>
      <w:r w:rsidR="00944F64" w:rsidRPr="00683301">
        <w:rPr>
          <w:rFonts w:ascii="Cambria" w:hAnsi="Cambria"/>
          <w:sz w:val="20"/>
          <w:szCs w:val="20"/>
          <w:lang w:val="es-ES"/>
        </w:rPr>
        <w:t xml:space="preserve"> </w:t>
      </w:r>
      <w:r w:rsidR="00F66BD7" w:rsidRPr="00683301">
        <w:rPr>
          <w:rFonts w:ascii="Cambria" w:hAnsi="Cambria"/>
          <w:sz w:val="20"/>
          <w:szCs w:val="20"/>
          <w:lang w:val="es-ES"/>
        </w:rPr>
        <w:t xml:space="preserve">libertad </w:t>
      </w:r>
      <w:r w:rsidR="004B2A95" w:rsidRPr="00683301">
        <w:rPr>
          <w:rFonts w:ascii="Cambria" w:hAnsi="Cambria"/>
          <w:sz w:val="20"/>
          <w:szCs w:val="20"/>
          <w:lang w:val="es-ES"/>
        </w:rPr>
        <w:t>personal y</w:t>
      </w:r>
      <w:r w:rsidR="00944F64" w:rsidRPr="00683301">
        <w:rPr>
          <w:rFonts w:ascii="Cambria" w:hAnsi="Cambria"/>
          <w:sz w:val="20"/>
          <w:szCs w:val="20"/>
          <w:lang w:val="es-ES"/>
        </w:rPr>
        <w:t xml:space="preserve"> garantías judiciales, </w:t>
      </w:r>
      <w:r w:rsidR="001F3A4D" w:rsidRPr="00683301">
        <w:rPr>
          <w:rFonts w:ascii="Cambria" w:hAnsi="Cambria"/>
          <w:sz w:val="20"/>
          <w:szCs w:val="20"/>
          <w:lang w:val="es-ES"/>
        </w:rPr>
        <w:t xml:space="preserve">establecidos en los artículos </w:t>
      </w:r>
      <w:r w:rsidR="009C1846" w:rsidRPr="00683301">
        <w:rPr>
          <w:rFonts w:ascii="Cambria" w:hAnsi="Cambria"/>
          <w:sz w:val="20"/>
          <w:szCs w:val="20"/>
          <w:lang w:val="es-ES"/>
        </w:rPr>
        <w:t>7.1,</w:t>
      </w:r>
      <w:r w:rsidR="001F3A4D" w:rsidRPr="00683301">
        <w:rPr>
          <w:rFonts w:ascii="Cambria" w:hAnsi="Cambria"/>
          <w:sz w:val="20"/>
          <w:szCs w:val="20"/>
          <w:lang w:val="es-ES"/>
        </w:rPr>
        <w:t xml:space="preserve"> </w:t>
      </w:r>
      <w:r w:rsidR="003B00A2" w:rsidRPr="00683301">
        <w:rPr>
          <w:rFonts w:ascii="Cambria" w:hAnsi="Cambria"/>
          <w:sz w:val="20"/>
          <w:szCs w:val="20"/>
          <w:lang w:val="es-ES"/>
        </w:rPr>
        <w:t xml:space="preserve">7.3, 7.5, </w:t>
      </w:r>
      <w:r w:rsidR="00B82957" w:rsidRPr="00683301">
        <w:rPr>
          <w:rFonts w:ascii="Cambria" w:hAnsi="Cambria"/>
          <w:sz w:val="20"/>
          <w:szCs w:val="20"/>
          <w:lang w:val="es-ES"/>
        </w:rPr>
        <w:t>8.1 y</w:t>
      </w:r>
      <w:r w:rsidR="001F3A4D" w:rsidRPr="00683301">
        <w:rPr>
          <w:rFonts w:ascii="Cambria" w:hAnsi="Cambria"/>
          <w:sz w:val="20"/>
          <w:szCs w:val="20"/>
          <w:lang w:val="es-ES"/>
        </w:rPr>
        <w:t xml:space="preserve"> 8.2 </w:t>
      </w:r>
      <w:r w:rsidR="00CB7BBC" w:rsidRPr="00683301">
        <w:rPr>
          <w:rFonts w:ascii="Cambria" w:hAnsi="Cambria"/>
          <w:sz w:val="20"/>
          <w:szCs w:val="20"/>
          <w:lang w:val="es-ES"/>
        </w:rPr>
        <w:t>de la Convención Americana</w:t>
      </w:r>
      <w:r w:rsidR="002E7F9F" w:rsidRPr="00683301">
        <w:rPr>
          <w:rFonts w:ascii="Cambria" w:hAnsi="Cambria"/>
          <w:sz w:val="20"/>
          <w:szCs w:val="20"/>
          <w:lang w:val="es-ES"/>
        </w:rPr>
        <w:t xml:space="preserve"> en relación con </w:t>
      </w:r>
      <w:r w:rsidR="00C41468" w:rsidRPr="00683301">
        <w:rPr>
          <w:rFonts w:ascii="Cambria" w:hAnsi="Cambria"/>
          <w:sz w:val="20"/>
          <w:szCs w:val="20"/>
          <w:lang w:val="es-ES"/>
        </w:rPr>
        <w:t>obligaciones establecidas en los</w:t>
      </w:r>
      <w:r w:rsidR="00644E60" w:rsidRPr="00683301">
        <w:rPr>
          <w:rFonts w:ascii="Cambria" w:hAnsi="Cambria"/>
          <w:sz w:val="20"/>
          <w:szCs w:val="20"/>
          <w:lang w:val="es-ES"/>
        </w:rPr>
        <w:t xml:space="preserve"> artículo</w:t>
      </w:r>
      <w:r w:rsidR="00C41468" w:rsidRPr="00683301">
        <w:rPr>
          <w:rFonts w:ascii="Cambria" w:hAnsi="Cambria"/>
          <w:sz w:val="20"/>
          <w:szCs w:val="20"/>
          <w:lang w:val="es-ES"/>
        </w:rPr>
        <w:t>s</w:t>
      </w:r>
      <w:r w:rsidR="00644E60" w:rsidRPr="00683301">
        <w:rPr>
          <w:rFonts w:ascii="Cambria" w:hAnsi="Cambria"/>
          <w:sz w:val="20"/>
          <w:szCs w:val="20"/>
          <w:lang w:val="es-ES"/>
        </w:rPr>
        <w:t xml:space="preserve"> 1.1</w:t>
      </w:r>
      <w:r w:rsidR="00C41468" w:rsidRPr="00683301">
        <w:rPr>
          <w:rFonts w:ascii="Cambria" w:hAnsi="Cambria"/>
          <w:sz w:val="20"/>
          <w:szCs w:val="20"/>
          <w:lang w:val="es-ES"/>
        </w:rPr>
        <w:t xml:space="preserve"> y 2</w:t>
      </w:r>
      <w:r w:rsidR="00644E60" w:rsidRPr="00683301">
        <w:rPr>
          <w:rFonts w:ascii="Cambria" w:hAnsi="Cambria"/>
          <w:sz w:val="20"/>
          <w:szCs w:val="20"/>
          <w:lang w:val="es-ES"/>
        </w:rPr>
        <w:t xml:space="preserve"> del mismo instrumento, en perju</w:t>
      </w:r>
      <w:r w:rsidR="002E7F9F" w:rsidRPr="00683301">
        <w:rPr>
          <w:rFonts w:ascii="Cambria" w:hAnsi="Cambria"/>
          <w:sz w:val="20"/>
          <w:szCs w:val="20"/>
          <w:lang w:val="es-ES"/>
        </w:rPr>
        <w:t>icio de Ramón Rosendo Carranza Alarcón.</w:t>
      </w:r>
    </w:p>
    <w:p w14:paraId="4D94F113" w14:textId="77777777" w:rsidR="002E7F9F" w:rsidRPr="00683301" w:rsidRDefault="002E7F9F"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65F14822" w14:textId="77777777" w:rsidR="000F494B" w:rsidRPr="00683301" w:rsidRDefault="000F494B" w:rsidP="00BB058F">
      <w:pPr>
        <w:pStyle w:val="Heading1"/>
        <w:rPr>
          <w:lang w:val="es-ES"/>
        </w:rPr>
      </w:pPr>
      <w:bookmarkStart w:id="6" w:name="_Toc370830570"/>
      <w:bookmarkStart w:id="7" w:name="_Toc370831281"/>
      <w:bookmarkStart w:id="8" w:name="_Toc412635570"/>
      <w:bookmarkStart w:id="9" w:name="_Toc416685626"/>
      <w:bookmarkStart w:id="10" w:name="_Toc482278237"/>
      <w:r w:rsidRPr="00683301">
        <w:rPr>
          <w:lang w:val="es-ES"/>
        </w:rPr>
        <w:t>TRÁMITE ANTE LA COMISIÓN</w:t>
      </w:r>
      <w:bookmarkEnd w:id="6"/>
      <w:bookmarkEnd w:id="7"/>
      <w:bookmarkEnd w:id="8"/>
      <w:bookmarkEnd w:id="9"/>
      <w:bookmarkEnd w:id="10"/>
      <w:r w:rsidRPr="00683301">
        <w:rPr>
          <w:lang w:val="es-ES"/>
        </w:rPr>
        <w:t xml:space="preserve"> </w:t>
      </w:r>
    </w:p>
    <w:p w14:paraId="74691F35" w14:textId="77777777" w:rsidR="00754548" w:rsidRPr="00683301" w:rsidRDefault="00B772BF" w:rsidP="00B7712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683301">
        <w:rPr>
          <w:rFonts w:ascii="Cambria" w:hAnsi="Cambria"/>
          <w:sz w:val="20"/>
          <w:szCs w:val="20"/>
          <w:lang w:val="es-ES"/>
        </w:rPr>
        <w:t xml:space="preserve"> </w:t>
      </w:r>
    </w:p>
    <w:p w14:paraId="7FDF32CE" w14:textId="77777777" w:rsidR="00AC66BC" w:rsidRPr="00683301" w:rsidRDefault="00CB7BBC"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ES"/>
        </w:rPr>
      </w:pPr>
      <w:r w:rsidRPr="00683301">
        <w:rPr>
          <w:rFonts w:ascii="Cambria" w:hAnsi="Cambria"/>
          <w:sz w:val="20"/>
          <w:szCs w:val="20"/>
          <w:lang w:val="es-ES"/>
        </w:rPr>
        <w:t xml:space="preserve">El 5 de abril de 1998 </w:t>
      </w:r>
      <w:r w:rsidR="00061170" w:rsidRPr="00683301">
        <w:rPr>
          <w:rFonts w:ascii="Cambria" w:hAnsi="Cambria"/>
          <w:sz w:val="20"/>
          <w:szCs w:val="20"/>
          <w:lang w:val="es-ES"/>
        </w:rPr>
        <w:t xml:space="preserve">la CIDH </w:t>
      </w:r>
      <w:r w:rsidR="00AC66BC" w:rsidRPr="00683301">
        <w:rPr>
          <w:rFonts w:ascii="Cambria" w:hAnsi="Cambria"/>
          <w:sz w:val="20"/>
          <w:szCs w:val="20"/>
          <w:lang w:val="es-ES"/>
        </w:rPr>
        <w:t xml:space="preserve">recibió la petición inicial. El trámite desde la presentación de la petición hasta </w:t>
      </w:r>
      <w:r w:rsidR="004825CC" w:rsidRPr="00683301">
        <w:rPr>
          <w:rFonts w:ascii="Cambria" w:hAnsi="Cambria"/>
          <w:sz w:val="20"/>
          <w:szCs w:val="20"/>
          <w:lang w:val="es-ES"/>
        </w:rPr>
        <w:t>la decisión sobre admisibilidad</w:t>
      </w:r>
      <w:r w:rsidR="00AC66BC" w:rsidRPr="00683301">
        <w:rPr>
          <w:rFonts w:ascii="Cambria" w:hAnsi="Cambria"/>
          <w:sz w:val="20"/>
          <w:szCs w:val="20"/>
          <w:lang w:val="es-ES"/>
        </w:rPr>
        <w:t xml:space="preserve"> se encuentra explicado en detalle e</w:t>
      </w:r>
      <w:r w:rsidRPr="00683301">
        <w:rPr>
          <w:rFonts w:ascii="Cambria" w:hAnsi="Cambria"/>
          <w:sz w:val="20"/>
          <w:szCs w:val="20"/>
          <w:lang w:val="es-ES"/>
        </w:rPr>
        <w:t xml:space="preserve">n el Informe de Admisibilidad 154/11, </w:t>
      </w:r>
      <w:r w:rsidR="00061170" w:rsidRPr="00683301">
        <w:rPr>
          <w:rFonts w:ascii="Cambria" w:hAnsi="Cambria"/>
          <w:sz w:val="20"/>
          <w:szCs w:val="20"/>
          <w:lang w:val="es-ES"/>
        </w:rPr>
        <w:t xml:space="preserve">aprobado </w:t>
      </w:r>
      <w:r w:rsidRPr="00683301">
        <w:rPr>
          <w:rFonts w:ascii="Cambria" w:hAnsi="Cambria"/>
          <w:sz w:val="20"/>
          <w:szCs w:val="20"/>
          <w:lang w:val="es-ES"/>
        </w:rPr>
        <w:t>el 2 de noviembre de 2011</w:t>
      </w:r>
      <w:r w:rsidR="00AC66BC" w:rsidRPr="00683301">
        <w:rPr>
          <w:rStyle w:val="FootnoteReference"/>
          <w:rFonts w:ascii="Cambria" w:hAnsi="Cambria"/>
          <w:sz w:val="20"/>
          <w:szCs w:val="20"/>
          <w:lang w:val="es-ES"/>
        </w:rPr>
        <w:footnoteReference w:id="2"/>
      </w:r>
      <w:r w:rsidR="00AC66BC" w:rsidRPr="00683301">
        <w:rPr>
          <w:rFonts w:ascii="Cambria" w:hAnsi="Cambria"/>
          <w:sz w:val="20"/>
          <w:szCs w:val="20"/>
          <w:lang w:val="es-ES"/>
        </w:rPr>
        <w:t>.</w:t>
      </w:r>
    </w:p>
    <w:p w14:paraId="30AD0119" w14:textId="77777777" w:rsidR="00AC66BC" w:rsidRPr="00683301" w:rsidRDefault="00AC66BC" w:rsidP="00B7712A">
      <w:pPr>
        <w:jc w:val="both"/>
        <w:rPr>
          <w:rFonts w:ascii="Cambria" w:hAnsi="Cambria"/>
          <w:sz w:val="20"/>
          <w:szCs w:val="20"/>
          <w:lang w:val="es-ES"/>
        </w:rPr>
      </w:pPr>
    </w:p>
    <w:p w14:paraId="780FE416" w14:textId="77777777" w:rsidR="00C81F49" w:rsidRPr="00683301" w:rsidRDefault="001E04D5" w:rsidP="00B771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83301">
        <w:rPr>
          <w:rFonts w:ascii="Cambria" w:hAnsi="Cambria"/>
          <w:sz w:val="20"/>
          <w:szCs w:val="20"/>
          <w:lang w:val="es-ES"/>
        </w:rPr>
        <w:t>El 10</w:t>
      </w:r>
      <w:r w:rsidR="00C45C08" w:rsidRPr="00683301">
        <w:rPr>
          <w:rFonts w:ascii="Cambria" w:hAnsi="Cambria"/>
          <w:sz w:val="20"/>
          <w:szCs w:val="20"/>
          <w:lang w:val="es-ES"/>
        </w:rPr>
        <w:t xml:space="preserve"> de noviembre de 2011 </w:t>
      </w:r>
      <w:r w:rsidR="003B595A" w:rsidRPr="00683301">
        <w:rPr>
          <w:rFonts w:ascii="Cambria" w:hAnsi="Cambria"/>
          <w:sz w:val="20"/>
          <w:szCs w:val="20"/>
          <w:lang w:val="es-ES"/>
        </w:rPr>
        <w:t xml:space="preserve">la Comisión notificó </w:t>
      </w:r>
      <w:r w:rsidR="00061170" w:rsidRPr="00683301">
        <w:rPr>
          <w:rFonts w:ascii="Cambria" w:hAnsi="Cambria"/>
          <w:sz w:val="20"/>
          <w:szCs w:val="20"/>
          <w:lang w:val="es-ES"/>
        </w:rPr>
        <w:t>dicho informe</w:t>
      </w:r>
      <w:r w:rsidRPr="00683301">
        <w:rPr>
          <w:rFonts w:ascii="Cambria" w:hAnsi="Cambria"/>
          <w:sz w:val="20"/>
          <w:szCs w:val="20"/>
          <w:lang w:val="es-ES"/>
        </w:rPr>
        <w:t xml:space="preserve"> a las partes</w:t>
      </w:r>
      <w:r w:rsidR="00061170" w:rsidRPr="00683301">
        <w:rPr>
          <w:rFonts w:ascii="Cambria" w:hAnsi="Cambria"/>
          <w:sz w:val="20"/>
          <w:szCs w:val="20"/>
          <w:lang w:val="es-ES"/>
        </w:rPr>
        <w:t xml:space="preserve"> y se puso a </w:t>
      </w:r>
      <w:r w:rsidR="00CB2BFE" w:rsidRPr="00683301">
        <w:rPr>
          <w:rFonts w:ascii="Cambria" w:hAnsi="Cambria"/>
          <w:sz w:val="20"/>
          <w:szCs w:val="20"/>
          <w:lang w:val="es-ES"/>
        </w:rPr>
        <w:t xml:space="preserve">su </w:t>
      </w:r>
      <w:r w:rsidR="00061170" w:rsidRPr="00683301">
        <w:rPr>
          <w:rFonts w:ascii="Cambria" w:hAnsi="Cambria"/>
          <w:sz w:val="20"/>
          <w:szCs w:val="20"/>
          <w:lang w:val="es-ES"/>
        </w:rPr>
        <w:t xml:space="preserve">disposición </w:t>
      </w:r>
      <w:r w:rsidR="00C81F49" w:rsidRPr="00683301">
        <w:rPr>
          <w:rFonts w:ascii="Cambria" w:hAnsi="Cambria"/>
          <w:sz w:val="20"/>
          <w:szCs w:val="20"/>
          <w:lang w:val="es-ES"/>
        </w:rPr>
        <w:t>a fin de llegar a una</w:t>
      </w:r>
      <w:r w:rsidR="00061170" w:rsidRPr="00683301">
        <w:rPr>
          <w:rFonts w:ascii="Cambria" w:hAnsi="Cambria"/>
          <w:sz w:val="20"/>
          <w:szCs w:val="20"/>
          <w:lang w:val="es-ES"/>
        </w:rPr>
        <w:t xml:space="preserve"> solución amistosa. El 30 de junio de 2014 </w:t>
      </w:r>
      <w:r w:rsidR="00C81F49" w:rsidRPr="00683301">
        <w:rPr>
          <w:rFonts w:ascii="Cambria" w:hAnsi="Cambria"/>
          <w:sz w:val="20"/>
          <w:szCs w:val="20"/>
          <w:lang w:val="es-ES"/>
        </w:rPr>
        <w:t xml:space="preserve">el peticionario indicó a la CIDH que no tenía observaciones adicionales que presentar. </w:t>
      </w:r>
      <w:r w:rsidR="00C6319F" w:rsidRPr="00683301">
        <w:rPr>
          <w:rFonts w:ascii="Cambria" w:hAnsi="Cambria"/>
          <w:sz w:val="20"/>
          <w:szCs w:val="20"/>
          <w:lang w:val="es-ES"/>
        </w:rPr>
        <w:t>El 15 de julio de 2016 el Estado presentó sus observaciones adicionales sobre el fondo.</w:t>
      </w:r>
    </w:p>
    <w:p w14:paraId="14AE0F30" w14:textId="77777777" w:rsidR="00866579" w:rsidRPr="00683301" w:rsidRDefault="00866579"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74896D31" w14:textId="77777777" w:rsidR="000F494B" w:rsidRPr="00683301" w:rsidRDefault="000F494B" w:rsidP="00BB058F">
      <w:pPr>
        <w:pStyle w:val="Heading1"/>
        <w:rPr>
          <w:lang w:val="es-ES"/>
        </w:rPr>
      </w:pPr>
      <w:bookmarkStart w:id="11" w:name="_Toc412635571"/>
      <w:bookmarkStart w:id="12" w:name="_Toc416685627"/>
      <w:bookmarkStart w:id="13" w:name="_Toc482278238"/>
      <w:r w:rsidRPr="00683301">
        <w:rPr>
          <w:lang w:val="es-ES"/>
        </w:rPr>
        <w:t>POSICIÓN DE LAS PARTES</w:t>
      </w:r>
      <w:bookmarkEnd w:id="11"/>
      <w:bookmarkEnd w:id="12"/>
      <w:bookmarkEnd w:id="13"/>
    </w:p>
    <w:p w14:paraId="572ED8F3" w14:textId="77777777" w:rsidR="000F494B" w:rsidRPr="00683301" w:rsidRDefault="000F494B" w:rsidP="00B7712A">
      <w:pPr>
        <w:ind w:firstLine="567"/>
        <w:jc w:val="both"/>
        <w:rPr>
          <w:rFonts w:ascii="Cambria" w:hAnsi="Cambria"/>
          <w:sz w:val="20"/>
          <w:szCs w:val="20"/>
          <w:lang w:val="es-ES"/>
        </w:rPr>
      </w:pPr>
    </w:p>
    <w:p w14:paraId="3B45CEB3" w14:textId="77777777" w:rsidR="000F494B" w:rsidRPr="00683301" w:rsidRDefault="000F494B" w:rsidP="00D1255F">
      <w:pPr>
        <w:pStyle w:val="Heading2"/>
        <w:numPr>
          <w:ilvl w:val="0"/>
          <w:numId w:val="56"/>
        </w:numPr>
        <w:rPr>
          <w:lang w:val="es-ES"/>
        </w:rPr>
      </w:pPr>
      <w:bookmarkStart w:id="14" w:name="_Toc370831283"/>
      <w:bookmarkStart w:id="15" w:name="_Toc412635572"/>
      <w:bookmarkStart w:id="16" w:name="_Toc416685628"/>
      <w:bookmarkStart w:id="17" w:name="_Toc482278239"/>
      <w:r w:rsidRPr="00683301">
        <w:rPr>
          <w:lang w:val="es-ES"/>
        </w:rPr>
        <w:t>Posición de</w:t>
      </w:r>
      <w:bookmarkEnd w:id="14"/>
      <w:bookmarkEnd w:id="15"/>
      <w:bookmarkEnd w:id="16"/>
      <w:r w:rsidR="00C6319F" w:rsidRPr="00683301">
        <w:rPr>
          <w:lang w:val="es-ES"/>
        </w:rPr>
        <w:t>l peticionario</w:t>
      </w:r>
      <w:bookmarkEnd w:id="17"/>
    </w:p>
    <w:p w14:paraId="00177C80" w14:textId="77777777" w:rsidR="009B1199" w:rsidRPr="00683301" w:rsidRDefault="009B1199" w:rsidP="00B7712A">
      <w:pPr>
        <w:pStyle w:val="MediumList2-Accent41"/>
        <w:ind w:left="1440"/>
        <w:jc w:val="both"/>
        <w:rPr>
          <w:sz w:val="20"/>
          <w:szCs w:val="20"/>
          <w:lang w:val="es-ES"/>
        </w:rPr>
      </w:pPr>
    </w:p>
    <w:p w14:paraId="200FFB51" w14:textId="03EA90F9" w:rsidR="00923951" w:rsidRPr="00683301" w:rsidRDefault="00D25C21" w:rsidP="00CC62D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El peticionario</w:t>
      </w:r>
      <w:r w:rsidR="00F8162F" w:rsidRPr="00683301">
        <w:rPr>
          <w:rFonts w:ascii="Cambria" w:hAnsi="Cambria"/>
          <w:sz w:val="20"/>
          <w:szCs w:val="20"/>
          <w:lang w:val="es-ES"/>
        </w:rPr>
        <w:t xml:space="preserve"> </w:t>
      </w:r>
      <w:r w:rsidR="00C6319F" w:rsidRPr="00683301">
        <w:rPr>
          <w:rFonts w:ascii="Cambria" w:hAnsi="Cambria"/>
          <w:sz w:val="20"/>
          <w:szCs w:val="20"/>
          <w:lang w:val="es-ES"/>
        </w:rPr>
        <w:t xml:space="preserve">alegó la responsabilidad de la República del Ecuador por la detención ilegal y arbitraria de Ramón Rosendo Carranza Alarcón en noviembre de 1994 por parte de agentes públicos, así como por el plazo irrazonable de </w:t>
      </w:r>
      <w:r w:rsidR="00F93E30" w:rsidRPr="00683301">
        <w:rPr>
          <w:rFonts w:ascii="Cambria" w:hAnsi="Cambria"/>
          <w:sz w:val="20"/>
          <w:szCs w:val="20"/>
          <w:lang w:val="es-ES"/>
        </w:rPr>
        <w:t>detención preventiva que sufrió en el marco de proceso penal que se le siguió por asesinato.</w:t>
      </w:r>
      <w:r w:rsidR="000A550C" w:rsidRPr="00683301">
        <w:rPr>
          <w:rFonts w:ascii="Cambria" w:hAnsi="Cambria"/>
          <w:sz w:val="20"/>
          <w:szCs w:val="20"/>
          <w:lang w:val="es-ES"/>
        </w:rPr>
        <w:t xml:space="preserve"> Señaló que el señor Carranza permaneció en detenció</w:t>
      </w:r>
      <w:r w:rsidR="00942A71" w:rsidRPr="00683301">
        <w:rPr>
          <w:rFonts w:ascii="Cambria" w:hAnsi="Cambria"/>
          <w:sz w:val="20"/>
          <w:szCs w:val="20"/>
          <w:lang w:val="es-ES"/>
        </w:rPr>
        <w:t>n preventiva</w:t>
      </w:r>
      <w:r w:rsidR="004853DD" w:rsidRPr="00683301">
        <w:rPr>
          <w:rFonts w:ascii="Cambria" w:hAnsi="Cambria"/>
          <w:sz w:val="20"/>
          <w:szCs w:val="20"/>
          <w:lang w:val="es-ES"/>
        </w:rPr>
        <w:t xml:space="preserve"> hasta diciembre de 1998 cuando fue condenado.</w:t>
      </w:r>
      <w:r w:rsidR="00C6319F" w:rsidRPr="00683301">
        <w:rPr>
          <w:rFonts w:ascii="Cambria" w:hAnsi="Cambria"/>
          <w:sz w:val="20"/>
          <w:szCs w:val="20"/>
          <w:lang w:val="es-ES"/>
        </w:rPr>
        <w:t xml:space="preserve"> El peticionario también alegó que el Estado es responsable por la afectación a la integridad personal del señor Carranza </w:t>
      </w:r>
      <w:r w:rsidR="00CC62D7" w:rsidRPr="00683301">
        <w:rPr>
          <w:rFonts w:ascii="Cambria" w:hAnsi="Cambria"/>
          <w:sz w:val="20"/>
          <w:szCs w:val="20"/>
          <w:lang w:val="es-ES"/>
        </w:rPr>
        <w:t xml:space="preserve">debido a que, a pesar de tener tuberculosis mientras estuvo detenido, no recibió una atención médica adecuada. </w:t>
      </w:r>
      <w:r w:rsidR="00923951" w:rsidRPr="00683301">
        <w:rPr>
          <w:rFonts w:ascii="Cambria" w:hAnsi="Cambria"/>
          <w:sz w:val="20"/>
          <w:szCs w:val="20"/>
          <w:lang w:val="es-ES"/>
        </w:rPr>
        <w:t>El detalle de los hechos y los proce</w:t>
      </w:r>
      <w:r w:rsidR="00C6319F" w:rsidRPr="00683301">
        <w:rPr>
          <w:rFonts w:ascii="Cambria" w:hAnsi="Cambria"/>
          <w:sz w:val="20"/>
          <w:szCs w:val="20"/>
          <w:lang w:val="es-ES"/>
        </w:rPr>
        <w:t>sos internos será referido en la sección de Hechos Probados</w:t>
      </w:r>
      <w:r w:rsidR="00923951" w:rsidRPr="00683301">
        <w:rPr>
          <w:rFonts w:ascii="Cambria" w:hAnsi="Cambria"/>
          <w:sz w:val="20"/>
          <w:szCs w:val="20"/>
          <w:lang w:val="es-ES"/>
        </w:rPr>
        <w:t>, basado en la información aportada por ambas partes.</w:t>
      </w:r>
    </w:p>
    <w:p w14:paraId="20290A7A" w14:textId="77777777" w:rsidR="00923951" w:rsidRPr="00683301" w:rsidRDefault="00923951"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6183A656" w14:textId="7E79113E" w:rsidR="00C6319F" w:rsidRPr="00683301" w:rsidRDefault="00C0158B" w:rsidP="00B7712A">
      <w:pPr>
        <w:numPr>
          <w:ilvl w:val="0"/>
          <w:numId w:val="55"/>
        </w:numPr>
        <w:jc w:val="both"/>
        <w:rPr>
          <w:rFonts w:ascii="Cambria" w:eastAsia="Times New Roman" w:hAnsi="Cambria"/>
          <w:color w:val="000000"/>
          <w:sz w:val="20"/>
          <w:szCs w:val="20"/>
          <w:u w:color="000000"/>
          <w:lang w:val="es-ES" w:eastAsia="es-ES"/>
        </w:rPr>
      </w:pPr>
      <w:r w:rsidRPr="00683301">
        <w:rPr>
          <w:rFonts w:ascii="Cambria" w:eastAsia="Times New Roman" w:hAnsi="Cambria"/>
          <w:color w:val="000000"/>
          <w:sz w:val="20"/>
          <w:szCs w:val="20"/>
          <w:u w:color="000000"/>
          <w:lang w:val="es-ES" w:eastAsia="es-ES"/>
        </w:rPr>
        <w:lastRenderedPageBreak/>
        <w:t xml:space="preserve">En relación con la alegada violación del </w:t>
      </w:r>
      <w:r w:rsidRPr="00683301">
        <w:rPr>
          <w:rFonts w:ascii="Cambria" w:eastAsia="Times New Roman" w:hAnsi="Cambria"/>
          <w:b/>
          <w:color w:val="000000"/>
          <w:sz w:val="20"/>
          <w:szCs w:val="20"/>
          <w:u w:color="000000"/>
          <w:lang w:val="es-ES" w:eastAsia="es-ES"/>
        </w:rPr>
        <w:t>derecho a la libertad personal</w:t>
      </w:r>
      <w:r w:rsidR="005B7C64" w:rsidRPr="00683301">
        <w:rPr>
          <w:rFonts w:ascii="Cambria" w:eastAsia="Times New Roman" w:hAnsi="Cambria"/>
          <w:b/>
          <w:color w:val="000000"/>
          <w:sz w:val="20"/>
          <w:szCs w:val="20"/>
          <w:u w:color="000000"/>
          <w:lang w:val="es-ES" w:eastAsia="es-ES"/>
        </w:rPr>
        <w:t>,</w:t>
      </w:r>
      <w:r w:rsidR="00AA6722" w:rsidRPr="00683301">
        <w:rPr>
          <w:rFonts w:ascii="Cambria" w:eastAsia="Times New Roman" w:hAnsi="Cambria"/>
          <w:color w:val="000000"/>
          <w:sz w:val="20"/>
          <w:szCs w:val="20"/>
          <w:u w:color="000000"/>
          <w:lang w:val="es-ES" w:eastAsia="es-ES"/>
        </w:rPr>
        <w:t xml:space="preserve"> el peticionario alegó </w:t>
      </w:r>
      <w:r w:rsidR="00C6319F" w:rsidRPr="00683301">
        <w:rPr>
          <w:rFonts w:ascii="Cambria" w:eastAsia="Times New Roman" w:hAnsi="Cambria"/>
          <w:color w:val="000000"/>
          <w:sz w:val="20"/>
          <w:szCs w:val="20"/>
          <w:u w:color="000000"/>
          <w:lang w:val="es-ES" w:eastAsia="es-ES"/>
        </w:rPr>
        <w:t>que fue detenido por agentes policiales sin la e</w:t>
      </w:r>
      <w:r w:rsidR="00EB4D46" w:rsidRPr="00683301">
        <w:rPr>
          <w:rFonts w:ascii="Cambria" w:eastAsia="Times New Roman" w:hAnsi="Cambria"/>
          <w:color w:val="000000"/>
          <w:sz w:val="20"/>
          <w:szCs w:val="20"/>
          <w:u w:color="000000"/>
          <w:lang w:val="es-ES" w:eastAsia="es-ES"/>
        </w:rPr>
        <w:t>xistencia de una orden judicial y sin que se encontrara en situación de flagrancia.</w:t>
      </w:r>
      <w:r w:rsidR="00C6319F" w:rsidRPr="00683301">
        <w:rPr>
          <w:rFonts w:ascii="Cambria" w:eastAsia="Times New Roman" w:hAnsi="Cambria"/>
          <w:color w:val="000000"/>
          <w:sz w:val="20"/>
          <w:szCs w:val="20"/>
          <w:u w:color="000000"/>
          <w:lang w:val="es-ES" w:eastAsia="es-ES"/>
        </w:rPr>
        <w:t xml:space="preserve"> Sostuvo que dichos agentes no le informaron sobre las razones de su detención. Agregó que fue sujeto a detención preventiva durante aproximadamente cuatro años, lo cual resultó en un plazo irrazonable.</w:t>
      </w:r>
    </w:p>
    <w:p w14:paraId="12911E0B" w14:textId="77777777" w:rsidR="00895700" w:rsidRPr="00683301" w:rsidRDefault="00895700" w:rsidP="00895700">
      <w:pPr>
        <w:pStyle w:val="MediumGrid1-Accent22"/>
        <w:rPr>
          <w:rFonts w:ascii="Cambria" w:eastAsia="Times New Roman" w:hAnsi="Cambria"/>
          <w:color w:val="000000"/>
          <w:sz w:val="20"/>
          <w:szCs w:val="20"/>
          <w:u w:color="000000"/>
          <w:lang w:val="es-ES" w:eastAsia="es-ES"/>
        </w:rPr>
      </w:pPr>
    </w:p>
    <w:p w14:paraId="643A3594" w14:textId="7C219867" w:rsidR="00895700" w:rsidRPr="00683301" w:rsidRDefault="00895700" w:rsidP="00895700">
      <w:pPr>
        <w:numPr>
          <w:ilvl w:val="0"/>
          <w:numId w:val="55"/>
        </w:numPr>
        <w:jc w:val="both"/>
        <w:rPr>
          <w:rFonts w:ascii="Cambria" w:eastAsia="Times New Roman" w:hAnsi="Cambria"/>
          <w:color w:val="000000"/>
          <w:sz w:val="20"/>
          <w:szCs w:val="20"/>
          <w:u w:color="000000"/>
          <w:lang w:val="es-ES" w:eastAsia="es-ES"/>
        </w:rPr>
      </w:pPr>
      <w:r w:rsidRPr="00683301">
        <w:rPr>
          <w:rFonts w:ascii="Cambria" w:eastAsia="Times New Roman" w:hAnsi="Cambria"/>
          <w:color w:val="000000"/>
          <w:sz w:val="20"/>
          <w:szCs w:val="20"/>
          <w:u w:color="000000"/>
          <w:lang w:val="es-ES" w:eastAsia="es-ES"/>
        </w:rPr>
        <w:t xml:space="preserve">En relación con la alegada violación de los derechos a las </w:t>
      </w:r>
      <w:r w:rsidRPr="00683301">
        <w:rPr>
          <w:rFonts w:ascii="Cambria" w:eastAsia="Times New Roman" w:hAnsi="Cambria"/>
          <w:b/>
          <w:color w:val="000000"/>
          <w:sz w:val="20"/>
          <w:szCs w:val="20"/>
          <w:u w:color="000000"/>
          <w:lang w:val="es-ES" w:eastAsia="es-ES"/>
        </w:rPr>
        <w:t>garantías judiciales y</w:t>
      </w:r>
      <w:r w:rsidRPr="00683301">
        <w:rPr>
          <w:rFonts w:ascii="Cambria" w:eastAsia="Times New Roman" w:hAnsi="Cambria"/>
          <w:color w:val="000000"/>
          <w:sz w:val="20"/>
          <w:szCs w:val="20"/>
          <w:u w:color="000000"/>
          <w:lang w:val="es-ES" w:eastAsia="es-ES"/>
        </w:rPr>
        <w:t xml:space="preserve"> </w:t>
      </w:r>
      <w:r w:rsidRPr="00683301">
        <w:rPr>
          <w:rFonts w:ascii="Cambria" w:eastAsia="Times New Roman" w:hAnsi="Cambria"/>
          <w:b/>
          <w:color w:val="000000"/>
          <w:sz w:val="20"/>
          <w:szCs w:val="20"/>
          <w:u w:color="000000"/>
          <w:lang w:val="es-ES" w:eastAsia="es-ES"/>
        </w:rPr>
        <w:t xml:space="preserve">protección judicial, </w:t>
      </w:r>
      <w:r w:rsidRPr="00683301">
        <w:rPr>
          <w:rFonts w:ascii="Cambria" w:eastAsia="Times New Roman" w:hAnsi="Cambria"/>
          <w:color w:val="000000"/>
          <w:sz w:val="20"/>
          <w:szCs w:val="20"/>
          <w:u w:color="000000"/>
          <w:lang w:val="es-ES" w:eastAsia="es-ES"/>
        </w:rPr>
        <w:t>el peticionario  sostuvo que el proceso penal que se le siguió no cumplió con los requerimientos de un debido proceso. Sostuvo que la condena en su contra no fue proporcional al no concederle las rebajas establecidas en la ley interna conforme los estándares internacionales.</w:t>
      </w:r>
      <w:r w:rsidR="00C2012A" w:rsidRPr="00683301">
        <w:rPr>
          <w:rFonts w:ascii="Cambria" w:eastAsia="Times New Roman" w:hAnsi="Cambria"/>
          <w:color w:val="000000"/>
          <w:sz w:val="20"/>
          <w:szCs w:val="20"/>
          <w:u w:color="000000"/>
          <w:lang w:val="es-ES" w:eastAsia="es-ES"/>
        </w:rPr>
        <w:t xml:space="preserve"> Indicó que el señor Carranza fue condenado a seis años de privación de la libertad cuando ya llevaba cuatro años en detención preventiva.</w:t>
      </w:r>
    </w:p>
    <w:p w14:paraId="282667B4" w14:textId="77777777" w:rsidR="00063B94" w:rsidRPr="00683301" w:rsidRDefault="00063B94" w:rsidP="00B7712A">
      <w:pPr>
        <w:pStyle w:val="MediumList2-Accent41"/>
        <w:ind w:left="0"/>
        <w:jc w:val="both"/>
        <w:rPr>
          <w:sz w:val="20"/>
          <w:szCs w:val="20"/>
          <w:lang w:val="es-ES"/>
        </w:rPr>
      </w:pPr>
    </w:p>
    <w:p w14:paraId="64651E4F" w14:textId="77777777" w:rsidR="00380035" w:rsidRPr="00683301" w:rsidRDefault="009B1199" w:rsidP="00D1255F">
      <w:pPr>
        <w:pStyle w:val="Heading2"/>
        <w:numPr>
          <w:ilvl w:val="0"/>
          <w:numId w:val="56"/>
        </w:numPr>
        <w:rPr>
          <w:lang w:val="es-ES"/>
        </w:rPr>
      </w:pPr>
      <w:bookmarkStart w:id="18" w:name="_Toc482278240"/>
      <w:r w:rsidRPr="00683301">
        <w:rPr>
          <w:lang w:val="es-ES"/>
        </w:rPr>
        <w:t>Posición del Estado</w:t>
      </w:r>
      <w:bookmarkEnd w:id="18"/>
    </w:p>
    <w:p w14:paraId="1648A633" w14:textId="77777777" w:rsidR="00227CC8" w:rsidRPr="00683301" w:rsidRDefault="00227CC8" w:rsidP="00B7712A">
      <w:pPr>
        <w:ind w:left="720"/>
        <w:jc w:val="both"/>
        <w:rPr>
          <w:rFonts w:ascii="Cambria" w:hAnsi="Cambria" w:cs="Calibri"/>
          <w:color w:val="808080"/>
          <w:sz w:val="20"/>
          <w:szCs w:val="20"/>
          <w:lang w:val="es-ES"/>
        </w:rPr>
      </w:pPr>
    </w:p>
    <w:p w14:paraId="7C1CC2C6" w14:textId="77777777" w:rsidR="00336266" w:rsidRPr="00683301" w:rsidRDefault="00227CC8" w:rsidP="00B7712A">
      <w:pPr>
        <w:numPr>
          <w:ilvl w:val="0"/>
          <w:numId w:val="55"/>
        </w:numPr>
        <w:jc w:val="both"/>
        <w:rPr>
          <w:rFonts w:ascii="Cambria" w:hAnsi="Cambria" w:cs="Calibri"/>
          <w:color w:val="808080"/>
          <w:sz w:val="20"/>
          <w:szCs w:val="20"/>
          <w:lang w:val="es-ES"/>
        </w:rPr>
      </w:pPr>
      <w:r w:rsidRPr="00683301">
        <w:rPr>
          <w:rFonts w:ascii="Cambria" w:hAnsi="Cambria"/>
          <w:sz w:val="20"/>
          <w:szCs w:val="20"/>
          <w:lang w:val="es-ES"/>
        </w:rPr>
        <w:t>El Estado</w:t>
      </w:r>
      <w:r w:rsidR="00F11259" w:rsidRPr="00683301">
        <w:rPr>
          <w:rFonts w:ascii="Cambria" w:hAnsi="Cambria"/>
          <w:sz w:val="20"/>
          <w:szCs w:val="20"/>
          <w:lang w:val="es-ES"/>
        </w:rPr>
        <w:t xml:space="preserve"> </w:t>
      </w:r>
      <w:r w:rsidR="007B1F60" w:rsidRPr="00683301">
        <w:rPr>
          <w:rFonts w:ascii="Cambria" w:hAnsi="Cambria"/>
          <w:sz w:val="20"/>
          <w:szCs w:val="20"/>
          <w:lang w:val="es-ES"/>
        </w:rPr>
        <w:t>alegó que el arresto del señor Carranza y la duración de su detención preventiva se realizó conforme a lo establecido en el ordenamiento jurídico interno y a los estándares internacionales.</w:t>
      </w:r>
    </w:p>
    <w:p w14:paraId="7669145F" w14:textId="77777777" w:rsidR="007B1F60" w:rsidRPr="00683301" w:rsidRDefault="007B1F60" w:rsidP="007B1F60">
      <w:pPr>
        <w:ind w:left="720"/>
        <w:jc w:val="both"/>
        <w:rPr>
          <w:rFonts w:ascii="Cambria" w:hAnsi="Cambria" w:cs="Calibri"/>
          <w:color w:val="808080"/>
          <w:sz w:val="20"/>
          <w:szCs w:val="20"/>
          <w:lang w:val="es-ES"/>
        </w:rPr>
      </w:pPr>
    </w:p>
    <w:p w14:paraId="383F76D3" w14:textId="77777777" w:rsidR="007B1F60" w:rsidRPr="00683301" w:rsidRDefault="007B1F60" w:rsidP="00B7712A">
      <w:pPr>
        <w:numPr>
          <w:ilvl w:val="0"/>
          <w:numId w:val="55"/>
        </w:numPr>
        <w:jc w:val="both"/>
        <w:rPr>
          <w:rFonts w:ascii="Cambria" w:hAnsi="Cambria"/>
          <w:sz w:val="20"/>
          <w:szCs w:val="20"/>
          <w:lang w:val="es-ES"/>
        </w:rPr>
      </w:pPr>
      <w:r w:rsidRPr="00683301">
        <w:rPr>
          <w:rFonts w:ascii="Cambria" w:hAnsi="Cambria"/>
          <w:sz w:val="20"/>
          <w:szCs w:val="20"/>
          <w:lang w:val="es-ES"/>
        </w:rPr>
        <w:t>En relación con la detención en contra del señor Carranza, Ecuador alegó que éste nunca interpuso el recurso de hábeas corpus a efectos de cuestionar su arresto.</w:t>
      </w:r>
      <w:r w:rsidR="00011E17" w:rsidRPr="00683301">
        <w:rPr>
          <w:rFonts w:ascii="Cambria" w:hAnsi="Cambria"/>
          <w:sz w:val="20"/>
          <w:szCs w:val="20"/>
          <w:lang w:val="es-ES"/>
        </w:rPr>
        <w:t xml:space="preserve"> El Estado alegó que su detención fue legal en tanto existía una orden judicial ya que se encontraba prófugo de la justicia por casi un año. Agregó que luego de su detención se puso al señor Carranza </w:t>
      </w:r>
      <w:r w:rsidR="00011E17" w:rsidRPr="00683301">
        <w:rPr>
          <w:rFonts w:ascii="Cambria" w:hAnsi="Cambria" w:cs="Calibri"/>
          <w:sz w:val="20"/>
          <w:szCs w:val="20"/>
          <w:lang w:val="es-ES"/>
        </w:rPr>
        <w:t>a disposición de la autoridad c</w:t>
      </w:r>
      <w:r w:rsidR="0079632D" w:rsidRPr="00683301">
        <w:rPr>
          <w:rFonts w:ascii="Cambria" w:hAnsi="Cambria" w:cs="Calibri"/>
          <w:sz w:val="20"/>
          <w:szCs w:val="20"/>
          <w:lang w:val="es-ES"/>
        </w:rPr>
        <w:t>ompetente para sustanciar</w:t>
      </w:r>
      <w:r w:rsidR="00011E17" w:rsidRPr="00683301">
        <w:rPr>
          <w:rFonts w:ascii="Cambria" w:hAnsi="Cambria" w:cs="Calibri"/>
          <w:sz w:val="20"/>
          <w:szCs w:val="20"/>
          <w:lang w:val="es-ES"/>
        </w:rPr>
        <w:t xml:space="preserve"> la causa correspondiente. El Estado también señaló que la duración de la detención preventiva fue razonable en tanto tuvo como finalidad que compareciera al juicio, tomando en cuenta que el señor Carranza había estado prófugo durante casi un año. </w:t>
      </w:r>
    </w:p>
    <w:p w14:paraId="75BE4F4C" w14:textId="77777777" w:rsidR="007B1F60" w:rsidRPr="00683301" w:rsidRDefault="007B1F60" w:rsidP="007B1F60">
      <w:pPr>
        <w:pStyle w:val="MediumGrid1-Accent22"/>
        <w:rPr>
          <w:rFonts w:ascii="Cambria" w:hAnsi="Cambria"/>
          <w:sz w:val="20"/>
          <w:szCs w:val="20"/>
          <w:lang w:val="es-ES"/>
        </w:rPr>
      </w:pPr>
    </w:p>
    <w:p w14:paraId="20F4FDDD" w14:textId="77777777" w:rsidR="00D11BAD" w:rsidRPr="00683301" w:rsidRDefault="0024191D" w:rsidP="00D11BAD">
      <w:pPr>
        <w:numPr>
          <w:ilvl w:val="0"/>
          <w:numId w:val="55"/>
        </w:numPr>
        <w:jc w:val="both"/>
        <w:rPr>
          <w:rFonts w:ascii="Cambria" w:hAnsi="Cambria"/>
          <w:sz w:val="20"/>
          <w:szCs w:val="20"/>
          <w:lang w:val="es-ES"/>
        </w:rPr>
      </w:pPr>
      <w:r w:rsidRPr="00683301">
        <w:rPr>
          <w:rFonts w:ascii="Cambria" w:hAnsi="Cambria"/>
          <w:sz w:val="20"/>
          <w:szCs w:val="20"/>
          <w:lang w:val="es-ES"/>
        </w:rPr>
        <w:t xml:space="preserve">Respecto del proceso penal seguido al señor Carranza, Ecuador indicó que éste se realizó conforme a las reglas del debido proceso. </w:t>
      </w:r>
      <w:r w:rsidR="007B1F60" w:rsidRPr="00683301">
        <w:rPr>
          <w:rFonts w:ascii="Cambria" w:hAnsi="Cambria"/>
          <w:sz w:val="20"/>
          <w:szCs w:val="20"/>
          <w:lang w:val="es-ES"/>
        </w:rPr>
        <w:t xml:space="preserve">Sostuvo que la sentencia condenatoria en contra del señor Carranza se dictó conforme al derecho nacional y obligaciones internacionales. </w:t>
      </w:r>
      <w:r w:rsidRPr="00683301">
        <w:rPr>
          <w:rFonts w:ascii="Cambria" w:hAnsi="Cambria"/>
          <w:sz w:val="20"/>
          <w:szCs w:val="20"/>
          <w:lang w:val="es-ES"/>
        </w:rPr>
        <w:t xml:space="preserve">El Estado indicó que la duración del proceso tuvo un plazo razonable. Ello debido a la </w:t>
      </w:r>
      <w:r w:rsidRPr="00683301">
        <w:rPr>
          <w:rFonts w:ascii="Cambria" w:hAnsi="Cambria" w:cs="Calibri"/>
          <w:sz w:val="20"/>
          <w:szCs w:val="20"/>
          <w:lang w:val="es-ES"/>
        </w:rPr>
        <w:t>complejidad del asunto y a que el señor Carranza estuvo prófugo de la justicia durante casi un año.</w:t>
      </w:r>
      <w:r w:rsidR="00D11BAD" w:rsidRPr="00683301">
        <w:rPr>
          <w:rFonts w:ascii="Cambria" w:hAnsi="Cambria" w:cs="Calibri"/>
          <w:sz w:val="20"/>
          <w:szCs w:val="20"/>
          <w:lang w:val="es-ES"/>
        </w:rPr>
        <w:t xml:space="preserve"> </w:t>
      </w:r>
      <w:r w:rsidR="00C20034" w:rsidRPr="00683301">
        <w:rPr>
          <w:rFonts w:ascii="Cambria" w:hAnsi="Cambria" w:cs="Calibri"/>
          <w:sz w:val="20"/>
          <w:szCs w:val="20"/>
          <w:lang w:val="es-ES"/>
        </w:rPr>
        <w:t xml:space="preserve">Agregó que </w:t>
      </w:r>
      <w:r w:rsidR="00D11BAD" w:rsidRPr="00683301">
        <w:rPr>
          <w:rFonts w:ascii="Cambria" w:hAnsi="Cambria" w:cs="Calibri"/>
          <w:sz w:val="20"/>
          <w:szCs w:val="20"/>
          <w:lang w:val="es-ES"/>
        </w:rPr>
        <w:t xml:space="preserve">el señor Carranza </w:t>
      </w:r>
      <w:r w:rsidR="00C20034" w:rsidRPr="00683301">
        <w:rPr>
          <w:rFonts w:ascii="Cambria" w:hAnsi="Cambria" w:cs="Calibri"/>
          <w:sz w:val="20"/>
          <w:szCs w:val="20"/>
          <w:lang w:val="es-ES"/>
        </w:rPr>
        <w:t>pudo emplear todos los recursos impugnatorios que la ley le brindaba, tales como los recursos de apelación, casación o revisión, mismos que no utilizó.</w:t>
      </w:r>
      <w:r w:rsidR="00D11BAD" w:rsidRPr="00683301">
        <w:rPr>
          <w:rFonts w:ascii="Cambria" w:hAnsi="Cambria" w:cs="Calibri"/>
          <w:sz w:val="20"/>
          <w:szCs w:val="20"/>
          <w:lang w:val="es-ES"/>
        </w:rPr>
        <w:t xml:space="preserve"> </w:t>
      </w:r>
    </w:p>
    <w:p w14:paraId="71BBC672" w14:textId="77777777" w:rsidR="00D11BAD" w:rsidRPr="00683301" w:rsidRDefault="00D11BAD" w:rsidP="00D11BAD">
      <w:pPr>
        <w:jc w:val="both"/>
        <w:rPr>
          <w:rFonts w:ascii="Cambria" w:hAnsi="Cambria" w:cs="Calibri"/>
          <w:sz w:val="20"/>
          <w:szCs w:val="20"/>
          <w:lang w:val="es-ES"/>
        </w:rPr>
      </w:pPr>
    </w:p>
    <w:p w14:paraId="4BB90856" w14:textId="77777777" w:rsidR="00C20034" w:rsidRPr="00683301" w:rsidRDefault="00D11BAD" w:rsidP="00D11BAD">
      <w:pPr>
        <w:numPr>
          <w:ilvl w:val="0"/>
          <w:numId w:val="55"/>
        </w:numPr>
        <w:jc w:val="both"/>
        <w:rPr>
          <w:rFonts w:ascii="Cambria" w:hAnsi="Cambria"/>
          <w:sz w:val="20"/>
          <w:szCs w:val="20"/>
          <w:lang w:val="es-ES"/>
        </w:rPr>
      </w:pPr>
      <w:r w:rsidRPr="00683301">
        <w:rPr>
          <w:rFonts w:ascii="Cambria" w:hAnsi="Cambria"/>
          <w:sz w:val="20"/>
          <w:szCs w:val="20"/>
          <w:lang w:val="es-ES"/>
        </w:rPr>
        <w:t>En relación con la proporcionalidad de la condena impuesta al señor Carranza</w:t>
      </w:r>
      <w:r w:rsidR="008B5CA1" w:rsidRPr="00683301">
        <w:rPr>
          <w:rFonts w:ascii="Cambria" w:hAnsi="Cambria"/>
          <w:sz w:val="20"/>
          <w:szCs w:val="20"/>
          <w:lang w:val="es-ES"/>
        </w:rPr>
        <w:t>,</w:t>
      </w:r>
      <w:r w:rsidRPr="00683301">
        <w:rPr>
          <w:rFonts w:ascii="Cambria" w:hAnsi="Cambria"/>
          <w:sz w:val="20"/>
          <w:szCs w:val="20"/>
          <w:lang w:val="es-ES"/>
        </w:rPr>
        <w:t xml:space="preserve"> </w:t>
      </w:r>
      <w:r w:rsidR="008B5CA1" w:rsidRPr="00683301">
        <w:rPr>
          <w:rFonts w:ascii="Cambria" w:hAnsi="Cambria" w:cs="Calibri"/>
          <w:sz w:val="20"/>
          <w:szCs w:val="20"/>
          <w:lang w:val="es-ES"/>
        </w:rPr>
        <w:t>e</w:t>
      </w:r>
      <w:r w:rsidRPr="00683301">
        <w:rPr>
          <w:rFonts w:ascii="Cambria" w:hAnsi="Cambria" w:cs="Calibri"/>
          <w:sz w:val="20"/>
          <w:szCs w:val="20"/>
          <w:lang w:val="es-ES"/>
        </w:rPr>
        <w:t>l Estado señaló</w:t>
      </w:r>
      <w:r w:rsidR="000B4539" w:rsidRPr="00683301">
        <w:rPr>
          <w:rFonts w:ascii="Cambria" w:hAnsi="Cambria" w:cs="Calibri"/>
          <w:sz w:val="20"/>
          <w:szCs w:val="20"/>
          <w:lang w:val="es-ES"/>
        </w:rPr>
        <w:t xml:space="preserve"> que el tribunal que emitió la sentencia condenatoria acogió su pedido de atenuantes y modificó la condena que le ley le imponía de ocho a doce años. Ecuador indicó que el tribunal impuso al señor Carranza  la “reclusión menor extraordinaria de seis años, justamente por la buena conducta demostrada”.</w:t>
      </w:r>
    </w:p>
    <w:p w14:paraId="1481AE13" w14:textId="77777777" w:rsidR="00011E17" w:rsidRPr="00683301" w:rsidRDefault="00011E17" w:rsidP="00011E17">
      <w:pPr>
        <w:jc w:val="both"/>
        <w:rPr>
          <w:rFonts w:ascii="Cambria" w:hAnsi="Cambria" w:cs="Calibri"/>
          <w:sz w:val="20"/>
          <w:szCs w:val="20"/>
          <w:lang w:val="es-ES"/>
        </w:rPr>
      </w:pPr>
    </w:p>
    <w:p w14:paraId="4DFFD8C8" w14:textId="77777777" w:rsidR="0025671F" w:rsidRPr="00683301" w:rsidRDefault="0025671F" w:rsidP="00BB058F">
      <w:pPr>
        <w:pStyle w:val="Heading1"/>
        <w:rPr>
          <w:lang w:val="es-ES"/>
        </w:rPr>
      </w:pPr>
      <w:bookmarkStart w:id="19" w:name="_Toc482278241"/>
      <w:r w:rsidRPr="00683301">
        <w:rPr>
          <w:lang w:val="es-ES"/>
        </w:rPr>
        <w:t>HECHOS PROBADOS</w:t>
      </w:r>
      <w:bookmarkEnd w:id="19"/>
    </w:p>
    <w:p w14:paraId="6B2C4E3D" w14:textId="77777777" w:rsidR="0025671F" w:rsidRPr="00683301" w:rsidRDefault="0025671F" w:rsidP="00B7712A">
      <w:pPr>
        <w:jc w:val="both"/>
        <w:rPr>
          <w:rFonts w:ascii="Cambria" w:hAnsi="Cambria"/>
          <w:sz w:val="20"/>
          <w:szCs w:val="20"/>
          <w:lang w:val="es-ES"/>
        </w:rPr>
      </w:pPr>
    </w:p>
    <w:p w14:paraId="1DC27558" w14:textId="77777777" w:rsidR="0025671F" w:rsidRPr="00683301" w:rsidRDefault="0025671F" w:rsidP="00011E17">
      <w:pPr>
        <w:ind w:left="1440" w:hanging="720"/>
        <w:jc w:val="both"/>
        <w:rPr>
          <w:rFonts w:ascii="Cambria" w:hAnsi="Cambria"/>
          <w:b/>
          <w:sz w:val="20"/>
          <w:szCs w:val="20"/>
          <w:lang w:val="es-ES"/>
        </w:rPr>
      </w:pPr>
      <w:r w:rsidRPr="00683301">
        <w:rPr>
          <w:rFonts w:ascii="Cambria" w:hAnsi="Cambria"/>
          <w:b/>
          <w:sz w:val="20"/>
          <w:szCs w:val="20"/>
          <w:lang w:val="es-ES"/>
        </w:rPr>
        <w:t xml:space="preserve">A. </w:t>
      </w:r>
      <w:r w:rsidRPr="00683301">
        <w:rPr>
          <w:rFonts w:ascii="Cambria" w:hAnsi="Cambria"/>
          <w:b/>
          <w:sz w:val="20"/>
          <w:szCs w:val="20"/>
          <w:lang w:val="es-ES"/>
        </w:rPr>
        <w:tab/>
        <w:t>Sobre</w:t>
      </w:r>
      <w:r w:rsidR="00C20034" w:rsidRPr="00683301">
        <w:rPr>
          <w:rFonts w:ascii="Cambria" w:hAnsi="Cambria"/>
          <w:b/>
          <w:sz w:val="20"/>
          <w:szCs w:val="20"/>
          <w:lang w:val="es-ES"/>
        </w:rPr>
        <w:t xml:space="preserve"> la detención del señor Carranza</w:t>
      </w:r>
      <w:r w:rsidR="0051759E" w:rsidRPr="00683301">
        <w:rPr>
          <w:rFonts w:ascii="Cambria" w:hAnsi="Cambria"/>
          <w:b/>
          <w:sz w:val="20"/>
          <w:szCs w:val="20"/>
          <w:lang w:val="es-ES"/>
        </w:rPr>
        <w:t xml:space="preserve"> </w:t>
      </w:r>
      <w:r w:rsidRPr="00683301">
        <w:rPr>
          <w:rFonts w:ascii="Cambria" w:hAnsi="Cambria"/>
          <w:b/>
          <w:sz w:val="20"/>
          <w:szCs w:val="20"/>
          <w:lang w:val="es-ES"/>
        </w:rPr>
        <w:t xml:space="preserve">en </w:t>
      </w:r>
      <w:r w:rsidR="003F5598" w:rsidRPr="00683301">
        <w:rPr>
          <w:rFonts w:ascii="Cambria" w:hAnsi="Cambria"/>
          <w:b/>
          <w:sz w:val="20"/>
          <w:szCs w:val="20"/>
          <w:lang w:val="es-ES"/>
        </w:rPr>
        <w:t>agosto</w:t>
      </w:r>
      <w:r w:rsidR="00587B79" w:rsidRPr="00683301">
        <w:rPr>
          <w:rFonts w:ascii="Cambria" w:hAnsi="Cambria"/>
          <w:b/>
          <w:sz w:val="20"/>
          <w:szCs w:val="20"/>
          <w:lang w:val="es-ES"/>
        </w:rPr>
        <w:t xml:space="preserve"> de </w:t>
      </w:r>
      <w:r w:rsidR="003F5598" w:rsidRPr="00683301">
        <w:rPr>
          <w:rFonts w:ascii="Cambria" w:hAnsi="Cambria"/>
          <w:b/>
          <w:sz w:val="20"/>
          <w:szCs w:val="20"/>
          <w:lang w:val="es-ES"/>
        </w:rPr>
        <w:t>1993</w:t>
      </w:r>
    </w:p>
    <w:p w14:paraId="481C7C1F" w14:textId="77777777" w:rsidR="00AE2D66" w:rsidRPr="00683301" w:rsidRDefault="00AE2D66" w:rsidP="00BC4C44">
      <w:pPr>
        <w:jc w:val="both"/>
        <w:rPr>
          <w:rFonts w:ascii="Cambria" w:hAnsi="Cambria" w:cs="Calibri"/>
          <w:sz w:val="20"/>
          <w:szCs w:val="20"/>
          <w:lang w:val="es-ES"/>
        </w:rPr>
      </w:pPr>
    </w:p>
    <w:p w14:paraId="07D29239" w14:textId="77777777" w:rsidR="00BC4C44" w:rsidRPr="00683301" w:rsidRDefault="00BC4C44" w:rsidP="00B7712A">
      <w:pPr>
        <w:numPr>
          <w:ilvl w:val="0"/>
          <w:numId w:val="55"/>
        </w:numPr>
        <w:jc w:val="both"/>
        <w:rPr>
          <w:rFonts w:ascii="Cambria" w:hAnsi="Cambria" w:cs="Calibri"/>
          <w:sz w:val="20"/>
          <w:szCs w:val="20"/>
          <w:lang w:val="es-ES"/>
        </w:rPr>
      </w:pPr>
      <w:r w:rsidRPr="00683301">
        <w:rPr>
          <w:rFonts w:ascii="Cambria" w:hAnsi="Cambria" w:cs="Calibri"/>
          <w:sz w:val="20"/>
          <w:szCs w:val="20"/>
          <w:lang w:val="es-ES"/>
        </w:rPr>
        <w:t xml:space="preserve">El 16 de agosto de 1993 </w:t>
      </w:r>
      <w:r w:rsidRPr="00683301">
        <w:rPr>
          <w:rFonts w:ascii="Cambria" w:hAnsi="Cambria"/>
          <w:sz w:val="20"/>
          <w:szCs w:val="20"/>
          <w:lang w:val="es-ES"/>
        </w:rPr>
        <w:t>Segundo Mariño Gamboa presentó una denuncia en la Comisaría de la Policía Nacional en el cantón Yaguachi, provincia del Guayas</w:t>
      </w:r>
      <w:r w:rsidRPr="00683301">
        <w:rPr>
          <w:rStyle w:val="FootnoteReference"/>
          <w:rFonts w:ascii="Cambria" w:hAnsi="Cambria" w:cs="Arial"/>
          <w:sz w:val="20"/>
          <w:szCs w:val="20"/>
          <w:lang w:val="es-ES"/>
        </w:rPr>
        <w:footnoteReference w:id="3"/>
      </w:r>
      <w:r w:rsidRPr="00683301">
        <w:rPr>
          <w:rFonts w:ascii="Cambria" w:hAnsi="Cambria"/>
          <w:sz w:val="20"/>
          <w:szCs w:val="20"/>
          <w:lang w:val="es-ES"/>
        </w:rPr>
        <w:t xml:space="preserve">. </w:t>
      </w:r>
      <w:r w:rsidR="006F4954" w:rsidRPr="00683301">
        <w:rPr>
          <w:rFonts w:ascii="Cambria" w:hAnsi="Cambria"/>
          <w:sz w:val="20"/>
          <w:szCs w:val="20"/>
          <w:lang w:val="es-ES"/>
        </w:rPr>
        <w:t>El señor Mariño indicó que su hermano, Samuel Evaristo, fue asesinado el día anterior en un establecimiento de venta de bebidas alcohólicas</w:t>
      </w:r>
      <w:r w:rsidR="006F4954" w:rsidRPr="00683301">
        <w:rPr>
          <w:rStyle w:val="FootnoteReference"/>
          <w:rFonts w:ascii="Cambria" w:hAnsi="Cambria" w:cs="Arial"/>
          <w:sz w:val="20"/>
          <w:szCs w:val="20"/>
          <w:lang w:val="es-ES"/>
        </w:rPr>
        <w:footnoteReference w:id="4"/>
      </w:r>
      <w:r w:rsidR="006F4954" w:rsidRPr="00683301">
        <w:rPr>
          <w:rFonts w:ascii="Cambria" w:hAnsi="Cambria"/>
          <w:sz w:val="20"/>
          <w:szCs w:val="20"/>
          <w:lang w:val="es-ES"/>
        </w:rPr>
        <w:t>. Sostuvo que</w:t>
      </w:r>
      <w:r w:rsidR="00597E5A" w:rsidRPr="00683301">
        <w:rPr>
          <w:rFonts w:ascii="Cambria" w:hAnsi="Cambria"/>
          <w:sz w:val="20"/>
          <w:szCs w:val="20"/>
          <w:lang w:val="es-ES"/>
        </w:rPr>
        <w:t xml:space="preserve">, </w:t>
      </w:r>
      <w:r w:rsidR="006F4954" w:rsidRPr="00683301">
        <w:rPr>
          <w:rFonts w:ascii="Cambria" w:hAnsi="Cambria"/>
          <w:sz w:val="20"/>
          <w:szCs w:val="20"/>
          <w:lang w:val="es-ES"/>
        </w:rPr>
        <w:t>de acuerdo a testigos</w:t>
      </w:r>
      <w:r w:rsidR="00597E5A" w:rsidRPr="00683301">
        <w:rPr>
          <w:rFonts w:ascii="Cambria" w:hAnsi="Cambria"/>
          <w:sz w:val="20"/>
          <w:szCs w:val="20"/>
          <w:lang w:val="es-ES"/>
        </w:rPr>
        <w:t>,</w:t>
      </w:r>
      <w:r w:rsidR="006F4954" w:rsidRPr="00683301">
        <w:rPr>
          <w:rFonts w:ascii="Cambria" w:hAnsi="Cambria"/>
          <w:sz w:val="20"/>
          <w:szCs w:val="20"/>
          <w:lang w:val="es-ES"/>
        </w:rPr>
        <w:t xml:space="preserve"> se encontraban en dicho lugar </w:t>
      </w:r>
      <w:r w:rsidR="006F4954" w:rsidRPr="00683301">
        <w:rPr>
          <w:rFonts w:ascii="Cambria" w:hAnsi="Cambria" w:cs="Arial"/>
          <w:sz w:val="20"/>
          <w:szCs w:val="20"/>
          <w:lang w:val="es-ES"/>
        </w:rPr>
        <w:t xml:space="preserve">Ramón Rosendo Carranza Alarcón y Alfredo Vargas </w:t>
      </w:r>
      <w:r w:rsidR="006F4954" w:rsidRPr="00683301">
        <w:rPr>
          <w:rFonts w:ascii="Cambria" w:hAnsi="Cambria" w:cs="Arial"/>
          <w:sz w:val="20"/>
          <w:szCs w:val="20"/>
          <w:lang w:val="es-ES"/>
        </w:rPr>
        <w:lastRenderedPageBreak/>
        <w:t>Recalde, quienes tuvieron una riña con su hermano</w:t>
      </w:r>
      <w:r w:rsidR="006F4954" w:rsidRPr="00683301">
        <w:rPr>
          <w:rStyle w:val="FootnoteReference"/>
          <w:rFonts w:ascii="Cambria" w:hAnsi="Cambria" w:cs="Arial"/>
          <w:sz w:val="20"/>
          <w:szCs w:val="20"/>
          <w:lang w:val="es-ES"/>
        </w:rPr>
        <w:footnoteReference w:id="5"/>
      </w:r>
      <w:r w:rsidR="006F4954" w:rsidRPr="00683301">
        <w:rPr>
          <w:rFonts w:ascii="Cambria" w:hAnsi="Cambria" w:cs="Arial"/>
          <w:sz w:val="20"/>
          <w:szCs w:val="20"/>
          <w:lang w:val="es-ES"/>
        </w:rPr>
        <w:t>. Agregó que el señor Carranza disparó en contra de su herman</w:t>
      </w:r>
      <w:r w:rsidR="009F68C9" w:rsidRPr="00683301">
        <w:rPr>
          <w:rFonts w:ascii="Cambria" w:hAnsi="Cambria" w:cs="Arial"/>
          <w:sz w:val="20"/>
          <w:szCs w:val="20"/>
          <w:lang w:val="es-ES"/>
        </w:rPr>
        <w:t>o con su carabina y que tanto aquel</w:t>
      </w:r>
      <w:r w:rsidR="006F4954" w:rsidRPr="00683301">
        <w:rPr>
          <w:rFonts w:ascii="Cambria" w:hAnsi="Cambria" w:cs="Arial"/>
          <w:sz w:val="20"/>
          <w:szCs w:val="20"/>
          <w:lang w:val="es-ES"/>
        </w:rPr>
        <w:t xml:space="preserve"> como Alfredo Vargas huyeron de dicho lugar</w:t>
      </w:r>
      <w:r w:rsidR="006F4954" w:rsidRPr="00683301">
        <w:rPr>
          <w:rStyle w:val="FootnoteReference"/>
          <w:rFonts w:ascii="Cambria" w:hAnsi="Cambria" w:cs="Arial"/>
          <w:sz w:val="20"/>
          <w:szCs w:val="20"/>
          <w:lang w:val="es-ES"/>
        </w:rPr>
        <w:footnoteReference w:id="6"/>
      </w:r>
      <w:r w:rsidR="006F4954" w:rsidRPr="00683301">
        <w:rPr>
          <w:rFonts w:ascii="Cambria" w:hAnsi="Cambria" w:cs="Arial"/>
          <w:sz w:val="20"/>
          <w:szCs w:val="20"/>
          <w:lang w:val="es-ES"/>
        </w:rPr>
        <w:t xml:space="preserve">. </w:t>
      </w:r>
    </w:p>
    <w:p w14:paraId="344049D5" w14:textId="77777777" w:rsidR="006F4954" w:rsidRPr="00683301" w:rsidRDefault="006F4954" w:rsidP="006F4954">
      <w:pPr>
        <w:ind w:left="720"/>
        <w:jc w:val="both"/>
        <w:rPr>
          <w:rFonts w:ascii="Cambria" w:hAnsi="Cambria" w:cs="Calibri"/>
          <w:sz w:val="20"/>
          <w:szCs w:val="20"/>
          <w:lang w:val="es-ES"/>
        </w:rPr>
      </w:pPr>
    </w:p>
    <w:p w14:paraId="215D41E7" w14:textId="77777777" w:rsidR="000127C3" w:rsidRPr="00683301" w:rsidRDefault="00F369AE" w:rsidP="00F369AE">
      <w:pPr>
        <w:numPr>
          <w:ilvl w:val="0"/>
          <w:numId w:val="55"/>
        </w:numPr>
        <w:jc w:val="both"/>
        <w:rPr>
          <w:rFonts w:ascii="Cambria" w:hAnsi="Cambria" w:cs="Calibri"/>
          <w:sz w:val="20"/>
          <w:szCs w:val="20"/>
          <w:lang w:val="es-ES"/>
        </w:rPr>
      </w:pPr>
      <w:r w:rsidRPr="00683301">
        <w:rPr>
          <w:rFonts w:ascii="Cambria" w:hAnsi="Cambria" w:cs="Calibri"/>
          <w:sz w:val="20"/>
          <w:szCs w:val="20"/>
          <w:lang w:val="es-ES"/>
        </w:rPr>
        <w:t xml:space="preserve">Al día siguiente el Comisario a cargo de la estación policial ordenó instruir el sumario y dictó el </w:t>
      </w:r>
      <w:r w:rsidR="000A07AF" w:rsidRPr="00683301">
        <w:rPr>
          <w:rFonts w:ascii="Cambria" w:hAnsi="Cambria" w:cs="Arial"/>
          <w:sz w:val="20"/>
          <w:szCs w:val="20"/>
          <w:lang w:val="es-ES"/>
        </w:rPr>
        <w:t>auto cabeza del proceso en contra de</w:t>
      </w:r>
      <w:r w:rsidRPr="00683301">
        <w:rPr>
          <w:rFonts w:ascii="Cambria" w:hAnsi="Cambria" w:cs="Arial"/>
          <w:sz w:val="20"/>
          <w:szCs w:val="20"/>
          <w:lang w:val="es-ES"/>
        </w:rPr>
        <w:t xml:space="preserve"> </w:t>
      </w:r>
      <w:r w:rsidR="000A07AF" w:rsidRPr="00683301">
        <w:rPr>
          <w:rFonts w:ascii="Cambria" w:hAnsi="Cambria" w:cs="Arial"/>
          <w:sz w:val="20"/>
          <w:szCs w:val="20"/>
          <w:lang w:val="es-ES"/>
        </w:rPr>
        <w:t>l</w:t>
      </w:r>
      <w:r w:rsidRPr="00683301">
        <w:rPr>
          <w:rFonts w:ascii="Cambria" w:hAnsi="Cambria" w:cs="Arial"/>
          <w:sz w:val="20"/>
          <w:szCs w:val="20"/>
          <w:lang w:val="es-ES"/>
        </w:rPr>
        <w:t>os señores Carranza y Vargas</w:t>
      </w:r>
      <w:r w:rsidR="000A07AF" w:rsidRPr="00683301">
        <w:rPr>
          <w:rStyle w:val="FootnoteReference"/>
          <w:rFonts w:ascii="Cambria" w:hAnsi="Cambria" w:cs="Arial"/>
          <w:sz w:val="20"/>
          <w:szCs w:val="20"/>
          <w:lang w:val="es-ES"/>
        </w:rPr>
        <w:footnoteReference w:id="7"/>
      </w:r>
      <w:r w:rsidR="000A07AF" w:rsidRPr="00683301">
        <w:rPr>
          <w:rFonts w:ascii="Cambria" w:hAnsi="Cambria" w:cs="Arial"/>
          <w:sz w:val="20"/>
          <w:szCs w:val="20"/>
          <w:lang w:val="es-ES"/>
        </w:rPr>
        <w:t>.</w:t>
      </w:r>
      <w:r w:rsidRPr="00683301">
        <w:rPr>
          <w:rFonts w:ascii="Cambria" w:hAnsi="Cambria" w:cs="Arial"/>
          <w:sz w:val="20"/>
          <w:szCs w:val="20"/>
          <w:lang w:val="es-ES"/>
        </w:rPr>
        <w:t xml:space="preserve"> Asimismo, se giró una boleta de detención en contra de ambas personas</w:t>
      </w:r>
      <w:r w:rsidRPr="00683301">
        <w:rPr>
          <w:rStyle w:val="FootnoteReference"/>
          <w:rFonts w:ascii="Cambria" w:hAnsi="Cambria" w:cs="Arial"/>
          <w:sz w:val="20"/>
          <w:szCs w:val="20"/>
          <w:lang w:val="es-ES"/>
        </w:rPr>
        <w:footnoteReference w:id="8"/>
      </w:r>
      <w:r w:rsidR="00BE0112" w:rsidRPr="00683301">
        <w:rPr>
          <w:rFonts w:ascii="Cambria" w:hAnsi="Cambria" w:cs="Arial"/>
          <w:sz w:val="20"/>
          <w:szCs w:val="20"/>
          <w:lang w:val="es-ES"/>
        </w:rPr>
        <w:t xml:space="preserve">. Esta orden se fundamentó </w:t>
      </w:r>
      <w:r w:rsidR="003818B0" w:rsidRPr="00683301">
        <w:rPr>
          <w:rFonts w:ascii="Cambria" w:hAnsi="Cambria" w:cs="Arial"/>
          <w:sz w:val="20"/>
          <w:szCs w:val="20"/>
          <w:lang w:val="es-ES"/>
        </w:rPr>
        <w:t>de la siguiente manera: “(…) de conformidad con lo que dispone el art. 177 del Có</w:t>
      </w:r>
      <w:r w:rsidR="00A0130C" w:rsidRPr="00683301">
        <w:rPr>
          <w:rFonts w:ascii="Cambria" w:hAnsi="Cambria" w:cs="Arial"/>
          <w:sz w:val="20"/>
          <w:szCs w:val="20"/>
          <w:lang w:val="es-ES"/>
        </w:rPr>
        <w:t>digo de Procedimiento P</w:t>
      </w:r>
      <w:r w:rsidR="003818B0" w:rsidRPr="00683301">
        <w:rPr>
          <w:rFonts w:ascii="Cambria" w:hAnsi="Cambria" w:cs="Arial"/>
          <w:sz w:val="20"/>
          <w:szCs w:val="20"/>
          <w:lang w:val="es-ES"/>
        </w:rPr>
        <w:t xml:space="preserve">enal se les ordena la detención preventiva de los sindicados”. En la boleta se agrega </w:t>
      </w:r>
      <w:r w:rsidR="00A0130C" w:rsidRPr="00683301">
        <w:rPr>
          <w:rFonts w:ascii="Cambria" w:hAnsi="Cambria" w:cs="Arial"/>
          <w:sz w:val="20"/>
          <w:szCs w:val="20"/>
          <w:lang w:val="es-ES"/>
        </w:rPr>
        <w:t xml:space="preserve">que dado que se encuentran prófugos, se solicita a la Policía su aprehensión. </w:t>
      </w:r>
    </w:p>
    <w:p w14:paraId="11B60660" w14:textId="77777777" w:rsidR="000127C3" w:rsidRPr="00683301" w:rsidRDefault="000127C3" w:rsidP="00F369AE">
      <w:pPr>
        <w:jc w:val="both"/>
        <w:rPr>
          <w:rFonts w:ascii="Cambria" w:hAnsi="Cambria" w:cs="Calibri"/>
          <w:sz w:val="20"/>
          <w:szCs w:val="20"/>
          <w:lang w:val="es-ES"/>
        </w:rPr>
      </w:pPr>
    </w:p>
    <w:p w14:paraId="0F1F40FB" w14:textId="77777777" w:rsidR="00395688" w:rsidRPr="00683301" w:rsidRDefault="00F369AE" w:rsidP="00F369AE">
      <w:pPr>
        <w:numPr>
          <w:ilvl w:val="0"/>
          <w:numId w:val="55"/>
        </w:numPr>
        <w:jc w:val="both"/>
        <w:rPr>
          <w:rFonts w:ascii="Cambria" w:hAnsi="Cambria" w:cs="Calibri"/>
          <w:sz w:val="20"/>
          <w:szCs w:val="20"/>
          <w:lang w:val="es-ES"/>
        </w:rPr>
      </w:pPr>
      <w:r w:rsidRPr="00683301">
        <w:rPr>
          <w:rFonts w:ascii="Cambria" w:hAnsi="Cambria" w:cs="Calibri"/>
          <w:sz w:val="20"/>
          <w:szCs w:val="20"/>
          <w:lang w:val="es-ES"/>
        </w:rPr>
        <w:t>E</w:t>
      </w:r>
      <w:r w:rsidRPr="00683301">
        <w:rPr>
          <w:rFonts w:ascii="Cambria" w:hAnsi="Cambria" w:cs="Arial"/>
          <w:sz w:val="20"/>
          <w:szCs w:val="20"/>
          <w:lang w:val="es-ES"/>
        </w:rPr>
        <w:t xml:space="preserve">l 1 de octubre de 1993 </w:t>
      </w:r>
      <w:r w:rsidR="000A07AF" w:rsidRPr="00683301">
        <w:rPr>
          <w:rFonts w:ascii="Cambria" w:hAnsi="Cambria" w:cs="Arial"/>
          <w:sz w:val="20"/>
          <w:szCs w:val="20"/>
          <w:lang w:val="es-ES"/>
        </w:rPr>
        <w:t>el Comisario puso en c</w:t>
      </w:r>
      <w:r w:rsidR="000127C3" w:rsidRPr="00683301">
        <w:rPr>
          <w:rFonts w:ascii="Cambria" w:hAnsi="Cambria" w:cs="Arial"/>
          <w:sz w:val="20"/>
          <w:szCs w:val="20"/>
          <w:lang w:val="es-ES"/>
        </w:rPr>
        <w:t>onocimiento del Juzgado 11º</w:t>
      </w:r>
      <w:r w:rsidR="000A07AF" w:rsidRPr="00683301">
        <w:rPr>
          <w:rFonts w:ascii="Cambria" w:hAnsi="Cambria" w:cs="Arial"/>
          <w:sz w:val="20"/>
          <w:szCs w:val="20"/>
          <w:lang w:val="es-ES"/>
        </w:rPr>
        <w:t xml:space="preserve"> de lo Penal </w:t>
      </w:r>
      <w:r w:rsidRPr="00683301">
        <w:rPr>
          <w:rFonts w:ascii="Cambria" w:hAnsi="Cambria" w:cs="Arial"/>
          <w:sz w:val="20"/>
          <w:szCs w:val="20"/>
          <w:lang w:val="es-ES"/>
        </w:rPr>
        <w:t>d</w:t>
      </w:r>
      <w:r w:rsidR="000A07AF" w:rsidRPr="00683301">
        <w:rPr>
          <w:rFonts w:ascii="Cambria" w:hAnsi="Cambria" w:cs="Arial"/>
          <w:sz w:val="20"/>
          <w:szCs w:val="20"/>
          <w:lang w:val="es-ES"/>
        </w:rPr>
        <w:t xml:space="preserve">el Guayas el proceso por asesinato seguido en contra de los señores </w:t>
      </w:r>
      <w:r w:rsidRPr="00683301">
        <w:rPr>
          <w:rFonts w:ascii="Cambria" w:hAnsi="Cambria" w:cs="Arial"/>
          <w:sz w:val="20"/>
          <w:szCs w:val="20"/>
          <w:lang w:val="es-ES"/>
        </w:rPr>
        <w:t>Carranza y Vargas</w:t>
      </w:r>
      <w:r w:rsidRPr="00683301">
        <w:rPr>
          <w:rStyle w:val="FootnoteReference"/>
          <w:rFonts w:ascii="Cambria" w:hAnsi="Cambria" w:cs="Arial"/>
          <w:sz w:val="20"/>
          <w:szCs w:val="20"/>
          <w:lang w:val="es-ES"/>
        </w:rPr>
        <w:t xml:space="preserve"> </w:t>
      </w:r>
      <w:r w:rsidR="000A07AF" w:rsidRPr="00683301">
        <w:rPr>
          <w:rStyle w:val="FootnoteReference"/>
          <w:rFonts w:ascii="Cambria" w:hAnsi="Cambria" w:cs="Arial"/>
          <w:sz w:val="20"/>
          <w:szCs w:val="20"/>
          <w:lang w:val="es-ES"/>
        </w:rPr>
        <w:footnoteReference w:id="9"/>
      </w:r>
      <w:r w:rsidR="000A07AF" w:rsidRPr="00683301">
        <w:rPr>
          <w:rFonts w:ascii="Cambria" w:hAnsi="Cambria" w:cs="Arial"/>
          <w:sz w:val="20"/>
          <w:szCs w:val="20"/>
          <w:lang w:val="es-ES"/>
        </w:rPr>
        <w:t>. El</w:t>
      </w:r>
      <w:r w:rsidR="00395688" w:rsidRPr="00683301">
        <w:rPr>
          <w:rFonts w:ascii="Cambria" w:hAnsi="Cambria" w:cs="Arial"/>
          <w:sz w:val="20"/>
          <w:szCs w:val="20"/>
          <w:lang w:val="es-ES"/>
        </w:rPr>
        <w:t xml:space="preserve"> 28 de octubre de 1993, el Juzgado</w:t>
      </w:r>
      <w:r w:rsidR="000A07AF" w:rsidRPr="00683301">
        <w:rPr>
          <w:rFonts w:ascii="Cambria" w:hAnsi="Cambria" w:cs="Arial"/>
          <w:sz w:val="20"/>
          <w:szCs w:val="20"/>
          <w:lang w:val="es-ES"/>
        </w:rPr>
        <w:t xml:space="preserve"> </w:t>
      </w:r>
      <w:r w:rsidR="00395688" w:rsidRPr="00683301">
        <w:rPr>
          <w:rFonts w:ascii="Cambria" w:hAnsi="Cambria" w:cs="Arial"/>
          <w:sz w:val="20"/>
          <w:szCs w:val="20"/>
          <w:lang w:val="es-ES"/>
        </w:rPr>
        <w:t>11º</w:t>
      </w:r>
      <w:r w:rsidR="000A07AF" w:rsidRPr="00683301">
        <w:rPr>
          <w:rFonts w:ascii="Cambria" w:hAnsi="Cambria" w:cs="Arial"/>
          <w:sz w:val="20"/>
          <w:szCs w:val="20"/>
          <w:lang w:val="es-ES"/>
        </w:rPr>
        <w:t xml:space="preserve"> de lo Penal del Guayas </w:t>
      </w:r>
      <w:r w:rsidR="00597139" w:rsidRPr="00683301">
        <w:rPr>
          <w:rFonts w:ascii="Cambria" w:hAnsi="Cambria" w:cs="Arial"/>
          <w:sz w:val="20"/>
          <w:szCs w:val="20"/>
          <w:lang w:val="es-ES"/>
        </w:rPr>
        <w:t>se avocó al</w:t>
      </w:r>
      <w:r w:rsidRPr="00683301">
        <w:rPr>
          <w:rFonts w:ascii="Cambria" w:hAnsi="Cambria" w:cs="Arial"/>
          <w:sz w:val="20"/>
          <w:szCs w:val="20"/>
          <w:lang w:val="es-ES"/>
        </w:rPr>
        <w:t xml:space="preserve"> </w:t>
      </w:r>
      <w:r w:rsidR="000A07AF" w:rsidRPr="00683301">
        <w:rPr>
          <w:rFonts w:ascii="Cambria" w:hAnsi="Cambria" w:cs="Arial"/>
          <w:sz w:val="20"/>
          <w:szCs w:val="20"/>
          <w:lang w:val="es-ES"/>
        </w:rPr>
        <w:t>conocimiento del proceso penal</w:t>
      </w:r>
      <w:r w:rsidR="000A07AF" w:rsidRPr="00683301">
        <w:rPr>
          <w:rStyle w:val="FootnoteReference"/>
          <w:rFonts w:ascii="Cambria" w:hAnsi="Cambria" w:cs="Arial"/>
          <w:sz w:val="20"/>
          <w:szCs w:val="20"/>
          <w:lang w:val="es-ES"/>
        </w:rPr>
        <w:footnoteReference w:id="10"/>
      </w:r>
      <w:r w:rsidR="000A07AF" w:rsidRPr="00683301">
        <w:rPr>
          <w:rFonts w:ascii="Cambria" w:hAnsi="Cambria" w:cs="Arial"/>
          <w:sz w:val="20"/>
          <w:szCs w:val="20"/>
          <w:lang w:val="es-ES"/>
        </w:rPr>
        <w:t>.</w:t>
      </w:r>
      <w:r w:rsidR="00395688" w:rsidRPr="00683301">
        <w:rPr>
          <w:rFonts w:ascii="Cambria" w:hAnsi="Cambria" w:cs="Arial"/>
          <w:sz w:val="20"/>
          <w:szCs w:val="20"/>
          <w:lang w:val="es-ES"/>
        </w:rPr>
        <w:t xml:space="preserve"> </w:t>
      </w:r>
      <w:r w:rsidR="00FD5AB7" w:rsidRPr="00683301">
        <w:rPr>
          <w:rFonts w:ascii="Cambria" w:hAnsi="Cambria" w:cs="Arial"/>
          <w:sz w:val="20"/>
          <w:szCs w:val="20"/>
          <w:lang w:val="es-ES"/>
        </w:rPr>
        <w:t>Asimismo,</w:t>
      </w:r>
      <w:r w:rsidRPr="00683301">
        <w:rPr>
          <w:rFonts w:ascii="Cambria" w:hAnsi="Cambria" w:cs="Arial"/>
          <w:sz w:val="20"/>
          <w:szCs w:val="20"/>
          <w:lang w:val="es-ES"/>
        </w:rPr>
        <w:t xml:space="preserve"> el Juzgado confirmó las órdenes de prisión dictadas en contra de ambas personas y solicitó a la Policía Nacional adoptar las medidas para asegurar su captura</w:t>
      </w:r>
      <w:r w:rsidRPr="00683301">
        <w:rPr>
          <w:rStyle w:val="FootnoteReference"/>
          <w:rFonts w:ascii="Cambria" w:hAnsi="Cambria" w:cs="Arial"/>
          <w:sz w:val="20"/>
          <w:szCs w:val="20"/>
          <w:lang w:val="es-ES"/>
        </w:rPr>
        <w:footnoteReference w:id="11"/>
      </w:r>
      <w:r w:rsidRPr="00683301">
        <w:rPr>
          <w:rFonts w:ascii="Cambria" w:hAnsi="Cambria" w:cs="Arial"/>
          <w:sz w:val="20"/>
          <w:szCs w:val="20"/>
          <w:lang w:val="es-ES"/>
        </w:rPr>
        <w:t xml:space="preserve">. </w:t>
      </w:r>
      <w:r w:rsidR="00E40CA1" w:rsidRPr="00683301">
        <w:rPr>
          <w:rFonts w:ascii="Cambria" w:hAnsi="Cambria" w:cs="Arial"/>
          <w:sz w:val="20"/>
          <w:szCs w:val="20"/>
          <w:lang w:val="es-ES"/>
        </w:rPr>
        <w:t>En cuanto a la motivación de esta decisión, la misma reitera que “</w:t>
      </w:r>
      <w:r w:rsidR="00B76E4F" w:rsidRPr="00683301">
        <w:rPr>
          <w:rFonts w:ascii="Cambria" w:hAnsi="Cambria" w:cs="Arial"/>
          <w:sz w:val="20"/>
          <w:szCs w:val="20"/>
          <w:lang w:val="es-ES"/>
        </w:rPr>
        <w:t xml:space="preserve">concurren los presupuestos establecidos en el artículo 177 del Código de Procedimiento Penal, se confirman las órdenes de prisiones preventivas que ha dictado el instructor”. </w:t>
      </w:r>
    </w:p>
    <w:p w14:paraId="3D0CA830" w14:textId="77777777" w:rsidR="00F51BA9" w:rsidRPr="00683301" w:rsidRDefault="00F51BA9" w:rsidP="00B7712A">
      <w:pPr>
        <w:ind w:left="720"/>
        <w:jc w:val="both"/>
        <w:rPr>
          <w:rFonts w:ascii="Cambria" w:hAnsi="Cambria" w:cs="Calibri"/>
          <w:sz w:val="20"/>
          <w:szCs w:val="20"/>
          <w:lang w:val="es-ES"/>
        </w:rPr>
      </w:pPr>
    </w:p>
    <w:p w14:paraId="299D0C76" w14:textId="77777777" w:rsidR="001D230D" w:rsidRPr="00683301" w:rsidRDefault="002F1167" w:rsidP="00B7712A">
      <w:pPr>
        <w:numPr>
          <w:ilvl w:val="0"/>
          <w:numId w:val="55"/>
        </w:numPr>
        <w:jc w:val="both"/>
        <w:rPr>
          <w:rFonts w:ascii="Cambria" w:hAnsi="Cambria" w:cs="Calibri"/>
          <w:sz w:val="20"/>
          <w:szCs w:val="20"/>
          <w:lang w:val="es-ES"/>
        </w:rPr>
      </w:pPr>
      <w:r w:rsidRPr="00683301">
        <w:rPr>
          <w:rFonts w:ascii="Cambria" w:hAnsi="Cambria" w:cs="Arial"/>
          <w:sz w:val="20"/>
          <w:szCs w:val="20"/>
          <w:lang w:val="es-ES"/>
        </w:rPr>
        <w:t>En la petición inicial presente ante la CIDH el señor Carranza indicó que e</w:t>
      </w:r>
      <w:r w:rsidR="00937025" w:rsidRPr="00683301">
        <w:rPr>
          <w:rFonts w:ascii="Cambria" w:hAnsi="Cambria" w:cs="Arial"/>
          <w:sz w:val="20"/>
          <w:szCs w:val="20"/>
          <w:lang w:val="es-ES"/>
        </w:rPr>
        <w:t xml:space="preserve">n noviembre de 1994 </w:t>
      </w:r>
      <w:r w:rsidR="001D230D" w:rsidRPr="00683301">
        <w:rPr>
          <w:rFonts w:ascii="Cambria" w:hAnsi="Cambria" w:cs="Arial"/>
          <w:sz w:val="20"/>
          <w:szCs w:val="20"/>
          <w:lang w:val="es-ES"/>
        </w:rPr>
        <w:t>fue detenido por agentes policiales</w:t>
      </w:r>
      <w:r w:rsidRPr="00683301">
        <w:rPr>
          <w:rStyle w:val="FootnoteReference"/>
          <w:rFonts w:ascii="Cambria" w:hAnsi="Cambria" w:cs="Calibri"/>
          <w:sz w:val="20"/>
          <w:szCs w:val="20"/>
          <w:lang w:val="es-ES"/>
        </w:rPr>
        <w:footnoteReference w:id="12"/>
      </w:r>
      <w:r w:rsidR="001D230D" w:rsidRPr="00683301">
        <w:rPr>
          <w:rFonts w:ascii="Cambria" w:hAnsi="Cambria" w:cs="Arial"/>
          <w:sz w:val="20"/>
          <w:szCs w:val="20"/>
          <w:lang w:val="es-ES"/>
        </w:rPr>
        <w:t xml:space="preserve">. </w:t>
      </w:r>
      <w:r w:rsidR="007E7246" w:rsidRPr="00683301">
        <w:rPr>
          <w:rFonts w:ascii="Cambria" w:hAnsi="Cambria" w:cs="Arial"/>
          <w:sz w:val="20"/>
          <w:szCs w:val="20"/>
          <w:lang w:val="es-ES"/>
        </w:rPr>
        <w:t xml:space="preserve">La Comisión no cuenta con información sobre la fecha exacta en que fue detenido. El señor Carranza indicó lo siguiente sobre su detención: </w:t>
      </w:r>
    </w:p>
    <w:p w14:paraId="08F3C83D" w14:textId="77777777" w:rsidR="001D230D" w:rsidRPr="00683301" w:rsidRDefault="001D230D" w:rsidP="001D230D">
      <w:pPr>
        <w:pStyle w:val="MediumGrid1-Accent22"/>
        <w:ind w:left="0"/>
        <w:rPr>
          <w:rFonts w:ascii="Cambria" w:hAnsi="Cambria" w:cs="Calibri"/>
          <w:sz w:val="20"/>
          <w:szCs w:val="20"/>
          <w:lang w:val="es-ES"/>
        </w:rPr>
      </w:pPr>
    </w:p>
    <w:p w14:paraId="0B557693" w14:textId="77777777" w:rsidR="001D230D" w:rsidRPr="00683301" w:rsidRDefault="001D230D" w:rsidP="00D1255F">
      <w:pPr>
        <w:ind w:left="720" w:right="720"/>
        <w:jc w:val="both"/>
        <w:rPr>
          <w:rFonts w:ascii="Cambria" w:eastAsia="Times New Roman" w:hAnsi="Cambria"/>
          <w:sz w:val="20"/>
          <w:szCs w:val="20"/>
          <w:lang w:val="es-ES"/>
        </w:rPr>
      </w:pPr>
      <w:r w:rsidRPr="00683301">
        <w:rPr>
          <w:rFonts w:ascii="Cambria" w:hAnsi="Cambria" w:cs="Calibri"/>
          <w:sz w:val="20"/>
          <w:szCs w:val="20"/>
          <w:lang w:val="es-ES"/>
        </w:rPr>
        <w:t>(…) fui apresado ilegalmente, sin haber sido sorprendido en delito flagrante ni delito alguno, detención que fue efectuada por miembros de la Policía Rural Ecuatoriana, quienes no exhibieron la orden de prisión (…)</w:t>
      </w:r>
      <w:r w:rsidR="00A3721C" w:rsidRPr="00683301">
        <w:rPr>
          <w:rFonts w:ascii="Cambria" w:hAnsi="Cambria" w:cs="Calibri"/>
          <w:sz w:val="20"/>
          <w:szCs w:val="20"/>
          <w:lang w:val="es-ES"/>
        </w:rPr>
        <w:t xml:space="preserve">; sin embargo fui acusado de ser autor de la muerte de </w:t>
      </w:r>
      <w:r w:rsidR="00A3721C" w:rsidRPr="00683301">
        <w:rPr>
          <w:rFonts w:ascii="Cambria" w:eastAsia="Times New Roman" w:hAnsi="Cambria" w:cs="Arial"/>
          <w:sz w:val="20"/>
          <w:szCs w:val="20"/>
          <w:shd w:val="clear" w:color="auto" w:fill="FFFFFF"/>
          <w:lang w:val="es-ES"/>
        </w:rPr>
        <w:t>[Samuel Evaristo]</w:t>
      </w:r>
      <w:r w:rsidRPr="00683301">
        <w:rPr>
          <w:rStyle w:val="FootnoteReference"/>
          <w:rFonts w:ascii="Cambria" w:hAnsi="Cambria" w:cs="Calibri"/>
          <w:sz w:val="20"/>
          <w:szCs w:val="20"/>
          <w:lang w:val="es-ES"/>
        </w:rPr>
        <w:footnoteReference w:id="13"/>
      </w:r>
      <w:r w:rsidRPr="00683301">
        <w:rPr>
          <w:rFonts w:ascii="Cambria" w:hAnsi="Cambria" w:cs="Calibri"/>
          <w:sz w:val="20"/>
          <w:szCs w:val="20"/>
          <w:lang w:val="es-ES"/>
        </w:rPr>
        <w:t>.</w:t>
      </w:r>
    </w:p>
    <w:p w14:paraId="68B29188" w14:textId="77777777" w:rsidR="0025671F" w:rsidRPr="00683301" w:rsidRDefault="0025671F" w:rsidP="00B7712A">
      <w:pPr>
        <w:jc w:val="both"/>
        <w:rPr>
          <w:rFonts w:ascii="Cambria" w:hAnsi="Cambria" w:cs="Calibri"/>
          <w:sz w:val="20"/>
          <w:szCs w:val="20"/>
          <w:lang w:val="es-ES"/>
        </w:rPr>
      </w:pPr>
    </w:p>
    <w:p w14:paraId="25860E16" w14:textId="77777777" w:rsidR="00AB42AF" w:rsidRPr="00683301" w:rsidRDefault="00B30C0D" w:rsidP="00B7712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b/>
          <w:sz w:val="20"/>
          <w:szCs w:val="20"/>
          <w:lang w:val="es-ES"/>
        </w:rPr>
      </w:pPr>
      <w:r w:rsidRPr="00683301">
        <w:rPr>
          <w:rFonts w:ascii="Cambria" w:hAnsi="Cambria" w:cs="Arial"/>
          <w:b/>
          <w:sz w:val="20"/>
          <w:szCs w:val="20"/>
          <w:lang w:val="es-ES"/>
        </w:rPr>
        <w:t xml:space="preserve">B. </w:t>
      </w:r>
      <w:r w:rsidRPr="00683301">
        <w:rPr>
          <w:rFonts w:ascii="Cambria" w:hAnsi="Cambria" w:cs="Arial"/>
          <w:b/>
          <w:sz w:val="20"/>
          <w:szCs w:val="20"/>
          <w:lang w:val="es-ES"/>
        </w:rPr>
        <w:tab/>
      </w:r>
      <w:r w:rsidR="00E97F34" w:rsidRPr="00683301">
        <w:rPr>
          <w:rFonts w:ascii="Cambria" w:hAnsi="Cambria" w:cs="Arial"/>
          <w:b/>
          <w:sz w:val="20"/>
          <w:szCs w:val="20"/>
          <w:lang w:val="es-ES"/>
        </w:rPr>
        <w:t xml:space="preserve">Sobre </w:t>
      </w:r>
      <w:r w:rsidR="008358C7" w:rsidRPr="00683301">
        <w:rPr>
          <w:rFonts w:ascii="Cambria" w:hAnsi="Cambria" w:cs="Arial"/>
          <w:b/>
          <w:sz w:val="20"/>
          <w:szCs w:val="20"/>
          <w:lang w:val="es-ES"/>
        </w:rPr>
        <w:t>el proceso penal seguido al señor Carranza</w:t>
      </w:r>
    </w:p>
    <w:p w14:paraId="22D72940" w14:textId="77777777" w:rsidR="00AB42AF" w:rsidRPr="00683301" w:rsidRDefault="00AB42AF" w:rsidP="00B7712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b/>
          <w:sz w:val="20"/>
          <w:szCs w:val="20"/>
          <w:lang w:val="es-ES"/>
        </w:rPr>
      </w:pPr>
    </w:p>
    <w:p w14:paraId="33564C20" w14:textId="77777777" w:rsidR="001D230D" w:rsidRPr="00683301" w:rsidRDefault="001D230D" w:rsidP="00B7712A">
      <w:pPr>
        <w:numPr>
          <w:ilvl w:val="0"/>
          <w:numId w:val="55"/>
        </w:numPr>
        <w:jc w:val="both"/>
        <w:rPr>
          <w:rFonts w:ascii="Cambria" w:hAnsi="Cambria" w:cs="Calibri"/>
          <w:sz w:val="20"/>
          <w:szCs w:val="20"/>
          <w:lang w:val="es-ES"/>
        </w:rPr>
      </w:pPr>
      <w:r w:rsidRPr="00683301">
        <w:rPr>
          <w:rFonts w:ascii="Cambria" w:hAnsi="Cambria" w:cs="Calibri"/>
          <w:sz w:val="20"/>
          <w:szCs w:val="20"/>
          <w:lang w:val="es-ES"/>
        </w:rPr>
        <w:t>En la petición inicial presentada ante la CIDH el señor Carranza indicó que luego de ser detenido, permaneció incomunicado durante más de 24 horas</w:t>
      </w:r>
      <w:r w:rsidR="00E4732E" w:rsidRPr="00683301">
        <w:rPr>
          <w:rFonts w:ascii="Cambria" w:hAnsi="Cambria" w:cs="Calibri"/>
          <w:sz w:val="20"/>
          <w:szCs w:val="20"/>
          <w:lang w:val="es-ES"/>
        </w:rPr>
        <w:t xml:space="preserve"> sin la asistencia de un abogado</w:t>
      </w:r>
      <w:r w:rsidRPr="00683301">
        <w:rPr>
          <w:rStyle w:val="FootnoteReference"/>
          <w:rFonts w:ascii="Cambria" w:hAnsi="Cambria" w:cs="Calibri"/>
          <w:sz w:val="20"/>
          <w:szCs w:val="20"/>
          <w:lang w:val="es-ES"/>
        </w:rPr>
        <w:footnoteReference w:id="14"/>
      </w:r>
      <w:r w:rsidRPr="00683301">
        <w:rPr>
          <w:rFonts w:ascii="Cambria" w:hAnsi="Cambria" w:cs="Calibri"/>
          <w:sz w:val="20"/>
          <w:szCs w:val="20"/>
          <w:lang w:val="es-ES"/>
        </w:rPr>
        <w:t>.</w:t>
      </w:r>
      <w:r w:rsidR="00FE26A3" w:rsidRPr="00683301">
        <w:rPr>
          <w:rFonts w:ascii="Cambria" w:hAnsi="Cambria" w:cs="Calibri"/>
          <w:sz w:val="20"/>
          <w:szCs w:val="20"/>
          <w:lang w:val="es-ES"/>
        </w:rPr>
        <w:t xml:space="preserve"> Agregó que fue interrogado bajo presión psicológica</w:t>
      </w:r>
      <w:r w:rsidR="00FE26A3" w:rsidRPr="00683301">
        <w:rPr>
          <w:rStyle w:val="FootnoteReference"/>
          <w:rFonts w:ascii="Cambria" w:hAnsi="Cambria" w:cs="Calibri"/>
          <w:sz w:val="20"/>
          <w:szCs w:val="20"/>
          <w:lang w:val="es-ES"/>
        </w:rPr>
        <w:footnoteReference w:id="15"/>
      </w:r>
      <w:r w:rsidR="00FE26A3" w:rsidRPr="00683301">
        <w:rPr>
          <w:rFonts w:ascii="Cambria" w:hAnsi="Cambria" w:cs="Calibri"/>
          <w:sz w:val="20"/>
          <w:szCs w:val="20"/>
          <w:lang w:val="es-ES"/>
        </w:rPr>
        <w:t>.</w:t>
      </w:r>
      <w:r w:rsidR="009E4609" w:rsidRPr="00683301">
        <w:rPr>
          <w:rFonts w:ascii="Cambria" w:hAnsi="Cambria" w:cs="Calibri"/>
          <w:sz w:val="20"/>
          <w:szCs w:val="20"/>
          <w:lang w:val="es-ES"/>
        </w:rPr>
        <w:t xml:space="preserve"> La Comisión no cuenta con información adi</w:t>
      </w:r>
      <w:r w:rsidR="00FF069B" w:rsidRPr="00683301">
        <w:rPr>
          <w:rFonts w:ascii="Cambria" w:hAnsi="Cambria" w:cs="Calibri"/>
          <w:sz w:val="20"/>
          <w:szCs w:val="20"/>
          <w:lang w:val="es-ES"/>
        </w:rPr>
        <w:t>cional sobre dichos alegatos</w:t>
      </w:r>
      <w:r w:rsidR="009E4609" w:rsidRPr="00683301">
        <w:rPr>
          <w:rFonts w:ascii="Cambria" w:hAnsi="Cambria" w:cs="Calibri"/>
          <w:sz w:val="20"/>
          <w:szCs w:val="20"/>
          <w:lang w:val="es-ES"/>
        </w:rPr>
        <w:t>.</w:t>
      </w:r>
    </w:p>
    <w:p w14:paraId="10B3333B" w14:textId="77777777" w:rsidR="001D230D" w:rsidRPr="00683301" w:rsidRDefault="001D230D" w:rsidP="001D230D">
      <w:pPr>
        <w:ind w:left="720"/>
        <w:jc w:val="both"/>
        <w:rPr>
          <w:rFonts w:ascii="Cambria" w:hAnsi="Cambria" w:cs="Calibri"/>
          <w:sz w:val="20"/>
          <w:szCs w:val="20"/>
          <w:lang w:val="es-ES"/>
        </w:rPr>
      </w:pPr>
    </w:p>
    <w:p w14:paraId="45C11C79" w14:textId="77777777" w:rsidR="001E73E4" w:rsidRPr="00683301" w:rsidRDefault="001E73E4" w:rsidP="00B7712A">
      <w:pPr>
        <w:numPr>
          <w:ilvl w:val="0"/>
          <w:numId w:val="55"/>
        </w:numPr>
        <w:jc w:val="both"/>
        <w:rPr>
          <w:rFonts w:ascii="Cambria" w:hAnsi="Cambria" w:cs="Calibri"/>
          <w:sz w:val="20"/>
          <w:szCs w:val="20"/>
          <w:lang w:val="es-ES"/>
        </w:rPr>
      </w:pPr>
      <w:r w:rsidRPr="00683301">
        <w:rPr>
          <w:rFonts w:ascii="Cambria" w:hAnsi="Cambria" w:cs="Calibri"/>
          <w:sz w:val="20"/>
          <w:szCs w:val="20"/>
          <w:lang w:val="es-ES"/>
        </w:rPr>
        <w:t>El 6 de diciem</w:t>
      </w:r>
      <w:r w:rsidR="001D230D" w:rsidRPr="00683301">
        <w:rPr>
          <w:rFonts w:ascii="Cambria" w:hAnsi="Cambria" w:cs="Calibri"/>
          <w:sz w:val="20"/>
          <w:szCs w:val="20"/>
          <w:lang w:val="es-ES"/>
        </w:rPr>
        <w:t xml:space="preserve">bre de 1994 </w:t>
      </w:r>
      <w:r w:rsidRPr="00683301">
        <w:rPr>
          <w:rFonts w:ascii="Cambria" w:hAnsi="Cambria" w:cs="Calibri"/>
          <w:sz w:val="20"/>
          <w:szCs w:val="20"/>
          <w:lang w:val="es-ES"/>
        </w:rPr>
        <w:t>el señor Rosendo Carranza presentó un escrito ante el Juz</w:t>
      </w:r>
      <w:r w:rsidR="001D230D" w:rsidRPr="00683301">
        <w:rPr>
          <w:rFonts w:ascii="Cambria" w:hAnsi="Cambria" w:cs="Calibri"/>
          <w:sz w:val="20"/>
          <w:szCs w:val="20"/>
          <w:lang w:val="es-ES"/>
        </w:rPr>
        <w:t>gado 11º de lo Penal del Guayas</w:t>
      </w:r>
      <w:r w:rsidRPr="00683301">
        <w:rPr>
          <w:rFonts w:ascii="Cambria" w:hAnsi="Cambria" w:cs="Calibri"/>
          <w:sz w:val="20"/>
          <w:szCs w:val="20"/>
          <w:lang w:val="es-ES"/>
        </w:rPr>
        <w:t xml:space="preserve"> en </w:t>
      </w:r>
      <w:r w:rsidR="001D230D" w:rsidRPr="00683301">
        <w:rPr>
          <w:rFonts w:ascii="Cambria" w:hAnsi="Cambria" w:cs="Calibri"/>
          <w:sz w:val="20"/>
          <w:szCs w:val="20"/>
          <w:lang w:val="es-ES"/>
        </w:rPr>
        <w:t>donde</w:t>
      </w:r>
      <w:r w:rsidR="00E87079" w:rsidRPr="00683301">
        <w:rPr>
          <w:rFonts w:ascii="Cambria" w:hAnsi="Cambria" w:cs="Calibri"/>
          <w:sz w:val="20"/>
          <w:szCs w:val="20"/>
          <w:lang w:val="es-ES"/>
        </w:rPr>
        <w:t xml:space="preserve"> designó a su abogado defensor y</w:t>
      </w:r>
      <w:r w:rsidR="001D230D" w:rsidRPr="00683301">
        <w:rPr>
          <w:rFonts w:ascii="Cambria" w:hAnsi="Cambria" w:cs="Calibri"/>
          <w:sz w:val="20"/>
          <w:szCs w:val="20"/>
          <w:lang w:val="es-ES"/>
        </w:rPr>
        <w:t xml:space="preserve"> señaló lo siguiente: </w:t>
      </w:r>
    </w:p>
    <w:p w14:paraId="1C6E3715" w14:textId="77777777" w:rsidR="001E73E4" w:rsidRPr="00683301" w:rsidRDefault="001E73E4" w:rsidP="00B7712A">
      <w:pPr>
        <w:ind w:left="720"/>
        <w:jc w:val="both"/>
        <w:rPr>
          <w:rFonts w:ascii="Cambria" w:hAnsi="Cambria" w:cs="Calibri"/>
          <w:sz w:val="20"/>
          <w:szCs w:val="20"/>
          <w:lang w:val="es-ES"/>
        </w:rPr>
      </w:pPr>
    </w:p>
    <w:p w14:paraId="4B43F466" w14:textId="77777777" w:rsidR="001E73E4" w:rsidRPr="00683301" w:rsidRDefault="001E73E4" w:rsidP="00D1255F">
      <w:pPr>
        <w:ind w:left="720" w:right="720"/>
        <w:jc w:val="both"/>
        <w:rPr>
          <w:rFonts w:ascii="Cambria" w:hAnsi="Cambria" w:cs="Calibri"/>
          <w:sz w:val="20"/>
          <w:szCs w:val="20"/>
          <w:lang w:val="es-ES"/>
        </w:rPr>
      </w:pPr>
      <w:r w:rsidRPr="00683301">
        <w:rPr>
          <w:rFonts w:ascii="Cambria" w:hAnsi="Cambria" w:cs="Calibri"/>
          <w:sz w:val="20"/>
          <w:szCs w:val="20"/>
          <w:lang w:val="es-ES"/>
        </w:rPr>
        <w:t>Que, desde ya rechazo la denuncia de Segundo Mariño Gamboa, por no estar apegada a la realidad de los hechos, ya que jamás disparé el arma que afirma que he disparado, desconociendo así mismo quien fue el autor del disparo que ultimó a Samuel Evaristo Mariño Gamboa, afirmando eso sí que la única persona que portaba una carabina pequeña, ese día fue, Juan N., conocido como el “Loco Juan”, a pesar de eso no me fijé si fue él, la persona que disparó a Samuel Mariño, por encontrarse en el otro extremo de donde se encontraba el hoy dif</w:t>
      </w:r>
      <w:r w:rsidR="001D230D" w:rsidRPr="00683301">
        <w:rPr>
          <w:rFonts w:ascii="Cambria" w:hAnsi="Cambria" w:cs="Calibri"/>
          <w:sz w:val="20"/>
          <w:szCs w:val="20"/>
          <w:lang w:val="es-ES"/>
        </w:rPr>
        <w:t>unto Mariño Gamboa (…)</w:t>
      </w:r>
      <w:r w:rsidRPr="00683301">
        <w:rPr>
          <w:rStyle w:val="FootnoteReference"/>
          <w:rFonts w:ascii="Cambria" w:hAnsi="Cambria" w:cs="Calibri"/>
          <w:sz w:val="20"/>
          <w:szCs w:val="20"/>
          <w:lang w:val="es-ES"/>
        </w:rPr>
        <w:footnoteReference w:id="16"/>
      </w:r>
      <w:r w:rsidRPr="00683301">
        <w:rPr>
          <w:rFonts w:ascii="Cambria" w:hAnsi="Cambria" w:cs="Calibri"/>
          <w:sz w:val="20"/>
          <w:szCs w:val="20"/>
          <w:lang w:val="es-ES"/>
        </w:rPr>
        <w:t xml:space="preserve">. </w:t>
      </w:r>
    </w:p>
    <w:p w14:paraId="0903C9BF" w14:textId="77777777" w:rsidR="00FE26A3" w:rsidRPr="00683301" w:rsidRDefault="00FE26A3" w:rsidP="002F1167">
      <w:pPr>
        <w:jc w:val="both"/>
        <w:rPr>
          <w:rFonts w:ascii="Cambria" w:hAnsi="Cambria" w:cs="Calibri"/>
          <w:sz w:val="20"/>
          <w:szCs w:val="20"/>
          <w:lang w:val="es-ES"/>
        </w:rPr>
      </w:pPr>
    </w:p>
    <w:p w14:paraId="715F4BF2" w14:textId="77777777" w:rsidR="00FB3BA2" w:rsidRPr="00683301" w:rsidRDefault="00FB3BA2" w:rsidP="00FB3BA2">
      <w:pPr>
        <w:numPr>
          <w:ilvl w:val="0"/>
          <w:numId w:val="55"/>
        </w:numPr>
        <w:jc w:val="both"/>
        <w:rPr>
          <w:rFonts w:ascii="Cambria" w:hAnsi="Cambria" w:cs="Calibri"/>
          <w:sz w:val="20"/>
          <w:szCs w:val="20"/>
          <w:lang w:val="es-ES"/>
        </w:rPr>
      </w:pPr>
      <w:r w:rsidRPr="00683301">
        <w:rPr>
          <w:rFonts w:ascii="Cambria" w:hAnsi="Cambria" w:cs="Arial"/>
          <w:sz w:val="20"/>
          <w:szCs w:val="20"/>
          <w:lang w:val="es-ES"/>
        </w:rPr>
        <w:t xml:space="preserve">El </w:t>
      </w:r>
      <w:r w:rsidR="003D1204" w:rsidRPr="00683301">
        <w:rPr>
          <w:rFonts w:ascii="Cambria" w:hAnsi="Cambria" w:cs="Arial"/>
          <w:sz w:val="20"/>
          <w:szCs w:val="20"/>
          <w:lang w:val="es-ES"/>
        </w:rPr>
        <w:t xml:space="preserve">Estado indicó que el </w:t>
      </w:r>
      <w:r w:rsidRPr="00683301">
        <w:rPr>
          <w:rFonts w:ascii="Cambria" w:hAnsi="Cambria" w:cs="Arial"/>
          <w:sz w:val="20"/>
          <w:szCs w:val="20"/>
          <w:lang w:val="es-ES"/>
        </w:rPr>
        <w:t>23 de febrero de 1995 el Juzgado 11º Primero de lo Penal del Guayas dispuso como diligencia del proceso el traslado del señor Carranza del Juzgado al Centro de Rehabilitación Social de Varones de Guayaquil a fin de recibir su testimonio indagatorio</w:t>
      </w:r>
      <w:r w:rsidRPr="00683301">
        <w:rPr>
          <w:rStyle w:val="FootnoteReference"/>
          <w:rFonts w:ascii="Cambria" w:hAnsi="Cambria" w:cs="Arial"/>
          <w:sz w:val="20"/>
          <w:szCs w:val="20"/>
          <w:lang w:val="es-ES"/>
        </w:rPr>
        <w:footnoteReference w:id="17"/>
      </w:r>
      <w:r w:rsidRPr="00683301">
        <w:rPr>
          <w:rFonts w:ascii="Cambria" w:hAnsi="Cambria" w:cs="Arial"/>
          <w:sz w:val="20"/>
          <w:szCs w:val="20"/>
          <w:lang w:val="es-ES"/>
        </w:rPr>
        <w:t>.</w:t>
      </w:r>
      <w:r w:rsidR="008358C7" w:rsidRPr="00683301">
        <w:rPr>
          <w:rFonts w:ascii="Cambria" w:hAnsi="Cambria" w:cs="Arial"/>
          <w:sz w:val="20"/>
          <w:szCs w:val="20"/>
          <w:lang w:val="es-ES"/>
        </w:rPr>
        <w:t xml:space="preserve"> </w:t>
      </w:r>
      <w:r w:rsidR="0004488C" w:rsidRPr="00683301">
        <w:rPr>
          <w:rFonts w:ascii="Cambria" w:hAnsi="Cambria" w:cs="Arial"/>
          <w:sz w:val="20"/>
          <w:szCs w:val="20"/>
          <w:lang w:val="es-ES"/>
        </w:rPr>
        <w:t xml:space="preserve">El 25 de agosto de 1995 </w:t>
      </w:r>
      <w:r w:rsidR="008358C7" w:rsidRPr="00683301">
        <w:rPr>
          <w:rFonts w:ascii="Cambria" w:hAnsi="Cambria" w:cs="Arial"/>
          <w:sz w:val="20"/>
          <w:szCs w:val="20"/>
          <w:lang w:val="es-ES"/>
        </w:rPr>
        <w:t>el señor Carranza rindió su testimonio indagatorio y sostuvo lo siguiente:</w:t>
      </w:r>
    </w:p>
    <w:p w14:paraId="6FF17F84" w14:textId="77777777" w:rsidR="00F51BA9" w:rsidRPr="00683301" w:rsidRDefault="00F51BA9" w:rsidP="00B7712A">
      <w:pPr>
        <w:ind w:left="720"/>
        <w:jc w:val="both"/>
        <w:rPr>
          <w:rFonts w:ascii="Cambria" w:hAnsi="Cambria" w:cs="Calibri"/>
          <w:i/>
          <w:sz w:val="20"/>
          <w:szCs w:val="20"/>
          <w:lang w:val="es-ES"/>
        </w:rPr>
      </w:pPr>
    </w:p>
    <w:p w14:paraId="1EB5EDDB" w14:textId="77777777" w:rsidR="00090145" w:rsidRPr="00683301" w:rsidRDefault="0025354A" w:rsidP="008358C7">
      <w:pPr>
        <w:ind w:left="720" w:right="720"/>
        <w:jc w:val="both"/>
        <w:rPr>
          <w:rFonts w:ascii="Cambria" w:hAnsi="Cambria" w:cs="Arial"/>
          <w:sz w:val="20"/>
          <w:szCs w:val="20"/>
          <w:lang w:val="es-ES"/>
        </w:rPr>
      </w:pPr>
      <w:r w:rsidRPr="00683301">
        <w:rPr>
          <w:rFonts w:ascii="Cambria" w:hAnsi="Cambria" w:cs="Arial"/>
          <w:sz w:val="20"/>
          <w:szCs w:val="20"/>
          <w:lang w:val="es-ES"/>
        </w:rPr>
        <w:t>(...) no conozco</w:t>
      </w:r>
      <w:r w:rsidR="00A20CD5" w:rsidRPr="00683301">
        <w:rPr>
          <w:rFonts w:ascii="Cambria" w:hAnsi="Cambria" w:cs="Arial"/>
          <w:sz w:val="20"/>
          <w:szCs w:val="20"/>
          <w:lang w:val="es-ES"/>
        </w:rPr>
        <w:t xml:space="preserve"> </w:t>
      </w:r>
      <w:r w:rsidRPr="00683301">
        <w:rPr>
          <w:rFonts w:ascii="Cambria" w:hAnsi="Cambria" w:cs="Arial"/>
          <w:sz w:val="20"/>
          <w:szCs w:val="20"/>
          <w:lang w:val="es-ES"/>
        </w:rPr>
        <w:t>(...)</w:t>
      </w:r>
      <w:r w:rsidR="00A20CD5" w:rsidRPr="00683301">
        <w:rPr>
          <w:rFonts w:ascii="Cambria" w:hAnsi="Cambria" w:cs="Arial"/>
          <w:sz w:val="20"/>
          <w:szCs w:val="20"/>
          <w:lang w:val="es-ES"/>
        </w:rPr>
        <w:t xml:space="preserve"> al hoy difunto</w:t>
      </w:r>
      <w:r w:rsidR="008358C7" w:rsidRPr="00683301">
        <w:rPr>
          <w:rFonts w:ascii="Cambria" w:hAnsi="Cambria" w:cs="Arial"/>
          <w:sz w:val="20"/>
          <w:szCs w:val="20"/>
          <w:lang w:val="es-ES"/>
        </w:rPr>
        <w:t xml:space="preserve"> (</w:t>
      </w:r>
      <w:r w:rsidR="00A20CD5" w:rsidRPr="00683301">
        <w:rPr>
          <w:rFonts w:ascii="Cambria" w:hAnsi="Cambria" w:cs="Arial"/>
          <w:sz w:val="20"/>
          <w:szCs w:val="20"/>
          <w:lang w:val="es-ES"/>
        </w:rPr>
        <w:t>…</w:t>
      </w:r>
      <w:r w:rsidR="008358C7" w:rsidRPr="00683301">
        <w:rPr>
          <w:rFonts w:ascii="Cambria" w:hAnsi="Cambria" w:cs="Arial"/>
          <w:sz w:val="20"/>
          <w:szCs w:val="20"/>
          <w:lang w:val="es-ES"/>
        </w:rPr>
        <w:t>)</w:t>
      </w:r>
      <w:r w:rsidRPr="00683301">
        <w:rPr>
          <w:rFonts w:ascii="Cambria" w:hAnsi="Cambria" w:cs="Arial"/>
          <w:sz w:val="20"/>
          <w:szCs w:val="20"/>
          <w:lang w:val="es-ES"/>
        </w:rPr>
        <w:t>. E</w:t>
      </w:r>
      <w:r w:rsidR="00A20CD5" w:rsidRPr="00683301">
        <w:rPr>
          <w:rFonts w:ascii="Cambria" w:hAnsi="Cambria" w:cs="Arial"/>
          <w:sz w:val="20"/>
          <w:szCs w:val="20"/>
          <w:lang w:val="es-ES"/>
        </w:rPr>
        <w:t>se día 15 de agosto del año 1993, yo me encontraba en el cantón Durán</w:t>
      </w:r>
      <w:r w:rsidRPr="00683301">
        <w:rPr>
          <w:rFonts w:ascii="Cambria" w:hAnsi="Cambria" w:cs="Arial"/>
          <w:sz w:val="20"/>
          <w:szCs w:val="20"/>
          <w:lang w:val="es-ES"/>
        </w:rPr>
        <w:t xml:space="preserve"> (...)</w:t>
      </w:r>
      <w:r w:rsidR="00A20CD5" w:rsidRPr="00683301">
        <w:rPr>
          <w:rFonts w:ascii="Cambria" w:hAnsi="Cambria" w:cs="Arial"/>
          <w:sz w:val="20"/>
          <w:szCs w:val="20"/>
          <w:lang w:val="es-ES"/>
        </w:rPr>
        <w:t>, y qu</w:t>
      </w:r>
      <w:r w:rsidR="008358C7" w:rsidRPr="00683301">
        <w:rPr>
          <w:rFonts w:ascii="Cambria" w:hAnsi="Cambria" w:cs="Arial"/>
          <w:sz w:val="20"/>
          <w:szCs w:val="20"/>
          <w:lang w:val="es-ES"/>
        </w:rPr>
        <w:t>e no he cometido ningún delito (…)</w:t>
      </w:r>
      <w:r w:rsidR="00A20CD5" w:rsidRPr="00683301">
        <w:rPr>
          <w:rStyle w:val="FootnoteReference"/>
          <w:rFonts w:ascii="Cambria" w:hAnsi="Cambria" w:cs="Arial"/>
          <w:sz w:val="20"/>
          <w:szCs w:val="20"/>
          <w:lang w:val="es-ES"/>
        </w:rPr>
        <w:footnoteReference w:id="18"/>
      </w:r>
      <w:r w:rsidR="008358C7" w:rsidRPr="00683301">
        <w:rPr>
          <w:rFonts w:ascii="Cambria" w:hAnsi="Cambria" w:cs="Arial"/>
          <w:sz w:val="20"/>
          <w:szCs w:val="20"/>
          <w:lang w:val="es-ES"/>
        </w:rPr>
        <w:t>.</w:t>
      </w:r>
    </w:p>
    <w:p w14:paraId="4472AA9F" w14:textId="77777777" w:rsidR="00090145" w:rsidRPr="00683301" w:rsidRDefault="00090145" w:rsidP="00495554">
      <w:pPr>
        <w:jc w:val="both"/>
        <w:rPr>
          <w:rFonts w:ascii="Cambria" w:hAnsi="Cambria" w:cs="Calibri"/>
          <w:i/>
          <w:sz w:val="20"/>
          <w:szCs w:val="20"/>
          <w:lang w:val="es-ES"/>
        </w:rPr>
      </w:pPr>
    </w:p>
    <w:p w14:paraId="7E087B36" w14:textId="77777777" w:rsidR="00FD5AB7" w:rsidRPr="00683301" w:rsidRDefault="00802169" w:rsidP="00B7712A">
      <w:pPr>
        <w:numPr>
          <w:ilvl w:val="0"/>
          <w:numId w:val="55"/>
        </w:numPr>
        <w:jc w:val="both"/>
        <w:rPr>
          <w:rFonts w:ascii="Cambria" w:hAnsi="Cambria" w:cs="Calibri"/>
          <w:i/>
          <w:sz w:val="20"/>
          <w:szCs w:val="20"/>
          <w:lang w:val="es-ES"/>
        </w:rPr>
      </w:pPr>
      <w:r w:rsidRPr="00683301">
        <w:rPr>
          <w:rFonts w:ascii="Cambria" w:hAnsi="Cambria" w:cs="Calibri"/>
          <w:sz w:val="20"/>
          <w:szCs w:val="20"/>
          <w:lang w:val="es-ES"/>
        </w:rPr>
        <w:t>El 11 de septiembre de 199</w:t>
      </w:r>
      <w:r w:rsidR="00B43475" w:rsidRPr="00683301">
        <w:rPr>
          <w:rFonts w:ascii="Cambria" w:hAnsi="Cambria" w:cs="Calibri"/>
          <w:sz w:val="20"/>
          <w:szCs w:val="20"/>
          <w:lang w:val="es-ES"/>
        </w:rPr>
        <w:t xml:space="preserve">5 el señor Carranza </w:t>
      </w:r>
      <w:r w:rsidR="00FD5AB7" w:rsidRPr="00683301">
        <w:rPr>
          <w:rFonts w:ascii="Cambria" w:hAnsi="Cambria" w:cs="Calibri"/>
          <w:sz w:val="20"/>
          <w:szCs w:val="20"/>
          <w:lang w:val="es-ES"/>
        </w:rPr>
        <w:t xml:space="preserve">presentó un escrito </w:t>
      </w:r>
      <w:r w:rsidR="00B43475" w:rsidRPr="00683301">
        <w:rPr>
          <w:rFonts w:ascii="Cambria" w:hAnsi="Cambria" w:cs="Calibri"/>
          <w:sz w:val="20"/>
          <w:szCs w:val="20"/>
          <w:lang w:val="es-ES"/>
        </w:rPr>
        <w:t xml:space="preserve">al </w:t>
      </w:r>
      <w:r w:rsidR="00B43475" w:rsidRPr="00683301">
        <w:rPr>
          <w:rFonts w:ascii="Cambria" w:hAnsi="Cambria" w:cs="Arial"/>
          <w:sz w:val="20"/>
          <w:szCs w:val="20"/>
          <w:lang w:val="es-ES"/>
        </w:rPr>
        <w:t xml:space="preserve">Juzgado 11º de lo Penal del Guayas </w:t>
      </w:r>
      <w:r w:rsidR="00FD5AB7" w:rsidRPr="00683301">
        <w:rPr>
          <w:rFonts w:ascii="Cambria" w:hAnsi="Cambria" w:cs="Arial"/>
          <w:sz w:val="20"/>
          <w:szCs w:val="20"/>
          <w:lang w:val="es-ES"/>
        </w:rPr>
        <w:t>indicando lo siguiente:</w:t>
      </w:r>
    </w:p>
    <w:p w14:paraId="266BC493" w14:textId="77777777" w:rsidR="00FD5AB7" w:rsidRPr="00683301" w:rsidRDefault="00FD5AB7" w:rsidP="00FD5AB7">
      <w:pPr>
        <w:ind w:left="720"/>
        <w:jc w:val="both"/>
        <w:rPr>
          <w:rFonts w:ascii="Cambria" w:hAnsi="Cambria" w:cs="Calibri"/>
          <w:i/>
          <w:sz w:val="20"/>
          <w:szCs w:val="20"/>
          <w:lang w:val="es-ES"/>
        </w:rPr>
      </w:pPr>
    </w:p>
    <w:p w14:paraId="0F60FBEB" w14:textId="77777777" w:rsidR="00FD5AB7" w:rsidRPr="00683301" w:rsidRDefault="00FD5AB7" w:rsidP="00D1255F">
      <w:pPr>
        <w:ind w:left="720" w:right="720"/>
        <w:jc w:val="both"/>
        <w:rPr>
          <w:rFonts w:ascii="Cambria" w:hAnsi="Cambria" w:cs="Calibri"/>
          <w:sz w:val="20"/>
          <w:szCs w:val="20"/>
          <w:lang w:val="es-ES"/>
        </w:rPr>
      </w:pPr>
      <w:r w:rsidRPr="00683301">
        <w:rPr>
          <w:rFonts w:ascii="Cambria" w:hAnsi="Cambria" w:cs="Calibri"/>
          <w:sz w:val="20"/>
          <w:szCs w:val="20"/>
          <w:lang w:val="es-ES"/>
        </w:rPr>
        <w:t>(...) me encuentro recluido</w:t>
      </w:r>
      <w:r w:rsidR="00CC42BC" w:rsidRPr="00683301">
        <w:rPr>
          <w:rFonts w:ascii="Cambria" w:hAnsi="Cambria" w:cs="Calibri"/>
          <w:sz w:val="20"/>
          <w:szCs w:val="20"/>
          <w:lang w:val="es-ES"/>
        </w:rPr>
        <w:t xml:space="preserve"> hace 10 meses en la penitenciaría, culpado de un hecho que jamás he cometido (...) siempre me he dedicado a mi trabajo agrícola (...) por un error se me ha confundido y se me hace culpable de un delito que jamás he cometido (...). Le pido (...) me ponga en libertad para poder ayudar a mi familia y seguir siendo útil a la sociedad</w:t>
      </w:r>
      <w:r w:rsidR="00CC42BC" w:rsidRPr="00683301">
        <w:rPr>
          <w:rStyle w:val="FootnoteReference"/>
          <w:rFonts w:ascii="Cambria" w:hAnsi="Cambria" w:cs="Arial"/>
          <w:sz w:val="20"/>
          <w:szCs w:val="20"/>
          <w:lang w:val="es-ES"/>
        </w:rPr>
        <w:footnoteReference w:id="19"/>
      </w:r>
      <w:r w:rsidR="00CC42BC" w:rsidRPr="00683301">
        <w:rPr>
          <w:rFonts w:ascii="Cambria" w:hAnsi="Cambria" w:cs="Calibri"/>
          <w:sz w:val="20"/>
          <w:szCs w:val="20"/>
          <w:lang w:val="es-ES"/>
        </w:rPr>
        <w:t>.</w:t>
      </w:r>
    </w:p>
    <w:p w14:paraId="16AD28E9" w14:textId="77777777" w:rsidR="00FD5AB7" w:rsidRPr="00683301" w:rsidRDefault="00FD5AB7" w:rsidP="00FD5AB7">
      <w:pPr>
        <w:ind w:left="720"/>
        <w:jc w:val="both"/>
        <w:rPr>
          <w:rFonts w:ascii="Cambria" w:hAnsi="Cambria" w:cs="Calibri"/>
          <w:i/>
          <w:sz w:val="20"/>
          <w:szCs w:val="20"/>
          <w:lang w:val="es-ES"/>
        </w:rPr>
      </w:pPr>
    </w:p>
    <w:p w14:paraId="0C073183" w14:textId="77777777" w:rsidR="00B43475" w:rsidRPr="00683301" w:rsidRDefault="00FD5AB7" w:rsidP="00B7712A">
      <w:pPr>
        <w:numPr>
          <w:ilvl w:val="0"/>
          <w:numId w:val="55"/>
        </w:numPr>
        <w:jc w:val="both"/>
        <w:rPr>
          <w:rFonts w:ascii="Cambria" w:hAnsi="Cambria" w:cs="Calibri"/>
          <w:i/>
          <w:sz w:val="20"/>
          <w:szCs w:val="20"/>
          <w:lang w:val="es-ES"/>
        </w:rPr>
      </w:pPr>
      <w:r w:rsidRPr="00683301">
        <w:rPr>
          <w:rFonts w:ascii="Cambria" w:hAnsi="Cambria" w:cs="Arial"/>
          <w:sz w:val="20"/>
          <w:szCs w:val="20"/>
          <w:lang w:val="es-ES"/>
        </w:rPr>
        <w:t>La CIDH nota que e</w:t>
      </w:r>
      <w:r w:rsidR="00B43475" w:rsidRPr="00683301">
        <w:rPr>
          <w:rFonts w:ascii="Cambria" w:hAnsi="Cambria" w:cs="Arial"/>
          <w:sz w:val="20"/>
          <w:szCs w:val="20"/>
          <w:lang w:val="es-ES"/>
        </w:rPr>
        <w:t>l peticionario alegó que dicho reclamo nunca fue respondido.</w:t>
      </w:r>
      <w:r w:rsidR="00FF069B" w:rsidRPr="00683301">
        <w:rPr>
          <w:rFonts w:ascii="Cambria" w:hAnsi="Cambria" w:cs="Arial"/>
          <w:sz w:val="20"/>
          <w:szCs w:val="20"/>
          <w:lang w:val="es-ES"/>
        </w:rPr>
        <w:t xml:space="preserve"> El Estado no aportó prueba en contrario. </w:t>
      </w:r>
    </w:p>
    <w:p w14:paraId="0B033148" w14:textId="77777777" w:rsidR="00B43475" w:rsidRPr="00683301" w:rsidRDefault="00B43475" w:rsidP="00B43475">
      <w:pPr>
        <w:ind w:left="720"/>
        <w:jc w:val="both"/>
        <w:rPr>
          <w:rFonts w:ascii="Cambria" w:hAnsi="Cambria" w:cs="Calibri"/>
          <w:i/>
          <w:sz w:val="20"/>
          <w:szCs w:val="20"/>
          <w:lang w:val="es-ES"/>
        </w:rPr>
      </w:pPr>
    </w:p>
    <w:p w14:paraId="14863D99" w14:textId="77777777" w:rsidR="00090145" w:rsidRPr="00683301" w:rsidRDefault="00090145" w:rsidP="00B7712A">
      <w:pPr>
        <w:numPr>
          <w:ilvl w:val="0"/>
          <w:numId w:val="55"/>
        </w:numPr>
        <w:jc w:val="both"/>
        <w:rPr>
          <w:rFonts w:ascii="Cambria" w:hAnsi="Cambria" w:cs="Calibri"/>
          <w:i/>
          <w:sz w:val="20"/>
          <w:szCs w:val="20"/>
          <w:lang w:val="es-ES"/>
        </w:rPr>
      </w:pPr>
      <w:r w:rsidRPr="00683301">
        <w:rPr>
          <w:rFonts w:ascii="Cambria" w:hAnsi="Cambria" w:cs="Arial"/>
          <w:sz w:val="20"/>
          <w:szCs w:val="20"/>
          <w:lang w:val="es-ES"/>
        </w:rPr>
        <w:t>El</w:t>
      </w:r>
      <w:r w:rsidR="00A20CD5" w:rsidRPr="00683301">
        <w:rPr>
          <w:rFonts w:ascii="Cambria" w:hAnsi="Cambria" w:cs="Arial"/>
          <w:sz w:val="20"/>
          <w:szCs w:val="20"/>
          <w:lang w:val="es-ES"/>
        </w:rPr>
        <w:t xml:space="preserve"> 30 de sept</w:t>
      </w:r>
      <w:r w:rsidRPr="00683301">
        <w:rPr>
          <w:rFonts w:ascii="Cambria" w:hAnsi="Cambria" w:cs="Arial"/>
          <w:sz w:val="20"/>
          <w:szCs w:val="20"/>
          <w:lang w:val="es-ES"/>
        </w:rPr>
        <w:t>iembre de 1996</w:t>
      </w:r>
      <w:r w:rsidR="00495554" w:rsidRPr="00683301">
        <w:rPr>
          <w:rFonts w:ascii="Cambria" w:hAnsi="Cambria" w:cs="Arial"/>
          <w:sz w:val="20"/>
          <w:szCs w:val="20"/>
          <w:lang w:val="es-ES"/>
        </w:rPr>
        <w:t xml:space="preserve"> </w:t>
      </w:r>
      <w:r w:rsidRPr="00683301">
        <w:rPr>
          <w:rFonts w:ascii="Cambria" w:hAnsi="Cambria" w:cs="Arial"/>
          <w:sz w:val="20"/>
          <w:szCs w:val="20"/>
          <w:lang w:val="es-ES"/>
        </w:rPr>
        <w:t>el Ju</w:t>
      </w:r>
      <w:r w:rsidR="00495554" w:rsidRPr="00683301">
        <w:rPr>
          <w:rFonts w:ascii="Cambria" w:hAnsi="Cambria" w:cs="Arial"/>
          <w:sz w:val="20"/>
          <w:szCs w:val="20"/>
          <w:lang w:val="es-ES"/>
        </w:rPr>
        <w:t>zgado</w:t>
      </w:r>
      <w:r w:rsidRPr="00683301">
        <w:rPr>
          <w:rFonts w:ascii="Cambria" w:hAnsi="Cambria" w:cs="Arial"/>
          <w:sz w:val="20"/>
          <w:szCs w:val="20"/>
          <w:lang w:val="es-ES"/>
        </w:rPr>
        <w:t xml:space="preserve"> 11º de lo Penal del Guayas</w:t>
      </w:r>
      <w:r w:rsidR="00495554" w:rsidRPr="00683301">
        <w:rPr>
          <w:rFonts w:ascii="Cambria" w:hAnsi="Cambria" w:cs="Arial"/>
          <w:sz w:val="20"/>
          <w:szCs w:val="20"/>
          <w:lang w:val="es-ES"/>
        </w:rPr>
        <w:t xml:space="preserve"> </w:t>
      </w:r>
      <w:r w:rsidR="00A20CD5" w:rsidRPr="00683301">
        <w:rPr>
          <w:rFonts w:ascii="Cambria" w:hAnsi="Cambria" w:cs="Arial"/>
          <w:sz w:val="20"/>
          <w:szCs w:val="20"/>
          <w:lang w:val="es-ES"/>
        </w:rPr>
        <w:t xml:space="preserve">consideró concluido el sumario y dispuso que los autos </w:t>
      </w:r>
      <w:r w:rsidR="00495554" w:rsidRPr="00683301">
        <w:rPr>
          <w:rFonts w:ascii="Cambria" w:hAnsi="Cambria" w:cs="Arial"/>
          <w:sz w:val="20"/>
          <w:szCs w:val="20"/>
          <w:lang w:val="es-ES"/>
        </w:rPr>
        <w:t xml:space="preserve">sean remitidos </w:t>
      </w:r>
      <w:r w:rsidR="00A20CD5" w:rsidRPr="00683301">
        <w:rPr>
          <w:rFonts w:ascii="Cambria" w:hAnsi="Cambria" w:cs="Arial"/>
          <w:sz w:val="20"/>
          <w:szCs w:val="20"/>
          <w:lang w:val="es-ES"/>
        </w:rPr>
        <w:t xml:space="preserve">al Fiscal Séptimo de Tránsito </w:t>
      </w:r>
      <w:r w:rsidR="00495554" w:rsidRPr="00683301">
        <w:rPr>
          <w:rFonts w:ascii="Cambria" w:hAnsi="Cambria" w:cs="Arial"/>
          <w:sz w:val="20"/>
          <w:szCs w:val="20"/>
          <w:lang w:val="es-ES"/>
        </w:rPr>
        <w:t>a fin de que e</w:t>
      </w:r>
      <w:r w:rsidR="00A20CD5" w:rsidRPr="00683301">
        <w:rPr>
          <w:rFonts w:ascii="Cambria" w:hAnsi="Cambria" w:cs="Arial"/>
          <w:sz w:val="20"/>
          <w:szCs w:val="20"/>
          <w:lang w:val="es-ES"/>
        </w:rPr>
        <w:t>mita su dictamen</w:t>
      </w:r>
      <w:r w:rsidR="00A20CD5" w:rsidRPr="00683301">
        <w:rPr>
          <w:rStyle w:val="FootnoteReference"/>
          <w:rFonts w:ascii="Cambria" w:hAnsi="Cambria" w:cs="Arial"/>
          <w:sz w:val="20"/>
          <w:szCs w:val="20"/>
          <w:lang w:val="es-ES"/>
        </w:rPr>
        <w:footnoteReference w:id="20"/>
      </w:r>
      <w:r w:rsidR="00A20CD5" w:rsidRPr="00683301">
        <w:rPr>
          <w:rFonts w:ascii="Cambria" w:hAnsi="Cambria" w:cs="Arial"/>
          <w:sz w:val="20"/>
          <w:szCs w:val="20"/>
          <w:lang w:val="es-ES"/>
        </w:rPr>
        <w:t>.</w:t>
      </w:r>
    </w:p>
    <w:p w14:paraId="7CF5D106" w14:textId="77777777" w:rsidR="00090145" w:rsidRPr="00683301" w:rsidRDefault="00090145" w:rsidP="00B7712A">
      <w:pPr>
        <w:ind w:left="720"/>
        <w:jc w:val="both"/>
        <w:rPr>
          <w:rFonts w:ascii="Cambria" w:hAnsi="Cambria" w:cs="Calibri"/>
          <w:i/>
          <w:sz w:val="20"/>
          <w:szCs w:val="20"/>
          <w:lang w:val="es-ES"/>
        </w:rPr>
      </w:pPr>
    </w:p>
    <w:p w14:paraId="7D60C717" w14:textId="77777777" w:rsidR="00090145" w:rsidRPr="00683301" w:rsidRDefault="00A20CD5" w:rsidP="00B7712A">
      <w:pPr>
        <w:numPr>
          <w:ilvl w:val="0"/>
          <w:numId w:val="55"/>
        </w:numPr>
        <w:jc w:val="both"/>
        <w:rPr>
          <w:rFonts w:ascii="Cambria" w:hAnsi="Cambria" w:cs="Calibri"/>
          <w:i/>
          <w:sz w:val="20"/>
          <w:szCs w:val="20"/>
          <w:lang w:val="es-ES"/>
        </w:rPr>
      </w:pPr>
      <w:r w:rsidRPr="00683301">
        <w:rPr>
          <w:rFonts w:ascii="Cambria" w:hAnsi="Cambria" w:cs="Arial"/>
          <w:sz w:val="20"/>
          <w:szCs w:val="20"/>
          <w:lang w:val="es-ES"/>
        </w:rPr>
        <w:t>El 4 de marzo de 1997</w:t>
      </w:r>
      <w:r w:rsidR="00495554" w:rsidRPr="00683301">
        <w:rPr>
          <w:rFonts w:ascii="Cambria" w:hAnsi="Cambria" w:cs="Arial"/>
          <w:sz w:val="20"/>
          <w:szCs w:val="20"/>
          <w:lang w:val="es-ES"/>
        </w:rPr>
        <w:t xml:space="preserve"> </w:t>
      </w:r>
      <w:r w:rsidRPr="00683301">
        <w:rPr>
          <w:rFonts w:ascii="Cambria" w:hAnsi="Cambria" w:cs="Arial"/>
          <w:sz w:val="20"/>
          <w:szCs w:val="20"/>
          <w:lang w:val="es-ES"/>
        </w:rPr>
        <w:t>el Fiscal de</w:t>
      </w:r>
      <w:r w:rsidR="00090145" w:rsidRPr="00683301">
        <w:rPr>
          <w:rFonts w:ascii="Cambria" w:hAnsi="Cambria" w:cs="Arial"/>
          <w:sz w:val="20"/>
          <w:szCs w:val="20"/>
          <w:lang w:val="es-ES"/>
        </w:rPr>
        <w:t xml:space="preserve"> Tránsito Séptimo del Guayas</w:t>
      </w:r>
      <w:r w:rsidR="00495554" w:rsidRPr="00683301">
        <w:rPr>
          <w:rFonts w:ascii="Cambria" w:hAnsi="Cambria" w:cs="Arial"/>
          <w:sz w:val="20"/>
          <w:szCs w:val="20"/>
          <w:lang w:val="es-ES"/>
        </w:rPr>
        <w:t xml:space="preserve"> emitió su dictamen en donde señaló lo siguiente: </w:t>
      </w:r>
    </w:p>
    <w:p w14:paraId="04C2BD90" w14:textId="77777777" w:rsidR="00090145" w:rsidRPr="00683301" w:rsidRDefault="00090145" w:rsidP="00B7712A">
      <w:pPr>
        <w:ind w:left="720"/>
        <w:jc w:val="both"/>
        <w:rPr>
          <w:rFonts w:ascii="Cambria" w:hAnsi="Cambria" w:cs="Calibri"/>
          <w:i/>
          <w:sz w:val="20"/>
          <w:szCs w:val="20"/>
          <w:lang w:val="es-ES"/>
        </w:rPr>
      </w:pPr>
    </w:p>
    <w:p w14:paraId="3DEEE8B2" w14:textId="77777777" w:rsidR="000277E6" w:rsidRPr="00683301" w:rsidRDefault="00A20CD5" w:rsidP="00D1255F">
      <w:pPr>
        <w:ind w:left="720" w:right="720"/>
        <w:jc w:val="both"/>
        <w:rPr>
          <w:rFonts w:ascii="Cambria" w:hAnsi="Cambria" w:cs="Arial"/>
          <w:sz w:val="20"/>
          <w:szCs w:val="20"/>
          <w:lang w:val="es-ES"/>
        </w:rPr>
      </w:pPr>
      <w:r w:rsidRPr="00683301">
        <w:rPr>
          <w:rFonts w:ascii="Cambria" w:hAnsi="Cambria" w:cs="Arial"/>
          <w:sz w:val="20"/>
          <w:szCs w:val="20"/>
          <w:lang w:val="es-ES"/>
        </w:rPr>
        <w:t xml:space="preserve">Del estudio minucioso y detallado de cada una de las piezas procesales, encuentro que hay suficientes elementos para considerar que </w:t>
      </w:r>
      <w:r w:rsidR="00090145" w:rsidRPr="00683301">
        <w:rPr>
          <w:rFonts w:ascii="Cambria" w:hAnsi="Cambria" w:cs="Arial"/>
          <w:sz w:val="20"/>
          <w:szCs w:val="20"/>
          <w:lang w:val="es-ES"/>
        </w:rPr>
        <w:t>Ramón Carranza Alarcón</w:t>
      </w:r>
      <w:r w:rsidRPr="00683301">
        <w:rPr>
          <w:rFonts w:ascii="Cambria" w:hAnsi="Cambria" w:cs="Arial"/>
          <w:sz w:val="20"/>
          <w:szCs w:val="20"/>
          <w:lang w:val="es-ES"/>
        </w:rPr>
        <w:t xml:space="preserve"> ha tenido participación directa en el caso que se investiga, por cuanto no consta de autos que el sindicado haya </w:t>
      </w:r>
      <w:r w:rsidR="000277E6" w:rsidRPr="00683301">
        <w:rPr>
          <w:rFonts w:ascii="Cambria" w:hAnsi="Cambria" w:cs="Arial"/>
          <w:sz w:val="20"/>
          <w:szCs w:val="20"/>
          <w:lang w:val="es-ES"/>
        </w:rPr>
        <w:t>desvirtuado</w:t>
      </w:r>
      <w:r w:rsidRPr="00683301">
        <w:rPr>
          <w:rFonts w:ascii="Cambria" w:hAnsi="Cambria" w:cs="Arial"/>
          <w:sz w:val="20"/>
          <w:szCs w:val="20"/>
          <w:lang w:val="es-ES"/>
        </w:rPr>
        <w:t xml:space="preserve"> los cargos que se le imputan, como tampoco ha logrado demostrar donde ni con quien estuvo el día de los hechos criminológicos</w:t>
      </w:r>
      <w:r w:rsidR="00495554" w:rsidRPr="00683301">
        <w:rPr>
          <w:rFonts w:ascii="Cambria" w:hAnsi="Cambria" w:cs="Arial"/>
          <w:sz w:val="20"/>
          <w:szCs w:val="20"/>
          <w:lang w:val="es-ES"/>
        </w:rPr>
        <w:t xml:space="preserve"> (</w:t>
      </w:r>
      <w:r w:rsidRPr="00683301">
        <w:rPr>
          <w:rFonts w:ascii="Cambria" w:hAnsi="Cambria" w:cs="Arial"/>
          <w:sz w:val="20"/>
          <w:szCs w:val="20"/>
          <w:lang w:val="es-ES"/>
        </w:rPr>
        <w:t>…</w:t>
      </w:r>
      <w:r w:rsidR="00495554" w:rsidRPr="00683301">
        <w:rPr>
          <w:rFonts w:ascii="Cambria" w:hAnsi="Cambria" w:cs="Arial"/>
          <w:sz w:val="20"/>
          <w:szCs w:val="20"/>
          <w:lang w:val="es-ES"/>
        </w:rPr>
        <w:t xml:space="preserve">) </w:t>
      </w:r>
      <w:r w:rsidRPr="00683301">
        <w:rPr>
          <w:rFonts w:ascii="Cambria" w:hAnsi="Cambria" w:cs="Arial"/>
          <w:sz w:val="20"/>
          <w:szCs w:val="20"/>
          <w:lang w:val="es-ES"/>
        </w:rPr>
        <w:t xml:space="preserve">por lo que adecuó su conducta típica, antijurídica y culpable, dentro de lo que dispone el artículo 449 del Código Penal, el </w:t>
      </w:r>
      <w:r w:rsidRPr="00683301">
        <w:rPr>
          <w:rFonts w:ascii="Cambria" w:hAnsi="Cambria" w:cs="Arial"/>
          <w:sz w:val="20"/>
          <w:szCs w:val="20"/>
          <w:lang w:val="es-ES"/>
        </w:rPr>
        <w:lastRenderedPageBreak/>
        <w:t xml:space="preserve">sindicado </w:t>
      </w:r>
      <w:r w:rsidR="000277E6" w:rsidRPr="00683301">
        <w:rPr>
          <w:rFonts w:ascii="Cambria" w:hAnsi="Cambria" w:cs="Arial"/>
          <w:sz w:val="20"/>
          <w:szCs w:val="20"/>
          <w:lang w:val="es-ES"/>
        </w:rPr>
        <w:t>Ramón Rosendo Carranza Alarcón</w:t>
      </w:r>
      <w:r w:rsidRPr="00683301">
        <w:rPr>
          <w:rFonts w:ascii="Cambria" w:hAnsi="Cambria" w:cs="Arial"/>
          <w:sz w:val="20"/>
          <w:szCs w:val="20"/>
          <w:lang w:val="es-ES"/>
        </w:rPr>
        <w:t xml:space="preserve">, en calidad de autor, que es por lo que lo acusó. Me abstengo de acusar a </w:t>
      </w:r>
      <w:r w:rsidR="000277E6" w:rsidRPr="00683301">
        <w:rPr>
          <w:rFonts w:ascii="Cambria" w:hAnsi="Cambria" w:cs="Arial"/>
          <w:sz w:val="20"/>
          <w:szCs w:val="20"/>
          <w:lang w:val="es-ES"/>
        </w:rPr>
        <w:t>Alfredo Vargas Recalde</w:t>
      </w:r>
      <w:r w:rsidRPr="00683301">
        <w:rPr>
          <w:rFonts w:ascii="Cambria" w:hAnsi="Cambria" w:cs="Arial"/>
          <w:sz w:val="20"/>
          <w:szCs w:val="20"/>
          <w:lang w:val="es-ES"/>
        </w:rPr>
        <w:t xml:space="preserve">, por </w:t>
      </w:r>
      <w:r w:rsidR="00495554" w:rsidRPr="00683301">
        <w:rPr>
          <w:rFonts w:ascii="Cambria" w:hAnsi="Cambria" w:cs="Arial"/>
          <w:sz w:val="20"/>
          <w:szCs w:val="20"/>
          <w:lang w:val="es-ES"/>
        </w:rPr>
        <w:t>no existir méritos suficientes (…)</w:t>
      </w:r>
      <w:r w:rsidRPr="00683301">
        <w:rPr>
          <w:rStyle w:val="FootnoteReference"/>
          <w:rFonts w:ascii="Cambria" w:hAnsi="Cambria" w:cs="Arial"/>
          <w:sz w:val="20"/>
          <w:szCs w:val="20"/>
          <w:lang w:val="es-ES"/>
        </w:rPr>
        <w:footnoteReference w:id="21"/>
      </w:r>
      <w:r w:rsidR="000277E6" w:rsidRPr="00683301">
        <w:rPr>
          <w:rFonts w:ascii="Cambria" w:hAnsi="Cambria" w:cs="Arial"/>
          <w:sz w:val="20"/>
          <w:szCs w:val="20"/>
          <w:lang w:val="es-ES"/>
        </w:rPr>
        <w:t>.</w:t>
      </w:r>
    </w:p>
    <w:p w14:paraId="1161D506" w14:textId="77777777" w:rsidR="00F51BA9" w:rsidRPr="00683301" w:rsidRDefault="00F51BA9" w:rsidP="00717666">
      <w:pPr>
        <w:jc w:val="both"/>
        <w:rPr>
          <w:rFonts w:ascii="Cambria" w:hAnsi="Cambria" w:cs="Arial"/>
          <w:sz w:val="20"/>
          <w:szCs w:val="20"/>
          <w:lang w:val="es-ES"/>
        </w:rPr>
      </w:pPr>
    </w:p>
    <w:p w14:paraId="71361148" w14:textId="77777777" w:rsidR="000277E6" w:rsidRPr="00683301" w:rsidRDefault="00495554" w:rsidP="00B7712A">
      <w:pPr>
        <w:numPr>
          <w:ilvl w:val="0"/>
          <w:numId w:val="55"/>
        </w:numPr>
        <w:jc w:val="both"/>
        <w:rPr>
          <w:rFonts w:ascii="Cambria" w:hAnsi="Cambria" w:cs="Arial"/>
          <w:sz w:val="20"/>
          <w:szCs w:val="20"/>
          <w:lang w:val="es-ES"/>
        </w:rPr>
      </w:pPr>
      <w:r w:rsidRPr="00683301">
        <w:rPr>
          <w:rFonts w:ascii="Cambria" w:hAnsi="Cambria" w:cs="Arial"/>
          <w:sz w:val="20"/>
          <w:szCs w:val="20"/>
          <w:lang w:val="es-ES"/>
        </w:rPr>
        <w:t xml:space="preserve">El 14 de abril de 1997 </w:t>
      </w:r>
      <w:r w:rsidR="00A20CD5" w:rsidRPr="00683301">
        <w:rPr>
          <w:rFonts w:ascii="Cambria" w:hAnsi="Cambria" w:cs="Arial"/>
          <w:sz w:val="20"/>
          <w:szCs w:val="20"/>
          <w:lang w:val="es-ES"/>
        </w:rPr>
        <w:t xml:space="preserve">el </w:t>
      </w:r>
      <w:r w:rsidRPr="00683301">
        <w:rPr>
          <w:rFonts w:ascii="Cambria" w:hAnsi="Cambria" w:cs="Arial"/>
          <w:sz w:val="20"/>
          <w:szCs w:val="20"/>
          <w:lang w:val="es-ES"/>
        </w:rPr>
        <w:t>Juzgado 11º de lo Penal del Guayas</w:t>
      </w:r>
      <w:r w:rsidR="003619CE" w:rsidRPr="00683301">
        <w:rPr>
          <w:rFonts w:ascii="Cambria" w:hAnsi="Cambria" w:cs="Arial"/>
          <w:sz w:val="20"/>
          <w:szCs w:val="20"/>
          <w:lang w:val="es-ES"/>
        </w:rPr>
        <w:t xml:space="preserve"> emitió una resolución en donde </w:t>
      </w:r>
      <w:r w:rsidR="00A20CD5" w:rsidRPr="00683301">
        <w:rPr>
          <w:rFonts w:ascii="Cambria" w:hAnsi="Cambria" w:cs="Arial"/>
          <w:sz w:val="20"/>
          <w:szCs w:val="20"/>
          <w:lang w:val="es-ES"/>
        </w:rPr>
        <w:t>declaró abierta la etapa de plenario acogiendo el dictamen fiscal acusatorio</w:t>
      </w:r>
      <w:r w:rsidRPr="00683301">
        <w:rPr>
          <w:rStyle w:val="FootnoteReference"/>
          <w:rFonts w:ascii="Cambria" w:hAnsi="Cambria" w:cs="Arial"/>
          <w:sz w:val="20"/>
          <w:szCs w:val="20"/>
          <w:lang w:val="es-ES"/>
        </w:rPr>
        <w:footnoteReference w:id="22"/>
      </w:r>
      <w:r w:rsidR="00A20CD5" w:rsidRPr="00683301">
        <w:rPr>
          <w:rFonts w:ascii="Cambria" w:hAnsi="Cambria" w:cs="Arial"/>
          <w:sz w:val="20"/>
          <w:szCs w:val="20"/>
          <w:lang w:val="es-ES"/>
        </w:rPr>
        <w:t xml:space="preserve">. </w:t>
      </w:r>
      <w:r w:rsidRPr="00683301">
        <w:rPr>
          <w:rFonts w:ascii="Cambria" w:hAnsi="Cambria" w:cs="Arial"/>
          <w:sz w:val="20"/>
          <w:szCs w:val="20"/>
          <w:lang w:val="es-ES"/>
        </w:rPr>
        <w:t>En dicha resolución el Juzgado</w:t>
      </w:r>
      <w:r w:rsidR="00A20CD5" w:rsidRPr="00683301">
        <w:rPr>
          <w:rFonts w:ascii="Cambria" w:hAnsi="Cambria" w:cs="Arial"/>
          <w:sz w:val="20"/>
          <w:szCs w:val="20"/>
          <w:lang w:val="es-ES"/>
        </w:rPr>
        <w:t xml:space="preserve"> dictó el sobreseimiento provisional del señor Vargas</w:t>
      </w:r>
      <w:r w:rsidR="00A20CD5" w:rsidRPr="00683301">
        <w:rPr>
          <w:rStyle w:val="FootnoteReference"/>
          <w:rFonts w:ascii="Cambria" w:hAnsi="Cambria" w:cs="Arial"/>
          <w:sz w:val="20"/>
          <w:szCs w:val="20"/>
          <w:lang w:val="es-ES"/>
        </w:rPr>
        <w:footnoteReference w:id="23"/>
      </w:r>
      <w:r w:rsidR="00A20CD5" w:rsidRPr="00683301">
        <w:rPr>
          <w:rFonts w:ascii="Cambria" w:hAnsi="Cambria" w:cs="Arial"/>
          <w:sz w:val="20"/>
          <w:szCs w:val="20"/>
          <w:lang w:val="es-ES"/>
        </w:rPr>
        <w:t>.</w:t>
      </w:r>
    </w:p>
    <w:p w14:paraId="4241E9A6" w14:textId="77777777" w:rsidR="000277E6" w:rsidRPr="00683301" w:rsidRDefault="000277E6" w:rsidP="00B7712A">
      <w:pPr>
        <w:ind w:left="720"/>
        <w:jc w:val="both"/>
        <w:rPr>
          <w:rFonts w:ascii="Cambria" w:hAnsi="Cambria" w:cs="Arial"/>
          <w:sz w:val="20"/>
          <w:szCs w:val="20"/>
          <w:lang w:val="es-ES"/>
        </w:rPr>
      </w:pPr>
    </w:p>
    <w:p w14:paraId="75AD4DC2" w14:textId="77777777" w:rsidR="007419E9" w:rsidRPr="00683301" w:rsidRDefault="00436C97" w:rsidP="00436C97">
      <w:pPr>
        <w:numPr>
          <w:ilvl w:val="0"/>
          <w:numId w:val="55"/>
        </w:numPr>
        <w:jc w:val="both"/>
        <w:rPr>
          <w:rFonts w:ascii="Cambria" w:hAnsi="Cambria" w:cs="Arial"/>
          <w:sz w:val="20"/>
          <w:szCs w:val="20"/>
          <w:lang w:val="es-ES"/>
        </w:rPr>
      </w:pPr>
      <w:r w:rsidRPr="00683301">
        <w:rPr>
          <w:rFonts w:ascii="Cambria" w:hAnsi="Cambria" w:cs="Arial"/>
          <w:sz w:val="20"/>
          <w:szCs w:val="20"/>
          <w:lang w:val="es-ES"/>
        </w:rPr>
        <w:t xml:space="preserve">El 1 de diciembre de 1998 </w:t>
      </w:r>
      <w:r w:rsidR="00A20CD5" w:rsidRPr="00683301">
        <w:rPr>
          <w:rFonts w:ascii="Cambria" w:hAnsi="Cambria" w:cs="Arial"/>
          <w:sz w:val="20"/>
          <w:szCs w:val="20"/>
          <w:lang w:val="es-ES"/>
        </w:rPr>
        <w:t>se llevó a cabo la audiencia pública de la etapa del plenario</w:t>
      </w:r>
      <w:r w:rsidRPr="00683301">
        <w:rPr>
          <w:rFonts w:ascii="Cambria" w:hAnsi="Cambria" w:cs="Arial"/>
          <w:sz w:val="20"/>
          <w:szCs w:val="20"/>
          <w:lang w:val="es-ES"/>
        </w:rPr>
        <w:t xml:space="preserve"> ante el Cuarto Tribunal Penal del Guayas</w:t>
      </w:r>
      <w:r w:rsidRPr="00683301">
        <w:rPr>
          <w:rStyle w:val="FootnoteReference"/>
          <w:rFonts w:ascii="Cambria" w:hAnsi="Cambria" w:cs="Arial"/>
          <w:sz w:val="20"/>
          <w:szCs w:val="20"/>
          <w:lang w:val="es-ES"/>
        </w:rPr>
        <w:footnoteReference w:id="24"/>
      </w:r>
      <w:r w:rsidRPr="00683301">
        <w:rPr>
          <w:rFonts w:ascii="Cambria" w:hAnsi="Cambria" w:cs="Arial"/>
          <w:sz w:val="20"/>
          <w:szCs w:val="20"/>
          <w:lang w:val="es-ES"/>
        </w:rPr>
        <w:t xml:space="preserve">. En dicha audiencia el defensor del señor Carranza indicó </w:t>
      </w:r>
      <w:r w:rsidR="007419E9" w:rsidRPr="00683301">
        <w:rPr>
          <w:rFonts w:ascii="Cambria" w:hAnsi="Cambria" w:cs="Arial"/>
          <w:sz w:val="20"/>
          <w:szCs w:val="20"/>
          <w:lang w:val="es-ES"/>
        </w:rPr>
        <w:t>lo siguiente:</w:t>
      </w:r>
    </w:p>
    <w:p w14:paraId="148CFE1F" w14:textId="77777777" w:rsidR="007419E9" w:rsidRPr="00683301" w:rsidRDefault="007419E9" w:rsidP="007419E9">
      <w:pPr>
        <w:jc w:val="both"/>
        <w:rPr>
          <w:rFonts w:ascii="Cambria" w:hAnsi="Cambria" w:cs="Arial"/>
          <w:sz w:val="20"/>
          <w:szCs w:val="20"/>
          <w:lang w:val="es-ES"/>
        </w:rPr>
      </w:pPr>
    </w:p>
    <w:p w14:paraId="7FFD9B70" w14:textId="77777777" w:rsidR="007419E9" w:rsidRPr="00683301" w:rsidRDefault="007419E9" w:rsidP="00D1255F">
      <w:pPr>
        <w:ind w:left="720" w:right="720"/>
        <w:jc w:val="both"/>
        <w:rPr>
          <w:rFonts w:ascii="Cambria" w:hAnsi="Cambria" w:cs="Arial"/>
          <w:sz w:val="20"/>
          <w:szCs w:val="20"/>
          <w:lang w:val="es-ES"/>
        </w:rPr>
      </w:pPr>
      <w:r w:rsidRPr="00683301">
        <w:rPr>
          <w:rFonts w:ascii="Cambria" w:hAnsi="Cambria" w:cs="Arial"/>
          <w:sz w:val="20"/>
          <w:szCs w:val="20"/>
          <w:lang w:val="es-ES"/>
        </w:rPr>
        <w:t xml:space="preserve">(...) mi defendido no actuó con alevosía (...) es decir su conducta se enmarca en lo dispuesto </w:t>
      </w:r>
      <w:r w:rsidRPr="00683301">
        <w:rPr>
          <w:rFonts w:ascii="Cambria" w:eastAsia="Times New Roman" w:hAnsi="Cambria" w:cs="Arial"/>
          <w:sz w:val="20"/>
          <w:szCs w:val="20"/>
          <w:shd w:val="clear" w:color="auto" w:fill="FFFFFF"/>
          <w:lang w:val="es-ES"/>
        </w:rPr>
        <w:t xml:space="preserve">[por el </w:t>
      </w:r>
      <w:r w:rsidRPr="00683301">
        <w:rPr>
          <w:rFonts w:ascii="Cambria" w:hAnsi="Cambria" w:cs="Arial"/>
          <w:sz w:val="20"/>
          <w:szCs w:val="20"/>
          <w:lang w:val="es-ES"/>
        </w:rPr>
        <w:t>artículo</w:t>
      </w:r>
      <w:r w:rsidRPr="00683301">
        <w:rPr>
          <w:rFonts w:ascii="Cambria" w:eastAsia="Times New Roman" w:hAnsi="Cambria" w:cs="Arial"/>
          <w:sz w:val="20"/>
          <w:szCs w:val="20"/>
          <w:shd w:val="clear" w:color="auto" w:fill="FFFFFF"/>
          <w:lang w:val="es-ES"/>
        </w:rPr>
        <w:t>] 449 [del Código Penal] que es entre 8 y 12 años, lamentablemente señores magistrados, el estado ha violado el art. 7 de la convención americana de derechos humanos, al no haber sido juzgado en hechos, en un plazo razonable, hoy el procesado tiene 4 años de prisión</w:t>
      </w:r>
      <w:r w:rsidRPr="00683301">
        <w:rPr>
          <w:rStyle w:val="FootnoteReference"/>
          <w:rFonts w:ascii="Cambria" w:hAnsi="Cambria" w:cs="Arial"/>
          <w:sz w:val="20"/>
          <w:szCs w:val="20"/>
          <w:lang w:val="es-ES"/>
        </w:rPr>
        <w:footnoteReference w:id="25"/>
      </w:r>
      <w:r w:rsidRPr="00683301">
        <w:rPr>
          <w:rFonts w:ascii="Cambria" w:eastAsia="Times New Roman" w:hAnsi="Cambria" w:cs="Arial"/>
          <w:sz w:val="20"/>
          <w:szCs w:val="20"/>
          <w:shd w:val="clear" w:color="auto" w:fill="FFFFFF"/>
          <w:lang w:val="es-ES"/>
        </w:rPr>
        <w:t>.</w:t>
      </w:r>
    </w:p>
    <w:p w14:paraId="3F411006" w14:textId="77777777" w:rsidR="007419E9" w:rsidRPr="00683301" w:rsidRDefault="007419E9" w:rsidP="007419E9">
      <w:pPr>
        <w:jc w:val="both"/>
        <w:rPr>
          <w:rFonts w:ascii="Cambria" w:hAnsi="Cambria" w:cs="Arial"/>
          <w:sz w:val="20"/>
          <w:szCs w:val="20"/>
          <w:lang w:val="es-ES"/>
        </w:rPr>
      </w:pPr>
    </w:p>
    <w:p w14:paraId="3E10853B" w14:textId="77777777" w:rsidR="000277E6" w:rsidRPr="00683301" w:rsidRDefault="00812DCB" w:rsidP="00436C97">
      <w:pPr>
        <w:numPr>
          <w:ilvl w:val="0"/>
          <w:numId w:val="55"/>
        </w:numPr>
        <w:jc w:val="both"/>
        <w:rPr>
          <w:rFonts w:ascii="Cambria" w:hAnsi="Cambria" w:cs="Arial"/>
          <w:sz w:val="20"/>
          <w:szCs w:val="20"/>
          <w:lang w:val="es-ES"/>
        </w:rPr>
      </w:pPr>
      <w:r w:rsidRPr="00683301">
        <w:rPr>
          <w:rFonts w:ascii="Cambria" w:hAnsi="Cambria" w:cs="Arial"/>
          <w:sz w:val="20"/>
          <w:szCs w:val="20"/>
          <w:lang w:val="es-ES"/>
        </w:rPr>
        <w:t xml:space="preserve">Por su parte, el señor Carranza manifestó lo siguiente en la audiencia: </w:t>
      </w:r>
    </w:p>
    <w:p w14:paraId="1AD3F41D" w14:textId="77777777" w:rsidR="000277E6" w:rsidRPr="00683301" w:rsidRDefault="000277E6" w:rsidP="00B7712A">
      <w:pPr>
        <w:ind w:left="720"/>
        <w:jc w:val="both"/>
        <w:rPr>
          <w:rFonts w:ascii="Cambria" w:hAnsi="Cambria" w:cs="Arial"/>
          <w:sz w:val="20"/>
          <w:szCs w:val="20"/>
          <w:lang w:val="es-ES"/>
        </w:rPr>
      </w:pPr>
    </w:p>
    <w:p w14:paraId="5048C18B" w14:textId="77777777" w:rsidR="00A20CD5" w:rsidRPr="00683301" w:rsidRDefault="00A20CD5" w:rsidP="00D1255F">
      <w:pPr>
        <w:ind w:left="720" w:right="720"/>
        <w:jc w:val="both"/>
        <w:rPr>
          <w:rFonts w:ascii="Cambria" w:hAnsi="Cambria" w:cs="Arial"/>
          <w:sz w:val="20"/>
          <w:szCs w:val="20"/>
          <w:lang w:val="es-ES"/>
        </w:rPr>
      </w:pPr>
      <w:r w:rsidRPr="00683301">
        <w:rPr>
          <w:rFonts w:ascii="Cambria" w:hAnsi="Cambria" w:cs="Arial"/>
          <w:sz w:val="20"/>
          <w:szCs w:val="20"/>
          <w:lang w:val="es-ES"/>
        </w:rPr>
        <w:t>Yo no quise matarlo, sólo traté de defender mi vida, el señor me siguió con machete y lo que hice fue defender mi vida, le disparé pero no l</w:t>
      </w:r>
      <w:r w:rsidR="00812DCB" w:rsidRPr="00683301">
        <w:rPr>
          <w:rFonts w:ascii="Cambria" w:hAnsi="Cambria" w:cs="Arial"/>
          <w:sz w:val="20"/>
          <w:szCs w:val="20"/>
          <w:lang w:val="es-ES"/>
        </w:rPr>
        <w:t>o quise hacer, pido mi libertad</w:t>
      </w:r>
      <w:r w:rsidRPr="00683301">
        <w:rPr>
          <w:rStyle w:val="FootnoteReference"/>
          <w:rFonts w:ascii="Cambria" w:hAnsi="Cambria" w:cs="Arial"/>
          <w:sz w:val="20"/>
          <w:szCs w:val="20"/>
          <w:lang w:val="es-ES"/>
        </w:rPr>
        <w:footnoteReference w:id="26"/>
      </w:r>
      <w:r w:rsidRPr="00683301">
        <w:rPr>
          <w:rFonts w:ascii="Cambria" w:hAnsi="Cambria" w:cs="Arial"/>
          <w:sz w:val="20"/>
          <w:szCs w:val="20"/>
          <w:lang w:val="es-ES"/>
        </w:rPr>
        <w:t>.</w:t>
      </w:r>
    </w:p>
    <w:p w14:paraId="1235D681" w14:textId="77777777" w:rsidR="000277E6" w:rsidRPr="00683301" w:rsidRDefault="000277E6" w:rsidP="00B7712A">
      <w:pPr>
        <w:jc w:val="both"/>
        <w:rPr>
          <w:rFonts w:ascii="Cambria" w:hAnsi="Cambria" w:cs="Arial"/>
          <w:i/>
          <w:sz w:val="20"/>
          <w:szCs w:val="20"/>
          <w:lang w:val="es-ES"/>
        </w:rPr>
      </w:pPr>
    </w:p>
    <w:p w14:paraId="3672C0A5" w14:textId="77777777" w:rsidR="002F1167" w:rsidRPr="00683301" w:rsidRDefault="002F1167" w:rsidP="002F1167">
      <w:pPr>
        <w:numPr>
          <w:ilvl w:val="0"/>
          <w:numId w:val="55"/>
        </w:numPr>
        <w:jc w:val="both"/>
        <w:rPr>
          <w:rFonts w:ascii="Cambria" w:hAnsi="Cambria" w:cs="Calibri"/>
          <w:sz w:val="20"/>
          <w:szCs w:val="20"/>
          <w:lang w:val="es-ES"/>
        </w:rPr>
      </w:pPr>
      <w:r w:rsidRPr="00683301">
        <w:rPr>
          <w:rFonts w:ascii="Cambria" w:hAnsi="Cambria" w:cs="Calibri"/>
          <w:sz w:val="20"/>
          <w:szCs w:val="20"/>
          <w:lang w:val="es-ES"/>
        </w:rPr>
        <w:t>Asimismo, la CIDH toma nota de que en la petición inicial presentada ante la CIDH el señor Carranza manifestó lo siguiente:</w:t>
      </w:r>
    </w:p>
    <w:p w14:paraId="6B55531B" w14:textId="77777777" w:rsidR="002F1167" w:rsidRPr="00683301" w:rsidRDefault="002F1167" w:rsidP="002F1167">
      <w:pPr>
        <w:ind w:left="720"/>
        <w:jc w:val="both"/>
        <w:rPr>
          <w:rFonts w:ascii="Cambria" w:hAnsi="Cambria" w:cs="Calibri"/>
          <w:sz w:val="20"/>
          <w:szCs w:val="20"/>
          <w:lang w:val="es-ES"/>
        </w:rPr>
      </w:pPr>
    </w:p>
    <w:p w14:paraId="4362127E" w14:textId="77777777" w:rsidR="002F1167" w:rsidRPr="00683301" w:rsidRDefault="002F1167" w:rsidP="00D1255F">
      <w:pPr>
        <w:ind w:left="720" w:right="720"/>
        <w:jc w:val="both"/>
        <w:rPr>
          <w:rFonts w:ascii="Cambria" w:hAnsi="Cambria" w:cs="Calibri"/>
          <w:sz w:val="20"/>
          <w:szCs w:val="20"/>
          <w:lang w:val="es-ES"/>
        </w:rPr>
      </w:pPr>
      <w:r w:rsidRPr="00683301">
        <w:rPr>
          <w:rFonts w:ascii="Cambria" w:hAnsi="Cambria" w:cs="Arial"/>
          <w:sz w:val="20"/>
          <w:szCs w:val="20"/>
          <w:lang w:val="es-ES"/>
        </w:rPr>
        <w:t>(…) fui acusado de ser autor de la muerte de Samuel Mariño, sin considerar que actué en legítimo derecho en defensa de mi vida que se vio gravemente amenazada por el occiso; nunca hubo evidencia alguna que haya actuado con premeditación y alevosía (…). Durante la audiencia (...) admití ser el autor del disparo que causó la muerte a dicha persona</w:t>
      </w:r>
      <w:r w:rsidRPr="00683301">
        <w:rPr>
          <w:rStyle w:val="FootnoteReference"/>
          <w:rFonts w:ascii="Cambria" w:hAnsi="Cambria" w:cs="Arial"/>
          <w:sz w:val="20"/>
          <w:szCs w:val="20"/>
          <w:lang w:val="es-ES"/>
        </w:rPr>
        <w:footnoteReference w:id="27"/>
      </w:r>
      <w:r w:rsidRPr="00683301">
        <w:rPr>
          <w:rFonts w:ascii="Cambria" w:hAnsi="Cambria" w:cs="Arial"/>
          <w:sz w:val="20"/>
          <w:szCs w:val="20"/>
          <w:lang w:val="es-ES"/>
        </w:rPr>
        <w:t>.</w:t>
      </w:r>
    </w:p>
    <w:p w14:paraId="246C43F7" w14:textId="77777777" w:rsidR="002F1167" w:rsidRPr="00683301" w:rsidRDefault="002F1167" w:rsidP="00B7712A">
      <w:pPr>
        <w:jc w:val="both"/>
        <w:rPr>
          <w:rFonts w:ascii="Cambria" w:hAnsi="Cambria" w:cs="Arial"/>
          <w:i/>
          <w:sz w:val="20"/>
          <w:szCs w:val="20"/>
          <w:lang w:val="es-ES"/>
        </w:rPr>
      </w:pPr>
    </w:p>
    <w:p w14:paraId="68782C8D" w14:textId="77777777" w:rsidR="000277E6" w:rsidRPr="00683301" w:rsidRDefault="0060469B" w:rsidP="00B7712A">
      <w:pPr>
        <w:numPr>
          <w:ilvl w:val="0"/>
          <w:numId w:val="55"/>
        </w:numPr>
        <w:jc w:val="both"/>
        <w:rPr>
          <w:rFonts w:ascii="Cambria" w:hAnsi="Cambria" w:cs="Arial"/>
          <w:sz w:val="20"/>
          <w:szCs w:val="20"/>
          <w:lang w:val="es-ES"/>
        </w:rPr>
      </w:pPr>
      <w:r w:rsidRPr="00683301">
        <w:rPr>
          <w:rFonts w:ascii="Cambria" w:hAnsi="Cambria" w:cs="Arial"/>
          <w:sz w:val="20"/>
          <w:szCs w:val="20"/>
          <w:lang w:val="es-ES"/>
        </w:rPr>
        <w:t xml:space="preserve">El 15 de diciembre de 1998 </w:t>
      </w:r>
      <w:r w:rsidR="00A20CD5" w:rsidRPr="00683301">
        <w:rPr>
          <w:rFonts w:ascii="Cambria" w:hAnsi="Cambria" w:cs="Arial"/>
          <w:sz w:val="20"/>
          <w:szCs w:val="20"/>
          <w:lang w:val="es-ES"/>
        </w:rPr>
        <w:t xml:space="preserve">el Cuarto Tribunal de lo Penal del Guayas dictó </w:t>
      </w:r>
      <w:r w:rsidRPr="00683301">
        <w:rPr>
          <w:rFonts w:ascii="Cambria" w:hAnsi="Cambria" w:cs="Arial"/>
          <w:sz w:val="20"/>
          <w:szCs w:val="20"/>
          <w:lang w:val="es-ES"/>
        </w:rPr>
        <w:t xml:space="preserve">una </w:t>
      </w:r>
      <w:r w:rsidR="00A20CD5" w:rsidRPr="00683301">
        <w:rPr>
          <w:rFonts w:ascii="Cambria" w:hAnsi="Cambria" w:cs="Arial"/>
          <w:sz w:val="20"/>
          <w:szCs w:val="20"/>
          <w:lang w:val="es-ES"/>
        </w:rPr>
        <w:t xml:space="preserve">sentencia </w:t>
      </w:r>
      <w:r w:rsidRPr="00683301">
        <w:rPr>
          <w:rFonts w:ascii="Cambria" w:hAnsi="Cambria" w:cs="Arial"/>
          <w:sz w:val="20"/>
          <w:szCs w:val="20"/>
          <w:lang w:val="es-ES"/>
        </w:rPr>
        <w:t xml:space="preserve">condenatoria en perjuicio del </w:t>
      </w:r>
      <w:r w:rsidR="00A20CD5" w:rsidRPr="00683301">
        <w:rPr>
          <w:rFonts w:ascii="Cambria" w:hAnsi="Cambria" w:cs="Arial"/>
          <w:sz w:val="20"/>
          <w:szCs w:val="20"/>
          <w:lang w:val="es-ES"/>
        </w:rPr>
        <w:t xml:space="preserve">señor </w:t>
      </w:r>
      <w:r w:rsidR="000277E6" w:rsidRPr="00683301">
        <w:rPr>
          <w:rFonts w:ascii="Cambria" w:hAnsi="Cambria" w:cs="Arial"/>
          <w:sz w:val="20"/>
          <w:szCs w:val="20"/>
          <w:lang w:val="es-ES"/>
        </w:rPr>
        <w:t>Carranza</w:t>
      </w:r>
      <w:r w:rsidR="00A20CD5" w:rsidRPr="00683301">
        <w:rPr>
          <w:rStyle w:val="FootnoteReference"/>
          <w:rFonts w:ascii="Cambria" w:hAnsi="Cambria" w:cs="Arial"/>
          <w:sz w:val="20"/>
          <w:szCs w:val="20"/>
          <w:lang w:val="es-ES"/>
        </w:rPr>
        <w:footnoteReference w:id="28"/>
      </w:r>
      <w:r w:rsidRPr="00683301">
        <w:rPr>
          <w:rFonts w:ascii="Cambria" w:hAnsi="Cambria" w:cs="Arial"/>
          <w:sz w:val="20"/>
          <w:szCs w:val="20"/>
          <w:lang w:val="es-ES"/>
        </w:rPr>
        <w:t xml:space="preserve">. El tribunal lo encontró </w:t>
      </w:r>
      <w:r w:rsidR="00A20CD5" w:rsidRPr="00683301">
        <w:rPr>
          <w:rFonts w:ascii="Cambria" w:hAnsi="Cambria" w:cs="Arial"/>
          <w:sz w:val="20"/>
          <w:szCs w:val="20"/>
          <w:lang w:val="es-ES"/>
        </w:rPr>
        <w:t xml:space="preserve">responsable </w:t>
      </w:r>
      <w:r w:rsidRPr="00683301">
        <w:rPr>
          <w:rFonts w:ascii="Cambria" w:hAnsi="Cambria" w:cs="Arial"/>
          <w:sz w:val="20"/>
          <w:szCs w:val="20"/>
          <w:lang w:val="es-ES"/>
        </w:rPr>
        <w:t xml:space="preserve">por el delito de homicidio </w:t>
      </w:r>
      <w:r w:rsidR="00A20CD5" w:rsidRPr="00683301">
        <w:rPr>
          <w:rFonts w:ascii="Cambria" w:hAnsi="Cambria" w:cs="Arial"/>
          <w:sz w:val="20"/>
          <w:szCs w:val="20"/>
          <w:lang w:val="es-ES"/>
        </w:rPr>
        <w:t>en el grado de autor</w:t>
      </w:r>
      <w:r w:rsidRPr="00683301">
        <w:rPr>
          <w:rFonts w:ascii="Cambria" w:hAnsi="Cambria" w:cs="Arial"/>
          <w:sz w:val="20"/>
          <w:szCs w:val="20"/>
          <w:lang w:val="es-ES"/>
        </w:rPr>
        <w:t>, conforme a lo establecido</w:t>
      </w:r>
      <w:r w:rsidR="00A20CD5" w:rsidRPr="00683301">
        <w:rPr>
          <w:rFonts w:ascii="Cambria" w:hAnsi="Cambria" w:cs="Arial"/>
          <w:sz w:val="20"/>
          <w:szCs w:val="20"/>
          <w:lang w:val="es-ES"/>
        </w:rPr>
        <w:t xml:space="preserve"> en el</w:t>
      </w:r>
      <w:r w:rsidR="00F51BA9" w:rsidRPr="00683301">
        <w:rPr>
          <w:rFonts w:ascii="Cambria" w:hAnsi="Cambria" w:cs="Arial"/>
          <w:sz w:val="20"/>
          <w:szCs w:val="20"/>
          <w:lang w:val="es-ES"/>
        </w:rPr>
        <w:t xml:space="preserve"> artículo 449 del Código Penal</w:t>
      </w:r>
      <w:r w:rsidRPr="00683301">
        <w:rPr>
          <w:rStyle w:val="FootnoteReference"/>
          <w:rFonts w:ascii="Cambria" w:hAnsi="Cambria" w:cs="Arial"/>
          <w:sz w:val="20"/>
          <w:szCs w:val="20"/>
          <w:lang w:val="es-ES"/>
        </w:rPr>
        <w:footnoteReference w:id="29"/>
      </w:r>
      <w:r w:rsidR="00F51BA9" w:rsidRPr="00683301">
        <w:rPr>
          <w:rFonts w:ascii="Cambria" w:hAnsi="Cambria" w:cs="Arial"/>
          <w:sz w:val="20"/>
          <w:szCs w:val="20"/>
          <w:lang w:val="es-ES"/>
        </w:rPr>
        <w:t xml:space="preserve">. </w:t>
      </w:r>
      <w:r w:rsidRPr="00683301">
        <w:rPr>
          <w:rFonts w:ascii="Cambria" w:hAnsi="Cambria" w:cs="Arial"/>
          <w:sz w:val="20"/>
          <w:szCs w:val="20"/>
          <w:lang w:val="es-ES"/>
        </w:rPr>
        <w:t xml:space="preserve">El tribunal </w:t>
      </w:r>
      <w:r w:rsidR="00A20CD5" w:rsidRPr="00683301">
        <w:rPr>
          <w:rFonts w:ascii="Cambria" w:hAnsi="Cambria" w:cs="Arial"/>
          <w:sz w:val="20"/>
          <w:szCs w:val="20"/>
          <w:lang w:val="es-ES"/>
        </w:rPr>
        <w:t xml:space="preserve">le impuso la pena de seis años de reclusión menor, </w:t>
      </w:r>
      <w:r w:rsidR="00597139" w:rsidRPr="00683301">
        <w:rPr>
          <w:rFonts w:ascii="Cambria" w:hAnsi="Cambria" w:cs="Arial"/>
          <w:sz w:val="20"/>
          <w:szCs w:val="20"/>
          <w:lang w:val="es-ES"/>
        </w:rPr>
        <w:t>por existir atenuantes</w:t>
      </w:r>
      <w:r w:rsidR="00F51BA9" w:rsidRPr="00683301">
        <w:rPr>
          <w:rStyle w:val="FootnoteReference"/>
          <w:rFonts w:ascii="Cambria" w:hAnsi="Cambria" w:cs="Arial"/>
          <w:sz w:val="20"/>
          <w:szCs w:val="20"/>
          <w:lang w:val="es-ES"/>
        </w:rPr>
        <w:footnoteReference w:id="30"/>
      </w:r>
      <w:r w:rsidR="00A20CD5" w:rsidRPr="00683301">
        <w:rPr>
          <w:rFonts w:ascii="Cambria" w:hAnsi="Cambria" w:cs="Arial"/>
          <w:sz w:val="20"/>
          <w:szCs w:val="20"/>
          <w:lang w:val="es-ES"/>
        </w:rPr>
        <w:t xml:space="preserve">. </w:t>
      </w:r>
    </w:p>
    <w:p w14:paraId="6552048C" w14:textId="77777777" w:rsidR="000277E6" w:rsidRPr="00683301" w:rsidRDefault="000277E6" w:rsidP="00B7712A">
      <w:pPr>
        <w:ind w:left="720"/>
        <w:jc w:val="both"/>
        <w:rPr>
          <w:rFonts w:ascii="Cambria" w:hAnsi="Cambria" w:cs="Arial"/>
          <w:sz w:val="20"/>
          <w:szCs w:val="20"/>
          <w:lang w:val="es-ES"/>
        </w:rPr>
      </w:pPr>
    </w:p>
    <w:p w14:paraId="16855B35" w14:textId="77777777" w:rsidR="000277E6" w:rsidRPr="00683301" w:rsidRDefault="00597139" w:rsidP="00B7712A">
      <w:pPr>
        <w:numPr>
          <w:ilvl w:val="0"/>
          <w:numId w:val="55"/>
        </w:numPr>
        <w:jc w:val="both"/>
        <w:rPr>
          <w:rFonts w:ascii="Cambria" w:hAnsi="Cambria" w:cs="Arial"/>
          <w:sz w:val="20"/>
          <w:szCs w:val="20"/>
          <w:lang w:val="es-ES"/>
        </w:rPr>
      </w:pPr>
      <w:r w:rsidRPr="00683301">
        <w:rPr>
          <w:rFonts w:ascii="Cambria" w:hAnsi="Cambria" w:cs="Arial"/>
          <w:sz w:val="20"/>
          <w:szCs w:val="20"/>
          <w:lang w:val="es-ES"/>
        </w:rPr>
        <w:t>El tribunal agregó que l</w:t>
      </w:r>
      <w:r w:rsidR="00A20CD5" w:rsidRPr="00683301">
        <w:rPr>
          <w:rFonts w:ascii="Cambria" w:hAnsi="Cambria" w:cs="Arial"/>
          <w:sz w:val="20"/>
          <w:szCs w:val="20"/>
          <w:lang w:val="es-ES"/>
        </w:rPr>
        <w:t>a pena debía ser cumplida en el Centro de Rehabilitación Social de Varones de Guayaquil, a la cual debía descontarse el tiempo que por había permanecido privado de su libertad, de conformidad al artículo 54 del Código de Ejecución de Penas y Rehabilitación Social</w:t>
      </w:r>
      <w:r w:rsidRPr="00683301">
        <w:rPr>
          <w:rStyle w:val="FootnoteReference"/>
          <w:rFonts w:ascii="Cambria" w:hAnsi="Cambria" w:cs="Arial"/>
          <w:sz w:val="20"/>
          <w:szCs w:val="20"/>
          <w:lang w:val="es-ES"/>
        </w:rPr>
        <w:footnoteReference w:id="31"/>
      </w:r>
      <w:r w:rsidR="00A20CD5" w:rsidRPr="00683301">
        <w:rPr>
          <w:rFonts w:ascii="Cambria" w:hAnsi="Cambria" w:cs="Arial"/>
          <w:sz w:val="20"/>
          <w:szCs w:val="20"/>
          <w:lang w:val="es-ES"/>
        </w:rPr>
        <w:t>.</w:t>
      </w:r>
    </w:p>
    <w:p w14:paraId="1508CCC2" w14:textId="77777777" w:rsidR="000277E6" w:rsidRPr="00683301" w:rsidRDefault="000277E6" w:rsidP="00B7712A">
      <w:pPr>
        <w:ind w:left="720"/>
        <w:jc w:val="both"/>
        <w:rPr>
          <w:rFonts w:ascii="Cambria" w:hAnsi="Cambria" w:cs="Arial"/>
          <w:sz w:val="20"/>
          <w:szCs w:val="20"/>
          <w:lang w:val="es-ES"/>
        </w:rPr>
      </w:pPr>
    </w:p>
    <w:p w14:paraId="0DA3F36A" w14:textId="77777777" w:rsidR="00A20CD5" w:rsidRPr="00683301" w:rsidRDefault="00FA2A8D" w:rsidP="00B7712A">
      <w:pPr>
        <w:numPr>
          <w:ilvl w:val="0"/>
          <w:numId w:val="55"/>
        </w:numPr>
        <w:jc w:val="both"/>
        <w:rPr>
          <w:rFonts w:ascii="Cambria" w:hAnsi="Cambria" w:cs="Arial"/>
          <w:sz w:val="20"/>
          <w:szCs w:val="20"/>
          <w:lang w:val="es-ES"/>
        </w:rPr>
      </w:pPr>
      <w:r w:rsidRPr="00683301">
        <w:rPr>
          <w:rFonts w:ascii="Cambria" w:hAnsi="Cambria" w:cs="Arial"/>
          <w:sz w:val="20"/>
          <w:szCs w:val="20"/>
          <w:lang w:val="es-ES"/>
        </w:rPr>
        <w:t xml:space="preserve">La CIDH toma nota de que </w:t>
      </w:r>
      <w:r w:rsidR="001D12A6" w:rsidRPr="00683301">
        <w:rPr>
          <w:rFonts w:ascii="Cambria" w:hAnsi="Cambria" w:cs="Arial"/>
          <w:sz w:val="20"/>
          <w:szCs w:val="20"/>
          <w:lang w:val="es-ES"/>
        </w:rPr>
        <w:t>el señor Carranza no presentó recurso alguno</w:t>
      </w:r>
      <w:r w:rsidRPr="00683301">
        <w:rPr>
          <w:rFonts w:ascii="Cambria" w:hAnsi="Cambria" w:cs="Arial"/>
          <w:sz w:val="20"/>
          <w:szCs w:val="20"/>
          <w:lang w:val="es-ES"/>
        </w:rPr>
        <w:t xml:space="preserve"> a efectos de impugnar dicha sentencia. </w:t>
      </w:r>
    </w:p>
    <w:p w14:paraId="65BDE12D" w14:textId="77777777" w:rsidR="005C157B" w:rsidRPr="00683301" w:rsidRDefault="005C157B"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407479FA" w14:textId="77777777" w:rsidR="00516470" w:rsidRPr="00683301" w:rsidRDefault="00516470" w:rsidP="00BB058F">
      <w:pPr>
        <w:pStyle w:val="Heading1"/>
        <w:rPr>
          <w:lang w:val="es-ES"/>
        </w:rPr>
      </w:pPr>
      <w:bookmarkStart w:id="20" w:name="_Toc482278242"/>
      <w:r w:rsidRPr="00683301">
        <w:rPr>
          <w:lang w:val="es-ES"/>
        </w:rPr>
        <w:t>ANÁLISIS DE DERECHO</w:t>
      </w:r>
      <w:bookmarkEnd w:id="20"/>
    </w:p>
    <w:p w14:paraId="4F78449C" w14:textId="77777777" w:rsidR="001010E3" w:rsidRPr="00683301" w:rsidRDefault="001010E3"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53ECF7E0" w14:textId="77777777" w:rsidR="003F2C42" w:rsidRPr="00683301" w:rsidRDefault="00701A06" w:rsidP="00701A0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Tomando en cuenta los alegatos de las partes y los hechos establecidos, la Comisión efectuará su análisis de derecho en el siguiente orden: A. Cuestión previa sobre el alcance del caso; B</w:t>
      </w:r>
      <w:r w:rsidR="00786177" w:rsidRPr="00683301">
        <w:rPr>
          <w:rFonts w:ascii="Cambria" w:hAnsi="Cambria"/>
          <w:sz w:val="20"/>
          <w:szCs w:val="20"/>
          <w:lang w:val="es-ES"/>
        </w:rPr>
        <w:t>. Derecho a la libertad persona</w:t>
      </w:r>
      <w:r w:rsidR="0037673C" w:rsidRPr="00683301">
        <w:rPr>
          <w:rFonts w:ascii="Cambria" w:hAnsi="Cambria"/>
          <w:sz w:val="20"/>
          <w:szCs w:val="20"/>
          <w:lang w:val="es-ES"/>
        </w:rPr>
        <w:t>l y</w:t>
      </w:r>
      <w:r w:rsidR="00A60CD9" w:rsidRPr="00683301">
        <w:rPr>
          <w:rFonts w:ascii="Cambria" w:hAnsi="Cambria"/>
          <w:sz w:val="20"/>
          <w:szCs w:val="20"/>
          <w:lang w:val="es-ES"/>
        </w:rPr>
        <w:t xml:space="preserve"> a la</w:t>
      </w:r>
      <w:r w:rsidR="0037673C" w:rsidRPr="00683301">
        <w:rPr>
          <w:rFonts w:ascii="Cambria" w:hAnsi="Cambria"/>
          <w:sz w:val="20"/>
          <w:szCs w:val="20"/>
          <w:lang w:val="es-ES"/>
        </w:rPr>
        <w:t xml:space="preserve"> presunción de inocencia</w:t>
      </w:r>
      <w:r w:rsidR="00A60CD9" w:rsidRPr="00683301">
        <w:rPr>
          <w:rFonts w:ascii="Cambria" w:hAnsi="Cambria"/>
          <w:sz w:val="20"/>
          <w:szCs w:val="20"/>
          <w:lang w:val="es-ES"/>
        </w:rPr>
        <w:t xml:space="preserve">; </w:t>
      </w:r>
      <w:r w:rsidRPr="00683301">
        <w:rPr>
          <w:rFonts w:ascii="Cambria" w:hAnsi="Cambria"/>
          <w:sz w:val="20"/>
          <w:szCs w:val="20"/>
          <w:lang w:val="es-ES"/>
        </w:rPr>
        <w:t>y C. Derecho</w:t>
      </w:r>
      <w:r w:rsidR="00141E6D" w:rsidRPr="00683301">
        <w:rPr>
          <w:rFonts w:ascii="Cambria" w:hAnsi="Cambria"/>
          <w:sz w:val="20"/>
          <w:szCs w:val="20"/>
          <w:lang w:val="es-ES"/>
        </w:rPr>
        <w:t xml:space="preserve"> a ser juzgado en un plazo razonable. </w:t>
      </w:r>
    </w:p>
    <w:p w14:paraId="44EE3919" w14:textId="77777777" w:rsidR="003F2C42" w:rsidRPr="00683301" w:rsidRDefault="003F2C42"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02113D11" w14:textId="77777777" w:rsidR="007E5D8B" w:rsidRPr="00683301" w:rsidRDefault="007E5D8B" w:rsidP="00D1255F">
      <w:pPr>
        <w:pStyle w:val="Heading2"/>
        <w:rPr>
          <w:lang w:val="es-ES"/>
        </w:rPr>
      </w:pPr>
      <w:bookmarkStart w:id="21" w:name="_Toc482278243"/>
      <w:r w:rsidRPr="00683301">
        <w:rPr>
          <w:lang w:val="es-ES"/>
        </w:rPr>
        <w:t>Cuestión previa sobre el alcance del caso</w:t>
      </w:r>
      <w:bookmarkEnd w:id="21"/>
    </w:p>
    <w:p w14:paraId="6A606581" w14:textId="77777777" w:rsidR="007E5D8B" w:rsidRPr="00683301" w:rsidRDefault="007E5D8B"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0F22E5C7" w14:textId="77777777" w:rsidR="00012FCE" w:rsidRPr="00683301" w:rsidRDefault="00012FCE" w:rsidP="0025261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Tomando en cuenta la diversidad de argumentos formulados por el peticionario, la Comisión </w:t>
      </w:r>
      <w:r w:rsidR="008703AA" w:rsidRPr="00683301">
        <w:rPr>
          <w:rFonts w:ascii="Cambria" w:hAnsi="Cambria"/>
          <w:sz w:val="20"/>
          <w:szCs w:val="20"/>
          <w:lang w:val="es-ES"/>
        </w:rPr>
        <w:t>considera pertinente referirse de manera previa al alcance del presente caso.</w:t>
      </w:r>
    </w:p>
    <w:p w14:paraId="48D5BA97" w14:textId="77777777" w:rsidR="008703AA" w:rsidRPr="00683301" w:rsidRDefault="008703AA"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4A640EA4" w14:textId="77777777" w:rsidR="008703AA" w:rsidRPr="00683301" w:rsidRDefault="008703AA" w:rsidP="0025261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ese sentido, el peticionario </w:t>
      </w:r>
      <w:r w:rsidR="00947BDC" w:rsidRPr="00683301">
        <w:rPr>
          <w:rFonts w:ascii="Cambria" w:hAnsi="Cambria"/>
          <w:sz w:val="20"/>
          <w:szCs w:val="20"/>
          <w:lang w:val="es-ES"/>
        </w:rPr>
        <w:t>alegó que su arresto fue ilegal y arbitrario, que la detención a la que fue sometida fue irr</w:t>
      </w:r>
      <w:r w:rsidR="00C963B4" w:rsidRPr="00683301">
        <w:rPr>
          <w:rFonts w:ascii="Cambria" w:hAnsi="Cambria"/>
          <w:sz w:val="20"/>
          <w:szCs w:val="20"/>
          <w:lang w:val="es-ES"/>
        </w:rPr>
        <w:t>azonable, que recibió atención médica inadecuada en cuanto a la tuberculosis que padecí</w:t>
      </w:r>
      <w:r w:rsidR="00E76917" w:rsidRPr="00683301">
        <w:rPr>
          <w:rFonts w:ascii="Cambria" w:hAnsi="Cambria"/>
          <w:sz w:val="20"/>
          <w:szCs w:val="20"/>
          <w:lang w:val="es-ES"/>
        </w:rPr>
        <w:t xml:space="preserve">a, que tuvieron lugar violaciones al debido proceso y que la condena impuesta no fue proporcional, pues no se le concedieron las rebajas establecidas en la legislación interna. </w:t>
      </w:r>
    </w:p>
    <w:p w14:paraId="7B9296F8" w14:textId="77777777" w:rsidR="00241E56" w:rsidRPr="00683301" w:rsidRDefault="00241E56"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41B6AFCA" w14:textId="1DCE559D" w:rsidR="00241E56" w:rsidRPr="00683301" w:rsidRDefault="00241E56" w:rsidP="0025261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La Comisión recuerda que en su informe de admisibilidad No. 154/11, delimitó el objeto del presente caso. Específicamente, al momento de analizar el requisito de agotamiento de los recursos internos, la Comisión tomó nota de que el señor Carranza no presentó recurso alguno contra su condena. En ese sentido, el análisis de agotamiento de los recursos internos se hizo exclusivamente </w:t>
      </w:r>
      <w:r w:rsidR="004A71FF" w:rsidRPr="00683301">
        <w:rPr>
          <w:rFonts w:ascii="Cambria" w:hAnsi="Cambria"/>
          <w:sz w:val="20"/>
          <w:szCs w:val="20"/>
          <w:lang w:val="es-ES"/>
        </w:rPr>
        <w:t>respecto de la detención preventiva a la que estuvo sometido el señor Carranza</w:t>
      </w:r>
      <w:r w:rsidR="00613832" w:rsidRPr="00683301">
        <w:rPr>
          <w:rStyle w:val="FootnoteReference"/>
          <w:rFonts w:ascii="Cambria" w:hAnsi="Cambria"/>
          <w:sz w:val="20"/>
          <w:szCs w:val="20"/>
          <w:lang w:val="es-ES"/>
        </w:rPr>
        <w:footnoteReference w:id="32"/>
      </w:r>
      <w:r w:rsidR="004A71FF" w:rsidRPr="00683301">
        <w:rPr>
          <w:rFonts w:ascii="Cambria" w:hAnsi="Cambria"/>
          <w:sz w:val="20"/>
          <w:szCs w:val="20"/>
          <w:lang w:val="es-ES"/>
        </w:rPr>
        <w:t xml:space="preserve">. </w:t>
      </w:r>
      <w:r w:rsidR="00B3434C" w:rsidRPr="00683301">
        <w:rPr>
          <w:rFonts w:ascii="Cambria" w:hAnsi="Cambria"/>
          <w:sz w:val="20"/>
          <w:szCs w:val="20"/>
          <w:lang w:val="es-ES"/>
        </w:rPr>
        <w:t xml:space="preserve">En la misma línea, </w:t>
      </w:r>
      <w:r w:rsidR="00AF6D50" w:rsidRPr="00683301">
        <w:rPr>
          <w:rFonts w:ascii="Cambria" w:hAnsi="Cambria"/>
          <w:sz w:val="20"/>
          <w:szCs w:val="20"/>
          <w:lang w:val="es-ES"/>
        </w:rPr>
        <w:t xml:space="preserve">en la sección de “caracterización” del referido informe de admisibilidad, la Comisión circunscribió el caso a la detención preventiva en los siguientes indicando que “las alegaciones del peticionario relativas a detención preventiva prolongada de Ramón Rosendo Alarcón, podrían caracterizar posibles violaciones a los derechos </w:t>
      </w:r>
      <w:r w:rsidR="00A06A17">
        <w:rPr>
          <w:rFonts w:ascii="Cambria" w:hAnsi="Cambria"/>
          <w:sz w:val="20"/>
          <w:szCs w:val="20"/>
          <w:lang w:val="es-ES"/>
        </w:rPr>
        <w:t xml:space="preserve">a </w:t>
      </w:r>
      <w:r w:rsidR="00AF6D50" w:rsidRPr="00683301">
        <w:rPr>
          <w:rFonts w:ascii="Cambria" w:hAnsi="Cambria"/>
          <w:sz w:val="20"/>
          <w:szCs w:val="20"/>
          <w:lang w:val="es-ES"/>
        </w:rPr>
        <w:t>la libertad personal, las garantías judiciales, y la protección judicial”</w:t>
      </w:r>
      <w:r w:rsidR="00251EAE" w:rsidRPr="00683301">
        <w:rPr>
          <w:rStyle w:val="FootnoteReference"/>
          <w:rFonts w:ascii="Cambria" w:hAnsi="Cambria"/>
          <w:sz w:val="20"/>
          <w:szCs w:val="20"/>
          <w:lang w:val="es-ES"/>
        </w:rPr>
        <w:footnoteReference w:id="33"/>
      </w:r>
      <w:r w:rsidR="00AF6D50" w:rsidRPr="00683301">
        <w:rPr>
          <w:rFonts w:ascii="Cambria" w:hAnsi="Cambria"/>
          <w:sz w:val="20"/>
          <w:szCs w:val="20"/>
          <w:lang w:val="es-ES"/>
        </w:rPr>
        <w:t xml:space="preserve">. En la misma sección, la Comisión determinó que el peticionario no expuso argumentos para considerar </w:t>
      </w:r>
      <w:r w:rsidR="00AF6D50" w:rsidRPr="00683301">
        <w:rPr>
          <w:rFonts w:ascii="Cambria" w:hAnsi="Cambria"/>
          <w:i/>
          <w:sz w:val="20"/>
          <w:szCs w:val="20"/>
          <w:lang w:val="es-ES"/>
        </w:rPr>
        <w:t>prima facie</w:t>
      </w:r>
      <w:r w:rsidR="00AF6D50" w:rsidRPr="00683301">
        <w:rPr>
          <w:rFonts w:ascii="Cambria" w:hAnsi="Cambria"/>
          <w:sz w:val="20"/>
          <w:szCs w:val="20"/>
          <w:lang w:val="es-ES"/>
        </w:rPr>
        <w:t xml:space="preserve"> la posible violación del artículo 5 de la Convención</w:t>
      </w:r>
      <w:r w:rsidR="00251EAE" w:rsidRPr="00683301">
        <w:rPr>
          <w:rStyle w:val="FootnoteReference"/>
          <w:rFonts w:ascii="Cambria" w:hAnsi="Cambria"/>
          <w:sz w:val="20"/>
          <w:szCs w:val="20"/>
          <w:lang w:val="es-ES"/>
        </w:rPr>
        <w:footnoteReference w:id="34"/>
      </w:r>
      <w:r w:rsidR="00AF6D50" w:rsidRPr="00683301">
        <w:rPr>
          <w:rFonts w:ascii="Cambria" w:hAnsi="Cambria"/>
          <w:sz w:val="20"/>
          <w:szCs w:val="20"/>
          <w:lang w:val="es-ES"/>
        </w:rPr>
        <w:t xml:space="preserve">. </w:t>
      </w:r>
    </w:p>
    <w:p w14:paraId="1882B06D" w14:textId="77777777" w:rsidR="000927AD" w:rsidRPr="00683301" w:rsidRDefault="000927AD" w:rsidP="00012F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68B7097B" w14:textId="0208CC94" w:rsidR="00012FCE" w:rsidRPr="00683301" w:rsidRDefault="000927AD" w:rsidP="001026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virtud de lo anterior, el análisis de derecho que se efectúa a continuación se </w:t>
      </w:r>
      <w:r w:rsidR="00D51F7C" w:rsidRPr="00683301">
        <w:rPr>
          <w:rFonts w:ascii="Cambria" w:hAnsi="Cambria"/>
          <w:sz w:val="20"/>
          <w:szCs w:val="20"/>
          <w:lang w:val="es-ES"/>
        </w:rPr>
        <w:t>limita</w:t>
      </w:r>
      <w:r w:rsidR="00E66959" w:rsidRPr="00683301">
        <w:rPr>
          <w:rFonts w:ascii="Cambria" w:hAnsi="Cambria"/>
          <w:sz w:val="20"/>
          <w:szCs w:val="20"/>
          <w:lang w:val="es-ES"/>
        </w:rPr>
        <w:t xml:space="preserve"> a la cuestión de la detención preventiva a la que estuvo sometido el señor Carranza. Asimismo, y por estar estrechamente vinculado con tal cuestión, la Comisión se pronunciará sobre</w:t>
      </w:r>
      <w:r w:rsidR="00E97C98" w:rsidRPr="00683301">
        <w:rPr>
          <w:rFonts w:ascii="Cambria" w:hAnsi="Cambria"/>
          <w:sz w:val="20"/>
          <w:szCs w:val="20"/>
          <w:lang w:val="es-ES"/>
        </w:rPr>
        <w:t xml:space="preserve"> si en el proceso penal se respetó el derecho a ser juzgado en un plazo razonable. </w:t>
      </w:r>
    </w:p>
    <w:p w14:paraId="50F3A340" w14:textId="77777777" w:rsidR="00102615" w:rsidRPr="00683301" w:rsidRDefault="00102615" w:rsidP="0010261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2DCAB9D9" w14:textId="77777777" w:rsidR="007E5D8B" w:rsidRPr="00683301" w:rsidRDefault="00D1255F" w:rsidP="00D1255F">
      <w:pPr>
        <w:pStyle w:val="Heading2"/>
        <w:rPr>
          <w:lang w:val="es-ES"/>
        </w:rPr>
      </w:pPr>
      <w:r w:rsidRPr="00683301">
        <w:rPr>
          <w:lang w:val="es-ES"/>
        </w:rPr>
        <w:br w:type="page"/>
      </w:r>
      <w:bookmarkStart w:id="22" w:name="_Toc482278244"/>
      <w:r w:rsidR="007E5D8B" w:rsidRPr="00683301">
        <w:rPr>
          <w:lang w:val="es-ES"/>
        </w:rPr>
        <w:lastRenderedPageBreak/>
        <w:t>Derecho a la libertad personal y a la presunción de inocencia</w:t>
      </w:r>
      <w:bookmarkEnd w:id="22"/>
      <w:r w:rsidR="007E5D8B" w:rsidRPr="00683301">
        <w:rPr>
          <w:lang w:val="es-ES"/>
        </w:rPr>
        <w:t xml:space="preserve"> </w:t>
      </w:r>
    </w:p>
    <w:p w14:paraId="55488D60" w14:textId="77777777" w:rsidR="007E5D8B" w:rsidRPr="00683301" w:rsidRDefault="007E5D8B" w:rsidP="007E5D8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5B648A05" w14:textId="77777777" w:rsidR="00782018" w:rsidRPr="00683301" w:rsidRDefault="00782018" w:rsidP="0078201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El artículo 7 de la Convención Americana establece, en lo relevante, que:</w:t>
      </w:r>
    </w:p>
    <w:p w14:paraId="3B0FBC1B" w14:textId="77777777" w:rsidR="00782018" w:rsidRPr="00683301" w:rsidRDefault="00782018" w:rsidP="00782018">
      <w:pPr>
        <w:ind w:left="720" w:right="630"/>
        <w:rPr>
          <w:rFonts w:ascii="Cambria" w:hAnsi="Cambria"/>
          <w:sz w:val="20"/>
          <w:szCs w:val="20"/>
          <w:lang w:val="es-ES" w:eastAsia="es-ES"/>
        </w:rPr>
      </w:pPr>
    </w:p>
    <w:p w14:paraId="65B02CED" w14:textId="77777777" w:rsidR="00782018" w:rsidRPr="00683301" w:rsidRDefault="00782018" w:rsidP="00D1255F">
      <w:pPr>
        <w:tabs>
          <w:tab w:val="left" w:pos="360"/>
          <w:tab w:val="left" w:pos="1080"/>
        </w:tabs>
        <w:ind w:left="720" w:right="720"/>
        <w:jc w:val="both"/>
        <w:rPr>
          <w:rFonts w:ascii="Cambria" w:hAnsi="Cambria"/>
          <w:spacing w:val="-3"/>
          <w:sz w:val="20"/>
          <w:szCs w:val="20"/>
          <w:lang w:val="es-ES"/>
        </w:rPr>
      </w:pPr>
      <w:r w:rsidRPr="00683301">
        <w:rPr>
          <w:rFonts w:ascii="Cambria" w:hAnsi="Cambria"/>
          <w:spacing w:val="-3"/>
          <w:sz w:val="20"/>
          <w:szCs w:val="20"/>
          <w:lang w:val="es-ES"/>
        </w:rPr>
        <w:t xml:space="preserve">1. </w:t>
      </w:r>
      <w:r w:rsidRPr="00683301">
        <w:rPr>
          <w:rFonts w:ascii="Cambria" w:hAnsi="Cambria"/>
          <w:spacing w:val="-3"/>
          <w:sz w:val="20"/>
          <w:szCs w:val="20"/>
          <w:lang w:val="es-ES"/>
        </w:rPr>
        <w:tab/>
        <w:t>Toda persona tiene derecho a la libertad y a la seguridad personales.</w:t>
      </w:r>
    </w:p>
    <w:p w14:paraId="32B86720" w14:textId="77777777" w:rsidR="00782018" w:rsidRPr="00683301" w:rsidRDefault="00782018" w:rsidP="00D1255F">
      <w:pPr>
        <w:tabs>
          <w:tab w:val="left" w:pos="360"/>
        </w:tabs>
        <w:ind w:left="720" w:right="720"/>
        <w:jc w:val="both"/>
        <w:rPr>
          <w:rFonts w:ascii="Cambria" w:hAnsi="Cambria"/>
          <w:spacing w:val="-3"/>
          <w:sz w:val="20"/>
          <w:szCs w:val="20"/>
          <w:lang w:val="es-ES"/>
        </w:rPr>
      </w:pPr>
      <w:r w:rsidRPr="00683301">
        <w:rPr>
          <w:rFonts w:ascii="Cambria" w:hAnsi="Cambria"/>
          <w:spacing w:val="-3"/>
          <w:sz w:val="20"/>
          <w:szCs w:val="20"/>
          <w:lang w:val="es-ES"/>
        </w:rPr>
        <w:t>(…)</w:t>
      </w:r>
    </w:p>
    <w:p w14:paraId="67590719" w14:textId="77777777" w:rsidR="00782018" w:rsidRPr="00683301" w:rsidRDefault="00782018" w:rsidP="00D1255F">
      <w:pPr>
        <w:tabs>
          <w:tab w:val="left" w:pos="360"/>
          <w:tab w:val="left" w:pos="1080"/>
        </w:tabs>
        <w:ind w:left="720" w:right="720"/>
        <w:jc w:val="both"/>
        <w:rPr>
          <w:rFonts w:ascii="Cambria" w:hAnsi="Cambria"/>
          <w:spacing w:val="-3"/>
          <w:sz w:val="20"/>
          <w:szCs w:val="20"/>
          <w:lang w:val="es-ES"/>
        </w:rPr>
      </w:pPr>
      <w:r w:rsidRPr="00683301">
        <w:rPr>
          <w:rFonts w:ascii="Cambria" w:hAnsi="Cambria"/>
          <w:spacing w:val="-3"/>
          <w:sz w:val="20"/>
          <w:szCs w:val="20"/>
          <w:lang w:val="es-ES"/>
        </w:rPr>
        <w:t>3.</w:t>
      </w:r>
      <w:r w:rsidRPr="00683301">
        <w:rPr>
          <w:rFonts w:ascii="Cambria" w:hAnsi="Cambria"/>
          <w:spacing w:val="-3"/>
          <w:sz w:val="20"/>
          <w:szCs w:val="20"/>
          <w:lang w:val="es-ES"/>
        </w:rPr>
        <w:tab/>
        <w:t>Nadie puede ser sometido a detención o encarcelamiento arbitrarios.</w:t>
      </w:r>
    </w:p>
    <w:p w14:paraId="5D722711" w14:textId="77777777" w:rsidR="00782018" w:rsidRPr="00683301" w:rsidRDefault="00782018" w:rsidP="00D1255F">
      <w:pPr>
        <w:tabs>
          <w:tab w:val="left" w:pos="360"/>
        </w:tabs>
        <w:ind w:left="720" w:right="720"/>
        <w:jc w:val="both"/>
        <w:rPr>
          <w:rFonts w:ascii="Cambria" w:hAnsi="Cambria"/>
          <w:spacing w:val="-3"/>
          <w:sz w:val="20"/>
          <w:szCs w:val="20"/>
          <w:lang w:val="es-ES"/>
        </w:rPr>
      </w:pPr>
      <w:r w:rsidRPr="00683301">
        <w:rPr>
          <w:rFonts w:ascii="Cambria" w:hAnsi="Cambria"/>
          <w:spacing w:val="-3"/>
          <w:sz w:val="20"/>
          <w:szCs w:val="20"/>
          <w:lang w:val="es-ES"/>
        </w:rPr>
        <w:t>(…)</w:t>
      </w:r>
    </w:p>
    <w:p w14:paraId="7F51A0F9" w14:textId="77777777" w:rsidR="00E23507" w:rsidRPr="00683301" w:rsidRDefault="00782018" w:rsidP="00D1255F">
      <w:pPr>
        <w:tabs>
          <w:tab w:val="left" w:pos="360"/>
        </w:tabs>
        <w:ind w:left="720" w:right="720"/>
        <w:jc w:val="both"/>
        <w:rPr>
          <w:rFonts w:ascii="Cambria" w:hAnsi="Cambria"/>
          <w:spacing w:val="-3"/>
          <w:sz w:val="20"/>
          <w:szCs w:val="20"/>
          <w:lang w:val="es-ES"/>
        </w:rPr>
      </w:pPr>
      <w:r w:rsidRPr="00683301">
        <w:rPr>
          <w:rFonts w:ascii="Cambria" w:hAnsi="Cambria"/>
          <w:spacing w:val="-3"/>
          <w:sz w:val="20"/>
          <w:szCs w:val="20"/>
          <w:lang w:val="es-ES"/>
        </w:rPr>
        <w:t>5.</w:t>
      </w:r>
      <w:r w:rsidRPr="00683301">
        <w:rPr>
          <w:rFonts w:ascii="Cambria" w:hAnsi="Cambria"/>
          <w:b/>
          <w:spacing w:val="-3"/>
          <w:sz w:val="20"/>
          <w:szCs w:val="20"/>
          <w:lang w:val="es-ES"/>
        </w:rPr>
        <w:t xml:space="preserve">  </w:t>
      </w:r>
      <w:r w:rsidRPr="00683301">
        <w:rPr>
          <w:rFonts w:ascii="Cambria" w:hAnsi="Cambria"/>
          <w:spacing w:val="-3"/>
          <w:sz w:val="20"/>
          <w:szCs w:val="20"/>
          <w:lang w:val="es-E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14:paraId="79995C93" w14:textId="77777777" w:rsidR="00C0701D" w:rsidRPr="00683301" w:rsidRDefault="00C0701D" w:rsidP="00D125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r w:rsidRPr="00683301">
        <w:rPr>
          <w:rFonts w:ascii="Cambria" w:hAnsi="Cambria"/>
          <w:sz w:val="20"/>
          <w:szCs w:val="20"/>
          <w:lang w:val="es-ES"/>
        </w:rPr>
        <w:t>(…)</w:t>
      </w:r>
    </w:p>
    <w:p w14:paraId="0B8177CE" w14:textId="77777777" w:rsidR="00253414" w:rsidRPr="00683301" w:rsidRDefault="00253414" w:rsidP="007E5D8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00DDCBD1" w14:textId="77777777" w:rsidR="00D632FF" w:rsidRPr="00683301" w:rsidRDefault="00253414" w:rsidP="003A1B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Por su parte, el artículo 8.2 de la Convención Americana establece, en lo relevante que: </w:t>
      </w:r>
    </w:p>
    <w:p w14:paraId="57E0CA52" w14:textId="77777777" w:rsidR="00D632FF" w:rsidRPr="00683301" w:rsidRDefault="00D632FF" w:rsidP="00835C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65BE8ADF" w14:textId="77777777" w:rsidR="00C0701D" w:rsidRPr="00683301" w:rsidRDefault="00D632FF" w:rsidP="00D1255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pacing w:val="-3"/>
          <w:sz w:val="20"/>
          <w:szCs w:val="20"/>
          <w:lang w:val="es-ES"/>
        </w:rPr>
      </w:pPr>
      <w:r w:rsidRPr="00683301">
        <w:rPr>
          <w:rFonts w:ascii="Cambria" w:hAnsi="Cambria"/>
          <w:spacing w:val="-3"/>
          <w:sz w:val="20"/>
          <w:szCs w:val="20"/>
          <w:lang w:val="es-ES"/>
        </w:rPr>
        <w:t>Toda persona inculpada de d</w:t>
      </w:r>
      <w:r w:rsidR="00D1255F" w:rsidRPr="00683301">
        <w:rPr>
          <w:rFonts w:ascii="Cambria" w:hAnsi="Cambria"/>
          <w:spacing w:val="-3"/>
          <w:sz w:val="20"/>
          <w:szCs w:val="20"/>
          <w:lang w:val="es-ES"/>
        </w:rPr>
        <w:t>e</w:t>
      </w:r>
      <w:r w:rsidRPr="00683301">
        <w:rPr>
          <w:rFonts w:ascii="Cambria" w:hAnsi="Cambria"/>
          <w:spacing w:val="-3"/>
          <w:sz w:val="20"/>
          <w:szCs w:val="20"/>
          <w:lang w:val="es-ES"/>
        </w:rPr>
        <w:t>lito tiene derecho a que se presuma su inocencia mientras no se establezca legalmente su culpabilidad.</w:t>
      </w:r>
    </w:p>
    <w:p w14:paraId="59E28592" w14:textId="77777777" w:rsidR="00835C95" w:rsidRPr="00683301" w:rsidRDefault="00835C95" w:rsidP="00835C9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s-ES"/>
        </w:rPr>
      </w:pPr>
    </w:p>
    <w:p w14:paraId="622B15D7" w14:textId="77777777" w:rsidR="00FE43A8" w:rsidRPr="00683301" w:rsidRDefault="00FE43A8" w:rsidP="00835C95">
      <w:pPr>
        <w:pStyle w:val="Heading3"/>
        <w:keepLines/>
        <w:numPr>
          <w:ilvl w:val="1"/>
          <w:numId w:val="64"/>
        </w:numPr>
        <w:pBdr>
          <w:top w:val="nil"/>
          <w:left w:val="nil"/>
          <w:bottom w:val="nil"/>
          <w:right w:val="nil"/>
          <w:between w:val="nil"/>
          <w:bar w:val="nil"/>
        </w:pBdr>
        <w:tabs>
          <w:tab w:val="clear" w:pos="1800"/>
          <w:tab w:val="num" w:pos="720"/>
        </w:tabs>
        <w:spacing w:before="0" w:after="0"/>
        <w:ind w:left="720" w:firstLine="0"/>
        <w:rPr>
          <w:rFonts w:ascii="Cambria" w:hAnsi="Cambria"/>
          <w:sz w:val="20"/>
          <w:szCs w:val="20"/>
          <w:lang w:val="es-ES"/>
        </w:rPr>
      </w:pPr>
      <w:bookmarkStart w:id="23" w:name="_Toc469409098"/>
      <w:bookmarkStart w:id="24" w:name="_Toc482278245"/>
      <w:r w:rsidRPr="00683301">
        <w:rPr>
          <w:rFonts w:ascii="Cambria" w:hAnsi="Cambria"/>
          <w:sz w:val="20"/>
          <w:szCs w:val="20"/>
          <w:lang w:val="es-ES"/>
        </w:rPr>
        <w:t>Consideraciones generales sobre la detención preventiva</w:t>
      </w:r>
      <w:bookmarkEnd w:id="23"/>
      <w:bookmarkEnd w:id="24"/>
      <w:r w:rsidRPr="00683301">
        <w:rPr>
          <w:rFonts w:ascii="Cambria" w:hAnsi="Cambria"/>
          <w:sz w:val="20"/>
          <w:szCs w:val="20"/>
          <w:lang w:val="es-ES"/>
        </w:rPr>
        <w:tab/>
      </w:r>
    </w:p>
    <w:p w14:paraId="29F1D736" w14:textId="77777777" w:rsidR="00FE43A8" w:rsidRPr="00683301" w:rsidRDefault="00FE43A8" w:rsidP="00835C95">
      <w:pPr>
        <w:pStyle w:val="ColorfulList-Accent12"/>
        <w:tabs>
          <w:tab w:val="left" w:pos="3087"/>
        </w:tabs>
        <w:rPr>
          <w:sz w:val="20"/>
          <w:szCs w:val="20"/>
          <w:lang w:val="es-ES"/>
        </w:rPr>
      </w:pPr>
      <w:r w:rsidRPr="00683301">
        <w:rPr>
          <w:sz w:val="20"/>
          <w:szCs w:val="20"/>
          <w:lang w:val="es-ES"/>
        </w:rPr>
        <w:tab/>
      </w:r>
    </w:p>
    <w:p w14:paraId="3DDA00FE" w14:textId="77777777" w:rsidR="00FE43A8" w:rsidRPr="00683301" w:rsidRDefault="00FE43A8" w:rsidP="00835C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cs="Arial"/>
          <w:sz w:val="20"/>
          <w:szCs w:val="20"/>
          <w:lang w:val="es-ES"/>
        </w:rPr>
        <w:t xml:space="preserve">La Comisión y la Corte han señalado que la detención preventiva se encuentra limitada </w:t>
      </w:r>
      <w:r w:rsidRPr="00683301">
        <w:rPr>
          <w:rFonts w:ascii="Cambria" w:hAnsi="Cambria"/>
          <w:sz w:val="20"/>
          <w:szCs w:val="20"/>
          <w:lang w:val="es-ES"/>
        </w:rPr>
        <w:t>por los principios de legalidad, presunción de inocencia, necesidad y proporcionalidad</w:t>
      </w:r>
      <w:r w:rsidRPr="00683301">
        <w:rPr>
          <w:rStyle w:val="FootnoteReference"/>
          <w:rFonts w:ascii="Cambria" w:hAnsi="Cambria"/>
          <w:sz w:val="20"/>
          <w:szCs w:val="20"/>
          <w:lang w:val="es-ES"/>
        </w:rPr>
        <w:footnoteReference w:id="35"/>
      </w:r>
      <w:r w:rsidRPr="00683301">
        <w:rPr>
          <w:rFonts w:ascii="Cambria" w:hAnsi="Cambria"/>
          <w:sz w:val="20"/>
          <w:szCs w:val="20"/>
          <w:lang w:val="es-ES"/>
        </w:rPr>
        <w:t>. Asimismo, ha indicado que se trata de una medida cautelar y no punitiva</w:t>
      </w:r>
      <w:r w:rsidRPr="00683301">
        <w:rPr>
          <w:rStyle w:val="FootnoteReference"/>
          <w:rFonts w:ascii="Cambria" w:hAnsi="Cambria"/>
          <w:sz w:val="20"/>
          <w:szCs w:val="20"/>
          <w:lang w:val="es-ES"/>
        </w:rPr>
        <w:footnoteReference w:id="36"/>
      </w:r>
      <w:r w:rsidRPr="00683301">
        <w:rPr>
          <w:rFonts w:ascii="Cambria" w:hAnsi="Cambria"/>
          <w:sz w:val="20"/>
          <w:szCs w:val="20"/>
          <w:lang w:val="es-ES"/>
        </w:rPr>
        <w:t xml:space="preserve"> y que es la más severa que se puede imponer al imputado por lo que debe aplicarse excepcionalmente. En consideración de ambos órganos del sistema interamericano, la regla debe ser la libertad del procesado mientras se resuelve acerca de su responsabilidad penal</w:t>
      </w:r>
      <w:r w:rsidRPr="00683301">
        <w:rPr>
          <w:rStyle w:val="FootnoteReference"/>
          <w:rFonts w:ascii="Cambria" w:hAnsi="Cambria"/>
          <w:sz w:val="20"/>
          <w:szCs w:val="20"/>
          <w:lang w:val="es-ES"/>
        </w:rPr>
        <w:footnoteReference w:id="37"/>
      </w:r>
      <w:r w:rsidRPr="00683301">
        <w:rPr>
          <w:rFonts w:ascii="Cambria" w:hAnsi="Cambria"/>
          <w:sz w:val="20"/>
          <w:szCs w:val="20"/>
          <w:lang w:val="es-ES"/>
        </w:rPr>
        <w:t xml:space="preserve">. </w:t>
      </w:r>
    </w:p>
    <w:p w14:paraId="6F64E9F6" w14:textId="77777777" w:rsidR="00FE43A8" w:rsidRPr="00683301" w:rsidRDefault="00FE43A8" w:rsidP="00FE43A8">
      <w:pPr>
        <w:ind w:firstLine="720"/>
        <w:jc w:val="both"/>
        <w:rPr>
          <w:rFonts w:ascii="Cambria" w:hAnsi="Cambria"/>
          <w:sz w:val="20"/>
          <w:szCs w:val="20"/>
          <w:lang w:val="es-ES"/>
        </w:rPr>
      </w:pPr>
    </w:p>
    <w:p w14:paraId="0D706C78" w14:textId="77777777" w:rsidR="00FE43A8" w:rsidRPr="00683301" w:rsidRDefault="00FE43A8" w:rsidP="00323B9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La Corte y la Comisión han resaltado que las características personales del supuesto autor y la gravedad del delito que se le imputa no son, por sí mismos, justificación suficiente de la prisión preventiva</w:t>
      </w:r>
      <w:r w:rsidRPr="00683301">
        <w:rPr>
          <w:rStyle w:val="FootnoteReference"/>
          <w:rFonts w:ascii="Cambria" w:hAnsi="Cambria"/>
          <w:sz w:val="20"/>
          <w:szCs w:val="20"/>
          <w:lang w:val="es-ES"/>
        </w:rPr>
        <w:footnoteReference w:id="38"/>
      </w:r>
      <w:r w:rsidRPr="00683301">
        <w:rPr>
          <w:rFonts w:ascii="Cambria" w:hAnsi="Cambria"/>
          <w:sz w:val="20"/>
          <w:szCs w:val="20"/>
          <w:lang w:val="es-ES"/>
        </w:rPr>
        <w:t>.</w:t>
      </w:r>
      <w:r w:rsidRPr="00683301">
        <w:rPr>
          <w:rFonts w:ascii="Cambria" w:hAnsi="Cambria" w:cs="Univers"/>
          <w:sz w:val="20"/>
          <w:szCs w:val="20"/>
          <w:lang w:val="es-ES"/>
        </w:rPr>
        <w:t xml:space="preserve"> </w:t>
      </w:r>
      <w:r w:rsidRPr="00683301">
        <w:rPr>
          <w:rFonts w:ascii="Cambria" w:hAnsi="Cambria"/>
          <w:sz w:val="20"/>
          <w:szCs w:val="20"/>
          <w:lang w:val="es-ES"/>
        </w:rPr>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En palabras de la Corte: </w:t>
      </w:r>
      <w:bookmarkStart w:id="25" w:name="_Ref242782550"/>
    </w:p>
    <w:p w14:paraId="2CFDF2DD" w14:textId="77777777" w:rsidR="00FE43A8" w:rsidRPr="00683301" w:rsidRDefault="00FE43A8" w:rsidP="00FE43A8">
      <w:pPr>
        <w:ind w:left="720" w:right="720"/>
        <w:jc w:val="both"/>
        <w:rPr>
          <w:rFonts w:ascii="Cambria" w:hAnsi="Cambria"/>
          <w:sz w:val="20"/>
          <w:szCs w:val="20"/>
          <w:lang w:val="es-ES"/>
        </w:rPr>
      </w:pPr>
    </w:p>
    <w:p w14:paraId="255AD5C3" w14:textId="77777777" w:rsidR="00FE43A8" w:rsidRPr="00683301" w:rsidRDefault="00FE43A8" w:rsidP="00D1255F">
      <w:pPr>
        <w:ind w:left="720" w:right="720"/>
        <w:jc w:val="both"/>
        <w:rPr>
          <w:rFonts w:ascii="Cambria" w:hAnsi="Cambria"/>
          <w:sz w:val="20"/>
          <w:szCs w:val="20"/>
          <w:lang w:val="es-ES"/>
        </w:rPr>
      </w:pPr>
      <w:r w:rsidRPr="00683301">
        <w:rPr>
          <w:rFonts w:ascii="Cambria" w:hAnsi="Cambria"/>
          <w:sz w:val="20"/>
          <w:szCs w:val="20"/>
          <w:lang w:val="es-ES"/>
        </w:rPr>
        <w:t>(…) deben existir indicios suficientes que permitan suponer razonablemente que la persona sometida a proceso ha participado en el ilícito que se investiga</w:t>
      </w:r>
      <w:bookmarkStart w:id="26" w:name="_Ref247965465"/>
      <w:r w:rsidRPr="00683301">
        <w:rPr>
          <w:rStyle w:val="FootnoteReference"/>
          <w:rFonts w:ascii="Cambria" w:hAnsi="Cambria"/>
          <w:sz w:val="20"/>
          <w:szCs w:val="20"/>
          <w:lang w:val="es-ES"/>
        </w:rPr>
        <w:footnoteReference w:id="39"/>
      </w:r>
      <w:bookmarkEnd w:id="26"/>
      <w:r w:rsidRPr="00683301">
        <w:rPr>
          <w:rFonts w:ascii="Cambria" w:hAnsi="Cambria"/>
          <w:sz w:val="20"/>
          <w:szCs w:val="20"/>
          <w:lang w:val="es-ES"/>
        </w:rPr>
        <w:t xml:space="preserve">. Sin embargo, “aún verificado este extremo, la privación de libertad del imputado no puede residir en fines preventivo-generales o preventivo-especiales atribuibles a la pena, sino que sólo se puede </w:t>
      </w:r>
      <w:r w:rsidRPr="00683301">
        <w:rPr>
          <w:rFonts w:ascii="Cambria" w:hAnsi="Cambria"/>
          <w:sz w:val="20"/>
          <w:szCs w:val="20"/>
          <w:lang w:val="es-ES"/>
        </w:rPr>
        <w:lastRenderedPageBreak/>
        <w:t>fundamentar […] en un fin legítimo, a saber: asegurar que el acusado no impedirá el desarrollo del procedimiento ni eludirá la acción de la justicia</w:t>
      </w:r>
      <w:r w:rsidRPr="00683301">
        <w:rPr>
          <w:rStyle w:val="FootnoteReference"/>
          <w:rFonts w:ascii="Cambria" w:hAnsi="Cambria"/>
          <w:sz w:val="20"/>
          <w:szCs w:val="20"/>
          <w:lang w:val="es-ES"/>
        </w:rPr>
        <w:footnoteReference w:id="40"/>
      </w:r>
      <w:r w:rsidRPr="00683301">
        <w:rPr>
          <w:rFonts w:ascii="Cambria" w:hAnsi="Cambria"/>
          <w:sz w:val="20"/>
          <w:szCs w:val="20"/>
          <w:lang w:val="es-ES"/>
        </w:rPr>
        <w:t>.</w:t>
      </w:r>
      <w:bookmarkEnd w:id="25"/>
    </w:p>
    <w:p w14:paraId="28C76CA3" w14:textId="77777777" w:rsidR="00FE43A8" w:rsidRPr="00683301" w:rsidRDefault="00FE43A8" w:rsidP="00FE43A8">
      <w:pPr>
        <w:pStyle w:val="ColorfulList-Accent12"/>
        <w:rPr>
          <w:sz w:val="20"/>
          <w:szCs w:val="20"/>
          <w:lang w:val="es-ES"/>
        </w:rPr>
      </w:pPr>
    </w:p>
    <w:p w14:paraId="059F780B" w14:textId="43324545" w:rsidR="00FE43A8" w:rsidRPr="00683301" w:rsidRDefault="00FE43A8" w:rsidP="00323B9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cs="Calibri"/>
          <w:sz w:val="20"/>
          <w:szCs w:val="20"/>
          <w:lang w:val="es-ES"/>
        </w:rPr>
        <w:t xml:space="preserve">En esta línea, toda decisión por medio de la cual se restrinja el derecho a la libertad personal por medio de la </w:t>
      </w:r>
      <w:r w:rsidRPr="00683301">
        <w:rPr>
          <w:rFonts w:ascii="Cambria" w:hAnsi="Cambria"/>
          <w:sz w:val="20"/>
          <w:szCs w:val="20"/>
          <w:lang w:val="es-ES"/>
        </w:rPr>
        <w:t>aplicación</w:t>
      </w:r>
      <w:r w:rsidRPr="00683301">
        <w:rPr>
          <w:rFonts w:ascii="Cambria" w:hAnsi="Cambria" w:cs="Calibri"/>
          <w:sz w:val="20"/>
          <w:szCs w:val="20"/>
          <w:lang w:val="es-ES"/>
        </w:rPr>
        <w:t xml:space="preserve"> de la prisión preventiva deberá contener una motivación suficiente e individualizada que permita evaluar si tal detención se ajusta a las condiciones necesarias para su aplicación</w:t>
      </w:r>
      <w:r w:rsidR="002F1789" w:rsidRPr="00683301">
        <w:rPr>
          <w:rStyle w:val="FootnoteReference"/>
          <w:rFonts w:ascii="Cambria" w:hAnsi="Cambria" w:cs="Calibri"/>
          <w:sz w:val="20"/>
          <w:szCs w:val="20"/>
          <w:lang w:val="es-ES"/>
        </w:rPr>
        <w:footnoteReference w:id="41"/>
      </w:r>
      <w:r w:rsidRPr="00683301">
        <w:rPr>
          <w:rFonts w:ascii="Cambria" w:hAnsi="Cambria" w:cs="Calibri"/>
          <w:sz w:val="20"/>
          <w:szCs w:val="20"/>
          <w:lang w:val="es-ES"/>
        </w:rPr>
        <w:t xml:space="preserve">. </w:t>
      </w:r>
    </w:p>
    <w:p w14:paraId="51CCF4C5" w14:textId="77777777" w:rsidR="00FE43A8" w:rsidRPr="00683301" w:rsidRDefault="00FE43A8" w:rsidP="00FE43A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3ED6FAF0" w14:textId="77777777" w:rsidR="00FE43A8" w:rsidRPr="00683301" w:rsidRDefault="00FE43A8" w:rsidP="00323B9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683301">
        <w:rPr>
          <w:rFonts w:ascii="Cambria" w:hAnsi="Cambria"/>
          <w:sz w:val="20"/>
          <w:szCs w:val="20"/>
          <w:lang w:val="es-ES"/>
        </w:rPr>
        <w:t>Por otra parte, el artículo 7.5 de la Convención Americana impone límites temporales a la duración de la prisión preventiva y, en consecuencia, a las facultades del Estado para proteger los fines del proceso mediante este tipo de medida cautelar. Como ha indicado la Corte Interamericana “cuando el plazo de la prisión preventiva sobrepasa lo razonable, el Estado podrá limitar la libertad del imputado con otras medidas menos lesivas que aseguren su comparecencia al juicio, distintas de la privación de libertad”</w:t>
      </w:r>
      <w:r w:rsidRPr="00683301">
        <w:rPr>
          <w:rStyle w:val="FootnoteReference"/>
          <w:rFonts w:ascii="Cambria" w:hAnsi="Cambria"/>
          <w:sz w:val="20"/>
          <w:szCs w:val="20"/>
          <w:lang w:val="es-ES"/>
        </w:rPr>
        <w:footnoteReference w:id="42"/>
      </w:r>
      <w:r w:rsidRPr="00683301">
        <w:rPr>
          <w:rFonts w:ascii="Cambria" w:hAnsi="Cambria"/>
          <w:sz w:val="20"/>
          <w:szCs w:val="20"/>
          <w:lang w:val="es-ES"/>
        </w:rPr>
        <w:t xml:space="preserve">. La Corte ha indicado que aun cuando medien razones para mantener a una persona en prisión preventiva, </w:t>
      </w:r>
      <w:r w:rsidRPr="00683301">
        <w:rPr>
          <w:rFonts w:ascii="Cambria" w:hAnsi="Cambria" w:cs="Calibri"/>
          <w:sz w:val="20"/>
          <w:szCs w:val="20"/>
          <w:lang w:val="es-ES"/>
        </w:rPr>
        <w:t>el</w:t>
      </w:r>
      <w:r w:rsidRPr="00683301">
        <w:rPr>
          <w:rFonts w:ascii="Cambria" w:hAnsi="Cambria"/>
          <w:sz w:val="20"/>
          <w:szCs w:val="20"/>
          <w:lang w:val="es-ES"/>
        </w:rPr>
        <w:t xml:space="preserve"> período de la detención no debe exceder el límite de lo razonable</w:t>
      </w:r>
      <w:r w:rsidRPr="00683301">
        <w:rPr>
          <w:rStyle w:val="FootnoteReference"/>
          <w:rFonts w:ascii="Cambria" w:hAnsi="Cambria"/>
          <w:sz w:val="20"/>
          <w:szCs w:val="20"/>
          <w:lang w:val="es-ES"/>
        </w:rPr>
        <w:footnoteReference w:id="43"/>
      </w:r>
      <w:r w:rsidRPr="00683301">
        <w:rPr>
          <w:rFonts w:ascii="Cambria" w:hAnsi="Cambria"/>
          <w:sz w:val="20"/>
          <w:szCs w:val="20"/>
          <w:lang w:val="es-ES"/>
        </w:rPr>
        <w:t>.</w:t>
      </w:r>
    </w:p>
    <w:p w14:paraId="5865AD11" w14:textId="77777777" w:rsidR="00FE43A8" w:rsidRPr="00683301" w:rsidRDefault="00FE43A8" w:rsidP="00FE43A8">
      <w:pPr>
        <w:pStyle w:val="ColorfulList-Accent12"/>
        <w:rPr>
          <w:sz w:val="20"/>
          <w:szCs w:val="20"/>
          <w:lang w:val="es-ES"/>
        </w:rPr>
      </w:pPr>
    </w:p>
    <w:p w14:paraId="4FAD43E2" w14:textId="77777777" w:rsidR="00FE43A8" w:rsidRPr="00683301" w:rsidRDefault="00FE43A8" w:rsidP="002247E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cuanto a la necesidad de una revisión periódica de los fundamentos de la detención preventiva y de su tiempo de duración, la Corte ha indicado que: </w:t>
      </w:r>
    </w:p>
    <w:p w14:paraId="451225B8" w14:textId="77777777" w:rsidR="00FE43A8" w:rsidRPr="00683301" w:rsidRDefault="00FE43A8" w:rsidP="00FE43A8">
      <w:pPr>
        <w:pStyle w:val="ColorfulList-Accent12"/>
        <w:rPr>
          <w:sz w:val="20"/>
          <w:szCs w:val="20"/>
          <w:lang w:val="es-ES"/>
        </w:rPr>
      </w:pPr>
    </w:p>
    <w:p w14:paraId="643DDDE8" w14:textId="77777777" w:rsidR="00FE43A8" w:rsidRPr="00683301"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ES"/>
        </w:rPr>
      </w:pPr>
      <w:r w:rsidRPr="00683301">
        <w:rPr>
          <w:rFonts w:ascii="Cambria" w:hAnsi="Cambria"/>
          <w:sz w:val="20"/>
          <w:szCs w:val="20"/>
          <w:lang w:val="es-ES"/>
        </w:rPr>
        <w:t>(…) una detención o prisión preventiva debe estar sometida a revisión periódica, de tal forma que no se prolongue cuando no subsistan las raz</w:t>
      </w:r>
      <w:r w:rsidR="00AA70F2" w:rsidRPr="00683301">
        <w:rPr>
          <w:rFonts w:ascii="Cambria" w:hAnsi="Cambria"/>
          <w:sz w:val="20"/>
          <w:szCs w:val="20"/>
          <w:lang w:val="es-ES"/>
        </w:rPr>
        <w:t>ones que motivaron su adopción (…</w:t>
      </w:r>
      <w:r w:rsidR="00C60142" w:rsidRPr="00683301">
        <w:rPr>
          <w:rFonts w:ascii="Cambria" w:hAnsi="Cambria"/>
          <w:sz w:val="20"/>
          <w:szCs w:val="20"/>
          <w:lang w:val="es-ES"/>
        </w:rPr>
        <w:t xml:space="preserve">). </w:t>
      </w:r>
      <w:r w:rsidRPr="00683301">
        <w:rPr>
          <w:rFonts w:ascii="Cambria" w:hAnsi="Cambria"/>
          <w:sz w:val="20"/>
          <w:szCs w:val="20"/>
          <w:lang w:val="es-ES"/>
        </w:rPr>
        <w:t>En cualquier momento en que aparezca que la prisión preventiva no satisface estas condiciones, deberá decretarse la libertad, sin perjuicio de que el proceso respectivo continúe</w:t>
      </w:r>
      <w:r w:rsidRPr="00683301">
        <w:rPr>
          <w:rStyle w:val="FootnoteReference"/>
          <w:rFonts w:ascii="Cambria" w:hAnsi="Cambria"/>
          <w:sz w:val="20"/>
          <w:szCs w:val="20"/>
          <w:lang w:val="es-ES"/>
        </w:rPr>
        <w:footnoteReference w:id="44"/>
      </w:r>
      <w:r w:rsidRPr="00683301">
        <w:rPr>
          <w:rFonts w:ascii="Cambria" w:hAnsi="Cambria"/>
          <w:sz w:val="20"/>
          <w:szCs w:val="20"/>
          <w:lang w:val="es-ES"/>
        </w:rPr>
        <w:t xml:space="preserve">. </w:t>
      </w:r>
    </w:p>
    <w:p w14:paraId="3476F3DC" w14:textId="77777777" w:rsidR="00FE43A8" w:rsidRPr="00683301" w:rsidRDefault="00FE43A8" w:rsidP="00FE43A8">
      <w:pPr>
        <w:pStyle w:val="ColorfulList-Accent12"/>
        <w:rPr>
          <w:sz w:val="20"/>
          <w:szCs w:val="20"/>
          <w:lang w:val="es-ES"/>
        </w:rPr>
      </w:pPr>
    </w:p>
    <w:p w14:paraId="52760BF3" w14:textId="77777777" w:rsidR="00FE43A8" w:rsidRPr="00683301" w:rsidRDefault="00FE43A8" w:rsidP="002247E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Además de sus efectos en el ejercicio del derecho a la libertad personal, tanto la Comisión como la Corte han indicado que el uso indebido de la detención preventiva puede tener un impacto en el principio de presunción de inocencia contenida en el artículo 8.2 de la Convención Americana. Al respecto se ha destacado </w:t>
      </w:r>
      <w:r w:rsidRPr="00683301">
        <w:rPr>
          <w:rFonts w:ascii="Cambria" w:hAnsi="Cambria" w:cs="Calibri"/>
          <w:sz w:val="20"/>
          <w:szCs w:val="20"/>
          <w:lang w:val="es-ES"/>
        </w:rPr>
        <w:t>la importancia del</w:t>
      </w:r>
      <w:r w:rsidRPr="00683301">
        <w:rPr>
          <w:rFonts w:ascii="Cambria" w:hAnsi="Cambria"/>
          <w:sz w:val="20"/>
          <w:szCs w:val="20"/>
          <w:lang w:val="es-ES"/>
        </w:rPr>
        <w:t xml:space="preserve"> </w:t>
      </w:r>
      <w:r w:rsidRPr="00683301">
        <w:rPr>
          <w:rFonts w:ascii="Cambria" w:hAnsi="Cambria" w:cs="Calibri"/>
          <w:sz w:val="20"/>
          <w:szCs w:val="20"/>
          <w:lang w:val="es-ES"/>
        </w:rPr>
        <w:t>criterio de razonabilidad, pues mantener privada de libertad a una persona más allá del tiempo razonable para el cumplimiento de los fines que justifican su detención equivaldría, en los hechos, a una pena anticipada</w:t>
      </w:r>
      <w:r w:rsidRPr="00683301">
        <w:rPr>
          <w:rStyle w:val="FootnoteReference"/>
          <w:rFonts w:ascii="Cambria" w:hAnsi="Cambria" w:cs="Calibri"/>
          <w:sz w:val="20"/>
          <w:szCs w:val="20"/>
          <w:lang w:val="es-ES"/>
        </w:rPr>
        <w:footnoteReference w:id="45"/>
      </w:r>
      <w:r w:rsidRPr="00683301">
        <w:rPr>
          <w:rFonts w:ascii="Cambria" w:hAnsi="Cambria" w:cs="Calibri"/>
          <w:sz w:val="20"/>
          <w:szCs w:val="20"/>
          <w:lang w:val="es-ES"/>
        </w:rPr>
        <w:t xml:space="preserve">. </w:t>
      </w:r>
    </w:p>
    <w:p w14:paraId="15B538A1" w14:textId="77777777" w:rsidR="00FE43A8" w:rsidRPr="00683301" w:rsidRDefault="00FE43A8" w:rsidP="00FE43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644A39AD" w14:textId="77777777" w:rsidR="00FE43A8" w:rsidRPr="00683301" w:rsidRDefault="00D1255F" w:rsidP="00AA70F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cs="Calibri"/>
          <w:sz w:val="20"/>
          <w:szCs w:val="20"/>
          <w:lang w:val="es-ES"/>
        </w:rPr>
        <w:br w:type="page"/>
      </w:r>
      <w:r w:rsidR="00FE43A8" w:rsidRPr="00683301">
        <w:rPr>
          <w:rFonts w:ascii="Cambria" w:hAnsi="Cambria" w:cs="Calibri"/>
          <w:sz w:val="20"/>
          <w:szCs w:val="20"/>
          <w:lang w:val="es-ES"/>
        </w:rPr>
        <w:lastRenderedPageBreak/>
        <w:t xml:space="preserve">En </w:t>
      </w:r>
      <w:r w:rsidR="00FE43A8" w:rsidRPr="00683301">
        <w:rPr>
          <w:rFonts w:ascii="Cambria" w:hAnsi="Cambria"/>
          <w:sz w:val="20"/>
          <w:szCs w:val="20"/>
          <w:lang w:val="es-ES"/>
        </w:rPr>
        <w:t>palabras</w:t>
      </w:r>
      <w:r w:rsidR="00FE43A8" w:rsidRPr="00683301">
        <w:rPr>
          <w:rFonts w:ascii="Cambria" w:hAnsi="Cambria" w:cs="Calibri"/>
          <w:sz w:val="20"/>
          <w:szCs w:val="20"/>
          <w:lang w:val="es-ES"/>
        </w:rPr>
        <w:t xml:space="preserve"> de la CIDH, la demora irrazonable de la detención preventiva:</w:t>
      </w:r>
    </w:p>
    <w:p w14:paraId="0E937CBD" w14:textId="77777777" w:rsidR="00FE43A8" w:rsidRPr="00683301" w:rsidRDefault="00FE43A8" w:rsidP="00FE43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4B251ECC" w14:textId="77777777" w:rsidR="00FE43A8" w:rsidRPr="00683301"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lang w:val="es-ES"/>
        </w:rPr>
      </w:pPr>
      <w:r w:rsidRPr="00683301">
        <w:rPr>
          <w:rFonts w:ascii="Cambria" w:hAnsi="Cambria"/>
          <w:spacing w:val="-3"/>
          <w:sz w:val="20"/>
          <w:szCs w:val="20"/>
          <w:lang w:val="es-ES"/>
        </w:rPr>
        <w:t>Además, aumenta el riesgo de que se invierta el sentido de la presunción de inocencia cuando la detención previa al juicio es de duración no razonable.  La presunción de inocencia se torna cada vez más vacía y finalmente se convierte en una burla cuando la detención previa al juicio es excesivamente prolongada dado que, a pesar de la presunción, se está privando de la libertad a una persona todavía inocente, castigo severo que legítimamente se impone a los que han sido condenados</w:t>
      </w:r>
      <w:r w:rsidRPr="00683301">
        <w:rPr>
          <w:rStyle w:val="FootnoteReference"/>
          <w:rFonts w:ascii="Cambria" w:hAnsi="Cambria"/>
          <w:spacing w:val="-3"/>
          <w:sz w:val="20"/>
          <w:szCs w:val="20"/>
          <w:lang w:val="es-ES"/>
        </w:rPr>
        <w:footnoteReference w:id="46"/>
      </w:r>
      <w:r w:rsidRPr="00683301">
        <w:rPr>
          <w:rFonts w:ascii="Cambria" w:hAnsi="Cambria"/>
          <w:spacing w:val="-3"/>
          <w:sz w:val="20"/>
          <w:szCs w:val="20"/>
          <w:lang w:val="es-ES"/>
        </w:rPr>
        <w:t>.</w:t>
      </w:r>
    </w:p>
    <w:p w14:paraId="6A1B6487" w14:textId="77777777" w:rsidR="00FE43A8" w:rsidRPr="00683301"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lang w:val="es-ES"/>
        </w:rPr>
      </w:pPr>
    </w:p>
    <w:p w14:paraId="37EC88E1" w14:textId="77777777" w:rsidR="00FE43A8" w:rsidRPr="00683301"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lang w:val="es-ES"/>
        </w:rPr>
      </w:pPr>
      <w:r w:rsidRPr="00683301">
        <w:rPr>
          <w:rFonts w:ascii="Cambria" w:hAnsi="Cambria"/>
          <w:spacing w:val="-3"/>
          <w:sz w:val="20"/>
          <w:szCs w:val="20"/>
          <w:lang w:val="es-ES"/>
        </w:rPr>
        <w:t>(…)</w:t>
      </w:r>
    </w:p>
    <w:p w14:paraId="084BE08E" w14:textId="77777777" w:rsidR="00FE43A8" w:rsidRPr="00683301"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3"/>
          <w:sz w:val="20"/>
          <w:szCs w:val="20"/>
          <w:lang w:val="es-ES"/>
        </w:rPr>
      </w:pPr>
    </w:p>
    <w:p w14:paraId="61F25FA1" w14:textId="77777777" w:rsidR="00FE43A8" w:rsidRPr="00683301" w:rsidRDefault="00FE43A8" w:rsidP="00D1255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683301">
        <w:rPr>
          <w:rFonts w:ascii="Cambria" w:hAnsi="Cambria"/>
          <w:spacing w:val="-3"/>
          <w:sz w:val="20"/>
          <w:szCs w:val="20"/>
          <w:lang w:val="es-ES"/>
        </w:rPr>
        <w:t>Si el Estado no determina el juicio de reproche dentro de un plazo razonable y justifica la prolongación de la privación de libertad del acusado sobre la base de la sospecha que existe en su contra, está, fundamentalmente, sustituyendo la pena con la prisión preventiva</w:t>
      </w:r>
      <w:r w:rsidRPr="00683301">
        <w:rPr>
          <w:rStyle w:val="FootnoteReference"/>
          <w:rFonts w:ascii="Cambria" w:hAnsi="Cambria"/>
          <w:spacing w:val="-3"/>
          <w:sz w:val="20"/>
          <w:szCs w:val="20"/>
          <w:lang w:val="es-ES"/>
        </w:rPr>
        <w:footnoteReference w:id="47"/>
      </w:r>
      <w:r w:rsidRPr="00683301">
        <w:rPr>
          <w:rFonts w:ascii="Cambria" w:hAnsi="Cambria"/>
          <w:spacing w:val="-3"/>
          <w:sz w:val="20"/>
          <w:szCs w:val="20"/>
          <w:lang w:val="es-ES"/>
        </w:rPr>
        <w:t>.</w:t>
      </w:r>
    </w:p>
    <w:p w14:paraId="2A4B9E99" w14:textId="77777777" w:rsidR="00FE43A8" w:rsidRPr="00683301" w:rsidRDefault="00FE43A8" w:rsidP="00FE43A8">
      <w:pPr>
        <w:pStyle w:val="ColorfulList-Accent12"/>
        <w:jc w:val="both"/>
        <w:rPr>
          <w:rFonts w:cs="Calibri"/>
          <w:sz w:val="20"/>
          <w:szCs w:val="20"/>
          <w:lang w:val="es-ES"/>
        </w:rPr>
      </w:pPr>
    </w:p>
    <w:p w14:paraId="321017C5" w14:textId="77777777" w:rsidR="00FE43A8" w:rsidRPr="00683301" w:rsidRDefault="00FE43A8" w:rsidP="00AA70F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Calibri"/>
          <w:sz w:val="20"/>
          <w:szCs w:val="20"/>
          <w:lang w:val="es-ES"/>
        </w:rPr>
      </w:pPr>
      <w:r w:rsidRPr="00683301">
        <w:rPr>
          <w:rFonts w:ascii="Cambria" w:hAnsi="Cambria" w:cs="Calibri"/>
          <w:sz w:val="20"/>
          <w:szCs w:val="20"/>
          <w:lang w:val="es-ES"/>
        </w:rPr>
        <w:t>El respeto al derecho a la presunción de inocencia exige igualmente que el Estado fundamente y acredite, de manera clara y motivada, según cada caso concreto, la existencia de los requisitos válidos de procedencia de la prisión preventiva</w:t>
      </w:r>
      <w:r w:rsidRPr="00683301">
        <w:rPr>
          <w:rStyle w:val="FootnoteReference"/>
          <w:rFonts w:ascii="Cambria" w:hAnsi="Cambria" w:cs="Calibri"/>
          <w:sz w:val="20"/>
          <w:szCs w:val="20"/>
          <w:lang w:val="es-ES"/>
        </w:rPr>
        <w:footnoteReference w:id="48"/>
      </w:r>
      <w:r w:rsidRPr="00683301">
        <w:rPr>
          <w:rFonts w:ascii="Cambria" w:hAnsi="Cambria" w:cs="Calibri"/>
          <w:sz w:val="20"/>
          <w:szCs w:val="20"/>
          <w:lang w:val="es-ES"/>
        </w:rPr>
        <w:t>. Por ende, también se viola el principio de presunción de inocencia cuando la prisión preventiva se impone arbitrariamente; o bien, cuando su aplicación está determinada esencialmente, por ejemplo, por el tipo de delito, la expectativa de la pena o la mera existencia de indicios razonables que vinculen al acusado</w:t>
      </w:r>
      <w:r w:rsidRPr="00683301">
        <w:rPr>
          <w:rStyle w:val="FootnoteReference"/>
          <w:rFonts w:ascii="Cambria" w:hAnsi="Cambria" w:cs="Calibri"/>
          <w:sz w:val="20"/>
          <w:szCs w:val="20"/>
          <w:lang w:val="es-ES"/>
        </w:rPr>
        <w:footnoteReference w:id="49"/>
      </w:r>
      <w:r w:rsidRPr="00683301">
        <w:rPr>
          <w:rFonts w:ascii="Cambria" w:hAnsi="Cambria" w:cs="Calibri"/>
          <w:sz w:val="20"/>
          <w:szCs w:val="20"/>
          <w:lang w:val="es-ES"/>
        </w:rPr>
        <w:t>.</w:t>
      </w:r>
    </w:p>
    <w:p w14:paraId="2E6C9F48" w14:textId="77777777" w:rsidR="007814B4" w:rsidRPr="00683301" w:rsidRDefault="007814B4" w:rsidP="007814B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s-ES"/>
        </w:rPr>
      </w:pPr>
    </w:p>
    <w:p w14:paraId="18276846" w14:textId="77777777" w:rsidR="00FE43A8" w:rsidRPr="00683301" w:rsidRDefault="00E50F59" w:rsidP="007814B4">
      <w:pPr>
        <w:pStyle w:val="Heading3"/>
        <w:keepLines/>
        <w:numPr>
          <w:ilvl w:val="1"/>
          <w:numId w:val="64"/>
        </w:numPr>
        <w:pBdr>
          <w:top w:val="nil"/>
          <w:left w:val="nil"/>
          <w:bottom w:val="nil"/>
          <w:right w:val="nil"/>
          <w:between w:val="nil"/>
          <w:bar w:val="nil"/>
        </w:pBdr>
        <w:tabs>
          <w:tab w:val="clear" w:pos="1800"/>
          <w:tab w:val="num" w:pos="720"/>
        </w:tabs>
        <w:spacing w:before="0" w:after="0"/>
        <w:ind w:left="720" w:firstLine="0"/>
        <w:rPr>
          <w:rFonts w:ascii="Cambria" w:hAnsi="Cambria"/>
          <w:sz w:val="20"/>
          <w:szCs w:val="20"/>
          <w:lang w:val="es-ES"/>
        </w:rPr>
      </w:pPr>
      <w:bookmarkStart w:id="27" w:name="_Toc482278246"/>
      <w:r w:rsidRPr="00683301">
        <w:rPr>
          <w:rFonts w:ascii="Cambria" w:hAnsi="Cambria"/>
          <w:sz w:val="20"/>
          <w:szCs w:val="20"/>
          <w:lang w:val="es-ES"/>
        </w:rPr>
        <w:t>Análisis del caso</w:t>
      </w:r>
      <w:bookmarkEnd w:id="27"/>
    </w:p>
    <w:p w14:paraId="3AD7F41C" w14:textId="77777777" w:rsidR="0026443D" w:rsidRPr="00683301" w:rsidRDefault="0026443D" w:rsidP="0026443D">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09BCB63C" w14:textId="4A9A69EA" w:rsidR="009F44A8" w:rsidRPr="00683301" w:rsidRDefault="0026443D" w:rsidP="004038C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el presente caso, </w:t>
      </w:r>
      <w:r w:rsidR="00245E5F" w:rsidRPr="00683301">
        <w:rPr>
          <w:rFonts w:ascii="Cambria" w:hAnsi="Cambria"/>
          <w:sz w:val="20"/>
          <w:szCs w:val="20"/>
          <w:lang w:val="es-ES"/>
        </w:rPr>
        <w:t xml:space="preserve">dio por establecido que el señor Carranza Alarcón estuvo privado de libertad preventivamente entre noviembre de 1994 y diciembre de 1998 cuando fue condenado mediante sentencia que quedó en firme. </w:t>
      </w:r>
      <w:r w:rsidR="004C4DC5" w:rsidRPr="00683301">
        <w:rPr>
          <w:rFonts w:ascii="Cambria" w:hAnsi="Cambria" w:cs="Calibri"/>
          <w:sz w:val="20"/>
          <w:szCs w:val="20"/>
          <w:lang w:val="es-ES"/>
        </w:rPr>
        <w:t>Dicha</w:t>
      </w:r>
      <w:r w:rsidR="004C4DC5" w:rsidRPr="00683301">
        <w:rPr>
          <w:rFonts w:ascii="Cambria" w:hAnsi="Cambria"/>
          <w:sz w:val="20"/>
          <w:szCs w:val="20"/>
          <w:lang w:val="es-ES"/>
        </w:rPr>
        <w:t xml:space="preserve"> detenció</w:t>
      </w:r>
      <w:r w:rsidR="00183DB4" w:rsidRPr="00683301">
        <w:rPr>
          <w:rFonts w:ascii="Cambria" w:hAnsi="Cambria"/>
          <w:sz w:val="20"/>
          <w:szCs w:val="20"/>
          <w:lang w:val="es-ES"/>
        </w:rPr>
        <w:t>n preventiva fue ordenada en el auto cabeza de proceso de 17 de agosto de 1993</w:t>
      </w:r>
      <w:r w:rsidR="002925A7" w:rsidRPr="00683301">
        <w:rPr>
          <w:rFonts w:ascii="Cambria" w:hAnsi="Cambria"/>
          <w:sz w:val="20"/>
          <w:szCs w:val="20"/>
          <w:lang w:val="es-ES"/>
        </w:rPr>
        <w:t xml:space="preserve"> y confirm</w:t>
      </w:r>
      <w:r w:rsidR="00DE28A2" w:rsidRPr="00683301">
        <w:rPr>
          <w:rFonts w:ascii="Cambria" w:hAnsi="Cambria"/>
          <w:sz w:val="20"/>
          <w:szCs w:val="20"/>
          <w:lang w:val="es-ES"/>
        </w:rPr>
        <w:t xml:space="preserve">ada el 28 de octubre de 1993. </w:t>
      </w:r>
      <w:r w:rsidR="00912A8D" w:rsidRPr="00683301">
        <w:rPr>
          <w:rFonts w:ascii="Cambria" w:hAnsi="Cambria"/>
          <w:sz w:val="20"/>
          <w:szCs w:val="20"/>
          <w:lang w:val="es-ES"/>
        </w:rPr>
        <w:t>La Comisión recuerda que la detención preventiva debe contarse hasta la fecha de la condena en firme</w:t>
      </w:r>
      <w:r w:rsidR="00411D99" w:rsidRPr="00683301">
        <w:rPr>
          <w:rStyle w:val="FootnoteReference"/>
          <w:rFonts w:ascii="Cambria" w:hAnsi="Cambria" w:cs="Calibri"/>
          <w:sz w:val="20"/>
          <w:szCs w:val="20"/>
          <w:lang w:val="es-ES"/>
        </w:rPr>
        <w:footnoteReference w:id="50"/>
      </w:r>
      <w:r w:rsidR="00912A8D" w:rsidRPr="00683301">
        <w:rPr>
          <w:rFonts w:ascii="Cambria" w:hAnsi="Cambria"/>
          <w:sz w:val="20"/>
          <w:szCs w:val="20"/>
          <w:lang w:val="es-ES"/>
        </w:rPr>
        <w:t xml:space="preserve">. </w:t>
      </w:r>
    </w:p>
    <w:p w14:paraId="27A7CA08" w14:textId="77777777" w:rsidR="009F44A8" w:rsidRPr="00683301" w:rsidRDefault="009F44A8" w:rsidP="009F44A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6AFE4B27" w14:textId="77777777" w:rsidR="004C4DC5" w:rsidRPr="00683301" w:rsidRDefault="009F44A8" w:rsidP="004038C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En cuanto a la motivación, c</w:t>
      </w:r>
      <w:r w:rsidR="00DE28A2" w:rsidRPr="00683301">
        <w:rPr>
          <w:rFonts w:ascii="Cambria" w:hAnsi="Cambria"/>
          <w:sz w:val="20"/>
          <w:szCs w:val="20"/>
          <w:lang w:val="es-ES"/>
        </w:rPr>
        <w:t>omo se indicó en los hechos probados,</w:t>
      </w:r>
      <w:r w:rsidR="00B35995" w:rsidRPr="00683301">
        <w:rPr>
          <w:rFonts w:ascii="Cambria" w:hAnsi="Cambria"/>
          <w:sz w:val="20"/>
          <w:szCs w:val="20"/>
          <w:lang w:val="es-ES"/>
        </w:rPr>
        <w:t xml:space="preserve"> </w:t>
      </w:r>
      <w:r w:rsidR="00C6564B" w:rsidRPr="00683301">
        <w:rPr>
          <w:rFonts w:ascii="Cambria" w:hAnsi="Cambria"/>
          <w:sz w:val="20"/>
          <w:szCs w:val="20"/>
          <w:lang w:val="es-ES"/>
        </w:rPr>
        <w:t xml:space="preserve">la </w:t>
      </w:r>
      <w:r w:rsidR="00DE28A2" w:rsidRPr="00683301">
        <w:rPr>
          <w:rFonts w:ascii="Cambria" w:hAnsi="Cambria"/>
          <w:sz w:val="20"/>
          <w:szCs w:val="20"/>
          <w:lang w:val="es-ES"/>
        </w:rPr>
        <w:t>procedencia de la detención preventiva en ambas decisiones se</w:t>
      </w:r>
      <w:r w:rsidR="00C6564B" w:rsidRPr="00683301">
        <w:rPr>
          <w:rFonts w:ascii="Cambria" w:hAnsi="Cambria"/>
          <w:sz w:val="20"/>
          <w:szCs w:val="20"/>
          <w:lang w:val="es-ES"/>
        </w:rPr>
        <w:t xml:space="preserve"> sustenta con</w:t>
      </w:r>
      <w:r w:rsidR="00064223" w:rsidRPr="00683301">
        <w:rPr>
          <w:rFonts w:ascii="Cambria" w:hAnsi="Cambria"/>
          <w:sz w:val="20"/>
          <w:szCs w:val="20"/>
          <w:lang w:val="es-ES"/>
        </w:rPr>
        <w:t xml:space="preserve"> referencia al art</w:t>
      </w:r>
      <w:r w:rsidR="00A24E73" w:rsidRPr="00683301">
        <w:rPr>
          <w:rFonts w:ascii="Cambria" w:hAnsi="Cambria"/>
          <w:sz w:val="20"/>
          <w:szCs w:val="20"/>
          <w:lang w:val="es-ES"/>
        </w:rPr>
        <w:t>ículo 177 del Có</w:t>
      </w:r>
      <w:r w:rsidR="006D5B5C" w:rsidRPr="00683301">
        <w:rPr>
          <w:rFonts w:ascii="Cambria" w:hAnsi="Cambria"/>
          <w:sz w:val="20"/>
          <w:szCs w:val="20"/>
          <w:lang w:val="es-ES"/>
        </w:rPr>
        <w:t>digo de Procedimiento Penal</w:t>
      </w:r>
      <w:r w:rsidR="006262B3" w:rsidRPr="00683301">
        <w:rPr>
          <w:rFonts w:ascii="Cambria" w:hAnsi="Cambria"/>
          <w:sz w:val="20"/>
          <w:szCs w:val="20"/>
          <w:lang w:val="es-ES"/>
        </w:rPr>
        <w:t xml:space="preserve"> como sustento de </w:t>
      </w:r>
      <w:r w:rsidR="00640588" w:rsidRPr="00683301">
        <w:rPr>
          <w:rFonts w:ascii="Cambria" w:hAnsi="Cambria"/>
          <w:sz w:val="20"/>
          <w:szCs w:val="20"/>
          <w:lang w:val="es-ES"/>
        </w:rPr>
        <w:t>la medida</w:t>
      </w:r>
      <w:r w:rsidR="006262B3" w:rsidRPr="00683301">
        <w:rPr>
          <w:rFonts w:ascii="Cambria" w:hAnsi="Cambria"/>
          <w:sz w:val="20"/>
          <w:szCs w:val="20"/>
          <w:lang w:val="es-ES"/>
        </w:rPr>
        <w:t xml:space="preserve">. </w:t>
      </w:r>
    </w:p>
    <w:p w14:paraId="3896047D" w14:textId="77777777" w:rsidR="0026443D" w:rsidRPr="00683301" w:rsidRDefault="0026443D" w:rsidP="004038C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6E3709D9" w14:textId="77777777" w:rsidR="004A1D2D" w:rsidRPr="00683301" w:rsidRDefault="00370AA1" w:rsidP="004038C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w:t>
      </w:r>
      <w:r w:rsidR="004A1D2D" w:rsidRPr="00683301">
        <w:rPr>
          <w:rFonts w:ascii="Cambria" w:hAnsi="Cambria"/>
          <w:sz w:val="20"/>
          <w:szCs w:val="20"/>
          <w:lang w:val="es-ES"/>
        </w:rPr>
        <w:t>l artículo 177</w:t>
      </w:r>
      <w:r w:rsidR="00A9316F" w:rsidRPr="00683301">
        <w:rPr>
          <w:rFonts w:ascii="Cambria" w:hAnsi="Cambria"/>
          <w:sz w:val="20"/>
          <w:szCs w:val="20"/>
          <w:lang w:val="es-ES"/>
        </w:rPr>
        <w:t xml:space="preserve"> de dicho Código</w:t>
      </w:r>
      <w:r w:rsidR="00F2128B" w:rsidRPr="00683301">
        <w:rPr>
          <w:rFonts w:ascii="Cambria" w:hAnsi="Cambria"/>
          <w:sz w:val="20"/>
          <w:szCs w:val="20"/>
          <w:lang w:val="es-ES"/>
        </w:rPr>
        <w:t xml:space="preserve">, invocado </w:t>
      </w:r>
      <w:r w:rsidR="009A36E6" w:rsidRPr="00683301">
        <w:rPr>
          <w:rFonts w:ascii="Cambria" w:hAnsi="Cambria"/>
          <w:sz w:val="20"/>
          <w:szCs w:val="20"/>
          <w:lang w:val="es-ES"/>
        </w:rPr>
        <w:t xml:space="preserve">como fundamento en </w:t>
      </w:r>
      <w:r w:rsidR="00F2128B" w:rsidRPr="00683301">
        <w:rPr>
          <w:rFonts w:ascii="Cambria" w:hAnsi="Cambria"/>
          <w:sz w:val="20"/>
          <w:szCs w:val="20"/>
          <w:lang w:val="es-ES"/>
        </w:rPr>
        <w:t>ambas decisiones</w:t>
      </w:r>
      <w:r w:rsidR="00B6063F" w:rsidRPr="00683301">
        <w:rPr>
          <w:rFonts w:ascii="Cambria" w:hAnsi="Cambria"/>
          <w:sz w:val="20"/>
          <w:szCs w:val="20"/>
          <w:lang w:val="es-ES"/>
        </w:rPr>
        <w:t>,</w:t>
      </w:r>
      <w:r w:rsidR="009A36E6" w:rsidRPr="00683301">
        <w:rPr>
          <w:rFonts w:ascii="Cambria" w:hAnsi="Cambria"/>
          <w:sz w:val="20"/>
          <w:szCs w:val="20"/>
          <w:lang w:val="es-ES"/>
        </w:rPr>
        <w:t xml:space="preserve"> </w:t>
      </w:r>
      <w:r w:rsidR="004A1D2D" w:rsidRPr="00683301">
        <w:rPr>
          <w:rFonts w:ascii="Cambria" w:hAnsi="Cambria"/>
          <w:sz w:val="20"/>
          <w:szCs w:val="20"/>
          <w:lang w:val="es-ES"/>
        </w:rPr>
        <w:t xml:space="preserve">disponía que el juez, “cuando lo creyere necesario”, podía dictar auto de prisión </w:t>
      </w:r>
      <w:r w:rsidR="004A1D2D" w:rsidRPr="00683301">
        <w:rPr>
          <w:rFonts w:ascii="Cambria" w:hAnsi="Cambria" w:cs="Calibri"/>
          <w:sz w:val="20"/>
          <w:szCs w:val="20"/>
          <w:lang w:val="es-ES"/>
        </w:rPr>
        <w:t>preventiva</w:t>
      </w:r>
      <w:r w:rsidR="004A1D2D" w:rsidRPr="00683301">
        <w:rPr>
          <w:rFonts w:ascii="Cambria" w:hAnsi="Cambria"/>
          <w:sz w:val="20"/>
          <w:szCs w:val="20"/>
          <w:lang w:val="es-ES"/>
        </w:rPr>
        <w:t xml:space="preserve"> siempre que</w:t>
      </w:r>
      <w:r w:rsidR="00A9316F" w:rsidRPr="00683301">
        <w:rPr>
          <w:rFonts w:ascii="Cambria" w:hAnsi="Cambria"/>
          <w:sz w:val="20"/>
          <w:szCs w:val="20"/>
          <w:lang w:val="es-ES"/>
        </w:rPr>
        <w:t xml:space="preserve"> se estén presentes: i</w:t>
      </w:r>
      <w:r w:rsidR="004A1D2D" w:rsidRPr="00683301">
        <w:rPr>
          <w:rFonts w:ascii="Cambria" w:hAnsi="Cambria"/>
          <w:sz w:val="20"/>
          <w:szCs w:val="20"/>
          <w:lang w:val="es-ES"/>
        </w:rPr>
        <w:t>) indicios que hagan presumir la existencia de un delito que merezca</w:t>
      </w:r>
      <w:r w:rsidR="00A9316F" w:rsidRPr="00683301">
        <w:rPr>
          <w:rFonts w:ascii="Cambria" w:hAnsi="Cambria"/>
          <w:sz w:val="20"/>
          <w:szCs w:val="20"/>
          <w:lang w:val="es-ES"/>
        </w:rPr>
        <w:t xml:space="preserve"> pena privativa de libertad; y ii</w:t>
      </w:r>
      <w:r w:rsidR="004A1D2D" w:rsidRPr="00683301">
        <w:rPr>
          <w:rFonts w:ascii="Cambria" w:hAnsi="Cambria"/>
          <w:sz w:val="20"/>
          <w:szCs w:val="20"/>
          <w:lang w:val="es-ES"/>
        </w:rPr>
        <w:t>) indicios que hagan presumir que el sindicado es autor o cómplice del delito que es objeto del proceso. Además, el mismo artículo ordenaba que “[e]n el auto se precisará los indicios que fundamentan la orden de prisión”</w:t>
      </w:r>
      <w:r w:rsidR="004A1D2D" w:rsidRPr="00683301">
        <w:rPr>
          <w:rStyle w:val="FootnoteReference"/>
          <w:rFonts w:ascii="Cambria" w:hAnsi="Cambria"/>
          <w:sz w:val="20"/>
          <w:szCs w:val="20"/>
          <w:lang w:val="es-ES"/>
        </w:rPr>
        <w:footnoteReference w:id="51"/>
      </w:r>
      <w:r w:rsidR="004A1D2D" w:rsidRPr="00683301">
        <w:rPr>
          <w:rFonts w:ascii="Cambria" w:hAnsi="Cambria"/>
          <w:sz w:val="20"/>
          <w:szCs w:val="20"/>
          <w:lang w:val="es-ES"/>
        </w:rPr>
        <w:t>.</w:t>
      </w:r>
    </w:p>
    <w:p w14:paraId="5081ACE3" w14:textId="77777777" w:rsidR="004A1D2D" w:rsidRPr="00683301" w:rsidRDefault="004A1D2D" w:rsidP="003E29F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9D25F67" w14:textId="77777777" w:rsidR="0039763C" w:rsidRPr="00683301" w:rsidRDefault="0039763C" w:rsidP="00EF335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lastRenderedPageBreak/>
        <w:t>L</w:t>
      </w:r>
      <w:r w:rsidR="003E29FA" w:rsidRPr="00683301">
        <w:rPr>
          <w:rFonts w:ascii="Cambria" w:hAnsi="Cambria"/>
          <w:sz w:val="20"/>
          <w:szCs w:val="20"/>
          <w:lang w:val="es-ES"/>
        </w:rPr>
        <w:t>a Comisión observa</w:t>
      </w:r>
      <w:r w:rsidR="00C42537" w:rsidRPr="00683301">
        <w:rPr>
          <w:rFonts w:ascii="Cambria" w:hAnsi="Cambria"/>
          <w:sz w:val="20"/>
          <w:szCs w:val="20"/>
          <w:lang w:val="es-ES"/>
        </w:rPr>
        <w:t xml:space="preserve"> que esta disposición </w:t>
      </w:r>
      <w:r w:rsidR="00B6063F" w:rsidRPr="00683301">
        <w:rPr>
          <w:rFonts w:ascii="Cambria" w:hAnsi="Cambria"/>
          <w:sz w:val="20"/>
          <w:szCs w:val="20"/>
          <w:lang w:val="es-ES"/>
        </w:rPr>
        <w:t xml:space="preserve">no exigía la existencia de fines procesales para dictar la detención preventiva. Por el contrario, </w:t>
      </w:r>
      <w:r w:rsidR="003E29FA" w:rsidRPr="00683301">
        <w:rPr>
          <w:rFonts w:ascii="Cambria" w:hAnsi="Cambria"/>
          <w:sz w:val="20"/>
          <w:szCs w:val="20"/>
          <w:lang w:val="es-ES"/>
        </w:rPr>
        <w:t>establecía como suficiente la existencia d</w:t>
      </w:r>
      <w:r w:rsidR="00EA6C96" w:rsidRPr="00683301">
        <w:rPr>
          <w:rFonts w:ascii="Cambria" w:hAnsi="Cambria"/>
          <w:sz w:val="20"/>
          <w:szCs w:val="20"/>
          <w:lang w:val="es-ES"/>
        </w:rPr>
        <w:t>e indicios de responsabilidad por</w:t>
      </w:r>
      <w:r w:rsidR="003E29FA" w:rsidRPr="00683301">
        <w:rPr>
          <w:rFonts w:ascii="Cambria" w:hAnsi="Cambria"/>
          <w:sz w:val="20"/>
          <w:szCs w:val="20"/>
          <w:lang w:val="es-ES"/>
        </w:rPr>
        <w:t xml:space="preserve"> un delito que mereciera pena privativa de libertad. </w:t>
      </w:r>
      <w:r w:rsidR="003630AF" w:rsidRPr="00683301">
        <w:rPr>
          <w:rFonts w:ascii="Cambria" w:hAnsi="Cambria"/>
          <w:sz w:val="20"/>
          <w:szCs w:val="20"/>
          <w:lang w:val="es-ES"/>
        </w:rPr>
        <w:t>La Comisión ha dicho que esta norma invierte, en la práctica, la excepcionalidad de la prisión preventiva y la convierte en la regla en aquellos casos sancionados con pena privativa de la libertad, pues basta para dictarla que exista un delito con sanción privativa de la libertad e “indicios de responsabilidad”</w:t>
      </w:r>
      <w:r w:rsidR="00BC237A" w:rsidRPr="00683301">
        <w:rPr>
          <w:rStyle w:val="FootnoteReference"/>
          <w:rFonts w:ascii="Cambria" w:hAnsi="Cambria"/>
          <w:sz w:val="20"/>
          <w:szCs w:val="20"/>
          <w:lang w:val="es-ES"/>
        </w:rPr>
        <w:footnoteReference w:id="52"/>
      </w:r>
      <w:r w:rsidR="003630AF" w:rsidRPr="00683301">
        <w:rPr>
          <w:rFonts w:ascii="Cambria" w:hAnsi="Cambria"/>
          <w:sz w:val="20"/>
          <w:szCs w:val="20"/>
          <w:lang w:val="es-ES"/>
        </w:rPr>
        <w:t>.</w:t>
      </w:r>
      <w:r w:rsidR="007C293C" w:rsidRPr="00683301">
        <w:rPr>
          <w:rFonts w:ascii="Cambria" w:hAnsi="Cambria"/>
          <w:sz w:val="20"/>
          <w:szCs w:val="20"/>
          <w:lang w:val="es-ES"/>
        </w:rPr>
        <w:t xml:space="preserve"> </w:t>
      </w:r>
    </w:p>
    <w:p w14:paraId="36A2AB37" w14:textId="77777777" w:rsidR="0039763C" w:rsidRPr="00683301" w:rsidRDefault="0039763C" w:rsidP="003E29F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198F2AAF" w14:textId="22019383" w:rsidR="0073470A" w:rsidRPr="00683301" w:rsidRDefault="00110CDB" w:rsidP="00EC15D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683301">
        <w:rPr>
          <w:rFonts w:ascii="Cambria" w:hAnsi="Cambria"/>
          <w:sz w:val="20"/>
          <w:szCs w:val="20"/>
          <w:lang w:val="es-ES"/>
        </w:rPr>
        <w:t xml:space="preserve">La motivación de las decisiones que impusieron la detención preventiva al señor Carranza se basa esencialmente en los elementos que apuntan a su responsabilidad. </w:t>
      </w:r>
      <w:r w:rsidR="003E29FA" w:rsidRPr="00683301">
        <w:rPr>
          <w:rFonts w:ascii="Cambria" w:hAnsi="Cambria"/>
          <w:sz w:val="20"/>
          <w:szCs w:val="20"/>
          <w:lang w:val="es-ES"/>
        </w:rPr>
        <w:t xml:space="preserve">En ese sentido, </w:t>
      </w:r>
      <w:r w:rsidRPr="00683301">
        <w:rPr>
          <w:rFonts w:ascii="Cambria" w:hAnsi="Cambria"/>
          <w:sz w:val="20"/>
          <w:szCs w:val="20"/>
          <w:lang w:val="es-ES"/>
        </w:rPr>
        <w:t xml:space="preserve">tanto la norma aplicable como </w:t>
      </w:r>
      <w:r w:rsidR="003E29FA" w:rsidRPr="00683301">
        <w:rPr>
          <w:rFonts w:ascii="Cambria" w:hAnsi="Cambria"/>
          <w:sz w:val="20"/>
          <w:szCs w:val="20"/>
          <w:lang w:val="es-ES"/>
        </w:rPr>
        <w:t>la</w:t>
      </w:r>
      <w:r w:rsidRPr="00683301">
        <w:rPr>
          <w:rFonts w:ascii="Cambria" w:hAnsi="Cambria"/>
          <w:sz w:val="20"/>
          <w:szCs w:val="20"/>
          <w:lang w:val="es-ES"/>
        </w:rPr>
        <w:t>s</w:t>
      </w:r>
      <w:r w:rsidR="003E29FA" w:rsidRPr="00683301">
        <w:rPr>
          <w:rFonts w:ascii="Cambria" w:hAnsi="Cambria"/>
          <w:sz w:val="20"/>
          <w:szCs w:val="20"/>
          <w:lang w:val="es-ES"/>
        </w:rPr>
        <w:t xml:space="preserve"> </w:t>
      </w:r>
      <w:r w:rsidR="00C42537" w:rsidRPr="00683301">
        <w:rPr>
          <w:rFonts w:ascii="Cambria" w:hAnsi="Cambria"/>
          <w:sz w:val="20"/>
          <w:szCs w:val="20"/>
          <w:lang w:val="es-ES"/>
        </w:rPr>
        <w:t xml:space="preserve">decisiones emitidas </w:t>
      </w:r>
      <w:r w:rsidR="003E29FA" w:rsidRPr="00683301">
        <w:rPr>
          <w:rFonts w:ascii="Cambria" w:hAnsi="Cambria"/>
          <w:sz w:val="20"/>
          <w:szCs w:val="20"/>
          <w:lang w:val="es-ES"/>
        </w:rPr>
        <w:t xml:space="preserve">con base en la misma, resultan </w:t>
      </w:r>
      <w:r w:rsidR="00D20EDE" w:rsidRPr="00683301">
        <w:rPr>
          <w:rFonts w:ascii="Cambria" w:hAnsi="Cambria"/>
          <w:sz w:val="20"/>
          <w:szCs w:val="20"/>
          <w:lang w:val="es-ES"/>
        </w:rPr>
        <w:t>arbitrarias y, por lo tanto,</w:t>
      </w:r>
      <w:r w:rsidR="003E29FA" w:rsidRPr="00683301">
        <w:rPr>
          <w:rFonts w:ascii="Cambria" w:hAnsi="Cambria"/>
          <w:sz w:val="20"/>
          <w:szCs w:val="20"/>
          <w:lang w:val="es-ES"/>
        </w:rPr>
        <w:t xml:space="preserve"> incompatibl</w:t>
      </w:r>
      <w:r w:rsidR="0039763C" w:rsidRPr="00683301">
        <w:rPr>
          <w:rFonts w:ascii="Cambria" w:hAnsi="Cambria"/>
          <w:sz w:val="20"/>
          <w:szCs w:val="20"/>
          <w:lang w:val="es-ES"/>
        </w:rPr>
        <w:t>es con la Convención America</w:t>
      </w:r>
      <w:r w:rsidR="00F17811" w:rsidRPr="00683301">
        <w:rPr>
          <w:rFonts w:ascii="Cambria" w:hAnsi="Cambria"/>
          <w:sz w:val="20"/>
          <w:szCs w:val="20"/>
          <w:lang w:val="es-ES"/>
        </w:rPr>
        <w:t xml:space="preserve">na. </w:t>
      </w:r>
      <w:r w:rsidR="00B6063F" w:rsidRPr="00683301">
        <w:rPr>
          <w:rFonts w:ascii="Cambria" w:hAnsi="Cambria"/>
          <w:sz w:val="20"/>
          <w:szCs w:val="20"/>
          <w:lang w:val="es-ES"/>
        </w:rPr>
        <w:t>Si bien se hace referencia a que la presunta víctima estaba prófuga de la justicia,</w:t>
      </w:r>
      <w:r w:rsidR="0046342B" w:rsidRPr="00683301">
        <w:rPr>
          <w:rFonts w:ascii="Cambria" w:hAnsi="Cambria"/>
          <w:sz w:val="20"/>
          <w:szCs w:val="20"/>
          <w:lang w:val="es-ES"/>
        </w:rPr>
        <w:t xml:space="preserve"> de la lectura de ambas decisiones resulta que </w:t>
      </w:r>
      <w:r w:rsidR="00B6063F" w:rsidRPr="00683301">
        <w:rPr>
          <w:rFonts w:ascii="Cambria" w:hAnsi="Cambria"/>
          <w:sz w:val="20"/>
          <w:szCs w:val="20"/>
          <w:lang w:val="es-ES"/>
        </w:rPr>
        <w:t>esta indicación sólo tuvo el efecto de ordenar a la policía su aprehensión, pero no como fundamento en tanto fin procesal para imponer la detención preventiva.</w:t>
      </w:r>
    </w:p>
    <w:p w14:paraId="24653CEA" w14:textId="77777777" w:rsidR="00036141" w:rsidRPr="00683301" w:rsidRDefault="00036141" w:rsidP="0003614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5ADE9F78" w14:textId="0C505DC8" w:rsidR="00036141" w:rsidRPr="00683301" w:rsidRDefault="00036141" w:rsidP="00EC15D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683301">
        <w:rPr>
          <w:rFonts w:ascii="Cambria" w:hAnsi="Cambria"/>
          <w:sz w:val="20"/>
          <w:szCs w:val="20"/>
          <w:lang w:val="es-ES"/>
        </w:rPr>
        <w:t xml:space="preserve">Ahora bien, en cuanto </w:t>
      </w:r>
      <w:r w:rsidR="0039430B" w:rsidRPr="00683301">
        <w:rPr>
          <w:rFonts w:ascii="Cambria" w:hAnsi="Cambria"/>
          <w:sz w:val="20"/>
          <w:szCs w:val="20"/>
          <w:lang w:val="es-ES"/>
        </w:rPr>
        <w:t>a la duración de la detención preventiva</w:t>
      </w:r>
      <w:r w:rsidR="000031EC" w:rsidRPr="00683301">
        <w:rPr>
          <w:rFonts w:ascii="Cambria" w:hAnsi="Cambria"/>
          <w:sz w:val="20"/>
          <w:szCs w:val="20"/>
          <w:lang w:val="es-ES"/>
        </w:rPr>
        <w:t xml:space="preserve"> del señor Carranza</w:t>
      </w:r>
      <w:r w:rsidR="0039430B" w:rsidRPr="00683301">
        <w:rPr>
          <w:rFonts w:ascii="Cambria" w:hAnsi="Cambria"/>
          <w:sz w:val="20"/>
          <w:szCs w:val="20"/>
          <w:lang w:val="es-ES"/>
        </w:rPr>
        <w:t>, la Comisió</w:t>
      </w:r>
      <w:r w:rsidR="00CC412E" w:rsidRPr="00683301">
        <w:rPr>
          <w:rFonts w:ascii="Cambria" w:hAnsi="Cambria"/>
          <w:sz w:val="20"/>
          <w:szCs w:val="20"/>
          <w:lang w:val="es-ES"/>
        </w:rPr>
        <w:t xml:space="preserve">n observa que la misma se extendió por poco más de cuatro años, entre </w:t>
      </w:r>
      <w:r w:rsidR="00A066AB" w:rsidRPr="00683301">
        <w:rPr>
          <w:rFonts w:ascii="Cambria" w:hAnsi="Cambria"/>
          <w:sz w:val="20"/>
          <w:szCs w:val="20"/>
          <w:lang w:val="es-ES"/>
        </w:rPr>
        <w:t>noviembre de 1994 y diciembre de 1998.</w:t>
      </w:r>
      <w:r w:rsidR="00322FA4" w:rsidRPr="00683301">
        <w:rPr>
          <w:rFonts w:ascii="Cambria" w:hAnsi="Cambria"/>
          <w:sz w:val="20"/>
          <w:szCs w:val="20"/>
          <w:lang w:val="es-ES"/>
        </w:rPr>
        <w:t xml:space="preserve"> La Comisión destaca que a lo largo de dicho period</w:t>
      </w:r>
      <w:r w:rsidR="00275F40" w:rsidRPr="00683301">
        <w:rPr>
          <w:rFonts w:ascii="Cambria" w:hAnsi="Cambria"/>
          <w:sz w:val="20"/>
          <w:szCs w:val="20"/>
          <w:lang w:val="es-ES"/>
        </w:rPr>
        <w:t xml:space="preserve">o no se efectuó </w:t>
      </w:r>
      <w:r w:rsidR="007A4BD3" w:rsidRPr="00683301">
        <w:rPr>
          <w:rFonts w:ascii="Cambria" w:hAnsi="Cambria"/>
          <w:sz w:val="20"/>
          <w:szCs w:val="20"/>
          <w:lang w:val="es-ES"/>
        </w:rPr>
        <w:t xml:space="preserve">revisión periódica alguna </w:t>
      </w:r>
      <w:r w:rsidR="00266844" w:rsidRPr="00683301">
        <w:rPr>
          <w:rFonts w:ascii="Cambria" w:hAnsi="Cambria"/>
          <w:sz w:val="20"/>
          <w:szCs w:val="20"/>
          <w:lang w:val="es-ES"/>
        </w:rPr>
        <w:t>sobre la continuidad de la procedencia de la detenció</w:t>
      </w:r>
      <w:r w:rsidR="00E13782" w:rsidRPr="00683301">
        <w:rPr>
          <w:rFonts w:ascii="Cambria" w:hAnsi="Cambria"/>
          <w:sz w:val="20"/>
          <w:szCs w:val="20"/>
          <w:lang w:val="es-ES"/>
        </w:rPr>
        <w:t>n preventiva, no obstante el señor Carranza solicitó su libertad.</w:t>
      </w:r>
      <w:r w:rsidR="0030629B" w:rsidRPr="00683301">
        <w:rPr>
          <w:rFonts w:ascii="Cambria" w:hAnsi="Cambria"/>
          <w:sz w:val="20"/>
          <w:szCs w:val="20"/>
          <w:lang w:val="es-ES"/>
        </w:rPr>
        <w:t xml:space="preserve"> Esto resulta consistente con la disposición citada del Código de Procedimiento Penal, cuya consecuencia lógica es que mientras se mantuvieran los indicios de responsabilidad, la detención preventiva resultar</w:t>
      </w:r>
      <w:r w:rsidR="00236786" w:rsidRPr="00683301">
        <w:rPr>
          <w:rFonts w:ascii="Cambria" w:hAnsi="Cambria"/>
          <w:sz w:val="20"/>
          <w:szCs w:val="20"/>
          <w:lang w:val="es-ES"/>
        </w:rPr>
        <w:t>ía</w:t>
      </w:r>
      <w:r w:rsidR="0030629B" w:rsidRPr="00683301">
        <w:rPr>
          <w:rFonts w:ascii="Cambria" w:hAnsi="Cambria"/>
          <w:sz w:val="20"/>
          <w:szCs w:val="20"/>
          <w:lang w:val="es-ES"/>
        </w:rPr>
        <w:t xml:space="preserve"> justificada</w:t>
      </w:r>
      <w:r w:rsidR="00266844" w:rsidRPr="00683301">
        <w:rPr>
          <w:rFonts w:ascii="Cambria" w:hAnsi="Cambria"/>
          <w:sz w:val="20"/>
          <w:szCs w:val="20"/>
          <w:lang w:val="es-ES"/>
        </w:rPr>
        <w:t xml:space="preserve"> </w:t>
      </w:r>
      <w:r w:rsidR="0030629B" w:rsidRPr="00683301">
        <w:rPr>
          <w:rFonts w:ascii="Cambria" w:hAnsi="Cambria"/>
          <w:sz w:val="20"/>
          <w:szCs w:val="20"/>
          <w:lang w:val="es-ES"/>
        </w:rPr>
        <w:t>sin revisió</w:t>
      </w:r>
      <w:r w:rsidR="00236786" w:rsidRPr="00683301">
        <w:rPr>
          <w:rFonts w:ascii="Cambria" w:hAnsi="Cambria"/>
          <w:sz w:val="20"/>
          <w:szCs w:val="20"/>
          <w:lang w:val="es-ES"/>
        </w:rPr>
        <w:t xml:space="preserve">n sobre su duración a la luz de los fines convencionalmente aceptables. </w:t>
      </w:r>
      <w:r w:rsidR="006154BD" w:rsidRPr="00683301">
        <w:rPr>
          <w:rFonts w:ascii="Cambria" w:hAnsi="Cambria"/>
          <w:sz w:val="20"/>
          <w:szCs w:val="20"/>
          <w:lang w:val="es-ES"/>
        </w:rPr>
        <w:t xml:space="preserve">La Comisión considera que, de esta forma, el periodo de </w:t>
      </w:r>
      <w:r w:rsidR="00E8701D" w:rsidRPr="00683301">
        <w:rPr>
          <w:rFonts w:ascii="Cambria" w:hAnsi="Cambria"/>
          <w:sz w:val="20"/>
          <w:szCs w:val="20"/>
          <w:lang w:val="es-ES"/>
        </w:rPr>
        <w:t xml:space="preserve">más de </w:t>
      </w:r>
      <w:r w:rsidR="006154BD" w:rsidRPr="00683301">
        <w:rPr>
          <w:rFonts w:ascii="Cambria" w:hAnsi="Cambria"/>
          <w:sz w:val="20"/>
          <w:szCs w:val="20"/>
          <w:lang w:val="es-ES"/>
        </w:rPr>
        <w:t xml:space="preserve">cuatro años excede </w:t>
      </w:r>
      <w:r w:rsidR="00E8701D" w:rsidRPr="00683301">
        <w:rPr>
          <w:rFonts w:ascii="Cambria" w:hAnsi="Cambria"/>
          <w:sz w:val="20"/>
          <w:szCs w:val="20"/>
          <w:lang w:val="es-ES"/>
        </w:rPr>
        <w:t xml:space="preserve">los criterios de razonabilidad. </w:t>
      </w:r>
    </w:p>
    <w:p w14:paraId="29989CDB" w14:textId="77777777" w:rsidR="00236786" w:rsidRPr="00683301" w:rsidRDefault="00236786" w:rsidP="0023678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s-ES"/>
        </w:rPr>
      </w:pPr>
    </w:p>
    <w:p w14:paraId="5EC6445D" w14:textId="0A90B20B" w:rsidR="004A1D2D" w:rsidRPr="00683301" w:rsidRDefault="00236786" w:rsidP="00D900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sz w:val="20"/>
          <w:szCs w:val="20"/>
          <w:lang w:val="es-ES"/>
        </w:rPr>
      </w:pPr>
      <w:r w:rsidRPr="00683301">
        <w:rPr>
          <w:rFonts w:ascii="Cambria" w:hAnsi="Cambria"/>
          <w:sz w:val="20"/>
          <w:szCs w:val="20"/>
          <w:lang w:val="es-ES"/>
        </w:rPr>
        <w:t xml:space="preserve">En consecuencia, desde su inicio y a lo largo de los más de cuatro años de duración de la detención preventiva, la misma resultó </w:t>
      </w:r>
      <w:r w:rsidR="005C0DAC" w:rsidRPr="00683301">
        <w:rPr>
          <w:rFonts w:ascii="Cambria" w:hAnsi="Cambria"/>
          <w:sz w:val="20"/>
          <w:szCs w:val="20"/>
          <w:lang w:val="es-ES"/>
        </w:rPr>
        <w:t>arbitraria y conforme a los estándares citados anteriormente, se constituyó en una de carácter punitivo y no cautelar, en violación tanto del derecho a la libertad como a la presunción de inocencia. Por lo tanto, la Comisión concluye que el Estado de Ecuador es responsable por la violación de los artículos 7.1, 7.3, 7.5 y 8.2 de la Convención Americana en relación con las obligaciones establecidas en los artículo</w:t>
      </w:r>
      <w:r w:rsidR="00F67C4C" w:rsidRPr="00683301">
        <w:rPr>
          <w:rFonts w:ascii="Cambria" w:hAnsi="Cambria"/>
          <w:sz w:val="20"/>
          <w:szCs w:val="20"/>
          <w:lang w:val="es-ES"/>
        </w:rPr>
        <w:t>s</w:t>
      </w:r>
      <w:r w:rsidR="005C0DAC" w:rsidRPr="00683301">
        <w:rPr>
          <w:rFonts w:ascii="Cambria" w:hAnsi="Cambria"/>
          <w:sz w:val="20"/>
          <w:szCs w:val="20"/>
          <w:lang w:val="es-ES"/>
        </w:rPr>
        <w:t xml:space="preserve"> 1.1 y 2</w:t>
      </w:r>
      <w:r w:rsidR="00CF4097" w:rsidRPr="00683301">
        <w:rPr>
          <w:rFonts w:ascii="Cambria" w:hAnsi="Cambria"/>
          <w:sz w:val="20"/>
          <w:szCs w:val="20"/>
          <w:lang w:val="es-ES"/>
        </w:rPr>
        <w:t xml:space="preserve"> del mismo instrumento, en perjuicio de Ramón Rosendo Carranza Alarcón. </w:t>
      </w:r>
    </w:p>
    <w:p w14:paraId="77399692" w14:textId="77777777" w:rsidR="004A1D2D" w:rsidRPr="00683301" w:rsidRDefault="004A1D2D" w:rsidP="007814B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sz w:val="20"/>
          <w:szCs w:val="20"/>
          <w:lang w:val="es-ES"/>
        </w:rPr>
      </w:pPr>
    </w:p>
    <w:p w14:paraId="775269BA" w14:textId="77777777" w:rsidR="007E5D8B" w:rsidRPr="00683301" w:rsidRDefault="007E5D8B" w:rsidP="00EE6D2F">
      <w:pPr>
        <w:pStyle w:val="Heading2"/>
        <w:rPr>
          <w:lang w:val="es-ES"/>
        </w:rPr>
      </w:pPr>
      <w:bookmarkStart w:id="28" w:name="_Toc482278247"/>
      <w:r w:rsidRPr="00683301">
        <w:rPr>
          <w:lang w:val="es-ES"/>
        </w:rPr>
        <w:t>Derecho a ser juzgado en un plazo razonable</w:t>
      </w:r>
      <w:bookmarkEnd w:id="28"/>
    </w:p>
    <w:p w14:paraId="2FAF0D2A" w14:textId="77777777" w:rsidR="007E5D8B" w:rsidRPr="00683301" w:rsidRDefault="007E5D8B"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6998E331" w14:textId="77777777" w:rsidR="009F1D0C" w:rsidRPr="00683301" w:rsidRDefault="009F1D0C" w:rsidP="009F1D0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El artículo 8.1 de la Convención Americana establece que:</w:t>
      </w:r>
    </w:p>
    <w:p w14:paraId="2950ADF6" w14:textId="77777777" w:rsidR="009F1D0C" w:rsidRPr="00683301" w:rsidRDefault="009F1D0C" w:rsidP="009F1D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cs="Tahoma"/>
          <w:color w:val="000000"/>
          <w:sz w:val="20"/>
          <w:szCs w:val="20"/>
          <w:lang w:val="es-ES"/>
        </w:rPr>
      </w:pPr>
    </w:p>
    <w:p w14:paraId="172E8412" w14:textId="77777777" w:rsidR="009F1D0C" w:rsidRPr="00683301" w:rsidRDefault="009F1D0C" w:rsidP="00D125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Tahoma"/>
          <w:color w:val="000000"/>
          <w:sz w:val="20"/>
          <w:szCs w:val="20"/>
          <w:lang w:val="es-ES"/>
        </w:rPr>
      </w:pPr>
      <w:r w:rsidRPr="00683301">
        <w:rPr>
          <w:rFonts w:ascii="Cambria" w:hAnsi="Cambria" w:cs="Tahoma"/>
          <w:color w:val="000000"/>
          <w:sz w:val="20"/>
          <w:szCs w:val="20"/>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6E8D67E0" w14:textId="77777777" w:rsidR="009F1D0C" w:rsidRPr="00683301" w:rsidRDefault="009F1D0C"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41D6E533" w14:textId="77777777" w:rsidR="002F5E72" w:rsidRPr="00683301" w:rsidRDefault="002F5E72" w:rsidP="002F5E7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Uno de los elementos del debido proceso es que los tribunales decidan los casos sometidos a su conocimiento en un plazo razonable. El cumplimiento de esta garantía implica no sólo que los recursos fueron resueltos en observancia del debido proceso sino también que fueron efectivos y ofrecieron una debida protección judicial frente a posibles violaciones a los derechos humanos. </w:t>
      </w:r>
    </w:p>
    <w:p w14:paraId="6C23B3DC" w14:textId="77777777" w:rsidR="002F5E72" w:rsidRPr="00683301" w:rsidRDefault="002F5E72" w:rsidP="002F5E72">
      <w:pPr>
        <w:pStyle w:val="ColorfulList-Accent12"/>
        <w:rPr>
          <w:sz w:val="20"/>
          <w:szCs w:val="20"/>
          <w:lang w:val="es-ES"/>
        </w:rPr>
      </w:pPr>
    </w:p>
    <w:p w14:paraId="30B7F310" w14:textId="77777777" w:rsidR="002F5E72" w:rsidRPr="00683301" w:rsidRDefault="002F5E72" w:rsidP="002F5E7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La Comisión recuerda que los elementos que han sido tomados en cuenta por los órganos del sistema interamericano para analizar el plazo razonable según las circunstancias de cada caso son: i) la complejidad del asunto; ii) la actividad procesal del interesado; iii) la conducta de las autoridades judiciales; y </w:t>
      </w:r>
      <w:r w:rsidRPr="00683301">
        <w:rPr>
          <w:rFonts w:ascii="Cambria" w:hAnsi="Cambria"/>
          <w:sz w:val="20"/>
          <w:szCs w:val="20"/>
          <w:lang w:val="es-ES"/>
        </w:rPr>
        <w:lastRenderedPageBreak/>
        <w:t>iv) la afectación generada en la situación jurídica de la persona involucrada en el proceso</w:t>
      </w:r>
      <w:r w:rsidRPr="00683301">
        <w:rPr>
          <w:rStyle w:val="FootnoteReference"/>
          <w:rFonts w:ascii="Cambria" w:hAnsi="Cambria"/>
          <w:sz w:val="20"/>
          <w:szCs w:val="20"/>
          <w:lang w:val="es-ES"/>
        </w:rPr>
        <w:t xml:space="preserve"> </w:t>
      </w:r>
      <w:r w:rsidRPr="00683301">
        <w:rPr>
          <w:rStyle w:val="FootnoteReference"/>
          <w:rFonts w:ascii="Cambria" w:hAnsi="Cambria"/>
          <w:sz w:val="20"/>
          <w:szCs w:val="20"/>
          <w:lang w:val="es-ES"/>
        </w:rPr>
        <w:footnoteReference w:id="53"/>
      </w:r>
      <w:r w:rsidRPr="00683301">
        <w:rPr>
          <w:rFonts w:ascii="Cambria" w:hAnsi="Cambria"/>
          <w:sz w:val="20"/>
          <w:szCs w:val="20"/>
          <w:lang w:val="es-ES"/>
        </w:rPr>
        <w:t>. La Corte Interamericana ha establecido que una demora prolongada puede llegar a constituir por sí misma una violación de las garantías judiciales</w:t>
      </w:r>
      <w:r w:rsidRPr="00683301">
        <w:rPr>
          <w:rFonts w:ascii="Cambria" w:hAnsi="Cambria"/>
          <w:sz w:val="20"/>
          <w:szCs w:val="20"/>
          <w:vertAlign w:val="superscript"/>
          <w:lang w:val="es-ES"/>
        </w:rPr>
        <w:footnoteReference w:id="54"/>
      </w:r>
      <w:r w:rsidRPr="00683301">
        <w:rPr>
          <w:rFonts w:ascii="Cambria" w:hAnsi="Cambria"/>
          <w:sz w:val="20"/>
          <w:szCs w:val="20"/>
          <w:lang w:val="es-ES"/>
        </w:rPr>
        <w:t>, por lo cual, corresponde al Estado exponer y probar la razón por la cual se ha requerido más tiempo del razonable para dictar sentencia definitiva en un caso particular</w:t>
      </w:r>
      <w:r w:rsidRPr="00683301">
        <w:rPr>
          <w:rFonts w:ascii="Cambria" w:hAnsi="Cambria"/>
          <w:sz w:val="20"/>
          <w:szCs w:val="20"/>
          <w:vertAlign w:val="superscript"/>
          <w:lang w:val="es-ES"/>
        </w:rPr>
        <w:footnoteReference w:id="55"/>
      </w:r>
      <w:r w:rsidRPr="00683301">
        <w:rPr>
          <w:rFonts w:ascii="Cambria" w:hAnsi="Cambria"/>
          <w:sz w:val="20"/>
          <w:szCs w:val="20"/>
          <w:lang w:val="es-ES"/>
        </w:rPr>
        <w:t>.</w:t>
      </w:r>
    </w:p>
    <w:p w14:paraId="1BF47545" w14:textId="77777777" w:rsidR="002F5E72" w:rsidRPr="00683301" w:rsidRDefault="002F5E72"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0C43A459" w14:textId="77777777" w:rsidR="002F5E72" w:rsidRPr="00683301" w:rsidRDefault="00D90038"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el presente caso el proceso inició el 17 de agosto de 1993 mediante el auto cabeza de proceso y culminó el 15 de diciembre de 1998 mediante la sentencia condenatoria que quedó en firme dado que el señor Carranza no interpuso recursos contra la misma. </w:t>
      </w:r>
      <w:r w:rsidR="00582C81" w:rsidRPr="00683301">
        <w:rPr>
          <w:rFonts w:ascii="Cambria" w:hAnsi="Cambria"/>
          <w:sz w:val="20"/>
          <w:szCs w:val="20"/>
          <w:lang w:val="es-ES"/>
        </w:rPr>
        <w:t xml:space="preserve">En ese sentido, la duración total del proceso fue de cinco años y cuatro meses. </w:t>
      </w:r>
    </w:p>
    <w:p w14:paraId="1A049A5D" w14:textId="77777777" w:rsidR="00743E72" w:rsidRPr="00683301" w:rsidRDefault="00743E72" w:rsidP="00743E7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3DA2A5D2" w14:textId="77777777" w:rsidR="00743E72" w:rsidRPr="00683301" w:rsidRDefault="00743E72"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cuanto a la complejidad del asunto, la Comisión observa que se trató de un caso con una única víctima y </w:t>
      </w:r>
      <w:r w:rsidR="00B63BBE" w:rsidRPr="00683301">
        <w:rPr>
          <w:rFonts w:ascii="Cambria" w:hAnsi="Cambria"/>
          <w:sz w:val="20"/>
          <w:szCs w:val="20"/>
          <w:lang w:val="es-ES"/>
        </w:rPr>
        <w:t>con dos imputados. De la información disponible, no surge que la práctica de prueba revistiera especial complejidad, de manera que justificara el plazo de duració</w:t>
      </w:r>
      <w:r w:rsidR="00626BE5" w:rsidRPr="00683301">
        <w:rPr>
          <w:rFonts w:ascii="Cambria" w:hAnsi="Cambria"/>
          <w:sz w:val="20"/>
          <w:szCs w:val="20"/>
          <w:lang w:val="es-ES"/>
        </w:rPr>
        <w:t xml:space="preserve">n del proceso. Además, </w:t>
      </w:r>
      <w:r w:rsidRPr="00683301">
        <w:rPr>
          <w:rFonts w:ascii="Cambria" w:hAnsi="Cambria"/>
          <w:sz w:val="20"/>
          <w:szCs w:val="20"/>
          <w:lang w:val="es-ES"/>
        </w:rPr>
        <w:t xml:space="preserve">el Estado </w:t>
      </w:r>
      <w:r w:rsidR="00626BE5" w:rsidRPr="00683301">
        <w:rPr>
          <w:rFonts w:ascii="Cambria" w:hAnsi="Cambria"/>
          <w:sz w:val="20"/>
          <w:szCs w:val="20"/>
          <w:lang w:val="es-ES"/>
        </w:rPr>
        <w:t>ecuatoriano no presentó argumentos específicos sobre la complejidad del asunto</w:t>
      </w:r>
      <w:r w:rsidR="00A9665B" w:rsidRPr="00683301">
        <w:rPr>
          <w:rFonts w:ascii="Cambria" w:hAnsi="Cambria"/>
          <w:sz w:val="20"/>
          <w:szCs w:val="20"/>
          <w:lang w:val="es-ES"/>
        </w:rPr>
        <w:t xml:space="preserve"> y de qué manera dicha complejidad estuvo relacionada con las demoras concretas del proceso. </w:t>
      </w:r>
    </w:p>
    <w:p w14:paraId="23C0406F" w14:textId="77777777" w:rsidR="00A9665B" w:rsidRPr="00683301" w:rsidRDefault="00A9665B" w:rsidP="00A9665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21749F51" w14:textId="61E689CE" w:rsidR="00A9665B" w:rsidRPr="00683301" w:rsidRDefault="00A9665B"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Respecto de la actuación de las autoridades judiciales, la Comisión observa</w:t>
      </w:r>
      <w:r w:rsidR="00EC2DEB" w:rsidRPr="00683301">
        <w:rPr>
          <w:rFonts w:ascii="Cambria" w:hAnsi="Cambria"/>
          <w:sz w:val="20"/>
          <w:szCs w:val="20"/>
          <w:lang w:val="es-ES"/>
        </w:rPr>
        <w:t xml:space="preserve"> demoras significativas en el impulso del proceso. </w:t>
      </w:r>
      <w:r w:rsidR="00005834" w:rsidRPr="00683301">
        <w:rPr>
          <w:rFonts w:ascii="Cambria" w:hAnsi="Cambria"/>
          <w:sz w:val="20"/>
          <w:szCs w:val="20"/>
          <w:lang w:val="es-ES"/>
        </w:rPr>
        <w:t xml:space="preserve">Así por ejemplo, </w:t>
      </w:r>
      <w:r w:rsidR="00910542" w:rsidRPr="00683301">
        <w:rPr>
          <w:rFonts w:ascii="Cambria" w:hAnsi="Cambria"/>
          <w:sz w:val="20"/>
          <w:szCs w:val="20"/>
          <w:lang w:val="es-ES"/>
        </w:rPr>
        <w:t>cuando el señor Carranza ya e</w:t>
      </w:r>
      <w:r w:rsidR="00A106CB" w:rsidRPr="00683301">
        <w:rPr>
          <w:rFonts w:ascii="Cambria" w:hAnsi="Cambria"/>
          <w:sz w:val="20"/>
          <w:szCs w:val="20"/>
          <w:lang w:val="es-ES"/>
        </w:rPr>
        <w:t>staba privado de libertad, el 23</w:t>
      </w:r>
      <w:r w:rsidR="00910542" w:rsidRPr="00683301">
        <w:rPr>
          <w:rFonts w:ascii="Cambria" w:hAnsi="Cambria"/>
          <w:sz w:val="20"/>
          <w:szCs w:val="20"/>
          <w:lang w:val="es-ES"/>
        </w:rPr>
        <w:t xml:space="preserve"> de febrero de 1995 el Juez dispuso su traslado para rendir testimonio indagatorio, lo que se realizó </w:t>
      </w:r>
      <w:r w:rsidR="00A106CB" w:rsidRPr="00683301">
        <w:rPr>
          <w:rFonts w:ascii="Cambria" w:hAnsi="Cambria"/>
          <w:sz w:val="20"/>
          <w:szCs w:val="20"/>
          <w:lang w:val="es-ES"/>
        </w:rPr>
        <w:t xml:space="preserve">recién el 25 de agosto siguiente. Asimismo, entre </w:t>
      </w:r>
      <w:r w:rsidR="00467166" w:rsidRPr="00683301">
        <w:rPr>
          <w:rFonts w:ascii="Cambria" w:hAnsi="Cambria"/>
          <w:sz w:val="20"/>
          <w:szCs w:val="20"/>
          <w:lang w:val="es-ES"/>
        </w:rPr>
        <w:t xml:space="preserve">el </w:t>
      </w:r>
      <w:r w:rsidR="00A106CB" w:rsidRPr="00683301">
        <w:rPr>
          <w:rFonts w:ascii="Cambria" w:hAnsi="Cambria"/>
          <w:sz w:val="20"/>
          <w:szCs w:val="20"/>
          <w:lang w:val="es-ES"/>
        </w:rPr>
        <w:t>11 de septiembre de 1995 que el señor Carran</w:t>
      </w:r>
      <w:r w:rsidR="00A06A17">
        <w:rPr>
          <w:rFonts w:ascii="Cambria" w:hAnsi="Cambria"/>
          <w:sz w:val="20"/>
          <w:szCs w:val="20"/>
          <w:lang w:val="es-ES"/>
        </w:rPr>
        <w:t>za presentó un escrito y un año</w:t>
      </w:r>
      <w:r w:rsidR="00A106CB" w:rsidRPr="00683301">
        <w:rPr>
          <w:rFonts w:ascii="Cambria" w:hAnsi="Cambria"/>
          <w:sz w:val="20"/>
          <w:szCs w:val="20"/>
          <w:lang w:val="es-ES"/>
        </w:rPr>
        <w:t xml:space="preserve"> después, el 30 de septiembre de 1996 se cerró el sumario y se remitió el proceso al fiscal para dictamen. La Comisión también observa </w:t>
      </w:r>
      <w:r w:rsidR="00EC2DEB" w:rsidRPr="00683301">
        <w:rPr>
          <w:rFonts w:ascii="Cambria" w:hAnsi="Cambria"/>
          <w:sz w:val="20"/>
          <w:szCs w:val="20"/>
          <w:lang w:val="es-ES"/>
        </w:rPr>
        <w:t xml:space="preserve">que entre la emisión del dictamen en marzo de 1997 y la audiencia pública en </w:t>
      </w:r>
      <w:r w:rsidR="00E640DD" w:rsidRPr="00683301">
        <w:rPr>
          <w:rFonts w:ascii="Cambria" w:hAnsi="Cambria"/>
          <w:sz w:val="20"/>
          <w:szCs w:val="20"/>
          <w:lang w:val="es-ES"/>
        </w:rPr>
        <w:t>diciembre de 1998 transcurrió un año</w:t>
      </w:r>
      <w:r w:rsidR="00EC2DEB" w:rsidRPr="00683301">
        <w:rPr>
          <w:rFonts w:ascii="Cambria" w:hAnsi="Cambria"/>
          <w:sz w:val="20"/>
          <w:szCs w:val="20"/>
          <w:lang w:val="es-ES"/>
        </w:rPr>
        <w:t xml:space="preserve"> y nueve meses adicionales. Estas demoras no fueron justificadas por el Estado. </w:t>
      </w:r>
    </w:p>
    <w:p w14:paraId="1210BAB9" w14:textId="77777777" w:rsidR="007E6324" w:rsidRPr="00683301" w:rsidRDefault="007E6324" w:rsidP="007E632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26D80BF2" w14:textId="6F7C5B96" w:rsidR="00FD4246" w:rsidRPr="00683301" w:rsidRDefault="007E6324" w:rsidP="00582C8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Finalmente, respecto de la actuación de la persona procesada, la Comisión observa que si bien durante el primer año del proceso el señor Carranza no compareció al mismo, las demoras indicadas en el párrafo anterior tuvieron lugar cuando ya se encontraba detenido, por lo que no existe relación entre las mismas y la falta inicial de comparecencia.</w:t>
      </w:r>
      <w:r w:rsidR="00FD4246" w:rsidRPr="00683301">
        <w:rPr>
          <w:rFonts w:ascii="Cambria" w:hAnsi="Cambria"/>
          <w:sz w:val="20"/>
          <w:szCs w:val="20"/>
          <w:lang w:val="es-ES"/>
        </w:rPr>
        <w:t xml:space="preserve"> </w:t>
      </w:r>
      <w:r w:rsidR="005F28D3" w:rsidRPr="00683301">
        <w:rPr>
          <w:rFonts w:ascii="Cambria" w:hAnsi="Cambria"/>
          <w:sz w:val="20"/>
          <w:szCs w:val="20"/>
          <w:lang w:val="es-ES"/>
        </w:rPr>
        <w:t>En el presente caso</w:t>
      </w:r>
      <w:r w:rsidR="00C64622" w:rsidRPr="00683301">
        <w:rPr>
          <w:rFonts w:ascii="Cambria" w:hAnsi="Cambria"/>
          <w:sz w:val="20"/>
          <w:szCs w:val="20"/>
          <w:lang w:val="es-ES"/>
        </w:rPr>
        <w:t>, además de la incertid</w:t>
      </w:r>
      <w:r w:rsidR="007E7FC1" w:rsidRPr="00683301">
        <w:rPr>
          <w:rFonts w:ascii="Cambria" w:hAnsi="Cambria"/>
          <w:sz w:val="20"/>
          <w:szCs w:val="20"/>
          <w:lang w:val="es-ES"/>
        </w:rPr>
        <w:t>u</w:t>
      </w:r>
      <w:r w:rsidR="00C64622" w:rsidRPr="00683301">
        <w:rPr>
          <w:rFonts w:ascii="Cambria" w:hAnsi="Cambria"/>
          <w:sz w:val="20"/>
          <w:szCs w:val="20"/>
          <w:lang w:val="es-ES"/>
        </w:rPr>
        <w:t>mbre de tener un proceso penal pendiente en su contra</w:t>
      </w:r>
      <w:r w:rsidR="007E7FC1" w:rsidRPr="00683301">
        <w:rPr>
          <w:rFonts w:ascii="Cambria" w:hAnsi="Cambria"/>
          <w:sz w:val="20"/>
          <w:szCs w:val="20"/>
          <w:lang w:val="es-ES"/>
        </w:rPr>
        <w:t xml:space="preserve">, </w:t>
      </w:r>
      <w:r w:rsidR="00B45FDB" w:rsidRPr="00683301">
        <w:rPr>
          <w:rFonts w:ascii="Cambria" w:hAnsi="Cambria"/>
          <w:sz w:val="20"/>
          <w:szCs w:val="20"/>
          <w:lang w:val="es-ES"/>
        </w:rPr>
        <w:t>la demora tuvo un impacto decisivo en su derecho a la libertad personal.</w:t>
      </w:r>
    </w:p>
    <w:p w14:paraId="494F1A5B" w14:textId="77777777" w:rsidR="00FD4246" w:rsidRPr="00683301" w:rsidRDefault="00FD4246" w:rsidP="00FD424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7AB2EDEC" w14:textId="77777777" w:rsidR="007E6324" w:rsidRPr="00683301" w:rsidRDefault="00FD4246" w:rsidP="00FD424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 xml:space="preserve">En virtud de las anteriores consideraciones, la Comisión concluye que el Estado ecuatoriano violó el derecho a ser juzgado en un plazo razonable establecido en el artículo 8.1 de la Convención Americana en relación </w:t>
      </w:r>
      <w:r w:rsidR="00CF541E" w:rsidRPr="00683301">
        <w:rPr>
          <w:rFonts w:ascii="Cambria" w:hAnsi="Cambria"/>
          <w:sz w:val="20"/>
          <w:szCs w:val="20"/>
          <w:lang w:val="es-ES"/>
        </w:rPr>
        <w:t xml:space="preserve">con el artículo 1.1 del mismo instrumento, en perjuicio de Ramón Rosendo Carranza Alarcón. </w:t>
      </w:r>
    </w:p>
    <w:p w14:paraId="3D5E60E9" w14:textId="77777777" w:rsidR="007E5D8B" w:rsidRPr="00683301" w:rsidRDefault="007E5D8B"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14:paraId="68B88CF4" w14:textId="77777777" w:rsidR="00E35039" w:rsidRPr="00683301" w:rsidRDefault="00E35039" w:rsidP="00BB058F">
      <w:pPr>
        <w:pStyle w:val="Heading1"/>
        <w:rPr>
          <w:lang w:val="es-ES"/>
        </w:rPr>
      </w:pPr>
      <w:bookmarkStart w:id="29" w:name="_Toc482278248"/>
      <w:r w:rsidRPr="00683301">
        <w:rPr>
          <w:lang w:val="es-ES"/>
        </w:rPr>
        <w:t>CONCLUSIONES</w:t>
      </w:r>
      <w:bookmarkEnd w:id="29"/>
    </w:p>
    <w:p w14:paraId="0B046355" w14:textId="77777777" w:rsidR="00E35039" w:rsidRPr="00683301" w:rsidRDefault="00E35039" w:rsidP="00B7712A">
      <w:pPr>
        <w:jc w:val="both"/>
        <w:rPr>
          <w:rFonts w:ascii="Cambria" w:hAnsi="Cambria"/>
          <w:sz w:val="20"/>
          <w:szCs w:val="20"/>
          <w:lang w:val="es-ES"/>
        </w:rPr>
      </w:pPr>
    </w:p>
    <w:p w14:paraId="42635C91" w14:textId="77777777" w:rsidR="00E54DF6" w:rsidRPr="00683301" w:rsidRDefault="003178E3"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Con base en las consideraciones de hecho y de derecho expuestas, la Comisió</w:t>
      </w:r>
      <w:r w:rsidR="004C6EF3" w:rsidRPr="00683301">
        <w:rPr>
          <w:rFonts w:ascii="Cambria" w:hAnsi="Cambria"/>
          <w:sz w:val="20"/>
          <w:szCs w:val="20"/>
          <w:lang w:val="es-ES"/>
        </w:rPr>
        <w:t xml:space="preserve">n Interamericana concluye que </w:t>
      </w:r>
      <w:r w:rsidR="00B97402" w:rsidRPr="00683301">
        <w:rPr>
          <w:rFonts w:ascii="Cambria" w:hAnsi="Cambria"/>
          <w:sz w:val="20"/>
          <w:szCs w:val="20"/>
          <w:lang w:val="es-ES"/>
        </w:rPr>
        <w:t>Estado de Ecuador es</w:t>
      </w:r>
      <w:r w:rsidR="00E54DF6" w:rsidRPr="00683301">
        <w:rPr>
          <w:rFonts w:ascii="Cambria" w:hAnsi="Cambria"/>
          <w:sz w:val="20"/>
          <w:szCs w:val="20"/>
          <w:lang w:val="es-ES"/>
        </w:rPr>
        <w:t xml:space="preserve"> </w:t>
      </w:r>
      <w:r w:rsidR="00FA2A8D" w:rsidRPr="00683301">
        <w:rPr>
          <w:rFonts w:ascii="Cambria" w:hAnsi="Cambria"/>
          <w:sz w:val="20"/>
          <w:szCs w:val="20"/>
          <w:lang w:val="es-ES"/>
        </w:rPr>
        <w:t xml:space="preserve">responsable por la violación de los derechos a la libertad personal, garantías judiciales y protección judicial, </w:t>
      </w:r>
      <w:r w:rsidR="007928ED" w:rsidRPr="00683301">
        <w:rPr>
          <w:rFonts w:ascii="Cambria" w:hAnsi="Cambria"/>
          <w:sz w:val="20"/>
          <w:szCs w:val="20"/>
          <w:lang w:val="es-ES"/>
        </w:rPr>
        <w:t>establecidos en los artículos 7.1, 7.3, 7.5, 8.1 y 8.2 de la Convención Amer</w:t>
      </w:r>
      <w:r w:rsidR="00FA2A8D" w:rsidRPr="00683301">
        <w:rPr>
          <w:rFonts w:ascii="Cambria" w:hAnsi="Cambria"/>
          <w:sz w:val="20"/>
          <w:szCs w:val="20"/>
          <w:lang w:val="es-ES"/>
        </w:rPr>
        <w:t>ica</w:t>
      </w:r>
      <w:r w:rsidR="00497190" w:rsidRPr="00683301">
        <w:rPr>
          <w:rFonts w:ascii="Cambria" w:hAnsi="Cambria"/>
          <w:sz w:val="20"/>
          <w:szCs w:val="20"/>
          <w:lang w:val="es-ES"/>
        </w:rPr>
        <w:t>na</w:t>
      </w:r>
      <w:r w:rsidR="00FA2A8D" w:rsidRPr="00683301">
        <w:rPr>
          <w:rFonts w:ascii="Cambria" w:hAnsi="Cambria"/>
          <w:sz w:val="20"/>
          <w:szCs w:val="20"/>
          <w:lang w:val="es-ES"/>
        </w:rPr>
        <w:t xml:space="preserve"> en relación con</w:t>
      </w:r>
      <w:r w:rsidR="00987A57" w:rsidRPr="00683301">
        <w:rPr>
          <w:rFonts w:ascii="Cambria" w:hAnsi="Cambria"/>
          <w:sz w:val="20"/>
          <w:szCs w:val="20"/>
          <w:lang w:val="es-ES"/>
        </w:rPr>
        <w:t xml:space="preserve"> obligaciones establecidas en los</w:t>
      </w:r>
      <w:r w:rsidR="00FA2A8D" w:rsidRPr="00683301">
        <w:rPr>
          <w:rFonts w:ascii="Cambria" w:hAnsi="Cambria"/>
          <w:sz w:val="20"/>
          <w:szCs w:val="20"/>
          <w:lang w:val="es-ES"/>
        </w:rPr>
        <w:t xml:space="preserve"> artículo</w:t>
      </w:r>
      <w:r w:rsidR="00987A57" w:rsidRPr="00683301">
        <w:rPr>
          <w:rFonts w:ascii="Cambria" w:hAnsi="Cambria"/>
          <w:sz w:val="20"/>
          <w:szCs w:val="20"/>
          <w:lang w:val="es-ES"/>
        </w:rPr>
        <w:t>s</w:t>
      </w:r>
      <w:r w:rsidR="00FA2A8D" w:rsidRPr="00683301">
        <w:rPr>
          <w:rFonts w:ascii="Cambria" w:hAnsi="Cambria"/>
          <w:sz w:val="20"/>
          <w:szCs w:val="20"/>
          <w:lang w:val="es-ES"/>
        </w:rPr>
        <w:t xml:space="preserve"> 1.1</w:t>
      </w:r>
      <w:r w:rsidR="00987A57" w:rsidRPr="00683301">
        <w:rPr>
          <w:rFonts w:ascii="Cambria" w:hAnsi="Cambria"/>
          <w:sz w:val="20"/>
          <w:szCs w:val="20"/>
          <w:lang w:val="es-ES"/>
        </w:rPr>
        <w:t xml:space="preserve"> y 2</w:t>
      </w:r>
      <w:r w:rsidR="00FA2A8D" w:rsidRPr="00683301">
        <w:rPr>
          <w:rFonts w:ascii="Cambria" w:hAnsi="Cambria"/>
          <w:sz w:val="20"/>
          <w:szCs w:val="20"/>
          <w:lang w:val="es-ES"/>
        </w:rPr>
        <w:t xml:space="preserve"> del mismo instrumento, en perjuicio de Ramón Rosendo Carranza Alarcón.</w:t>
      </w:r>
    </w:p>
    <w:p w14:paraId="78E2F25A" w14:textId="77777777" w:rsidR="0006236A" w:rsidRPr="00683301" w:rsidRDefault="00754414"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r w:rsidRPr="00683301">
        <w:rPr>
          <w:rFonts w:ascii="Cambria" w:hAnsi="Cambria"/>
          <w:sz w:val="20"/>
          <w:szCs w:val="20"/>
          <w:lang w:val="es-ES"/>
        </w:rPr>
        <w:t xml:space="preserve"> </w:t>
      </w:r>
    </w:p>
    <w:p w14:paraId="35785212" w14:textId="77777777" w:rsidR="00E35039" w:rsidRPr="00683301" w:rsidRDefault="00D1255F" w:rsidP="00BB058F">
      <w:pPr>
        <w:pStyle w:val="Heading1"/>
        <w:rPr>
          <w:lang w:val="es-ES"/>
        </w:rPr>
      </w:pPr>
      <w:r w:rsidRPr="00683301">
        <w:rPr>
          <w:lang w:val="es-ES"/>
        </w:rPr>
        <w:br w:type="page"/>
      </w:r>
      <w:bookmarkStart w:id="30" w:name="_Toc482278249"/>
      <w:r w:rsidR="00E35039" w:rsidRPr="00683301">
        <w:rPr>
          <w:lang w:val="es-ES"/>
        </w:rPr>
        <w:lastRenderedPageBreak/>
        <w:t>RECOMENDACIONES</w:t>
      </w:r>
      <w:bookmarkEnd w:id="30"/>
    </w:p>
    <w:p w14:paraId="63F13B41" w14:textId="77777777" w:rsidR="00E35039" w:rsidRPr="00683301" w:rsidRDefault="00E35039" w:rsidP="00B7712A">
      <w:pPr>
        <w:jc w:val="both"/>
        <w:rPr>
          <w:rFonts w:ascii="Cambria" w:hAnsi="Cambria"/>
          <w:sz w:val="20"/>
          <w:szCs w:val="20"/>
          <w:lang w:val="es-ES"/>
        </w:rPr>
      </w:pPr>
    </w:p>
    <w:p w14:paraId="387B07BA" w14:textId="77777777" w:rsidR="00E35039" w:rsidRPr="00683301" w:rsidRDefault="00E35039" w:rsidP="00B771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683301">
        <w:rPr>
          <w:rFonts w:ascii="Cambria" w:hAnsi="Cambria"/>
          <w:sz w:val="20"/>
          <w:szCs w:val="20"/>
          <w:lang w:val="es-ES"/>
        </w:rPr>
        <w:t>En virtud de las anteriores conclusiones,</w:t>
      </w:r>
    </w:p>
    <w:p w14:paraId="62E43F9D" w14:textId="77777777" w:rsidR="00E35039" w:rsidRPr="00683301" w:rsidRDefault="00E35039" w:rsidP="00B7712A">
      <w:pPr>
        <w:jc w:val="both"/>
        <w:rPr>
          <w:rFonts w:ascii="Cambria" w:hAnsi="Cambria"/>
          <w:sz w:val="20"/>
          <w:szCs w:val="20"/>
          <w:lang w:val="es-ES"/>
        </w:rPr>
      </w:pPr>
    </w:p>
    <w:p w14:paraId="69694A17" w14:textId="77777777" w:rsidR="00E35039" w:rsidRPr="00683301" w:rsidRDefault="00E35039" w:rsidP="00B7712A">
      <w:pPr>
        <w:jc w:val="center"/>
        <w:rPr>
          <w:rFonts w:ascii="Cambria" w:hAnsi="Cambria"/>
          <w:b/>
          <w:sz w:val="20"/>
          <w:szCs w:val="20"/>
          <w:lang w:val="es-ES"/>
        </w:rPr>
      </w:pPr>
      <w:r w:rsidRPr="00683301">
        <w:rPr>
          <w:rFonts w:ascii="Cambria" w:hAnsi="Cambria"/>
          <w:b/>
          <w:sz w:val="20"/>
          <w:szCs w:val="20"/>
          <w:lang w:val="es-ES"/>
        </w:rPr>
        <w:t>LA COMISIÓN INTERAMERICANA DE DERECHOS HUMANOS</w:t>
      </w:r>
    </w:p>
    <w:p w14:paraId="074C4F51" w14:textId="77777777" w:rsidR="00E35039" w:rsidRPr="00683301" w:rsidRDefault="00E35039" w:rsidP="00B7712A">
      <w:pPr>
        <w:jc w:val="center"/>
        <w:rPr>
          <w:rFonts w:ascii="Cambria" w:hAnsi="Cambria"/>
          <w:b/>
          <w:sz w:val="20"/>
          <w:szCs w:val="20"/>
          <w:lang w:val="es-ES"/>
        </w:rPr>
      </w:pPr>
      <w:r w:rsidRPr="00683301">
        <w:rPr>
          <w:rFonts w:ascii="Cambria" w:hAnsi="Cambria"/>
          <w:b/>
          <w:sz w:val="20"/>
          <w:szCs w:val="20"/>
          <w:lang w:val="es-ES"/>
        </w:rPr>
        <w:t xml:space="preserve">RECOMIENDA AL ESTADO DE </w:t>
      </w:r>
      <w:r w:rsidR="00B97402" w:rsidRPr="00683301">
        <w:rPr>
          <w:rFonts w:ascii="Cambria" w:hAnsi="Cambria"/>
          <w:b/>
          <w:sz w:val="20"/>
          <w:szCs w:val="20"/>
          <w:lang w:val="es-ES"/>
        </w:rPr>
        <w:t>ECUADOR</w:t>
      </w:r>
      <w:r w:rsidRPr="00683301">
        <w:rPr>
          <w:rFonts w:ascii="Cambria" w:hAnsi="Cambria"/>
          <w:b/>
          <w:sz w:val="20"/>
          <w:szCs w:val="20"/>
          <w:lang w:val="es-ES"/>
        </w:rPr>
        <w:t>:</w:t>
      </w:r>
    </w:p>
    <w:p w14:paraId="158B8CAD" w14:textId="77777777" w:rsidR="00E35039" w:rsidRPr="00683301" w:rsidRDefault="00E35039" w:rsidP="00B7712A">
      <w:pPr>
        <w:jc w:val="both"/>
        <w:rPr>
          <w:rFonts w:ascii="Cambria" w:hAnsi="Cambria"/>
          <w:b/>
          <w:sz w:val="20"/>
          <w:szCs w:val="20"/>
          <w:lang w:val="es-ES"/>
        </w:rPr>
      </w:pPr>
    </w:p>
    <w:p w14:paraId="25A08FCF" w14:textId="77777777" w:rsidR="001802A0" w:rsidRPr="00683301" w:rsidRDefault="001802A0" w:rsidP="00B771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1BB9AC34" w14:textId="77777777" w:rsidR="0073152E" w:rsidRPr="00683301" w:rsidRDefault="00A11409" w:rsidP="0073152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83301">
        <w:rPr>
          <w:rFonts w:ascii="Cambria" w:hAnsi="Cambria"/>
          <w:sz w:val="20"/>
          <w:szCs w:val="20"/>
          <w:lang w:val="es-ES"/>
        </w:rPr>
        <w:t xml:space="preserve">Reparar </w:t>
      </w:r>
      <w:r w:rsidR="00BA42B6" w:rsidRPr="00683301">
        <w:rPr>
          <w:rFonts w:ascii="Cambria" w:hAnsi="Cambria"/>
          <w:sz w:val="20"/>
          <w:szCs w:val="20"/>
          <w:lang w:val="es-ES"/>
        </w:rPr>
        <w:t>integralmente al señor Ramón Rosendo Carranza Alarcón</w:t>
      </w:r>
      <w:r w:rsidR="008853FC" w:rsidRPr="00683301">
        <w:rPr>
          <w:rFonts w:ascii="Cambria" w:hAnsi="Cambria"/>
          <w:sz w:val="20"/>
          <w:szCs w:val="20"/>
          <w:lang w:val="es-ES"/>
        </w:rPr>
        <w:t xml:space="preserve"> a través de</w:t>
      </w:r>
      <w:r w:rsidRPr="00683301">
        <w:rPr>
          <w:rFonts w:ascii="Cambria" w:hAnsi="Cambria"/>
          <w:sz w:val="20"/>
          <w:szCs w:val="20"/>
          <w:lang w:val="es-ES"/>
        </w:rPr>
        <w:t xml:space="preserve"> medidas que incluyan el daño material e inmaterial ocasionado a la víctima como consecuencia de las violaciones declaradas en el presente informe. </w:t>
      </w:r>
    </w:p>
    <w:p w14:paraId="3D0FFC9D" w14:textId="77777777" w:rsidR="0069546F" w:rsidRPr="00683301" w:rsidRDefault="0069546F" w:rsidP="006954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295AF5F1" w14:textId="77777777" w:rsidR="001802A0" w:rsidRPr="00683301" w:rsidRDefault="00A11409" w:rsidP="0073152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bookmarkStart w:id="31" w:name="_GoBack"/>
      <w:r w:rsidRPr="00683301">
        <w:rPr>
          <w:rFonts w:ascii="Cambria" w:hAnsi="Cambria"/>
          <w:sz w:val="20"/>
          <w:szCs w:val="20"/>
          <w:lang w:val="es-ES"/>
        </w:rPr>
        <w:t>Disponer las medidas</w:t>
      </w:r>
      <w:r w:rsidR="002819CB" w:rsidRPr="00683301">
        <w:rPr>
          <w:rFonts w:ascii="Cambria" w:hAnsi="Cambria"/>
          <w:sz w:val="20"/>
          <w:szCs w:val="20"/>
          <w:lang w:val="es-ES"/>
        </w:rPr>
        <w:t xml:space="preserve"> de no repetición necesarias para asegurar que tanto la normativa aplicable como las prácticas respectivas</w:t>
      </w:r>
      <w:r w:rsidR="00BA42B6" w:rsidRPr="00683301">
        <w:rPr>
          <w:rFonts w:ascii="Cambria" w:hAnsi="Cambria"/>
          <w:sz w:val="20"/>
          <w:szCs w:val="20"/>
          <w:lang w:val="es-ES"/>
        </w:rPr>
        <w:t xml:space="preserve"> en materia de detención preventiva, sean compatibles con los estándares establecidos en el presente informe. </w:t>
      </w:r>
      <w:bookmarkEnd w:id="31"/>
    </w:p>
    <w:sectPr w:rsidR="001802A0" w:rsidRPr="0068330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08A7F" w14:textId="77777777" w:rsidR="002B09B6" w:rsidRDefault="002B09B6">
      <w:r>
        <w:separator/>
      </w:r>
    </w:p>
  </w:endnote>
  <w:endnote w:type="continuationSeparator" w:id="0">
    <w:p w14:paraId="194E6079" w14:textId="77777777" w:rsidR="002B09B6" w:rsidRDefault="002B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6C7E" w14:textId="77777777" w:rsidR="0025354A" w:rsidRPr="00934A2C" w:rsidRDefault="0025354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80BF1">
      <w:rPr>
        <w:noProof/>
        <w:sz w:val="16"/>
        <w:szCs w:val="22"/>
      </w:rPr>
      <w:t>13</w:t>
    </w:r>
    <w:r w:rsidRPr="00934A2C">
      <w:rPr>
        <w:noProof/>
        <w:sz w:val="16"/>
        <w:szCs w:val="22"/>
      </w:rPr>
      <w:fldChar w:fldCharType="end"/>
    </w:r>
  </w:p>
  <w:p w14:paraId="44BDF105" w14:textId="77777777" w:rsidR="0025354A" w:rsidRDefault="00253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979C3" w14:textId="77777777" w:rsidR="0025354A" w:rsidRPr="00934A2C" w:rsidRDefault="0025354A">
    <w:pPr>
      <w:pStyle w:val="Footer"/>
      <w:jc w:val="center"/>
      <w:rPr>
        <w:sz w:val="16"/>
        <w:szCs w:val="22"/>
      </w:rPr>
    </w:pPr>
  </w:p>
  <w:p w14:paraId="678127D2" w14:textId="77777777" w:rsidR="0025354A" w:rsidRDefault="00253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B0736" w14:textId="77777777" w:rsidR="002B09B6" w:rsidRPr="007372D2" w:rsidRDefault="002B09B6">
      <w:pPr>
        <w:rPr>
          <w:rFonts w:ascii="Cambria" w:hAnsi="Cambria"/>
          <w:sz w:val="16"/>
          <w:szCs w:val="16"/>
        </w:rPr>
      </w:pPr>
      <w:r w:rsidRPr="007372D2">
        <w:rPr>
          <w:rFonts w:ascii="Cambria" w:hAnsi="Cambria"/>
          <w:sz w:val="16"/>
          <w:szCs w:val="16"/>
        </w:rPr>
        <w:separator/>
      </w:r>
    </w:p>
  </w:footnote>
  <w:footnote w:type="continuationSeparator" w:id="0">
    <w:p w14:paraId="52DCADAD" w14:textId="77777777" w:rsidR="002B09B6" w:rsidRPr="007372D2" w:rsidRDefault="002B09B6" w:rsidP="000F35ED">
      <w:pPr>
        <w:rPr>
          <w:rFonts w:ascii="Cambria" w:hAnsi="Cambria"/>
          <w:sz w:val="16"/>
          <w:szCs w:val="16"/>
        </w:rPr>
      </w:pPr>
      <w:r w:rsidRPr="007372D2">
        <w:rPr>
          <w:rFonts w:ascii="Cambria" w:hAnsi="Cambria"/>
          <w:sz w:val="16"/>
          <w:szCs w:val="16"/>
        </w:rPr>
        <w:separator/>
      </w:r>
    </w:p>
    <w:p w14:paraId="76FFA813" w14:textId="77777777" w:rsidR="002B09B6" w:rsidRPr="007372D2" w:rsidRDefault="002B09B6" w:rsidP="000F35ED">
      <w:pPr>
        <w:pStyle w:val="Footer"/>
        <w:rPr>
          <w:sz w:val="16"/>
          <w:szCs w:val="16"/>
        </w:rPr>
      </w:pPr>
      <w:r w:rsidRPr="007372D2">
        <w:rPr>
          <w:sz w:val="16"/>
          <w:szCs w:val="16"/>
        </w:rPr>
        <w:t>[… continuación]</w:t>
      </w:r>
    </w:p>
  </w:footnote>
  <w:footnote w:type="continuationNotice" w:id="1">
    <w:p w14:paraId="508C31F7" w14:textId="77777777" w:rsidR="002B09B6" w:rsidRPr="007372D2" w:rsidRDefault="002B09B6" w:rsidP="000F35ED">
      <w:pPr>
        <w:jc w:val="right"/>
        <w:rPr>
          <w:rFonts w:ascii="Cambria" w:hAnsi="Cambria"/>
          <w:sz w:val="16"/>
          <w:szCs w:val="16"/>
          <w:lang w:val="es-ES"/>
        </w:rPr>
      </w:pPr>
      <w:r w:rsidRPr="007372D2">
        <w:rPr>
          <w:rFonts w:ascii="Cambria" w:hAnsi="Cambria"/>
          <w:sz w:val="16"/>
          <w:szCs w:val="16"/>
          <w:lang w:val="es-ES"/>
        </w:rPr>
        <w:t>[continúa…]</w:t>
      </w:r>
    </w:p>
  </w:footnote>
  <w:footnote w:id="2">
    <w:p w14:paraId="2B15F7F5" w14:textId="77777777" w:rsidR="0025354A" w:rsidRPr="00683301" w:rsidRDefault="0025354A" w:rsidP="00683301">
      <w:pPr>
        <w:spacing w:before="120"/>
        <w:ind w:firstLine="720"/>
        <w:jc w:val="both"/>
        <w:rPr>
          <w:rFonts w:asciiTheme="majorHAnsi" w:hAnsiTheme="majorHAnsi"/>
          <w:sz w:val="16"/>
          <w:szCs w:val="16"/>
          <w:lang w:val="es-ES_tradnl"/>
        </w:rPr>
      </w:pPr>
      <w:r w:rsidRPr="00683301">
        <w:rPr>
          <w:rStyle w:val="FootnoteReference"/>
          <w:rFonts w:asciiTheme="majorHAnsi" w:hAnsiTheme="majorHAnsi"/>
          <w:sz w:val="16"/>
          <w:szCs w:val="16"/>
          <w:lang w:val="es-ES_tradnl"/>
        </w:rPr>
        <w:footnoteRef/>
      </w:r>
      <w:r w:rsidRPr="00683301">
        <w:rPr>
          <w:rFonts w:asciiTheme="majorHAnsi" w:hAnsiTheme="majorHAnsi"/>
          <w:sz w:val="16"/>
          <w:szCs w:val="16"/>
          <w:lang w:val="es-ES_tradnl"/>
        </w:rPr>
        <w:t xml:space="preserve"> CIDH, </w:t>
      </w:r>
      <w:hyperlink r:id="rId1" w:history="1">
        <w:r w:rsidRPr="00683301">
          <w:rPr>
            <w:rStyle w:val="Hyperlink"/>
            <w:rFonts w:asciiTheme="majorHAnsi" w:hAnsiTheme="majorHAnsi"/>
            <w:sz w:val="16"/>
            <w:szCs w:val="16"/>
            <w:u w:val="none"/>
            <w:lang w:val="es-ES_tradnl"/>
          </w:rPr>
          <w:t>Informe de admisibilidad No. 154/11</w:t>
        </w:r>
      </w:hyperlink>
      <w:r w:rsidRPr="00683301">
        <w:rPr>
          <w:rFonts w:asciiTheme="majorHAnsi" w:hAnsiTheme="majorHAnsi"/>
          <w:sz w:val="16"/>
          <w:szCs w:val="16"/>
          <w:lang w:val="es-ES_tradnl"/>
        </w:rPr>
        <w:t>, Caso 12.197, Ramón Rosendo Carranza Alarcón, Ecuador, 2 d</w:t>
      </w:r>
      <w:r w:rsidR="00542E67" w:rsidRPr="00683301">
        <w:rPr>
          <w:rFonts w:asciiTheme="majorHAnsi" w:hAnsiTheme="majorHAnsi"/>
          <w:sz w:val="16"/>
          <w:szCs w:val="16"/>
          <w:lang w:val="es-ES_tradnl"/>
        </w:rPr>
        <w:t xml:space="preserve">e noviembre de 2011. </w:t>
      </w:r>
    </w:p>
  </w:footnote>
  <w:footnote w:id="3">
    <w:p w14:paraId="04D62A81" w14:textId="3C21001C"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 </w:t>
      </w:r>
      <w:r w:rsidRPr="00683301">
        <w:rPr>
          <w:rFonts w:asciiTheme="majorHAnsi" w:hAnsiTheme="majorHAnsi"/>
          <w:color w:val="auto"/>
          <w:sz w:val="16"/>
          <w:szCs w:val="16"/>
          <w:lang w:val="es-ES_tradnl"/>
        </w:rPr>
        <w:t>Denuncia presentada por el señor Segundo Mariño Gamboa, hermano del señor Samuel Mariño a la Comisaria de la Policía Nacional del Cantón Yaguachi.  16 de agosto de 1993. Anexo de la comunicación del Estado el 15 de julio de 2016.</w:t>
      </w:r>
    </w:p>
  </w:footnote>
  <w:footnote w:id="4">
    <w:p w14:paraId="272948B1" w14:textId="24801079"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 </w:t>
      </w:r>
      <w:r w:rsidRPr="00683301">
        <w:rPr>
          <w:rFonts w:asciiTheme="majorHAnsi" w:hAnsiTheme="majorHAnsi"/>
          <w:color w:val="auto"/>
          <w:sz w:val="16"/>
          <w:szCs w:val="16"/>
          <w:lang w:val="es-ES_tradnl"/>
        </w:rPr>
        <w:t>Denuncia presentada por el señor Segundo Mariño Gamboa, hermano del señor Samuel Mariño a la Comisaria de la Policía Nacional del Cantón Yaguachi.  16 de agosto de 1993. Anexo de la comunicación del Estado el 15 de julio de 2016.</w:t>
      </w:r>
    </w:p>
  </w:footnote>
  <w:footnote w:id="5">
    <w:p w14:paraId="75D6801F" w14:textId="6004AF9F"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 </w:t>
      </w:r>
      <w:r w:rsidRPr="00683301">
        <w:rPr>
          <w:rFonts w:asciiTheme="majorHAnsi" w:hAnsiTheme="majorHAnsi"/>
          <w:color w:val="auto"/>
          <w:sz w:val="16"/>
          <w:szCs w:val="16"/>
          <w:lang w:val="es-ES_tradnl"/>
        </w:rPr>
        <w:t>Denuncia presentada por el señor Segundo Mariño Gamboa, hermano del señor Samuel Mariño a la Comisaria de la Policía Nacional del Cantón Yaguachi.  16 de agosto de 1993. Anexo de la comunicación del Estado el 15 de julio de 2016.</w:t>
      </w:r>
    </w:p>
  </w:footnote>
  <w:footnote w:id="6">
    <w:p w14:paraId="40FE0C97" w14:textId="2ED25369"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 </w:t>
      </w:r>
      <w:r w:rsidRPr="00683301">
        <w:rPr>
          <w:rFonts w:asciiTheme="majorHAnsi" w:hAnsiTheme="majorHAnsi"/>
          <w:color w:val="auto"/>
          <w:sz w:val="16"/>
          <w:szCs w:val="16"/>
          <w:lang w:val="es-ES_tradnl"/>
        </w:rPr>
        <w:t>Denuncia presentada por el señor Segundo Mariño Gamboa, hermano del señor Samuel Mariño a la Comisaria de la Policía Nacional del Cantón Yaguachi.  16 de agosto de 1993. Anexo de la comunicación del Estado el 15 de julio de 2016.</w:t>
      </w:r>
    </w:p>
  </w:footnote>
  <w:footnote w:id="7">
    <w:p w14:paraId="6D35C2E9" w14:textId="35817181"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2. </w:t>
      </w:r>
      <w:r w:rsidRPr="00683301">
        <w:rPr>
          <w:rFonts w:asciiTheme="majorHAnsi" w:hAnsiTheme="majorHAnsi"/>
          <w:color w:val="auto"/>
          <w:sz w:val="16"/>
          <w:szCs w:val="16"/>
          <w:lang w:val="es-ES_tradnl"/>
        </w:rPr>
        <w:t xml:space="preserve">Providencia de Instrucción del Sumario y Auto cabeza de proceso de la Comisaría de la Policía Nacional del Cantón Yaguachi.  17 de agosto de 1993. Anexo de la comunicación del Estado el 15 de julio de 2016. </w:t>
      </w:r>
    </w:p>
  </w:footnote>
  <w:footnote w:id="8">
    <w:p w14:paraId="42835E7A" w14:textId="47346C35"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3. </w:t>
      </w:r>
      <w:r w:rsidR="00E95853" w:rsidRPr="00683301">
        <w:rPr>
          <w:rFonts w:asciiTheme="majorHAnsi" w:hAnsiTheme="majorHAnsi"/>
          <w:color w:val="auto"/>
          <w:sz w:val="16"/>
          <w:szCs w:val="16"/>
          <w:lang w:val="es-ES_tradnl"/>
        </w:rPr>
        <w:t>Boleta de Prisión Preventiva de la Comisaría de la Policía Nacional del Cantón Yaguachi</w:t>
      </w:r>
      <w:r w:rsidRPr="00683301">
        <w:rPr>
          <w:rFonts w:asciiTheme="majorHAnsi" w:hAnsiTheme="majorHAnsi"/>
          <w:color w:val="auto"/>
          <w:sz w:val="16"/>
          <w:szCs w:val="16"/>
          <w:lang w:val="es-ES_tradnl"/>
        </w:rPr>
        <w:t xml:space="preserve">. 17 de agosto de 1993. Anexo de la comunicación del Estado el 15 de julio de 2016. </w:t>
      </w:r>
    </w:p>
  </w:footnote>
  <w:footnote w:id="9">
    <w:p w14:paraId="44CC55A5" w14:textId="3596ED0F"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4. </w:t>
      </w:r>
      <w:r w:rsidRPr="00683301">
        <w:rPr>
          <w:rFonts w:asciiTheme="majorHAnsi" w:hAnsiTheme="majorHAnsi"/>
          <w:color w:val="auto"/>
          <w:sz w:val="16"/>
          <w:szCs w:val="16"/>
          <w:lang w:val="es-ES_tradnl"/>
        </w:rPr>
        <w:t>Providencia de la  Comisaría de la Policía Nacional del Cantón Yaguachi. 1 de octubre de 1993. Anexo de la comunicación del Estado el 15 de julio de 2016.</w:t>
      </w:r>
    </w:p>
  </w:footnote>
  <w:footnote w:id="10">
    <w:p w14:paraId="6DFE8749" w14:textId="39C7478A"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5. </w:t>
      </w:r>
      <w:r w:rsidRPr="00683301">
        <w:rPr>
          <w:rFonts w:asciiTheme="majorHAnsi" w:hAnsiTheme="majorHAnsi"/>
          <w:color w:val="auto"/>
          <w:sz w:val="16"/>
          <w:szCs w:val="16"/>
          <w:lang w:val="es-ES_tradnl"/>
        </w:rPr>
        <w:t>Providencia del Juzgado 11º de lo Penal de Guayas. 28 de octubre de 1993. Anexo de la comunicación del Estado el 15 de julio de 2016.</w:t>
      </w:r>
    </w:p>
  </w:footnote>
  <w:footnote w:id="11">
    <w:p w14:paraId="5898EE62" w14:textId="30D05E9E"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5. </w:t>
      </w:r>
      <w:r w:rsidRPr="00683301">
        <w:rPr>
          <w:rFonts w:asciiTheme="majorHAnsi" w:hAnsiTheme="majorHAnsi"/>
          <w:color w:val="auto"/>
          <w:sz w:val="16"/>
          <w:szCs w:val="16"/>
          <w:lang w:val="es-ES_tradnl"/>
        </w:rPr>
        <w:t>Providencia del Juzgado 11º de lo Penal de Guayas. 28 de octubre de 1993. Anexo de la comunicación del Estado el 15 de julio de 2016.</w:t>
      </w:r>
    </w:p>
  </w:footnote>
  <w:footnote w:id="12">
    <w:p w14:paraId="7DFE10F8" w14:textId="5E92E9E4"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6. </w:t>
      </w:r>
      <w:r w:rsidRPr="00683301">
        <w:rPr>
          <w:rFonts w:asciiTheme="majorHAnsi" w:hAnsiTheme="majorHAnsi"/>
          <w:color w:val="auto"/>
          <w:sz w:val="16"/>
          <w:szCs w:val="16"/>
          <w:lang w:val="es-ES_tradnl"/>
        </w:rPr>
        <w:t>Petición inicial ante la CIDH el 5 de abril de 1998.</w:t>
      </w:r>
    </w:p>
  </w:footnote>
  <w:footnote w:id="13">
    <w:p w14:paraId="16DE0577" w14:textId="63DF39BA"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6. </w:t>
      </w:r>
      <w:r w:rsidRPr="00683301">
        <w:rPr>
          <w:rFonts w:asciiTheme="majorHAnsi" w:hAnsiTheme="majorHAnsi"/>
          <w:color w:val="auto"/>
          <w:sz w:val="16"/>
          <w:szCs w:val="16"/>
          <w:lang w:val="es-ES_tradnl"/>
        </w:rPr>
        <w:t>Petición inicial ante la CIDH el 5 de abril de 1998.</w:t>
      </w:r>
    </w:p>
  </w:footnote>
  <w:footnote w:id="14">
    <w:p w14:paraId="5E845403" w14:textId="05B68471"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6. </w:t>
      </w:r>
      <w:r w:rsidRPr="00683301">
        <w:rPr>
          <w:rFonts w:asciiTheme="majorHAnsi" w:hAnsiTheme="majorHAnsi"/>
          <w:color w:val="auto"/>
          <w:sz w:val="16"/>
          <w:szCs w:val="16"/>
          <w:lang w:val="es-ES_tradnl"/>
        </w:rPr>
        <w:t>Petición inicial ante la CIDH el 5 de abril de 1998.</w:t>
      </w:r>
    </w:p>
  </w:footnote>
  <w:footnote w:id="15">
    <w:p w14:paraId="1597D042" w14:textId="46039DCB"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6. </w:t>
      </w:r>
      <w:r w:rsidRPr="00683301">
        <w:rPr>
          <w:rFonts w:asciiTheme="majorHAnsi" w:hAnsiTheme="majorHAnsi"/>
          <w:color w:val="auto"/>
          <w:sz w:val="16"/>
          <w:szCs w:val="16"/>
          <w:lang w:val="es-ES_tradnl"/>
        </w:rPr>
        <w:t>Petición inicial ante la CIDH el 5 de abril de 1998.</w:t>
      </w:r>
    </w:p>
  </w:footnote>
  <w:footnote w:id="16">
    <w:p w14:paraId="7C1D2D4B" w14:textId="56BACDE9"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7. </w:t>
      </w:r>
      <w:r w:rsidR="00E95853" w:rsidRPr="00683301">
        <w:rPr>
          <w:rFonts w:asciiTheme="majorHAnsi" w:hAnsiTheme="majorHAnsi"/>
          <w:color w:val="auto"/>
          <w:sz w:val="16"/>
          <w:szCs w:val="16"/>
          <w:lang w:val="es-ES_tradnl"/>
        </w:rPr>
        <w:t xml:space="preserve">Escrito presentado por el señor Ramón Rosendo Carranza Alarcón ante el Juzgado 11º </w:t>
      </w:r>
      <w:r w:rsidRPr="00683301">
        <w:rPr>
          <w:rFonts w:asciiTheme="majorHAnsi" w:hAnsiTheme="majorHAnsi"/>
          <w:color w:val="auto"/>
          <w:sz w:val="16"/>
          <w:szCs w:val="16"/>
          <w:lang w:val="es-ES_tradnl"/>
        </w:rPr>
        <w:t>de lo Penal del Guayas de 6 de diciembre de 1994. Anexo de la Comunicación de Estado el 15 de julio de 2016.</w:t>
      </w:r>
    </w:p>
  </w:footnote>
  <w:footnote w:id="17">
    <w:p w14:paraId="065F94BB" w14:textId="577A3A7C"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8. </w:t>
      </w:r>
      <w:r w:rsidRPr="00683301">
        <w:rPr>
          <w:rFonts w:asciiTheme="majorHAnsi" w:hAnsiTheme="majorHAnsi"/>
          <w:color w:val="auto"/>
          <w:sz w:val="16"/>
          <w:szCs w:val="16"/>
          <w:lang w:val="es-ES_tradnl"/>
        </w:rPr>
        <w:t xml:space="preserve">Comunicación del Estado el 15 de julio de 2016. </w:t>
      </w:r>
    </w:p>
  </w:footnote>
  <w:footnote w:id="18">
    <w:p w14:paraId="1BD96E6D" w14:textId="04E0C6EA"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9. </w:t>
      </w:r>
      <w:r w:rsidRPr="00683301">
        <w:rPr>
          <w:rFonts w:asciiTheme="majorHAnsi" w:hAnsiTheme="majorHAnsi"/>
          <w:color w:val="auto"/>
          <w:sz w:val="16"/>
          <w:szCs w:val="16"/>
          <w:lang w:val="es-ES_tradnl"/>
        </w:rPr>
        <w:t>Testimonio Indagatorio del señor Ramón Rosendo Carranza en el  Juzgado 11º de lo Penal del Guayas. 25 de agosto de 1995. Anexo de la comunicación del Estado el 15 de julio de 2016.</w:t>
      </w:r>
    </w:p>
  </w:footnote>
  <w:footnote w:id="19">
    <w:p w14:paraId="7F6E10AE" w14:textId="0EE5C32E"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10. </w:t>
      </w:r>
      <w:r w:rsidRPr="00683301">
        <w:rPr>
          <w:rFonts w:asciiTheme="majorHAnsi" w:hAnsiTheme="majorHAnsi"/>
          <w:color w:val="auto"/>
          <w:sz w:val="16"/>
          <w:szCs w:val="16"/>
          <w:lang w:val="es-ES_tradnl"/>
        </w:rPr>
        <w:t xml:space="preserve">Escrito al </w:t>
      </w:r>
      <w:r w:rsidRPr="00683301">
        <w:rPr>
          <w:rFonts w:asciiTheme="majorHAnsi" w:hAnsiTheme="majorHAnsi" w:cs="Arial"/>
          <w:color w:val="auto"/>
          <w:sz w:val="16"/>
          <w:szCs w:val="16"/>
          <w:lang w:val="es-ES_tradnl"/>
        </w:rPr>
        <w:t>Juzgado 11º de lo Penal del Guayas, 11 de septiembre de 2005. Anexo a la petición inicial.</w:t>
      </w:r>
    </w:p>
  </w:footnote>
  <w:footnote w:id="20">
    <w:p w14:paraId="3C82CF2F" w14:textId="1F7D77A8"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11. </w:t>
      </w:r>
      <w:r w:rsidRPr="00683301">
        <w:rPr>
          <w:rFonts w:asciiTheme="majorHAnsi" w:hAnsiTheme="majorHAnsi"/>
          <w:color w:val="auto"/>
          <w:sz w:val="16"/>
          <w:szCs w:val="16"/>
          <w:lang w:val="es-ES_tradnl"/>
        </w:rPr>
        <w:t>Cierre del Sumario en el Juzgado 11º de lo Penal del Guayas. 30 de septiembre de 1996. Anexo de la comunicación del Estado el 15 de julio de 2016.</w:t>
      </w:r>
    </w:p>
  </w:footnote>
  <w:footnote w:id="21">
    <w:p w14:paraId="01530E2D" w14:textId="59E6ACDE"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12. </w:t>
      </w:r>
      <w:r w:rsidRPr="00683301">
        <w:rPr>
          <w:rFonts w:asciiTheme="majorHAnsi" w:hAnsiTheme="majorHAnsi"/>
          <w:color w:val="auto"/>
          <w:sz w:val="16"/>
          <w:szCs w:val="16"/>
          <w:lang w:val="es-ES_tradnl"/>
        </w:rPr>
        <w:t>Ministerio Público. Dictamen Acusatorio. 4 de marzo de 1997. Anexo de la comunicación del Estado el 15 de julio de 2016.</w:t>
      </w:r>
    </w:p>
  </w:footnote>
  <w:footnote w:id="22">
    <w:p w14:paraId="6A538E7D" w14:textId="0182B564"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13. </w:t>
      </w:r>
      <w:r w:rsidRPr="00683301">
        <w:rPr>
          <w:rFonts w:asciiTheme="majorHAnsi" w:hAnsiTheme="majorHAnsi"/>
          <w:color w:val="auto"/>
          <w:sz w:val="16"/>
          <w:szCs w:val="16"/>
          <w:lang w:val="es-ES_tradnl"/>
        </w:rPr>
        <w:t>Apertura del Plenario del Juzgado 11º de lo Penal del Guayas. 14 de abril de 1997. Anexo de la comunicación del Estado el 15 de julio de 2016.</w:t>
      </w:r>
    </w:p>
  </w:footnote>
  <w:footnote w:id="23">
    <w:p w14:paraId="228E4FD1" w14:textId="37776C56"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13. </w:t>
      </w:r>
      <w:r w:rsidRPr="00683301">
        <w:rPr>
          <w:rFonts w:asciiTheme="majorHAnsi" w:hAnsiTheme="majorHAnsi"/>
          <w:color w:val="auto"/>
          <w:sz w:val="16"/>
          <w:szCs w:val="16"/>
          <w:lang w:val="es-ES_tradnl"/>
        </w:rPr>
        <w:t>Apertura del Plenario del Juzgado 11º de lo Penal del Guayas. 14 de abril de 1997. Anexo de la comunicación del Estado el 15 de julio de 2016.</w:t>
      </w:r>
    </w:p>
  </w:footnote>
  <w:footnote w:id="24">
    <w:p w14:paraId="4898D446" w14:textId="5989720C"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14. </w:t>
      </w:r>
      <w:r w:rsidRPr="00683301">
        <w:rPr>
          <w:rFonts w:asciiTheme="majorHAnsi" w:hAnsiTheme="majorHAnsi"/>
          <w:color w:val="auto"/>
          <w:sz w:val="16"/>
          <w:szCs w:val="16"/>
          <w:lang w:val="es-ES_tradnl"/>
        </w:rPr>
        <w:t>Audiencia Pública del Cuarto Tribunal Penal del Guayas. 1 de diciembre de 1998. Anexo de la comunicación del Estado el 15 de julio de 2016.</w:t>
      </w:r>
    </w:p>
  </w:footnote>
  <w:footnote w:id="25">
    <w:p w14:paraId="2A1468FB" w14:textId="0A6963C1"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14. </w:t>
      </w:r>
      <w:r w:rsidRPr="00683301">
        <w:rPr>
          <w:rFonts w:asciiTheme="majorHAnsi" w:hAnsiTheme="majorHAnsi"/>
          <w:color w:val="auto"/>
          <w:sz w:val="16"/>
          <w:szCs w:val="16"/>
          <w:lang w:val="es-ES_tradnl"/>
        </w:rPr>
        <w:t>Audiencia Pública del Cuarto Tribunal Penal del Guayas. 1 de diciembre de 1998. Anexo de la comunicación del Estado el 15 de julio de 2016.</w:t>
      </w:r>
    </w:p>
  </w:footnote>
  <w:footnote w:id="26">
    <w:p w14:paraId="6C0C4012" w14:textId="0824879B"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14. </w:t>
      </w:r>
      <w:r w:rsidRPr="00683301">
        <w:rPr>
          <w:rFonts w:asciiTheme="majorHAnsi" w:hAnsiTheme="majorHAnsi"/>
          <w:color w:val="auto"/>
          <w:sz w:val="16"/>
          <w:szCs w:val="16"/>
          <w:lang w:val="es-ES_tradnl"/>
        </w:rPr>
        <w:t>Audiencia Pública del Cuarto Tribunal Penal del Guayas. 1 de diciembre de 1998. Anexo de la comunicación del Estado el 15 de julio de 2016.</w:t>
      </w:r>
    </w:p>
  </w:footnote>
  <w:footnote w:id="27">
    <w:p w14:paraId="2D02D90B" w14:textId="64762176" w:rsidR="0025354A" w:rsidRPr="00683301" w:rsidRDefault="0025354A" w:rsidP="00E95853">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6. </w:t>
      </w:r>
      <w:r w:rsidR="00E95853" w:rsidRPr="00683301">
        <w:rPr>
          <w:rFonts w:asciiTheme="majorHAnsi" w:hAnsiTheme="majorHAnsi"/>
          <w:color w:val="auto"/>
          <w:sz w:val="16"/>
          <w:szCs w:val="16"/>
          <w:lang w:val="es-ES_tradnl"/>
        </w:rPr>
        <w:t>Petición inicial ante la CIDH el 5 de abril de 1998.</w:t>
      </w:r>
    </w:p>
  </w:footnote>
  <w:footnote w:id="28">
    <w:p w14:paraId="614D410D" w14:textId="34163C38"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15. </w:t>
      </w:r>
      <w:r w:rsidRPr="00683301">
        <w:rPr>
          <w:rFonts w:asciiTheme="majorHAnsi" w:hAnsiTheme="majorHAnsi"/>
          <w:color w:val="auto"/>
          <w:sz w:val="16"/>
          <w:szCs w:val="16"/>
          <w:lang w:val="es-ES_tradnl"/>
        </w:rPr>
        <w:t>Sentencia del Cuarto Tribunal Penal del Guayas. 15 de diciembre de 1998. Anexo de la comunicación del Estado el 15 de julio de 2016.</w:t>
      </w:r>
    </w:p>
  </w:footnote>
  <w:footnote w:id="29">
    <w:p w14:paraId="6BC5898E" w14:textId="6423AC2D"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ES"/>
        </w:rPr>
        <w:t xml:space="preserve"> </w:t>
      </w:r>
      <w:r w:rsidR="00E95853">
        <w:rPr>
          <w:rFonts w:asciiTheme="majorHAnsi" w:hAnsiTheme="majorHAnsi"/>
          <w:color w:val="auto"/>
          <w:sz w:val="16"/>
          <w:szCs w:val="16"/>
          <w:lang w:val="es-ES_tradnl"/>
        </w:rPr>
        <w:t xml:space="preserve">Anexo 15. </w:t>
      </w:r>
      <w:r w:rsidRPr="00683301">
        <w:rPr>
          <w:rFonts w:asciiTheme="majorHAnsi" w:hAnsiTheme="majorHAnsi"/>
          <w:color w:val="auto"/>
          <w:sz w:val="16"/>
          <w:szCs w:val="16"/>
          <w:lang w:val="es-ES_tradnl"/>
        </w:rPr>
        <w:t>Sentencia del Cuarto Tribunal Penal del Guayas. 15 de diciembre de 1998. Anexo de la comunicación del Estado el 15 de julio de 2016.</w:t>
      </w:r>
    </w:p>
  </w:footnote>
  <w:footnote w:id="30">
    <w:p w14:paraId="143AF3C4" w14:textId="47913514"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ES"/>
        </w:rPr>
        <w:t xml:space="preserve"> </w:t>
      </w:r>
      <w:r w:rsidR="00E95853">
        <w:rPr>
          <w:rFonts w:asciiTheme="majorHAnsi" w:hAnsiTheme="majorHAnsi"/>
          <w:color w:val="auto"/>
          <w:sz w:val="16"/>
          <w:szCs w:val="16"/>
          <w:lang w:val="es-ES_tradnl"/>
        </w:rPr>
        <w:t xml:space="preserve">Anexo 15. </w:t>
      </w:r>
      <w:r w:rsidRPr="00683301">
        <w:rPr>
          <w:rFonts w:asciiTheme="majorHAnsi" w:hAnsiTheme="majorHAnsi"/>
          <w:color w:val="auto"/>
          <w:sz w:val="16"/>
          <w:szCs w:val="16"/>
          <w:lang w:val="es-ES_tradnl"/>
        </w:rPr>
        <w:t>Sentencia del Cuarto Tribunal Penal del Guayas. 15 de diciembre de 1998. Anexo de la comunicación del Estado el 15 de julio de 2016.</w:t>
      </w:r>
    </w:p>
  </w:footnote>
  <w:footnote w:id="31">
    <w:p w14:paraId="34A65E53" w14:textId="28AE2E56" w:rsidR="0025354A" w:rsidRPr="00683301" w:rsidRDefault="0025354A"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lang w:val="es-ES_tradnl"/>
        </w:rPr>
        <w:footnoteRef/>
      </w:r>
      <w:r w:rsidRPr="00683301">
        <w:rPr>
          <w:rFonts w:asciiTheme="majorHAnsi" w:hAnsiTheme="majorHAnsi"/>
          <w:color w:val="auto"/>
          <w:sz w:val="16"/>
          <w:szCs w:val="16"/>
          <w:lang w:val="es-ES_tradnl"/>
        </w:rPr>
        <w:t xml:space="preserve"> </w:t>
      </w:r>
      <w:r w:rsidR="00E95853">
        <w:rPr>
          <w:rFonts w:asciiTheme="majorHAnsi" w:hAnsiTheme="majorHAnsi"/>
          <w:color w:val="auto"/>
          <w:sz w:val="16"/>
          <w:szCs w:val="16"/>
          <w:lang w:val="es-ES_tradnl"/>
        </w:rPr>
        <w:t xml:space="preserve">Anexo 15. </w:t>
      </w:r>
      <w:r w:rsidRPr="00683301">
        <w:rPr>
          <w:rFonts w:asciiTheme="majorHAnsi" w:hAnsiTheme="majorHAnsi"/>
          <w:color w:val="auto"/>
          <w:sz w:val="16"/>
          <w:szCs w:val="16"/>
          <w:lang w:val="es-ES_tradnl"/>
        </w:rPr>
        <w:t>Sentencia del Cuarto Tribunal Penal del Guayas. 15 de diciembre de 1998. Anexo de la comunicación del Estado el 15 de julio de 2016.</w:t>
      </w:r>
    </w:p>
  </w:footnote>
  <w:footnote w:id="32">
    <w:p w14:paraId="6D7D71DD" w14:textId="77777777" w:rsidR="00613832" w:rsidRPr="00683301" w:rsidRDefault="00613832" w:rsidP="00683301">
      <w:pPr>
        <w:spacing w:before="120"/>
        <w:ind w:firstLine="720"/>
        <w:jc w:val="both"/>
        <w:rPr>
          <w:rFonts w:asciiTheme="majorHAnsi" w:hAnsiTheme="majorHAnsi"/>
          <w:sz w:val="16"/>
          <w:szCs w:val="16"/>
          <w:lang w:val="es-ES_tradnl"/>
        </w:rPr>
      </w:pPr>
      <w:r w:rsidRPr="00683301">
        <w:rPr>
          <w:rStyle w:val="FootnoteReference"/>
          <w:rFonts w:asciiTheme="majorHAnsi" w:hAnsiTheme="majorHAnsi"/>
          <w:sz w:val="16"/>
          <w:szCs w:val="16"/>
          <w:lang w:val="es-ES_tradnl"/>
        </w:rPr>
        <w:footnoteRef/>
      </w:r>
      <w:r w:rsidRPr="00683301">
        <w:rPr>
          <w:rFonts w:asciiTheme="majorHAnsi" w:hAnsiTheme="majorHAnsi"/>
          <w:sz w:val="16"/>
          <w:szCs w:val="16"/>
          <w:lang w:val="es-ES_tradnl"/>
        </w:rPr>
        <w:t xml:space="preserve"> CIDH, </w:t>
      </w:r>
      <w:r w:rsidR="00280BF1">
        <w:fldChar w:fldCharType="begin"/>
      </w:r>
      <w:r w:rsidR="00280BF1" w:rsidRPr="00245E5F">
        <w:rPr>
          <w:lang w:val="es-ES"/>
        </w:rPr>
        <w:instrText xml:space="preserve"> HYPERLINK "http://www.oas.org/es/cidh/decisiones/2011/ECAD12197ES.doc" </w:instrText>
      </w:r>
      <w:r w:rsidR="00280BF1">
        <w:fldChar w:fldCharType="separate"/>
      </w:r>
      <w:r w:rsidRPr="00683301">
        <w:rPr>
          <w:rStyle w:val="Hyperlink"/>
          <w:rFonts w:asciiTheme="majorHAnsi" w:hAnsiTheme="majorHAnsi"/>
          <w:sz w:val="16"/>
          <w:szCs w:val="16"/>
          <w:u w:val="none"/>
          <w:lang w:val="es-ES_tradnl"/>
        </w:rPr>
        <w:t>Informe de admisibilidad No. 154/11</w:t>
      </w:r>
      <w:r w:rsidR="00280BF1">
        <w:rPr>
          <w:rStyle w:val="Hyperlink"/>
          <w:rFonts w:asciiTheme="majorHAnsi" w:hAnsiTheme="majorHAnsi"/>
          <w:sz w:val="16"/>
          <w:szCs w:val="16"/>
          <w:u w:val="none"/>
          <w:lang w:val="es-ES_tradnl"/>
        </w:rPr>
        <w:fldChar w:fldCharType="end"/>
      </w:r>
      <w:r w:rsidRPr="00683301">
        <w:rPr>
          <w:rFonts w:asciiTheme="majorHAnsi" w:hAnsiTheme="majorHAnsi"/>
          <w:sz w:val="16"/>
          <w:szCs w:val="16"/>
          <w:lang w:val="es-ES_tradnl"/>
        </w:rPr>
        <w:t>, Caso 12.197, Ramón Rosendo Carranza Alarcón, E</w:t>
      </w:r>
      <w:r w:rsidR="00542E67" w:rsidRPr="00683301">
        <w:rPr>
          <w:rFonts w:asciiTheme="majorHAnsi" w:hAnsiTheme="majorHAnsi"/>
          <w:sz w:val="16"/>
          <w:szCs w:val="16"/>
          <w:lang w:val="es-ES_tradnl"/>
        </w:rPr>
        <w:t>cuador, 2 de noviembre de 2011, párrs.</w:t>
      </w:r>
      <w:r w:rsidRPr="00683301">
        <w:rPr>
          <w:rFonts w:asciiTheme="majorHAnsi" w:hAnsiTheme="majorHAnsi"/>
          <w:sz w:val="16"/>
          <w:szCs w:val="16"/>
          <w:lang w:val="es-ES_tradnl"/>
        </w:rPr>
        <w:t xml:space="preserve"> 20-22. </w:t>
      </w:r>
    </w:p>
  </w:footnote>
  <w:footnote w:id="33">
    <w:p w14:paraId="008611B7" w14:textId="77777777" w:rsidR="00251EAE" w:rsidRPr="00683301" w:rsidRDefault="00251EAE" w:rsidP="00683301">
      <w:pPr>
        <w:spacing w:before="120"/>
        <w:ind w:firstLine="720"/>
        <w:jc w:val="both"/>
        <w:rPr>
          <w:rFonts w:asciiTheme="majorHAnsi" w:hAnsiTheme="majorHAnsi"/>
          <w:sz w:val="16"/>
          <w:szCs w:val="16"/>
          <w:lang w:val="es-ES_tradnl"/>
        </w:rPr>
      </w:pPr>
      <w:r w:rsidRPr="00683301">
        <w:rPr>
          <w:rStyle w:val="FootnoteReference"/>
          <w:rFonts w:asciiTheme="majorHAnsi" w:hAnsiTheme="majorHAnsi"/>
          <w:sz w:val="16"/>
          <w:szCs w:val="16"/>
          <w:lang w:val="es-ES_tradnl"/>
        </w:rPr>
        <w:footnoteRef/>
      </w:r>
      <w:r w:rsidRPr="00683301">
        <w:rPr>
          <w:rFonts w:asciiTheme="majorHAnsi" w:hAnsiTheme="majorHAnsi"/>
          <w:sz w:val="16"/>
          <w:szCs w:val="16"/>
          <w:lang w:val="es-ES_tradnl"/>
        </w:rPr>
        <w:t xml:space="preserve"> CIDH, </w:t>
      </w:r>
      <w:r w:rsidR="00280BF1">
        <w:fldChar w:fldCharType="begin"/>
      </w:r>
      <w:r w:rsidR="00280BF1" w:rsidRPr="00245E5F">
        <w:rPr>
          <w:lang w:val="es-ES"/>
        </w:rPr>
        <w:instrText xml:space="preserve"> HYPERLINK "http://www.oas.org/es/cidh/decisiones/2011/ECAD12197ES.doc" </w:instrText>
      </w:r>
      <w:r w:rsidR="00280BF1">
        <w:fldChar w:fldCharType="separate"/>
      </w:r>
      <w:r w:rsidRPr="00683301">
        <w:rPr>
          <w:rStyle w:val="Hyperlink"/>
          <w:rFonts w:asciiTheme="majorHAnsi" w:hAnsiTheme="majorHAnsi"/>
          <w:sz w:val="16"/>
          <w:szCs w:val="16"/>
          <w:u w:val="none"/>
          <w:lang w:val="es-ES_tradnl"/>
        </w:rPr>
        <w:t>Informe de admisibilidad No. 154/11</w:t>
      </w:r>
      <w:r w:rsidR="00280BF1">
        <w:rPr>
          <w:rStyle w:val="Hyperlink"/>
          <w:rFonts w:asciiTheme="majorHAnsi" w:hAnsiTheme="majorHAnsi"/>
          <w:sz w:val="16"/>
          <w:szCs w:val="16"/>
          <w:u w:val="none"/>
          <w:lang w:val="es-ES_tradnl"/>
        </w:rPr>
        <w:fldChar w:fldCharType="end"/>
      </w:r>
      <w:r w:rsidRPr="00683301">
        <w:rPr>
          <w:rFonts w:asciiTheme="majorHAnsi" w:hAnsiTheme="majorHAnsi"/>
          <w:sz w:val="16"/>
          <w:szCs w:val="16"/>
          <w:lang w:val="es-ES_tradnl"/>
        </w:rPr>
        <w:t>, Caso 12.197, Ramón Rosendo Carranza Alarcón, E</w:t>
      </w:r>
      <w:r w:rsidR="00542E67" w:rsidRPr="00683301">
        <w:rPr>
          <w:rFonts w:asciiTheme="majorHAnsi" w:hAnsiTheme="majorHAnsi"/>
          <w:sz w:val="16"/>
          <w:szCs w:val="16"/>
          <w:lang w:val="es-ES_tradnl"/>
        </w:rPr>
        <w:t>cuador, 2 de noviembre de 2011, p</w:t>
      </w:r>
      <w:r w:rsidRPr="00683301">
        <w:rPr>
          <w:rFonts w:asciiTheme="majorHAnsi" w:hAnsiTheme="majorHAnsi"/>
          <w:sz w:val="16"/>
          <w:szCs w:val="16"/>
          <w:lang w:val="es-ES_tradnl"/>
        </w:rPr>
        <w:t>á</w:t>
      </w:r>
      <w:r w:rsidR="002302D7" w:rsidRPr="00683301">
        <w:rPr>
          <w:rFonts w:asciiTheme="majorHAnsi" w:hAnsiTheme="majorHAnsi"/>
          <w:sz w:val="16"/>
          <w:szCs w:val="16"/>
          <w:lang w:val="es-ES_tradnl"/>
        </w:rPr>
        <w:t>rr. 27.</w:t>
      </w:r>
      <w:r w:rsidRPr="00683301">
        <w:rPr>
          <w:rFonts w:asciiTheme="majorHAnsi" w:hAnsiTheme="majorHAnsi"/>
          <w:sz w:val="16"/>
          <w:szCs w:val="16"/>
          <w:lang w:val="es-ES_tradnl"/>
        </w:rPr>
        <w:t xml:space="preserve"> </w:t>
      </w:r>
    </w:p>
  </w:footnote>
  <w:footnote w:id="34">
    <w:p w14:paraId="326258A5" w14:textId="77777777" w:rsidR="00251EAE" w:rsidRPr="00683301" w:rsidRDefault="00251EAE" w:rsidP="00683301">
      <w:pPr>
        <w:spacing w:before="120"/>
        <w:ind w:firstLine="720"/>
        <w:jc w:val="both"/>
        <w:rPr>
          <w:rFonts w:asciiTheme="majorHAnsi" w:hAnsiTheme="majorHAnsi"/>
          <w:sz w:val="16"/>
          <w:szCs w:val="16"/>
          <w:lang w:val="es-ES_tradnl"/>
        </w:rPr>
      </w:pPr>
      <w:r w:rsidRPr="00683301">
        <w:rPr>
          <w:rStyle w:val="FootnoteReference"/>
          <w:rFonts w:asciiTheme="majorHAnsi" w:hAnsiTheme="majorHAnsi"/>
          <w:sz w:val="16"/>
          <w:szCs w:val="16"/>
          <w:lang w:val="es-ES_tradnl"/>
        </w:rPr>
        <w:footnoteRef/>
      </w:r>
      <w:r w:rsidRPr="00683301">
        <w:rPr>
          <w:rFonts w:asciiTheme="majorHAnsi" w:hAnsiTheme="majorHAnsi"/>
          <w:sz w:val="16"/>
          <w:szCs w:val="16"/>
          <w:lang w:val="es-ES_tradnl"/>
        </w:rPr>
        <w:t xml:space="preserve"> CIDH, </w:t>
      </w:r>
      <w:r w:rsidR="00280BF1">
        <w:fldChar w:fldCharType="begin"/>
      </w:r>
      <w:r w:rsidR="00280BF1" w:rsidRPr="00245E5F">
        <w:rPr>
          <w:lang w:val="es-ES"/>
        </w:rPr>
        <w:instrText xml:space="preserve"> HYPERLINK "http://www.oas.org/es/cidh/decision</w:instrText>
      </w:r>
      <w:r w:rsidR="00280BF1" w:rsidRPr="00245E5F">
        <w:rPr>
          <w:lang w:val="es-ES"/>
        </w:rPr>
        <w:instrText xml:space="preserve">es/2011/ECAD12197ES.doc" </w:instrText>
      </w:r>
      <w:r w:rsidR="00280BF1">
        <w:fldChar w:fldCharType="separate"/>
      </w:r>
      <w:r w:rsidRPr="00683301">
        <w:rPr>
          <w:rStyle w:val="Hyperlink"/>
          <w:rFonts w:asciiTheme="majorHAnsi" w:hAnsiTheme="majorHAnsi"/>
          <w:sz w:val="16"/>
          <w:szCs w:val="16"/>
          <w:u w:val="none"/>
          <w:lang w:val="es-ES_tradnl"/>
        </w:rPr>
        <w:t>Informe de admisibilidad No. 154/11</w:t>
      </w:r>
      <w:r w:rsidR="00280BF1">
        <w:rPr>
          <w:rStyle w:val="Hyperlink"/>
          <w:rFonts w:asciiTheme="majorHAnsi" w:hAnsiTheme="majorHAnsi"/>
          <w:sz w:val="16"/>
          <w:szCs w:val="16"/>
          <w:u w:val="none"/>
          <w:lang w:val="es-ES_tradnl"/>
        </w:rPr>
        <w:fldChar w:fldCharType="end"/>
      </w:r>
      <w:r w:rsidRPr="00683301">
        <w:rPr>
          <w:rFonts w:asciiTheme="majorHAnsi" w:hAnsiTheme="majorHAnsi"/>
          <w:sz w:val="16"/>
          <w:szCs w:val="16"/>
          <w:lang w:val="es-ES_tradnl"/>
        </w:rPr>
        <w:t>, Caso 12.197, Ramón Rosendo Carranza Alarcón, E</w:t>
      </w:r>
      <w:r w:rsidR="00542E67" w:rsidRPr="00683301">
        <w:rPr>
          <w:rFonts w:asciiTheme="majorHAnsi" w:hAnsiTheme="majorHAnsi"/>
          <w:sz w:val="16"/>
          <w:szCs w:val="16"/>
          <w:lang w:val="es-ES_tradnl"/>
        </w:rPr>
        <w:t>cuador, 2 de noviembre de 2011, p</w:t>
      </w:r>
      <w:r w:rsidRPr="00683301">
        <w:rPr>
          <w:rFonts w:asciiTheme="majorHAnsi" w:hAnsiTheme="majorHAnsi"/>
          <w:sz w:val="16"/>
          <w:szCs w:val="16"/>
          <w:lang w:val="es-ES_tradnl"/>
        </w:rPr>
        <w:t>á</w:t>
      </w:r>
      <w:r w:rsidR="002302D7" w:rsidRPr="00683301">
        <w:rPr>
          <w:rFonts w:asciiTheme="majorHAnsi" w:hAnsiTheme="majorHAnsi"/>
          <w:sz w:val="16"/>
          <w:szCs w:val="16"/>
          <w:lang w:val="es-ES_tradnl"/>
        </w:rPr>
        <w:t>rr. 29.</w:t>
      </w:r>
    </w:p>
  </w:footnote>
  <w:footnote w:id="35">
    <w:p w14:paraId="01EF9082" w14:textId="504D1104" w:rsidR="00FE43A8" w:rsidRPr="00683301" w:rsidRDefault="00FE43A8" w:rsidP="00683301">
      <w:pPr>
        <w:spacing w:before="120"/>
        <w:ind w:firstLine="720"/>
        <w:jc w:val="both"/>
        <w:rPr>
          <w:rFonts w:asciiTheme="majorHAnsi" w:hAnsiTheme="majorHAnsi" w:cs="Times"/>
          <w:sz w:val="16"/>
          <w:szCs w:val="16"/>
          <w:lang w:val="es-CO"/>
        </w:rPr>
      </w:pPr>
      <w:r w:rsidRPr="00683301">
        <w:rPr>
          <w:rStyle w:val="FootnoteReference"/>
          <w:rFonts w:asciiTheme="majorHAnsi" w:hAnsiTheme="majorHAnsi"/>
          <w:sz w:val="16"/>
          <w:szCs w:val="16"/>
        </w:rPr>
        <w:footnoteRef/>
      </w:r>
      <w:r w:rsidRPr="00683301">
        <w:rPr>
          <w:rFonts w:asciiTheme="majorHAnsi" w:hAnsiTheme="majorHAnsi"/>
          <w:sz w:val="16"/>
          <w:szCs w:val="16"/>
          <w:lang w:val="es-CO"/>
        </w:rPr>
        <w:t xml:space="preserve"> CIDH. </w:t>
      </w:r>
      <w:r w:rsidR="00280BF1">
        <w:fldChar w:fldCharType="begin"/>
      </w:r>
      <w:r w:rsidR="00280BF1" w:rsidRPr="00245E5F">
        <w:rPr>
          <w:lang w:val="es-ES"/>
        </w:rPr>
        <w:instrText xml:space="preserve"> HYPERLINK "http://www.oas.org/es/cidh/ppl/informes/pdfs/Informe-PP-2013-es.pdf" </w:instrText>
      </w:r>
      <w:r w:rsidR="00280BF1">
        <w:fldChar w:fldCharType="separate"/>
      </w:r>
      <w:r w:rsidRPr="00683301">
        <w:rPr>
          <w:rStyle w:val="Hyperlink"/>
          <w:rFonts w:asciiTheme="majorHAnsi" w:hAnsiTheme="majorHAnsi"/>
          <w:sz w:val="16"/>
          <w:szCs w:val="16"/>
          <w:u w:val="none"/>
          <w:lang w:val="es-CO"/>
        </w:rPr>
        <w:t>Informe sobre el uso de la prisión preventiva en las Américas</w:t>
      </w:r>
      <w:r w:rsidR="00280BF1">
        <w:rPr>
          <w:rStyle w:val="Hyperlink"/>
          <w:rFonts w:asciiTheme="majorHAnsi" w:hAnsiTheme="majorHAnsi"/>
          <w:sz w:val="16"/>
          <w:szCs w:val="16"/>
          <w:u w:val="none"/>
          <w:lang w:val="es-CO"/>
        </w:rPr>
        <w:fldChar w:fldCharType="end"/>
      </w:r>
      <w:r w:rsidRPr="00683301">
        <w:rPr>
          <w:rFonts w:asciiTheme="majorHAnsi" w:hAnsiTheme="majorHAnsi"/>
          <w:sz w:val="16"/>
          <w:szCs w:val="16"/>
          <w:lang w:val="es-CO"/>
        </w:rPr>
        <w:t>. OEA/Ser.L/V/II. 30 de diciembre de 2013</w:t>
      </w:r>
      <w:r w:rsidR="000B20BD" w:rsidRPr="00683301">
        <w:rPr>
          <w:rFonts w:asciiTheme="majorHAnsi" w:hAnsiTheme="majorHAnsi"/>
          <w:sz w:val="16"/>
          <w:szCs w:val="16"/>
          <w:lang w:val="es-CO"/>
        </w:rPr>
        <w:t>,</w:t>
      </w:r>
      <w:r w:rsidRPr="00683301">
        <w:rPr>
          <w:rFonts w:asciiTheme="majorHAnsi" w:hAnsiTheme="majorHAnsi"/>
          <w:sz w:val="16"/>
          <w:szCs w:val="16"/>
          <w:lang w:val="es-CO"/>
        </w:rPr>
        <w:t xml:space="preserve"> </w:t>
      </w:r>
      <w:r w:rsidR="000B20BD" w:rsidRPr="00683301">
        <w:rPr>
          <w:rFonts w:asciiTheme="majorHAnsi" w:hAnsiTheme="majorHAnsi"/>
          <w:sz w:val="16"/>
          <w:szCs w:val="16"/>
          <w:lang w:val="es-CO"/>
        </w:rPr>
        <w:t>pá</w:t>
      </w:r>
      <w:r w:rsidR="004F4280">
        <w:rPr>
          <w:rFonts w:asciiTheme="majorHAnsi" w:hAnsiTheme="majorHAnsi"/>
          <w:sz w:val="16"/>
          <w:szCs w:val="16"/>
          <w:lang w:val="es-CO"/>
        </w:rPr>
        <w:t xml:space="preserve">rr. 20. </w:t>
      </w:r>
      <w:r w:rsidRPr="00683301">
        <w:rPr>
          <w:rFonts w:asciiTheme="majorHAnsi" w:hAnsiTheme="majorHAnsi"/>
          <w:sz w:val="16"/>
          <w:szCs w:val="16"/>
          <w:lang w:val="es-CO"/>
        </w:rPr>
        <w:t xml:space="preserve"> </w:t>
      </w:r>
      <w:r w:rsidRPr="00683301">
        <w:rPr>
          <w:rFonts w:asciiTheme="majorHAnsi" w:hAnsiTheme="majorHAnsi" w:cs="Times"/>
          <w:sz w:val="16"/>
          <w:szCs w:val="16"/>
          <w:lang w:val="it-IT"/>
        </w:rPr>
        <w:t xml:space="preserve">Corte IDH. </w:t>
      </w:r>
      <w:r w:rsidRPr="00683301">
        <w:rPr>
          <w:rFonts w:asciiTheme="majorHAnsi" w:hAnsiTheme="majorHAnsi" w:cs="Times"/>
          <w:i/>
          <w:iCs/>
          <w:sz w:val="16"/>
          <w:szCs w:val="16"/>
          <w:lang w:val="it-IT"/>
        </w:rPr>
        <w:t>Caso</w:t>
      </w:r>
      <w:r w:rsidRPr="00683301">
        <w:rPr>
          <w:rFonts w:asciiTheme="majorHAnsi" w:hAnsiTheme="majorHAnsi" w:cs="Times"/>
          <w:i/>
          <w:sz w:val="16"/>
          <w:szCs w:val="16"/>
          <w:lang w:val="it-IT"/>
        </w:rPr>
        <w:t xml:space="preserve"> </w:t>
      </w:r>
      <w:r w:rsidRPr="00683301">
        <w:rPr>
          <w:rFonts w:asciiTheme="majorHAnsi" w:hAnsiTheme="majorHAnsi" w:cs="Times"/>
          <w:i/>
          <w:iCs/>
          <w:sz w:val="16"/>
          <w:szCs w:val="16"/>
          <w:lang w:val="it-IT"/>
        </w:rPr>
        <w:t>López Álvarez</w:t>
      </w:r>
      <w:r w:rsidR="000B20BD" w:rsidRPr="00683301">
        <w:rPr>
          <w:rFonts w:asciiTheme="majorHAnsi" w:hAnsiTheme="majorHAnsi" w:cs="Times"/>
          <w:sz w:val="16"/>
          <w:szCs w:val="16"/>
          <w:lang w:val="it-IT"/>
        </w:rPr>
        <w:t xml:space="preserve"> </w:t>
      </w:r>
      <w:r w:rsidR="000B20BD" w:rsidRPr="00683301">
        <w:rPr>
          <w:rFonts w:asciiTheme="majorHAnsi" w:hAnsiTheme="majorHAnsi" w:cs="Times"/>
          <w:i/>
          <w:sz w:val="16"/>
          <w:szCs w:val="16"/>
          <w:lang w:val="it-IT"/>
        </w:rPr>
        <w:t>Vs. Honduras</w:t>
      </w:r>
      <w:r w:rsidRPr="00683301">
        <w:rPr>
          <w:rFonts w:asciiTheme="majorHAnsi" w:hAnsiTheme="majorHAnsi" w:cs="Times"/>
          <w:sz w:val="16"/>
          <w:szCs w:val="16"/>
          <w:lang w:val="it-IT"/>
        </w:rPr>
        <w:t xml:space="preserve">. </w:t>
      </w:r>
      <w:r w:rsidRPr="00683301">
        <w:rPr>
          <w:rFonts w:asciiTheme="majorHAnsi" w:hAnsiTheme="majorHAnsi" w:cs="Times"/>
          <w:sz w:val="16"/>
          <w:szCs w:val="16"/>
          <w:lang w:val="es-CO"/>
        </w:rPr>
        <w:t xml:space="preserve">Sentencia de 1º de febrero de 2006. Serie C No. 141, </w:t>
      </w:r>
      <w:r w:rsidRPr="00683301">
        <w:rPr>
          <w:rFonts w:asciiTheme="majorHAnsi" w:hAnsiTheme="majorHAnsi"/>
          <w:sz w:val="16"/>
          <w:szCs w:val="16"/>
          <w:lang w:val="es-CO"/>
        </w:rPr>
        <w:t xml:space="preserve">párr. 67; </w:t>
      </w:r>
      <w:r w:rsidRPr="00683301">
        <w:rPr>
          <w:rFonts w:asciiTheme="majorHAnsi" w:hAnsiTheme="majorHAnsi" w:cs="Times"/>
          <w:i/>
          <w:iCs/>
          <w:sz w:val="16"/>
          <w:szCs w:val="16"/>
          <w:lang w:val="es-CO"/>
        </w:rPr>
        <w:t>Caso García Asto y Ramírez Rojas</w:t>
      </w:r>
      <w:r w:rsidR="000B20BD" w:rsidRPr="00683301">
        <w:rPr>
          <w:rFonts w:asciiTheme="majorHAnsi" w:hAnsiTheme="majorHAnsi" w:cs="Times"/>
          <w:i/>
          <w:iCs/>
          <w:sz w:val="16"/>
          <w:szCs w:val="16"/>
          <w:lang w:val="es-CO"/>
        </w:rPr>
        <w:t xml:space="preserve"> Vs. Rojas</w:t>
      </w:r>
      <w:r w:rsidRPr="00683301">
        <w:rPr>
          <w:rFonts w:asciiTheme="majorHAnsi" w:hAnsiTheme="majorHAnsi" w:cs="Times"/>
          <w:sz w:val="16"/>
          <w:szCs w:val="16"/>
          <w:lang w:val="es-CO"/>
        </w:rPr>
        <w:t xml:space="preserve">. Sentencia de 25 de noviembre de 2005. Serie C No. 137, </w:t>
      </w:r>
      <w:r w:rsidRPr="00683301">
        <w:rPr>
          <w:rFonts w:asciiTheme="majorHAnsi" w:hAnsiTheme="majorHAnsi"/>
          <w:sz w:val="16"/>
          <w:szCs w:val="16"/>
          <w:lang w:val="es-CO"/>
        </w:rPr>
        <w:t xml:space="preserve">párr. 106; </w:t>
      </w:r>
      <w:r w:rsidRPr="00683301">
        <w:rPr>
          <w:rFonts w:asciiTheme="majorHAnsi" w:hAnsiTheme="majorHAnsi" w:cs="Times"/>
          <w:i/>
          <w:iCs/>
          <w:sz w:val="16"/>
          <w:szCs w:val="16"/>
          <w:lang w:val="es-CO"/>
        </w:rPr>
        <w:t>Caso Palamara Iribarne</w:t>
      </w:r>
      <w:r w:rsidR="000B20BD" w:rsidRPr="00683301">
        <w:rPr>
          <w:rFonts w:asciiTheme="majorHAnsi" w:hAnsiTheme="majorHAnsi" w:cs="Times"/>
          <w:i/>
          <w:iCs/>
          <w:sz w:val="16"/>
          <w:szCs w:val="16"/>
          <w:lang w:val="es-CO"/>
        </w:rPr>
        <w:t xml:space="preserve"> Vs. Chile</w:t>
      </w:r>
      <w:r w:rsidRPr="00683301">
        <w:rPr>
          <w:rFonts w:asciiTheme="majorHAnsi" w:hAnsiTheme="majorHAnsi" w:cs="Times"/>
          <w:sz w:val="16"/>
          <w:szCs w:val="16"/>
          <w:lang w:val="es-CO"/>
        </w:rPr>
        <w:t xml:space="preserve">. Sentencia de 22 de noviembre de 2005. Serie C No. 135, </w:t>
      </w:r>
      <w:r w:rsidRPr="00683301">
        <w:rPr>
          <w:rFonts w:asciiTheme="majorHAnsi" w:hAnsiTheme="majorHAnsi"/>
          <w:sz w:val="16"/>
          <w:szCs w:val="16"/>
          <w:lang w:val="es-CO"/>
        </w:rPr>
        <w:t xml:space="preserve">párr. 197; y </w:t>
      </w:r>
      <w:r w:rsidRPr="00683301">
        <w:rPr>
          <w:rFonts w:asciiTheme="majorHAnsi" w:hAnsiTheme="majorHAnsi" w:cs="Times"/>
          <w:i/>
          <w:iCs/>
          <w:sz w:val="16"/>
          <w:szCs w:val="16"/>
          <w:lang w:val="es-CO"/>
        </w:rPr>
        <w:t>Caso Acosta Calderón</w:t>
      </w:r>
      <w:r w:rsidR="000B20BD" w:rsidRPr="00683301">
        <w:rPr>
          <w:rFonts w:asciiTheme="majorHAnsi" w:hAnsiTheme="majorHAnsi" w:cs="Times"/>
          <w:i/>
          <w:sz w:val="16"/>
          <w:szCs w:val="16"/>
          <w:lang w:val="es-CO"/>
        </w:rPr>
        <w:t xml:space="preserve"> Vs. Ecuador</w:t>
      </w:r>
      <w:r w:rsidRPr="00683301">
        <w:rPr>
          <w:rFonts w:asciiTheme="majorHAnsi" w:hAnsiTheme="majorHAnsi" w:cs="Times"/>
          <w:sz w:val="16"/>
          <w:szCs w:val="16"/>
          <w:lang w:val="es-CO"/>
        </w:rPr>
        <w:t>.  Sentencia de 24 de junio de 2005.  Serie C No. 129, p</w:t>
      </w:r>
      <w:r w:rsidRPr="00683301">
        <w:rPr>
          <w:rFonts w:asciiTheme="majorHAnsi" w:hAnsiTheme="majorHAnsi"/>
          <w:sz w:val="16"/>
          <w:szCs w:val="16"/>
          <w:lang w:val="es-CO"/>
        </w:rPr>
        <w:t>árr. 74.</w:t>
      </w:r>
    </w:p>
  </w:footnote>
  <w:footnote w:id="36">
    <w:p w14:paraId="5E876CAE" w14:textId="77777777" w:rsidR="00FE43A8" w:rsidRPr="00683301" w:rsidRDefault="00FE43A8" w:rsidP="00683301">
      <w:pPr>
        <w:spacing w:before="120"/>
        <w:ind w:firstLine="720"/>
        <w:jc w:val="both"/>
        <w:rPr>
          <w:rFonts w:asciiTheme="majorHAnsi" w:hAnsiTheme="majorHAnsi"/>
          <w:sz w:val="16"/>
          <w:szCs w:val="16"/>
          <w:lang w:val="es-CO"/>
        </w:rPr>
      </w:pPr>
      <w:r w:rsidRPr="00683301">
        <w:rPr>
          <w:rStyle w:val="FootnoteReference"/>
          <w:rFonts w:asciiTheme="majorHAnsi" w:hAnsiTheme="majorHAnsi"/>
          <w:sz w:val="16"/>
          <w:szCs w:val="16"/>
        </w:rPr>
        <w:footnoteRef/>
      </w:r>
      <w:r w:rsidRPr="00683301">
        <w:rPr>
          <w:rFonts w:asciiTheme="majorHAnsi" w:hAnsiTheme="majorHAnsi"/>
          <w:sz w:val="16"/>
          <w:szCs w:val="16"/>
          <w:lang w:val="es-CO"/>
        </w:rPr>
        <w:t xml:space="preserve"> Corte IDH. </w:t>
      </w:r>
      <w:r w:rsidRPr="00683301">
        <w:rPr>
          <w:rFonts w:asciiTheme="majorHAnsi" w:hAnsiTheme="majorHAnsi"/>
          <w:i/>
          <w:sz w:val="16"/>
          <w:szCs w:val="16"/>
          <w:lang w:val="es-CO"/>
        </w:rPr>
        <w:t>Caso Suárez Rosero Vs. Ecuador</w:t>
      </w:r>
      <w:r w:rsidRPr="00683301">
        <w:rPr>
          <w:rFonts w:asciiTheme="majorHAnsi" w:hAnsiTheme="majorHAnsi"/>
          <w:sz w:val="16"/>
          <w:szCs w:val="16"/>
          <w:lang w:val="es-CO"/>
        </w:rPr>
        <w:t>. Sentencia de 12 de noviembre de 1997. Serie C No. 35, párr. 77.</w:t>
      </w:r>
    </w:p>
  </w:footnote>
  <w:footnote w:id="37">
    <w:p w14:paraId="0C61402C" w14:textId="363D93F3" w:rsidR="00FE43A8" w:rsidRPr="00683301" w:rsidRDefault="00FE43A8" w:rsidP="00683301">
      <w:pPr>
        <w:spacing w:before="120"/>
        <w:ind w:firstLine="720"/>
        <w:jc w:val="both"/>
        <w:rPr>
          <w:rFonts w:asciiTheme="majorHAnsi" w:hAnsiTheme="majorHAnsi"/>
          <w:sz w:val="16"/>
          <w:szCs w:val="16"/>
          <w:lang w:val="es-CO"/>
        </w:rPr>
      </w:pPr>
      <w:r w:rsidRPr="00683301">
        <w:rPr>
          <w:rStyle w:val="FootnoteReference"/>
          <w:rFonts w:asciiTheme="majorHAnsi" w:hAnsiTheme="majorHAnsi"/>
          <w:sz w:val="16"/>
          <w:szCs w:val="16"/>
        </w:rPr>
        <w:footnoteRef/>
      </w:r>
      <w:r w:rsidRPr="00683301">
        <w:rPr>
          <w:rFonts w:asciiTheme="majorHAnsi" w:hAnsiTheme="majorHAnsi"/>
          <w:sz w:val="16"/>
          <w:szCs w:val="16"/>
          <w:lang w:val="es-CO"/>
        </w:rPr>
        <w:t xml:space="preserve"> CIDH. </w:t>
      </w:r>
      <w:r w:rsidR="00280BF1">
        <w:fldChar w:fldCharType="begin"/>
      </w:r>
      <w:r w:rsidR="00280BF1" w:rsidRPr="00245E5F">
        <w:rPr>
          <w:lang w:val="es-ES"/>
        </w:rPr>
        <w:instrText xml:space="preserve"> HYPERLINK "http://www.oas.org/es/cidh/ppl/informes/pdfs/Informe-PP-2013-es.pdf" </w:instrText>
      </w:r>
      <w:r w:rsidR="00280BF1">
        <w:fldChar w:fldCharType="separate"/>
      </w:r>
      <w:r w:rsidRPr="00683301">
        <w:rPr>
          <w:rStyle w:val="Hyperlink"/>
          <w:rFonts w:asciiTheme="majorHAnsi" w:hAnsiTheme="majorHAnsi"/>
          <w:sz w:val="16"/>
          <w:szCs w:val="16"/>
          <w:u w:val="none"/>
          <w:lang w:val="es-CO"/>
        </w:rPr>
        <w:t>Informe sobre el uso de la prisión preventiva en las Américas</w:t>
      </w:r>
      <w:r w:rsidR="00280BF1">
        <w:rPr>
          <w:rStyle w:val="Hyperlink"/>
          <w:rFonts w:asciiTheme="majorHAnsi" w:hAnsiTheme="majorHAnsi"/>
          <w:sz w:val="16"/>
          <w:szCs w:val="16"/>
          <w:u w:val="none"/>
          <w:lang w:val="es-CO"/>
        </w:rPr>
        <w:fldChar w:fldCharType="end"/>
      </w:r>
      <w:r w:rsidRPr="00683301">
        <w:rPr>
          <w:rFonts w:asciiTheme="majorHAnsi" w:hAnsiTheme="majorHAnsi"/>
          <w:sz w:val="16"/>
          <w:szCs w:val="16"/>
          <w:lang w:val="es-CO"/>
        </w:rPr>
        <w:t>. OEA/Ser.L/V/II. 30 de diciembre de 2013</w:t>
      </w:r>
      <w:r w:rsidR="000B20BD" w:rsidRPr="00683301">
        <w:rPr>
          <w:rFonts w:asciiTheme="majorHAnsi" w:hAnsiTheme="majorHAnsi"/>
          <w:sz w:val="16"/>
          <w:szCs w:val="16"/>
          <w:lang w:val="es-CO"/>
        </w:rPr>
        <w:t>, p</w:t>
      </w:r>
      <w:r w:rsidR="004F4280">
        <w:rPr>
          <w:rFonts w:asciiTheme="majorHAnsi" w:hAnsiTheme="majorHAnsi"/>
          <w:sz w:val="16"/>
          <w:szCs w:val="16"/>
          <w:lang w:val="es-CO"/>
        </w:rPr>
        <w:t xml:space="preserve">árr. 21. </w:t>
      </w:r>
      <w:r w:rsidRPr="00683301">
        <w:rPr>
          <w:rFonts w:asciiTheme="majorHAnsi" w:hAnsiTheme="majorHAnsi" w:cs="Times"/>
          <w:sz w:val="16"/>
          <w:szCs w:val="16"/>
          <w:lang w:val="it-IT"/>
        </w:rPr>
        <w:t xml:space="preserve">Corte IDH. </w:t>
      </w:r>
      <w:r w:rsidRPr="00683301">
        <w:rPr>
          <w:rFonts w:asciiTheme="majorHAnsi" w:hAnsiTheme="majorHAnsi" w:cs="Times"/>
          <w:i/>
          <w:iCs/>
          <w:sz w:val="16"/>
          <w:szCs w:val="16"/>
          <w:lang w:val="it-IT"/>
        </w:rPr>
        <w:t>Caso</w:t>
      </w:r>
      <w:r w:rsidRPr="00683301">
        <w:rPr>
          <w:rFonts w:asciiTheme="majorHAnsi" w:hAnsiTheme="majorHAnsi" w:cs="Times"/>
          <w:i/>
          <w:sz w:val="16"/>
          <w:szCs w:val="16"/>
          <w:lang w:val="it-IT"/>
        </w:rPr>
        <w:t xml:space="preserve"> </w:t>
      </w:r>
      <w:r w:rsidRPr="00683301">
        <w:rPr>
          <w:rFonts w:asciiTheme="majorHAnsi" w:hAnsiTheme="majorHAnsi" w:cs="Times"/>
          <w:i/>
          <w:iCs/>
          <w:sz w:val="16"/>
          <w:szCs w:val="16"/>
          <w:lang w:val="it-IT"/>
        </w:rPr>
        <w:t>López Álvarez</w:t>
      </w:r>
      <w:r w:rsidR="000B20BD" w:rsidRPr="00683301">
        <w:rPr>
          <w:rFonts w:asciiTheme="majorHAnsi" w:hAnsiTheme="majorHAnsi" w:cs="Times"/>
          <w:i/>
          <w:iCs/>
          <w:sz w:val="16"/>
          <w:szCs w:val="16"/>
          <w:lang w:val="it-IT"/>
        </w:rPr>
        <w:t xml:space="preserve"> Vs. Honduras</w:t>
      </w:r>
      <w:r w:rsidRPr="00683301">
        <w:rPr>
          <w:rFonts w:asciiTheme="majorHAnsi" w:hAnsiTheme="majorHAnsi" w:cs="Times"/>
          <w:sz w:val="16"/>
          <w:szCs w:val="16"/>
          <w:lang w:val="it-IT"/>
        </w:rPr>
        <w:t xml:space="preserve">. </w:t>
      </w:r>
      <w:r w:rsidRPr="00683301">
        <w:rPr>
          <w:rFonts w:asciiTheme="majorHAnsi" w:hAnsiTheme="majorHAnsi" w:cs="Times"/>
          <w:sz w:val="16"/>
          <w:szCs w:val="16"/>
          <w:lang w:val="es-CO"/>
        </w:rPr>
        <w:t xml:space="preserve">Sentencia de 1º de febrero de 2006. </w:t>
      </w:r>
      <w:r w:rsidRPr="00A06A17">
        <w:rPr>
          <w:rFonts w:asciiTheme="majorHAnsi" w:hAnsiTheme="majorHAnsi" w:cs="Times"/>
          <w:sz w:val="16"/>
          <w:szCs w:val="16"/>
          <w:lang w:val="es-ES"/>
        </w:rPr>
        <w:t xml:space="preserve">Serie C No. 141, </w:t>
      </w:r>
      <w:r w:rsidRPr="00A06A17">
        <w:rPr>
          <w:rFonts w:asciiTheme="majorHAnsi" w:hAnsiTheme="majorHAnsi"/>
          <w:sz w:val="16"/>
          <w:szCs w:val="16"/>
          <w:lang w:val="es-ES"/>
        </w:rPr>
        <w:t xml:space="preserve">párr. 67; </w:t>
      </w:r>
      <w:r w:rsidRPr="00A06A17">
        <w:rPr>
          <w:rFonts w:asciiTheme="majorHAnsi" w:hAnsiTheme="majorHAnsi"/>
          <w:i/>
          <w:sz w:val="16"/>
          <w:szCs w:val="16"/>
          <w:lang w:val="es-ES"/>
        </w:rPr>
        <w:t xml:space="preserve">Caso Palamara Iribarne Vs. </w:t>
      </w:r>
      <w:r w:rsidRPr="00683301">
        <w:rPr>
          <w:rFonts w:asciiTheme="majorHAnsi" w:hAnsiTheme="majorHAnsi"/>
          <w:i/>
          <w:sz w:val="16"/>
          <w:szCs w:val="16"/>
          <w:lang w:val="es-CO"/>
        </w:rPr>
        <w:t>Chile</w:t>
      </w:r>
      <w:r w:rsidRPr="00683301">
        <w:rPr>
          <w:rFonts w:asciiTheme="majorHAnsi" w:hAnsiTheme="majorHAnsi"/>
          <w:sz w:val="16"/>
          <w:szCs w:val="16"/>
          <w:lang w:val="es-CO"/>
        </w:rPr>
        <w:t>. Sentencia de 22 de noviembre de 2005. Serie C No. 135</w:t>
      </w:r>
      <w:r w:rsidR="000B20BD" w:rsidRPr="00683301">
        <w:rPr>
          <w:rFonts w:asciiTheme="majorHAnsi" w:hAnsiTheme="majorHAnsi"/>
          <w:sz w:val="16"/>
          <w:szCs w:val="16"/>
          <w:lang w:val="es-CO"/>
        </w:rPr>
        <w:t>,</w:t>
      </w:r>
      <w:r w:rsidRPr="00683301">
        <w:rPr>
          <w:rFonts w:asciiTheme="majorHAnsi" w:hAnsiTheme="majorHAnsi"/>
          <w:sz w:val="16"/>
          <w:szCs w:val="16"/>
          <w:lang w:val="es-CO"/>
        </w:rPr>
        <w:t xml:space="preserve"> </w:t>
      </w:r>
      <w:r w:rsidR="000B20BD" w:rsidRPr="00683301">
        <w:rPr>
          <w:rFonts w:asciiTheme="majorHAnsi" w:hAnsiTheme="majorHAnsi"/>
          <w:sz w:val="16"/>
          <w:szCs w:val="16"/>
          <w:lang w:val="es-CO"/>
        </w:rPr>
        <w:t>p</w:t>
      </w:r>
      <w:r w:rsidRPr="00683301">
        <w:rPr>
          <w:rFonts w:asciiTheme="majorHAnsi" w:hAnsiTheme="majorHAnsi"/>
          <w:sz w:val="16"/>
          <w:szCs w:val="16"/>
          <w:lang w:val="es-CO"/>
        </w:rPr>
        <w:t xml:space="preserve">árr. 196; y </w:t>
      </w:r>
      <w:r w:rsidRPr="00683301">
        <w:rPr>
          <w:rFonts w:asciiTheme="majorHAnsi" w:hAnsiTheme="majorHAnsi"/>
          <w:i/>
          <w:sz w:val="16"/>
          <w:szCs w:val="16"/>
          <w:lang w:val="es-CO"/>
        </w:rPr>
        <w:t>Caso Acosta Calderón Vs. Ecuador</w:t>
      </w:r>
      <w:r w:rsidRPr="00683301">
        <w:rPr>
          <w:rFonts w:asciiTheme="majorHAnsi" w:hAnsiTheme="majorHAnsi"/>
          <w:sz w:val="16"/>
          <w:szCs w:val="16"/>
          <w:lang w:val="es-CO"/>
        </w:rPr>
        <w:t>. Sentencia de 24 de junio de 2005. Serie C No. 129</w:t>
      </w:r>
      <w:r w:rsidR="000B20BD" w:rsidRPr="00683301">
        <w:rPr>
          <w:rFonts w:asciiTheme="majorHAnsi" w:hAnsiTheme="majorHAnsi"/>
          <w:sz w:val="16"/>
          <w:szCs w:val="16"/>
          <w:lang w:val="es-CO"/>
        </w:rPr>
        <w:t>,</w:t>
      </w:r>
      <w:r w:rsidRPr="00683301">
        <w:rPr>
          <w:rFonts w:asciiTheme="majorHAnsi" w:hAnsiTheme="majorHAnsi"/>
          <w:sz w:val="16"/>
          <w:szCs w:val="16"/>
          <w:lang w:val="es-CO"/>
        </w:rPr>
        <w:t xml:space="preserve"> </w:t>
      </w:r>
      <w:r w:rsidR="000B20BD" w:rsidRPr="00683301">
        <w:rPr>
          <w:rFonts w:asciiTheme="majorHAnsi" w:hAnsiTheme="majorHAnsi"/>
          <w:sz w:val="16"/>
          <w:szCs w:val="16"/>
          <w:lang w:val="es-CO"/>
        </w:rPr>
        <w:t>pá</w:t>
      </w:r>
      <w:r w:rsidRPr="00683301">
        <w:rPr>
          <w:rFonts w:asciiTheme="majorHAnsi" w:hAnsiTheme="majorHAnsi"/>
          <w:sz w:val="16"/>
          <w:szCs w:val="16"/>
          <w:lang w:val="es-CO"/>
        </w:rPr>
        <w:t>rr. 74.</w:t>
      </w:r>
    </w:p>
  </w:footnote>
  <w:footnote w:id="38">
    <w:p w14:paraId="09E78877" w14:textId="77777777" w:rsidR="00FE43A8" w:rsidRPr="00512E0B" w:rsidRDefault="00FE43A8" w:rsidP="00683301">
      <w:pPr>
        <w:spacing w:before="120"/>
        <w:ind w:firstLine="720"/>
        <w:jc w:val="both"/>
        <w:rPr>
          <w:rFonts w:asciiTheme="majorHAnsi" w:hAnsiTheme="majorHAnsi"/>
          <w:sz w:val="16"/>
          <w:szCs w:val="16"/>
          <w:lang w:val="pt-BR"/>
        </w:rPr>
      </w:pPr>
      <w:r w:rsidRPr="00683301">
        <w:rPr>
          <w:rStyle w:val="FootnoteReference"/>
          <w:rFonts w:asciiTheme="majorHAnsi" w:hAnsiTheme="majorHAnsi"/>
          <w:sz w:val="16"/>
          <w:szCs w:val="16"/>
        </w:rPr>
        <w:footnoteRef/>
      </w:r>
      <w:r w:rsidRPr="00683301">
        <w:rPr>
          <w:rFonts w:asciiTheme="majorHAnsi" w:hAnsiTheme="majorHAnsi"/>
          <w:sz w:val="16"/>
          <w:szCs w:val="16"/>
          <w:lang w:val="es-CO"/>
        </w:rPr>
        <w:t xml:space="preserve"> CIDH. </w:t>
      </w:r>
      <w:r w:rsidR="00280BF1">
        <w:fldChar w:fldCharType="begin"/>
      </w:r>
      <w:r w:rsidR="00280BF1" w:rsidRPr="00245E5F">
        <w:rPr>
          <w:lang w:val="es-ES"/>
        </w:rPr>
        <w:instrText xml:space="preserve"> HYPERLINK "http://www.oas.org/es/cidh/ppl/informes/pdfs/Informe-PP-2013-es.pdf" </w:instrText>
      </w:r>
      <w:r w:rsidR="00280BF1">
        <w:fldChar w:fldCharType="separate"/>
      </w:r>
      <w:r w:rsidRPr="00683301">
        <w:rPr>
          <w:rStyle w:val="Hyperlink"/>
          <w:rFonts w:asciiTheme="majorHAnsi" w:hAnsiTheme="majorHAnsi"/>
          <w:sz w:val="16"/>
          <w:szCs w:val="16"/>
          <w:u w:val="none"/>
          <w:lang w:val="es-CO"/>
        </w:rPr>
        <w:t>Informe sobre el uso de la prisión preventiva en las Américas</w:t>
      </w:r>
      <w:r w:rsidR="00280BF1">
        <w:rPr>
          <w:rStyle w:val="Hyperlink"/>
          <w:rFonts w:asciiTheme="majorHAnsi" w:hAnsiTheme="majorHAnsi"/>
          <w:sz w:val="16"/>
          <w:szCs w:val="16"/>
          <w:u w:val="none"/>
          <w:lang w:val="es-CO"/>
        </w:rPr>
        <w:fldChar w:fldCharType="end"/>
      </w:r>
      <w:r w:rsidRPr="00683301">
        <w:rPr>
          <w:rFonts w:asciiTheme="majorHAnsi" w:hAnsiTheme="majorHAnsi"/>
          <w:sz w:val="16"/>
          <w:szCs w:val="16"/>
          <w:lang w:val="es-CO"/>
        </w:rPr>
        <w:t>. OEA/Ser.L/V/II. 30 de diciembre de 2013</w:t>
      </w:r>
      <w:r w:rsidR="000B20BD" w:rsidRPr="00683301">
        <w:rPr>
          <w:rFonts w:asciiTheme="majorHAnsi" w:hAnsiTheme="majorHAnsi"/>
          <w:sz w:val="16"/>
          <w:szCs w:val="16"/>
          <w:lang w:val="es-CO"/>
        </w:rPr>
        <w:t>,</w:t>
      </w:r>
      <w:r w:rsidRPr="00683301">
        <w:rPr>
          <w:rFonts w:asciiTheme="majorHAnsi" w:hAnsiTheme="majorHAnsi"/>
          <w:sz w:val="16"/>
          <w:szCs w:val="16"/>
          <w:lang w:val="es-CO"/>
        </w:rPr>
        <w:t xml:space="preserve"> </w:t>
      </w:r>
      <w:r w:rsidR="000B20BD" w:rsidRPr="00683301">
        <w:rPr>
          <w:rFonts w:asciiTheme="majorHAnsi" w:hAnsiTheme="majorHAnsi"/>
          <w:sz w:val="16"/>
          <w:szCs w:val="16"/>
          <w:lang w:val="es-CO"/>
        </w:rPr>
        <w:t>p</w:t>
      </w:r>
      <w:r w:rsidRPr="00683301">
        <w:rPr>
          <w:rFonts w:asciiTheme="majorHAnsi" w:hAnsiTheme="majorHAnsi"/>
          <w:sz w:val="16"/>
          <w:szCs w:val="16"/>
          <w:lang w:val="es-ES"/>
        </w:rPr>
        <w:t xml:space="preserve">árr. 21; </w:t>
      </w:r>
      <w:r w:rsidR="007E098C" w:rsidRPr="00683301">
        <w:rPr>
          <w:rFonts w:asciiTheme="majorHAnsi" w:hAnsiTheme="majorHAnsi" w:cs="Calibri"/>
          <w:sz w:val="16"/>
          <w:szCs w:val="16"/>
          <w:lang w:val="es-ES" w:eastAsia="es-ES"/>
        </w:rPr>
        <w:t>Corte IDH.</w:t>
      </w:r>
      <w:r w:rsidR="007E098C" w:rsidRPr="00683301">
        <w:rPr>
          <w:rFonts w:asciiTheme="majorHAnsi" w:hAnsiTheme="majorHAnsi" w:cs="Calibri"/>
          <w:i/>
          <w:sz w:val="16"/>
          <w:szCs w:val="16"/>
          <w:lang w:val="es-ES" w:eastAsia="es-ES"/>
        </w:rPr>
        <w:t xml:space="preserve"> </w:t>
      </w:r>
      <w:r w:rsidR="007E098C" w:rsidRPr="00683301">
        <w:rPr>
          <w:rFonts w:asciiTheme="majorHAnsi" w:hAnsiTheme="majorHAnsi" w:cs="Calibri-Italic"/>
          <w:i/>
          <w:iCs/>
          <w:sz w:val="16"/>
          <w:szCs w:val="16"/>
          <w:lang w:val="es-CO" w:eastAsia="es-ES"/>
        </w:rPr>
        <w:t>Caso López Álvarez Vs. Honduras</w:t>
      </w:r>
      <w:r w:rsidRPr="00683301">
        <w:rPr>
          <w:rFonts w:asciiTheme="majorHAnsi" w:hAnsiTheme="majorHAnsi" w:cs="Times"/>
          <w:sz w:val="16"/>
          <w:szCs w:val="16"/>
          <w:lang w:val="es-CO"/>
        </w:rPr>
        <w:t xml:space="preserve">. Sentencia de 1º de febrero de 2006. Serie C No. 141, </w:t>
      </w:r>
      <w:r w:rsidRPr="00683301">
        <w:rPr>
          <w:rFonts w:asciiTheme="majorHAnsi" w:hAnsiTheme="majorHAnsi"/>
          <w:sz w:val="16"/>
          <w:szCs w:val="16"/>
          <w:lang w:val="es-CO"/>
        </w:rPr>
        <w:t xml:space="preserve">párr. 69; </w:t>
      </w:r>
      <w:r w:rsidRPr="00683301">
        <w:rPr>
          <w:rFonts w:asciiTheme="majorHAnsi" w:hAnsiTheme="majorHAnsi" w:cs="Times"/>
          <w:i/>
          <w:iCs/>
          <w:sz w:val="16"/>
          <w:szCs w:val="16"/>
          <w:lang w:val="es-CO"/>
        </w:rPr>
        <w:t>Caso García Asto y Ramírez Rojas</w:t>
      </w:r>
      <w:r w:rsidR="000B20BD" w:rsidRPr="00683301">
        <w:rPr>
          <w:rFonts w:asciiTheme="majorHAnsi" w:hAnsiTheme="majorHAnsi" w:cs="Times"/>
          <w:i/>
          <w:iCs/>
          <w:sz w:val="16"/>
          <w:szCs w:val="16"/>
          <w:lang w:val="es-CO"/>
        </w:rPr>
        <w:t xml:space="preserve"> Vs. Perú</w:t>
      </w:r>
      <w:r w:rsidRPr="00683301">
        <w:rPr>
          <w:rFonts w:asciiTheme="majorHAnsi" w:hAnsiTheme="majorHAnsi" w:cs="Times"/>
          <w:sz w:val="16"/>
          <w:szCs w:val="16"/>
          <w:lang w:val="es-CO"/>
        </w:rPr>
        <w:t xml:space="preserve">. Sentencia de 25 de noviembre de 2005. Serie C No. 137, </w:t>
      </w:r>
      <w:r w:rsidRPr="00683301">
        <w:rPr>
          <w:rFonts w:asciiTheme="majorHAnsi" w:hAnsiTheme="majorHAnsi"/>
          <w:sz w:val="16"/>
          <w:szCs w:val="16"/>
          <w:lang w:val="es-CO"/>
        </w:rPr>
        <w:t xml:space="preserve">párr. 106; </w:t>
      </w:r>
      <w:r w:rsidRPr="00683301">
        <w:rPr>
          <w:rFonts w:asciiTheme="majorHAnsi" w:hAnsiTheme="majorHAnsi" w:cs="Times"/>
          <w:i/>
          <w:iCs/>
          <w:sz w:val="16"/>
          <w:szCs w:val="16"/>
          <w:lang w:val="es-CO"/>
        </w:rPr>
        <w:t>Caso Acosta Calderón</w:t>
      </w:r>
      <w:r w:rsidR="000B20BD" w:rsidRPr="00683301">
        <w:rPr>
          <w:rFonts w:asciiTheme="majorHAnsi" w:hAnsiTheme="majorHAnsi" w:cs="Times"/>
          <w:i/>
          <w:iCs/>
          <w:sz w:val="16"/>
          <w:szCs w:val="16"/>
          <w:lang w:val="es-CO"/>
        </w:rPr>
        <w:t xml:space="preserve"> Vs. Ecuador</w:t>
      </w:r>
      <w:r w:rsidRPr="00683301">
        <w:rPr>
          <w:rFonts w:asciiTheme="majorHAnsi" w:hAnsiTheme="majorHAnsi" w:cs="Times"/>
          <w:sz w:val="16"/>
          <w:szCs w:val="16"/>
          <w:lang w:val="es-CO"/>
        </w:rPr>
        <w:t>. Sentencia de 24 de junio de 2005. Serie C No. 129, p</w:t>
      </w:r>
      <w:r w:rsidRPr="00683301">
        <w:rPr>
          <w:rFonts w:asciiTheme="majorHAnsi" w:hAnsiTheme="majorHAnsi"/>
          <w:sz w:val="16"/>
          <w:szCs w:val="16"/>
          <w:lang w:val="es-CO"/>
        </w:rPr>
        <w:t xml:space="preserve">árr. 75; </w:t>
      </w:r>
      <w:r w:rsidRPr="00683301">
        <w:rPr>
          <w:rFonts w:asciiTheme="majorHAnsi" w:hAnsiTheme="majorHAnsi" w:cs="Times"/>
          <w:sz w:val="16"/>
          <w:szCs w:val="16"/>
          <w:lang w:val="es-CO"/>
        </w:rPr>
        <w:t xml:space="preserve">y </w:t>
      </w:r>
      <w:r w:rsidRPr="00683301">
        <w:rPr>
          <w:rFonts w:asciiTheme="majorHAnsi" w:hAnsiTheme="majorHAnsi" w:cs="Times"/>
          <w:i/>
          <w:iCs/>
          <w:sz w:val="16"/>
          <w:szCs w:val="16"/>
          <w:lang w:val="es-CO"/>
        </w:rPr>
        <w:t>Caso Tibi</w:t>
      </w:r>
      <w:r w:rsidR="000B20BD" w:rsidRPr="00683301">
        <w:rPr>
          <w:rFonts w:asciiTheme="majorHAnsi" w:hAnsiTheme="majorHAnsi" w:cs="Times"/>
          <w:i/>
          <w:iCs/>
          <w:sz w:val="16"/>
          <w:szCs w:val="16"/>
          <w:lang w:val="es-CO"/>
        </w:rPr>
        <w:t xml:space="preserve"> Vs. Ecuador</w:t>
      </w:r>
      <w:r w:rsidRPr="00683301">
        <w:rPr>
          <w:rFonts w:asciiTheme="majorHAnsi" w:hAnsiTheme="majorHAnsi" w:cs="Times"/>
          <w:i/>
          <w:sz w:val="16"/>
          <w:szCs w:val="16"/>
          <w:lang w:val="es-CO"/>
        </w:rPr>
        <w:t>.</w:t>
      </w:r>
      <w:r w:rsidRPr="00683301">
        <w:rPr>
          <w:rFonts w:asciiTheme="majorHAnsi" w:hAnsiTheme="majorHAnsi" w:cs="Times"/>
          <w:sz w:val="16"/>
          <w:szCs w:val="16"/>
          <w:lang w:val="es-CO"/>
        </w:rPr>
        <w:t xml:space="preserve"> Sentencia de 7 de septiembre de 2004.  </w:t>
      </w:r>
      <w:r w:rsidRPr="00512E0B">
        <w:rPr>
          <w:rFonts w:asciiTheme="majorHAnsi" w:hAnsiTheme="majorHAnsi" w:cs="Times"/>
          <w:sz w:val="16"/>
          <w:szCs w:val="16"/>
          <w:lang w:val="pt-BR"/>
        </w:rPr>
        <w:t xml:space="preserve">Serie C No. 114, </w:t>
      </w:r>
      <w:r w:rsidRPr="00512E0B">
        <w:rPr>
          <w:rFonts w:asciiTheme="majorHAnsi" w:hAnsiTheme="majorHAnsi"/>
          <w:sz w:val="16"/>
          <w:szCs w:val="16"/>
          <w:lang w:val="pt-BR"/>
        </w:rPr>
        <w:t>párr. 180.</w:t>
      </w:r>
    </w:p>
  </w:footnote>
  <w:footnote w:id="39">
    <w:p w14:paraId="126B04B7" w14:textId="66CED037" w:rsidR="00FE43A8" w:rsidRPr="00A06A17" w:rsidRDefault="00FE43A8" w:rsidP="00683301">
      <w:pPr>
        <w:pStyle w:val="FootnoteText"/>
        <w:spacing w:before="120"/>
        <w:ind w:firstLine="720"/>
        <w:jc w:val="both"/>
        <w:rPr>
          <w:rFonts w:asciiTheme="majorHAnsi" w:hAnsiTheme="majorHAnsi"/>
          <w:color w:val="auto"/>
          <w:sz w:val="16"/>
          <w:szCs w:val="16"/>
          <w:lang w:val="es-CO"/>
        </w:rPr>
      </w:pPr>
      <w:r w:rsidRPr="00683301">
        <w:rPr>
          <w:rStyle w:val="FootnoteReference"/>
          <w:rFonts w:asciiTheme="majorHAnsi" w:hAnsiTheme="majorHAnsi"/>
          <w:color w:val="auto"/>
          <w:sz w:val="16"/>
          <w:szCs w:val="16"/>
        </w:rPr>
        <w:footnoteRef/>
      </w:r>
      <w:r w:rsidR="007E098C" w:rsidRPr="00512E0B">
        <w:rPr>
          <w:rFonts w:asciiTheme="majorHAnsi" w:hAnsiTheme="majorHAnsi"/>
          <w:color w:val="auto"/>
          <w:sz w:val="16"/>
          <w:szCs w:val="16"/>
          <w:lang w:val="pt-BR"/>
        </w:rPr>
        <w:t xml:space="preserve"> Corte I</w:t>
      </w:r>
      <w:r w:rsidRPr="00512E0B">
        <w:rPr>
          <w:rFonts w:asciiTheme="majorHAnsi" w:hAnsiTheme="majorHAnsi"/>
          <w:color w:val="auto"/>
          <w:sz w:val="16"/>
          <w:szCs w:val="16"/>
          <w:lang w:val="pt-BR"/>
        </w:rPr>
        <w:t xml:space="preserve">DH. </w:t>
      </w:r>
      <w:r w:rsidRPr="00512E0B">
        <w:rPr>
          <w:rFonts w:asciiTheme="majorHAnsi" w:hAnsiTheme="majorHAnsi"/>
          <w:bCs/>
          <w:i/>
          <w:color w:val="auto"/>
          <w:sz w:val="16"/>
          <w:szCs w:val="16"/>
          <w:lang w:val="pt-BR"/>
        </w:rPr>
        <w:t xml:space="preserve">Caso Barreto Leiva Vs. </w:t>
      </w:r>
      <w:r w:rsidRPr="00683301">
        <w:rPr>
          <w:rFonts w:asciiTheme="majorHAnsi" w:hAnsiTheme="majorHAnsi"/>
          <w:bCs/>
          <w:i/>
          <w:color w:val="auto"/>
          <w:sz w:val="16"/>
          <w:szCs w:val="16"/>
          <w:lang w:val="es-CO"/>
        </w:rPr>
        <w:t>Venezuela</w:t>
      </w:r>
      <w:r w:rsidRPr="00683301">
        <w:rPr>
          <w:rFonts w:asciiTheme="majorHAnsi" w:hAnsiTheme="majorHAnsi"/>
          <w:bCs/>
          <w:color w:val="auto"/>
          <w:sz w:val="16"/>
          <w:szCs w:val="16"/>
          <w:lang w:val="es-CO"/>
        </w:rPr>
        <w:t xml:space="preserve">. </w:t>
      </w:r>
      <w:r w:rsidRPr="00683301">
        <w:rPr>
          <w:rFonts w:asciiTheme="majorHAnsi" w:hAnsiTheme="majorHAnsi"/>
          <w:color w:val="auto"/>
          <w:sz w:val="16"/>
          <w:szCs w:val="16"/>
          <w:lang w:val="es-CO"/>
        </w:rPr>
        <w:t>Fondo, Reparaciones y Costas. Sentencia de 17 de nov</w:t>
      </w:r>
      <w:r w:rsidR="004F4280">
        <w:rPr>
          <w:rFonts w:asciiTheme="majorHAnsi" w:hAnsiTheme="majorHAnsi"/>
          <w:color w:val="auto"/>
          <w:sz w:val="16"/>
          <w:szCs w:val="16"/>
          <w:lang w:val="es-CO"/>
        </w:rPr>
        <w:t>iembre de 2009. Serie C No. 206, p</w:t>
      </w:r>
      <w:r w:rsidRPr="00683301">
        <w:rPr>
          <w:rFonts w:asciiTheme="majorHAnsi" w:hAnsiTheme="majorHAnsi"/>
          <w:color w:val="auto"/>
          <w:sz w:val="16"/>
          <w:szCs w:val="16"/>
          <w:lang w:val="es-CO"/>
        </w:rPr>
        <w:t xml:space="preserve">árr. 111. </w:t>
      </w:r>
    </w:p>
  </w:footnote>
  <w:footnote w:id="40">
    <w:p w14:paraId="2EA09EE6" w14:textId="77777777" w:rsidR="00FE43A8" w:rsidRPr="00683301" w:rsidRDefault="00FE43A8" w:rsidP="00683301">
      <w:pPr>
        <w:pStyle w:val="FootnoteText"/>
        <w:spacing w:before="120"/>
        <w:ind w:firstLine="720"/>
        <w:jc w:val="both"/>
        <w:rPr>
          <w:rFonts w:asciiTheme="majorHAnsi" w:hAnsiTheme="majorHAnsi"/>
          <w:color w:val="auto"/>
          <w:sz w:val="16"/>
          <w:szCs w:val="16"/>
          <w:lang w:val="es-CO"/>
        </w:rPr>
      </w:pPr>
      <w:r w:rsidRPr="00683301">
        <w:rPr>
          <w:rStyle w:val="FootnoteReference"/>
          <w:rFonts w:asciiTheme="majorHAnsi" w:hAnsiTheme="majorHAnsi"/>
          <w:color w:val="auto"/>
          <w:sz w:val="16"/>
          <w:szCs w:val="16"/>
        </w:rPr>
        <w:footnoteRef/>
      </w:r>
      <w:r w:rsidR="007E098C" w:rsidRPr="00A06A17">
        <w:rPr>
          <w:rFonts w:asciiTheme="majorHAnsi" w:hAnsiTheme="majorHAnsi"/>
          <w:color w:val="auto"/>
          <w:sz w:val="16"/>
          <w:szCs w:val="16"/>
          <w:lang w:val="es-CO"/>
        </w:rPr>
        <w:t xml:space="preserve"> Corte I</w:t>
      </w:r>
      <w:r w:rsidRPr="00A06A17">
        <w:rPr>
          <w:rFonts w:asciiTheme="majorHAnsi" w:hAnsiTheme="majorHAnsi"/>
          <w:color w:val="auto"/>
          <w:sz w:val="16"/>
          <w:szCs w:val="16"/>
          <w:lang w:val="es-CO"/>
        </w:rPr>
        <w:t xml:space="preserve">DH. </w:t>
      </w:r>
      <w:r w:rsidRPr="00A06A17">
        <w:rPr>
          <w:rFonts w:asciiTheme="majorHAnsi" w:hAnsiTheme="majorHAnsi"/>
          <w:bCs/>
          <w:i/>
          <w:color w:val="auto"/>
          <w:sz w:val="16"/>
          <w:szCs w:val="16"/>
          <w:lang w:val="es-CO"/>
        </w:rPr>
        <w:t xml:space="preserve">Caso Barreto Leiva Vs. </w:t>
      </w:r>
      <w:r w:rsidRPr="00683301">
        <w:rPr>
          <w:rFonts w:asciiTheme="majorHAnsi" w:hAnsiTheme="majorHAnsi"/>
          <w:bCs/>
          <w:i/>
          <w:color w:val="auto"/>
          <w:sz w:val="16"/>
          <w:szCs w:val="16"/>
          <w:lang w:val="es-CO"/>
        </w:rPr>
        <w:t>Venezuela</w:t>
      </w:r>
      <w:r w:rsidRPr="00683301">
        <w:rPr>
          <w:rFonts w:asciiTheme="majorHAnsi" w:hAnsiTheme="majorHAnsi"/>
          <w:bCs/>
          <w:color w:val="auto"/>
          <w:sz w:val="16"/>
          <w:szCs w:val="16"/>
          <w:lang w:val="es-CO"/>
        </w:rPr>
        <w:t xml:space="preserve">. </w:t>
      </w:r>
      <w:r w:rsidRPr="00683301">
        <w:rPr>
          <w:rFonts w:asciiTheme="majorHAnsi" w:hAnsiTheme="majorHAnsi"/>
          <w:color w:val="auto"/>
          <w:sz w:val="16"/>
          <w:szCs w:val="16"/>
          <w:lang w:val="es-CO"/>
        </w:rPr>
        <w:t xml:space="preserve">Fondo, Reparaciones y Costas. Sentencia de 17 de noviembre de 2009. Serie C No. 206. Párr. 111. Citando: </w:t>
      </w:r>
      <w:r w:rsidRPr="00683301">
        <w:rPr>
          <w:rFonts w:asciiTheme="majorHAnsi" w:hAnsiTheme="majorHAnsi"/>
          <w:bCs/>
          <w:i/>
          <w:color w:val="auto"/>
          <w:sz w:val="16"/>
          <w:szCs w:val="16"/>
          <w:lang w:val="es-CO"/>
        </w:rPr>
        <w:t>Caso Chaparro Álvarez y Lapo Íñiguez Vs. Ecuador</w:t>
      </w:r>
      <w:r w:rsidRPr="00683301">
        <w:rPr>
          <w:rFonts w:asciiTheme="majorHAnsi" w:hAnsiTheme="majorHAnsi"/>
          <w:bCs/>
          <w:color w:val="auto"/>
          <w:sz w:val="16"/>
          <w:szCs w:val="16"/>
          <w:lang w:val="es-CO"/>
        </w:rPr>
        <w:t xml:space="preserve">. </w:t>
      </w:r>
      <w:r w:rsidRPr="00683301">
        <w:rPr>
          <w:rFonts w:asciiTheme="majorHAnsi" w:hAnsiTheme="majorHAnsi"/>
          <w:color w:val="auto"/>
          <w:sz w:val="16"/>
          <w:szCs w:val="16"/>
          <w:lang w:val="es-CO"/>
        </w:rPr>
        <w:t xml:space="preserve">Excepciones Preliminares, Fondo, Reparaciones y Costas. Sentencia de 21 de noviembre de 2007. Serie C No. 170, párr. 103; y </w:t>
      </w:r>
      <w:r w:rsidRPr="00683301">
        <w:rPr>
          <w:rFonts w:asciiTheme="majorHAnsi" w:hAnsiTheme="majorHAnsi"/>
          <w:i/>
          <w:color w:val="auto"/>
          <w:sz w:val="16"/>
          <w:szCs w:val="16"/>
          <w:lang w:val="es-CO"/>
        </w:rPr>
        <w:t>Caso Servellón García y otros Vs. Honduras</w:t>
      </w:r>
      <w:r w:rsidRPr="00683301">
        <w:rPr>
          <w:rFonts w:asciiTheme="majorHAnsi" w:hAnsiTheme="majorHAnsi"/>
          <w:color w:val="auto"/>
          <w:sz w:val="16"/>
          <w:szCs w:val="16"/>
          <w:lang w:val="es-CO"/>
        </w:rPr>
        <w:t>. Fondo, Reparaciones y Costas. Sentencia de 21 de septiembre de 2006. Serie C No. 152, párr. 90.</w:t>
      </w:r>
    </w:p>
  </w:footnote>
  <w:footnote w:id="41">
    <w:p w14:paraId="7A984FB0" w14:textId="397BA15F" w:rsidR="002F1789" w:rsidRPr="00E95853" w:rsidRDefault="002F1789" w:rsidP="00E95853">
      <w:pPr>
        <w:spacing w:before="120"/>
        <w:ind w:firstLine="720"/>
        <w:jc w:val="both"/>
        <w:outlineLvl w:val="0"/>
        <w:rPr>
          <w:rFonts w:asciiTheme="majorHAnsi" w:hAnsiTheme="majorHAnsi"/>
          <w:b/>
          <w:sz w:val="16"/>
          <w:szCs w:val="16"/>
          <w:lang w:val="es-ES"/>
          <w14:shadow w14:blurRad="50800" w14:dist="38100" w14:dir="2700000" w14:sx="100000" w14:sy="100000" w14:kx="0" w14:ky="0" w14:algn="tl">
            <w14:srgbClr w14:val="000000">
              <w14:alpha w14:val="60000"/>
            </w14:srgbClr>
          </w14:shadow>
        </w:rPr>
      </w:pPr>
      <w:r w:rsidRPr="00683301">
        <w:rPr>
          <w:rStyle w:val="FootnoteReference"/>
          <w:rFonts w:asciiTheme="majorHAnsi" w:hAnsiTheme="majorHAnsi"/>
          <w:sz w:val="16"/>
          <w:szCs w:val="16"/>
        </w:rPr>
        <w:footnoteRef/>
      </w:r>
      <w:r w:rsidRPr="00683301">
        <w:rPr>
          <w:rFonts w:asciiTheme="majorHAnsi" w:hAnsiTheme="majorHAnsi"/>
          <w:sz w:val="16"/>
          <w:szCs w:val="16"/>
          <w:lang w:val="es-ES"/>
        </w:rPr>
        <w:t xml:space="preserve"> CIDH. </w:t>
      </w:r>
      <w:r w:rsidR="00BE1DBA" w:rsidRPr="00683301">
        <w:rPr>
          <w:rFonts w:asciiTheme="majorHAnsi" w:hAnsiTheme="majorHAnsi"/>
          <w:sz w:val="16"/>
          <w:szCs w:val="16"/>
          <w:lang w:val="es-ES"/>
        </w:rPr>
        <w:t xml:space="preserve">Informe sobre el uso de la prisión preventiva en las Américas. </w:t>
      </w:r>
      <w:r w:rsidR="00EA3405" w:rsidRPr="00683301">
        <w:rPr>
          <w:rFonts w:asciiTheme="majorHAnsi" w:hAnsiTheme="majorHAnsi"/>
          <w:sz w:val="16"/>
          <w:szCs w:val="16"/>
          <w:lang w:val="es-ES"/>
        </w:rPr>
        <w:t>OEA/Ser.L/V/II.</w:t>
      </w:r>
      <w:r w:rsidR="0081497B" w:rsidRPr="00683301">
        <w:rPr>
          <w:rFonts w:asciiTheme="majorHAnsi" w:hAnsiTheme="majorHAnsi"/>
          <w:sz w:val="16"/>
          <w:szCs w:val="16"/>
          <w:lang w:val="es-ES"/>
        </w:rPr>
        <w:t xml:space="preserve"> Doc. 46/13. </w:t>
      </w:r>
      <w:r w:rsidR="00B33C9C" w:rsidRPr="00683301">
        <w:rPr>
          <w:rFonts w:asciiTheme="majorHAnsi" w:hAnsiTheme="majorHAnsi"/>
          <w:sz w:val="16"/>
          <w:szCs w:val="16"/>
          <w:lang w:val="es-ES"/>
        </w:rPr>
        <w:t>30 de diciembre de 2013.</w:t>
      </w:r>
      <w:r w:rsidR="00E95853">
        <w:rPr>
          <w:rFonts w:asciiTheme="majorHAnsi" w:hAnsiTheme="majorHAnsi"/>
          <w:sz w:val="16"/>
          <w:szCs w:val="16"/>
          <w:lang w:val="es-ES"/>
        </w:rPr>
        <w:t xml:space="preserve"> p</w:t>
      </w:r>
      <w:r w:rsidR="00E304DF" w:rsidRPr="00683301">
        <w:rPr>
          <w:rFonts w:asciiTheme="majorHAnsi" w:hAnsiTheme="majorHAnsi"/>
          <w:sz w:val="16"/>
          <w:szCs w:val="16"/>
          <w:lang w:val="es-ES"/>
        </w:rPr>
        <w:t xml:space="preserve">árr. 21. </w:t>
      </w:r>
    </w:p>
  </w:footnote>
  <w:footnote w:id="42">
    <w:p w14:paraId="1017FD47" w14:textId="77777777" w:rsidR="00FE43A8" w:rsidRPr="00683301" w:rsidRDefault="00FE43A8" w:rsidP="00683301">
      <w:pPr>
        <w:pStyle w:val="FootnoteText"/>
        <w:spacing w:before="120"/>
        <w:ind w:firstLine="720"/>
        <w:jc w:val="both"/>
        <w:rPr>
          <w:rFonts w:asciiTheme="majorHAnsi" w:hAnsiTheme="majorHAnsi"/>
          <w:color w:val="auto"/>
          <w:sz w:val="16"/>
          <w:szCs w:val="16"/>
          <w:lang w:val="es-VE"/>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CO"/>
        </w:rPr>
        <w:t xml:space="preserve"> Corte IDH. </w:t>
      </w:r>
      <w:r w:rsidRPr="00683301">
        <w:rPr>
          <w:rFonts w:asciiTheme="majorHAnsi" w:hAnsiTheme="majorHAnsi"/>
          <w:i/>
          <w:color w:val="auto"/>
          <w:sz w:val="16"/>
          <w:szCs w:val="16"/>
          <w:lang w:val="es-ES"/>
        </w:rPr>
        <w:t xml:space="preserve">Caso Barreto Leiva </w:t>
      </w:r>
      <w:r w:rsidR="007E098C" w:rsidRPr="00683301">
        <w:rPr>
          <w:rFonts w:asciiTheme="majorHAnsi" w:hAnsiTheme="majorHAnsi"/>
          <w:i/>
          <w:color w:val="auto"/>
          <w:sz w:val="16"/>
          <w:szCs w:val="16"/>
          <w:lang w:val="es-ES"/>
        </w:rPr>
        <w:t>V</w:t>
      </w:r>
      <w:r w:rsidRPr="00683301">
        <w:rPr>
          <w:rFonts w:asciiTheme="majorHAnsi" w:hAnsiTheme="majorHAnsi"/>
          <w:i/>
          <w:color w:val="auto"/>
          <w:sz w:val="16"/>
          <w:szCs w:val="16"/>
          <w:lang w:val="es-ES"/>
        </w:rPr>
        <w:t>s Venezuela</w:t>
      </w:r>
      <w:r w:rsidRPr="00683301">
        <w:rPr>
          <w:rFonts w:asciiTheme="majorHAnsi" w:hAnsiTheme="majorHAnsi"/>
          <w:color w:val="auto"/>
          <w:sz w:val="16"/>
          <w:szCs w:val="16"/>
          <w:lang w:val="es-ES"/>
        </w:rPr>
        <w:t xml:space="preserve">. </w:t>
      </w:r>
      <w:r w:rsidRPr="00683301">
        <w:rPr>
          <w:rFonts w:asciiTheme="majorHAnsi" w:hAnsiTheme="majorHAnsi"/>
          <w:color w:val="auto"/>
          <w:sz w:val="16"/>
          <w:szCs w:val="16"/>
          <w:lang w:val="es-VE"/>
        </w:rPr>
        <w:t>Fondo, Reparaciones y Costas. Sentencia de 17 de noviembre de2009, Serie C No. 206. párr.120.</w:t>
      </w:r>
    </w:p>
  </w:footnote>
  <w:footnote w:id="43">
    <w:p w14:paraId="035C44FE" w14:textId="77777777" w:rsidR="00FE43A8" w:rsidRPr="00683301" w:rsidRDefault="00FE43A8" w:rsidP="00683301">
      <w:pPr>
        <w:pStyle w:val="FootnoteText"/>
        <w:spacing w:before="120"/>
        <w:ind w:firstLine="720"/>
        <w:jc w:val="both"/>
        <w:rPr>
          <w:rFonts w:asciiTheme="majorHAnsi" w:hAnsiTheme="majorHAnsi"/>
          <w:b/>
          <w:color w:val="auto"/>
          <w:sz w:val="16"/>
          <w:szCs w:val="16"/>
          <w:lang w:val="es-CO"/>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CO"/>
        </w:rPr>
        <w:t xml:space="preserve"> </w:t>
      </w:r>
      <w:r w:rsidRPr="00683301">
        <w:rPr>
          <w:rStyle w:val="Strong"/>
          <w:rFonts w:asciiTheme="majorHAnsi" w:hAnsiTheme="majorHAnsi"/>
          <w:b w:val="0"/>
          <w:color w:val="auto"/>
          <w:sz w:val="16"/>
          <w:szCs w:val="16"/>
          <w:lang w:val="es-CO"/>
        </w:rPr>
        <w:t xml:space="preserve">Corte IDH. </w:t>
      </w:r>
      <w:r w:rsidRPr="00683301">
        <w:rPr>
          <w:rStyle w:val="Strong"/>
          <w:rFonts w:asciiTheme="majorHAnsi" w:hAnsiTheme="majorHAnsi"/>
          <w:b w:val="0"/>
          <w:i/>
          <w:color w:val="auto"/>
          <w:sz w:val="16"/>
          <w:szCs w:val="16"/>
          <w:lang w:val="es-CO"/>
        </w:rPr>
        <w:t>Caso Argüelles y otros Vs. Argentina</w:t>
      </w:r>
      <w:r w:rsidRPr="00683301">
        <w:rPr>
          <w:rStyle w:val="Strong"/>
          <w:rFonts w:asciiTheme="majorHAnsi" w:hAnsiTheme="majorHAnsi"/>
          <w:b w:val="0"/>
          <w:color w:val="auto"/>
          <w:sz w:val="16"/>
          <w:szCs w:val="16"/>
          <w:lang w:val="es-CO"/>
        </w:rPr>
        <w:t>. Excepciones Preliminares, Fondo, Reparaciones y Costas. Sentencia de 20 de noviembre de 2014. Serie C No. 288</w:t>
      </w:r>
      <w:r w:rsidR="007E098C" w:rsidRPr="00683301">
        <w:rPr>
          <w:rStyle w:val="Strong"/>
          <w:rFonts w:asciiTheme="majorHAnsi" w:hAnsiTheme="majorHAnsi"/>
          <w:b w:val="0"/>
          <w:color w:val="auto"/>
          <w:sz w:val="16"/>
          <w:szCs w:val="16"/>
          <w:lang w:val="es-CO"/>
        </w:rPr>
        <w:t>, p</w:t>
      </w:r>
      <w:r w:rsidRPr="00683301">
        <w:rPr>
          <w:rStyle w:val="Strong"/>
          <w:rFonts w:asciiTheme="majorHAnsi" w:hAnsiTheme="majorHAnsi"/>
          <w:b w:val="0"/>
          <w:color w:val="auto"/>
          <w:sz w:val="16"/>
          <w:szCs w:val="16"/>
          <w:lang w:val="es-CO"/>
        </w:rPr>
        <w:t>árr. 122.</w:t>
      </w:r>
      <w:r w:rsidRPr="00683301">
        <w:rPr>
          <w:rStyle w:val="Strong"/>
          <w:rFonts w:asciiTheme="majorHAnsi" w:hAnsiTheme="majorHAnsi"/>
          <w:color w:val="auto"/>
          <w:sz w:val="16"/>
          <w:szCs w:val="16"/>
          <w:lang w:val="es-CO"/>
        </w:rPr>
        <w:t xml:space="preserve"> </w:t>
      </w:r>
    </w:p>
  </w:footnote>
  <w:footnote w:id="44">
    <w:p w14:paraId="05CF8098" w14:textId="77777777" w:rsidR="00FE43A8" w:rsidRPr="00683301" w:rsidRDefault="00FE43A8" w:rsidP="00683301">
      <w:pPr>
        <w:pStyle w:val="FootnoteText"/>
        <w:spacing w:before="120"/>
        <w:ind w:firstLine="720"/>
        <w:jc w:val="both"/>
        <w:rPr>
          <w:rFonts w:asciiTheme="majorHAnsi" w:hAnsiTheme="majorHAnsi"/>
          <w:color w:val="auto"/>
          <w:sz w:val="16"/>
          <w:szCs w:val="16"/>
          <w:lang w:val="es-VE"/>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VE"/>
        </w:rPr>
        <w:t xml:space="preserve"> Corte IDH. </w:t>
      </w:r>
      <w:r w:rsidR="007E098C" w:rsidRPr="00683301">
        <w:rPr>
          <w:rFonts w:asciiTheme="majorHAnsi" w:hAnsiTheme="majorHAnsi"/>
          <w:i/>
          <w:color w:val="auto"/>
          <w:sz w:val="16"/>
          <w:szCs w:val="16"/>
          <w:lang w:val="es-VE"/>
        </w:rPr>
        <w:t>Caso Arguelles y otros V</w:t>
      </w:r>
      <w:r w:rsidRPr="00683301">
        <w:rPr>
          <w:rFonts w:asciiTheme="majorHAnsi" w:hAnsiTheme="majorHAnsi"/>
          <w:i/>
          <w:color w:val="auto"/>
          <w:sz w:val="16"/>
          <w:szCs w:val="16"/>
          <w:lang w:val="es-VE"/>
        </w:rPr>
        <w:t>s. Argentina</w:t>
      </w:r>
      <w:r w:rsidRPr="00683301">
        <w:rPr>
          <w:rFonts w:asciiTheme="majorHAnsi" w:hAnsiTheme="majorHAnsi"/>
          <w:color w:val="auto"/>
          <w:sz w:val="16"/>
          <w:szCs w:val="16"/>
          <w:lang w:val="es-VE"/>
        </w:rPr>
        <w:t>. Excepciones Preliminares, Fondo, Reparaciones y Costas. Sentencia de 20 de noviembre de 2014. Serie C No. 288, párr.121.</w:t>
      </w:r>
    </w:p>
  </w:footnote>
  <w:footnote w:id="45">
    <w:p w14:paraId="0485032A" w14:textId="69963D52" w:rsidR="00FE43A8" w:rsidRPr="00683301" w:rsidRDefault="00FE43A8" w:rsidP="006833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sz w:val="16"/>
          <w:szCs w:val="16"/>
          <w:lang w:val="es-CO"/>
        </w:rPr>
      </w:pPr>
      <w:r w:rsidRPr="00683301">
        <w:rPr>
          <w:rStyle w:val="FootnoteReference"/>
          <w:rFonts w:asciiTheme="majorHAnsi" w:hAnsiTheme="majorHAnsi"/>
          <w:sz w:val="16"/>
          <w:szCs w:val="16"/>
        </w:rPr>
        <w:footnoteRef/>
      </w:r>
      <w:r w:rsidRPr="00683301">
        <w:rPr>
          <w:rFonts w:asciiTheme="majorHAnsi" w:hAnsiTheme="majorHAnsi"/>
          <w:sz w:val="16"/>
          <w:szCs w:val="16"/>
          <w:lang w:val="es-VE"/>
        </w:rPr>
        <w:t xml:space="preserve"> </w:t>
      </w:r>
      <w:r w:rsidR="009916DF" w:rsidRPr="00683301">
        <w:rPr>
          <w:rFonts w:asciiTheme="majorHAnsi" w:hAnsiTheme="majorHAnsi" w:cs="Calibri"/>
          <w:sz w:val="16"/>
          <w:szCs w:val="16"/>
          <w:lang w:val="es-CO" w:eastAsia="es-ES"/>
        </w:rPr>
        <w:t>CIDH. I</w:t>
      </w:r>
      <w:r w:rsidRPr="00683301">
        <w:rPr>
          <w:rFonts w:asciiTheme="majorHAnsi" w:hAnsiTheme="majorHAnsi" w:cs="Calibri"/>
          <w:sz w:val="16"/>
          <w:szCs w:val="16"/>
          <w:lang w:val="es-CO" w:eastAsia="es-ES"/>
        </w:rPr>
        <w:t xml:space="preserve">nforme No. 2/97, Caso 11.205, Fondo, Jorge Luis Bronstein y otros, Argentina, 11 de marzo de 1997, párr. 12; CIDH. </w:t>
      </w:r>
      <w:r w:rsidRPr="00683301">
        <w:rPr>
          <w:rFonts w:asciiTheme="majorHAnsi" w:hAnsiTheme="majorHAnsi" w:cs="Calibri-Italic"/>
          <w:iCs/>
          <w:sz w:val="16"/>
          <w:szCs w:val="16"/>
          <w:lang w:val="es-CO" w:eastAsia="es-ES"/>
        </w:rPr>
        <w:t>Tercer informe sobre la situación de los derechos humanos en Paraguay</w:t>
      </w:r>
      <w:r w:rsidRPr="00683301">
        <w:rPr>
          <w:rFonts w:asciiTheme="majorHAnsi" w:hAnsiTheme="majorHAnsi" w:cs="Calibri"/>
          <w:sz w:val="16"/>
          <w:szCs w:val="16"/>
          <w:lang w:val="es-CO" w:eastAsia="es-ES"/>
        </w:rPr>
        <w:t xml:space="preserve">, OEA/Ser./L/VII.110. Doc. 52, adoptado el 9 de marzo de 2001. Cap. IV, párr. 34. Ver también: </w:t>
      </w:r>
      <w:r w:rsidRPr="004F4280">
        <w:rPr>
          <w:rFonts w:asciiTheme="majorHAnsi" w:hAnsiTheme="majorHAnsi" w:cs="Calibri"/>
          <w:sz w:val="16"/>
          <w:szCs w:val="16"/>
          <w:lang w:val="es-CO" w:eastAsia="es-ES"/>
        </w:rPr>
        <w:t>Corte IDH.</w:t>
      </w:r>
      <w:r w:rsidRPr="00683301">
        <w:rPr>
          <w:rFonts w:asciiTheme="majorHAnsi" w:hAnsiTheme="majorHAnsi" w:cs="Calibri"/>
          <w:i/>
          <w:sz w:val="16"/>
          <w:szCs w:val="16"/>
          <w:lang w:val="es-CO" w:eastAsia="es-ES"/>
        </w:rPr>
        <w:t xml:space="preserve"> </w:t>
      </w:r>
      <w:r w:rsidRPr="00683301">
        <w:rPr>
          <w:rFonts w:asciiTheme="majorHAnsi" w:hAnsiTheme="majorHAnsi" w:cs="Calibri-Italic"/>
          <w:i/>
          <w:iCs/>
          <w:sz w:val="16"/>
          <w:szCs w:val="16"/>
          <w:lang w:val="es-CO" w:eastAsia="es-ES"/>
        </w:rPr>
        <w:t>Caso López Álvarez Vs. Honduras</w:t>
      </w:r>
      <w:r w:rsidRPr="00683301">
        <w:rPr>
          <w:rFonts w:asciiTheme="majorHAnsi" w:hAnsiTheme="majorHAnsi" w:cs="Calibri"/>
          <w:sz w:val="16"/>
          <w:szCs w:val="16"/>
          <w:lang w:val="es-CO" w:eastAsia="es-ES"/>
        </w:rPr>
        <w:t xml:space="preserve">. Sentencia de 1 de febrero de 2006. Serie C No. 141, párr. 69; </w:t>
      </w:r>
      <w:r w:rsidRPr="00683301">
        <w:rPr>
          <w:rFonts w:asciiTheme="majorHAnsi" w:hAnsiTheme="majorHAnsi" w:cs="Calibri-Italic"/>
          <w:i/>
          <w:iCs/>
          <w:sz w:val="16"/>
          <w:szCs w:val="16"/>
          <w:lang w:val="es-CO" w:eastAsia="es-ES"/>
        </w:rPr>
        <w:t>Caso Acosta Calderón Vs. Ecuador</w:t>
      </w:r>
      <w:r w:rsidRPr="00683301">
        <w:rPr>
          <w:rFonts w:asciiTheme="majorHAnsi" w:hAnsiTheme="majorHAnsi" w:cs="Calibri"/>
          <w:sz w:val="16"/>
          <w:szCs w:val="16"/>
          <w:lang w:val="es-CO" w:eastAsia="es-ES"/>
        </w:rPr>
        <w:t xml:space="preserve">. Sentencia de 24 de junio de 2005. Serie C No. 129, párr. 111; </w:t>
      </w:r>
      <w:r w:rsidRPr="00683301">
        <w:rPr>
          <w:rFonts w:asciiTheme="majorHAnsi" w:hAnsiTheme="majorHAnsi" w:cs="Calibri-Italic"/>
          <w:i/>
          <w:iCs/>
          <w:sz w:val="16"/>
          <w:szCs w:val="16"/>
          <w:lang w:val="es-CO" w:eastAsia="es-ES"/>
        </w:rPr>
        <w:t>Caso Tibi Vs. Ecuador</w:t>
      </w:r>
      <w:r w:rsidRPr="00683301">
        <w:rPr>
          <w:rFonts w:asciiTheme="majorHAnsi" w:hAnsiTheme="majorHAnsi" w:cs="Calibri"/>
          <w:sz w:val="16"/>
          <w:szCs w:val="16"/>
          <w:lang w:val="es-CO" w:eastAsia="es-ES"/>
        </w:rPr>
        <w:t xml:space="preserve">. Sentencia de 7 de septiembre de 2004. Serie C No. 114, párr. 180; </w:t>
      </w:r>
      <w:r w:rsidRPr="00683301">
        <w:rPr>
          <w:rFonts w:asciiTheme="majorHAnsi" w:hAnsiTheme="majorHAnsi" w:cs="Calibri-Italic"/>
          <w:i/>
          <w:iCs/>
          <w:sz w:val="16"/>
          <w:szCs w:val="16"/>
          <w:lang w:val="es-CO" w:eastAsia="es-ES"/>
        </w:rPr>
        <w:t>Caso “Instituto de Reeducación del Menor” Vs. Paraguay</w:t>
      </w:r>
      <w:r w:rsidRPr="00683301">
        <w:rPr>
          <w:rFonts w:asciiTheme="majorHAnsi" w:hAnsiTheme="majorHAnsi" w:cs="Calibri"/>
          <w:sz w:val="16"/>
          <w:szCs w:val="16"/>
          <w:lang w:val="es-CO" w:eastAsia="es-ES"/>
        </w:rPr>
        <w:t xml:space="preserve">. Sentencia de 2 de septiembre de 2004. Serie C No. 112, párr. 229; </w:t>
      </w:r>
      <w:r w:rsidR="004F4280" w:rsidRPr="004F4280">
        <w:rPr>
          <w:rFonts w:asciiTheme="majorHAnsi" w:hAnsiTheme="majorHAnsi" w:cs="Calibri"/>
          <w:sz w:val="16"/>
          <w:szCs w:val="16"/>
          <w:lang w:val="es-CO" w:eastAsia="es-ES"/>
        </w:rPr>
        <w:t>y</w:t>
      </w:r>
      <w:r w:rsidRPr="00683301">
        <w:rPr>
          <w:rFonts w:asciiTheme="majorHAnsi" w:hAnsiTheme="majorHAnsi" w:cs="Calibri"/>
          <w:i/>
          <w:sz w:val="16"/>
          <w:szCs w:val="16"/>
          <w:lang w:val="es-CO" w:eastAsia="es-ES"/>
        </w:rPr>
        <w:t xml:space="preserve"> </w:t>
      </w:r>
      <w:r w:rsidRPr="00683301">
        <w:rPr>
          <w:rFonts w:asciiTheme="majorHAnsi" w:hAnsiTheme="majorHAnsi" w:cs="Calibri-Italic"/>
          <w:i/>
          <w:iCs/>
          <w:sz w:val="16"/>
          <w:szCs w:val="16"/>
          <w:lang w:val="es-CO" w:eastAsia="es-ES"/>
        </w:rPr>
        <w:t>Caso Suárez Rosero Vs. Ecuador</w:t>
      </w:r>
      <w:r w:rsidRPr="00683301">
        <w:rPr>
          <w:rFonts w:asciiTheme="majorHAnsi" w:hAnsiTheme="majorHAnsi" w:cs="Calibri"/>
          <w:sz w:val="16"/>
          <w:szCs w:val="16"/>
          <w:lang w:val="es-CO" w:eastAsia="es-ES"/>
        </w:rPr>
        <w:t xml:space="preserve">. Sentencia de 12 de noviembre de </w:t>
      </w:r>
      <w:r w:rsidR="007E098C" w:rsidRPr="00683301">
        <w:rPr>
          <w:rFonts w:asciiTheme="majorHAnsi" w:hAnsiTheme="majorHAnsi" w:cs="Calibri"/>
          <w:sz w:val="16"/>
          <w:szCs w:val="16"/>
          <w:lang w:val="es-CO" w:eastAsia="es-ES"/>
        </w:rPr>
        <w:t>1997. Serie C No. 35, párr. 77.</w:t>
      </w:r>
    </w:p>
  </w:footnote>
  <w:footnote w:id="46">
    <w:p w14:paraId="7DD721B8" w14:textId="77777777" w:rsidR="00FE43A8" w:rsidRPr="00683301" w:rsidRDefault="00FE43A8" w:rsidP="00683301">
      <w:pPr>
        <w:pStyle w:val="FootnoteText"/>
        <w:spacing w:before="120"/>
        <w:ind w:firstLine="720"/>
        <w:jc w:val="both"/>
        <w:rPr>
          <w:rFonts w:asciiTheme="majorHAnsi" w:hAnsiTheme="majorHAnsi"/>
          <w:color w:val="auto"/>
          <w:sz w:val="16"/>
          <w:szCs w:val="16"/>
          <w:lang w:val="es-CO"/>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CO"/>
        </w:rPr>
        <w:t xml:space="preserve"> CIDH. </w:t>
      </w:r>
      <w:r w:rsidR="00280BF1">
        <w:fldChar w:fldCharType="begin"/>
      </w:r>
      <w:r w:rsidR="00280BF1" w:rsidRPr="00245E5F">
        <w:rPr>
          <w:lang w:val="es-CO"/>
        </w:rPr>
        <w:instrText xml:space="preserve"> HYPERLINK "http://www.cidh.oas.org/annualrep/95span/cap.III.argentina11.245.htm" </w:instrText>
      </w:r>
      <w:r w:rsidR="00280BF1">
        <w:fldChar w:fldCharType="separate"/>
      </w:r>
      <w:r w:rsidRPr="00683301">
        <w:rPr>
          <w:rStyle w:val="Hyperlink"/>
          <w:rFonts w:asciiTheme="majorHAnsi" w:hAnsiTheme="majorHAnsi"/>
          <w:color w:val="auto"/>
          <w:sz w:val="16"/>
          <w:szCs w:val="16"/>
          <w:u w:val="none"/>
          <w:lang w:val="es-CO"/>
        </w:rPr>
        <w:t>Informe No. 12/96</w:t>
      </w:r>
      <w:r w:rsidR="00280BF1">
        <w:rPr>
          <w:rStyle w:val="Hyperlink"/>
          <w:rFonts w:asciiTheme="majorHAnsi" w:hAnsiTheme="majorHAnsi"/>
          <w:color w:val="auto"/>
          <w:sz w:val="16"/>
          <w:szCs w:val="16"/>
          <w:u w:val="none"/>
          <w:lang w:val="es-CO"/>
        </w:rPr>
        <w:fldChar w:fldCharType="end"/>
      </w:r>
      <w:r w:rsidRPr="00683301">
        <w:rPr>
          <w:rFonts w:asciiTheme="majorHAnsi" w:hAnsiTheme="majorHAnsi"/>
          <w:color w:val="auto"/>
          <w:sz w:val="16"/>
          <w:szCs w:val="16"/>
          <w:lang w:val="es-CO"/>
        </w:rPr>
        <w:t xml:space="preserve">. Argentina. </w:t>
      </w:r>
      <w:r w:rsidR="007E098C" w:rsidRPr="00683301">
        <w:rPr>
          <w:rFonts w:asciiTheme="majorHAnsi" w:hAnsiTheme="majorHAnsi"/>
          <w:color w:val="auto"/>
          <w:sz w:val="16"/>
          <w:szCs w:val="16"/>
          <w:lang w:val="es-CO"/>
        </w:rPr>
        <w:t>Caso 11.245. 1 de marzo de 1996,</w:t>
      </w:r>
      <w:r w:rsidRPr="00683301">
        <w:rPr>
          <w:rFonts w:asciiTheme="majorHAnsi" w:hAnsiTheme="majorHAnsi"/>
          <w:color w:val="auto"/>
          <w:sz w:val="16"/>
          <w:szCs w:val="16"/>
          <w:lang w:val="es-CO"/>
        </w:rPr>
        <w:t xml:space="preserve"> </w:t>
      </w:r>
      <w:r w:rsidR="007E098C" w:rsidRPr="00683301">
        <w:rPr>
          <w:rFonts w:asciiTheme="majorHAnsi" w:hAnsiTheme="majorHAnsi"/>
          <w:color w:val="auto"/>
          <w:sz w:val="16"/>
          <w:szCs w:val="16"/>
          <w:lang w:val="es-CO"/>
        </w:rPr>
        <w:t>p</w:t>
      </w:r>
      <w:r w:rsidRPr="00683301">
        <w:rPr>
          <w:rFonts w:asciiTheme="majorHAnsi" w:hAnsiTheme="majorHAnsi"/>
          <w:color w:val="auto"/>
          <w:sz w:val="16"/>
          <w:szCs w:val="16"/>
          <w:lang w:val="es-CO"/>
        </w:rPr>
        <w:t xml:space="preserve">árr. 80. </w:t>
      </w:r>
    </w:p>
  </w:footnote>
  <w:footnote w:id="47">
    <w:p w14:paraId="41358A47" w14:textId="77777777" w:rsidR="00FE43A8" w:rsidRPr="00683301" w:rsidRDefault="00FE43A8" w:rsidP="00683301">
      <w:pPr>
        <w:pStyle w:val="FootnoteText"/>
        <w:spacing w:before="120"/>
        <w:ind w:firstLine="720"/>
        <w:jc w:val="both"/>
        <w:rPr>
          <w:rFonts w:asciiTheme="majorHAnsi" w:hAnsiTheme="majorHAnsi"/>
          <w:color w:val="auto"/>
          <w:sz w:val="16"/>
          <w:szCs w:val="16"/>
          <w:lang w:val="es-CO"/>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CO"/>
        </w:rPr>
        <w:t xml:space="preserve"> CIDH. </w:t>
      </w:r>
      <w:r w:rsidR="00280BF1">
        <w:fldChar w:fldCharType="begin"/>
      </w:r>
      <w:r w:rsidR="00280BF1" w:rsidRPr="00245E5F">
        <w:rPr>
          <w:lang w:val="es-CO"/>
        </w:rPr>
        <w:instrText xml:space="preserve"> HYPERLINK "http://www.cidh.oas.org/annualrep/95span/cap.III.argentina11.245.htm" </w:instrText>
      </w:r>
      <w:r w:rsidR="00280BF1">
        <w:fldChar w:fldCharType="separate"/>
      </w:r>
      <w:r w:rsidRPr="00683301">
        <w:rPr>
          <w:rStyle w:val="Hyperlink"/>
          <w:rFonts w:asciiTheme="majorHAnsi" w:hAnsiTheme="majorHAnsi"/>
          <w:color w:val="auto"/>
          <w:sz w:val="16"/>
          <w:szCs w:val="16"/>
          <w:u w:val="none"/>
          <w:lang w:val="es-CO"/>
        </w:rPr>
        <w:t>Informe No. 12/96</w:t>
      </w:r>
      <w:r w:rsidR="00280BF1">
        <w:rPr>
          <w:rStyle w:val="Hyperlink"/>
          <w:rFonts w:asciiTheme="majorHAnsi" w:hAnsiTheme="majorHAnsi"/>
          <w:color w:val="auto"/>
          <w:sz w:val="16"/>
          <w:szCs w:val="16"/>
          <w:u w:val="none"/>
          <w:lang w:val="es-CO"/>
        </w:rPr>
        <w:fldChar w:fldCharType="end"/>
      </w:r>
      <w:r w:rsidRPr="00683301">
        <w:rPr>
          <w:rFonts w:asciiTheme="majorHAnsi" w:hAnsiTheme="majorHAnsi"/>
          <w:color w:val="auto"/>
          <w:sz w:val="16"/>
          <w:szCs w:val="16"/>
          <w:lang w:val="es-CO"/>
        </w:rPr>
        <w:t xml:space="preserve">. Argentina. </w:t>
      </w:r>
      <w:r w:rsidR="007E098C" w:rsidRPr="00683301">
        <w:rPr>
          <w:rFonts w:asciiTheme="majorHAnsi" w:hAnsiTheme="majorHAnsi"/>
          <w:color w:val="auto"/>
          <w:sz w:val="16"/>
          <w:szCs w:val="16"/>
          <w:lang w:val="es-CO"/>
        </w:rPr>
        <w:t>Caso 11.245. 1 de marzo de 1996,</w:t>
      </w:r>
      <w:r w:rsidRPr="00683301">
        <w:rPr>
          <w:rFonts w:asciiTheme="majorHAnsi" w:hAnsiTheme="majorHAnsi"/>
          <w:color w:val="auto"/>
          <w:sz w:val="16"/>
          <w:szCs w:val="16"/>
          <w:lang w:val="es-CO"/>
        </w:rPr>
        <w:t xml:space="preserve"> </w:t>
      </w:r>
      <w:r w:rsidR="007E098C" w:rsidRPr="00683301">
        <w:rPr>
          <w:rFonts w:asciiTheme="majorHAnsi" w:hAnsiTheme="majorHAnsi"/>
          <w:color w:val="auto"/>
          <w:sz w:val="16"/>
          <w:szCs w:val="16"/>
          <w:lang w:val="es-CO"/>
        </w:rPr>
        <w:t>p</w:t>
      </w:r>
      <w:r w:rsidRPr="00683301">
        <w:rPr>
          <w:rFonts w:asciiTheme="majorHAnsi" w:hAnsiTheme="majorHAnsi"/>
          <w:color w:val="auto"/>
          <w:sz w:val="16"/>
          <w:szCs w:val="16"/>
          <w:lang w:val="es-CO"/>
        </w:rPr>
        <w:t xml:space="preserve">árr. 114. </w:t>
      </w:r>
    </w:p>
  </w:footnote>
  <w:footnote w:id="48">
    <w:p w14:paraId="3E069824" w14:textId="77777777" w:rsidR="00FE43A8" w:rsidRPr="00683301" w:rsidRDefault="00FE43A8" w:rsidP="006833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cs="Calibri"/>
          <w:sz w:val="16"/>
          <w:szCs w:val="16"/>
          <w:lang w:val="es-CO" w:eastAsia="es-ES"/>
        </w:rPr>
      </w:pPr>
      <w:r w:rsidRPr="00683301">
        <w:rPr>
          <w:rStyle w:val="FootnoteReference"/>
          <w:rFonts w:asciiTheme="majorHAnsi" w:hAnsiTheme="majorHAnsi"/>
          <w:sz w:val="16"/>
          <w:szCs w:val="16"/>
        </w:rPr>
        <w:footnoteRef/>
      </w:r>
      <w:r w:rsidRPr="00683301">
        <w:rPr>
          <w:rFonts w:asciiTheme="majorHAnsi" w:hAnsiTheme="majorHAnsi"/>
          <w:sz w:val="16"/>
          <w:szCs w:val="16"/>
          <w:lang w:val="es-CO"/>
        </w:rPr>
        <w:t xml:space="preserve"> </w:t>
      </w:r>
      <w:r w:rsidRPr="00683301">
        <w:rPr>
          <w:rFonts w:asciiTheme="majorHAnsi" w:hAnsiTheme="majorHAnsi" w:cs="Calibri"/>
          <w:sz w:val="16"/>
          <w:szCs w:val="16"/>
          <w:lang w:val="es-CO" w:eastAsia="es-ES"/>
        </w:rPr>
        <w:t xml:space="preserve">Corte IDH. </w:t>
      </w:r>
      <w:r w:rsidRPr="00683301">
        <w:rPr>
          <w:rFonts w:asciiTheme="majorHAnsi" w:hAnsiTheme="majorHAnsi" w:cs="Calibri-Italic"/>
          <w:i/>
          <w:iCs/>
          <w:sz w:val="16"/>
          <w:szCs w:val="16"/>
          <w:lang w:val="es-CO" w:eastAsia="es-ES"/>
        </w:rPr>
        <w:t>Caso Usón Ramírez Vs. Venezuela</w:t>
      </w:r>
      <w:r w:rsidRPr="00683301">
        <w:rPr>
          <w:rFonts w:asciiTheme="majorHAnsi" w:hAnsiTheme="majorHAnsi" w:cs="Calibri-Italic"/>
          <w:iCs/>
          <w:sz w:val="16"/>
          <w:szCs w:val="16"/>
          <w:lang w:val="es-CO" w:eastAsia="es-ES"/>
        </w:rPr>
        <w:t xml:space="preserve">. </w:t>
      </w:r>
      <w:r w:rsidRPr="00683301">
        <w:rPr>
          <w:rFonts w:asciiTheme="majorHAnsi" w:hAnsiTheme="majorHAnsi" w:cs="Calibri"/>
          <w:sz w:val="16"/>
          <w:szCs w:val="16"/>
          <w:lang w:val="es-CO" w:eastAsia="es-ES"/>
        </w:rPr>
        <w:t>Excepción Preliminar, Fondo, Reparaciones y Costas. Sentencia de 20 de noviembre de 2009. Serie C No. 207, párr. 144.</w:t>
      </w:r>
    </w:p>
  </w:footnote>
  <w:footnote w:id="49">
    <w:p w14:paraId="1E076875" w14:textId="222EF813" w:rsidR="00FE43A8" w:rsidRPr="00683301" w:rsidRDefault="00FE43A8" w:rsidP="00683301">
      <w:pPr>
        <w:pStyle w:val="FootnoteText"/>
        <w:spacing w:before="120"/>
        <w:ind w:firstLine="720"/>
        <w:jc w:val="both"/>
        <w:rPr>
          <w:rFonts w:asciiTheme="majorHAnsi" w:hAnsiTheme="majorHAnsi"/>
          <w:color w:val="auto"/>
          <w:sz w:val="16"/>
          <w:szCs w:val="16"/>
          <w:lang w:val="es-CO"/>
        </w:rPr>
      </w:pPr>
      <w:r w:rsidRPr="00683301">
        <w:rPr>
          <w:rStyle w:val="FootnoteReference"/>
          <w:rFonts w:asciiTheme="majorHAnsi" w:eastAsia="Arial Unicode MS" w:hAnsiTheme="majorHAnsi" w:cs="Times New Roman"/>
          <w:color w:val="auto"/>
          <w:sz w:val="16"/>
          <w:szCs w:val="16"/>
        </w:rPr>
        <w:footnoteRef/>
      </w:r>
      <w:r w:rsidRPr="00683301">
        <w:rPr>
          <w:rFonts w:asciiTheme="majorHAnsi" w:hAnsiTheme="majorHAnsi"/>
          <w:color w:val="auto"/>
          <w:sz w:val="16"/>
          <w:szCs w:val="16"/>
          <w:lang w:val="es-CO"/>
        </w:rPr>
        <w:t xml:space="preserve"> CIDH. </w:t>
      </w:r>
      <w:r w:rsidR="00280BF1">
        <w:fldChar w:fldCharType="begin"/>
      </w:r>
      <w:r w:rsidR="00280BF1" w:rsidRPr="00245E5F">
        <w:rPr>
          <w:lang w:val="es-ES"/>
        </w:rPr>
        <w:instrText xml:space="preserve"> HYPERLINK "http://www.oas.org/es/cidh/ppl/informes/pdfs/Informe-PP-2013-es.pdf" </w:instrText>
      </w:r>
      <w:r w:rsidR="00280BF1">
        <w:fldChar w:fldCharType="separate"/>
      </w:r>
      <w:r w:rsidRPr="00683301">
        <w:rPr>
          <w:rStyle w:val="Hyperlink"/>
          <w:rFonts w:asciiTheme="majorHAnsi" w:hAnsiTheme="majorHAnsi"/>
          <w:color w:val="auto"/>
          <w:sz w:val="16"/>
          <w:szCs w:val="16"/>
          <w:u w:val="none"/>
          <w:lang w:val="es-CO"/>
        </w:rPr>
        <w:t>Informe sobre el uso de la prisión preventiva en las Américas</w:t>
      </w:r>
      <w:r w:rsidR="00280BF1">
        <w:rPr>
          <w:rStyle w:val="Hyperlink"/>
          <w:rFonts w:asciiTheme="majorHAnsi" w:hAnsiTheme="majorHAnsi"/>
          <w:color w:val="auto"/>
          <w:sz w:val="16"/>
          <w:szCs w:val="16"/>
          <w:u w:val="none"/>
          <w:lang w:val="es-CO"/>
        </w:rPr>
        <w:fldChar w:fldCharType="end"/>
      </w:r>
      <w:r w:rsidRPr="00683301">
        <w:rPr>
          <w:rFonts w:asciiTheme="majorHAnsi" w:hAnsiTheme="majorHAnsi"/>
          <w:color w:val="auto"/>
          <w:sz w:val="16"/>
          <w:szCs w:val="16"/>
          <w:lang w:val="es-CO"/>
        </w:rPr>
        <w:t>. OEA/Ser.L/</w:t>
      </w:r>
      <w:r w:rsidR="00E95853">
        <w:rPr>
          <w:rFonts w:asciiTheme="majorHAnsi" w:hAnsiTheme="majorHAnsi"/>
          <w:color w:val="auto"/>
          <w:sz w:val="16"/>
          <w:szCs w:val="16"/>
          <w:lang w:val="es-CO"/>
        </w:rPr>
        <w:t>V/II. 30 de diciembre de 2013, p</w:t>
      </w:r>
      <w:r w:rsidRPr="00683301">
        <w:rPr>
          <w:rFonts w:asciiTheme="majorHAnsi" w:hAnsiTheme="majorHAnsi"/>
          <w:color w:val="auto"/>
          <w:sz w:val="16"/>
          <w:szCs w:val="16"/>
          <w:lang w:val="es-CO"/>
        </w:rPr>
        <w:t>árr. 137.</w:t>
      </w:r>
    </w:p>
  </w:footnote>
  <w:footnote w:id="50">
    <w:p w14:paraId="6060ECA2" w14:textId="63DE86D1" w:rsidR="00411D99" w:rsidRPr="00E95853" w:rsidRDefault="00411D99" w:rsidP="00E95853">
      <w:pPr>
        <w:spacing w:before="120"/>
        <w:ind w:firstLine="720"/>
        <w:jc w:val="both"/>
        <w:outlineLvl w:val="0"/>
        <w:rPr>
          <w:rFonts w:asciiTheme="majorHAnsi" w:hAnsiTheme="majorHAnsi"/>
          <w:b/>
          <w:sz w:val="16"/>
          <w:szCs w:val="16"/>
          <w:lang w:val="es-ES"/>
          <w14:shadow w14:blurRad="50800" w14:dist="38100" w14:dir="2700000" w14:sx="100000" w14:sy="100000" w14:kx="0" w14:ky="0" w14:algn="tl">
            <w14:srgbClr w14:val="000000">
              <w14:alpha w14:val="60000"/>
            </w14:srgbClr>
          </w14:shadow>
        </w:rPr>
      </w:pPr>
      <w:r w:rsidRPr="00683301">
        <w:rPr>
          <w:rStyle w:val="FootnoteReference"/>
          <w:rFonts w:asciiTheme="majorHAnsi" w:hAnsiTheme="majorHAnsi"/>
          <w:sz w:val="16"/>
          <w:szCs w:val="16"/>
        </w:rPr>
        <w:footnoteRef/>
      </w:r>
      <w:r w:rsidRPr="00683301">
        <w:rPr>
          <w:rFonts w:asciiTheme="majorHAnsi" w:hAnsiTheme="majorHAnsi"/>
          <w:sz w:val="16"/>
          <w:szCs w:val="16"/>
          <w:lang w:val="es-ES"/>
        </w:rPr>
        <w:t xml:space="preserve"> CIDH. Informe sobre el uso de la prisión preventiva en las Américas. OEA/Ser.L/V/II. Doc. 4</w:t>
      </w:r>
      <w:r w:rsidR="00E95853">
        <w:rPr>
          <w:rFonts w:asciiTheme="majorHAnsi" w:hAnsiTheme="majorHAnsi"/>
          <w:sz w:val="16"/>
          <w:szCs w:val="16"/>
          <w:lang w:val="es-ES"/>
        </w:rPr>
        <w:t>6/13. 30 de diciembre de 2013, p</w:t>
      </w:r>
      <w:r w:rsidRPr="00683301">
        <w:rPr>
          <w:rFonts w:asciiTheme="majorHAnsi" w:hAnsiTheme="majorHAnsi"/>
          <w:sz w:val="16"/>
          <w:szCs w:val="16"/>
          <w:lang w:val="es-ES"/>
        </w:rPr>
        <w:t>á</w:t>
      </w:r>
      <w:r w:rsidR="00EA6C8A" w:rsidRPr="00683301">
        <w:rPr>
          <w:rFonts w:asciiTheme="majorHAnsi" w:hAnsiTheme="majorHAnsi"/>
          <w:sz w:val="16"/>
          <w:szCs w:val="16"/>
          <w:lang w:val="es-ES"/>
        </w:rPr>
        <w:t>rr. 132</w:t>
      </w:r>
      <w:r w:rsidRPr="00683301">
        <w:rPr>
          <w:rFonts w:asciiTheme="majorHAnsi" w:hAnsiTheme="majorHAnsi"/>
          <w:sz w:val="16"/>
          <w:szCs w:val="16"/>
          <w:lang w:val="es-ES"/>
        </w:rPr>
        <w:t xml:space="preserve">. </w:t>
      </w:r>
    </w:p>
  </w:footnote>
  <w:footnote w:id="51">
    <w:p w14:paraId="1D3F2001" w14:textId="61B394BF" w:rsidR="004A1D2D" w:rsidRPr="00683301" w:rsidRDefault="004A1D2D" w:rsidP="00683301">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rFonts w:asciiTheme="majorHAnsi" w:hAnsiTheme="majorHAnsi"/>
          <w:color w:val="auto"/>
          <w:sz w:val="16"/>
          <w:szCs w:val="16"/>
          <w:lang w:val="es-ES"/>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ES_tradnl"/>
        </w:rPr>
        <w:t xml:space="preserve"> Artículo 177 del </w:t>
      </w:r>
      <w:r w:rsidRPr="00683301">
        <w:rPr>
          <w:rFonts w:asciiTheme="majorHAnsi" w:hAnsiTheme="majorHAnsi"/>
          <w:color w:val="auto"/>
          <w:sz w:val="16"/>
          <w:szCs w:val="16"/>
          <w:lang w:val="es-ES"/>
        </w:rPr>
        <w:t>Código de Procedimiento Penal ecuatoriano de 1983. Corte IDH.</w:t>
      </w:r>
      <w:r w:rsidRPr="00683301">
        <w:rPr>
          <w:rFonts w:asciiTheme="majorHAnsi" w:hAnsiTheme="majorHAnsi"/>
          <w:color w:val="auto"/>
          <w:sz w:val="16"/>
          <w:szCs w:val="16"/>
          <w:lang w:val="es-ES_tradnl"/>
        </w:rPr>
        <w:t xml:space="preserve"> </w:t>
      </w:r>
      <w:r w:rsidRPr="00683301">
        <w:rPr>
          <w:rFonts w:asciiTheme="majorHAnsi" w:hAnsiTheme="majorHAnsi"/>
          <w:i/>
          <w:color w:val="auto"/>
          <w:sz w:val="16"/>
          <w:szCs w:val="16"/>
          <w:lang w:val="es-ES_tradnl"/>
        </w:rPr>
        <w:t xml:space="preserve">Caso Suárez Rosero Vs. </w:t>
      </w:r>
      <w:r w:rsidRPr="00683301">
        <w:rPr>
          <w:rFonts w:asciiTheme="majorHAnsi" w:hAnsiTheme="majorHAnsi"/>
          <w:i/>
          <w:color w:val="auto"/>
          <w:sz w:val="16"/>
          <w:szCs w:val="16"/>
          <w:lang w:val="es-ES"/>
        </w:rPr>
        <w:t>Ecuador</w:t>
      </w:r>
      <w:r w:rsidRPr="00683301">
        <w:rPr>
          <w:rFonts w:asciiTheme="majorHAnsi" w:hAnsiTheme="majorHAnsi"/>
          <w:color w:val="auto"/>
          <w:sz w:val="16"/>
          <w:szCs w:val="16"/>
          <w:lang w:val="es-ES"/>
        </w:rPr>
        <w:t xml:space="preserve">. Sentencia de 12 de noviembre de 1997. Serie C No. 35, párr. 146; </w:t>
      </w:r>
      <w:r w:rsidR="004F4280">
        <w:rPr>
          <w:rFonts w:asciiTheme="majorHAnsi" w:hAnsiTheme="majorHAnsi"/>
          <w:color w:val="auto"/>
          <w:sz w:val="16"/>
          <w:szCs w:val="16"/>
          <w:lang w:val="es-ES"/>
        </w:rPr>
        <w:t xml:space="preserve">y </w:t>
      </w:r>
      <w:r w:rsidRPr="00683301">
        <w:rPr>
          <w:rFonts w:asciiTheme="majorHAnsi" w:hAnsiTheme="majorHAnsi"/>
          <w:bCs/>
          <w:i/>
          <w:color w:val="auto"/>
          <w:sz w:val="16"/>
          <w:szCs w:val="16"/>
          <w:lang w:val="es-ES_tradnl"/>
        </w:rPr>
        <w:t>Caso Chaparro Álvarez y Lapo Íñiguez Vs. Ecuador.</w:t>
      </w:r>
      <w:r w:rsidRPr="00683301">
        <w:rPr>
          <w:rFonts w:asciiTheme="majorHAnsi" w:hAnsiTheme="majorHAnsi"/>
          <w:bCs/>
          <w:color w:val="auto"/>
          <w:sz w:val="16"/>
          <w:szCs w:val="16"/>
          <w:lang w:val="es-ES_tradnl"/>
        </w:rPr>
        <w:t xml:space="preserve"> </w:t>
      </w:r>
      <w:r w:rsidRPr="00E95853">
        <w:rPr>
          <w:rFonts w:asciiTheme="majorHAnsi" w:hAnsiTheme="majorHAnsi"/>
          <w:color w:val="auto"/>
          <w:sz w:val="16"/>
          <w:szCs w:val="16"/>
          <w:lang w:val="es-ES_tradnl"/>
        </w:rPr>
        <w:t xml:space="preserve">Excepciones Preliminares, Fondo, Reparaciones y Costas. </w:t>
      </w:r>
      <w:r w:rsidRPr="00683301">
        <w:rPr>
          <w:rFonts w:asciiTheme="majorHAnsi" w:hAnsiTheme="majorHAnsi"/>
          <w:color w:val="auto"/>
          <w:sz w:val="16"/>
          <w:szCs w:val="16"/>
          <w:lang w:val="es-ES_tradnl"/>
        </w:rPr>
        <w:t>Sentencia de 21 de noviembre de 2007. Serie C No. 170, párr. 104.</w:t>
      </w:r>
    </w:p>
  </w:footnote>
  <w:footnote w:id="52">
    <w:p w14:paraId="19BB957D" w14:textId="77777777" w:rsidR="00BC237A" w:rsidRPr="00683301" w:rsidRDefault="00BC237A" w:rsidP="00683301">
      <w:pPr>
        <w:pStyle w:val="FootnoteText"/>
        <w:spacing w:before="120"/>
        <w:ind w:firstLine="720"/>
        <w:jc w:val="both"/>
        <w:rPr>
          <w:rFonts w:asciiTheme="majorHAnsi" w:hAnsiTheme="majorHAnsi"/>
          <w:color w:val="auto"/>
          <w:sz w:val="16"/>
          <w:szCs w:val="16"/>
          <w:lang w:val="es-ES"/>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ES"/>
        </w:rPr>
        <w:t xml:space="preserve"> CIDH. Informe No. 40/14. Caso 10.438. Informe de Fondo. Herrera Espinoza y otros. </w:t>
      </w:r>
      <w:r w:rsidRPr="00683301">
        <w:rPr>
          <w:rFonts w:asciiTheme="majorHAnsi" w:hAnsiTheme="majorHAnsi"/>
          <w:color w:val="auto"/>
          <w:sz w:val="16"/>
          <w:szCs w:val="16"/>
          <w:lang w:val="es-ES_tradnl"/>
        </w:rPr>
        <w:t>Ecuador. 17 de julio de 2015</w:t>
      </w:r>
      <w:r w:rsidR="007E098C" w:rsidRPr="00683301">
        <w:rPr>
          <w:rFonts w:asciiTheme="majorHAnsi" w:hAnsiTheme="majorHAnsi"/>
          <w:color w:val="auto"/>
          <w:sz w:val="16"/>
          <w:szCs w:val="16"/>
          <w:lang w:val="es-ES_tradnl"/>
        </w:rPr>
        <w:t>,</w:t>
      </w:r>
      <w:r w:rsidRPr="00683301">
        <w:rPr>
          <w:rFonts w:asciiTheme="majorHAnsi" w:hAnsiTheme="majorHAnsi"/>
          <w:color w:val="auto"/>
          <w:sz w:val="16"/>
          <w:szCs w:val="16"/>
          <w:lang w:val="es-ES_tradnl"/>
        </w:rPr>
        <w:t xml:space="preserve"> </w:t>
      </w:r>
      <w:r w:rsidR="007E098C" w:rsidRPr="00683301">
        <w:rPr>
          <w:rFonts w:asciiTheme="majorHAnsi" w:hAnsiTheme="majorHAnsi"/>
          <w:color w:val="auto"/>
          <w:sz w:val="16"/>
          <w:szCs w:val="16"/>
          <w:lang w:val="es-ES_tradnl"/>
        </w:rPr>
        <w:t>p</w:t>
      </w:r>
      <w:r w:rsidRPr="00683301">
        <w:rPr>
          <w:rFonts w:asciiTheme="majorHAnsi" w:hAnsiTheme="majorHAnsi"/>
          <w:color w:val="auto"/>
          <w:sz w:val="16"/>
          <w:szCs w:val="16"/>
          <w:lang w:val="es-ES_tradnl"/>
        </w:rPr>
        <w:t>árr. 135.</w:t>
      </w:r>
    </w:p>
  </w:footnote>
  <w:footnote w:id="53">
    <w:p w14:paraId="4C62AF0E" w14:textId="77777777" w:rsidR="002F5E72" w:rsidRPr="00683301" w:rsidRDefault="002F5E72" w:rsidP="00683301">
      <w:pPr>
        <w:pStyle w:val="FootnoteText"/>
        <w:spacing w:before="120"/>
        <w:ind w:firstLine="720"/>
        <w:jc w:val="both"/>
        <w:rPr>
          <w:rFonts w:asciiTheme="majorHAnsi" w:hAnsiTheme="majorHAnsi"/>
          <w:color w:val="auto"/>
          <w:sz w:val="16"/>
          <w:szCs w:val="16"/>
          <w:lang w:val="es-ES_tradnl"/>
        </w:rPr>
      </w:pPr>
      <w:r w:rsidRPr="00683301">
        <w:rPr>
          <w:rStyle w:val="FootnoteReference"/>
          <w:rFonts w:asciiTheme="majorHAnsi" w:hAnsiTheme="majorHAnsi"/>
          <w:color w:val="auto"/>
          <w:sz w:val="16"/>
          <w:szCs w:val="16"/>
        </w:rPr>
        <w:footnoteRef/>
      </w:r>
      <w:r w:rsidRPr="00683301">
        <w:rPr>
          <w:rFonts w:asciiTheme="majorHAnsi" w:hAnsiTheme="majorHAnsi" w:cs="Arial"/>
          <w:color w:val="auto"/>
          <w:sz w:val="16"/>
          <w:szCs w:val="16"/>
          <w:lang w:val="es-ES"/>
        </w:rPr>
        <w:t xml:space="preserve"> CIDH, Informe No. 111/10, Caso 12.539, Fondo, Sebastián Claus Furlan y familia, Argentina, 21 de octubre de 2010, párr. </w:t>
      </w:r>
      <w:r w:rsidR="007E098C" w:rsidRPr="00683301">
        <w:rPr>
          <w:rFonts w:asciiTheme="majorHAnsi" w:hAnsiTheme="majorHAnsi" w:cs="Arial"/>
          <w:color w:val="auto"/>
          <w:sz w:val="16"/>
          <w:szCs w:val="16"/>
          <w:lang w:val="es-ES"/>
        </w:rPr>
        <w:t>100. Corte I</w:t>
      </w:r>
      <w:r w:rsidRPr="00683301">
        <w:rPr>
          <w:rFonts w:asciiTheme="majorHAnsi" w:hAnsiTheme="majorHAnsi" w:cs="Arial"/>
          <w:color w:val="auto"/>
          <w:sz w:val="16"/>
          <w:szCs w:val="16"/>
          <w:lang w:val="es-ES"/>
        </w:rPr>
        <w:t xml:space="preserve">DH. </w:t>
      </w:r>
      <w:r w:rsidRPr="00683301">
        <w:rPr>
          <w:rFonts w:asciiTheme="majorHAnsi" w:hAnsiTheme="majorHAnsi" w:cs="Arial"/>
          <w:i/>
          <w:color w:val="auto"/>
          <w:sz w:val="16"/>
          <w:szCs w:val="16"/>
          <w:shd w:val="clear" w:color="auto" w:fill="FFFFFF"/>
          <w:lang w:val="es-ES"/>
        </w:rPr>
        <w:t xml:space="preserve">Caso Masacre de Santo Domingo Vs. </w:t>
      </w:r>
      <w:r w:rsidRPr="00683301">
        <w:rPr>
          <w:rFonts w:asciiTheme="majorHAnsi" w:hAnsiTheme="majorHAnsi" w:cs="Arial"/>
          <w:i/>
          <w:color w:val="auto"/>
          <w:sz w:val="16"/>
          <w:szCs w:val="16"/>
          <w:shd w:val="clear" w:color="auto" w:fill="FFFFFF"/>
          <w:lang w:val="es-ES_tradnl"/>
        </w:rPr>
        <w:t>Colombia</w:t>
      </w:r>
      <w:r w:rsidRPr="00683301">
        <w:rPr>
          <w:rFonts w:asciiTheme="majorHAnsi" w:hAnsiTheme="majorHAnsi" w:cs="Arial"/>
          <w:color w:val="auto"/>
          <w:sz w:val="16"/>
          <w:szCs w:val="16"/>
          <w:shd w:val="clear" w:color="auto" w:fill="FFFFFF"/>
          <w:lang w:val="es-ES_tradnl"/>
        </w:rPr>
        <w:t>. Excepciones Preliminares, Fondo y Reparaciones. Sentencia de 30 de noviembre de 2012. Serie C No. 259,</w:t>
      </w:r>
      <w:r w:rsidRPr="00683301">
        <w:rPr>
          <w:rFonts w:asciiTheme="majorHAnsi" w:hAnsiTheme="majorHAnsi" w:cs="Arial"/>
          <w:color w:val="auto"/>
          <w:sz w:val="16"/>
          <w:szCs w:val="16"/>
          <w:lang w:val="es-ES_tradnl"/>
        </w:rPr>
        <w:t xml:space="preserve"> párr. </w:t>
      </w:r>
      <w:r w:rsidRPr="00683301">
        <w:rPr>
          <w:rFonts w:asciiTheme="majorHAnsi" w:hAnsiTheme="majorHAnsi" w:cs="Arial"/>
          <w:color w:val="auto"/>
          <w:sz w:val="16"/>
          <w:szCs w:val="16"/>
          <w:lang w:val="es-ES"/>
        </w:rPr>
        <w:t>164.</w:t>
      </w:r>
    </w:p>
  </w:footnote>
  <w:footnote w:id="54">
    <w:p w14:paraId="00E29357" w14:textId="77777777" w:rsidR="002F5E72" w:rsidRPr="00683301" w:rsidRDefault="002F5E72" w:rsidP="00683301">
      <w:pPr>
        <w:pStyle w:val="FootnoteText"/>
        <w:spacing w:before="120"/>
        <w:ind w:firstLine="709"/>
        <w:jc w:val="both"/>
        <w:rPr>
          <w:rFonts w:asciiTheme="majorHAnsi" w:hAnsiTheme="majorHAnsi"/>
          <w:color w:val="auto"/>
          <w:sz w:val="16"/>
          <w:szCs w:val="16"/>
          <w:lang w:val="es-PE"/>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PE"/>
        </w:rPr>
        <w:t xml:space="preserve"> Corte IDH. </w:t>
      </w:r>
      <w:r w:rsidRPr="00683301">
        <w:rPr>
          <w:rFonts w:asciiTheme="majorHAnsi" w:hAnsiTheme="majorHAnsi"/>
          <w:i/>
          <w:iCs/>
          <w:color w:val="auto"/>
          <w:sz w:val="16"/>
          <w:szCs w:val="16"/>
          <w:lang w:val="es-PE"/>
        </w:rPr>
        <w:t>Caso García Asto y Ramírez Rojas Vs. Perú</w:t>
      </w:r>
      <w:r w:rsidRPr="00683301">
        <w:rPr>
          <w:rFonts w:asciiTheme="majorHAnsi" w:hAnsiTheme="majorHAnsi"/>
          <w:color w:val="auto"/>
          <w:sz w:val="16"/>
          <w:szCs w:val="16"/>
          <w:lang w:val="es-PE"/>
        </w:rPr>
        <w:t xml:space="preserve">. Sentencia de 25 de noviembre de 2005. Serie C No. 137, párr. </w:t>
      </w:r>
      <w:r w:rsidRPr="00683301">
        <w:rPr>
          <w:rFonts w:asciiTheme="majorHAnsi" w:hAnsiTheme="majorHAnsi"/>
          <w:color w:val="auto"/>
          <w:sz w:val="16"/>
          <w:szCs w:val="16"/>
          <w:lang w:val="es-ES"/>
        </w:rPr>
        <w:t xml:space="preserve">166; </w:t>
      </w:r>
      <w:r w:rsidRPr="00683301">
        <w:rPr>
          <w:rFonts w:asciiTheme="majorHAnsi" w:hAnsiTheme="majorHAnsi"/>
          <w:i/>
          <w:iCs/>
          <w:color w:val="auto"/>
          <w:sz w:val="16"/>
          <w:szCs w:val="16"/>
          <w:lang w:val="es-ES"/>
        </w:rPr>
        <w:t>Caso Gómez Palomino Vs. Perú</w:t>
      </w:r>
      <w:r w:rsidRPr="00683301">
        <w:rPr>
          <w:rFonts w:asciiTheme="majorHAnsi" w:hAnsiTheme="majorHAnsi"/>
          <w:color w:val="auto"/>
          <w:sz w:val="16"/>
          <w:szCs w:val="16"/>
          <w:lang w:val="es-ES"/>
        </w:rPr>
        <w:t xml:space="preserve">. Sentencia de 22 de noviembre de 2005. Serie C No. 136, párr. 85; </w:t>
      </w:r>
      <w:r w:rsidRPr="00683301">
        <w:rPr>
          <w:rFonts w:asciiTheme="majorHAnsi" w:hAnsiTheme="majorHAnsi"/>
          <w:i/>
          <w:iCs/>
          <w:color w:val="auto"/>
          <w:sz w:val="16"/>
          <w:szCs w:val="16"/>
          <w:lang w:val="es-ES"/>
        </w:rPr>
        <w:t>Caso de la Comunidad Moiwana Vs. Surinam</w:t>
      </w:r>
      <w:r w:rsidRPr="00683301">
        <w:rPr>
          <w:rFonts w:asciiTheme="majorHAnsi" w:hAnsiTheme="majorHAnsi"/>
          <w:color w:val="auto"/>
          <w:sz w:val="16"/>
          <w:szCs w:val="16"/>
          <w:lang w:val="es-ES"/>
        </w:rPr>
        <w:t xml:space="preserve">. Sentencia de 15 de junio de 2005. Serie C No. 124, párr. 160.  </w:t>
      </w:r>
    </w:p>
  </w:footnote>
  <w:footnote w:id="55">
    <w:p w14:paraId="0F3B2FA0" w14:textId="77777777" w:rsidR="002F5E72" w:rsidRPr="00683301" w:rsidRDefault="002F5E72" w:rsidP="00683301">
      <w:pPr>
        <w:pStyle w:val="FootnoteText"/>
        <w:spacing w:before="120"/>
        <w:ind w:firstLine="709"/>
        <w:jc w:val="both"/>
        <w:rPr>
          <w:rFonts w:asciiTheme="majorHAnsi" w:hAnsiTheme="majorHAnsi"/>
          <w:color w:val="auto"/>
          <w:sz w:val="16"/>
          <w:szCs w:val="16"/>
          <w:lang w:val="es-PE"/>
        </w:rPr>
      </w:pPr>
      <w:r w:rsidRPr="00683301">
        <w:rPr>
          <w:rStyle w:val="FootnoteReference"/>
          <w:rFonts w:asciiTheme="majorHAnsi" w:hAnsiTheme="majorHAnsi"/>
          <w:color w:val="auto"/>
          <w:sz w:val="16"/>
          <w:szCs w:val="16"/>
        </w:rPr>
        <w:footnoteRef/>
      </w:r>
      <w:r w:rsidRPr="00683301">
        <w:rPr>
          <w:rFonts w:asciiTheme="majorHAnsi" w:hAnsiTheme="majorHAnsi"/>
          <w:color w:val="auto"/>
          <w:sz w:val="16"/>
          <w:szCs w:val="16"/>
          <w:lang w:val="es-PE"/>
        </w:rPr>
        <w:t xml:space="preserve"> Corte IDH. </w:t>
      </w:r>
      <w:r w:rsidRPr="00683301">
        <w:rPr>
          <w:rFonts w:asciiTheme="majorHAnsi" w:hAnsiTheme="majorHAnsi"/>
          <w:i/>
          <w:iCs/>
          <w:color w:val="auto"/>
          <w:sz w:val="16"/>
          <w:szCs w:val="16"/>
          <w:lang w:val="es-PE"/>
        </w:rPr>
        <w:t xml:space="preserve">Caso Ricardo Canese Vs. </w:t>
      </w:r>
      <w:r w:rsidRPr="00683301">
        <w:rPr>
          <w:rFonts w:asciiTheme="majorHAnsi" w:hAnsiTheme="majorHAnsi"/>
          <w:i/>
          <w:iCs/>
          <w:color w:val="auto"/>
          <w:sz w:val="16"/>
          <w:szCs w:val="16"/>
          <w:lang w:val="es-ES"/>
        </w:rPr>
        <w:t>Paraguay</w:t>
      </w:r>
      <w:r w:rsidRPr="00683301">
        <w:rPr>
          <w:rFonts w:asciiTheme="majorHAnsi" w:hAnsiTheme="majorHAnsi"/>
          <w:color w:val="auto"/>
          <w:sz w:val="16"/>
          <w:szCs w:val="16"/>
          <w:lang w:val="es-ES"/>
        </w:rPr>
        <w:t xml:space="preserve">. Sentencia de 31 de agosto de 2004. </w:t>
      </w:r>
      <w:r w:rsidRPr="00683301">
        <w:rPr>
          <w:rFonts w:asciiTheme="majorHAnsi" w:hAnsiTheme="majorHAnsi"/>
          <w:color w:val="auto"/>
          <w:sz w:val="16"/>
          <w:szCs w:val="16"/>
          <w:lang w:val="es-PE"/>
        </w:rPr>
        <w:t xml:space="preserve">Serie C No. 111, </w:t>
      </w:r>
      <w:r w:rsidR="007E098C" w:rsidRPr="00683301">
        <w:rPr>
          <w:rFonts w:asciiTheme="majorHAnsi" w:hAnsiTheme="majorHAnsi"/>
          <w:color w:val="auto"/>
          <w:sz w:val="16"/>
          <w:szCs w:val="16"/>
          <w:lang w:val="es-PE"/>
        </w:rPr>
        <w:t>párr.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3BEF" w14:textId="77777777" w:rsidR="0025354A" w:rsidRDefault="0025354A" w:rsidP="008933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2CA06B6" w14:textId="77777777" w:rsidR="0025354A" w:rsidRDefault="00253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8F04" w14:textId="5216AAD7" w:rsidR="0025354A" w:rsidRDefault="00A318DC" w:rsidP="00A50FCF">
    <w:pPr>
      <w:pStyle w:val="Header"/>
      <w:tabs>
        <w:tab w:val="clear" w:pos="4320"/>
        <w:tab w:val="clear" w:pos="8640"/>
      </w:tabs>
      <w:jc w:val="center"/>
      <w:rPr>
        <w:sz w:val="22"/>
        <w:szCs w:val="22"/>
      </w:rPr>
    </w:pPr>
    <w:r>
      <w:rPr>
        <w:noProof/>
        <w:sz w:val="22"/>
        <w:szCs w:val="22"/>
        <w:lang w:val="es-ES" w:eastAsia="es-ES"/>
      </w:rPr>
      <w:drawing>
        <wp:inline distT="0" distB="0" distL="0" distR="0" wp14:anchorId="2CFEB8FD" wp14:editId="1E237A47">
          <wp:extent cx="1978025" cy="101600"/>
          <wp:effectExtent l="0" t="0" r="3175" b="0"/>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101600"/>
                  </a:xfrm>
                  <a:prstGeom prst="rect">
                    <a:avLst/>
                  </a:prstGeom>
                  <a:noFill/>
                  <a:ln>
                    <a:noFill/>
                  </a:ln>
                </pic:spPr>
              </pic:pic>
            </a:graphicData>
          </a:graphic>
        </wp:inline>
      </w:drawing>
    </w:r>
  </w:p>
  <w:p w14:paraId="24DF5FA0" w14:textId="77777777" w:rsidR="0025354A" w:rsidRPr="00EC7D62" w:rsidRDefault="00280BF1" w:rsidP="00A50FCF">
    <w:pPr>
      <w:pStyle w:val="Header"/>
      <w:tabs>
        <w:tab w:val="clear" w:pos="4320"/>
        <w:tab w:val="clear" w:pos="8640"/>
      </w:tabs>
      <w:jc w:val="center"/>
      <w:rPr>
        <w:sz w:val="22"/>
        <w:szCs w:val="22"/>
      </w:rPr>
    </w:pPr>
    <w:r>
      <w:rPr>
        <w:sz w:val="22"/>
        <w:szCs w:val="22"/>
      </w:rPr>
      <w:pict w14:anchorId="430B7F0D">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94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16E6E34A"/>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0C58E6D2">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3979AB"/>
    <w:multiLevelType w:val="hybridMultilevel"/>
    <w:tmpl w:val="68F03888"/>
    <w:lvl w:ilvl="0" w:tplc="300E08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913E7C"/>
    <w:multiLevelType w:val="hybridMultilevel"/>
    <w:tmpl w:val="97EE0F18"/>
    <w:lvl w:ilvl="0" w:tplc="10D4F5F8">
      <w:start w:val="1"/>
      <w:numFmt w:val="decimal"/>
      <w:lvlText w:val="%1."/>
      <w:lvlJc w:val="left"/>
      <w:pPr>
        <w:tabs>
          <w:tab w:val="num" w:pos="1429"/>
        </w:tabs>
        <w:ind w:firstLine="720"/>
      </w:pPr>
      <w:rPr>
        <w:rFonts w:ascii="Cambria" w:hAnsi="Cambria" w:cs="Times New Roman" w:hint="default"/>
        <w:b w:val="0"/>
        <w:i w:val="0"/>
        <w:color w:val="000000"/>
        <w:sz w:val="20"/>
        <w:szCs w:val="20"/>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DC61D90"/>
    <w:multiLevelType w:val="hybridMultilevel"/>
    <w:tmpl w:val="14C2A7A6"/>
    <w:lvl w:ilvl="0" w:tplc="91C6FCC8">
      <w:start w:val="1"/>
      <w:numFmt w:val="decimal"/>
      <w:lvlText w:val="%1."/>
      <w:lvlJc w:val="left"/>
      <w:pPr>
        <w:tabs>
          <w:tab w:val="num" w:pos="1440"/>
        </w:tabs>
        <w:ind w:left="1440"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8106D8"/>
    <w:multiLevelType w:val="hybridMultilevel"/>
    <w:tmpl w:val="6152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E479CB"/>
    <w:multiLevelType w:val="hybridMultilevel"/>
    <w:tmpl w:val="C640149C"/>
    <w:lvl w:ilvl="0" w:tplc="0A0E2EC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0561B8E"/>
    <w:multiLevelType w:val="hybridMultilevel"/>
    <w:tmpl w:val="7C44C386"/>
    <w:lvl w:ilvl="0" w:tplc="71B23924">
      <w:start w:val="1"/>
      <w:numFmt w:val="decimal"/>
      <w:lvlText w:val="%1."/>
      <w:lvlJc w:val="left"/>
      <w:pPr>
        <w:tabs>
          <w:tab w:val="num" w:pos="1429"/>
        </w:tabs>
        <w:ind w:left="1429" w:hanging="720"/>
      </w:pPr>
      <w:rPr>
        <w:rFonts w:ascii="Cambria" w:hAnsi="Cambria" w:cs="Times New Roman" w:hint="default"/>
        <w:b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3CA6FEDA">
      <w:start w:val="5"/>
      <w:numFmt w:val="upperRoman"/>
      <w:lvlText w:val="%3."/>
      <w:lvlJc w:val="left"/>
      <w:pPr>
        <w:tabs>
          <w:tab w:val="num" w:pos="3060"/>
        </w:tabs>
        <w:ind w:left="3060" w:hanging="720"/>
      </w:pPr>
      <w:rPr>
        <w:rFonts w:cs="Times New Roman" w:hint="default"/>
      </w:rPr>
    </w:lvl>
    <w:lvl w:ilvl="3" w:tplc="71681AC0">
      <w:start w:val="1"/>
      <w:numFmt w:val="upp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E6084074"/>
    <w:lvl w:ilvl="0" w:tplc="FC34F45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DD65A3B"/>
    <w:multiLevelType w:val="hybridMultilevel"/>
    <w:tmpl w:val="B5C2416C"/>
    <w:lvl w:ilvl="0" w:tplc="10D4F5F8">
      <w:start w:val="1"/>
      <w:numFmt w:val="decimal"/>
      <w:lvlText w:val="%1."/>
      <w:lvlJc w:val="left"/>
      <w:pPr>
        <w:tabs>
          <w:tab w:val="num" w:pos="2149"/>
        </w:tabs>
        <w:ind w:firstLine="720"/>
      </w:pPr>
      <w:rPr>
        <w:rFonts w:ascii="Cambria" w:hAnsi="Cambria" w:cs="Times New Roman" w:hint="default"/>
        <w:b w:val="0"/>
        <w:i w:val="0"/>
        <w:color w:val="000000"/>
        <w:sz w:val="20"/>
        <w:szCs w:val="20"/>
        <w:lang w:val="es-P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3"/>
  </w:num>
  <w:num w:numId="5">
    <w:abstractNumId w:val="50"/>
  </w:num>
  <w:num w:numId="6">
    <w:abstractNumId w:val="28"/>
  </w:num>
  <w:num w:numId="7">
    <w:abstractNumId w:val="7"/>
  </w:num>
  <w:num w:numId="8">
    <w:abstractNumId w:val="18"/>
  </w:num>
  <w:num w:numId="9">
    <w:abstractNumId w:val="45"/>
  </w:num>
  <w:num w:numId="10">
    <w:abstractNumId w:val="1"/>
  </w:num>
  <w:num w:numId="11">
    <w:abstractNumId w:val="39"/>
  </w:num>
  <w:num w:numId="12">
    <w:abstractNumId w:val="41"/>
  </w:num>
  <w:num w:numId="13">
    <w:abstractNumId w:val="46"/>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49"/>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5"/>
  </w:num>
  <w:num w:numId="51">
    <w:abstractNumId w:val="22"/>
  </w:num>
  <w:num w:numId="52">
    <w:abstractNumId w:val="44"/>
  </w:num>
  <w:num w:numId="53">
    <w:abstractNumId w:val="55"/>
  </w:num>
  <w:num w:numId="54">
    <w:abstractNumId w:val="47"/>
  </w:num>
  <w:num w:numId="55">
    <w:abstractNumId w:val="6"/>
  </w:num>
  <w:num w:numId="56">
    <w:abstractNumId w:val="12"/>
  </w:num>
  <w:num w:numId="57">
    <w:abstractNumId w:val="64"/>
  </w:num>
  <w:num w:numId="58">
    <w:abstractNumId w:val="62"/>
  </w:num>
  <w:num w:numId="59">
    <w:abstractNumId w:val="0"/>
  </w:num>
  <w:num w:numId="60">
    <w:abstractNumId w:val="21"/>
  </w:num>
  <w:num w:numId="61">
    <w:abstractNumId w:val="36"/>
  </w:num>
  <w:num w:numId="62">
    <w:abstractNumId w:val="40"/>
  </w:num>
  <w:num w:numId="63">
    <w:abstractNumId w:val="30"/>
  </w:num>
  <w:num w:numId="64">
    <w:abstractNumId w:val="51"/>
  </w:num>
  <w:num w:numId="65">
    <w:abstractNumId w:val="48"/>
  </w:num>
  <w:num w:numId="6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74"/>
    <w:rsid w:val="00000CDA"/>
    <w:rsid w:val="00002497"/>
    <w:rsid w:val="000031EC"/>
    <w:rsid w:val="00005834"/>
    <w:rsid w:val="00006E1F"/>
    <w:rsid w:val="000070D7"/>
    <w:rsid w:val="00007506"/>
    <w:rsid w:val="00007D4C"/>
    <w:rsid w:val="00011662"/>
    <w:rsid w:val="00011E17"/>
    <w:rsid w:val="000127C3"/>
    <w:rsid w:val="00012FCE"/>
    <w:rsid w:val="0001348F"/>
    <w:rsid w:val="0001550E"/>
    <w:rsid w:val="00015AA6"/>
    <w:rsid w:val="000166C8"/>
    <w:rsid w:val="00016A79"/>
    <w:rsid w:val="00016C80"/>
    <w:rsid w:val="0001788C"/>
    <w:rsid w:val="00020808"/>
    <w:rsid w:val="00020999"/>
    <w:rsid w:val="000219F1"/>
    <w:rsid w:val="00021DBF"/>
    <w:rsid w:val="00024307"/>
    <w:rsid w:val="000246E9"/>
    <w:rsid w:val="00026248"/>
    <w:rsid w:val="000277E6"/>
    <w:rsid w:val="0002788B"/>
    <w:rsid w:val="000308B6"/>
    <w:rsid w:val="0003283D"/>
    <w:rsid w:val="000336FE"/>
    <w:rsid w:val="00033BFF"/>
    <w:rsid w:val="00036141"/>
    <w:rsid w:val="00040C3A"/>
    <w:rsid w:val="0004124D"/>
    <w:rsid w:val="000416D4"/>
    <w:rsid w:val="00041997"/>
    <w:rsid w:val="0004488C"/>
    <w:rsid w:val="000451D1"/>
    <w:rsid w:val="0004562F"/>
    <w:rsid w:val="00045D4D"/>
    <w:rsid w:val="00051CE0"/>
    <w:rsid w:val="00053E07"/>
    <w:rsid w:val="00053E54"/>
    <w:rsid w:val="0005428B"/>
    <w:rsid w:val="00055921"/>
    <w:rsid w:val="00061170"/>
    <w:rsid w:val="0006236A"/>
    <w:rsid w:val="00063B94"/>
    <w:rsid w:val="00064223"/>
    <w:rsid w:val="00065BCB"/>
    <w:rsid w:val="00065F05"/>
    <w:rsid w:val="00066FDC"/>
    <w:rsid w:val="0007094B"/>
    <w:rsid w:val="000716C5"/>
    <w:rsid w:val="000719D0"/>
    <w:rsid w:val="000737C6"/>
    <w:rsid w:val="00075E23"/>
    <w:rsid w:val="00076946"/>
    <w:rsid w:val="000802BC"/>
    <w:rsid w:val="000807BA"/>
    <w:rsid w:val="00082BA8"/>
    <w:rsid w:val="000842C9"/>
    <w:rsid w:val="0008461D"/>
    <w:rsid w:val="000862FE"/>
    <w:rsid w:val="00087833"/>
    <w:rsid w:val="00090145"/>
    <w:rsid w:val="00092461"/>
    <w:rsid w:val="000927AD"/>
    <w:rsid w:val="0009344A"/>
    <w:rsid w:val="00093556"/>
    <w:rsid w:val="00093C55"/>
    <w:rsid w:val="00097134"/>
    <w:rsid w:val="000A045E"/>
    <w:rsid w:val="000A07AF"/>
    <w:rsid w:val="000A16F3"/>
    <w:rsid w:val="000A17A5"/>
    <w:rsid w:val="000A2001"/>
    <w:rsid w:val="000A2DAB"/>
    <w:rsid w:val="000A392E"/>
    <w:rsid w:val="000A550C"/>
    <w:rsid w:val="000A575F"/>
    <w:rsid w:val="000A772F"/>
    <w:rsid w:val="000A7B77"/>
    <w:rsid w:val="000A7E9C"/>
    <w:rsid w:val="000B20BD"/>
    <w:rsid w:val="000B20D8"/>
    <w:rsid w:val="000B2106"/>
    <w:rsid w:val="000B4539"/>
    <w:rsid w:val="000B74FA"/>
    <w:rsid w:val="000C0CA0"/>
    <w:rsid w:val="000C195B"/>
    <w:rsid w:val="000C1DAE"/>
    <w:rsid w:val="000C2D9C"/>
    <w:rsid w:val="000C54A2"/>
    <w:rsid w:val="000C5AAB"/>
    <w:rsid w:val="000D099D"/>
    <w:rsid w:val="000D10DB"/>
    <w:rsid w:val="000D1BCF"/>
    <w:rsid w:val="000D5652"/>
    <w:rsid w:val="000D5912"/>
    <w:rsid w:val="000E1302"/>
    <w:rsid w:val="000E274C"/>
    <w:rsid w:val="000E42EA"/>
    <w:rsid w:val="000E513D"/>
    <w:rsid w:val="000E5EB5"/>
    <w:rsid w:val="000E7947"/>
    <w:rsid w:val="000F2057"/>
    <w:rsid w:val="000F35ED"/>
    <w:rsid w:val="000F43A8"/>
    <w:rsid w:val="000F494B"/>
    <w:rsid w:val="000F5186"/>
    <w:rsid w:val="000F6D9D"/>
    <w:rsid w:val="001010E3"/>
    <w:rsid w:val="00102615"/>
    <w:rsid w:val="00102AF7"/>
    <w:rsid w:val="00102B7B"/>
    <w:rsid w:val="001038FA"/>
    <w:rsid w:val="00104FA7"/>
    <w:rsid w:val="00106036"/>
    <w:rsid w:val="00107131"/>
    <w:rsid w:val="0010736F"/>
    <w:rsid w:val="00110CDB"/>
    <w:rsid w:val="00110DAC"/>
    <w:rsid w:val="0011191A"/>
    <w:rsid w:val="00111AD0"/>
    <w:rsid w:val="00112588"/>
    <w:rsid w:val="00113F73"/>
    <w:rsid w:val="0011576B"/>
    <w:rsid w:val="00115A54"/>
    <w:rsid w:val="00115F81"/>
    <w:rsid w:val="001171AF"/>
    <w:rsid w:val="00121CC2"/>
    <w:rsid w:val="001220B7"/>
    <w:rsid w:val="001237DE"/>
    <w:rsid w:val="00124F62"/>
    <w:rsid w:val="00131497"/>
    <w:rsid w:val="0013225C"/>
    <w:rsid w:val="001337A7"/>
    <w:rsid w:val="00133EE5"/>
    <w:rsid w:val="00135978"/>
    <w:rsid w:val="00140A6C"/>
    <w:rsid w:val="00141E6D"/>
    <w:rsid w:val="001425B4"/>
    <w:rsid w:val="00145FEC"/>
    <w:rsid w:val="001474B4"/>
    <w:rsid w:val="00152D31"/>
    <w:rsid w:val="0015406E"/>
    <w:rsid w:val="00154644"/>
    <w:rsid w:val="00154A98"/>
    <w:rsid w:val="00156981"/>
    <w:rsid w:val="001575BF"/>
    <w:rsid w:val="001612A6"/>
    <w:rsid w:val="00161414"/>
    <w:rsid w:val="0016163F"/>
    <w:rsid w:val="00162A5A"/>
    <w:rsid w:val="0016747C"/>
    <w:rsid w:val="00167A34"/>
    <w:rsid w:val="00172429"/>
    <w:rsid w:val="00172538"/>
    <w:rsid w:val="0017372C"/>
    <w:rsid w:val="00174313"/>
    <w:rsid w:val="0017533B"/>
    <w:rsid w:val="0017691B"/>
    <w:rsid w:val="001772CC"/>
    <w:rsid w:val="0017778A"/>
    <w:rsid w:val="001801CE"/>
    <w:rsid w:val="001802A0"/>
    <w:rsid w:val="0018354E"/>
    <w:rsid w:val="00183DB4"/>
    <w:rsid w:val="00184955"/>
    <w:rsid w:val="00191BCE"/>
    <w:rsid w:val="00192533"/>
    <w:rsid w:val="00194106"/>
    <w:rsid w:val="00194611"/>
    <w:rsid w:val="001970B3"/>
    <w:rsid w:val="00197403"/>
    <w:rsid w:val="00197E50"/>
    <w:rsid w:val="001A0C3F"/>
    <w:rsid w:val="001A0CB8"/>
    <w:rsid w:val="001A21B4"/>
    <w:rsid w:val="001A4058"/>
    <w:rsid w:val="001A44B0"/>
    <w:rsid w:val="001A4D09"/>
    <w:rsid w:val="001A6EF3"/>
    <w:rsid w:val="001A7870"/>
    <w:rsid w:val="001B1BE6"/>
    <w:rsid w:val="001B229F"/>
    <w:rsid w:val="001B3541"/>
    <w:rsid w:val="001B49DD"/>
    <w:rsid w:val="001C050A"/>
    <w:rsid w:val="001C0E33"/>
    <w:rsid w:val="001C0F16"/>
    <w:rsid w:val="001C1B41"/>
    <w:rsid w:val="001C2B50"/>
    <w:rsid w:val="001C3273"/>
    <w:rsid w:val="001C34E0"/>
    <w:rsid w:val="001C3707"/>
    <w:rsid w:val="001C3B7A"/>
    <w:rsid w:val="001C6C41"/>
    <w:rsid w:val="001C71FC"/>
    <w:rsid w:val="001C78CE"/>
    <w:rsid w:val="001D0061"/>
    <w:rsid w:val="001D12A6"/>
    <w:rsid w:val="001D230D"/>
    <w:rsid w:val="001D34D3"/>
    <w:rsid w:val="001D3631"/>
    <w:rsid w:val="001D4EE2"/>
    <w:rsid w:val="001D551C"/>
    <w:rsid w:val="001D65EF"/>
    <w:rsid w:val="001D6829"/>
    <w:rsid w:val="001D7A78"/>
    <w:rsid w:val="001E0261"/>
    <w:rsid w:val="001E04D5"/>
    <w:rsid w:val="001E1991"/>
    <w:rsid w:val="001E1D04"/>
    <w:rsid w:val="001E28DA"/>
    <w:rsid w:val="001E3062"/>
    <w:rsid w:val="001E31B5"/>
    <w:rsid w:val="001E45AA"/>
    <w:rsid w:val="001E5F6D"/>
    <w:rsid w:val="001E73E4"/>
    <w:rsid w:val="001F0CC1"/>
    <w:rsid w:val="001F0E68"/>
    <w:rsid w:val="001F3A4D"/>
    <w:rsid w:val="001F69B8"/>
    <w:rsid w:val="001F6DAB"/>
    <w:rsid w:val="001F77B0"/>
    <w:rsid w:val="002027C1"/>
    <w:rsid w:val="00202DCF"/>
    <w:rsid w:val="0020369B"/>
    <w:rsid w:val="0020556A"/>
    <w:rsid w:val="0020581A"/>
    <w:rsid w:val="00212554"/>
    <w:rsid w:val="00220487"/>
    <w:rsid w:val="00221825"/>
    <w:rsid w:val="0022297B"/>
    <w:rsid w:val="00222A5F"/>
    <w:rsid w:val="002231DC"/>
    <w:rsid w:val="00224740"/>
    <w:rsid w:val="002247E3"/>
    <w:rsid w:val="002250A3"/>
    <w:rsid w:val="00225BAD"/>
    <w:rsid w:val="002262DD"/>
    <w:rsid w:val="00227CC8"/>
    <w:rsid w:val="002302D7"/>
    <w:rsid w:val="002312D9"/>
    <w:rsid w:val="00235217"/>
    <w:rsid w:val="00236786"/>
    <w:rsid w:val="0024191D"/>
    <w:rsid w:val="00241E56"/>
    <w:rsid w:val="00245670"/>
    <w:rsid w:val="00245BF1"/>
    <w:rsid w:val="00245E5F"/>
    <w:rsid w:val="00246358"/>
    <w:rsid w:val="002468B3"/>
    <w:rsid w:val="00246D1F"/>
    <w:rsid w:val="00247403"/>
    <w:rsid w:val="00247542"/>
    <w:rsid w:val="00247C1B"/>
    <w:rsid w:val="0025162A"/>
    <w:rsid w:val="00251EAE"/>
    <w:rsid w:val="00252613"/>
    <w:rsid w:val="00253414"/>
    <w:rsid w:val="0025354A"/>
    <w:rsid w:val="0025671F"/>
    <w:rsid w:val="0026295A"/>
    <w:rsid w:val="0026443D"/>
    <w:rsid w:val="00265636"/>
    <w:rsid w:val="00266844"/>
    <w:rsid w:val="00266B61"/>
    <w:rsid w:val="0026712A"/>
    <w:rsid w:val="002704DB"/>
    <w:rsid w:val="00270604"/>
    <w:rsid w:val="00273BB5"/>
    <w:rsid w:val="00273E61"/>
    <w:rsid w:val="00275243"/>
    <w:rsid w:val="00275F40"/>
    <w:rsid w:val="00277F5C"/>
    <w:rsid w:val="00280BF1"/>
    <w:rsid w:val="002819CB"/>
    <w:rsid w:val="002840D4"/>
    <w:rsid w:val="00285618"/>
    <w:rsid w:val="00287948"/>
    <w:rsid w:val="00287AAE"/>
    <w:rsid w:val="002925A7"/>
    <w:rsid w:val="0029409A"/>
    <w:rsid w:val="0029581B"/>
    <w:rsid w:val="0029607A"/>
    <w:rsid w:val="00296A13"/>
    <w:rsid w:val="00296AF6"/>
    <w:rsid w:val="00296DAF"/>
    <w:rsid w:val="00297DA2"/>
    <w:rsid w:val="002A0AAE"/>
    <w:rsid w:val="002A2085"/>
    <w:rsid w:val="002A2649"/>
    <w:rsid w:val="002A5820"/>
    <w:rsid w:val="002A7838"/>
    <w:rsid w:val="002B09B6"/>
    <w:rsid w:val="002B0C49"/>
    <w:rsid w:val="002B1654"/>
    <w:rsid w:val="002C1503"/>
    <w:rsid w:val="002C2B64"/>
    <w:rsid w:val="002C4D3A"/>
    <w:rsid w:val="002C6B4C"/>
    <w:rsid w:val="002C6DD2"/>
    <w:rsid w:val="002C7150"/>
    <w:rsid w:val="002D0B9D"/>
    <w:rsid w:val="002D2A71"/>
    <w:rsid w:val="002D2B26"/>
    <w:rsid w:val="002D6DF8"/>
    <w:rsid w:val="002D7EA2"/>
    <w:rsid w:val="002E187C"/>
    <w:rsid w:val="002E1D03"/>
    <w:rsid w:val="002E4357"/>
    <w:rsid w:val="002E643A"/>
    <w:rsid w:val="002E7F9F"/>
    <w:rsid w:val="002F0391"/>
    <w:rsid w:val="002F1167"/>
    <w:rsid w:val="002F1789"/>
    <w:rsid w:val="002F5775"/>
    <w:rsid w:val="002F5E72"/>
    <w:rsid w:val="002F7F44"/>
    <w:rsid w:val="0030179B"/>
    <w:rsid w:val="00302733"/>
    <w:rsid w:val="003057C4"/>
    <w:rsid w:val="0030629B"/>
    <w:rsid w:val="00306326"/>
    <w:rsid w:val="0030633A"/>
    <w:rsid w:val="00306657"/>
    <w:rsid w:val="003122CD"/>
    <w:rsid w:val="00312F14"/>
    <w:rsid w:val="0031342D"/>
    <w:rsid w:val="00314078"/>
    <w:rsid w:val="0031535D"/>
    <w:rsid w:val="00315F73"/>
    <w:rsid w:val="0031730F"/>
    <w:rsid w:val="003174DB"/>
    <w:rsid w:val="003178E3"/>
    <w:rsid w:val="00317912"/>
    <w:rsid w:val="003205B4"/>
    <w:rsid w:val="00322FA4"/>
    <w:rsid w:val="00323B9E"/>
    <w:rsid w:val="00325574"/>
    <w:rsid w:val="00330C8A"/>
    <w:rsid w:val="0033169F"/>
    <w:rsid w:val="00332FF1"/>
    <w:rsid w:val="003347FF"/>
    <w:rsid w:val="00335D5F"/>
    <w:rsid w:val="00336266"/>
    <w:rsid w:val="00340677"/>
    <w:rsid w:val="00340FFE"/>
    <w:rsid w:val="003427D8"/>
    <w:rsid w:val="00342FFC"/>
    <w:rsid w:val="00345500"/>
    <w:rsid w:val="00345D92"/>
    <w:rsid w:val="00346637"/>
    <w:rsid w:val="00346C95"/>
    <w:rsid w:val="003477C5"/>
    <w:rsid w:val="0035073E"/>
    <w:rsid w:val="00351D17"/>
    <w:rsid w:val="0035450C"/>
    <w:rsid w:val="00356185"/>
    <w:rsid w:val="00356BE7"/>
    <w:rsid w:val="0035731A"/>
    <w:rsid w:val="00360380"/>
    <w:rsid w:val="003616F3"/>
    <w:rsid w:val="003619CE"/>
    <w:rsid w:val="003630AF"/>
    <w:rsid w:val="003636D3"/>
    <w:rsid w:val="00364105"/>
    <w:rsid w:val="00367AF5"/>
    <w:rsid w:val="0037079B"/>
    <w:rsid w:val="00370AA1"/>
    <w:rsid w:val="00372E5B"/>
    <w:rsid w:val="003732CA"/>
    <w:rsid w:val="00373B91"/>
    <w:rsid w:val="00373E33"/>
    <w:rsid w:val="00374BBE"/>
    <w:rsid w:val="00374C4E"/>
    <w:rsid w:val="0037519E"/>
    <w:rsid w:val="0037673C"/>
    <w:rsid w:val="00380035"/>
    <w:rsid w:val="00381524"/>
    <w:rsid w:val="003818B0"/>
    <w:rsid w:val="00385652"/>
    <w:rsid w:val="00385E10"/>
    <w:rsid w:val="00386CF0"/>
    <w:rsid w:val="00390375"/>
    <w:rsid w:val="00390BCD"/>
    <w:rsid w:val="00391220"/>
    <w:rsid w:val="003938DC"/>
    <w:rsid w:val="003942F0"/>
    <w:rsid w:val="0039430B"/>
    <w:rsid w:val="00395688"/>
    <w:rsid w:val="0039763C"/>
    <w:rsid w:val="00397A2E"/>
    <w:rsid w:val="003A1B0C"/>
    <w:rsid w:val="003A2E71"/>
    <w:rsid w:val="003A357C"/>
    <w:rsid w:val="003A4606"/>
    <w:rsid w:val="003A4D96"/>
    <w:rsid w:val="003A4E74"/>
    <w:rsid w:val="003A65F2"/>
    <w:rsid w:val="003A6CAF"/>
    <w:rsid w:val="003B00A2"/>
    <w:rsid w:val="003B0A5E"/>
    <w:rsid w:val="003B1947"/>
    <w:rsid w:val="003B3C5F"/>
    <w:rsid w:val="003B48B6"/>
    <w:rsid w:val="003B595A"/>
    <w:rsid w:val="003B735A"/>
    <w:rsid w:val="003C003B"/>
    <w:rsid w:val="003C0407"/>
    <w:rsid w:val="003C0944"/>
    <w:rsid w:val="003C1298"/>
    <w:rsid w:val="003C26CC"/>
    <w:rsid w:val="003C3917"/>
    <w:rsid w:val="003C4117"/>
    <w:rsid w:val="003C676B"/>
    <w:rsid w:val="003C6ECC"/>
    <w:rsid w:val="003D065D"/>
    <w:rsid w:val="003D06FB"/>
    <w:rsid w:val="003D1204"/>
    <w:rsid w:val="003D2A55"/>
    <w:rsid w:val="003D3BC2"/>
    <w:rsid w:val="003D4AE8"/>
    <w:rsid w:val="003D7FDB"/>
    <w:rsid w:val="003E0AE4"/>
    <w:rsid w:val="003E0D23"/>
    <w:rsid w:val="003E29FA"/>
    <w:rsid w:val="003E5A05"/>
    <w:rsid w:val="003E6B74"/>
    <w:rsid w:val="003E6CA1"/>
    <w:rsid w:val="003E7B7A"/>
    <w:rsid w:val="003F0AA6"/>
    <w:rsid w:val="003F14FD"/>
    <w:rsid w:val="003F1C67"/>
    <w:rsid w:val="003F1D4C"/>
    <w:rsid w:val="003F2C42"/>
    <w:rsid w:val="003F53C1"/>
    <w:rsid w:val="003F5598"/>
    <w:rsid w:val="00402258"/>
    <w:rsid w:val="004038C0"/>
    <w:rsid w:val="00407F80"/>
    <w:rsid w:val="00411B60"/>
    <w:rsid w:val="00411D99"/>
    <w:rsid w:val="004149B7"/>
    <w:rsid w:val="004152E3"/>
    <w:rsid w:val="004157EA"/>
    <w:rsid w:val="00416520"/>
    <w:rsid w:val="004165C2"/>
    <w:rsid w:val="00421CD5"/>
    <w:rsid w:val="00423B3C"/>
    <w:rsid w:val="00423B50"/>
    <w:rsid w:val="00426B4D"/>
    <w:rsid w:val="0043254D"/>
    <w:rsid w:val="00432E1D"/>
    <w:rsid w:val="004333B8"/>
    <w:rsid w:val="00436C97"/>
    <w:rsid w:val="004372F8"/>
    <w:rsid w:val="0044087E"/>
    <w:rsid w:val="00441ECB"/>
    <w:rsid w:val="00444C2B"/>
    <w:rsid w:val="00447C2D"/>
    <w:rsid w:val="00450640"/>
    <w:rsid w:val="004508FD"/>
    <w:rsid w:val="00454991"/>
    <w:rsid w:val="00455F1C"/>
    <w:rsid w:val="0046342B"/>
    <w:rsid w:val="00466087"/>
    <w:rsid w:val="00467166"/>
    <w:rsid w:val="00467B7E"/>
    <w:rsid w:val="0047379F"/>
    <w:rsid w:val="00476B70"/>
    <w:rsid w:val="00477592"/>
    <w:rsid w:val="004778B8"/>
    <w:rsid w:val="004825CC"/>
    <w:rsid w:val="00483203"/>
    <w:rsid w:val="00483F40"/>
    <w:rsid w:val="004853DD"/>
    <w:rsid w:val="00486F1C"/>
    <w:rsid w:val="0048739C"/>
    <w:rsid w:val="004921E5"/>
    <w:rsid w:val="00492972"/>
    <w:rsid w:val="0049419D"/>
    <w:rsid w:val="004945D6"/>
    <w:rsid w:val="00495554"/>
    <w:rsid w:val="00495600"/>
    <w:rsid w:val="00497190"/>
    <w:rsid w:val="004A1166"/>
    <w:rsid w:val="004A1D2D"/>
    <w:rsid w:val="004A2A6B"/>
    <w:rsid w:val="004A5180"/>
    <w:rsid w:val="004A5B9B"/>
    <w:rsid w:val="004A635E"/>
    <w:rsid w:val="004A66C0"/>
    <w:rsid w:val="004A71FF"/>
    <w:rsid w:val="004A7E3C"/>
    <w:rsid w:val="004B1D51"/>
    <w:rsid w:val="004B2A95"/>
    <w:rsid w:val="004B2B7A"/>
    <w:rsid w:val="004B41F2"/>
    <w:rsid w:val="004B67AE"/>
    <w:rsid w:val="004C20D2"/>
    <w:rsid w:val="004C239F"/>
    <w:rsid w:val="004C41DF"/>
    <w:rsid w:val="004C4B62"/>
    <w:rsid w:val="004C4DC5"/>
    <w:rsid w:val="004C54C9"/>
    <w:rsid w:val="004C6EF3"/>
    <w:rsid w:val="004C7566"/>
    <w:rsid w:val="004D02E2"/>
    <w:rsid w:val="004D2EB7"/>
    <w:rsid w:val="004D316D"/>
    <w:rsid w:val="004D6025"/>
    <w:rsid w:val="004D70F4"/>
    <w:rsid w:val="004E1563"/>
    <w:rsid w:val="004E2093"/>
    <w:rsid w:val="004E2378"/>
    <w:rsid w:val="004E2649"/>
    <w:rsid w:val="004E2C41"/>
    <w:rsid w:val="004E3113"/>
    <w:rsid w:val="004E5B5C"/>
    <w:rsid w:val="004E6D75"/>
    <w:rsid w:val="004E7DFA"/>
    <w:rsid w:val="004F4280"/>
    <w:rsid w:val="004F450C"/>
    <w:rsid w:val="004F656F"/>
    <w:rsid w:val="004F788A"/>
    <w:rsid w:val="00501399"/>
    <w:rsid w:val="00501887"/>
    <w:rsid w:val="00502057"/>
    <w:rsid w:val="0050366B"/>
    <w:rsid w:val="00504209"/>
    <w:rsid w:val="00504D47"/>
    <w:rsid w:val="005056C5"/>
    <w:rsid w:val="0050633D"/>
    <w:rsid w:val="00507BC4"/>
    <w:rsid w:val="0051084C"/>
    <w:rsid w:val="00510BE7"/>
    <w:rsid w:val="005128E4"/>
    <w:rsid w:val="00512E0B"/>
    <w:rsid w:val="005133DB"/>
    <w:rsid w:val="00513E67"/>
    <w:rsid w:val="00514B5C"/>
    <w:rsid w:val="00515C44"/>
    <w:rsid w:val="00515E1C"/>
    <w:rsid w:val="00516470"/>
    <w:rsid w:val="0051759E"/>
    <w:rsid w:val="005177BE"/>
    <w:rsid w:val="00520AC1"/>
    <w:rsid w:val="00520D8C"/>
    <w:rsid w:val="00525560"/>
    <w:rsid w:val="00525CC8"/>
    <w:rsid w:val="005276CE"/>
    <w:rsid w:val="005277A6"/>
    <w:rsid w:val="005358D0"/>
    <w:rsid w:val="0053686A"/>
    <w:rsid w:val="0054190E"/>
    <w:rsid w:val="00542E67"/>
    <w:rsid w:val="00542E76"/>
    <w:rsid w:val="00544C49"/>
    <w:rsid w:val="00545658"/>
    <w:rsid w:val="00545B6E"/>
    <w:rsid w:val="005506C0"/>
    <w:rsid w:val="005516A1"/>
    <w:rsid w:val="00552A59"/>
    <w:rsid w:val="00552F96"/>
    <w:rsid w:val="00555B44"/>
    <w:rsid w:val="00556117"/>
    <w:rsid w:val="0055649D"/>
    <w:rsid w:val="0055713B"/>
    <w:rsid w:val="00557343"/>
    <w:rsid w:val="00557554"/>
    <w:rsid w:val="005577AD"/>
    <w:rsid w:val="00557885"/>
    <w:rsid w:val="005639B7"/>
    <w:rsid w:val="00563C20"/>
    <w:rsid w:val="00563CC4"/>
    <w:rsid w:val="0056444B"/>
    <w:rsid w:val="00564CE1"/>
    <w:rsid w:val="0056776F"/>
    <w:rsid w:val="00572624"/>
    <w:rsid w:val="0057402A"/>
    <w:rsid w:val="005771D0"/>
    <w:rsid w:val="005773E2"/>
    <w:rsid w:val="00577A6C"/>
    <w:rsid w:val="00581512"/>
    <w:rsid w:val="00582C12"/>
    <w:rsid w:val="00582C81"/>
    <w:rsid w:val="005850DC"/>
    <w:rsid w:val="005858A4"/>
    <w:rsid w:val="005863CA"/>
    <w:rsid w:val="00586AA7"/>
    <w:rsid w:val="00587B56"/>
    <w:rsid w:val="00587B79"/>
    <w:rsid w:val="00590147"/>
    <w:rsid w:val="0059088D"/>
    <w:rsid w:val="0059191A"/>
    <w:rsid w:val="005921FF"/>
    <w:rsid w:val="0059232F"/>
    <w:rsid w:val="00595BC2"/>
    <w:rsid w:val="00597139"/>
    <w:rsid w:val="00597E5A"/>
    <w:rsid w:val="005A1E24"/>
    <w:rsid w:val="005A2988"/>
    <w:rsid w:val="005A2F94"/>
    <w:rsid w:val="005A348C"/>
    <w:rsid w:val="005A4488"/>
    <w:rsid w:val="005A6D0E"/>
    <w:rsid w:val="005B13A7"/>
    <w:rsid w:val="005B1CE2"/>
    <w:rsid w:val="005B1D1D"/>
    <w:rsid w:val="005B382F"/>
    <w:rsid w:val="005B4749"/>
    <w:rsid w:val="005B52B0"/>
    <w:rsid w:val="005B54B0"/>
    <w:rsid w:val="005B585D"/>
    <w:rsid w:val="005B5CF4"/>
    <w:rsid w:val="005B6806"/>
    <w:rsid w:val="005B6E19"/>
    <w:rsid w:val="005B7C64"/>
    <w:rsid w:val="005B7FDA"/>
    <w:rsid w:val="005C04AD"/>
    <w:rsid w:val="005C0AC5"/>
    <w:rsid w:val="005C0DAC"/>
    <w:rsid w:val="005C0F66"/>
    <w:rsid w:val="005C14B0"/>
    <w:rsid w:val="005C157B"/>
    <w:rsid w:val="005C4225"/>
    <w:rsid w:val="005C42CD"/>
    <w:rsid w:val="005C438F"/>
    <w:rsid w:val="005C75CF"/>
    <w:rsid w:val="005C7A11"/>
    <w:rsid w:val="005D24F8"/>
    <w:rsid w:val="005D2E35"/>
    <w:rsid w:val="005D42C6"/>
    <w:rsid w:val="005D4522"/>
    <w:rsid w:val="005E1953"/>
    <w:rsid w:val="005E2711"/>
    <w:rsid w:val="005E3AD8"/>
    <w:rsid w:val="005E3B2D"/>
    <w:rsid w:val="005E4117"/>
    <w:rsid w:val="005E53A5"/>
    <w:rsid w:val="005E6031"/>
    <w:rsid w:val="005E7027"/>
    <w:rsid w:val="005E7969"/>
    <w:rsid w:val="005F0DAD"/>
    <w:rsid w:val="005F0F33"/>
    <w:rsid w:val="005F1A6C"/>
    <w:rsid w:val="005F254C"/>
    <w:rsid w:val="005F28D3"/>
    <w:rsid w:val="005F5E68"/>
    <w:rsid w:val="00600120"/>
    <w:rsid w:val="00600738"/>
    <w:rsid w:val="00600DEB"/>
    <w:rsid w:val="0060166C"/>
    <w:rsid w:val="00602384"/>
    <w:rsid w:val="0060385E"/>
    <w:rsid w:val="00604381"/>
    <w:rsid w:val="0060469B"/>
    <w:rsid w:val="00605782"/>
    <w:rsid w:val="006069E6"/>
    <w:rsid w:val="00611D1B"/>
    <w:rsid w:val="00613832"/>
    <w:rsid w:val="00614C63"/>
    <w:rsid w:val="006154BD"/>
    <w:rsid w:val="0061619F"/>
    <w:rsid w:val="00617C06"/>
    <w:rsid w:val="0062239B"/>
    <w:rsid w:val="006241C6"/>
    <w:rsid w:val="00624F35"/>
    <w:rsid w:val="00624F61"/>
    <w:rsid w:val="00625735"/>
    <w:rsid w:val="006262B3"/>
    <w:rsid w:val="00626BE5"/>
    <w:rsid w:val="0062780E"/>
    <w:rsid w:val="00627C9F"/>
    <w:rsid w:val="006305F3"/>
    <w:rsid w:val="00630827"/>
    <w:rsid w:val="006311E9"/>
    <w:rsid w:val="00632354"/>
    <w:rsid w:val="0063414B"/>
    <w:rsid w:val="0063554E"/>
    <w:rsid w:val="00635D78"/>
    <w:rsid w:val="00636832"/>
    <w:rsid w:val="00637181"/>
    <w:rsid w:val="00640588"/>
    <w:rsid w:val="0064083D"/>
    <w:rsid w:val="00640E59"/>
    <w:rsid w:val="00641344"/>
    <w:rsid w:val="00642750"/>
    <w:rsid w:val="00642810"/>
    <w:rsid w:val="006432D2"/>
    <w:rsid w:val="00643DA7"/>
    <w:rsid w:val="00644E60"/>
    <w:rsid w:val="00645CE7"/>
    <w:rsid w:val="00651C0B"/>
    <w:rsid w:val="00652333"/>
    <w:rsid w:val="00652E79"/>
    <w:rsid w:val="0066032C"/>
    <w:rsid w:val="00660956"/>
    <w:rsid w:val="00660F7F"/>
    <w:rsid w:val="00661421"/>
    <w:rsid w:val="006624EE"/>
    <w:rsid w:val="00665089"/>
    <w:rsid w:val="006664D5"/>
    <w:rsid w:val="00672422"/>
    <w:rsid w:val="00673E50"/>
    <w:rsid w:val="006741A1"/>
    <w:rsid w:val="00674653"/>
    <w:rsid w:val="0067470D"/>
    <w:rsid w:val="00675298"/>
    <w:rsid w:val="00676C95"/>
    <w:rsid w:val="0068009E"/>
    <w:rsid w:val="006803C2"/>
    <w:rsid w:val="00683301"/>
    <w:rsid w:val="00692219"/>
    <w:rsid w:val="00692AE2"/>
    <w:rsid w:val="0069546F"/>
    <w:rsid w:val="006974C7"/>
    <w:rsid w:val="006A17D2"/>
    <w:rsid w:val="006A364B"/>
    <w:rsid w:val="006A473C"/>
    <w:rsid w:val="006A73E6"/>
    <w:rsid w:val="006A7737"/>
    <w:rsid w:val="006B006D"/>
    <w:rsid w:val="006B0DDC"/>
    <w:rsid w:val="006B0E43"/>
    <w:rsid w:val="006B2D5C"/>
    <w:rsid w:val="006B3DDD"/>
    <w:rsid w:val="006B7502"/>
    <w:rsid w:val="006C4EB1"/>
    <w:rsid w:val="006C6E5C"/>
    <w:rsid w:val="006D2D18"/>
    <w:rsid w:val="006D3683"/>
    <w:rsid w:val="006D5B5C"/>
    <w:rsid w:val="006E0166"/>
    <w:rsid w:val="006E0C18"/>
    <w:rsid w:val="006E13C3"/>
    <w:rsid w:val="006E19D8"/>
    <w:rsid w:val="006E1E04"/>
    <w:rsid w:val="006E2CB5"/>
    <w:rsid w:val="006E3CBE"/>
    <w:rsid w:val="006E4988"/>
    <w:rsid w:val="006E4D34"/>
    <w:rsid w:val="006E5380"/>
    <w:rsid w:val="006E5B1D"/>
    <w:rsid w:val="006E7B34"/>
    <w:rsid w:val="006F0B5B"/>
    <w:rsid w:val="006F11B5"/>
    <w:rsid w:val="006F18C8"/>
    <w:rsid w:val="006F26F5"/>
    <w:rsid w:val="006F4954"/>
    <w:rsid w:val="007008EB"/>
    <w:rsid w:val="00700B66"/>
    <w:rsid w:val="0070114F"/>
    <w:rsid w:val="00701A06"/>
    <w:rsid w:val="00702517"/>
    <w:rsid w:val="00703939"/>
    <w:rsid w:val="00704521"/>
    <w:rsid w:val="00704555"/>
    <w:rsid w:val="00704DC5"/>
    <w:rsid w:val="007050C7"/>
    <w:rsid w:val="007054F2"/>
    <w:rsid w:val="0070619C"/>
    <w:rsid w:val="0070697F"/>
    <w:rsid w:val="007102A7"/>
    <w:rsid w:val="007139AB"/>
    <w:rsid w:val="007139BB"/>
    <w:rsid w:val="00713EA7"/>
    <w:rsid w:val="00715201"/>
    <w:rsid w:val="00715ACB"/>
    <w:rsid w:val="00715F47"/>
    <w:rsid w:val="00716096"/>
    <w:rsid w:val="00716666"/>
    <w:rsid w:val="00716F66"/>
    <w:rsid w:val="00717666"/>
    <w:rsid w:val="00717B07"/>
    <w:rsid w:val="0072199C"/>
    <w:rsid w:val="00721B2F"/>
    <w:rsid w:val="007227D8"/>
    <w:rsid w:val="00722C9F"/>
    <w:rsid w:val="00723D88"/>
    <w:rsid w:val="00723F3C"/>
    <w:rsid w:val="007244BB"/>
    <w:rsid w:val="007253B8"/>
    <w:rsid w:val="00727D76"/>
    <w:rsid w:val="007312B7"/>
    <w:rsid w:val="0073152E"/>
    <w:rsid w:val="00731F01"/>
    <w:rsid w:val="007326FB"/>
    <w:rsid w:val="00733D92"/>
    <w:rsid w:val="0073470A"/>
    <w:rsid w:val="00736514"/>
    <w:rsid w:val="007372D2"/>
    <w:rsid w:val="0073741F"/>
    <w:rsid w:val="0073789E"/>
    <w:rsid w:val="00740E3C"/>
    <w:rsid w:val="00740F20"/>
    <w:rsid w:val="007419E9"/>
    <w:rsid w:val="00743E72"/>
    <w:rsid w:val="007444AA"/>
    <w:rsid w:val="00745577"/>
    <w:rsid w:val="00745794"/>
    <w:rsid w:val="00747BBB"/>
    <w:rsid w:val="007504E2"/>
    <w:rsid w:val="007514E9"/>
    <w:rsid w:val="007516B0"/>
    <w:rsid w:val="007528C2"/>
    <w:rsid w:val="00754414"/>
    <w:rsid w:val="00754548"/>
    <w:rsid w:val="007552AC"/>
    <w:rsid w:val="007554AF"/>
    <w:rsid w:val="00755873"/>
    <w:rsid w:val="007559BB"/>
    <w:rsid w:val="007569BA"/>
    <w:rsid w:val="007569F0"/>
    <w:rsid w:val="0075722E"/>
    <w:rsid w:val="0076001F"/>
    <w:rsid w:val="00761AB4"/>
    <w:rsid w:val="00762ABB"/>
    <w:rsid w:val="00762E68"/>
    <w:rsid w:val="0076643F"/>
    <w:rsid w:val="0077058F"/>
    <w:rsid w:val="00771C1D"/>
    <w:rsid w:val="00776BFB"/>
    <w:rsid w:val="00777F63"/>
    <w:rsid w:val="007801D7"/>
    <w:rsid w:val="007814B4"/>
    <w:rsid w:val="00782018"/>
    <w:rsid w:val="00784610"/>
    <w:rsid w:val="00785100"/>
    <w:rsid w:val="00785183"/>
    <w:rsid w:val="00786177"/>
    <w:rsid w:val="00786D27"/>
    <w:rsid w:val="007928ED"/>
    <w:rsid w:val="00792B26"/>
    <w:rsid w:val="00792B41"/>
    <w:rsid w:val="00793EDB"/>
    <w:rsid w:val="00794847"/>
    <w:rsid w:val="0079632D"/>
    <w:rsid w:val="00796564"/>
    <w:rsid w:val="00796EBF"/>
    <w:rsid w:val="007A12CB"/>
    <w:rsid w:val="007A1DE0"/>
    <w:rsid w:val="007A2C58"/>
    <w:rsid w:val="007A4B98"/>
    <w:rsid w:val="007A4BD3"/>
    <w:rsid w:val="007A4C8E"/>
    <w:rsid w:val="007A5817"/>
    <w:rsid w:val="007A5ED9"/>
    <w:rsid w:val="007A6BBB"/>
    <w:rsid w:val="007B1F5C"/>
    <w:rsid w:val="007B1F60"/>
    <w:rsid w:val="007B27A3"/>
    <w:rsid w:val="007B27B5"/>
    <w:rsid w:val="007B342C"/>
    <w:rsid w:val="007B60E9"/>
    <w:rsid w:val="007B6C18"/>
    <w:rsid w:val="007B6CC3"/>
    <w:rsid w:val="007B719B"/>
    <w:rsid w:val="007B7D98"/>
    <w:rsid w:val="007C10B3"/>
    <w:rsid w:val="007C113D"/>
    <w:rsid w:val="007C293C"/>
    <w:rsid w:val="007C2AAE"/>
    <w:rsid w:val="007C3334"/>
    <w:rsid w:val="007C390E"/>
    <w:rsid w:val="007C5585"/>
    <w:rsid w:val="007C58FD"/>
    <w:rsid w:val="007C5C27"/>
    <w:rsid w:val="007C5FA1"/>
    <w:rsid w:val="007C680F"/>
    <w:rsid w:val="007D1025"/>
    <w:rsid w:val="007D19B1"/>
    <w:rsid w:val="007D2B98"/>
    <w:rsid w:val="007D3BD1"/>
    <w:rsid w:val="007D46C8"/>
    <w:rsid w:val="007D56B6"/>
    <w:rsid w:val="007E098C"/>
    <w:rsid w:val="007E0AF5"/>
    <w:rsid w:val="007E0BE6"/>
    <w:rsid w:val="007E21BC"/>
    <w:rsid w:val="007E2B6A"/>
    <w:rsid w:val="007E2E66"/>
    <w:rsid w:val="007E553F"/>
    <w:rsid w:val="007E5D8B"/>
    <w:rsid w:val="007E5FB8"/>
    <w:rsid w:val="007E6324"/>
    <w:rsid w:val="007E7246"/>
    <w:rsid w:val="007E7FC1"/>
    <w:rsid w:val="007F0979"/>
    <w:rsid w:val="007F0DD4"/>
    <w:rsid w:val="007F37B6"/>
    <w:rsid w:val="007F4ABB"/>
    <w:rsid w:val="007F6DB8"/>
    <w:rsid w:val="008005F9"/>
    <w:rsid w:val="00801DA6"/>
    <w:rsid w:val="00802169"/>
    <w:rsid w:val="008027CF"/>
    <w:rsid w:val="00803F1C"/>
    <w:rsid w:val="00804361"/>
    <w:rsid w:val="0080600E"/>
    <w:rsid w:val="00807244"/>
    <w:rsid w:val="00810001"/>
    <w:rsid w:val="00812DCB"/>
    <w:rsid w:val="00813108"/>
    <w:rsid w:val="0081424D"/>
    <w:rsid w:val="00814511"/>
    <w:rsid w:val="0081497B"/>
    <w:rsid w:val="00815498"/>
    <w:rsid w:val="008165C5"/>
    <w:rsid w:val="00817612"/>
    <w:rsid w:val="00821D9F"/>
    <w:rsid w:val="0082513C"/>
    <w:rsid w:val="00825378"/>
    <w:rsid w:val="0082542B"/>
    <w:rsid w:val="00831D90"/>
    <w:rsid w:val="008330EB"/>
    <w:rsid w:val="008338A4"/>
    <w:rsid w:val="00833D69"/>
    <w:rsid w:val="00834518"/>
    <w:rsid w:val="00834E0F"/>
    <w:rsid w:val="008358C7"/>
    <w:rsid w:val="00835C95"/>
    <w:rsid w:val="00836D50"/>
    <w:rsid w:val="00837C45"/>
    <w:rsid w:val="00840BBB"/>
    <w:rsid w:val="00844730"/>
    <w:rsid w:val="00844929"/>
    <w:rsid w:val="008454A5"/>
    <w:rsid w:val="008457C2"/>
    <w:rsid w:val="00845EEB"/>
    <w:rsid w:val="008520A5"/>
    <w:rsid w:val="00852456"/>
    <w:rsid w:val="0085353B"/>
    <w:rsid w:val="00853640"/>
    <w:rsid w:val="00853731"/>
    <w:rsid w:val="00854C66"/>
    <w:rsid w:val="008570D2"/>
    <w:rsid w:val="00857A82"/>
    <w:rsid w:val="0086180D"/>
    <w:rsid w:val="00861EB5"/>
    <w:rsid w:val="008626A3"/>
    <w:rsid w:val="00863A8B"/>
    <w:rsid w:val="00864065"/>
    <w:rsid w:val="00865F19"/>
    <w:rsid w:val="008660B7"/>
    <w:rsid w:val="00866579"/>
    <w:rsid w:val="00867197"/>
    <w:rsid w:val="008700FE"/>
    <w:rsid w:val="008703AA"/>
    <w:rsid w:val="008708BB"/>
    <w:rsid w:val="00871A9B"/>
    <w:rsid w:val="0087307B"/>
    <w:rsid w:val="00873836"/>
    <w:rsid w:val="00873949"/>
    <w:rsid w:val="008833D8"/>
    <w:rsid w:val="00883487"/>
    <w:rsid w:val="00884A4A"/>
    <w:rsid w:val="008853FC"/>
    <w:rsid w:val="00885737"/>
    <w:rsid w:val="00887255"/>
    <w:rsid w:val="00890650"/>
    <w:rsid w:val="0089339B"/>
    <w:rsid w:val="008935F3"/>
    <w:rsid w:val="0089508A"/>
    <w:rsid w:val="008952FC"/>
    <w:rsid w:val="00895700"/>
    <w:rsid w:val="00895D4F"/>
    <w:rsid w:val="00895ED0"/>
    <w:rsid w:val="00897E12"/>
    <w:rsid w:val="008A1476"/>
    <w:rsid w:val="008A1C76"/>
    <w:rsid w:val="008A337B"/>
    <w:rsid w:val="008A5106"/>
    <w:rsid w:val="008A5BAC"/>
    <w:rsid w:val="008A7E0F"/>
    <w:rsid w:val="008B12F5"/>
    <w:rsid w:val="008B3B36"/>
    <w:rsid w:val="008B3DE5"/>
    <w:rsid w:val="008B43A5"/>
    <w:rsid w:val="008B5CA1"/>
    <w:rsid w:val="008B62DD"/>
    <w:rsid w:val="008B66A6"/>
    <w:rsid w:val="008B7943"/>
    <w:rsid w:val="008C1384"/>
    <w:rsid w:val="008C1E3F"/>
    <w:rsid w:val="008C2C62"/>
    <w:rsid w:val="008C4EA6"/>
    <w:rsid w:val="008C54B5"/>
    <w:rsid w:val="008C5D1D"/>
    <w:rsid w:val="008D051B"/>
    <w:rsid w:val="008D2098"/>
    <w:rsid w:val="008D365C"/>
    <w:rsid w:val="008D44AC"/>
    <w:rsid w:val="008D6575"/>
    <w:rsid w:val="008D768D"/>
    <w:rsid w:val="008E150C"/>
    <w:rsid w:val="008E3759"/>
    <w:rsid w:val="008E640D"/>
    <w:rsid w:val="008F0EA1"/>
    <w:rsid w:val="008F1912"/>
    <w:rsid w:val="008F1A21"/>
    <w:rsid w:val="008F2263"/>
    <w:rsid w:val="008F49F9"/>
    <w:rsid w:val="008F7B6C"/>
    <w:rsid w:val="00900102"/>
    <w:rsid w:val="009002DA"/>
    <w:rsid w:val="0090270B"/>
    <w:rsid w:val="00902CA4"/>
    <w:rsid w:val="009041DC"/>
    <w:rsid w:val="00905583"/>
    <w:rsid w:val="00905587"/>
    <w:rsid w:val="0090589D"/>
    <w:rsid w:val="00906CBC"/>
    <w:rsid w:val="00910542"/>
    <w:rsid w:val="00910DA6"/>
    <w:rsid w:val="0091274B"/>
    <w:rsid w:val="00912A8D"/>
    <w:rsid w:val="00912F87"/>
    <w:rsid w:val="00917B5A"/>
    <w:rsid w:val="00920177"/>
    <w:rsid w:val="00920A58"/>
    <w:rsid w:val="00920A8C"/>
    <w:rsid w:val="00922B97"/>
    <w:rsid w:val="00923951"/>
    <w:rsid w:val="0092405A"/>
    <w:rsid w:val="00925599"/>
    <w:rsid w:val="009258D0"/>
    <w:rsid w:val="00926134"/>
    <w:rsid w:val="00934A2C"/>
    <w:rsid w:val="00935C8F"/>
    <w:rsid w:val="00937025"/>
    <w:rsid w:val="00937642"/>
    <w:rsid w:val="0093785D"/>
    <w:rsid w:val="009423E7"/>
    <w:rsid w:val="00942A71"/>
    <w:rsid w:val="00943130"/>
    <w:rsid w:val="00944F64"/>
    <w:rsid w:val="0094505F"/>
    <w:rsid w:val="00947322"/>
    <w:rsid w:val="00947BDC"/>
    <w:rsid w:val="00953FF5"/>
    <w:rsid w:val="0095520E"/>
    <w:rsid w:val="009556D2"/>
    <w:rsid w:val="00955B2D"/>
    <w:rsid w:val="00956064"/>
    <w:rsid w:val="00957C4E"/>
    <w:rsid w:val="009600D7"/>
    <w:rsid w:val="00960B2D"/>
    <w:rsid w:val="00961B02"/>
    <w:rsid w:val="00963122"/>
    <w:rsid w:val="00963C75"/>
    <w:rsid w:val="0096706E"/>
    <w:rsid w:val="00967945"/>
    <w:rsid w:val="00967E49"/>
    <w:rsid w:val="00971DA7"/>
    <w:rsid w:val="009751B8"/>
    <w:rsid w:val="00975513"/>
    <w:rsid w:val="00975C4E"/>
    <w:rsid w:val="00977129"/>
    <w:rsid w:val="00981FBA"/>
    <w:rsid w:val="00982323"/>
    <w:rsid w:val="009863E0"/>
    <w:rsid w:val="009876B0"/>
    <w:rsid w:val="00987A57"/>
    <w:rsid w:val="009916DF"/>
    <w:rsid w:val="00991E05"/>
    <w:rsid w:val="00997BC5"/>
    <w:rsid w:val="009A0011"/>
    <w:rsid w:val="009A00CD"/>
    <w:rsid w:val="009A259A"/>
    <w:rsid w:val="009A36E6"/>
    <w:rsid w:val="009A4B18"/>
    <w:rsid w:val="009A4F41"/>
    <w:rsid w:val="009B0D90"/>
    <w:rsid w:val="009B1002"/>
    <w:rsid w:val="009B1199"/>
    <w:rsid w:val="009B1E64"/>
    <w:rsid w:val="009B2E1F"/>
    <w:rsid w:val="009B381B"/>
    <w:rsid w:val="009B42F3"/>
    <w:rsid w:val="009B4708"/>
    <w:rsid w:val="009B4AD5"/>
    <w:rsid w:val="009C0460"/>
    <w:rsid w:val="009C1471"/>
    <w:rsid w:val="009C1846"/>
    <w:rsid w:val="009C39C4"/>
    <w:rsid w:val="009C5B12"/>
    <w:rsid w:val="009D1020"/>
    <w:rsid w:val="009D1753"/>
    <w:rsid w:val="009D2747"/>
    <w:rsid w:val="009D290A"/>
    <w:rsid w:val="009D37A0"/>
    <w:rsid w:val="009D501A"/>
    <w:rsid w:val="009D503D"/>
    <w:rsid w:val="009D7611"/>
    <w:rsid w:val="009E040E"/>
    <w:rsid w:val="009E0AC2"/>
    <w:rsid w:val="009E0B61"/>
    <w:rsid w:val="009E309F"/>
    <w:rsid w:val="009E350F"/>
    <w:rsid w:val="009E4609"/>
    <w:rsid w:val="009E53DE"/>
    <w:rsid w:val="009E6065"/>
    <w:rsid w:val="009F05ED"/>
    <w:rsid w:val="009F1D0C"/>
    <w:rsid w:val="009F22B8"/>
    <w:rsid w:val="009F4210"/>
    <w:rsid w:val="009F44A8"/>
    <w:rsid w:val="009F53BF"/>
    <w:rsid w:val="009F5563"/>
    <w:rsid w:val="009F591C"/>
    <w:rsid w:val="009F5ED8"/>
    <w:rsid w:val="009F68C9"/>
    <w:rsid w:val="00A0100E"/>
    <w:rsid w:val="00A0130C"/>
    <w:rsid w:val="00A01EF3"/>
    <w:rsid w:val="00A033CC"/>
    <w:rsid w:val="00A03648"/>
    <w:rsid w:val="00A0558A"/>
    <w:rsid w:val="00A0587A"/>
    <w:rsid w:val="00A062F7"/>
    <w:rsid w:val="00A066AB"/>
    <w:rsid w:val="00A06A17"/>
    <w:rsid w:val="00A072CC"/>
    <w:rsid w:val="00A106CB"/>
    <w:rsid w:val="00A1090E"/>
    <w:rsid w:val="00A11409"/>
    <w:rsid w:val="00A11A3E"/>
    <w:rsid w:val="00A13AEC"/>
    <w:rsid w:val="00A14BC2"/>
    <w:rsid w:val="00A153CA"/>
    <w:rsid w:val="00A174A2"/>
    <w:rsid w:val="00A20AB1"/>
    <w:rsid w:val="00A20CD5"/>
    <w:rsid w:val="00A24008"/>
    <w:rsid w:val="00A24808"/>
    <w:rsid w:val="00A24E3A"/>
    <w:rsid w:val="00A24E73"/>
    <w:rsid w:val="00A26E93"/>
    <w:rsid w:val="00A272C2"/>
    <w:rsid w:val="00A3176C"/>
    <w:rsid w:val="00A318DC"/>
    <w:rsid w:val="00A328B3"/>
    <w:rsid w:val="00A349C5"/>
    <w:rsid w:val="00A34DFE"/>
    <w:rsid w:val="00A3721C"/>
    <w:rsid w:val="00A4125B"/>
    <w:rsid w:val="00A4249E"/>
    <w:rsid w:val="00A429D0"/>
    <w:rsid w:val="00A43CFA"/>
    <w:rsid w:val="00A4440A"/>
    <w:rsid w:val="00A45B56"/>
    <w:rsid w:val="00A47463"/>
    <w:rsid w:val="00A50FCF"/>
    <w:rsid w:val="00A51349"/>
    <w:rsid w:val="00A518C8"/>
    <w:rsid w:val="00A528D1"/>
    <w:rsid w:val="00A52B43"/>
    <w:rsid w:val="00A550AB"/>
    <w:rsid w:val="00A5517D"/>
    <w:rsid w:val="00A5636A"/>
    <w:rsid w:val="00A60CD9"/>
    <w:rsid w:val="00A60EC3"/>
    <w:rsid w:val="00A610CD"/>
    <w:rsid w:val="00A645B9"/>
    <w:rsid w:val="00A66084"/>
    <w:rsid w:val="00A70D73"/>
    <w:rsid w:val="00A73A4D"/>
    <w:rsid w:val="00A7654A"/>
    <w:rsid w:val="00A77986"/>
    <w:rsid w:val="00A806AA"/>
    <w:rsid w:val="00A80BD0"/>
    <w:rsid w:val="00A81092"/>
    <w:rsid w:val="00A81146"/>
    <w:rsid w:val="00A83CA8"/>
    <w:rsid w:val="00A85F7B"/>
    <w:rsid w:val="00A9316F"/>
    <w:rsid w:val="00A94F8B"/>
    <w:rsid w:val="00A9665B"/>
    <w:rsid w:val="00A97A2A"/>
    <w:rsid w:val="00AA098A"/>
    <w:rsid w:val="00AA09A2"/>
    <w:rsid w:val="00AA199B"/>
    <w:rsid w:val="00AA4C9B"/>
    <w:rsid w:val="00AA5D9C"/>
    <w:rsid w:val="00AA6722"/>
    <w:rsid w:val="00AA70F2"/>
    <w:rsid w:val="00AA7996"/>
    <w:rsid w:val="00AA7E6D"/>
    <w:rsid w:val="00AB0FFF"/>
    <w:rsid w:val="00AB3A72"/>
    <w:rsid w:val="00AB3CA6"/>
    <w:rsid w:val="00AB3F0F"/>
    <w:rsid w:val="00AB42AF"/>
    <w:rsid w:val="00AB529E"/>
    <w:rsid w:val="00AC19CB"/>
    <w:rsid w:val="00AC1E0A"/>
    <w:rsid w:val="00AC2007"/>
    <w:rsid w:val="00AC4605"/>
    <w:rsid w:val="00AC486F"/>
    <w:rsid w:val="00AC59E5"/>
    <w:rsid w:val="00AC66BC"/>
    <w:rsid w:val="00AC78AA"/>
    <w:rsid w:val="00AD112D"/>
    <w:rsid w:val="00AD205E"/>
    <w:rsid w:val="00AD51CF"/>
    <w:rsid w:val="00AD7770"/>
    <w:rsid w:val="00AE0059"/>
    <w:rsid w:val="00AE0C60"/>
    <w:rsid w:val="00AE2D66"/>
    <w:rsid w:val="00AE34AB"/>
    <w:rsid w:val="00AE5488"/>
    <w:rsid w:val="00AE6F91"/>
    <w:rsid w:val="00AE732C"/>
    <w:rsid w:val="00AF0AC0"/>
    <w:rsid w:val="00AF1D11"/>
    <w:rsid w:val="00AF215F"/>
    <w:rsid w:val="00AF2A06"/>
    <w:rsid w:val="00AF2D4B"/>
    <w:rsid w:val="00AF5571"/>
    <w:rsid w:val="00AF689C"/>
    <w:rsid w:val="00AF6D50"/>
    <w:rsid w:val="00B01552"/>
    <w:rsid w:val="00B0430F"/>
    <w:rsid w:val="00B04527"/>
    <w:rsid w:val="00B055A8"/>
    <w:rsid w:val="00B063DC"/>
    <w:rsid w:val="00B07341"/>
    <w:rsid w:val="00B07547"/>
    <w:rsid w:val="00B07E83"/>
    <w:rsid w:val="00B11390"/>
    <w:rsid w:val="00B114CB"/>
    <w:rsid w:val="00B12579"/>
    <w:rsid w:val="00B1258B"/>
    <w:rsid w:val="00B1435A"/>
    <w:rsid w:val="00B15877"/>
    <w:rsid w:val="00B15F5E"/>
    <w:rsid w:val="00B16583"/>
    <w:rsid w:val="00B20DEA"/>
    <w:rsid w:val="00B22EF2"/>
    <w:rsid w:val="00B24F89"/>
    <w:rsid w:val="00B25EBA"/>
    <w:rsid w:val="00B278EF"/>
    <w:rsid w:val="00B30539"/>
    <w:rsid w:val="00B30C0D"/>
    <w:rsid w:val="00B314DB"/>
    <w:rsid w:val="00B32774"/>
    <w:rsid w:val="00B33C9C"/>
    <w:rsid w:val="00B34152"/>
    <w:rsid w:val="00B3434C"/>
    <w:rsid w:val="00B350F7"/>
    <w:rsid w:val="00B35995"/>
    <w:rsid w:val="00B361F2"/>
    <w:rsid w:val="00B3718B"/>
    <w:rsid w:val="00B374D8"/>
    <w:rsid w:val="00B42A83"/>
    <w:rsid w:val="00B42F96"/>
    <w:rsid w:val="00B43475"/>
    <w:rsid w:val="00B44689"/>
    <w:rsid w:val="00B44E73"/>
    <w:rsid w:val="00B45126"/>
    <w:rsid w:val="00B455C0"/>
    <w:rsid w:val="00B45FDB"/>
    <w:rsid w:val="00B46166"/>
    <w:rsid w:val="00B4632A"/>
    <w:rsid w:val="00B50507"/>
    <w:rsid w:val="00B52A89"/>
    <w:rsid w:val="00B530F1"/>
    <w:rsid w:val="00B53D22"/>
    <w:rsid w:val="00B55324"/>
    <w:rsid w:val="00B56390"/>
    <w:rsid w:val="00B56CE0"/>
    <w:rsid w:val="00B570EC"/>
    <w:rsid w:val="00B6063F"/>
    <w:rsid w:val="00B624A5"/>
    <w:rsid w:val="00B62AFC"/>
    <w:rsid w:val="00B62C81"/>
    <w:rsid w:val="00B63BBE"/>
    <w:rsid w:val="00B63E1C"/>
    <w:rsid w:val="00B6423F"/>
    <w:rsid w:val="00B67695"/>
    <w:rsid w:val="00B67AFB"/>
    <w:rsid w:val="00B67E22"/>
    <w:rsid w:val="00B7067D"/>
    <w:rsid w:val="00B71866"/>
    <w:rsid w:val="00B71B11"/>
    <w:rsid w:val="00B72031"/>
    <w:rsid w:val="00B726B1"/>
    <w:rsid w:val="00B747F6"/>
    <w:rsid w:val="00B74A13"/>
    <w:rsid w:val="00B76E4F"/>
    <w:rsid w:val="00B76FC2"/>
    <w:rsid w:val="00B7712A"/>
    <w:rsid w:val="00B772BF"/>
    <w:rsid w:val="00B808D5"/>
    <w:rsid w:val="00B82957"/>
    <w:rsid w:val="00B83C67"/>
    <w:rsid w:val="00B847F2"/>
    <w:rsid w:val="00B85E36"/>
    <w:rsid w:val="00B86283"/>
    <w:rsid w:val="00B87354"/>
    <w:rsid w:val="00B93C69"/>
    <w:rsid w:val="00B9573A"/>
    <w:rsid w:val="00B9635E"/>
    <w:rsid w:val="00B97402"/>
    <w:rsid w:val="00BA1DA2"/>
    <w:rsid w:val="00BA276C"/>
    <w:rsid w:val="00BA389D"/>
    <w:rsid w:val="00BA3D36"/>
    <w:rsid w:val="00BA42B6"/>
    <w:rsid w:val="00BB058F"/>
    <w:rsid w:val="00BB0AE9"/>
    <w:rsid w:val="00BB0B7A"/>
    <w:rsid w:val="00BB0CD4"/>
    <w:rsid w:val="00BB1CE2"/>
    <w:rsid w:val="00BB306F"/>
    <w:rsid w:val="00BB373C"/>
    <w:rsid w:val="00BC0681"/>
    <w:rsid w:val="00BC1021"/>
    <w:rsid w:val="00BC13C3"/>
    <w:rsid w:val="00BC237A"/>
    <w:rsid w:val="00BC4C44"/>
    <w:rsid w:val="00BC5511"/>
    <w:rsid w:val="00BC6263"/>
    <w:rsid w:val="00BD17AC"/>
    <w:rsid w:val="00BD2A0F"/>
    <w:rsid w:val="00BD4146"/>
    <w:rsid w:val="00BD4B89"/>
    <w:rsid w:val="00BD7F16"/>
    <w:rsid w:val="00BE0112"/>
    <w:rsid w:val="00BE0B43"/>
    <w:rsid w:val="00BE1DBA"/>
    <w:rsid w:val="00BE4623"/>
    <w:rsid w:val="00BE4AB4"/>
    <w:rsid w:val="00BE4B65"/>
    <w:rsid w:val="00BE6D38"/>
    <w:rsid w:val="00BE6F7F"/>
    <w:rsid w:val="00BF01DD"/>
    <w:rsid w:val="00BF3632"/>
    <w:rsid w:val="00BF3941"/>
    <w:rsid w:val="00BF3AC4"/>
    <w:rsid w:val="00BF5B7B"/>
    <w:rsid w:val="00BF6FD8"/>
    <w:rsid w:val="00BF773C"/>
    <w:rsid w:val="00BF7A83"/>
    <w:rsid w:val="00C00DCF"/>
    <w:rsid w:val="00C0158B"/>
    <w:rsid w:val="00C01745"/>
    <w:rsid w:val="00C01903"/>
    <w:rsid w:val="00C031C8"/>
    <w:rsid w:val="00C03680"/>
    <w:rsid w:val="00C04768"/>
    <w:rsid w:val="00C04A93"/>
    <w:rsid w:val="00C054DF"/>
    <w:rsid w:val="00C06FC9"/>
    <w:rsid w:val="00C0701D"/>
    <w:rsid w:val="00C1025F"/>
    <w:rsid w:val="00C13518"/>
    <w:rsid w:val="00C140DA"/>
    <w:rsid w:val="00C14996"/>
    <w:rsid w:val="00C160C5"/>
    <w:rsid w:val="00C16455"/>
    <w:rsid w:val="00C20034"/>
    <w:rsid w:val="00C2012A"/>
    <w:rsid w:val="00C2042B"/>
    <w:rsid w:val="00C2069A"/>
    <w:rsid w:val="00C21762"/>
    <w:rsid w:val="00C230F9"/>
    <w:rsid w:val="00C23ABF"/>
    <w:rsid w:val="00C243BE"/>
    <w:rsid w:val="00C24543"/>
    <w:rsid w:val="00C256A2"/>
    <w:rsid w:val="00C27946"/>
    <w:rsid w:val="00C27D46"/>
    <w:rsid w:val="00C34C12"/>
    <w:rsid w:val="00C36A4D"/>
    <w:rsid w:val="00C4098E"/>
    <w:rsid w:val="00C41468"/>
    <w:rsid w:val="00C42537"/>
    <w:rsid w:val="00C44B14"/>
    <w:rsid w:val="00C45C08"/>
    <w:rsid w:val="00C45C0C"/>
    <w:rsid w:val="00C46678"/>
    <w:rsid w:val="00C46C14"/>
    <w:rsid w:val="00C4754A"/>
    <w:rsid w:val="00C5028A"/>
    <w:rsid w:val="00C5048D"/>
    <w:rsid w:val="00C50E19"/>
    <w:rsid w:val="00C51515"/>
    <w:rsid w:val="00C52875"/>
    <w:rsid w:val="00C5367C"/>
    <w:rsid w:val="00C5660B"/>
    <w:rsid w:val="00C57930"/>
    <w:rsid w:val="00C60142"/>
    <w:rsid w:val="00C6017D"/>
    <w:rsid w:val="00C61CBE"/>
    <w:rsid w:val="00C61EF6"/>
    <w:rsid w:val="00C627CC"/>
    <w:rsid w:val="00C62E3B"/>
    <w:rsid w:val="00C6316F"/>
    <w:rsid w:val="00C6319F"/>
    <w:rsid w:val="00C63E43"/>
    <w:rsid w:val="00C64622"/>
    <w:rsid w:val="00C6564B"/>
    <w:rsid w:val="00C664E9"/>
    <w:rsid w:val="00C66B72"/>
    <w:rsid w:val="00C66D96"/>
    <w:rsid w:val="00C70059"/>
    <w:rsid w:val="00C70267"/>
    <w:rsid w:val="00C71A76"/>
    <w:rsid w:val="00C7253F"/>
    <w:rsid w:val="00C77C48"/>
    <w:rsid w:val="00C80049"/>
    <w:rsid w:val="00C81C41"/>
    <w:rsid w:val="00C81F49"/>
    <w:rsid w:val="00C836BC"/>
    <w:rsid w:val="00C84287"/>
    <w:rsid w:val="00C84BA1"/>
    <w:rsid w:val="00C91919"/>
    <w:rsid w:val="00C9567A"/>
    <w:rsid w:val="00C95C71"/>
    <w:rsid w:val="00C95E05"/>
    <w:rsid w:val="00C963B4"/>
    <w:rsid w:val="00C97BD5"/>
    <w:rsid w:val="00CA155F"/>
    <w:rsid w:val="00CA4727"/>
    <w:rsid w:val="00CA4A25"/>
    <w:rsid w:val="00CB0722"/>
    <w:rsid w:val="00CB11C7"/>
    <w:rsid w:val="00CB212D"/>
    <w:rsid w:val="00CB2215"/>
    <w:rsid w:val="00CB2660"/>
    <w:rsid w:val="00CB2BFE"/>
    <w:rsid w:val="00CB3DB2"/>
    <w:rsid w:val="00CB7BBC"/>
    <w:rsid w:val="00CC1580"/>
    <w:rsid w:val="00CC30B5"/>
    <w:rsid w:val="00CC30E4"/>
    <w:rsid w:val="00CC3A65"/>
    <w:rsid w:val="00CC412E"/>
    <w:rsid w:val="00CC42BC"/>
    <w:rsid w:val="00CC5E90"/>
    <w:rsid w:val="00CC62D7"/>
    <w:rsid w:val="00CC7C0A"/>
    <w:rsid w:val="00CC7D3F"/>
    <w:rsid w:val="00CD046C"/>
    <w:rsid w:val="00CD0759"/>
    <w:rsid w:val="00CD7A7E"/>
    <w:rsid w:val="00CE076C"/>
    <w:rsid w:val="00CE1BBB"/>
    <w:rsid w:val="00CE3048"/>
    <w:rsid w:val="00CE330B"/>
    <w:rsid w:val="00CE4AB5"/>
    <w:rsid w:val="00CE5199"/>
    <w:rsid w:val="00CE62B0"/>
    <w:rsid w:val="00CE66D5"/>
    <w:rsid w:val="00CE7E51"/>
    <w:rsid w:val="00CF0F3D"/>
    <w:rsid w:val="00CF13A1"/>
    <w:rsid w:val="00CF2321"/>
    <w:rsid w:val="00CF4097"/>
    <w:rsid w:val="00CF541E"/>
    <w:rsid w:val="00CF637A"/>
    <w:rsid w:val="00D00835"/>
    <w:rsid w:val="00D00F87"/>
    <w:rsid w:val="00D01FEC"/>
    <w:rsid w:val="00D020EA"/>
    <w:rsid w:val="00D02784"/>
    <w:rsid w:val="00D03136"/>
    <w:rsid w:val="00D05662"/>
    <w:rsid w:val="00D059DE"/>
    <w:rsid w:val="00D0619B"/>
    <w:rsid w:val="00D069BE"/>
    <w:rsid w:val="00D07386"/>
    <w:rsid w:val="00D10089"/>
    <w:rsid w:val="00D10650"/>
    <w:rsid w:val="00D11BAD"/>
    <w:rsid w:val="00D1255F"/>
    <w:rsid w:val="00D13A3F"/>
    <w:rsid w:val="00D13FCE"/>
    <w:rsid w:val="00D172B9"/>
    <w:rsid w:val="00D2066A"/>
    <w:rsid w:val="00D20826"/>
    <w:rsid w:val="00D20EDE"/>
    <w:rsid w:val="00D21EAA"/>
    <w:rsid w:val="00D24554"/>
    <w:rsid w:val="00D245FA"/>
    <w:rsid w:val="00D25C21"/>
    <w:rsid w:val="00D27F5A"/>
    <w:rsid w:val="00D306D1"/>
    <w:rsid w:val="00D313E5"/>
    <w:rsid w:val="00D3166D"/>
    <w:rsid w:val="00D31DD3"/>
    <w:rsid w:val="00D34786"/>
    <w:rsid w:val="00D35188"/>
    <w:rsid w:val="00D37235"/>
    <w:rsid w:val="00D376B1"/>
    <w:rsid w:val="00D37BFC"/>
    <w:rsid w:val="00D410BA"/>
    <w:rsid w:val="00D42DF7"/>
    <w:rsid w:val="00D46445"/>
    <w:rsid w:val="00D4689A"/>
    <w:rsid w:val="00D46CA7"/>
    <w:rsid w:val="00D47A8E"/>
    <w:rsid w:val="00D50E01"/>
    <w:rsid w:val="00D51F7C"/>
    <w:rsid w:val="00D5275F"/>
    <w:rsid w:val="00D52791"/>
    <w:rsid w:val="00D52D14"/>
    <w:rsid w:val="00D55686"/>
    <w:rsid w:val="00D632FF"/>
    <w:rsid w:val="00D63583"/>
    <w:rsid w:val="00D63E18"/>
    <w:rsid w:val="00D6432F"/>
    <w:rsid w:val="00D652C2"/>
    <w:rsid w:val="00D65519"/>
    <w:rsid w:val="00D65742"/>
    <w:rsid w:val="00D67CF6"/>
    <w:rsid w:val="00D70964"/>
    <w:rsid w:val="00D712D3"/>
    <w:rsid w:val="00D71422"/>
    <w:rsid w:val="00D72DA4"/>
    <w:rsid w:val="00D72DA9"/>
    <w:rsid w:val="00D72DC6"/>
    <w:rsid w:val="00D7558D"/>
    <w:rsid w:val="00D756CC"/>
    <w:rsid w:val="00D7700B"/>
    <w:rsid w:val="00D80F91"/>
    <w:rsid w:val="00D812B2"/>
    <w:rsid w:val="00D8142B"/>
    <w:rsid w:val="00D81B89"/>
    <w:rsid w:val="00D81D92"/>
    <w:rsid w:val="00D85BBA"/>
    <w:rsid w:val="00D869C6"/>
    <w:rsid w:val="00D90038"/>
    <w:rsid w:val="00D91D6C"/>
    <w:rsid w:val="00D92EBD"/>
    <w:rsid w:val="00D93613"/>
    <w:rsid w:val="00D945C6"/>
    <w:rsid w:val="00D94994"/>
    <w:rsid w:val="00D976C9"/>
    <w:rsid w:val="00DA0B2D"/>
    <w:rsid w:val="00DA0E3D"/>
    <w:rsid w:val="00DA1363"/>
    <w:rsid w:val="00DA29B5"/>
    <w:rsid w:val="00DA301E"/>
    <w:rsid w:val="00DA3574"/>
    <w:rsid w:val="00DA3A11"/>
    <w:rsid w:val="00DA3FDE"/>
    <w:rsid w:val="00DA67BA"/>
    <w:rsid w:val="00DA7B5F"/>
    <w:rsid w:val="00DB1036"/>
    <w:rsid w:val="00DB1133"/>
    <w:rsid w:val="00DB2CD4"/>
    <w:rsid w:val="00DB6809"/>
    <w:rsid w:val="00DB68D7"/>
    <w:rsid w:val="00DB7920"/>
    <w:rsid w:val="00DC08A6"/>
    <w:rsid w:val="00DC11E7"/>
    <w:rsid w:val="00DC2BF1"/>
    <w:rsid w:val="00DC34DE"/>
    <w:rsid w:val="00DC3CDA"/>
    <w:rsid w:val="00DC7023"/>
    <w:rsid w:val="00DC769A"/>
    <w:rsid w:val="00DD0740"/>
    <w:rsid w:val="00DD1A23"/>
    <w:rsid w:val="00DD3B4C"/>
    <w:rsid w:val="00DD3D86"/>
    <w:rsid w:val="00DD54EA"/>
    <w:rsid w:val="00DE02C7"/>
    <w:rsid w:val="00DE1DD5"/>
    <w:rsid w:val="00DE28A2"/>
    <w:rsid w:val="00DE57B3"/>
    <w:rsid w:val="00DE5937"/>
    <w:rsid w:val="00DE6AD9"/>
    <w:rsid w:val="00DF1EC4"/>
    <w:rsid w:val="00DF5AB4"/>
    <w:rsid w:val="00DF652F"/>
    <w:rsid w:val="00DF6F09"/>
    <w:rsid w:val="00E0097F"/>
    <w:rsid w:val="00E01979"/>
    <w:rsid w:val="00E0340B"/>
    <w:rsid w:val="00E046B0"/>
    <w:rsid w:val="00E04A90"/>
    <w:rsid w:val="00E07E14"/>
    <w:rsid w:val="00E1168C"/>
    <w:rsid w:val="00E12121"/>
    <w:rsid w:val="00E12A4D"/>
    <w:rsid w:val="00E13609"/>
    <w:rsid w:val="00E13782"/>
    <w:rsid w:val="00E139F9"/>
    <w:rsid w:val="00E170BC"/>
    <w:rsid w:val="00E17705"/>
    <w:rsid w:val="00E219C7"/>
    <w:rsid w:val="00E23507"/>
    <w:rsid w:val="00E23FF2"/>
    <w:rsid w:val="00E24A29"/>
    <w:rsid w:val="00E255A9"/>
    <w:rsid w:val="00E255BA"/>
    <w:rsid w:val="00E266F6"/>
    <w:rsid w:val="00E267EF"/>
    <w:rsid w:val="00E279AA"/>
    <w:rsid w:val="00E27C1B"/>
    <w:rsid w:val="00E304DF"/>
    <w:rsid w:val="00E30C38"/>
    <w:rsid w:val="00E34E9F"/>
    <w:rsid w:val="00E35039"/>
    <w:rsid w:val="00E35864"/>
    <w:rsid w:val="00E36DFB"/>
    <w:rsid w:val="00E36E6A"/>
    <w:rsid w:val="00E40CA1"/>
    <w:rsid w:val="00E413FC"/>
    <w:rsid w:val="00E42B75"/>
    <w:rsid w:val="00E43157"/>
    <w:rsid w:val="00E434A1"/>
    <w:rsid w:val="00E4423C"/>
    <w:rsid w:val="00E46061"/>
    <w:rsid w:val="00E461CE"/>
    <w:rsid w:val="00E46DF2"/>
    <w:rsid w:val="00E4732E"/>
    <w:rsid w:val="00E50F59"/>
    <w:rsid w:val="00E53537"/>
    <w:rsid w:val="00E54DF6"/>
    <w:rsid w:val="00E551BA"/>
    <w:rsid w:val="00E639C1"/>
    <w:rsid w:val="00E640DD"/>
    <w:rsid w:val="00E66959"/>
    <w:rsid w:val="00E70B4B"/>
    <w:rsid w:val="00E71F0D"/>
    <w:rsid w:val="00E720CA"/>
    <w:rsid w:val="00E7291D"/>
    <w:rsid w:val="00E72FBE"/>
    <w:rsid w:val="00E73EC3"/>
    <w:rsid w:val="00E76917"/>
    <w:rsid w:val="00E771EF"/>
    <w:rsid w:val="00E81741"/>
    <w:rsid w:val="00E8308E"/>
    <w:rsid w:val="00E84520"/>
    <w:rsid w:val="00E84C64"/>
    <w:rsid w:val="00E84EB5"/>
    <w:rsid w:val="00E85662"/>
    <w:rsid w:val="00E8701D"/>
    <w:rsid w:val="00E87079"/>
    <w:rsid w:val="00E8765E"/>
    <w:rsid w:val="00E8789F"/>
    <w:rsid w:val="00E87914"/>
    <w:rsid w:val="00E87A94"/>
    <w:rsid w:val="00E902B3"/>
    <w:rsid w:val="00E913E0"/>
    <w:rsid w:val="00E944BB"/>
    <w:rsid w:val="00E9511B"/>
    <w:rsid w:val="00E955D3"/>
    <w:rsid w:val="00E95853"/>
    <w:rsid w:val="00E974D6"/>
    <w:rsid w:val="00E97B71"/>
    <w:rsid w:val="00E97C98"/>
    <w:rsid w:val="00E97F34"/>
    <w:rsid w:val="00EA176A"/>
    <w:rsid w:val="00EA20EE"/>
    <w:rsid w:val="00EA3405"/>
    <w:rsid w:val="00EA3614"/>
    <w:rsid w:val="00EA3D34"/>
    <w:rsid w:val="00EA42BB"/>
    <w:rsid w:val="00EA47EE"/>
    <w:rsid w:val="00EA52A1"/>
    <w:rsid w:val="00EA5579"/>
    <w:rsid w:val="00EA57D6"/>
    <w:rsid w:val="00EA6C8A"/>
    <w:rsid w:val="00EA6C96"/>
    <w:rsid w:val="00EA7109"/>
    <w:rsid w:val="00EB1E17"/>
    <w:rsid w:val="00EB28E9"/>
    <w:rsid w:val="00EB3EC8"/>
    <w:rsid w:val="00EB425B"/>
    <w:rsid w:val="00EB454D"/>
    <w:rsid w:val="00EB4B2D"/>
    <w:rsid w:val="00EB4D46"/>
    <w:rsid w:val="00EB5685"/>
    <w:rsid w:val="00EC15D1"/>
    <w:rsid w:val="00EC18D8"/>
    <w:rsid w:val="00EC1932"/>
    <w:rsid w:val="00EC2DEB"/>
    <w:rsid w:val="00EC5609"/>
    <w:rsid w:val="00EC62C9"/>
    <w:rsid w:val="00EC6C1F"/>
    <w:rsid w:val="00EC7078"/>
    <w:rsid w:val="00ED01DC"/>
    <w:rsid w:val="00ED06DA"/>
    <w:rsid w:val="00ED1DAF"/>
    <w:rsid w:val="00ED3470"/>
    <w:rsid w:val="00ED4BDD"/>
    <w:rsid w:val="00ED5B00"/>
    <w:rsid w:val="00ED76BE"/>
    <w:rsid w:val="00ED7718"/>
    <w:rsid w:val="00EE08FD"/>
    <w:rsid w:val="00EE0A4A"/>
    <w:rsid w:val="00EE0FE5"/>
    <w:rsid w:val="00EE1A15"/>
    <w:rsid w:val="00EE3953"/>
    <w:rsid w:val="00EE40FE"/>
    <w:rsid w:val="00EE6554"/>
    <w:rsid w:val="00EE6A4C"/>
    <w:rsid w:val="00EE6D2F"/>
    <w:rsid w:val="00EF0FDA"/>
    <w:rsid w:val="00EF2ACB"/>
    <w:rsid w:val="00EF335C"/>
    <w:rsid w:val="00EF55ED"/>
    <w:rsid w:val="00EF619B"/>
    <w:rsid w:val="00EF72F8"/>
    <w:rsid w:val="00EF7DDB"/>
    <w:rsid w:val="00F00B55"/>
    <w:rsid w:val="00F011C1"/>
    <w:rsid w:val="00F01D10"/>
    <w:rsid w:val="00F02AD1"/>
    <w:rsid w:val="00F03E85"/>
    <w:rsid w:val="00F06378"/>
    <w:rsid w:val="00F11259"/>
    <w:rsid w:val="00F129BA"/>
    <w:rsid w:val="00F1767B"/>
    <w:rsid w:val="00F17811"/>
    <w:rsid w:val="00F2128B"/>
    <w:rsid w:val="00F2152E"/>
    <w:rsid w:val="00F2296E"/>
    <w:rsid w:val="00F230DA"/>
    <w:rsid w:val="00F24BAD"/>
    <w:rsid w:val="00F24C74"/>
    <w:rsid w:val="00F253CC"/>
    <w:rsid w:val="00F2608E"/>
    <w:rsid w:val="00F27D1F"/>
    <w:rsid w:val="00F30368"/>
    <w:rsid w:val="00F30768"/>
    <w:rsid w:val="00F319D0"/>
    <w:rsid w:val="00F34F14"/>
    <w:rsid w:val="00F363D3"/>
    <w:rsid w:val="00F369AE"/>
    <w:rsid w:val="00F37106"/>
    <w:rsid w:val="00F4024D"/>
    <w:rsid w:val="00F42183"/>
    <w:rsid w:val="00F42437"/>
    <w:rsid w:val="00F43697"/>
    <w:rsid w:val="00F451E7"/>
    <w:rsid w:val="00F47A02"/>
    <w:rsid w:val="00F47B54"/>
    <w:rsid w:val="00F5032B"/>
    <w:rsid w:val="00F519CF"/>
    <w:rsid w:val="00F51BA9"/>
    <w:rsid w:val="00F51D27"/>
    <w:rsid w:val="00F52E12"/>
    <w:rsid w:val="00F55907"/>
    <w:rsid w:val="00F568D7"/>
    <w:rsid w:val="00F56BA5"/>
    <w:rsid w:val="00F60E22"/>
    <w:rsid w:val="00F62983"/>
    <w:rsid w:val="00F6639D"/>
    <w:rsid w:val="00F666E4"/>
    <w:rsid w:val="00F66BD7"/>
    <w:rsid w:val="00F66F87"/>
    <w:rsid w:val="00F67642"/>
    <w:rsid w:val="00F67A0C"/>
    <w:rsid w:val="00F67C4C"/>
    <w:rsid w:val="00F7002B"/>
    <w:rsid w:val="00F759A8"/>
    <w:rsid w:val="00F75FB1"/>
    <w:rsid w:val="00F76B51"/>
    <w:rsid w:val="00F809CA"/>
    <w:rsid w:val="00F81395"/>
    <w:rsid w:val="00F81404"/>
    <w:rsid w:val="00F8162F"/>
    <w:rsid w:val="00F830CC"/>
    <w:rsid w:val="00F835BF"/>
    <w:rsid w:val="00F84012"/>
    <w:rsid w:val="00F84426"/>
    <w:rsid w:val="00F84EB8"/>
    <w:rsid w:val="00F87213"/>
    <w:rsid w:val="00F90975"/>
    <w:rsid w:val="00F9169A"/>
    <w:rsid w:val="00F917D1"/>
    <w:rsid w:val="00F9351F"/>
    <w:rsid w:val="00F93E30"/>
    <w:rsid w:val="00F942F9"/>
    <w:rsid w:val="00F96347"/>
    <w:rsid w:val="00F9653B"/>
    <w:rsid w:val="00F97DF6"/>
    <w:rsid w:val="00FA21AD"/>
    <w:rsid w:val="00FA2A8D"/>
    <w:rsid w:val="00FA4569"/>
    <w:rsid w:val="00FA4605"/>
    <w:rsid w:val="00FA47E8"/>
    <w:rsid w:val="00FA5A0F"/>
    <w:rsid w:val="00FA5F18"/>
    <w:rsid w:val="00FA6A10"/>
    <w:rsid w:val="00FB1733"/>
    <w:rsid w:val="00FB2A16"/>
    <w:rsid w:val="00FB32D5"/>
    <w:rsid w:val="00FB3BA2"/>
    <w:rsid w:val="00FB4694"/>
    <w:rsid w:val="00FB527C"/>
    <w:rsid w:val="00FB62CF"/>
    <w:rsid w:val="00FB7039"/>
    <w:rsid w:val="00FC1734"/>
    <w:rsid w:val="00FC32F4"/>
    <w:rsid w:val="00FC33E1"/>
    <w:rsid w:val="00FC5D8C"/>
    <w:rsid w:val="00FD045C"/>
    <w:rsid w:val="00FD3704"/>
    <w:rsid w:val="00FD3C3B"/>
    <w:rsid w:val="00FD4246"/>
    <w:rsid w:val="00FD49BF"/>
    <w:rsid w:val="00FD5AB7"/>
    <w:rsid w:val="00FD6AD2"/>
    <w:rsid w:val="00FD75BC"/>
    <w:rsid w:val="00FD781E"/>
    <w:rsid w:val="00FE26A3"/>
    <w:rsid w:val="00FE34D6"/>
    <w:rsid w:val="00FE3E2B"/>
    <w:rsid w:val="00FE43A8"/>
    <w:rsid w:val="00FE4D5D"/>
    <w:rsid w:val="00FE6B45"/>
    <w:rsid w:val="00FF069B"/>
    <w:rsid w:val="00FF45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02F4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B058F"/>
    <w:pPr>
      <w:keepNext/>
      <w:keepLines/>
      <w:numPr>
        <w:numId w:val="53"/>
      </w:numPr>
      <w:tabs>
        <w:tab w:val="left" w:pos="1440"/>
      </w:tabs>
      <w:ind w:left="0" w:firstLine="720"/>
      <w:jc w:val="both"/>
      <w:outlineLvl w:val="0"/>
    </w:pPr>
    <w:rPr>
      <w:rFonts w:ascii="Cambria" w:eastAsia="MS Gothic" w:hAnsi="Cambria"/>
      <w:b/>
      <w:bCs/>
      <w:sz w:val="20"/>
      <w:szCs w:val="20"/>
      <w:lang w:val="es-ES_tradnl"/>
    </w:rPr>
  </w:style>
  <w:style w:type="paragraph" w:styleId="Heading2">
    <w:name w:val="heading 2"/>
    <w:basedOn w:val="BodyTextIndent"/>
    <w:next w:val="Normal"/>
    <w:link w:val="Heading2Char"/>
    <w:qFormat/>
    <w:rsid w:val="00D1255F"/>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Cambria" w:hAnsi="Cambria"/>
      <w:b/>
      <w:sz w:val="20"/>
      <w:szCs w:val="20"/>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qFormat/>
    <w:rsid w:val="004A1D2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List2-Accent41">
    <w:name w:val="Medium List 2 - Accent 4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B058F"/>
    <w:rPr>
      <w:rFonts w:ascii="Cambria" w:eastAsia="MS Gothic" w:hAnsi="Cambria"/>
      <w:b/>
      <w:bCs/>
      <w:bdr w:val="nil"/>
      <w:lang w:val="es-ES_tradnl"/>
    </w:rPr>
  </w:style>
  <w:style w:type="table" w:customStyle="1" w:styleId="Bibliography1">
    <w:name w:val="Bibliography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1255F"/>
    <w:rPr>
      <w:rFonts w:ascii="Cambria" w:eastAsia="Times New Roman" w:hAnsi="Cambria"/>
      <w:b/>
      <w:color w:val="000000"/>
      <w:u w:color="000000"/>
      <w:bdr w:val="nil"/>
      <w:lang w:val="es-ES_tradnl" w:eastAsia="es-E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ColorfulShading-Accent31">
    <w:name w:val="Colorful Shading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DarkList-Accent31">
    <w:name w:val="Dark List - Accent 31"/>
    <w:hidden/>
    <w:uiPriority w:val="99"/>
    <w:semiHidden/>
    <w:rsid w:val="000A16F3"/>
    <w:rPr>
      <w:sz w:val="24"/>
      <w:szCs w:val="24"/>
      <w:bdr w:val="nil"/>
    </w:rPr>
  </w:style>
  <w:style w:type="paragraph" w:customStyle="1" w:styleId="LightGrid-Accent31">
    <w:name w:val="Light Grid - Accent 31"/>
    <w:basedOn w:val="Normal"/>
    <w:uiPriority w:val="72"/>
    <w:qFormat/>
    <w:rsid w:val="003D06FB"/>
    <w:pPr>
      <w:ind w:left="720"/>
    </w:pPr>
  </w:style>
  <w:style w:type="paragraph" w:customStyle="1" w:styleId="MediumGrid1-Accent21">
    <w:name w:val="Medium Grid 1 - Accent 21"/>
    <w:basedOn w:val="Normal"/>
    <w:uiPriority w:val="72"/>
    <w:qFormat/>
    <w:rsid w:val="00572624"/>
    <w:pPr>
      <w:ind w:left="720"/>
    </w:pPr>
  </w:style>
  <w:style w:type="paragraph" w:customStyle="1" w:styleId="ColorfulList-Accent11">
    <w:name w:val="Colorful List - Accent 11"/>
    <w:basedOn w:val="Normal"/>
    <w:uiPriority w:val="72"/>
    <w:qFormat/>
    <w:rsid w:val="00A03648"/>
    <w:pPr>
      <w:ind w:left="720"/>
    </w:pPr>
  </w:style>
  <w:style w:type="paragraph" w:customStyle="1" w:styleId="Style2">
    <w:name w:val="Style2"/>
    <w:basedOn w:val="Normal"/>
    <w:qFormat/>
    <w:rsid w:val="00754548"/>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MediumList2-Accent42">
    <w:name w:val="Medium List 2 - Accent 42"/>
    <w:basedOn w:val="Normal"/>
    <w:uiPriority w:val="34"/>
    <w:qFormat/>
    <w:rsid w:val="006069E6"/>
    <w:pPr>
      <w:ind w:left="720"/>
    </w:pPr>
  </w:style>
  <w:style w:type="character" w:styleId="FollowedHyperlink">
    <w:name w:val="FollowedHyperlink"/>
    <w:uiPriority w:val="99"/>
    <w:semiHidden/>
    <w:unhideWhenUsed/>
    <w:rsid w:val="00DA3FDE"/>
    <w:rPr>
      <w:color w:val="800080"/>
      <w:u w:val="single"/>
    </w:rPr>
  </w:style>
  <w:style w:type="paragraph" w:customStyle="1" w:styleId="ColorfulShading-Accent32">
    <w:name w:val="Colorful Shading - Accent 32"/>
    <w:basedOn w:val="Normal"/>
    <w:uiPriority w:val="34"/>
    <w:qFormat/>
    <w:rsid w:val="0005428B"/>
    <w:pPr>
      <w:ind w:left="720"/>
    </w:pPr>
  </w:style>
  <w:style w:type="paragraph" w:customStyle="1" w:styleId="LightGrid-Accent32">
    <w:name w:val="Light Grid - Accent 32"/>
    <w:basedOn w:val="Normal"/>
    <w:uiPriority w:val="34"/>
    <w:qFormat/>
    <w:rsid w:val="004149B7"/>
    <w:pPr>
      <w:ind w:left="720"/>
    </w:pPr>
  </w:style>
  <w:style w:type="paragraph" w:customStyle="1" w:styleId="MediumGrid1-Accent22">
    <w:name w:val="Medium Grid 1 - Accent 22"/>
    <w:basedOn w:val="Normal"/>
    <w:uiPriority w:val="34"/>
    <w:qFormat/>
    <w:rsid w:val="00944F64"/>
    <w:pPr>
      <w:ind w:left="720"/>
    </w:pPr>
  </w:style>
  <w:style w:type="paragraph" w:customStyle="1" w:styleId="ColorfulList-Accent12">
    <w:name w:val="Colorful List - Accent 12"/>
    <w:aliases w:val="Párrafo de lista1,List Paragraph1,List Paragraph11"/>
    <w:link w:val="ColorfulList-Accent1Char"/>
    <w:uiPriority w:val="99"/>
    <w:qFormat/>
    <w:rsid w:val="00FE43A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styleId="Strong">
    <w:name w:val="Strong"/>
    <w:uiPriority w:val="22"/>
    <w:qFormat/>
    <w:rsid w:val="00FE43A8"/>
    <w:rPr>
      <w:b/>
      <w:bCs/>
    </w:rPr>
  </w:style>
  <w:style w:type="character" w:customStyle="1" w:styleId="ColorfulList-Accent1Char">
    <w:name w:val="Colorful List - Accent 1 Char"/>
    <w:aliases w:val="Párrafo de lista1 Char,List Paragraph1 Char,List Paragraph11 Char"/>
    <w:link w:val="ColorfulList-Accent12"/>
    <w:uiPriority w:val="99"/>
    <w:locked/>
    <w:rsid w:val="00FE43A8"/>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E43A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bdr w:val="none" w:sz="0" w:space="0" w:color="auto"/>
      <w:vertAlign w:val="superscript"/>
    </w:rPr>
  </w:style>
  <w:style w:type="character" w:customStyle="1" w:styleId="Heading5Char">
    <w:name w:val="Heading 5 Char"/>
    <w:link w:val="Heading5"/>
    <w:uiPriority w:val="99"/>
    <w:rsid w:val="004A1D2D"/>
    <w:rPr>
      <w:rFonts w:ascii="Calibri" w:eastAsia="Times New Roman" w:hAnsi="Calibri" w:cs="Times New Roman"/>
      <w:b/>
      <w:bCs/>
      <w:i/>
      <w:iCs/>
      <w:sz w:val="26"/>
      <w:szCs w:val="26"/>
      <w:bdr w:val="nil"/>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4A1D2D"/>
    <w:rPr>
      <w:rFonts w:ascii="Calibri" w:eastAsia="Times New Roman"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B058F"/>
    <w:pPr>
      <w:keepNext/>
      <w:keepLines/>
      <w:numPr>
        <w:numId w:val="53"/>
      </w:numPr>
      <w:tabs>
        <w:tab w:val="left" w:pos="1440"/>
      </w:tabs>
      <w:ind w:left="0" w:firstLine="720"/>
      <w:jc w:val="both"/>
      <w:outlineLvl w:val="0"/>
    </w:pPr>
    <w:rPr>
      <w:rFonts w:ascii="Cambria" w:eastAsia="MS Gothic" w:hAnsi="Cambria"/>
      <w:b/>
      <w:bCs/>
      <w:sz w:val="20"/>
      <w:szCs w:val="20"/>
      <w:lang w:val="es-ES_tradnl"/>
    </w:rPr>
  </w:style>
  <w:style w:type="paragraph" w:styleId="Heading2">
    <w:name w:val="heading 2"/>
    <w:basedOn w:val="BodyTextIndent"/>
    <w:next w:val="Normal"/>
    <w:link w:val="Heading2Char"/>
    <w:qFormat/>
    <w:rsid w:val="00D1255F"/>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Cambria" w:hAnsi="Cambria"/>
      <w:b/>
      <w:sz w:val="20"/>
      <w:szCs w:val="20"/>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qFormat/>
    <w:rsid w:val="004A1D2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List2-Accent41">
    <w:name w:val="Medium List 2 - Accent 4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B058F"/>
    <w:rPr>
      <w:rFonts w:ascii="Cambria" w:eastAsia="MS Gothic" w:hAnsi="Cambria"/>
      <w:b/>
      <w:bCs/>
      <w:bdr w:val="nil"/>
      <w:lang w:val="es-ES_tradnl"/>
    </w:rPr>
  </w:style>
  <w:style w:type="table" w:customStyle="1" w:styleId="Bibliography1">
    <w:name w:val="Bibliography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BVIfnrCar1CarCarCarC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1255F"/>
    <w:rPr>
      <w:rFonts w:ascii="Cambria" w:eastAsia="Times New Roman" w:hAnsi="Cambria"/>
      <w:b/>
      <w:color w:val="000000"/>
      <w:u w:color="000000"/>
      <w:bdr w:val="nil"/>
      <w:lang w:val="es-ES_tradnl" w:eastAsia="es-E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s-ES_tradnl"/>
    </w:rPr>
  </w:style>
  <w:style w:type="character" w:customStyle="1" w:styleId="apple-converted-space">
    <w:name w:val="apple-converted-space"/>
    <w:rsid w:val="003122CD"/>
  </w:style>
  <w:style w:type="paragraph" w:customStyle="1" w:styleId="ColorfulShading-Accent31">
    <w:name w:val="Colorful Shading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DarkList-Accent31">
    <w:name w:val="Dark List - Accent 31"/>
    <w:hidden/>
    <w:uiPriority w:val="99"/>
    <w:semiHidden/>
    <w:rsid w:val="000A16F3"/>
    <w:rPr>
      <w:sz w:val="24"/>
      <w:szCs w:val="24"/>
      <w:bdr w:val="nil"/>
    </w:rPr>
  </w:style>
  <w:style w:type="paragraph" w:customStyle="1" w:styleId="LightGrid-Accent31">
    <w:name w:val="Light Grid - Accent 31"/>
    <w:basedOn w:val="Normal"/>
    <w:uiPriority w:val="72"/>
    <w:qFormat/>
    <w:rsid w:val="003D06FB"/>
    <w:pPr>
      <w:ind w:left="720"/>
    </w:pPr>
  </w:style>
  <w:style w:type="paragraph" w:customStyle="1" w:styleId="MediumGrid1-Accent21">
    <w:name w:val="Medium Grid 1 - Accent 21"/>
    <w:basedOn w:val="Normal"/>
    <w:uiPriority w:val="72"/>
    <w:qFormat/>
    <w:rsid w:val="00572624"/>
    <w:pPr>
      <w:ind w:left="720"/>
    </w:pPr>
  </w:style>
  <w:style w:type="paragraph" w:customStyle="1" w:styleId="ColorfulList-Accent11">
    <w:name w:val="Colorful List - Accent 11"/>
    <w:basedOn w:val="Normal"/>
    <w:uiPriority w:val="72"/>
    <w:qFormat/>
    <w:rsid w:val="00A03648"/>
    <w:pPr>
      <w:ind w:left="720"/>
    </w:pPr>
  </w:style>
  <w:style w:type="paragraph" w:customStyle="1" w:styleId="Style2">
    <w:name w:val="Style2"/>
    <w:basedOn w:val="Normal"/>
    <w:qFormat/>
    <w:rsid w:val="00754548"/>
    <w:pPr>
      <w:numPr>
        <w:numId w:val="5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customStyle="1" w:styleId="MediumList2-Accent42">
    <w:name w:val="Medium List 2 - Accent 42"/>
    <w:basedOn w:val="Normal"/>
    <w:uiPriority w:val="34"/>
    <w:qFormat/>
    <w:rsid w:val="006069E6"/>
    <w:pPr>
      <w:ind w:left="720"/>
    </w:pPr>
  </w:style>
  <w:style w:type="character" w:styleId="FollowedHyperlink">
    <w:name w:val="FollowedHyperlink"/>
    <w:uiPriority w:val="99"/>
    <w:semiHidden/>
    <w:unhideWhenUsed/>
    <w:rsid w:val="00DA3FDE"/>
    <w:rPr>
      <w:color w:val="800080"/>
      <w:u w:val="single"/>
    </w:rPr>
  </w:style>
  <w:style w:type="paragraph" w:customStyle="1" w:styleId="ColorfulShading-Accent32">
    <w:name w:val="Colorful Shading - Accent 32"/>
    <w:basedOn w:val="Normal"/>
    <w:uiPriority w:val="34"/>
    <w:qFormat/>
    <w:rsid w:val="0005428B"/>
    <w:pPr>
      <w:ind w:left="720"/>
    </w:pPr>
  </w:style>
  <w:style w:type="paragraph" w:customStyle="1" w:styleId="LightGrid-Accent32">
    <w:name w:val="Light Grid - Accent 32"/>
    <w:basedOn w:val="Normal"/>
    <w:uiPriority w:val="34"/>
    <w:qFormat/>
    <w:rsid w:val="004149B7"/>
    <w:pPr>
      <w:ind w:left="720"/>
    </w:pPr>
  </w:style>
  <w:style w:type="paragraph" w:customStyle="1" w:styleId="MediumGrid1-Accent22">
    <w:name w:val="Medium Grid 1 - Accent 22"/>
    <w:basedOn w:val="Normal"/>
    <w:uiPriority w:val="34"/>
    <w:qFormat/>
    <w:rsid w:val="00944F64"/>
    <w:pPr>
      <w:ind w:left="720"/>
    </w:pPr>
  </w:style>
  <w:style w:type="paragraph" w:customStyle="1" w:styleId="ColorfulList-Accent12">
    <w:name w:val="Colorful List - Accent 12"/>
    <w:aliases w:val="Párrafo de lista1,List Paragraph1,List Paragraph11"/>
    <w:link w:val="ColorfulList-Accent1Char"/>
    <w:uiPriority w:val="99"/>
    <w:qFormat/>
    <w:rsid w:val="00FE43A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styleId="Strong">
    <w:name w:val="Strong"/>
    <w:uiPriority w:val="22"/>
    <w:qFormat/>
    <w:rsid w:val="00FE43A8"/>
    <w:rPr>
      <w:b/>
      <w:bCs/>
    </w:rPr>
  </w:style>
  <w:style w:type="character" w:customStyle="1" w:styleId="ColorfulList-Accent1Char">
    <w:name w:val="Colorful List - Accent 1 Char"/>
    <w:aliases w:val="Párrafo de lista1 Char,List Paragraph1 Char,List Paragraph11 Char"/>
    <w:link w:val="ColorfulList-Accent12"/>
    <w:uiPriority w:val="99"/>
    <w:locked/>
    <w:rsid w:val="00FE43A8"/>
    <w:rPr>
      <w:rFonts w:ascii="Cambria" w:eastAsia="Cambria" w:hAnsi="Cambria" w:cs="Cambria"/>
      <w:color w:val="000000"/>
      <w:sz w:val="24"/>
      <w:szCs w:val="24"/>
      <w:u w:color="000000"/>
      <w:bdr w:val="nil"/>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FE43A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bdr w:val="none" w:sz="0" w:space="0" w:color="auto"/>
      <w:vertAlign w:val="superscript"/>
    </w:rPr>
  </w:style>
  <w:style w:type="character" w:customStyle="1" w:styleId="Heading5Char">
    <w:name w:val="Heading 5 Char"/>
    <w:link w:val="Heading5"/>
    <w:uiPriority w:val="99"/>
    <w:rsid w:val="004A1D2D"/>
    <w:rPr>
      <w:rFonts w:ascii="Calibri" w:eastAsia="Times New Roman" w:hAnsi="Calibri" w:cs="Times New Roman"/>
      <w:b/>
      <w:bCs/>
      <w:i/>
      <w:iCs/>
      <w:sz w:val="26"/>
      <w:szCs w:val="26"/>
      <w:bdr w:val="nil"/>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4A1D2D"/>
    <w:rPr>
      <w:rFonts w:ascii="Calibri" w:eastAsia="Times New Roman"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9577">
      <w:bodyDiv w:val="1"/>
      <w:marLeft w:val="0"/>
      <w:marRight w:val="0"/>
      <w:marTop w:val="0"/>
      <w:marBottom w:val="0"/>
      <w:divBdr>
        <w:top w:val="none" w:sz="0" w:space="0" w:color="auto"/>
        <w:left w:val="none" w:sz="0" w:space="0" w:color="auto"/>
        <w:bottom w:val="none" w:sz="0" w:space="0" w:color="auto"/>
        <w:right w:val="none" w:sz="0" w:space="0" w:color="auto"/>
      </w:divBdr>
    </w:div>
    <w:div w:id="99111820">
      <w:bodyDiv w:val="1"/>
      <w:marLeft w:val="0"/>
      <w:marRight w:val="0"/>
      <w:marTop w:val="0"/>
      <w:marBottom w:val="0"/>
      <w:divBdr>
        <w:top w:val="none" w:sz="0" w:space="0" w:color="auto"/>
        <w:left w:val="none" w:sz="0" w:space="0" w:color="auto"/>
        <w:bottom w:val="none" w:sz="0" w:space="0" w:color="auto"/>
        <w:right w:val="none" w:sz="0" w:space="0" w:color="auto"/>
      </w:divBdr>
    </w:div>
    <w:div w:id="161892597">
      <w:bodyDiv w:val="1"/>
      <w:marLeft w:val="0"/>
      <w:marRight w:val="0"/>
      <w:marTop w:val="0"/>
      <w:marBottom w:val="0"/>
      <w:divBdr>
        <w:top w:val="none" w:sz="0" w:space="0" w:color="auto"/>
        <w:left w:val="none" w:sz="0" w:space="0" w:color="auto"/>
        <w:bottom w:val="none" w:sz="0" w:space="0" w:color="auto"/>
        <w:right w:val="none" w:sz="0" w:space="0" w:color="auto"/>
      </w:divBdr>
    </w:div>
    <w:div w:id="227570173">
      <w:bodyDiv w:val="1"/>
      <w:marLeft w:val="0"/>
      <w:marRight w:val="0"/>
      <w:marTop w:val="0"/>
      <w:marBottom w:val="0"/>
      <w:divBdr>
        <w:top w:val="none" w:sz="0" w:space="0" w:color="auto"/>
        <w:left w:val="none" w:sz="0" w:space="0" w:color="auto"/>
        <w:bottom w:val="none" w:sz="0" w:space="0" w:color="auto"/>
        <w:right w:val="none" w:sz="0" w:space="0" w:color="auto"/>
      </w:divBdr>
    </w:div>
    <w:div w:id="257064036">
      <w:bodyDiv w:val="1"/>
      <w:marLeft w:val="0"/>
      <w:marRight w:val="0"/>
      <w:marTop w:val="0"/>
      <w:marBottom w:val="0"/>
      <w:divBdr>
        <w:top w:val="none" w:sz="0" w:space="0" w:color="auto"/>
        <w:left w:val="none" w:sz="0" w:space="0" w:color="auto"/>
        <w:bottom w:val="none" w:sz="0" w:space="0" w:color="auto"/>
        <w:right w:val="none" w:sz="0" w:space="0" w:color="auto"/>
      </w:divBdr>
    </w:div>
    <w:div w:id="390537910">
      <w:bodyDiv w:val="1"/>
      <w:marLeft w:val="0"/>
      <w:marRight w:val="0"/>
      <w:marTop w:val="0"/>
      <w:marBottom w:val="0"/>
      <w:divBdr>
        <w:top w:val="none" w:sz="0" w:space="0" w:color="auto"/>
        <w:left w:val="none" w:sz="0" w:space="0" w:color="auto"/>
        <w:bottom w:val="none" w:sz="0" w:space="0" w:color="auto"/>
        <w:right w:val="none" w:sz="0" w:space="0" w:color="auto"/>
      </w:divBdr>
    </w:div>
    <w:div w:id="598219594">
      <w:bodyDiv w:val="1"/>
      <w:marLeft w:val="0"/>
      <w:marRight w:val="0"/>
      <w:marTop w:val="0"/>
      <w:marBottom w:val="0"/>
      <w:divBdr>
        <w:top w:val="none" w:sz="0" w:space="0" w:color="auto"/>
        <w:left w:val="none" w:sz="0" w:space="0" w:color="auto"/>
        <w:bottom w:val="none" w:sz="0" w:space="0" w:color="auto"/>
        <w:right w:val="none" w:sz="0" w:space="0" w:color="auto"/>
      </w:divBdr>
    </w:div>
    <w:div w:id="734931854">
      <w:bodyDiv w:val="1"/>
      <w:marLeft w:val="0"/>
      <w:marRight w:val="0"/>
      <w:marTop w:val="0"/>
      <w:marBottom w:val="0"/>
      <w:divBdr>
        <w:top w:val="none" w:sz="0" w:space="0" w:color="auto"/>
        <w:left w:val="none" w:sz="0" w:space="0" w:color="auto"/>
        <w:bottom w:val="none" w:sz="0" w:space="0" w:color="auto"/>
        <w:right w:val="none" w:sz="0" w:space="0" w:color="auto"/>
      </w:divBdr>
    </w:div>
    <w:div w:id="840238404">
      <w:bodyDiv w:val="1"/>
      <w:marLeft w:val="0"/>
      <w:marRight w:val="0"/>
      <w:marTop w:val="0"/>
      <w:marBottom w:val="0"/>
      <w:divBdr>
        <w:top w:val="none" w:sz="0" w:space="0" w:color="auto"/>
        <w:left w:val="none" w:sz="0" w:space="0" w:color="auto"/>
        <w:bottom w:val="none" w:sz="0" w:space="0" w:color="auto"/>
        <w:right w:val="none" w:sz="0" w:space="0" w:color="auto"/>
      </w:divBdr>
    </w:div>
    <w:div w:id="883951426">
      <w:bodyDiv w:val="1"/>
      <w:marLeft w:val="0"/>
      <w:marRight w:val="0"/>
      <w:marTop w:val="0"/>
      <w:marBottom w:val="0"/>
      <w:divBdr>
        <w:top w:val="none" w:sz="0" w:space="0" w:color="auto"/>
        <w:left w:val="none" w:sz="0" w:space="0" w:color="auto"/>
        <w:bottom w:val="none" w:sz="0" w:space="0" w:color="auto"/>
        <w:right w:val="none" w:sz="0" w:space="0" w:color="auto"/>
      </w:divBdr>
    </w:div>
    <w:div w:id="977955099">
      <w:bodyDiv w:val="1"/>
      <w:marLeft w:val="0"/>
      <w:marRight w:val="0"/>
      <w:marTop w:val="0"/>
      <w:marBottom w:val="0"/>
      <w:divBdr>
        <w:top w:val="none" w:sz="0" w:space="0" w:color="auto"/>
        <w:left w:val="none" w:sz="0" w:space="0" w:color="auto"/>
        <w:bottom w:val="none" w:sz="0" w:space="0" w:color="auto"/>
        <w:right w:val="none" w:sz="0" w:space="0" w:color="auto"/>
      </w:divBdr>
    </w:div>
    <w:div w:id="999695248">
      <w:bodyDiv w:val="1"/>
      <w:marLeft w:val="0"/>
      <w:marRight w:val="0"/>
      <w:marTop w:val="0"/>
      <w:marBottom w:val="0"/>
      <w:divBdr>
        <w:top w:val="none" w:sz="0" w:space="0" w:color="auto"/>
        <w:left w:val="none" w:sz="0" w:space="0" w:color="auto"/>
        <w:bottom w:val="none" w:sz="0" w:space="0" w:color="auto"/>
        <w:right w:val="none" w:sz="0" w:space="0" w:color="auto"/>
      </w:divBdr>
    </w:div>
    <w:div w:id="1204098108">
      <w:bodyDiv w:val="1"/>
      <w:marLeft w:val="0"/>
      <w:marRight w:val="0"/>
      <w:marTop w:val="0"/>
      <w:marBottom w:val="0"/>
      <w:divBdr>
        <w:top w:val="none" w:sz="0" w:space="0" w:color="auto"/>
        <w:left w:val="none" w:sz="0" w:space="0" w:color="auto"/>
        <w:bottom w:val="none" w:sz="0" w:space="0" w:color="auto"/>
        <w:right w:val="none" w:sz="0" w:space="0" w:color="auto"/>
      </w:divBdr>
    </w:div>
    <w:div w:id="1543177878">
      <w:bodyDiv w:val="1"/>
      <w:marLeft w:val="0"/>
      <w:marRight w:val="0"/>
      <w:marTop w:val="0"/>
      <w:marBottom w:val="0"/>
      <w:divBdr>
        <w:top w:val="none" w:sz="0" w:space="0" w:color="auto"/>
        <w:left w:val="none" w:sz="0" w:space="0" w:color="auto"/>
        <w:bottom w:val="none" w:sz="0" w:space="0" w:color="auto"/>
        <w:right w:val="none" w:sz="0" w:space="0" w:color="auto"/>
      </w:divBdr>
    </w:div>
    <w:div w:id="164515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419154">
      <w:bodyDiv w:val="1"/>
      <w:marLeft w:val="0"/>
      <w:marRight w:val="0"/>
      <w:marTop w:val="0"/>
      <w:marBottom w:val="0"/>
      <w:divBdr>
        <w:top w:val="none" w:sz="0" w:space="0" w:color="auto"/>
        <w:left w:val="none" w:sz="0" w:space="0" w:color="auto"/>
        <w:bottom w:val="none" w:sz="0" w:space="0" w:color="auto"/>
        <w:right w:val="none" w:sz="0" w:space="0" w:color="auto"/>
      </w:divBdr>
    </w:div>
    <w:div w:id="1886411524">
      <w:bodyDiv w:val="1"/>
      <w:marLeft w:val="0"/>
      <w:marRight w:val="0"/>
      <w:marTop w:val="0"/>
      <w:marBottom w:val="0"/>
      <w:divBdr>
        <w:top w:val="none" w:sz="0" w:space="0" w:color="auto"/>
        <w:left w:val="none" w:sz="0" w:space="0" w:color="auto"/>
        <w:bottom w:val="none" w:sz="0" w:space="0" w:color="auto"/>
        <w:right w:val="none" w:sz="0" w:space="0" w:color="auto"/>
      </w:divBdr>
    </w:div>
    <w:div w:id="198222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2011/ECAD12197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3963-1CCC-4C68-9385-5BFF03DA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5036</Words>
  <Characters>27698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32669</CharactersWithSpaces>
  <SharedDoc>false</SharedDoc>
  <HLinks>
    <vt:vector size="12" baseType="variant">
      <vt:variant>
        <vt:i4>10682471</vt:i4>
      </vt:variant>
      <vt:variant>
        <vt:i4>3</vt:i4>
      </vt:variant>
      <vt:variant>
        <vt:i4>0</vt:i4>
      </vt:variant>
      <vt:variant>
        <vt:i4>5</vt:i4>
      </vt:variant>
      <vt:variant>
        <vt:lpwstr>http://www.oas.org/es/cidh/decisiones/2011/ECAD12197ES.doc. Párr.s</vt:lpwstr>
      </vt:variant>
      <vt:variant>
        <vt:lpwstr/>
      </vt:variant>
      <vt:variant>
        <vt:i4>6488165</vt:i4>
      </vt:variant>
      <vt:variant>
        <vt:i4>0</vt:i4>
      </vt:variant>
      <vt:variant>
        <vt:i4>0</vt:i4>
      </vt:variant>
      <vt:variant>
        <vt:i4>5</vt:i4>
      </vt:variant>
      <vt:variant>
        <vt:lpwstr>http://www.oas.org/es/cidh/decisiones/2011/ECAD12197ES.doc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11</cp:revision>
  <cp:lastPrinted>2017-05-11T19:27:00Z</cp:lastPrinted>
  <dcterms:created xsi:type="dcterms:W3CDTF">2017-05-12T20:23:00Z</dcterms:created>
  <dcterms:modified xsi:type="dcterms:W3CDTF">2017-09-25T14:40:00Z</dcterms:modified>
</cp:coreProperties>
</file>