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20489" w:rsidRDefault="00C0075D" w:rsidP="00627C9F">
      <w:pPr>
        <w:jc w:val="both"/>
        <w:rPr>
          <w:rFonts w:asciiTheme="majorHAnsi" w:hAnsiTheme="majorHAnsi" w:cs="Univers"/>
          <w:b/>
          <w:bCs/>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534D403" wp14:editId="06B67CC4">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Default="00F40EB1" w:rsidP="00AE5488">
                            <w:r>
                              <w:rPr>
                                <w:noProof/>
                              </w:rPr>
                              <w:drawing>
                                <wp:inline distT="0" distB="0" distL="0" distR="0" wp14:anchorId="5A49DDF1" wp14:editId="5ED43C1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F40EB1" w:rsidRDefault="00F40EB1" w:rsidP="00AE5488">
                      <w:r>
                        <w:rPr>
                          <w:noProof/>
                        </w:rPr>
                        <w:drawing>
                          <wp:inline distT="0" distB="0" distL="0" distR="0" wp14:anchorId="5A49DDF1" wp14:editId="5ED43C1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1DD207B" wp14:editId="3B33C7C8">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p>
    <w:p w:rsidR="00040C3A" w:rsidRPr="00420489" w:rsidRDefault="00040C3A" w:rsidP="00040C3A">
      <w:pPr>
        <w:tabs>
          <w:tab w:val="center" w:pos="5400"/>
        </w:tabs>
        <w:suppressAutoHyphens/>
        <w:jc w:val="both"/>
        <w:rPr>
          <w:rFonts w:asciiTheme="majorHAnsi" w:hAnsiTheme="majorHAnsi"/>
          <w:sz w:val="20"/>
          <w:szCs w:val="20"/>
          <w:lang w:val="es-ES_tradnl"/>
        </w:rPr>
      </w:pPr>
    </w:p>
    <w:p w:rsidR="00040C3A" w:rsidRPr="00420489" w:rsidRDefault="00040C3A" w:rsidP="00040C3A">
      <w:pPr>
        <w:tabs>
          <w:tab w:val="center" w:pos="5400"/>
        </w:tabs>
        <w:suppressAutoHyphens/>
        <w:jc w:val="both"/>
        <w:rPr>
          <w:rFonts w:asciiTheme="majorHAnsi" w:hAnsiTheme="majorHAnsi"/>
          <w:sz w:val="20"/>
          <w:szCs w:val="20"/>
          <w:lang w:val="es-ES_tradnl"/>
        </w:rPr>
      </w:pPr>
    </w:p>
    <w:p w:rsidR="005128E4" w:rsidRPr="00420489" w:rsidRDefault="005128E4" w:rsidP="00040C3A">
      <w:pPr>
        <w:tabs>
          <w:tab w:val="center" w:pos="5400"/>
        </w:tabs>
        <w:suppressAutoHyphens/>
        <w:rPr>
          <w:rFonts w:asciiTheme="majorHAnsi" w:hAnsiTheme="majorHAnsi"/>
          <w:sz w:val="20"/>
          <w:szCs w:val="20"/>
          <w:lang w:val="es-ES_tradnl"/>
        </w:rPr>
      </w:pPr>
    </w:p>
    <w:p w:rsidR="005128E4" w:rsidRPr="00420489" w:rsidRDefault="005128E4" w:rsidP="00040C3A">
      <w:pPr>
        <w:tabs>
          <w:tab w:val="center" w:pos="5400"/>
        </w:tabs>
        <w:suppressAutoHyphens/>
        <w:rPr>
          <w:rFonts w:asciiTheme="majorHAnsi" w:hAnsiTheme="majorHAnsi"/>
          <w:sz w:val="20"/>
          <w:szCs w:val="20"/>
          <w:lang w:val="es-ES_tradnl"/>
        </w:rPr>
      </w:pPr>
    </w:p>
    <w:p w:rsidR="005128E4" w:rsidRPr="00420489" w:rsidRDefault="005128E4" w:rsidP="00040C3A">
      <w:pPr>
        <w:tabs>
          <w:tab w:val="center" w:pos="5400"/>
        </w:tabs>
        <w:suppressAutoHyphens/>
        <w:rPr>
          <w:rFonts w:asciiTheme="majorHAnsi" w:hAnsiTheme="majorHAnsi"/>
          <w:sz w:val="20"/>
          <w:szCs w:val="20"/>
          <w:lang w:val="es-ES_tradnl"/>
        </w:rPr>
      </w:pPr>
    </w:p>
    <w:p w:rsidR="00040C3A" w:rsidRPr="00420489" w:rsidRDefault="00040C3A" w:rsidP="005128E4">
      <w:pPr>
        <w:tabs>
          <w:tab w:val="center" w:pos="5400"/>
        </w:tabs>
        <w:suppressAutoHyphens/>
        <w:jc w:val="center"/>
        <w:rPr>
          <w:rFonts w:asciiTheme="majorHAnsi" w:hAnsiTheme="majorHAnsi"/>
          <w:sz w:val="20"/>
          <w:szCs w:val="20"/>
          <w:lang w:val="es-ES_tradnl"/>
        </w:rPr>
      </w:pPr>
    </w:p>
    <w:p w:rsidR="00040C3A" w:rsidRPr="00420489" w:rsidRDefault="00040C3A" w:rsidP="005128E4">
      <w:pPr>
        <w:tabs>
          <w:tab w:val="center" w:pos="5400"/>
        </w:tabs>
        <w:suppressAutoHyphens/>
        <w:jc w:val="center"/>
        <w:rPr>
          <w:rFonts w:asciiTheme="majorHAnsi" w:hAnsiTheme="majorHAnsi"/>
          <w:sz w:val="20"/>
          <w:szCs w:val="20"/>
          <w:lang w:val="es-ES_tradnl"/>
        </w:rPr>
      </w:pPr>
    </w:p>
    <w:p w:rsidR="005B52B0" w:rsidRPr="00420489" w:rsidRDefault="005B52B0" w:rsidP="005128E4">
      <w:pPr>
        <w:tabs>
          <w:tab w:val="center" w:pos="5400"/>
        </w:tabs>
        <w:suppressAutoHyphens/>
        <w:jc w:val="center"/>
        <w:rPr>
          <w:rFonts w:asciiTheme="majorHAnsi" w:hAnsiTheme="majorHAnsi"/>
          <w:sz w:val="20"/>
          <w:szCs w:val="20"/>
          <w:lang w:val="es-ES_tradnl"/>
        </w:rPr>
      </w:pPr>
    </w:p>
    <w:p w:rsidR="005B52B0" w:rsidRPr="00420489" w:rsidRDefault="005B52B0" w:rsidP="005128E4">
      <w:pPr>
        <w:tabs>
          <w:tab w:val="center" w:pos="5400"/>
        </w:tabs>
        <w:suppressAutoHyphens/>
        <w:jc w:val="center"/>
        <w:rPr>
          <w:rFonts w:asciiTheme="majorHAnsi" w:hAnsiTheme="majorHAnsi"/>
          <w:sz w:val="20"/>
          <w:szCs w:val="20"/>
          <w:lang w:val="es-ES_tradnl"/>
        </w:rPr>
      </w:pPr>
    </w:p>
    <w:p w:rsidR="005B52B0" w:rsidRPr="00420489" w:rsidRDefault="005B52B0" w:rsidP="005128E4">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C8406DE" wp14:editId="000849DF">
                <wp:simplePos x="0" y="0"/>
                <wp:positionH relativeFrom="column">
                  <wp:posOffset>1352550</wp:posOffset>
                </wp:positionH>
                <wp:positionV relativeFrom="paragraph">
                  <wp:posOffset>109220</wp:posOffset>
                </wp:positionV>
                <wp:extent cx="4441190" cy="4273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427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Default="00F40EB1"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132/17</w:t>
                            </w:r>
                          </w:p>
                          <w:p w:rsidR="00F40EB1" w:rsidRPr="00B06C1C" w:rsidRDefault="00F40EB1" w:rsidP="00997BC5">
                            <w:pPr>
                              <w:spacing w:line="276" w:lineRule="auto"/>
                              <w:rPr>
                                <w:rFonts w:asciiTheme="majorHAnsi" w:hAnsiTheme="majorHAnsi" w:cs="Arial"/>
                                <w:b/>
                                <w:bCs/>
                                <w:color w:val="0D0D0D" w:themeColor="text1" w:themeTint="F2"/>
                                <w:sz w:val="36"/>
                                <w:szCs w:val="22"/>
                                <w:lang w:val="es-ES"/>
                              </w:rPr>
                            </w:pPr>
                            <w:r>
                              <w:rPr>
                                <w:rFonts w:asciiTheme="majorHAnsi" w:hAnsiTheme="majorHAnsi" w:cs="Arial"/>
                                <w:b/>
                                <w:bCs/>
                                <w:color w:val="0D0D0D" w:themeColor="text1" w:themeTint="F2"/>
                                <w:sz w:val="36"/>
                                <w:szCs w:val="22"/>
                                <w:lang w:val="es-ES"/>
                              </w:rPr>
                              <w:t>CASO 12. 452</w:t>
                            </w:r>
                          </w:p>
                          <w:p w:rsidR="00F40EB1" w:rsidRDefault="00F40EB1" w:rsidP="007014EB">
                            <w:pPr>
                              <w:spacing w:line="276" w:lineRule="auto"/>
                              <w:rPr>
                                <w:rFonts w:asciiTheme="majorHAnsi" w:hAnsiTheme="majorHAnsi" w:cs="Arial"/>
                                <w:color w:val="0D0D0D" w:themeColor="text1" w:themeTint="F2"/>
                                <w:szCs w:val="22"/>
                                <w:lang w:val="es-ES_tradnl"/>
                              </w:rPr>
                            </w:pPr>
                            <w:bookmarkStart w:id="0" w:name="_ftnref1"/>
                            <w:r>
                              <w:rPr>
                                <w:rFonts w:asciiTheme="majorHAnsi" w:hAnsiTheme="majorHAnsi" w:cs="Arial"/>
                                <w:color w:val="0D0D0D" w:themeColor="text1" w:themeTint="F2"/>
                                <w:szCs w:val="22"/>
                                <w:lang w:val="es-ES_tradnl"/>
                              </w:rPr>
                              <w:t xml:space="preserve">INFORME DE ADMISIBILIDAD Y FONDO </w:t>
                            </w:r>
                          </w:p>
                          <w:p w:rsidR="00F40EB1" w:rsidRPr="00B06E1C" w:rsidRDefault="00F40EB1" w:rsidP="00B06E1C">
                            <w:pPr>
                              <w:suppressAutoHyphens/>
                              <w:rPr>
                                <w:rFonts w:asciiTheme="majorHAnsi" w:hAnsiTheme="majorHAnsi" w:cs="Arial"/>
                                <w:b/>
                                <w:color w:val="0D0D0D" w:themeColor="text1" w:themeTint="F2"/>
                                <w:lang w:val="es-ES"/>
                              </w:rPr>
                            </w:pPr>
                          </w:p>
                          <w:p w:rsidR="00F40EB1" w:rsidRDefault="00F40EB1" w:rsidP="00997BC5">
                            <w:pPr>
                              <w:spacing w:line="276" w:lineRule="auto"/>
                              <w:rPr>
                                <w:rFonts w:asciiTheme="majorHAnsi" w:hAnsiTheme="majorHAnsi" w:cs="Arial"/>
                                <w:color w:val="0D0D0D" w:themeColor="text1" w:themeTint="F2"/>
                                <w:szCs w:val="22"/>
                                <w:lang w:val="es-ES_tradnl"/>
                              </w:rPr>
                            </w:pPr>
                          </w:p>
                          <w:p w:rsidR="00F40EB1" w:rsidRDefault="00F40EB1" w:rsidP="00F25D69">
                            <w:pPr>
                              <w:suppressAutoHyphens/>
                              <w:ind w:right="990"/>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_tradnl"/>
                              </w:rPr>
                              <w:t>TIRSO ROM</w:t>
                            </w:r>
                            <w:r>
                              <w:rPr>
                                <w:rFonts w:asciiTheme="majorHAnsi" w:hAnsiTheme="majorHAnsi" w:cs="Arial"/>
                                <w:color w:val="0D0D0D" w:themeColor="text1" w:themeTint="F2"/>
                                <w:szCs w:val="22"/>
                                <w:lang w:val="es-VE"/>
                              </w:rPr>
                              <w:t xml:space="preserve">ÁN VALENZUELA </w:t>
                            </w:r>
                            <w:r w:rsidRPr="007F3D68">
                              <w:rPr>
                                <w:rFonts w:asciiTheme="majorHAnsi" w:hAnsiTheme="majorHAnsi" w:cs="Arial"/>
                                <w:color w:val="0D0D0D" w:themeColor="text1" w:themeTint="F2"/>
                                <w:szCs w:val="22"/>
                                <w:lang w:val="es-VE"/>
                              </w:rPr>
                              <w:t>ÁVILA Y FAMILIARES</w:t>
                            </w:r>
                          </w:p>
                          <w:p w:rsidR="00F40EB1" w:rsidRPr="007014EB" w:rsidRDefault="00F40EB1" w:rsidP="00F25D69">
                            <w:pPr>
                              <w:suppressAutoHyphens/>
                              <w:ind w:right="990"/>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G</w:t>
                            </w:r>
                            <w:r w:rsidR="006D7B67">
                              <w:rPr>
                                <w:rFonts w:asciiTheme="majorHAnsi" w:hAnsiTheme="majorHAnsi" w:cs="Arial"/>
                                <w:color w:val="0D0D0D" w:themeColor="text1" w:themeTint="F2"/>
                                <w:szCs w:val="22"/>
                                <w:lang w:val="es-VE"/>
                              </w:rPr>
                              <w:t>UATEMALA</w:t>
                            </w:r>
                            <w:bookmarkStart w:id="1" w:name="_GoBack"/>
                            <w:bookmarkEnd w:id="1"/>
                          </w:p>
                          <w:p w:rsidR="00F40EB1" w:rsidRDefault="00F40EB1" w:rsidP="007014EB">
                            <w:pPr>
                              <w:suppressAutoHyphens/>
                              <w:ind w:right="990"/>
                              <w:rPr>
                                <w:rFonts w:asciiTheme="majorHAnsi" w:hAnsiTheme="majorHAnsi" w:cs="Arial"/>
                                <w:color w:val="0D0D0D" w:themeColor="text1" w:themeTint="F2"/>
                                <w:szCs w:val="22"/>
                                <w:lang w:val="es-ES_tradnl"/>
                              </w:rPr>
                            </w:pPr>
                            <w:r>
                              <w:rPr>
                                <w:rFonts w:ascii="Cambria" w:hAnsi="Cambria"/>
                                <w:lang w:val="es-ES_tradnl"/>
                              </w:rPr>
                              <w:t xml:space="preserve"> </w:t>
                            </w:r>
                          </w:p>
                          <w:p w:rsidR="00F40EB1" w:rsidRPr="0010736F" w:rsidRDefault="00F40EB1" w:rsidP="00997BC5">
                            <w:pPr>
                              <w:spacing w:line="276" w:lineRule="auto"/>
                              <w:rPr>
                                <w:rFonts w:asciiTheme="majorHAnsi" w:hAnsiTheme="majorHAnsi" w:cs="Arial"/>
                                <w:color w:val="0D0D0D" w:themeColor="text1" w:themeTint="F2"/>
                                <w:szCs w:val="22"/>
                                <w:lang w:val="es-ES_tradnl"/>
                              </w:rPr>
                            </w:pPr>
                          </w:p>
                          <w:bookmarkEnd w:id="0"/>
                          <w:p w:rsidR="00F40EB1" w:rsidRPr="00AE5488" w:rsidRDefault="00F40EB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6pt;width:349.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" filled="f" stroked="f" strokeweight=".5pt">
                <v:path arrowok="t"/>
                <v:textbox>
                  <w:txbxContent>
                    <w:p w:rsidR="00F40EB1" w:rsidRDefault="00F40EB1"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132/17</w:t>
                      </w:r>
                    </w:p>
                    <w:p w:rsidR="00F40EB1" w:rsidRPr="00B06C1C" w:rsidRDefault="00F40EB1" w:rsidP="00997BC5">
                      <w:pPr>
                        <w:spacing w:line="276" w:lineRule="auto"/>
                        <w:rPr>
                          <w:rFonts w:asciiTheme="majorHAnsi" w:hAnsiTheme="majorHAnsi" w:cs="Arial"/>
                          <w:b/>
                          <w:bCs/>
                          <w:color w:val="0D0D0D" w:themeColor="text1" w:themeTint="F2"/>
                          <w:sz w:val="36"/>
                          <w:szCs w:val="22"/>
                          <w:lang w:val="es-ES"/>
                        </w:rPr>
                      </w:pPr>
                      <w:r>
                        <w:rPr>
                          <w:rFonts w:asciiTheme="majorHAnsi" w:hAnsiTheme="majorHAnsi" w:cs="Arial"/>
                          <w:b/>
                          <w:bCs/>
                          <w:color w:val="0D0D0D" w:themeColor="text1" w:themeTint="F2"/>
                          <w:sz w:val="36"/>
                          <w:szCs w:val="22"/>
                          <w:lang w:val="es-ES"/>
                        </w:rPr>
                        <w:t>CASO 12. 452</w:t>
                      </w:r>
                    </w:p>
                    <w:p w:rsidR="00F40EB1" w:rsidRDefault="00F40EB1" w:rsidP="007014EB">
                      <w:pPr>
                        <w:spacing w:line="276" w:lineRule="auto"/>
                        <w:rPr>
                          <w:rFonts w:asciiTheme="majorHAnsi" w:hAnsiTheme="majorHAnsi" w:cs="Arial"/>
                          <w:color w:val="0D0D0D" w:themeColor="text1" w:themeTint="F2"/>
                          <w:szCs w:val="22"/>
                          <w:lang w:val="es-ES_tradnl"/>
                        </w:rPr>
                      </w:pPr>
                      <w:bookmarkStart w:id="2" w:name="_ftnref1"/>
                      <w:r>
                        <w:rPr>
                          <w:rFonts w:asciiTheme="majorHAnsi" w:hAnsiTheme="majorHAnsi" w:cs="Arial"/>
                          <w:color w:val="0D0D0D" w:themeColor="text1" w:themeTint="F2"/>
                          <w:szCs w:val="22"/>
                          <w:lang w:val="es-ES_tradnl"/>
                        </w:rPr>
                        <w:t xml:space="preserve">INFORME DE ADMISIBILIDAD Y FONDO </w:t>
                      </w:r>
                    </w:p>
                    <w:p w:rsidR="00F40EB1" w:rsidRPr="00B06E1C" w:rsidRDefault="00F40EB1" w:rsidP="00B06E1C">
                      <w:pPr>
                        <w:suppressAutoHyphens/>
                        <w:rPr>
                          <w:rFonts w:asciiTheme="majorHAnsi" w:hAnsiTheme="majorHAnsi" w:cs="Arial"/>
                          <w:b/>
                          <w:color w:val="0D0D0D" w:themeColor="text1" w:themeTint="F2"/>
                          <w:lang w:val="es-ES"/>
                        </w:rPr>
                      </w:pPr>
                    </w:p>
                    <w:p w:rsidR="00F40EB1" w:rsidRDefault="00F40EB1" w:rsidP="00997BC5">
                      <w:pPr>
                        <w:spacing w:line="276" w:lineRule="auto"/>
                        <w:rPr>
                          <w:rFonts w:asciiTheme="majorHAnsi" w:hAnsiTheme="majorHAnsi" w:cs="Arial"/>
                          <w:color w:val="0D0D0D" w:themeColor="text1" w:themeTint="F2"/>
                          <w:szCs w:val="22"/>
                          <w:lang w:val="es-ES_tradnl"/>
                        </w:rPr>
                      </w:pPr>
                    </w:p>
                    <w:p w:rsidR="00F40EB1" w:rsidRDefault="00F40EB1" w:rsidP="00F25D69">
                      <w:pPr>
                        <w:suppressAutoHyphens/>
                        <w:ind w:right="990"/>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_tradnl"/>
                        </w:rPr>
                        <w:t>TIRSO ROM</w:t>
                      </w:r>
                      <w:r>
                        <w:rPr>
                          <w:rFonts w:asciiTheme="majorHAnsi" w:hAnsiTheme="majorHAnsi" w:cs="Arial"/>
                          <w:color w:val="0D0D0D" w:themeColor="text1" w:themeTint="F2"/>
                          <w:szCs w:val="22"/>
                          <w:lang w:val="es-VE"/>
                        </w:rPr>
                        <w:t xml:space="preserve">ÁN VALENZUELA </w:t>
                      </w:r>
                      <w:r w:rsidRPr="007F3D68">
                        <w:rPr>
                          <w:rFonts w:asciiTheme="majorHAnsi" w:hAnsiTheme="majorHAnsi" w:cs="Arial"/>
                          <w:color w:val="0D0D0D" w:themeColor="text1" w:themeTint="F2"/>
                          <w:szCs w:val="22"/>
                          <w:lang w:val="es-VE"/>
                        </w:rPr>
                        <w:t>ÁVILA Y FAMILIARES</w:t>
                      </w:r>
                    </w:p>
                    <w:p w:rsidR="00F40EB1" w:rsidRPr="007014EB" w:rsidRDefault="00F40EB1" w:rsidP="00F25D69">
                      <w:pPr>
                        <w:suppressAutoHyphens/>
                        <w:ind w:right="990"/>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G</w:t>
                      </w:r>
                      <w:r w:rsidR="006D7B67">
                        <w:rPr>
                          <w:rFonts w:asciiTheme="majorHAnsi" w:hAnsiTheme="majorHAnsi" w:cs="Arial"/>
                          <w:color w:val="0D0D0D" w:themeColor="text1" w:themeTint="F2"/>
                          <w:szCs w:val="22"/>
                          <w:lang w:val="es-VE"/>
                        </w:rPr>
                        <w:t>UATEMALA</w:t>
                      </w:r>
                      <w:bookmarkStart w:id="3" w:name="_GoBack"/>
                      <w:bookmarkEnd w:id="3"/>
                    </w:p>
                    <w:p w:rsidR="00F40EB1" w:rsidRDefault="00F40EB1" w:rsidP="007014EB">
                      <w:pPr>
                        <w:suppressAutoHyphens/>
                        <w:ind w:right="990"/>
                        <w:rPr>
                          <w:rFonts w:asciiTheme="majorHAnsi" w:hAnsiTheme="majorHAnsi" w:cs="Arial"/>
                          <w:color w:val="0D0D0D" w:themeColor="text1" w:themeTint="F2"/>
                          <w:szCs w:val="22"/>
                          <w:lang w:val="es-ES_tradnl"/>
                        </w:rPr>
                      </w:pPr>
                      <w:r>
                        <w:rPr>
                          <w:rFonts w:ascii="Cambria" w:hAnsi="Cambria"/>
                          <w:lang w:val="es-ES_tradnl"/>
                        </w:rPr>
                        <w:t xml:space="preserve"> </w:t>
                      </w:r>
                    </w:p>
                    <w:p w:rsidR="00F40EB1" w:rsidRPr="0010736F" w:rsidRDefault="00F40EB1" w:rsidP="00997BC5">
                      <w:pPr>
                        <w:spacing w:line="276" w:lineRule="auto"/>
                        <w:rPr>
                          <w:rFonts w:asciiTheme="majorHAnsi" w:hAnsiTheme="majorHAnsi" w:cs="Arial"/>
                          <w:color w:val="0D0D0D" w:themeColor="text1" w:themeTint="F2"/>
                          <w:szCs w:val="22"/>
                          <w:lang w:val="es-ES_tradnl"/>
                        </w:rPr>
                      </w:pPr>
                    </w:p>
                    <w:bookmarkEnd w:id="2"/>
                    <w:p w:rsidR="00F40EB1" w:rsidRPr="00AE5488" w:rsidRDefault="00F40EB1" w:rsidP="007A5817">
                      <w:pPr>
                        <w:rPr>
                          <w:color w:val="0D0D0D" w:themeColor="text1" w:themeTint="F2"/>
                          <w:lang w:val="es-ES_tradnl"/>
                        </w:rPr>
                      </w:pP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9068D9B" wp14:editId="6B7369D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Pr="00F40EB1" w:rsidRDefault="00F40EB1" w:rsidP="007A5817">
                            <w:pPr>
                              <w:spacing w:line="276" w:lineRule="auto"/>
                              <w:jc w:val="right"/>
                              <w:rPr>
                                <w:rFonts w:asciiTheme="minorHAnsi" w:hAnsiTheme="minorHAnsi"/>
                                <w:color w:val="FFFFFF" w:themeColor="background1"/>
                                <w:sz w:val="22"/>
                                <w:lang w:val="pt-BR"/>
                              </w:rPr>
                            </w:pPr>
                            <w:r w:rsidRPr="00F40EB1">
                              <w:rPr>
                                <w:rFonts w:asciiTheme="minorHAnsi" w:hAnsiTheme="minorHAnsi"/>
                                <w:color w:val="FFFFFF" w:themeColor="background1"/>
                                <w:sz w:val="22"/>
                                <w:lang w:val="pt-BR"/>
                              </w:rPr>
                              <w:t>OEA/Ser.L/V/II.165</w:t>
                            </w:r>
                          </w:p>
                          <w:p w:rsidR="00F40EB1" w:rsidRPr="00F40EB1" w:rsidRDefault="00F40EB1" w:rsidP="007A5817">
                            <w:pPr>
                              <w:spacing w:line="276" w:lineRule="auto"/>
                              <w:jc w:val="right"/>
                              <w:rPr>
                                <w:rFonts w:asciiTheme="minorHAnsi" w:hAnsiTheme="minorHAnsi"/>
                                <w:color w:val="FFFFFF" w:themeColor="background1"/>
                                <w:sz w:val="22"/>
                                <w:lang w:val="pt-BR"/>
                              </w:rPr>
                            </w:pPr>
                            <w:r w:rsidRPr="00F40EB1">
                              <w:rPr>
                                <w:rFonts w:asciiTheme="minorHAnsi" w:hAnsiTheme="minorHAnsi"/>
                                <w:color w:val="FFFFFF" w:themeColor="background1"/>
                                <w:sz w:val="22"/>
                                <w:lang w:val="pt-BR"/>
                              </w:rPr>
                              <w:t>Doc. 158</w:t>
                            </w:r>
                          </w:p>
                          <w:p w:rsidR="00F40EB1" w:rsidRPr="00A5702A" w:rsidRDefault="00F40EB1" w:rsidP="007A5817">
                            <w:pPr>
                              <w:spacing w:line="276" w:lineRule="auto"/>
                              <w:jc w:val="right"/>
                              <w:rPr>
                                <w:rFonts w:asciiTheme="minorHAnsi" w:hAnsiTheme="minorHAnsi"/>
                                <w:color w:val="FFFFFF" w:themeColor="background1"/>
                                <w:sz w:val="22"/>
                                <w:lang w:val="es-VE"/>
                              </w:rPr>
                            </w:pPr>
                            <w:r w:rsidRPr="00A5702A">
                              <w:rPr>
                                <w:rFonts w:asciiTheme="minorHAnsi" w:hAnsiTheme="minorHAnsi"/>
                                <w:color w:val="FFFFFF" w:themeColor="background1"/>
                                <w:sz w:val="22"/>
                                <w:lang w:val="es-VE"/>
                              </w:rPr>
                              <w:t>25 octubre 2017</w:t>
                            </w:r>
                          </w:p>
                          <w:p w:rsidR="00F40EB1" w:rsidRPr="000C5BC3" w:rsidRDefault="00F40EB1"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F40EB1" w:rsidRPr="00F40EB1" w:rsidRDefault="00F40EB1" w:rsidP="007A5817">
                      <w:pPr>
                        <w:spacing w:line="276" w:lineRule="auto"/>
                        <w:jc w:val="right"/>
                        <w:rPr>
                          <w:rFonts w:asciiTheme="minorHAnsi" w:hAnsiTheme="minorHAnsi"/>
                          <w:color w:val="FFFFFF" w:themeColor="background1"/>
                          <w:sz w:val="22"/>
                          <w:lang w:val="pt-BR"/>
                        </w:rPr>
                      </w:pPr>
                      <w:r w:rsidRPr="00F40EB1">
                        <w:rPr>
                          <w:rFonts w:asciiTheme="minorHAnsi" w:hAnsiTheme="minorHAnsi"/>
                          <w:color w:val="FFFFFF" w:themeColor="background1"/>
                          <w:sz w:val="22"/>
                          <w:lang w:val="pt-BR"/>
                        </w:rPr>
                        <w:t>OEA/Ser.L/V/II.165</w:t>
                      </w:r>
                    </w:p>
                    <w:p w:rsidR="00F40EB1" w:rsidRPr="00F40EB1" w:rsidRDefault="00F40EB1" w:rsidP="007A5817">
                      <w:pPr>
                        <w:spacing w:line="276" w:lineRule="auto"/>
                        <w:jc w:val="right"/>
                        <w:rPr>
                          <w:rFonts w:asciiTheme="minorHAnsi" w:hAnsiTheme="minorHAnsi"/>
                          <w:color w:val="FFFFFF" w:themeColor="background1"/>
                          <w:sz w:val="22"/>
                          <w:lang w:val="pt-BR"/>
                        </w:rPr>
                      </w:pPr>
                      <w:r w:rsidRPr="00F40EB1">
                        <w:rPr>
                          <w:rFonts w:asciiTheme="minorHAnsi" w:hAnsiTheme="minorHAnsi"/>
                          <w:color w:val="FFFFFF" w:themeColor="background1"/>
                          <w:sz w:val="22"/>
                          <w:lang w:val="pt-BR"/>
                        </w:rPr>
                        <w:t>Doc. 158</w:t>
                      </w:r>
                    </w:p>
                    <w:p w:rsidR="00F40EB1" w:rsidRPr="00A5702A" w:rsidRDefault="00F40EB1" w:rsidP="007A5817">
                      <w:pPr>
                        <w:spacing w:line="276" w:lineRule="auto"/>
                        <w:jc w:val="right"/>
                        <w:rPr>
                          <w:rFonts w:asciiTheme="minorHAnsi" w:hAnsiTheme="minorHAnsi"/>
                          <w:color w:val="FFFFFF" w:themeColor="background1"/>
                          <w:sz w:val="22"/>
                          <w:lang w:val="es-VE"/>
                        </w:rPr>
                      </w:pPr>
                      <w:r w:rsidRPr="00A5702A">
                        <w:rPr>
                          <w:rFonts w:asciiTheme="minorHAnsi" w:hAnsiTheme="minorHAnsi"/>
                          <w:color w:val="FFFFFF" w:themeColor="background1"/>
                          <w:sz w:val="22"/>
                          <w:lang w:val="es-VE"/>
                        </w:rPr>
                        <w:t>25 octubre 2017</w:t>
                      </w:r>
                    </w:p>
                    <w:p w:rsidR="00F40EB1" w:rsidRPr="000C5BC3" w:rsidRDefault="00F40EB1"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cs="Arial"/>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5128E4" w:rsidRPr="00420489" w:rsidRDefault="005128E4"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5128E4" w:rsidRPr="00420489" w:rsidRDefault="005128E4" w:rsidP="00040C3A">
      <w:pPr>
        <w:tabs>
          <w:tab w:val="center" w:pos="5400"/>
        </w:tabs>
        <w:suppressAutoHyphens/>
        <w:jc w:val="center"/>
        <w:rPr>
          <w:rFonts w:asciiTheme="majorHAnsi" w:hAnsiTheme="majorHAnsi"/>
          <w:sz w:val="20"/>
          <w:szCs w:val="20"/>
          <w:lang w:val="es-ES_tradnl"/>
        </w:rPr>
      </w:pPr>
    </w:p>
    <w:p w:rsidR="005128E4" w:rsidRPr="00420489" w:rsidRDefault="005128E4" w:rsidP="00040C3A">
      <w:pPr>
        <w:tabs>
          <w:tab w:val="center" w:pos="5400"/>
        </w:tabs>
        <w:suppressAutoHyphens/>
        <w:jc w:val="center"/>
        <w:rPr>
          <w:rFonts w:asciiTheme="majorHAnsi" w:hAnsiTheme="majorHAnsi"/>
          <w:sz w:val="20"/>
          <w:szCs w:val="20"/>
          <w:lang w:val="es-ES_tradnl"/>
        </w:rPr>
      </w:pPr>
    </w:p>
    <w:p w:rsidR="005128E4" w:rsidRPr="00420489" w:rsidRDefault="005128E4"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040C3A" w:rsidRPr="00420489" w:rsidRDefault="00040C3A"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5B07895" wp14:editId="1E0EC26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Pr="00890650" w:rsidRDefault="00F40EB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2102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25 de octubre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F40EB1" w:rsidRPr="00890650" w:rsidRDefault="00F40EB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2102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25 de octubre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txbxContent>
                </v:textbox>
              </v:shape>
            </w:pict>
          </mc:Fallback>
        </mc:AlternateContent>
      </w: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74392F9" wp14:editId="366A39D7">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Pr="00623F39" w:rsidRDefault="00F40EB1"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132/17</w:t>
                            </w:r>
                            <w:r>
                              <w:rPr>
                                <w:rFonts w:asciiTheme="majorHAnsi" w:hAnsiTheme="majorHAnsi"/>
                                <w:color w:val="595959" w:themeColor="text1" w:themeTint="A6"/>
                                <w:sz w:val="18"/>
                                <w:szCs w:val="18"/>
                                <w:lang w:val="es-ES_tradnl"/>
                              </w:rPr>
                              <w:t>, Caso 12.452. Admisibilidad y Fondo. Tirso Román Valenzuela Ávila.</w:t>
                            </w:r>
                            <w:r>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25 de octubre de 2017</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F40EB1" w:rsidRPr="00623F39" w:rsidRDefault="00F40EB1"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132/17</w:t>
                      </w:r>
                      <w:r>
                        <w:rPr>
                          <w:rFonts w:asciiTheme="majorHAnsi" w:hAnsiTheme="majorHAnsi"/>
                          <w:color w:val="595959" w:themeColor="text1" w:themeTint="A6"/>
                          <w:sz w:val="18"/>
                          <w:szCs w:val="18"/>
                          <w:lang w:val="es-ES_tradnl"/>
                        </w:rPr>
                        <w:t>, Caso 12.452. Admisibilidad y Fondo. Tirso Román Valenzuela Ávila.</w:t>
                      </w:r>
                      <w:r>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25 de octubre de 2017</w:t>
                      </w:r>
                      <w:r w:rsidRPr="00093196">
                        <w:rPr>
                          <w:rFonts w:asciiTheme="majorHAnsi" w:hAnsiTheme="majorHAnsi"/>
                          <w:color w:val="595959" w:themeColor="text1" w:themeTint="A6"/>
                          <w:sz w:val="18"/>
                          <w:szCs w:val="18"/>
                          <w:lang w:val="es-ES"/>
                        </w:rPr>
                        <w:t>.</w:t>
                      </w:r>
                    </w:p>
                  </w:txbxContent>
                </v:textbox>
              </v:shape>
            </w:pict>
          </mc:Fallback>
        </mc:AlternateContent>
      </w:r>
    </w:p>
    <w:p w:rsidR="00A50FCF" w:rsidRPr="00420489" w:rsidRDefault="00A50FCF" w:rsidP="00040C3A">
      <w:pPr>
        <w:tabs>
          <w:tab w:val="center" w:pos="5400"/>
        </w:tabs>
        <w:suppressAutoHyphens/>
        <w:jc w:val="center"/>
        <w:rPr>
          <w:rFonts w:asciiTheme="majorHAnsi" w:hAnsiTheme="majorHAnsi"/>
          <w:sz w:val="20"/>
          <w:szCs w:val="20"/>
          <w:lang w:val="es-ES_tradnl"/>
        </w:rPr>
      </w:pPr>
    </w:p>
    <w:p w:rsidR="0070697F" w:rsidRPr="00420489" w:rsidRDefault="00C0075D" w:rsidP="00166325">
      <w:pPr>
        <w:tabs>
          <w:tab w:val="center" w:pos="5400"/>
        </w:tabs>
        <w:suppressAutoHyphens/>
        <w:rPr>
          <w:rFonts w:asciiTheme="majorHAnsi" w:hAnsiTheme="majorHAnsi"/>
          <w:b/>
          <w:sz w:val="20"/>
          <w:szCs w:val="20"/>
          <w:lang w:val="es-ES_tradnl"/>
        </w:rPr>
        <w:sectPr w:rsidR="0070697F" w:rsidRPr="00420489"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439CFB7" wp14:editId="58E25474">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Pr="00D72DC6" w:rsidRDefault="00F40EB1" w:rsidP="00F02AD1">
                            <w:pPr>
                              <w:rPr>
                                <w:color w:val="FFFFFF" w:themeColor="background1"/>
                              </w:rPr>
                            </w:pPr>
                            <w:r w:rsidRPr="00D72DC6">
                              <w:rPr>
                                <w:noProof/>
                                <w:color w:val="FFFFFF" w:themeColor="background1"/>
                              </w:rPr>
                              <w:drawing>
                                <wp:inline distT="0" distB="0" distL="0" distR="0" wp14:anchorId="0F127D6D" wp14:editId="5362791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F40EB1" w:rsidRPr="00D72DC6" w:rsidRDefault="00F40EB1" w:rsidP="00F02AD1">
                      <w:pPr>
                        <w:rPr>
                          <w:color w:val="FFFFFF" w:themeColor="background1"/>
                        </w:rPr>
                      </w:pPr>
                      <w:r w:rsidRPr="00D72DC6">
                        <w:rPr>
                          <w:noProof/>
                          <w:color w:val="FFFFFF" w:themeColor="background1"/>
                        </w:rPr>
                        <w:drawing>
                          <wp:inline distT="0" distB="0" distL="0" distR="0" wp14:anchorId="0F127D6D" wp14:editId="5362791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DCED016" wp14:editId="0211D60E">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EB1" w:rsidRPr="004B7EB6" w:rsidRDefault="00F40E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F40EB1" w:rsidRPr="004B7EB6" w:rsidRDefault="00F40E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4B316C" w:rsidRPr="00420489" w:rsidRDefault="00A5702A" w:rsidP="001663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ES_tradnl"/>
        </w:rPr>
        <w:lastRenderedPageBreak/>
        <w:t>INFORME No. 132</w:t>
      </w:r>
      <w:r w:rsidR="004D3B62">
        <w:rPr>
          <w:rFonts w:asciiTheme="majorHAnsi" w:eastAsia="Times New Roman" w:hAnsiTheme="majorHAnsi"/>
          <w:b/>
          <w:sz w:val="20"/>
          <w:szCs w:val="20"/>
          <w:bdr w:val="none" w:sz="0" w:space="0" w:color="auto"/>
          <w:lang w:val="es-ES_tradnl"/>
        </w:rPr>
        <w:t>/17</w:t>
      </w:r>
    </w:p>
    <w:p w:rsidR="004B316C" w:rsidRPr="00420489" w:rsidRDefault="007014EB"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ES_tradnl"/>
        </w:rPr>
        <w:t>CASO</w:t>
      </w:r>
      <w:r w:rsidR="008830A2">
        <w:rPr>
          <w:rFonts w:asciiTheme="majorHAnsi" w:eastAsia="Times New Roman" w:hAnsiTheme="majorHAnsi"/>
          <w:b/>
          <w:sz w:val="20"/>
          <w:szCs w:val="20"/>
          <w:bdr w:val="none" w:sz="0" w:space="0" w:color="auto"/>
          <w:lang w:val="es-ES_tradnl"/>
        </w:rPr>
        <w:t xml:space="preserve"> 12.452</w:t>
      </w:r>
    </w:p>
    <w:p w:rsidR="004B316C" w:rsidRDefault="006F1C37"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 xml:space="preserve">ADMISIBILIDAD Y </w:t>
      </w:r>
      <w:r w:rsidR="004B316C" w:rsidRPr="00420489">
        <w:rPr>
          <w:rFonts w:asciiTheme="majorHAnsi" w:eastAsia="Times New Roman" w:hAnsiTheme="majorHAnsi"/>
          <w:sz w:val="20"/>
          <w:szCs w:val="20"/>
          <w:bdr w:val="none" w:sz="0" w:space="0" w:color="auto"/>
          <w:lang w:val="es-ES_tradnl"/>
        </w:rPr>
        <w:t>FONDO</w:t>
      </w:r>
    </w:p>
    <w:p w:rsidR="00B06C1C" w:rsidRPr="007F3D68" w:rsidRDefault="007014EB" w:rsidP="00701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7014EB">
        <w:rPr>
          <w:rFonts w:asciiTheme="majorHAnsi" w:eastAsia="Times New Roman" w:hAnsiTheme="majorHAnsi"/>
          <w:sz w:val="20"/>
          <w:szCs w:val="20"/>
          <w:bdr w:val="none" w:sz="0" w:space="0" w:color="auto"/>
          <w:lang w:val="es-ES_tradnl"/>
        </w:rPr>
        <w:t xml:space="preserve">TIRSO ROMÁN VALENZUELA </w:t>
      </w:r>
      <w:r w:rsidRPr="007F3D68">
        <w:rPr>
          <w:rFonts w:asciiTheme="majorHAnsi" w:eastAsia="Times New Roman" w:hAnsiTheme="majorHAnsi"/>
          <w:sz w:val="20"/>
          <w:szCs w:val="20"/>
          <w:bdr w:val="none" w:sz="0" w:space="0" w:color="auto"/>
          <w:lang w:val="es-ES_tradnl"/>
        </w:rPr>
        <w:t>ÁVILA</w:t>
      </w:r>
      <w:r w:rsidR="00B06E1C" w:rsidRPr="007F3D68">
        <w:rPr>
          <w:rFonts w:asciiTheme="majorHAnsi" w:eastAsia="Times New Roman" w:hAnsiTheme="majorHAnsi"/>
          <w:sz w:val="20"/>
          <w:szCs w:val="20"/>
          <w:bdr w:val="none" w:sz="0" w:space="0" w:color="auto"/>
          <w:lang w:val="es-ES_tradnl"/>
        </w:rPr>
        <w:t xml:space="preserve"> </w:t>
      </w:r>
      <w:r w:rsidR="006E623C" w:rsidRPr="007F3D68">
        <w:rPr>
          <w:rFonts w:asciiTheme="majorHAnsi" w:eastAsia="Times New Roman" w:hAnsiTheme="majorHAnsi"/>
          <w:sz w:val="20"/>
          <w:szCs w:val="20"/>
          <w:bdr w:val="none" w:sz="0" w:space="0" w:color="auto"/>
          <w:lang w:val="es-ES_tradnl"/>
        </w:rPr>
        <w:t>Y FAMILIARES</w:t>
      </w:r>
    </w:p>
    <w:p w:rsidR="00B06C1C" w:rsidRPr="00420489" w:rsidRDefault="00B06E1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7F3D68">
        <w:rPr>
          <w:rFonts w:asciiTheme="majorHAnsi" w:eastAsia="Times New Roman" w:hAnsiTheme="majorHAnsi"/>
          <w:sz w:val="20"/>
          <w:szCs w:val="20"/>
          <w:bdr w:val="none" w:sz="0" w:space="0" w:color="auto"/>
          <w:lang w:val="es-ES_tradnl"/>
        </w:rPr>
        <w:t>GUATEMALA</w:t>
      </w:r>
    </w:p>
    <w:p w:rsidR="0073741F" w:rsidRPr="00420489" w:rsidRDefault="00A5702A"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25</w:t>
      </w:r>
      <w:r w:rsidR="00E24E60" w:rsidRPr="00420489">
        <w:rPr>
          <w:rFonts w:asciiTheme="majorHAnsi" w:eastAsia="Times New Roman" w:hAnsiTheme="majorHAnsi"/>
          <w:sz w:val="20"/>
          <w:szCs w:val="20"/>
          <w:bdr w:val="none" w:sz="0" w:space="0" w:color="auto"/>
          <w:lang w:val="es-ES_tradnl"/>
        </w:rPr>
        <w:t xml:space="preserve"> DE </w:t>
      </w:r>
      <w:r>
        <w:rPr>
          <w:rFonts w:asciiTheme="majorHAnsi" w:eastAsia="Times New Roman" w:hAnsiTheme="majorHAnsi"/>
          <w:sz w:val="20"/>
          <w:szCs w:val="20"/>
          <w:bdr w:val="none" w:sz="0" w:space="0" w:color="auto"/>
          <w:lang w:val="es-ES_tradnl"/>
        </w:rPr>
        <w:t>OCTUBRE</w:t>
      </w:r>
      <w:r w:rsidR="000A23C0">
        <w:rPr>
          <w:rFonts w:asciiTheme="majorHAnsi" w:eastAsia="Times New Roman" w:hAnsiTheme="majorHAnsi"/>
          <w:sz w:val="20"/>
          <w:szCs w:val="20"/>
          <w:bdr w:val="none" w:sz="0" w:space="0" w:color="auto"/>
          <w:lang w:val="es-ES_tradnl"/>
        </w:rPr>
        <w:t xml:space="preserve"> DE 2017</w:t>
      </w:r>
    </w:p>
    <w:p w:rsidR="004B316C" w:rsidRPr="00420489"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ES_tradnl"/>
        </w:rPr>
      </w:pPr>
    </w:p>
    <w:p w:rsidR="0070697F" w:rsidRPr="006D6521" w:rsidRDefault="00AA09A2" w:rsidP="006D6521">
      <w:pPr>
        <w:tabs>
          <w:tab w:val="center" w:pos="5400"/>
        </w:tabs>
        <w:suppressAutoHyphens/>
        <w:spacing w:line="276" w:lineRule="auto"/>
        <w:jc w:val="center"/>
        <w:rPr>
          <w:rFonts w:asciiTheme="majorHAnsi" w:hAnsiTheme="majorHAnsi"/>
          <w:b/>
          <w:sz w:val="20"/>
          <w:szCs w:val="20"/>
          <w:lang w:val="es-ES_tradnl"/>
        </w:rPr>
      </w:pPr>
      <w:r w:rsidRPr="00420489">
        <w:rPr>
          <w:rFonts w:asciiTheme="majorHAnsi" w:hAnsiTheme="majorHAnsi"/>
          <w:b/>
          <w:sz w:val="20"/>
          <w:szCs w:val="20"/>
          <w:lang w:val="es-ES_tradnl"/>
        </w:rPr>
        <w:t>Í</w:t>
      </w:r>
      <w:r w:rsidR="00DC7023" w:rsidRPr="00420489">
        <w:rPr>
          <w:rFonts w:asciiTheme="majorHAnsi" w:hAnsiTheme="majorHAnsi"/>
          <w:b/>
          <w:sz w:val="20"/>
          <w:szCs w:val="20"/>
          <w:lang w:val="es-ES_tradnl"/>
        </w:rPr>
        <w:t>NDICE</w:t>
      </w:r>
    </w:p>
    <w:sdt>
      <w:sdtPr>
        <w:rPr>
          <w:rFonts w:ascii="Times New Roman" w:eastAsia="Arial Unicode MS" w:hAnsi="Times New Roman" w:cs="Times New Roman"/>
          <w:b w:val="0"/>
          <w:bCs w:val="0"/>
          <w:color w:val="auto"/>
          <w:sz w:val="24"/>
          <w:szCs w:val="24"/>
          <w:bdr w:val="nil"/>
          <w:lang w:eastAsia="en-US"/>
        </w:rPr>
        <w:id w:val="1438630762"/>
        <w:docPartObj>
          <w:docPartGallery w:val="Table of Contents"/>
          <w:docPartUnique/>
        </w:docPartObj>
      </w:sdtPr>
      <w:sdtEndPr>
        <w:rPr>
          <w:noProof/>
        </w:rPr>
      </w:sdtEndPr>
      <w:sdtContent>
        <w:p w:rsidR="009A3D68" w:rsidRDefault="009A3D68">
          <w:pPr>
            <w:pStyle w:val="TOCHeading"/>
          </w:pPr>
        </w:p>
        <w:p w:rsidR="000E3549" w:rsidRPr="000E3549" w:rsidRDefault="009A3D68">
          <w:pPr>
            <w:pStyle w:val="TOC1"/>
            <w:rPr>
              <w:rFonts w:eastAsiaTheme="minorEastAsia" w:cstheme="minorBidi"/>
              <w:b w:val="0"/>
              <w:bdr w:val="none" w:sz="0" w:space="0" w:color="auto"/>
            </w:rPr>
          </w:pPr>
          <w:r w:rsidRPr="009A3D68">
            <w:fldChar w:fldCharType="begin"/>
          </w:r>
          <w:r w:rsidRPr="009A3D68">
            <w:instrText xml:space="preserve"> TOC \o "1-3" \h \z \u </w:instrText>
          </w:r>
          <w:r w:rsidRPr="009A3D68">
            <w:fldChar w:fldCharType="separate"/>
          </w:r>
          <w:hyperlink w:anchor="_Toc495479527" w:history="1">
            <w:r w:rsidR="000E3549" w:rsidRPr="000E3549">
              <w:rPr>
                <w:rStyle w:val="Hyperlink"/>
              </w:rPr>
              <w:t>I.</w:t>
            </w:r>
            <w:r w:rsidR="000E3549" w:rsidRPr="000E3549">
              <w:rPr>
                <w:rFonts w:eastAsiaTheme="minorEastAsia" w:cstheme="minorBidi"/>
                <w:b w:val="0"/>
                <w:bdr w:val="none" w:sz="0" w:space="0" w:color="auto"/>
              </w:rPr>
              <w:tab/>
            </w:r>
            <w:r w:rsidR="000E3549" w:rsidRPr="000E3549">
              <w:rPr>
                <w:rStyle w:val="Hyperlink"/>
              </w:rPr>
              <w:t>RESUMEN</w:t>
            </w:r>
            <w:r w:rsidR="000E3549" w:rsidRPr="000E3549">
              <w:rPr>
                <w:webHidden/>
              </w:rPr>
              <w:tab/>
            </w:r>
            <w:r w:rsidR="000E3549" w:rsidRPr="000E3549">
              <w:rPr>
                <w:webHidden/>
              </w:rPr>
              <w:fldChar w:fldCharType="begin"/>
            </w:r>
            <w:r w:rsidR="000E3549" w:rsidRPr="000E3549">
              <w:rPr>
                <w:webHidden/>
              </w:rPr>
              <w:instrText xml:space="preserve"> PAGEREF _Toc495479527 \h </w:instrText>
            </w:r>
            <w:r w:rsidR="000E3549" w:rsidRPr="000E3549">
              <w:rPr>
                <w:webHidden/>
              </w:rPr>
            </w:r>
            <w:r w:rsidR="000E3549" w:rsidRPr="000E3549">
              <w:rPr>
                <w:webHidden/>
              </w:rPr>
              <w:fldChar w:fldCharType="separate"/>
            </w:r>
            <w:r w:rsidR="00171E52">
              <w:rPr>
                <w:webHidden/>
              </w:rPr>
              <w:t>3</w:t>
            </w:r>
            <w:r w:rsidR="000E3549" w:rsidRPr="000E3549">
              <w:rPr>
                <w:webHidden/>
              </w:rPr>
              <w:fldChar w:fldCharType="end"/>
            </w:r>
          </w:hyperlink>
        </w:p>
        <w:p w:rsidR="000E3549" w:rsidRPr="000E3549" w:rsidRDefault="006D7B67">
          <w:pPr>
            <w:pStyle w:val="TOC1"/>
            <w:rPr>
              <w:rFonts w:eastAsiaTheme="minorEastAsia" w:cstheme="minorBidi"/>
              <w:b w:val="0"/>
              <w:bdr w:val="none" w:sz="0" w:space="0" w:color="auto"/>
            </w:rPr>
          </w:pPr>
          <w:hyperlink w:anchor="_Toc495479528" w:history="1">
            <w:r w:rsidR="000E3549" w:rsidRPr="000E3549">
              <w:rPr>
                <w:rStyle w:val="Hyperlink"/>
              </w:rPr>
              <w:t>II.</w:t>
            </w:r>
            <w:r w:rsidR="000E3549" w:rsidRPr="000E3549">
              <w:rPr>
                <w:rFonts w:eastAsiaTheme="minorEastAsia" w:cstheme="minorBidi"/>
                <w:b w:val="0"/>
                <w:bdr w:val="none" w:sz="0" w:space="0" w:color="auto"/>
              </w:rPr>
              <w:tab/>
            </w:r>
            <w:r w:rsidR="000E3549" w:rsidRPr="000E3549">
              <w:rPr>
                <w:rStyle w:val="Hyperlink"/>
              </w:rPr>
              <w:t>TRÁMITE ANTE LA COMISIÓN</w:t>
            </w:r>
            <w:r w:rsidR="000E3549" w:rsidRPr="000E3549">
              <w:rPr>
                <w:webHidden/>
              </w:rPr>
              <w:tab/>
            </w:r>
            <w:r w:rsidR="000E3549" w:rsidRPr="000E3549">
              <w:rPr>
                <w:webHidden/>
              </w:rPr>
              <w:fldChar w:fldCharType="begin"/>
            </w:r>
            <w:r w:rsidR="000E3549" w:rsidRPr="000E3549">
              <w:rPr>
                <w:webHidden/>
              </w:rPr>
              <w:instrText xml:space="preserve"> PAGEREF _Toc495479528 \h </w:instrText>
            </w:r>
            <w:r w:rsidR="000E3549" w:rsidRPr="000E3549">
              <w:rPr>
                <w:webHidden/>
              </w:rPr>
            </w:r>
            <w:r w:rsidR="000E3549" w:rsidRPr="000E3549">
              <w:rPr>
                <w:webHidden/>
              </w:rPr>
              <w:fldChar w:fldCharType="separate"/>
            </w:r>
            <w:r w:rsidR="00171E52">
              <w:rPr>
                <w:webHidden/>
              </w:rPr>
              <w:t>3</w:t>
            </w:r>
            <w:r w:rsidR="000E3549" w:rsidRPr="000E3549">
              <w:rPr>
                <w:webHidden/>
              </w:rPr>
              <w:fldChar w:fldCharType="end"/>
            </w:r>
          </w:hyperlink>
        </w:p>
        <w:p w:rsidR="000E3549" w:rsidRPr="000E3549" w:rsidRDefault="006D7B67">
          <w:pPr>
            <w:pStyle w:val="TOC1"/>
            <w:rPr>
              <w:rFonts w:eastAsiaTheme="minorEastAsia" w:cstheme="minorBidi"/>
              <w:b w:val="0"/>
              <w:bdr w:val="none" w:sz="0" w:space="0" w:color="auto"/>
            </w:rPr>
          </w:pPr>
          <w:hyperlink w:anchor="_Toc495479529" w:history="1">
            <w:r w:rsidR="000E3549" w:rsidRPr="000E3549">
              <w:rPr>
                <w:rStyle w:val="Hyperlink"/>
                <w:lang w:val="es-VE"/>
              </w:rPr>
              <w:t>III.</w:t>
            </w:r>
            <w:r w:rsidR="000E3549" w:rsidRPr="000E3549">
              <w:rPr>
                <w:rFonts w:eastAsiaTheme="minorEastAsia" w:cstheme="minorBidi"/>
                <w:b w:val="0"/>
                <w:bdr w:val="none" w:sz="0" w:space="0" w:color="auto"/>
              </w:rPr>
              <w:tab/>
            </w:r>
            <w:r w:rsidR="000E3549" w:rsidRPr="000E3549">
              <w:rPr>
                <w:rStyle w:val="Hyperlink"/>
                <w:lang w:val="es-VE"/>
              </w:rPr>
              <w:t>POSICIONES DE LAS PARTES</w:t>
            </w:r>
            <w:r w:rsidR="000E3549" w:rsidRPr="000E3549">
              <w:rPr>
                <w:webHidden/>
              </w:rPr>
              <w:tab/>
            </w:r>
            <w:r w:rsidR="000E3549" w:rsidRPr="000E3549">
              <w:rPr>
                <w:webHidden/>
              </w:rPr>
              <w:fldChar w:fldCharType="begin"/>
            </w:r>
            <w:r w:rsidR="000E3549" w:rsidRPr="000E3549">
              <w:rPr>
                <w:webHidden/>
              </w:rPr>
              <w:instrText xml:space="preserve"> PAGEREF _Toc495479529 \h </w:instrText>
            </w:r>
            <w:r w:rsidR="000E3549" w:rsidRPr="000E3549">
              <w:rPr>
                <w:webHidden/>
              </w:rPr>
            </w:r>
            <w:r w:rsidR="000E3549" w:rsidRPr="000E3549">
              <w:rPr>
                <w:webHidden/>
              </w:rPr>
              <w:fldChar w:fldCharType="separate"/>
            </w:r>
            <w:r w:rsidR="00171E52">
              <w:rPr>
                <w:webHidden/>
              </w:rPr>
              <w:t>4</w:t>
            </w:r>
            <w:r w:rsidR="000E3549" w:rsidRPr="000E3549">
              <w:rPr>
                <w:webHidden/>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30" w:history="1">
            <w:r w:rsidR="000E3549" w:rsidRPr="000E3549">
              <w:rPr>
                <w:rStyle w:val="Hyperlink"/>
              </w:rPr>
              <w:t>A.</w:t>
            </w:r>
            <w:r w:rsidR="000E3549" w:rsidRPr="000E3549">
              <w:rPr>
                <w:rFonts w:eastAsiaTheme="minorEastAsia" w:cstheme="minorBidi"/>
                <w:bdr w:val="none" w:sz="0" w:space="0" w:color="auto"/>
                <w:lang w:val="en-US"/>
              </w:rPr>
              <w:tab/>
            </w:r>
            <w:r w:rsidR="000E3549" w:rsidRPr="000E3549">
              <w:rPr>
                <w:rStyle w:val="Hyperlink"/>
              </w:rPr>
              <w:t>Posición de los peticionarios</w:t>
            </w:r>
            <w:r w:rsidR="000E3549" w:rsidRPr="000E3549">
              <w:rPr>
                <w:webHidden/>
              </w:rPr>
              <w:tab/>
            </w:r>
            <w:r w:rsidR="000E3549" w:rsidRPr="000E3549">
              <w:rPr>
                <w:webHidden/>
              </w:rPr>
              <w:fldChar w:fldCharType="begin"/>
            </w:r>
            <w:r w:rsidR="000E3549" w:rsidRPr="000E3549">
              <w:rPr>
                <w:webHidden/>
              </w:rPr>
              <w:instrText xml:space="preserve"> PAGEREF _Toc495479530 \h </w:instrText>
            </w:r>
            <w:r w:rsidR="000E3549" w:rsidRPr="000E3549">
              <w:rPr>
                <w:webHidden/>
              </w:rPr>
            </w:r>
            <w:r w:rsidR="000E3549" w:rsidRPr="000E3549">
              <w:rPr>
                <w:webHidden/>
              </w:rPr>
              <w:fldChar w:fldCharType="separate"/>
            </w:r>
            <w:r w:rsidR="00171E52">
              <w:rPr>
                <w:webHidden/>
              </w:rPr>
              <w:t>4</w:t>
            </w:r>
            <w:r w:rsidR="000E3549" w:rsidRPr="000E3549">
              <w:rPr>
                <w:webHidden/>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31" w:history="1">
            <w:r w:rsidR="000E3549" w:rsidRPr="000E3549">
              <w:rPr>
                <w:rStyle w:val="Hyperlink"/>
              </w:rPr>
              <w:t>B.</w:t>
            </w:r>
            <w:r w:rsidR="000E3549" w:rsidRPr="000E3549">
              <w:rPr>
                <w:rFonts w:eastAsiaTheme="minorEastAsia" w:cstheme="minorBidi"/>
                <w:bdr w:val="none" w:sz="0" w:space="0" w:color="auto"/>
                <w:lang w:val="en-US"/>
              </w:rPr>
              <w:tab/>
            </w:r>
            <w:r w:rsidR="000E3549" w:rsidRPr="000E3549">
              <w:rPr>
                <w:rStyle w:val="Hyperlink"/>
              </w:rPr>
              <w:t>Posición del Estado</w:t>
            </w:r>
            <w:r w:rsidR="000E3549" w:rsidRPr="000E3549">
              <w:rPr>
                <w:webHidden/>
              </w:rPr>
              <w:tab/>
            </w:r>
            <w:r w:rsidR="000E3549" w:rsidRPr="000E3549">
              <w:rPr>
                <w:webHidden/>
              </w:rPr>
              <w:fldChar w:fldCharType="begin"/>
            </w:r>
            <w:r w:rsidR="000E3549" w:rsidRPr="000E3549">
              <w:rPr>
                <w:webHidden/>
              </w:rPr>
              <w:instrText xml:space="preserve"> PAGEREF _Toc495479531 \h </w:instrText>
            </w:r>
            <w:r w:rsidR="000E3549" w:rsidRPr="000E3549">
              <w:rPr>
                <w:webHidden/>
              </w:rPr>
            </w:r>
            <w:r w:rsidR="000E3549" w:rsidRPr="000E3549">
              <w:rPr>
                <w:webHidden/>
              </w:rPr>
              <w:fldChar w:fldCharType="separate"/>
            </w:r>
            <w:r w:rsidR="00171E52">
              <w:rPr>
                <w:webHidden/>
              </w:rPr>
              <w:t>5</w:t>
            </w:r>
            <w:r w:rsidR="000E3549" w:rsidRPr="000E3549">
              <w:rPr>
                <w:webHidden/>
              </w:rPr>
              <w:fldChar w:fldCharType="end"/>
            </w:r>
          </w:hyperlink>
        </w:p>
        <w:p w:rsidR="000E3549" w:rsidRPr="000E3549" w:rsidRDefault="006D7B67">
          <w:pPr>
            <w:pStyle w:val="TOC1"/>
            <w:rPr>
              <w:rFonts w:eastAsiaTheme="minorEastAsia" w:cstheme="minorBidi"/>
              <w:b w:val="0"/>
              <w:bdr w:val="none" w:sz="0" w:space="0" w:color="auto"/>
            </w:rPr>
          </w:pPr>
          <w:hyperlink w:anchor="_Toc495479532" w:history="1">
            <w:r w:rsidR="000E3549" w:rsidRPr="000E3549">
              <w:rPr>
                <w:rStyle w:val="Hyperlink"/>
                <w:lang w:val="es-VE"/>
              </w:rPr>
              <w:t>IV.</w:t>
            </w:r>
            <w:r w:rsidR="000E3549" w:rsidRPr="000E3549">
              <w:rPr>
                <w:rFonts w:eastAsiaTheme="minorEastAsia" w:cstheme="minorBidi"/>
                <w:b w:val="0"/>
                <w:bdr w:val="none" w:sz="0" w:space="0" w:color="auto"/>
              </w:rPr>
              <w:tab/>
            </w:r>
            <w:r w:rsidR="000E3549" w:rsidRPr="000E3549">
              <w:rPr>
                <w:rStyle w:val="Hyperlink"/>
                <w:lang w:val="es-VE"/>
              </w:rPr>
              <w:t>ANÁLISIS DE ADMISIBILIDAD DEL ALEGATO RELACIONADO CON LA SUPUESTA EJECUCIÓN EXTRAJUDICIAL  DE LA PRESUNTA VÍCTIMA</w:t>
            </w:r>
            <w:r w:rsidR="000E3549" w:rsidRPr="000E3549">
              <w:rPr>
                <w:webHidden/>
              </w:rPr>
              <w:tab/>
            </w:r>
            <w:r w:rsidR="000E3549" w:rsidRPr="000E3549">
              <w:rPr>
                <w:webHidden/>
              </w:rPr>
              <w:fldChar w:fldCharType="begin"/>
            </w:r>
            <w:r w:rsidR="000E3549" w:rsidRPr="000E3549">
              <w:rPr>
                <w:webHidden/>
              </w:rPr>
              <w:instrText xml:space="preserve"> PAGEREF _Toc495479532 \h </w:instrText>
            </w:r>
            <w:r w:rsidR="000E3549" w:rsidRPr="000E3549">
              <w:rPr>
                <w:webHidden/>
              </w:rPr>
            </w:r>
            <w:r w:rsidR="000E3549" w:rsidRPr="000E3549">
              <w:rPr>
                <w:webHidden/>
              </w:rPr>
              <w:fldChar w:fldCharType="separate"/>
            </w:r>
            <w:r w:rsidR="00171E52">
              <w:rPr>
                <w:webHidden/>
              </w:rPr>
              <w:t>5</w:t>
            </w:r>
            <w:r w:rsidR="000E3549" w:rsidRPr="000E3549">
              <w:rPr>
                <w:webHidden/>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33" w:history="1">
            <w:r w:rsidR="000E3549" w:rsidRPr="000E3549">
              <w:rPr>
                <w:rStyle w:val="Hyperlink"/>
                <w:lang w:val="es-ES"/>
              </w:rPr>
              <w:t>A.</w:t>
            </w:r>
            <w:r w:rsidR="000E3549" w:rsidRPr="000E3549">
              <w:rPr>
                <w:rFonts w:eastAsiaTheme="minorEastAsia" w:cstheme="minorBidi"/>
                <w:bdr w:val="none" w:sz="0" w:space="0" w:color="auto"/>
                <w:lang w:val="en-US"/>
              </w:rPr>
              <w:tab/>
            </w:r>
            <w:r w:rsidR="000E3549" w:rsidRPr="000E3549">
              <w:rPr>
                <w:rStyle w:val="Hyperlink"/>
                <w:lang w:val="es-ES"/>
              </w:rPr>
              <w:t xml:space="preserve">Competencia </w:t>
            </w:r>
            <w:r w:rsidR="000E3549" w:rsidRPr="000E3549">
              <w:rPr>
                <w:rStyle w:val="Hyperlink"/>
                <w:i/>
                <w:lang w:val="es-ES"/>
              </w:rPr>
              <w:t>ratione</w:t>
            </w:r>
            <w:r w:rsidR="000E3549" w:rsidRPr="000E3549">
              <w:rPr>
                <w:rStyle w:val="Hyperlink"/>
                <w:i/>
              </w:rPr>
              <w:t xml:space="preserve"> materiae</w:t>
            </w:r>
            <w:r w:rsidR="000E3549" w:rsidRPr="000E3549">
              <w:rPr>
                <w:rStyle w:val="Hyperlink"/>
              </w:rPr>
              <w:t xml:space="preserve">, </w:t>
            </w:r>
            <w:r w:rsidR="000E3549" w:rsidRPr="000E3549">
              <w:rPr>
                <w:rStyle w:val="Hyperlink"/>
                <w:i/>
              </w:rPr>
              <w:t>ratione personae</w:t>
            </w:r>
            <w:r w:rsidR="000E3549" w:rsidRPr="000E3549">
              <w:rPr>
                <w:rStyle w:val="Hyperlink"/>
              </w:rPr>
              <w:t xml:space="preserve">, </w:t>
            </w:r>
            <w:r w:rsidR="000E3549" w:rsidRPr="000E3549">
              <w:rPr>
                <w:rStyle w:val="Hyperlink"/>
                <w:i/>
              </w:rPr>
              <w:t>ratione temporis</w:t>
            </w:r>
            <w:r w:rsidR="000E3549" w:rsidRPr="000E3549">
              <w:rPr>
                <w:rStyle w:val="Hyperlink"/>
              </w:rPr>
              <w:t xml:space="preserve"> y </w:t>
            </w:r>
            <w:r w:rsidR="000E3549" w:rsidRPr="000E3549">
              <w:rPr>
                <w:rStyle w:val="Hyperlink"/>
                <w:i/>
              </w:rPr>
              <w:t>ratione loci</w:t>
            </w:r>
            <w:r w:rsidR="000E3549" w:rsidRPr="000E3549">
              <w:rPr>
                <w:rStyle w:val="Hyperlink"/>
              </w:rPr>
              <w:t xml:space="preserve"> de la  Comisión</w:t>
            </w:r>
            <w:r w:rsidR="000E3549" w:rsidRPr="000E3549">
              <w:rPr>
                <w:webHidden/>
              </w:rPr>
              <w:tab/>
            </w:r>
            <w:r w:rsidR="000E3549" w:rsidRPr="000E3549">
              <w:rPr>
                <w:webHidden/>
              </w:rPr>
              <w:fldChar w:fldCharType="begin"/>
            </w:r>
            <w:r w:rsidR="000E3549" w:rsidRPr="000E3549">
              <w:rPr>
                <w:webHidden/>
              </w:rPr>
              <w:instrText xml:space="preserve"> PAGEREF _Toc495479533 \h </w:instrText>
            </w:r>
            <w:r w:rsidR="000E3549" w:rsidRPr="000E3549">
              <w:rPr>
                <w:webHidden/>
              </w:rPr>
            </w:r>
            <w:r w:rsidR="000E3549" w:rsidRPr="000E3549">
              <w:rPr>
                <w:webHidden/>
              </w:rPr>
              <w:fldChar w:fldCharType="separate"/>
            </w:r>
            <w:r w:rsidR="00171E52">
              <w:rPr>
                <w:webHidden/>
              </w:rPr>
              <w:t>5</w:t>
            </w:r>
            <w:r w:rsidR="000E3549" w:rsidRPr="000E3549">
              <w:rPr>
                <w:webHidden/>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34" w:history="1">
            <w:r w:rsidR="000E3549" w:rsidRPr="000E3549">
              <w:rPr>
                <w:rStyle w:val="Hyperlink"/>
                <w:lang w:val="es-ES"/>
              </w:rPr>
              <w:t>B.</w:t>
            </w:r>
            <w:r w:rsidR="000E3549" w:rsidRPr="000E3549">
              <w:rPr>
                <w:rFonts w:eastAsiaTheme="minorEastAsia" w:cstheme="minorBidi"/>
                <w:bdr w:val="none" w:sz="0" w:space="0" w:color="auto"/>
                <w:lang w:val="en-US"/>
              </w:rPr>
              <w:tab/>
            </w:r>
            <w:r w:rsidR="000E3549" w:rsidRPr="000E3549">
              <w:rPr>
                <w:rStyle w:val="Hyperlink"/>
                <w:lang w:val="es-ES"/>
              </w:rPr>
              <w:t>Requisitos de admisibilidad</w:t>
            </w:r>
            <w:r w:rsidR="000E3549" w:rsidRPr="000E3549">
              <w:rPr>
                <w:webHidden/>
              </w:rPr>
              <w:tab/>
            </w:r>
            <w:r w:rsidR="000E3549" w:rsidRPr="000E3549">
              <w:rPr>
                <w:webHidden/>
              </w:rPr>
              <w:fldChar w:fldCharType="begin"/>
            </w:r>
            <w:r w:rsidR="000E3549" w:rsidRPr="000E3549">
              <w:rPr>
                <w:webHidden/>
              </w:rPr>
              <w:instrText xml:space="preserve"> PAGEREF _Toc495479534 \h </w:instrText>
            </w:r>
            <w:r w:rsidR="000E3549" w:rsidRPr="000E3549">
              <w:rPr>
                <w:webHidden/>
              </w:rPr>
            </w:r>
            <w:r w:rsidR="000E3549" w:rsidRPr="000E3549">
              <w:rPr>
                <w:webHidden/>
              </w:rPr>
              <w:fldChar w:fldCharType="separate"/>
            </w:r>
            <w:r w:rsidR="00171E52">
              <w:rPr>
                <w:webHidden/>
              </w:rPr>
              <w:t>5</w:t>
            </w:r>
            <w:r w:rsidR="000E3549" w:rsidRPr="000E3549">
              <w:rPr>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35" w:history="1">
            <w:r w:rsidR="000E3549" w:rsidRPr="000E3549">
              <w:rPr>
                <w:rStyle w:val="Hyperlink"/>
                <w:rFonts w:asciiTheme="majorHAnsi" w:eastAsia="Times New Roman" w:hAnsiTheme="majorHAnsi"/>
                <w:noProof/>
                <w:sz w:val="20"/>
                <w:szCs w:val="20"/>
                <w:lang w:val="es-VE"/>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eastAsia="Times New Roman" w:hAnsiTheme="majorHAnsi" w:cs="Arial"/>
                <w:noProof/>
                <w:sz w:val="20"/>
                <w:szCs w:val="20"/>
                <w:lang w:val="es-VE"/>
              </w:rPr>
              <w:t>Agotamiento de los recursos internos y plazo de presentación</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_Toc495479535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5</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36" w:history="1">
            <w:r w:rsidR="000E3549" w:rsidRPr="000E3549">
              <w:rPr>
                <w:rStyle w:val="Hyperlink"/>
                <w:rFonts w:asciiTheme="majorHAnsi" w:eastAsia="Times New Roman" w:hAnsiTheme="majorHAnsi"/>
                <w:noProof/>
                <w:sz w:val="20"/>
                <w:szCs w:val="20"/>
                <w:lang w:val="es-VE"/>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eastAsia="Times New Roman" w:hAnsiTheme="majorHAnsi" w:cs="Arial"/>
                <w:noProof/>
                <w:sz w:val="20"/>
                <w:szCs w:val="20"/>
                <w:lang w:val="es-VE"/>
              </w:rPr>
              <w:t>Duplicación de procedimientos y cosa juzgada internacional</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_Toc495479536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6</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37" w:history="1">
            <w:r w:rsidR="000E3549" w:rsidRPr="000E3549">
              <w:rPr>
                <w:rStyle w:val="Hyperlink"/>
                <w:rFonts w:asciiTheme="majorHAnsi" w:eastAsia="Times New Roman" w:hAnsiTheme="majorHAnsi"/>
                <w:noProof/>
                <w:sz w:val="20"/>
                <w:szCs w:val="20"/>
                <w:lang w:val="es-VE"/>
              </w:rPr>
              <w:t>3.</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eastAsia="Times New Roman" w:hAnsiTheme="majorHAnsi" w:cs="Arial"/>
                <w:noProof/>
                <w:sz w:val="20"/>
                <w:szCs w:val="20"/>
                <w:lang w:val="es-VE"/>
              </w:rPr>
              <w:t>Caracterización de los hechos alegados</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_Toc495479537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6</w:t>
            </w:r>
            <w:r w:rsidR="000E3549" w:rsidRPr="000E3549">
              <w:rPr>
                <w:rFonts w:asciiTheme="majorHAnsi" w:hAnsiTheme="majorHAnsi"/>
                <w:noProof/>
                <w:webHidden/>
                <w:sz w:val="20"/>
                <w:szCs w:val="20"/>
              </w:rPr>
              <w:fldChar w:fldCharType="end"/>
            </w:r>
          </w:hyperlink>
        </w:p>
        <w:p w:rsidR="000E3549" w:rsidRPr="000E3549" w:rsidRDefault="006D7B67">
          <w:pPr>
            <w:pStyle w:val="TOC1"/>
            <w:rPr>
              <w:rFonts w:eastAsiaTheme="minorEastAsia" w:cstheme="minorBidi"/>
              <w:b w:val="0"/>
              <w:bdr w:val="none" w:sz="0" w:space="0" w:color="auto"/>
            </w:rPr>
          </w:pPr>
          <w:hyperlink w:anchor="_Toc495479538" w:history="1">
            <w:r w:rsidR="000E3549" w:rsidRPr="000E3549">
              <w:rPr>
                <w:rStyle w:val="Hyperlink"/>
              </w:rPr>
              <w:t>V.</w:t>
            </w:r>
            <w:r w:rsidR="000E3549" w:rsidRPr="000E3549">
              <w:rPr>
                <w:rFonts w:eastAsiaTheme="minorEastAsia" w:cstheme="minorBidi"/>
                <w:b w:val="0"/>
                <w:bdr w:val="none" w:sz="0" w:space="0" w:color="auto"/>
              </w:rPr>
              <w:tab/>
            </w:r>
            <w:r w:rsidR="000E3549" w:rsidRPr="000E3549">
              <w:rPr>
                <w:rStyle w:val="Hyperlink"/>
              </w:rPr>
              <w:t>HECHOS PROBADOS</w:t>
            </w:r>
            <w:r w:rsidR="000E3549" w:rsidRPr="000E3549">
              <w:rPr>
                <w:webHidden/>
              </w:rPr>
              <w:tab/>
            </w:r>
            <w:r w:rsidR="000E3549" w:rsidRPr="000E3549">
              <w:rPr>
                <w:webHidden/>
              </w:rPr>
              <w:fldChar w:fldCharType="begin"/>
            </w:r>
            <w:r w:rsidR="000E3549" w:rsidRPr="000E3549">
              <w:rPr>
                <w:webHidden/>
              </w:rPr>
              <w:instrText xml:space="preserve"> PAGEREF _Toc495479538 \h </w:instrText>
            </w:r>
            <w:r w:rsidR="000E3549" w:rsidRPr="000E3549">
              <w:rPr>
                <w:webHidden/>
              </w:rPr>
            </w:r>
            <w:r w:rsidR="000E3549" w:rsidRPr="000E3549">
              <w:rPr>
                <w:webHidden/>
              </w:rPr>
              <w:fldChar w:fldCharType="separate"/>
            </w:r>
            <w:r w:rsidR="00171E52">
              <w:rPr>
                <w:webHidden/>
              </w:rPr>
              <w:t>6</w:t>
            </w:r>
            <w:r w:rsidR="000E3549" w:rsidRPr="000E3549">
              <w:rPr>
                <w:webHidden/>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39" w:history="1">
            <w:r w:rsidR="000E3549" w:rsidRPr="000E3549">
              <w:rPr>
                <w:rStyle w:val="Hyperlink"/>
              </w:rPr>
              <w:t>A.</w:t>
            </w:r>
            <w:r w:rsidR="000E3549" w:rsidRPr="000E3549">
              <w:rPr>
                <w:rFonts w:eastAsiaTheme="minorEastAsia" w:cstheme="minorBidi"/>
                <w:bdr w:val="none" w:sz="0" w:space="0" w:color="auto"/>
                <w:lang w:val="en-US"/>
              </w:rPr>
              <w:tab/>
            </w:r>
            <w:r w:rsidR="000E3549" w:rsidRPr="000E3549">
              <w:rPr>
                <w:rStyle w:val="Hyperlink"/>
              </w:rPr>
              <w:t>La detención, alegatos de tortura y proceso interno adelantado en contra de la presunta víctima</w:t>
            </w:r>
            <w:r w:rsidR="000E3549" w:rsidRPr="000E3549">
              <w:rPr>
                <w:webHidden/>
              </w:rPr>
              <w:tab/>
            </w:r>
            <w:r w:rsidR="000E3549" w:rsidRPr="000E3549">
              <w:rPr>
                <w:webHidden/>
              </w:rPr>
              <w:fldChar w:fldCharType="begin"/>
            </w:r>
            <w:r w:rsidR="000E3549" w:rsidRPr="000E3549">
              <w:rPr>
                <w:webHidden/>
              </w:rPr>
              <w:instrText xml:space="preserve"> PAGEREF _Toc495479539 \h </w:instrText>
            </w:r>
            <w:r w:rsidR="000E3549" w:rsidRPr="000E3549">
              <w:rPr>
                <w:webHidden/>
              </w:rPr>
            </w:r>
            <w:r w:rsidR="000E3549" w:rsidRPr="000E3549">
              <w:rPr>
                <w:webHidden/>
              </w:rPr>
              <w:fldChar w:fldCharType="separate"/>
            </w:r>
            <w:r w:rsidR="00171E52">
              <w:rPr>
                <w:webHidden/>
              </w:rPr>
              <w:t>6</w:t>
            </w:r>
            <w:r w:rsidR="000E3549" w:rsidRPr="000E3549">
              <w:rPr>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0" w:history="1">
            <w:r w:rsidR="000E3549" w:rsidRPr="000E3549">
              <w:rPr>
                <w:rStyle w:val="Hyperlink"/>
                <w:rFonts w:asciiTheme="majorHAnsi" w:hAnsiTheme="majorHAnsi"/>
                <w:noProof/>
                <w:sz w:val="20"/>
                <w:szCs w:val="20"/>
                <w:lang w:val="es-VE"/>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Detención y alegatos de tortura</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_Toc495479540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6</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1" w:history="1">
            <w:r w:rsidR="000E3549" w:rsidRPr="000E3549">
              <w:rPr>
                <w:rStyle w:val="Hyperlink"/>
                <w:rFonts w:asciiTheme="majorHAnsi" w:hAnsiTheme="majorHAnsi"/>
                <w:noProof/>
                <w:sz w:val="20"/>
                <w:szCs w:val="20"/>
                <w:lang w:val="es-VE"/>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Alegada tortura en momentos posteriores a la detención</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_Toc495479541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8</w:t>
            </w:r>
            <w:r w:rsidR="000E3549" w:rsidRPr="000E3549">
              <w:rPr>
                <w:rFonts w:asciiTheme="majorHAnsi" w:hAnsiTheme="majorHAnsi"/>
                <w:noProof/>
                <w:webHidden/>
                <w:sz w:val="20"/>
                <w:szCs w:val="20"/>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42" w:history="1">
            <w:r w:rsidR="000E3549" w:rsidRPr="000E3549">
              <w:rPr>
                <w:rStyle w:val="Hyperlink"/>
              </w:rPr>
              <w:t>B.</w:t>
            </w:r>
            <w:r w:rsidR="000E3549" w:rsidRPr="000E3549">
              <w:rPr>
                <w:rFonts w:eastAsiaTheme="minorEastAsia" w:cstheme="minorBidi"/>
                <w:bdr w:val="none" w:sz="0" w:space="0" w:color="auto"/>
                <w:lang w:val="en-US"/>
              </w:rPr>
              <w:tab/>
            </w:r>
            <w:r w:rsidR="000E3549" w:rsidRPr="000E3549">
              <w:rPr>
                <w:rStyle w:val="Hyperlink"/>
              </w:rPr>
              <w:t>Proceso penal</w:t>
            </w:r>
            <w:r w:rsidR="000E3549" w:rsidRPr="000E3549">
              <w:rPr>
                <w:webHidden/>
              </w:rPr>
              <w:tab/>
            </w:r>
            <w:r w:rsidR="000E3549" w:rsidRPr="000E3549">
              <w:rPr>
                <w:webHidden/>
              </w:rPr>
              <w:fldChar w:fldCharType="begin"/>
            </w:r>
            <w:r w:rsidR="000E3549" w:rsidRPr="000E3549">
              <w:rPr>
                <w:webHidden/>
              </w:rPr>
              <w:instrText xml:space="preserve"> PAGEREF _Toc495479542 \h </w:instrText>
            </w:r>
            <w:r w:rsidR="000E3549" w:rsidRPr="000E3549">
              <w:rPr>
                <w:webHidden/>
              </w:rPr>
            </w:r>
            <w:r w:rsidR="000E3549" w:rsidRPr="000E3549">
              <w:rPr>
                <w:webHidden/>
              </w:rPr>
              <w:fldChar w:fldCharType="separate"/>
            </w:r>
            <w:r w:rsidR="00171E52">
              <w:rPr>
                <w:webHidden/>
              </w:rPr>
              <w:t>10</w:t>
            </w:r>
            <w:r w:rsidR="000E3549" w:rsidRPr="000E3549">
              <w:rPr>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3" w:history="1">
            <w:r w:rsidR="000E3549" w:rsidRPr="000E3549">
              <w:rPr>
                <w:rStyle w:val="Hyperlink"/>
                <w:rFonts w:asciiTheme="majorHAnsi" w:hAnsiTheme="majorHAnsi"/>
                <w:noProof/>
                <w:sz w:val="20"/>
                <w:szCs w:val="20"/>
                <w:lang w:val="es-VE"/>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Acusación</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_Toc495479543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10</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4" w:history="1">
            <w:r w:rsidR="000E3549" w:rsidRPr="000E3549">
              <w:rPr>
                <w:rStyle w:val="Hyperlink"/>
                <w:rFonts w:asciiTheme="majorHAnsi" w:hAnsiTheme="majorHAnsi"/>
                <w:noProof/>
                <w:sz w:val="20"/>
                <w:szCs w:val="20"/>
                <w:lang w:val="es-VE"/>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Sentencia condenatoria</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_Toc495479544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10</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5" w:history="1">
            <w:r w:rsidR="000E3549" w:rsidRPr="000E3549">
              <w:rPr>
                <w:rStyle w:val="Hyperlink"/>
                <w:rFonts w:asciiTheme="majorHAnsi" w:hAnsiTheme="majorHAnsi"/>
                <w:noProof/>
                <w:sz w:val="20"/>
                <w:szCs w:val="20"/>
                <w:lang w:val="es-VE"/>
              </w:rPr>
              <w:t>3.</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Recurso de apelación especial</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_Toc495479545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11</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6" w:history="1">
            <w:r w:rsidR="000E3549" w:rsidRPr="000E3549">
              <w:rPr>
                <w:rStyle w:val="Hyperlink"/>
                <w:rFonts w:asciiTheme="majorHAnsi" w:hAnsiTheme="majorHAnsi"/>
                <w:noProof/>
                <w:sz w:val="20"/>
                <w:szCs w:val="20"/>
                <w:lang w:val="es-VE"/>
              </w:rPr>
              <w:t>4.</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Recursos de casación y revisión</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_Toc495479546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12</w:t>
            </w:r>
            <w:r w:rsidR="000E3549" w:rsidRPr="000E3549">
              <w:rPr>
                <w:rFonts w:asciiTheme="majorHAnsi" w:hAnsiTheme="majorHAnsi"/>
                <w:noProof/>
                <w:webHidden/>
                <w:sz w:val="20"/>
                <w:szCs w:val="20"/>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47" w:history="1">
            <w:r w:rsidR="000E3549" w:rsidRPr="000E3549">
              <w:rPr>
                <w:rStyle w:val="Hyperlink"/>
                <w:lang w:val="es-ES"/>
              </w:rPr>
              <w:t>C.</w:t>
            </w:r>
            <w:r w:rsidR="000E3549" w:rsidRPr="000E3549">
              <w:rPr>
                <w:rFonts w:eastAsiaTheme="minorEastAsia" w:cstheme="minorBidi"/>
                <w:bdr w:val="none" w:sz="0" w:space="0" w:color="auto"/>
                <w:lang w:val="en-US"/>
              </w:rPr>
              <w:tab/>
            </w:r>
            <w:r w:rsidR="000E3549" w:rsidRPr="000E3549">
              <w:rPr>
                <w:rStyle w:val="Hyperlink"/>
                <w:lang w:val="es-ES"/>
              </w:rPr>
              <w:t>El contexto de aplicación de la pena de muerte en Guatemala</w:t>
            </w:r>
            <w:r w:rsidR="000E3549" w:rsidRPr="000E3549">
              <w:rPr>
                <w:webHidden/>
              </w:rPr>
              <w:tab/>
            </w:r>
            <w:r w:rsidR="000E3549" w:rsidRPr="000E3549">
              <w:rPr>
                <w:webHidden/>
              </w:rPr>
              <w:fldChar w:fldCharType="begin"/>
            </w:r>
            <w:r w:rsidR="000E3549" w:rsidRPr="000E3549">
              <w:rPr>
                <w:webHidden/>
              </w:rPr>
              <w:instrText xml:space="preserve"> PAGEREF _Toc495479547 \h </w:instrText>
            </w:r>
            <w:r w:rsidR="000E3549" w:rsidRPr="000E3549">
              <w:rPr>
                <w:webHidden/>
              </w:rPr>
            </w:r>
            <w:r w:rsidR="000E3549" w:rsidRPr="000E3549">
              <w:rPr>
                <w:webHidden/>
              </w:rPr>
              <w:fldChar w:fldCharType="separate"/>
            </w:r>
            <w:r w:rsidR="00171E52">
              <w:rPr>
                <w:webHidden/>
              </w:rPr>
              <w:t>12</w:t>
            </w:r>
            <w:r w:rsidR="000E3549" w:rsidRPr="000E3549">
              <w:rPr>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8" w:history="1">
            <w:r w:rsidR="000E3549" w:rsidRPr="000E3549">
              <w:rPr>
                <w:rStyle w:val="Hyperlink"/>
                <w:rFonts w:asciiTheme="majorHAnsi" w:hAnsiTheme="majorHAnsi"/>
                <w:noProof/>
                <w:sz w:val="20"/>
                <w:szCs w:val="20"/>
                <w:lang w:val="es-VE"/>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El recurso de gracia y la derogatoria del Decreto 159 de 1892</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_Toc495479548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13</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49" w:history="1">
            <w:r w:rsidR="000E3549" w:rsidRPr="000E3549">
              <w:rPr>
                <w:rStyle w:val="Hyperlink"/>
                <w:rFonts w:asciiTheme="majorHAnsi" w:hAnsiTheme="majorHAnsi"/>
                <w:noProof/>
                <w:sz w:val="20"/>
                <w:szCs w:val="20"/>
                <w:lang w:val="es-VE"/>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Los casos Fermín Ramírez y Raxcacó Reyes vs. Guatemala conocidos por la Corte Interamericana de Derechos Humanos</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_Toc495479549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14</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50" w:history="1">
            <w:r w:rsidR="000E3549" w:rsidRPr="000E3549">
              <w:rPr>
                <w:rStyle w:val="Hyperlink"/>
                <w:rFonts w:asciiTheme="majorHAnsi" w:hAnsiTheme="majorHAnsi"/>
                <w:noProof/>
                <w:sz w:val="20"/>
                <w:szCs w:val="20"/>
                <w:lang w:val="es-VE"/>
              </w:rPr>
              <w:t>3.</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VE"/>
              </w:rPr>
              <w:t>La pena de muerte en Guatemala en la actualidad</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_Toc495479550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14</w:t>
            </w:r>
            <w:r w:rsidR="000E3549" w:rsidRPr="000E3549">
              <w:rPr>
                <w:rFonts w:asciiTheme="majorHAnsi" w:hAnsiTheme="majorHAnsi"/>
                <w:noProof/>
                <w:webHidden/>
                <w:sz w:val="20"/>
                <w:szCs w:val="20"/>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51" w:history="1">
            <w:r w:rsidR="000E3549" w:rsidRPr="000E3549">
              <w:rPr>
                <w:rStyle w:val="Hyperlink"/>
                <w:lang w:val="es-VE"/>
              </w:rPr>
              <w:t>D.</w:t>
            </w:r>
            <w:r w:rsidR="000E3549" w:rsidRPr="000E3549">
              <w:rPr>
                <w:rFonts w:eastAsiaTheme="minorEastAsia" w:cstheme="minorBidi"/>
                <w:bdr w:val="none" w:sz="0" w:space="0" w:color="auto"/>
                <w:lang w:val="en-US"/>
              </w:rPr>
              <w:tab/>
            </w:r>
            <w:r w:rsidR="000E3549" w:rsidRPr="000E3549">
              <w:rPr>
                <w:rStyle w:val="Hyperlink"/>
                <w:lang w:val="es-VE"/>
              </w:rPr>
              <w:t>La muerte de la presunta víctima en el marco del Plan Gavilán</w:t>
            </w:r>
            <w:r w:rsidR="000E3549" w:rsidRPr="000E3549">
              <w:rPr>
                <w:webHidden/>
              </w:rPr>
              <w:tab/>
            </w:r>
            <w:r w:rsidR="000E3549" w:rsidRPr="000E3549">
              <w:rPr>
                <w:webHidden/>
              </w:rPr>
              <w:fldChar w:fldCharType="begin"/>
            </w:r>
            <w:r w:rsidR="000E3549" w:rsidRPr="000E3549">
              <w:rPr>
                <w:webHidden/>
              </w:rPr>
              <w:instrText xml:space="preserve"> PAGEREF _Toc495479551 \h </w:instrText>
            </w:r>
            <w:r w:rsidR="000E3549" w:rsidRPr="000E3549">
              <w:rPr>
                <w:webHidden/>
              </w:rPr>
            </w:r>
            <w:r w:rsidR="000E3549" w:rsidRPr="000E3549">
              <w:rPr>
                <w:webHidden/>
              </w:rPr>
              <w:fldChar w:fldCharType="separate"/>
            </w:r>
            <w:r w:rsidR="00171E52">
              <w:rPr>
                <w:webHidden/>
              </w:rPr>
              <w:t>15</w:t>
            </w:r>
            <w:r w:rsidR="000E3549" w:rsidRPr="000E3549">
              <w:rPr>
                <w:webHidden/>
              </w:rPr>
              <w:fldChar w:fldCharType="end"/>
            </w:r>
          </w:hyperlink>
        </w:p>
        <w:p w:rsidR="000E3549" w:rsidRPr="000E3549" w:rsidRDefault="006D7B67">
          <w:pPr>
            <w:pStyle w:val="TOC1"/>
            <w:rPr>
              <w:rFonts w:eastAsiaTheme="minorEastAsia" w:cstheme="minorBidi"/>
              <w:b w:val="0"/>
              <w:bdr w:val="none" w:sz="0" w:space="0" w:color="auto"/>
            </w:rPr>
          </w:pPr>
          <w:hyperlink w:anchor="_Toc495479552" w:history="1">
            <w:r w:rsidR="000E3549" w:rsidRPr="000E3549">
              <w:rPr>
                <w:rStyle w:val="Hyperlink"/>
              </w:rPr>
              <w:t>VI.</w:t>
            </w:r>
            <w:r w:rsidR="000E3549" w:rsidRPr="000E3549">
              <w:rPr>
                <w:rFonts w:eastAsiaTheme="minorEastAsia" w:cstheme="minorBidi"/>
                <w:b w:val="0"/>
                <w:bdr w:val="none" w:sz="0" w:space="0" w:color="auto"/>
              </w:rPr>
              <w:tab/>
            </w:r>
            <w:r w:rsidR="000E3549" w:rsidRPr="000E3549">
              <w:rPr>
                <w:rStyle w:val="Hyperlink"/>
              </w:rPr>
              <w:t>ANALISIS DE DERECHO</w:t>
            </w:r>
            <w:r w:rsidR="000E3549" w:rsidRPr="000E3549">
              <w:rPr>
                <w:webHidden/>
              </w:rPr>
              <w:tab/>
            </w:r>
            <w:r w:rsidR="000E3549" w:rsidRPr="000E3549">
              <w:rPr>
                <w:webHidden/>
              </w:rPr>
              <w:fldChar w:fldCharType="begin"/>
            </w:r>
            <w:r w:rsidR="000E3549" w:rsidRPr="000E3549">
              <w:rPr>
                <w:webHidden/>
              </w:rPr>
              <w:instrText xml:space="preserve"> PAGEREF _Toc495479552 \h </w:instrText>
            </w:r>
            <w:r w:rsidR="000E3549" w:rsidRPr="000E3549">
              <w:rPr>
                <w:webHidden/>
              </w:rPr>
            </w:r>
            <w:r w:rsidR="000E3549" w:rsidRPr="000E3549">
              <w:rPr>
                <w:webHidden/>
              </w:rPr>
              <w:fldChar w:fldCharType="separate"/>
            </w:r>
            <w:r w:rsidR="00171E52">
              <w:rPr>
                <w:webHidden/>
              </w:rPr>
              <w:t>17</w:t>
            </w:r>
            <w:r w:rsidR="000E3549" w:rsidRPr="000E3549">
              <w:rPr>
                <w:webHidden/>
              </w:rPr>
              <w:fldChar w:fldCharType="end"/>
            </w:r>
          </w:hyperlink>
        </w:p>
        <w:p w:rsidR="000E3549" w:rsidRPr="000E3549" w:rsidRDefault="006D7B67" w:rsidP="000E3549">
          <w:pPr>
            <w:pStyle w:val="TOC2"/>
            <w:rPr>
              <w:rFonts w:eastAsiaTheme="minorEastAsia" w:cstheme="minorBidi"/>
              <w:b w:val="0"/>
              <w:bdr w:val="none" w:sz="0" w:space="0" w:color="auto"/>
              <w:lang w:val="en-US"/>
            </w:rPr>
          </w:pPr>
          <w:hyperlink w:anchor="_Toc495479553" w:history="1">
            <w:r w:rsidR="000E3549" w:rsidRPr="000E3549">
              <w:rPr>
                <w:rStyle w:val="Hyperlink"/>
              </w:rPr>
              <w:t>A.</w:t>
            </w:r>
            <w:r w:rsidR="000E3549" w:rsidRPr="000E3549">
              <w:rPr>
                <w:rFonts w:eastAsiaTheme="minorEastAsia" w:cstheme="minorBidi"/>
                <w:bdr w:val="none" w:sz="0" w:space="0" w:color="auto"/>
                <w:lang w:val="en-US"/>
              </w:rPr>
              <w:tab/>
            </w:r>
            <w:r w:rsidR="000E3549" w:rsidRPr="000E3549">
              <w:rPr>
                <w:rStyle w:val="Hyperlink"/>
              </w:rPr>
              <w:t xml:space="preserve">Derechos a la vida, </w:t>
            </w:r>
            <w:r w:rsidR="000E3549" w:rsidRPr="000E3549">
              <w:rPr>
                <w:rStyle w:val="Hyperlink"/>
                <w:lang w:val="es-ES"/>
              </w:rPr>
              <w:t xml:space="preserve">principio de legalidad, </w:t>
            </w:r>
            <w:r w:rsidR="000E3549" w:rsidRPr="000E3549">
              <w:rPr>
                <w:rStyle w:val="Hyperlink"/>
              </w:rPr>
              <w:t>garantías judiciales y protección judicial en el marco del proceso que culminó con la imposición de la pena de muert</w:t>
            </w:r>
            <w:r w:rsidR="000E3549" w:rsidRPr="000E3549">
              <w:rPr>
                <w:rStyle w:val="Hyperlink"/>
                <w:b w:val="0"/>
              </w:rPr>
              <w:t>e</w:t>
            </w:r>
            <w:r w:rsidR="000E3549" w:rsidRPr="000E3549">
              <w:rPr>
                <w:b w:val="0"/>
                <w:webHidden/>
              </w:rPr>
              <w:tab/>
            </w:r>
            <w:r w:rsidR="000E3549" w:rsidRPr="000E3549">
              <w:rPr>
                <w:b w:val="0"/>
                <w:webHidden/>
              </w:rPr>
              <w:fldChar w:fldCharType="begin"/>
            </w:r>
            <w:r w:rsidR="000E3549" w:rsidRPr="000E3549">
              <w:rPr>
                <w:b w:val="0"/>
                <w:webHidden/>
              </w:rPr>
              <w:instrText xml:space="preserve"> PAGEREF _Toc495479553 \h </w:instrText>
            </w:r>
            <w:r w:rsidR="000E3549" w:rsidRPr="000E3549">
              <w:rPr>
                <w:b w:val="0"/>
                <w:webHidden/>
              </w:rPr>
            </w:r>
            <w:r w:rsidR="000E3549" w:rsidRPr="000E3549">
              <w:rPr>
                <w:b w:val="0"/>
                <w:webHidden/>
              </w:rPr>
              <w:fldChar w:fldCharType="separate"/>
            </w:r>
            <w:r w:rsidR="00171E52">
              <w:rPr>
                <w:b w:val="0"/>
                <w:webHidden/>
              </w:rPr>
              <w:t>17</w:t>
            </w:r>
            <w:r w:rsidR="000E3549" w:rsidRPr="000E3549">
              <w:rPr>
                <w:b w:val="0"/>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54" w:history="1">
            <w:r w:rsidR="000E3549" w:rsidRPr="000E3549">
              <w:rPr>
                <w:rStyle w:val="Hyperlink"/>
                <w:rFonts w:asciiTheme="majorHAnsi" w:hAnsiTheme="majorHAnsi"/>
                <w:noProof/>
                <w:sz w:val="20"/>
                <w:szCs w:val="20"/>
                <w:lang w:val="es-CO"/>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 xml:space="preserve">Consideraciones generales sobre el estándar de análisis en </w:t>
            </w:r>
            <w:r w:rsidR="000E3549" w:rsidRPr="000E3549">
              <w:rPr>
                <w:rStyle w:val="Hyperlink"/>
                <w:rFonts w:asciiTheme="majorHAnsi" w:hAnsiTheme="majorHAnsi"/>
                <w:noProof/>
                <w:sz w:val="20"/>
                <w:szCs w:val="20"/>
                <w:lang w:val="es-DO"/>
              </w:rPr>
              <w:t>casos</w:t>
            </w:r>
            <w:r w:rsidR="000E3549" w:rsidRPr="000E3549">
              <w:rPr>
                <w:rStyle w:val="Hyperlink"/>
                <w:rFonts w:asciiTheme="majorHAnsi" w:hAnsiTheme="majorHAnsi"/>
                <w:noProof/>
                <w:sz w:val="20"/>
                <w:szCs w:val="20"/>
                <w:lang w:val="es-CO"/>
              </w:rPr>
              <w:t xml:space="preserve"> de pena de muerte</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_Toc495479554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17</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55" w:history="1">
            <w:r w:rsidR="000E3549" w:rsidRPr="000E3549">
              <w:rPr>
                <w:rStyle w:val="Hyperlink"/>
                <w:rFonts w:asciiTheme="majorHAnsi" w:hAnsiTheme="majorHAnsi"/>
                <w:noProof/>
                <w:sz w:val="20"/>
                <w:szCs w:val="20"/>
                <w:lang w:val="es-CO"/>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Sobre la aplicación del concepto de peligrosidad para imponer la pena de muerte</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_Toc495479555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18</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56" w:history="1">
            <w:r w:rsidR="000E3549" w:rsidRPr="000E3549">
              <w:rPr>
                <w:rStyle w:val="Hyperlink"/>
                <w:rFonts w:asciiTheme="majorHAnsi" w:hAnsiTheme="majorHAnsi"/>
                <w:noProof/>
                <w:sz w:val="20"/>
                <w:szCs w:val="20"/>
                <w:lang w:val="es-CO"/>
              </w:rPr>
              <w:t>3.</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Sobre el derecho a recurrir el fallo condenatorio</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_Toc495479556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21</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57" w:history="1">
            <w:r w:rsidR="000E3549" w:rsidRPr="000E3549">
              <w:rPr>
                <w:rStyle w:val="Hyperlink"/>
                <w:rFonts w:asciiTheme="majorHAnsi" w:hAnsiTheme="majorHAnsi"/>
                <w:noProof/>
                <w:sz w:val="20"/>
                <w:szCs w:val="20"/>
                <w:lang w:val="es-CO"/>
              </w:rPr>
              <w:t>4.</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Sobre la inconvencionalidad de la imposición de la pena de muerte</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_Toc495479557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22</w:t>
            </w:r>
            <w:r w:rsidR="000E3549" w:rsidRPr="000E3549">
              <w:rPr>
                <w:rFonts w:asciiTheme="majorHAnsi" w:hAnsiTheme="majorHAnsi"/>
                <w:noProof/>
                <w:webHidden/>
                <w:sz w:val="20"/>
                <w:szCs w:val="20"/>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58" w:history="1">
            <w:r w:rsidR="000E3549" w:rsidRPr="000E3549">
              <w:rPr>
                <w:rStyle w:val="Hyperlink"/>
                <w:lang w:val="es-ES"/>
              </w:rPr>
              <w:t>B.</w:t>
            </w:r>
            <w:r w:rsidR="000E3549" w:rsidRPr="000E3549">
              <w:rPr>
                <w:rFonts w:eastAsiaTheme="minorEastAsia" w:cstheme="minorBidi"/>
                <w:bdr w:val="none" w:sz="0" w:space="0" w:color="auto"/>
                <w:lang w:val="en-US"/>
              </w:rPr>
              <w:tab/>
            </w:r>
            <w:r w:rsidR="000E3549" w:rsidRPr="000E3549">
              <w:rPr>
                <w:rStyle w:val="Hyperlink"/>
              </w:rPr>
              <w:t>Derecho a la integridad personal con respecto al fenómeno del “corredor de la muerte” y disposiciones relevantes de la CIPST</w:t>
            </w:r>
            <w:r w:rsidR="000E3549" w:rsidRPr="000E3549">
              <w:rPr>
                <w:webHidden/>
              </w:rPr>
              <w:tab/>
            </w:r>
            <w:r w:rsidR="000E3549" w:rsidRPr="000E3549">
              <w:rPr>
                <w:webHidden/>
              </w:rPr>
              <w:fldChar w:fldCharType="begin"/>
            </w:r>
            <w:r w:rsidR="000E3549" w:rsidRPr="000E3549">
              <w:rPr>
                <w:webHidden/>
              </w:rPr>
              <w:instrText xml:space="preserve"> PAGEREF _Toc495479558 \h </w:instrText>
            </w:r>
            <w:r w:rsidR="000E3549" w:rsidRPr="000E3549">
              <w:rPr>
                <w:webHidden/>
              </w:rPr>
            </w:r>
            <w:r w:rsidR="000E3549" w:rsidRPr="000E3549">
              <w:rPr>
                <w:webHidden/>
              </w:rPr>
              <w:fldChar w:fldCharType="separate"/>
            </w:r>
            <w:r w:rsidR="00171E52">
              <w:rPr>
                <w:webHidden/>
              </w:rPr>
              <w:t>22</w:t>
            </w:r>
            <w:r w:rsidR="000E3549" w:rsidRPr="000E3549">
              <w:rPr>
                <w:webHidden/>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59" w:history="1">
            <w:r w:rsidR="000E3549" w:rsidRPr="000E3549">
              <w:rPr>
                <w:rStyle w:val="Hyperlink"/>
              </w:rPr>
              <w:t>C.</w:t>
            </w:r>
            <w:r w:rsidR="000E3549" w:rsidRPr="000E3549">
              <w:rPr>
                <w:rFonts w:eastAsiaTheme="minorEastAsia" w:cstheme="minorBidi"/>
                <w:bdr w:val="none" w:sz="0" w:space="0" w:color="auto"/>
                <w:lang w:val="en-US"/>
              </w:rPr>
              <w:tab/>
            </w:r>
            <w:r w:rsidR="000E3549" w:rsidRPr="000E3549">
              <w:rPr>
                <w:rStyle w:val="Hyperlink"/>
              </w:rPr>
              <w:t>Derechos a la integridad personal, dignidad, vida privada y autonomía, garantías judiciales y protección judicial y disposiciones relevantes de la CIPST respecto de las alegadas torturas</w:t>
            </w:r>
            <w:r w:rsidR="000E3549" w:rsidRPr="000E3549">
              <w:rPr>
                <w:webHidden/>
              </w:rPr>
              <w:tab/>
            </w:r>
            <w:r w:rsidR="000E3549" w:rsidRPr="000E3549">
              <w:rPr>
                <w:webHidden/>
              </w:rPr>
              <w:fldChar w:fldCharType="begin"/>
            </w:r>
            <w:r w:rsidR="000E3549" w:rsidRPr="000E3549">
              <w:rPr>
                <w:webHidden/>
              </w:rPr>
              <w:instrText xml:space="preserve"> PAGEREF _Toc495479559 \h </w:instrText>
            </w:r>
            <w:r w:rsidR="000E3549" w:rsidRPr="000E3549">
              <w:rPr>
                <w:webHidden/>
              </w:rPr>
            </w:r>
            <w:r w:rsidR="000E3549" w:rsidRPr="000E3549">
              <w:rPr>
                <w:webHidden/>
              </w:rPr>
              <w:fldChar w:fldCharType="separate"/>
            </w:r>
            <w:r w:rsidR="00171E52">
              <w:rPr>
                <w:webHidden/>
              </w:rPr>
              <w:t>25</w:t>
            </w:r>
            <w:r w:rsidR="000E3549" w:rsidRPr="000E3549">
              <w:rPr>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60" w:history="1">
            <w:r w:rsidR="000E3549" w:rsidRPr="000E3549">
              <w:rPr>
                <w:rStyle w:val="Hyperlink"/>
                <w:rFonts w:asciiTheme="majorHAnsi" w:hAnsiTheme="majorHAnsi"/>
                <w:noProof/>
                <w:sz w:val="20"/>
                <w:szCs w:val="20"/>
                <w:lang w:val="es-CO"/>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Consideraciones generales</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_Toc495479560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25</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61" w:history="1">
            <w:r w:rsidR="000E3549" w:rsidRPr="000E3549">
              <w:rPr>
                <w:rStyle w:val="Hyperlink"/>
                <w:rFonts w:asciiTheme="majorHAnsi" w:hAnsiTheme="majorHAnsi"/>
                <w:noProof/>
                <w:sz w:val="20"/>
                <w:szCs w:val="20"/>
                <w:lang w:val="es-CO"/>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Análisis del caso</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_Toc495479561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28</w:t>
            </w:r>
            <w:r w:rsidR="000E3549" w:rsidRPr="000E3549">
              <w:rPr>
                <w:rFonts w:asciiTheme="majorHAnsi" w:hAnsiTheme="majorHAnsi"/>
                <w:noProof/>
                <w:webHidden/>
                <w:sz w:val="20"/>
                <w:szCs w:val="20"/>
              </w:rPr>
              <w:fldChar w:fldCharType="end"/>
            </w:r>
          </w:hyperlink>
        </w:p>
        <w:p w:rsidR="000E3549" w:rsidRPr="000E3549" w:rsidRDefault="006D7B67" w:rsidP="000E3549">
          <w:pPr>
            <w:pStyle w:val="TOC2"/>
            <w:rPr>
              <w:rFonts w:eastAsiaTheme="minorEastAsia" w:cstheme="minorBidi"/>
              <w:bdr w:val="none" w:sz="0" w:space="0" w:color="auto"/>
              <w:lang w:val="en-US"/>
            </w:rPr>
          </w:pPr>
          <w:hyperlink w:anchor="_Toc495479562" w:history="1">
            <w:r w:rsidR="000E3549" w:rsidRPr="000E3549">
              <w:rPr>
                <w:rStyle w:val="Hyperlink"/>
                <w:lang w:val="es-ES"/>
              </w:rPr>
              <w:t>D.</w:t>
            </w:r>
            <w:r w:rsidR="000E3549" w:rsidRPr="000E3549">
              <w:rPr>
                <w:rFonts w:eastAsiaTheme="minorEastAsia" w:cstheme="minorBidi"/>
                <w:bdr w:val="none" w:sz="0" w:space="0" w:color="auto"/>
                <w:lang w:val="en-US"/>
              </w:rPr>
              <w:tab/>
            </w:r>
            <w:r w:rsidR="000E3549" w:rsidRPr="000E3549">
              <w:rPr>
                <w:rStyle w:val="Hyperlink"/>
              </w:rPr>
              <w:t>Derechos a la vida, garantías judiciales y protección judicial respecto de la muerte</w:t>
            </w:r>
            <w:r w:rsidR="000E3549" w:rsidRPr="000E3549">
              <w:rPr>
                <w:rStyle w:val="Hyperlink"/>
                <w:lang w:val="es-ES"/>
              </w:rPr>
              <w:t xml:space="preserve"> de </w:t>
            </w:r>
            <w:r w:rsidR="000E3549" w:rsidRPr="000E3549">
              <w:rPr>
                <w:rStyle w:val="Hyperlink"/>
                <w:lang w:val="es-US"/>
              </w:rPr>
              <w:t>Tirso Román Valenzuela Ávila</w:t>
            </w:r>
            <w:r w:rsidR="000E3549" w:rsidRPr="000E3549">
              <w:rPr>
                <w:webHidden/>
              </w:rPr>
              <w:tab/>
            </w:r>
            <w:r w:rsidR="000E3549" w:rsidRPr="000E3549">
              <w:rPr>
                <w:webHidden/>
              </w:rPr>
              <w:fldChar w:fldCharType="begin"/>
            </w:r>
            <w:r w:rsidR="000E3549" w:rsidRPr="000E3549">
              <w:rPr>
                <w:webHidden/>
              </w:rPr>
              <w:instrText xml:space="preserve"> PAGEREF _Toc495479562 \h </w:instrText>
            </w:r>
            <w:r w:rsidR="000E3549" w:rsidRPr="000E3549">
              <w:rPr>
                <w:webHidden/>
              </w:rPr>
            </w:r>
            <w:r w:rsidR="000E3549" w:rsidRPr="000E3549">
              <w:rPr>
                <w:webHidden/>
              </w:rPr>
              <w:fldChar w:fldCharType="separate"/>
            </w:r>
            <w:r w:rsidR="00171E52">
              <w:rPr>
                <w:webHidden/>
              </w:rPr>
              <w:t>31</w:t>
            </w:r>
            <w:r w:rsidR="000E3549" w:rsidRPr="000E3549">
              <w:rPr>
                <w:webHidden/>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63" w:history="1">
            <w:r w:rsidR="000E3549" w:rsidRPr="000E3549">
              <w:rPr>
                <w:rStyle w:val="Hyperlink"/>
                <w:rFonts w:asciiTheme="majorHAnsi" w:hAnsiTheme="majorHAnsi"/>
                <w:noProof/>
                <w:sz w:val="20"/>
                <w:szCs w:val="20"/>
                <w:lang w:val="es-ES_tradnl"/>
              </w:rPr>
              <w:t>1.</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Consideraciones generales</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_Toc495479563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31</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64" w:history="1">
            <w:r w:rsidR="000E3549" w:rsidRPr="000E3549">
              <w:rPr>
                <w:rStyle w:val="Hyperlink"/>
                <w:rFonts w:asciiTheme="majorHAnsi" w:hAnsiTheme="majorHAnsi"/>
                <w:noProof/>
                <w:sz w:val="20"/>
                <w:szCs w:val="20"/>
                <w:lang w:val="es-ES_tradnl"/>
              </w:rPr>
              <w:t>2.</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Análisis de si la muerte del señor Valenzuela Ávila fue una ejecución extrajudicial</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_Toc495479564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34</w:t>
            </w:r>
            <w:r w:rsidR="000E3549" w:rsidRPr="000E3549">
              <w:rPr>
                <w:rFonts w:asciiTheme="majorHAnsi" w:hAnsiTheme="majorHAnsi"/>
                <w:noProof/>
                <w:webHidden/>
                <w:sz w:val="20"/>
                <w:szCs w:val="20"/>
              </w:rPr>
              <w:fldChar w:fldCharType="end"/>
            </w:r>
          </w:hyperlink>
        </w:p>
        <w:p w:rsidR="000E3549" w:rsidRPr="000E3549" w:rsidRDefault="006D7B67">
          <w:pPr>
            <w:pStyle w:val="TOC3"/>
            <w:tabs>
              <w:tab w:val="left" w:pos="2160"/>
            </w:tabs>
            <w:rPr>
              <w:rFonts w:asciiTheme="majorHAnsi" w:eastAsiaTheme="minorEastAsia" w:hAnsiTheme="majorHAnsi" w:cstheme="minorBidi"/>
              <w:noProof/>
              <w:sz w:val="20"/>
              <w:szCs w:val="20"/>
              <w:bdr w:val="none" w:sz="0" w:space="0" w:color="auto"/>
            </w:rPr>
          </w:pPr>
          <w:hyperlink w:anchor="_Toc495479565" w:history="1">
            <w:r w:rsidR="000E3549" w:rsidRPr="000E3549">
              <w:rPr>
                <w:rStyle w:val="Hyperlink"/>
                <w:rFonts w:asciiTheme="majorHAnsi" w:hAnsiTheme="majorHAnsi"/>
                <w:noProof/>
                <w:sz w:val="20"/>
                <w:szCs w:val="20"/>
                <w:lang w:val="es-ES_tradnl"/>
              </w:rPr>
              <w:t>3.</w:t>
            </w:r>
            <w:r w:rsidR="000E3549" w:rsidRPr="000E3549">
              <w:rPr>
                <w:rFonts w:asciiTheme="majorHAnsi" w:eastAsiaTheme="minorEastAsia" w:hAnsiTheme="majorHAnsi" w:cstheme="minorBidi"/>
                <w:noProof/>
                <w:sz w:val="20"/>
                <w:szCs w:val="20"/>
                <w:bdr w:val="none" w:sz="0" w:space="0" w:color="auto"/>
              </w:rPr>
              <w:tab/>
            </w:r>
            <w:r w:rsidR="000E3549" w:rsidRPr="000E3549">
              <w:rPr>
                <w:rStyle w:val="Hyperlink"/>
                <w:rFonts w:asciiTheme="majorHAnsi" w:hAnsiTheme="majorHAnsi"/>
                <w:noProof/>
                <w:sz w:val="20"/>
                <w:szCs w:val="20"/>
                <w:lang w:val="es-CO"/>
              </w:rPr>
              <w:t>Análisis sobre si el Estado cumplió su obligación de investigar la muerte del señor Valenzuela Ávila</w:t>
            </w:r>
            <w:r w:rsidR="000E3549" w:rsidRPr="000E3549">
              <w:rPr>
                <w:rFonts w:asciiTheme="majorHAnsi" w:hAnsiTheme="majorHAnsi"/>
                <w:noProof/>
                <w:webHidden/>
                <w:sz w:val="20"/>
                <w:szCs w:val="20"/>
              </w:rPr>
              <w:tab/>
            </w:r>
            <w:r w:rsidR="000E3549" w:rsidRPr="000E3549">
              <w:rPr>
                <w:rFonts w:asciiTheme="majorHAnsi" w:hAnsiTheme="majorHAnsi"/>
                <w:noProof/>
                <w:webHidden/>
                <w:sz w:val="20"/>
                <w:szCs w:val="20"/>
              </w:rPr>
              <w:fldChar w:fldCharType="begin"/>
            </w:r>
            <w:r w:rsidR="000E3549" w:rsidRPr="000E3549">
              <w:rPr>
                <w:rFonts w:asciiTheme="majorHAnsi" w:hAnsiTheme="majorHAnsi"/>
                <w:noProof/>
                <w:webHidden/>
                <w:sz w:val="20"/>
                <w:szCs w:val="20"/>
              </w:rPr>
              <w:instrText xml:space="preserve"> PAGEREF _Toc495479565 \h </w:instrText>
            </w:r>
            <w:r w:rsidR="000E3549" w:rsidRPr="000E3549">
              <w:rPr>
                <w:rFonts w:asciiTheme="majorHAnsi" w:hAnsiTheme="majorHAnsi"/>
                <w:noProof/>
                <w:webHidden/>
                <w:sz w:val="20"/>
                <w:szCs w:val="20"/>
              </w:rPr>
            </w:r>
            <w:r w:rsidR="000E3549" w:rsidRPr="000E3549">
              <w:rPr>
                <w:rFonts w:asciiTheme="majorHAnsi" w:hAnsiTheme="majorHAnsi"/>
                <w:noProof/>
                <w:webHidden/>
                <w:sz w:val="20"/>
                <w:szCs w:val="20"/>
              </w:rPr>
              <w:fldChar w:fldCharType="separate"/>
            </w:r>
            <w:r w:rsidR="00171E52">
              <w:rPr>
                <w:rFonts w:asciiTheme="majorHAnsi" w:hAnsiTheme="majorHAnsi"/>
                <w:noProof/>
                <w:webHidden/>
                <w:sz w:val="20"/>
                <w:szCs w:val="20"/>
              </w:rPr>
              <w:t>35</w:t>
            </w:r>
            <w:r w:rsidR="000E3549" w:rsidRPr="000E3549">
              <w:rPr>
                <w:rFonts w:asciiTheme="majorHAnsi" w:hAnsiTheme="majorHAnsi"/>
                <w:noProof/>
                <w:webHidden/>
                <w:sz w:val="20"/>
                <w:szCs w:val="20"/>
              </w:rPr>
              <w:fldChar w:fldCharType="end"/>
            </w:r>
          </w:hyperlink>
        </w:p>
        <w:p w:rsidR="000E3549" w:rsidRPr="000E3549" w:rsidRDefault="006D7B67">
          <w:pPr>
            <w:pStyle w:val="TOC1"/>
            <w:rPr>
              <w:rFonts w:eastAsiaTheme="minorEastAsia" w:cstheme="minorBidi"/>
              <w:b w:val="0"/>
              <w:bdr w:val="none" w:sz="0" w:space="0" w:color="auto"/>
            </w:rPr>
          </w:pPr>
          <w:hyperlink w:anchor="_Toc495479566" w:history="1">
            <w:r w:rsidR="000E3549" w:rsidRPr="000E3549">
              <w:rPr>
                <w:rStyle w:val="Hyperlink"/>
              </w:rPr>
              <w:t>VII.</w:t>
            </w:r>
            <w:r w:rsidR="000E3549" w:rsidRPr="000E3549">
              <w:rPr>
                <w:rFonts w:eastAsiaTheme="minorEastAsia" w:cstheme="minorBidi"/>
                <w:b w:val="0"/>
                <w:bdr w:val="none" w:sz="0" w:space="0" w:color="auto"/>
              </w:rPr>
              <w:tab/>
            </w:r>
            <w:r w:rsidR="000E3549" w:rsidRPr="000E3549">
              <w:rPr>
                <w:rStyle w:val="Hyperlink"/>
              </w:rPr>
              <w:t>CONCLUSIONES</w:t>
            </w:r>
            <w:r w:rsidR="000E3549" w:rsidRPr="000E3549">
              <w:rPr>
                <w:webHidden/>
              </w:rPr>
              <w:tab/>
            </w:r>
            <w:r w:rsidR="000E3549" w:rsidRPr="000E3549">
              <w:rPr>
                <w:webHidden/>
              </w:rPr>
              <w:fldChar w:fldCharType="begin"/>
            </w:r>
            <w:r w:rsidR="000E3549" w:rsidRPr="000E3549">
              <w:rPr>
                <w:webHidden/>
              </w:rPr>
              <w:instrText xml:space="preserve"> PAGEREF _Toc495479566 \h </w:instrText>
            </w:r>
            <w:r w:rsidR="000E3549" w:rsidRPr="000E3549">
              <w:rPr>
                <w:webHidden/>
              </w:rPr>
            </w:r>
            <w:r w:rsidR="000E3549" w:rsidRPr="000E3549">
              <w:rPr>
                <w:webHidden/>
              </w:rPr>
              <w:fldChar w:fldCharType="separate"/>
            </w:r>
            <w:r w:rsidR="00171E52">
              <w:rPr>
                <w:webHidden/>
              </w:rPr>
              <w:t>37</w:t>
            </w:r>
            <w:r w:rsidR="000E3549" w:rsidRPr="000E3549">
              <w:rPr>
                <w:webHidden/>
              </w:rPr>
              <w:fldChar w:fldCharType="end"/>
            </w:r>
          </w:hyperlink>
        </w:p>
        <w:p w:rsidR="000E3549" w:rsidRPr="000E3549" w:rsidRDefault="006D7B67">
          <w:pPr>
            <w:pStyle w:val="TOC1"/>
            <w:rPr>
              <w:rFonts w:eastAsiaTheme="minorEastAsia" w:cstheme="minorBidi"/>
              <w:b w:val="0"/>
              <w:bdr w:val="none" w:sz="0" w:space="0" w:color="auto"/>
            </w:rPr>
          </w:pPr>
          <w:hyperlink w:anchor="_Toc495479567" w:history="1">
            <w:r w:rsidR="000E3549" w:rsidRPr="000E3549">
              <w:rPr>
                <w:rStyle w:val="Hyperlink"/>
              </w:rPr>
              <w:t>VIII.</w:t>
            </w:r>
            <w:r w:rsidR="000E3549" w:rsidRPr="000E3549">
              <w:rPr>
                <w:rFonts w:eastAsiaTheme="minorEastAsia" w:cstheme="minorBidi"/>
                <w:b w:val="0"/>
                <w:bdr w:val="none" w:sz="0" w:space="0" w:color="auto"/>
              </w:rPr>
              <w:tab/>
            </w:r>
            <w:r w:rsidR="000E3549" w:rsidRPr="000E3549">
              <w:rPr>
                <w:rStyle w:val="Hyperlink"/>
              </w:rPr>
              <w:t>RECOMENDACIONES</w:t>
            </w:r>
            <w:r w:rsidR="000E3549" w:rsidRPr="000E3549">
              <w:rPr>
                <w:webHidden/>
              </w:rPr>
              <w:tab/>
            </w:r>
            <w:r w:rsidR="000E3549" w:rsidRPr="000E3549">
              <w:rPr>
                <w:webHidden/>
              </w:rPr>
              <w:fldChar w:fldCharType="begin"/>
            </w:r>
            <w:r w:rsidR="000E3549" w:rsidRPr="000E3549">
              <w:rPr>
                <w:webHidden/>
              </w:rPr>
              <w:instrText xml:space="preserve"> PAGEREF _Toc495479567 \h </w:instrText>
            </w:r>
            <w:r w:rsidR="000E3549" w:rsidRPr="000E3549">
              <w:rPr>
                <w:webHidden/>
              </w:rPr>
            </w:r>
            <w:r w:rsidR="000E3549" w:rsidRPr="000E3549">
              <w:rPr>
                <w:webHidden/>
              </w:rPr>
              <w:fldChar w:fldCharType="separate"/>
            </w:r>
            <w:r w:rsidR="00171E52">
              <w:rPr>
                <w:webHidden/>
              </w:rPr>
              <w:t>37</w:t>
            </w:r>
            <w:r w:rsidR="000E3549" w:rsidRPr="000E3549">
              <w:rPr>
                <w:webHidden/>
              </w:rPr>
              <w:fldChar w:fldCharType="end"/>
            </w:r>
          </w:hyperlink>
        </w:p>
        <w:p w:rsidR="0092713D" w:rsidRPr="006E623C" w:rsidRDefault="009A3D68" w:rsidP="006E623C">
          <w:r w:rsidRPr="009A3D68">
            <w:rPr>
              <w:rFonts w:asciiTheme="majorHAnsi" w:hAnsiTheme="majorHAnsi"/>
              <w:b/>
              <w:bCs/>
              <w:noProof/>
              <w:sz w:val="20"/>
              <w:szCs w:val="20"/>
            </w:rPr>
            <w:fldChar w:fldCharType="end"/>
          </w:r>
        </w:p>
      </w:sdtContent>
    </w:sdt>
    <w:p w:rsidR="0092713D" w:rsidRDefault="0092713D" w:rsidP="00EE224E">
      <w:pP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0E3549" w:rsidRDefault="000E3549" w:rsidP="00F73588">
      <w:pPr>
        <w:rPr>
          <w:rFonts w:asciiTheme="majorHAnsi" w:eastAsia="Times New Roman" w:hAnsiTheme="majorHAnsi"/>
          <w:b/>
          <w:sz w:val="20"/>
          <w:szCs w:val="20"/>
          <w:bdr w:val="none" w:sz="0" w:space="0" w:color="auto"/>
          <w:lang w:val="es-CO"/>
        </w:rPr>
      </w:pPr>
      <w:r>
        <w:rPr>
          <w:rFonts w:asciiTheme="majorHAnsi" w:eastAsia="Times New Roman" w:hAnsiTheme="majorHAnsi"/>
          <w:b/>
          <w:sz w:val="20"/>
          <w:szCs w:val="20"/>
          <w:bdr w:val="none" w:sz="0" w:space="0" w:color="auto"/>
          <w:lang w:val="es-CO"/>
        </w:rPr>
        <w:br w:type="page"/>
      </w:r>
    </w:p>
    <w:p w:rsidR="004B316C" w:rsidRPr="007F3D68" w:rsidRDefault="00B06C1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7F3D68">
        <w:rPr>
          <w:rFonts w:asciiTheme="majorHAnsi" w:eastAsia="Times New Roman" w:hAnsiTheme="majorHAnsi"/>
          <w:b/>
          <w:sz w:val="20"/>
          <w:szCs w:val="20"/>
          <w:bdr w:val="none" w:sz="0" w:space="0" w:color="auto"/>
          <w:lang w:val="es-CO"/>
        </w:rPr>
        <w:lastRenderedPageBreak/>
        <w:t xml:space="preserve">INFORME No. </w:t>
      </w:r>
      <w:r w:rsidR="00A5702A">
        <w:rPr>
          <w:rFonts w:asciiTheme="majorHAnsi" w:eastAsia="Times New Roman" w:hAnsiTheme="majorHAnsi"/>
          <w:b/>
          <w:sz w:val="20"/>
          <w:szCs w:val="20"/>
          <w:bdr w:val="none" w:sz="0" w:space="0" w:color="auto"/>
          <w:lang w:val="es-ES_tradnl"/>
        </w:rPr>
        <w:t>132</w:t>
      </w:r>
      <w:r w:rsidR="000A23C0" w:rsidRPr="007F3D68">
        <w:rPr>
          <w:rFonts w:asciiTheme="majorHAnsi" w:eastAsia="Times New Roman" w:hAnsiTheme="majorHAnsi"/>
          <w:b/>
          <w:sz w:val="20"/>
          <w:szCs w:val="20"/>
          <w:bdr w:val="none" w:sz="0" w:space="0" w:color="auto"/>
          <w:lang w:val="es-ES_tradnl"/>
        </w:rPr>
        <w:t>/17</w:t>
      </w:r>
    </w:p>
    <w:p w:rsidR="004B316C" w:rsidRPr="007F3D68" w:rsidRDefault="007014EB"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7F3D68">
        <w:rPr>
          <w:rFonts w:asciiTheme="majorHAnsi" w:eastAsia="Times New Roman" w:hAnsiTheme="majorHAnsi"/>
          <w:b/>
          <w:sz w:val="20"/>
          <w:szCs w:val="20"/>
          <w:bdr w:val="none" w:sz="0" w:space="0" w:color="auto"/>
          <w:lang w:val="es-ES_tradnl"/>
        </w:rPr>
        <w:t>CASO</w:t>
      </w:r>
      <w:r w:rsidR="00100457" w:rsidRPr="007F3D68">
        <w:rPr>
          <w:rFonts w:asciiTheme="majorHAnsi" w:eastAsia="Times New Roman" w:hAnsiTheme="majorHAnsi"/>
          <w:b/>
          <w:sz w:val="20"/>
          <w:szCs w:val="20"/>
          <w:bdr w:val="none" w:sz="0" w:space="0" w:color="auto"/>
          <w:lang w:val="es-ES_tradnl"/>
        </w:rPr>
        <w:t xml:space="preserve"> 12.452</w:t>
      </w:r>
    </w:p>
    <w:p w:rsidR="004B316C" w:rsidRPr="007F3D68" w:rsidRDefault="006F1C37"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7F3D68">
        <w:rPr>
          <w:rFonts w:asciiTheme="majorHAnsi" w:eastAsia="Times New Roman" w:hAnsiTheme="majorHAnsi"/>
          <w:sz w:val="20"/>
          <w:szCs w:val="20"/>
          <w:bdr w:val="none" w:sz="0" w:space="0" w:color="auto"/>
          <w:lang w:val="es-ES_tradnl"/>
        </w:rPr>
        <w:t xml:space="preserve">ADMISIBILIDAD Y </w:t>
      </w:r>
      <w:r w:rsidR="004B316C" w:rsidRPr="007F3D68">
        <w:rPr>
          <w:rFonts w:asciiTheme="majorHAnsi" w:eastAsia="Times New Roman" w:hAnsiTheme="majorHAnsi"/>
          <w:sz w:val="20"/>
          <w:szCs w:val="20"/>
          <w:bdr w:val="none" w:sz="0" w:space="0" w:color="auto"/>
          <w:lang w:val="es-ES_tradnl"/>
        </w:rPr>
        <w:t>FONDO</w:t>
      </w:r>
    </w:p>
    <w:p w:rsidR="007014EB" w:rsidRPr="007F3D68" w:rsidRDefault="007014EB" w:rsidP="00701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7F3D68">
        <w:rPr>
          <w:rFonts w:asciiTheme="majorHAnsi" w:eastAsia="Times New Roman" w:hAnsiTheme="majorHAnsi"/>
          <w:sz w:val="20"/>
          <w:szCs w:val="20"/>
          <w:bdr w:val="none" w:sz="0" w:space="0" w:color="auto"/>
          <w:lang w:val="es-ES_tradnl"/>
        </w:rPr>
        <w:t>TIRSO ROMÁN VALENZUELA ÁVILA</w:t>
      </w:r>
      <w:r w:rsidR="006E623C" w:rsidRPr="007F3D68">
        <w:rPr>
          <w:rFonts w:asciiTheme="majorHAnsi" w:eastAsia="Times New Roman" w:hAnsiTheme="majorHAnsi"/>
          <w:sz w:val="20"/>
          <w:szCs w:val="20"/>
          <w:bdr w:val="none" w:sz="0" w:space="0" w:color="auto"/>
          <w:lang w:val="es-ES_tradnl"/>
        </w:rPr>
        <w:t xml:space="preserve"> Y FAMILIARES</w:t>
      </w:r>
    </w:p>
    <w:p w:rsidR="00B06C1C" w:rsidRPr="007F3D68" w:rsidRDefault="007014EB"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7F3D68">
        <w:rPr>
          <w:rFonts w:asciiTheme="majorHAnsi" w:eastAsia="Times New Roman" w:hAnsiTheme="majorHAnsi"/>
          <w:sz w:val="20"/>
          <w:szCs w:val="20"/>
          <w:bdr w:val="none" w:sz="0" w:space="0" w:color="auto"/>
          <w:lang w:val="es-ES_tradnl"/>
        </w:rPr>
        <w:t>G</w:t>
      </w:r>
      <w:r w:rsidR="00B06E1C" w:rsidRPr="007F3D68">
        <w:rPr>
          <w:rFonts w:asciiTheme="majorHAnsi" w:eastAsia="Times New Roman" w:hAnsiTheme="majorHAnsi"/>
          <w:sz w:val="20"/>
          <w:szCs w:val="20"/>
          <w:bdr w:val="none" w:sz="0" w:space="0" w:color="auto"/>
          <w:lang w:val="es-ES_tradnl"/>
        </w:rPr>
        <w:t>UATEMALA</w:t>
      </w:r>
    </w:p>
    <w:p w:rsidR="004B316C" w:rsidRPr="007F3D68" w:rsidRDefault="00A5702A" w:rsidP="00B330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25</w:t>
      </w:r>
      <w:r w:rsidR="00B5326D" w:rsidRPr="007F3D68">
        <w:rPr>
          <w:rFonts w:asciiTheme="majorHAnsi" w:eastAsia="Times New Roman" w:hAnsiTheme="majorHAnsi"/>
          <w:sz w:val="20"/>
          <w:szCs w:val="20"/>
          <w:bdr w:val="none" w:sz="0" w:space="0" w:color="auto"/>
          <w:lang w:val="es-ES_tradnl"/>
        </w:rPr>
        <w:t xml:space="preserve"> DE </w:t>
      </w:r>
      <w:r>
        <w:rPr>
          <w:rFonts w:asciiTheme="majorHAnsi" w:eastAsia="Times New Roman" w:hAnsiTheme="majorHAnsi"/>
          <w:sz w:val="20"/>
          <w:szCs w:val="20"/>
          <w:bdr w:val="none" w:sz="0" w:space="0" w:color="auto"/>
          <w:lang w:val="es-ES_tradnl"/>
        </w:rPr>
        <w:t>OCTUBRE</w:t>
      </w:r>
      <w:r w:rsidR="000A23C0" w:rsidRPr="007F3D68">
        <w:rPr>
          <w:rFonts w:asciiTheme="majorHAnsi" w:eastAsia="Times New Roman" w:hAnsiTheme="majorHAnsi"/>
          <w:sz w:val="20"/>
          <w:szCs w:val="20"/>
          <w:bdr w:val="none" w:sz="0" w:space="0" w:color="auto"/>
          <w:lang w:val="es-ES_tradnl"/>
        </w:rPr>
        <w:t xml:space="preserve"> DE 2017</w:t>
      </w:r>
    </w:p>
    <w:p w:rsidR="004B316C" w:rsidRPr="007F3D68"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0F536B" w:rsidRPr="007F3D68" w:rsidRDefault="00E40449" w:rsidP="0067281D">
      <w:pPr>
        <w:pStyle w:val="Heading1"/>
        <w:numPr>
          <w:ilvl w:val="0"/>
          <w:numId w:val="55"/>
        </w:numPr>
        <w:tabs>
          <w:tab w:val="clear" w:pos="1440"/>
          <w:tab w:val="left" w:pos="4050"/>
        </w:tabs>
      </w:pPr>
      <w:bookmarkStart w:id="4" w:name="_Toc370840743"/>
      <w:bookmarkStart w:id="5" w:name="_Toc370840839"/>
      <w:bookmarkStart w:id="6" w:name="_Toc423514405"/>
      <w:bookmarkStart w:id="7" w:name="_Toc433115981"/>
      <w:bookmarkStart w:id="8" w:name="_Toc444958124"/>
      <w:bookmarkStart w:id="9" w:name="_Toc475546035"/>
      <w:bookmarkStart w:id="10" w:name="_Toc495479527"/>
      <w:r w:rsidRPr="007F3D68">
        <w:t>RESUMEN</w:t>
      </w:r>
      <w:bookmarkEnd w:id="4"/>
      <w:bookmarkEnd w:id="5"/>
      <w:bookmarkEnd w:id="6"/>
      <w:bookmarkEnd w:id="7"/>
      <w:bookmarkEnd w:id="8"/>
      <w:bookmarkEnd w:id="9"/>
      <w:bookmarkEnd w:id="10"/>
    </w:p>
    <w:p w:rsidR="000F536B" w:rsidRPr="007F3D68" w:rsidRDefault="000F536B" w:rsidP="000F536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EE224E" w:rsidRPr="007F3D68" w:rsidRDefault="001339BA" w:rsidP="00BD45C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s="Arial"/>
          <w:sz w:val="20"/>
          <w:szCs w:val="20"/>
          <w:lang w:val="es-ES"/>
        </w:rPr>
      </w:pPr>
      <w:r w:rsidRPr="007F3D68">
        <w:rPr>
          <w:rFonts w:asciiTheme="majorHAnsi" w:hAnsiTheme="majorHAnsi" w:cs="Arial"/>
          <w:sz w:val="20"/>
          <w:szCs w:val="20"/>
          <w:lang w:val="es-ES"/>
        </w:rPr>
        <w:t>El 5 de octubre de 2001</w:t>
      </w:r>
      <w:r w:rsidR="00593875" w:rsidRPr="007F3D68">
        <w:rPr>
          <w:rFonts w:asciiTheme="majorHAnsi" w:hAnsiTheme="majorHAnsi" w:cs="Arial"/>
          <w:sz w:val="20"/>
          <w:szCs w:val="20"/>
          <w:lang w:val="es-ES"/>
        </w:rPr>
        <w:t xml:space="preserve"> </w:t>
      </w:r>
      <w:r w:rsidR="005E21D4" w:rsidRPr="007F3D68">
        <w:rPr>
          <w:rFonts w:asciiTheme="majorHAnsi" w:hAnsiTheme="majorHAnsi" w:cs="Arial"/>
          <w:sz w:val="20"/>
          <w:szCs w:val="20"/>
          <w:lang w:val="es-ES"/>
        </w:rPr>
        <w:t>la Comisión Interamericana de Derechos Humanos (en adelante “la Comisión”</w:t>
      </w:r>
      <w:r w:rsidR="0046192F" w:rsidRPr="007F3D68">
        <w:rPr>
          <w:rFonts w:asciiTheme="majorHAnsi" w:hAnsiTheme="majorHAnsi" w:cs="Arial"/>
          <w:sz w:val="20"/>
          <w:szCs w:val="20"/>
          <w:lang w:val="es-ES"/>
        </w:rPr>
        <w:t>, “la Comisión Interamericana”</w:t>
      </w:r>
      <w:r w:rsidR="005E21D4" w:rsidRPr="007F3D68">
        <w:rPr>
          <w:rFonts w:asciiTheme="majorHAnsi" w:hAnsiTheme="majorHAnsi" w:cs="Arial"/>
          <w:sz w:val="20"/>
          <w:szCs w:val="20"/>
          <w:lang w:val="es-ES"/>
        </w:rPr>
        <w:t xml:space="preserve"> o “</w:t>
      </w:r>
      <w:r w:rsidR="0046192F" w:rsidRPr="007F3D68">
        <w:rPr>
          <w:rFonts w:asciiTheme="majorHAnsi" w:hAnsiTheme="majorHAnsi" w:cs="Arial"/>
          <w:sz w:val="20"/>
          <w:szCs w:val="20"/>
          <w:lang w:val="es-ES"/>
        </w:rPr>
        <w:t xml:space="preserve">la </w:t>
      </w:r>
      <w:r w:rsidR="005E21D4" w:rsidRPr="007F3D68">
        <w:rPr>
          <w:rFonts w:asciiTheme="majorHAnsi" w:hAnsiTheme="majorHAnsi" w:cs="Arial"/>
          <w:sz w:val="20"/>
          <w:szCs w:val="20"/>
          <w:lang w:val="es-ES"/>
        </w:rPr>
        <w:t xml:space="preserve">CIDH”) recibió </w:t>
      </w:r>
      <w:r w:rsidRPr="007F3D68">
        <w:rPr>
          <w:rFonts w:asciiTheme="majorHAnsi" w:hAnsiTheme="majorHAnsi" w:cs="Arial"/>
          <w:sz w:val="20"/>
          <w:szCs w:val="20"/>
          <w:lang w:val="es-ES"/>
        </w:rPr>
        <w:t>una petición presentada por el Instituto de la Defensa Pública Pe</w:t>
      </w:r>
      <w:r w:rsidR="0001417B" w:rsidRPr="007F3D68">
        <w:rPr>
          <w:rFonts w:asciiTheme="majorHAnsi" w:hAnsiTheme="majorHAnsi" w:cs="Arial"/>
          <w:sz w:val="20"/>
          <w:szCs w:val="20"/>
          <w:lang w:val="es-ES"/>
        </w:rPr>
        <w:t>nal de Guatemala (en adelante “</w:t>
      </w:r>
      <w:r w:rsidRPr="007F3D68">
        <w:rPr>
          <w:rFonts w:asciiTheme="majorHAnsi" w:hAnsiTheme="majorHAnsi" w:cs="Arial"/>
          <w:sz w:val="20"/>
          <w:szCs w:val="20"/>
          <w:lang w:val="es-ES"/>
        </w:rPr>
        <w:t>l</w:t>
      </w:r>
      <w:r w:rsidR="0001417B" w:rsidRPr="007F3D68">
        <w:rPr>
          <w:rFonts w:asciiTheme="majorHAnsi" w:hAnsiTheme="majorHAnsi" w:cs="Arial"/>
          <w:sz w:val="20"/>
          <w:szCs w:val="20"/>
          <w:lang w:val="es-ES"/>
        </w:rPr>
        <w:t>os</w:t>
      </w:r>
      <w:r w:rsidRPr="007F3D68">
        <w:rPr>
          <w:rFonts w:asciiTheme="majorHAnsi" w:hAnsiTheme="majorHAnsi" w:cs="Arial"/>
          <w:sz w:val="20"/>
          <w:szCs w:val="20"/>
          <w:lang w:val="es-ES"/>
        </w:rPr>
        <w:t xml:space="preserve"> peticionario</w:t>
      </w:r>
      <w:r w:rsidR="0001417B" w:rsidRPr="007F3D68">
        <w:rPr>
          <w:rFonts w:asciiTheme="majorHAnsi" w:hAnsiTheme="majorHAnsi" w:cs="Arial"/>
          <w:sz w:val="20"/>
          <w:szCs w:val="20"/>
          <w:lang w:val="es-ES"/>
        </w:rPr>
        <w:t>s</w:t>
      </w:r>
      <w:r w:rsidRPr="007F3D68">
        <w:rPr>
          <w:rFonts w:asciiTheme="majorHAnsi" w:hAnsiTheme="majorHAnsi" w:cs="Arial"/>
          <w:sz w:val="20"/>
          <w:szCs w:val="20"/>
          <w:lang w:val="es-ES"/>
        </w:rPr>
        <w:t xml:space="preserve">”) </w:t>
      </w:r>
      <w:r w:rsidR="00BD45C0" w:rsidRPr="007F3D68">
        <w:rPr>
          <w:rFonts w:asciiTheme="majorHAnsi" w:hAnsiTheme="majorHAnsi" w:cs="Arial"/>
          <w:sz w:val="20"/>
          <w:szCs w:val="20"/>
          <w:lang w:val="es-ES"/>
        </w:rPr>
        <w:t>en la cual se alega la responsabilidad de la República de Guatemala</w:t>
      </w:r>
      <w:r w:rsidRPr="007F3D68">
        <w:rPr>
          <w:rFonts w:asciiTheme="majorHAnsi" w:hAnsiTheme="majorHAnsi" w:cs="Arial"/>
          <w:sz w:val="20"/>
          <w:szCs w:val="20"/>
          <w:lang w:val="es-ES"/>
        </w:rPr>
        <w:t xml:space="preserve"> (en adelante “Guatemala”, </w:t>
      </w:r>
      <w:r w:rsidR="00012BD4" w:rsidRPr="007F3D68">
        <w:rPr>
          <w:rFonts w:asciiTheme="majorHAnsi" w:hAnsiTheme="majorHAnsi" w:cs="Arial"/>
          <w:sz w:val="20"/>
          <w:szCs w:val="20"/>
          <w:lang w:val="es-ES"/>
        </w:rPr>
        <w:t>“</w:t>
      </w:r>
      <w:r w:rsidRPr="007F3D68">
        <w:rPr>
          <w:rFonts w:asciiTheme="majorHAnsi" w:hAnsiTheme="majorHAnsi" w:cs="Arial"/>
          <w:sz w:val="20"/>
          <w:szCs w:val="20"/>
          <w:lang w:val="es-ES"/>
        </w:rPr>
        <w:t xml:space="preserve">el Estado” o </w:t>
      </w:r>
      <w:r w:rsidR="00012BD4" w:rsidRPr="007F3D68">
        <w:rPr>
          <w:rFonts w:asciiTheme="majorHAnsi" w:hAnsiTheme="majorHAnsi" w:cs="Arial"/>
          <w:sz w:val="20"/>
          <w:szCs w:val="20"/>
          <w:lang w:val="es-ES"/>
        </w:rPr>
        <w:t>“</w:t>
      </w:r>
      <w:r w:rsidRPr="007F3D68">
        <w:rPr>
          <w:rFonts w:asciiTheme="majorHAnsi" w:hAnsiTheme="majorHAnsi" w:cs="Arial"/>
          <w:sz w:val="20"/>
          <w:szCs w:val="20"/>
          <w:lang w:val="es-ES"/>
        </w:rPr>
        <w:t xml:space="preserve">el Estado guatemalteco”) </w:t>
      </w:r>
      <w:r w:rsidR="00BD45C0" w:rsidRPr="007F3D68">
        <w:rPr>
          <w:rFonts w:asciiTheme="majorHAnsi" w:hAnsiTheme="majorHAnsi" w:cs="Arial"/>
          <w:sz w:val="20"/>
          <w:szCs w:val="20"/>
          <w:lang w:val="es-ES"/>
        </w:rPr>
        <w:t>por la violación de varias disposiciones de la Convención Americana</w:t>
      </w:r>
      <w:r w:rsidR="00012BD4" w:rsidRPr="007F3D68">
        <w:rPr>
          <w:rFonts w:asciiTheme="majorHAnsi" w:hAnsiTheme="majorHAnsi" w:cs="Arial"/>
          <w:sz w:val="20"/>
          <w:szCs w:val="20"/>
          <w:lang w:val="es-ES"/>
        </w:rPr>
        <w:t xml:space="preserve"> sobre Derechos Humanos</w:t>
      </w:r>
      <w:r w:rsidR="00BD45C0" w:rsidRPr="007F3D68">
        <w:rPr>
          <w:rFonts w:asciiTheme="majorHAnsi" w:hAnsiTheme="majorHAnsi" w:cs="Arial"/>
          <w:sz w:val="20"/>
          <w:szCs w:val="20"/>
          <w:lang w:val="es-ES"/>
        </w:rPr>
        <w:t xml:space="preserve"> (</w:t>
      </w:r>
      <w:r w:rsidR="00BD45C0" w:rsidRPr="007F3D68">
        <w:rPr>
          <w:rFonts w:asciiTheme="majorHAnsi" w:eastAsia="Calibri" w:hAnsiTheme="majorHAnsi"/>
          <w:sz w:val="20"/>
          <w:szCs w:val="20"/>
          <w:lang w:val="es-VE"/>
        </w:rPr>
        <w:t>en adelante “la Convención” o “la Convención Americana”) en perjuicio de Tirso Román Valenzuela Ávila</w:t>
      </w:r>
      <w:r w:rsidR="009820EC" w:rsidRPr="007F3D68">
        <w:rPr>
          <w:rFonts w:asciiTheme="majorHAnsi" w:eastAsia="Calibri" w:hAnsiTheme="majorHAnsi"/>
          <w:sz w:val="20"/>
          <w:szCs w:val="20"/>
          <w:lang w:val="es-VE"/>
        </w:rPr>
        <w:t xml:space="preserve"> y sus familiares</w:t>
      </w:r>
      <w:r w:rsidR="00562587" w:rsidRPr="007F3D68">
        <w:rPr>
          <w:rFonts w:asciiTheme="majorHAnsi" w:eastAsia="Calibri" w:hAnsiTheme="majorHAnsi"/>
          <w:sz w:val="20"/>
          <w:szCs w:val="20"/>
          <w:lang w:val="es-VE"/>
        </w:rPr>
        <w:t>.</w:t>
      </w:r>
    </w:p>
    <w:p w:rsidR="00BD45C0" w:rsidRPr="007F3D68" w:rsidRDefault="00BD45C0" w:rsidP="00BD45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Arial"/>
          <w:sz w:val="20"/>
          <w:szCs w:val="20"/>
          <w:lang w:val="es-ES"/>
        </w:rPr>
      </w:pPr>
    </w:p>
    <w:p w:rsidR="001339BA" w:rsidRPr="007F3D68" w:rsidRDefault="0001417B" w:rsidP="00BD45C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s="Arial"/>
          <w:sz w:val="20"/>
          <w:szCs w:val="20"/>
          <w:lang w:val="es-ES"/>
        </w:rPr>
      </w:pPr>
      <w:r w:rsidRPr="007F3D68">
        <w:rPr>
          <w:rFonts w:asciiTheme="majorHAnsi" w:hAnsiTheme="majorHAnsi" w:cs="Arial"/>
          <w:sz w:val="20"/>
          <w:szCs w:val="20"/>
          <w:lang w:val="es-ES"/>
        </w:rPr>
        <w:t>Los  peticionarios</w:t>
      </w:r>
      <w:r w:rsidR="00BD45C0" w:rsidRPr="007F3D68">
        <w:rPr>
          <w:rFonts w:asciiTheme="majorHAnsi" w:hAnsiTheme="majorHAnsi" w:cs="Arial"/>
          <w:sz w:val="20"/>
          <w:szCs w:val="20"/>
          <w:lang w:val="es-ES"/>
        </w:rPr>
        <w:t xml:space="preserve"> denunciaron una serie de violaciones al debido proceso en el marco del proceso penal que condujo a la condena a la pena de muerte de la presunta víctima. Asimismo, alegaron que</w:t>
      </w:r>
      <w:r w:rsidR="00562587" w:rsidRPr="007F3D68">
        <w:rPr>
          <w:rFonts w:asciiTheme="majorHAnsi" w:hAnsiTheme="majorHAnsi" w:cs="Arial"/>
          <w:sz w:val="20"/>
          <w:szCs w:val="20"/>
          <w:lang w:val="es-ES"/>
        </w:rPr>
        <w:t xml:space="preserve"> el señor Valenzuela Ávila </w:t>
      </w:r>
      <w:r w:rsidR="00BD45C0" w:rsidRPr="007F3D68">
        <w:rPr>
          <w:rFonts w:asciiTheme="majorHAnsi" w:hAnsiTheme="majorHAnsi" w:cs="Arial"/>
          <w:sz w:val="20"/>
          <w:szCs w:val="20"/>
          <w:lang w:val="es-ES"/>
        </w:rPr>
        <w:t xml:space="preserve">sufrió torturas en diversos momentos mientras se encontraba privada de libertad. </w:t>
      </w:r>
      <w:r w:rsidR="00562587" w:rsidRPr="007F3D68">
        <w:rPr>
          <w:rFonts w:asciiTheme="majorHAnsi" w:hAnsiTheme="majorHAnsi" w:cs="Arial"/>
          <w:sz w:val="20"/>
          <w:szCs w:val="20"/>
          <w:lang w:val="es-ES"/>
        </w:rPr>
        <w:t>Además, d</w:t>
      </w:r>
      <w:r w:rsidR="001339BA" w:rsidRPr="007F3D68">
        <w:rPr>
          <w:rFonts w:asciiTheme="majorHAnsi" w:hAnsiTheme="majorHAnsi" w:cs="Arial"/>
          <w:sz w:val="20"/>
          <w:szCs w:val="20"/>
          <w:lang w:val="es-ES"/>
        </w:rPr>
        <w:t xml:space="preserve">enunciaron </w:t>
      </w:r>
      <w:r w:rsidR="00562587" w:rsidRPr="007F3D68">
        <w:rPr>
          <w:rFonts w:asciiTheme="majorHAnsi" w:hAnsiTheme="majorHAnsi" w:cs="Arial"/>
          <w:sz w:val="20"/>
          <w:szCs w:val="20"/>
          <w:lang w:val="es-ES"/>
        </w:rPr>
        <w:t xml:space="preserve">que la presunta víctima fue ejecutada </w:t>
      </w:r>
      <w:r w:rsidR="001339BA" w:rsidRPr="007F3D68">
        <w:rPr>
          <w:rFonts w:asciiTheme="majorHAnsi" w:hAnsiTheme="majorHAnsi" w:cs="Arial"/>
          <w:sz w:val="20"/>
          <w:szCs w:val="20"/>
          <w:lang w:val="es-ES"/>
        </w:rPr>
        <w:t>extrajudicial</w:t>
      </w:r>
      <w:r w:rsidR="00562587" w:rsidRPr="007F3D68">
        <w:rPr>
          <w:rFonts w:asciiTheme="majorHAnsi" w:hAnsiTheme="majorHAnsi" w:cs="Arial"/>
          <w:sz w:val="20"/>
          <w:szCs w:val="20"/>
          <w:lang w:val="es-ES"/>
        </w:rPr>
        <w:t>mente</w:t>
      </w:r>
      <w:r w:rsidR="001339BA" w:rsidRPr="007F3D68">
        <w:rPr>
          <w:rFonts w:asciiTheme="majorHAnsi" w:hAnsiTheme="majorHAnsi" w:cs="Arial"/>
          <w:sz w:val="20"/>
          <w:szCs w:val="20"/>
          <w:lang w:val="es-ES"/>
        </w:rPr>
        <w:t xml:space="preserve">, tras fugarse de prisión en el 2005. </w:t>
      </w:r>
    </w:p>
    <w:p w:rsidR="001339BA" w:rsidRPr="007F3D68" w:rsidRDefault="001339BA" w:rsidP="001339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ES"/>
        </w:rPr>
      </w:pPr>
    </w:p>
    <w:p w:rsidR="008A6BA9" w:rsidRPr="007F3D68" w:rsidRDefault="001339BA" w:rsidP="008A6BA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7F3D68">
        <w:rPr>
          <w:rFonts w:asciiTheme="majorHAnsi" w:eastAsia="Calibri" w:hAnsiTheme="majorHAnsi"/>
          <w:sz w:val="20"/>
          <w:szCs w:val="20"/>
          <w:lang w:val="es-VE"/>
        </w:rPr>
        <w:t xml:space="preserve">El Estado </w:t>
      </w:r>
      <w:r w:rsidR="00D76E90" w:rsidRPr="007F3D68">
        <w:rPr>
          <w:rFonts w:asciiTheme="majorHAnsi" w:eastAsia="Calibri" w:hAnsiTheme="majorHAnsi"/>
          <w:sz w:val="20"/>
          <w:szCs w:val="20"/>
          <w:lang w:val="es-VE"/>
        </w:rPr>
        <w:t>guatemalteco</w:t>
      </w:r>
      <w:r w:rsidR="006A39D3" w:rsidRPr="007F3D68">
        <w:rPr>
          <w:rFonts w:asciiTheme="majorHAnsi" w:eastAsia="Calibri" w:hAnsiTheme="majorHAnsi"/>
          <w:sz w:val="20"/>
          <w:szCs w:val="20"/>
          <w:lang w:val="es-VE"/>
        </w:rPr>
        <w:t xml:space="preserve"> </w:t>
      </w:r>
      <w:r w:rsidR="00D76E90" w:rsidRPr="007F3D68">
        <w:rPr>
          <w:rFonts w:asciiTheme="majorHAnsi" w:eastAsia="Calibri" w:hAnsiTheme="majorHAnsi"/>
          <w:sz w:val="20"/>
          <w:szCs w:val="20"/>
          <w:lang w:val="es-VE"/>
        </w:rPr>
        <w:t xml:space="preserve">argumentó que </w:t>
      </w:r>
      <w:r w:rsidR="00F76224" w:rsidRPr="007F3D68">
        <w:rPr>
          <w:rFonts w:asciiTheme="majorHAnsi" w:eastAsia="Calibri" w:hAnsiTheme="majorHAnsi"/>
          <w:sz w:val="20"/>
          <w:szCs w:val="20"/>
          <w:lang w:val="es-VE"/>
        </w:rPr>
        <w:t xml:space="preserve">la presunta víctima fue condenada a la pena de muerte </w:t>
      </w:r>
      <w:r w:rsidR="005878C3" w:rsidRPr="007F3D68">
        <w:rPr>
          <w:rFonts w:asciiTheme="majorHAnsi" w:eastAsia="Calibri" w:hAnsiTheme="majorHAnsi"/>
          <w:sz w:val="20"/>
          <w:szCs w:val="20"/>
          <w:lang w:val="es-VE"/>
        </w:rPr>
        <w:t xml:space="preserve">en cumplimiento de </w:t>
      </w:r>
      <w:r w:rsidR="00F76224" w:rsidRPr="007F3D68">
        <w:rPr>
          <w:rFonts w:asciiTheme="majorHAnsi" w:eastAsia="Calibri" w:hAnsiTheme="majorHAnsi"/>
          <w:sz w:val="20"/>
          <w:szCs w:val="20"/>
          <w:lang w:val="es-VE"/>
        </w:rPr>
        <w:t xml:space="preserve">todas las garantías de debido proceso. Asimismo, negó las denuncias de tortura y la supuesta ejecución extrajudicial de la presunta víctima luego de fugarse de prisión, indicando que su muerte se dio en el contexto de un enfrentamiento entre miembros del crimen organizado. </w:t>
      </w:r>
    </w:p>
    <w:p w:rsidR="008A6BA9" w:rsidRPr="007F3D68" w:rsidRDefault="008A6BA9" w:rsidP="008A6BA9">
      <w:pPr>
        <w:pStyle w:val="ListParagraph"/>
        <w:rPr>
          <w:rFonts w:asciiTheme="majorHAnsi" w:eastAsia="Calibri" w:hAnsiTheme="majorHAnsi"/>
          <w:sz w:val="20"/>
          <w:szCs w:val="20"/>
          <w:lang w:val="es-VE"/>
        </w:rPr>
      </w:pPr>
    </w:p>
    <w:p w:rsidR="00ED6FBD" w:rsidRPr="007F3D68" w:rsidRDefault="00D728F8" w:rsidP="00ED4C7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7F3D68">
        <w:rPr>
          <w:rFonts w:asciiTheme="majorHAnsi" w:eastAsia="Calibri" w:hAnsiTheme="majorHAnsi"/>
          <w:sz w:val="20"/>
          <w:szCs w:val="20"/>
          <w:lang w:val="es-VE"/>
        </w:rPr>
        <w:t xml:space="preserve">Tras analizar las posiciones de las partes, </w:t>
      </w:r>
      <w:r w:rsidR="00ED4C70" w:rsidRPr="007F3D68">
        <w:rPr>
          <w:rFonts w:asciiTheme="majorHAnsi" w:eastAsia="Calibri" w:hAnsiTheme="majorHAnsi"/>
          <w:sz w:val="20"/>
          <w:szCs w:val="20"/>
          <w:lang w:val="es-VE"/>
        </w:rPr>
        <w:t>l</w:t>
      </w:r>
      <w:r w:rsidR="00730FE2" w:rsidRPr="007F3D68">
        <w:rPr>
          <w:rFonts w:ascii="Cambria" w:hAnsi="Cambria"/>
          <w:sz w:val="20"/>
          <w:szCs w:val="20"/>
          <w:lang w:val="es-MX"/>
        </w:rPr>
        <w:t>a Comisión concluyó</w:t>
      </w:r>
      <w:r w:rsidR="00ED6FBD" w:rsidRPr="007F3D68">
        <w:rPr>
          <w:rFonts w:ascii="Cambria" w:hAnsi="Cambria"/>
          <w:sz w:val="20"/>
          <w:szCs w:val="20"/>
          <w:lang w:val="es-MX"/>
        </w:rPr>
        <w:t xml:space="preserve"> que el Estado de Guatemala es responsable por la violación de los derechos a la vida, a la integridad personal, a las garantías judiciales, al principio de legalidad y a la protección judicial establecidos en los artículos 4.1, 4.2, 5.1, 5.2, 8.1, 8.2 </w:t>
      </w:r>
      <w:r w:rsidR="00880B77" w:rsidRPr="007F3D68">
        <w:rPr>
          <w:rFonts w:ascii="Cambria" w:hAnsi="Cambria"/>
          <w:sz w:val="20"/>
          <w:szCs w:val="20"/>
          <w:lang w:val="es-MX"/>
        </w:rPr>
        <w:t xml:space="preserve">g), </w:t>
      </w:r>
      <w:r w:rsidR="00ED6FBD" w:rsidRPr="007F3D68">
        <w:rPr>
          <w:rFonts w:ascii="Cambria" w:hAnsi="Cambria"/>
          <w:sz w:val="20"/>
          <w:szCs w:val="20"/>
          <w:lang w:val="es-MX"/>
        </w:rPr>
        <w:t>h)</w:t>
      </w:r>
      <w:r w:rsidR="00F97C9B" w:rsidRPr="007F3D68">
        <w:rPr>
          <w:rFonts w:ascii="Cambria" w:hAnsi="Cambria"/>
          <w:sz w:val="20"/>
          <w:szCs w:val="20"/>
          <w:lang w:val="es-MX"/>
        </w:rPr>
        <w:t>,</w:t>
      </w:r>
      <w:r w:rsidR="00880B77" w:rsidRPr="007F3D68">
        <w:rPr>
          <w:rFonts w:ascii="Cambria" w:hAnsi="Cambria"/>
          <w:sz w:val="20"/>
          <w:szCs w:val="20"/>
          <w:lang w:val="es-MX"/>
        </w:rPr>
        <w:t xml:space="preserve"> 8.3,</w:t>
      </w:r>
      <w:r w:rsidR="00ED6FBD" w:rsidRPr="007F3D68">
        <w:rPr>
          <w:rFonts w:ascii="Cambria" w:hAnsi="Cambria"/>
          <w:sz w:val="20"/>
          <w:szCs w:val="20"/>
          <w:lang w:val="es-MX"/>
        </w:rPr>
        <w:t xml:space="preserve"> 9</w:t>
      </w:r>
      <w:r w:rsidR="00880B77" w:rsidRPr="007F3D68">
        <w:rPr>
          <w:rFonts w:ascii="Cambria" w:hAnsi="Cambria"/>
          <w:sz w:val="20"/>
          <w:szCs w:val="20"/>
          <w:lang w:val="es-MX"/>
        </w:rPr>
        <w:t xml:space="preserve">, </w:t>
      </w:r>
      <w:r w:rsidR="00880B77" w:rsidRPr="007E62A4">
        <w:rPr>
          <w:rFonts w:ascii="Cambria" w:hAnsi="Cambria"/>
          <w:sz w:val="20"/>
          <w:szCs w:val="20"/>
          <w:lang w:val="es-MX"/>
        </w:rPr>
        <w:t>11</w:t>
      </w:r>
      <w:r w:rsidR="00ED6FBD" w:rsidRPr="007E62A4">
        <w:rPr>
          <w:rFonts w:ascii="Cambria" w:hAnsi="Cambria"/>
          <w:sz w:val="20"/>
          <w:szCs w:val="20"/>
          <w:lang w:val="es-MX"/>
        </w:rPr>
        <w:t xml:space="preserve"> y 25.1 de la Convención Americana en relación con las obligaciones establecidas en los artículos 1.1 y 2 del mismo instrumento, en perjuicio de Tirso Román Valenzuela Ávila. La Comisión también concluy</w:t>
      </w:r>
      <w:r w:rsidR="00730FE2" w:rsidRPr="007E62A4">
        <w:rPr>
          <w:rFonts w:ascii="Cambria" w:hAnsi="Cambria"/>
          <w:sz w:val="20"/>
          <w:szCs w:val="20"/>
          <w:lang w:val="es-MX"/>
        </w:rPr>
        <w:t>ó</w:t>
      </w:r>
      <w:r w:rsidR="00ED6FBD" w:rsidRPr="007E62A4">
        <w:rPr>
          <w:rFonts w:ascii="Cambria" w:hAnsi="Cambria"/>
          <w:sz w:val="20"/>
          <w:szCs w:val="20"/>
          <w:lang w:val="es-MX"/>
        </w:rPr>
        <w:t xml:space="preserve"> que el Estado de Guatemala es responsable por la violación de los derechos a la integridad personal, garantías judiciales y protección judicial establecidos en los artículos 5.1, 8.1 y 25.1 de la Convención Americana en relación con las obligaciones establecidas en el artículo 1.1 del mismo instrumento, en perjuicio de los familiares de Tirso Román Valenzuela Ávila. Finalmente, la</w:t>
      </w:r>
      <w:r w:rsidR="00730FE2" w:rsidRPr="007E62A4">
        <w:rPr>
          <w:rFonts w:ascii="Cambria" w:hAnsi="Cambria"/>
          <w:sz w:val="20"/>
          <w:szCs w:val="20"/>
          <w:lang w:val="es-MX"/>
        </w:rPr>
        <w:t xml:space="preserve"> Comisión concluyó</w:t>
      </w:r>
      <w:r w:rsidR="00ED6FBD" w:rsidRPr="007E62A4">
        <w:rPr>
          <w:rFonts w:ascii="Cambria" w:hAnsi="Cambria"/>
          <w:sz w:val="20"/>
          <w:szCs w:val="20"/>
          <w:lang w:val="es-MX"/>
        </w:rPr>
        <w:t xml:space="preserve"> que el Estado de Guatemala violó l</w:t>
      </w:r>
      <w:r w:rsidR="00427F30" w:rsidRPr="007E62A4">
        <w:rPr>
          <w:rFonts w:ascii="Cambria" w:hAnsi="Cambria"/>
          <w:sz w:val="20"/>
          <w:szCs w:val="20"/>
          <w:lang w:val="es-MX"/>
        </w:rPr>
        <w:t xml:space="preserve">os artículos 1, 6, </w:t>
      </w:r>
      <w:r w:rsidR="00ED6FBD" w:rsidRPr="007E62A4">
        <w:rPr>
          <w:rFonts w:ascii="Cambria" w:hAnsi="Cambria"/>
          <w:sz w:val="20"/>
          <w:szCs w:val="20"/>
          <w:lang w:val="es-MX"/>
        </w:rPr>
        <w:t xml:space="preserve">8 </w:t>
      </w:r>
      <w:r w:rsidR="00427F30" w:rsidRPr="007E62A4">
        <w:rPr>
          <w:rFonts w:ascii="Cambria" w:hAnsi="Cambria"/>
          <w:sz w:val="20"/>
          <w:szCs w:val="20"/>
          <w:lang w:val="es-MX"/>
        </w:rPr>
        <w:t>y 10</w:t>
      </w:r>
      <w:r w:rsidR="00147FBF" w:rsidRPr="007F3D68">
        <w:rPr>
          <w:rFonts w:ascii="Cambria" w:hAnsi="Cambria"/>
          <w:sz w:val="20"/>
          <w:szCs w:val="20"/>
          <w:lang w:val="es-MX"/>
        </w:rPr>
        <w:t xml:space="preserve"> </w:t>
      </w:r>
      <w:r w:rsidR="00ED6FBD" w:rsidRPr="007F3D68">
        <w:rPr>
          <w:rFonts w:ascii="Cambria" w:hAnsi="Cambria"/>
          <w:sz w:val="20"/>
          <w:szCs w:val="20"/>
          <w:lang w:val="es-MX"/>
        </w:rPr>
        <w:t xml:space="preserve">de la Convención Interamericana para Prevenir y Sancionar la Tortura. </w:t>
      </w:r>
      <w:r w:rsidR="00E22EAD" w:rsidRPr="007F3D68">
        <w:rPr>
          <w:rFonts w:ascii="Cambria" w:hAnsi="Cambria"/>
          <w:sz w:val="20"/>
          <w:szCs w:val="20"/>
          <w:lang w:val="es-MX"/>
        </w:rPr>
        <w:t>La Comisión formuló las recomendaciones respectivas</w:t>
      </w:r>
      <w:r w:rsidR="003F6F0C" w:rsidRPr="007F3D68">
        <w:rPr>
          <w:rFonts w:ascii="Cambria" w:hAnsi="Cambria"/>
          <w:sz w:val="20"/>
          <w:szCs w:val="20"/>
          <w:lang w:val="es-MX"/>
        </w:rPr>
        <w:t>.</w:t>
      </w:r>
    </w:p>
    <w:p w:rsidR="008A6BA9" w:rsidRPr="007F3D68" w:rsidRDefault="008A6BA9" w:rsidP="008A6BA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67281D" w:rsidRPr="007F3D68" w:rsidRDefault="00E40449" w:rsidP="007014EB">
      <w:pPr>
        <w:pStyle w:val="Heading1"/>
        <w:numPr>
          <w:ilvl w:val="0"/>
          <w:numId w:val="55"/>
        </w:numPr>
        <w:tabs>
          <w:tab w:val="clear" w:pos="1440"/>
        </w:tabs>
      </w:pPr>
      <w:bookmarkStart w:id="11" w:name="_Toc370840744"/>
      <w:bookmarkStart w:id="12" w:name="_Toc370840840"/>
      <w:bookmarkStart w:id="13" w:name="_Toc423514406"/>
      <w:bookmarkStart w:id="14" w:name="_Toc433115982"/>
      <w:bookmarkStart w:id="15" w:name="_Toc444958125"/>
      <w:bookmarkStart w:id="16" w:name="_Toc475546036"/>
      <w:bookmarkStart w:id="17" w:name="_Toc495479528"/>
      <w:r w:rsidRPr="007F3D68">
        <w:t xml:space="preserve">TRÁMITE ANTE LA </w:t>
      </w:r>
      <w:bookmarkStart w:id="18" w:name="_Toc370840745"/>
      <w:bookmarkStart w:id="19" w:name="_Toc370840841"/>
      <w:bookmarkEnd w:id="11"/>
      <w:bookmarkEnd w:id="12"/>
      <w:r w:rsidRPr="007F3D68">
        <w:t>COMISIÓN</w:t>
      </w:r>
      <w:bookmarkEnd w:id="13"/>
      <w:bookmarkEnd w:id="14"/>
      <w:bookmarkEnd w:id="15"/>
      <w:bookmarkEnd w:id="16"/>
      <w:bookmarkEnd w:id="17"/>
    </w:p>
    <w:p w:rsidR="00405A3D" w:rsidRPr="007F3D68" w:rsidRDefault="00405A3D" w:rsidP="00405A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ES"/>
        </w:rPr>
      </w:pPr>
    </w:p>
    <w:p w:rsidR="00F25D69" w:rsidRPr="007F3D68" w:rsidRDefault="007014EB" w:rsidP="00405A3D">
      <w:pPr>
        <w:pStyle w:val="ListParagraph"/>
        <w:numPr>
          <w:ilvl w:val="0"/>
          <w:numId w:val="60"/>
        </w:numPr>
        <w:ind w:left="1440" w:hanging="720"/>
        <w:rPr>
          <w:rFonts w:asciiTheme="majorHAnsi" w:hAnsiTheme="majorHAnsi"/>
          <w:b/>
          <w:sz w:val="20"/>
          <w:szCs w:val="20"/>
          <w:lang w:val="es-ES"/>
        </w:rPr>
      </w:pPr>
      <w:r w:rsidRPr="007F3D68">
        <w:rPr>
          <w:rFonts w:asciiTheme="majorHAnsi" w:hAnsiTheme="majorHAnsi"/>
          <w:b/>
          <w:sz w:val="20"/>
          <w:szCs w:val="20"/>
          <w:lang w:val="es-ES"/>
        </w:rPr>
        <w:t xml:space="preserve">Trámite del caso desde el informe de admisibilidad </w:t>
      </w:r>
    </w:p>
    <w:p w:rsidR="00F25D69" w:rsidRPr="007F3D68" w:rsidRDefault="00F25D69" w:rsidP="00530ED5">
      <w:pPr>
        <w:rPr>
          <w:rFonts w:asciiTheme="majorHAnsi" w:hAnsiTheme="majorHAnsi"/>
          <w:sz w:val="20"/>
          <w:szCs w:val="20"/>
          <w:lang w:val="es-ES"/>
        </w:rPr>
      </w:pPr>
    </w:p>
    <w:p w:rsidR="00EA4FFC" w:rsidRPr="007F3D68" w:rsidRDefault="00C00CFE" w:rsidP="00EA4F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El 5 de octubre de 2001</w:t>
      </w:r>
      <w:r w:rsidR="00EA4FFC" w:rsidRPr="007F3D68">
        <w:rPr>
          <w:rFonts w:ascii="Cambria" w:hAnsi="Cambria"/>
          <w:sz w:val="20"/>
          <w:szCs w:val="20"/>
          <w:lang w:val="es-VE"/>
        </w:rPr>
        <w:t xml:space="preserve"> la Comisión recibió la petición y la registró bajo el número</w:t>
      </w:r>
      <w:r w:rsidRPr="007F3D68">
        <w:rPr>
          <w:rFonts w:ascii="Cambria" w:hAnsi="Cambria"/>
          <w:sz w:val="20"/>
          <w:szCs w:val="20"/>
          <w:lang w:val="es-VE"/>
        </w:rPr>
        <w:t xml:space="preserve"> 723/</w:t>
      </w:r>
      <w:r w:rsidR="00A67672" w:rsidRPr="007F3D68">
        <w:rPr>
          <w:rFonts w:ascii="Cambria" w:hAnsi="Cambria"/>
          <w:sz w:val="20"/>
          <w:szCs w:val="20"/>
          <w:lang w:val="es-VE"/>
        </w:rPr>
        <w:t xml:space="preserve">01. </w:t>
      </w:r>
      <w:r w:rsidR="00EA4FFC" w:rsidRPr="007F3D68">
        <w:rPr>
          <w:rFonts w:ascii="Cambria" w:hAnsi="Cambria"/>
          <w:sz w:val="20"/>
          <w:szCs w:val="20"/>
          <w:lang w:val="es-VE"/>
        </w:rPr>
        <w:t>El trámite hasta la decisión sobre admisibilidad se encuentra explicado en detalle en el Informe No. 24/04 de 26 de febrero de 2004</w:t>
      </w:r>
      <w:r w:rsidR="00EA4FFC" w:rsidRPr="007F3D68">
        <w:rPr>
          <w:rStyle w:val="FootnoteReference"/>
          <w:rFonts w:asciiTheme="majorHAnsi" w:eastAsia="Calibri" w:hAnsiTheme="majorHAnsi"/>
          <w:sz w:val="20"/>
          <w:szCs w:val="20"/>
          <w:lang w:val="es-VE"/>
        </w:rPr>
        <w:footnoteReference w:id="2"/>
      </w:r>
      <w:r w:rsidR="00EA4FFC" w:rsidRPr="007F3D68">
        <w:rPr>
          <w:rFonts w:ascii="Cambria" w:hAnsi="Cambria"/>
          <w:sz w:val="20"/>
          <w:szCs w:val="20"/>
          <w:lang w:val="es-VE"/>
        </w:rPr>
        <w:t xml:space="preserve">. En dicho informe la CIDH declaró la petición admisible en cuanto a la posible violación de los derechos consagrados en los artículos 1.1, </w:t>
      </w:r>
      <w:r w:rsidR="00EA4FFC" w:rsidRPr="007F3D68">
        <w:rPr>
          <w:rFonts w:ascii="Cambria" w:hAnsi="Cambria"/>
          <w:sz w:val="20"/>
          <w:szCs w:val="20"/>
          <w:lang w:val="es-MX"/>
        </w:rPr>
        <w:t xml:space="preserve">5, 8 y 25 </w:t>
      </w:r>
      <w:r w:rsidR="00EA4FFC" w:rsidRPr="007F3D68">
        <w:rPr>
          <w:rFonts w:ascii="Cambria" w:hAnsi="Cambria"/>
          <w:sz w:val="20"/>
          <w:szCs w:val="20"/>
          <w:lang w:val="es-VE"/>
        </w:rPr>
        <w:t>de la Convención Americana y los artículos 1, 8 y 9 de la Convención Interamerican</w:t>
      </w:r>
      <w:r w:rsidR="006E623C" w:rsidRPr="007F3D68">
        <w:rPr>
          <w:rFonts w:ascii="Cambria" w:hAnsi="Cambria"/>
          <w:sz w:val="20"/>
          <w:szCs w:val="20"/>
          <w:lang w:val="es-VE"/>
        </w:rPr>
        <w:t>a para Prevenir y Sancionar la T</w:t>
      </w:r>
      <w:r w:rsidR="00EA4FFC" w:rsidRPr="007F3D68">
        <w:rPr>
          <w:rFonts w:ascii="Cambria" w:hAnsi="Cambria"/>
          <w:sz w:val="20"/>
          <w:szCs w:val="20"/>
          <w:lang w:val="es-VE"/>
        </w:rPr>
        <w:t>ortura.</w:t>
      </w:r>
    </w:p>
    <w:p w:rsidR="00445262" w:rsidRPr="007F3D68" w:rsidRDefault="00445262" w:rsidP="004452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445262" w:rsidRPr="007F3D68" w:rsidRDefault="00445262" w:rsidP="00EA4F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El informe de admisib</w:t>
      </w:r>
      <w:r w:rsidR="0056682E">
        <w:rPr>
          <w:rFonts w:ascii="Cambria" w:hAnsi="Cambria"/>
          <w:sz w:val="20"/>
          <w:szCs w:val="20"/>
          <w:lang w:val="es-VE"/>
        </w:rPr>
        <w:t>i</w:t>
      </w:r>
      <w:r w:rsidRPr="007F3D68">
        <w:rPr>
          <w:rFonts w:ascii="Cambria" w:hAnsi="Cambria"/>
          <w:sz w:val="20"/>
          <w:szCs w:val="20"/>
          <w:lang w:val="es-VE"/>
        </w:rPr>
        <w:t xml:space="preserve">lidad fue transmitido a los peticionarios el </w:t>
      </w:r>
      <w:r w:rsidR="001F1482" w:rsidRPr="007F3D68">
        <w:rPr>
          <w:rFonts w:ascii="Cambria" w:hAnsi="Cambria"/>
          <w:sz w:val="20"/>
          <w:szCs w:val="20"/>
          <w:lang w:val="es-VE"/>
        </w:rPr>
        <w:t>12 de marzo de 2004</w:t>
      </w:r>
      <w:r w:rsidRPr="007F3D68">
        <w:rPr>
          <w:rFonts w:ascii="Cambria" w:hAnsi="Cambria"/>
          <w:sz w:val="20"/>
          <w:szCs w:val="20"/>
          <w:lang w:val="es-VE"/>
        </w:rPr>
        <w:t xml:space="preserve">.  El 19 de julio de 2004 los peticionarios presentaron sus observaciones adicionales sobre el fondo, la cuales fueron </w:t>
      </w:r>
      <w:r w:rsidRPr="007F3D68">
        <w:rPr>
          <w:rFonts w:ascii="Cambria" w:hAnsi="Cambria"/>
          <w:sz w:val="20"/>
          <w:szCs w:val="20"/>
          <w:lang w:val="es-VE"/>
        </w:rPr>
        <w:lastRenderedPageBreak/>
        <w:t>trasladadas al Estado en la misma fecha,</w:t>
      </w:r>
      <w:r w:rsidR="0093271E" w:rsidRPr="007F3D68">
        <w:rPr>
          <w:rFonts w:ascii="Cambria" w:hAnsi="Cambria"/>
          <w:sz w:val="20"/>
          <w:szCs w:val="20"/>
          <w:lang w:val="es-VE"/>
        </w:rPr>
        <w:t xml:space="preserve"> </w:t>
      </w:r>
      <w:r w:rsidR="00E40742" w:rsidRPr="007F3D68">
        <w:rPr>
          <w:rFonts w:ascii="Cambria" w:hAnsi="Cambria"/>
          <w:sz w:val="20"/>
          <w:szCs w:val="20"/>
          <w:lang w:val="es-VE"/>
        </w:rPr>
        <w:t xml:space="preserve">por el plazo de dos meses. </w:t>
      </w:r>
      <w:r w:rsidRPr="007F3D68">
        <w:rPr>
          <w:rFonts w:ascii="Cambria" w:hAnsi="Cambria"/>
          <w:sz w:val="20"/>
          <w:szCs w:val="20"/>
          <w:lang w:val="es-VE"/>
        </w:rPr>
        <w:t>El Estado presentó sus observaciones sobre el fondo mediante comunicación de 27 de mayo de 2005.</w:t>
      </w:r>
    </w:p>
    <w:p w:rsidR="00445262" w:rsidRPr="007F3D68" w:rsidRDefault="00445262" w:rsidP="004452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725AF5" w:rsidRPr="007F3D68" w:rsidRDefault="00445262" w:rsidP="0093271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Con posterioridad, los peticionarios alegaron como hecho superviniente la violación del derecho a la vida de la presunta víctima derivado de su supuesta ejecu</w:t>
      </w:r>
      <w:r w:rsidR="00EC2F58" w:rsidRPr="007F3D68">
        <w:rPr>
          <w:rFonts w:ascii="Cambria" w:hAnsi="Cambria"/>
          <w:sz w:val="20"/>
          <w:szCs w:val="20"/>
          <w:lang w:val="es-VE"/>
        </w:rPr>
        <w:t>c</w:t>
      </w:r>
      <w:r w:rsidRPr="007F3D68">
        <w:rPr>
          <w:rFonts w:ascii="Cambria" w:hAnsi="Cambria"/>
          <w:sz w:val="20"/>
          <w:szCs w:val="20"/>
          <w:lang w:val="es-VE"/>
        </w:rPr>
        <w:t>ión extrajudicial, ocurrida el 8 de diciembre de 2006. En virtud de lo anterior, el 8 de diciembre de 2016 la CIDH concedió un plazo adicional de</w:t>
      </w:r>
      <w:r w:rsidR="006E623C" w:rsidRPr="007F3D68">
        <w:rPr>
          <w:rFonts w:ascii="Cambria" w:hAnsi="Cambria"/>
          <w:sz w:val="20"/>
          <w:szCs w:val="20"/>
          <w:lang w:val="es-VE"/>
        </w:rPr>
        <w:t xml:space="preserve"> </w:t>
      </w:r>
      <w:r w:rsidR="007F498F" w:rsidRPr="007F3D68">
        <w:rPr>
          <w:rFonts w:ascii="Cambria" w:hAnsi="Cambria"/>
          <w:sz w:val="20"/>
          <w:szCs w:val="20"/>
          <w:lang w:val="es-VE"/>
        </w:rPr>
        <w:t>cuatro</w:t>
      </w:r>
      <w:r w:rsidRPr="007F3D68">
        <w:rPr>
          <w:rFonts w:ascii="Cambria" w:hAnsi="Cambria"/>
          <w:sz w:val="20"/>
          <w:szCs w:val="20"/>
          <w:lang w:val="es-VE"/>
        </w:rPr>
        <w:t xml:space="preserve"> m</w:t>
      </w:r>
      <w:r w:rsidR="0093271E" w:rsidRPr="007F3D68">
        <w:rPr>
          <w:rFonts w:ascii="Cambria" w:hAnsi="Cambria"/>
          <w:sz w:val="20"/>
          <w:szCs w:val="20"/>
          <w:lang w:val="es-VE"/>
        </w:rPr>
        <w:t>eses al Estado para que present</w:t>
      </w:r>
      <w:r w:rsidR="00960C14" w:rsidRPr="007F3D68">
        <w:rPr>
          <w:rFonts w:ascii="Cambria" w:hAnsi="Cambria"/>
          <w:sz w:val="20"/>
          <w:szCs w:val="20"/>
          <w:lang w:val="es-VE"/>
        </w:rPr>
        <w:t>ara</w:t>
      </w:r>
      <w:r w:rsidRPr="007F3D68">
        <w:rPr>
          <w:rFonts w:ascii="Cambria" w:hAnsi="Cambria"/>
          <w:sz w:val="20"/>
          <w:szCs w:val="20"/>
          <w:lang w:val="es-VE"/>
        </w:rPr>
        <w:t xml:space="preserve"> sus observ</w:t>
      </w:r>
      <w:r w:rsidR="002C51E2" w:rsidRPr="007F3D68">
        <w:rPr>
          <w:rFonts w:ascii="Cambria" w:hAnsi="Cambria"/>
          <w:sz w:val="20"/>
          <w:szCs w:val="20"/>
          <w:lang w:val="es-VE"/>
        </w:rPr>
        <w:t xml:space="preserve">aciones sobre la admisibilidad </w:t>
      </w:r>
      <w:r w:rsidR="0093271E" w:rsidRPr="007F3D68">
        <w:rPr>
          <w:rFonts w:ascii="Cambria" w:hAnsi="Cambria"/>
          <w:sz w:val="20"/>
          <w:szCs w:val="20"/>
          <w:lang w:val="es-VE"/>
        </w:rPr>
        <w:t xml:space="preserve">y </w:t>
      </w:r>
      <w:r w:rsidR="002C51E2" w:rsidRPr="007F3D68">
        <w:rPr>
          <w:rFonts w:ascii="Cambria" w:hAnsi="Cambria"/>
          <w:sz w:val="20"/>
          <w:szCs w:val="20"/>
          <w:lang w:val="es-VE"/>
        </w:rPr>
        <w:t xml:space="preserve">fondo de dicho reclamo. </w:t>
      </w:r>
      <w:r w:rsidRPr="007F3D68">
        <w:rPr>
          <w:rFonts w:ascii="Cambria" w:hAnsi="Cambria"/>
          <w:sz w:val="20"/>
          <w:szCs w:val="20"/>
          <w:lang w:val="es-VE"/>
        </w:rPr>
        <w:t xml:space="preserve">El </w:t>
      </w:r>
      <w:r w:rsidR="003D1A7D" w:rsidRPr="007F3D68">
        <w:rPr>
          <w:rFonts w:ascii="Cambria" w:hAnsi="Cambria"/>
          <w:sz w:val="20"/>
          <w:szCs w:val="20"/>
          <w:lang w:val="es-VE"/>
        </w:rPr>
        <w:t>10</w:t>
      </w:r>
      <w:r w:rsidRPr="007F3D68">
        <w:rPr>
          <w:rFonts w:ascii="Cambria" w:hAnsi="Cambria"/>
          <w:sz w:val="20"/>
          <w:szCs w:val="20"/>
          <w:lang w:val="es-VE"/>
        </w:rPr>
        <w:t xml:space="preserve"> de </w:t>
      </w:r>
      <w:r w:rsidR="003D1A7D" w:rsidRPr="007F3D68">
        <w:rPr>
          <w:rFonts w:ascii="Cambria" w:hAnsi="Cambria"/>
          <w:sz w:val="20"/>
          <w:szCs w:val="20"/>
          <w:lang w:val="es-VE"/>
        </w:rPr>
        <w:t>abril de 2017</w:t>
      </w:r>
      <w:r w:rsidRPr="007F3D68">
        <w:rPr>
          <w:rFonts w:ascii="Cambria" w:hAnsi="Cambria"/>
          <w:sz w:val="20"/>
          <w:szCs w:val="20"/>
          <w:lang w:val="es-VE"/>
        </w:rPr>
        <w:t xml:space="preserve"> el Estado presentó sus observaciones adicionales </w:t>
      </w:r>
      <w:r w:rsidR="00C50FB1" w:rsidRPr="007F3D68">
        <w:rPr>
          <w:rFonts w:ascii="Cambria" w:hAnsi="Cambria"/>
          <w:sz w:val="20"/>
          <w:szCs w:val="20"/>
          <w:lang w:val="es-VE"/>
        </w:rPr>
        <w:t>al respecto</w:t>
      </w:r>
      <w:r w:rsidRPr="007F3D68">
        <w:rPr>
          <w:rFonts w:ascii="Cambria" w:hAnsi="Cambria"/>
          <w:sz w:val="20"/>
          <w:szCs w:val="20"/>
          <w:lang w:val="es-VE"/>
        </w:rPr>
        <w:t xml:space="preserve">. </w:t>
      </w:r>
    </w:p>
    <w:p w:rsidR="0093271E" w:rsidRPr="007F3D68" w:rsidRDefault="0093271E" w:rsidP="009327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445262" w:rsidRPr="007F3D68" w:rsidRDefault="00445262" w:rsidP="00F25D6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Univers"/>
          <w:sz w:val="20"/>
          <w:szCs w:val="20"/>
          <w:lang w:val="es-VE"/>
        </w:rPr>
      </w:pPr>
      <w:r w:rsidRPr="007F3D68">
        <w:rPr>
          <w:rFonts w:ascii="Cambria" w:hAnsi="Cambria" w:cs="Univers"/>
          <w:sz w:val="20"/>
          <w:szCs w:val="20"/>
          <w:lang w:val="es-VE"/>
        </w:rPr>
        <w:t>En el presente caso la Comisión se puso a disposición de</w:t>
      </w:r>
      <w:r w:rsidR="006E623C" w:rsidRPr="007F3D68">
        <w:rPr>
          <w:rFonts w:ascii="Cambria" w:hAnsi="Cambria" w:cs="Univers"/>
          <w:sz w:val="20"/>
          <w:szCs w:val="20"/>
          <w:lang w:val="es-VE"/>
        </w:rPr>
        <w:t xml:space="preserve"> las respectivas partes para iniciar el proc</w:t>
      </w:r>
      <w:r w:rsidRPr="007F3D68">
        <w:rPr>
          <w:rFonts w:ascii="Cambria" w:hAnsi="Cambria" w:cs="Univers"/>
          <w:sz w:val="20"/>
          <w:szCs w:val="20"/>
          <w:lang w:val="es-VE"/>
        </w:rPr>
        <w:t xml:space="preserve">edimiento de solución amistosa, sin que ambas partes manifestaran interés en el mismo. </w:t>
      </w:r>
    </w:p>
    <w:p w:rsidR="00445262" w:rsidRPr="007F3D68" w:rsidRDefault="00445262" w:rsidP="007C53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VE"/>
        </w:rPr>
      </w:pPr>
    </w:p>
    <w:p w:rsidR="000C0E5C" w:rsidRPr="007F3D68" w:rsidRDefault="009C3C33" w:rsidP="009C3C33">
      <w:pPr>
        <w:pStyle w:val="Heading1"/>
        <w:numPr>
          <w:ilvl w:val="0"/>
          <w:numId w:val="55"/>
        </w:numPr>
        <w:tabs>
          <w:tab w:val="clear" w:pos="1440"/>
        </w:tabs>
        <w:rPr>
          <w:lang w:val="es-VE"/>
        </w:rPr>
      </w:pPr>
      <w:bookmarkStart w:id="20" w:name="_Toc475546037"/>
      <w:bookmarkStart w:id="21" w:name="_Toc495479529"/>
      <w:bookmarkStart w:id="22" w:name="_Toc423514408"/>
      <w:bookmarkStart w:id="23" w:name="_Toc433115984"/>
      <w:bookmarkStart w:id="24" w:name="_Toc444958127"/>
      <w:bookmarkEnd w:id="18"/>
      <w:bookmarkEnd w:id="19"/>
      <w:r w:rsidRPr="007F3D68">
        <w:rPr>
          <w:lang w:val="es-VE"/>
        </w:rPr>
        <w:t>POSICIONES DE LAS PARTES</w:t>
      </w:r>
      <w:bookmarkEnd w:id="20"/>
      <w:bookmarkEnd w:id="21"/>
      <w:r w:rsidRPr="007F3D68">
        <w:rPr>
          <w:lang w:val="es-VE"/>
        </w:rPr>
        <w:t xml:space="preserve"> </w:t>
      </w:r>
    </w:p>
    <w:p w:rsidR="009C3C33" w:rsidRPr="007F3D68" w:rsidRDefault="009C3C33" w:rsidP="009C3C33">
      <w:pPr>
        <w:rPr>
          <w:lang w:val="es-ES_tradnl"/>
        </w:rPr>
      </w:pPr>
    </w:p>
    <w:p w:rsidR="00E40449" w:rsidRPr="007F3D68" w:rsidRDefault="00E40449" w:rsidP="005E081B">
      <w:pPr>
        <w:pStyle w:val="Heading2"/>
        <w:numPr>
          <w:ilvl w:val="0"/>
          <w:numId w:val="59"/>
        </w:numPr>
      </w:pPr>
      <w:bookmarkStart w:id="25" w:name="_Toc475546038"/>
      <w:bookmarkStart w:id="26" w:name="_Toc495479530"/>
      <w:r w:rsidRPr="007F3D68">
        <w:t>Posición d</w:t>
      </w:r>
      <w:bookmarkEnd w:id="22"/>
      <w:bookmarkEnd w:id="23"/>
      <w:bookmarkEnd w:id="24"/>
      <w:r w:rsidR="00FA084C" w:rsidRPr="007F3D68">
        <w:t>e</w:t>
      </w:r>
      <w:r w:rsidR="009C3C33" w:rsidRPr="007F3D68">
        <w:t xml:space="preserve"> los peticionarios</w:t>
      </w:r>
      <w:bookmarkEnd w:id="25"/>
      <w:bookmarkEnd w:id="26"/>
      <w:r w:rsidR="00FA084C" w:rsidRPr="007F3D68">
        <w:t xml:space="preserve"> </w:t>
      </w:r>
    </w:p>
    <w:p w:rsidR="006D6521" w:rsidRPr="007F3D68" w:rsidRDefault="006D6521" w:rsidP="006D65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A26639" w:rsidRPr="007F3D68" w:rsidRDefault="008D36CF" w:rsidP="00A2663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CO"/>
        </w:rPr>
        <w:t>L</w:t>
      </w:r>
      <w:r w:rsidR="00A26639" w:rsidRPr="007F3D68">
        <w:rPr>
          <w:rFonts w:ascii="Cambria" w:hAnsi="Cambria"/>
          <w:sz w:val="20"/>
          <w:szCs w:val="20"/>
          <w:lang w:val="es-CO"/>
        </w:rPr>
        <w:t>os peticionarios relataron que la presunta víctima fue detenida, torturada y luego sometida a proces</w:t>
      </w:r>
      <w:r w:rsidRPr="007F3D68">
        <w:rPr>
          <w:rFonts w:ascii="Cambria" w:hAnsi="Cambria"/>
          <w:sz w:val="20"/>
          <w:szCs w:val="20"/>
          <w:lang w:val="es-CO"/>
        </w:rPr>
        <w:t>o penal por el asesinato de una fiscal del Ministerio Público.</w:t>
      </w:r>
      <w:r w:rsidR="00A26639" w:rsidRPr="007F3D68">
        <w:rPr>
          <w:rFonts w:ascii="Cambria" w:hAnsi="Cambria"/>
          <w:sz w:val="20"/>
          <w:szCs w:val="20"/>
          <w:lang w:val="es-CO"/>
        </w:rPr>
        <w:t xml:space="preserve"> Indicaron que la presunta víctima fue condenada a muerte por medio de sentencia de 21 de octubre de 1999 por el Tribunal de Sentencia del </w:t>
      </w:r>
      <w:r w:rsidR="00E775F0" w:rsidRPr="007F3D68">
        <w:rPr>
          <w:rFonts w:ascii="Cambria" w:hAnsi="Cambria"/>
          <w:sz w:val="20"/>
          <w:szCs w:val="20"/>
          <w:lang w:val="es-CO"/>
        </w:rPr>
        <w:t>Departamento de Quetzaltenango.</w:t>
      </w:r>
      <w:r w:rsidR="00A26639" w:rsidRPr="007F3D68">
        <w:rPr>
          <w:rFonts w:ascii="Cambria" w:hAnsi="Cambria"/>
          <w:sz w:val="20"/>
          <w:szCs w:val="20"/>
          <w:lang w:val="es-CO"/>
        </w:rPr>
        <w:t xml:space="preserve"> Refirieron que el 22 de octubre de 2005 la presunta víctima se fugó de la cárcel “El infiernito” y fue ejecutada extrajudicialmente por </w:t>
      </w:r>
      <w:r w:rsidR="00B13B48" w:rsidRPr="007F3D68">
        <w:rPr>
          <w:rFonts w:ascii="Cambria" w:hAnsi="Cambria"/>
          <w:sz w:val="20"/>
          <w:szCs w:val="20"/>
          <w:lang w:val="es-CO"/>
        </w:rPr>
        <w:t xml:space="preserve">agentes del estado </w:t>
      </w:r>
      <w:r w:rsidR="00A26639" w:rsidRPr="007F3D68">
        <w:rPr>
          <w:rFonts w:ascii="Cambria" w:hAnsi="Cambria"/>
          <w:sz w:val="20"/>
          <w:szCs w:val="20"/>
          <w:lang w:val="es-CO"/>
        </w:rPr>
        <w:t>en el marco del operativo conocido como “Plan Gavilán”.</w:t>
      </w:r>
    </w:p>
    <w:p w:rsidR="008D36CF" w:rsidRPr="007F3D68" w:rsidRDefault="008D36CF" w:rsidP="008D36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8D36CF" w:rsidRPr="007F3D68" w:rsidRDefault="008D36CF" w:rsidP="008D36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ES_tradnl"/>
        </w:rPr>
        <w:t>El detalle sobre los hechos y procesos judiciales del caso será referido en el análisis fáctico de la Comisión, sobre la base de la información aportada por ambas partes. En esta sección se efectúa un resumen de los principales alegatos</w:t>
      </w:r>
      <w:r w:rsidR="00742AE9" w:rsidRPr="007F3D68">
        <w:rPr>
          <w:rFonts w:ascii="Cambria" w:hAnsi="Cambria"/>
          <w:sz w:val="20"/>
          <w:szCs w:val="20"/>
          <w:lang w:val="es-ES_tradnl"/>
        </w:rPr>
        <w:t xml:space="preserve"> de derecho</w:t>
      </w:r>
      <w:r w:rsidRPr="007F3D68">
        <w:rPr>
          <w:rFonts w:ascii="Cambria" w:hAnsi="Cambria"/>
          <w:sz w:val="20"/>
          <w:szCs w:val="20"/>
          <w:lang w:val="es-ES_tradnl"/>
        </w:rPr>
        <w:t xml:space="preserve"> planteados por los peticionarios.  </w:t>
      </w:r>
    </w:p>
    <w:p w:rsidR="008D36CF" w:rsidRPr="007F3D68" w:rsidRDefault="008D36CF" w:rsidP="008D36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8D36CF" w:rsidRPr="007F3D68" w:rsidRDefault="008D36CF" w:rsidP="008D36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ES_tradnl"/>
        </w:rPr>
        <w:t xml:space="preserve">Los peticionarios indicaron que </w:t>
      </w:r>
      <w:r w:rsidR="00C65EAD" w:rsidRPr="007F3D68">
        <w:rPr>
          <w:rFonts w:ascii="Cambria" w:hAnsi="Cambria"/>
          <w:sz w:val="20"/>
          <w:szCs w:val="20"/>
          <w:lang w:val="es-CO"/>
        </w:rPr>
        <w:t xml:space="preserve">el Estado violó el </w:t>
      </w:r>
      <w:r w:rsidR="00C65EAD" w:rsidRPr="007F3D68">
        <w:rPr>
          <w:rFonts w:ascii="Cambria" w:hAnsi="Cambria"/>
          <w:b/>
          <w:sz w:val="20"/>
          <w:szCs w:val="20"/>
          <w:lang w:val="es-CO"/>
        </w:rPr>
        <w:t>derecho a la libertad personal</w:t>
      </w:r>
      <w:r w:rsidR="00C65EAD" w:rsidRPr="007F3D68">
        <w:rPr>
          <w:rFonts w:ascii="Cambria" w:hAnsi="Cambria"/>
          <w:sz w:val="20"/>
          <w:szCs w:val="20"/>
          <w:lang w:val="es-CO"/>
        </w:rPr>
        <w:t xml:space="preserve"> </w:t>
      </w:r>
      <w:r w:rsidR="00A26639" w:rsidRPr="007F3D68">
        <w:rPr>
          <w:rFonts w:ascii="Cambria" w:hAnsi="Cambria"/>
          <w:sz w:val="20"/>
          <w:szCs w:val="20"/>
          <w:lang w:val="es-CO"/>
        </w:rPr>
        <w:t xml:space="preserve">porque la presunta víctima fue detenida sin orden de juez competente, sin encontrarse en flagrancia, </w:t>
      </w:r>
      <w:r w:rsidR="00B13B48" w:rsidRPr="007F3D68">
        <w:rPr>
          <w:rFonts w:ascii="Cambria" w:hAnsi="Cambria"/>
          <w:sz w:val="20"/>
          <w:szCs w:val="20"/>
          <w:lang w:val="es-CO"/>
        </w:rPr>
        <w:t xml:space="preserve">y adicionalmente que </w:t>
      </w:r>
      <w:r w:rsidR="00A26639" w:rsidRPr="007F3D68">
        <w:rPr>
          <w:rFonts w:ascii="Cambria" w:hAnsi="Cambria"/>
          <w:sz w:val="20"/>
          <w:szCs w:val="20"/>
          <w:lang w:val="es-CO"/>
        </w:rPr>
        <w:t xml:space="preserve">se le negó su derecho de contar con un abogado defensor en su detención y se le realizó </w:t>
      </w:r>
      <w:r w:rsidR="00C65EAD" w:rsidRPr="007F3D68">
        <w:rPr>
          <w:rFonts w:ascii="Cambria" w:hAnsi="Cambria"/>
          <w:sz w:val="20"/>
          <w:szCs w:val="20"/>
          <w:lang w:val="es-CO"/>
        </w:rPr>
        <w:t xml:space="preserve">un </w:t>
      </w:r>
      <w:r w:rsidR="00E711D2" w:rsidRPr="007F3D68">
        <w:rPr>
          <w:rFonts w:ascii="Cambria" w:hAnsi="Cambria"/>
          <w:sz w:val="20"/>
          <w:szCs w:val="20"/>
          <w:lang w:val="es-CO"/>
        </w:rPr>
        <w:t>“</w:t>
      </w:r>
      <w:r w:rsidR="00C65EAD" w:rsidRPr="007F3D68">
        <w:rPr>
          <w:rFonts w:ascii="Cambria" w:hAnsi="Cambria"/>
          <w:sz w:val="20"/>
          <w:szCs w:val="20"/>
          <w:lang w:val="es-CO"/>
        </w:rPr>
        <w:t>interrogatorio extrajudicial</w:t>
      </w:r>
      <w:r w:rsidR="00E711D2" w:rsidRPr="007F3D68">
        <w:rPr>
          <w:rFonts w:ascii="Cambria" w:hAnsi="Cambria"/>
          <w:sz w:val="20"/>
          <w:szCs w:val="20"/>
          <w:lang w:val="es-CO"/>
        </w:rPr>
        <w:t>”</w:t>
      </w:r>
      <w:r w:rsidR="00C65EAD" w:rsidRPr="007F3D68">
        <w:rPr>
          <w:rFonts w:ascii="Cambria" w:hAnsi="Cambria"/>
          <w:sz w:val="20"/>
          <w:szCs w:val="20"/>
          <w:lang w:val="es-CO"/>
        </w:rPr>
        <w:t xml:space="preserve">. </w:t>
      </w:r>
    </w:p>
    <w:p w:rsidR="008D36CF" w:rsidRPr="007F3D68" w:rsidRDefault="008D36CF" w:rsidP="008D36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3E1053" w:rsidRPr="007F3D68" w:rsidRDefault="00C65EAD" w:rsidP="008D36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Argumentaron también la violación del </w:t>
      </w:r>
      <w:r w:rsidRPr="007F3D68">
        <w:rPr>
          <w:rFonts w:ascii="Cambria" w:hAnsi="Cambria"/>
          <w:b/>
          <w:sz w:val="20"/>
          <w:szCs w:val="20"/>
          <w:lang w:val="es-CO"/>
        </w:rPr>
        <w:t>derecho a la integridad personal y prohibición de tortura</w:t>
      </w:r>
      <w:r w:rsidRPr="007F3D68">
        <w:rPr>
          <w:rFonts w:ascii="Cambria" w:hAnsi="Cambria"/>
          <w:sz w:val="20"/>
          <w:szCs w:val="20"/>
          <w:lang w:val="es-CO"/>
        </w:rPr>
        <w:t>, porque la presunta víctima fue torturada en diversas ocasiones</w:t>
      </w:r>
      <w:r w:rsidR="00180C93" w:rsidRPr="007F3D68">
        <w:rPr>
          <w:rFonts w:ascii="Cambria" w:hAnsi="Cambria"/>
          <w:sz w:val="20"/>
          <w:szCs w:val="20"/>
          <w:lang w:val="es-CO"/>
        </w:rPr>
        <w:t>, concretamente</w:t>
      </w:r>
      <w:r w:rsidRPr="007F3D68">
        <w:rPr>
          <w:rFonts w:ascii="Cambria" w:hAnsi="Cambria"/>
          <w:sz w:val="20"/>
          <w:szCs w:val="20"/>
          <w:lang w:val="es-CO"/>
        </w:rPr>
        <w:t>:</w:t>
      </w:r>
      <w:r w:rsidR="00A26639" w:rsidRPr="007F3D68">
        <w:rPr>
          <w:rFonts w:ascii="Cambria" w:hAnsi="Cambria"/>
          <w:sz w:val="20"/>
          <w:szCs w:val="20"/>
          <w:lang w:val="es-CO"/>
        </w:rPr>
        <w:t xml:space="preserve"> </w:t>
      </w:r>
      <w:r w:rsidRPr="007F3D68">
        <w:rPr>
          <w:rFonts w:ascii="Cambria" w:hAnsi="Cambria"/>
          <w:sz w:val="20"/>
          <w:szCs w:val="20"/>
          <w:lang w:val="es-CO"/>
        </w:rPr>
        <w:t xml:space="preserve">a. </w:t>
      </w:r>
      <w:r w:rsidR="00A26639" w:rsidRPr="007F3D68">
        <w:rPr>
          <w:rFonts w:ascii="Cambria" w:hAnsi="Cambria"/>
          <w:sz w:val="20"/>
          <w:szCs w:val="20"/>
          <w:lang w:val="es-CO"/>
        </w:rPr>
        <w:t>al momento de la detención</w:t>
      </w:r>
      <w:r w:rsidR="002C64EE" w:rsidRPr="007F3D68">
        <w:rPr>
          <w:rFonts w:ascii="Cambria" w:hAnsi="Cambria"/>
          <w:sz w:val="20"/>
          <w:szCs w:val="20"/>
          <w:lang w:val="es-CO"/>
        </w:rPr>
        <w:t xml:space="preserve"> fue asfixiado </w:t>
      </w:r>
      <w:r w:rsidR="003A54A9" w:rsidRPr="007F3D68">
        <w:rPr>
          <w:rFonts w:ascii="Cambria" w:hAnsi="Cambria"/>
          <w:sz w:val="20"/>
          <w:szCs w:val="20"/>
          <w:lang w:val="es-CO"/>
        </w:rPr>
        <w:t xml:space="preserve">7 veces </w:t>
      </w:r>
      <w:r w:rsidR="002C64EE" w:rsidRPr="007F3D68">
        <w:rPr>
          <w:rFonts w:ascii="Cambria" w:hAnsi="Cambria"/>
          <w:sz w:val="20"/>
          <w:szCs w:val="20"/>
          <w:lang w:val="es-CO"/>
        </w:rPr>
        <w:t>con un veneno para</w:t>
      </w:r>
      <w:r w:rsidR="00A26639" w:rsidRPr="007F3D68">
        <w:rPr>
          <w:rFonts w:ascii="Cambria" w:hAnsi="Cambria"/>
          <w:sz w:val="20"/>
          <w:szCs w:val="20"/>
          <w:lang w:val="es-CO"/>
        </w:rPr>
        <w:t xml:space="preserve"> ratas y víctima de violación sexual para extraerle una confesión, b. el 10 de abril de 1999 por fuerzas de seguridad luego de se</w:t>
      </w:r>
      <w:r w:rsidR="00B13B48" w:rsidRPr="007F3D68">
        <w:rPr>
          <w:rFonts w:ascii="Cambria" w:hAnsi="Cambria"/>
          <w:sz w:val="20"/>
          <w:szCs w:val="20"/>
          <w:lang w:val="es-CO"/>
        </w:rPr>
        <w:t>r recapturado tras fugarse; c. e</w:t>
      </w:r>
      <w:r w:rsidR="00A26639" w:rsidRPr="007F3D68">
        <w:rPr>
          <w:rFonts w:ascii="Cambria" w:hAnsi="Cambria"/>
          <w:sz w:val="20"/>
          <w:szCs w:val="20"/>
          <w:lang w:val="es-CO"/>
        </w:rPr>
        <w:t>l 17 de junio de 2001 en la Comisaría de Escuintla lue</w:t>
      </w:r>
      <w:r w:rsidR="00B13B48" w:rsidRPr="007F3D68">
        <w:rPr>
          <w:rFonts w:ascii="Cambria" w:hAnsi="Cambria"/>
          <w:sz w:val="20"/>
          <w:szCs w:val="20"/>
          <w:lang w:val="es-CO"/>
        </w:rPr>
        <w:t>go fugarse por segunda vez; d. e</w:t>
      </w:r>
      <w:r w:rsidR="00A26639" w:rsidRPr="007F3D68">
        <w:rPr>
          <w:rFonts w:ascii="Cambria" w:hAnsi="Cambria"/>
          <w:sz w:val="20"/>
          <w:szCs w:val="20"/>
          <w:lang w:val="es-CO"/>
        </w:rPr>
        <w:t>l 18 de junio de 2001 en el Centro de Detención Preven</w:t>
      </w:r>
      <w:r w:rsidRPr="007F3D68">
        <w:rPr>
          <w:rFonts w:ascii="Cambria" w:hAnsi="Cambria"/>
          <w:sz w:val="20"/>
          <w:szCs w:val="20"/>
          <w:lang w:val="es-CO"/>
        </w:rPr>
        <w:t xml:space="preserve">tiva para hombres de la zona 18. </w:t>
      </w:r>
      <w:r w:rsidR="003E1053" w:rsidRPr="007F3D68">
        <w:rPr>
          <w:rFonts w:ascii="Cambria" w:hAnsi="Cambria"/>
          <w:sz w:val="20"/>
          <w:szCs w:val="20"/>
          <w:lang w:val="es-CO"/>
        </w:rPr>
        <w:t xml:space="preserve">Agregaron que el Estado no ha realizado una investigación seria sobre </w:t>
      </w:r>
      <w:r w:rsidR="00702501" w:rsidRPr="007F3D68">
        <w:rPr>
          <w:rFonts w:ascii="Cambria" w:hAnsi="Cambria"/>
          <w:sz w:val="20"/>
          <w:szCs w:val="20"/>
          <w:lang w:val="es-CO"/>
        </w:rPr>
        <w:t>estos</w:t>
      </w:r>
      <w:r w:rsidR="003E1053" w:rsidRPr="007F3D68">
        <w:rPr>
          <w:rFonts w:ascii="Cambria" w:hAnsi="Cambria"/>
          <w:sz w:val="20"/>
          <w:szCs w:val="20"/>
          <w:lang w:val="es-CO"/>
        </w:rPr>
        <w:t xml:space="preserve"> hechos </w:t>
      </w:r>
      <w:r w:rsidR="00702501" w:rsidRPr="007F3D68">
        <w:rPr>
          <w:rFonts w:ascii="Cambria" w:hAnsi="Cambria"/>
          <w:sz w:val="20"/>
          <w:szCs w:val="20"/>
          <w:lang w:val="es-CO"/>
        </w:rPr>
        <w:t xml:space="preserve">ni sobre </w:t>
      </w:r>
      <w:r w:rsidR="003E1053" w:rsidRPr="007F3D68">
        <w:rPr>
          <w:rFonts w:ascii="Cambria" w:hAnsi="Cambria"/>
          <w:sz w:val="20"/>
          <w:szCs w:val="20"/>
          <w:lang w:val="es-CO"/>
        </w:rPr>
        <w:t>la muerte de la presunta víctima</w:t>
      </w:r>
      <w:r w:rsidR="00106229" w:rsidRPr="007F3D68">
        <w:rPr>
          <w:rFonts w:ascii="Cambria" w:hAnsi="Cambria"/>
          <w:sz w:val="20"/>
          <w:szCs w:val="20"/>
          <w:lang w:val="es-CO"/>
        </w:rPr>
        <w:t xml:space="preserve">. Señalaron que se </w:t>
      </w:r>
      <w:r w:rsidR="003E1053" w:rsidRPr="007F3D68">
        <w:rPr>
          <w:rFonts w:ascii="Cambria" w:hAnsi="Cambria"/>
          <w:sz w:val="20"/>
          <w:szCs w:val="20"/>
          <w:lang w:val="es-CO"/>
        </w:rPr>
        <w:t>ha nega</w:t>
      </w:r>
      <w:r w:rsidR="00180C93" w:rsidRPr="007F3D68">
        <w:rPr>
          <w:rFonts w:ascii="Cambria" w:hAnsi="Cambria"/>
          <w:sz w:val="20"/>
          <w:szCs w:val="20"/>
          <w:lang w:val="es-CO"/>
        </w:rPr>
        <w:t>do a los familiares el derecho de</w:t>
      </w:r>
      <w:r w:rsidR="003E1053" w:rsidRPr="007F3D68">
        <w:rPr>
          <w:rFonts w:ascii="Cambria" w:hAnsi="Cambria"/>
          <w:sz w:val="20"/>
          <w:szCs w:val="20"/>
          <w:lang w:val="es-CO"/>
        </w:rPr>
        <w:t xml:space="preserve"> apersonarse dentro del proceso y obtener una reparación. </w:t>
      </w:r>
    </w:p>
    <w:p w:rsidR="003E1053" w:rsidRPr="007F3D68" w:rsidRDefault="003E1053" w:rsidP="003E10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8D36CF" w:rsidRPr="007F3D68" w:rsidRDefault="00C65EAD" w:rsidP="003E105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Refirieron que el Estado violó los derechos a las </w:t>
      </w:r>
      <w:r w:rsidRPr="007F3D68">
        <w:rPr>
          <w:rFonts w:ascii="Cambria" w:hAnsi="Cambria"/>
          <w:b/>
          <w:sz w:val="20"/>
          <w:szCs w:val="20"/>
          <w:lang w:val="es-CO"/>
        </w:rPr>
        <w:t>garantías judiciales y protección judicial</w:t>
      </w:r>
      <w:r w:rsidRPr="007F3D68">
        <w:rPr>
          <w:rFonts w:ascii="Cambria" w:hAnsi="Cambria"/>
          <w:sz w:val="20"/>
          <w:szCs w:val="20"/>
          <w:lang w:val="es-CO"/>
        </w:rPr>
        <w:t xml:space="preserve"> porque su condena a </w:t>
      </w:r>
      <w:r w:rsidR="00180C93" w:rsidRPr="007F3D68">
        <w:rPr>
          <w:rFonts w:ascii="Cambria" w:hAnsi="Cambria"/>
          <w:sz w:val="20"/>
          <w:szCs w:val="20"/>
          <w:lang w:val="es-CO"/>
        </w:rPr>
        <w:t xml:space="preserve">la </w:t>
      </w:r>
      <w:r w:rsidRPr="007F3D68">
        <w:rPr>
          <w:rFonts w:ascii="Cambria" w:hAnsi="Cambria"/>
          <w:sz w:val="20"/>
          <w:szCs w:val="20"/>
          <w:lang w:val="es-CO"/>
        </w:rPr>
        <w:t xml:space="preserve">pena de muerte se basó en prueba obtenida bajo tortura y existieron otras anomalías en el proceso. </w:t>
      </w:r>
    </w:p>
    <w:p w:rsidR="008D36CF" w:rsidRPr="007F3D68" w:rsidRDefault="008D36CF" w:rsidP="008D36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8D36CF" w:rsidRPr="007F3D68" w:rsidRDefault="00C65EAD" w:rsidP="003E105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Sostuvieron que se violó el </w:t>
      </w:r>
      <w:r w:rsidRPr="007F3D68">
        <w:rPr>
          <w:rFonts w:ascii="Cambria" w:hAnsi="Cambria"/>
          <w:b/>
          <w:sz w:val="20"/>
          <w:szCs w:val="20"/>
          <w:lang w:val="es-CO"/>
        </w:rPr>
        <w:t>derecho a la vida</w:t>
      </w:r>
      <w:r w:rsidRPr="007F3D68">
        <w:rPr>
          <w:rFonts w:ascii="Cambria" w:hAnsi="Cambria"/>
          <w:sz w:val="20"/>
          <w:szCs w:val="20"/>
          <w:lang w:val="es-CO"/>
        </w:rPr>
        <w:t xml:space="preserve"> de la presunta víctima porque fue ejecutada extrajudicialmente. </w:t>
      </w:r>
    </w:p>
    <w:p w:rsidR="008D36CF" w:rsidRPr="007F3D68" w:rsidRDefault="008D36CF" w:rsidP="008D36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A26639" w:rsidRDefault="003E1053" w:rsidP="003E105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Finalmente, alegaron la violación del </w:t>
      </w:r>
      <w:r w:rsidRPr="007F3D68">
        <w:rPr>
          <w:rFonts w:ascii="Cambria" w:hAnsi="Cambria"/>
          <w:b/>
          <w:sz w:val="20"/>
          <w:szCs w:val="20"/>
          <w:lang w:val="es-CO"/>
        </w:rPr>
        <w:t>derecho a la integridad personal</w:t>
      </w:r>
      <w:r w:rsidRPr="007F3D68">
        <w:rPr>
          <w:rFonts w:ascii="Cambria" w:hAnsi="Cambria"/>
          <w:sz w:val="20"/>
          <w:szCs w:val="20"/>
          <w:lang w:val="es-CO"/>
        </w:rPr>
        <w:t xml:space="preserve"> en perjuicio de los familiares de la presunta víctima</w:t>
      </w:r>
      <w:r w:rsidR="00A26639" w:rsidRPr="007F3D68">
        <w:rPr>
          <w:rFonts w:ascii="Cambria" w:hAnsi="Cambria"/>
          <w:sz w:val="20"/>
          <w:szCs w:val="20"/>
          <w:lang w:val="es-CO"/>
        </w:rPr>
        <w:t xml:space="preserve">, porque han sido objeto de hostigamientos en su búsqueda por justicia y algunos han tenido que abandonar el país u ocultarse en virtud de amenazas en su contra para no comparecer dentro de la investigación por la muerte de la presunta víctima. </w:t>
      </w:r>
    </w:p>
    <w:p w:rsidR="00214A83" w:rsidRDefault="00214A83" w:rsidP="00214A83">
      <w:pPr>
        <w:pStyle w:val="ListParagraph"/>
        <w:rPr>
          <w:sz w:val="20"/>
          <w:szCs w:val="20"/>
          <w:lang w:val="es-CO"/>
        </w:rPr>
      </w:pPr>
    </w:p>
    <w:p w:rsidR="00214A83" w:rsidRPr="007F3D68" w:rsidRDefault="00214A83" w:rsidP="00214A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CO"/>
        </w:rPr>
      </w:pPr>
    </w:p>
    <w:p w:rsidR="005921BB" w:rsidRPr="007F3D68" w:rsidRDefault="005921BB" w:rsidP="006D65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7F3D68" w:rsidRDefault="00E40449" w:rsidP="005E081B">
      <w:pPr>
        <w:pStyle w:val="Heading2"/>
        <w:numPr>
          <w:ilvl w:val="0"/>
          <w:numId w:val="59"/>
        </w:numPr>
      </w:pPr>
      <w:bookmarkStart w:id="27" w:name="_Toc370840747"/>
      <w:bookmarkStart w:id="28" w:name="_Toc370840843"/>
      <w:bookmarkStart w:id="29" w:name="_Toc423514409"/>
      <w:bookmarkStart w:id="30" w:name="_Toc433115985"/>
      <w:bookmarkStart w:id="31" w:name="_Toc444958128"/>
      <w:bookmarkStart w:id="32" w:name="_Toc475546039"/>
      <w:bookmarkStart w:id="33" w:name="_Toc495479531"/>
      <w:r w:rsidRPr="007F3D68">
        <w:lastRenderedPageBreak/>
        <w:t>Posición del Estado</w:t>
      </w:r>
      <w:bookmarkEnd w:id="27"/>
      <w:bookmarkEnd w:id="28"/>
      <w:bookmarkEnd w:id="29"/>
      <w:bookmarkEnd w:id="30"/>
      <w:bookmarkEnd w:id="31"/>
      <w:bookmarkEnd w:id="32"/>
      <w:bookmarkEnd w:id="33"/>
    </w:p>
    <w:p w:rsidR="0044096C" w:rsidRPr="007F3D68" w:rsidRDefault="0044096C" w:rsidP="00BE253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8D36CF" w:rsidRPr="007F3D68" w:rsidRDefault="00843E99" w:rsidP="008D36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El Estado indicó en términos generales</w:t>
      </w:r>
      <w:r w:rsidR="009D260E" w:rsidRPr="007F3D68">
        <w:rPr>
          <w:rFonts w:ascii="Cambria" w:hAnsi="Cambria"/>
          <w:sz w:val="20"/>
          <w:szCs w:val="20"/>
          <w:lang w:val="es-CO"/>
        </w:rPr>
        <w:t>,</w:t>
      </w:r>
      <w:r w:rsidRPr="007F3D68">
        <w:rPr>
          <w:rFonts w:ascii="Cambria" w:hAnsi="Cambria"/>
          <w:sz w:val="20"/>
          <w:szCs w:val="20"/>
          <w:lang w:val="es-CO"/>
        </w:rPr>
        <w:t xml:space="preserve"> que su posición respecto a la pena de muerte es que esta </w:t>
      </w:r>
      <w:r w:rsidR="000A0CF5" w:rsidRPr="007F3D68">
        <w:rPr>
          <w:rFonts w:ascii="Cambria" w:hAnsi="Cambria"/>
          <w:sz w:val="20"/>
          <w:szCs w:val="20"/>
          <w:lang w:val="es-CO"/>
        </w:rPr>
        <w:t xml:space="preserve">se </w:t>
      </w:r>
      <w:r w:rsidRPr="007F3D68">
        <w:rPr>
          <w:rFonts w:ascii="Cambria" w:hAnsi="Cambria"/>
          <w:sz w:val="20"/>
          <w:szCs w:val="20"/>
          <w:lang w:val="es-CO"/>
        </w:rPr>
        <w:t>puede aplicar siempre que haya sido decretada luego de un proceso llevado a cabo en estricta observancia de todas la</w:t>
      </w:r>
      <w:r w:rsidR="000F2783" w:rsidRPr="007F3D68">
        <w:rPr>
          <w:rFonts w:ascii="Cambria" w:hAnsi="Cambria"/>
          <w:sz w:val="20"/>
          <w:szCs w:val="20"/>
          <w:lang w:val="es-CO"/>
        </w:rPr>
        <w:t>s garantías de debido proceso.</w:t>
      </w:r>
      <w:r w:rsidR="002C51E2" w:rsidRPr="007F3D68">
        <w:rPr>
          <w:rFonts w:ascii="Cambria" w:hAnsi="Cambria"/>
          <w:sz w:val="20"/>
          <w:szCs w:val="20"/>
          <w:lang w:val="es-CO"/>
        </w:rPr>
        <w:t xml:space="preserve"> Argumentó que la condena de la</w:t>
      </w:r>
      <w:r w:rsidR="008D36CF" w:rsidRPr="007F3D68">
        <w:rPr>
          <w:rFonts w:ascii="Cambria" w:hAnsi="Cambria"/>
          <w:sz w:val="20"/>
          <w:szCs w:val="20"/>
          <w:lang w:val="es-CO"/>
        </w:rPr>
        <w:t xml:space="preserve"> presunta víctima</w:t>
      </w:r>
      <w:r w:rsidRPr="007F3D68">
        <w:rPr>
          <w:rFonts w:ascii="Cambria" w:hAnsi="Cambria"/>
          <w:sz w:val="20"/>
          <w:szCs w:val="20"/>
          <w:lang w:val="es-CO"/>
        </w:rPr>
        <w:t xml:space="preserve"> </w:t>
      </w:r>
      <w:r w:rsidR="008D36CF" w:rsidRPr="007F3D68">
        <w:rPr>
          <w:rFonts w:ascii="Cambria" w:hAnsi="Cambria"/>
          <w:sz w:val="20"/>
          <w:szCs w:val="20"/>
          <w:lang w:val="es-CO"/>
        </w:rPr>
        <w:t xml:space="preserve">fue </w:t>
      </w:r>
      <w:r w:rsidR="00180C93" w:rsidRPr="007F3D68">
        <w:rPr>
          <w:rFonts w:ascii="Cambria" w:hAnsi="Cambria"/>
          <w:sz w:val="20"/>
          <w:szCs w:val="20"/>
          <w:lang w:val="es-CO"/>
        </w:rPr>
        <w:t>el resultado de procesos que</w:t>
      </w:r>
      <w:r w:rsidRPr="007F3D68">
        <w:rPr>
          <w:rFonts w:ascii="Cambria" w:hAnsi="Cambria"/>
          <w:sz w:val="20"/>
          <w:szCs w:val="20"/>
          <w:lang w:val="es-CO"/>
        </w:rPr>
        <w:t xml:space="preserve"> respetaron todas las </w:t>
      </w:r>
      <w:r w:rsidR="00FD0360" w:rsidRPr="007F3D68">
        <w:rPr>
          <w:rFonts w:ascii="Cambria" w:hAnsi="Cambria"/>
          <w:sz w:val="20"/>
          <w:szCs w:val="20"/>
          <w:lang w:val="es-CO"/>
        </w:rPr>
        <w:t>garantías</w:t>
      </w:r>
      <w:r w:rsidRPr="007F3D68">
        <w:rPr>
          <w:rFonts w:ascii="Cambria" w:hAnsi="Cambria"/>
          <w:sz w:val="20"/>
          <w:szCs w:val="20"/>
          <w:lang w:val="es-CO"/>
        </w:rPr>
        <w:t xml:space="preserve"> del debido proceso. </w:t>
      </w:r>
    </w:p>
    <w:p w:rsidR="008D36CF" w:rsidRPr="007F3D68" w:rsidRDefault="008D36CF" w:rsidP="008D36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CB10F6" w:rsidRPr="007F3D68" w:rsidRDefault="008D36CF" w:rsidP="008D36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En cuanto al alegato de ejecución extrajudicial, refirió que </w:t>
      </w:r>
      <w:r w:rsidR="00A26639" w:rsidRPr="007F3D68">
        <w:rPr>
          <w:rFonts w:ascii="Cambria" w:hAnsi="Cambria"/>
          <w:sz w:val="20"/>
          <w:szCs w:val="20"/>
          <w:lang w:val="es-CO"/>
        </w:rPr>
        <w:t xml:space="preserve">no existe política estatal de represión en los procesos de recaptura de las personas fugadas de los centros de detención </w:t>
      </w:r>
      <w:r w:rsidR="00CB10F6" w:rsidRPr="007F3D68">
        <w:rPr>
          <w:rFonts w:ascii="Cambria" w:hAnsi="Cambria"/>
          <w:sz w:val="20"/>
          <w:szCs w:val="20"/>
          <w:lang w:val="es-CO"/>
        </w:rPr>
        <w:t>y que en</w:t>
      </w:r>
      <w:r w:rsidR="002C51E2" w:rsidRPr="007F3D68">
        <w:rPr>
          <w:rFonts w:ascii="Cambria" w:hAnsi="Cambria"/>
          <w:sz w:val="20"/>
          <w:szCs w:val="20"/>
          <w:lang w:val="es-CO"/>
        </w:rPr>
        <w:t xml:space="preserve"> e</w:t>
      </w:r>
      <w:r w:rsidR="00CB10F6" w:rsidRPr="007F3D68">
        <w:rPr>
          <w:rFonts w:ascii="Cambria" w:hAnsi="Cambria"/>
          <w:sz w:val="20"/>
          <w:szCs w:val="20"/>
          <w:lang w:val="es-CO"/>
        </w:rPr>
        <w:t xml:space="preserve">l </w:t>
      </w:r>
      <w:r w:rsidR="002C51E2" w:rsidRPr="007F3D68">
        <w:rPr>
          <w:rFonts w:ascii="Cambria" w:hAnsi="Cambria"/>
          <w:sz w:val="20"/>
          <w:szCs w:val="20"/>
          <w:lang w:val="es-CO"/>
        </w:rPr>
        <w:t xml:space="preserve">presente </w:t>
      </w:r>
      <w:r w:rsidR="00CB10F6" w:rsidRPr="007F3D68">
        <w:rPr>
          <w:rFonts w:ascii="Cambria" w:hAnsi="Cambria"/>
          <w:sz w:val="20"/>
          <w:szCs w:val="20"/>
          <w:lang w:val="es-CO"/>
        </w:rPr>
        <w:t>caso las fuerzas de seguridad buscaron mecanismos para su recaptura en aras de la</w:t>
      </w:r>
      <w:r w:rsidR="00E40742" w:rsidRPr="007F3D68">
        <w:rPr>
          <w:rFonts w:ascii="Cambria" w:hAnsi="Cambria"/>
          <w:sz w:val="20"/>
          <w:szCs w:val="20"/>
          <w:lang w:val="es-CO"/>
        </w:rPr>
        <w:t xml:space="preserve"> protección del orden público. </w:t>
      </w:r>
      <w:r w:rsidR="00CB10F6" w:rsidRPr="007F3D68">
        <w:rPr>
          <w:rFonts w:ascii="Cambria" w:hAnsi="Cambria"/>
          <w:sz w:val="20"/>
          <w:szCs w:val="20"/>
          <w:lang w:val="es-CO"/>
        </w:rPr>
        <w:t>Añadió que su muerte no puede calificarse como una ejecución extrajudicial, en virtud de que los informes y archivos de investigación realizada por el Ministerio Público no indican tal señalamiento como un hecho probado.</w:t>
      </w:r>
    </w:p>
    <w:p w:rsidR="00CB10F6" w:rsidRPr="007F3D68" w:rsidRDefault="00CB10F6" w:rsidP="00CB10F6">
      <w:pPr>
        <w:pStyle w:val="ListParagraph"/>
        <w:rPr>
          <w:sz w:val="20"/>
          <w:szCs w:val="20"/>
          <w:lang w:val="es-CO"/>
        </w:rPr>
      </w:pPr>
    </w:p>
    <w:p w:rsidR="00CB10F6" w:rsidRPr="007F3D68" w:rsidRDefault="00A26639" w:rsidP="008D36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Indic</w:t>
      </w:r>
      <w:r w:rsidR="007825A5" w:rsidRPr="007F3D68">
        <w:rPr>
          <w:rFonts w:ascii="Cambria" w:hAnsi="Cambria"/>
          <w:sz w:val="20"/>
          <w:szCs w:val="20"/>
          <w:lang w:val="es-CO"/>
        </w:rPr>
        <w:t>ó</w:t>
      </w:r>
      <w:r w:rsidRPr="007F3D68">
        <w:rPr>
          <w:rFonts w:ascii="Cambria" w:hAnsi="Cambria"/>
          <w:sz w:val="20"/>
          <w:szCs w:val="20"/>
          <w:lang w:val="es-CO"/>
        </w:rPr>
        <w:t xml:space="preserve"> que la investigación sobre la muerte de la presunta víctima se encuentra en marcha y se han realizado una serie de diligencias</w:t>
      </w:r>
      <w:r w:rsidR="008D36CF" w:rsidRPr="007F3D68">
        <w:rPr>
          <w:rFonts w:ascii="Cambria" w:hAnsi="Cambria"/>
          <w:sz w:val="20"/>
          <w:szCs w:val="20"/>
          <w:lang w:val="es-CO"/>
        </w:rPr>
        <w:t>,</w:t>
      </w:r>
      <w:r w:rsidRPr="007F3D68">
        <w:rPr>
          <w:rFonts w:ascii="Cambria" w:hAnsi="Cambria"/>
          <w:sz w:val="20"/>
          <w:szCs w:val="20"/>
          <w:lang w:val="es-CO"/>
        </w:rPr>
        <w:t xml:space="preserve"> tales como la individualización del propietario de la motocicleta utilizada en el crimen y la solicitud a la Dirección de la Policía del listado de armas asignadas a la Comisaría 31 en la época de los hechos, con el objeto de cotejar con las ojivas localizadas en la escena del crimen. </w:t>
      </w:r>
      <w:r w:rsidR="007825A5" w:rsidRPr="007F3D68">
        <w:rPr>
          <w:rFonts w:ascii="Cambria" w:hAnsi="Cambria"/>
          <w:sz w:val="20"/>
          <w:szCs w:val="20"/>
          <w:lang w:val="es-CO"/>
        </w:rPr>
        <w:t xml:space="preserve">Agregó </w:t>
      </w:r>
      <w:r w:rsidR="003B1E51" w:rsidRPr="007F3D68">
        <w:rPr>
          <w:rFonts w:ascii="Cambria" w:hAnsi="Cambria"/>
          <w:sz w:val="20"/>
          <w:szCs w:val="20"/>
          <w:lang w:val="es-CO"/>
        </w:rPr>
        <w:t xml:space="preserve">que los alegatos relacionados con la violación del derecho a la vida no deben ser tomados en cuenta porque no forman parte del reclamo original ante la CIDH. </w:t>
      </w:r>
      <w:r w:rsidR="00CB10F6" w:rsidRPr="007F3D68">
        <w:rPr>
          <w:rFonts w:ascii="Cambria" w:hAnsi="Cambria"/>
          <w:sz w:val="20"/>
          <w:szCs w:val="20"/>
          <w:lang w:val="es-CO"/>
        </w:rPr>
        <w:t xml:space="preserve"> </w:t>
      </w:r>
    </w:p>
    <w:p w:rsidR="00CB10F6" w:rsidRPr="007F3D68" w:rsidRDefault="00CB10F6" w:rsidP="00CB10F6">
      <w:pPr>
        <w:pStyle w:val="ListParagraph"/>
        <w:rPr>
          <w:sz w:val="20"/>
          <w:szCs w:val="20"/>
          <w:lang w:val="es-CO"/>
        </w:rPr>
      </w:pPr>
    </w:p>
    <w:p w:rsidR="00A26639" w:rsidRPr="007F3D68" w:rsidRDefault="00CB10F6" w:rsidP="00CB10F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Finalmente argumentó que el alegato de ejecución extrajudicial resulta inadmisible por falta de agotamiento de los recursos internos porque aún se encuentra </w:t>
      </w:r>
      <w:r w:rsidR="004A63D5" w:rsidRPr="007F3D68">
        <w:rPr>
          <w:rFonts w:ascii="Cambria" w:hAnsi="Cambria"/>
          <w:sz w:val="20"/>
          <w:szCs w:val="20"/>
          <w:lang w:val="es-CO"/>
        </w:rPr>
        <w:t>en etapa de investigación</w:t>
      </w:r>
      <w:r w:rsidRPr="007F3D68">
        <w:rPr>
          <w:rFonts w:ascii="Cambria" w:hAnsi="Cambria"/>
          <w:sz w:val="20"/>
          <w:szCs w:val="20"/>
          <w:lang w:val="es-CO"/>
        </w:rPr>
        <w:t xml:space="preserve"> el proceso penal por la muerte de la presunta víctima</w:t>
      </w:r>
      <w:r w:rsidR="002C51E2" w:rsidRPr="007F3D68">
        <w:rPr>
          <w:rFonts w:ascii="Cambria" w:hAnsi="Cambria"/>
          <w:sz w:val="20"/>
          <w:szCs w:val="20"/>
          <w:lang w:val="es-CO"/>
        </w:rPr>
        <w:t>.</w:t>
      </w:r>
      <w:r w:rsidR="004A63D5" w:rsidRPr="007F3D68">
        <w:rPr>
          <w:rFonts w:ascii="Cambria" w:hAnsi="Cambria"/>
          <w:sz w:val="20"/>
          <w:szCs w:val="20"/>
          <w:lang w:val="es-CO"/>
        </w:rPr>
        <w:t xml:space="preserve"> </w:t>
      </w:r>
    </w:p>
    <w:p w:rsidR="00FD0360" w:rsidRPr="007F3D68" w:rsidRDefault="00FD0360" w:rsidP="009C3C33">
      <w:pPr>
        <w:jc w:val="both"/>
        <w:rPr>
          <w:rFonts w:ascii="Cambria" w:hAnsi="Cambria" w:cs="Calibri"/>
          <w:sz w:val="20"/>
          <w:szCs w:val="20"/>
          <w:lang w:val="es-ES_tradnl"/>
        </w:rPr>
      </w:pPr>
    </w:p>
    <w:p w:rsidR="00B13B48" w:rsidRPr="007F3D68" w:rsidRDefault="009C3C33" w:rsidP="004E102F">
      <w:pPr>
        <w:pStyle w:val="Heading1"/>
        <w:numPr>
          <w:ilvl w:val="0"/>
          <w:numId w:val="55"/>
        </w:numPr>
        <w:tabs>
          <w:tab w:val="clear" w:pos="1440"/>
        </w:tabs>
        <w:ind w:left="1260" w:hanging="540"/>
        <w:jc w:val="both"/>
        <w:rPr>
          <w:lang w:val="es-VE"/>
        </w:rPr>
      </w:pPr>
      <w:bookmarkStart w:id="34" w:name="_Toc413687815"/>
      <w:bookmarkStart w:id="35" w:name="_Toc447208867"/>
      <w:bookmarkStart w:id="36" w:name="_Toc447213173"/>
      <w:bookmarkStart w:id="37" w:name="_Toc475546040"/>
      <w:bookmarkStart w:id="38" w:name="_Toc495479532"/>
      <w:r w:rsidRPr="007F3D68">
        <w:rPr>
          <w:lang w:val="es-VE"/>
        </w:rPr>
        <w:t>ANÁLISIS DE A</w:t>
      </w:r>
      <w:r w:rsidR="00E66401" w:rsidRPr="007F3D68">
        <w:rPr>
          <w:lang w:val="es-VE"/>
        </w:rPr>
        <w:t>DMISIBILIDAD D</w:t>
      </w:r>
      <w:bookmarkEnd w:id="34"/>
      <w:bookmarkEnd w:id="35"/>
      <w:bookmarkEnd w:id="36"/>
      <w:r w:rsidR="008D36CF" w:rsidRPr="007F3D68">
        <w:rPr>
          <w:lang w:val="es-VE"/>
        </w:rPr>
        <w:t xml:space="preserve">EL </w:t>
      </w:r>
      <w:bookmarkEnd w:id="37"/>
      <w:r w:rsidR="001C66CF" w:rsidRPr="007F3D68">
        <w:rPr>
          <w:lang w:val="es-VE"/>
        </w:rPr>
        <w:t xml:space="preserve">ALEGATO RELACIONADO CON LA SUPUESTA EJECUCIÓN EXTRAJUDICIAL </w:t>
      </w:r>
      <w:r w:rsidR="00316487" w:rsidRPr="007F3D68">
        <w:rPr>
          <w:lang w:val="es-VE"/>
        </w:rPr>
        <w:t xml:space="preserve"> </w:t>
      </w:r>
      <w:r w:rsidR="00A04404" w:rsidRPr="007F3D68">
        <w:rPr>
          <w:lang w:val="es-VE"/>
        </w:rPr>
        <w:t>DE LA PRESUNTA VÍCTIMA</w:t>
      </w:r>
      <w:bookmarkEnd w:id="38"/>
      <w:r w:rsidR="00A04404" w:rsidRPr="007F3D68">
        <w:rPr>
          <w:lang w:val="es-VE"/>
        </w:rPr>
        <w:t xml:space="preserve"> </w:t>
      </w:r>
      <w:bookmarkStart w:id="39" w:name="_Toc413687816"/>
      <w:bookmarkStart w:id="40" w:name="_Toc447208868"/>
      <w:bookmarkStart w:id="41" w:name="_Toc447213174"/>
      <w:bookmarkStart w:id="42" w:name="_Toc475546041"/>
    </w:p>
    <w:p w:rsidR="004E102F" w:rsidRPr="007F3D68" w:rsidRDefault="004E102F" w:rsidP="004E102F">
      <w:pPr>
        <w:rPr>
          <w:lang w:val="es-VE"/>
        </w:rPr>
      </w:pPr>
    </w:p>
    <w:p w:rsidR="00B13B48" w:rsidRPr="007F3D68" w:rsidRDefault="00B13B48" w:rsidP="00B13B4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es-ES"/>
        </w:rPr>
      </w:pPr>
      <w:r w:rsidRPr="007F3D68">
        <w:rPr>
          <w:rFonts w:ascii="Cambria" w:hAnsi="Cambria"/>
          <w:sz w:val="20"/>
          <w:szCs w:val="20"/>
          <w:lang w:val="es-CO"/>
        </w:rPr>
        <w:t>Como se indicó, la CIDH adoptó su informe de admisibilidad 24/04 el 26 de febrero de 2004, y con posterioridad recibió información sobre la supuesta ejecución extrajudicial de la presunta víctima en 2006, y por ende, resulta necesario analizar la admisibilidad de los alegatos relacionados con ese hecho.</w:t>
      </w:r>
    </w:p>
    <w:p w:rsidR="00B13B48" w:rsidRPr="007F3D68" w:rsidRDefault="00B13B48" w:rsidP="00B13B48">
      <w:pPr>
        <w:rPr>
          <w:lang w:val="es-ES"/>
        </w:rPr>
      </w:pPr>
    </w:p>
    <w:p w:rsidR="009C3C33" w:rsidRPr="007F3D68" w:rsidRDefault="009C3C33" w:rsidP="007B70F7">
      <w:pPr>
        <w:pStyle w:val="Heading2"/>
        <w:keepNext w:val="0"/>
        <w:numPr>
          <w:ilvl w:val="0"/>
          <w:numId w:val="61"/>
        </w:numPr>
        <w:pBdr>
          <w:top w:val="nil"/>
          <w:left w:val="nil"/>
          <w:bottom w:val="nil"/>
          <w:right w:val="nil"/>
          <w:between w:val="nil"/>
          <w:bar w:val="nil"/>
        </w:pBdr>
        <w:ind w:left="1440" w:hanging="720"/>
        <w:rPr>
          <w:color w:val="000000"/>
          <w:lang w:val="es-ES"/>
        </w:rPr>
      </w:pPr>
      <w:bookmarkStart w:id="43" w:name="_Toc495479533"/>
      <w:r w:rsidRPr="007F3D68">
        <w:rPr>
          <w:lang w:val="es-ES"/>
        </w:rPr>
        <w:t xml:space="preserve">Competencia </w:t>
      </w:r>
      <w:proofErr w:type="spellStart"/>
      <w:r w:rsidRPr="007F3D68">
        <w:rPr>
          <w:i/>
          <w:lang w:val="es-ES"/>
        </w:rPr>
        <w:t>ratione</w:t>
      </w:r>
      <w:proofErr w:type="spellEnd"/>
      <w:r w:rsidRPr="007F3D68">
        <w:rPr>
          <w:i/>
        </w:rPr>
        <w:t xml:space="preserve"> </w:t>
      </w:r>
      <w:proofErr w:type="spellStart"/>
      <w:r w:rsidRPr="007F3D68">
        <w:rPr>
          <w:i/>
        </w:rPr>
        <w:t>materiae</w:t>
      </w:r>
      <w:proofErr w:type="spellEnd"/>
      <w:r w:rsidRPr="007F3D68">
        <w:t xml:space="preserve">, </w:t>
      </w:r>
      <w:proofErr w:type="spellStart"/>
      <w:r w:rsidRPr="007F3D68">
        <w:rPr>
          <w:i/>
        </w:rPr>
        <w:t>ratione</w:t>
      </w:r>
      <w:proofErr w:type="spellEnd"/>
      <w:r w:rsidRPr="007F3D68">
        <w:rPr>
          <w:i/>
        </w:rPr>
        <w:t xml:space="preserve"> </w:t>
      </w:r>
      <w:proofErr w:type="spellStart"/>
      <w:r w:rsidRPr="007F3D68">
        <w:rPr>
          <w:i/>
        </w:rPr>
        <w:t>personae</w:t>
      </w:r>
      <w:proofErr w:type="spellEnd"/>
      <w:r w:rsidRPr="007F3D68">
        <w:t xml:space="preserve">, </w:t>
      </w:r>
      <w:proofErr w:type="spellStart"/>
      <w:r w:rsidRPr="007F3D68">
        <w:rPr>
          <w:i/>
        </w:rPr>
        <w:t>ratione</w:t>
      </w:r>
      <w:proofErr w:type="spellEnd"/>
      <w:r w:rsidRPr="007F3D68">
        <w:rPr>
          <w:i/>
        </w:rPr>
        <w:t xml:space="preserve"> </w:t>
      </w:r>
      <w:proofErr w:type="spellStart"/>
      <w:r w:rsidRPr="007F3D68">
        <w:rPr>
          <w:i/>
        </w:rPr>
        <w:t>temporis</w:t>
      </w:r>
      <w:proofErr w:type="spellEnd"/>
      <w:r w:rsidRPr="007F3D68">
        <w:t xml:space="preserve"> y </w:t>
      </w:r>
      <w:proofErr w:type="spellStart"/>
      <w:r w:rsidRPr="007F3D68">
        <w:rPr>
          <w:i/>
        </w:rPr>
        <w:t>ratione</w:t>
      </w:r>
      <w:proofErr w:type="spellEnd"/>
      <w:r w:rsidRPr="007F3D68">
        <w:rPr>
          <w:i/>
        </w:rPr>
        <w:t xml:space="preserve"> </w:t>
      </w:r>
      <w:proofErr w:type="spellStart"/>
      <w:r w:rsidRPr="007F3D68">
        <w:rPr>
          <w:i/>
        </w:rPr>
        <w:t>loci</w:t>
      </w:r>
      <w:proofErr w:type="spellEnd"/>
      <w:r w:rsidRPr="007F3D68">
        <w:t xml:space="preserve"> de la  Comisión</w:t>
      </w:r>
      <w:bookmarkEnd w:id="39"/>
      <w:bookmarkEnd w:id="40"/>
      <w:bookmarkEnd w:id="41"/>
      <w:bookmarkEnd w:id="42"/>
      <w:bookmarkEnd w:id="43"/>
      <w:r w:rsidRPr="007F3D68">
        <w:rPr>
          <w:color w:val="000000"/>
          <w:lang w:val="es-ES"/>
        </w:rPr>
        <w:t xml:space="preserve"> </w:t>
      </w:r>
    </w:p>
    <w:p w:rsidR="009C3C33" w:rsidRPr="007F3D68" w:rsidRDefault="009C3C33"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FD0360" w:rsidRPr="007F3D68" w:rsidRDefault="009C3C33" w:rsidP="00FD03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 xml:space="preserve">Los peticionarios se encuentran facultados por el artículo 44 de la Convención Americana para presentar denuncias. Asimismo, las presuntas víctimas son personas naturales que se encontraban bajo la jurisdicción del Estado </w:t>
      </w:r>
      <w:r w:rsidR="00002210" w:rsidRPr="007F3D68">
        <w:rPr>
          <w:rFonts w:ascii="Cambria" w:hAnsi="Cambria"/>
          <w:sz w:val="20"/>
          <w:szCs w:val="20"/>
          <w:lang w:val="es-CO"/>
        </w:rPr>
        <w:t>guatemalteco</w:t>
      </w:r>
      <w:r w:rsidRPr="007F3D68">
        <w:rPr>
          <w:rFonts w:ascii="Cambria" w:hAnsi="Cambria"/>
          <w:sz w:val="20"/>
          <w:szCs w:val="20"/>
          <w:lang w:val="es-CO"/>
        </w:rPr>
        <w:t xml:space="preserve"> a la fecha de los hechos aducidos. En consecuencia, la Comisión tiene competencia </w:t>
      </w:r>
      <w:r w:rsidRPr="007F3D68">
        <w:rPr>
          <w:rFonts w:ascii="Cambria" w:hAnsi="Cambria"/>
          <w:i/>
          <w:sz w:val="20"/>
          <w:szCs w:val="20"/>
          <w:lang w:val="es-CO"/>
        </w:rPr>
        <w:t>ratione personae</w:t>
      </w:r>
      <w:r w:rsidRPr="007F3D68">
        <w:rPr>
          <w:rFonts w:ascii="Cambria" w:hAnsi="Cambria"/>
          <w:sz w:val="20"/>
          <w:szCs w:val="20"/>
          <w:lang w:val="es-CO"/>
        </w:rPr>
        <w:t xml:space="preserve"> para examinar la petición. La Comisión tiene competencia </w:t>
      </w:r>
      <w:r w:rsidRPr="007F3D68">
        <w:rPr>
          <w:rFonts w:ascii="Cambria" w:hAnsi="Cambria"/>
          <w:i/>
          <w:sz w:val="20"/>
          <w:szCs w:val="20"/>
          <w:lang w:val="es-CO"/>
        </w:rPr>
        <w:t>ratione loci</w:t>
      </w:r>
      <w:r w:rsidRPr="007F3D68">
        <w:rPr>
          <w:rFonts w:ascii="Cambria" w:hAnsi="Cambria"/>
          <w:sz w:val="20"/>
          <w:szCs w:val="20"/>
          <w:lang w:val="es-CO"/>
        </w:rPr>
        <w:t xml:space="preserve"> para conocer la petición, por cuanto en ella se alegan violaciones de la Convención Americana que habrían tenido lugar dentro del territorio de un Estado parte de dicho tratado. La CIDH tiene competencia </w:t>
      </w:r>
      <w:r w:rsidRPr="007F3D68">
        <w:rPr>
          <w:rFonts w:ascii="Cambria" w:hAnsi="Cambria"/>
          <w:i/>
          <w:sz w:val="20"/>
          <w:szCs w:val="20"/>
          <w:lang w:val="es-CO"/>
        </w:rPr>
        <w:t>ratione materiae</w:t>
      </w:r>
      <w:r w:rsidRPr="007F3D68">
        <w:rPr>
          <w:rFonts w:ascii="Cambria" w:hAnsi="Cambria"/>
          <w:sz w:val="20"/>
          <w:szCs w:val="20"/>
          <w:lang w:val="es-CO"/>
        </w:rPr>
        <w:t xml:space="preserve"> debido a que la petición se refiere a presuntas violacio</w:t>
      </w:r>
      <w:r w:rsidR="00FD0360" w:rsidRPr="007F3D68">
        <w:rPr>
          <w:rFonts w:ascii="Cambria" w:hAnsi="Cambria"/>
          <w:sz w:val="20"/>
          <w:szCs w:val="20"/>
          <w:lang w:val="es-CO"/>
        </w:rPr>
        <w:t>nes de la Convención Americana.</w:t>
      </w:r>
    </w:p>
    <w:p w:rsidR="00FD0360" w:rsidRPr="007F3D68" w:rsidRDefault="00FD0360" w:rsidP="00FD03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C709D4" w:rsidRPr="007F3D68" w:rsidRDefault="003A7C0D" w:rsidP="00B13B4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cs="Calibri"/>
          <w:sz w:val="20"/>
          <w:szCs w:val="20"/>
          <w:lang w:val="es-MX"/>
        </w:rPr>
        <w:t xml:space="preserve"> Finalmente, l</w:t>
      </w:r>
      <w:r w:rsidRPr="007F3D68">
        <w:rPr>
          <w:rFonts w:ascii="Cambria" w:hAnsi="Cambria" w:cs="Calibri"/>
          <w:sz w:val="20"/>
          <w:szCs w:val="20"/>
          <w:lang w:val="es-VE"/>
        </w:rPr>
        <w:t xml:space="preserve">a Comisión también tiene competencia </w:t>
      </w:r>
      <w:r w:rsidRPr="007F3D68">
        <w:rPr>
          <w:rFonts w:ascii="Cambria" w:hAnsi="Cambria" w:cs="Calibri"/>
          <w:i/>
          <w:sz w:val="20"/>
          <w:szCs w:val="20"/>
          <w:lang w:val="es-VE"/>
        </w:rPr>
        <w:t>ratione temporis</w:t>
      </w:r>
      <w:r w:rsidR="00DA391E" w:rsidRPr="007F3D68">
        <w:rPr>
          <w:rFonts w:ascii="Cambria" w:hAnsi="Cambria" w:cs="Calibri"/>
          <w:i/>
          <w:sz w:val="20"/>
          <w:szCs w:val="20"/>
          <w:lang w:val="es-VE"/>
        </w:rPr>
        <w:t>,</w:t>
      </w:r>
      <w:r w:rsidR="00D37BBE" w:rsidRPr="007F3D68">
        <w:rPr>
          <w:rFonts w:ascii="Cambria" w:hAnsi="Cambria" w:cs="Calibri"/>
          <w:sz w:val="20"/>
          <w:szCs w:val="20"/>
          <w:lang w:val="es-VE"/>
        </w:rPr>
        <w:t xml:space="preserve"> pues Guatemala</w:t>
      </w:r>
      <w:r w:rsidRPr="007F3D68">
        <w:rPr>
          <w:rFonts w:ascii="Cambria" w:hAnsi="Cambria" w:cs="Calibri"/>
          <w:sz w:val="20"/>
          <w:szCs w:val="20"/>
          <w:lang w:val="es-VE"/>
        </w:rPr>
        <w:t xml:space="preserve"> ratificó la Convenc</w:t>
      </w:r>
      <w:r w:rsidR="00D37BBE" w:rsidRPr="007F3D68">
        <w:rPr>
          <w:rFonts w:ascii="Cambria" w:hAnsi="Cambria" w:cs="Calibri"/>
          <w:sz w:val="20"/>
          <w:szCs w:val="20"/>
          <w:lang w:val="es-VE"/>
        </w:rPr>
        <w:t>ión Americana el 2</w:t>
      </w:r>
      <w:r w:rsidR="006D7C4C" w:rsidRPr="007F3D68">
        <w:rPr>
          <w:rFonts w:ascii="Cambria" w:hAnsi="Cambria" w:cs="Calibri"/>
          <w:sz w:val="20"/>
          <w:szCs w:val="20"/>
          <w:lang w:val="es-VE"/>
        </w:rPr>
        <w:t>5</w:t>
      </w:r>
      <w:r w:rsidRPr="007F3D68">
        <w:rPr>
          <w:rFonts w:ascii="Cambria" w:hAnsi="Cambria" w:cs="Calibri"/>
          <w:sz w:val="20"/>
          <w:szCs w:val="20"/>
          <w:lang w:val="es-VE"/>
        </w:rPr>
        <w:t xml:space="preserve"> de </w:t>
      </w:r>
      <w:r w:rsidR="006D7C4C" w:rsidRPr="007F3D68">
        <w:rPr>
          <w:rFonts w:ascii="Cambria" w:hAnsi="Cambria" w:cs="Calibri"/>
          <w:sz w:val="20"/>
          <w:szCs w:val="20"/>
          <w:lang w:val="es-VE"/>
        </w:rPr>
        <w:t>mayo</w:t>
      </w:r>
      <w:r w:rsidR="000D1743" w:rsidRPr="007F3D68">
        <w:rPr>
          <w:rFonts w:ascii="Cambria" w:hAnsi="Cambria" w:cs="Calibri"/>
          <w:sz w:val="20"/>
          <w:szCs w:val="20"/>
          <w:lang w:val="es-VE"/>
        </w:rPr>
        <w:t xml:space="preserve"> de 1978</w:t>
      </w:r>
      <w:r w:rsidR="00C709D4" w:rsidRPr="007F3D68">
        <w:rPr>
          <w:rFonts w:ascii="Cambria" w:hAnsi="Cambria"/>
          <w:sz w:val="20"/>
          <w:szCs w:val="20"/>
          <w:lang w:val="es-CO"/>
        </w:rPr>
        <w:t>. Por lo tanto</w:t>
      </w:r>
      <w:r w:rsidR="00926B86" w:rsidRPr="007F3D68">
        <w:rPr>
          <w:rFonts w:ascii="Cambria" w:hAnsi="Cambria"/>
          <w:sz w:val="20"/>
          <w:szCs w:val="20"/>
          <w:lang w:val="es-CO"/>
        </w:rPr>
        <w:t>,</w:t>
      </w:r>
      <w:r w:rsidR="00C709D4" w:rsidRPr="007F3D68">
        <w:rPr>
          <w:rFonts w:ascii="Cambria" w:hAnsi="Cambria"/>
          <w:sz w:val="20"/>
          <w:szCs w:val="20"/>
          <w:lang w:val="es-CO"/>
        </w:rPr>
        <w:t xml:space="preserve"> la obligación de respetar y garantizar</w:t>
      </w:r>
      <w:r w:rsidR="000D1743" w:rsidRPr="007F3D68">
        <w:rPr>
          <w:rFonts w:ascii="Cambria" w:hAnsi="Cambria"/>
          <w:sz w:val="20"/>
          <w:szCs w:val="20"/>
          <w:lang w:val="es-CO"/>
        </w:rPr>
        <w:t xml:space="preserve"> los derechos establecidos en dicho tratado</w:t>
      </w:r>
      <w:r w:rsidR="00C709D4" w:rsidRPr="007F3D68">
        <w:rPr>
          <w:rFonts w:ascii="Cambria" w:hAnsi="Cambria"/>
          <w:sz w:val="20"/>
          <w:szCs w:val="20"/>
          <w:lang w:val="es-CO"/>
        </w:rPr>
        <w:t xml:space="preserve"> estaba en vigor para el Estado en la fecha </w:t>
      </w:r>
      <w:r w:rsidR="00926B86" w:rsidRPr="007F3D68">
        <w:rPr>
          <w:rFonts w:ascii="Cambria" w:hAnsi="Cambria"/>
          <w:sz w:val="20"/>
          <w:szCs w:val="20"/>
          <w:lang w:val="es-CO"/>
        </w:rPr>
        <w:t xml:space="preserve">en </w:t>
      </w:r>
      <w:r w:rsidR="00C709D4" w:rsidRPr="007F3D68">
        <w:rPr>
          <w:rFonts w:ascii="Cambria" w:hAnsi="Cambria"/>
          <w:sz w:val="20"/>
          <w:szCs w:val="20"/>
          <w:lang w:val="es-CO"/>
        </w:rPr>
        <w:t>que habrían ocurrido los hechos.</w:t>
      </w:r>
    </w:p>
    <w:p w:rsidR="00DC6667" w:rsidRPr="007F3D68" w:rsidRDefault="00DC6667"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9809FF" w:rsidRPr="007F3D68" w:rsidRDefault="00D37BBE" w:rsidP="007B70F7">
      <w:pPr>
        <w:pStyle w:val="Heading2"/>
        <w:keepNext w:val="0"/>
        <w:numPr>
          <w:ilvl w:val="0"/>
          <w:numId w:val="61"/>
        </w:numPr>
        <w:pBdr>
          <w:top w:val="nil"/>
          <w:left w:val="nil"/>
          <w:bottom w:val="nil"/>
          <w:right w:val="nil"/>
          <w:between w:val="nil"/>
          <w:bar w:val="nil"/>
        </w:pBdr>
        <w:ind w:left="1440" w:hanging="720"/>
        <w:rPr>
          <w:lang w:val="es-ES"/>
        </w:rPr>
      </w:pPr>
      <w:bookmarkStart w:id="44" w:name="_Toc413687817"/>
      <w:bookmarkStart w:id="45" w:name="_Toc447208869"/>
      <w:bookmarkStart w:id="46" w:name="_Toc447213175"/>
      <w:bookmarkStart w:id="47" w:name="_Toc475546042"/>
      <w:bookmarkStart w:id="48" w:name="_Toc495479534"/>
      <w:r w:rsidRPr="007F3D68">
        <w:rPr>
          <w:lang w:val="es-ES"/>
        </w:rPr>
        <w:t>Requisitos de admisibilidad</w:t>
      </w:r>
      <w:bookmarkEnd w:id="44"/>
      <w:bookmarkEnd w:id="45"/>
      <w:bookmarkEnd w:id="46"/>
      <w:bookmarkEnd w:id="47"/>
      <w:bookmarkEnd w:id="48"/>
    </w:p>
    <w:p w:rsidR="00DD3EF7" w:rsidRPr="007F3D68" w:rsidRDefault="00DD3EF7" w:rsidP="00DD3EF7">
      <w:pPr>
        <w:rPr>
          <w:lang w:val="es-ES"/>
        </w:rPr>
      </w:pPr>
    </w:p>
    <w:p w:rsidR="009809FF" w:rsidRPr="007F3D68" w:rsidRDefault="009809FF" w:rsidP="009809FF">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bdr w:val="none" w:sz="0" w:space="0" w:color="auto"/>
          <w:lang w:val="es-VE"/>
        </w:rPr>
      </w:pPr>
      <w:bookmarkStart w:id="49" w:name="_Toc413687818"/>
      <w:bookmarkStart w:id="50" w:name="_Toc447208870"/>
      <w:bookmarkStart w:id="51" w:name="_Toc447213176"/>
      <w:bookmarkStart w:id="52" w:name="_Toc475546043"/>
      <w:bookmarkStart w:id="53" w:name="_Toc495479535"/>
      <w:r w:rsidRPr="007F3D68">
        <w:rPr>
          <w:rFonts w:ascii="Cambria" w:eastAsia="Times New Roman" w:hAnsi="Cambria" w:cs="Arial"/>
          <w:color w:val="auto"/>
          <w:sz w:val="20"/>
          <w:szCs w:val="20"/>
          <w:bdr w:val="none" w:sz="0" w:space="0" w:color="auto"/>
          <w:lang w:val="es-VE"/>
        </w:rPr>
        <w:t>Agotamiento de los recursos internos</w:t>
      </w:r>
      <w:bookmarkEnd w:id="49"/>
      <w:bookmarkEnd w:id="50"/>
      <w:bookmarkEnd w:id="51"/>
      <w:bookmarkEnd w:id="52"/>
      <w:r w:rsidR="00170EC8" w:rsidRPr="007F3D68">
        <w:rPr>
          <w:rFonts w:ascii="Cambria" w:eastAsia="Times New Roman" w:hAnsi="Cambria" w:cs="Arial"/>
          <w:color w:val="auto"/>
          <w:sz w:val="20"/>
          <w:szCs w:val="20"/>
          <w:bdr w:val="none" w:sz="0" w:space="0" w:color="auto"/>
          <w:lang w:val="es-VE"/>
        </w:rPr>
        <w:t xml:space="preserve"> y plazo de presentación</w:t>
      </w:r>
      <w:bookmarkEnd w:id="53"/>
      <w:r w:rsidR="00170EC8" w:rsidRPr="007F3D68">
        <w:rPr>
          <w:rFonts w:ascii="Cambria" w:eastAsia="Times New Roman" w:hAnsi="Cambria" w:cs="Arial"/>
          <w:color w:val="auto"/>
          <w:sz w:val="20"/>
          <w:szCs w:val="20"/>
          <w:bdr w:val="none" w:sz="0" w:space="0" w:color="auto"/>
          <w:lang w:val="es-VE"/>
        </w:rPr>
        <w:t xml:space="preserve"> </w:t>
      </w:r>
    </w:p>
    <w:p w:rsidR="00B95EE0" w:rsidRPr="007F3D68" w:rsidRDefault="00B95EE0" w:rsidP="00B95E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MX"/>
        </w:rPr>
      </w:pPr>
    </w:p>
    <w:p w:rsidR="004E102F" w:rsidRPr="007F3D68" w:rsidRDefault="00C9741F" w:rsidP="007F3D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MX"/>
        </w:rPr>
      </w:pPr>
      <w:r w:rsidRPr="007F3D68">
        <w:rPr>
          <w:rFonts w:ascii="Cambria" w:hAnsi="Cambria" w:cs="Calibri"/>
          <w:sz w:val="20"/>
          <w:szCs w:val="20"/>
          <w:lang w:val="es-VE"/>
        </w:rPr>
        <w:t xml:space="preserve">La Comisión observa que </w:t>
      </w:r>
      <w:r w:rsidR="00316487" w:rsidRPr="007F3D68">
        <w:rPr>
          <w:rFonts w:ascii="Cambria" w:hAnsi="Cambria" w:cs="Calibri"/>
          <w:sz w:val="20"/>
          <w:szCs w:val="20"/>
          <w:lang w:val="es-VE"/>
        </w:rPr>
        <w:t>los peticionarios denunciaron la violación al derecho a la vida en virtud de su supuesta ejecución extrajudicial, ocurrida el</w:t>
      </w:r>
      <w:r w:rsidR="00DF077E" w:rsidRPr="007F3D68">
        <w:rPr>
          <w:rFonts w:ascii="Cambria" w:hAnsi="Cambria" w:cs="Calibri"/>
          <w:sz w:val="20"/>
          <w:szCs w:val="20"/>
          <w:lang w:val="es-VE"/>
        </w:rPr>
        <w:t xml:space="preserve"> 22 de octubre de</w:t>
      </w:r>
      <w:r w:rsidR="00316487" w:rsidRPr="007F3D68">
        <w:rPr>
          <w:rFonts w:ascii="Cambria" w:hAnsi="Cambria" w:cs="Calibri"/>
          <w:sz w:val="20"/>
          <w:szCs w:val="20"/>
          <w:lang w:val="es-VE"/>
        </w:rPr>
        <w:t xml:space="preserve"> </w:t>
      </w:r>
      <w:r w:rsidR="00E47E60" w:rsidRPr="007F3D68">
        <w:rPr>
          <w:rFonts w:ascii="Cambria" w:hAnsi="Cambria" w:cs="Calibri"/>
          <w:sz w:val="20"/>
          <w:szCs w:val="20"/>
          <w:lang w:val="es-VE"/>
        </w:rPr>
        <w:t>2005</w:t>
      </w:r>
      <w:r w:rsidR="0083217D" w:rsidRPr="007F3D68">
        <w:rPr>
          <w:rFonts w:ascii="Cambria" w:hAnsi="Cambria" w:cs="Calibri"/>
          <w:sz w:val="20"/>
          <w:szCs w:val="20"/>
          <w:lang w:val="es-VE"/>
        </w:rPr>
        <w:t>.</w:t>
      </w:r>
      <w:r w:rsidR="002133A4" w:rsidRPr="007F3D68">
        <w:rPr>
          <w:rFonts w:ascii="Cambria" w:hAnsi="Cambria" w:cs="Calibri"/>
          <w:sz w:val="20"/>
          <w:szCs w:val="20"/>
          <w:lang w:val="es-VE"/>
        </w:rPr>
        <w:t xml:space="preserve"> </w:t>
      </w:r>
      <w:r w:rsidR="00316487" w:rsidRPr="007F3D68">
        <w:rPr>
          <w:rFonts w:ascii="Cambria" w:hAnsi="Cambria" w:cs="Calibri"/>
          <w:sz w:val="20"/>
          <w:szCs w:val="20"/>
          <w:lang w:val="es-VE"/>
        </w:rPr>
        <w:t>El Estado negó que la presunta víctima hay</w:t>
      </w:r>
      <w:r w:rsidR="00B600F4" w:rsidRPr="007F3D68">
        <w:rPr>
          <w:rFonts w:ascii="Cambria" w:hAnsi="Cambria" w:cs="Calibri"/>
          <w:sz w:val="20"/>
          <w:szCs w:val="20"/>
          <w:lang w:val="es-VE"/>
        </w:rPr>
        <w:t>a</w:t>
      </w:r>
      <w:r w:rsidR="00316487" w:rsidRPr="007F3D68">
        <w:rPr>
          <w:rFonts w:ascii="Cambria" w:hAnsi="Cambria" w:cs="Calibri"/>
          <w:sz w:val="20"/>
          <w:szCs w:val="20"/>
          <w:lang w:val="es-VE"/>
        </w:rPr>
        <w:t xml:space="preserve"> sido ejecutada </w:t>
      </w:r>
      <w:r w:rsidR="00E47E60" w:rsidRPr="007F3D68">
        <w:rPr>
          <w:rFonts w:ascii="Cambria" w:hAnsi="Cambria" w:cs="Calibri"/>
          <w:sz w:val="20"/>
          <w:szCs w:val="20"/>
          <w:lang w:val="es-VE"/>
        </w:rPr>
        <w:t xml:space="preserve">extrajudicialmente, y alegó la falta de agotamiento de los recursos </w:t>
      </w:r>
      <w:r w:rsidR="00E47E60" w:rsidRPr="007F3D68">
        <w:rPr>
          <w:rFonts w:ascii="Cambria" w:hAnsi="Cambria" w:cs="Calibri"/>
          <w:sz w:val="20"/>
          <w:szCs w:val="20"/>
          <w:lang w:val="es-VE"/>
        </w:rPr>
        <w:lastRenderedPageBreak/>
        <w:t xml:space="preserve">internos ya que se encuentra en curso una investigación penal relacionada con la muerte de la presunta víctima. </w:t>
      </w:r>
    </w:p>
    <w:p w:rsidR="00E47E60" w:rsidRPr="007F3D68" w:rsidRDefault="00E47E60" w:rsidP="00E47E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MX"/>
        </w:rPr>
      </w:pPr>
      <w:r w:rsidRPr="007F3D68">
        <w:rPr>
          <w:rFonts w:ascii="Cambria" w:hAnsi="Cambria" w:cs="Calibri"/>
          <w:sz w:val="20"/>
          <w:szCs w:val="20"/>
          <w:lang w:val="es-MX"/>
        </w:rPr>
        <w:t xml:space="preserve">La Comisión </w:t>
      </w:r>
      <w:r w:rsidR="0083217D" w:rsidRPr="007F3D68">
        <w:rPr>
          <w:rFonts w:ascii="Cambria" w:hAnsi="Cambria" w:cs="Calibri"/>
          <w:sz w:val="20"/>
          <w:szCs w:val="20"/>
          <w:lang w:val="es-MX"/>
        </w:rPr>
        <w:t>observa que transcurridos más de 11 años desde</w:t>
      </w:r>
      <w:r w:rsidR="00B600F4" w:rsidRPr="007F3D68">
        <w:rPr>
          <w:rFonts w:ascii="Cambria" w:hAnsi="Cambria" w:cs="Calibri"/>
          <w:sz w:val="20"/>
          <w:szCs w:val="20"/>
          <w:lang w:val="es-MX"/>
        </w:rPr>
        <w:t xml:space="preserve"> la alega</w:t>
      </w:r>
      <w:r w:rsidR="00055BEE" w:rsidRPr="007F3D68">
        <w:rPr>
          <w:rFonts w:ascii="Cambria" w:hAnsi="Cambria" w:cs="Calibri"/>
          <w:sz w:val="20"/>
          <w:szCs w:val="20"/>
          <w:lang w:val="es-MX"/>
        </w:rPr>
        <w:t>da ejecución extrajudicial el 8</w:t>
      </w:r>
      <w:r w:rsidR="00B600F4" w:rsidRPr="007F3D68">
        <w:rPr>
          <w:rFonts w:ascii="Cambria" w:hAnsi="Cambria" w:cs="Calibri"/>
          <w:sz w:val="20"/>
          <w:szCs w:val="20"/>
          <w:lang w:val="es-MX"/>
        </w:rPr>
        <w:t xml:space="preserve"> de </w:t>
      </w:r>
      <w:r w:rsidR="00055BEE" w:rsidRPr="007F3D68">
        <w:rPr>
          <w:rFonts w:ascii="Cambria" w:hAnsi="Cambria" w:cs="Calibri"/>
          <w:sz w:val="20"/>
          <w:szCs w:val="20"/>
          <w:lang w:val="es-MX"/>
        </w:rPr>
        <w:t>diciembre de 2006</w:t>
      </w:r>
      <w:r w:rsidR="00B600F4" w:rsidRPr="007F3D68">
        <w:rPr>
          <w:rFonts w:ascii="Cambria" w:hAnsi="Cambria" w:cs="Calibri"/>
          <w:sz w:val="20"/>
          <w:szCs w:val="20"/>
          <w:lang w:val="es-MX"/>
        </w:rPr>
        <w:t xml:space="preserve">, </w:t>
      </w:r>
      <w:r w:rsidR="0083217D" w:rsidRPr="007F3D68">
        <w:rPr>
          <w:rFonts w:ascii="Cambria" w:hAnsi="Cambria" w:cs="Calibri"/>
          <w:sz w:val="20"/>
          <w:szCs w:val="20"/>
          <w:lang w:val="es-MX"/>
        </w:rPr>
        <w:t>según información aportada por el Estado, la investigación continúa en “fase investigativa”</w:t>
      </w:r>
      <w:r w:rsidR="00B600F4" w:rsidRPr="007F3D68">
        <w:rPr>
          <w:rFonts w:ascii="Cambria" w:hAnsi="Cambria" w:cs="Calibri"/>
          <w:sz w:val="20"/>
          <w:szCs w:val="20"/>
          <w:lang w:val="es-MX"/>
        </w:rPr>
        <w:t xml:space="preserve">, por lo que no se han esclarecido judicialmente los hechos ni establecido las </w:t>
      </w:r>
      <w:r w:rsidR="00055BEE" w:rsidRPr="007F3D68">
        <w:rPr>
          <w:rFonts w:ascii="Cambria" w:hAnsi="Cambria" w:cs="Calibri"/>
          <w:sz w:val="20"/>
          <w:szCs w:val="20"/>
          <w:lang w:val="es-MX"/>
        </w:rPr>
        <w:t>posibles</w:t>
      </w:r>
      <w:r w:rsidR="00B600F4" w:rsidRPr="007F3D68">
        <w:rPr>
          <w:rFonts w:ascii="Cambria" w:hAnsi="Cambria" w:cs="Calibri"/>
          <w:sz w:val="20"/>
          <w:szCs w:val="20"/>
          <w:lang w:val="es-MX"/>
        </w:rPr>
        <w:t xml:space="preserve"> responsabilidades. </w:t>
      </w:r>
      <w:r w:rsidR="0083217D" w:rsidRPr="007F3D68">
        <w:rPr>
          <w:rFonts w:ascii="Cambria" w:hAnsi="Cambria" w:cs="Calibri"/>
          <w:sz w:val="20"/>
          <w:szCs w:val="20"/>
          <w:lang w:val="es-MX"/>
        </w:rPr>
        <w:t>Ante la duración de</w:t>
      </w:r>
      <w:r w:rsidR="00B600F4" w:rsidRPr="007F3D68">
        <w:rPr>
          <w:rFonts w:ascii="Cambria" w:hAnsi="Cambria" w:cs="Calibri"/>
          <w:sz w:val="20"/>
          <w:szCs w:val="20"/>
          <w:lang w:val="es-MX"/>
        </w:rPr>
        <w:t xml:space="preserve"> </w:t>
      </w:r>
      <w:r w:rsidR="0083217D" w:rsidRPr="007F3D68">
        <w:rPr>
          <w:rFonts w:ascii="Cambria" w:hAnsi="Cambria" w:cs="Calibri"/>
          <w:sz w:val="20"/>
          <w:szCs w:val="20"/>
          <w:lang w:val="es-MX"/>
        </w:rPr>
        <w:t>l</w:t>
      </w:r>
      <w:r w:rsidR="00B600F4" w:rsidRPr="007F3D68">
        <w:rPr>
          <w:rFonts w:ascii="Cambria" w:hAnsi="Cambria" w:cs="Calibri"/>
          <w:sz w:val="20"/>
          <w:szCs w:val="20"/>
          <w:lang w:val="es-MX"/>
        </w:rPr>
        <w:t xml:space="preserve">a investigación - que no ha sido justificada por el Estado - </w:t>
      </w:r>
      <w:r w:rsidR="0083217D" w:rsidRPr="007F3D68">
        <w:rPr>
          <w:rFonts w:ascii="Cambria" w:hAnsi="Cambria" w:cs="Calibri"/>
          <w:sz w:val="20"/>
          <w:szCs w:val="20"/>
          <w:lang w:val="es-MX"/>
        </w:rPr>
        <w:t xml:space="preserve">y tomando en cuenta  la obligación </w:t>
      </w:r>
      <w:r w:rsidR="00B600F4" w:rsidRPr="007F3D68">
        <w:rPr>
          <w:rFonts w:ascii="Cambria" w:hAnsi="Cambria" w:cs="Calibri"/>
          <w:sz w:val="20"/>
          <w:szCs w:val="20"/>
          <w:lang w:val="es-MX"/>
        </w:rPr>
        <w:t xml:space="preserve">estatal de investigar </w:t>
      </w:r>
      <w:r w:rsidR="0083217D" w:rsidRPr="007F3D68">
        <w:rPr>
          <w:rFonts w:ascii="Cambria" w:hAnsi="Cambria" w:cs="Calibri"/>
          <w:i/>
          <w:sz w:val="20"/>
          <w:szCs w:val="20"/>
          <w:lang w:val="es-MX"/>
        </w:rPr>
        <w:t xml:space="preserve">ex </w:t>
      </w:r>
      <w:proofErr w:type="spellStart"/>
      <w:r w:rsidR="0083217D" w:rsidRPr="007F3D68">
        <w:rPr>
          <w:rFonts w:ascii="Cambria" w:hAnsi="Cambria" w:cs="Calibri"/>
          <w:i/>
          <w:sz w:val="20"/>
          <w:szCs w:val="20"/>
          <w:lang w:val="es-MX"/>
        </w:rPr>
        <w:t>officio</w:t>
      </w:r>
      <w:proofErr w:type="spellEnd"/>
      <w:r w:rsidR="0083217D" w:rsidRPr="007F3D68">
        <w:rPr>
          <w:rFonts w:ascii="Cambria" w:hAnsi="Cambria" w:cs="Calibri"/>
          <w:sz w:val="20"/>
          <w:szCs w:val="20"/>
          <w:lang w:val="es-MX"/>
        </w:rPr>
        <w:t xml:space="preserve"> </w:t>
      </w:r>
      <w:r w:rsidR="00055BEE" w:rsidRPr="007F3D68">
        <w:rPr>
          <w:rFonts w:ascii="Cambria" w:hAnsi="Cambria" w:cs="Calibri"/>
          <w:sz w:val="20"/>
          <w:szCs w:val="20"/>
          <w:lang w:val="es-MX"/>
        </w:rPr>
        <w:t xml:space="preserve">presuntas </w:t>
      </w:r>
      <w:r w:rsidR="00B600F4" w:rsidRPr="007F3D68">
        <w:rPr>
          <w:rFonts w:ascii="Cambria" w:hAnsi="Cambria" w:cs="Calibri"/>
          <w:sz w:val="20"/>
          <w:szCs w:val="20"/>
          <w:lang w:val="es-MX"/>
        </w:rPr>
        <w:t>violaciones como las denunciadas</w:t>
      </w:r>
      <w:r w:rsidR="0083217D" w:rsidRPr="007F3D68">
        <w:rPr>
          <w:rFonts w:ascii="Cambria" w:hAnsi="Cambria" w:cs="Calibri"/>
          <w:sz w:val="20"/>
          <w:szCs w:val="20"/>
          <w:lang w:val="es-MX"/>
        </w:rPr>
        <w:t xml:space="preserve">, la CIDH considera que es aplicable la excepción al requisito de agotamiento prevista en el artículo 46.2.c de la Convención Americana. </w:t>
      </w:r>
    </w:p>
    <w:p w:rsidR="009E353E" w:rsidRPr="007F3D68" w:rsidRDefault="009E353E" w:rsidP="009E353E">
      <w:pPr>
        <w:pStyle w:val="ListParagraph"/>
        <w:rPr>
          <w:rFonts w:cs="Calibri"/>
          <w:sz w:val="20"/>
          <w:szCs w:val="20"/>
          <w:lang w:val="es-MX"/>
        </w:rPr>
      </w:pPr>
    </w:p>
    <w:p w:rsidR="009E353E" w:rsidRPr="007F3D68" w:rsidRDefault="009E353E" w:rsidP="009E353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s="Calibri"/>
          <w:sz w:val="20"/>
          <w:szCs w:val="20"/>
          <w:lang w:val="es-VE"/>
        </w:rPr>
      </w:pPr>
      <w:r w:rsidRPr="007F3D68">
        <w:rPr>
          <w:rFonts w:ascii="Cambria" w:hAnsi="Cambria" w:cs="Calibri"/>
          <w:sz w:val="20"/>
          <w:szCs w:val="20"/>
          <w:lang w:val="es-MX"/>
        </w:rPr>
        <w:t>Por otra parte</w:t>
      </w:r>
      <w:r w:rsidR="00B600F4" w:rsidRPr="007F3D68">
        <w:rPr>
          <w:rFonts w:ascii="Cambria" w:hAnsi="Cambria" w:cs="Calibri"/>
          <w:sz w:val="20"/>
          <w:szCs w:val="20"/>
          <w:lang w:val="es-MX"/>
        </w:rPr>
        <w:t xml:space="preserve"> y en cuanto al plazo de presentación de la petición, </w:t>
      </w:r>
      <w:r w:rsidR="00B600F4" w:rsidRPr="007F3D68">
        <w:rPr>
          <w:rFonts w:asciiTheme="majorHAnsi" w:hAnsiTheme="majorHAnsi" w:cs="Calibri"/>
          <w:sz w:val="20"/>
          <w:szCs w:val="20"/>
          <w:lang w:val="es-VE"/>
        </w:rPr>
        <w:t>la Comisión recuerda que c</w:t>
      </w:r>
      <w:r w:rsidR="003316AF" w:rsidRPr="007F3D68">
        <w:rPr>
          <w:rFonts w:asciiTheme="majorHAnsi" w:hAnsiTheme="majorHAnsi" w:cs="Calibri"/>
          <w:sz w:val="20"/>
          <w:szCs w:val="20"/>
          <w:lang w:val="es-VE"/>
        </w:rPr>
        <w:t xml:space="preserve">onforme al artículo 32 del Reglamento de la Comisión en los casos en los cuales resulten aplicables las excepciones al previo agotamiento de los recursos internos, la petición deberá presentarse dentro de un plazo razonable  </w:t>
      </w:r>
    </w:p>
    <w:p w:rsidR="009E353E" w:rsidRPr="007F3D68" w:rsidRDefault="009E353E" w:rsidP="009E353E">
      <w:pPr>
        <w:pStyle w:val="ListParagraph"/>
        <w:rPr>
          <w:rFonts w:asciiTheme="majorHAnsi" w:hAnsiTheme="majorHAnsi" w:cs="Calibri"/>
          <w:sz w:val="20"/>
          <w:szCs w:val="20"/>
          <w:lang w:val="es-VE"/>
        </w:rPr>
      </w:pPr>
    </w:p>
    <w:p w:rsidR="007D2080" w:rsidRPr="007F3D68" w:rsidRDefault="009E353E" w:rsidP="00DD49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Theme="majorHAnsi" w:hAnsiTheme="majorHAnsi" w:cs="Calibri"/>
          <w:sz w:val="20"/>
          <w:szCs w:val="20"/>
          <w:lang w:val="es-VE"/>
        </w:rPr>
        <w:t xml:space="preserve">En el presente caso, </w:t>
      </w:r>
      <w:r w:rsidR="00EC2F58" w:rsidRPr="007F3D68">
        <w:rPr>
          <w:rFonts w:asciiTheme="majorHAnsi" w:hAnsiTheme="majorHAnsi" w:cs="Calibri"/>
          <w:sz w:val="20"/>
          <w:szCs w:val="20"/>
          <w:lang w:val="es-VE"/>
        </w:rPr>
        <w:t>el alegato de ejecución extrajudicial constituye un hecho superviniente a la petición inicial</w:t>
      </w:r>
      <w:r w:rsidR="000D7174" w:rsidRPr="007F3D68">
        <w:rPr>
          <w:rFonts w:asciiTheme="majorHAnsi" w:hAnsiTheme="majorHAnsi" w:cs="Calibri"/>
          <w:sz w:val="20"/>
          <w:szCs w:val="20"/>
          <w:lang w:val="es-VE"/>
        </w:rPr>
        <w:t>, el cual fue debidamente informado a la Comisión al momento de su ocurrencia. En ese sentido, a la luz de las particularidades del caso, la Comisión considera que el requisito de presentación oportuna se encuentra satisfecho.</w:t>
      </w:r>
    </w:p>
    <w:p w:rsidR="00E6354B" w:rsidRPr="007F3D68" w:rsidRDefault="001335C7"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r w:rsidRPr="007F3D68">
        <w:rPr>
          <w:rFonts w:ascii="Cambria" w:hAnsi="Cambria" w:cs="Calibri"/>
          <w:sz w:val="20"/>
          <w:szCs w:val="20"/>
          <w:lang w:val="es-VE"/>
        </w:rPr>
        <w:t xml:space="preserve"> </w:t>
      </w:r>
    </w:p>
    <w:p w:rsidR="006D7C4C" w:rsidRPr="007F3D68" w:rsidRDefault="006D7C4C" w:rsidP="004E102F">
      <w:pPr>
        <w:pStyle w:val="Heading3"/>
        <w:keepNext w:val="0"/>
        <w:keepLines w:val="0"/>
        <w:numPr>
          <w:ilvl w:val="1"/>
          <w:numId w:val="55"/>
        </w:numPr>
        <w:tabs>
          <w:tab w:val="clear" w:pos="1800"/>
        </w:tabs>
        <w:spacing w:before="0"/>
        <w:ind w:left="1260" w:hanging="540"/>
        <w:jc w:val="both"/>
        <w:rPr>
          <w:rFonts w:ascii="Cambria" w:eastAsia="Times New Roman" w:hAnsi="Cambria" w:cs="Arial"/>
          <w:color w:val="auto"/>
          <w:sz w:val="20"/>
          <w:szCs w:val="20"/>
          <w:bdr w:val="none" w:sz="0" w:space="0" w:color="auto"/>
          <w:lang w:val="es-VE"/>
        </w:rPr>
      </w:pPr>
      <w:bookmarkStart w:id="54" w:name="_Toc413687820"/>
      <w:bookmarkStart w:id="55" w:name="_Toc447208872"/>
      <w:bookmarkStart w:id="56" w:name="_Toc447213178"/>
      <w:bookmarkStart w:id="57" w:name="_Toc475546045"/>
      <w:bookmarkStart w:id="58" w:name="_Toc495479536"/>
      <w:r w:rsidRPr="007F3D68">
        <w:rPr>
          <w:rFonts w:ascii="Cambria" w:eastAsia="Times New Roman" w:hAnsi="Cambria" w:cs="Arial"/>
          <w:color w:val="auto"/>
          <w:sz w:val="20"/>
          <w:szCs w:val="20"/>
          <w:bdr w:val="none" w:sz="0" w:space="0" w:color="auto"/>
          <w:lang w:val="es-VE"/>
        </w:rPr>
        <w:t>Duplicación de procedimientos y cosa juzgada internacional</w:t>
      </w:r>
      <w:bookmarkEnd w:id="54"/>
      <w:bookmarkEnd w:id="55"/>
      <w:bookmarkEnd w:id="56"/>
      <w:bookmarkEnd w:id="57"/>
      <w:bookmarkEnd w:id="58"/>
    </w:p>
    <w:p w:rsidR="006D7C4C" w:rsidRPr="007F3D68" w:rsidRDefault="006D7C4C" w:rsidP="006D7C4C">
      <w:pPr>
        <w:jc w:val="both"/>
        <w:rPr>
          <w:rFonts w:ascii="Cambria" w:hAnsi="Cambria" w:cs="Calibri"/>
          <w:sz w:val="20"/>
          <w:szCs w:val="20"/>
          <w:lang w:val="es-ES_tradnl"/>
        </w:rPr>
      </w:pPr>
    </w:p>
    <w:p w:rsidR="006D7C4C" w:rsidRPr="007F3D68" w:rsidRDefault="006D7C4C" w:rsidP="0011409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t>El artículo 46.1.c)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w:t>
      </w:r>
      <w:r w:rsidR="006D2D0D" w:rsidRPr="007F3D68">
        <w:rPr>
          <w:rFonts w:ascii="Cambria" w:hAnsi="Cambria" w:cs="Calibri"/>
          <w:sz w:val="20"/>
          <w:szCs w:val="20"/>
          <w:lang w:val="es-VE"/>
        </w:rPr>
        <w:t xml:space="preserve">unstancias, ni ellas se deducen </w:t>
      </w:r>
      <w:r w:rsidRPr="007F3D68">
        <w:rPr>
          <w:rFonts w:ascii="Cambria" w:hAnsi="Cambria" w:cs="Calibri"/>
          <w:sz w:val="20"/>
          <w:szCs w:val="20"/>
          <w:lang w:val="es-VE"/>
        </w:rPr>
        <w:t>del expediente.</w:t>
      </w:r>
    </w:p>
    <w:p w:rsidR="00D767FC" w:rsidRPr="007F3D68" w:rsidRDefault="00D767FC"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370AD" w:rsidRPr="007F3D68" w:rsidRDefault="00F3449B" w:rsidP="004E102F">
      <w:pPr>
        <w:pStyle w:val="Heading3"/>
        <w:keepNext w:val="0"/>
        <w:keepLines w:val="0"/>
        <w:numPr>
          <w:ilvl w:val="1"/>
          <w:numId w:val="55"/>
        </w:numPr>
        <w:tabs>
          <w:tab w:val="clear" w:pos="1800"/>
        </w:tabs>
        <w:spacing w:before="0"/>
        <w:ind w:left="1260" w:hanging="540"/>
        <w:jc w:val="both"/>
        <w:rPr>
          <w:rFonts w:ascii="Cambria" w:eastAsia="Times New Roman" w:hAnsi="Cambria" w:cs="Arial"/>
          <w:color w:val="auto"/>
          <w:sz w:val="20"/>
          <w:szCs w:val="20"/>
          <w:bdr w:val="none" w:sz="0" w:space="0" w:color="auto"/>
          <w:lang w:val="es-VE"/>
        </w:rPr>
      </w:pPr>
      <w:bookmarkStart w:id="59" w:name="_Toc413687821"/>
      <w:bookmarkStart w:id="60" w:name="_Toc447208873"/>
      <w:bookmarkStart w:id="61" w:name="_Toc447213179"/>
      <w:bookmarkStart w:id="62" w:name="_Toc475546046"/>
      <w:bookmarkStart w:id="63" w:name="_Toc495479537"/>
      <w:r w:rsidRPr="007F3D68">
        <w:rPr>
          <w:rFonts w:ascii="Cambria" w:eastAsia="Times New Roman" w:hAnsi="Cambria" w:cs="Arial"/>
          <w:color w:val="auto"/>
          <w:sz w:val="20"/>
          <w:szCs w:val="20"/>
          <w:bdr w:val="none" w:sz="0" w:space="0" w:color="auto"/>
          <w:lang w:val="es-VE"/>
        </w:rPr>
        <w:t>Caracterización de los hechos alegados</w:t>
      </w:r>
      <w:bookmarkEnd w:id="59"/>
      <w:bookmarkEnd w:id="60"/>
      <w:bookmarkEnd w:id="61"/>
      <w:bookmarkEnd w:id="62"/>
      <w:bookmarkEnd w:id="63"/>
    </w:p>
    <w:p w:rsidR="00E370AD" w:rsidRPr="007F3D68" w:rsidRDefault="00E370AD" w:rsidP="00E370AD">
      <w:pPr>
        <w:rPr>
          <w:lang w:val="es-VE"/>
        </w:rPr>
      </w:pPr>
    </w:p>
    <w:p w:rsidR="00D37BBE" w:rsidRPr="007F3D68" w:rsidRDefault="006A4BE6" w:rsidP="0039344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t xml:space="preserve">La Comisión considera que de resultar probados los hechos alegados por los </w:t>
      </w:r>
      <w:r w:rsidR="009B1A6B" w:rsidRPr="007F3D68">
        <w:rPr>
          <w:rFonts w:ascii="Cambria" w:hAnsi="Cambria" w:cs="Calibri"/>
          <w:sz w:val="20"/>
          <w:szCs w:val="20"/>
          <w:lang w:val="es-VE"/>
        </w:rPr>
        <w:t>peticionarios</w:t>
      </w:r>
      <w:r w:rsidR="00E64593" w:rsidRPr="007F3D68">
        <w:rPr>
          <w:rFonts w:ascii="Cambria" w:hAnsi="Cambria" w:cs="Calibri"/>
          <w:sz w:val="20"/>
          <w:szCs w:val="20"/>
          <w:lang w:val="es-VE"/>
        </w:rPr>
        <w:t xml:space="preserve"> sobre la alegada ejecución extrajudicial de la presunta víctima, los mismos</w:t>
      </w:r>
      <w:r w:rsidRPr="007F3D68">
        <w:rPr>
          <w:rFonts w:ascii="Cambria" w:hAnsi="Cambria" w:cs="Calibri"/>
          <w:sz w:val="20"/>
          <w:szCs w:val="20"/>
          <w:lang w:val="es-VE"/>
        </w:rPr>
        <w:t xml:space="preserve"> podrían constituir violac</w:t>
      </w:r>
      <w:r w:rsidR="002133A4" w:rsidRPr="007F3D68">
        <w:rPr>
          <w:rFonts w:ascii="Cambria" w:hAnsi="Cambria" w:cs="Calibri"/>
          <w:sz w:val="20"/>
          <w:szCs w:val="20"/>
          <w:lang w:val="es-VE"/>
        </w:rPr>
        <w:t>i</w:t>
      </w:r>
      <w:r w:rsidR="005A3D24" w:rsidRPr="007F3D68">
        <w:rPr>
          <w:rFonts w:ascii="Cambria" w:hAnsi="Cambria" w:cs="Calibri"/>
          <w:sz w:val="20"/>
          <w:szCs w:val="20"/>
          <w:lang w:val="es-VE"/>
        </w:rPr>
        <w:t>ones</w:t>
      </w:r>
      <w:r w:rsidR="002133A4" w:rsidRPr="007F3D68">
        <w:rPr>
          <w:rFonts w:ascii="Cambria" w:hAnsi="Cambria" w:cs="Calibri"/>
          <w:sz w:val="20"/>
          <w:szCs w:val="20"/>
          <w:lang w:val="es-VE"/>
        </w:rPr>
        <w:t xml:space="preserve"> de los derechos a la vida,</w:t>
      </w:r>
      <w:r w:rsidR="005A3D24" w:rsidRPr="007F3D68">
        <w:rPr>
          <w:rFonts w:ascii="Cambria" w:hAnsi="Cambria" w:cs="Calibri"/>
          <w:sz w:val="20"/>
          <w:szCs w:val="20"/>
          <w:lang w:val="es-VE"/>
        </w:rPr>
        <w:t xml:space="preserve"> a la integridad personal, a las </w:t>
      </w:r>
      <w:r w:rsidRPr="007F3D68">
        <w:rPr>
          <w:rFonts w:ascii="Cambria" w:hAnsi="Cambria" w:cs="Calibri"/>
          <w:sz w:val="20"/>
          <w:szCs w:val="20"/>
          <w:lang w:val="es-VE"/>
        </w:rPr>
        <w:t>garantías judiciales y</w:t>
      </w:r>
      <w:r w:rsidR="00C02C07" w:rsidRPr="007F3D68">
        <w:rPr>
          <w:rFonts w:ascii="Cambria" w:hAnsi="Cambria" w:cs="Calibri"/>
          <w:sz w:val="20"/>
          <w:szCs w:val="20"/>
          <w:lang w:val="es-VE"/>
        </w:rPr>
        <w:t xml:space="preserve"> a la </w:t>
      </w:r>
      <w:r w:rsidRPr="007F3D68">
        <w:rPr>
          <w:rFonts w:ascii="Cambria" w:hAnsi="Cambria" w:cs="Calibri"/>
          <w:sz w:val="20"/>
          <w:szCs w:val="20"/>
          <w:lang w:val="es-VE"/>
        </w:rPr>
        <w:t xml:space="preserve">protección judicial, previstos en </w:t>
      </w:r>
      <w:r w:rsidR="00E92B0C" w:rsidRPr="007F3D68">
        <w:rPr>
          <w:rFonts w:ascii="Cambria" w:hAnsi="Cambria" w:cs="Calibri"/>
          <w:sz w:val="20"/>
          <w:szCs w:val="20"/>
          <w:lang w:val="es-VE"/>
        </w:rPr>
        <w:t>los artículos 4,</w:t>
      </w:r>
      <w:r w:rsidR="00C02C07" w:rsidRPr="007F3D68">
        <w:rPr>
          <w:rFonts w:ascii="Cambria" w:hAnsi="Cambria" w:cs="Calibri"/>
          <w:sz w:val="20"/>
          <w:szCs w:val="20"/>
          <w:lang w:val="es-VE"/>
        </w:rPr>
        <w:t xml:space="preserve"> 5,</w:t>
      </w:r>
      <w:r w:rsidRPr="007F3D68">
        <w:rPr>
          <w:rFonts w:ascii="Cambria" w:hAnsi="Cambria" w:cs="Calibri"/>
          <w:sz w:val="20"/>
          <w:szCs w:val="20"/>
          <w:lang w:val="es-VE"/>
        </w:rPr>
        <w:t xml:space="preserve"> </w:t>
      </w:r>
      <w:r w:rsidR="0037187B" w:rsidRPr="007F3D68">
        <w:rPr>
          <w:rFonts w:ascii="Cambria" w:hAnsi="Cambria" w:cs="Calibri"/>
          <w:sz w:val="20"/>
          <w:szCs w:val="20"/>
          <w:lang w:val="es-VE"/>
        </w:rPr>
        <w:t>8</w:t>
      </w:r>
      <w:r w:rsidR="00E92B0C" w:rsidRPr="007F3D68">
        <w:rPr>
          <w:rFonts w:ascii="Cambria" w:hAnsi="Cambria" w:cs="Calibri"/>
          <w:sz w:val="20"/>
          <w:szCs w:val="20"/>
          <w:lang w:val="es-VE"/>
        </w:rPr>
        <w:t xml:space="preserve"> y 25 de la Convención Americana, en concordancia</w:t>
      </w:r>
      <w:r w:rsidRPr="007F3D68">
        <w:rPr>
          <w:rFonts w:ascii="Cambria" w:hAnsi="Cambria" w:cs="Calibri"/>
          <w:sz w:val="20"/>
          <w:szCs w:val="20"/>
          <w:lang w:val="es-VE"/>
        </w:rPr>
        <w:t xml:space="preserve"> con </w:t>
      </w:r>
      <w:r w:rsidR="00A64A4F" w:rsidRPr="007F3D68">
        <w:rPr>
          <w:rFonts w:ascii="Cambria" w:hAnsi="Cambria" w:cs="Calibri"/>
          <w:sz w:val="20"/>
          <w:szCs w:val="20"/>
          <w:lang w:val="es-VE"/>
        </w:rPr>
        <w:t xml:space="preserve">el </w:t>
      </w:r>
      <w:r w:rsidRPr="007F3D68">
        <w:rPr>
          <w:rFonts w:ascii="Cambria" w:hAnsi="Cambria" w:cs="Calibri"/>
          <w:sz w:val="20"/>
          <w:szCs w:val="20"/>
          <w:lang w:val="es-VE"/>
        </w:rPr>
        <w:t>artículo 1.1</w:t>
      </w:r>
      <w:r w:rsidR="00A64A4F" w:rsidRPr="007F3D68">
        <w:rPr>
          <w:rFonts w:ascii="Cambria" w:hAnsi="Cambria" w:cs="Calibri"/>
          <w:sz w:val="20"/>
          <w:szCs w:val="20"/>
          <w:lang w:val="es-VE"/>
        </w:rPr>
        <w:t xml:space="preserve"> de dicho tratado.</w:t>
      </w:r>
    </w:p>
    <w:p w:rsidR="002C51E2" w:rsidRPr="007F3D68" w:rsidRDefault="002C51E2"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E40449" w:rsidRPr="007F3D68" w:rsidRDefault="00E40449" w:rsidP="004E102F">
      <w:pPr>
        <w:pStyle w:val="Heading1"/>
        <w:numPr>
          <w:ilvl w:val="0"/>
          <w:numId w:val="55"/>
        </w:numPr>
        <w:tabs>
          <w:tab w:val="clear" w:pos="1440"/>
        </w:tabs>
        <w:ind w:left="1260" w:hanging="540"/>
      </w:pPr>
      <w:bookmarkStart w:id="64" w:name="_Toc370840748"/>
      <w:bookmarkStart w:id="65" w:name="_Toc370840844"/>
      <w:bookmarkStart w:id="66" w:name="_Toc423514410"/>
      <w:bookmarkStart w:id="67" w:name="_Toc433115986"/>
      <w:bookmarkStart w:id="68" w:name="_Toc444958129"/>
      <w:bookmarkStart w:id="69" w:name="_Toc475546047"/>
      <w:bookmarkStart w:id="70" w:name="_Toc495479538"/>
      <w:r w:rsidRPr="007F3D68">
        <w:t>HECHOS PROBADOS</w:t>
      </w:r>
      <w:bookmarkEnd w:id="64"/>
      <w:bookmarkEnd w:id="65"/>
      <w:bookmarkEnd w:id="66"/>
      <w:bookmarkEnd w:id="67"/>
      <w:bookmarkEnd w:id="68"/>
      <w:bookmarkEnd w:id="69"/>
      <w:bookmarkEnd w:id="70"/>
    </w:p>
    <w:p w:rsidR="00D803E6" w:rsidRPr="007F3D68" w:rsidRDefault="00D803E6" w:rsidP="003338C1">
      <w:pPr>
        <w:ind w:right="720"/>
        <w:jc w:val="both"/>
        <w:rPr>
          <w:rFonts w:asciiTheme="majorHAnsi" w:hAnsiTheme="majorHAnsi"/>
          <w:sz w:val="20"/>
          <w:szCs w:val="20"/>
          <w:lang w:val="es-VE"/>
        </w:rPr>
      </w:pPr>
    </w:p>
    <w:p w:rsidR="00D8463B" w:rsidRPr="007F3D68" w:rsidRDefault="00E356FD" w:rsidP="004E102F">
      <w:pPr>
        <w:pStyle w:val="Heading2"/>
        <w:numPr>
          <w:ilvl w:val="0"/>
          <w:numId w:val="74"/>
        </w:numPr>
        <w:ind w:left="1260" w:hanging="540"/>
      </w:pPr>
      <w:bookmarkStart w:id="71" w:name="_Toc495479539"/>
      <w:r w:rsidRPr="007F3D68">
        <w:t xml:space="preserve">La detención, alegatos de tortura y </w:t>
      </w:r>
      <w:r w:rsidR="00D803E6" w:rsidRPr="007F3D68">
        <w:t>proceso interno adelantado en contra de la presunta víctima</w:t>
      </w:r>
      <w:bookmarkEnd w:id="71"/>
      <w:r w:rsidR="00D803E6" w:rsidRPr="007F3D68">
        <w:t xml:space="preserve"> </w:t>
      </w:r>
    </w:p>
    <w:p w:rsidR="00D8463B" w:rsidRPr="007F3D68" w:rsidRDefault="00D8463B" w:rsidP="004E102F">
      <w:pPr>
        <w:pStyle w:val="Heading3"/>
        <w:numPr>
          <w:ilvl w:val="1"/>
          <w:numId w:val="55"/>
        </w:numPr>
        <w:tabs>
          <w:tab w:val="clear" w:pos="1800"/>
          <w:tab w:val="num" w:pos="1260"/>
        </w:tabs>
        <w:ind w:hanging="1080"/>
        <w:rPr>
          <w:b w:val="0"/>
          <w:color w:val="auto"/>
          <w:sz w:val="20"/>
          <w:szCs w:val="20"/>
          <w:lang w:val="es-VE"/>
        </w:rPr>
      </w:pPr>
      <w:bookmarkStart w:id="72" w:name="_Toc495479540"/>
      <w:r w:rsidRPr="007F3D68">
        <w:rPr>
          <w:color w:val="auto"/>
          <w:sz w:val="20"/>
          <w:szCs w:val="20"/>
          <w:lang w:val="es-VE"/>
        </w:rPr>
        <w:t>Dete</w:t>
      </w:r>
      <w:r w:rsidRPr="007F3D68">
        <w:rPr>
          <w:rStyle w:val="Heading3Char"/>
          <w:b/>
          <w:color w:val="auto"/>
          <w:sz w:val="20"/>
          <w:szCs w:val="20"/>
          <w:lang w:val="es-VE"/>
        </w:rPr>
        <w:t>nción y alegatos de tortura</w:t>
      </w:r>
      <w:bookmarkEnd w:id="72"/>
      <w:r w:rsidRPr="007F3D68">
        <w:rPr>
          <w:b w:val="0"/>
          <w:color w:val="auto"/>
          <w:sz w:val="20"/>
          <w:szCs w:val="20"/>
          <w:lang w:val="es-VE"/>
        </w:rPr>
        <w:t xml:space="preserve"> </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D8463B" w:rsidRPr="007F3D68" w:rsidRDefault="00D8463B" w:rsidP="008B5D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 xml:space="preserve">La presunta víctima denunció que fue torturada por miembros de la policía </w:t>
      </w:r>
      <w:r w:rsidR="00E17EA4" w:rsidRPr="007F3D68">
        <w:rPr>
          <w:rFonts w:asciiTheme="majorHAnsi" w:hAnsiTheme="majorHAnsi"/>
          <w:sz w:val="20"/>
          <w:szCs w:val="20"/>
          <w:lang w:val="es-VE"/>
        </w:rPr>
        <w:t xml:space="preserve">al </w:t>
      </w:r>
      <w:r w:rsidRPr="007F3D68">
        <w:rPr>
          <w:rFonts w:asciiTheme="majorHAnsi" w:hAnsiTheme="majorHAnsi"/>
          <w:sz w:val="20"/>
          <w:szCs w:val="20"/>
          <w:lang w:val="es-VE"/>
        </w:rPr>
        <w:t xml:space="preserve">momento de </w:t>
      </w:r>
      <w:r w:rsidR="00197303" w:rsidRPr="007F3D68">
        <w:rPr>
          <w:rFonts w:asciiTheme="majorHAnsi" w:hAnsiTheme="majorHAnsi"/>
          <w:sz w:val="20"/>
          <w:szCs w:val="20"/>
          <w:lang w:val="es-VE"/>
        </w:rPr>
        <w:t xml:space="preserve">su detención </w:t>
      </w:r>
      <w:r w:rsidRPr="007F3D68">
        <w:rPr>
          <w:rFonts w:asciiTheme="majorHAnsi" w:hAnsiTheme="majorHAnsi"/>
          <w:sz w:val="20"/>
          <w:szCs w:val="20"/>
          <w:lang w:val="es-VE"/>
        </w:rPr>
        <w:t xml:space="preserve">el </w:t>
      </w:r>
      <w:r w:rsidRPr="007F3D68">
        <w:rPr>
          <w:rFonts w:ascii="Cambria" w:hAnsi="Cambria" w:cs="Calibri"/>
          <w:sz w:val="20"/>
          <w:szCs w:val="20"/>
          <w:lang w:val="es-VE"/>
        </w:rPr>
        <w:t>27</w:t>
      </w:r>
      <w:r w:rsidRPr="007F3D68">
        <w:rPr>
          <w:rFonts w:asciiTheme="majorHAnsi" w:hAnsiTheme="majorHAnsi"/>
          <w:sz w:val="20"/>
          <w:szCs w:val="20"/>
          <w:lang w:val="es-VE"/>
        </w:rPr>
        <w:t xml:space="preserve"> de mayo de 1998.</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814BC2" w:rsidRPr="00214A83" w:rsidRDefault="00D8463B" w:rsidP="00814BC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 xml:space="preserve">Según su </w:t>
      </w:r>
      <w:r w:rsidRPr="007F3D68">
        <w:rPr>
          <w:rFonts w:ascii="Cambria" w:hAnsi="Cambria"/>
          <w:sz w:val="20"/>
          <w:szCs w:val="20"/>
          <w:lang w:val="es-AR"/>
        </w:rPr>
        <w:t>testimonio</w:t>
      </w:r>
      <w:r w:rsidR="000D1743" w:rsidRPr="007F3D68">
        <w:rPr>
          <w:rFonts w:ascii="Cambria" w:hAnsi="Cambria"/>
          <w:sz w:val="20"/>
          <w:szCs w:val="20"/>
          <w:lang w:val="es-AR"/>
        </w:rPr>
        <w:t xml:space="preserve"> en el juicio,</w:t>
      </w:r>
      <w:r w:rsidRPr="007F3D68">
        <w:rPr>
          <w:rFonts w:asciiTheme="majorHAnsi" w:hAnsiTheme="majorHAnsi"/>
          <w:sz w:val="20"/>
          <w:szCs w:val="20"/>
          <w:lang w:val="es-VE"/>
        </w:rPr>
        <w:t xml:space="preserve"> en dicha fecha se conducía a bordo de una motocicleta y al llegar a su vivienda ubicada en la calle C-0-60 de la zona 1 de Quetzaltenango, vio que descendieron </w:t>
      </w:r>
      <w:r w:rsidR="00316F2E" w:rsidRPr="007F3D68">
        <w:rPr>
          <w:rFonts w:asciiTheme="majorHAnsi" w:hAnsiTheme="majorHAnsi"/>
          <w:sz w:val="20"/>
          <w:szCs w:val="20"/>
          <w:lang w:val="es-VE"/>
        </w:rPr>
        <w:t>cuatro</w:t>
      </w:r>
      <w:r w:rsidRPr="007F3D68">
        <w:rPr>
          <w:rFonts w:asciiTheme="majorHAnsi" w:hAnsiTheme="majorHAnsi"/>
          <w:sz w:val="20"/>
          <w:szCs w:val="20"/>
          <w:lang w:val="es-VE"/>
        </w:rPr>
        <w:t xml:space="preserve"> personas de un vehículo Toyota </w:t>
      </w:r>
      <w:proofErr w:type="spellStart"/>
      <w:r w:rsidRPr="007F3D68">
        <w:rPr>
          <w:rFonts w:asciiTheme="majorHAnsi" w:hAnsiTheme="majorHAnsi"/>
          <w:sz w:val="20"/>
          <w:szCs w:val="20"/>
          <w:lang w:val="es-VE"/>
        </w:rPr>
        <w:t>Tercel</w:t>
      </w:r>
      <w:proofErr w:type="spellEnd"/>
      <w:r w:rsidRPr="007F3D68">
        <w:rPr>
          <w:rFonts w:asciiTheme="majorHAnsi" w:hAnsiTheme="majorHAnsi"/>
          <w:sz w:val="20"/>
          <w:szCs w:val="20"/>
          <w:lang w:val="es-VE"/>
        </w:rPr>
        <w:t xml:space="preserve"> color verde y le golpearon en la nuca, lo tiraron al suelo y le golpearon en el abdomen y costillas. Indicó que luego lo subieron a golpes a la puerta trasera del vehículo, y abordo le vendaron los ojos y le pusieron grilletes en las manos. Agregó que lo llevaron a un camino de tierra, detuvieron el vehículo y lo arrastraron en una </w:t>
      </w:r>
      <w:r w:rsidR="000E1F49" w:rsidRPr="007F3D68">
        <w:rPr>
          <w:rFonts w:asciiTheme="majorHAnsi" w:hAnsiTheme="majorHAnsi"/>
          <w:sz w:val="20"/>
          <w:szCs w:val="20"/>
          <w:lang w:val="es-VE"/>
        </w:rPr>
        <w:t>“</w:t>
      </w:r>
      <w:r w:rsidRPr="007F3D68">
        <w:rPr>
          <w:rFonts w:asciiTheme="majorHAnsi" w:hAnsiTheme="majorHAnsi"/>
          <w:sz w:val="20"/>
          <w:szCs w:val="20"/>
          <w:lang w:val="es-VE"/>
        </w:rPr>
        <w:t>hondonada</w:t>
      </w:r>
      <w:r w:rsidR="000E1F49" w:rsidRPr="007F3D68">
        <w:rPr>
          <w:rFonts w:asciiTheme="majorHAnsi" w:hAnsiTheme="majorHAnsi"/>
          <w:sz w:val="20"/>
          <w:szCs w:val="20"/>
          <w:lang w:val="es-VE"/>
        </w:rPr>
        <w:t>”</w:t>
      </w:r>
      <w:r w:rsidRPr="007F3D68">
        <w:rPr>
          <w:rFonts w:asciiTheme="majorHAnsi" w:hAnsiTheme="majorHAnsi"/>
          <w:sz w:val="20"/>
          <w:szCs w:val="20"/>
          <w:lang w:val="es-VE"/>
        </w:rPr>
        <w:t xml:space="preserve"> y lo tiraron boca abajo</w:t>
      </w:r>
      <w:r w:rsidR="000D1743" w:rsidRPr="007F3D68">
        <w:rPr>
          <w:rStyle w:val="FootnoteReference"/>
          <w:rFonts w:asciiTheme="majorHAnsi" w:hAnsiTheme="majorHAnsi"/>
          <w:sz w:val="20"/>
          <w:szCs w:val="20"/>
          <w:lang w:val="es-VE"/>
        </w:rPr>
        <w:footnoteReference w:id="3"/>
      </w:r>
      <w:r w:rsidRPr="007F3D68">
        <w:rPr>
          <w:rFonts w:asciiTheme="majorHAnsi" w:hAnsiTheme="majorHAnsi"/>
          <w:sz w:val="20"/>
          <w:szCs w:val="20"/>
          <w:lang w:val="es-VE"/>
        </w:rPr>
        <w:t xml:space="preserve">. </w:t>
      </w:r>
    </w:p>
    <w:p w:rsidR="00814BC2" w:rsidRDefault="00814BC2" w:rsidP="00814BC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lastRenderedPageBreak/>
        <w:t>En su descripción indicó que le decían lo siguiente:</w:t>
      </w:r>
    </w:p>
    <w:p w:rsidR="00214A83" w:rsidRPr="00FB1E9C" w:rsidRDefault="00214A83" w:rsidP="00214A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VE"/>
        </w:rPr>
      </w:pPr>
    </w:p>
    <w:p w:rsidR="00D8463B" w:rsidRPr="007F3D68" w:rsidRDefault="00D8463B" w:rsidP="00814BC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VE"/>
        </w:rPr>
      </w:pPr>
      <w:r w:rsidRPr="007F3D68">
        <w:rPr>
          <w:rFonts w:asciiTheme="majorHAnsi" w:hAnsiTheme="majorHAnsi"/>
          <w:sz w:val="20"/>
          <w:szCs w:val="20"/>
          <w:lang w:val="es-VE"/>
        </w:rPr>
        <w:t>¿</w:t>
      </w:r>
      <w:proofErr w:type="gramStart"/>
      <w:r w:rsidRPr="007F3D68">
        <w:rPr>
          <w:rFonts w:asciiTheme="majorHAnsi" w:hAnsiTheme="majorHAnsi"/>
          <w:sz w:val="20"/>
          <w:szCs w:val="20"/>
          <w:lang w:val="es-VE"/>
        </w:rPr>
        <w:t>te</w:t>
      </w:r>
      <w:proofErr w:type="gramEnd"/>
      <w:r w:rsidRPr="007F3D68">
        <w:rPr>
          <w:rFonts w:asciiTheme="majorHAnsi" w:hAnsiTheme="majorHAnsi"/>
          <w:sz w:val="20"/>
          <w:szCs w:val="20"/>
          <w:lang w:val="es-VE"/>
        </w:rPr>
        <w:t xml:space="preserve"> </w:t>
      </w:r>
      <w:proofErr w:type="spellStart"/>
      <w:r w:rsidRPr="007F3D68">
        <w:rPr>
          <w:rFonts w:asciiTheme="majorHAnsi" w:hAnsiTheme="majorHAnsi"/>
          <w:sz w:val="20"/>
          <w:szCs w:val="20"/>
          <w:lang w:val="es-VE"/>
        </w:rPr>
        <w:t>acordas</w:t>
      </w:r>
      <w:proofErr w:type="spellEnd"/>
      <w:r w:rsidRPr="007F3D68">
        <w:rPr>
          <w:rFonts w:asciiTheme="majorHAnsi" w:hAnsiTheme="majorHAnsi"/>
          <w:sz w:val="20"/>
          <w:szCs w:val="20"/>
          <w:lang w:val="es-VE"/>
        </w:rPr>
        <w:t xml:space="preserve"> a quien vinieron a dejar aquí, hijo de la gran puta? (…) </w:t>
      </w:r>
      <w:proofErr w:type="spellStart"/>
      <w:r w:rsidRPr="007F3D68">
        <w:rPr>
          <w:rFonts w:asciiTheme="majorHAnsi" w:hAnsiTheme="majorHAnsi"/>
          <w:sz w:val="20"/>
          <w:szCs w:val="20"/>
          <w:lang w:val="es-VE"/>
        </w:rPr>
        <w:t>Candido</w:t>
      </w:r>
      <w:proofErr w:type="spellEnd"/>
      <w:r w:rsidRPr="007F3D68">
        <w:rPr>
          <w:rFonts w:asciiTheme="majorHAnsi" w:hAnsiTheme="majorHAnsi"/>
          <w:sz w:val="20"/>
          <w:szCs w:val="20"/>
          <w:lang w:val="es-VE"/>
        </w:rPr>
        <w:t xml:space="preserve"> Abigail; me preguntó ¿Vas a hablar o </w:t>
      </w:r>
      <w:proofErr w:type="spellStart"/>
      <w:r w:rsidRPr="007F3D68">
        <w:rPr>
          <w:rFonts w:asciiTheme="majorHAnsi" w:hAnsiTheme="majorHAnsi"/>
          <w:sz w:val="20"/>
          <w:szCs w:val="20"/>
          <w:lang w:val="es-VE"/>
        </w:rPr>
        <w:t>queres</w:t>
      </w:r>
      <w:proofErr w:type="spellEnd"/>
      <w:r w:rsidRPr="007F3D68">
        <w:rPr>
          <w:rFonts w:asciiTheme="majorHAnsi" w:hAnsiTheme="majorHAnsi"/>
          <w:sz w:val="20"/>
          <w:szCs w:val="20"/>
          <w:lang w:val="es-VE"/>
        </w:rPr>
        <w:t xml:space="preserve"> llevar verga? Vos ya </w:t>
      </w:r>
      <w:proofErr w:type="spellStart"/>
      <w:r w:rsidRPr="007F3D68">
        <w:rPr>
          <w:rFonts w:asciiTheme="majorHAnsi" w:hAnsiTheme="majorHAnsi"/>
          <w:sz w:val="20"/>
          <w:szCs w:val="20"/>
          <w:lang w:val="es-VE"/>
        </w:rPr>
        <w:t>sabés</w:t>
      </w:r>
      <w:proofErr w:type="spellEnd"/>
      <w:r w:rsidRPr="007F3D68">
        <w:rPr>
          <w:rFonts w:asciiTheme="majorHAnsi" w:hAnsiTheme="majorHAnsi"/>
          <w:sz w:val="20"/>
          <w:szCs w:val="20"/>
          <w:lang w:val="es-VE"/>
        </w:rPr>
        <w:t xml:space="preserve"> porqué te vamos a dar verga y ya me </w:t>
      </w:r>
      <w:proofErr w:type="spellStart"/>
      <w:r w:rsidRPr="007F3D68">
        <w:rPr>
          <w:rFonts w:asciiTheme="majorHAnsi" w:hAnsiTheme="majorHAnsi"/>
          <w:sz w:val="20"/>
          <w:szCs w:val="20"/>
          <w:lang w:val="es-VE"/>
        </w:rPr>
        <w:t>dí</w:t>
      </w:r>
      <w:proofErr w:type="spellEnd"/>
      <w:r w:rsidRPr="007F3D68">
        <w:rPr>
          <w:rFonts w:asciiTheme="majorHAnsi" w:hAnsiTheme="majorHAnsi"/>
          <w:sz w:val="20"/>
          <w:szCs w:val="20"/>
          <w:lang w:val="es-VE"/>
        </w:rPr>
        <w:t xml:space="preserve"> cuent</w:t>
      </w:r>
      <w:r w:rsidR="00615AFD" w:rsidRPr="007F3D68">
        <w:rPr>
          <w:rFonts w:asciiTheme="majorHAnsi" w:hAnsiTheme="majorHAnsi"/>
          <w:sz w:val="20"/>
          <w:szCs w:val="20"/>
          <w:lang w:val="es-VE"/>
        </w:rPr>
        <w:t>a</w:t>
      </w:r>
      <w:r w:rsidRPr="007F3D68">
        <w:rPr>
          <w:rFonts w:asciiTheme="majorHAnsi" w:hAnsiTheme="majorHAnsi"/>
          <w:sz w:val="20"/>
          <w:szCs w:val="20"/>
          <w:lang w:val="es-VE"/>
        </w:rPr>
        <w:t xml:space="preserve"> q</w:t>
      </w:r>
      <w:r w:rsidR="003A54A9" w:rsidRPr="007F3D68">
        <w:rPr>
          <w:rFonts w:asciiTheme="majorHAnsi" w:hAnsiTheme="majorHAnsi"/>
          <w:sz w:val="20"/>
          <w:szCs w:val="20"/>
          <w:lang w:val="es-VE"/>
        </w:rPr>
        <w:t xml:space="preserve">ue </w:t>
      </w:r>
      <w:proofErr w:type="spellStart"/>
      <w:r w:rsidR="003A54A9" w:rsidRPr="007F3D68">
        <w:rPr>
          <w:rFonts w:asciiTheme="majorHAnsi" w:hAnsiTheme="majorHAnsi"/>
          <w:sz w:val="20"/>
          <w:szCs w:val="20"/>
          <w:lang w:val="es-VE"/>
        </w:rPr>
        <w:t>sos</w:t>
      </w:r>
      <w:proofErr w:type="spellEnd"/>
      <w:r w:rsidR="003A54A9" w:rsidRPr="007F3D68">
        <w:rPr>
          <w:rFonts w:asciiTheme="majorHAnsi" w:hAnsiTheme="majorHAnsi"/>
          <w:sz w:val="20"/>
          <w:szCs w:val="20"/>
          <w:lang w:val="es-VE"/>
        </w:rPr>
        <w:t xml:space="preserve"> “</w:t>
      </w:r>
      <w:proofErr w:type="spellStart"/>
      <w:r w:rsidR="003A54A9" w:rsidRPr="007F3D68">
        <w:rPr>
          <w:rFonts w:asciiTheme="majorHAnsi" w:hAnsiTheme="majorHAnsi"/>
          <w:sz w:val="20"/>
          <w:szCs w:val="20"/>
          <w:lang w:val="es-VE"/>
        </w:rPr>
        <w:t>mañocito</w:t>
      </w:r>
      <w:proofErr w:type="spellEnd"/>
      <w:r w:rsidR="003A54A9" w:rsidRPr="007F3D68">
        <w:rPr>
          <w:rFonts w:asciiTheme="majorHAnsi" w:hAnsiTheme="majorHAnsi"/>
          <w:sz w:val="20"/>
          <w:szCs w:val="20"/>
          <w:lang w:val="es-VE"/>
        </w:rPr>
        <w:t xml:space="preserve"> con la capucha</w:t>
      </w:r>
      <w:r w:rsidRPr="007F3D68">
        <w:rPr>
          <w:rFonts w:asciiTheme="majorHAnsi" w:hAnsiTheme="majorHAnsi"/>
          <w:sz w:val="20"/>
          <w:szCs w:val="20"/>
          <w:lang w:val="es-VE"/>
        </w:rPr>
        <w:t>. Yo le respondí: No soy mañoso de ninguna clase entonces me golpeo las costillas con el puño, me sacó el aire y me pidió que le dijera a quienes conocía del álbum que me mostraron. Le respondí que a nadie y mi respuesta le molestó porque de nuevo me colocó el lienzo de hule en la cara com</w:t>
      </w:r>
      <w:r w:rsidR="003A54A9" w:rsidRPr="007F3D68">
        <w:rPr>
          <w:rFonts w:asciiTheme="majorHAnsi" w:hAnsiTheme="majorHAnsi"/>
          <w:sz w:val="20"/>
          <w:szCs w:val="20"/>
          <w:lang w:val="es-VE"/>
        </w:rPr>
        <w:t xml:space="preserve">o en siete </w:t>
      </w:r>
      <w:proofErr w:type="spellStart"/>
      <w:r w:rsidR="003A54A9" w:rsidRPr="007F3D68">
        <w:rPr>
          <w:rFonts w:asciiTheme="majorHAnsi" w:hAnsiTheme="majorHAnsi"/>
          <w:sz w:val="20"/>
          <w:szCs w:val="20"/>
          <w:lang w:val="es-VE"/>
        </w:rPr>
        <w:t>ocaciones</w:t>
      </w:r>
      <w:proofErr w:type="spellEnd"/>
      <w:r w:rsidR="003A54A9" w:rsidRPr="007F3D68">
        <w:rPr>
          <w:rFonts w:asciiTheme="majorHAnsi" w:hAnsiTheme="majorHAnsi"/>
          <w:sz w:val="20"/>
          <w:szCs w:val="20"/>
          <w:lang w:val="es-VE"/>
        </w:rPr>
        <w:t xml:space="preserve"> (sic) </w:t>
      </w:r>
      <w:proofErr w:type="gramStart"/>
      <w:r w:rsidR="003A54A9" w:rsidRPr="007F3D68">
        <w:rPr>
          <w:rFonts w:asciiTheme="majorHAnsi" w:hAnsiTheme="majorHAnsi"/>
          <w:sz w:val="20"/>
          <w:szCs w:val="20"/>
          <w:lang w:val="es-VE"/>
        </w:rPr>
        <w:t>más</w:t>
      </w:r>
      <w:r w:rsidRPr="007F3D68">
        <w:rPr>
          <w:rFonts w:asciiTheme="majorHAnsi" w:hAnsiTheme="majorHAnsi"/>
          <w:sz w:val="20"/>
          <w:szCs w:val="20"/>
          <w:lang w:val="es-VE"/>
        </w:rPr>
        <w:t>(</w:t>
      </w:r>
      <w:proofErr w:type="gramEnd"/>
      <w:r w:rsidRPr="007F3D68">
        <w:rPr>
          <w:rFonts w:asciiTheme="majorHAnsi" w:hAnsiTheme="majorHAnsi"/>
          <w:sz w:val="20"/>
          <w:szCs w:val="20"/>
          <w:lang w:val="es-VE"/>
        </w:rPr>
        <w:t>…)</w:t>
      </w:r>
      <w:r w:rsidR="00615AFD" w:rsidRPr="007F3D68">
        <w:rPr>
          <w:rFonts w:asciiTheme="majorHAnsi" w:hAnsiTheme="majorHAnsi"/>
          <w:sz w:val="20"/>
          <w:szCs w:val="20"/>
          <w:lang w:val="es-VE"/>
        </w:rPr>
        <w:t xml:space="preserve"> </w:t>
      </w:r>
      <w:r w:rsidRPr="007F3D68">
        <w:rPr>
          <w:rFonts w:asciiTheme="majorHAnsi" w:hAnsiTheme="majorHAnsi"/>
          <w:sz w:val="20"/>
          <w:szCs w:val="20"/>
          <w:lang w:val="es-VE"/>
        </w:rPr>
        <w:t>El proceso de asfixia con el hule tardaba entre 3</w:t>
      </w:r>
      <w:r w:rsidR="003A54A9" w:rsidRPr="007F3D68">
        <w:rPr>
          <w:rFonts w:asciiTheme="majorHAnsi" w:hAnsiTheme="majorHAnsi"/>
          <w:sz w:val="20"/>
          <w:szCs w:val="20"/>
          <w:lang w:val="es-VE"/>
        </w:rPr>
        <w:t xml:space="preserve">0 y 40 </w:t>
      </w:r>
      <w:proofErr w:type="spellStart"/>
      <w:r w:rsidR="003A54A9" w:rsidRPr="007F3D68">
        <w:rPr>
          <w:rFonts w:asciiTheme="majorHAnsi" w:hAnsiTheme="majorHAnsi"/>
          <w:sz w:val="20"/>
          <w:szCs w:val="20"/>
          <w:lang w:val="es-VE"/>
        </w:rPr>
        <w:t>seg</w:t>
      </w:r>
      <w:proofErr w:type="spellEnd"/>
      <w:r w:rsidR="003A54A9" w:rsidRPr="007F3D68">
        <w:rPr>
          <w:rFonts w:asciiTheme="majorHAnsi" w:hAnsiTheme="majorHAnsi"/>
          <w:sz w:val="20"/>
          <w:szCs w:val="20"/>
          <w:lang w:val="es-VE"/>
        </w:rPr>
        <w:t xml:space="preserve">. Uno de ellos dijo: </w:t>
      </w:r>
      <w:proofErr w:type="spellStart"/>
      <w:r w:rsidRPr="007F3D68">
        <w:rPr>
          <w:rFonts w:asciiTheme="majorHAnsi" w:hAnsiTheme="majorHAnsi"/>
          <w:sz w:val="20"/>
          <w:szCs w:val="20"/>
          <w:lang w:val="es-VE"/>
        </w:rPr>
        <w:t>Muchá</w:t>
      </w:r>
      <w:proofErr w:type="spellEnd"/>
      <w:r w:rsidRPr="007F3D68">
        <w:rPr>
          <w:rFonts w:asciiTheme="majorHAnsi" w:hAnsiTheme="majorHAnsi"/>
          <w:sz w:val="20"/>
          <w:szCs w:val="20"/>
          <w:lang w:val="es-VE"/>
        </w:rPr>
        <w:t xml:space="preserve"> este pisado está re</w:t>
      </w:r>
      <w:r w:rsidR="003A54A9" w:rsidRPr="007F3D68">
        <w:rPr>
          <w:rFonts w:asciiTheme="majorHAnsi" w:hAnsiTheme="majorHAnsi"/>
          <w:sz w:val="20"/>
          <w:szCs w:val="20"/>
          <w:lang w:val="es-VE"/>
        </w:rPr>
        <w:t xml:space="preserve">spirando, mejor traigan </w:t>
      </w:r>
      <w:proofErr w:type="spellStart"/>
      <w:r w:rsidR="003A54A9" w:rsidRPr="007F3D68">
        <w:rPr>
          <w:rFonts w:asciiTheme="majorHAnsi" w:hAnsiTheme="majorHAnsi"/>
          <w:sz w:val="20"/>
          <w:szCs w:val="20"/>
          <w:lang w:val="es-VE"/>
        </w:rPr>
        <w:t>gamezan</w:t>
      </w:r>
      <w:proofErr w:type="spellEnd"/>
      <w:r w:rsidRPr="007F3D68">
        <w:rPr>
          <w:rFonts w:asciiTheme="majorHAnsi" w:hAnsiTheme="majorHAnsi"/>
          <w:sz w:val="20"/>
          <w:szCs w:val="20"/>
          <w:lang w:val="es-VE"/>
        </w:rPr>
        <w:t xml:space="preserve"> (…) El que ordenó mi asfixia con </w:t>
      </w:r>
      <w:proofErr w:type="spellStart"/>
      <w:r w:rsidRPr="007F3D68">
        <w:rPr>
          <w:rFonts w:asciiTheme="majorHAnsi" w:hAnsiTheme="majorHAnsi"/>
          <w:sz w:val="20"/>
          <w:szCs w:val="20"/>
          <w:lang w:val="es-VE"/>
        </w:rPr>
        <w:t>gamezan</w:t>
      </w:r>
      <w:proofErr w:type="spellEnd"/>
      <w:r w:rsidRPr="007F3D68">
        <w:rPr>
          <w:rFonts w:asciiTheme="majorHAnsi" w:hAnsiTheme="majorHAnsi"/>
          <w:sz w:val="20"/>
          <w:szCs w:val="20"/>
          <w:lang w:val="es-VE"/>
        </w:rPr>
        <w:t xml:space="preserve">, me golpeó y me interrogó, lo conocí posteriormente como Milton Rodrigo </w:t>
      </w:r>
      <w:proofErr w:type="spellStart"/>
      <w:r w:rsidRPr="007F3D68">
        <w:rPr>
          <w:rFonts w:asciiTheme="majorHAnsi" w:hAnsiTheme="majorHAnsi"/>
          <w:sz w:val="20"/>
          <w:szCs w:val="20"/>
          <w:lang w:val="es-VE"/>
        </w:rPr>
        <w:t>C</w:t>
      </w:r>
      <w:r w:rsidR="00214A83">
        <w:rPr>
          <w:rFonts w:asciiTheme="majorHAnsi" w:hAnsiTheme="majorHAnsi"/>
          <w:sz w:val="20"/>
          <w:szCs w:val="20"/>
          <w:lang w:val="es-VE"/>
        </w:rPr>
        <w:t>hilel</w:t>
      </w:r>
      <w:proofErr w:type="spellEnd"/>
      <w:r w:rsidR="00214A83">
        <w:rPr>
          <w:rFonts w:asciiTheme="majorHAnsi" w:hAnsiTheme="majorHAnsi"/>
          <w:sz w:val="20"/>
          <w:szCs w:val="20"/>
          <w:lang w:val="es-VE"/>
        </w:rPr>
        <w:t xml:space="preserve"> Villeda (oficial del SIC)</w:t>
      </w:r>
      <w:r w:rsidRPr="007F3D68">
        <w:rPr>
          <w:rStyle w:val="FootnoteReference"/>
          <w:rFonts w:asciiTheme="majorHAnsi" w:hAnsiTheme="majorHAnsi"/>
          <w:sz w:val="20"/>
          <w:szCs w:val="20"/>
          <w:lang w:val="es-VE"/>
        </w:rPr>
        <w:footnoteReference w:id="4"/>
      </w:r>
      <w:r w:rsidRPr="007F3D68">
        <w:rPr>
          <w:rFonts w:asciiTheme="majorHAnsi" w:hAnsiTheme="majorHAnsi"/>
          <w:sz w:val="20"/>
          <w:szCs w:val="20"/>
          <w:lang w:val="es-VE"/>
        </w:rPr>
        <w:t>.</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D8463B" w:rsidRPr="007F3D68" w:rsidRDefault="00814BC2" w:rsidP="008B5D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 xml:space="preserve">En el mismo relato durante el juicio, </w:t>
      </w:r>
      <w:r w:rsidR="00D8463B" w:rsidRPr="007F3D68">
        <w:rPr>
          <w:rFonts w:asciiTheme="majorHAnsi" w:hAnsiTheme="majorHAnsi"/>
          <w:sz w:val="20"/>
          <w:szCs w:val="20"/>
          <w:lang w:val="es-VE"/>
        </w:rPr>
        <w:t>denunció que con posterioridad lo subieron de nuevo al vehículo y lo llevaron a su propia casa en donde plantaron armas como evidencia en su contra y continuaron golpeándolo.</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D8463B" w:rsidRPr="007F3D68" w:rsidRDefault="00D8463B" w:rsidP="008B5D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 xml:space="preserve">Según relató la </w:t>
      </w:r>
      <w:r w:rsidR="00F077A7" w:rsidRPr="007F3D68">
        <w:rPr>
          <w:rFonts w:asciiTheme="majorHAnsi" w:hAnsiTheme="majorHAnsi"/>
          <w:sz w:val="20"/>
          <w:szCs w:val="20"/>
          <w:lang w:val="es-VE"/>
        </w:rPr>
        <w:t xml:space="preserve">presunta </w:t>
      </w:r>
      <w:r w:rsidRPr="007F3D68">
        <w:rPr>
          <w:rFonts w:asciiTheme="majorHAnsi" w:hAnsiTheme="majorHAnsi"/>
          <w:sz w:val="20"/>
          <w:szCs w:val="20"/>
          <w:lang w:val="es-VE"/>
        </w:rPr>
        <w:t xml:space="preserve">víctima, </w:t>
      </w:r>
      <w:r w:rsidR="00615AFD" w:rsidRPr="007F3D68">
        <w:rPr>
          <w:rFonts w:asciiTheme="majorHAnsi" w:hAnsiTheme="majorHAnsi"/>
          <w:sz w:val="20"/>
          <w:szCs w:val="20"/>
          <w:lang w:val="es-VE"/>
        </w:rPr>
        <w:t xml:space="preserve">luego </w:t>
      </w:r>
      <w:r w:rsidRPr="007F3D68">
        <w:rPr>
          <w:rFonts w:asciiTheme="majorHAnsi" w:hAnsiTheme="majorHAnsi"/>
          <w:sz w:val="20"/>
          <w:szCs w:val="20"/>
          <w:lang w:val="es-VE"/>
        </w:rPr>
        <w:t>se lo llevaron nuevamente en un vehículo de color gris de cuatro puertas. Refirió que continuaron interrogándolo sobre algunos secuestros y luego lo hicieron bajar del vehículo</w:t>
      </w:r>
      <w:r w:rsidR="00615AFD" w:rsidRPr="007F3D68">
        <w:rPr>
          <w:rFonts w:asciiTheme="majorHAnsi" w:hAnsiTheme="majorHAnsi"/>
          <w:sz w:val="20"/>
          <w:szCs w:val="20"/>
          <w:lang w:val="es-VE"/>
        </w:rPr>
        <w:t xml:space="preserve">, siendo </w:t>
      </w:r>
      <w:r w:rsidRPr="007F3D68">
        <w:rPr>
          <w:rFonts w:asciiTheme="majorHAnsi" w:hAnsiTheme="majorHAnsi"/>
          <w:sz w:val="20"/>
          <w:szCs w:val="20"/>
          <w:lang w:val="es-VE"/>
        </w:rPr>
        <w:t>violado sexualmente.</w:t>
      </w:r>
      <w:r w:rsidR="00615AFD" w:rsidRPr="007F3D68">
        <w:rPr>
          <w:rFonts w:asciiTheme="majorHAnsi" w:hAnsiTheme="majorHAnsi"/>
          <w:sz w:val="20"/>
          <w:szCs w:val="20"/>
          <w:lang w:val="es-VE"/>
        </w:rPr>
        <w:t xml:space="preserve"> Describió la violación en los siguientes términos: </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F077A7" w:rsidRPr="007F3D68" w:rsidRDefault="00615AFD" w:rsidP="00615AF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VE"/>
        </w:rPr>
      </w:pPr>
      <w:r w:rsidRPr="007F3D68">
        <w:rPr>
          <w:rFonts w:asciiTheme="majorHAnsi" w:hAnsiTheme="majorHAnsi"/>
          <w:sz w:val="20"/>
          <w:szCs w:val="20"/>
          <w:lang w:val="es-VE"/>
        </w:rPr>
        <w:t xml:space="preserve">(…) </w:t>
      </w:r>
      <w:r w:rsidR="00D8463B" w:rsidRPr="007F3D68">
        <w:rPr>
          <w:rFonts w:asciiTheme="majorHAnsi" w:hAnsiTheme="majorHAnsi"/>
          <w:sz w:val="20"/>
          <w:szCs w:val="20"/>
          <w:lang w:val="es-VE"/>
        </w:rPr>
        <w:t xml:space="preserve">lo que quiero que me digas mira hijo de la gran puta conmigo te va </w:t>
      </w:r>
      <w:proofErr w:type="spellStart"/>
      <w:r w:rsidR="00D8463B" w:rsidRPr="007F3D68">
        <w:rPr>
          <w:rFonts w:asciiTheme="majorHAnsi" w:hAnsiTheme="majorHAnsi"/>
          <w:sz w:val="20"/>
          <w:szCs w:val="20"/>
          <w:lang w:val="es-VE"/>
        </w:rPr>
        <w:t>llebar</w:t>
      </w:r>
      <w:proofErr w:type="spellEnd"/>
      <w:r w:rsidR="00D8463B" w:rsidRPr="007F3D68">
        <w:rPr>
          <w:rFonts w:asciiTheme="majorHAnsi" w:hAnsiTheme="majorHAnsi"/>
          <w:sz w:val="20"/>
          <w:szCs w:val="20"/>
          <w:lang w:val="es-VE"/>
        </w:rPr>
        <w:t xml:space="preserve"> (sic) la gran puta de una bolsa negra saco un </w:t>
      </w:r>
      <w:proofErr w:type="spellStart"/>
      <w:r w:rsidR="00D8463B" w:rsidRPr="007F3D68">
        <w:rPr>
          <w:rFonts w:asciiTheme="majorHAnsi" w:hAnsiTheme="majorHAnsi"/>
          <w:sz w:val="20"/>
          <w:szCs w:val="20"/>
          <w:lang w:val="es-VE"/>
        </w:rPr>
        <w:t>baston</w:t>
      </w:r>
      <w:proofErr w:type="spellEnd"/>
      <w:r w:rsidR="00D8463B" w:rsidRPr="007F3D68">
        <w:rPr>
          <w:rFonts w:asciiTheme="majorHAnsi" w:hAnsiTheme="majorHAnsi"/>
          <w:sz w:val="20"/>
          <w:szCs w:val="20"/>
          <w:lang w:val="es-VE"/>
        </w:rPr>
        <w:t xml:space="preserve"> negro (…) vas hablar me bajaron mi </w:t>
      </w:r>
      <w:proofErr w:type="spellStart"/>
      <w:r w:rsidR="00D8463B" w:rsidRPr="007F3D68">
        <w:rPr>
          <w:rFonts w:asciiTheme="majorHAnsi" w:hAnsiTheme="majorHAnsi"/>
          <w:sz w:val="20"/>
          <w:szCs w:val="20"/>
          <w:lang w:val="es-VE"/>
        </w:rPr>
        <w:t>patalon</w:t>
      </w:r>
      <w:proofErr w:type="spellEnd"/>
      <w:r w:rsidR="00D8463B" w:rsidRPr="007F3D68">
        <w:rPr>
          <w:rFonts w:asciiTheme="majorHAnsi" w:hAnsiTheme="majorHAnsi"/>
          <w:sz w:val="20"/>
          <w:szCs w:val="20"/>
          <w:lang w:val="es-VE"/>
        </w:rPr>
        <w:t xml:space="preserve"> (sic) y el calzoncillo, encima de la rampa para quedar </w:t>
      </w:r>
      <w:proofErr w:type="spellStart"/>
      <w:r w:rsidR="00D8463B" w:rsidRPr="007F3D68">
        <w:rPr>
          <w:rFonts w:asciiTheme="majorHAnsi" w:hAnsiTheme="majorHAnsi"/>
          <w:sz w:val="20"/>
          <w:szCs w:val="20"/>
          <w:lang w:val="es-VE"/>
        </w:rPr>
        <w:t>incado</w:t>
      </w:r>
      <w:proofErr w:type="spellEnd"/>
      <w:r w:rsidR="00D8463B" w:rsidRPr="007F3D68">
        <w:rPr>
          <w:rFonts w:asciiTheme="majorHAnsi" w:hAnsiTheme="majorHAnsi"/>
          <w:sz w:val="20"/>
          <w:szCs w:val="20"/>
          <w:lang w:val="es-VE"/>
        </w:rPr>
        <w:t xml:space="preserve"> (sic) uno de ellos me empezó a sobar el </w:t>
      </w:r>
      <w:proofErr w:type="spellStart"/>
      <w:r w:rsidR="00D8463B" w:rsidRPr="007F3D68">
        <w:rPr>
          <w:rFonts w:asciiTheme="majorHAnsi" w:hAnsiTheme="majorHAnsi"/>
          <w:sz w:val="20"/>
          <w:szCs w:val="20"/>
          <w:lang w:val="es-VE"/>
        </w:rPr>
        <w:t>baston</w:t>
      </w:r>
      <w:proofErr w:type="spellEnd"/>
      <w:r w:rsidR="00D8463B" w:rsidRPr="007F3D68">
        <w:rPr>
          <w:rFonts w:asciiTheme="majorHAnsi" w:hAnsiTheme="majorHAnsi"/>
          <w:sz w:val="20"/>
          <w:szCs w:val="20"/>
          <w:lang w:val="es-VE"/>
        </w:rPr>
        <w:t xml:space="preserve"> el ano </w:t>
      </w:r>
      <w:proofErr w:type="spellStart"/>
      <w:r w:rsidR="00D8463B" w:rsidRPr="007F3D68">
        <w:rPr>
          <w:rFonts w:asciiTheme="majorHAnsi" w:hAnsiTheme="majorHAnsi"/>
          <w:sz w:val="20"/>
          <w:szCs w:val="20"/>
          <w:lang w:val="es-VE"/>
        </w:rPr>
        <w:t>queres</w:t>
      </w:r>
      <w:proofErr w:type="spellEnd"/>
      <w:r w:rsidR="00D8463B" w:rsidRPr="007F3D68">
        <w:rPr>
          <w:rFonts w:asciiTheme="majorHAnsi" w:hAnsiTheme="majorHAnsi"/>
          <w:sz w:val="20"/>
          <w:szCs w:val="20"/>
          <w:lang w:val="es-VE"/>
        </w:rPr>
        <w:t xml:space="preserve"> hablar, no tengo nada que hacer y me puse a llorar y no le conteste ninguna pregunta. Fue en ese momento en que me introdujo en el ano aproximadamente como quince segundos el </w:t>
      </w:r>
      <w:proofErr w:type="spellStart"/>
      <w:r w:rsidR="00D8463B" w:rsidRPr="007F3D68">
        <w:rPr>
          <w:rFonts w:asciiTheme="majorHAnsi" w:hAnsiTheme="majorHAnsi"/>
          <w:sz w:val="20"/>
          <w:szCs w:val="20"/>
          <w:lang w:val="es-VE"/>
        </w:rPr>
        <w:t>baston</w:t>
      </w:r>
      <w:proofErr w:type="spellEnd"/>
      <w:r w:rsidR="00D8463B" w:rsidRPr="007F3D68">
        <w:rPr>
          <w:rFonts w:asciiTheme="majorHAnsi" w:hAnsiTheme="majorHAnsi"/>
          <w:sz w:val="20"/>
          <w:szCs w:val="20"/>
          <w:lang w:val="es-VE"/>
        </w:rPr>
        <w:t xml:space="preserve"> con grasa, pero para mí fue una eternidad y lo </w:t>
      </w:r>
      <w:proofErr w:type="spellStart"/>
      <w:r w:rsidR="00D8463B" w:rsidRPr="007F3D68">
        <w:rPr>
          <w:rFonts w:asciiTheme="majorHAnsi" w:hAnsiTheme="majorHAnsi"/>
          <w:sz w:val="20"/>
          <w:szCs w:val="20"/>
          <w:lang w:val="es-VE"/>
        </w:rPr>
        <w:t>mobia</w:t>
      </w:r>
      <w:proofErr w:type="spellEnd"/>
      <w:r w:rsidR="00D8463B" w:rsidRPr="007F3D68">
        <w:rPr>
          <w:rFonts w:asciiTheme="majorHAnsi" w:hAnsiTheme="majorHAnsi"/>
          <w:sz w:val="20"/>
          <w:szCs w:val="20"/>
          <w:lang w:val="es-VE"/>
        </w:rPr>
        <w:t xml:space="preserve"> (sic) y lo saco por favor no me vallan (sic) a matar tengo hijos perdóneme la vida, si lo único que hago es puyarte el culo pero si no me decís si te voy a matar, empezó a quererme introducírmelo otra vez </w:t>
      </w:r>
      <w:proofErr w:type="spellStart"/>
      <w:r w:rsidR="00D8463B" w:rsidRPr="007F3D68">
        <w:rPr>
          <w:rFonts w:asciiTheme="majorHAnsi" w:hAnsiTheme="majorHAnsi"/>
          <w:sz w:val="20"/>
          <w:szCs w:val="20"/>
          <w:lang w:val="es-VE"/>
        </w:rPr>
        <w:t>empeze</w:t>
      </w:r>
      <w:proofErr w:type="spellEnd"/>
      <w:r w:rsidR="00D8463B" w:rsidRPr="007F3D68">
        <w:rPr>
          <w:rFonts w:asciiTheme="majorHAnsi" w:hAnsiTheme="majorHAnsi"/>
          <w:sz w:val="20"/>
          <w:szCs w:val="20"/>
          <w:lang w:val="es-VE"/>
        </w:rPr>
        <w:t xml:space="preserve"> (sic) a retorce</w:t>
      </w:r>
      <w:r w:rsidR="0067711D" w:rsidRPr="007F3D68">
        <w:rPr>
          <w:rFonts w:asciiTheme="majorHAnsi" w:hAnsiTheme="majorHAnsi"/>
          <w:sz w:val="20"/>
          <w:szCs w:val="20"/>
          <w:lang w:val="es-VE"/>
        </w:rPr>
        <w:t>r</w:t>
      </w:r>
      <w:r w:rsidR="00D8463B" w:rsidRPr="007F3D68">
        <w:rPr>
          <w:rFonts w:asciiTheme="majorHAnsi" w:hAnsiTheme="majorHAnsi"/>
          <w:sz w:val="20"/>
          <w:szCs w:val="20"/>
          <w:lang w:val="es-VE"/>
        </w:rPr>
        <w:t xml:space="preserve">me como el basto (sic) estaba </w:t>
      </w:r>
      <w:r w:rsidR="0067711D" w:rsidRPr="007F3D68">
        <w:rPr>
          <w:rFonts w:asciiTheme="majorHAnsi" w:hAnsiTheme="majorHAnsi"/>
          <w:sz w:val="20"/>
          <w:szCs w:val="20"/>
          <w:lang w:val="es-VE"/>
        </w:rPr>
        <w:t>manchado</w:t>
      </w:r>
      <w:r w:rsidR="00D8463B" w:rsidRPr="007F3D68">
        <w:rPr>
          <w:rFonts w:asciiTheme="majorHAnsi" w:hAnsiTheme="majorHAnsi"/>
          <w:sz w:val="20"/>
          <w:szCs w:val="20"/>
          <w:lang w:val="es-VE"/>
        </w:rPr>
        <w:t xml:space="preserve"> de </w:t>
      </w:r>
      <w:proofErr w:type="spellStart"/>
      <w:r w:rsidR="00D8463B" w:rsidRPr="007F3D68">
        <w:rPr>
          <w:rFonts w:asciiTheme="majorHAnsi" w:hAnsiTheme="majorHAnsi"/>
          <w:sz w:val="20"/>
          <w:szCs w:val="20"/>
          <w:lang w:val="es-VE"/>
        </w:rPr>
        <w:t>graza</w:t>
      </w:r>
      <w:proofErr w:type="spellEnd"/>
      <w:r w:rsidR="00D8463B" w:rsidRPr="007F3D68">
        <w:rPr>
          <w:rFonts w:asciiTheme="majorHAnsi" w:hAnsiTheme="majorHAnsi"/>
          <w:sz w:val="20"/>
          <w:szCs w:val="20"/>
          <w:lang w:val="es-VE"/>
        </w:rPr>
        <w:t xml:space="preserve"> (sic) no pudo meterlo por los movimientos, se cayó el bastón y me lastimó el testículo derecho yo grite en ese momento el pidió a otro agente de particular con la pieza de hule anda trae la capucha y le tapas la boca (…). </w:t>
      </w:r>
    </w:p>
    <w:p w:rsidR="00F077A7" w:rsidRPr="007F3D68" w:rsidRDefault="00F077A7" w:rsidP="00615AF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VE"/>
        </w:rPr>
      </w:pPr>
    </w:p>
    <w:p w:rsidR="00D8463B" w:rsidRPr="007F3D68" w:rsidRDefault="00D8463B" w:rsidP="00F077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Indicó que hicieron esto varias veces hasta que se desmayó</w:t>
      </w:r>
      <w:r w:rsidR="00F077A7" w:rsidRPr="007F3D68">
        <w:rPr>
          <w:rFonts w:asciiTheme="majorHAnsi" w:hAnsiTheme="majorHAnsi"/>
          <w:sz w:val="20"/>
          <w:szCs w:val="20"/>
          <w:lang w:val="es-VE"/>
        </w:rPr>
        <w:t>, y que cuando despertó “</w:t>
      </w:r>
      <w:r w:rsidRPr="007F3D68">
        <w:rPr>
          <w:rFonts w:asciiTheme="majorHAnsi" w:hAnsiTheme="majorHAnsi"/>
          <w:sz w:val="20"/>
          <w:szCs w:val="20"/>
          <w:lang w:val="es-VE"/>
        </w:rPr>
        <w:t>estaba defecado</w:t>
      </w:r>
      <w:r w:rsidR="0067711D" w:rsidRPr="007F3D68">
        <w:rPr>
          <w:rFonts w:asciiTheme="majorHAnsi" w:hAnsiTheme="majorHAnsi"/>
          <w:sz w:val="20"/>
          <w:szCs w:val="20"/>
          <w:lang w:val="es-VE"/>
        </w:rPr>
        <w:t>”</w:t>
      </w:r>
      <w:r w:rsidRPr="007F3D68">
        <w:rPr>
          <w:rStyle w:val="FootnoteReference"/>
          <w:rFonts w:asciiTheme="majorHAnsi" w:hAnsiTheme="majorHAnsi"/>
          <w:sz w:val="20"/>
          <w:szCs w:val="20"/>
          <w:lang w:val="es-VE"/>
        </w:rPr>
        <w:footnoteReference w:id="5"/>
      </w:r>
      <w:r w:rsidRPr="007F3D68">
        <w:rPr>
          <w:rFonts w:asciiTheme="majorHAnsi" w:hAnsiTheme="majorHAnsi"/>
          <w:sz w:val="20"/>
          <w:szCs w:val="20"/>
          <w:lang w:val="es-VE"/>
        </w:rPr>
        <w:t xml:space="preserve">. </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D8463B" w:rsidRPr="007F3D68" w:rsidRDefault="00D8463B" w:rsidP="008B5D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La entonces conviviente de la presunta víctima declaró que el día de los hechos fue a buscar</w:t>
      </w:r>
      <w:r w:rsidR="0067711D" w:rsidRPr="007F3D68">
        <w:rPr>
          <w:rFonts w:asciiTheme="majorHAnsi" w:hAnsiTheme="majorHAnsi"/>
          <w:sz w:val="20"/>
          <w:szCs w:val="20"/>
          <w:lang w:val="es-VE"/>
        </w:rPr>
        <w:t>lo</w:t>
      </w:r>
      <w:r w:rsidRPr="007F3D68">
        <w:rPr>
          <w:rFonts w:asciiTheme="majorHAnsi" w:hAnsiTheme="majorHAnsi"/>
          <w:sz w:val="20"/>
          <w:szCs w:val="20"/>
          <w:lang w:val="es-VE"/>
        </w:rPr>
        <w:t xml:space="preserve"> a dos cuerpos de policía de Quetzaltenango pero no le dieron razón de él. Agregó que cuando regresó a su casa “(…)</w:t>
      </w:r>
      <w:r w:rsidR="0067711D" w:rsidRPr="007F3D68">
        <w:rPr>
          <w:rFonts w:asciiTheme="majorHAnsi" w:hAnsiTheme="majorHAnsi"/>
          <w:sz w:val="20"/>
          <w:szCs w:val="20"/>
          <w:lang w:val="es-VE"/>
        </w:rPr>
        <w:t xml:space="preserve"> </w:t>
      </w:r>
      <w:r w:rsidRPr="007F3D68">
        <w:rPr>
          <w:rFonts w:asciiTheme="majorHAnsi" w:hAnsiTheme="majorHAnsi"/>
          <w:sz w:val="20"/>
          <w:szCs w:val="20"/>
          <w:lang w:val="es-VE"/>
        </w:rPr>
        <w:t>ya lo habían traído, en ese momento sí lo vi. En la casa lo tenían engrilletado en la pila, ya en ese momento se veía desarreglado, con rasguños y respiración agitada. Hablé con él y me dijo: con todo lo que me hicieron ahorita de plano me van a matar”</w:t>
      </w:r>
      <w:r w:rsidRPr="007F3D68">
        <w:rPr>
          <w:rStyle w:val="FootnoteReference"/>
          <w:rFonts w:asciiTheme="majorHAnsi" w:hAnsiTheme="majorHAnsi"/>
          <w:sz w:val="20"/>
          <w:szCs w:val="20"/>
          <w:lang w:val="es-VE"/>
        </w:rPr>
        <w:footnoteReference w:id="6"/>
      </w:r>
      <w:r w:rsidRPr="007F3D68">
        <w:rPr>
          <w:rFonts w:asciiTheme="majorHAnsi" w:hAnsiTheme="majorHAnsi"/>
          <w:sz w:val="20"/>
          <w:szCs w:val="20"/>
          <w:lang w:val="es-VE"/>
        </w:rPr>
        <w:t xml:space="preserve">. </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D8463B" w:rsidRPr="007F3D68" w:rsidRDefault="00D8463B" w:rsidP="008B5D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Indicó que volvió a ver a la presunta víctima al visitarlo en la cárcel dos días después, y que allí Tirso Román</w:t>
      </w:r>
      <w:r w:rsidR="00F077A7" w:rsidRPr="007F3D68">
        <w:rPr>
          <w:rFonts w:asciiTheme="majorHAnsi" w:hAnsiTheme="majorHAnsi"/>
          <w:sz w:val="20"/>
          <w:szCs w:val="20"/>
          <w:lang w:val="es-VE"/>
        </w:rPr>
        <w:t xml:space="preserve"> Valenzuela Ávila</w:t>
      </w:r>
      <w:r w:rsidRPr="007F3D68">
        <w:rPr>
          <w:rFonts w:asciiTheme="majorHAnsi" w:hAnsiTheme="majorHAnsi"/>
          <w:sz w:val="20"/>
          <w:szCs w:val="20"/>
          <w:lang w:val="es-VE"/>
        </w:rPr>
        <w:t xml:space="preserve"> le contó que el día de la detención “(…) se lo llevaron a un cerro que está en </w:t>
      </w:r>
      <w:proofErr w:type="spellStart"/>
      <w:r w:rsidRPr="007F3D68">
        <w:rPr>
          <w:rFonts w:asciiTheme="majorHAnsi" w:hAnsiTheme="majorHAnsi"/>
          <w:sz w:val="20"/>
          <w:szCs w:val="20"/>
          <w:lang w:val="es-VE"/>
        </w:rPr>
        <w:t>Olintepeque</w:t>
      </w:r>
      <w:proofErr w:type="spellEnd"/>
      <w:r w:rsidRPr="007F3D68">
        <w:rPr>
          <w:rFonts w:asciiTheme="majorHAnsi" w:hAnsiTheme="majorHAnsi"/>
          <w:sz w:val="20"/>
          <w:szCs w:val="20"/>
          <w:lang w:val="es-VE"/>
        </w:rPr>
        <w:t xml:space="preserve"> cerca de Quetzaltenango, que fue tratado con mucha violencia, que le taparon la cara con una bolsa plástica con </w:t>
      </w:r>
      <w:proofErr w:type="spellStart"/>
      <w:r w:rsidRPr="007F3D68">
        <w:rPr>
          <w:rFonts w:asciiTheme="majorHAnsi" w:hAnsiTheme="majorHAnsi"/>
          <w:sz w:val="20"/>
          <w:szCs w:val="20"/>
          <w:lang w:val="es-VE"/>
        </w:rPr>
        <w:t>gamezán</w:t>
      </w:r>
      <w:proofErr w:type="spellEnd"/>
      <w:r w:rsidRPr="007F3D68">
        <w:rPr>
          <w:rFonts w:asciiTheme="majorHAnsi" w:hAnsiTheme="majorHAnsi"/>
          <w:sz w:val="20"/>
          <w:szCs w:val="20"/>
          <w:lang w:val="es-VE"/>
        </w:rPr>
        <w:t xml:space="preserve"> para ahogarlo, que lo patearon en las costillas, que le enseñaban fotos y le preguntaban cosas. En la cárcel vi que Tirso, estaba fumando, estaba nervioso, que no quería comer porque tenía problemas para defecar</w:t>
      </w:r>
      <w:r w:rsidR="0067711D" w:rsidRPr="007F3D68">
        <w:rPr>
          <w:rFonts w:asciiTheme="majorHAnsi" w:hAnsiTheme="majorHAnsi"/>
          <w:sz w:val="20"/>
          <w:szCs w:val="20"/>
          <w:lang w:val="es-VE"/>
        </w:rPr>
        <w:t xml:space="preserve"> (…) </w:t>
      </w:r>
      <w:r w:rsidRPr="007F3D68">
        <w:rPr>
          <w:rFonts w:asciiTheme="majorHAnsi" w:hAnsiTheme="majorHAnsi"/>
          <w:sz w:val="20"/>
          <w:szCs w:val="20"/>
          <w:lang w:val="es-VE"/>
        </w:rPr>
        <w:t>me contó que lo golpearon hasta confesar el crimen</w:t>
      </w:r>
      <w:r w:rsidR="000927B3" w:rsidRPr="007F3D68">
        <w:rPr>
          <w:rFonts w:asciiTheme="majorHAnsi" w:hAnsiTheme="majorHAnsi"/>
          <w:sz w:val="20"/>
          <w:szCs w:val="20"/>
          <w:lang w:val="es-VE"/>
        </w:rPr>
        <w:t>”</w:t>
      </w:r>
      <w:r w:rsidRPr="007F3D68">
        <w:rPr>
          <w:rStyle w:val="FootnoteReference"/>
          <w:rFonts w:asciiTheme="majorHAnsi" w:hAnsiTheme="majorHAnsi"/>
          <w:sz w:val="20"/>
          <w:szCs w:val="20"/>
          <w:lang w:val="es-VE"/>
        </w:rPr>
        <w:footnoteReference w:id="7"/>
      </w:r>
      <w:r w:rsidRPr="007F3D68">
        <w:rPr>
          <w:rFonts w:asciiTheme="majorHAnsi" w:hAnsiTheme="majorHAnsi"/>
          <w:sz w:val="20"/>
          <w:szCs w:val="20"/>
          <w:lang w:val="es-VE"/>
        </w:rPr>
        <w:t xml:space="preserve">. </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D8463B" w:rsidRPr="007F3D68" w:rsidRDefault="00D8463B" w:rsidP="00F077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lastRenderedPageBreak/>
        <w:t>Por su parte dos personas privadas de libertad indicaron que pudieron ver el estado en el que se encontraba la presunta víctima tras ser ingresada a prisión.</w:t>
      </w:r>
      <w:r w:rsidR="00F077A7" w:rsidRPr="007F3D68">
        <w:rPr>
          <w:rFonts w:asciiTheme="majorHAnsi" w:hAnsiTheme="majorHAnsi"/>
          <w:sz w:val="20"/>
          <w:szCs w:val="20"/>
          <w:lang w:val="es-VE"/>
        </w:rPr>
        <w:t xml:space="preserve"> La primera, </w:t>
      </w:r>
      <w:r w:rsidRPr="007F3D68">
        <w:rPr>
          <w:rFonts w:asciiTheme="majorHAnsi" w:hAnsiTheme="majorHAnsi"/>
          <w:sz w:val="20"/>
          <w:szCs w:val="20"/>
          <w:lang w:val="es-VE"/>
        </w:rPr>
        <w:t>Santos Morales Ramos declaró que “me constan las torturas de que fue objeto el señor Tirs</w:t>
      </w:r>
      <w:r w:rsidR="00132C97" w:rsidRPr="007F3D68">
        <w:rPr>
          <w:rFonts w:asciiTheme="majorHAnsi" w:hAnsiTheme="majorHAnsi"/>
          <w:sz w:val="20"/>
          <w:szCs w:val="20"/>
          <w:lang w:val="es-VE"/>
        </w:rPr>
        <w:t>o</w:t>
      </w:r>
      <w:r w:rsidRPr="007F3D68">
        <w:rPr>
          <w:rFonts w:asciiTheme="majorHAnsi" w:hAnsiTheme="majorHAnsi"/>
          <w:sz w:val="20"/>
          <w:szCs w:val="20"/>
          <w:lang w:val="es-VE"/>
        </w:rPr>
        <w:t xml:space="preserve"> Román Valenzuela Ávila, quien fue ingresado el veintiocho de mayo de mil novecientos noventa y ocho a las tres de la mañana, el llego muy golpeado, del rostro, defecaba sangre, yo era uno de los que lo ayudaba para ir al baño, acostarlo y a movilizarse por el estado tan delicado en que llego, en ningún momento a pesar de estar tan golpeado recibió ayuda médica”</w:t>
      </w:r>
      <w:r w:rsidRPr="007F3D68">
        <w:rPr>
          <w:rStyle w:val="FootnoteReference"/>
          <w:rFonts w:asciiTheme="majorHAnsi" w:hAnsiTheme="majorHAnsi"/>
          <w:sz w:val="20"/>
          <w:szCs w:val="20"/>
          <w:lang w:val="es-VE"/>
        </w:rPr>
        <w:t xml:space="preserve"> </w:t>
      </w:r>
      <w:r w:rsidRPr="007F3D68">
        <w:rPr>
          <w:rStyle w:val="FootnoteReference"/>
          <w:rFonts w:asciiTheme="majorHAnsi" w:hAnsiTheme="majorHAnsi"/>
          <w:sz w:val="20"/>
          <w:szCs w:val="20"/>
          <w:lang w:val="es-VE"/>
        </w:rPr>
        <w:footnoteReference w:id="8"/>
      </w:r>
      <w:r w:rsidRPr="007F3D68">
        <w:rPr>
          <w:rFonts w:asciiTheme="majorHAnsi" w:hAnsiTheme="majorHAnsi"/>
          <w:sz w:val="20"/>
          <w:szCs w:val="20"/>
          <w:lang w:val="es-VE"/>
        </w:rPr>
        <w:t>.</w:t>
      </w:r>
    </w:p>
    <w:p w:rsidR="00D8463B" w:rsidRPr="007F3D68" w:rsidRDefault="00D8463B" w:rsidP="00D8463B">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F077A7" w:rsidRPr="007F3D68" w:rsidRDefault="00F077A7" w:rsidP="008B5D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La segunda,</w:t>
      </w:r>
      <w:r w:rsidR="00D8463B" w:rsidRPr="007F3D68">
        <w:rPr>
          <w:rFonts w:asciiTheme="majorHAnsi" w:hAnsiTheme="majorHAnsi"/>
          <w:sz w:val="20"/>
          <w:szCs w:val="20"/>
          <w:lang w:val="es-VE"/>
        </w:rPr>
        <w:t xml:space="preserve"> Emeterio de Jesús </w:t>
      </w:r>
      <w:proofErr w:type="spellStart"/>
      <w:r w:rsidR="00D8463B" w:rsidRPr="007F3D68">
        <w:rPr>
          <w:rFonts w:asciiTheme="majorHAnsi" w:hAnsiTheme="majorHAnsi"/>
          <w:sz w:val="20"/>
          <w:szCs w:val="20"/>
          <w:lang w:val="es-VE"/>
        </w:rPr>
        <w:t>Morataya</w:t>
      </w:r>
      <w:proofErr w:type="spellEnd"/>
      <w:r w:rsidR="00D8463B" w:rsidRPr="007F3D68">
        <w:rPr>
          <w:rFonts w:asciiTheme="majorHAnsi" w:hAnsiTheme="majorHAnsi"/>
          <w:sz w:val="20"/>
          <w:szCs w:val="20"/>
          <w:lang w:val="es-VE"/>
        </w:rPr>
        <w:t xml:space="preserve"> </w:t>
      </w:r>
      <w:proofErr w:type="spellStart"/>
      <w:r w:rsidR="00D8463B" w:rsidRPr="007F3D68">
        <w:rPr>
          <w:rFonts w:asciiTheme="majorHAnsi" w:hAnsiTheme="majorHAnsi"/>
          <w:sz w:val="20"/>
          <w:szCs w:val="20"/>
          <w:lang w:val="es-VE"/>
        </w:rPr>
        <w:t>Mayén</w:t>
      </w:r>
      <w:proofErr w:type="spellEnd"/>
      <w:r w:rsidR="00D8463B" w:rsidRPr="007F3D68">
        <w:rPr>
          <w:rFonts w:asciiTheme="majorHAnsi" w:hAnsiTheme="majorHAnsi"/>
          <w:sz w:val="20"/>
          <w:szCs w:val="20"/>
          <w:lang w:val="es-VE"/>
        </w:rPr>
        <w:t xml:space="preserve"> declaró que</w:t>
      </w:r>
      <w:r w:rsidRPr="007F3D68">
        <w:rPr>
          <w:rFonts w:asciiTheme="majorHAnsi" w:hAnsiTheme="majorHAnsi"/>
          <w:sz w:val="20"/>
          <w:szCs w:val="20"/>
          <w:lang w:val="es-VE"/>
        </w:rPr>
        <w:t>:</w:t>
      </w:r>
      <w:r w:rsidR="00D8463B" w:rsidRPr="007F3D68">
        <w:rPr>
          <w:rFonts w:asciiTheme="majorHAnsi" w:hAnsiTheme="majorHAnsi"/>
          <w:sz w:val="20"/>
          <w:szCs w:val="20"/>
          <w:lang w:val="es-VE"/>
        </w:rPr>
        <w:t xml:space="preserve"> </w:t>
      </w:r>
    </w:p>
    <w:p w:rsidR="00F077A7" w:rsidRPr="007F3D68" w:rsidRDefault="00F077A7" w:rsidP="00F077A7">
      <w:pPr>
        <w:pStyle w:val="ListParagraph"/>
        <w:rPr>
          <w:rFonts w:asciiTheme="majorHAnsi" w:hAnsiTheme="majorHAnsi"/>
          <w:sz w:val="20"/>
          <w:szCs w:val="20"/>
          <w:lang w:val="es-VE"/>
        </w:rPr>
      </w:pPr>
    </w:p>
    <w:p w:rsidR="00D8463B" w:rsidRPr="007F3D68" w:rsidRDefault="00D8463B" w:rsidP="004E10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VE"/>
        </w:rPr>
      </w:pPr>
      <w:r w:rsidRPr="007F3D68">
        <w:rPr>
          <w:rFonts w:asciiTheme="majorHAnsi" w:hAnsiTheme="majorHAnsi"/>
          <w:sz w:val="20"/>
          <w:szCs w:val="20"/>
          <w:lang w:val="es-VE"/>
        </w:rPr>
        <w:t>por encontrarme detenido me constan las torturas recibidas por el señor Tirso Román Ávila, que el pobre señor lleg</w:t>
      </w:r>
      <w:r w:rsidR="00780037" w:rsidRPr="007F3D68">
        <w:rPr>
          <w:rFonts w:asciiTheme="majorHAnsi" w:hAnsiTheme="majorHAnsi"/>
          <w:sz w:val="20"/>
          <w:szCs w:val="20"/>
          <w:lang w:val="es-VE"/>
        </w:rPr>
        <w:t>ó</w:t>
      </w:r>
      <w:r w:rsidRPr="007F3D68">
        <w:rPr>
          <w:rFonts w:asciiTheme="majorHAnsi" w:hAnsiTheme="majorHAnsi"/>
          <w:sz w:val="20"/>
          <w:szCs w:val="20"/>
          <w:lang w:val="es-VE"/>
        </w:rPr>
        <w:t xml:space="preserve"> como un día veintinueve de mayo de mil novecientos noventa y ocho, al segundo cuerpo de la Policía Nacional, en la ciudad de Quetzaltenango, el señor no podía ni sentarse al extremo que dormía parado porque defecaba sangre, iba desfigurado de la cara, con restos de poco bigote por que el resto se lo habían arrancado, abusaron de el por medio de un garrote que ellos cargan, que cargan la se</w:t>
      </w:r>
      <w:r w:rsidR="008269EE" w:rsidRPr="007F3D68">
        <w:rPr>
          <w:rFonts w:asciiTheme="majorHAnsi" w:hAnsiTheme="majorHAnsi"/>
          <w:sz w:val="20"/>
          <w:szCs w:val="20"/>
          <w:lang w:val="es-VE"/>
        </w:rPr>
        <w:t>guridad, o sea que abusaron de é</w:t>
      </w:r>
      <w:r w:rsidRPr="007F3D68">
        <w:rPr>
          <w:rFonts w:asciiTheme="majorHAnsi" w:hAnsiTheme="majorHAnsi"/>
          <w:sz w:val="20"/>
          <w:szCs w:val="20"/>
          <w:lang w:val="es-VE"/>
        </w:rPr>
        <w:t xml:space="preserve">l sexualmente y </w:t>
      </w:r>
      <w:r w:rsidR="00914334" w:rsidRPr="007F3D68">
        <w:rPr>
          <w:rFonts w:asciiTheme="majorHAnsi" w:hAnsiTheme="majorHAnsi"/>
          <w:sz w:val="20"/>
          <w:szCs w:val="20"/>
          <w:lang w:val="es-VE"/>
        </w:rPr>
        <w:t>él</w:t>
      </w:r>
      <w:r w:rsidRPr="007F3D68">
        <w:rPr>
          <w:rFonts w:asciiTheme="majorHAnsi" w:hAnsiTheme="majorHAnsi"/>
          <w:sz w:val="20"/>
          <w:szCs w:val="20"/>
          <w:lang w:val="es-VE"/>
        </w:rPr>
        <w:t xml:space="preserve"> iba derramando sangre, </w:t>
      </w:r>
      <w:r w:rsidR="00914334" w:rsidRPr="007F3D68">
        <w:rPr>
          <w:rFonts w:asciiTheme="majorHAnsi" w:hAnsiTheme="majorHAnsi"/>
          <w:sz w:val="20"/>
          <w:szCs w:val="20"/>
          <w:lang w:val="es-VE"/>
        </w:rPr>
        <w:t>él</w:t>
      </w:r>
      <w:r w:rsidRPr="007F3D68">
        <w:rPr>
          <w:rFonts w:asciiTheme="majorHAnsi" w:hAnsiTheme="majorHAnsi"/>
          <w:sz w:val="20"/>
          <w:szCs w:val="20"/>
          <w:lang w:val="es-VE"/>
        </w:rPr>
        <w:t xml:space="preserve"> contaba que se lo metieron por el recto por lo </w:t>
      </w:r>
      <w:r w:rsidR="003A54A9" w:rsidRPr="007F3D68">
        <w:rPr>
          <w:rFonts w:asciiTheme="majorHAnsi" w:hAnsiTheme="majorHAnsi"/>
          <w:sz w:val="20"/>
          <w:szCs w:val="20"/>
          <w:lang w:val="es-VE"/>
        </w:rPr>
        <w:t>que iba sumamente lastimado (…)</w:t>
      </w:r>
      <w:r w:rsidRPr="007F3D68">
        <w:rPr>
          <w:rStyle w:val="FootnoteReference"/>
          <w:rFonts w:asciiTheme="majorHAnsi" w:hAnsiTheme="majorHAnsi"/>
          <w:sz w:val="20"/>
          <w:szCs w:val="20"/>
          <w:lang w:val="es-VE"/>
        </w:rPr>
        <w:footnoteReference w:id="9"/>
      </w:r>
      <w:r w:rsidRPr="007F3D68">
        <w:rPr>
          <w:rFonts w:asciiTheme="majorHAnsi" w:hAnsiTheme="majorHAnsi"/>
          <w:sz w:val="20"/>
          <w:szCs w:val="20"/>
          <w:lang w:val="es-VE"/>
        </w:rPr>
        <w:t>.</w:t>
      </w:r>
    </w:p>
    <w:p w:rsidR="00D914A2" w:rsidRPr="007F3D68" w:rsidRDefault="00D914A2" w:rsidP="004E102F">
      <w:pPr>
        <w:pStyle w:val="Heading3"/>
        <w:numPr>
          <w:ilvl w:val="1"/>
          <w:numId w:val="55"/>
        </w:numPr>
        <w:tabs>
          <w:tab w:val="clear" w:pos="1800"/>
          <w:tab w:val="num" w:pos="1260"/>
        </w:tabs>
        <w:ind w:hanging="1080"/>
        <w:rPr>
          <w:color w:val="auto"/>
          <w:sz w:val="20"/>
          <w:szCs w:val="20"/>
          <w:lang w:val="es-VE"/>
        </w:rPr>
      </w:pPr>
      <w:bookmarkStart w:id="73" w:name="_Toc495479541"/>
      <w:r w:rsidRPr="007F3D68">
        <w:rPr>
          <w:color w:val="auto"/>
          <w:sz w:val="20"/>
          <w:szCs w:val="20"/>
          <w:lang w:val="es-VE"/>
        </w:rPr>
        <w:t>Alegada tortura en momentos posteriores a la detención</w:t>
      </w:r>
      <w:bookmarkEnd w:id="73"/>
      <w:r w:rsidRPr="007F3D68">
        <w:rPr>
          <w:color w:val="auto"/>
          <w:sz w:val="20"/>
          <w:szCs w:val="20"/>
          <w:lang w:val="es-VE"/>
        </w:rPr>
        <w:t xml:space="preserve"> </w:t>
      </w:r>
    </w:p>
    <w:p w:rsidR="00D914A2" w:rsidRPr="007F3D68" w:rsidRDefault="00D914A2" w:rsidP="001703E3">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Los peticionarios denunciaron que el señor Valenzuela Ávila fue torturado nuevamente el 10 de abril de 1999, tras ser recapturado después de su primera fuga</w:t>
      </w:r>
      <w:r w:rsidR="001B0106" w:rsidRPr="007F3D68">
        <w:rPr>
          <w:rFonts w:ascii="Cambria" w:hAnsi="Cambria"/>
          <w:sz w:val="20"/>
          <w:szCs w:val="20"/>
          <w:lang w:val="es-VE"/>
        </w:rPr>
        <w:t xml:space="preserve"> en junio de 1998</w:t>
      </w:r>
      <w:r w:rsidRPr="007F3D68">
        <w:rPr>
          <w:rFonts w:ascii="Cambria" w:hAnsi="Cambria"/>
          <w:sz w:val="20"/>
          <w:szCs w:val="20"/>
          <w:lang w:val="es-VE"/>
        </w:rPr>
        <w:t>.</w:t>
      </w:r>
    </w:p>
    <w:p w:rsidR="00D914A2" w:rsidRPr="007F3D68" w:rsidRDefault="00D914A2" w:rsidP="009C796E">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El 8 de julio de 1999 el abogado defensor presentó un escrito ante el Juez de Primera Instancia Penal, Narcoactividad y Delitos contra el Ambiente, informando que su defendido fue objeto de malos tratos al momento de ser recapturado. Por ello, solicitó que “lo trasladen a un centro hospitalario y/o en su caso a que se lleve UN MEDICO ESPECIALISTA al centro donde guarda prisión preventiva, para que realice los exámenes correspondientes para proveerle el tratamiento médico que amerite”</w:t>
      </w:r>
      <w:r w:rsidRPr="007F3D68">
        <w:rPr>
          <w:rStyle w:val="FootnoteReference"/>
          <w:rFonts w:ascii="Cambria" w:hAnsi="Cambria"/>
          <w:sz w:val="20"/>
          <w:szCs w:val="20"/>
          <w:lang w:val="es-VE"/>
        </w:rPr>
        <w:footnoteReference w:id="10"/>
      </w:r>
      <w:r w:rsidRPr="007F3D68">
        <w:rPr>
          <w:rFonts w:ascii="Cambria" w:hAnsi="Cambria"/>
          <w:sz w:val="20"/>
          <w:szCs w:val="20"/>
          <w:lang w:val="es-VE"/>
        </w:rPr>
        <w:t xml:space="preserve">. </w:t>
      </w:r>
    </w:p>
    <w:p w:rsidR="00D914A2" w:rsidRPr="007F3D68" w:rsidRDefault="00D914A2" w:rsidP="00D914A2">
      <w:pPr>
        <w:pStyle w:val="ListParagraph"/>
        <w:rPr>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 xml:space="preserve">La Comisión no cuenta con información que indique que el Estado dio respuesta a esta solicitud. Tampoco consta en el expediente que las autoridades hubieran ordenado la realización de un examen médico al señor Valenzuela Ávila. </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Según informaron las partes, el señor Valenzuela Ávila se volvió a fugar e</w:t>
      </w:r>
      <w:r w:rsidR="001B0106" w:rsidRPr="007F3D68">
        <w:rPr>
          <w:rFonts w:ascii="Cambria" w:hAnsi="Cambria"/>
          <w:sz w:val="20"/>
          <w:szCs w:val="20"/>
          <w:lang w:val="es-VE"/>
        </w:rPr>
        <w:t>n</w:t>
      </w:r>
      <w:r w:rsidRPr="007F3D68">
        <w:rPr>
          <w:rFonts w:ascii="Cambria" w:hAnsi="Cambria"/>
          <w:sz w:val="20"/>
          <w:szCs w:val="20"/>
          <w:lang w:val="es-VE"/>
        </w:rPr>
        <w:t xml:space="preserve"> junio de 2001. Los peticionarios denunciaron que fue nuevamente torturado luego de ser recapturado.</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D914A2" w:rsidRPr="007F3D68" w:rsidRDefault="00D914A2" w:rsidP="00056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Al respecto, en una carta dirigida por la presunta víctima al abogado Enríquez Cabrera, el s</w:t>
      </w:r>
      <w:r w:rsidR="00056FA7" w:rsidRPr="007F3D68">
        <w:rPr>
          <w:rFonts w:ascii="Cambria" w:hAnsi="Cambria"/>
          <w:sz w:val="20"/>
          <w:szCs w:val="20"/>
          <w:lang w:val="es-VE"/>
        </w:rPr>
        <w:t>e</w:t>
      </w:r>
      <w:r w:rsidRPr="007F3D68">
        <w:rPr>
          <w:rFonts w:ascii="Cambria" w:hAnsi="Cambria"/>
          <w:sz w:val="20"/>
          <w:szCs w:val="20"/>
          <w:lang w:val="es-VE"/>
        </w:rPr>
        <w:t>ñor Valenzuela Avila le informó que sufrió torturas el 17, 18 y 19 de junio de 2001 por parte de agentes del Servicio de Investigación Criminal con autoridades del centro penal.</w:t>
      </w:r>
      <w:r w:rsidR="00056FA7" w:rsidRPr="007F3D68">
        <w:rPr>
          <w:rFonts w:ascii="Cambria" w:hAnsi="Cambria"/>
          <w:sz w:val="20"/>
          <w:szCs w:val="20"/>
          <w:lang w:val="es-VE"/>
        </w:rPr>
        <w:t xml:space="preserve"> </w:t>
      </w:r>
      <w:r w:rsidRPr="007F3D68">
        <w:rPr>
          <w:rFonts w:ascii="Cambria" w:hAnsi="Cambria"/>
          <w:sz w:val="20"/>
          <w:szCs w:val="20"/>
          <w:lang w:val="es-VE"/>
        </w:rPr>
        <w:t>Ref</w:t>
      </w:r>
      <w:r w:rsidR="00056FA7" w:rsidRPr="007F3D68">
        <w:rPr>
          <w:rFonts w:ascii="Cambria" w:hAnsi="Cambria"/>
          <w:sz w:val="20"/>
          <w:szCs w:val="20"/>
          <w:lang w:val="es-VE"/>
        </w:rPr>
        <w:t>irió que como consecuencia sufría</w:t>
      </w:r>
      <w:r w:rsidRPr="007F3D68">
        <w:rPr>
          <w:rFonts w:ascii="Cambria" w:hAnsi="Cambria"/>
          <w:sz w:val="20"/>
          <w:szCs w:val="20"/>
          <w:lang w:val="es-VE"/>
        </w:rPr>
        <w:t xml:space="preserve"> dolores intensos en la parte baja de la esp</w:t>
      </w:r>
      <w:r w:rsidR="00056FA7" w:rsidRPr="007F3D68">
        <w:rPr>
          <w:rFonts w:ascii="Cambria" w:hAnsi="Cambria"/>
          <w:sz w:val="20"/>
          <w:szCs w:val="20"/>
          <w:lang w:val="es-VE"/>
        </w:rPr>
        <w:t>alda. Indicó que llegó un médico supuestamente</w:t>
      </w:r>
      <w:r w:rsidRPr="007F3D68">
        <w:rPr>
          <w:rFonts w:ascii="Cambria" w:hAnsi="Cambria"/>
          <w:sz w:val="20"/>
          <w:szCs w:val="20"/>
          <w:lang w:val="es-VE"/>
        </w:rPr>
        <w:t xml:space="preserve"> </w:t>
      </w:r>
      <w:r w:rsidR="00056FA7" w:rsidRPr="007F3D68">
        <w:rPr>
          <w:rFonts w:ascii="Cambria" w:hAnsi="Cambria"/>
          <w:sz w:val="20"/>
          <w:szCs w:val="20"/>
          <w:lang w:val="es-VE"/>
        </w:rPr>
        <w:t>p</w:t>
      </w:r>
      <w:r w:rsidRPr="007F3D68">
        <w:rPr>
          <w:rFonts w:ascii="Cambria" w:hAnsi="Cambria"/>
          <w:sz w:val="20"/>
          <w:szCs w:val="20"/>
          <w:lang w:val="es-VE"/>
        </w:rPr>
        <w:t>a</w:t>
      </w:r>
      <w:r w:rsidR="00056FA7" w:rsidRPr="007F3D68">
        <w:rPr>
          <w:rFonts w:ascii="Cambria" w:hAnsi="Cambria"/>
          <w:sz w:val="20"/>
          <w:szCs w:val="20"/>
          <w:lang w:val="es-VE"/>
        </w:rPr>
        <w:t>ra</w:t>
      </w:r>
      <w:r w:rsidRPr="007F3D68">
        <w:rPr>
          <w:rFonts w:ascii="Cambria" w:hAnsi="Cambria"/>
          <w:sz w:val="20"/>
          <w:szCs w:val="20"/>
          <w:lang w:val="es-VE"/>
        </w:rPr>
        <w:t xml:space="preserve"> examinarlo pero no le hizo exámenes e hizo caso omiso “a mis golpes y torturas”. Le pidió a dicha persona asistencia médica en cualquier hospital nacional porque en sus palabras “llevo 4 días de estar en cama sin poderme movilizar </w:t>
      </w:r>
      <w:proofErr w:type="spellStart"/>
      <w:r w:rsidRPr="007F3D68">
        <w:rPr>
          <w:rFonts w:ascii="Cambria" w:hAnsi="Cambria"/>
          <w:sz w:val="20"/>
          <w:szCs w:val="20"/>
          <w:lang w:val="es-VE"/>
        </w:rPr>
        <w:t>devido</w:t>
      </w:r>
      <w:proofErr w:type="spellEnd"/>
      <w:r w:rsidRPr="007F3D68">
        <w:rPr>
          <w:rFonts w:ascii="Cambria" w:hAnsi="Cambria"/>
          <w:sz w:val="20"/>
          <w:szCs w:val="20"/>
          <w:lang w:val="es-VE"/>
        </w:rPr>
        <w:t xml:space="preserve"> (sic) al fuerte dolor en mi columna </w:t>
      </w:r>
      <w:proofErr w:type="spellStart"/>
      <w:r w:rsidRPr="007F3D68">
        <w:rPr>
          <w:rFonts w:ascii="Cambria" w:hAnsi="Cambria"/>
          <w:sz w:val="20"/>
          <w:szCs w:val="20"/>
          <w:lang w:val="es-VE"/>
        </w:rPr>
        <w:t>bertevral</w:t>
      </w:r>
      <w:proofErr w:type="spellEnd"/>
      <w:r w:rsidRPr="007F3D68">
        <w:rPr>
          <w:rFonts w:ascii="Cambria" w:hAnsi="Cambria"/>
          <w:sz w:val="20"/>
          <w:szCs w:val="20"/>
          <w:lang w:val="es-VE"/>
        </w:rPr>
        <w:t xml:space="preserve"> (sic)”</w:t>
      </w:r>
      <w:r w:rsidRPr="007F3D68">
        <w:rPr>
          <w:rStyle w:val="FootnoteReference"/>
          <w:rFonts w:ascii="Cambria" w:hAnsi="Cambria"/>
          <w:sz w:val="20"/>
          <w:szCs w:val="20"/>
          <w:lang w:val="es-VE"/>
        </w:rPr>
        <w:footnoteReference w:id="11"/>
      </w:r>
      <w:r w:rsidRPr="007F3D68">
        <w:rPr>
          <w:rFonts w:ascii="Cambria" w:hAnsi="Cambria"/>
          <w:sz w:val="20"/>
          <w:szCs w:val="20"/>
          <w:lang w:val="es-VE"/>
        </w:rPr>
        <w:t xml:space="preserve">. </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D914A2"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 xml:space="preserve">El 11 de julio de 2001 la presunta víctima interpuso un recurso de exhibición personal a su favor y en contra el Director de la Policía Nacional Civil, el Jefe del Departamento de Servicio de Investigación Criminal y el Director del Centro Preventivo para Hombres de la zona 18, alegando entre otras cosas que </w:t>
      </w:r>
      <w:r w:rsidRPr="007F3D68">
        <w:rPr>
          <w:rFonts w:ascii="Cambria" w:hAnsi="Cambria"/>
          <w:sz w:val="20"/>
          <w:szCs w:val="20"/>
          <w:lang w:val="es-VE"/>
        </w:rPr>
        <w:lastRenderedPageBreak/>
        <w:t>estaba siendo objeto de torturas y vejámenes en la prisión por lo que pidió una evaluación médica y q</w:t>
      </w:r>
      <w:r w:rsidR="00056FA7" w:rsidRPr="007F3D68">
        <w:rPr>
          <w:rFonts w:ascii="Cambria" w:hAnsi="Cambria"/>
          <w:sz w:val="20"/>
          <w:szCs w:val="20"/>
          <w:lang w:val="es-VE"/>
        </w:rPr>
        <w:t>ue se hagan cesar los vejámenes</w:t>
      </w:r>
      <w:r w:rsidRPr="007F3D68">
        <w:rPr>
          <w:rStyle w:val="FootnoteReference"/>
          <w:rFonts w:ascii="Cambria" w:hAnsi="Cambria"/>
          <w:sz w:val="20"/>
          <w:szCs w:val="20"/>
          <w:lang w:val="es-VE"/>
        </w:rPr>
        <w:footnoteReference w:id="12"/>
      </w:r>
      <w:r w:rsidRPr="007F3D68">
        <w:rPr>
          <w:rFonts w:ascii="Cambria" w:hAnsi="Cambria"/>
          <w:sz w:val="20"/>
          <w:szCs w:val="20"/>
          <w:lang w:val="es-VE"/>
        </w:rPr>
        <w:t>.</w:t>
      </w:r>
    </w:p>
    <w:p w:rsidR="00B41B3B" w:rsidRPr="00FB1E9C" w:rsidRDefault="00B41B3B" w:rsidP="00B41B3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El 30 de julio de 2001 la Sala Tercera de la Corte de Apelaciones  resolvió sin lugar el recurso de exhibición personal, argumentando que en el caso “no concurren los presupuestos legales para su procedencia</w:t>
      </w:r>
      <w:r w:rsidR="00056FA7" w:rsidRPr="007F3D68">
        <w:rPr>
          <w:rFonts w:ascii="Cambria" w:hAnsi="Cambria"/>
          <w:sz w:val="20"/>
          <w:szCs w:val="20"/>
          <w:lang w:val="es-VE"/>
        </w:rPr>
        <w:t>”</w:t>
      </w:r>
      <w:r w:rsidRPr="007F3D68">
        <w:rPr>
          <w:rStyle w:val="FootnoteReference"/>
          <w:rFonts w:ascii="Cambria" w:hAnsi="Cambria"/>
          <w:sz w:val="20"/>
          <w:szCs w:val="20"/>
          <w:lang w:val="es-VE"/>
        </w:rPr>
        <w:footnoteReference w:id="13"/>
      </w:r>
      <w:r w:rsidRPr="007F3D68">
        <w:rPr>
          <w:rFonts w:ascii="Cambria" w:hAnsi="Cambria"/>
          <w:sz w:val="20"/>
          <w:szCs w:val="20"/>
          <w:lang w:val="es-VE"/>
        </w:rPr>
        <w:t xml:space="preserve">. </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 xml:space="preserve">En relación con estos alegatos de tortura, el señor Pablo Arturo Ruiz </w:t>
      </w:r>
      <w:proofErr w:type="spellStart"/>
      <w:r w:rsidRPr="007F3D68">
        <w:rPr>
          <w:rFonts w:ascii="Cambria" w:hAnsi="Cambria"/>
          <w:sz w:val="20"/>
          <w:szCs w:val="20"/>
          <w:lang w:val="es-VE"/>
        </w:rPr>
        <w:t>Almengor</w:t>
      </w:r>
      <w:proofErr w:type="spellEnd"/>
      <w:r w:rsidRPr="007F3D68">
        <w:rPr>
          <w:rFonts w:ascii="Cambria" w:hAnsi="Cambria"/>
          <w:sz w:val="20"/>
          <w:szCs w:val="20"/>
          <w:lang w:val="es-VE"/>
        </w:rPr>
        <w:t>, cuya celda en la cárcel se encontraba próxima a la de la presunta víctima, declaró que luego de ser recapturados tras fugarse de la cárcel de máxima seguridad “El Infiernito”</w:t>
      </w:r>
      <w:r w:rsidR="00FD45B6" w:rsidRPr="007F3D68">
        <w:rPr>
          <w:rFonts w:ascii="Cambria" w:hAnsi="Cambria"/>
          <w:sz w:val="20"/>
          <w:szCs w:val="20"/>
          <w:lang w:val="es-VE"/>
        </w:rPr>
        <w:t xml:space="preserve"> en 2001</w:t>
      </w:r>
      <w:r w:rsidRPr="007F3D68">
        <w:rPr>
          <w:rFonts w:ascii="Cambria" w:hAnsi="Cambria"/>
          <w:sz w:val="20"/>
          <w:szCs w:val="20"/>
          <w:lang w:val="es-VE"/>
        </w:rPr>
        <w:t>, la presunta víctima fue golpeada en la prisión. Al respecto indicó que “estando el señor Tirso Román Valenzuela Ávila en su bartolina vinieron a sacarlo en repetidas oportunidades personas vestidas de particular se lo llevaban y regresaba el cada vez más golpeado”</w:t>
      </w:r>
      <w:r w:rsidRPr="007F3D68">
        <w:rPr>
          <w:rStyle w:val="FootnoteReference"/>
          <w:rFonts w:ascii="Cambria" w:hAnsi="Cambria"/>
          <w:sz w:val="20"/>
          <w:szCs w:val="20"/>
          <w:lang w:val="es-VE"/>
        </w:rPr>
        <w:footnoteReference w:id="14"/>
      </w:r>
      <w:r w:rsidRPr="007F3D68">
        <w:rPr>
          <w:rFonts w:ascii="Cambria" w:hAnsi="Cambria"/>
          <w:sz w:val="20"/>
          <w:szCs w:val="20"/>
          <w:lang w:val="es-VE"/>
        </w:rPr>
        <w:t>.</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D914A2" w:rsidRPr="007F3D68" w:rsidRDefault="00FD45B6"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Tras sentencia definitiva de 2004, a</w:t>
      </w:r>
      <w:r w:rsidR="00D914A2" w:rsidRPr="007F3D68">
        <w:rPr>
          <w:rFonts w:ascii="Cambria" w:hAnsi="Cambria"/>
          <w:sz w:val="20"/>
          <w:szCs w:val="20"/>
          <w:lang w:val="es-VE"/>
        </w:rPr>
        <w:t>mbas partes presentaron informes médicos realizados entre febrero y junio de 2005.</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El 25 de febrero de 2005 el médico Carlos Guillermo Quijada Sandoval, Coordinador de Servicios Médicos del Sistema Penitenciario efectuó un examen médico a la presunta víctima, e informó que le preguntó reiteradamente si ha sufrido agresión o maltrato en la prisión, a lo que esta contestó con negativa. Agregó que “el estado físico como mental del paciente no presenta ninguna evidencia de agresión o maltrato físico”</w:t>
      </w:r>
      <w:r w:rsidRPr="007F3D68">
        <w:rPr>
          <w:rStyle w:val="FootnoteReference"/>
          <w:rFonts w:ascii="Cambria" w:hAnsi="Cambria"/>
          <w:sz w:val="20"/>
          <w:szCs w:val="20"/>
          <w:lang w:val="es-VE"/>
        </w:rPr>
        <w:footnoteReference w:id="15"/>
      </w:r>
      <w:r w:rsidRPr="007F3D68">
        <w:rPr>
          <w:rFonts w:ascii="Cambria" w:hAnsi="Cambria"/>
          <w:sz w:val="20"/>
          <w:szCs w:val="20"/>
          <w:lang w:val="es-VE"/>
        </w:rPr>
        <w:t xml:space="preserve">. </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8E7F97"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 xml:space="preserve">Por su parte, el 15 de junio de 2005 la Dra. Edna Karina </w:t>
      </w:r>
      <w:proofErr w:type="spellStart"/>
      <w:r w:rsidRPr="007F3D68">
        <w:rPr>
          <w:rFonts w:ascii="Cambria" w:hAnsi="Cambria"/>
          <w:sz w:val="20"/>
          <w:szCs w:val="20"/>
          <w:lang w:val="es-VE"/>
        </w:rPr>
        <w:t>Vaquerano</w:t>
      </w:r>
      <w:proofErr w:type="spellEnd"/>
      <w:r w:rsidRPr="007F3D68">
        <w:rPr>
          <w:rFonts w:ascii="Cambria" w:hAnsi="Cambria"/>
          <w:sz w:val="20"/>
          <w:szCs w:val="20"/>
          <w:lang w:val="es-VE"/>
        </w:rPr>
        <w:t xml:space="preserve"> Martínez, emitió un informe de un examen médico realizado a la presunta víctima en la misma fecha. En dicho informe concluyó que la presunta víctima “presenta un examen mental acorde a una persona que ha vivido tortura, malos tratos y violencia. Razón por la cual debe de llevar un proceso psicoterapéutico que provea las herramientas de fortalecimiento y resolución en este aspecto de su vida”</w:t>
      </w:r>
      <w:r w:rsidRPr="007F3D68">
        <w:rPr>
          <w:rStyle w:val="FootnoteReference"/>
          <w:rFonts w:ascii="Cambria" w:hAnsi="Cambria"/>
          <w:sz w:val="20"/>
          <w:szCs w:val="20"/>
          <w:lang w:val="es-VE"/>
        </w:rPr>
        <w:footnoteReference w:id="16"/>
      </w:r>
      <w:r w:rsidRPr="007F3D68">
        <w:rPr>
          <w:rFonts w:ascii="Cambria" w:hAnsi="Cambria"/>
          <w:sz w:val="20"/>
          <w:szCs w:val="20"/>
          <w:lang w:val="es-VE"/>
        </w:rPr>
        <w:t>. En dicho informe también documentó por medio de fotografías que la presunta víctima presenta al menos seis cicatrices de viejas heridas</w:t>
      </w:r>
      <w:r w:rsidR="008E7F97" w:rsidRPr="007F3D68">
        <w:rPr>
          <w:rFonts w:ascii="Cambria" w:hAnsi="Cambria"/>
          <w:sz w:val="20"/>
          <w:szCs w:val="20"/>
          <w:lang w:val="es-VE"/>
        </w:rPr>
        <w:t>: 1. Cicatriz en área de cuello de quemaduras; 2. Cicatrices en espalda; 3. Cicatriz en muñeca resultante de un intento de introducción de varilla; 4. Cicatriz de perforación de la colocación de sello de agua por problemas pulmonares secundarios a los disparos recibidos; 5. Cicatriz de sello de agua lado izquierdo, 6. Orificio de salida de impacto de bala recibido</w:t>
      </w:r>
      <w:r w:rsidR="008E7F97" w:rsidRPr="007F3D68">
        <w:rPr>
          <w:rStyle w:val="FootnoteReference"/>
          <w:rFonts w:ascii="Cambria" w:hAnsi="Cambria"/>
          <w:sz w:val="20"/>
          <w:szCs w:val="20"/>
          <w:lang w:val="es-VE"/>
        </w:rPr>
        <w:footnoteReference w:id="17"/>
      </w:r>
      <w:r w:rsidR="008E7F97" w:rsidRPr="007F3D68">
        <w:rPr>
          <w:rFonts w:ascii="Cambria" w:hAnsi="Cambria"/>
          <w:sz w:val="20"/>
          <w:szCs w:val="20"/>
          <w:lang w:val="es-VE"/>
        </w:rPr>
        <w:t>.</w:t>
      </w:r>
    </w:p>
    <w:p w:rsidR="008E7F97" w:rsidRPr="007F3D68" w:rsidRDefault="008E7F97" w:rsidP="00D914A2">
      <w:pPr>
        <w:pBdr>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Los peticionarios también presentaron un peritaje psicológico emitido por el Dr. Juan Cristóbal Aldana Alfaro, en el que este concluyó que “Tirso muestra las características de una persona torturada tanto desde el punto de vista físico y psicológico”. Agregó que en el orden físico Tirso exhibe una serie de cicatrices, por lo que se recomienda “que se debe practicar una evaluación médica especializada en tortura para verificar el origen de dichas cicatrices y lesiones”</w:t>
      </w:r>
      <w:r w:rsidRPr="007F3D68">
        <w:rPr>
          <w:rStyle w:val="FootnoteReference"/>
          <w:rFonts w:ascii="Cambria" w:hAnsi="Cambria"/>
          <w:sz w:val="20"/>
          <w:szCs w:val="20"/>
          <w:lang w:val="es-VE"/>
        </w:rPr>
        <w:t xml:space="preserve"> </w:t>
      </w:r>
      <w:r w:rsidRPr="007F3D68">
        <w:rPr>
          <w:rStyle w:val="FootnoteReference"/>
          <w:rFonts w:ascii="Cambria" w:hAnsi="Cambria"/>
          <w:sz w:val="20"/>
          <w:szCs w:val="20"/>
          <w:lang w:val="es-VE"/>
        </w:rPr>
        <w:footnoteReference w:id="18"/>
      </w:r>
      <w:r w:rsidRPr="007F3D68">
        <w:rPr>
          <w:rFonts w:ascii="Cambria" w:hAnsi="Cambria"/>
          <w:sz w:val="20"/>
          <w:szCs w:val="20"/>
          <w:lang w:val="es-VE"/>
        </w:rPr>
        <w:t>.</w:t>
      </w:r>
    </w:p>
    <w:p w:rsidR="00D914A2" w:rsidRPr="007F3D68" w:rsidRDefault="00D914A2" w:rsidP="00D914A2">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D914A2" w:rsidRPr="007F3D68" w:rsidRDefault="00D914A2" w:rsidP="00D914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 xml:space="preserve">Indicó que en cuanto a las secuelas psicológicas, “Tirso refiere cambios metabólicos y trastornos somáticos que han sido reseñados y disfunciones sexuales que son comunes a personas torturadas, especialmente que han sufrido tortura sexual o violación”. Agregó que otros efectos psicológicos “se extienden </w:t>
      </w:r>
      <w:r w:rsidRPr="007F3D68">
        <w:rPr>
          <w:rFonts w:ascii="Cambria" w:hAnsi="Cambria"/>
          <w:sz w:val="20"/>
          <w:szCs w:val="20"/>
          <w:lang w:val="es-VE"/>
        </w:rPr>
        <w:lastRenderedPageBreak/>
        <w:t>a su situación actual en el corredor de la muerte, como la depresión, sentimientos de culpa, confusión emocional y una ansiedad moderada por el distanciamiento de las visitas familiares”</w:t>
      </w:r>
      <w:r w:rsidRPr="007F3D68">
        <w:rPr>
          <w:rStyle w:val="FootnoteReference"/>
          <w:rFonts w:ascii="Cambria" w:hAnsi="Cambria"/>
          <w:sz w:val="20"/>
          <w:szCs w:val="20"/>
          <w:lang w:val="es-VE"/>
        </w:rPr>
        <w:footnoteReference w:id="19"/>
      </w:r>
      <w:r w:rsidRPr="007F3D68">
        <w:rPr>
          <w:rFonts w:ascii="Cambria" w:hAnsi="Cambria"/>
          <w:sz w:val="20"/>
          <w:szCs w:val="20"/>
          <w:lang w:val="es-VE"/>
        </w:rPr>
        <w:t>.</w:t>
      </w:r>
    </w:p>
    <w:p w:rsidR="00D914A2" w:rsidRPr="007F3D68" w:rsidRDefault="00D914A2" w:rsidP="00D914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1703E3" w:rsidRPr="007F3D68" w:rsidRDefault="00D914A2" w:rsidP="001703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hAnsi="Cambria"/>
          <w:sz w:val="20"/>
          <w:szCs w:val="20"/>
          <w:lang w:val="es-VE"/>
        </w:rPr>
        <w:t xml:space="preserve">La información disponible indica que el Estado no inició investigación alguna relacionada con las denuncias de tortura. </w:t>
      </w:r>
    </w:p>
    <w:p w:rsidR="008E7F97" w:rsidRPr="007F3D68" w:rsidRDefault="008E7F97" w:rsidP="008E7F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1703E3" w:rsidRPr="007F3D68" w:rsidRDefault="001703E3" w:rsidP="00FC650A">
      <w:pPr>
        <w:pStyle w:val="Heading2"/>
        <w:numPr>
          <w:ilvl w:val="0"/>
          <w:numId w:val="74"/>
        </w:numPr>
        <w:ind w:left="1260" w:hanging="540"/>
      </w:pPr>
      <w:bookmarkStart w:id="74" w:name="_Toc495479542"/>
      <w:r w:rsidRPr="007F3D68">
        <w:t>Proceso penal</w:t>
      </w:r>
      <w:bookmarkEnd w:id="74"/>
    </w:p>
    <w:p w:rsidR="000A1A51" w:rsidRPr="007F3D68" w:rsidRDefault="000A1A51" w:rsidP="00FC650A">
      <w:pPr>
        <w:pStyle w:val="Heading3"/>
        <w:numPr>
          <w:ilvl w:val="0"/>
          <w:numId w:val="75"/>
        </w:numPr>
        <w:tabs>
          <w:tab w:val="clear" w:pos="1800"/>
          <w:tab w:val="num" w:pos="1260"/>
        </w:tabs>
        <w:ind w:hanging="1080"/>
        <w:rPr>
          <w:color w:val="auto"/>
          <w:sz w:val="20"/>
          <w:szCs w:val="20"/>
          <w:lang w:val="es-VE"/>
        </w:rPr>
      </w:pPr>
      <w:bookmarkStart w:id="75" w:name="_Toc495479543"/>
      <w:r w:rsidRPr="007F3D68">
        <w:rPr>
          <w:color w:val="auto"/>
          <w:sz w:val="20"/>
          <w:szCs w:val="20"/>
          <w:lang w:val="es-VE"/>
        </w:rPr>
        <w:t>Acusación</w:t>
      </w:r>
      <w:bookmarkEnd w:id="75"/>
    </w:p>
    <w:p w:rsidR="000A1A51" w:rsidRPr="007F3D68" w:rsidRDefault="000A1A51" w:rsidP="000A1A51">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ajorHAnsi" w:eastAsia="Times New Roman" w:hAnsiTheme="majorHAnsi" w:cs="Courier New"/>
          <w:i/>
          <w:color w:val="auto"/>
          <w:sz w:val="20"/>
          <w:szCs w:val="20"/>
          <w:bdr w:val="none" w:sz="0" w:space="0" w:color="auto"/>
          <w:lang w:val="es-ES"/>
        </w:rPr>
      </w:pPr>
    </w:p>
    <w:p w:rsidR="000A1A51" w:rsidRPr="007F3D68" w:rsidRDefault="000A1A51" w:rsidP="00FC650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El 31 de mayo de 1999 el Ministerio Público formuló acusación en contra de Tirso Román Valenzuela Ávila por los delitos de tenencia ilegal de armas de fuego ofensivas, asesinato y lesiones, plagio o secuestro, evasión y</w:t>
      </w:r>
      <w:r w:rsidR="00373675" w:rsidRPr="007F3D68">
        <w:rPr>
          <w:rFonts w:asciiTheme="majorHAnsi" w:hAnsiTheme="majorHAnsi"/>
          <w:sz w:val="20"/>
          <w:szCs w:val="20"/>
          <w:lang w:val="es-VE"/>
        </w:rPr>
        <w:t xml:space="preserve"> uso público de nombre supuesto</w:t>
      </w:r>
      <w:r w:rsidRPr="007F3D68">
        <w:rPr>
          <w:rStyle w:val="FootnoteReference"/>
          <w:rFonts w:asciiTheme="majorHAnsi" w:hAnsiTheme="majorHAnsi"/>
          <w:sz w:val="20"/>
          <w:szCs w:val="20"/>
          <w:lang w:val="es-VE"/>
        </w:rPr>
        <w:footnoteReference w:id="20"/>
      </w:r>
      <w:r w:rsidRPr="007F3D68">
        <w:rPr>
          <w:rFonts w:asciiTheme="majorHAnsi" w:hAnsiTheme="majorHAnsi"/>
          <w:sz w:val="20"/>
          <w:szCs w:val="20"/>
          <w:lang w:val="es-VE"/>
        </w:rPr>
        <w:t>. El 2 de julio de 1999 el Juzgado de Primera Instancia Penal decretó el sobreseimiento en relación con el delito de lesiones y admitió la acusación respecto de los otros delitos enunciados en el párrafo anterior</w:t>
      </w:r>
      <w:r w:rsidRPr="007F3D68">
        <w:rPr>
          <w:rStyle w:val="FootnoteReference"/>
          <w:rFonts w:asciiTheme="majorHAnsi" w:hAnsiTheme="majorHAnsi"/>
          <w:sz w:val="20"/>
          <w:szCs w:val="20"/>
          <w:lang w:val="es-VE"/>
        </w:rPr>
        <w:footnoteReference w:id="21"/>
      </w:r>
      <w:r w:rsidRPr="007F3D68">
        <w:rPr>
          <w:rFonts w:asciiTheme="majorHAnsi" w:hAnsiTheme="majorHAnsi"/>
          <w:sz w:val="20"/>
          <w:szCs w:val="20"/>
          <w:lang w:val="es-VE"/>
        </w:rPr>
        <w:t xml:space="preserve">. </w:t>
      </w:r>
    </w:p>
    <w:p w:rsidR="000A1A51" w:rsidRPr="007F3D68" w:rsidRDefault="000A1A51" w:rsidP="00FC650A">
      <w:pPr>
        <w:pStyle w:val="Heading3"/>
        <w:numPr>
          <w:ilvl w:val="0"/>
          <w:numId w:val="75"/>
        </w:numPr>
        <w:tabs>
          <w:tab w:val="clear" w:pos="1800"/>
          <w:tab w:val="num" w:pos="1260"/>
        </w:tabs>
        <w:ind w:hanging="1080"/>
        <w:rPr>
          <w:color w:val="auto"/>
          <w:sz w:val="20"/>
          <w:szCs w:val="20"/>
          <w:lang w:val="es-VE"/>
        </w:rPr>
      </w:pPr>
      <w:bookmarkStart w:id="76" w:name="_Toc495479544"/>
      <w:r w:rsidRPr="007F3D68">
        <w:rPr>
          <w:color w:val="auto"/>
          <w:sz w:val="20"/>
          <w:szCs w:val="20"/>
          <w:lang w:val="es-VE"/>
        </w:rPr>
        <w:t>Sentencia condenatoria</w:t>
      </w:r>
      <w:bookmarkEnd w:id="76"/>
    </w:p>
    <w:p w:rsidR="000A1A51" w:rsidRPr="007F3D68" w:rsidRDefault="000A1A51" w:rsidP="000A1A51">
      <w:pPr>
        <w:rPr>
          <w:lang w:val="es-ES"/>
        </w:rPr>
      </w:pPr>
    </w:p>
    <w:p w:rsidR="000A1A51" w:rsidRPr="007F3D68" w:rsidRDefault="000A1A51" w:rsidP="000A1A5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El 21 de octubre de 1999 el Tribunal de Sentencia del Departamento de Quetzaltenango dictó sentencia condenatoria en contra de la presunta víctima y otras personas</w:t>
      </w:r>
      <w:r w:rsidRPr="007F3D68">
        <w:rPr>
          <w:rStyle w:val="FootnoteReference"/>
          <w:rFonts w:asciiTheme="majorHAnsi" w:hAnsiTheme="majorHAnsi"/>
          <w:sz w:val="20"/>
          <w:szCs w:val="20"/>
          <w:lang w:val="es-VE"/>
        </w:rPr>
        <w:footnoteReference w:id="22"/>
      </w:r>
      <w:r w:rsidRPr="007F3D68">
        <w:rPr>
          <w:rFonts w:asciiTheme="majorHAnsi" w:hAnsiTheme="majorHAnsi"/>
          <w:sz w:val="20"/>
          <w:szCs w:val="20"/>
          <w:lang w:val="es-VE"/>
        </w:rPr>
        <w:t xml:space="preserve">. </w:t>
      </w:r>
    </w:p>
    <w:p w:rsidR="000A1A51" w:rsidRPr="007F3D68" w:rsidRDefault="000A1A51" w:rsidP="000A1A5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C21975" w:rsidRPr="007F3D68" w:rsidRDefault="000A1A51" w:rsidP="00C2197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En dicha sentencia la presunta víctima fue absuelta por el delito de plagio o secuestro por falta de prueba</w:t>
      </w:r>
      <w:r w:rsidRPr="007F3D68">
        <w:rPr>
          <w:rStyle w:val="FootnoteReference"/>
          <w:rFonts w:asciiTheme="majorHAnsi" w:hAnsiTheme="majorHAnsi"/>
          <w:sz w:val="20"/>
          <w:szCs w:val="20"/>
          <w:lang w:val="es-VE"/>
        </w:rPr>
        <w:footnoteReference w:id="23"/>
      </w:r>
      <w:r w:rsidRPr="007F3D68">
        <w:rPr>
          <w:rFonts w:asciiTheme="majorHAnsi" w:hAnsiTheme="majorHAnsi"/>
          <w:sz w:val="20"/>
          <w:szCs w:val="20"/>
          <w:lang w:val="es-VE"/>
        </w:rPr>
        <w:t>. Asimismo, fue declarado responsable de</w:t>
      </w:r>
      <w:r w:rsidR="00401D09" w:rsidRPr="007F3D68">
        <w:rPr>
          <w:rFonts w:asciiTheme="majorHAnsi" w:hAnsiTheme="majorHAnsi"/>
          <w:sz w:val="20"/>
          <w:szCs w:val="20"/>
          <w:lang w:val="es-VE"/>
        </w:rPr>
        <w:t xml:space="preserve"> otros delitos. </w:t>
      </w:r>
      <w:r w:rsidR="00A37231" w:rsidRPr="007F3D68">
        <w:rPr>
          <w:rFonts w:asciiTheme="majorHAnsi" w:hAnsiTheme="majorHAnsi"/>
          <w:sz w:val="20"/>
          <w:szCs w:val="20"/>
          <w:lang w:val="es-VE"/>
        </w:rPr>
        <w:t xml:space="preserve">En lo relevante para el presente caso, </w:t>
      </w:r>
      <w:r w:rsidRPr="007F3D68">
        <w:rPr>
          <w:rFonts w:asciiTheme="majorHAnsi" w:hAnsiTheme="majorHAnsi"/>
          <w:sz w:val="20"/>
          <w:szCs w:val="20"/>
          <w:lang w:val="es-VE"/>
        </w:rPr>
        <w:t>fue condenado a la pena de muerte por el delito de asesinato por considerar el Tribunal que se configuraba el requisito de “peligrosidad</w:t>
      </w:r>
      <w:r w:rsidR="00015589" w:rsidRPr="007F3D68">
        <w:rPr>
          <w:rFonts w:asciiTheme="majorHAnsi" w:hAnsiTheme="majorHAnsi"/>
          <w:sz w:val="20"/>
          <w:szCs w:val="20"/>
          <w:lang w:val="es-VE"/>
        </w:rPr>
        <w:t xml:space="preserve"> social</w:t>
      </w:r>
      <w:r w:rsidRPr="007F3D68">
        <w:rPr>
          <w:rFonts w:asciiTheme="majorHAnsi" w:hAnsiTheme="majorHAnsi"/>
          <w:sz w:val="20"/>
          <w:szCs w:val="20"/>
          <w:lang w:val="es-VE"/>
        </w:rPr>
        <w:t>”</w:t>
      </w:r>
      <w:r w:rsidR="00C21975" w:rsidRPr="007F3D68">
        <w:rPr>
          <w:rFonts w:asciiTheme="majorHAnsi" w:hAnsiTheme="majorHAnsi"/>
          <w:sz w:val="20"/>
          <w:szCs w:val="20"/>
          <w:lang w:val="es-VE"/>
        </w:rPr>
        <w:t xml:space="preserve"> derivado de, entre otros elementos: </w:t>
      </w:r>
    </w:p>
    <w:p w:rsidR="00C21975" w:rsidRPr="007F3D68" w:rsidRDefault="00C21975" w:rsidP="00C219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0A1A51" w:rsidRPr="007F3D68" w:rsidRDefault="00C21975" w:rsidP="00C219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VE"/>
        </w:rPr>
      </w:pPr>
      <w:r w:rsidRPr="007F3D68">
        <w:rPr>
          <w:rFonts w:asciiTheme="majorHAnsi" w:hAnsiTheme="majorHAnsi"/>
          <w:sz w:val="20"/>
          <w:szCs w:val="20"/>
          <w:lang w:val="es-VE"/>
        </w:rPr>
        <w:t xml:space="preserve">(…) </w:t>
      </w:r>
      <w:r w:rsidR="000A1A51" w:rsidRPr="007F3D68">
        <w:rPr>
          <w:rFonts w:asciiTheme="majorHAnsi" w:hAnsiTheme="majorHAnsi"/>
          <w:sz w:val="20"/>
          <w:szCs w:val="20"/>
          <w:lang w:val="es-VE"/>
        </w:rPr>
        <w:t>que el victimario para cometer el hecho delictivo en contra de su víctima utilizó un arma de fuego calibre nueve milímetros y se transportó hasta el lugar del hecho en un vehículo que le permitió darle alcance, rebasarla y detenerla para conseguir su propósito; e) que el móvil del delito fue obviamente cobrar venganza o evitar que la víctima como una funcionaria del Ministerio Público capaz, diligente, honesta y responsable, investigara y descubriera la verdad en los distintos hechos delictivos que tenía a su cargo, para procurar las sanciones correspondientes; que se acreditaron antecedentes personales desfavorables del culpable dado los ingresos que ha tenido a prisión según el informe sobre antecedentes policiacos rendido por el jefe del Gabinete de Identificación de la Policía Nacional Civil; que el móvil de los delitos que se le atribuyen a excepción del asesinato lo constituyó el propósito de causar zozobra e intranquilidad en la sociedad y atentar contra la administración de justicia al pretender evadir la acción de la justicia en la evasión y uso público de nombre supuesto y dejar impune los delitos que se estiman acreditados en su contra, de lo que deviene que el impacto social de tales hechos es grave; que la intensidad del daño causado en cuanto a los delitos acreditados a excepción del uso público de nombre supuesto que se considera leve, es grave debido a que el evadirse del centro de detención, tener en su poder armas de tipo ofensivas y haber asesinado a una Fiscal del Ministerio Público, produce en la sociedad un alto impacto, así como intranquilidad y zozobra; Que no concurren circunstancias atenuantes que calificar y si las agravantes</w:t>
      </w:r>
      <w:r w:rsidR="00C01B6D" w:rsidRPr="007F3D68">
        <w:rPr>
          <w:rFonts w:asciiTheme="majorHAnsi" w:hAnsiTheme="majorHAnsi"/>
          <w:sz w:val="20"/>
          <w:szCs w:val="20"/>
          <w:lang w:val="es-VE"/>
        </w:rPr>
        <w:t xml:space="preserve"> </w:t>
      </w:r>
      <w:r w:rsidR="000A1A51" w:rsidRPr="007F3D68">
        <w:rPr>
          <w:rFonts w:asciiTheme="majorHAnsi" w:hAnsiTheme="majorHAnsi"/>
          <w:sz w:val="20"/>
          <w:szCs w:val="20"/>
          <w:lang w:val="es-VE"/>
        </w:rPr>
        <w:t>(…)</w:t>
      </w:r>
      <w:r w:rsidR="000A1A51" w:rsidRPr="007F3D68">
        <w:rPr>
          <w:rStyle w:val="FootnoteReference"/>
          <w:rFonts w:asciiTheme="majorHAnsi" w:hAnsiTheme="majorHAnsi"/>
          <w:sz w:val="20"/>
          <w:szCs w:val="20"/>
          <w:lang w:val="es-VE"/>
        </w:rPr>
        <w:footnoteReference w:id="24"/>
      </w:r>
      <w:r w:rsidR="000A1A51" w:rsidRPr="007F3D68">
        <w:rPr>
          <w:rFonts w:asciiTheme="majorHAnsi" w:hAnsiTheme="majorHAnsi"/>
          <w:sz w:val="20"/>
          <w:szCs w:val="20"/>
          <w:lang w:val="es-VE"/>
        </w:rPr>
        <w:t>.</w:t>
      </w:r>
    </w:p>
    <w:p w:rsidR="000A1A51" w:rsidRPr="007F3D68" w:rsidRDefault="000A1A51" w:rsidP="000A1A5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0A1A51" w:rsidRPr="007F3D68" w:rsidRDefault="000A1A51" w:rsidP="00FC650A">
      <w:pPr>
        <w:pStyle w:val="Heading3"/>
        <w:numPr>
          <w:ilvl w:val="0"/>
          <w:numId w:val="75"/>
        </w:numPr>
        <w:tabs>
          <w:tab w:val="clear" w:pos="1800"/>
          <w:tab w:val="num" w:pos="1260"/>
        </w:tabs>
        <w:ind w:hanging="1080"/>
        <w:rPr>
          <w:color w:val="auto"/>
          <w:sz w:val="20"/>
          <w:szCs w:val="20"/>
          <w:lang w:val="es-VE"/>
        </w:rPr>
      </w:pPr>
      <w:bookmarkStart w:id="77" w:name="_Toc495479545"/>
      <w:r w:rsidRPr="007F3D68">
        <w:rPr>
          <w:color w:val="auto"/>
          <w:sz w:val="20"/>
          <w:szCs w:val="20"/>
          <w:lang w:val="es-VE"/>
        </w:rPr>
        <w:lastRenderedPageBreak/>
        <w:t>Recurso de apelación especial</w:t>
      </w:r>
      <w:bookmarkEnd w:id="77"/>
    </w:p>
    <w:p w:rsidR="000A1A51" w:rsidRPr="007F3D68" w:rsidRDefault="000A1A51" w:rsidP="000A1A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6E0C97" w:rsidRPr="007F3D68" w:rsidRDefault="000A1A51" w:rsidP="008E7F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El 3 de noviembre de 1999 la presunta víctima interpuso recurso de apelación especial en contra de la sentencia del Tribunal de Sentencia del Departamento de Quetzaltenango</w:t>
      </w:r>
      <w:r w:rsidRPr="007F3D68">
        <w:rPr>
          <w:rStyle w:val="FootnoteReference"/>
          <w:rFonts w:asciiTheme="majorHAnsi" w:hAnsiTheme="majorHAnsi"/>
          <w:sz w:val="20"/>
          <w:szCs w:val="20"/>
          <w:lang w:val="es-VE"/>
        </w:rPr>
        <w:footnoteReference w:id="25"/>
      </w:r>
      <w:r w:rsidRPr="007F3D68">
        <w:rPr>
          <w:rFonts w:asciiTheme="majorHAnsi" w:hAnsiTheme="majorHAnsi"/>
          <w:sz w:val="20"/>
          <w:szCs w:val="20"/>
          <w:lang w:val="es-VE"/>
        </w:rPr>
        <w:t>.</w:t>
      </w:r>
    </w:p>
    <w:p w:rsidR="00FD45B6" w:rsidRPr="007F3D68" w:rsidRDefault="00FD45B6" w:rsidP="00FD45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VE"/>
        </w:rPr>
      </w:pPr>
    </w:p>
    <w:p w:rsidR="006E0C97" w:rsidRPr="007F3D68" w:rsidRDefault="00056FA7" w:rsidP="00FD45B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 xml:space="preserve">En dicho recurso argumentó, entre los motivos de forma, la falta de motivación adecuada, refiriendo que el Tribunal se limitó a enumerar los medios de prueba producidos en el debate, sin indicar los razonamientos que inducen al tribunal a condenar o absolver. </w:t>
      </w:r>
      <w:r w:rsidR="00FD45B6" w:rsidRPr="007F3D68">
        <w:rPr>
          <w:rFonts w:asciiTheme="majorHAnsi" w:hAnsiTheme="majorHAnsi"/>
          <w:sz w:val="20"/>
          <w:szCs w:val="20"/>
          <w:lang w:val="es-VE"/>
        </w:rPr>
        <w:t xml:space="preserve"> </w:t>
      </w:r>
      <w:r w:rsidRPr="007F3D68">
        <w:rPr>
          <w:rFonts w:asciiTheme="majorHAnsi" w:hAnsiTheme="majorHAnsi"/>
          <w:sz w:val="20"/>
          <w:szCs w:val="20"/>
          <w:lang w:val="es-VE"/>
        </w:rPr>
        <w:t>Asimismo, alegó entre los motivos de fondo, que el tribunal aplicó erróneamente el último párrafo del artículo 132 (delito de asesinato) que establecía que se impondrá la pena de muerte en lugar del máximo de prisión por la comisión de dicho delito, cuando las circunstancia del hecho, y de la ocasión, la manera de realizarlo y los móviles determinantes revelaren una mayor y particular peligrosidad del agente.</w:t>
      </w:r>
      <w:r w:rsidR="00FD45B6" w:rsidRPr="007F3D68">
        <w:rPr>
          <w:rFonts w:asciiTheme="majorHAnsi" w:hAnsiTheme="majorHAnsi"/>
          <w:sz w:val="20"/>
          <w:szCs w:val="20"/>
          <w:lang w:val="es-VE"/>
        </w:rPr>
        <w:t xml:space="preserve"> Finalmente, indicó que </w:t>
      </w:r>
      <w:r w:rsidRPr="007F3D68">
        <w:rPr>
          <w:rFonts w:asciiTheme="majorHAnsi" w:hAnsiTheme="majorHAnsi"/>
          <w:sz w:val="20"/>
          <w:szCs w:val="20"/>
          <w:lang w:val="es-VE"/>
        </w:rPr>
        <w:t>el Tribunal utilizó índices de peligrosidad social, y no utilizó pruebas directas para determinar la peligrosidad social de la presunta víctima. Por ello, solicitó aplicarle la pena máxima de prisión a la presunta víctima, al no quedar demostrado que se trata un individuo que representa un peligro social</w:t>
      </w:r>
      <w:r w:rsidRPr="007F3D68">
        <w:rPr>
          <w:rStyle w:val="FootnoteReference"/>
          <w:rFonts w:asciiTheme="majorHAnsi" w:hAnsiTheme="majorHAnsi"/>
          <w:sz w:val="20"/>
          <w:szCs w:val="20"/>
          <w:lang w:val="es-VE"/>
        </w:rPr>
        <w:footnoteReference w:id="26"/>
      </w:r>
      <w:r w:rsidRPr="007F3D68">
        <w:rPr>
          <w:rFonts w:asciiTheme="majorHAnsi" w:hAnsiTheme="majorHAnsi"/>
          <w:sz w:val="20"/>
          <w:szCs w:val="20"/>
          <w:lang w:val="es-VE"/>
        </w:rPr>
        <w:t>.</w:t>
      </w:r>
    </w:p>
    <w:p w:rsidR="006E0C97" w:rsidRPr="007F3D68" w:rsidRDefault="006E0C97" w:rsidP="000A1A5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0A1A51" w:rsidRPr="007F3D68" w:rsidRDefault="000A1A51" w:rsidP="00BE470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El 7 de agosto de 2000 la Sala Séptima de la Corte de Apelaciones declaró sin lugar el recurso de apelación especial</w:t>
      </w:r>
      <w:r w:rsidRPr="007F3D68">
        <w:rPr>
          <w:rStyle w:val="FootnoteReference"/>
          <w:rFonts w:asciiTheme="majorHAnsi" w:hAnsiTheme="majorHAnsi"/>
          <w:sz w:val="20"/>
          <w:szCs w:val="20"/>
          <w:lang w:val="es-VE"/>
        </w:rPr>
        <w:footnoteReference w:id="27"/>
      </w:r>
      <w:r w:rsidRPr="007F3D68">
        <w:rPr>
          <w:rFonts w:asciiTheme="majorHAnsi" w:hAnsiTheme="majorHAnsi"/>
          <w:sz w:val="20"/>
          <w:szCs w:val="20"/>
          <w:lang w:val="es-VE"/>
        </w:rPr>
        <w:t>. Tras analizar cada uno de los sub-motivos alegados en el recurso de apelación especial, el Tribunal concluyó que el recurso es improcedente porque “adolece de deficiencias acerca de su formulación, invocación, de los vicios alegados como tales; así como la ausencia de una tesis inteligible con relación a los sub-motivos alegados”</w:t>
      </w:r>
      <w:r w:rsidRPr="007F3D68">
        <w:rPr>
          <w:rStyle w:val="FootnoteReference"/>
          <w:rFonts w:asciiTheme="majorHAnsi" w:hAnsiTheme="majorHAnsi"/>
          <w:sz w:val="20"/>
          <w:szCs w:val="20"/>
          <w:lang w:val="es-VE"/>
        </w:rPr>
        <w:footnoteReference w:id="28"/>
      </w:r>
      <w:r w:rsidRPr="007F3D68">
        <w:rPr>
          <w:rFonts w:asciiTheme="majorHAnsi" w:hAnsiTheme="majorHAnsi"/>
          <w:sz w:val="20"/>
          <w:szCs w:val="20"/>
          <w:lang w:val="es-VE"/>
        </w:rPr>
        <w:t xml:space="preserve">. </w:t>
      </w:r>
    </w:p>
    <w:p w:rsidR="00083BED" w:rsidRPr="007F3D68" w:rsidRDefault="00083BED" w:rsidP="00083BED">
      <w:pPr>
        <w:pStyle w:val="ListParagraph"/>
        <w:rPr>
          <w:rFonts w:asciiTheme="majorHAnsi" w:hAnsiTheme="majorHAnsi"/>
          <w:sz w:val="20"/>
          <w:szCs w:val="20"/>
          <w:lang w:val="es-VE"/>
        </w:rPr>
      </w:pPr>
    </w:p>
    <w:p w:rsidR="000516EB" w:rsidRPr="007F3D68" w:rsidRDefault="00083BED" w:rsidP="00BE470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La Comisión nota que en algunos extremos de esta decisión</w:t>
      </w:r>
      <w:r w:rsidR="0090565D" w:rsidRPr="007F3D68">
        <w:rPr>
          <w:rFonts w:asciiTheme="majorHAnsi" w:hAnsiTheme="majorHAnsi"/>
          <w:sz w:val="20"/>
          <w:szCs w:val="20"/>
          <w:lang w:val="es-VE"/>
        </w:rPr>
        <w:t xml:space="preserve"> </w:t>
      </w:r>
      <w:r w:rsidR="004C1356" w:rsidRPr="007F3D68">
        <w:rPr>
          <w:rFonts w:asciiTheme="majorHAnsi" w:hAnsiTheme="majorHAnsi"/>
          <w:sz w:val="20"/>
          <w:szCs w:val="20"/>
          <w:lang w:val="es-VE"/>
        </w:rPr>
        <w:t>se hace referencia a que</w:t>
      </w:r>
      <w:r w:rsidR="0090565D" w:rsidRPr="007F3D68">
        <w:rPr>
          <w:rFonts w:asciiTheme="majorHAnsi" w:hAnsiTheme="majorHAnsi"/>
          <w:sz w:val="20"/>
          <w:szCs w:val="20"/>
          <w:lang w:val="es-VE"/>
        </w:rPr>
        <w:t xml:space="preserve"> los motivos resultan improcedentes, dado que </w:t>
      </w:r>
      <w:r w:rsidR="004C1356" w:rsidRPr="007F3D68">
        <w:rPr>
          <w:rFonts w:asciiTheme="majorHAnsi" w:hAnsiTheme="majorHAnsi"/>
          <w:sz w:val="20"/>
          <w:szCs w:val="20"/>
          <w:lang w:val="es-VE"/>
        </w:rPr>
        <w:t>en realidad</w:t>
      </w:r>
      <w:r w:rsidR="0090565D" w:rsidRPr="007F3D68">
        <w:rPr>
          <w:rFonts w:asciiTheme="majorHAnsi" w:hAnsiTheme="majorHAnsi"/>
          <w:sz w:val="20"/>
          <w:szCs w:val="20"/>
          <w:lang w:val="es-VE"/>
        </w:rPr>
        <w:t xml:space="preserve"> lo que</w:t>
      </w:r>
      <w:r w:rsidR="004C1356" w:rsidRPr="007F3D68">
        <w:rPr>
          <w:rFonts w:asciiTheme="majorHAnsi" w:hAnsiTheme="majorHAnsi"/>
          <w:sz w:val="20"/>
          <w:szCs w:val="20"/>
          <w:lang w:val="es-VE"/>
        </w:rPr>
        <w:t xml:space="preserve"> se impugna es el contenido de diversos elementos probatorios</w:t>
      </w:r>
      <w:r w:rsidR="0090565D" w:rsidRPr="007F3D68">
        <w:rPr>
          <w:rFonts w:asciiTheme="majorHAnsi" w:hAnsiTheme="majorHAnsi"/>
          <w:sz w:val="20"/>
          <w:szCs w:val="20"/>
          <w:lang w:val="es-VE"/>
        </w:rPr>
        <w:t xml:space="preserve">, incluidos testimonios y peritajes. </w:t>
      </w:r>
      <w:r w:rsidR="000516EB" w:rsidRPr="007F3D68">
        <w:rPr>
          <w:rFonts w:asciiTheme="majorHAnsi" w:hAnsiTheme="majorHAnsi"/>
          <w:sz w:val="20"/>
          <w:szCs w:val="20"/>
          <w:lang w:val="es-VE"/>
        </w:rPr>
        <w:t>A</w:t>
      </w:r>
      <w:r w:rsidR="0090565D" w:rsidRPr="007F3D68">
        <w:rPr>
          <w:rFonts w:asciiTheme="majorHAnsi" w:hAnsiTheme="majorHAnsi"/>
          <w:sz w:val="20"/>
          <w:szCs w:val="20"/>
          <w:lang w:val="es-VE"/>
        </w:rPr>
        <w:t xml:space="preserve">sí por ejemplo, se indica que </w:t>
      </w:r>
    </w:p>
    <w:p w:rsidR="000516EB" w:rsidRPr="007F3D68" w:rsidRDefault="000516EB" w:rsidP="000516EB">
      <w:pPr>
        <w:pStyle w:val="ListParagraph"/>
        <w:rPr>
          <w:rFonts w:asciiTheme="majorHAnsi" w:hAnsiTheme="majorHAnsi"/>
          <w:sz w:val="20"/>
          <w:szCs w:val="20"/>
          <w:lang w:val="es-VE"/>
        </w:rPr>
      </w:pPr>
    </w:p>
    <w:p w:rsidR="00083BED" w:rsidRPr="007F3D68" w:rsidRDefault="000516EB" w:rsidP="000516E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VE"/>
        </w:rPr>
      </w:pPr>
      <w:r w:rsidRPr="007F3D68">
        <w:rPr>
          <w:rFonts w:asciiTheme="majorHAnsi" w:hAnsiTheme="majorHAnsi"/>
          <w:sz w:val="20"/>
          <w:szCs w:val="20"/>
          <w:lang w:val="es-VE"/>
        </w:rPr>
        <w:t xml:space="preserve">(…) </w:t>
      </w:r>
      <w:r w:rsidR="0090565D" w:rsidRPr="007F3D68">
        <w:rPr>
          <w:rFonts w:asciiTheme="majorHAnsi" w:hAnsiTheme="majorHAnsi"/>
          <w:sz w:val="20"/>
          <w:szCs w:val="20"/>
          <w:lang w:val="es-VE"/>
        </w:rPr>
        <w:t xml:space="preserve">las pretendidas argumentaciones respecto del </w:t>
      </w:r>
      <w:proofErr w:type="spellStart"/>
      <w:r w:rsidR="0090565D" w:rsidRPr="007F3D68">
        <w:rPr>
          <w:rFonts w:asciiTheme="majorHAnsi" w:hAnsiTheme="majorHAnsi"/>
          <w:sz w:val="20"/>
          <w:szCs w:val="20"/>
          <w:lang w:val="es-VE"/>
        </w:rPr>
        <w:t>submotivo</w:t>
      </w:r>
      <w:proofErr w:type="spellEnd"/>
      <w:r w:rsidR="0090565D" w:rsidRPr="007F3D68">
        <w:rPr>
          <w:rFonts w:asciiTheme="majorHAnsi" w:hAnsiTheme="majorHAnsi"/>
          <w:sz w:val="20"/>
          <w:szCs w:val="20"/>
          <w:lang w:val="es-VE"/>
        </w:rPr>
        <w:t xml:space="preserve"> expresado, no se</w:t>
      </w:r>
      <w:r w:rsidR="0037686A" w:rsidRPr="007F3D68">
        <w:rPr>
          <w:rFonts w:asciiTheme="majorHAnsi" w:hAnsiTheme="majorHAnsi"/>
          <w:sz w:val="20"/>
          <w:szCs w:val="20"/>
          <w:lang w:val="es-VE"/>
        </w:rPr>
        <w:t xml:space="preserve"> dirigen en sentido estricto y coherente, </w:t>
      </w:r>
      <w:r w:rsidR="00ED2D74" w:rsidRPr="007F3D68">
        <w:rPr>
          <w:rFonts w:asciiTheme="majorHAnsi" w:hAnsiTheme="majorHAnsi"/>
          <w:sz w:val="20"/>
          <w:szCs w:val="20"/>
          <w:lang w:val="es-VE"/>
        </w:rPr>
        <w:t xml:space="preserve">hacia los razonamientos de los juzgadores, sino, básicamente, hacia los medios probatorios, acerca de los cuales, </w:t>
      </w:r>
      <w:r w:rsidR="003E7B74" w:rsidRPr="007F3D68">
        <w:rPr>
          <w:rFonts w:asciiTheme="majorHAnsi" w:hAnsiTheme="majorHAnsi"/>
          <w:sz w:val="20"/>
          <w:szCs w:val="20"/>
          <w:lang w:val="es-VE"/>
        </w:rPr>
        <w:t>el apelante busca ligar su inconformidad; aspecto</w:t>
      </w:r>
      <w:r w:rsidR="00EF1767" w:rsidRPr="007F3D68">
        <w:rPr>
          <w:rFonts w:asciiTheme="majorHAnsi" w:hAnsiTheme="majorHAnsi"/>
          <w:sz w:val="20"/>
          <w:szCs w:val="20"/>
          <w:lang w:val="es-VE"/>
        </w:rPr>
        <w:t xml:space="preserve"> este último </w:t>
      </w:r>
      <w:proofErr w:type="spellStart"/>
      <w:r w:rsidR="00EF1767" w:rsidRPr="007F3D68">
        <w:rPr>
          <w:rFonts w:asciiTheme="majorHAnsi" w:hAnsiTheme="majorHAnsi"/>
          <w:sz w:val="20"/>
          <w:szCs w:val="20"/>
          <w:lang w:val="es-VE"/>
        </w:rPr>
        <w:t>corroborable</w:t>
      </w:r>
      <w:proofErr w:type="spellEnd"/>
      <w:r w:rsidR="00EF1767" w:rsidRPr="007F3D68">
        <w:rPr>
          <w:rFonts w:asciiTheme="majorHAnsi" w:hAnsiTheme="majorHAnsi"/>
          <w:sz w:val="20"/>
          <w:szCs w:val="20"/>
          <w:lang w:val="es-VE"/>
        </w:rPr>
        <w:t xml:space="preserve"> en los aspectos sólo esbozados o esquematizados de parte del inconforme, </w:t>
      </w:r>
      <w:r w:rsidR="00F31AC3" w:rsidRPr="007F3D68">
        <w:rPr>
          <w:rFonts w:asciiTheme="majorHAnsi" w:hAnsiTheme="majorHAnsi"/>
          <w:sz w:val="20"/>
          <w:szCs w:val="20"/>
          <w:lang w:val="es-VE"/>
        </w:rPr>
        <w:t>a saber, cuando critica la sentencia recurrida, de no ser expresa, clara, completa ni legítima, pues, aparte de ese se</w:t>
      </w:r>
      <w:r w:rsidR="00F4174E" w:rsidRPr="007F3D68">
        <w:rPr>
          <w:rFonts w:asciiTheme="majorHAnsi" w:hAnsiTheme="majorHAnsi"/>
          <w:sz w:val="20"/>
          <w:szCs w:val="20"/>
          <w:lang w:val="es-VE"/>
        </w:rPr>
        <w:t xml:space="preserve">ñalamiento, él se dedica en su exposición a cuestionar o poner en duda, el contenido mismo de dictámenes periciales, declaraciones testimoniales, respectivamente; pero en ningún momento, como se asentó anteriormente, a aplicar a su desfigurada motivación, en cuanto al razonamiento del Tribunal de Sentencia del departamento de Quetzaltenango. Por todo lo relacionado, el </w:t>
      </w:r>
      <w:proofErr w:type="spellStart"/>
      <w:r w:rsidR="00F4174E" w:rsidRPr="007F3D68">
        <w:rPr>
          <w:rFonts w:asciiTheme="majorHAnsi" w:hAnsiTheme="majorHAnsi"/>
          <w:sz w:val="20"/>
          <w:szCs w:val="20"/>
          <w:lang w:val="es-VE"/>
        </w:rPr>
        <w:t>submotivo</w:t>
      </w:r>
      <w:proofErr w:type="spellEnd"/>
      <w:r w:rsidR="00F4174E" w:rsidRPr="007F3D68">
        <w:rPr>
          <w:rFonts w:asciiTheme="majorHAnsi" w:hAnsiTheme="majorHAnsi"/>
          <w:sz w:val="20"/>
          <w:szCs w:val="20"/>
          <w:lang w:val="es-VE"/>
        </w:rPr>
        <w:t xml:space="preserve"> de forma invocado, tampoco puede ser acogido</w:t>
      </w:r>
      <w:r w:rsidRPr="007F3D68">
        <w:rPr>
          <w:rStyle w:val="FootnoteReference"/>
          <w:rFonts w:asciiTheme="majorHAnsi" w:hAnsiTheme="majorHAnsi"/>
          <w:sz w:val="20"/>
          <w:szCs w:val="20"/>
          <w:lang w:val="es-VE"/>
        </w:rPr>
        <w:footnoteReference w:id="29"/>
      </w:r>
      <w:r w:rsidR="00F4174E" w:rsidRPr="007F3D68">
        <w:rPr>
          <w:rFonts w:asciiTheme="majorHAnsi" w:hAnsiTheme="majorHAnsi"/>
          <w:sz w:val="20"/>
          <w:szCs w:val="20"/>
          <w:lang w:val="es-VE"/>
        </w:rPr>
        <w:t>.</w:t>
      </w:r>
      <w:r w:rsidR="003E7B74" w:rsidRPr="007F3D68">
        <w:rPr>
          <w:rFonts w:asciiTheme="majorHAnsi" w:hAnsiTheme="majorHAnsi"/>
          <w:sz w:val="20"/>
          <w:szCs w:val="20"/>
          <w:lang w:val="es-VE"/>
        </w:rPr>
        <w:t xml:space="preserve"> </w:t>
      </w:r>
    </w:p>
    <w:p w:rsidR="0090565D" w:rsidRPr="007F3D68" w:rsidRDefault="0090565D" w:rsidP="006E30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b/>
          <w:sz w:val="20"/>
          <w:szCs w:val="20"/>
          <w:bdr w:val="none" w:sz="0" w:space="0" w:color="auto"/>
          <w:lang w:val="es-VE"/>
        </w:rPr>
      </w:pPr>
    </w:p>
    <w:p w:rsidR="006E30B7" w:rsidRPr="007F3D68" w:rsidRDefault="006E30B7" w:rsidP="00FC650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eastAsia="Times New Roman" w:hAnsiTheme="majorHAnsi" w:cs="Courier New"/>
          <w:sz w:val="20"/>
          <w:szCs w:val="20"/>
          <w:bdr w:val="none" w:sz="0" w:space="0" w:color="auto"/>
          <w:lang w:val="es-VE"/>
        </w:rPr>
        <w:t xml:space="preserve">Asimismo, en otro extremo se indica como fundamento de rechazo de otro de los argumentos que “el </w:t>
      </w:r>
      <w:proofErr w:type="spellStart"/>
      <w:r w:rsidRPr="007F3D68">
        <w:rPr>
          <w:rFonts w:asciiTheme="majorHAnsi" w:eastAsia="Times New Roman" w:hAnsiTheme="majorHAnsi" w:cs="Courier New"/>
          <w:sz w:val="20"/>
          <w:szCs w:val="20"/>
          <w:bdr w:val="none" w:sz="0" w:space="0" w:color="auto"/>
          <w:lang w:val="es-VE"/>
        </w:rPr>
        <w:t>interponente</w:t>
      </w:r>
      <w:proofErr w:type="spellEnd"/>
      <w:r w:rsidRPr="007F3D68">
        <w:rPr>
          <w:rFonts w:asciiTheme="majorHAnsi" w:eastAsia="Times New Roman" w:hAnsiTheme="majorHAnsi" w:cs="Courier New"/>
          <w:sz w:val="20"/>
          <w:szCs w:val="20"/>
          <w:bdr w:val="none" w:sz="0" w:space="0" w:color="auto"/>
          <w:lang w:val="es-VE"/>
        </w:rPr>
        <w:t xml:space="preserve"> tampoco logra elaborar una fundamentación y argumentación, </w:t>
      </w:r>
      <w:r w:rsidR="007151C2" w:rsidRPr="007F3D68">
        <w:rPr>
          <w:rFonts w:asciiTheme="majorHAnsi" w:eastAsia="Times New Roman" w:hAnsiTheme="majorHAnsi" w:cs="Courier New"/>
          <w:sz w:val="20"/>
          <w:szCs w:val="20"/>
          <w:bdr w:val="none" w:sz="0" w:space="0" w:color="auto"/>
          <w:lang w:val="es-VE"/>
        </w:rPr>
        <w:t>relevantes,</w:t>
      </w:r>
      <w:r w:rsidR="004A389A" w:rsidRPr="007F3D68">
        <w:rPr>
          <w:rFonts w:asciiTheme="majorHAnsi" w:eastAsia="Times New Roman" w:hAnsiTheme="majorHAnsi" w:cs="Courier New"/>
          <w:sz w:val="20"/>
          <w:szCs w:val="20"/>
          <w:bdr w:val="none" w:sz="0" w:space="0" w:color="auto"/>
          <w:lang w:val="es-VE"/>
        </w:rPr>
        <w:t xml:space="preserve"> con relación una supuesta falta de derivación del informe balístico, </w:t>
      </w:r>
      <w:r w:rsidR="007941F2" w:rsidRPr="007F3D68">
        <w:rPr>
          <w:rFonts w:asciiTheme="majorHAnsi" w:eastAsia="Times New Roman" w:hAnsiTheme="majorHAnsi" w:cs="Courier New"/>
          <w:sz w:val="20"/>
          <w:szCs w:val="20"/>
          <w:bdr w:val="none" w:sz="0" w:space="0" w:color="auto"/>
          <w:lang w:val="es-VE"/>
        </w:rPr>
        <w:t xml:space="preserve">incorporado como medio de prueba al debate; </w:t>
      </w:r>
      <w:r w:rsidR="00E05BD9" w:rsidRPr="007F3D68">
        <w:rPr>
          <w:rFonts w:asciiTheme="majorHAnsi" w:eastAsia="Times New Roman" w:hAnsiTheme="majorHAnsi" w:cs="Courier New"/>
          <w:sz w:val="20"/>
          <w:szCs w:val="20"/>
          <w:bdr w:val="none" w:sz="0" w:space="0" w:color="auto"/>
          <w:lang w:val="es-VE"/>
        </w:rPr>
        <w:t xml:space="preserve">pues, sus opiniones en ese sentido, </w:t>
      </w:r>
      <w:r w:rsidR="00962471" w:rsidRPr="007F3D68">
        <w:rPr>
          <w:rFonts w:asciiTheme="majorHAnsi" w:eastAsia="Times New Roman" w:hAnsiTheme="majorHAnsi" w:cs="Courier New"/>
          <w:sz w:val="20"/>
          <w:szCs w:val="20"/>
          <w:bdr w:val="none" w:sz="0" w:space="0" w:color="auto"/>
          <w:lang w:val="es-VE"/>
        </w:rPr>
        <w:t xml:space="preserve">como en el caso anterior, </w:t>
      </w:r>
      <w:r w:rsidR="003557B2" w:rsidRPr="007F3D68">
        <w:rPr>
          <w:rFonts w:asciiTheme="majorHAnsi" w:eastAsia="Times New Roman" w:hAnsiTheme="majorHAnsi" w:cs="Courier New"/>
          <w:sz w:val="20"/>
          <w:szCs w:val="20"/>
          <w:bdr w:val="none" w:sz="0" w:space="0" w:color="auto"/>
          <w:lang w:val="es-VE"/>
        </w:rPr>
        <w:t>se vierten acerca del informe mismo y en ningún momento, en cuanto al trabajo intelectivo valorativo de los integrantes del tribunal de sentencia (…)”</w:t>
      </w:r>
      <w:r w:rsidR="00AE5024" w:rsidRPr="007F3D68">
        <w:rPr>
          <w:rStyle w:val="FootnoteReference"/>
          <w:rFonts w:asciiTheme="majorHAnsi" w:hAnsiTheme="majorHAnsi"/>
          <w:sz w:val="20"/>
          <w:szCs w:val="20"/>
          <w:lang w:val="es-VE"/>
        </w:rPr>
        <w:footnoteReference w:id="30"/>
      </w:r>
      <w:r w:rsidR="003557B2" w:rsidRPr="007F3D68">
        <w:rPr>
          <w:rFonts w:asciiTheme="majorHAnsi" w:eastAsia="Times New Roman" w:hAnsiTheme="majorHAnsi" w:cs="Courier New"/>
          <w:sz w:val="20"/>
          <w:szCs w:val="20"/>
          <w:bdr w:val="none" w:sz="0" w:space="0" w:color="auto"/>
          <w:lang w:val="es-VE"/>
        </w:rPr>
        <w:t xml:space="preserve">. </w:t>
      </w:r>
      <w:r w:rsidR="007151C2" w:rsidRPr="007F3D68">
        <w:rPr>
          <w:rFonts w:asciiTheme="majorHAnsi" w:eastAsia="Times New Roman" w:hAnsiTheme="majorHAnsi" w:cs="Courier New"/>
          <w:sz w:val="20"/>
          <w:szCs w:val="20"/>
          <w:bdr w:val="none" w:sz="0" w:space="0" w:color="auto"/>
          <w:lang w:val="es-VE"/>
        </w:rPr>
        <w:t xml:space="preserve"> </w:t>
      </w:r>
    </w:p>
    <w:p w:rsidR="000A1A51" w:rsidRPr="007F3D68" w:rsidRDefault="000A1A51" w:rsidP="00FC650A">
      <w:pPr>
        <w:pStyle w:val="Heading3"/>
        <w:numPr>
          <w:ilvl w:val="0"/>
          <w:numId w:val="75"/>
        </w:numPr>
        <w:tabs>
          <w:tab w:val="clear" w:pos="1800"/>
          <w:tab w:val="num" w:pos="1260"/>
        </w:tabs>
        <w:ind w:hanging="1080"/>
        <w:rPr>
          <w:color w:val="auto"/>
          <w:sz w:val="20"/>
          <w:szCs w:val="20"/>
          <w:lang w:val="es-VE"/>
        </w:rPr>
      </w:pPr>
      <w:bookmarkStart w:id="78" w:name="_Toc495479546"/>
      <w:r w:rsidRPr="007F3D68">
        <w:rPr>
          <w:color w:val="auto"/>
          <w:sz w:val="20"/>
          <w:szCs w:val="20"/>
          <w:lang w:val="es-VE"/>
        </w:rPr>
        <w:lastRenderedPageBreak/>
        <w:t>Recurso</w:t>
      </w:r>
      <w:r w:rsidR="0052293F" w:rsidRPr="007F3D68">
        <w:rPr>
          <w:color w:val="auto"/>
          <w:sz w:val="20"/>
          <w:szCs w:val="20"/>
          <w:lang w:val="es-VE"/>
        </w:rPr>
        <w:t>s</w:t>
      </w:r>
      <w:r w:rsidRPr="007F3D68">
        <w:rPr>
          <w:color w:val="auto"/>
          <w:sz w:val="20"/>
          <w:szCs w:val="20"/>
          <w:lang w:val="es-VE"/>
        </w:rPr>
        <w:t xml:space="preserve"> de casación</w:t>
      </w:r>
      <w:r w:rsidR="0052293F" w:rsidRPr="007F3D68">
        <w:rPr>
          <w:color w:val="auto"/>
          <w:sz w:val="20"/>
          <w:szCs w:val="20"/>
          <w:lang w:val="es-VE"/>
        </w:rPr>
        <w:t xml:space="preserve"> y revisión</w:t>
      </w:r>
      <w:bookmarkEnd w:id="78"/>
    </w:p>
    <w:p w:rsidR="000A1A51" w:rsidRPr="007F3D68" w:rsidRDefault="000A1A51" w:rsidP="000A1A51">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ajorHAnsi" w:eastAsia="Times New Roman" w:hAnsiTheme="majorHAnsi" w:cs="Courier New"/>
          <w:i/>
          <w:color w:val="auto"/>
          <w:sz w:val="20"/>
          <w:szCs w:val="20"/>
          <w:bdr w:val="none" w:sz="0" w:space="0" w:color="auto"/>
          <w:lang w:val="es-ES"/>
        </w:rPr>
      </w:pPr>
    </w:p>
    <w:p w:rsidR="000A1A51" w:rsidRPr="007F3D68" w:rsidRDefault="000A1A51" w:rsidP="00D86B7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7F3D68">
        <w:rPr>
          <w:rFonts w:asciiTheme="majorHAnsi" w:hAnsiTheme="majorHAnsi"/>
          <w:sz w:val="20"/>
          <w:szCs w:val="20"/>
          <w:lang w:val="es-VE"/>
        </w:rPr>
        <w:t xml:space="preserve">Con posterioridad la presunta víctima y los </w:t>
      </w:r>
      <w:proofErr w:type="spellStart"/>
      <w:r w:rsidRPr="007F3D68">
        <w:rPr>
          <w:rFonts w:asciiTheme="majorHAnsi" w:hAnsiTheme="majorHAnsi"/>
          <w:sz w:val="20"/>
          <w:szCs w:val="20"/>
          <w:lang w:val="es-VE"/>
        </w:rPr>
        <w:t>co</w:t>
      </w:r>
      <w:proofErr w:type="spellEnd"/>
      <w:r w:rsidRPr="007F3D68">
        <w:rPr>
          <w:rFonts w:asciiTheme="majorHAnsi" w:hAnsiTheme="majorHAnsi"/>
          <w:sz w:val="20"/>
          <w:szCs w:val="20"/>
          <w:lang w:val="es-VE"/>
        </w:rPr>
        <w:t>-procesados interpusieron recursos de casación</w:t>
      </w:r>
      <w:r w:rsidR="00D276C8" w:rsidRPr="007F3D68">
        <w:rPr>
          <w:rFonts w:asciiTheme="majorHAnsi" w:hAnsiTheme="majorHAnsi"/>
          <w:sz w:val="20"/>
          <w:szCs w:val="20"/>
          <w:lang w:val="es-VE"/>
        </w:rPr>
        <w:t>.</w:t>
      </w:r>
      <w:r w:rsidR="00D86B70" w:rsidRPr="007F3D68">
        <w:rPr>
          <w:rFonts w:asciiTheme="majorHAnsi" w:hAnsiTheme="majorHAnsi"/>
          <w:sz w:val="20"/>
          <w:szCs w:val="20"/>
          <w:lang w:val="es-VE"/>
        </w:rPr>
        <w:t xml:space="preserve"> </w:t>
      </w:r>
      <w:r w:rsidRPr="007F3D68">
        <w:rPr>
          <w:rFonts w:asciiTheme="majorHAnsi" w:hAnsiTheme="majorHAnsi"/>
          <w:sz w:val="20"/>
          <w:szCs w:val="20"/>
          <w:lang w:val="es-VE"/>
        </w:rPr>
        <w:t>El 1 de diciembre de 2000 la Cámara Penal de la Corte Suprema de Justicia declaró sin lugar los recursos interpuestos</w:t>
      </w:r>
      <w:r w:rsidRPr="007F3D68">
        <w:rPr>
          <w:rStyle w:val="FootnoteReference"/>
          <w:rFonts w:asciiTheme="majorHAnsi" w:hAnsiTheme="majorHAnsi"/>
          <w:sz w:val="20"/>
          <w:szCs w:val="20"/>
          <w:lang w:val="es-VE"/>
        </w:rPr>
        <w:footnoteReference w:id="31"/>
      </w:r>
      <w:r w:rsidRPr="007F3D68">
        <w:rPr>
          <w:rFonts w:asciiTheme="majorHAnsi" w:hAnsiTheme="majorHAnsi"/>
          <w:sz w:val="20"/>
          <w:szCs w:val="20"/>
          <w:lang w:val="es-VE"/>
        </w:rPr>
        <w:t>. Con posterioridad, la presunta víctima interpuso un recurso de revisión en contra de la sentencia dictada por el Tribunal de Sentencia del Departamento de Quetzaltenango.</w:t>
      </w:r>
      <w:r w:rsidR="00EF2CEA" w:rsidRPr="007F3D68">
        <w:rPr>
          <w:rFonts w:asciiTheme="majorHAnsi" w:hAnsiTheme="majorHAnsi"/>
          <w:sz w:val="20"/>
          <w:szCs w:val="20"/>
          <w:lang w:val="es-VE"/>
        </w:rPr>
        <w:t xml:space="preserve"> </w:t>
      </w:r>
      <w:r w:rsidRPr="007F3D68">
        <w:rPr>
          <w:rFonts w:asciiTheme="majorHAnsi" w:hAnsiTheme="majorHAnsi"/>
          <w:sz w:val="20"/>
          <w:szCs w:val="20"/>
          <w:lang w:val="es-VE"/>
        </w:rPr>
        <w:t>El 5 de julio de 2004 la Cámara Penal de la Corte Suprema de Justicia declaró sin lugar dicho recurso</w:t>
      </w:r>
      <w:r w:rsidRPr="007F3D68">
        <w:rPr>
          <w:rStyle w:val="FootnoteReference"/>
          <w:rFonts w:asciiTheme="majorHAnsi" w:hAnsiTheme="majorHAnsi"/>
          <w:sz w:val="20"/>
          <w:szCs w:val="20"/>
          <w:lang w:val="es-VE"/>
        </w:rPr>
        <w:footnoteReference w:id="32"/>
      </w:r>
      <w:r w:rsidRPr="007F3D68">
        <w:rPr>
          <w:rFonts w:asciiTheme="majorHAnsi" w:hAnsiTheme="majorHAnsi"/>
          <w:sz w:val="20"/>
          <w:szCs w:val="20"/>
          <w:lang w:val="es-VE"/>
        </w:rPr>
        <w:t>. En dicha decisión indicó que no procede la revisión porque las pruebas aportadas en el recurso no resultan elementos de prueba sobrevenidos después de la sentencia condenatoria</w:t>
      </w:r>
      <w:r w:rsidRPr="007F3D68">
        <w:rPr>
          <w:rStyle w:val="FootnoteReference"/>
          <w:rFonts w:asciiTheme="majorHAnsi" w:hAnsiTheme="majorHAnsi"/>
          <w:sz w:val="20"/>
          <w:szCs w:val="20"/>
          <w:lang w:val="es-VE"/>
        </w:rPr>
        <w:footnoteReference w:id="33"/>
      </w:r>
      <w:r w:rsidRPr="007F3D68">
        <w:rPr>
          <w:rFonts w:asciiTheme="majorHAnsi" w:hAnsiTheme="majorHAnsi"/>
          <w:sz w:val="20"/>
          <w:szCs w:val="20"/>
          <w:lang w:val="es-VE"/>
        </w:rPr>
        <w:t xml:space="preserve">. </w:t>
      </w:r>
    </w:p>
    <w:p w:rsidR="004D11E8" w:rsidRPr="007F3D68" w:rsidRDefault="004D11E8" w:rsidP="000A1A5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1703E3" w:rsidRPr="007F3D68" w:rsidRDefault="001703E3" w:rsidP="00FC650A">
      <w:pPr>
        <w:pStyle w:val="Heading2"/>
        <w:numPr>
          <w:ilvl w:val="0"/>
          <w:numId w:val="74"/>
        </w:numPr>
        <w:ind w:left="1260" w:hanging="540"/>
        <w:rPr>
          <w:lang w:val="es-ES"/>
        </w:rPr>
      </w:pPr>
      <w:bookmarkStart w:id="79" w:name="_Toc495479547"/>
      <w:r w:rsidRPr="007F3D68">
        <w:rPr>
          <w:lang w:val="es-ES"/>
        </w:rPr>
        <w:t>El contexto de aplicación de la pena de muerte en Guatemala</w:t>
      </w:r>
      <w:bookmarkEnd w:id="79"/>
      <w:r w:rsidRPr="007F3D68">
        <w:rPr>
          <w:lang w:val="es-ES"/>
        </w:rPr>
        <w:t xml:space="preserve"> </w:t>
      </w:r>
    </w:p>
    <w:p w:rsidR="004D11E8" w:rsidRPr="007F3D68" w:rsidRDefault="004D11E8" w:rsidP="001703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t>A continuación la CIDH hará referencia al contexto y marco normativo aplicable al proceso penal recién descrito.</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cs="Calibri"/>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t>La pena de muerte se encuentra prevista tanto en la Constitución, como en la legislación penal guatemalteca. El artículo 18 de la Constitución Política de 1985 establece:</w:t>
      </w:r>
    </w:p>
    <w:p w:rsidR="004D11E8" w:rsidRPr="007F3D68" w:rsidRDefault="004D11E8" w:rsidP="004D11E8">
      <w:pPr>
        <w:pStyle w:val="ListParagraph"/>
        <w:rPr>
          <w:rFonts w:cs="Calibri"/>
          <w:sz w:val="20"/>
          <w:szCs w:val="20"/>
          <w:lang w:val="es-VE"/>
        </w:rPr>
      </w:pP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VE"/>
        </w:rPr>
      </w:pPr>
      <w:r w:rsidRPr="007F3D68">
        <w:rPr>
          <w:rFonts w:ascii="Cambria" w:hAnsi="Cambria" w:cs="Calibri"/>
          <w:sz w:val="20"/>
          <w:szCs w:val="20"/>
          <w:lang w:val="es-VE"/>
        </w:rPr>
        <w:t xml:space="preserve"> Pena de muerte. La pena de muerte no podrá imponerse en los siguientes casos: </w:t>
      </w:r>
    </w:p>
    <w:p w:rsidR="004D11E8" w:rsidRPr="007F3D68" w:rsidRDefault="004D11E8" w:rsidP="004D11E8">
      <w:pPr>
        <w:pStyle w:val="ListParagraph"/>
        <w:rPr>
          <w:rFonts w:cs="Calibri"/>
          <w:sz w:val="20"/>
          <w:szCs w:val="20"/>
          <w:lang w:val="es-VE"/>
        </w:rPr>
      </w:pPr>
    </w:p>
    <w:p w:rsidR="004D11E8" w:rsidRDefault="004D11E8" w:rsidP="004D11E8">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Con fundamento en presunciones;</w:t>
      </w:r>
    </w:p>
    <w:p w:rsidR="00D86A15" w:rsidRPr="007F3D68" w:rsidRDefault="00D86A15" w:rsidP="004D11E8">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Pr>
          <w:rFonts w:cs="Calibri"/>
          <w:sz w:val="20"/>
          <w:szCs w:val="20"/>
          <w:lang w:val="es-VE"/>
        </w:rPr>
        <w:t xml:space="preserve">A las mujeres; </w:t>
      </w:r>
    </w:p>
    <w:p w:rsidR="004D11E8" w:rsidRPr="007F3D68" w:rsidRDefault="004D11E8" w:rsidP="004D11E8">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A los mayores de sesenta años;</w:t>
      </w:r>
    </w:p>
    <w:p w:rsidR="004D11E8" w:rsidRPr="007F3D68" w:rsidRDefault="004D11E8" w:rsidP="004D11E8">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A los reos de delitos políticos y comunes conexos con los políticos; y</w:t>
      </w:r>
    </w:p>
    <w:p w:rsidR="004D11E8" w:rsidRPr="007F3D68" w:rsidRDefault="004D11E8" w:rsidP="004D11E8">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 xml:space="preserve">A reos cuya extradición haya sido concedida bajo esa condición. </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sidRPr="007F3D68">
        <w:rPr>
          <w:rFonts w:ascii="Cambria" w:hAnsi="Cambria" w:cs="Calibri"/>
          <w:sz w:val="20"/>
          <w:szCs w:val="20"/>
          <w:lang w:val="es-VE"/>
        </w:rPr>
        <w:t xml:space="preserve">Contra la sentencia </w:t>
      </w:r>
      <w:r w:rsidRPr="007F3D68">
        <w:rPr>
          <w:rFonts w:ascii="Cambria" w:hAnsi="Cambria"/>
          <w:sz w:val="20"/>
          <w:szCs w:val="20"/>
          <w:lang w:val="es-VE"/>
        </w:rPr>
        <w:t>que imponga la pena de muerte, serán admisibles todos los recursos legales pertinentes, inclusive el de casación; éste siempre será admitido para su trámite. La pena se ejecutará después de agotarse todos los recursos. El Congreso de la República podrá abolir la pena de muerte</w:t>
      </w:r>
      <w:r w:rsidRPr="007F3D68">
        <w:rPr>
          <w:rStyle w:val="FootnoteReference"/>
          <w:rFonts w:ascii="Cambria" w:hAnsi="Cambria"/>
          <w:sz w:val="20"/>
          <w:szCs w:val="20"/>
          <w:lang w:val="es-VE"/>
        </w:rPr>
        <w:footnoteReference w:id="34"/>
      </w:r>
      <w:r w:rsidRPr="007F3D68">
        <w:rPr>
          <w:rFonts w:ascii="Cambria" w:hAnsi="Cambria"/>
          <w:sz w:val="20"/>
          <w:szCs w:val="20"/>
          <w:lang w:val="es-VE"/>
        </w:rPr>
        <w:t>.</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t>Asimismo, el Código Penal prevé en su artículo 43 que:</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VE"/>
        </w:rPr>
      </w:pPr>
      <w:r w:rsidRPr="007F3D68">
        <w:rPr>
          <w:rFonts w:ascii="Cambria" w:hAnsi="Cambria" w:cs="Calibri"/>
          <w:sz w:val="20"/>
          <w:szCs w:val="20"/>
          <w:lang w:val="es-VE"/>
        </w:rPr>
        <w:t xml:space="preserve"> La pena de muerte, tiene carácter extraordinario y solo podrá aplicarse en los casos expresamente consignados en la ley y no se ejecutará, sino después de agotarse todos los recursos legales.</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7F3D68">
        <w:rPr>
          <w:rFonts w:ascii="Cambria" w:hAnsi="Cambria" w:cs="Calibri"/>
          <w:sz w:val="20"/>
          <w:szCs w:val="20"/>
          <w:lang w:val="es-VE"/>
        </w:rPr>
        <w:t>No podrá imponerse la pena de muerte:</w:t>
      </w:r>
    </w:p>
    <w:p w:rsidR="004D11E8" w:rsidRPr="007F3D68" w:rsidRDefault="004D11E8" w:rsidP="004D11E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cs="Calibri"/>
          <w:sz w:val="20"/>
          <w:szCs w:val="20"/>
          <w:lang w:val="es-VE"/>
        </w:rPr>
      </w:pPr>
    </w:p>
    <w:p w:rsidR="004D11E8" w:rsidRPr="007F3D68" w:rsidRDefault="004D11E8" w:rsidP="004D11E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Por delitos políticos</w:t>
      </w:r>
    </w:p>
    <w:p w:rsidR="004D11E8" w:rsidRPr="007F3D68" w:rsidRDefault="004D11E8" w:rsidP="004D11E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Cuando la condena se fundamente en presunciones</w:t>
      </w:r>
    </w:p>
    <w:p w:rsidR="004D11E8" w:rsidRPr="007F3D68" w:rsidRDefault="004D11E8" w:rsidP="004D11E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A mujeres</w:t>
      </w:r>
    </w:p>
    <w:p w:rsidR="004D11E8" w:rsidRPr="007F3D68" w:rsidRDefault="004D11E8" w:rsidP="004D11E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A varones mayores de setenta años</w:t>
      </w:r>
    </w:p>
    <w:p w:rsidR="004D11E8" w:rsidRPr="007F3D68" w:rsidRDefault="004D11E8" w:rsidP="004D11E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7F3D68">
        <w:rPr>
          <w:rFonts w:cs="Calibri"/>
          <w:sz w:val="20"/>
          <w:szCs w:val="20"/>
          <w:lang w:val="es-VE"/>
        </w:rPr>
        <w:t>A personas cuya extradición haya sido concedida bajo esa condición.</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4D11E8" w:rsidRPr="007F3D68" w:rsidRDefault="004D11E8" w:rsidP="009D1E99">
      <w:pPr>
        <w:ind w:left="720" w:right="720"/>
        <w:rPr>
          <w:rFonts w:cs="Calibri"/>
          <w:sz w:val="20"/>
          <w:szCs w:val="20"/>
          <w:lang w:val="es-VE"/>
        </w:rPr>
      </w:pPr>
      <w:r w:rsidRPr="007F3D68">
        <w:rPr>
          <w:rFonts w:ascii="Cambria" w:hAnsi="Cambria" w:cs="Calibri"/>
          <w:sz w:val="20"/>
          <w:szCs w:val="20"/>
          <w:lang w:val="es-VE"/>
        </w:rPr>
        <w:t>En estos casos y siempre que la pena de muerte fuere conmutada por la de privación de libertad, se le aplicará prisión en su límite máximo</w:t>
      </w:r>
      <w:r w:rsidRPr="007F3D68">
        <w:rPr>
          <w:rStyle w:val="FootnoteReference"/>
          <w:rFonts w:ascii="Cambria" w:hAnsi="Cambria" w:cs="Calibri"/>
          <w:sz w:val="20"/>
          <w:szCs w:val="20"/>
          <w:lang w:val="es-VE"/>
        </w:rPr>
        <w:footnoteReference w:id="35"/>
      </w:r>
      <w:r w:rsidRPr="007F3D68">
        <w:rPr>
          <w:rFonts w:ascii="Cambria" w:hAnsi="Cambria" w:cs="Calibri"/>
          <w:sz w:val="20"/>
          <w:szCs w:val="20"/>
          <w:lang w:val="es-VE"/>
        </w:rPr>
        <w:t>.</w:t>
      </w:r>
    </w:p>
    <w:p w:rsidR="004D11E8" w:rsidRDefault="004D11E8" w:rsidP="00056F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lastRenderedPageBreak/>
        <w:t>El artículo 132 del Código Penal guatemalteco regulaba el tipo penal de asesinato en los siguientes términos:</w:t>
      </w:r>
    </w:p>
    <w:p w:rsidR="009D1E99" w:rsidRPr="007F3D68" w:rsidRDefault="009D1E99" w:rsidP="009D1E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cs="Calibri"/>
          <w:sz w:val="20"/>
          <w:szCs w:val="20"/>
          <w:lang w:val="es-VE"/>
        </w:rPr>
      </w:pPr>
    </w:p>
    <w:p w:rsidR="004D11E8" w:rsidRPr="007F3D68" w:rsidRDefault="004D11E8" w:rsidP="004D11E8">
      <w:pPr>
        <w:tabs>
          <w:tab w:val="left" w:pos="1440"/>
        </w:tabs>
        <w:ind w:left="720" w:right="630"/>
        <w:jc w:val="both"/>
        <w:rPr>
          <w:rFonts w:ascii="Cambria" w:hAnsi="Cambria" w:cs="Calibri"/>
          <w:sz w:val="20"/>
          <w:szCs w:val="20"/>
          <w:lang w:val="es-VE"/>
        </w:rPr>
      </w:pPr>
      <w:r w:rsidRPr="007F3D68">
        <w:rPr>
          <w:rFonts w:ascii="Cambria" w:hAnsi="Cambria" w:cs="Calibri"/>
          <w:sz w:val="20"/>
          <w:szCs w:val="20"/>
          <w:lang w:val="es-VE"/>
        </w:rPr>
        <w:t>Comete asesinato quién matare a una persona:</w:t>
      </w:r>
    </w:p>
    <w:p w:rsidR="004D11E8" w:rsidRPr="007F3D68" w:rsidRDefault="004D11E8" w:rsidP="004E102F">
      <w:pPr>
        <w:pStyle w:val="ListParagraph"/>
        <w:numPr>
          <w:ilvl w:val="0"/>
          <w:numId w:val="67"/>
        </w:numPr>
        <w:tabs>
          <w:tab w:val="left" w:pos="1440"/>
        </w:tabs>
        <w:ind w:right="630"/>
        <w:jc w:val="both"/>
        <w:rPr>
          <w:rFonts w:cs="Calibri"/>
          <w:sz w:val="20"/>
          <w:szCs w:val="20"/>
          <w:lang w:val="es-VE"/>
        </w:rPr>
      </w:pPr>
      <w:r w:rsidRPr="007F3D68">
        <w:rPr>
          <w:rFonts w:cs="Calibri"/>
          <w:sz w:val="20"/>
          <w:szCs w:val="20"/>
          <w:lang w:val="es-VE"/>
        </w:rPr>
        <w:t>Con alevosía.</w:t>
      </w:r>
    </w:p>
    <w:p w:rsidR="004D11E8" w:rsidRPr="007F3D68" w:rsidRDefault="004D11E8" w:rsidP="004E102F">
      <w:pPr>
        <w:pStyle w:val="ListParagraph"/>
        <w:numPr>
          <w:ilvl w:val="0"/>
          <w:numId w:val="67"/>
        </w:numPr>
        <w:tabs>
          <w:tab w:val="left" w:pos="1440"/>
        </w:tabs>
        <w:ind w:right="630"/>
        <w:jc w:val="both"/>
        <w:rPr>
          <w:rFonts w:cs="Calibri"/>
          <w:sz w:val="20"/>
          <w:szCs w:val="20"/>
          <w:lang w:val="pt-BR"/>
        </w:rPr>
      </w:pPr>
      <w:r w:rsidRPr="007F3D68">
        <w:rPr>
          <w:rFonts w:cs="Calibri"/>
          <w:sz w:val="20"/>
          <w:szCs w:val="20"/>
          <w:lang w:val="pt-BR"/>
        </w:rPr>
        <w:t>Por precio, recompensa o promesa.</w:t>
      </w:r>
    </w:p>
    <w:p w:rsidR="004D11E8" w:rsidRPr="007F3D68" w:rsidRDefault="004D11E8" w:rsidP="004E102F">
      <w:pPr>
        <w:pStyle w:val="ListParagraph"/>
        <w:numPr>
          <w:ilvl w:val="0"/>
          <w:numId w:val="67"/>
        </w:numPr>
        <w:tabs>
          <w:tab w:val="left" w:pos="1440"/>
        </w:tabs>
        <w:ind w:right="630"/>
        <w:jc w:val="both"/>
        <w:rPr>
          <w:rFonts w:cs="Calibri"/>
          <w:sz w:val="20"/>
          <w:szCs w:val="20"/>
          <w:lang w:val="es-VE"/>
        </w:rPr>
      </w:pPr>
      <w:r w:rsidRPr="007F3D68">
        <w:rPr>
          <w:rFonts w:cs="Calibri"/>
          <w:sz w:val="20"/>
          <w:szCs w:val="20"/>
          <w:lang w:val="es-VE"/>
        </w:rPr>
        <w:t>Por medio o con ocasión de inundación, incendio, veneno, explosión, desmoronamiento, derrumbe de edificio u otro artificio que pueda ocasionar gran estrago.</w:t>
      </w:r>
    </w:p>
    <w:p w:rsidR="004D11E8" w:rsidRPr="007F3D68" w:rsidRDefault="004D11E8" w:rsidP="004E102F">
      <w:pPr>
        <w:pStyle w:val="ListParagraph"/>
        <w:numPr>
          <w:ilvl w:val="0"/>
          <w:numId w:val="67"/>
        </w:numPr>
        <w:tabs>
          <w:tab w:val="left" w:pos="1440"/>
        </w:tabs>
        <w:ind w:right="630"/>
        <w:jc w:val="both"/>
        <w:rPr>
          <w:rFonts w:cs="Calibri"/>
          <w:sz w:val="20"/>
          <w:szCs w:val="20"/>
          <w:lang w:val="es-VE"/>
        </w:rPr>
      </w:pPr>
      <w:r w:rsidRPr="007F3D68">
        <w:rPr>
          <w:rFonts w:cs="Calibri"/>
          <w:sz w:val="20"/>
          <w:szCs w:val="20"/>
          <w:lang w:val="es-VE"/>
        </w:rPr>
        <w:t>Con premeditación conocida.</w:t>
      </w:r>
    </w:p>
    <w:p w:rsidR="004D11E8" w:rsidRPr="007F3D68" w:rsidRDefault="004D11E8" w:rsidP="004E102F">
      <w:pPr>
        <w:pStyle w:val="ListParagraph"/>
        <w:numPr>
          <w:ilvl w:val="0"/>
          <w:numId w:val="67"/>
        </w:numPr>
        <w:tabs>
          <w:tab w:val="left" w:pos="1440"/>
        </w:tabs>
        <w:ind w:right="630"/>
        <w:jc w:val="both"/>
        <w:rPr>
          <w:rFonts w:cs="Calibri"/>
          <w:sz w:val="20"/>
          <w:szCs w:val="20"/>
          <w:lang w:val="es-VE"/>
        </w:rPr>
      </w:pPr>
      <w:r w:rsidRPr="007F3D68">
        <w:rPr>
          <w:rFonts w:cs="Calibri"/>
          <w:sz w:val="20"/>
          <w:szCs w:val="20"/>
          <w:lang w:val="es-VE"/>
        </w:rPr>
        <w:t>Con ensañamiento.</w:t>
      </w:r>
    </w:p>
    <w:p w:rsidR="004D11E8" w:rsidRPr="007F3D68" w:rsidRDefault="004D11E8" w:rsidP="004E102F">
      <w:pPr>
        <w:pStyle w:val="ListParagraph"/>
        <w:numPr>
          <w:ilvl w:val="0"/>
          <w:numId w:val="67"/>
        </w:numPr>
        <w:tabs>
          <w:tab w:val="left" w:pos="1440"/>
        </w:tabs>
        <w:ind w:right="630"/>
        <w:jc w:val="both"/>
        <w:rPr>
          <w:rFonts w:cs="Calibri"/>
          <w:sz w:val="20"/>
          <w:szCs w:val="20"/>
          <w:lang w:val="es-VE"/>
        </w:rPr>
      </w:pPr>
      <w:r w:rsidRPr="007F3D68">
        <w:rPr>
          <w:rFonts w:cs="Calibri"/>
          <w:sz w:val="20"/>
          <w:szCs w:val="20"/>
          <w:lang w:val="es-VE"/>
        </w:rPr>
        <w:t>Con impulso de perversidad brutal.</w:t>
      </w:r>
    </w:p>
    <w:p w:rsidR="004D11E8" w:rsidRPr="007F3D68" w:rsidRDefault="004D11E8" w:rsidP="004E102F">
      <w:pPr>
        <w:pStyle w:val="ListParagraph"/>
        <w:numPr>
          <w:ilvl w:val="0"/>
          <w:numId w:val="67"/>
        </w:numPr>
        <w:tabs>
          <w:tab w:val="left" w:pos="1440"/>
        </w:tabs>
        <w:ind w:right="630"/>
        <w:jc w:val="both"/>
        <w:rPr>
          <w:rFonts w:cs="Calibri"/>
          <w:sz w:val="20"/>
          <w:szCs w:val="20"/>
          <w:lang w:val="es-VE"/>
        </w:rPr>
      </w:pPr>
      <w:r w:rsidRPr="007F3D68">
        <w:rPr>
          <w:rFonts w:cs="Calibri"/>
          <w:sz w:val="20"/>
          <w:szCs w:val="20"/>
          <w:lang w:val="es-VE"/>
        </w:rPr>
        <w:t xml:space="preserve">Para preparar, facilitar, consumar u ocultar otro delito o para asegurar sus resultados o la impunidad para sí o para sus coparticipes o por no haber obtenido el resultado que se hubiere propuesto al intentar otro hecho punible. </w:t>
      </w:r>
    </w:p>
    <w:p w:rsidR="004D11E8" w:rsidRPr="007F3D68" w:rsidRDefault="004D11E8" w:rsidP="004D11E8">
      <w:pPr>
        <w:pStyle w:val="ListParagraph"/>
        <w:tabs>
          <w:tab w:val="left" w:pos="1440"/>
        </w:tabs>
        <w:ind w:left="1080" w:right="630"/>
        <w:jc w:val="both"/>
        <w:rPr>
          <w:rFonts w:cs="Calibri"/>
          <w:sz w:val="20"/>
          <w:szCs w:val="20"/>
          <w:lang w:val="es-VE"/>
        </w:rPr>
      </w:pPr>
    </w:p>
    <w:p w:rsidR="004D11E8" w:rsidRPr="007F3D68" w:rsidRDefault="004D11E8" w:rsidP="001703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Cambria" w:hAnsi="Cambria" w:cs="Calibri"/>
          <w:sz w:val="20"/>
          <w:szCs w:val="20"/>
          <w:lang w:val="es-VE"/>
        </w:rPr>
      </w:pPr>
      <w:r w:rsidRPr="007F3D68">
        <w:rPr>
          <w:rFonts w:ascii="Cambria" w:hAnsi="Cambria" w:cs="Calibri"/>
          <w:sz w:val="20"/>
          <w:szCs w:val="20"/>
          <w:lang w:val="es-VE"/>
        </w:rPr>
        <w:t>Al reo de asesinato se le impondrá prisión de veinte a treinta años; sin embargo se impondrá la pena de muerte en lugar del máximo de prisión, si por las circunstancias del hecho y de la ocasión, la manera de realizarlo y los móviles determinantes, se revelare una mayor y particular peligrosidad del agente</w:t>
      </w:r>
      <w:r w:rsidRPr="007F3D68">
        <w:rPr>
          <w:rStyle w:val="FootnoteReference"/>
          <w:rFonts w:ascii="Cambria" w:hAnsi="Cambria" w:cs="Calibri"/>
          <w:sz w:val="20"/>
          <w:szCs w:val="20"/>
          <w:lang w:val="es-VE"/>
        </w:rPr>
        <w:footnoteReference w:id="36"/>
      </w:r>
      <w:r w:rsidRPr="007F3D68">
        <w:rPr>
          <w:rFonts w:ascii="Cambria" w:hAnsi="Cambria" w:cs="Calibri"/>
          <w:sz w:val="20"/>
          <w:szCs w:val="20"/>
          <w:lang w:val="es-VE"/>
        </w:rPr>
        <w:t>.</w:t>
      </w:r>
    </w:p>
    <w:p w:rsidR="0002317B" w:rsidRPr="007F3D68" w:rsidRDefault="0002317B" w:rsidP="001703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Cambria" w:hAnsi="Cambria" w:cs="Calibri"/>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cs="Calibri"/>
          <w:sz w:val="20"/>
          <w:szCs w:val="20"/>
          <w:lang w:val="es-VE"/>
        </w:rPr>
      </w:pPr>
      <w:r w:rsidRPr="007F3D68">
        <w:rPr>
          <w:rFonts w:ascii="Cambria" w:hAnsi="Cambria" w:cs="Calibri"/>
          <w:sz w:val="20"/>
          <w:szCs w:val="20"/>
          <w:lang w:val="es-VE"/>
        </w:rPr>
        <w:t>A pesar de estar prevista en la legislación guatemalteca, según un informe de Amnistía Internacional, la pena de muerte rara vez se aplicó en Guatemala antes de los años noventa. Dicho informe refiere que en 1982 se llevaron a cabo 4 ejecuciones por pena de muerte, y otras 11 en 1983, en virtud del Decreto de Emergencia 46-82, promulgado durante el estado de sitio impuesto por Efraín Ríos Montt</w:t>
      </w:r>
      <w:r w:rsidRPr="007F3D68">
        <w:rPr>
          <w:rFonts w:ascii="Cambria" w:eastAsia="Times New Roman" w:hAnsi="Cambria" w:cs="Courier New"/>
          <w:sz w:val="20"/>
          <w:szCs w:val="20"/>
          <w:vertAlign w:val="superscript"/>
          <w:lang w:val="es-ES"/>
        </w:rPr>
        <w:footnoteReference w:id="37"/>
      </w:r>
      <w:r w:rsidRPr="007F3D68">
        <w:rPr>
          <w:rFonts w:ascii="Cambria" w:hAnsi="Cambria"/>
          <w:sz w:val="20"/>
          <w:szCs w:val="20"/>
          <w:lang w:val="es-VE"/>
        </w:rPr>
        <w:t>.</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sz w:val="20"/>
          <w:szCs w:val="20"/>
          <w:bdr w:val="none" w:sz="0" w:space="0" w:color="auto"/>
          <w:lang w:val="es-ES"/>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cs="Courier New"/>
          <w:sz w:val="20"/>
          <w:szCs w:val="20"/>
          <w:bdr w:val="none" w:sz="0" w:space="0" w:color="auto"/>
          <w:lang w:val="es-ES"/>
        </w:rPr>
      </w:pPr>
      <w:r w:rsidRPr="007F3D68">
        <w:rPr>
          <w:rFonts w:ascii="Cambria" w:hAnsi="Cambria" w:cs="Calibri"/>
          <w:sz w:val="20"/>
          <w:szCs w:val="20"/>
          <w:lang w:val="es-VE"/>
        </w:rPr>
        <w:t>Durante los años 90 el Estado guatemalteco volvió a aplicar la pena de muerte, primero por medio de fusilamiento, conforme al Decreto 234 del Congreso de la República, y luego a través de inyección letal</w:t>
      </w:r>
      <w:r w:rsidRPr="007F3D68">
        <w:rPr>
          <w:rStyle w:val="FootnoteReference"/>
          <w:rFonts w:ascii="Cambria" w:hAnsi="Cambria" w:cs="Calibri"/>
          <w:sz w:val="20"/>
          <w:szCs w:val="20"/>
          <w:lang w:val="es-VE"/>
        </w:rPr>
        <w:footnoteReference w:id="38"/>
      </w:r>
      <w:r w:rsidRPr="007F3D68">
        <w:rPr>
          <w:rFonts w:ascii="Cambria" w:hAnsi="Cambria" w:cs="Calibri"/>
          <w:sz w:val="20"/>
          <w:szCs w:val="20"/>
          <w:lang w:val="es-VE"/>
        </w:rPr>
        <w:t>, después que el Decreto 234 fue derogado por el Decreto 100-96 de noviembre de 1996 mediante al cual se estableció este nuevo método de ejecución, cuyo procedimiento fue regulado en el artículo 7 del mismo decreto</w:t>
      </w:r>
      <w:r w:rsidRPr="007F3D68">
        <w:rPr>
          <w:rStyle w:val="FootnoteReference"/>
          <w:rFonts w:ascii="Cambria" w:hAnsi="Cambria" w:cs="Calibri"/>
          <w:sz w:val="20"/>
          <w:szCs w:val="20"/>
          <w:lang w:val="es-VE"/>
        </w:rPr>
        <w:footnoteReference w:id="39"/>
      </w:r>
      <w:r w:rsidRPr="007F3D68">
        <w:rPr>
          <w:rFonts w:ascii="Cambria" w:hAnsi="Cambria" w:cs="Calibri"/>
          <w:sz w:val="20"/>
          <w:szCs w:val="20"/>
          <w:lang w:val="es-VE"/>
        </w:rPr>
        <w:t>.</w:t>
      </w:r>
    </w:p>
    <w:p w:rsidR="004D11E8" w:rsidRPr="007F3D68" w:rsidRDefault="004D11E8" w:rsidP="00FC650A">
      <w:pPr>
        <w:pStyle w:val="Heading3"/>
        <w:numPr>
          <w:ilvl w:val="0"/>
          <w:numId w:val="76"/>
        </w:numPr>
        <w:tabs>
          <w:tab w:val="clear" w:pos="1800"/>
          <w:tab w:val="num" w:pos="1260"/>
        </w:tabs>
        <w:ind w:hanging="1080"/>
        <w:rPr>
          <w:b w:val="0"/>
          <w:sz w:val="20"/>
          <w:szCs w:val="20"/>
          <w:lang w:val="es-VE"/>
        </w:rPr>
      </w:pPr>
      <w:bookmarkStart w:id="80" w:name="_Toc495479548"/>
      <w:r w:rsidRPr="007F3D68">
        <w:rPr>
          <w:color w:val="auto"/>
          <w:sz w:val="20"/>
          <w:szCs w:val="20"/>
          <w:lang w:val="es-VE"/>
        </w:rPr>
        <w:t>El recurso de gracia y la derogatoria del Decreto 159 de 1892</w:t>
      </w:r>
      <w:bookmarkEnd w:id="80"/>
      <w:r w:rsidRPr="007F3D68">
        <w:rPr>
          <w:color w:val="auto"/>
          <w:sz w:val="20"/>
          <w:szCs w:val="20"/>
          <w:lang w:val="es-VE"/>
        </w:rPr>
        <w:t xml:space="preserve"> </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sz w:val="20"/>
          <w:szCs w:val="20"/>
          <w:bdr w:val="none" w:sz="0" w:space="0" w:color="auto"/>
          <w:lang w:val="es-ES"/>
        </w:rPr>
      </w:pPr>
    </w:p>
    <w:p w:rsidR="004D11E8" w:rsidRPr="00CF2584"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eastAsia="Times New Roman" w:hAnsi="Cambria" w:cs="Courier New"/>
          <w:sz w:val="20"/>
          <w:szCs w:val="20"/>
          <w:lang w:val="es-ES"/>
        </w:rPr>
        <w:t xml:space="preserve">El último recurso disponible en la legislación guatemalteca, para impugnar la imposición de la pena de muerte al </w:t>
      </w:r>
      <w:r w:rsidRPr="007F3D68">
        <w:rPr>
          <w:rFonts w:ascii="Cambria" w:hAnsi="Cambria" w:cs="Calibri"/>
          <w:sz w:val="20"/>
          <w:szCs w:val="20"/>
          <w:lang w:val="es-VE"/>
        </w:rPr>
        <w:t>momento</w:t>
      </w:r>
      <w:r w:rsidRPr="007F3D68">
        <w:rPr>
          <w:rFonts w:ascii="Cambria" w:eastAsia="Times New Roman" w:hAnsi="Cambria" w:cs="Courier New"/>
          <w:sz w:val="20"/>
          <w:szCs w:val="20"/>
          <w:lang w:val="es-ES"/>
        </w:rPr>
        <w:t xml:space="preserve"> de los hechos del presente caso era el recurso de gracia, previsto en el Decreto 159 de la Asamblea Nacional Legislativa de 19 de abril de 1892. El recurso de gracia establecía la facultad del Presidente de la República de no aplicar la pena de muerte a un condenado, no obstante, en una decisión de amparo de la Corte de Constitucionalidad de 9 de agosto de 1996, se indicó que el Decreto 159 ya no se encontraba vigente, pero que permanecía vigente el recurso de gracia, aunque sin un procedimiento establecido. Al respecto determinó que el Decreto 159 estuvo vigente entre el 21 de abril de 1892 y el 22 de diciembre de 1944 y tuvo una nueva vigencia con modificaciones entre el 23 de diciembre de 1944 y 14 de marzo de 1945, día anterior a la fecha de vigencia de la Constitución de 1945. Por ello la Corte de Constitucionalidad concluyó que “el procedimiento establecido en el Decreto 159 de la Asamblea Nacional Legislativa, no está vigente”. Agregó que la solicitud de conmuta de la pena es un recurso admisible contra la sentencia que impone la pena de muerte y que el conocimiento de dicha solicitud corresponde al Presidente de </w:t>
      </w:r>
      <w:r w:rsidRPr="007F3D68">
        <w:rPr>
          <w:rFonts w:ascii="Cambria" w:eastAsia="Times New Roman" w:hAnsi="Cambria" w:cs="Courier New"/>
          <w:sz w:val="20"/>
          <w:szCs w:val="20"/>
          <w:lang w:val="es-ES"/>
        </w:rPr>
        <w:lastRenderedPageBreak/>
        <w:t>la República, cuya única obligación es resolver y notificar lo resuelto, sin que exista un procedimiento obligado al que deba sujetarse</w:t>
      </w:r>
      <w:r w:rsidRPr="007F3D68">
        <w:rPr>
          <w:rStyle w:val="FootnoteReference"/>
          <w:rFonts w:ascii="Cambria" w:eastAsia="Times New Roman" w:hAnsi="Cambria" w:cs="Courier New"/>
          <w:sz w:val="20"/>
          <w:szCs w:val="20"/>
          <w:lang w:val="es-ES"/>
        </w:rPr>
        <w:footnoteReference w:id="40"/>
      </w:r>
      <w:r w:rsidRPr="007F3D68">
        <w:rPr>
          <w:rFonts w:ascii="Cambria" w:eastAsia="Times New Roman" w:hAnsi="Cambria" w:cs="Courier New"/>
          <w:sz w:val="20"/>
          <w:szCs w:val="20"/>
          <w:lang w:val="es-ES"/>
        </w:rPr>
        <w:t>.</w:t>
      </w:r>
    </w:p>
    <w:p w:rsidR="00CF2584" w:rsidRPr="00FB1E9C" w:rsidRDefault="00CF2584" w:rsidP="00CF25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Style w:val="Emphasis"/>
          <w:rFonts w:ascii="Cambria" w:hAnsi="Cambria" w:cs="Calibri"/>
          <w:i w:val="0"/>
          <w:iCs w:val="0"/>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cs="Courier New"/>
          <w:sz w:val="20"/>
          <w:szCs w:val="20"/>
          <w:lang w:val="es-VE"/>
        </w:rPr>
      </w:pPr>
      <w:r w:rsidRPr="007F3D68">
        <w:rPr>
          <w:rFonts w:ascii="Cambria" w:hAnsi="Cambria" w:cs="Calibri"/>
          <w:sz w:val="20"/>
          <w:szCs w:val="20"/>
          <w:lang w:val="es-VE"/>
        </w:rPr>
        <w:t>Con posterioridad, el 1 de junio de 2000 el Congreso de la República derogó formalmente el Decreto 159 de 1892 por considerar que no existe norma que “sirva de fundamento para que el Organismo Ejecutivo pueda conmutar la pena de muerte como establece el Decreto Número 159 de la Asamblea Nacional Legislativa de la República, al haberse derogado las constituciones anteriores (…)”</w:t>
      </w:r>
      <w:r w:rsidRPr="007F3D68">
        <w:rPr>
          <w:rStyle w:val="FootnoteReference"/>
          <w:rFonts w:ascii="Cambria" w:hAnsi="Cambria" w:cs="Calibri"/>
          <w:sz w:val="20"/>
          <w:szCs w:val="20"/>
          <w:lang w:val="es-VE"/>
        </w:rPr>
        <w:footnoteReference w:id="41"/>
      </w:r>
      <w:r w:rsidRPr="007F3D68">
        <w:rPr>
          <w:rFonts w:ascii="Cambria" w:hAnsi="Cambria" w:cs="Calibri"/>
          <w:sz w:val="20"/>
          <w:szCs w:val="20"/>
          <w:lang w:val="es-VE"/>
        </w:rPr>
        <w:t xml:space="preserve">. </w:t>
      </w:r>
    </w:p>
    <w:p w:rsidR="004D11E8" w:rsidRPr="007F3D68" w:rsidRDefault="004D11E8" w:rsidP="004D11E8">
      <w:pPr>
        <w:tabs>
          <w:tab w:val="left" w:pos="1440"/>
        </w:tabs>
        <w:jc w:val="both"/>
        <w:rPr>
          <w:rFonts w:ascii="Cambria" w:eastAsia="Times New Roman" w:hAnsi="Cambria" w:cs="Courier New"/>
          <w:sz w:val="20"/>
          <w:szCs w:val="20"/>
          <w:lang w:val="es-VE"/>
        </w:rPr>
      </w:pPr>
    </w:p>
    <w:p w:rsidR="004D11E8" w:rsidRPr="007F3D68" w:rsidRDefault="004D11E8" w:rsidP="00FC650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cs="Courier New"/>
          <w:sz w:val="20"/>
          <w:szCs w:val="20"/>
          <w:lang w:val="es-VE"/>
        </w:rPr>
      </w:pPr>
      <w:r w:rsidRPr="007F3D68">
        <w:rPr>
          <w:rFonts w:ascii="Cambria" w:eastAsia="Times New Roman" w:hAnsi="Cambria" w:cs="Courier New"/>
          <w:sz w:val="20"/>
          <w:szCs w:val="20"/>
          <w:lang w:val="es-VE"/>
        </w:rPr>
        <w:t xml:space="preserve">A partir de dicha fecha, es decir, hace más de 17 años, en Guatemala no se ha impuesto ni aplicado la pena de muerte. </w:t>
      </w:r>
    </w:p>
    <w:p w:rsidR="004D11E8" w:rsidRPr="007F3D68" w:rsidRDefault="004D11E8" w:rsidP="00FC650A">
      <w:pPr>
        <w:pStyle w:val="Heading3"/>
        <w:numPr>
          <w:ilvl w:val="0"/>
          <w:numId w:val="76"/>
        </w:numPr>
        <w:tabs>
          <w:tab w:val="clear" w:pos="1800"/>
          <w:tab w:val="num" w:pos="1260"/>
        </w:tabs>
        <w:ind w:hanging="1080"/>
        <w:rPr>
          <w:color w:val="auto"/>
          <w:sz w:val="20"/>
          <w:szCs w:val="20"/>
          <w:lang w:val="es-VE"/>
        </w:rPr>
      </w:pPr>
      <w:bookmarkStart w:id="81" w:name="_Toc495479549"/>
      <w:r w:rsidRPr="007F3D68">
        <w:rPr>
          <w:color w:val="auto"/>
          <w:sz w:val="20"/>
          <w:szCs w:val="20"/>
          <w:lang w:val="es-VE"/>
        </w:rPr>
        <w:t xml:space="preserve">Los casos Fermín Ramírez y </w:t>
      </w:r>
      <w:proofErr w:type="spellStart"/>
      <w:r w:rsidRPr="007F3D68">
        <w:rPr>
          <w:color w:val="auto"/>
          <w:sz w:val="20"/>
          <w:szCs w:val="20"/>
          <w:lang w:val="es-VE"/>
        </w:rPr>
        <w:t>Raxcacó</w:t>
      </w:r>
      <w:proofErr w:type="spellEnd"/>
      <w:r w:rsidRPr="007F3D68">
        <w:rPr>
          <w:color w:val="auto"/>
          <w:sz w:val="20"/>
          <w:szCs w:val="20"/>
          <w:lang w:val="es-VE"/>
        </w:rPr>
        <w:t xml:space="preserve"> Reyes vs. Guatemala conocidos por la Corte Interamericana de Derechos Humanos</w:t>
      </w:r>
      <w:bookmarkEnd w:id="81"/>
    </w:p>
    <w:p w:rsidR="004D11E8" w:rsidRPr="007F3D68" w:rsidRDefault="004D11E8" w:rsidP="004D11E8">
      <w:pPr>
        <w:rPr>
          <w:rFonts w:ascii="Cambria" w:hAnsi="Cambria"/>
          <w:i/>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cs="Courier New"/>
          <w:sz w:val="20"/>
          <w:szCs w:val="20"/>
          <w:lang w:val="es-ES"/>
        </w:rPr>
      </w:pPr>
      <w:r w:rsidRPr="007F3D68">
        <w:rPr>
          <w:rFonts w:ascii="Cambria" w:eastAsia="Times New Roman" w:hAnsi="Cambria" w:cs="Courier New"/>
          <w:sz w:val="20"/>
          <w:szCs w:val="20"/>
          <w:lang w:val="es-ES"/>
        </w:rPr>
        <w:t xml:space="preserve">En 2005, la Corte Interamericana se pronunció sobre la pena de muerte en Guatemala y, particularmente, sobre la invocación de la peligrosidad para imponer la pena de muerte en el delito de asesinato, así como la falta de regulación del recurso de gracia. </w:t>
      </w:r>
    </w:p>
    <w:p w:rsidR="004D11E8" w:rsidRPr="007F3D68" w:rsidRDefault="004D11E8" w:rsidP="004D11E8">
      <w:pPr>
        <w:tabs>
          <w:tab w:val="left" w:pos="1440"/>
        </w:tabs>
        <w:ind w:left="720"/>
        <w:jc w:val="both"/>
        <w:rPr>
          <w:rFonts w:ascii="Cambria" w:eastAsia="Times New Roman" w:hAnsi="Cambria" w:cs="Courier New"/>
          <w:sz w:val="20"/>
          <w:szCs w:val="20"/>
          <w:lang w:val="es-ES"/>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cs="Courier New"/>
          <w:i/>
          <w:sz w:val="20"/>
          <w:szCs w:val="20"/>
          <w:lang w:val="es-ES"/>
        </w:rPr>
      </w:pPr>
      <w:r w:rsidRPr="007F3D68">
        <w:rPr>
          <w:rFonts w:ascii="Cambria" w:eastAsia="Times New Roman" w:hAnsi="Cambria" w:cs="Courier New"/>
          <w:sz w:val="20"/>
          <w:szCs w:val="20"/>
          <w:lang w:val="es-ES"/>
        </w:rPr>
        <w:t>El delito de asesinato, tipificado en el artículo 132 del Código Penal, establecía en la parte conducente que “al reo de asesinato se le impondrá prisión de veinte a treinta años, sin embargo se impondrá la pena de muerte en lugar del máximo de prisión, si por las circunstancias del hecho y de la ocasión, la manera de realizarlo y los móviles determinantes, se revelare una mayor y particular peligrosidad del agente”</w:t>
      </w:r>
      <w:r w:rsidRPr="007F3D68">
        <w:rPr>
          <w:rStyle w:val="FootnoteReference"/>
          <w:rFonts w:ascii="Cambria" w:eastAsia="Times New Roman" w:hAnsi="Cambria" w:cs="Courier New"/>
          <w:sz w:val="20"/>
          <w:szCs w:val="20"/>
          <w:lang w:val="es-ES"/>
        </w:rPr>
        <w:footnoteReference w:id="42"/>
      </w:r>
      <w:r w:rsidRPr="007F3D68">
        <w:rPr>
          <w:rFonts w:ascii="Cambria" w:eastAsia="Times New Roman" w:hAnsi="Cambria" w:cs="Courier New"/>
          <w:sz w:val="20"/>
          <w:szCs w:val="20"/>
          <w:lang w:val="es-ES"/>
        </w:rPr>
        <w:t>.</w:t>
      </w:r>
      <w:r w:rsidRPr="007F3D68">
        <w:rPr>
          <w:rFonts w:ascii="Cambria" w:eastAsia="Times New Roman" w:hAnsi="Cambria" w:cs="Courier New"/>
          <w:i/>
          <w:sz w:val="20"/>
          <w:szCs w:val="20"/>
          <w:lang w:val="es-ES"/>
        </w:rPr>
        <w:t xml:space="preserve"> </w:t>
      </w:r>
      <w:r w:rsidRPr="007F3D68">
        <w:rPr>
          <w:rFonts w:ascii="Cambria" w:eastAsia="Times New Roman" w:hAnsi="Cambria" w:cs="Courier New"/>
          <w:sz w:val="20"/>
          <w:szCs w:val="20"/>
          <w:lang w:val="es-ES"/>
        </w:rPr>
        <w:t>Por medio del Decreto 20-96 se modificó la pena de prisión para dicho delito, quedando entre 25 a 50 años</w:t>
      </w:r>
      <w:r w:rsidRPr="007F3D68">
        <w:rPr>
          <w:rStyle w:val="FootnoteReference"/>
          <w:rFonts w:ascii="Cambria" w:eastAsia="Times New Roman" w:hAnsi="Cambria" w:cs="Courier New"/>
          <w:sz w:val="20"/>
          <w:szCs w:val="20"/>
          <w:lang w:val="es-ES"/>
        </w:rPr>
        <w:footnoteReference w:id="43"/>
      </w:r>
      <w:r w:rsidRPr="007F3D68">
        <w:rPr>
          <w:rFonts w:ascii="Cambria" w:eastAsia="Times New Roman" w:hAnsi="Cambria" w:cs="Courier New"/>
          <w:sz w:val="20"/>
          <w:szCs w:val="20"/>
          <w:lang w:val="es-ES"/>
        </w:rPr>
        <w:t xml:space="preserve">. </w:t>
      </w:r>
    </w:p>
    <w:p w:rsidR="004D11E8" w:rsidRPr="007F3D68" w:rsidRDefault="004D11E8" w:rsidP="004D11E8">
      <w:pPr>
        <w:pStyle w:val="ListParagraph"/>
        <w:rPr>
          <w:rFonts w:eastAsia="Times New Roman" w:cs="Courier New"/>
          <w:i/>
          <w:color w:val="auto"/>
          <w:sz w:val="20"/>
          <w:szCs w:val="20"/>
          <w:bdr w:val="none" w:sz="0" w:space="0" w:color="auto"/>
          <w:lang w:val="es-ES"/>
        </w:rPr>
      </w:pPr>
    </w:p>
    <w:p w:rsidR="004D11E8" w:rsidRPr="007F3D68" w:rsidRDefault="004D11E8" w:rsidP="00FC650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7F3D68">
        <w:rPr>
          <w:rFonts w:ascii="Cambria" w:eastAsia="Times New Roman" w:hAnsi="Cambria" w:cs="Courier New"/>
          <w:sz w:val="20"/>
          <w:szCs w:val="20"/>
          <w:lang w:val="es-ES"/>
        </w:rPr>
        <w:t>En el caso Fermín Ramírez contra Guatemala, la Corte Interamericana analizó, entre otras cuestiones, el párrafo mencionado del delito de asesinato, e indicó que la invocación de la peligrosidad del agente “implica la apreciación del juzgador acerca de las probabilidades de que el imputado cometa hechos delictuosos en el futuro, es decir</w:t>
      </w:r>
      <w:r w:rsidRPr="007F3D68">
        <w:rPr>
          <w:rFonts w:ascii="Cambria" w:hAnsi="Cambria"/>
          <w:sz w:val="20"/>
          <w:szCs w:val="20"/>
          <w:lang w:val="es-VE"/>
        </w:rPr>
        <w:t>, agrega a la imputación por los hechos realizados, la previsión de hechos futuros que probablemente ocurrirán”. Consideró que dicha figura es incompatible con el principio de legalidad criminal y por lo tanto declaró que el Estado violó el artículo 9 de la Convención, en relación con el artículo 2 de la misma</w:t>
      </w:r>
      <w:r w:rsidRPr="007F3D68">
        <w:rPr>
          <w:rStyle w:val="FootnoteReference"/>
          <w:rFonts w:ascii="Cambria" w:hAnsi="Cambria"/>
          <w:sz w:val="20"/>
          <w:szCs w:val="20"/>
          <w:lang w:val="es-VE"/>
        </w:rPr>
        <w:footnoteReference w:id="44"/>
      </w:r>
      <w:r w:rsidRPr="007F3D68">
        <w:rPr>
          <w:rFonts w:ascii="Cambria" w:hAnsi="Cambria"/>
          <w:sz w:val="20"/>
          <w:szCs w:val="20"/>
          <w:lang w:val="es-VE"/>
        </w:rPr>
        <w:t>. En virtud de ello, ordenó al Estado guatemalteco la modificación de dicho artículo para suprimir la circunstancia agravante de peligrosidad del agente de un delito de asesinato</w:t>
      </w:r>
      <w:r w:rsidRPr="007F3D68">
        <w:rPr>
          <w:rStyle w:val="FootnoteReference"/>
          <w:rFonts w:ascii="Cambria" w:hAnsi="Cambria"/>
          <w:sz w:val="20"/>
          <w:szCs w:val="20"/>
          <w:lang w:val="es-VE"/>
        </w:rPr>
        <w:footnoteReference w:id="45"/>
      </w:r>
      <w:r w:rsidRPr="007F3D68">
        <w:rPr>
          <w:rFonts w:ascii="Cambria" w:hAnsi="Cambria"/>
          <w:sz w:val="20"/>
          <w:szCs w:val="20"/>
          <w:lang w:val="es-VE"/>
        </w:rPr>
        <w:t>.</w:t>
      </w:r>
    </w:p>
    <w:p w:rsidR="004D11E8" w:rsidRPr="007F3D68" w:rsidRDefault="004D11E8" w:rsidP="00FC650A">
      <w:pPr>
        <w:pStyle w:val="Heading3"/>
        <w:numPr>
          <w:ilvl w:val="0"/>
          <w:numId w:val="76"/>
        </w:numPr>
        <w:tabs>
          <w:tab w:val="clear" w:pos="1800"/>
          <w:tab w:val="num" w:pos="1260"/>
        </w:tabs>
        <w:ind w:hanging="1080"/>
        <w:rPr>
          <w:color w:val="auto"/>
          <w:sz w:val="20"/>
          <w:szCs w:val="20"/>
          <w:lang w:val="es-VE"/>
        </w:rPr>
      </w:pPr>
      <w:bookmarkStart w:id="82" w:name="_Toc495479550"/>
      <w:r w:rsidRPr="007F3D68">
        <w:rPr>
          <w:color w:val="auto"/>
          <w:sz w:val="20"/>
          <w:szCs w:val="20"/>
          <w:lang w:val="es-VE"/>
        </w:rPr>
        <w:t>La pena de muerte en Guatemala en la actualidad</w:t>
      </w:r>
      <w:bookmarkEnd w:id="82"/>
    </w:p>
    <w:p w:rsidR="004D11E8" w:rsidRPr="007F3D68" w:rsidRDefault="004D11E8" w:rsidP="001703E3">
      <w:pPr>
        <w:pStyle w:val="ListParagraph"/>
        <w:rPr>
          <w:rFonts w:cs="Calibri"/>
          <w:sz w:val="20"/>
          <w:szCs w:val="20"/>
          <w:lang w:val="es-VE"/>
        </w:rPr>
      </w:pPr>
    </w:p>
    <w:p w:rsidR="004D11E8" w:rsidRPr="00CF2584" w:rsidRDefault="004D11E8" w:rsidP="00CF258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t xml:space="preserve">A partir de dichas decisiones, el Estado guatemalteco no ha impuesto ni aplicado la pena de muerte, ni regulado </w:t>
      </w:r>
      <w:r w:rsidRPr="007F3D68">
        <w:rPr>
          <w:rFonts w:ascii="Cambria" w:hAnsi="Cambria"/>
          <w:sz w:val="20"/>
          <w:szCs w:val="20"/>
          <w:lang w:val="es-VE"/>
        </w:rPr>
        <w:t>el</w:t>
      </w:r>
      <w:r w:rsidRPr="007F3D68">
        <w:rPr>
          <w:rFonts w:ascii="Cambria" w:hAnsi="Cambria" w:cs="Calibri"/>
          <w:sz w:val="20"/>
          <w:szCs w:val="20"/>
          <w:lang w:val="es-VE"/>
        </w:rPr>
        <w:t xml:space="preserve"> recurso de </w:t>
      </w:r>
      <w:r w:rsidRPr="007F3D68">
        <w:rPr>
          <w:rFonts w:ascii="Cambria" w:hAnsi="Cambria"/>
          <w:sz w:val="20"/>
          <w:szCs w:val="20"/>
          <w:lang w:val="es-VE"/>
        </w:rPr>
        <w:t>gracia</w:t>
      </w:r>
      <w:r w:rsidRPr="007F3D68">
        <w:rPr>
          <w:rFonts w:ascii="Cambria" w:hAnsi="Cambria" w:cs="Calibri"/>
          <w:sz w:val="20"/>
          <w:szCs w:val="20"/>
          <w:lang w:val="es-VE"/>
        </w:rPr>
        <w:t>, por lo que la Cámara Penal de la Corte Suprema de Justicia ha venido conmutando la pena de muerte por la máxima de prisión a quienes lo han solicitado</w:t>
      </w:r>
      <w:r w:rsidRPr="007F3D68">
        <w:rPr>
          <w:rStyle w:val="FootnoteReference"/>
          <w:rFonts w:ascii="Cambria" w:hAnsi="Cambria" w:cs="Calibri"/>
          <w:sz w:val="20"/>
          <w:szCs w:val="20"/>
          <w:lang w:val="es-VE"/>
        </w:rPr>
        <w:footnoteReference w:id="46"/>
      </w:r>
      <w:r w:rsidRPr="007F3D68">
        <w:rPr>
          <w:rFonts w:ascii="Cambria" w:hAnsi="Cambria" w:cs="Calibri"/>
          <w:sz w:val="20"/>
          <w:szCs w:val="20"/>
          <w:lang w:val="es-VE"/>
        </w:rPr>
        <w:t>.</w:t>
      </w: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cs="Calibri"/>
          <w:sz w:val="20"/>
          <w:szCs w:val="20"/>
          <w:lang w:val="es-VE"/>
        </w:rPr>
        <w:lastRenderedPageBreak/>
        <w:t xml:space="preserve">La pena de muerte continúa prevista para los siguientes delitos: </w:t>
      </w:r>
      <w:r w:rsidRPr="007F3D68">
        <w:rPr>
          <w:rFonts w:ascii="Cambria" w:hAnsi="Cambria"/>
          <w:sz w:val="20"/>
          <w:szCs w:val="20"/>
          <w:lang w:val="es-AR"/>
        </w:rPr>
        <w:t>1. Plagio o secuestro; 2. Parricidio; 3. Ejecución Extrajudicial; 4. Caso de muerte al Presidente o Vicepresidente de la República; 5. Delitos relacionados con narcotráfico en los que resulte la muerte de personas. En algunos de estos tipos penales se hace referencia a la peligrosidad del agente como elemento determinante para la imposición de la pena de muerte.</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r w:rsidRPr="007F3D68">
        <w:rPr>
          <w:rFonts w:ascii="Cambria" w:hAnsi="Cambria"/>
          <w:sz w:val="20"/>
          <w:szCs w:val="20"/>
          <w:lang w:val="es-AR"/>
        </w:rPr>
        <w:t xml:space="preserve"> </w:t>
      </w: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Calibri"/>
          <w:sz w:val="20"/>
          <w:szCs w:val="20"/>
          <w:lang w:val="es-VE"/>
        </w:rPr>
      </w:pPr>
      <w:r w:rsidRPr="007F3D68">
        <w:rPr>
          <w:rFonts w:ascii="Cambria" w:hAnsi="Cambria"/>
          <w:sz w:val="20"/>
          <w:szCs w:val="20"/>
          <w:lang w:val="es-VE"/>
        </w:rPr>
        <w:t>El 12 de febrero de 2008 el Congreso guatemalteco emitió una ley mediante la cual restituyó al Presidente la facultad de perdonar la vida o confirmar la pena capital a los reos condenados a través del recurso de indulto</w:t>
      </w:r>
      <w:r w:rsidRPr="007F3D68">
        <w:rPr>
          <w:rStyle w:val="FootnoteReference"/>
          <w:rFonts w:ascii="Cambria" w:hAnsi="Cambria"/>
          <w:sz w:val="20"/>
          <w:szCs w:val="20"/>
          <w:lang w:val="es-VE"/>
        </w:rPr>
        <w:footnoteReference w:id="47"/>
      </w:r>
      <w:r w:rsidRPr="007F3D68">
        <w:rPr>
          <w:rFonts w:ascii="Cambria" w:hAnsi="Cambria"/>
          <w:sz w:val="20"/>
          <w:szCs w:val="20"/>
          <w:lang w:val="es-VE"/>
        </w:rPr>
        <w:t xml:space="preserve">. Sin </w:t>
      </w:r>
      <w:r w:rsidRPr="007F3D68">
        <w:rPr>
          <w:rFonts w:ascii="Cambria" w:hAnsi="Cambria" w:cs="Calibri"/>
          <w:sz w:val="20"/>
          <w:szCs w:val="20"/>
          <w:lang w:val="es-VE"/>
        </w:rPr>
        <w:t>embargo</w:t>
      </w:r>
      <w:r w:rsidRPr="007F3D68">
        <w:rPr>
          <w:rFonts w:ascii="Cambria" w:hAnsi="Cambria"/>
          <w:sz w:val="20"/>
          <w:szCs w:val="20"/>
          <w:lang w:val="es-VE"/>
        </w:rPr>
        <w:t xml:space="preserve"> en el mismo mes el entonces Presidente Alvaro Colom vetó la ley, argumentando que violaba los compromisos que tiene Guatemala como parte de la Convención Americana</w:t>
      </w:r>
      <w:r w:rsidRPr="007F3D68">
        <w:rPr>
          <w:rStyle w:val="FootnoteReference"/>
          <w:rFonts w:ascii="Cambria" w:hAnsi="Cambria"/>
          <w:sz w:val="20"/>
          <w:szCs w:val="20"/>
          <w:lang w:val="es-VE"/>
        </w:rPr>
        <w:footnoteReference w:id="48"/>
      </w:r>
      <w:r w:rsidRPr="007F3D68">
        <w:rPr>
          <w:rFonts w:ascii="Cambria" w:hAnsi="Cambria"/>
          <w:sz w:val="20"/>
          <w:szCs w:val="20"/>
          <w:lang w:val="es-VE"/>
        </w:rPr>
        <w:t>. En enero de 2012 el Presidente Alvaro Colom vetó nuevamente la restitución de la posibilidad del indulto presidencial para las personas condenadas a pena de muerte</w:t>
      </w:r>
      <w:r w:rsidRPr="007F3D68">
        <w:rPr>
          <w:rStyle w:val="FootnoteReference"/>
          <w:rFonts w:ascii="Cambria" w:hAnsi="Cambria"/>
          <w:sz w:val="20"/>
          <w:szCs w:val="20"/>
          <w:lang w:val="es-VE"/>
        </w:rPr>
        <w:footnoteReference w:id="49"/>
      </w:r>
      <w:r w:rsidRPr="007F3D68">
        <w:rPr>
          <w:rFonts w:ascii="Cambria" w:hAnsi="Cambria"/>
          <w:sz w:val="20"/>
          <w:szCs w:val="20"/>
          <w:lang w:val="es-VE"/>
        </w:rPr>
        <w:t>.</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4D11E8" w:rsidRPr="007F3D68" w:rsidRDefault="004D11E8" w:rsidP="004D11E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eastAsia="Times New Roman" w:hAnsi="Cambria" w:cs="Courier New"/>
          <w:sz w:val="20"/>
          <w:szCs w:val="20"/>
          <w:lang w:val="es-ES"/>
        </w:rPr>
        <w:t xml:space="preserve">El 11 de febrero de 2016 </w:t>
      </w:r>
      <w:r w:rsidRPr="007F3D68">
        <w:rPr>
          <w:rFonts w:ascii="Cambria" w:hAnsi="Cambria"/>
          <w:sz w:val="20"/>
          <w:szCs w:val="20"/>
          <w:lang w:val="es-AR"/>
        </w:rPr>
        <w:t>la Corte de Constitucionalidad declaró inconstitucional la frase que permitía aplicar la pena de muerte por el delito de asesinato. Dicha frase indicaba que “sin embargo se le aplicará la pena de muerte en lugar del máximo de prisión, si por las circunstancias del hecho y de la ocasión, la manera de realizarlo y los móviles determinantes, se revelare una mayor particular peligrosidad del agente. A quienes no se les aplique la pena de muerte por este delito, no podrá concedérseles rebaja de la pena por ninguna causa”. Si bien la Corte de Constitucionalidad únicamente se pronunció respecto del delito de asesinato, la misma frase declarada inconstitucional se encuentra presente en los delitos de parricidio, ejecución extrajudicial y caso de muerte al Presidente o Vicepresidente.</w:t>
      </w:r>
    </w:p>
    <w:p w:rsidR="004D11E8" w:rsidRPr="007F3D68" w:rsidRDefault="004D11E8" w:rsidP="004D11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Courier New"/>
          <w:sz w:val="20"/>
          <w:szCs w:val="20"/>
          <w:lang w:val="es-ES"/>
        </w:rPr>
      </w:pPr>
    </w:p>
    <w:p w:rsidR="00EF2CEA" w:rsidRPr="007F3D68" w:rsidRDefault="004D11E8" w:rsidP="004E102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cs="Courier New"/>
          <w:sz w:val="20"/>
          <w:szCs w:val="20"/>
          <w:lang w:val="es-ES"/>
        </w:rPr>
      </w:pPr>
      <w:r w:rsidRPr="007F3D68">
        <w:rPr>
          <w:rFonts w:ascii="Cambria" w:eastAsia="Times New Roman" w:hAnsi="Cambria" w:cs="Courier New"/>
          <w:sz w:val="20"/>
          <w:szCs w:val="20"/>
          <w:lang w:val="es-ES"/>
        </w:rPr>
        <w:t xml:space="preserve">Según información de público conocimiento, en 2016 se presentaron en el Congreso de la República tanto iniciativas para reactivar como para abolir la pena de muerte. </w:t>
      </w:r>
      <w:r w:rsidRPr="007F3D68">
        <w:rPr>
          <w:rFonts w:ascii="Cambria" w:hAnsi="Cambria"/>
          <w:sz w:val="20"/>
          <w:szCs w:val="20"/>
          <w:lang w:val="es-AR"/>
        </w:rPr>
        <w:t>La iniciativa 5100, presentada el 6 de julio de 2016 pretende aprobar la ley de abolición de la pena de muerte. Asimismo, la iniciativa 4941 presentada el 4 de febrero de 2016 pretende reactivarla mediante la regulación del procedimiento para la aplicación del recurso de gracia</w:t>
      </w:r>
      <w:r w:rsidRPr="007F3D68">
        <w:rPr>
          <w:rStyle w:val="FootnoteReference"/>
          <w:rFonts w:ascii="Cambria" w:hAnsi="Cambria"/>
          <w:sz w:val="20"/>
          <w:szCs w:val="20"/>
          <w:lang w:val="es-AR"/>
        </w:rPr>
        <w:footnoteReference w:id="50"/>
      </w:r>
      <w:r w:rsidRPr="007F3D68">
        <w:rPr>
          <w:rFonts w:ascii="Cambria" w:hAnsi="Cambria"/>
          <w:sz w:val="20"/>
          <w:szCs w:val="20"/>
          <w:lang w:val="es-AR"/>
        </w:rPr>
        <w:t>.</w:t>
      </w:r>
    </w:p>
    <w:p w:rsidR="004E102F" w:rsidRPr="007F3D68" w:rsidRDefault="004E102F" w:rsidP="004E10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sz w:val="20"/>
          <w:szCs w:val="20"/>
          <w:lang w:val="es-ES"/>
        </w:rPr>
      </w:pPr>
    </w:p>
    <w:p w:rsidR="005039D8" w:rsidRPr="007F3D68" w:rsidRDefault="009C1046" w:rsidP="00FC650A">
      <w:pPr>
        <w:pStyle w:val="Heading2"/>
        <w:numPr>
          <w:ilvl w:val="0"/>
          <w:numId w:val="74"/>
        </w:numPr>
        <w:ind w:left="1260" w:hanging="540"/>
        <w:rPr>
          <w:b w:val="0"/>
          <w:lang w:val="es-VE"/>
        </w:rPr>
      </w:pPr>
      <w:bookmarkStart w:id="83" w:name="_Toc495479551"/>
      <w:r w:rsidRPr="007F3D68">
        <w:rPr>
          <w:lang w:val="es-VE"/>
        </w:rPr>
        <w:t xml:space="preserve">La muerte de la </w:t>
      </w:r>
      <w:r w:rsidR="00AF07D9" w:rsidRPr="007F3D68">
        <w:rPr>
          <w:lang w:val="es-VE"/>
        </w:rPr>
        <w:t xml:space="preserve">presunta víctima en el marco del </w:t>
      </w:r>
      <w:r w:rsidR="005039D8" w:rsidRPr="007F3D68">
        <w:rPr>
          <w:lang w:val="es-VE"/>
        </w:rPr>
        <w:t>Plan Gavilán</w:t>
      </w:r>
      <w:bookmarkEnd w:id="83"/>
      <w:r w:rsidR="005039D8" w:rsidRPr="007F3D68">
        <w:rPr>
          <w:lang w:val="es-VE"/>
        </w:rPr>
        <w:t xml:space="preserve"> </w:t>
      </w:r>
      <w:r w:rsidR="00AB667A" w:rsidRPr="007F3D68">
        <w:rPr>
          <w:rFonts w:ascii="Cambria" w:hAnsi="Cambria" w:cs="Calibri"/>
          <w:lang w:val="es-VE"/>
        </w:rPr>
        <w:tab/>
      </w:r>
    </w:p>
    <w:p w:rsidR="00AB667A" w:rsidRPr="007F3D68" w:rsidRDefault="00AB667A" w:rsidP="00AB667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VE"/>
        </w:rPr>
      </w:pPr>
    </w:p>
    <w:p w:rsidR="00AB667A" w:rsidRPr="007F3D68" w:rsidRDefault="00AB667A" w:rsidP="00AB66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Cambria" w:eastAsia="Times New Roman" w:hAnsi="Cambria" w:cs="Courier New"/>
          <w:sz w:val="20"/>
          <w:szCs w:val="20"/>
          <w:lang w:val="es-ES"/>
        </w:rPr>
        <w:t>El</w:t>
      </w:r>
      <w:r w:rsidRPr="007F3D68">
        <w:rPr>
          <w:rFonts w:asciiTheme="majorHAnsi" w:hAnsiTheme="majorHAnsi"/>
          <w:sz w:val="20"/>
          <w:szCs w:val="20"/>
          <w:lang w:val="es-VE"/>
        </w:rPr>
        <w:t xml:space="preserve"> 22 de octubre de 2005, la presunta víctima junto con 18 personas más, se fugaron de la cárcel de máxima seguridad “El Infiernito</w:t>
      </w:r>
      <w:r w:rsidR="00FD45B6" w:rsidRPr="007F3D68">
        <w:rPr>
          <w:rFonts w:asciiTheme="majorHAnsi" w:hAnsiTheme="majorHAnsi"/>
          <w:sz w:val="20"/>
          <w:szCs w:val="20"/>
          <w:lang w:val="es-VE"/>
        </w:rPr>
        <w:t>”</w:t>
      </w:r>
      <w:r w:rsidRPr="007F3D68">
        <w:rPr>
          <w:rFonts w:asciiTheme="majorHAnsi" w:hAnsiTheme="majorHAnsi"/>
          <w:sz w:val="20"/>
          <w:szCs w:val="20"/>
          <w:lang w:val="es-VE"/>
        </w:rPr>
        <w:t xml:space="preserve"> quienes para tal fin cavaron un túnel de aproximadamente 120 metros de longitud desde el sector “A” hasta la malla electrizada de protección perimetral de las instalaciones. Según el Estado, los privados de libertad contaron con la complicidad de algunos elementos del sistema penitenciario</w:t>
      </w:r>
      <w:r w:rsidRPr="007F3D68">
        <w:rPr>
          <w:rFonts w:asciiTheme="majorHAnsi" w:hAnsiTheme="majorHAnsi"/>
          <w:sz w:val="20"/>
          <w:szCs w:val="20"/>
          <w:vertAlign w:val="superscript"/>
        </w:rPr>
        <w:footnoteReference w:id="51"/>
      </w:r>
      <w:r w:rsidRPr="007F3D68">
        <w:rPr>
          <w:rFonts w:asciiTheme="majorHAnsi" w:hAnsiTheme="majorHAnsi"/>
          <w:sz w:val="20"/>
          <w:szCs w:val="20"/>
          <w:lang w:val="es-VE"/>
        </w:rPr>
        <w:t>.</w:t>
      </w:r>
    </w:p>
    <w:p w:rsidR="00AB667A" w:rsidRPr="007F3D68" w:rsidRDefault="00AB667A" w:rsidP="00AB667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eastAsia="Times New Roman" w:hAnsiTheme="majorHAnsi" w:cs="Courier New"/>
          <w:sz w:val="20"/>
          <w:szCs w:val="20"/>
          <w:bdr w:val="none" w:sz="0" w:space="0" w:color="auto"/>
          <w:lang w:val="es-VE"/>
        </w:rPr>
      </w:pPr>
    </w:p>
    <w:p w:rsidR="00AB667A" w:rsidRPr="005935D2" w:rsidRDefault="00AB667A" w:rsidP="00AB66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t>En la misma fecha, el Estado puso en marcha la “Operación Gavilán” con el objetivo de “desarrollar la búsqueda y recaptura de estos peligrosos delincuentes”. Dicho plan implicó la organización de ocho equipos de búsqueda, estuvo dirigido por el Comisario de la Policía Nacional Civil, Víctor Hugo Soto Diéguez y participaron 16 miembros de la policía. En cuanto al uso de la fuerza, la copia del plan indica que para el uso de las armas de fuego deben tenerse presentes las normas establecidas en el artículo 24 del Código Penal en vigencia, como causas de justificación: la legítima defensa, el estado de necesidad y el legítimo ejercicio de un derecho</w:t>
      </w:r>
      <w:r w:rsidRPr="007F3D68">
        <w:rPr>
          <w:rFonts w:asciiTheme="majorHAnsi" w:hAnsiTheme="majorHAnsi"/>
          <w:sz w:val="20"/>
          <w:szCs w:val="20"/>
          <w:vertAlign w:val="superscript"/>
          <w:lang w:val="es-VE"/>
        </w:rPr>
        <w:footnoteReference w:id="52"/>
      </w:r>
      <w:r w:rsidRPr="007F3D68">
        <w:rPr>
          <w:rFonts w:asciiTheme="majorHAnsi" w:hAnsiTheme="majorHAnsi"/>
          <w:sz w:val="20"/>
          <w:szCs w:val="20"/>
          <w:lang w:val="es-VE"/>
        </w:rPr>
        <w:t>.</w:t>
      </w:r>
    </w:p>
    <w:p w:rsidR="00AB667A" w:rsidRPr="007F3D68" w:rsidRDefault="00AB667A" w:rsidP="009A44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lastRenderedPageBreak/>
        <w:t>Según informó el Estado en el marco de otro asunto, en dicho operativo se recapturó a nueve prófugos</w:t>
      </w:r>
      <w:r w:rsidRPr="007F3D68">
        <w:rPr>
          <w:rStyle w:val="FootnoteReference"/>
          <w:rFonts w:asciiTheme="majorHAnsi" w:hAnsiTheme="majorHAnsi"/>
          <w:sz w:val="20"/>
          <w:szCs w:val="20"/>
          <w:lang w:val="es-VE"/>
        </w:rPr>
        <w:footnoteReference w:id="53"/>
      </w:r>
      <w:r w:rsidRPr="007F3D68">
        <w:rPr>
          <w:rFonts w:asciiTheme="majorHAnsi" w:hAnsiTheme="majorHAnsi"/>
          <w:sz w:val="20"/>
          <w:szCs w:val="20"/>
          <w:lang w:val="es-VE"/>
        </w:rPr>
        <w:t>, quedando pendiente la recaptura de tres fugados y “por las circunstancias que se dieron en los operativos fallecieron 7 prófugos”</w:t>
      </w:r>
      <w:r w:rsidRPr="007F3D68">
        <w:rPr>
          <w:rStyle w:val="FootnoteReference"/>
          <w:rFonts w:asciiTheme="majorHAnsi" w:hAnsiTheme="majorHAnsi"/>
          <w:sz w:val="20"/>
          <w:szCs w:val="20"/>
          <w:lang w:val="es-VE"/>
        </w:rPr>
        <w:footnoteReference w:id="54"/>
      </w:r>
      <w:r w:rsidRPr="007F3D68">
        <w:rPr>
          <w:rFonts w:asciiTheme="majorHAnsi" w:hAnsiTheme="majorHAnsi"/>
          <w:sz w:val="20"/>
          <w:szCs w:val="20"/>
          <w:lang w:val="es-VE"/>
        </w:rPr>
        <w:t>.</w:t>
      </w:r>
      <w:r w:rsidRPr="007F3D68">
        <w:rPr>
          <w:rFonts w:asciiTheme="majorHAnsi" w:eastAsia="Times New Roman" w:hAnsiTheme="majorHAnsi" w:cs="Courier New"/>
          <w:sz w:val="20"/>
          <w:szCs w:val="20"/>
          <w:bdr w:val="none" w:sz="0" w:space="0" w:color="auto"/>
          <w:lang w:val="es-VE"/>
        </w:rPr>
        <w:t xml:space="preserve"> </w:t>
      </w:r>
    </w:p>
    <w:p w:rsidR="00AB667A" w:rsidRPr="007F3D68" w:rsidRDefault="00AB667A" w:rsidP="00AB667A">
      <w:pPr>
        <w:pStyle w:val="ListParagraph"/>
        <w:rPr>
          <w:rFonts w:asciiTheme="majorHAnsi" w:hAnsiTheme="majorHAnsi"/>
          <w:sz w:val="20"/>
          <w:szCs w:val="20"/>
          <w:lang w:val="es-VE"/>
        </w:rPr>
      </w:pPr>
    </w:p>
    <w:p w:rsidR="00AB667A" w:rsidRPr="007F3D68" w:rsidRDefault="00AB667A" w:rsidP="00AB66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t>El 8 de diciembre de 2006 se encontró el cuerpo sin vida de Tirso Román Valenzuela Ávila en la ciudad de la Gomera, departamento de Escuintla</w:t>
      </w:r>
      <w:r w:rsidRPr="007F3D68">
        <w:rPr>
          <w:rStyle w:val="FootnoteReference"/>
          <w:rFonts w:asciiTheme="majorHAnsi" w:hAnsiTheme="majorHAnsi"/>
          <w:sz w:val="20"/>
          <w:szCs w:val="20"/>
          <w:lang w:val="es-VE"/>
        </w:rPr>
        <w:footnoteReference w:id="55"/>
      </w:r>
      <w:r w:rsidRPr="007F3D68">
        <w:rPr>
          <w:rFonts w:asciiTheme="majorHAnsi" w:hAnsiTheme="majorHAnsi"/>
          <w:sz w:val="20"/>
          <w:szCs w:val="20"/>
          <w:lang w:val="es-VE"/>
        </w:rPr>
        <w:t>.</w:t>
      </w:r>
      <w:bookmarkStart w:id="84" w:name="_Toc423514424"/>
      <w:bookmarkStart w:id="85" w:name="_Toc433115991"/>
      <w:bookmarkStart w:id="86" w:name="_Toc444958132"/>
      <w:bookmarkStart w:id="87" w:name="_Toc457824495"/>
      <w:r w:rsidR="00CC3DA8">
        <w:rPr>
          <w:rFonts w:asciiTheme="majorHAnsi" w:hAnsiTheme="majorHAnsi"/>
          <w:sz w:val="20"/>
          <w:szCs w:val="20"/>
          <w:lang w:val="es-VE"/>
        </w:rPr>
        <w:t xml:space="preserve"> </w:t>
      </w:r>
      <w:r w:rsidR="0001417B" w:rsidRPr="007F3D68">
        <w:rPr>
          <w:rFonts w:asciiTheme="majorHAnsi" w:hAnsiTheme="majorHAnsi"/>
          <w:sz w:val="20"/>
          <w:szCs w:val="20"/>
          <w:lang w:val="es-VE"/>
        </w:rPr>
        <w:t>Según denunciaron</w:t>
      </w:r>
      <w:r w:rsidR="00F50CA8" w:rsidRPr="007F3D68">
        <w:rPr>
          <w:rFonts w:asciiTheme="majorHAnsi" w:hAnsiTheme="majorHAnsi"/>
          <w:sz w:val="20"/>
          <w:szCs w:val="20"/>
          <w:lang w:val="es-VE"/>
        </w:rPr>
        <w:t xml:space="preserve"> </w:t>
      </w:r>
      <w:r w:rsidR="0001417B" w:rsidRPr="007F3D68">
        <w:rPr>
          <w:rFonts w:asciiTheme="majorHAnsi" w:hAnsiTheme="majorHAnsi"/>
          <w:sz w:val="20"/>
          <w:szCs w:val="20"/>
          <w:lang w:val="es-VE"/>
        </w:rPr>
        <w:t>los</w:t>
      </w:r>
      <w:r w:rsidR="00F50CA8" w:rsidRPr="007F3D68">
        <w:rPr>
          <w:rFonts w:asciiTheme="majorHAnsi" w:hAnsiTheme="majorHAnsi"/>
          <w:sz w:val="20"/>
          <w:szCs w:val="20"/>
          <w:lang w:val="es-VE"/>
        </w:rPr>
        <w:t xml:space="preserve"> peticionario</w:t>
      </w:r>
      <w:r w:rsidR="0001417B" w:rsidRPr="007F3D68">
        <w:rPr>
          <w:rFonts w:asciiTheme="majorHAnsi" w:hAnsiTheme="majorHAnsi"/>
          <w:sz w:val="20"/>
          <w:szCs w:val="20"/>
          <w:lang w:val="es-VE"/>
        </w:rPr>
        <w:t>s</w:t>
      </w:r>
      <w:r w:rsidR="00F50CA8" w:rsidRPr="007F3D68">
        <w:rPr>
          <w:rFonts w:asciiTheme="majorHAnsi" w:hAnsiTheme="majorHAnsi"/>
          <w:sz w:val="20"/>
          <w:szCs w:val="20"/>
          <w:lang w:val="es-VE"/>
        </w:rPr>
        <w:t>, la presunta víctima fue ejecutada extrajudi</w:t>
      </w:r>
      <w:r w:rsidR="0023335B" w:rsidRPr="007F3D68">
        <w:rPr>
          <w:rFonts w:asciiTheme="majorHAnsi" w:hAnsiTheme="majorHAnsi"/>
          <w:sz w:val="20"/>
          <w:szCs w:val="20"/>
          <w:lang w:val="es-VE"/>
        </w:rPr>
        <w:t>cialmente por miembros del Servicio de Investigación Criminal</w:t>
      </w:r>
      <w:r w:rsidR="00F50CA8" w:rsidRPr="007F3D68">
        <w:rPr>
          <w:rFonts w:asciiTheme="majorHAnsi" w:hAnsiTheme="majorHAnsi"/>
          <w:sz w:val="20"/>
          <w:szCs w:val="20"/>
          <w:lang w:val="es-VE"/>
        </w:rPr>
        <w:t>, en el marco del “Plan Gavilán”.</w:t>
      </w:r>
      <w:r w:rsidR="0001417B" w:rsidRPr="007F3D68">
        <w:rPr>
          <w:rFonts w:asciiTheme="majorHAnsi" w:hAnsiTheme="majorHAnsi"/>
          <w:sz w:val="20"/>
          <w:szCs w:val="20"/>
          <w:lang w:val="es-VE"/>
        </w:rPr>
        <w:t xml:space="preserve"> Los peticionarios refirieron que </w:t>
      </w:r>
      <w:r w:rsidR="00F50CA8" w:rsidRPr="007F3D68">
        <w:rPr>
          <w:rFonts w:asciiTheme="majorHAnsi" w:hAnsiTheme="majorHAnsi"/>
          <w:sz w:val="20"/>
          <w:szCs w:val="20"/>
          <w:lang w:val="es-VE"/>
        </w:rPr>
        <w:t xml:space="preserve">el cadáver de Tirso Román Valenzuela no fue entregado a los familiares. Según informaron, en la morgue de Santa Lucía </w:t>
      </w:r>
      <w:proofErr w:type="spellStart"/>
      <w:r w:rsidR="00F50CA8" w:rsidRPr="007F3D68">
        <w:rPr>
          <w:rFonts w:asciiTheme="majorHAnsi" w:hAnsiTheme="majorHAnsi"/>
          <w:sz w:val="20"/>
          <w:szCs w:val="20"/>
          <w:lang w:val="es-VE"/>
        </w:rPr>
        <w:t>Cotzumalguapa</w:t>
      </w:r>
      <w:proofErr w:type="spellEnd"/>
      <w:r w:rsidR="00F50CA8" w:rsidRPr="007F3D68">
        <w:rPr>
          <w:rFonts w:asciiTheme="majorHAnsi" w:hAnsiTheme="majorHAnsi"/>
          <w:sz w:val="20"/>
          <w:szCs w:val="20"/>
          <w:lang w:val="es-VE"/>
        </w:rPr>
        <w:t xml:space="preserve"> les indicaron que “no entregaban el cuerpo por el record delictivo que tenía y porque tenían que realizar otras investigaciones sobre su cadáver</w:t>
      </w:r>
      <w:r w:rsidR="00180466" w:rsidRPr="007F3D68">
        <w:rPr>
          <w:rFonts w:asciiTheme="majorHAnsi" w:hAnsiTheme="majorHAnsi"/>
          <w:sz w:val="20"/>
          <w:szCs w:val="20"/>
          <w:lang w:val="es-VE"/>
        </w:rPr>
        <w:t>”</w:t>
      </w:r>
      <w:r w:rsidR="00F50CA8" w:rsidRPr="007F3D68">
        <w:rPr>
          <w:rStyle w:val="FootnoteReference"/>
          <w:rFonts w:asciiTheme="majorHAnsi" w:hAnsiTheme="majorHAnsi"/>
          <w:sz w:val="20"/>
          <w:szCs w:val="20"/>
          <w:lang w:val="es-VE"/>
        </w:rPr>
        <w:footnoteReference w:id="56"/>
      </w:r>
      <w:r w:rsidR="00F50CA8" w:rsidRPr="007F3D68">
        <w:rPr>
          <w:rFonts w:asciiTheme="majorHAnsi" w:hAnsiTheme="majorHAnsi"/>
          <w:sz w:val="20"/>
          <w:szCs w:val="20"/>
          <w:lang w:val="es-VE"/>
        </w:rPr>
        <w:t xml:space="preserve">. </w:t>
      </w:r>
    </w:p>
    <w:p w:rsidR="00AB667A" w:rsidRPr="007F3D68" w:rsidRDefault="00AB667A" w:rsidP="00AB667A">
      <w:pPr>
        <w:pStyle w:val="ListParagraph"/>
        <w:rPr>
          <w:rFonts w:asciiTheme="majorHAnsi" w:hAnsiTheme="majorHAnsi"/>
          <w:sz w:val="20"/>
          <w:szCs w:val="20"/>
          <w:lang w:val="es-VE"/>
        </w:rPr>
      </w:pPr>
    </w:p>
    <w:p w:rsidR="0049399E" w:rsidRPr="007F3D68" w:rsidRDefault="00F50CA8" w:rsidP="004939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t>El Estado</w:t>
      </w:r>
      <w:r w:rsidR="00180466" w:rsidRPr="007F3D68">
        <w:rPr>
          <w:rFonts w:asciiTheme="majorHAnsi" w:hAnsiTheme="majorHAnsi"/>
          <w:sz w:val="20"/>
          <w:szCs w:val="20"/>
          <w:lang w:val="es-VE"/>
        </w:rPr>
        <w:t>,</w:t>
      </w:r>
      <w:r w:rsidRPr="007F3D68">
        <w:rPr>
          <w:rFonts w:asciiTheme="majorHAnsi" w:hAnsiTheme="majorHAnsi"/>
          <w:sz w:val="20"/>
          <w:szCs w:val="20"/>
          <w:lang w:val="es-VE"/>
        </w:rPr>
        <w:t xml:space="preserve"> por su parte, indicó que su principal objetivo es aclarar la</w:t>
      </w:r>
      <w:r w:rsidR="00AB667A" w:rsidRPr="007F3D68">
        <w:rPr>
          <w:rFonts w:asciiTheme="majorHAnsi" w:hAnsiTheme="majorHAnsi"/>
          <w:sz w:val="20"/>
          <w:szCs w:val="20"/>
          <w:lang w:val="es-VE"/>
        </w:rPr>
        <w:t>s circunstancias de la</w:t>
      </w:r>
      <w:r w:rsidRPr="007F3D68">
        <w:rPr>
          <w:rFonts w:asciiTheme="majorHAnsi" w:hAnsiTheme="majorHAnsi"/>
          <w:sz w:val="20"/>
          <w:szCs w:val="20"/>
          <w:lang w:val="es-VE"/>
        </w:rPr>
        <w:t xml:space="preserve"> muerte de</w:t>
      </w:r>
      <w:r w:rsidR="0075056B" w:rsidRPr="007F3D68">
        <w:rPr>
          <w:rFonts w:asciiTheme="majorHAnsi" w:hAnsiTheme="majorHAnsi"/>
          <w:sz w:val="20"/>
          <w:szCs w:val="20"/>
          <w:lang w:val="es-VE"/>
        </w:rPr>
        <w:t xml:space="preserve"> </w:t>
      </w:r>
      <w:r w:rsidR="0019712F" w:rsidRPr="007F3D68">
        <w:rPr>
          <w:rFonts w:asciiTheme="majorHAnsi" w:hAnsiTheme="majorHAnsi"/>
          <w:sz w:val="20"/>
          <w:szCs w:val="20"/>
          <w:lang w:val="es-VE"/>
        </w:rPr>
        <w:t>la presunta víctima</w:t>
      </w:r>
      <w:r w:rsidR="0075056B" w:rsidRPr="007F3D68">
        <w:rPr>
          <w:rFonts w:asciiTheme="majorHAnsi" w:hAnsiTheme="majorHAnsi"/>
          <w:sz w:val="20"/>
          <w:szCs w:val="20"/>
          <w:lang w:val="es-VE"/>
        </w:rPr>
        <w:t xml:space="preserve"> y en virtud de ello</w:t>
      </w:r>
      <w:r w:rsidRPr="007F3D68">
        <w:rPr>
          <w:rFonts w:asciiTheme="majorHAnsi" w:hAnsiTheme="majorHAnsi"/>
          <w:sz w:val="20"/>
          <w:szCs w:val="20"/>
          <w:lang w:val="es-VE"/>
        </w:rPr>
        <w:t xml:space="preserve"> realizó una serie de diligencias de investigación.</w:t>
      </w:r>
      <w:r w:rsidR="009D5F08" w:rsidRPr="007F3D68">
        <w:rPr>
          <w:rFonts w:asciiTheme="majorHAnsi" w:hAnsiTheme="majorHAnsi"/>
          <w:sz w:val="20"/>
          <w:szCs w:val="20"/>
          <w:lang w:val="es-VE"/>
        </w:rPr>
        <w:t xml:space="preserve"> </w:t>
      </w:r>
      <w:r w:rsidRPr="007F3D68">
        <w:rPr>
          <w:rFonts w:asciiTheme="majorHAnsi" w:hAnsiTheme="majorHAnsi"/>
          <w:sz w:val="20"/>
          <w:szCs w:val="20"/>
          <w:lang w:val="es-VE"/>
        </w:rPr>
        <w:t>En particular informó que el 2 de marzo de 2009 estableció quien es el propietario de la motocicleta ut</w:t>
      </w:r>
      <w:r w:rsidR="007120E3" w:rsidRPr="007F3D68">
        <w:rPr>
          <w:rFonts w:asciiTheme="majorHAnsi" w:hAnsiTheme="majorHAnsi"/>
          <w:sz w:val="20"/>
          <w:szCs w:val="20"/>
          <w:lang w:val="es-VE"/>
        </w:rPr>
        <w:t>ilizada en el hecho donde perdieron</w:t>
      </w:r>
      <w:r w:rsidRPr="007F3D68">
        <w:rPr>
          <w:rFonts w:asciiTheme="majorHAnsi" w:hAnsiTheme="majorHAnsi"/>
          <w:sz w:val="20"/>
          <w:szCs w:val="20"/>
          <w:lang w:val="es-VE"/>
        </w:rPr>
        <w:t xml:space="preserve"> la vida Tirso Román Valenzuela Ávila y Emilio Martínez Franco. Agregó que solicitó a la Dirección General de la Policía Nacional Civil la lista de los agentes de la Policía asignados a la Comisaría 31, la cual proveyó la información. </w:t>
      </w:r>
    </w:p>
    <w:p w:rsidR="0049399E" w:rsidRPr="007F3D68" w:rsidRDefault="0049399E" w:rsidP="0049399E">
      <w:pPr>
        <w:pStyle w:val="ListParagraph"/>
        <w:rPr>
          <w:rFonts w:asciiTheme="majorHAnsi" w:hAnsiTheme="majorHAnsi"/>
          <w:sz w:val="20"/>
          <w:szCs w:val="20"/>
          <w:lang w:val="es-VE"/>
        </w:rPr>
      </w:pPr>
    </w:p>
    <w:p w:rsidR="0049399E" w:rsidRPr="007F3D68" w:rsidRDefault="00FE2DE7" w:rsidP="004939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t xml:space="preserve">La Comisión toma nota que conforme información de público conocimiento el Estado guatemalteco realizó ciertas investigaciones penales para deducir responsabilidades derivadas de las consecuencias del operativo y la muerte de algunos privados de libertad que se fugaron de la cárcel “El Infiernito”. En particular, según información de público conocimiento el 8 de agosto de 2013, el Tribunal Primero de Mayor Riesgo B emitió sentencia condenatoria en contra de Víctor Manuel Ramos Molina y Axel Arnoldo Martínez </w:t>
      </w:r>
      <w:proofErr w:type="spellStart"/>
      <w:r w:rsidRPr="007F3D68">
        <w:rPr>
          <w:rFonts w:asciiTheme="majorHAnsi" w:hAnsiTheme="majorHAnsi"/>
          <w:sz w:val="20"/>
          <w:szCs w:val="20"/>
          <w:lang w:val="es-VE"/>
        </w:rPr>
        <w:t>Arreaza</w:t>
      </w:r>
      <w:proofErr w:type="spellEnd"/>
      <w:r w:rsidRPr="007F3D68">
        <w:rPr>
          <w:rFonts w:asciiTheme="majorHAnsi" w:hAnsiTheme="majorHAnsi"/>
          <w:sz w:val="20"/>
          <w:szCs w:val="20"/>
          <w:lang w:val="es-VE"/>
        </w:rPr>
        <w:t xml:space="preserve"> por la ejecución extrajudicial de Edwin Estuardo Santacruz, una de las personas fugadas de la cárcel “El infiernito”</w:t>
      </w:r>
      <w:r w:rsidRPr="007F3D68">
        <w:rPr>
          <w:rStyle w:val="FootnoteReference"/>
          <w:rFonts w:asciiTheme="majorHAnsi" w:hAnsiTheme="majorHAnsi"/>
          <w:sz w:val="20"/>
          <w:szCs w:val="20"/>
          <w:lang w:val="es-VE"/>
        </w:rPr>
        <w:footnoteReference w:id="57"/>
      </w:r>
      <w:r w:rsidRPr="007F3D68">
        <w:rPr>
          <w:rFonts w:asciiTheme="majorHAnsi" w:hAnsiTheme="majorHAnsi"/>
          <w:sz w:val="20"/>
          <w:szCs w:val="20"/>
          <w:lang w:val="es-VE"/>
        </w:rPr>
        <w:t>. En la misma fecha, condenó a 22 de años de cárcel por el delito de ejecución extrajudicial de reos en las cárceles de Pavón e Infiernito ocurridas entre 2005 y 2006, a Víctor Hugo Soto Diéguez, ex jefe de Investigación Criminal de la Policía Nacional Civil</w:t>
      </w:r>
      <w:r w:rsidRPr="007F3D68">
        <w:rPr>
          <w:rStyle w:val="FootnoteReference"/>
          <w:rFonts w:asciiTheme="majorHAnsi" w:hAnsiTheme="majorHAnsi"/>
          <w:sz w:val="20"/>
          <w:szCs w:val="20"/>
          <w:lang w:val="es-VE"/>
        </w:rPr>
        <w:footnoteReference w:id="58"/>
      </w:r>
      <w:r w:rsidRPr="007F3D68">
        <w:rPr>
          <w:rFonts w:asciiTheme="majorHAnsi" w:hAnsiTheme="majorHAnsi"/>
          <w:sz w:val="20"/>
          <w:szCs w:val="20"/>
          <w:lang w:val="es-VE"/>
        </w:rPr>
        <w:t xml:space="preserve"> .</w:t>
      </w:r>
      <w:r w:rsidR="00FD45B6" w:rsidRPr="007F3D68">
        <w:rPr>
          <w:rFonts w:asciiTheme="majorHAnsi" w:hAnsiTheme="majorHAnsi"/>
          <w:sz w:val="20"/>
          <w:szCs w:val="20"/>
          <w:lang w:val="es-VE"/>
        </w:rPr>
        <w:t xml:space="preserve"> De la información disponible</w:t>
      </w:r>
      <w:r w:rsidR="006C56CA" w:rsidRPr="007F3D68">
        <w:rPr>
          <w:rFonts w:asciiTheme="majorHAnsi" w:hAnsiTheme="majorHAnsi"/>
          <w:sz w:val="20"/>
          <w:szCs w:val="20"/>
          <w:lang w:val="es-VE"/>
        </w:rPr>
        <w:t>, la CIDH</w:t>
      </w:r>
      <w:r w:rsidR="00FD45B6" w:rsidRPr="007F3D68">
        <w:rPr>
          <w:rFonts w:asciiTheme="majorHAnsi" w:hAnsiTheme="majorHAnsi"/>
          <w:sz w:val="20"/>
          <w:szCs w:val="20"/>
          <w:lang w:val="es-VE"/>
        </w:rPr>
        <w:t xml:space="preserve"> entiende que Tirso Román Valenzuela no se encuentra dentro de los reos mencionados.</w:t>
      </w:r>
    </w:p>
    <w:p w:rsidR="0049399E" w:rsidRPr="007F3D68" w:rsidRDefault="0049399E" w:rsidP="0049399E">
      <w:pPr>
        <w:pStyle w:val="ListParagraph"/>
        <w:rPr>
          <w:rFonts w:asciiTheme="majorHAnsi" w:hAnsiTheme="majorHAnsi"/>
          <w:sz w:val="20"/>
          <w:szCs w:val="20"/>
          <w:lang w:val="es-VE"/>
        </w:rPr>
      </w:pPr>
    </w:p>
    <w:p w:rsidR="0049399E" w:rsidRPr="007F3D68" w:rsidRDefault="00FE2DE7" w:rsidP="004939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t>Según información de la Comisión Internacional contra la Impunidad en Guatemala, el Tribunal de Mayor Riesgo B se refirió a las muertes de los prófugos de la cárcel “El Infiernito” y señaló que “fue evidente la injerencia que hubo de las autoridades en las acciones realizadas para la ejecución extrajudicial de los prófugos” y agregó que “las investigaciones determinaron que se creó una estructura paralela dentro del Estado que tuvo el poder de ejecutar extrajudicialmente a quien ellos consideraban ‘lacras’ y enemigos de la sociedad”. Dicho Tribunal agregó que “este grupo utilizó todo el poder y la maquinaria del Estado para llevar a cabo su actuar delictivo, y al mismo tiempo lograr la impunidad de sus actos a sabiendas de que los mismos estaban fuera de la ley”</w:t>
      </w:r>
      <w:r w:rsidRPr="007F3D68">
        <w:rPr>
          <w:rStyle w:val="FootnoteReference"/>
          <w:rFonts w:asciiTheme="majorHAnsi" w:hAnsiTheme="majorHAnsi"/>
          <w:sz w:val="20"/>
          <w:szCs w:val="20"/>
          <w:lang w:val="es-VE"/>
        </w:rPr>
        <w:footnoteReference w:id="59"/>
      </w:r>
      <w:r w:rsidRPr="007F3D68">
        <w:rPr>
          <w:rFonts w:asciiTheme="majorHAnsi" w:hAnsiTheme="majorHAnsi"/>
          <w:sz w:val="20"/>
          <w:szCs w:val="20"/>
          <w:lang w:val="es-VE"/>
        </w:rPr>
        <w:t>.</w:t>
      </w:r>
      <w:r w:rsidRPr="007F3D68">
        <w:rPr>
          <w:rFonts w:asciiTheme="majorHAnsi" w:hAnsiTheme="majorHAnsi"/>
          <w:i/>
          <w:sz w:val="20"/>
          <w:szCs w:val="20"/>
          <w:lang w:val="es-VE"/>
        </w:rPr>
        <w:t xml:space="preserve"> </w:t>
      </w:r>
      <w:r w:rsidRPr="007F3D68">
        <w:rPr>
          <w:rFonts w:asciiTheme="majorHAnsi" w:hAnsiTheme="majorHAnsi"/>
          <w:sz w:val="20"/>
          <w:szCs w:val="20"/>
          <w:lang w:val="es-VE"/>
        </w:rPr>
        <w:t>También se encuentra sometido a proceso penal en España, por los hechos mencionados, el ex Ministro de Gobernación en el momento en que ocurrieron los hechos</w:t>
      </w:r>
      <w:r w:rsidRPr="007F3D68">
        <w:rPr>
          <w:rStyle w:val="FootnoteReference"/>
          <w:rFonts w:asciiTheme="majorHAnsi" w:hAnsiTheme="majorHAnsi"/>
          <w:sz w:val="20"/>
          <w:szCs w:val="20"/>
          <w:lang w:val="es-VE"/>
        </w:rPr>
        <w:footnoteReference w:id="60"/>
      </w:r>
      <w:r w:rsidRPr="007F3D68">
        <w:rPr>
          <w:rFonts w:asciiTheme="majorHAnsi" w:hAnsiTheme="majorHAnsi"/>
          <w:sz w:val="20"/>
          <w:szCs w:val="20"/>
          <w:lang w:val="es-VE"/>
        </w:rPr>
        <w:t xml:space="preserve">. </w:t>
      </w:r>
    </w:p>
    <w:p w:rsidR="0049399E" w:rsidRPr="007F3D68" w:rsidRDefault="0049399E" w:rsidP="0049399E">
      <w:pPr>
        <w:pStyle w:val="ListParagraph"/>
        <w:rPr>
          <w:rFonts w:asciiTheme="majorHAnsi" w:hAnsiTheme="majorHAnsi"/>
          <w:sz w:val="20"/>
          <w:szCs w:val="20"/>
          <w:lang w:val="es-VE"/>
        </w:rPr>
      </w:pPr>
    </w:p>
    <w:p w:rsidR="00FE2DE7" w:rsidRPr="007F3D68" w:rsidRDefault="00FE2DE7" w:rsidP="005F27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7F3D68">
        <w:rPr>
          <w:rFonts w:asciiTheme="majorHAnsi" w:hAnsiTheme="majorHAnsi"/>
          <w:sz w:val="20"/>
          <w:szCs w:val="20"/>
          <w:lang w:val="es-VE"/>
        </w:rPr>
        <w:t xml:space="preserve">La Comisión observa que en el mismo sentido, el Relator Especial sobre las ejecuciones extrajudiciales, sumarias o arbitrarias a propósito de su visita a Guatemala entre el 21 y el 25 de agosto de 2006, denunció la existencia de grupos dedicados a la limpieza social en la Policía Nacional Civil. En sus </w:t>
      </w:r>
      <w:r w:rsidRPr="007F3D68">
        <w:rPr>
          <w:rFonts w:asciiTheme="majorHAnsi" w:hAnsiTheme="majorHAnsi"/>
          <w:sz w:val="20"/>
          <w:szCs w:val="20"/>
          <w:lang w:val="es-VE"/>
        </w:rPr>
        <w:lastRenderedPageBreak/>
        <w:t>palabras: “la limpieza social es algo más que la actuación de unos pocos agentes corruptos” y agregó que todavía “siguen funcionando grupos dedicados a la limpieza social en la Policía Nacional Civil”</w:t>
      </w:r>
      <w:r w:rsidRPr="007F3D68">
        <w:rPr>
          <w:rStyle w:val="FootnoteReference"/>
          <w:rFonts w:asciiTheme="majorHAnsi" w:hAnsiTheme="majorHAnsi"/>
          <w:sz w:val="20"/>
          <w:szCs w:val="20"/>
          <w:lang w:val="es-VE"/>
        </w:rPr>
        <w:footnoteReference w:id="61"/>
      </w:r>
      <w:r w:rsidRPr="007F3D68">
        <w:rPr>
          <w:rFonts w:asciiTheme="majorHAnsi" w:hAnsiTheme="majorHAnsi"/>
          <w:sz w:val="20"/>
          <w:szCs w:val="20"/>
          <w:lang w:val="es-VE"/>
        </w:rPr>
        <w:t>. También refirió que “los incidentes de limpieza social no son investigados eficazmente, de modo que los datos oficiales no dan una idea de su prevalencia”</w:t>
      </w:r>
      <w:r w:rsidRPr="007F3D68">
        <w:rPr>
          <w:rStyle w:val="FootnoteReference"/>
          <w:rFonts w:asciiTheme="majorHAnsi" w:hAnsiTheme="majorHAnsi"/>
          <w:sz w:val="20"/>
          <w:szCs w:val="20"/>
          <w:lang w:val="es-VE"/>
        </w:rPr>
        <w:footnoteReference w:id="62"/>
      </w:r>
      <w:r w:rsidRPr="007F3D68">
        <w:rPr>
          <w:lang w:val="es-VE"/>
        </w:rPr>
        <w:t>.</w:t>
      </w:r>
      <w:r w:rsidRPr="007F3D68">
        <w:rPr>
          <w:i/>
          <w:lang w:val="es-VE"/>
        </w:rPr>
        <w:t xml:space="preserve"> </w:t>
      </w:r>
    </w:p>
    <w:p w:rsidR="004719E4" w:rsidRPr="007F3D68" w:rsidRDefault="004719E4" w:rsidP="004719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VE"/>
        </w:rPr>
      </w:pPr>
    </w:p>
    <w:p w:rsidR="001D4C89" w:rsidRPr="007F3D68" w:rsidRDefault="001D4C89" w:rsidP="004719E4">
      <w:pPr>
        <w:pStyle w:val="Heading1"/>
        <w:numPr>
          <w:ilvl w:val="0"/>
          <w:numId w:val="55"/>
        </w:numPr>
        <w:tabs>
          <w:tab w:val="clear" w:pos="1440"/>
        </w:tabs>
        <w:ind w:left="1260" w:hanging="540"/>
      </w:pPr>
      <w:bookmarkStart w:id="88" w:name="_Toc475546054"/>
      <w:bookmarkStart w:id="89" w:name="_Toc495479552"/>
      <w:r w:rsidRPr="007F3D68">
        <w:t>ANALISIS DE DERECHO</w:t>
      </w:r>
      <w:bookmarkEnd w:id="84"/>
      <w:bookmarkEnd w:id="85"/>
      <w:bookmarkEnd w:id="86"/>
      <w:bookmarkEnd w:id="87"/>
      <w:bookmarkEnd w:id="88"/>
      <w:bookmarkEnd w:id="89"/>
      <w:r w:rsidRPr="007F3D68">
        <w:t xml:space="preserve"> </w:t>
      </w:r>
    </w:p>
    <w:p w:rsidR="00F236EB" w:rsidRPr="007F3D68" w:rsidRDefault="00F236EB" w:rsidP="005F27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eastAsia="Times New Roman" w:hAnsiTheme="majorHAnsi" w:cs="Courier New"/>
          <w:color w:val="212121"/>
          <w:sz w:val="20"/>
          <w:szCs w:val="20"/>
          <w:bdr w:val="none" w:sz="0" w:space="0" w:color="auto"/>
          <w:lang w:val="es-ES"/>
        </w:rPr>
      </w:pPr>
    </w:p>
    <w:p w:rsidR="00E30B91" w:rsidRPr="007F3D68" w:rsidRDefault="0044020E" w:rsidP="004939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 xml:space="preserve">Tomando en cuenta los alegatos de las partes y los hechos probados, la Comisión efectuará su análisis de derecho de la siguiente forma: A. Derechos a la vida, </w:t>
      </w:r>
      <w:r w:rsidR="00620CFD" w:rsidRPr="007F3D68">
        <w:rPr>
          <w:rFonts w:asciiTheme="majorHAnsi" w:hAnsiTheme="majorHAnsi"/>
          <w:sz w:val="20"/>
          <w:szCs w:val="20"/>
          <w:lang w:val="es-ES"/>
        </w:rPr>
        <w:t>principio de</w:t>
      </w:r>
      <w:r w:rsidR="00A832E5" w:rsidRPr="007F3D68">
        <w:rPr>
          <w:rFonts w:asciiTheme="majorHAnsi" w:hAnsiTheme="majorHAnsi"/>
          <w:sz w:val="20"/>
          <w:szCs w:val="20"/>
          <w:lang w:val="es-ES"/>
        </w:rPr>
        <w:t xml:space="preserve"> legalidad</w:t>
      </w:r>
      <w:r w:rsidR="007C1C83" w:rsidRPr="007F3D68">
        <w:rPr>
          <w:rFonts w:asciiTheme="majorHAnsi" w:hAnsiTheme="majorHAnsi"/>
          <w:sz w:val="20"/>
          <w:szCs w:val="20"/>
          <w:lang w:val="es-ES"/>
        </w:rPr>
        <w:t>,</w:t>
      </w:r>
      <w:r w:rsidR="00620CFD" w:rsidRPr="007F3D68">
        <w:rPr>
          <w:rFonts w:asciiTheme="majorHAnsi" w:hAnsiTheme="majorHAnsi"/>
          <w:sz w:val="20"/>
          <w:szCs w:val="20"/>
          <w:lang w:val="es-ES"/>
        </w:rPr>
        <w:t xml:space="preserve"> </w:t>
      </w:r>
      <w:r w:rsidRPr="007F3D68">
        <w:rPr>
          <w:rFonts w:asciiTheme="majorHAnsi" w:hAnsiTheme="majorHAnsi"/>
          <w:sz w:val="20"/>
          <w:szCs w:val="20"/>
          <w:lang w:val="es-ES"/>
        </w:rPr>
        <w:t>garantías judiciales y protección judicial en el marco del proceso que culminó con la imposición de la pena de muerte; B. Derecho a la integridad personal con respecto al fenómeno del “corredor de la muerte” y disposiciones relevantes de la CIPST; C. Derechos a la integridad personal, garantías judiciales y protección judicial respecto de la detención y la</w:t>
      </w:r>
      <w:r w:rsidR="00165264" w:rsidRPr="007F3D68">
        <w:rPr>
          <w:rFonts w:asciiTheme="majorHAnsi" w:hAnsiTheme="majorHAnsi"/>
          <w:sz w:val="20"/>
          <w:szCs w:val="20"/>
          <w:lang w:val="es-ES"/>
        </w:rPr>
        <w:t>s</w:t>
      </w:r>
      <w:r w:rsidRPr="007F3D68">
        <w:rPr>
          <w:rFonts w:asciiTheme="majorHAnsi" w:hAnsiTheme="majorHAnsi"/>
          <w:sz w:val="20"/>
          <w:szCs w:val="20"/>
          <w:lang w:val="es-ES"/>
        </w:rPr>
        <w:t xml:space="preserve"> alegada</w:t>
      </w:r>
      <w:r w:rsidR="0027748E" w:rsidRPr="007F3D68">
        <w:rPr>
          <w:rFonts w:asciiTheme="majorHAnsi" w:hAnsiTheme="majorHAnsi"/>
          <w:sz w:val="20"/>
          <w:szCs w:val="20"/>
          <w:lang w:val="es-ES"/>
        </w:rPr>
        <w:t>s</w:t>
      </w:r>
      <w:r w:rsidRPr="007F3D68">
        <w:rPr>
          <w:rFonts w:asciiTheme="majorHAnsi" w:hAnsiTheme="majorHAnsi"/>
          <w:sz w:val="20"/>
          <w:szCs w:val="20"/>
          <w:lang w:val="es-ES"/>
        </w:rPr>
        <w:t xml:space="preserve"> tortura</w:t>
      </w:r>
      <w:r w:rsidR="0027748E" w:rsidRPr="007F3D68">
        <w:rPr>
          <w:rFonts w:asciiTheme="majorHAnsi" w:hAnsiTheme="majorHAnsi"/>
          <w:sz w:val="20"/>
          <w:szCs w:val="20"/>
          <w:lang w:val="es-ES"/>
        </w:rPr>
        <w:t>s</w:t>
      </w:r>
      <w:r w:rsidRPr="007F3D68">
        <w:rPr>
          <w:rFonts w:asciiTheme="majorHAnsi" w:hAnsiTheme="majorHAnsi"/>
          <w:sz w:val="20"/>
          <w:szCs w:val="20"/>
          <w:lang w:val="es-ES"/>
        </w:rPr>
        <w:t xml:space="preserve"> y disposiciones relevantes de la CIPST; y D. Derechos a la vida, garantías judiciales y protección judicial respecto de la muerte.</w:t>
      </w:r>
      <w:r w:rsidR="00E30B91" w:rsidRPr="007F3D68">
        <w:rPr>
          <w:rFonts w:asciiTheme="majorHAnsi" w:hAnsiTheme="majorHAnsi"/>
          <w:sz w:val="20"/>
          <w:szCs w:val="20"/>
          <w:lang w:val="es-ES"/>
        </w:rPr>
        <w:t xml:space="preserve"> </w:t>
      </w:r>
    </w:p>
    <w:p w:rsidR="00D85874" w:rsidRPr="007F3D68" w:rsidRDefault="00D85874" w:rsidP="002A1D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260"/>
          <w:tab w:val="left" w:pos="1440"/>
          <w:tab w:val="num" w:pos="2040"/>
        </w:tabs>
        <w:ind w:left="720"/>
        <w:jc w:val="both"/>
        <w:rPr>
          <w:rFonts w:asciiTheme="majorHAnsi" w:hAnsiTheme="majorHAnsi"/>
          <w:sz w:val="20"/>
          <w:szCs w:val="20"/>
          <w:lang w:val="es-ES"/>
        </w:rPr>
      </w:pPr>
    </w:p>
    <w:p w:rsidR="00B50994" w:rsidRPr="007F3D68" w:rsidRDefault="00B50994" w:rsidP="00292A1B">
      <w:pPr>
        <w:pStyle w:val="Heading2"/>
        <w:numPr>
          <w:ilvl w:val="0"/>
          <w:numId w:val="77"/>
        </w:numPr>
        <w:ind w:left="1260" w:hanging="540"/>
      </w:pPr>
      <w:bookmarkStart w:id="90" w:name="_Toc495479553"/>
      <w:r w:rsidRPr="007F3D68">
        <w:t>Derechos a la vida</w:t>
      </w:r>
      <w:r w:rsidRPr="007F3D68">
        <w:rPr>
          <w:rStyle w:val="FootnoteReference"/>
          <w:rFonts w:asciiTheme="majorHAnsi" w:hAnsiTheme="majorHAnsi"/>
          <w:b w:val="0"/>
          <w:sz w:val="20"/>
          <w:lang w:val="es-ES"/>
        </w:rPr>
        <w:footnoteReference w:id="63"/>
      </w:r>
      <w:r w:rsidRPr="007F3D68">
        <w:t xml:space="preserve">, </w:t>
      </w:r>
      <w:r w:rsidR="00BC19C3" w:rsidRPr="007F3D68">
        <w:rPr>
          <w:lang w:val="es-ES"/>
        </w:rPr>
        <w:t>principio de legalidad</w:t>
      </w:r>
      <w:r w:rsidR="00BC19C3" w:rsidRPr="007F3D68">
        <w:rPr>
          <w:rStyle w:val="FootnoteReference"/>
          <w:rFonts w:ascii="Cambria" w:hAnsi="Cambria"/>
          <w:b w:val="0"/>
          <w:sz w:val="20"/>
          <w:lang w:val="es-CO"/>
        </w:rPr>
        <w:footnoteReference w:id="64"/>
      </w:r>
      <w:r w:rsidR="00BC19C3" w:rsidRPr="007F3D68">
        <w:rPr>
          <w:lang w:val="es-ES"/>
        </w:rPr>
        <w:t xml:space="preserve">, </w:t>
      </w:r>
      <w:r w:rsidRPr="007F3D68">
        <w:t>garantías judiciales</w:t>
      </w:r>
      <w:r w:rsidRPr="007F3D68">
        <w:rPr>
          <w:rStyle w:val="FootnoteReference"/>
          <w:rFonts w:asciiTheme="majorHAnsi" w:hAnsiTheme="majorHAnsi"/>
          <w:b w:val="0"/>
          <w:sz w:val="20"/>
          <w:lang w:val="es-ES"/>
        </w:rPr>
        <w:footnoteReference w:id="65"/>
      </w:r>
      <w:r w:rsidRPr="007F3D68">
        <w:t xml:space="preserve"> y protección judicial</w:t>
      </w:r>
      <w:r w:rsidRPr="007F3D68">
        <w:rPr>
          <w:rStyle w:val="FootnoteReference"/>
          <w:rFonts w:asciiTheme="majorHAnsi" w:hAnsiTheme="majorHAnsi"/>
          <w:b w:val="0"/>
          <w:sz w:val="20"/>
          <w:lang w:val="es-ES"/>
        </w:rPr>
        <w:footnoteReference w:id="66"/>
      </w:r>
      <w:r w:rsidRPr="007F3D68">
        <w:t xml:space="preserve"> en el marco del proceso que culminó con la imposición de la pena de muerte</w:t>
      </w:r>
      <w:bookmarkEnd w:id="90"/>
    </w:p>
    <w:p w:rsidR="00190CDC" w:rsidRPr="007F3D68" w:rsidRDefault="00D85874" w:rsidP="00292A1B">
      <w:pPr>
        <w:pStyle w:val="Heading3"/>
        <w:numPr>
          <w:ilvl w:val="0"/>
          <w:numId w:val="78"/>
        </w:numPr>
        <w:tabs>
          <w:tab w:val="left" w:pos="1260"/>
        </w:tabs>
        <w:ind w:hanging="1080"/>
        <w:rPr>
          <w:color w:val="auto"/>
          <w:sz w:val="20"/>
          <w:szCs w:val="20"/>
          <w:lang w:val="es-CO"/>
        </w:rPr>
      </w:pPr>
      <w:bookmarkStart w:id="91" w:name="_Toc469319780"/>
      <w:bookmarkStart w:id="92" w:name="_Toc475546056"/>
      <w:bookmarkStart w:id="93" w:name="_Toc495479554"/>
      <w:r w:rsidRPr="007F3D68">
        <w:rPr>
          <w:color w:val="auto"/>
          <w:sz w:val="20"/>
          <w:szCs w:val="20"/>
          <w:lang w:val="es-CO"/>
        </w:rPr>
        <w:t xml:space="preserve">Consideraciones </w:t>
      </w:r>
      <w:r w:rsidR="00253FE8" w:rsidRPr="007F3D68">
        <w:rPr>
          <w:color w:val="auto"/>
          <w:sz w:val="20"/>
          <w:szCs w:val="20"/>
          <w:lang w:val="es-CO"/>
        </w:rPr>
        <w:t>generales</w:t>
      </w:r>
      <w:r w:rsidRPr="007F3D68">
        <w:rPr>
          <w:color w:val="auto"/>
          <w:sz w:val="20"/>
          <w:szCs w:val="20"/>
          <w:lang w:val="es-CO"/>
        </w:rPr>
        <w:t xml:space="preserve"> sobre el estándar de análisis en </w:t>
      </w:r>
      <w:r w:rsidRPr="007F3D68">
        <w:rPr>
          <w:color w:val="auto"/>
          <w:sz w:val="20"/>
          <w:szCs w:val="20"/>
          <w:lang w:val="es-DO"/>
        </w:rPr>
        <w:t>casos</w:t>
      </w:r>
      <w:r w:rsidRPr="007F3D68">
        <w:rPr>
          <w:color w:val="auto"/>
          <w:sz w:val="20"/>
          <w:szCs w:val="20"/>
          <w:lang w:val="es-CO"/>
        </w:rPr>
        <w:t xml:space="preserve"> de pena de muerte</w:t>
      </w:r>
      <w:bookmarkEnd w:id="91"/>
      <w:bookmarkEnd w:id="92"/>
      <w:bookmarkEnd w:id="93"/>
    </w:p>
    <w:p w:rsidR="00190CDC" w:rsidRPr="007F3D68" w:rsidRDefault="00190CDC" w:rsidP="00190CDC">
      <w:pPr>
        <w:rPr>
          <w:lang w:val="es-CO"/>
        </w:rPr>
      </w:pPr>
    </w:p>
    <w:p w:rsidR="00292A1B" w:rsidRPr="00FB1E9C" w:rsidRDefault="00C42F74" w:rsidP="00FB1E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Cambria" w:hAnsi="Cambria"/>
          <w:sz w:val="20"/>
          <w:szCs w:val="20"/>
          <w:lang w:val="es-ES"/>
        </w:rPr>
        <w:t xml:space="preserve">La Comisión Interamericana considera pertinente reiterar sus pronunciamientos anteriores con respecto al escrutinio riguroso a ser utilizado en casos que </w:t>
      </w:r>
      <w:r w:rsidRPr="007F3D68">
        <w:rPr>
          <w:rFonts w:ascii="Cambria" w:hAnsi="Cambria"/>
          <w:bCs/>
          <w:sz w:val="20"/>
          <w:szCs w:val="20"/>
          <w:lang w:val="es-CO"/>
        </w:rPr>
        <w:t>involucran</w:t>
      </w:r>
      <w:r w:rsidRPr="007F3D68">
        <w:rPr>
          <w:rFonts w:ascii="Cambria" w:hAnsi="Cambria"/>
          <w:sz w:val="20"/>
          <w:szCs w:val="20"/>
          <w:lang w:val="es-ES"/>
        </w:rPr>
        <w:t xml:space="preserve"> la aplicación de la pena de muerte. El derecho a la vida es ampliamente reconocido como el derecho supremo de los seres humanos y como </w:t>
      </w:r>
      <w:proofErr w:type="spellStart"/>
      <w:r w:rsidRPr="007F3D68">
        <w:rPr>
          <w:rFonts w:ascii="Cambria" w:hAnsi="Cambria"/>
          <w:i/>
          <w:sz w:val="20"/>
          <w:szCs w:val="20"/>
          <w:lang w:val="es-ES"/>
        </w:rPr>
        <w:t>conditio</w:t>
      </w:r>
      <w:proofErr w:type="spellEnd"/>
      <w:r w:rsidRPr="007F3D68">
        <w:rPr>
          <w:rFonts w:ascii="Cambria" w:hAnsi="Cambria"/>
          <w:i/>
          <w:sz w:val="20"/>
          <w:szCs w:val="20"/>
          <w:lang w:val="es-ES"/>
        </w:rPr>
        <w:t xml:space="preserve"> sine qua non</w:t>
      </w:r>
      <w:r w:rsidRPr="007F3D68">
        <w:rPr>
          <w:rFonts w:ascii="Cambria" w:hAnsi="Cambria"/>
          <w:sz w:val="20"/>
          <w:szCs w:val="20"/>
          <w:lang w:val="es-ES"/>
        </w:rPr>
        <w:t xml:space="preserve"> para el goce de todos los demás derechos</w:t>
      </w:r>
      <w:r w:rsidRPr="007F3D68">
        <w:rPr>
          <w:rStyle w:val="FootnoteReference"/>
          <w:rFonts w:asciiTheme="majorHAnsi" w:hAnsiTheme="majorHAnsi"/>
          <w:sz w:val="20"/>
          <w:szCs w:val="20"/>
          <w:lang w:val="es-ES"/>
        </w:rPr>
        <w:footnoteReference w:id="67"/>
      </w:r>
      <w:r w:rsidRPr="007F3D68">
        <w:rPr>
          <w:rFonts w:ascii="Cambria" w:hAnsi="Cambria"/>
          <w:sz w:val="20"/>
          <w:szCs w:val="20"/>
          <w:lang w:val="es-ES"/>
        </w:rPr>
        <w:t>.</w:t>
      </w:r>
    </w:p>
    <w:p w:rsidR="00292A1B" w:rsidRPr="007F3D68" w:rsidRDefault="00C42F74"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Cambria" w:hAnsi="Cambria"/>
          <w:sz w:val="20"/>
          <w:szCs w:val="20"/>
          <w:lang w:val="es-ES"/>
        </w:rPr>
        <w:lastRenderedPageBreak/>
        <w:t>Por ello es de particular importancia la obligación de la CIDH de asegurarse de que toda privación a la vida que pueda ocurrir por la aplicación de la pena de muerte no transgreda ninguna obligación consagrada en los instrumentos aplicables del sistema interamericano de derechos humanos</w:t>
      </w:r>
      <w:r w:rsidRPr="007F3D68">
        <w:rPr>
          <w:rStyle w:val="FootnoteReference"/>
          <w:rFonts w:ascii="Cambria" w:hAnsi="Cambria"/>
          <w:sz w:val="20"/>
          <w:szCs w:val="20"/>
        </w:rPr>
        <w:footnoteReference w:id="68"/>
      </w:r>
      <w:r w:rsidRPr="007F3D68">
        <w:rPr>
          <w:rFonts w:ascii="Cambria" w:hAnsi="Cambria"/>
          <w:sz w:val="20"/>
          <w:szCs w:val="20"/>
          <w:lang w:val="es-ES"/>
        </w:rPr>
        <w:t>. Este escrutinio riguroso es congruente con el enfoque restrictivo que adoptan otros organismos internacionales de derechos humanos cuando analizan casos que involucran la pena de muerte</w:t>
      </w:r>
      <w:r w:rsidRPr="007F3D68">
        <w:rPr>
          <w:rStyle w:val="FootnoteReference"/>
          <w:rFonts w:ascii="Cambria" w:hAnsi="Cambria"/>
          <w:sz w:val="20"/>
          <w:szCs w:val="20"/>
        </w:rPr>
        <w:footnoteReference w:id="69"/>
      </w:r>
      <w:r w:rsidRPr="007F3D68">
        <w:rPr>
          <w:rFonts w:ascii="Cambria" w:hAnsi="Cambria"/>
          <w:sz w:val="20"/>
          <w:szCs w:val="20"/>
          <w:lang w:val="es-ES"/>
        </w:rPr>
        <w:t xml:space="preserve"> y la Comisión Interamericana lo ha expresado y aplicado en casos anteriores de pena capital que se le han presentado</w:t>
      </w:r>
      <w:r w:rsidRPr="007F3D68">
        <w:rPr>
          <w:rStyle w:val="FootnoteReference"/>
          <w:rFonts w:ascii="Cambria" w:hAnsi="Cambria"/>
          <w:sz w:val="20"/>
          <w:szCs w:val="20"/>
        </w:rPr>
        <w:footnoteReference w:id="70"/>
      </w:r>
      <w:r w:rsidRPr="007F3D68">
        <w:rPr>
          <w:rFonts w:ascii="Cambria" w:hAnsi="Cambria"/>
          <w:sz w:val="20"/>
          <w:szCs w:val="20"/>
          <w:lang w:val="es-ES"/>
        </w:rPr>
        <w:t>.</w:t>
      </w:r>
    </w:p>
    <w:p w:rsidR="00292A1B" w:rsidRPr="007F3D68" w:rsidRDefault="00292A1B" w:rsidP="00292A1B">
      <w:pPr>
        <w:pStyle w:val="ListParagraph"/>
        <w:rPr>
          <w:sz w:val="20"/>
          <w:szCs w:val="20"/>
          <w:lang w:val="es-ES"/>
        </w:rPr>
      </w:pPr>
    </w:p>
    <w:p w:rsidR="00C42F74" w:rsidRPr="007F3D68" w:rsidRDefault="00C42F74"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Cambria" w:hAnsi="Cambria"/>
          <w:sz w:val="20"/>
          <w:szCs w:val="20"/>
          <w:lang w:val="es-ES"/>
        </w:rPr>
        <w:t>Según ha explicado la Comisión Interamericana este estándar de revisión es consecuencia necesaria de la pena en cuestión y de las garantías del debido proceso legal relacionadas</w:t>
      </w:r>
      <w:r w:rsidRPr="007F3D68">
        <w:rPr>
          <w:rFonts w:asciiTheme="majorHAnsi" w:hAnsiTheme="majorHAnsi"/>
          <w:sz w:val="20"/>
          <w:szCs w:val="20"/>
          <w:vertAlign w:val="superscript"/>
          <w:lang w:val="es-ES"/>
        </w:rPr>
        <w:footnoteReference w:id="71"/>
      </w:r>
      <w:r w:rsidRPr="007F3D68">
        <w:rPr>
          <w:rFonts w:ascii="Cambria" w:hAnsi="Cambria"/>
          <w:sz w:val="20"/>
          <w:szCs w:val="20"/>
          <w:lang w:val="es-ES"/>
        </w:rPr>
        <w:t>. En palabras de la CIDH:</w:t>
      </w:r>
    </w:p>
    <w:p w:rsidR="00C42F74" w:rsidRPr="007F3D68" w:rsidRDefault="00C42F74" w:rsidP="00C42F74">
      <w:pPr>
        <w:ind w:left="720" w:right="720"/>
        <w:jc w:val="both"/>
        <w:rPr>
          <w:rFonts w:ascii="Cambria" w:hAnsi="Cambria" w:cs="Calibri"/>
          <w:sz w:val="20"/>
          <w:szCs w:val="20"/>
          <w:lang w:val="es-ES"/>
        </w:rPr>
      </w:pPr>
      <w:proofErr w:type="gramStart"/>
      <w:r w:rsidRPr="007F3D68">
        <w:rPr>
          <w:rFonts w:ascii="Cambria" w:hAnsi="Cambria" w:cs="Calibri"/>
          <w:sz w:val="20"/>
          <w:szCs w:val="20"/>
          <w:lang w:val="es-ES"/>
        </w:rPr>
        <w:t>debido</w:t>
      </w:r>
      <w:proofErr w:type="gramEnd"/>
      <w:r w:rsidRPr="007F3D68">
        <w:rPr>
          <w:rFonts w:ascii="Cambria" w:hAnsi="Cambria" w:cs="Calibri"/>
          <w:sz w:val="20"/>
          <w:szCs w:val="20"/>
          <w:lang w:val="es-ES"/>
        </w:rPr>
        <w:t xml:space="preserve"> en parte a su carácter irrevocable,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7F3D68">
        <w:rPr>
          <w:rStyle w:val="FootnoteReference"/>
          <w:rFonts w:ascii="Cambria" w:hAnsi="Cambria"/>
          <w:sz w:val="20"/>
          <w:szCs w:val="20"/>
        </w:rPr>
        <w:footnoteReference w:id="72"/>
      </w:r>
      <w:r w:rsidRPr="007F3D68">
        <w:rPr>
          <w:rFonts w:ascii="Cambria" w:hAnsi="Cambria" w:cs="Calibri"/>
          <w:sz w:val="20"/>
          <w:szCs w:val="20"/>
          <w:lang w:val="es-ES"/>
        </w:rPr>
        <w:t>.</w:t>
      </w:r>
    </w:p>
    <w:p w:rsidR="00C42F74" w:rsidRPr="007F3D68" w:rsidRDefault="00C42F74" w:rsidP="00C42F74">
      <w:pPr>
        <w:shd w:val="clear" w:color="auto" w:fill="FFFFFF"/>
        <w:tabs>
          <w:tab w:val="num" w:pos="720"/>
          <w:tab w:val="left" w:pos="1440"/>
          <w:tab w:val="num" w:pos="2040"/>
        </w:tabs>
        <w:jc w:val="center"/>
        <w:rPr>
          <w:rFonts w:ascii="Cambria" w:hAnsi="Cambria"/>
          <w:sz w:val="20"/>
          <w:szCs w:val="20"/>
          <w:lang w:val="es-ES"/>
        </w:rPr>
      </w:pPr>
    </w:p>
    <w:p w:rsidR="007C6F54" w:rsidRPr="007F3D68" w:rsidRDefault="00C42F74"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Cambria" w:hAnsi="Cambria"/>
          <w:sz w:val="20"/>
          <w:szCs w:val="20"/>
          <w:lang w:val="es-ES"/>
        </w:rPr>
        <w:t xml:space="preserve">La Comisión Interamericana revisará, por lo tanto, las alegaciones de los peticionarios en el presente caso con un nivel de escrutinio riguroso para garantizar, en particular, que los derechos a la vida, a las garantías judiciales y a la protección judicial, entre otros estipulados en la Convención Americana, hayan sido respetados por el Estado. </w:t>
      </w:r>
      <w:r w:rsidR="00D85874" w:rsidRPr="007F3D68">
        <w:rPr>
          <w:rFonts w:ascii="Cambria" w:hAnsi="Cambria"/>
          <w:sz w:val="20"/>
          <w:szCs w:val="20"/>
          <w:lang w:val="es-ES"/>
        </w:rPr>
        <w:t xml:space="preserve"> </w:t>
      </w:r>
    </w:p>
    <w:p w:rsidR="00E63FB9" w:rsidRPr="007F3D68" w:rsidRDefault="00E63FB9" w:rsidP="00292A1B">
      <w:pPr>
        <w:pStyle w:val="Heading3"/>
        <w:numPr>
          <w:ilvl w:val="0"/>
          <w:numId w:val="78"/>
        </w:numPr>
        <w:tabs>
          <w:tab w:val="left" w:pos="1260"/>
        </w:tabs>
        <w:ind w:hanging="1080"/>
        <w:rPr>
          <w:color w:val="auto"/>
          <w:sz w:val="20"/>
          <w:szCs w:val="20"/>
          <w:lang w:val="es-CO"/>
        </w:rPr>
      </w:pPr>
      <w:bookmarkStart w:id="94" w:name="_Toc495479555"/>
      <w:r w:rsidRPr="007F3D68">
        <w:rPr>
          <w:color w:val="auto"/>
          <w:sz w:val="20"/>
          <w:szCs w:val="20"/>
          <w:lang w:val="es-CO"/>
        </w:rPr>
        <w:t>Sobre la aplicación del concepto de peligrosidad para imponer la pena de muerte</w:t>
      </w:r>
      <w:bookmarkEnd w:id="94"/>
    </w:p>
    <w:p w:rsidR="00BB695B" w:rsidRPr="007F3D68" w:rsidRDefault="00BB695B" w:rsidP="00BB69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ahoma" w:hAnsi="Tahoma" w:cs="Tahoma"/>
          <w:color w:val="000000"/>
          <w:sz w:val="18"/>
          <w:szCs w:val="18"/>
          <w:lang w:val="es-VE"/>
        </w:rPr>
      </w:pPr>
    </w:p>
    <w:p w:rsidR="00834C23" w:rsidRPr="007F3D68" w:rsidRDefault="007907F4" w:rsidP="00292A1B">
      <w:pPr>
        <w:pStyle w:val="ListParagraph"/>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70"/>
        </w:tabs>
        <w:ind w:left="1260" w:hanging="540"/>
        <w:jc w:val="both"/>
        <w:rPr>
          <w:rFonts w:asciiTheme="majorHAnsi" w:hAnsiTheme="majorHAnsi" w:cs="Tahoma"/>
          <w:b/>
          <w:sz w:val="20"/>
          <w:szCs w:val="20"/>
          <w:lang w:val="es-VE"/>
        </w:rPr>
      </w:pPr>
      <w:r w:rsidRPr="007F3D68">
        <w:rPr>
          <w:rFonts w:asciiTheme="majorHAnsi" w:hAnsiTheme="majorHAnsi" w:cs="Tahoma"/>
          <w:b/>
          <w:sz w:val="20"/>
          <w:szCs w:val="20"/>
          <w:lang w:val="es-VE"/>
        </w:rPr>
        <w:tab/>
      </w:r>
      <w:r w:rsidR="00BB695B" w:rsidRPr="007F3D68">
        <w:rPr>
          <w:rFonts w:asciiTheme="majorHAnsi" w:hAnsiTheme="majorHAnsi"/>
          <w:b/>
          <w:sz w:val="20"/>
          <w:szCs w:val="20"/>
          <w:lang w:val="es-ES"/>
        </w:rPr>
        <w:t>Consideraciones generales</w:t>
      </w:r>
    </w:p>
    <w:p w:rsidR="00834C23" w:rsidRPr="007F3D68" w:rsidRDefault="00834C23" w:rsidP="00715A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sz w:val="20"/>
          <w:szCs w:val="20"/>
          <w:lang w:val="es-ES"/>
        </w:rPr>
      </w:pPr>
    </w:p>
    <w:p w:rsidR="00292A1B"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 xml:space="preserve">Tanto la Comisión como la Corte Interamericana se han referido al concepto de peligrosidad como elemento para determinar la imposición de una pena y, particularmente, la pena de muerte. </w:t>
      </w:r>
    </w:p>
    <w:p w:rsidR="00292A1B" w:rsidRPr="007F3D68" w:rsidRDefault="00292A1B" w:rsidP="00292A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ES"/>
        </w:rPr>
      </w:pPr>
    </w:p>
    <w:p w:rsidR="000655ED"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En un caso relativo a la aplicación de la pena de muerte en el estado de Texas en Estados Unidos, el cual fue analizado bajo principios análogos de la Declaración Americana de los Derechos y Deberes del Hombre, la Comisión indicó que:</w:t>
      </w:r>
    </w:p>
    <w:p w:rsidR="000655ED" w:rsidRPr="007F3D68" w:rsidRDefault="000655ED" w:rsidP="000655ED">
      <w:pPr>
        <w:shd w:val="clear" w:color="auto" w:fill="FFFFFF"/>
        <w:tabs>
          <w:tab w:val="num" w:pos="1440"/>
          <w:tab w:val="num" w:pos="1800"/>
          <w:tab w:val="num" w:pos="2040"/>
        </w:tabs>
        <w:jc w:val="both"/>
        <w:rPr>
          <w:rFonts w:asciiTheme="majorHAnsi" w:hAnsiTheme="majorHAnsi"/>
          <w:b/>
          <w:sz w:val="20"/>
          <w:szCs w:val="20"/>
          <w:lang w:val="es-ES"/>
        </w:rPr>
      </w:pPr>
    </w:p>
    <w:p w:rsidR="000655ED" w:rsidRPr="007F3D68" w:rsidRDefault="000655ED" w:rsidP="000655ED">
      <w:pPr>
        <w:shd w:val="clear" w:color="auto" w:fill="FFFFFF"/>
        <w:tabs>
          <w:tab w:val="num" w:pos="1440"/>
          <w:tab w:val="num" w:pos="1800"/>
          <w:tab w:val="num" w:pos="2040"/>
        </w:tabs>
        <w:ind w:left="720" w:right="720"/>
        <w:jc w:val="both"/>
        <w:rPr>
          <w:rFonts w:asciiTheme="majorHAnsi" w:hAnsiTheme="majorHAnsi"/>
          <w:b/>
          <w:sz w:val="20"/>
          <w:szCs w:val="20"/>
          <w:lang w:val="es-ES"/>
        </w:rPr>
      </w:pPr>
      <w:r w:rsidRPr="007F3D68">
        <w:rPr>
          <w:rFonts w:asciiTheme="majorHAnsi" w:hAnsiTheme="majorHAnsi"/>
          <w:bCs/>
          <w:sz w:val="20"/>
          <w:szCs w:val="20"/>
          <w:lang w:val="es-CO"/>
        </w:rPr>
        <w:t xml:space="preserve">(…) el elemento de la peligrosidad futura otorga un alto grado de discrecionalidad al jurado para establecer la pena más grave posible, lo que puede resultar problemático al tratarse de la probabilidad de que un hecho futuro llegue a ocurrir, excediendo al delito efectivamente cometido por la persona en cuestión. En ese sentido, la Comisión considera que al tratarse de </w:t>
      </w:r>
      <w:r w:rsidRPr="007F3D68">
        <w:rPr>
          <w:rFonts w:asciiTheme="majorHAnsi" w:hAnsiTheme="majorHAnsi"/>
          <w:bCs/>
          <w:sz w:val="20"/>
          <w:szCs w:val="20"/>
          <w:lang w:val="es-CO"/>
        </w:rPr>
        <w:lastRenderedPageBreak/>
        <w:t xml:space="preserve">un criterio que requiere de una decisión subjetiva y especulativa por parte del jurado, su sola exigencia en la legislación interna del estado de Texas constituye un riesgo permanente de que se cometan violaciones a los derechos humanos en perjuicio de la persona condenada y, en consecuencia, </w:t>
      </w:r>
      <w:r w:rsidRPr="007F3D68">
        <w:rPr>
          <w:rFonts w:asciiTheme="majorHAnsi" w:hAnsiTheme="majorHAnsi" w:cs="Tahoma"/>
          <w:color w:val="000000"/>
          <w:sz w:val="20"/>
          <w:szCs w:val="20"/>
          <w:lang w:val="es-CO"/>
        </w:rPr>
        <w:t>se imponga la pena de muerte de manera arbitraria</w:t>
      </w:r>
      <w:r w:rsidRPr="007F3D68">
        <w:rPr>
          <w:rStyle w:val="FootnoteReference"/>
          <w:rFonts w:asciiTheme="majorHAnsi" w:hAnsiTheme="majorHAnsi"/>
          <w:sz w:val="20"/>
          <w:szCs w:val="20"/>
          <w:lang w:val="es-ES"/>
        </w:rPr>
        <w:footnoteReference w:id="73"/>
      </w:r>
      <w:r w:rsidRPr="007F3D68">
        <w:rPr>
          <w:rFonts w:asciiTheme="majorHAnsi" w:hAnsiTheme="majorHAnsi" w:cs="Tahoma"/>
          <w:color w:val="000000"/>
          <w:sz w:val="20"/>
          <w:szCs w:val="20"/>
          <w:lang w:val="es-CO"/>
        </w:rPr>
        <w:t>.</w:t>
      </w:r>
    </w:p>
    <w:p w:rsidR="000655ED" w:rsidRPr="007F3D68" w:rsidRDefault="000655ED" w:rsidP="000655ED">
      <w:pPr>
        <w:shd w:val="clear" w:color="auto" w:fill="FFFFFF"/>
        <w:tabs>
          <w:tab w:val="num" w:pos="1440"/>
          <w:tab w:val="num" w:pos="1800"/>
          <w:tab w:val="num" w:pos="2040"/>
        </w:tabs>
        <w:jc w:val="both"/>
        <w:rPr>
          <w:rFonts w:asciiTheme="majorHAnsi" w:hAnsiTheme="majorHAnsi"/>
          <w:b/>
          <w:sz w:val="20"/>
          <w:szCs w:val="20"/>
          <w:lang w:val="es-ES"/>
        </w:rPr>
      </w:pPr>
    </w:p>
    <w:p w:rsidR="000655ED"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bCs/>
          <w:sz w:val="20"/>
          <w:szCs w:val="20"/>
          <w:lang w:val="es-CO"/>
        </w:rPr>
        <w:t xml:space="preserve">El </w:t>
      </w:r>
      <w:r w:rsidRPr="007F3D68">
        <w:rPr>
          <w:rFonts w:asciiTheme="majorHAnsi" w:hAnsiTheme="majorHAnsi" w:cs="Georgia"/>
          <w:bCs/>
          <w:sz w:val="20"/>
          <w:szCs w:val="20"/>
          <w:lang w:val="es-CO"/>
        </w:rPr>
        <w:t xml:space="preserve">Comité de Derechos Humanos del Pacto Internacional de Derechos Civiles y Políticos también se ha referido en términos generales al concepto de peligrosidad futura y su uso en el ámbito de un proceso penal. </w:t>
      </w:r>
      <w:proofErr w:type="spellStart"/>
      <w:r w:rsidRPr="007F3D68">
        <w:rPr>
          <w:rFonts w:asciiTheme="majorHAnsi" w:hAnsiTheme="majorHAnsi" w:cs="Georgia"/>
          <w:bCs/>
          <w:sz w:val="20"/>
          <w:szCs w:val="20"/>
        </w:rPr>
        <w:t>Específicamente</w:t>
      </w:r>
      <w:proofErr w:type="spellEnd"/>
      <w:r w:rsidRPr="007F3D68">
        <w:rPr>
          <w:rFonts w:asciiTheme="majorHAnsi" w:hAnsiTheme="majorHAnsi" w:cs="Georgia"/>
          <w:bCs/>
          <w:sz w:val="20"/>
          <w:szCs w:val="20"/>
        </w:rPr>
        <w:t xml:space="preserve"> ha </w:t>
      </w:r>
      <w:proofErr w:type="spellStart"/>
      <w:r w:rsidRPr="007F3D68">
        <w:rPr>
          <w:rFonts w:asciiTheme="majorHAnsi" w:hAnsiTheme="majorHAnsi" w:cs="Georgia"/>
          <w:bCs/>
          <w:sz w:val="20"/>
          <w:szCs w:val="20"/>
        </w:rPr>
        <w:t>indicado</w:t>
      </w:r>
      <w:proofErr w:type="spellEnd"/>
      <w:r w:rsidRPr="007F3D68">
        <w:rPr>
          <w:rFonts w:asciiTheme="majorHAnsi" w:hAnsiTheme="majorHAnsi" w:cs="Georgia"/>
          <w:bCs/>
          <w:sz w:val="20"/>
          <w:szCs w:val="20"/>
        </w:rPr>
        <w:t xml:space="preserve"> que:</w:t>
      </w:r>
      <w:r w:rsidRPr="007F3D68">
        <w:rPr>
          <w:rFonts w:asciiTheme="majorHAnsi" w:hAnsiTheme="majorHAnsi"/>
          <w:sz w:val="20"/>
          <w:szCs w:val="20"/>
          <w:lang w:val="es-ES"/>
        </w:rPr>
        <w:t xml:space="preserve"> </w:t>
      </w:r>
    </w:p>
    <w:p w:rsidR="000655ED" w:rsidRPr="007F3D68" w:rsidRDefault="000655ED" w:rsidP="000655ED">
      <w:pPr>
        <w:tabs>
          <w:tab w:val="left" w:pos="0"/>
          <w:tab w:val="num" w:pos="1665"/>
          <w:tab w:val="num" w:pos="2040"/>
        </w:tabs>
        <w:jc w:val="both"/>
        <w:rPr>
          <w:rFonts w:asciiTheme="majorHAnsi" w:hAnsiTheme="majorHAnsi" w:cs="Times"/>
          <w:sz w:val="20"/>
          <w:szCs w:val="20"/>
        </w:rPr>
      </w:pPr>
    </w:p>
    <w:p w:rsidR="000655ED" w:rsidRPr="007F3D68" w:rsidRDefault="000655ED" w:rsidP="000655ED">
      <w:pPr>
        <w:ind w:left="720" w:right="720"/>
        <w:jc w:val="both"/>
        <w:rPr>
          <w:rFonts w:asciiTheme="majorHAnsi" w:hAnsiTheme="majorHAnsi" w:cs="Georgia"/>
          <w:sz w:val="20"/>
          <w:szCs w:val="20"/>
          <w:lang w:val="es-CO"/>
        </w:rPr>
      </w:pPr>
      <w:r w:rsidRPr="007F3D68">
        <w:rPr>
          <w:rFonts w:asciiTheme="majorHAnsi" w:hAnsiTheme="majorHAnsi" w:cs="Georgia"/>
          <w:sz w:val="20"/>
          <w:szCs w:val="20"/>
          <w:lang w:val="es-CO"/>
        </w:rPr>
        <w:t>El concepto de temible o previsible peligrosidad para la comunidad, aplicable al caso de personas que cometieron delitos en el pasado es inherentemente problemático. Se encuentra basado esencialmente en una opinión en vez de evidencia fáctica, aún si dicha evidencia consiste en la opinión de expertos psiquiatras. Pero la psiquiatría no es una ciencia exacta (…) por una parte se requiere a la Corte que tenga en cuenta la opinión de expertos psiquiatras sobre peligrosidad futura pero, por otra parte, se requiere que la Corte efectúe una determinación de hecho sobre peligrosidad. Si bien las Cortes son libres de aceptar o rechazar peritajes y están obligadas a considerar toda la evidencia disponible y relevante, la realidad es que las Cortes deben hacer una determinación de hecho del supuesto comportamiento futuro de una persona que cometió delitos en el pasado, comportamiento que podría o no materializarse</w:t>
      </w:r>
      <w:r w:rsidRPr="007F3D68">
        <w:rPr>
          <w:rStyle w:val="FootnoteReference"/>
          <w:rFonts w:asciiTheme="majorHAnsi" w:hAnsiTheme="majorHAnsi"/>
          <w:sz w:val="20"/>
          <w:szCs w:val="20"/>
        </w:rPr>
        <w:footnoteReference w:id="74"/>
      </w:r>
      <w:r w:rsidRPr="007F3D68">
        <w:rPr>
          <w:rFonts w:asciiTheme="majorHAnsi" w:hAnsiTheme="majorHAnsi" w:cs="Georgia"/>
          <w:sz w:val="20"/>
          <w:szCs w:val="20"/>
          <w:lang w:val="es-CO"/>
        </w:rPr>
        <w:t xml:space="preserve">. </w:t>
      </w:r>
    </w:p>
    <w:p w:rsidR="000655ED" w:rsidRPr="007F3D68" w:rsidRDefault="000655ED" w:rsidP="000655ED">
      <w:pPr>
        <w:shd w:val="clear" w:color="auto" w:fill="FFFFFF"/>
        <w:tabs>
          <w:tab w:val="num" w:pos="1080"/>
          <w:tab w:val="left" w:pos="1440"/>
          <w:tab w:val="num" w:pos="2040"/>
        </w:tabs>
        <w:jc w:val="both"/>
        <w:rPr>
          <w:rFonts w:asciiTheme="majorHAnsi" w:hAnsiTheme="majorHAnsi"/>
          <w:sz w:val="20"/>
          <w:szCs w:val="20"/>
          <w:lang w:val="es-ES"/>
        </w:rPr>
      </w:pPr>
    </w:p>
    <w:p w:rsidR="000655ED"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i/>
          <w:sz w:val="20"/>
          <w:szCs w:val="20"/>
          <w:lang w:val="es-ES"/>
        </w:rPr>
      </w:pPr>
      <w:r w:rsidRPr="007F3D68">
        <w:rPr>
          <w:rFonts w:asciiTheme="majorHAnsi" w:hAnsiTheme="majorHAnsi"/>
          <w:sz w:val="20"/>
          <w:szCs w:val="20"/>
          <w:lang w:val="es-ES"/>
        </w:rPr>
        <w:t xml:space="preserve">Por su parte, la Corte Interamericana se ha referido a la invocación de la peligrosidad futura a la luz del principio de legalidad establecido en el artículo 9 de la Convención Americana. La Corte indicó que dicha invocación es grave y que </w:t>
      </w:r>
      <w:r w:rsidRPr="007F3D68">
        <w:rPr>
          <w:rFonts w:asciiTheme="majorHAnsi" w:hAnsiTheme="majorHAnsi"/>
          <w:i/>
          <w:sz w:val="20"/>
          <w:szCs w:val="20"/>
          <w:lang w:val="es-ES"/>
        </w:rPr>
        <w:t>“</w:t>
      </w:r>
      <w:r w:rsidRPr="007F3D68">
        <w:rPr>
          <w:rFonts w:asciiTheme="majorHAnsi" w:hAnsiTheme="majorHAnsi"/>
          <w:sz w:val="20"/>
          <w:szCs w:val="20"/>
          <w:lang w:val="es-ES"/>
        </w:rPr>
        <w:t xml:space="preserve">constituye claramente una expresión del ejercicio del </w:t>
      </w:r>
      <w:proofErr w:type="spellStart"/>
      <w:r w:rsidRPr="007F3D68">
        <w:rPr>
          <w:rFonts w:asciiTheme="majorHAnsi" w:hAnsiTheme="majorHAnsi"/>
          <w:i/>
          <w:sz w:val="20"/>
          <w:szCs w:val="20"/>
          <w:lang w:val="es-ES"/>
        </w:rPr>
        <w:t>ius</w:t>
      </w:r>
      <w:proofErr w:type="spellEnd"/>
      <w:r w:rsidRPr="007F3D68">
        <w:rPr>
          <w:rFonts w:asciiTheme="majorHAnsi" w:hAnsiTheme="majorHAnsi"/>
          <w:i/>
          <w:sz w:val="20"/>
          <w:szCs w:val="20"/>
          <w:lang w:val="es-ES"/>
        </w:rPr>
        <w:t xml:space="preserve"> </w:t>
      </w:r>
      <w:proofErr w:type="spellStart"/>
      <w:r w:rsidRPr="007F3D68">
        <w:rPr>
          <w:rFonts w:asciiTheme="majorHAnsi" w:hAnsiTheme="majorHAnsi"/>
          <w:i/>
          <w:sz w:val="20"/>
          <w:szCs w:val="20"/>
          <w:lang w:val="es-ES"/>
        </w:rPr>
        <w:t>puniendi</w:t>
      </w:r>
      <w:proofErr w:type="spellEnd"/>
      <w:r w:rsidRPr="007F3D68">
        <w:rPr>
          <w:rFonts w:asciiTheme="majorHAnsi" w:hAnsiTheme="majorHAnsi"/>
          <w:sz w:val="20"/>
          <w:szCs w:val="20"/>
          <w:lang w:val="es-ES"/>
        </w:rPr>
        <w:t xml:space="preserve"> estatal sobre la base de las características personales del agente y no del hecho cometido, es decir, sustituye el derecho penal de acto o de hecho, propio del sistema penal de una sociedad democrática, por el derecho penal de autor, que abre la puerta al autoritarismo precisamente en una materia en la que se hallan en juego los bienes jurídicos de mayor jerarquía”</w:t>
      </w:r>
      <w:r w:rsidRPr="007F3D68">
        <w:rPr>
          <w:rStyle w:val="FootnoteReference"/>
          <w:rFonts w:asciiTheme="majorHAnsi" w:hAnsiTheme="majorHAnsi"/>
          <w:sz w:val="20"/>
          <w:szCs w:val="20"/>
        </w:rPr>
        <w:footnoteReference w:id="75"/>
      </w:r>
      <w:r w:rsidRPr="007F3D68">
        <w:rPr>
          <w:rFonts w:asciiTheme="majorHAnsi" w:hAnsiTheme="majorHAnsi"/>
          <w:sz w:val="20"/>
          <w:szCs w:val="20"/>
          <w:lang w:val="es-ES"/>
        </w:rPr>
        <w:t xml:space="preserve">. </w:t>
      </w:r>
    </w:p>
    <w:p w:rsidR="000655ED" w:rsidRPr="007F3D68" w:rsidRDefault="000655ED" w:rsidP="000655ED">
      <w:pPr>
        <w:jc w:val="both"/>
        <w:rPr>
          <w:rFonts w:asciiTheme="majorHAnsi" w:hAnsiTheme="majorHAnsi"/>
          <w:sz w:val="20"/>
          <w:szCs w:val="20"/>
          <w:lang w:val="es-ES"/>
        </w:rPr>
      </w:pPr>
    </w:p>
    <w:p w:rsidR="000655ED"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 xml:space="preserve">Recientemente en el caso Pollo Rivera vs. Perú, la Corte Interamericana señaló que: </w:t>
      </w:r>
    </w:p>
    <w:p w:rsidR="000655ED" w:rsidRPr="007F3D68" w:rsidRDefault="000655ED" w:rsidP="000655ED">
      <w:pPr>
        <w:jc w:val="both"/>
        <w:rPr>
          <w:rFonts w:asciiTheme="majorHAnsi" w:hAnsiTheme="majorHAnsi"/>
          <w:sz w:val="20"/>
          <w:szCs w:val="20"/>
          <w:lang w:val="es-ES"/>
        </w:rPr>
      </w:pPr>
    </w:p>
    <w:p w:rsidR="000655ED" w:rsidRPr="007F3D68" w:rsidRDefault="000655ED" w:rsidP="000655ED">
      <w:pPr>
        <w:ind w:left="720" w:right="720"/>
        <w:jc w:val="both"/>
        <w:rPr>
          <w:rFonts w:asciiTheme="majorHAnsi" w:hAnsiTheme="majorHAnsi"/>
          <w:sz w:val="20"/>
          <w:szCs w:val="20"/>
          <w:lang w:val="es-MX"/>
        </w:rPr>
      </w:pPr>
      <w:r w:rsidRPr="007F3D68">
        <w:rPr>
          <w:rFonts w:asciiTheme="majorHAnsi" w:hAnsiTheme="majorHAnsi"/>
          <w:sz w:val="20"/>
          <w:szCs w:val="20"/>
          <w:lang w:val="es-MX"/>
        </w:rPr>
        <w:t>(…) el artículo 9 de la Convención Americana establece que “nadie puede ser condenado por acciones u omisiones”, es decir que sólo puede ser condenado por “actos”. El derecho penal de “acto” es una elemental garantía de todo derecho penal conforme a los derechos humanos. Precisamente, ante las aterradoras consecuencias del desconocimiento de esta premisa básica de los derechos humanos es que éstos comienzan su desarrollo a partir de 1948. El derecho penal conforme a todos los instrumentos de derechos humanos rechaza frontalmente el llamado “derecho penal de autor”, que considera a la conducta típica sólo como un signo o síntoma que permite detectar a una personalidad o carácter, ampliándose incluso a actos atípicos, siempre que se considere que cumplen la misma función de señalación subjetiva</w:t>
      </w:r>
      <w:r w:rsidRPr="007F3D68">
        <w:rPr>
          <w:rStyle w:val="FootnoteReference"/>
          <w:rFonts w:asciiTheme="majorHAnsi" w:hAnsiTheme="majorHAnsi"/>
          <w:sz w:val="20"/>
          <w:szCs w:val="20"/>
          <w:lang w:val="es-MX"/>
        </w:rPr>
        <w:footnoteReference w:id="76"/>
      </w:r>
      <w:r w:rsidRPr="007F3D68">
        <w:rPr>
          <w:rFonts w:asciiTheme="majorHAnsi" w:hAnsiTheme="majorHAnsi"/>
          <w:sz w:val="20"/>
          <w:szCs w:val="20"/>
          <w:lang w:val="es-MX"/>
        </w:rPr>
        <w:t>.</w:t>
      </w:r>
    </w:p>
    <w:p w:rsidR="000655ED" w:rsidRPr="007F3D68" w:rsidRDefault="000655ED" w:rsidP="000655ED">
      <w:pPr>
        <w:pStyle w:val="ListParagraph"/>
        <w:ind w:right="810"/>
        <w:rPr>
          <w:rFonts w:asciiTheme="majorHAnsi" w:hAnsiTheme="majorHAnsi"/>
          <w:sz w:val="20"/>
          <w:szCs w:val="20"/>
          <w:lang w:val="es-MX"/>
        </w:rPr>
      </w:pPr>
    </w:p>
    <w:p w:rsidR="000655ED" w:rsidRPr="007F3D68" w:rsidRDefault="000655ED" w:rsidP="000655ED">
      <w:pPr>
        <w:ind w:left="720" w:right="720"/>
        <w:jc w:val="both"/>
        <w:rPr>
          <w:rFonts w:asciiTheme="majorHAnsi" w:hAnsiTheme="majorHAnsi"/>
          <w:sz w:val="20"/>
          <w:szCs w:val="20"/>
          <w:lang w:val="es-VE"/>
        </w:rPr>
      </w:pPr>
      <w:r w:rsidRPr="007F3D68">
        <w:rPr>
          <w:rFonts w:asciiTheme="majorHAnsi" w:hAnsiTheme="majorHAnsi"/>
          <w:sz w:val="20"/>
          <w:szCs w:val="20"/>
          <w:lang w:val="es-MX"/>
        </w:rPr>
        <w:t>El derecho penal “de autor” ha seguido diferentes caminos, siendo uno de ellos el de la llamada “peligrosidad” (…)</w:t>
      </w:r>
      <w:r w:rsidRPr="007F3D68">
        <w:rPr>
          <w:rStyle w:val="FootnoteReference"/>
          <w:rFonts w:asciiTheme="majorHAnsi" w:hAnsiTheme="majorHAnsi"/>
          <w:sz w:val="20"/>
          <w:szCs w:val="20"/>
          <w:lang w:val="es-MX"/>
        </w:rPr>
        <w:footnoteReference w:id="77"/>
      </w:r>
      <w:r w:rsidRPr="007F3D68">
        <w:rPr>
          <w:rFonts w:asciiTheme="majorHAnsi" w:hAnsiTheme="majorHAnsi"/>
          <w:sz w:val="20"/>
          <w:szCs w:val="20"/>
          <w:lang w:val="es-MX"/>
        </w:rPr>
        <w:t>.</w:t>
      </w:r>
    </w:p>
    <w:p w:rsidR="000655ED" w:rsidRPr="007F3D68" w:rsidRDefault="000655ED" w:rsidP="000655ED">
      <w:pPr>
        <w:jc w:val="both"/>
        <w:rPr>
          <w:rFonts w:asciiTheme="majorHAnsi" w:hAnsiTheme="majorHAnsi"/>
          <w:sz w:val="20"/>
          <w:szCs w:val="20"/>
          <w:lang w:val="es-VE"/>
        </w:rPr>
      </w:pPr>
    </w:p>
    <w:p w:rsidR="008E793C" w:rsidRPr="00FB1E9C" w:rsidRDefault="000655ED" w:rsidP="00FB1E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 xml:space="preserve">Específicamente sobre la valoración de la peligrosidad, la Corte Interamericana señaló que: </w:t>
      </w:r>
    </w:p>
    <w:p w:rsidR="000655ED" w:rsidRPr="007F3D68" w:rsidRDefault="000655ED" w:rsidP="000655ED">
      <w:pPr>
        <w:ind w:left="720" w:right="720"/>
        <w:jc w:val="both"/>
        <w:rPr>
          <w:rFonts w:asciiTheme="majorHAnsi" w:hAnsiTheme="majorHAnsi"/>
          <w:sz w:val="20"/>
          <w:szCs w:val="20"/>
          <w:lang w:val="es-ES"/>
        </w:rPr>
      </w:pPr>
      <w:r w:rsidRPr="007F3D68">
        <w:rPr>
          <w:rFonts w:asciiTheme="majorHAnsi" w:hAnsiTheme="majorHAnsi"/>
          <w:sz w:val="20"/>
          <w:szCs w:val="20"/>
          <w:lang w:val="es-ES"/>
        </w:rPr>
        <w:lastRenderedPageBreak/>
        <w:t>(…) implica la apreciación del juzgador acerca de las probabilidades de que el imputado cometa hechos delictuosos en el futuro, es decir, agrega a la imputación por los hechos realizados, la previsión de hechos futuros que probablemente ocurrirán. Con esta base se despliega la función penal del Estado. En fin de cuentas, se sancionaría al individuo – con pena de muerte inclusive – no con apoyo en lo que ha hecho, sino en lo que es. Sobra ponderar las implicaciones, que son evidentes,</w:t>
      </w:r>
      <w:r w:rsidRPr="007F3D68">
        <w:rPr>
          <w:rFonts w:asciiTheme="majorHAnsi" w:hAnsiTheme="majorHAnsi"/>
          <w:b/>
          <w:sz w:val="20"/>
          <w:szCs w:val="20"/>
          <w:lang w:val="es-ES"/>
        </w:rPr>
        <w:t xml:space="preserve"> </w:t>
      </w:r>
      <w:r w:rsidRPr="007F3D68">
        <w:rPr>
          <w:rFonts w:asciiTheme="majorHAnsi" w:hAnsiTheme="majorHAnsi"/>
          <w:sz w:val="20"/>
          <w:szCs w:val="20"/>
          <w:lang w:val="es-ES"/>
        </w:rPr>
        <w:t>de este retorno al pasado, absolutamente inaceptable desde la perspectiva de los derechos humanos (…).</w:t>
      </w:r>
    </w:p>
    <w:p w:rsidR="000655ED" w:rsidRPr="007F3D68" w:rsidRDefault="000655ED" w:rsidP="000655ED">
      <w:pPr>
        <w:tabs>
          <w:tab w:val="left" w:pos="6010"/>
        </w:tabs>
        <w:ind w:left="720" w:right="720"/>
        <w:jc w:val="both"/>
        <w:rPr>
          <w:rFonts w:asciiTheme="majorHAnsi" w:hAnsiTheme="majorHAnsi"/>
          <w:sz w:val="20"/>
          <w:szCs w:val="20"/>
          <w:lang w:val="es-ES"/>
        </w:rPr>
      </w:pPr>
      <w:r w:rsidRPr="007F3D68">
        <w:rPr>
          <w:rFonts w:asciiTheme="majorHAnsi" w:hAnsiTheme="majorHAnsi"/>
          <w:sz w:val="20"/>
          <w:szCs w:val="20"/>
          <w:lang w:val="es-ES"/>
        </w:rPr>
        <w:tab/>
      </w:r>
    </w:p>
    <w:p w:rsidR="000655ED" w:rsidRPr="007F3D68" w:rsidRDefault="000655ED" w:rsidP="000655ED">
      <w:pPr>
        <w:ind w:left="720" w:right="720"/>
        <w:jc w:val="both"/>
        <w:rPr>
          <w:rFonts w:asciiTheme="majorHAnsi" w:hAnsiTheme="majorHAnsi"/>
          <w:sz w:val="20"/>
          <w:szCs w:val="20"/>
          <w:lang w:val="es-ES"/>
        </w:rPr>
      </w:pPr>
      <w:r w:rsidRPr="007F3D68">
        <w:rPr>
          <w:rFonts w:asciiTheme="majorHAnsi" w:hAnsiTheme="majorHAnsi"/>
          <w:sz w:val="20"/>
          <w:szCs w:val="20"/>
          <w:lang w:val="es-ES"/>
        </w:rPr>
        <w:t>(…) la introducción en el texto penal de la peligrosidad del agente como criterio para la calificación típica de los hechos y la aplicación de ciertas sanciones, es incompatible con el principio de legalidad criminal y, por ende, contrario a la Convención</w:t>
      </w:r>
      <w:r w:rsidRPr="007F3D68">
        <w:rPr>
          <w:rStyle w:val="FootnoteReference"/>
          <w:rFonts w:asciiTheme="majorHAnsi" w:hAnsiTheme="majorHAnsi"/>
          <w:sz w:val="20"/>
          <w:szCs w:val="20"/>
        </w:rPr>
        <w:footnoteReference w:id="78"/>
      </w:r>
      <w:r w:rsidRPr="007F3D68">
        <w:rPr>
          <w:rFonts w:asciiTheme="majorHAnsi" w:hAnsiTheme="majorHAnsi"/>
          <w:sz w:val="20"/>
          <w:szCs w:val="20"/>
          <w:lang w:val="es-ES"/>
        </w:rPr>
        <w:t xml:space="preserve">. </w:t>
      </w:r>
    </w:p>
    <w:p w:rsidR="00715A46" w:rsidRPr="007F3D68" w:rsidRDefault="00715A46" w:rsidP="00715A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sz w:val="20"/>
          <w:szCs w:val="20"/>
          <w:lang w:val="es-ES"/>
        </w:rPr>
      </w:pPr>
    </w:p>
    <w:p w:rsidR="0008231E" w:rsidRPr="007F3D68" w:rsidRDefault="00980623" w:rsidP="00292A1B">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ind w:left="1260" w:hanging="540"/>
        <w:jc w:val="both"/>
        <w:rPr>
          <w:rFonts w:asciiTheme="majorHAnsi" w:hAnsiTheme="majorHAnsi" w:cs="Tahoma"/>
          <w:b/>
          <w:sz w:val="20"/>
          <w:szCs w:val="20"/>
          <w:lang w:val="es-VE"/>
        </w:rPr>
      </w:pPr>
      <w:r w:rsidRPr="007F3D68">
        <w:rPr>
          <w:rFonts w:asciiTheme="majorHAnsi" w:hAnsiTheme="majorHAnsi" w:cs="Tahoma"/>
          <w:b/>
          <w:sz w:val="20"/>
          <w:szCs w:val="20"/>
          <w:lang w:val="es-VE"/>
        </w:rPr>
        <w:t>Análisis del caso</w:t>
      </w:r>
    </w:p>
    <w:p w:rsidR="0008231E" w:rsidRPr="007F3D68" w:rsidRDefault="0008231E" w:rsidP="00980623">
      <w:pPr>
        <w:rPr>
          <w:sz w:val="20"/>
          <w:szCs w:val="20"/>
          <w:lang w:val="es-CL"/>
        </w:rPr>
      </w:pPr>
    </w:p>
    <w:p w:rsidR="00292A1B"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 xml:space="preserve">Como se describió en los hechos probados, con base en los estándares citados la Corte Interamericana declaró la incompatibilidad con la Convención Americana del artículo 132 del Código Penal guatemalteco que tipifica el asesinato y establece la pena de muerte sobre la base de la peligrosidad de la persona condenada. Concretamente, la Corte consideró que dicho artículo era violatorio del principio de legalidad en relación con el deber de adoptar disposiciones de derecho interno. </w:t>
      </w:r>
    </w:p>
    <w:p w:rsidR="00292A1B" w:rsidRPr="007F3D68" w:rsidRDefault="00292A1B" w:rsidP="00292A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ES"/>
        </w:rPr>
      </w:pPr>
    </w:p>
    <w:p w:rsidR="00916668" w:rsidRPr="007F3D68" w:rsidRDefault="000655ED" w:rsidP="00292A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 xml:space="preserve">En el presente caso, el señor </w:t>
      </w:r>
      <w:r w:rsidR="004E62B4" w:rsidRPr="007F3D68">
        <w:rPr>
          <w:rFonts w:asciiTheme="majorHAnsi" w:hAnsiTheme="majorHAnsi"/>
          <w:sz w:val="20"/>
          <w:szCs w:val="20"/>
          <w:lang w:val="es-ES"/>
        </w:rPr>
        <w:t>Valenzuela Ávila</w:t>
      </w:r>
      <w:r w:rsidR="00F5234A" w:rsidRPr="007F3D68">
        <w:rPr>
          <w:rFonts w:asciiTheme="majorHAnsi" w:hAnsiTheme="majorHAnsi"/>
          <w:sz w:val="20"/>
          <w:szCs w:val="20"/>
          <w:lang w:val="es-ES"/>
        </w:rPr>
        <w:t xml:space="preserve"> </w:t>
      </w:r>
      <w:r w:rsidRPr="007F3D68">
        <w:rPr>
          <w:rFonts w:asciiTheme="majorHAnsi" w:hAnsiTheme="majorHAnsi"/>
          <w:sz w:val="20"/>
          <w:szCs w:val="20"/>
          <w:lang w:val="es-ES"/>
        </w:rPr>
        <w:t xml:space="preserve">fue encontrado responsable penalmente por el </w:t>
      </w:r>
      <w:r w:rsidR="00B34D31">
        <w:rPr>
          <w:rFonts w:asciiTheme="majorHAnsi" w:hAnsiTheme="majorHAnsi"/>
          <w:sz w:val="20"/>
          <w:szCs w:val="20"/>
          <w:lang w:val="es-ES"/>
        </w:rPr>
        <w:t xml:space="preserve">delito de </w:t>
      </w:r>
      <w:r w:rsidRPr="007F3D68">
        <w:rPr>
          <w:rFonts w:asciiTheme="majorHAnsi" w:hAnsiTheme="majorHAnsi"/>
          <w:sz w:val="20"/>
          <w:szCs w:val="20"/>
          <w:lang w:val="es-ES"/>
        </w:rPr>
        <w:t xml:space="preserve">asesinato. </w:t>
      </w:r>
      <w:r w:rsidR="00F5234A" w:rsidRPr="007F3D68">
        <w:rPr>
          <w:rFonts w:asciiTheme="majorHAnsi" w:hAnsiTheme="majorHAnsi"/>
          <w:sz w:val="20"/>
          <w:szCs w:val="20"/>
          <w:lang w:val="es-ES"/>
        </w:rPr>
        <w:t>E</w:t>
      </w:r>
      <w:r w:rsidRPr="007F3D68">
        <w:rPr>
          <w:rFonts w:asciiTheme="majorHAnsi" w:hAnsiTheme="majorHAnsi"/>
          <w:sz w:val="20"/>
          <w:szCs w:val="20"/>
          <w:lang w:val="es-ES"/>
        </w:rPr>
        <w:t xml:space="preserve">n aplicación del artículo 132 del Código Penal que establecía textualmente el elemento de la peligrosidad como criterio para la imposición de la pena de muerte en caso de asesinato, el señor </w:t>
      </w:r>
      <w:r w:rsidR="00223356" w:rsidRPr="007F3D68">
        <w:rPr>
          <w:rFonts w:asciiTheme="majorHAnsi" w:hAnsiTheme="majorHAnsi"/>
          <w:sz w:val="20"/>
          <w:szCs w:val="20"/>
          <w:lang w:val="es-ES"/>
        </w:rPr>
        <w:t xml:space="preserve">Valenzuela Ávila </w:t>
      </w:r>
      <w:r w:rsidRPr="007F3D68">
        <w:rPr>
          <w:rFonts w:asciiTheme="majorHAnsi" w:hAnsiTheme="majorHAnsi"/>
          <w:sz w:val="20"/>
          <w:szCs w:val="20"/>
          <w:lang w:val="es-ES"/>
        </w:rPr>
        <w:t xml:space="preserve">fue condenado a dicha pena. </w:t>
      </w:r>
      <w:r w:rsidR="005A68B3" w:rsidRPr="007F3D68">
        <w:rPr>
          <w:rFonts w:asciiTheme="majorHAnsi" w:hAnsiTheme="majorHAnsi"/>
          <w:sz w:val="20"/>
          <w:szCs w:val="20"/>
          <w:lang w:val="es-ES"/>
        </w:rPr>
        <w:t xml:space="preserve">Como se indicó en la sección anterior, el uso de la noción de peligrosidad como el elemento determinante para imponer la pena de muerte, resulta en sí mismo una manifestación del derecho penal de autor, pues </w:t>
      </w:r>
      <w:r w:rsidR="00654E63" w:rsidRPr="007F3D68">
        <w:rPr>
          <w:rFonts w:asciiTheme="majorHAnsi" w:hAnsiTheme="majorHAnsi"/>
          <w:sz w:val="20"/>
          <w:szCs w:val="20"/>
          <w:lang w:val="es-ES"/>
        </w:rPr>
        <w:t xml:space="preserve">tal como estaba regulado en Guatemala, se establece una pena específica y más grave con base en las características personales del condenado y no con base en los actos por él cometidos. </w:t>
      </w:r>
    </w:p>
    <w:p w:rsidR="00916668" w:rsidRPr="007F3D68" w:rsidRDefault="00916668" w:rsidP="00916668">
      <w:pPr>
        <w:pStyle w:val="ListParagraph"/>
        <w:rPr>
          <w:rFonts w:asciiTheme="majorHAnsi" w:hAnsiTheme="majorHAnsi"/>
          <w:sz w:val="20"/>
          <w:szCs w:val="20"/>
          <w:lang w:val="es-ES"/>
        </w:rPr>
      </w:pPr>
    </w:p>
    <w:p w:rsidR="004C1607" w:rsidRPr="007F3D68" w:rsidRDefault="00916668" w:rsidP="004C160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ES"/>
        </w:rPr>
        <w:t>E</w:t>
      </w:r>
      <w:r w:rsidR="00654E63" w:rsidRPr="007F3D68">
        <w:rPr>
          <w:rFonts w:asciiTheme="majorHAnsi" w:hAnsiTheme="majorHAnsi"/>
          <w:sz w:val="20"/>
          <w:szCs w:val="20"/>
          <w:lang w:val="es-ES"/>
        </w:rPr>
        <w:t>n el presente caso, la autoridad judicial que impuso la pena de muerte, al momento de analizar la “peligrosidad social” hizo referencia</w:t>
      </w:r>
      <w:r w:rsidRPr="007F3D68">
        <w:rPr>
          <w:rFonts w:asciiTheme="majorHAnsi" w:hAnsiTheme="majorHAnsi"/>
          <w:sz w:val="20"/>
          <w:szCs w:val="20"/>
          <w:lang w:val="es-ES"/>
        </w:rPr>
        <w:t xml:space="preserve"> tanto a “antecedentes personales desfavorables del culpable”, como a </w:t>
      </w:r>
      <w:r w:rsidR="00654E63" w:rsidRPr="007F3D68">
        <w:rPr>
          <w:rFonts w:asciiTheme="majorHAnsi" w:hAnsiTheme="majorHAnsi"/>
          <w:sz w:val="20"/>
          <w:szCs w:val="20"/>
          <w:lang w:val="es-ES"/>
        </w:rPr>
        <w:t>las circunstanc</w:t>
      </w:r>
      <w:r w:rsidRPr="007F3D68">
        <w:rPr>
          <w:rFonts w:asciiTheme="majorHAnsi" w:hAnsiTheme="majorHAnsi"/>
          <w:sz w:val="20"/>
          <w:szCs w:val="20"/>
          <w:lang w:val="es-ES"/>
        </w:rPr>
        <w:t>ias en que se cometió el delito, así como comportamientos de la presunta víctima ya estando privada de libertad.</w:t>
      </w:r>
      <w:r w:rsidR="00DE238D" w:rsidRPr="007F3D68">
        <w:rPr>
          <w:rFonts w:asciiTheme="majorHAnsi" w:hAnsiTheme="majorHAnsi"/>
          <w:sz w:val="20"/>
          <w:szCs w:val="20"/>
          <w:lang w:val="es-ES"/>
        </w:rPr>
        <w:t xml:space="preserve"> Conforme a la legislación guatemalteca, el uso de estos elementos tuvo la finalidad </w:t>
      </w:r>
      <w:r w:rsidR="0024529F" w:rsidRPr="007F3D68">
        <w:rPr>
          <w:rFonts w:asciiTheme="majorHAnsi" w:hAnsiTheme="majorHAnsi"/>
          <w:sz w:val="20"/>
          <w:szCs w:val="20"/>
          <w:lang w:val="es-ES"/>
        </w:rPr>
        <w:t xml:space="preserve">desprender características personales del señor Valenzuela Ávila, para determinar su alto grado de peligrosidad social. </w:t>
      </w:r>
    </w:p>
    <w:p w:rsidR="004C1607" w:rsidRPr="007F3D68" w:rsidRDefault="004C1607" w:rsidP="004C1607">
      <w:pPr>
        <w:pStyle w:val="ListParagraph"/>
        <w:rPr>
          <w:rFonts w:asciiTheme="majorHAnsi" w:hAnsiTheme="majorHAnsi"/>
          <w:sz w:val="20"/>
          <w:szCs w:val="20"/>
          <w:lang w:val="es-ES"/>
        </w:rPr>
      </w:pPr>
    </w:p>
    <w:p w:rsidR="008315AB" w:rsidRPr="007F3D68" w:rsidRDefault="008315AB" w:rsidP="008315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7F3D68">
        <w:rPr>
          <w:rFonts w:ascii="Cambria" w:hAnsi="Cambria"/>
          <w:sz w:val="20"/>
          <w:szCs w:val="20"/>
          <w:lang w:val="es-ES"/>
        </w:rPr>
        <w:t xml:space="preserve">En cuanto a las referencias a las circunstancias en que se cometió el delito, la Comisión aclara que según el artículo 4 de la Convención Americana, la pena de muerte debe imponerse por los delitos más graves. De esta manera, el uso de circunstancias agravantes del delito para imponer dicha pena </w:t>
      </w:r>
      <w:r w:rsidR="006C56CA" w:rsidRPr="007F3D68">
        <w:rPr>
          <w:rFonts w:ascii="Cambria" w:hAnsi="Cambria"/>
          <w:sz w:val="20"/>
          <w:szCs w:val="20"/>
          <w:lang w:val="es-ES"/>
        </w:rPr>
        <w:t>no es inconsistente con la Convención</w:t>
      </w:r>
      <w:r w:rsidRPr="007F3D68">
        <w:rPr>
          <w:rFonts w:ascii="Cambria" w:hAnsi="Cambria"/>
          <w:sz w:val="20"/>
          <w:szCs w:val="20"/>
          <w:lang w:val="es-ES"/>
        </w:rPr>
        <w:t>. Si</w:t>
      </w:r>
      <w:r w:rsidR="00B34D31">
        <w:rPr>
          <w:rFonts w:ascii="Cambria" w:hAnsi="Cambria"/>
          <w:sz w:val="20"/>
          <w:szCs w:val="20"/>
          <w:lang w:val="es-ES"/>
        </w:rPr>
        <w:t xml:space="preserve">n embargo, </w:t>
      </w:r>
      <w:r w:rsidR="006C56CA" w:rsidRPr="007F3D68">
        <w:rPr>
          <w:rFonts w:ascii="Cambria" w:hAnsi="Cambria"/>
          <w:sz w:val="20"/>
          <w:szCs w:val="20"/>
          <w:lang w:val="es-ES"/>
        </w:rPr>
        <w:t>en el presente caso</w:t>
      </w:r>
      <w:r w:rsidRPr="007F3D68">
        <w:rPr>
          <w:rFonts w:ascii="Cambria" w:hAnsi="Cambria"/>
          <w:sz w:val="20"/>
          <w:szCs w:val="20"/>
          <w:lang w:val="es-ES"/>
        </w:rPr>
        <w:t xml:space="preserve">, conforme al tipo penal de asesinato, las referencias a las circunstancias en que se cometió el delito no tenían la finalidad de imponer la pena de muerte para castigar dichas circunstancias – lo cual hubiese sido contrario a la propia legislación penal - sino para desprender de dichas circunstancias, características personales del señor Valenzuela Ávila y justificar así su peligrosidad. En consecuencia, la noción de peligrosidad – en tanto manifestación del derecho penal de autor – resultó incompatible con principios esenciales en una sociedad democrática y, específicamente, con el principio de legalidad penal y de presunción de inocencia. </w:t>
      </w:r>
    </w:p>
    <w:p w:rsidR="00292A1B" w:rsidRPr="007F3D68" w:rsidRDefault="00292A1B" w:rsidP="00292A1B">
      <w:pPr>
        <w:pStyle w:val="ListParagraph"/>
        <w:rPr>
          <w:rFonts w:asciiTheme="majorHAnsi" w:hAnsiTheme="majorHAnsi"/>
          <w:sz w:val="20"/>
          <w:szCs w:val="20"/>
          <w:lang w:val="es-ES"/>
        </w:rPr>
      </w:pPr>
    </w:p>
    <w:p w:rsidR="00012301" w:rsidRPr="007F3D68" w:rsidRDefault="000655ED" w:rsidP="004F1A7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L"/>
        </w:rPr>
        <w:t xml:space="preserve">En virtud de anteriores consideraciones, la Comisión concluye que el Estado de Guatemala es responsable por la violación del </w:t>
      </w:r>
      <w:r w:rsidRPr="007F3D68">
        <w:rPr>
          <w:rFonts w:asciiTheme="majorHAnsi" w:hAnsiTheme="majorHAnsi"/>
          <w:sz w:val="20"/>
          <w:szCs w:val="20"/>
          <w:lang w:val="es-ES"/>
        </w:rPr>
        <w:t>principio</w:t>
      </w:r>
      <w:r w:rsidRPr="007F3D68">
        <w:rPr>
          <w:rFonts w:asciiTheme="majorHAnsi" w:hAnsiTheme="majorHAnsi"/>
          <w:sz w:val="20"/>
          <w:szCs w:val="20"/>
          <w:lang w:val="es-CL"/>
        </w:rPr>
        <w:t xml:space="preserve"> de legalidad </w:t>
      </w:r>
      <w:r w:rsidR="007F10A3" w:rsidRPr="007F3D68">
        <w:rPr>
          <w:rFonts w:asciiTheme="majorHAnsi" w:hAnsiTheme="majorHAnsi"/>
          <w:sz w:val="20"/>
          <w:szCs w:val="20"/>
          <w:lang w:val="es-CL"/>
        </w:rPr>
        <w:t xml:space="preserve">y de presunción de inocencia </w:t>
      </w:r>
      <w:r w:rsidRPr="007F3D68">
        <w:rPr>
          <w:rFonts w:asciiTheme="majorHAnsi" w:hAnsiTheme="majorHAnsi"/>
          <w:sz w:val="20"/>
          <w:szCs w:val="20"/>
          <w:lang w:val="es-CL"/>
        </w:rPr>
        <w:t>establecido</w:t>
      </w:r>
      <w:r w:rsidR="007F10A3" w:rsidRPr="007F3D68">
        <w:rPr>
          <w:rFonts w:asciiTheme="majorHAnsi" w:hAnsiTheme="majorHAnsi"/>
          <w:sz w:val="20"/>
          <w:szCs w:val="20"/>
          <w:lang w:val="es-CL"/>
        </w:rPr>
        <w:t>s en los</w:t>
      </w:r>
      <w:r w:rsidRPr="007F3D68">
        <w:rPr>
          <w:rFonts w:asciiTheme="majorHAnsi" w:hAnsiTheme="majorHAnsi"/>
          <w:sz w:val="20"/>
          <w:szCs w:val="20"/>
          <w:lang w:val="es-CL"/>
        </w:rPr>
        <w:t xml:space="preserve"> artículo</w:t>
      </w:r>
      <w:r w:rsidR="007F10A3" w:rsidRPr="007F3D68">
        <w:rPr>
          <w:rFonts w:asciiTheme="majorHAnsi" w:hAnsiTheme="majorHAnsi"/>
          <w:sz w:val="20"/>
          <w:szCs w:val="20"/>
          <w:lang w:val="es-CL"/>
        </w:rPr>
        <w:t>s</w:t>
      </w:r>
      <w:r w:rsidRPr="007F3D68">
        <w:rPr>
          <w:rFonts w:asciiTheme="majorHAnsi" w:hAnsiTheme="majorHAnsi"/>
          <w:sz w:val="20"/>
          <w:szCs w:val="20"/>
          <w:lang w:val="es-CL"/>
        </w:rPr>
        <w:t xml:space="preserve"> 9</w:t>
      </w:r>
      <w:r w:rsidR="007F10A3" w:rsidRPr="007F3D68">
        <w:rPr>
          <w:rFonts w:asciiTheme="majorHAnsi" w:hAnsiTheme="majorHAnsi"/>
          <w:sz w:val="20"/>
          <w:szCs w:val="20"/>
          <w:lang w:val="es-CL"/>
        </w:rPr>
        <w:t xml:space="preserve"> y 8.2</w:t>
      </w:r>
      <w:r w:rsidRPr="007F3D68">
        <w:rPr>
          <w:rFonts w:asciiTheme="majorHAnsi" w:hAnsiTheme="majorHAnsi"/>
          <w:sz w:val="20"/>
          <w:szCs w:val="20"/>
          <w:lang w:val="es-CL"/>
        </w:rPr>
        <w:t xml:space="preserve"> de la Convención Americana en relación con las obligaciones establecidas en los artículos 1.1 y 2 del mismo instrumento, en perjuicio de </w:t>
      </w:r>
      <w:r w:rsidR="009C167A" w:rsidRPr="007F3D68">
        <w:rPr>
          <w:rFonts w:asciiTheme="majorHAnsi" w:hAnsiTheme="majorHAnsi"/>
          <w:sz w:val="20"/>
          <w:szCs w:val="20"/>
          <w:lang w:val="es-CL"/>
        </w:rPr>
        <w:t>Tirso Román Valenzuela Ávila</w:t>
      </w:r>
      <w:r w:rsidRPr="007F3D68">
        <w:rPr>
          <w:rFonts w:asciiTheme="majorHAnsi" w:hAnsiTheme="majorHAnsi"/>
          <w:sz w:val="20"/>
          <w:szCs w:val="20"/>
          <w:lang w:val="es-CL"/>
        </w:rPr>
        <w:t>.</w:t>
      </w:r>
    </w:p>
    <w:p w:rsidR="00391051" w:rsidRPr="007F3D68" w:rsidRDefault="00A93FDD" w:rsidP="008E793C">
      <w:pPr>
        <w:pStyle w:val="Heading3"/>
        <w:numPr>
          <w:ilvl w:val="0"/>
          <w:numId w:val="78"/>
        </w:numPr>
        <w:tabs>
          <w:tab w:val="left" w:pos="1260"/>
        </w:tabs>
        <w:ind w:hanging="1080"/>
        <w:rPr>
          <w:color w:val="auto"/>
          <w:sz w:val="20"/>
          <w:szCs w:val="20"/>
          <w:lang w:val="es-CO"/>
        </w:rPr>
      </w:pPr>
      <w:bookmarkStart w:id="95" w:name="_Toc495479556"/>
      <w:r w:rsidRPr="007F3D68">
        <w:rPr>
          <w:color w:val="auto"/>
          <w:sz w:val="20"/>
          <w:szCs w:val="20"/>
          <w:lang w:val="es-CO"/>
        </w:rPr>
        <w:lastRenderedPageBreak/>
        <w:t xml:space="preserve">Sobre el derecho </w:t>
      </w:r>
      <w:r w:rsidR="006E338A" w:rsidRPr="007F3D68">
        <w:rPr>
          <w:color w:val="auto"/>
          <w:sz w:val="20"/>
          <w:szCs w:val="20"/>
          <w:lang w:val="es-CO"/>
        </w:rPr>
        <w:t>a recurrir el fallo condenatorio</w:t>
      </w:r>
      <w:bookmarkEnd w:id="95"/>
    </w:p>
    <w:p w:rsidR="006E338A" w:rsidRPr="007F3D68" w:rsidRDefault="006E338A" w:rsidP="006E338A">
      <w:pPr>
        <w:rPr>
          <w:lang w:val="es-CO"/>
        </w:rPr>
      </w:pPr>
    </w:p>
    <w:p w:rsidR="004A2395" w:rsidRPr="007F3D68" w:rsidRDefault="004A2395" w:rsidP="00966F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VE"/>
        </w:rPr>
        <w:t xml:space="preserve">Un aspecto fundamental del derecho de defensa es la posibilidad de recurrir el fallo condenatorio ante juez o tribunal superior, reconocido en el artículo 8.2 h) de la </w:t>
      </w:r>
      <w:r w:rsidRPr="007F3D68">
        <w:rPr>
          <w:rFonts w:asciiTheme="majorHAnsi" w:hAnsiTheme="majorHAnsi"/>
          <w:sz w:val="20"/>
          <w:szCs w:val="20"/>
          <w:lang w:val="es-ES"/>
        </w:rPr>
        <w:t>Convención</w:t>
      </w:r>
      <w:r w:rsidRPr="007F3D68">
        <w:rPr>
          <w:rFonts w:asciiTheme="majorHAnsi" w:hAnsiTheme="majorHAnsi"/>
          <w:sz w:val="20"/>
          <w:szCs w:val="20"/>
          <w:lang w:val="es-VE"/>
        </w:rPr>
        <w:t xml:space="preserve"> Americana. A fin de que el recurso previsto en la legislación interna cumpla con esta garantía, dicho recurso: </w:t>
      </w:r>
    </w:p>
    <w:p w:rsidR="004A2395" w:rsidRPr="007F3D68" w:rsidRDefault="004A2395" w:rsidP="004A23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4A2395" w:rsidRPr="007F3D68" w:rsidRDefault="004A2395" w:rsidP="004A23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right="720"/>
        <w:jc w:val="both"/>
        <w:rPr>
          <w:rFonts w:asciiTheme="majorHAnsi" w:hAnsiTheme="majorHAnsi"/>
          <w:sz w:val="20"/>
          <w:szCs w:val="20"/>
          <w:lang w:val="es-ES"/>
        </w:rPr>
      </w:pPr>
      <w:r w:rsidRPr="007F3D68">
        <w:rPr>
          <w:rFonts w:asciiTheme="majorHAnsi" w:hAnsiTheme="majorHAnsi"/>
          <w:sz w:val="20"/>
          <w:szCs w:val="20"/>
          <w:lang w:val="es-CL"/>
        </w:rPr>
        <w:t>(…) debe constituir un medio adecuado para procurar la corrección de una condena errónea. Ello requiere que pueda analizar las cuestiones fácticas, probatorias y jurídicas 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 Consecuentemente, las causales de procedencia del recurso deben posibilitar un control amplio de los aspectos impugnados de la sentencia condenatoria</w:t>
      </w:r>
      <w:r w:rsidRPr="007F3D68">
        <w:rPr>
          <w:rStyle w:val="FootnoteReference"/>
          <w:rFonts w:asciiTheme="majorHAnsi" w:hAnsiTheme="majorHAnsi"/>
          <w:sz w:val="20"/>
          <w:szCs w:val="20"/>
          <w:lang w:val="es-CL"/>
        </w:rPr>
        <w:footnoteReference w:id="79"/>
      </w:r>
      <w:r w:rsidRPr="007F3D68">
        <w:rPr>
          <w:rFonts w:asciiTheme="majorHAnsi" w:hAnsiTheme="majorHAnsi"/>
          <w:sz w:val="20"/>
          <w:szCs w:val="20"/>
          <w:lang w:val="es-CL"/>
        </w:rPr>
        <w:t xml:space="preserve">. </w:t>
      </w:r>
    </w:p>
    <w:p w:rsidR="004A2395" w:rsidRPr="007F3D68" w:rsidRDefault="004A2395" w:rsidP="004A23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35"/>
        </w:tabs>
        <w:jc w:val="both"/>
        <w:rPr>
          <w:rFonts w:asciiTheme="majorHAnsi" w:hAnsiTheme="majorHAnsi"/>
          <w:sz w:val="20"/>
          <w:szCs w:val="20"/>
          <w:lang w:val="es-CL"/>
        </w:rPr>
      </w:pPr>
      <w:r w:rsidRPr="007F3D68">
        <w:rPr>
          <w:rFonts w:asciiTheme="majorHAnsi" w:hAnsiTheme="majorHAnsi"/>
          <w:sz w:val="20"/>
          <w:szCs w:val="20"/>
          <w:lang w:val="es-CL"/>
        </w:rPr>
        <w:tab/>
      </w:r>
    </w:p>
    <w:p w:rsidR="008E793C" w:rsidRPr="007F3D68" w:rsidRDefault="004A2395" w:rsidP="008E7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L"/>
        </w:rPr>
        <w:t>Por su parte, la CIDH ha indicado que “</w:t>
      </w:r>
      <w:r w:rsidRPr="007F3D68">
        <w:rPr>
          <w:rFonts w:asciiTheme="majorHAnsi" w:hAnsiTheme="majorHAnsi"/>
          <w:sz w:val="20"/>
          <w:szCs w:val="20"/>
          <w:lang w:val="es-CO"/>
        </w:rPr>
        <w:t xml:space="preserve">el derecho a recurrir no implica necesariamente </w:t>
      </w:r>
      <w:r w:rsidRPr="007F3D68">
        <w:rPr>
          <w:rFonts w:asciiTheme="majorHAnsi" w:hAnsiTheme="majorHAnsi"/>
          <w:sz w:val="20"/>
          <w:szCs w:val="20"/>
          <w:lang w:val="es-ES_tradnl"/>
        </w:rPr>
        <w:t xml:space="preserve">un nuevo juicio o una nueva “audiencia”, siempre que el tribunal que realiza la </w:t>
      </w:r>
      <w:r w:rsidRPr="007F3D68">
        <w:rPr>
          <w:rFonts w:asciiTheme="majorHAnsi" w:hAnsiTheme="majorHAnsi" w:cs="Times-Roman"/>
          <w:sz w:val="20"/>
          <w:szCs w:val="20"/>
          <w:lang w:val="es-ES_tradnl" w:bidi="en-US"/>
        </w:rPr>
        <w:t xml:space="preserve">revisión no esté impedido de </w:t>
      </w:r>
      <w:r w:rsidRPr="007F3D68">
        <w:rPr>
          <w:rFonts w:asciiTheme="majorHAnsi" w:hAnsiTheme="majorHAnsi"/>
          <w:sz w:val="20"/>
          <w:szCs w:val="20"/>
          <w:lang w:val="es-ES_tradnl"/>
        </w:rPr>
        <w:t>estudiar los hechos de la causa</w:t>
      </w:r>
      <w:r w:rsidRPr="007F3D68">
        <w:rPr>
          <w:rStyle w:val="FootnoteReference"/>
          <w:rFonts w:asciiTheme="majorHAnsi" w:hAnsiTheme="majorHAnsi"/>
          <w:sz w:val="20"/>
          <w:szCs w:val="20"/>
          <w:lang w:val="es-ES_tradnl"/>
        </w:rPr>
        <w:footnoteReference w:id="80"/>
      </w:r>
      <w:r w:rsidRPr="007F3D68">
        <w:rPr>
          <w:rFonts w:asciiTheme="majorHAnsi" w:hAnsiTheme="majorHAnsi"/>
          <w:sz w:val="20"/>
          <w:szCs w:val="20"/>
          <w:lang w:val="es-ES_tradnl"/>
        </w:rPr>
        <w:t xml:space="preserve">. Lo que exige la norma es la posibilidad de señalar y obtener respuesta sobre errores que hubiera podido </w:t>
      </w:r>
      <w:r w:rsidRPr="007F3D68">
        <w:rPr>
          <w:rFonts w:asciiTheme="majorHAnsi" w:hAnsiTheme="majorHAnsi"/>
          <w:sz w:val="20"/>
          <w:szCs w:val="20"/>
          <w:lang w:val="es-CL"/>
        </w:rPr>
        <w:t>cometer</w:t>
      </w:r>
      <w:r w:rsidRPr="007F3D68">
        <w:rPr>
          <w:rFonts w:asciiTheme="majorHAnsi" w:hAnsiTheme="majorHAnsi"/>
          <w:sz w:val="20"/>
          <w:szCs w:val="20"/>
          <w:lang w:val="es-ES_tradnl"/>
        </w:rPr>
        <w:t xml:space="preserve"> el juez o tribunal, sin excluir </w:t>
      </w:r>
      <w:r w:rsidRPr="007F3D68">
        <w:rPr>
          <w:rFonts w:asciiTheme="majorHAnsi" w:hAnsiTheme="majorHAnsi"/>
          <w:i/>
          <w:sz w:val="20"/>
          <w:szCs w:val="20"/>
          <w:lang w:val="es-ES_tradnl"/>
        </w:rPr>
        <w:t>a priori</w:t>
      </w:r>
      <w:r w:rsidRPr="007F3D68">
        <w:rPr>
          <w:rFonts w:asciiTheme="majorHAnsi" w:hAnsiTheme="majorHAnsi"/>
          <w:sz w:val="20"/>
          <w:szCs w:val="20"/>
          <w:lang w:val="es-ES_tradnl"/>
        </w:rPr>
        <w:t xml:space="preserve"> ciertas categorías como los hechos y la valoración y recepción de la prueba</w:t>
      </w:r>
      <w:r w:rsidRPr="007F3D68">
        <w:rPr>
          <w:rStyle w:val="FootnoteReference"/>
          <w:rFonts w:asciiTheme="majorHAnsi" w:hAnsiTheme="majorHAnsi"/>
          <w:sz w:val="20"/>
          <w:szCs w:val="20"/>
          <w:lang w:val="es-ES_tradnl"/>
        </w:rPr>
        <w:footnoteReference w:id="81"/>
      </w:r>
      <w:r w:rsidRPr="007F3D68">
        <w:rPr>
          <w:rFonts w:asciiTheme="majorHAnsi" w:hAnsiTheme="majorHAnsi"/>
          <w:sz w:val="20"/>
          <w:szCs w:val="20"/>
          <w:lang w:val="es-ES_tradnl"/>
        </w:rPr>
        <w:t>.</w:t>
      </w:r>
    </w:p>
    <w:p w:rsidR="008E793C" w:rsidRPr="007F3D68" w:rsidRDefault="008E793C" w:rsidP="008E7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ES"/>
        </w:rPr>
      </w:pPr>
    </w:p>
    <w:p w:rsidR="008E793C" w:rsidRPr="007F3D68" w:rsidRDefault="00064A20" w:rsidP="008E7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L"/>
        </w:rPr>
        <w:t>L</w:t>
      </w:r>
      <w:r w:rsidR="000E3B73" w:rsidRPr="007F3D68">
        <w:rPr>
          <w:rFonts w:asciiTheme="majorHAnsi" w:hAnsiTheme="majorHAnsi"/>
          <w:sz w:val="20"/>
          <w:szCs w:val="20"/>
          <w:lang w:val="es-CL"/>
        </w:rPr>
        <w:t xml:space="preserve">a Comisión recuerda que la </w:t>
      </w:r>
      <w:r w:rsidR="00170D7D" w:rsidRPr="007F3D68">
        <w:rPr>
          <w:rFonts w:asciiTheme="majorHAnsi" w:hAnsiTheme="majorHAnsi"/>
          <w:sz w:val="20"/>
          <w:szCs w:val="20"/>
          <w:lang w:val="es-CL"/>
        </w:rPr>
        <w:t xml:space="preserve">defensa de la </w:t>
      </w:r>
      <w:r w:rsidR="000E3B73" w:rsidRPr="007F3D68">
        <w:rPr>
          <w:rFonts w:asciiTheme="majorHAnsi" w:hAnsiTheme="majorHAnsi"/>
          <w:sz w:val="20"/>
          <w:szCs w:val="20"/>
          <w:lang w:val="es-CL"/>
        </w:rPr>
        <w:t xml:space="preserve">presunta víctima interpuso un recurso de apelación especial en contra de la sentencia que lo condenó a la pena de muerte, alegando, </w:t>
      </w:r>
      <w:r w:rsidR="00170D7D" w:rsidRPr="007F3D68">
        <w:rPr>
          <w:rFonts w:asciiTheme="majorHAnsi" w:hAnsiTheme="majorHAnsi"/>
          <w:sz w:val="20"/>
          <w:szCs w:val="20"/>
          <w:lang w:val="es-CL"/>
        </w:rPr>
        <w:t>vicios tanto de forma como de fondo. L</w:t>
      </w:r>
      <w:r w:rsidR="000E3B73" w:rsidRPr="007F3D68">
        <w:rPr>
          <w:rFonts w:asciiTheme="majorHAnsi" w:hAnsiTheme="majorHAnsi"/>
          <w:sz w:val="20"/>
          <w:szCs w:val="20"/>
          <w:lang w:val="es-CL"/>
        </w:rPr>
        <w:t>a Sala</w:t>
      </w:r>
      <w:r w:rsidR="00170D7D" w:rsidRPr="007F3D68">
        <w:rPr>
          <w:rFonts w:asciiTheme="majorHAnsi" w:hAnsiTheme="majorHAnsi"/>
          <w:sz w:val="20"/>
          <w:szCs w:val="20"/>
          <w:lang w:val="es-CL"/>
        </w:rPr>
        <w:t xml:space="preserve"> rechazó el recurso interpuesto </w:t>
      </w:r>
      <w:r w:rsidR="00267BAC" w:rsidRPr="007F3D68">
        <w:rPr>
          <w:rFonts w:asciiTheme="majorHAnsi" w:hAnsiTheme="majorHAnsi"/>
          <w:sz w:val="20"/>
          <w:szCs w:val="20"/>
          <w:lang w:val="es-CL"/>
        </w:rPr>
        <w:t>invocando deficiencias en la formulación de los car</w:t>
      </w:r>
      <w:r w:rsidR="000457C7" w:rsidRPr="007F3D68">
        <w:rPr>
          <w:rFonts w:asciiTheme="majorHAnsi" w:hAnsiTheme="majorHAnsi"/>
          <w:sz w:val="20"/>
          <w:szCs w:val="20"/>
          <w:lang w:val="es-CL"/>
        </w:rPr>
        <w:t>g</w:t>
      </w:r>
      <w:r w:rsidR="00267BAC" w:rsidRPr="007F3D68">
        <w:rPr>
          <w:rFonts w:asciiTheme="majorHAnsi" w:hAnsiTheme="majorHAnsi"/>
          <w:sz w:val="20"/>
          <w:szCs w:val="20"/>
          <w:lang w:val="es-CL"/>
        </w:rPr>
        <w:t>os. Asimismo, como se indicó en los hechos probados, en varias oportunidades la Sala hace referencia, como sustento de la improcedencia de lo alegado, a que lo que realmente pretende la defensa es cuestionar el contenido de diversos elementos probatorios, in</w:t>
      </w:r>
      <w:r w:rsidR="000457C7" w:rsidRPr="007F3D68">
        <w:rPr>
          <w:rFonts w:asciiTheme="majorHAnsi" w:hAnsiTheme="majorHAnsi"/>
          <w:sz w:val="20"/>
          <w:szCs w:val="20"/>
          <w:lang w:val="es-CL"/>
        </w:rPr>
        <w:t>cluyendo testimonios y pericias, así como la valoración de las mismas.</w:t>
      </w:r>
      <w:r w:rsidR="00267BAC" w:rsidRPr="007F3D68">
        <w:rPr>
          <w:rFonts w:asciiTheme="majorHAnsi" w:hAnsiTheme="majorHAnsi"/>
          <w:sz w:val="20"/>
          <w:szCs w:val="20"/>
          <w:lang w:val="es-CL"/>
        </w:rPr>
        <w:t xml:space="preserve"> </w:t>
      </w:r>
    </w:p>
    <w:p w:rsidR="008E793C" w:rsidRPr="007F3D68" w:rsidRDefault="008E793C" w:rsidP="008E793C">
      <w:pPr>
        <w:pStyle w:val="ListParagraph"/>
        <w:rPr>
          <w:rFonts w:asciiTheme="majorHAnsi" w:hAnsiTheme="majorHAnsi"/>
          <w:sz w:val="20"/>
          <w:szCs w:val="20"/>
          <w:lang w:val="es-CL"/>
        </w:rPr>
      </w:pPr>
    </w:p>
    <w:p w:rsidR="008E793C" w:rsidRPr="007F3D68" w:rsidRDefault="000E3B73" w:rsidP="008E7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L"/>
        </w:rPr>
        <w:t>Conforme al artículo 419 del Código de Procedimiento Penal “(…) el recurso especial de apelación sólo podrá hacerse valer cuando la sentencia contenga cualquiera de los siguientes vicios: 1) De fondo: inobservancia, interpretación indebida o errónea aplicación de la ley. 2) De forma: Inobservancia o errónea aplicación de la ley que constituya un defecto del procedimiento. En este caso, el recurso sólo será admisible si el interesado ha reclamado oportunamente su subsanación o hecho protesta de anulación, salvo en los casos del artículo siguiente”.</w:t>
      </w:r>
      <w:r w:rsidR="000457C7" w:rsidRPr="007F3D68">
        <w:rPr>
          <w:rFonts w:asciiTheme="majorHAnsi" w:hAnsiTheme="majorHAnsi"/>
          <w:sz w:val="20"/>
          <w:szCs w:val="20"/>
          <w:lang w:val="es-ES"/>
        </w:rPr>
        <w:t xml:space="preserve"> </w:t>
      </w:r>
      <w:r w:rsidRPr="007F3D68">
        <w:rPr>
          <w:rFonts w:asciiTheme="majorHAnsi" w:hAnsiTheme="majorHAnsi"/>
          <w:sz w:val="20"/>
          <w:szCs w:val="20"/>
          <w:lang w:val="es-CL"/>
        </w:rPr>
        <w:t xml:space="preserve">Asimismo, el artículo 430 del mismo Código, al referirse a la sentencia de apelación especial, establecía el principio de intangibilidad de la prueba en los siguientes términos: “la sentencia no podrá en ningún caso hacer mérito de la prueba o de los hechos que se declaren probados conforme a las reglas de la sana crítica razonada. Únicamente podrá referirse a ellos para la aplicación de la ley substantiva cuando exista manifiesta contradicción en la sentencia recurrida”. </w:t>
      </w:r>
    </w:p>
    <w:p w:rsidR="008E793C" w:rsidRPr="007F3D68" w:rsidRDefault="008E793C" w:rsidP="008E793C">
      <w:pPr>
        <w:pStyle w:val="ListParagraph"/>
        <w:rPr>
          <w:rFonts w:asciiTheme="majorHAnsi" w:hAnsiTheme="majorHAnsi"/>
          <w:sz w:val="20"/>
          <w:szCs w:val="20"/>
          <w:lang w:val="es-CL"/>
        </w:rPr>
      </w:pPr>
    </w:p>
    <w:p w:rsidR="008E793C" w:rsidRPr="007F3D68" w:rsidRDefault="000E3B73" w:rsidP="008E7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L"/>
        </w:rPr>
        <w:t>La Comisión recuerda que conforme a los estándares descritos, no se satisface el derecho al recurrir el fallo cuando están excluidas de verificación ciertas categorías como los hechos y la valoración de la prueba, como ocurrió en el presente caso. La Comisión observa que la manera en que decidió el tribunal de segunda instancia en el caso resulta de la propia forma en que está regulado el recurso de apelación, con motivos limitados a errores de derecho o de procedimiento, pero excluyendo del análisis, como regla general, la revisión de los hechos y la valoración de la prueba.</w:t>
      </w:r>
    </w:p>
    <w:p w:rsidR="008E793C" w:rsidRPr="007F3D68" w:rsidRDefault="008E793C" w:rsidP="008E793C">
      <w:pPr>
        <w:pStyle w:val="ListParagraph"/>
        <w:rPr>
          <w:rFonts w:asciiTheme="majorHAnsi" w:hAnsiTheme="majorHAnsi"/>
          <w:sz w:val="20"/>
          <w:szCs w:val="20"/>
          <w:lang w:val="es-CO"/>
        </w:rPr>
      </w:pPr>
    </w:p>
    <w:p w:rsidR="008E793C" w:rsidRPr="007F3D68" w:rsidRDefault="009A30A5" w:rsidP="008E7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O"/>
        </w:rPr>
        <w:lastRenderedPageBreak/>
        <w:t>E</w:t>
      </w:r>
      <w:r w:rsidR="003363EF" w:rsidRPr="007F3D68">
        <w:rPr>
          <w:rFonts w:asciiTheme="majorHAnsi" w:hAnsiTheme="majorHAnsi"/>
          <w:sz w:val="20"/>
          <w:szCs w:val="20"/>
          <w:lang w:val="es-CO"/>
        </w:rPr>
        <w:t xml:space="preserve">l señor Valenzuela Ávila, además de no contar con la posibilidad de recurrir el fallo condenatorio conforme a las exigencias del artículo 8.2 h) de la Convención, </w:t>
      </w:r>
      <w:r w:rsidR="00896A8D" w:rsidRPr="007F3D68">
        <w:rPr>
          <w:rFonts w:asciiTheme="majorHAnsi" w:hAnsiTheme="majorHAnsi"/>
          <w:sz w:val="20"/>
          <w:szCs w:val="20"/>
          <w:lang w:val="es-CO"/>
        </w:rPr>
        <w:t xml:space="preserve">tampoco contó con un recurso efectivo, ni en apelación ni en casación, para impugnar la condena a muerte a la luz de los estándares de la Convención Americana. </w:t>
      </w:r>
    </w:p>
    <w:p w:rsidR="008E793C" w:rsidRPr="007F3D68" w:rsidRDefault="008E793C" w:rsidP="008E793C">
      <w:pPr>
        <w:pStyle w:val="ListParagraph"/>
        <w:rPr>
          <w:rFonts w:asciiTheme="majorHAnsi" w:hAnsiTheme="majorHAnsi"/>
          <w:sz w:val="20"/>
          <w:szCs w:val="20"/>
          <w:lang w:val="es-CL"/>
        </w:rPr>
      </w:pPr>
    </w:p>
    <w:p w:rsidR="00966FD8" w:rsidRPr="007F3D68" w:rsidRDefault="000757B2" w:rsidP="00966F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sidRPr="007F3D68">
        <w:rPr>
          <w:rFonts w:asciiTheme="majorHAnsi" w:hAnsiTheme="majorHAnsi"/>
          <w:sz w:val="20"/>
          <w:szCs w:val="20"/>
          <w:lang w:val="es-CL"/>
        </w:rPr>
        <w:t>En virtud de anteriores consideraciones, la Comisión concluye que el Estado de Guatemala es responsable por la violación del</w:t>
      </w:r>
      <w:r w:rsidR="00ED6A09" w:rsidRPr="007F3D68">
        <w:rPr>
          <w:rFonts w:asciiTheme="majorHAnsi" w:hAnsiTheme="majorHAnsi"/>
          <w:sz w:val="20"/>
          <w:szCs w:val="20"/>
          <w:lang w:val="es-CL"/>
        </w:rPr>
        <w:t xml:space="preserve"> derecho a recurrir el fallo</w:t>
      </w:r>
      <w:r w:rsidR="009A30A5" w:rsidRPr="007F3D68">
        <w:rPr>
          <w:rFonts w:asciiTheme="majorHAnsi" w:hAnsiTheme="majorHAnsi"/>
          <w:sz w:val="20"/>
          <w:szCs w:val="20"/>
          <w:lang w:val="es-CL"/>
        </w:rPr>
        <w:t xml:space="preserve"> y a la protección judicial,</w:t>
      </w:r>
      <w:r w:rsidR="00ED6A09" w:rsidRPr="007F3D68">
        <w:rPr>
          <w:rFonts w:asciiTheme="majorHAnsi" w:hAnsiTheme="majorHAnsi"/>
          <w:sz w:val="20"/>
          <w:szCs w:val="20"/>
          <w:lang w:val="es-CL"/>
        </w:rPr>
        <w:t xml:space="preserve"> establecido</w:t>
      </w:r>
      <w:r w:rsidR="009A30A5" w:rsidRPr="007F3D68">
        <w:rPr>
          <w:rFonts w:asciiTheme="majorHAnsi" w:hAnsiTheme="majorHAnsi"/>
          <w:sz w:val="20"/>
          <w:szCs w:val="20"/>
          <w:lang w:val="es-CL"/>
        </w:rPr>
        <w:t>s</w:t>
      </w:r>
      <w:r w:rsidR="00ED6A09" w:rsidRPr="007F3D68">
        <w:rPr>
          <w:rFonts w:asciiTheme="majorHAnsi" w:hAnsiTheme="majorHAnsi"/>
          <w:sz w:val="20"/>
          <w:szCs w:val="20"/>
          <w:lang w:val="es-CL"/>
        </w:rPr>
        <w:t xml:space="preserve"> en el artículo 8.2 h) </w:t>
      </w:r>
      <w:r w:rsidR="009A30A5" w:rsidRPr="007F3D68">
        <w:rPr>
          <w:rFonts w:asciiTheme="majorHAnsi" w:hAnsiTheme="majorHAnsi"/>
          <w:sz w:val="20"/>
          <w:szCs w:val="20"/>
          <w:lang w:val="es-CL"/>
        </w:rPr>
        <w:t xml:space="preserve">y 25.1 </w:t>
      </w:r>
      <w:r w:rsidR="00ED6A09" w:rsidRPr="007F3D68">
        <w:rPr>
          <w:rFonts w:asciiTheme="majorHAnsi" w:hAnsiTheme="majorHAnsi"/>
          <w:sz w:val="20"/>
          <w:szCs w:val="20"/>
          <w:lang w:val="es-CL"/>
        </w:rPr>
        <w:t xml:space="preserve">de la Convención Americana </w:t>
      </w:r>
      <w:r w:rsidRPr="007F3D68">
        <w:rPr>
          <w:rFonts w:asciiTheme="majorHAnsi" w:hAnsiTheme="majorHAnsi"/>
          <w:sz w:val="20"/>
          <w:szCs w:val="20"/>
          <w:lang w:val="es-CL"/>
        </w:rPr>
        <w:t>en relación con las obligaciones establecidas en los artículos 1.1 y 2 del mismo instrumento, en perjuicio de Tirso Román Valenzuela Ávila.</w:t>
      </w:r>
    </w:p>
    <w:p w:rsidR="006D1B01" w:rsidRPr="007F3D68" w:rsidRDefault="000457C7" w:rsidP="008224EA">
      <w:pPr>
        <w:pStyle w:val="Heading3"/>
        <w:numPr>
          <w:ilvl w:val="0"/>
          <w:numId w:val="78"/>
        </w:numPr>
        <w:tabs>
          <w:tab w:val="left" w:pos="1260"/>
        </w:tabs>
        <w:ind w:hanging="1080"/>
        <w:rPr>
          <w:color w:val="auto"/>
          <w:sz w:val="20"/>
          <w:szCs w:val="20"/>
          <w:lang w:val="es-CO"/>
        </w:rPr>
      </w:pPr>
      <w:bookmarkStart w:id="96" w:name="_Toc495479557"/>
      <w:r w:rsidRPr="007F3D68">
        <w:rPr>
          <w:color w:val="auto"/>
          <w:sz w:val="20"/>
          <w:szCs w:val="20"/>
          <w:lang w:val="es-CO"/>
        </w:rPr>
        <w:t xml:space="preserve">Sobre la </w:t>
      </w:r>
      <w:proofErr w:type="spellStart"/>
      <w:r w:rsidRPr="007F3D68">
        <w:rPr>
          <w:color w:val="auto"/>
          <w:sz w:val="20"/>
          <w:szCs w:val="20"/>
          <w:lang w:val="es-CO"/>
        </w:rPr>
        <w:t>inconvencionalidad</w:t>
      </w:r>
      <w:proofErr w:type="spellEnd"/>
      <w:r w:rsidR="006D1B01" w:rsidRPr="007F3D68">
        <w:rPr>
          <w:color w:val="auto"/>
          <w:sz w:val="20"/>
          <w:szCs w:val="20"/>
          <w:lang w:val="es-CO"/>
        </w:rPr>
        <w:t xml:space="preserve"> de la imposición de la pena de muerte</w:t>
      </w:r>
      <w:bookmarkEnd w:id="96"/>
    </w:p>
    <w:p w:rsidR="006D1B01" w:rsidRPr="007F3D68" w:rsidRDefault="006D1B01" w:rsidP="004F1A79">
      <w:pPr>
        <w:rPr>
          <w:lang w:val="es-CO"/>
        </w:rPr>
      </w:pPr>
    </w:p>
    <w:p w:rsidR="008224EA" w:rsidRPr="007F3D68" w:rsidRDefault="006D1B01"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sz w:val="20"/>
          <w:szCs w:val="20"/>
          <w:lang w:val="es-CL"/>
        </w:rPr>
      </w:pPr>
      <w:r w:rsidRPr="007F3D68">
        <w:rPr>
          <w:rFonts w:asciiTheme="majorHAnsi" w:hAnsiTheme="majorHAnsi"/>
          <w:sz w:val="20"/>
          <w:szCs w:val="20"/>
          <w:lang w:val="es-CL"/>
        </w:rPr>
        <w:t>Tanto</w:t>
      </w:r>
      <w:r w:rsidRPr="007F3D68">
        <w:rPr>
          <w:rFonts w:asciiTheme="majorHAnsi" w:hAnsiTheme="majorHAnsi"/>
          <w:sz w:val="20"/>
          <w:szCs w:val="20"/>
          <w:lang w:val="es-VE"/>
        </w:rPr>
        <w:t xml:space="preserve"> la Corte como la Comisión Interamericana han indicado que la imposición de la pena de muerte debe ceñirse a lo dispuesto en el artículo 4.2 de la Convención Americana, es decir que únicamente puede imponerse para los </w:t>
      </w:r>
      <w:r w:rsidRPr="007F3D68">
        <w:rPr>
          <w:sz w:val="20"/>
          <w:szCs w:val="20"/>
          <w:lang w:val="es-CL"/>
        </w:rPr>
        <w:t>delitos</w:t>
      </w:r>
      <w:r w:rsidRPr="007F3D68">
        <w:rPr>
          <w:rFonts w:asciiTheme="majorHAnsi" w:hAnsiTheme="majorHAnsi"/>
          <w:sz w:val="20"/>
          <w:szCs w:val="20"/>
          <w:lang w:val="es-VE"/>
        </w:rPr>
        <w:t xml:space="preserve"> más graves</w:t>
      </w:r>
      <w:r w:rsidRPr="007F3D68">
        <w:rPr>
          <w:rStyle w:val="FootnoteReference"/>
          <w:rFonts w:asciiTheme="majorHAnsi" w:hAnsiTheme="majorHAnsi"/>
          <w:sz w:val="20"/>
          <w:szCs w:val="20"/>
          <w:lang w:val="es-VE"/>
        </w:rPr>
        <w:footnoteReference w:id="82"/>
      </w:r>
      <w:r w:rsidRPr="007F3D68">
        <w:rPr>
          <w:rFonts w:asciiTheme="majorHAnsi" w:hAnsiTheme="majorHAnsi"/>
          <w:sz w:val="20"/>
          <w:szCs w:val="20"/>
          <w:lang w:val="es-VE"/>
        </w:rPr>
        <w:t xml:space="preserve"> y no puede extenderse su uso al futuro para delitos para los cuales no estaba prevista en el momento de ratificación de la Convención Americana</w:t>
      </w:r>
      <w:r w:rsidRPr="007F3D68">
        <w:rPr>
          <w:rStyle w:val="FootnoteReference"/>
          <w:rFonts w:asciiTheme="majorHAnsi" w:hAnsiTheme="majorHAnsi"/>
          <w:sz w:val="20"/>
          <w:szCs w:val="20"/>
          <w:lang w:val="es-VE"/>
        </w:rPr>
        <w:footnoteReference w:id="83"/>
      </w:r>
      <w:r w:rsidRPr="007F3D68">
        <w:rPr>
          <w:rFonts w:asciiTheme="majorHAnsi" w:hAnsiTheme="majorHAnsi"/>
          <w:sz w:val="20"/>
          <w:szCs w:val="20"/>
          <w:lang w:val="es-VE"/>
        </w:rPr>
        <w:t>. Asimismo, del propio texto y de la interpretación que del mismo ha realizado la CIDH, resulta que la imposición de la pena de muerte en el marco de procesos que vulneren el debido proceso produce una violación del artículo 4.2 de la Convención Americana</w:t>
      </w:r>
      <w:r w:rsidRPr="007F3D68">
        <w:rPr>
          <w:rStyle w:val="FootnoteReference"/>
          <w:rFonts w:asciiTheme="majorHAnsi" w:hAnsiTheme="majorHAnsi"/>
          <w:sz w:val="20"/>
          <w:szCs w:val="20"/>
          <w:lang w:val="es-VE"/>
        </w:rPr>
        <w:footnoteReference w:id="84"/>
      </w:r>
      <w:r w:rsidRPr="007F3D68">
        <w:rPr>
          <w:rFonts w:asciiTheme="majorHAnsi" w:hAnsiTheme="majorHAnsi"/>
          <w:sz w:val="20"/>
          <w:szCs w:val="20"/>
          <w:lang w:val="es-VE"/>
        </w:rPr>
        <w:t xml:space="preserve">. </w:t>
      </w:r>
    </w:p>
    <w:p w:rsidR="008224EA" w:rsidRPr="007F3D68" w:rsidRDefault="008224EA" w:rsidP="008224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sz w:val="20"/>
          <w:szCs w:val="20"/>
          <w:lang w:val="es-CL"/>
        </w:rPr>
      </w:pPr>
    </w:p>
    <w:p w:rsidR="008224EA" w:rsidRPr="007F3D68" w:rsidRDefault="006D1B01"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sz w:val="20"/>
          <w:szCs w:val="20"/>
          <w:lang w:val="es-CL"/>
        </w:rPr>
      </w:pPr>
      <w:r w:rsidRPr="007F3D68">
        <w:rPr>
          <w:rFonts w:asciiTheme="majorHAnsi" w:hAnsiTheme="majorHAnsi"/>
          <w:sz w:val="20"/>
          <w:szCs w:val="20"/>
          <w:lang w:val="es-CL"/>
        </w:rPr>
        <w:t xml:space="preserve">La Comisión ya estableció en el presente informe que en el proceso que culminó con la imposición de la pena de muerte a </w:t>
      </w:r>
      <w:r w:rsidR="00173203" w:rsidRPr="007F3D68">
        <w:rPr>
          <w:rFonts w:asciiTheme="majorHAnsi" w:hAnsiTheme="majorHAnsi"/>
          <w:sz w:val="20"/>
          <w:szCs w:val="20"/>
          <w:lang w:val="es-CL"/>
        </w:rPr>
        <w:t>Tirso Román Valenzuela Ávila</w:t>
      </w:r>
      <w:r w:rsidRPr="007F3D68">
        <w:rPr>
          <w:rFonts w:asciiTheme="majorHAnsi" w:hAnsiTheme="majorHAnsi"/>
          <w:sz w:val="20"/>
          <w:szCs w:val="20"/>
          <w:lang w:val="es-CL"/>
        </w:rPr>
        <w:t>: i) se aplicó una norma incompatible con el principio de legalidad penal</w:t>
      </w:r>
      <w:r w:rsidR="00173203" w:rsidRPr="007F3D68">
        <w:rPr>
          <w:rFonts w:asciiTheme="majorHAnsi" w:hAnsiTheme="majorHAnsi"/>
          <w:sz w:val="20"/>
          <w:szCs w:val="20"/>
          <w:lang w:val="es-CL"/>
        </w:rPr>
        <w:t xml:space="preserve"> y presunción de inocencia</w:t>
      </w:r>
      <w:r w:rsidRPr="007F3D68">
        <w:rPr>
          <w:rFonts w:asciiTheme="majorHAnsi" w:hAnsiTheme="majorHAnsi"/>
          <w:sz w:val="20"/>
          <w:szCs w:val="20"/>
          <w:lang w:val="es-CL"/>
        </w:rPr>
        <w:t xml:space="preserve"> al establecer como criterio para imponer dicha pena la peligrosidad futura del condenado; y ii) se violó el derecho </w:t>
      </w:r>
      <w:r w:rsidR="00173203" w:rsidRPr="007F3D68">
        <w:rPr>
          <w:rFonts w:asciiTheme="majorHAnsi" w:hAnsiTheme="majorHAnsi"/>
          <w:sz w:val="20"/>
          <w:szCs w:val="20"/>
          <w:lang w:val="es-CL"/>
        </w:rPr>
        <w:t>a recurrir el fallo</w:t>
      </w:r>
      <w:r w:rsidRPr="007F3D68">
        <w:rPr>
          <w:rFonts w:asciiTheme="majorHAnsi" w:hAnsiTheme="majorHAnsi"/>
          <w:sz w:val="20"/>
          <w:szCs w:val="20"/>
          <w:lang w:val="es-CL"/>
        </w:rPr>
        <w:t xml:space="preserve">. </w:t>
      </w:r>
    </w:p>
    <w:p w:rsidR="008224EA" w:rsidRPr="007F3D68" w:rsidRDefault="008224EA" w:rsidP="008224EA">
      <w:pPr>
        <w:pStyle w:val="ListParagraph"/>
        <w:rPr>
          <w:rFonts w:asciiTheme="majorHAnsi" w:hAnsiTheme="majorHAnsi"/>
          <w:sz w:val="20"/>
          <w:szCs w:val="20"/>
          <w:lang w:val="es-CL"/>
        </w:rPr>
      </w:pPr>
    </w:p>
    <w:p w:rsidR="006D1B01" w:rsidRPr="007F3D68" w:rsidRDefault="006D1B01"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sz w:val="20"/>
          <w:szCs w:val="20"/>
          <w:lang w:val="es-CL"/>
        </w:rPr>
      </w:pPr>
      <w:r w:rsidRPr="007F3D68">
        <w:rPr>
          <w:rFonts w:asciiTheme="majorHAnsi" w:hAnsiTheme="majorHAnsi"/>
          <w:sz w:val="20"/>
          <w:szCs w:val="20"/>
          <w:lang w:val="es-CL"/>
        </w:rPr>
        <w:t>En virtud de lo anterior, la Comisión concluye que la imposición de la pena de muerte fue contraria a la Convención Americana</w:t>
      </w:r>
      <w:r w:rsidR="00E70489" w:rsidRPr="007F3D68">
        <w:rPr>
          <w:rFonts w:asciiTheme="majorHAnsi" w:hAnsiTheme="majorHAnsi"/>
          <w:sz w:val="20"/>
          <w:szCs w:val="20"/>
          <w:lang w:val="es-CL"/>
        </w:rPr>
        <w:t>,</w:t>
      </w:r>
      <w:r w:rsidRPr="007F3D68">
        <w:rPr>
          <w:rFonts w:asciiTheme="majorHAnsi" w:hAnsiTheme="majorHAnsi"/>
          <w:sz w:val="20"/>
          <w:szCs w:val="20"/>
          <w:lang w:val="es-CL"/>
        </w:rPr>
        <w:t xml:space="preserve"> en violación de los artículos 4.1 y 4.2 de dicho instrumento, en relación con las obligaciones establecidas en los artículos 1.1 y 2 del mismo.  </w:t>
      </w:r>
    </w:p>
    <w:p w:rsidR="000C09BD" w:rsidRPr="007F3D68" w:rsidRDefault="000C09BD" w:rsidP="004F1A79">
      <w:pPr>
        <w:rPr>
          <w:lang w:val="es-CO"/>
        </w:rPr>
      </w:pPr>
    </w:p>
    <w:p w:rsidR="005818A2" w:rsidRPr="007F3D68" w:rsidRDefault="00104687" w:rsidP="008224EA">
      <w:pPr>
        <w:pStyle w:val="Heading2"/>
        <w:numPr>
          <w:ilvl w:val="0"/>
          <w:numId w:val="77"/>
        </w:numPr>
        <w:ind w:left="1260" w:hanging="540"/>
        <w:rPr>
          <w:lang w:val="es-ES"/>
        </w:rPr>
      </w:pPr>
      <w:bookmarkStart w:id="97" w:name="_Toc491441650"/>
      <w:bookmarkStart w:id="98" w:name="_Toc495479558"/>
      <w:r w:rsidRPr="007F3D68">
        <w:rPr>
          <w:lang w:val="es-CO"/>
        </w:rPr>
        <w:t>Derecho a la integridad personal</w:t>
      </w:r>
      <w:r w:rsidRPr="007F3D68">
        <w:rPr>
          <w:vertAlign w:val="superscript"/>
        </w:rPr>
        <w:footnoteReference w:id="85"/>
      </w:r>
      <w:r w:rsidRPr="007F3D68">
        <w:rPr>
          <w:lang w:val="es-CO"/>
        </w:rPr>
        <w:t xml:space="preserve"> con respecto al fenómeno del “corredor de la muerte” y disposiciones relevantes de la CIPST</w:t>
      </w:r>
      <w:r w:rsidRPr="007F3D68">
        <w:rPr>
          <w:vertAlign w:val="superscript"/>
        </w:rPr>
        <w:footnoteReference w:id="86"/>
      </w:r>
      <w:bookmarkEnd w:id="97"/>
      <w:bookmarkEnd w:id="98"/>
    </w:p>
    <w:p w:rsidR="005818A2" w:rsidRPr="007F3D68" w:rsidRDefault="005818A2" w:rsidP="005818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b/>
          <w:sz w:val="20"/>
          <w:szCs w:val="20"/>
          <w:lang w:val="es-ES"/>
        </w:rPr>
      </w:pPr>
    </w:p>
    <w:p w:rsidR="008224EA"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L"/>
        </w:rPr>
      </w:pPr>
      <w:r w:rsidRPr="007F3D68">
        <w:rPr>
          <w:rFonts w:asciiTheme="majorHAnsi" w:hAnsiTheme="majorHAnsi"/>
          <w:sz w:val="20"/>
          <w:szCs w:val="20"/>
          <w:lang w:val="es-CL"/>
        </w:rPr>
        <w:t xml:space="preserve">En casos de personas condenadas a pena de muerte, tanto en el derecho internacional de los derechos humanos como en el derecho comparado se ha venido desarrollando por décadas el análisis del fenómeno del “corredor de la muerte” a la luz de la prohibición de tratos crueles, inhumanos o degradantes, contemplada tanto a nivel constitucional como en múltiples instrumentos internacionales, incluyendo la Convención Americana. </w:t>
      </w:r>
    </w:p>
    <w:p w:rsidR="008224EA" w:rsidRPr="007F3D68" w:rsidRDefault="008224EA" w:rsidP="008224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CL"/>
        </w:rPr>
      </w:pPr>
    </w:p>
    <w:p w:rsidR="005818A2"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L"/>
        </w:rPr>
      </w:pPr>
      <w:r w:rsidRPr="007F3D68">
        <w:rPr>
          <w:rFonts w:asciiTheme="majorHAnsi" w:hAnsiTheme="majorHAnsi"/>
          <w:sz w:val="20"/>
          <w:szCs w:val="20"/>
          <w:lang w:val="es-CL"/>
        </w:rPr>
        <w:lastRenderedPageBreak/>
        <w:t>En cuanto al concepto de dicho fenómeno, el Relator Especial de Naciones Unidas sobre la tortura y otros tratos o penas crueles, inhumanos o degradantes ha indicado que:</w:t>
      </w:r>
    </w:p>
    <w:p w:rsidR="005818A2" w:rsidRPr="007F3D68" w:rsidRDefault="005818A2" w:rsidP="005818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5818A2" w:rsidRPr="007F3D68" w:rsidRDefault="005818A2" w:rsidP="005818A2">
      <w:pPr>
        <w:ind w:left="720" w:right="720"/>
        <w:jc w:val="both"/>
        <w:rPr>
          <w:rFonts w:ascii="Cambria" w:hAnsi="Cambria" w:cs="TimesNewRoman"/>
          <w:sz w:val="20"/>
          <w:szCs w:val="20"/>
          <w:lang w:val="es-CO"/>
        </w:rPr>
      </w:pPr>
      <w:r w:rsidRPr="007F3D68">
        <w:rPr>
          <w:rFonts w:ascii="Cambria" w:hAnsi="Cambria" w:cs="TimesNewRoman"/>
          <w:sz w:val="20"/>
          <w:szCs w:val="20"/>
          <w:lang w:val="es-CO"/>
        </w:rPr>
        <w:t>(…) Consiste en una combinación de circunstancias que producen graves traumas mentales y deterioro físico en los presos sentenciados a muerte</w:t>
      </w:r>
      <w:r w:rsidRPr="007F3D68">
        <w:rPr>
          <w:rStyle w:val="FootnoteReference"/>
          <w:rFonts w:ascii="Cambria" w:hAnsi="Cambria" w:cs="TimesNewRoman"/>
          <w:sz w:val="20"/>
          <w:szCs w:val="20"/>
          <w:lang w:val="es-CO"/>
        </w:rPr>
        <w:footnoteReference w:id="87"/>
      </w:r>
      <w:r w:rsidRPr="007F3D68">
        <w:rPr>
          <w:rFonts w:ascii="Cambria" w:hAnsi="Cambria" w:cs="TimesNewRoman"/>
          <w:sz w:val="20"/>
          <w:szCs w:val="20"/>
          <w:lang w:val="es-CO"/>
        </w:rPr>
        <w:t>.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Pr="007F3D68">
        <w:rPr>
          <w:rStyle w:val="FootnoteReference"/>
          <w:rFonts w:ascii="Cambria" w:hAnsi="Cambria" w:cs="TimesNewRoman"/>
          <w:sz w:val="20"/>
          <w:szCs w:val="20"/>
          <w:lang w:val="es-CO"/>
        </w:rPr>
        <w:footnoteReference w:id="88"/>
      </w:r>
      <w:r w:rsidRPr="007F3D68">
        <w:rPr>
          <w:rFonts w:ascii="Cambria" w:hAnsi="Cambria" w:cs="TimesNewRoman"/>
          <w:sz w:val="20"/>
          <w:szCs w:val="20"/>
          <w:lang w:val="es-CO"/>
        </w:rPr>
        <w:t>.</w:t>
      </w:r>
    </w:p>
    <w:p w:rsidR="005818A2" w:rsidRPr="007F3D68" w:rsidRDefault="005818A2" w:rsidP="005818A2">
      <w:pPr>
        <w:autoSpaceDE w:val="0"/>
        <w:autoSpaceDN w:val="0"/>
        <w:adjustRightInd w:val="0"/>
        <w:ind w:left="720" w:right="720"/>
        <w:jc w:val="both"/>
        <w:rPr>
          <w:rFonts w:ascii="Cambria" w:hAnsi="Cambria" w:cs="TimesNewRoman"/>
          <w:sz w:val="20"/>
          <w:szCs w:val="20"/>
          <w:lang w:val="es-CO"/>
        </w:rPr>
      </w:pPr>
    </w:p>
    <w:p w:rsidR="005818A2"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Style w:val="sb8d990e2"/>
          <w:rFonts w:asciiTheme="majorHAnsi" w:hAnsiTheme="majorHAnsi"/>
          <w:sz w:val="20"/>
          <w:szCs w:val="20"/>
          <w:lang w:val="es-CL"/>
        </w:rPr>
      </w:pPr>
      <w:r w:rsidRPr="007F3D68">
        <w:rPr>
          <w:rFonts w:asciiTheme="majorHAnsi" w:hAnsiTheme="majorHAnsi"/>
          <w:sz w:val="20"/>
          <w:szCs w:val="20"/>
          <w:lang w:val="es-CL"/>
        </w:rPr>
        <w:t xml:space="preserve">En el caso </w:t>
      </w:r>
      <w:proofErr w:type="spellStart"/>
      <w:r w:rsidRPr="007F3D68">
        <w:rPr>
          <w:rFonts w:asciiTheme="majorHAnsi" w:hAnsiTheme="majorHAnsi"/>
          <w:sz w:val="20"/>
          <w:szCs w:val="20"/>
          <w:lang w:val="es-CL"/>
        </w:rPr>
        <w:t>Soering</w:t>
      </w:r>
      <w:proofErr w:type="spellEnd"/>
      <w:r w:rsidRPr="007F3D68">
        <w:rPr>
          <w:rFonts w:asciiTheme="majorHAnsi" w:hAnsiTheme="majorHAnsi"/>
          <w:sz w:val="20"/>
          <w:szCs w:val="20"/>
          <w:lang w:val="es-CL"/>
        </w:rPr>
        <w:t xml:space="preserve"> vs. Reino Unido la Corte Europea de Derechos Humanos interpretando la norma que prohíbe tratos crueles, inhumanos y degradantes y refiriéndose a la pena de muerte, señaló que: </w:t>
      </w:r>
    </w:p>
    <w:p w:rsidR="005818A2" w:rsidRPr="007F3D68" w:rsidRDefault="005818A2" w:rsidP="005818A2">
      <w:pPr>
        <w:ind w:left="720" w:right="720"/>
        <w:jc w:val="both"/>
        <w:rPr>
          <w:rStyle w:val="sb8d990e2"/>
          <w:rFonts w:ascii="Cambria" w:hAnsi="Cambria"/>
          <w:sz w:val="20"/>
          <w:szCs w:val="20"/>
          <w:lang w:val="es-CO"/>
        </w:rPr>
      </w:pPr>
    </w:p>
    <w:p w:rsidR="005818A2" w:rsidRPr="007F3D68" w:rsidRDefault="005818A2" w:rsidP="005818A2">
      <w:pPr>
        <w:ind w:left="720" w:right="720"/>
        <w:jc w:val="both"/>
        <w:rPr>
          <w:rStyle w:val="sb8d990e2"/>
          <w:rFonts w:ascii="Cambria" w:hAnsi="Cambria"/>
          <w:sz w:val="20"/>
          <w:szCs w:val="20"/>
          <w:lang w:val="es-CO"/>
        </w:rPr>
      </w:pPr>
      <w:r w:rsidRPr="007F3D68">
        <w:rPr>
          <w:rStyle w:val="sb8d990e2"/>
          <w:rFonts w:ascii="Cambria" w:hAnsi="Cambria"/>
          <w:sz w:val="20"/>
          <w:szCs w:val="20"/>
          <w:lang w:val="es-CO"/>
        </w:rPr>
        <w:t>La forma en que la misma se impone o ejecuta, las circunstancias personales de la persona condenada y la desproporcionalidad con la gravedad del crimen cometido, así como las condiciones de detención a la espera de la ejecución, son ejemplos de factores que pueden hacer aplicable al tratamiento o castigo recibido por la persona condenada, la prohibición establecida en el artículo 3</w:t>
      </w:r>
      <w:r w:rsidRPr="007F3D68">
        <w:rPr>
          <w:rStyle w:val="FootnoteReference"/>
          <w:rFonts w:ascii="Cambria" w:hAnsi="Cambria"/>
          <w:sz w:val="20"/>
          <w:szCs w:val="20"/>
        </w:rPr>
        <w:footnoteReference w:id="89"/>
      </w:r>
      <w:r w:rsidRPr="007F3D68">
        <w:rPr>
          <w:rStyle w:val="sb8d990e2"/>
          <w:rFonts w:ascii="Cambria" w:hAnsi="Cambria"/>
          <w:sz w:val="20"/>
          <w:szCs w:val="20"/>
          <w:lang w:val="es-CO"/>
        </w:rPr>
        <w:t xml:space="preserve">. </w:t>
      </w:r>
    </w:p>
    <w:p w:rsidR="005818A2" w:rsidRPr="007F3D68" w:rsidRDefault="005818A2" w:rsidP="005818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5818A2"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Theme="majorHAnsi" w:hAnsiTheme="majorHAnsi"/>
          <w:sz w:val="20"/>
          <w:szCs w:val="20"/>
          <w:lang w:val="es-CL"/>
        </w:rPr>
        <w:t>En dicha decisión el Tribunal Europeo</w:t>
      </w:r>
      <w:r w:rsidRPr="007F3D68">
        <w:rPr>
          <w:rStyle w:val="sb8d990e2"/>
          <w:rFonts w:ascii="Cambria" w:hAnsi="Cambria"/>
          <w:sz w:val="20"/>
          <w:szCs w:val="20"/>
          <w:lang w:val="es-CO"/>
        </w:rPr>
        <w:t xml:space="preserve"> tomó en cuenta un promedio de 6 a 8 años en el corredor de la muerte desde el momento de la imposición de la pena </w:t>
      </w:r>
      <w:r w:rsidRPr="007F3D68">
        <w:rPr>
          <w:rFonts w:ascii="Cambria" w:hAnsi="Cambria"/>
          <w:bCs/>
          <w:sz w:val="20"/>
          <w:szCs w:val="20"/>
          <w:lang w:val="es-CO"/>
        </w:rPr>
        <w:t>hasta</w:t>
      </w:r>
      <w:r w:rsidRPr="007F3D68">
        <w:rPr>
          <w:rStyle w:val="sb8d990e2"/>
          <w:rFonts w:ascii="Cambria" w:hAnsi="Cambria"/>
          <w:sz w:val="20"/>
          <w:szCs w:val="20"/>
          <w:lang w:val="es-CO"/>
        </w:rPr>
        <w:t xml:space="preserve"> la ejecución y se refirió a la manera en que los propios procedimientos y recursos posteriores a la imposición de la pena de muerte se encuentran relacionados con la referida demora en el corredor de la muerte. A pesar de esta relación, la Corte Europea indicó que: </w:t>
      </w:r>
    </w:p>
    <w:p w:rsidR="005818A2" w:rsidRPr="007F3D68" w:rsidRDefault="005818A2" w:rsidP="005818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Style w:val="sb8d990e2"/>
          <w:rFonts w:asciiTheme="majorHAnsi" w:hAnsiTheme="majorHAnsi"/>
          <w:sz w:val="20"/>
          <w:szCs w:val="20"/>
          <w:lang w:val="es-CO"/>
        </w:rPr>
      </w:pPr>
    </w:p>
    <w:p w:rsidR="005818A2" w:rsidRPr="007F3D68" w:rsidRDefault="005818A2" w:rsidP="005818A2">
      <w:pPr>
        <w:pStyle w:val="s30eec3f8"/>
        <w:spacing w:before="0" w:beforeAutospacing="0" w:after="0" w:afterAutospacing="0"/>
        <w:ind w:left="720" w:right="720"/>
        <w:jc w:val="both"/>
        <w:rPr>
          <w:rFonts w:ascii="Cambria" w:hAnsi="Cambria"/>
          <w:sz w:val="20"/>
          <w:szCs w:val="20"/>
          <w:lang w:val="es-CO"/>
        </w:rPr>
      </w:pPr>
      <w:r w:rsidRPr="007F3D68">
        <w:rPr>
          <w:rStyle w:val="sb8d990e2"/>
          <w:rFonts w:ascii="Cambria" w:eastAsia="Arial Unicode MS" w:hAnsi="Cambria"/>
          <w:sz w:val="20"/>
          <w:szCs w:val="20"/>
          <w:lang w:val="es-CO"/>
        </w:rPr>
        <w:t>(…) si bien es cierto que cierto lapso de tiempo entre la condena y la ejecución es inevitable si se le otorgan las garantías de apelación a la persona condenada, también lo es que es parte de la naturaleza humana que la persona se va a aferrar a la vida mediante el uso de tales garantían al máximo posible. Sin embargo, aun cuando los complejos procedimientos posteriores a la condena en Virginia sean bien intencionados e incluso potencialmente beneficiosos para la persona condenada, la consecuencia es que dicha persona debe soportar por muchos años las condiciones del corredor de la muerte y de la angustia y tensión elevada de vivir bajo la constante sombra de la muerte</w:t>
      </w:r>
      <w:r w:rsidRPr="007F3D68">
        <w:rPr>
          <w:rStyle w:val="FootnoteReference"/>
          <w:rFonts w:ascii="Cambria" w:eastAsia="Cambria" w:hAnsi="Cambria"/>
          <w:sz w:val="20"/>
          <w:szCs w:val="20"/>
        </w:rPr>
        <w:footnoteReference w:id="90"/>
      </w:r>
      <w:r w:rsidRPr="007F3D68">
        <w:rPr>
          <w:rStyle w:val="sb8d990e2"/>
          <w:rFonts w:ascii="Cambria" w:eastAsia="Arial Unicode MS" w:hAnsi="Cambria"/>
          <w:sz w:val="20"/>
          <w:szCs w:val="20"/>
          <w:lang w:val="es-CO"/>
        </w:rPr>
        <w:t>.</w:t>
      </w:r>
    </w:p>
    <w:p w:rsidR="005818A2" w:rsidRPr="007F3D68" w:rsidRDefault="005818A2" w:rsidP="005818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373C1C"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7F3D68">
        <w:rPr>
          <w:rFonts w:asciiTheme="majorHAnsi" w:hAnsiTheme="majorHAnsi"/>
          <w:sz w:val="20"/>
          <w:szCs w:val="20"/>
          <w:lang w:val="es-CL"/>
        </w:rPr>
        <w:t>Asimismo</w:t>
      </w:r>
      <w:r w:rsidRPr="007F3D68">
        <w:rPr>
          <w:rFonts w:asciiTheme="majorHAnsi" w:hAnsiTheme="majorHAnsi"/>
          <w:sz w:val="20"/>
          <w:szCs w:val="20"/>
          <w:lang w:val="es-CO"/>
        </w:rPr>
        <w:t>, en el caso Al-</w:t>
      </w:r>
      <w:proofErr w:type="spellStart"/>
      <w:r w:rsidRPr="007F3D68">
        <w:rPr>
          <w:rFonts w:asciiTheme="majorHAnsi" w:hAnsiTheme="majorHAnsi"/>
          <w:sz w:val="20"/>
          <w:szCs w:val="20"/>
          <w:lang w:val="es-CO"/>
        </w:rPr>
        <w:t>Saadon</w:t>
      </w:r>
      <w:proofErr w:type="spellEnd"/>
      <w:r w:rsidRPr="007F3D68">
        <w:rPr>
          <w:rFonts w:asciiTheme="majorHAnsi" w:hAnsiTheme="majorHAnsi"/>
          <w:sz w:val="20"/>
          <w:szCs w:val="20"/>
          <w:lang w:val="es-CO"/>
        </w:rPr>
        <w:t xml:space="preserve"> y </w:t>
      </w:r>
      <w:proofErr w:type="spellStart"/>
      <w:r w:rsidRPr="007F3D68">
        <w:rPr>
          <w:rFonts w:asciiTheme="majorHAnsi" w:hAnsiTheme="majorHAnsi"/>
          <w:sz w:val="20"/>
          <w:szCs w:val="20"/>
          <w:lang w:val="es-CO"/>
        </w:rPr>
        <w:t>Mufdhi</w:t>
      </w:r>
      <w:proofErr w:type="spellEnd"/>
      <w:r w:rsidRPr="007F3D68">
        <w:rPr>
          <w:rFonts w:asciiTheme="majorHAnsi" w:hAnsiTheme="majorHAnsi"/>
          <w:sz w:val="20"/>
          <w:szCs w:val="20"/>
          <w:lang w:val="es-CO"/>
        </w:rPr>
        <w:t xml:space="preserve"> contra el Reino Unido, el Tribunal Europeo indicó que “l</w:t>
      </w:r>
      <w:r w:rsidRPr="007F3D68">
        <w:rPr>
          <w:rFonts w:asciiTheme="majorHAnsi" w:hAnsiTheme="majorHAnsi" w:cs="Arial"/>
          <w:color w:val="212121"/>
          <w:sz w:val="20"/>
          <w:szCs w:val="20"/>
          <w:shd w:val="clear" w:color="auto" w:fill="FFFFFF"/>
          <w:lang w:val="es-VE"/>
        </w:rPr>
        <w:t xml:space="preserve">a ejecución judicial implica la destrucción deliberada y premeditada del ser humano por parte de las </w:t>
      </w:r>
      <w:r w:rsidRPr="007F3D68">
        <w:rPr>
          <w:rFonts w:asciiTheme="majorHAnsi" w:hAnsiTheme="majorHAnsi"/>
          <w:sz w:val="20"/>
          <w:szCs w:val="20"/>
          <w:lang w:val="es-CL"/>
        </w:rPr>
        <w:t>autoridades</w:t>
      </w:r>
      <w:r w:rsidRPr="007F3D68">
        <w:rPr>
          <w:rFonts w:asciiTheme="majorHAnsi" w:hAnsiTheme="majorHAnsi" w:cs="Arial"/>
          <w:color w:val="212121"/>
          <w:sz w:val="20"/>
          <w:szCs w:val="20"/>
          <w:shd w:val="clear" w:color="auto" w:fill="FFFFFF"/>
          <w:lang w:val="es-VE"/>
        </w:rPr>
        <w:t xml:space="preserve"> del Estado. Cualquiera que sea el método de ejecución, la extinción de la vida implica algún dolor físico. Además, el presagio de la muerte a manos del Estado debe inevitablemente dar lugar a un intenso sufrimiento psicológico”</w:t>
      </w:r>
      <w:r w:rsidRPr="007F3D68">
        <w:rPr>
          <w:rStyle w:val="FootnoteReference"/>
          <w:rFonts w:asciiTheme="majorHAnsi" w:hAnsiTheme="majorHAnsi" w:cs="Arial"/>
          <w:color w:val="212121"/>
          <w:sz w:val="20"/>
          <w:szCs w:val="20"/>
          <w:shd w:val="clear" w:color="auto" w:fill="FFFFFF"/>
          <w:lang w:val="es-VE"/>
        </w:rPr>
        <w:footnoteReference w:id="91"/>
      </w:r>
      <w:r w:rsidRPr="007F3D68">
        <w:rPr>
          <w:rFonts w:asciiTheme="majorHAnsi" w:hAnsiTheme="majorHAnsi" w:cs="Arial"/>
          <w:color w:val="212121"/>
          <w:sz w:val="20"/>
          <w:szCs w:val="20"/>
          <w:shd w:val="clear" w:color="auto" w:fill="FFFFFF"/>
          <w:lang w:val="es-VE"/>
        </w:rPr>
        <w:t xml:space="preserve">. También concluyó que el temor bien fundado de los </w:t>
      </w:r>
      <w:proofErr w:type="spellStart"/>
      <w:r w:rsidRPr="007F3D68">
        <w:rPr>
          <w:rFonts w:asciiTheme="majorHAnsi" w:hAnsiTheme="majorHAnsi" w:cs="Arial"/>
          <w:color w:val="212121"/>
          <w:sz w:val="20"/>
          <w:szCs w:val="20"/>
          <w:shd w:val="clear" w:color="auto" w:fill="FFFFFF"/>
          <w:lang w:val="es-VE"/>
        </w:rPr>
        <w:t>aplicantes</w:t>
      </w:r>
      <w:proofErr w:type="spellEnd"/>
      <w:r w:rsidRPr="007F3D68">
        <w:rPr>
          <w:rFonts w:asciiTheme="majorHAnsi" w:hAnsiTheme="majorHAnsi" w:cs="Arial"/>
          <w:color w:val="212121"/>
          <w:sz w:val="20"/>
          <w:szCs w:val="20"/>
          <w:shd w:val="clear" w:color="auto" w:fill="FFFFFF"/>
          <w:lang w:val="es-VE"/>
        </w:rPr>
        <w:t xml:space="preserve">, de que las </w:t>
      </w:r>
      <w:r w:rsidRPr="007F3D68">
        <w:rPr>
          <w:rFonts w:asciiTheme="majorHAnsi" w:hAnsiTheme="majorHAnsi" w:cs="Arial"/>
          <w:color w:val="212121"/>
          <w:sz w:val="20"/>
          <w:szCs w:val="20"/>
          <w:shd w:val="clear" w:color="auto" w:fill="FFFFFF"/>
          <w:lang w:val="es-VE"/>
        </w:rPr>
        <w:lastRenderedPageBreak/>
        <w:t>autoridades iraquíes las ejecutasen, entre mayo de 2006 y julio de 2009, los tuvo que haber sometido a un significativo sufrimiento mental, el cual constituyó tratamiento inhumano contario al artículo 3 de la Convención</w:t>
      </w:r>
      <w:r w:rsidRPr="007F3D68">
        <w:rPr>
          <w:rStyle w:val="FootnoteReference"/>
          <w:rFonts w:asciiTheme="majorHAnsi" w:hAnsiTheme="majorHAnsi" w:cs="Arial"/>
          <w:color w:val="212121"/>
          <w:sz w:val="20"/>
          <w:szCs w:val="20"/>
          <w:shd w:val="clear" w:color="auto" w:fill="FFFFFF"/>
          <w:lang w:val="es-VE"/>
        </w:rPr>
        <w:footnoteReference w:id="92"/>
      </w:r>
      <w:r w:rsidRPr="007F3D68">
        <w:rPr>
          <w:rFonts w:asciiTheme="majorHAnsi" w:hAnsiTheme="majorHAnsi" w:cs="Arial"/>
          <w:color w:val="212121"/>
          <w:sz w:val="20"/>
          <w:szCs w:val="20"/>
          <w:shd w:val="clear" w:color="auto" w:fill="FFFFFF"/>
          <w:lang w:val="es-VE"/>
        </w:rPr>
        <w:t xml:space="preserve">. </w:t>
      </w:r>
    </w:p>
    <w:p w:rsidR="00373C1C" w:rsidRPr="007F3D68" w:rsidRDefault="00373C1C" w:rsidP="00373C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lang w:val="es-CO"/>
        </w:rPr>
      </w:pPr>
    </w:p>
    <w:p w:rsidR="008224EA"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7F3D68">
        <w:rPr>
          <w:rFonts w:ascii="Cambria" w:hAnsi="Cambria"/>
          <w:sz w:val="20"/>
          <w:szCs w:val="20"/>
          <w:lang w:val="es-CO"/>
        </w:rPr>
        <w:t xml:space="preserve">Por su parte, </w:t>
      </w:r>
      <w:r w:rsidRPr="007F3D68">
        <w:rPr>
          <w:rFonts w:ascii="Cambria" w:hAnsi="Cambria"/>
          <w:bCs/>
          <w:sz w:val="20"/>
          <w:szCs w:val="20"/>
          <w:lang w:val="es-CO"/>
        </w:rPr>
        <w:t>la Corte Suprema de Uganda consideró en 2009 que “ejecutar a una persona tras una demora de tres años en condiciones inaceptables conforme a los estándares de Uganda constituiría castigo cruel e inhumano</w:t>
      </w:r>
      <w:r w:rsidRPr="007F3D68">
        <w:rPr>
          <w:rFonts w:ascii="Cambria" w:hAnsi="Cambria"/>
          <w:sz w:val="20"/>
          <w:szCs w:val="20"/>
          <w:lang w:val="es-CO"/>
        </w:rPr>
        <w:t>”</w:t>
      </w:r>
      <w:r w:rsidRPr="007F3D68">
        <w:rPr>
          <w:rStyle w:val="FootnoteReference"/>
          <w:rFonts w:ascii="Cambria" w:hAnsi="Cambria"/>
          <w:sz w:val="20"/>
          <w:szCs w:val="20"/>
        </w:rPr>
        <w:footnoteReference w:id="93"/>
      </w:r>
      <w:r w:rsidRPr="007F3D68">
        <w:rPr>
          <w:rFonts w:ascii="Cambria" w:hAnsi="Cambria"/>
          <w:sz w:val="20"/>
          <w:szCs w:val="20"/>
          <w:lang w:val="es-CO"/>
        </w:rPr>
        <w:t xml:space="preserve">. Por su parte, la Suprema Corte de </w:t>
      </w:r>
      <w:proofErr w:type="spellStart"/>
      <w:r w:rsidRPr="007F3D68">
        <w:rPr>
          <w:rFonts w:ascii="Cambria" w:hAnsi="Cambria"/>
          <w:sz w:val="20"/>
          <w:szCs w:val="20"/>
          <w:lang w:val="es-CO"/>
        </w:rPr>
        <w:t>Zimbabwe</w:t>
      </w:r>
      <w:proofErr w:type="spellEnd"/>
      <w:r w:rsidRPr="007F3D68">
        <w:rPr>
          <w:rFonts w:ascii="Cambria" w:hAnsi="Cambria"/>
          <w:sz w:val="20"/>
          <w:szCs w:val="20"/>
          <w:lang w:val="es-CO"/>
        </w:rPr>
        <w:t xml:space="preserve"> indicó desde 1993 que tomando en consideración el consenso académico y judicial respecto del </w:t>
      </w:r>
      <w:proofErr w:type="spellStart"/>
      <w:r w:rsidRPr="007F3D68">
        <w:rPr>
          <w:rFonts w:ascii="Cambria" w:hAnsi="Cambria"/>
          <w:i/>
          <w:sz w:val="20"/>
          <w:szCs w:val="20"/>
          <w:lang w:val="es-CO"/>
        </w:rPr>
        <w:t>death</w:t>
      </w:r>
      <w:proofErr w:type="spellEnd"/>
      <w:r w:rsidRPr="007F3D68">
        <w:rPr>
          <w:rFonts w:ascii="Cambria" w:hAnsi="Cambria"/>
          <w:i/>
          <w:sz w:val="20"/>
          <w:szCs w:val="20"/>
          <w:lang w:val="es-CO"/>
        </w:rPr>
        <w:t xml:space="preserve"> </w:t>
      </w:r>
      <w:proofErr w:type="spellStart"/>
      <w:r w:rsidRPr="007F3D68">
        <w:rPr>
          <w:rFonts w:ascii="Cambria" w:hAnsi="Cambria"/>
          <w:i/>
          <w:sz w:val="20"/>
          <w:szCs w:val="20"/>
          <w:lang w:val="es-CO"/>
        </w:rPr>
        <w:t>row</w:t>
      </w:r>
      <w:proofErr w:type="spellEnd"/>
      <w:r w:rsidRPr="007F3D68">
        <w:rPr>
          <w:rFonts w:ascii="Cambria" w:hAnsi="Cambria"/>
          <w:i/>
          <w:sz w:val="20"/>
          <w:szCs w:val="20"/>
          <w:lang w:val="es-CO"/>
        </w:rPr>
        <w:t xml:space="preserve"> </w:t>
      </w:r>
      <w:proofErr w:type="spellStart"/>
      <w:r w:rsidRPr="007F3D68">
        <w:rPr>
          <w:rFonts w:ascii="Cambria" w:hAnsi="Cambria"/>
          <w:i/>
          <w:sz w:val="20"/>
          <w:szCs w:val="20"/>
          <w:lang w:val="es-CO"/>
        </w:rPr>
        <w:t>phenomenon</w:t>
      </w:r>
      <w:proofErr w:type="spellEnd"/>
      <w:r w:rsidRPr="007F3D68">
        <w:rPr>
          <w:rFonts w:ascii="Cambria" w:hAnsi="Cambria"/>
          <w:sz w:val="20"/>
          <w:szCs w:val="20"/>
          <w:lang w:val="es-CO"/>
        </w:rPr>
        <w:t xml:space="preserve">, las demoras </w:t>
      </w:r>
      <w:r w:rsidRPr="007F3D68">
        <w:rPr>
          <w:rStyle w:val="sb8d990e2"/>
          <w:rFonts w:ascii="Cambria" w:hAnsi="Cambria"/>
          <w:sz w:val="20"/>
          <w:szCs w:val="20"/>
          <w:lang w:val="es-CO"/>
        </w:rPr>
        <w:t>prolongadas</w:t>
      </w:r>
      <w:r w:rsidRPr="007F3D68">
        <w:rPr>
          <w:rFonts w:ascii="Cambria" w:hAnsi="Cambria"/>
          <w:sz w:val="20"/>
          <w:szCs w:val="20"/>
          <w:lang w:val="es-CO"/>
        </w:rPr>
        <w:t xml:space="preserve"> y las condiciones severas de detención han llegado a un grado suficiente de seriedad para permitirle al demandante invocar la protección relativa a la prohibición de la tortura y de castigos inhumanos o degradantes. Dicha Corte Suprema sostuvo que 52 y 72 meses, respectivamente, en el corredor de la muerte, constituyó una violación de la prohibición de la tortura y tornaría la ejecución en inconstitucional</w:t>
      </w:r>
      <w:r w:rsidRPr="007F3D68">
        <w:rPr>
          <w:rStyle w:val="FootnoteReference"/>
          <w:rFonts w:ascii="Cambria" w:hAnsi="Cambria"/>
          <w:sz w:val="20"/>
          <w:szCs w:val="20"/>
        </w:rPr>
        <w:footnoteReference w:id="94"/>
      </w:r>
      <w:r w:rsidRPr="007F3D68">
        <w:rPr>
          <w:rFonts w:ascii="Cambria" w:hAnsi="Cambria"/>
          <w:sz w:val="20"/>
          <w:szCs w:val="20"/>
          <w:lang w:val="es-CO"/>
        </w:rPr>
        <w:t>.</w:t>
      </w:r>
    </w:p>
    <w:p w:rsidR="008224EA" w:rsidRPr="007F3D68" w:rsidRDefault="008224EA" w:rsidP="008224EA">
      <w:pPr>
        <w:pStyle w:val="ListParagraph"/>
        <w:rPr>
          <w:sz w:val="20"/>
          <w:szCs w:val="20"/>
          <w:lang w:val="es-CO"/>
        </w:rPr>
      </w:pPr>
    </w:p>
    <w:p w:rsidR="008224EA" w:rsidRPr="007F3D68" w:rsidRDefault="006264B1"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7F3D68">
        <w:rPr>
          <w:rFonts w:ascii="Cambria" w:hAnsi="Cambria"/>
          <w:sz w:val="20"/>
          <w:szCs w:val="20"/>
          <w:lang w:val="es-CO"/>
        </w:rPr>
        <w:t xml:space="preserve">Tirso Román Valenzuela Ávila </w:t>
      </w:r>
      <w:r w:rsidR="005818A2" w:rsidRPr="007F3D68">
        <w:rPr>
          <w:rFonts w:ascii="Cambria" w:hAnsi="Cambria"/>
          <w:sz w:val="20"/>
          <w:szCs w:val="20"/>
          <w:lang w:val="es-CO"/>
        </w:rPr>
        <w:t xml:space="preserve">fue condenado a la pena de muerte </w:t>
      </w:r>
      <w:r w:rsidR="004C49DD" w:rsidRPr="007F3D68">
        <w:rPr>
          <w:rFonts w:ascii="Cambria" w:eastAsia="Times New Roman" w:hAnsi="Cambria"/>
          <w:sz w:val="20"/>
          <w:szCs w:val="20"/>
          <w:lang w:val="es-CO"/>
        </w:rPr>
        <w:t>el 21 de octubre de 1999</w:t>
      </w:r>
      <w:r w:rsidR="005818A2" w:rsidRPr="007F3D68">
        <w:rPr>
          <w:rFonts w:ascii="Cambria" w:hAnsi="Cambria"/>
          <w:sz w:val="20"/>
          <w:szCs w:val="20"/>
          <w:lang w:val="es-CO"/>
        </w:rPr>
        <w:t xml:space="preserve">. </w:t>
      </w:r>
      <w:r w:rsidR="00186CD0" w:rsidRPr="007F3D68">
        <w:rPr>
          <w:rFonts w:ascii="Cambria" w:hAnsi="Cambria"/>
          <w:sz w:val="20"/>
          <w:szCs w:val="20"/>
          <w:lang w:val="es-CO"/>
        </w:rPr>
        <w:t>T</w:t>
      </w:r>
      <w:r w:rsidR="005818A2" w:rsidRPr="007F3D68">
        <w:rPr>
          <w:rFonts w:ascii="Cambria" w:hAnsi="Cambria"/>
          <w:sz w:val="20"/>
          <w:szCs w:val="20"/>
          <w:lang w:val="es-CO"/>
        </w:rPr>
        <w:t>al como se indicó en la sección de hechos probados, la presunta víctima se fugó de prisión el 22 de octubre de 2005 y</w:t>
      </w:r>
      <w:r w:rsidR="00971555" w:rsidRPr="007F3D68">
        <w:rPr>
          <w:rFonts w:ascii="Cambria" w:hAnsi="Cambria"/>
          <w:sz w:val="20"/>
          <w:szCs w:val="20"/>
          <w:lang w:val="es-CO"/>
        </w:rPr>
        <w:t xml:space="preserve"> su cuerpo fue encontrado el 8 de diciembre de 200</w:t>
      </w:r>
      <w:r w:rsidR="00C52076" w:rsidRPr="007F3D68">
        <w:rPr>
          <w:rFonts w:ascii="Cambria" w:hAnsi="Cambria"/>
          <w:sz w:val="20"/>
          <w:szCs w:val="20"/>
          <w:lang w:val="es-CO"/>
        </w:rPr>
        <w:t>6</w:t>
      </w:r>
      <w:r w:rsidR="005818A2" w:rsidRPr="007F3D68">
        <w:rPr>
          <w:rFonts w:ascii="Cambria" w:hAnsi="Cambria"/>
          <w:sz w:val="20"/>
          <w:szCs w:val="20"/>
          <w:lang w:val="es-CO"/>
        </w:rPr>
        <w:t xml:space="preserve">. </w:t>
      </w:r>
    </w:p>
    <w:p w:rsidR="008224EA" w:rsidRPr="007F3D68" w:rsidRDefault="008224EA" w:rsidP="008224EA">
      <w:pPr>
        <w:pStyle w:val="ListParagraph"/>
        <w:rPr>
          <w:sz w:val="20"/>
          <w:szCs w:val="20"/>
          <w:lang w:val="es-CO"/>
        </w:rPr>
      </w:pPr>
    </w:p>
    <w:p w:rsidR="008224EA" w:rsidRPr="007F3D68" w:rsidRDefault="005818A2" w:rsidP="008224E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7F3D68">
        <w:rPr>
          <w:rFonts w:ascii="Cambria" w:hAnsi="Cambria"/>
          <w:sz w:val="20"/>
          <w:szCs w:val="20"/>
          <w:lang w:val="es-CO"/>
        </w:rPr>
        <w:t>La Comisión estima que corresponde contar el periodo en el que la presunta víctima estuvo en el corredor de la muerte desde el momento de su condena hasta su fuga de prisión. En ese sentido, el señor</w:t>
      </w:r>
      <w:r w:rsidR="00971555" w:rsidRPr="007F3D68">
        <w:rPr>
          <w:rFonts w:ascii="Cambria" w:hAnsi="Cambria"/>
          <w:sz w:val="20"/>
          <w:szCs w:val="20"/>
          <w:lang w:val="es-CO"/>
        </w:rPr>
        <w:t xml:space="preserve"> Valenzuela Ávila</w:t>
      </w:r>
      <w:r w:rsidRPr="007F3D68">
        <w:rPr>
          <w:rFonts w:ascii="Cambria" w:hAnsi="Cambria"/>
          <w:sz w:val="20"/>
          <w:szCs w:val="20"/>
          <w:lang w:val="es-CO"/>
        </w:rPr>
        <w:t xml:space="preserve"> permaneció</w:t>
      </w:r>
      <w:r w:rsidRPr="007F3D68">
        <w:rPr>
          <w:rFonts w:asciiTheme="majorHAnsi" w:eastAsia="Times New Roman" w:hAnsiTheme="majorHAnsi"/>
          <w:sz w:val="20"/>
          <w:szCs w:val="20"/>
          <w:lang w:val="es-CO"/>
        </w:rPr>
        <w:t xml:space="preserve"> a la espera de su ejecución por </w:t>
      </w:r>
      <w:r w:rsidR="001D6BC8" w:rsidRPr="007F3D68">
        <w:rPr>
          <w:rFonts w:asciiTheme="majorHAnsi" w:eastAsia="Times New Roman" w:hAnsiTheme="majorHAnsi"/>
          <w:sz w:val="20"/>
          <w:szCs w:val="20"/>
          <w:lang w:val="es-CO"/>
        </w:rPr>
        <w:t>6 de años</w:t>
      </w:r>
      <w:r w:rsidRPr="007F3D68">
        <w:rPr>
          <w:rFonts w:asciiTheme="majorHAnsi" w:eastAsia="Times New Roman" w:hAnsiTheme="majorHAnsi"/>
          <w:sz w:val="20"/>
          <w:szCs w:val="20"/>
          <w:lang w:val="es-CO"/>
        </w:rPr>
        <w:t>.</w:t>
      </w:r>
    </w:p>
    <w:p w:rsidR="008224EA" w:rsidRPr="007F3D68" w:rsidRDefault="008224EA" w:rsidP="008224EA">
      <w:pPr>
        <w:pStyle w:val="ListParagraph"/>
        <w:rPr>
          <w:sz w:val="20"/>
          <w:szCs w:val="20"/>
          <w:lang w:val="es-CO"/>
        </w:rPr>
      </w:pPr>
    </w:p>
    <w:p w:rsidR="00104687" w:rsidRPr="007F3D68" w:rsidRDefault="005818A2" w:rsidP="004F1A7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7F3D68">
        <w:rPr>
          <w:rFonts w:ascii="Cambria" w:hAnsi="Cambria"/>
          <w:sz w:val="20"/>
          <w:szCs w:val="20"/>
          <w:lang w:val="es-CO"/>
        </w:rPr>
        <w:t xml:space="preserve">La Comisión considera que el tiempo en que permaneció el señor </w:t>
      </w:r>
      <w:r w:rsidR="001C7543" w:rsidRPr="007F3D68">
        <w:rPr>
          <w:rFonts w:ascii="Cambria" w:hAnsi="Cambria"/>
          <w:sz w:val="20"/>
          <w:szCs w:val="20"/>
          <w:lang w:val="es-CO"/>
        </w:rPr>
        <w:t xml:space="preserve">Valenzuela Ávila </w:t>
      </w:r>
      <w:r w:rsidRPr="007F3D68">
        <w:rPr>
          <w:rFonts w:ascii="Cambria" w:hAnsi="Cambria"/>
          <w:sz w:val="20"/>
          <w:szCs w:val="20"/>
          <w:lang w:val="es-CO"/>
        </w:rPr>
        <w:t>tras la imposición de la pena de muerte en un proceso en el que se vulneraron diversas garantías al debido proceso, a la expectativa prolongada de que dicha pena pudiera ejecutarse alcanza la gravedad suficiente como para ser considerado como un trato cruel, inhumano y degradante, por lo que concluye que el Estado guatemalteco violó, en</w:t>
      </w:r>
      <w:r w:rsidR="00EC62FC" w:rsidRPr="007F3D68">
        <w:rPr>
          <w:rFonts w:ascii="Cambria" w:hAnsi="Cambria"/>
          <w:sz w:val="20"/>
          <w:szCs w:val="20"/>
          <w:lang w:val="es-CO"/>
        </w:rPr>
        <w:t xml:space="preserve"> su</w:t>
      </w:r>
      <w:r w:rsidRPr="007F3D68">
        <w:rPr>
          <w:rFonts w:ascii="Cambria" w:hAnsi="Cambria"/>
          <w:sz w:val="20"/>
          <w:szCs w:val="20"/>
          <w:lang w:val="es-CO"/>
        </w:rPr>
        <w:t xml:space="preserve"> perjuicio,</w:t>
      </w:r>
      <w:r w:rsidRPr="007F3D68" w:rsidDel="00C1586F">
        <w:rPr>
          <w:rFonts w:ascii="Cambria" w:hAnsi="Cambria"/>
          <w:sz w:val="20"/>
          <w:szCs w:val="20"/>
          <w:lang w:val="es-CO"/>
        </w:rPr>
        <w:t xml:space="preserve"> </w:t>
      </w:r>
      <w:r w:rsidRPr="007F3D68">
        <w:rPr>
          <w:rFonts w:ascii="Cambria" w:hAnsi="Cambria"/>
          <w:sz w:val="20"/>
          <w:szCs w:val="20"/>
          <w:lang w:val="es-CO"/>
        </w:rPr>
        <w:t>el derecho a la integridad personal previsto en los artículos 5.1 y 5.2 de la Convención Americana en relación con el artículo 1.1 del mismo instr</w:t>
      </w:r>
      <w:r w:rsidR="000457C7" w:rsidRPr="007F3D68">
        <w:rPr>
          <w:rFonts w:ascii="Cambria" w:hAnsi="Cambria"/>
          <w:sz w:val="20"/>
          <w:szCs w:val="20"/>
          <w:lang w:val="es-CO"/>
        </w:rPr>
        <w:t xml:space="preserve">umento.  </w:t>
      </w:r>
    </w:p>
    <w:p w:rsidR="00A07B51" w:rsidRPr="007F3D68" w:rsidRDefault="00165264" w:rsidP="000104F7">
      <w:pPr>
        <w:pStyle w:val="Heading2"/>
        <w:numPr>
          <w:ilvl w:val="0"/>
          <w:numId w:val="77"/>
        </w:numPr>
        <w:ind w:left="1260" w:hanging="720"/>
        <w:rPr>
          <w:lang w:val="es-CO"/>
        </w:rPr>
      </w:pPr>
      <w:bookmarkStart w:id="99" w:name="_Toc491441651"/>
      <w:bookmarkStart w:id="100" w:name="_Toc495479559"/>
      <w:r w:rsidRPr="007F3D68">
        <w:rPr>
          <w:lang w:val="es-CO"/>
        </w:rPr>
        <w:lastRenderedPageBreak/>
        <w:t>Derechos a la integridad personal</w:t>
      </w:r>
      <w:r w:rsidRPr="007F3D68">
        <w:rPr>
          <w:vertAlign w:val="superscript"/>
        </w:rPr>
        <w:footnoteReference w:id="95"/>
      </w:r>
      <w:r w:rsidRPr="007F3D68">
        <w:rPr>
          <w:lang w:val="es-CO"/>
        </w:rPr>
        <w:t xml:space="preserve">, </w:t>
      </w:r>
      <w:r w:rsidR="000457C7" w:rsidRPr="007F3D68">
        <w:rPr>
          <w:lang w:val="es-CO"/>
        </w:rPr>
        <w:t>dignidad, vida privada y autonomía</w:t>
      </w:r>
      <w:r w:rsidR="000457C7" w:rsidRPr="007F3D68">
        <w:rPr>
          <w:rStyle w:val="FootnoteReference"/>
          <w:rFonts w:asciiTheme="majorHAnsi" w:hAnsiTheme="majorHAnsi"/>
          <w:sz w:val="20"/>
          <w:lang w:val="es-CO"/>
        </w:rPr>
        <w:footnoteReference w:id="96"/>
      </w:r>
      <w:r w:rsidR="000457C7" w:rsidRPr="007F3D68">
        <w:rPr>
          <w:lang w:val="es-CO"/>
        </w:rPr>
        <w:t xml:space="preserve">, </w:t>
      </w:r>
      <w:r w:rsidRPr="007F3D68">
        <w:rPr>
          <w:lang w:val="es-CO"/>
        </w:rPr>
        <w:t>garantías judiciales</w:t>
      </w:r>
      <w:r w:rsidRPr="007F3D68">
        <w:rPr>
          <w:vertAlign w:val="superscript"/>
        </w:rPr>
        <w:footnoteReference w:id="97"/>
      </w:r>
      <w:r w:rsidRPr="007F3D68">
        <w:rPr>
          <w:lang w:val="es-CO"/>
        </w:rPr>
        <w:t xml:space="preserve"> y protección judicial</w:t>
      </w:r>
      <w:r w:rsidRPr="007F3D68">
        <w:rPr>
          <w:vertAlign w:val="superscript"/>
        </w:rPr>
        <w:footnoteReference w:id="98"/>
      </w:r>
      <w:r w:rsidRPr="007F3D68">
        <w:rPr>
          <w:lang w:val="es-CO"/>
        </w:rPr>
        <w:t xml:space="preserve"> y disposiciones relevantes de la CIPST</w:t>
      </w:r>
      <w:r w:rsidRPr="007F3D68">
        <w:rPr>
          <w:vertAlign w:val="superscript"/>
        </w:rPr>
        <w:footnoteReference w:id="99"/>
      </w:r>
      <w:bookmarkEnd w:id="99"/>
      <w:r w:rsidR="00C11CA8" w:rsidRPr="007F3D68">
        <w:rPr>
          <w:lang w:val="es-CO"/>
        </w:rPr>
        <w:t xml:space="preserve"> respecto de las alegadas torturas</w:t>
      </w:r>
      <w:bookmarkEnd w:id="100"/>
    </w:p>
    <w:p w:rsidR="00BF224D" w:rsidRPr="007F3D68" w:rsidRDefault="00BF224D" w:rsidP="000104F7">
      <w:pPr>
        <w:pStyle w:val="Heading3"/>
        <w:numPr>
          <w:ilvl w:val="0"/>
          <w:numId w:val="81"/>
        </w:numPr>
        <w:ind w:left="1260" w:hanging="540"/>
        <w:rPr>
          <w:color w:val="auto"/>
          <w:sz w:val="20"/>
          <w:szCs w:val="20"/>
          <w:lang w:val="es-CO"/>
        </w:rPr>
      </w:pPr>
      <w:bookmarkStart w:id="101" w:name="_Toc495479560"/>
      <w:r w:rsidRPr="007F3D68">
        <w:rPr>
          <w:color w:val="auto"/>
          <w:sz w:val="20"/>
          <w:szCs w:val="20"/>
          <w:lang w:val="es-CO"/>
        </w:rPr>
        <w:t>Consideraciones generales</w:t>
      </w:r>
      <w:bookmarkEnd w:id="101"/>
      <w:r w:rsidRPr="007F3D68">
        <w:rPr>
          <w:color w:val="auto"/>
          <w:sz w:val="20"/>
          <w:szCs w:val="20"/>
          <w:lang w:val="es-CO"/>
        </w:rPr>
        <w:t xml:space="preserve"> </w:t>
      </w:r>
    </w:p>
    <w:p w:rsidR="00BF224D" w:rsidRPr="007F3D68" w:rsidRDefault="00BF224D" w:rsidP="00BF224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440"/>
          <w:tab w:val="num" w:pos="2040"/>
        </w:tabs>
        <w:jc w:val="both"/>
        <w:rPr>
          <w:rFonts w:ascii="Cambria" w:hAnsi="Cambria"/>
          <w:sz w:val="20"/>
          <w:szCs w:val="20"/>
          <w:lang w:val="es-CO"/>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szCs w:val="20"/>
          <w:lang w:val="es-ES"/>
        </w:rPr>
        <w:t xml:space="preserve">La CIDH </w:t>
      </w:r>
      <w:r w:rsidRPr="007F3D68">
        <w:rPr>
          <w:rFonts w:ascii="Cambria" w:hAnsi="Cambria"/>
          <w:sz w:val="20"/>
          <w:szCs w:val="20"/>
          <w:lang w:val="es-CO"/>
        </w:rPr>
        <w:t>ha</w:t>
      </w:r>
      <w:r w:rsidRPr="007F3D68">
        <w:rPr>
          <w:rFonts w:ascii="Cambria" w:hAnsi="Cambria"/>
          <w:sz w:val="20"/>
          <w:szCs w:val="20"/>
          <w:lang w:val="es-ES"/>
        </w:rPr>
        <w:t xml:space="preserve"> enfatizado que la Convención Americana prohíbe la imposición de la tortura o de un trato o castigo cruel, inhumano o degradante contra las personas en cualquier circunstancia. La Comisión ha indicado que "un aspecto esencial del derecho a la seguridad personal es la absoluta prohibición de la tortura, norma perentoria del derecho internacional que crea obligaciones </w:t>
      </w:r>
      <w:r w:rsidRPr="007F3D68">
        <w:rPr>
          <w:rFonts w:ascii="Cambria" w:hAnsi="Cambria"/>
          <w:i/>
          <w:sz w:val="20"/>
          <w:szCs w:val="20"/>
          <w:lang w:val="es-ES"/>
        </w:rPr>
        <w:t>erga omnes</w:t>
      </w:r>
      <w:r w:rsidRPr="007F3D68">
        <w:rPr>
          <w:rFonts w:ascii="Cambria" w:hAnsi="Cambria"/>
          <w:sz w:val="20"/>
          <w:szCs w:val="20"/>
          <w:lang w:val="es-ES"/>
        </w:rPr>
        <w:t>"</w:t>
      </w:r>
      <w:r w:rsidRPr="007F3D68">
        <w:rPr>
          <w:rStyle w:val="FootnoteReference"/>
          <w:rFonts w:ascii="Cambria" w:hAnsi="Cambria"/>
          <w:sz w:val="20"/>
          <w:szCs w:val="20"/>
        </w:rPr>
        <w:footnoteReference w:id="100"/>
      </w:r>
      <w:r w:rsidRPr="007F3D68">
        <w:rPr>
          <w:rFonts w:ascii="Cambria" w:hAnsi="Cambria"/>
          <w:sz w:val="20"/>
          <w:szCs w:val="20"/>
          <w:lang w:val="es-ES"/>
        </w:rPr>
        <w:t xml:space="preserve">. </w:t>
      </w:r>
      <w:r w:rsidRPr="007F3D68">
        <w:rPr>
          <w:rFonts w:ascii="Cambria" w:hAnsi="Cambria"/>
          <w:sz w:val="20"/>
          <w:szCs w:val="20"/>
          <w:lang w:val="es-CO"/>
        </w:rPr>
        <w:t xml:space="preserve">Asimismo, la CIDH ha calificado la prohibición de la tortura como una norma de </w:t>
      </w:r>
      <w:proofErr w:type="spellStart"/>
      <w:r w:rsidRPr="007F3D68">
        <w:rPr>
          <w:rFonts w:ascii="Cambria" w:hAnsi="Cambria"/>
          <w:i/>
          <w:sz w:val="20"/>
          <w:szCs w:val="20"/>
          <w:lang w:val="es-CO"/>
        </w:rPr>
        <w:t>jus</w:t>
      </w:r>
      <w:proofErr w:type="spellEnd"/>
      <w:r w:rsidRPr="007F3D68">
        <w:rPr>
          <w:rFonts w:ascii="Cambria" w:hAnsi="Cambria"/>
          <w:i/>
          <w:sz w:val="20"/>
          <w:szCs w:val="20"/>
          <w:lang w:val="es-CO"/>
        </w:rPr>
        <w:t xml:space="preserve"> </w:t>
      </w:r>
      <w:proofErr w:type="spellStart"/>
      <w:r w:rsidRPr="007F3D68">
        <w:rPr>
          <w:rFonts w:ascii="Cambria" w:hAnsi="Cambria"/>
          <w:i/>
          <w:sz w:val="20"/>
          <w:szCs w:val="20"/>
          <w:lang w:val="es-CO"/>
        </w:rPr>
        <w:t>cogens</w:t>
      </w:r>
      <w:proofErr w:type="spellEnd"/>
      <w:r w:rsidRPr="007F3D68">
        <w:rPr>
          <w:rStyle w:val="FootnoteReference"/>
          <w:rFonts w:ascii="Cambria" w:hAnsi="Cambria"/>
          <w:sz w:val="20"/>
          <w:szCs w:val="20"/>
        </w:rPr>
        <w:footnoteReference w:id="101"/>
      </w:r>
      <w:r w:rsidRPr="007F3D68">
        <w:rPr>
          <w:rFonts w:ascii="Cambria" w:hAnsi="Cambria"/>
          <w:sz w:val="20"/>
          <w:szCs w:val="20"/>
          <w:lang w:val="es-CO"/>
        </w:rPr>
        <w:t>.</w:t>
      </w:r>
    </w:p>
    <w:p w:rsidR="000104F7" w:rsidRPr="007F3D68" w:rsidRDefault="000104F7" w:rsidP="000104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AR"/>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cs="Arial"/>
          <w:sz w:val="20"/>
          <w:szCs w:val="20"/>
          <w:lang w:val="es-ES"/>
        </w:rPr>
        <w:t xml:space="preserve">Por su parte, la Corte ha señalado reiteradamente que </w:t>
      </w:r>
      <w:r w:rsidRPr="007F3D68">
        <w:rPr>
          <w:rFonts w:ascii="Cambria" w:hAnsi="Cambria"/>
          <w:sz w:val="20"/>
          <w:szCs w:val="20"/>
          <w:lang w:val="es-ES"/>
        </w:rPr>
        <w:t xml:space="preserve">"la tortura y las penas o tratos crueles, inhumanos o degradantes están estrictamente prohibidos por el Derecho Internacional de los Derechos Humanos. La </w:t>
      </w:r>
      <w:r w:rsidRPr="007F3D68">
        <w:rPr>
          <w:rFonts w:ascii="Cambria" w:hAnsi="Cambria"/>
          <w:sz w:val="20"/>
          <w:szCs w:val="20"/>
          <w:lang w:val="es-CO"/>
        </w:rPr>
        <w:t>prohibición</w:t>
      </w:r>
      <w:r w:rsidRPr="007F3D68">
        <w:rPr>
          <w:rFonts w:ascii="Cambria" w:hAnsi="Cambria"/>
          <w:sz w:val="20"/>
          <w:szCs w:val="20"/>
          <w:lang w:val="es-ES"/>
        </w:rPr>
        <w:t xml:space="preserve"> absoluta de la tortura, tanto física como psicológica, pertenece hoy día al dominio del </w:t>
      </w:r>
      <w:proofErr w:type="spellStart"/>
      <w:r w:rsidRPr="007F3D68">
        <w:rPr>
          <w:rFonts w:ascii="Cambria" w:hAnsi="Cambria"/>
          <w:i/>
          <w:sz w:val="20"/>
          <w:szCs w:val="20"/>
          <w:lang w:val="es-ES"/>
        </w:rPr>
        <w:t>jus</w:t>
      </w:r>
      <w:proofErr w:type="spellEnd"/>
      <w:r w:rsidRPr="007F3D68">
        <w:rPr>
          <w:rFonts w:ascii="Cambria" w:hAnsi="Cambria"/>
          <w:i/>
          <w:sz w:val="20"/>
          <w:szCs w:val="20"/>
          <w:lang w:val="es-ES"/>
        </w:rPr>
        <w:t xml:space="preserve"> </w:t>
      </w:r>
      <w:proofErr w:type="spellStart"/>
      <w:r w:rsidRPr="007F3D68">
        <w:rPr>
          <w:rFonts w:ascii="Cambria" w:hAnsi="Cambria"/>
          <w:i/>
          <w:sz w:val="20"/>
          <w:szCs w:val="20"/>
          <w:lang w:val="es-ES"/>
        </w:rPr>
        <w:t>cogens</w:t>
      </w:r>
      <w:proofErr w:type="spellEnd"/>
      <w:r w:rsidRPr="007F3D68">
        <w:rPr>
          <w:rFonts w:ascii="Cambria" w:hAnsi="Cambria"/>
          <w:i/>
          <w:sz w:val="20"/>
          <w:szCs w:val="20"/>
          <w:lang w:val="es-ES"/>
        </w:rPr>
        <w:t xml:space="preserve"> </w:t>
      </w:r>
      <w:r w:rsidRPr="007F3D68">
        <w:rPr>
          <w:rFonts w:ascii="Cambria" w:hAnsi="Cambria" w:cs="Arial"/>
          <w:sz w:val="20"/>
          <w:szCs w:val="20"/>
          <w:lang w:val="es-ES"/>
        </w:rPr>
        <w:t>internacional</w:t>
      </w:r>
      <w:r w:rsidRPr="007F3D68">
        <w:rPr>
          <w:rFonts w:ascii="Cambria" w:hAnsi="Cambria"/>
          <w:sz w:val="20"/>
          <w:szCs w:val="20"/>
          <w:lang w:val="es-ES"/>
        </w:rPr>
        <w:t>"</w:t>
      </w:r>
      <w:r w:rsidRPr="007F3D68">
        <w:rPr>
          <w:rStyle w:val="FootnoteReference"/>
          <w:rFonts w:ascii="Cambria" w:hAnsi="Cambria"/>
          <w:sz w:val="20"/>
          <w:szCs w:val="20"/>
        </w:rPr>
        <w:footnoteReference w:id="102"/>
      </w:r>
      <w:r w:rsidRPr="007F3D68">
        <w:rPr>
          <w:rFonts w:ascii="Cambria" w:hAnsi="Cambria"/>
          <w:sz w:val="20"/>
          <w:szCs w:val="20"/>
          <w:lang w:val="es-ES"/>
        </w:rPr>
        <w:t xml:space="preserve">. </w:t>
      </w:r>
      <w:r w:rsidRPr="007F3D68">
        <w:rPr>
          <w:rFonts w:ascii="Cambria" w:hAnsi="Cambria"/>
          <w:sz w:val="20"/>
          <w:szCs w:val="20"/>
          <w:lang w:val="es-CO"/>
        </w:rPr>
        <w:t>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w:t>
      </w:r>
      <w:r w:rsidRPr="007F3D68">
        <w:rPr>
          <w:rStyle w:val="FootnoteReference"/>
          <w:rFonts w:ascii="Cambria" w:hAnsi="Cambria"/>
          <w:sz w:val="20"/>
          <w:szCs w:val="20"/>
        </w:rPr>
        <w:footnoteReference w:id="103"/>
      </w:r>
      <w:r w:rsidRPr="007F3D68">
        <w:rPr>
          <w:rFonts w:ascii="Cambria" w:hAnsi="Cambria"/>
          <w:sz w:val="20"/>
          <w:szCs w:val="20"/>
          <w:lang w:val="es-CO"/>
        </w:rPr>
        <w:t xml:space="preserve">. Asimismo, la </w:t>
      </w:r>
      <w:r w:rsidRPr="007F3D68">
        <w:rPr>
          <w:rFonts w:ascii="Cambria" w:hAnsi="Cambria" w:cs="Arial"/>
          <w:sz w:val="20"/>
          <w:szCs w:val="20"/>
          <w:lang w:val="es-CO"/>
        </w:rPr>
        <w:t>Corte</w:t>
      </w:r>
      <w:r w:rsidRPr="007F3D68">
        <w:rPr>
          <w:rFonts w:ascii="Cambria" w:hAnsi="Cambria"/>
          <w:sz w:val="20"/>
          <w:szCs w:val="20"/>
          <w:lang w:val="es-CO"/>
        </w:rPr>
        <w:t xml:space="preserve"> ha indicado que los tratados de alcance universal y regional consagran tal prohibición y el derecho inderogable a no ser torturado. Igualmente, </w:t>
      </w:r>
      <w:r w:rsidRPr="007F3D68">
        <w:rPr>
          <w:rFonts w:ascii="Cambria" w:hAnsi="Cambria"/>
          <w:sz w:val="20"/>
          <w:szCs w:val="20"/>
          <w:lang w:val="es-CO"/>
        </w:rPr>
        <w:lastRenderedPageBreak/>
        <w:t>numerosos instrumentos internacionales consagran ese derecho y reiteran la misma prohibición, incluso bajo el derecho internacional humanitario</w:t>
      </w:r>
      <w:r w:rsidRPr="007F3D68">
        <w:rPr>
          <w:rStyle w:val="FootnoteReference"/>
          <w:rFonts w:ascii="Cambria" w:hAnsi="Cambria"/>
          <w:sz w:val="20"/>
          <w:szCs w:val="20"/>
        </w:rPr>
        <w:footnoteReference w:id="104"/>
      </w:r>
      <w:r w:rsidRPr="007F3D68">
        <w:rPr>
          <w:rFonts w:ascii="Cambria" w:hAnsi="Cambria"/>
          <w:sz w:val="20"/>
          <w:szCs w:val="20"/>
          <w:lang w:val="es-CO"/>
        </w:rPr>
        <w:t>.</w:t>
      </w:r>
    </w:p>
    <w:p w:rsidR="000104F7" w:rsidRPr="007F3D68" w:rsidRDefault="000104F7" w:rsidP="000104F7">
      <w:pPr>
        <w:pStyle w:val="ListParagraph"/>
        <w:rPr>
          <w:sz w:val="20"/>
          <w:szCs w:val="20"/>
          <w:lang w:val="es-CO"/>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szCs w:val="20"/>
          <w:lang w:val="es-CO"/>
        </w:rPr>
        <w:t>Según</w:t>
      </w:r>
      <w:r w:rsidRPr="007F3D68">
        <w:rPr>
          <w:rFonts w:ascii="Cambria" w:hAnsi="Cambria"/>
          <w:sz w:val="20"/>
          <w:szCs w:val="20"/>
          <w:lang w:val="es-ES"/>
        </w:rPr>
        <w:t xml:space="preserve">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7F3D68">
        <w:rPr>
          <w:rStyle w:val="FootnoteReference"/>
          <w:rFonts w:ascii="Cambria" w:hAnsi="Cambria"/>
          <w:sz w:val="20"/>
          <w:szCs w:val="20"/>
          <w:lang w:val="es-ES"/>
        </w:rPr>
        <w:footnoteReference w:id="105"/>
      </w:r>
      <w:r w:rsidRPr="007F3D68">
        <w:rPr>
          <w:rFonts w:ascii="Cambria" w:hAnsi="Cambria"/>
          <w:sz w:val="20"/>
          <w:szCs w:val="20"/>
          <w:lang w:val="es-ES"/>
        </w:rPr>
        <w:t>.</w:t>
      </w:r>
      <w:r w:rsidRPr="007F3D68">
        <w:rPr>
          <w:rFonts w:ascii="Cambria" w:hAnsi="Cambria"/>
          <w:sz w:val="20"/>
          <w:szCs w:val="20"/>
          <w:lang w:val="es-AR"/>
        </w:rPr>
        <w:t xml:space="preserve"> </w:t>
      </w:r>
    </w:p>
    <w:p w:rsidR="000104F7" w:rsidRPr="007F3D68" w:rsidRDefault="000104F7" w:rsidP="000104F7">
      <w:pPr>
        <w:pStyle w:val="ListParagraph"/>
        <w:rPr>
          <w:sz w:val="20"/>
          <w:szCs w:val="20"/>
          <w:lang w:val="es-ES_tradnl"/>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szCs w:val="20"/>
          <w:lang w:val="es-ES_tradnl"/>
        </w:rPr>
        <w:t>Por otra parte, la Comisión recuerda en cuanto a las afectaciones que sufren personas que se encuentran bajo custodia del Estado, que conforme a la jurisprudencia constante de la Comisión y la Corte Interamericana, siempre que una persona es detenida en un estado de salud normal y posteriormente aparece con afectaciones a su salud, corresponde al Estado proveer una explicación creíble de esa situación. En consecuencia, existe la presunción de considerar responsable al Estado por las lesiones que exhibe una persona que ha estado bajo la custodia de agentes estatales. En dicho supuesto, recae en el Estado la obligación de proveer una explicación satisfactoria y convincente de lo sucedido y desvirtuar las alegaciones sobre su responsabilidad, mediante elementos probatorios adecuados</w:t>
      </w:r>
      <w:r w:rsidRPr="007F3D68">
        <w:rPr>
          <w:rStyle w:val="FootnoteReference"/>
          <w:rFonts w:ascii="Cambria" w:hAnsi="Cambria"/>
          <w:sz w:val="20"/>
          <w:szCs w:val="20"/>
        </w:rPr>
        <w:footnoteReference w:id="106"/>
      </w:r>
      <w:r w:rsidRPr="007F3D68">
        <w:rPr>
          <w:rFonts w:ascii="Cambria" w:hAnsi="Cambria"/>
          <w:sz w:val="20"/>
          <w:szCs w:val="20"/>
          <w:lang w:val="es-ES_tradnl"/>
        </w:rPr>
        <w:t xml:space="preserve">. </w:t>
      </w:r>
    </w:p>
    <w:p w:rsidR="000104F7" w:rsidRPr="007F3D68" w:rsidRDefault="000104F7" w:rsidP="000104F7">
      <w:pPr>
        <w:pStyle w:val="ListParagraph"/>
        <w:rPr>
          <w:sz w:val="20"/>
          <w:szCs w:val="20"/>
          <w:lang w:val="es-CL"/>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szCs w:val="20"/>
          <w:lang w:val="es-CL"/>
        </w:rPr>
        <w:t xml:space="preserve">La </w:t>
      </w:r>
      <w:r w:rsidRPr="007F3D68">
        <w:rPr>
          <w:rFonts w:ascii="Cambria" w:hAnsi="Cambria"/>
          <w:sz w:val="20"/>
          <w:szCs w:val="20"/>
          <w:lang w:val="es-US"/>
        </w:rPr>
        <w:t xml:space="preserve">Corte </w:t>
      </w:r>
      <w:r w:rsidRPr="007F3D68">
        <w:rPr>
          <w:rFonts w:ascii="Cambria" w:hAnsi="Cambria"/>
          <w:sz w:val="20"/>
          <w:szCs w:val="20"/>
          <w:lang w:val="es-ES_tradnl"/>
        </w:rPr>
        <w:t>Interamericana</w:t>
      </w:r>
      <w:r w:rsidRPr="007F3D68">
        <w:rPr>
          <w:rFonts w:ascii="Cambria" w:hAnsi="Cambria"/>
          <w:sz w:val="20"/>
          <w:szCs w:val="20"/>
          <w:lang w:val="es-US"/>
        </w:rPr>
        <w:t xml:space="preserve"> ha señalado que</w:t>
      </w:r>
      <w:r w:rsidRPr="007F3D68">
        <w:rPr>
          <w:rFonts w:ascii="Cambria" w:eastAsia="Times New Roman" w:hAnsi="Cambria"/>
          <w:sz w:val="20"/>
          <w:szCs w:val="20"/>
          <w:lang w:val="es-ES"/>
        </w:rPr>
        <w:t xml:space="preserve"> cuando existe una denuncia o razón fundada para creer que se ha cometido un acto de tortura, existe una obligación estatal de iniciar de oficio e inmediatamente una investigación efectiva que permita identificar, juzgar y sancionar a los </w:t>
      </w:r>
      <w:r w:rsidRPr="007F3D68">
        <w:rPr>
          <w:rFonts w:ascii="Cambria" w:eastAsia="Times New Roman" w:hAnsi="Cambria"/>
          <w:sz w:val="20"/>
          <w:szCs w:val="20"/>
          <w:lang w:val="es-ES_tradnl"/>
        </w:rPr>
        <w:t>responsables</w:t>
      </w:r>
      <w:r w:rsidRPr="007F3D68">
        <w:rPr>
          <w:rFonts w:ascii="Cambria" w:eastAsia="Times New Roman" w:hAnsi="Cambria"/>
          <w:sz w:val="20"/>
          <w:szCs w:val="20"/>
          <w:lang w:val="es-ES"/>
        </w:rPr>
        <w:t>, conforme a la obligación general de garantizar a toda persona bajo su jurisdicción los derechos humanos consagrados en la Convención, establecida en el artículo 1.1. de la misma en conjunto con el derecho a la integridad personal</w:t>
      </w:r>
      <w:r w:rsidRPr="007F3D68">
        <w:rPr>
          <w:rFonts w:ascii="Cambria" w:eastAsia="Times New Roman" w:hAnsi="Cambria"/>
          <w:sz w:val="20"/>
          <w:szCs w:val="20"/>
          <w:vertAlign w:val="superscript"/>
          <w:lang w:val="es-ES"/>
        </w:rPr>
        <w:footnoteReference w:id="107"/>
      </w:r>
      <w:r w:rsidRPr="007F3D68">
        <w:rPr>
          <w:rFonts w:ascii="Cambria" w:eastAsia="Times New Roman" w:hAnsi="Cambria"/>
          <w:sz w:val="20"/>
          <w:szCs w:val="20"/>
          <w:lang w:val="es-ES"/>
        </w:rPr>
        <w:t xml:space="preserve">. Esta investigación debe ser realizada por todos los medios legales disponibles y orientados a la determinación de la verdad y la investigación, persecución, captura, enjuiciamiento y castigo de todos los responsables de los </w:t>
      </w:r>
      <w:r w:rsidRPr="007F3D68">
        <w:rPr>
          <w:rFonts w:ascii="Cambria" w:eastAsia="Times New Roman" w:hAnsi="Cambria"/>
          <w:sz w:val="20"/>
          <w:szCs w:val="20"/>
          <w:lang w:val="es-ES"/>
        </w:rPr>
        <w:lastRenderedPageBreak/>
        <w:t>hechos</w:t>
      </w:r>
      <w:r w:rsidRPr="007F3D68">
        <w:rPr>
          <w:rStyle w:val="FootnoteReference"/>
          <w:rFonts w:ascii="Cambria" w:eastAsia="Times New Roman" w:hAnsi="Cambria"/>
          <w:sz w:val="20"/>
          <w:szCs w:val="20"/>
          <w:lang w:val="es-ES"/>
        </w:rPr>
        <w:footnoteReference w:id="108"/>
      </w:r>
      <w:r w:rsidRPr="007F3D68">
        <w:rPr>
          <w:rFonts w:ascii="Cambria" w:eastAsia="Times New Roman" w:hAnsi="Cambria"/>
          <w:sz w:val="20"/>
          <w:szCs w:val="20"/>
          <w:lang w:val="es-ES"/>
        </w:rPr>
        <w:t>. La obligación de investigar exhaustivamente hechos de tortura adquiere mayor importancia si éstos se produjeron mientras la víctima se encontraba bajo custodia estatal</w:t>
      </w:r>
      <w:r w:rsidRPr="007F3D68">
        <w:rPr>
          <w:rStyle w:val="FootnoteReference"/>
          <w:rFonts w:ascii="Cambria" w:eastAsia="Times New Roman" w:hAnsi="Cambria"/>
          <w:sz w:val="20"/>
          <w:szCs w:val="20"/>
          <w:lang w:val="es-ES"/>
        </w:rPr>
        <w:footnoteReference w:id="109"/>
      </w:r>
      <w:r w:rsidRPr="007F3D68">
        <w:rPr>
          <w:rFonts w:ascii="Cambria" w:eastAsia="Times New Roman" w:hAnsi="Cambria"/>
          <w:sz w:val="20"/>
          <w:szCs w:val="20"/>
          <w:lang w:val="es-ES"/>
        </w:rPr>
        <w:t>.</w:t>
      </w:r>
    </w:p>
    <w:p w:rsidR="000104F7" w:rsidRPr="007F3D68" w:rsidRDefault="000104F7" w:rsidP="000104F7">
      <w:pPr>
        <w:pStyle w:val="ListParagraph"/>
        <w:rPr>
          <w:rFonts w:eastAsia="Times New Roman"/>
          <w:sz w:val="20"/>
          <w:szCs w:val="20"/>
          <w:lang w:val="es-ES"/>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eastAsia="Times New Roman" w:hAnsi="Cambria"/>
          <w:sz w:val="20"/>
          <w:szCs w:val="20"/>
          <w:lang w:val="es-ES"/>
        </w:rPr>
        <w:t>Según la Corte, en los casos en los que existen alegatos de supuestas torturas o malos tratos, el tiempo transcurrido para la realización de las correspondientes pericias médicas es esencial para determinar fehacientemente la existencia del daño, sobre todo cuando no se cuenta con testigos más allá de los perpetradores y las propias víctimas, y en consecuencia los elementos pueden ser escasos. De ello se desprende que para que una investigación sobre hechos de tortura sea efectiva, la misma deberá ser efectuada con prontitud</w:t>
      </w:r>
      <w:r w:rsidRPr="007F3D68">
        <w:rPr>
          <w:rStyle w:val="FootnoteReference"/>
          <w:rFonts w:ascii="Cambria" w:eastAsia="Times New Roman" w:hAnsi="Cambria"/>
          <w:sz w:val="20"/>
          <w:szCs w:val="20"/>
          <w:lang w:val="es-ES"/>
        </w:rPr>
        <w:footnoteReference w:id="110"/>
      </w:r>
      <w:r w:rsidRPr="007F3D68">
        <w:rPr>
          <w:rFonts w:ascii="Cambria" w:eastAsia="Times New Roman" w:hAnsi="Cambria"/>
          <w:sz w:val="20"/>
          <w:szCs w:val="20"/>
          <w:lang w:val="es-ES"/>
        </w:rPr>
        <w:t xml:space="preserve">. </w:t>
      </w:r>
    </w:p>
    <w:p w:rsidR="000104F7" w:rsidRPr="007F3D68" w:rsidRDefault="000104F7" w:rsidP="000104F7">
      <w:pPr>
        <w:pStyle w:val="ListParagraph"/>
        <w:rPr>
          <w:sz w:val="20"/>
          <w:szCs w:val="20"/>
          <w:lang w:val="es-ES"/>
        </w:rPr>
      </w:pPr>
    </w:p>
    <w:p w:rsidR="000104F7" w:rsidRPr="007F3D68" w:rsidRDefault="00BF224D"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szCs w:val="20"/>
          <w:lang w:val="es-ES"/>
        </w:rPr>
        <w:t xml:space="preserve">Igualmente, el Comité contra la Tortura de las Naciones Unidas ha establecido que frente a alegatos de tortura, es necesario que se realice en todos los casos un examen por un médico independiente de conformidad con el Protocolo de </w:t>
      </w:r>
      <w:r w:rsidRPr="007F3D68">
        <w:rPr>
          <w:rFonts w:ascii="Cambria" w:eastAsia="Times New Roman" w:hAnsi="Cambria"/>
          <w:sz w:val="20"/>
          <w:szCs w:val="20"/>
          <w:lang w:val="es-ES"/>
        </w:rPr>
        <w:t>Estambul</w:t>
      </w:r>
      <w:r w:rsidRPr="007F3D68">
        <w:rPr>
          <w:rStyle w:val="FootnoteReference"/>
          <w:rFonts w:ascii="Cambria" w:hAnsi="Cambria"/>
          <w:sz w:val="20"/>
          <w:szCs w:val="20"/>
          <w:lang w:val="es-ES"/>
        </w:rPr>
        <w:footnoteReference w:id="111"/>
      </w:r>
      <w:r w:rsidRPr="007F3D68">
        <w:rPr>
          <w:rFonts w:ascii="Cambria" w:hAnsi="Cambria"/>
          <w:sz w:val="20"/>
          <w:szCs w:val="20"/>
          <w:lang w:val="es-ES"/>
        </w:rPr>
        <w:t>. De acuerdo con dicho instrumento, la evaluación médica debería contener: i) información sobre el caso; ii) calificaciones del clínico (para el testimonio judicial); iii) declaración relativa a la veracidad del testimonio (para el testimonio judicial); iv) información de base; v) alegaciones de tortura y malos tratos; vi) síntomas y discapacidades físicas; vii) historia/exploración psicológica; viii) fotografías; ix) resultados de las pruebas de diagnóstico; x) consultas; xi) interpretación de los hallazgos; xii) conclusiones y recomendaciones; xiii) declaración de veracidad; xiv) declaración de restricciones a la evaluación/investigación médica; xv) firma del clínico, fecha, lugar; xvi) anexos pertinentes</w:t>
      </w:r>
      <w:r w:rsidRPr="007F3D68">
        <w:rPr>
          <w:rStyle w:val="FootnoteReference"/>
          <w:rFonts w:ascii="Cambria" w:hAnsi="Cambria"/>
          <w:sz w:val="20"/>
          <w:szCs w:val="20"/>
          <w:lang w:val="es-ES"/>
        </w:rPr>
        <w:footnoteReference w:id="112"/>
      </w:r>
      <w:r w:rsidRPr="007F3D68">
        <w:rPr>
          <w:rFonts w:ascii="Cambria" w:hAnsi="Cambria"/>
          <w:sz w:val="20"/>
          <w:szCs w:val="20"/>
          <w:lang w:val="es-ES"/>
        </w:rPr>
        <w:t>.</w:t>
      </w:r>
    </w:p>
    <w:p w:rsidR="000104F7" w:rsidRPr="007F3D68" w:rsidRDefault="000104F7" w:rsidP="000104F7">
      <w:pPr>
        <w:pStyle w:val="ListParagraph"/>
        <w:rPr>
          <w:sz w:val="20"/>
          <w:lang w:val="es-ES"/>
        </w:rPr>
      </w:pPr>
    </w:p>
    <w:p w:rsidR="000104F7" w:rsidRPr="007F3D68" w:rsidRDefault="00A5569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lang w:val="es-ES"/>
        </w:rPr>
        <w:t>En cuando a la regla de exclusión de las pruebas obtenidas mediante la tortura o tratos crueles e inhumanos</w:t>
      </w:r>
      <w:r w:rsidR="00CE174C" w:rsidRPr="007F3D68">
        <w:rPr>
          <w:rFonts w:ascii="Cambria" w:hAnsi="Cambria"/>
          <w:sz w:val="20"/>
          <w:lang w:val="es-ES"/>
        </w:rPr>
        <w:t xml:space="preserve">, la misma </w:t>
      </w:r>
      <w:r w:rsidRPr="007F3D68">
        <w:rPr>
          <w:rFonts w:ascii="Cambria" w:hAnsi="Cambria"/>
          <w:sz w:val="20"/>
          <w:lang w:val="es-ES"/>
        </w:rPr>
        <w:t>ha sido reconocida por diversos tratados</w:t>
      </w:r>
      <w:r w:rsidRPr="007F3D68">
        <w:rPr>
          <w:rStyle w:val="FootnoteReference"/>
          <w:rFonts w:ascii="Cambria" w:hAnsi="Cambria"/>
          <w:sz w:val="20"/>
        </w:rPr>
        <w:footnoteReference w:id="113"/>
      </w:r>
      <w:r w:rsidRPr="007F3D68">
        <w:rPr>
          <w:rFonts w:ascii="Cambria" w:hAnsi="Cambria"/>
          <w:sz w:val="20"/>
          <w:lang w:val="es-ES"/>
        </w:rPr>
        <w:t xml:space="preserve"> y órganos internacionales de protección de derechos humanos</w:t>
      </w:r>
      <w:r w:rsidRPr="007F3D68">
        <w:rPr>
          <w:rStyle w:val="FootnoteReference"/>
          <w:rFonts w:ascii="Cambria" w:hAnsi="Cambria"/>
          <w:sz w:val="20"/>
        </w:rPr>
        <w:footnoteReference w:id="114"/>
      </w:r>
      <w:r w:rsidRPr="007F3D68">
        <w:rPr>
          <w:rFonts w:ascii="Cambria" w:hAnsi="Cambria"/>
          <w:sz w:val="20"/>
          <w:lang w:val="es-ES"/>
        </w:rPr>
        <w:t>, así como que tal regla tiene “un carácter absoluto e inderogable”</w:t>
      </w:r>
      <w:r w:rsidRPr="007F3D68">
        <w:rPr>
          <w:rStyle w:val="FootnoteReference"/>
          <w:rFonts w:ascii="Cambria" w:hAnsi="Cambria"/>
          <w:sz w:val="20"/>
        </w:rPr>
        <w:footnoteReference w:id="115"/>
      </w:r>
      <w:r w:rsidR="00E152A0">
        <w:rPr>
          <w:rFonts w:ascii="Cambria" w:hAnsi="Cambria"/>
          <w:sz w:val="20"/>
          <w:lang w:val="es-ES"/>
        </w:rPr>
        <w:t>.</w:t>
      </w:r>
    </w:p>
    <w:p w:rsidR="000104F7" w:rsidRDefault="000104F7" w:rsidP="000104F7">
      <w:pPr>
        <w:pStyle w:val="ListParagraph"/>
        <w:rPr>
          <w:sz w:val="20"/>
          <w:lang w:val="es-ES"/>
        </w:rPr>
      </w:pPr>
    </w:p>
    <w:p w:rsidR="00F40EB1" w:rsidRPr="007F3D68" w:rsidRDefault="00F40EB1" w:rsidP="000104F7">
      <w:pPr>
        <w:pStyle w:val="ListParagraph"/>
        <w:rPr>
          <w:sz w:val="20"/>
          <w:lang w:val="es-ES"/>
        </w:rPr>
      </w:pPr>
    </w:p>
    <w:p w:rsidR="00A5569C" w:rsidRPr="007F3D68" w:rsidRDefault="00A5569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AR"/>
        </w:rPr>
      </w:pPr>
      <w:r w:rsidRPr="007F3D68">
        <w:rPr>
          <w:rFonts w:ascii="Cambria" w:hAnsi="Cambria"/>
          <w:sz w:val="20"/>
          <w:lang w:val="es-ES"/>
        </w:rPr>
        <w:t xml:space="preserve">Desde su </w:t>
      </w:r>
      <w:r w:rsidRPr="007F3D68">
        <w:rPr>
          <w:rFonts w:ascii="Cambria" w:hAnsi="Cambria"/>
          <w:i/>
          <w:sz w:val="20"/>
          <w:lang w:val="es-ES"/>
        </w:rPr>
        <w:t xml:space="preserve">Informe </w:t>
      </w:r>
      <w:r w:rsidRPr="007F3D68">
        <w:rPr>
          <w:rFonts w:ascii="Cambria" w:hAnsi="Cambria"/>
          <w:sz w:val="20"/>
          <w:lang w:val="es-ES"/>
        </w:rPr>
        <w:t>sobre</w:t>
      </w:r>
      <w:r w:rsidRPr="007F3D68">
        <w:rPr>
          <w:rFonts w:ascii="Cambria" w:hAnsi="Cambria"/>
          <w:i/>
          <w:sz w:val="20"/>
          <w:lang w:val="es-ES"/>
        </w:rPr>
        <w:t xml:space="preserve"> la Situación de los Derechos Humanos en México (1998)</w:t>
      </w:r>
      <w:r w:rsidRPr="007F3D68">
        <w:rPr>
          <w:rFonts w:ascii="Cambria" w:hAnsi="Cambria"/>
          <w:sz w:val="20"/>
          <w:lang w:val="es-ES"/>
        </w:rPr>
        <w:t xml:space="preserve"> la Comisión ha señalado que</w:t>
      </w:r>
      <w:r w:rsidR="001C51C8">
        <w:rPr>
          <w:rFonts w:ascii="Cambria" w:hAnsi="Cambria"/>
          <w:sz w:val="20"/>
          <w:lang w:val="es-ES"/>
        </w:rPr>
        <w:t xml:space="preserve">: </w:t>
      </w:r>
      <w:r w:rsidRPr="007F3D68">
        <w:rPr>
          <w:rFonts w:ascii="Cambria" w:hAnsi="Cambria"/>
          <w:sz w:val="20"/>
          <w:lang w:val="es-ES"/>
        </w:rPr>
        <w:t xml:space="preserve"> </w:t>
      </w:r>
    </w:p>
    <w:p w:rsidR="00A5569C" w:rsidRPr="007F3D68" w:rsidRDefault="00A5569C" w:rsidP="00A5569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lang w:val="es-ES"/>
        </w:rPr>
      </w:pPr>
    </w:p>
    <w:p w:rsidR="00A5569C" w:rsidRPr="007F3D68" w:rsidRDefault="00A5569C" w:rsidP="00A5569C">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sz w:val="20"/>
          <w:lang w:val="es-ES"/>
        </w:rPr>
      </w:pPr>
      <w:proofErr w:type="gramStart"/>
      <w:r w:rsidRPr="007F3D68">
        <w:rPr>
          <w:rFonts w:ascii="Cambria" w:hAnsi="Cambria"/>
          <w:sz w:val="20"/>
          <w:lang w:val="es-ES"/>
        </w:rPr>
        <w:t>ante</w:t>
      </w:r>
      <w:proofErr w:type="gramEnd"/>
      <w:r w:rsidRPr="007F3D68">
        <w:rPr>
          <w:rFonts w:ascii="Cambria" w:hAnsi="Cambria"/>
          <w:sz w:val="20"/>
          <w:lang w:val="es-ES"/>
        </w:rPr>
        <w:t xml:space="preserve"> una declaración o testimonio en que exista algún indicio o presunción fundada, de que la misma fue obtenida por algún tipo de coacción ya sea física o psicológica, los órganos jurisdiccionales deben </w:t>
      </w:r>
      <w:r w:rsidRPr="007F3D68">
        <w:rPr>
          <w:rFonts w:ascii="Cambria" w:hAnsi="Cambria" w:cs="Verdana"/>
          <w:sz w:val="20"/>
          <w:lang w:val="es-ES"/>
        </w:rPr>
        <w:t>[…] determinar si existió tal coacción. En caso de admitir una declaración o testimonio obtenido en tales circunstancias, y de utilizarlo en el proceso como elemento de evidencia o prueba, podrían generar la responsabilidad internacional del Estado</w:t>
      </w:r>
      <w:r w:rsidRPr="007F3D68">
        <w:rPr>
          <w:rStyle w:val="FootnoteReference"/>
          <w:rFonts w:ascii="Cambria" w:hAnsi="Cambria" w:cs="Verdana"/>
          <w:sz w:val="20"/>
          <w:lang w:val="es-ES"/>
        </w:rPr>
        <w:footnoteReference w:id="116"/>
      </w:r>
      <w:r w:rsidRPr="007F3D68">
        <w:rPr>
          <w:rFonts w:ascii="Cambria" w:hAnsi="Cambria" w:cs="Verdana"/>
          <w:sz w:val="20"/>
          <w:lang w:val="es-ES"/>
        </w:rPr>
        <w:t xml:space="preserve">. </w:t>
      </w:r>
    </w:p>
    <w:p w:rsidR="00A5569C" w:rsidRPr="007F3D68" w:rsidRDefault="00A5569C" w:rsidP="00A5569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lang w:val="es-ES"/>
        </w:rPr>
      </w:pPr>
    </w:p>
    <w:p w:rsidR="00A675E6" w:rsidRPr="007F3D68" w:rsidRDefault="00A5569C" w:rsidP="00A675E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Times New Roman" w:hAnsi="Cambria"/>
          <w:sz w:val="20"/>
          <w:szCs w:val="20"/>
          <w:lang w:val="es-ES"/>
        </w:rPr>
      </w:pPr>
      <w:r w:rsidRPr="007F3D68">
        <w:rPr>
          <w:rFonts w:ascii="Cambria" w:hAnsi="Cambria"/>
          <w:sz w:val="20"/>
          <w:lang w:val="es-ES"/>
        </w:rPr>
        <w:t>Por su parte, la Corte Interamericana ha explicado que al existir una garantía de no ser obligado a confesar sin coacción de ninguna naturaleza establecida en el artículo 8.3 de la Convención, la “anulación de actos procesales derivados de la tortura o actos crueles constituye una medida efectiva para hacer cesar las consecuencias de una violación a las garantías judiciales”</w:t>
      </w:r>
      <w:r w:rsidRPr="007F3D68">
        <w:rPr>
          <w:rStyle w:val="FootnoteReference"/>
          <w:rFonts w:ascii="Cambria" w:hAnsi="Cambria"/>
          <w:sz w:val="20"/>
        </w:rPr>
        <w:footnoteReference w:id="117"/>
      </w:r>
      <w:r w:rsidRPr="007F3D68">
        <w:rPr>
          <w:rFonts w:ascii="Cambria" w:hAnsi="Cambria"/>
          <w:sz w:val="20"/>
          <w:lang w:val="es-ES"/>
        </w:rPr>
        <w:t>. Dicha medida no sólo comprende confesiones arrojadas mediante torturas o tratos crueles sino  “que se extiende a cualquier tipo de coacción” capaz de quebrantar “la expresión espontánea de la voluntad de una persona”, lo cual implica “necesariamente la obligación de excluir la evidencia respectiva del proceso judicial”</w:t>
      </w:r>
      <w:r w:rsidRPr="007F3D68">
        <w:rPr>
          <w:rStyle w:val="FootnoteReference"/>
          <w:rFonts w:ascii="Cambria" w:hAnsi="Cambria"/>
          <w:sz w:val="20"/>
          <w:lang w:val="es-ES"/>
        </w:rPr>
        <w:t xml:space="preserve"> </w:t>
      </w:r>
      <w:r w:rsidRPr="007F3D68">
        <w:rPr>
          <w:rStyle w:val="FootnoteReference"/>
          <w:rFonts w:ascii="Cambria" w:hAnsi="Cambria"/>
          <w:sz w:val="20"/>
        </w:rPr>
        <w:footnoteReference w:id="118"/>
      </w:r>
      <w:r w:rsidRPr="007F3D68">
        <w:rPr>
          <w:rFonts w:ascii="Cambria" w:hAnsi="Cambria"/>
          <w:sz w:val="20"/>
          <w:lang w:val="es-ES"/>
        </w:rPr>
        <w:t xml:space="preserve">. El objeto de la regla de exclusión es precisamente desincentivar y evitar el uso de prácticas ilegales e </w:t>
      </w:r>
      <w:proofErr w:type="spellStart"/>
      <w:r w:rsidRPr="007F3D68">
        <w:rPr>
          <w:rFonts w:ascii="Cambria" w:hAnsi="Cambria"/>
          <w:sz w:val="20"/>
          <w:lang w:val="es-ES"/>
        </w:rPr>
        <w:t>inconvencionales</w:t>
      </w:r>
      <w:proofErr w:type="spellEnd"/>
      <w:r w:rsidRPr="007F3D68">
        <w:rPr>
          <w:rFonts w:ascii="Cambria" w:hAnsi="Cambria"/>
          <w:sz w:val="20"/>
          <w:lang w:val="es-ES"/>
        </w:rPr>
        <w:t xml:space="preserve"> como la tortura y, por ende, el cumplimiento con dicha regla es de naturaleza fundamental</w:t>
      </w:r>
      <w:r w:rsidR="00F51864" w:rsidRPr="007F3D68">
        <w:rPr>
          <w:rStyle w:val="FootnoteReference"/>
          <w:rFonts w:asciiTheme="majorHAnsi" w:hAnsiTheme="majorHAnsi"/>
          <w:sz w:val="20"/>
          <w:szCs w:val="20"/>
          <w:lang w:val="es-ES"/>
        </w:rPr>
        <w:footnoteReference w:id="119"/>
      </w:r>
      <w:r w:rsidRPr="007F3D68">
        <w:rPr>
          <w:rFonts w:ascii="Cambria" w:hAnsi="Cambria"/>
          <w:sz w:val="20"/>
          <w:lang w:val="es-ES"/>
        </w:rPr>
        <w:t>.</w:t>
      </w:r>
    </w:p>
    <w:p w:rsidR="00435148" w:rsidRPr="007F3D68" w:rsidRDefault="00435148" w:rsidP="000104F7">
      <w:pPr>
        <w:pStyle w:val="Heading3"/>
        <w:numPr>
          <w:ilvl w:val="0"/>
          <w:numId w:val="81"/>
        </w:numPr>
        <w:ind w:left="1260" w:hanging="540"/>
        <w:rPr>
          <w:color w:val="auto"/>
          <w:sz w:val="20"/>
          <w:szCs w:val="20"/>
          <w:lang w:val="es-CO"/>
        </w:rPr>
      </w:pPr>
      <w:bookmarkStart w:id="102" w:name="_Toc495479561"/>
      <w:r w:rsidRPr="007F3D68">
        <w:rPr>
          <w:color w:val="auto"/>
          <w:sz w:val="20"/>
          <w:szCs w:val="20"/>
          <w:lang w:val="es-CO"/>
        </w:rPr>
        <w:t>Análisis del caso</w:t>
      </w:r>
      <w:bookmarkEnd w:id="102"/>
    </w:p>
    <w:p w:rsidR="00A675E6" w:rsidRPr="007F3D68" w:rsidRDefault="00A675E6" w:rsidP="006E31CD">
      <w:pPr>
        <w:rPr>
          <w:sz w:val="20"/>
          <w:szCs w:val="20"/>
          <w:lang w:val="es-ES_tradnl"/>
        </w:rPr>
      </w:pPr>
    </w:p>
    <w:p w:rsidR="00BD1D8B" w:rsidRPr="007F3D68"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L"/>
        </w:rPr>
      </w:pPr>
      <w:r w:rsidRPr="007F3D68">
        <w:rPr>
          <w:rFonts w:ascii="Cambria" w:hAnsi="Cambria"/>
          <w:sz w:val="20"/>
          <w:szCs w:val="20"/>
          <w:lang w:val="es-ES_tradnl"/>
        </w:rPr>
        <w:t xml:space="preserve">A </w:t>
      </w:r>
      <w:r w:rsidRPr="007F3D68">
        <w:rPr>
          <w:rFonts w:ascii="Cambria" w:eastAsia="Times New Roman" w:hAnsi="Cambria"/>
          <w:sz w:val="20"/>
          <w:szCs w:val="20"/>
          <w:lang w:val="es-ES"/>
        </w:rPr>
        <w:t>continuación</w:t>
      </w:r>
      <w:r w:rsidRPr="007F3D68">
        <w:rPr>
          <w:rFonts w:ascii="Cambria" w:hAnsi="Cambria"/>
          <w:sz w:val="20"/>
          <w:szCs w:val="20"/>
          <w:lang w:val="es-ES_tradnl"/>
        </w:rPr>
        <w:t xml:space="preserve"> la Comisión analizará los alegatos de </w:t>
      </w:r>
      <w:r w:rsidR="00FA0F18" w:rsidRPr="007F3D68">
        <w:rPr>
          <w:rFonts w:ascii="Cambria" w:hAnsi="Cambria"/>
          <w:sz w:val="20"/>
          <w:szCs w:val="20"/>
          <w:lang w:val="es-ES_tradnl"/>
        </w:rPr>
        <w:t xml:space="preserve">tortura de </w:t>
      </w:r>
      <w:r w:rsidRPr="007F3D68">
        <w:rPr>
          <w:rFonts w:ascii="Cambria" w:hAnsi="Cambria"/>
          <w:sz w:val="20"/>
          <w:szCs w:val="20"/>
          <w:lang w:val="es-ES_tradnl"/>
        </w:rPr>
        <w:t>Tirso Román Valenzuela</w:t>
      </w:r>
      <w:r w:rsidR="00FA0F18" w:rsidRPr="007F3D68">
        <w:rPr>
          <w:rFonts w:ascii="Cambria" w:hAnsi="Cambria"/>
          <w:sz w:val="20"/>
          <w:szCs w:val="20"/>
          <w:lang w:val="es-ES_tradnl"/>
        </w:rPr>
        <w:t xml:space="preserve"> Ávila</w:t>
      </w:r>
      <w:r w:rsidR="00E675D5" w:rsidRPr="007F3D68">
        <w:rPr>
          <w:rFonts w:ascii="Cambria" w:hAnsi="Cambria"/>
          <w:sz w:val="20"/>
          <w:szCs w:val="20"/>
          <w:lang w:val="es-ES_tradnl"/>
        </w:rPr>
        <w:t xml:space="preserve"> a la luz de las consideraciones anteriores tanto respecto de la tortura y sus elementos constitutivos, como respecto del deber de investigar denuncia o razón fundada de tortura. </w:t>
      </w:r>
      <w:r w:rsidR="00DB2B1A" w:rsidRPr="007F3D68">
        <w:rPr>
          <w:rFonts w:ascii="Cambria" w:hAnsi="Cambria"/>
          <w:sz w:val="20"/>
          <w:szCs w:val="20"/>
          <w:lang w:val="es-CL"/>
        </w:rPr>
        <w:t>T</w:t>
      </w:r>
      <w:r w:rsidRPr="007F3D68">
        <w:rPr>
          <w:rFonts w:ascii="Cambria" w:hAnsi="Cambria"/>
          <w:sz w:val="20"/>
          <w:szCs w:val="20"/>
          <w:lang w:val="es-ES_tradnl"/>
        </w:rPr>
        <w:t xml:space="preserve">al </w:t>
      </w:r>
      <w:r w:rsidR="003557C8" w:rsidRPr="007F3D68">
        <w:rPr>
          <w:rFonts w:ascii="Cambria" w:hAnsi="Cambria"/>
          <w:sz w:val="20"/>
          <w:szCs w:val="20"/>
          <w:lang w:val="es-ES_tradnl"/>
        </w:rPr>
        <w:t>cómo</w:t>
      </w:r>
      <w:r w:rsidRPr="007F3D68">
        <w:rPr>
          <w:rFonts w:ascii="Cambria" w:hAnsi="Cambria"/>
          <w:sz w:val="20"/>
          <w:szCs w:val="20"/>
          <w:lang w:val="es-ES_tradnl"/>
        </w:rPr>
        <w:t xml:space="preserve"> se indicó en la sección de hechos probados, Tirso Román Valenzuela alegó haber sido objeto de </w:t>
      </w:r>
      <w:r w:rsidR="003557C8" w:rsidRPr="007F3D68">
        <w:rPr>
          <w:rFonts w:ascii="Cambria" w:hAnsi="Cambria"/>
          <w:sz w:val="20"/>
          <w:szCs w:val="20"/>
          <w:lang w:val="es-ES_tradnl"/>
        </w:rPr>
        <w:t>tortura</w:t>
      </w:r>
      <w:r w:rsidRPr="007F3D68">
        <w:rPr>
          <w:rFonts w:ascii="Cambria" w:hAnsi="Cambria"/>
          <w:sz w:val="20"/>
          <w:szCs w:val="20"/>
          <w:lang w:val="es-ES_tradnl"/>
        </w:rPr>
        <w:t>, así como de violación sexual en el momento de su detención, el 27 de mayo de 1998,  y también tras su recaptura el 17 de junio de 2001, luego de su fuga de prisión en 1999, y tras su recaptura luego de su fuga de prisión en el 2001.</w:t>
      </w:r>
    </w:p>
    <w:p w:rsidR="00B85B42" w:rsidRPr="007F3D68" w:rsidRDefault="00B85B42" w:rsidP="004E102F">
      <w:pPr>
        <w:pStyle w:val="Heading4"/>
        <w:numPr>
          <w:ilvl w:val="1"/>
          <w:numId w:val="69"/>
        </w:numPr>
        <w:tabs>
          <w:tab w:val="left" w:pos="1260"/>
        </w:tabs>
        <w:ind w:left="720" w:firstLine="0"/>
        <w:rPr>
          <w:rFonts w:asciiTheme="majorHAnsi" w:hAnsiTheme="majorHAnsi"/>
          <w:sz w:val="20"/>
          <w:lang w:val="es-ES_tradnl"/>
        </w:rPr>
      </w:pPr>
      <w:r w:rsidRPr="007F3D68">
        <w:rPr>
          <w:rFonts w:asciiTheme="majorHAnsi" w:hAnsiTheme="majorHAnsi"/>
          <w:sz w:val="20"/>
          <w:lang w:val="es-ES_tradnl"/>
        </w:rPr>
        <w:t xml:space="preserve">Sobre la prueba de las afectaciones </w:t>
      </w:r>
      <w:r w:rsidR="002453E7" w:rsidRPr="007F3D68">
        <w:rPr>
          <w:rFonts w:asciiTheme="majorHAnsi" w:hAnsiTheme="majorHAnsi"/>
          <w:sz w:val="20"/>
          <w:lang w:val="es-ES_tradnl"/>
        </w:rPr>
        <w:t>por parte de agentes estatales</w:t>
      </w:r>
    </w:p>
    <w:p w:rsidR="008472EC" w:rsidRPr="007F3D68" w:rsidRDefault="008472EC" w:rsidP="008472E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_tradnl"/>
        </w:rPr>
      </w:pPr>
    </w:p>
    <w:p w:rsidR="000104F7" w:rsidRPr="007F3D68" w:rsidRDefault="00B85B42"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eastAsia="Times New Roman" w:hAnsi="Cambria"/>
          <w:sz w:val="20"/>
          <w:szCs w:val="20"/>
          <w:lang w:val="es-ES"/>
        </w:rPr>
        <w:t>Sobre</w:t>
      </w:r>
      <w:r w:rsidRPr="007F3D68">
        <w:rPr>
          <w:rFonts w:ascii="Cambria" w:hAnsi="Cambria"/>
          <w:sz w:val="20"/>
          <w:szCs w:val="20"/>
          <w:lang w:val="es-ES_tradnl"/>
        </w:rPr>
        <w:t xml:space="preserve"> la ocurrencia de las afectaciones a la integridad personal del señor </w:t>
      </w:r>
      <w:r w:rsidR="00482A68" w:rsidRPr="007F3D68">
        <w:rPr>
          <w:rFonts w:ascii="Cambria" w:hAnsi="Cambria"/>
          <w:sz w:val="20"/>
          <w:szCs w:val="20"/>
          <w:lang w:val="es-ES_tradnl"/>
        </w:rPr>
        <w:t>Valenzuela Ávila</w:t>
      </w:r>
      <w:r w:rsidRPr="007F3D68">
        <w:rPr>
          <w:rFonts w:ascii="Cambria" w:hAnsi="Cambria"/>
          <w:sz w:val="20"/>
          <w:szCs w:val="20"/>
          <w:lang w:val="es-ES_tradnl"/>
        </w:rPr>
        <w:t>, la Comisión recapitula los elementos probatorios disponibles que fueron descritos en los hechos probados.</w:t>
      </w:r>
    </w:p>
    <w:p w:rsidR="000104F7" w:rsidRPr="007F3D68" w:rsidRDefault="000104F7" w:rsidP="000104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_tradnl"/>
        </w:rPr>
      </w:pPr>
    </w:p>
    <w:p w:rsidR="000104F7" w:rsidRPr="007F3D68" w:rsidRDefault="00BC41C0"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eastAsia="Times New Roman" w:hAnsi="Cambria"/>
          <w:sz w:val="20"/>
          <w:szCs w:val="20"/>
          <w:lang w:val="es-ES"/>
        </w:rPr>
        <w:t>El</w:t>
      </w:r>
      <w:r w:rsidRPr="007F3D68">
        <w:rPr>
          <w:rFonts w:ascii="Cambria" w:hAnsi="Cambria"/>
          <w:sz w:val="20"/>
          <w:szCs w:val="20"/>
          <w:lang w:val="es-ES_tradnl"/>
        </w:rPr>
        <w:t xml:space="preserve"> </w:t>
      </w:r>
      <w:r w:rsidR="005F496A" w:rsidRPr="007F3D68">
        <w:rPr>
          <w:rFonts w:ascii="Cambria" w:hAnsi="Cambria"/>
          <w:sz w:val="20"/>
          <w:szCs w:val="20"/>
          <w:lang w:val="es-ES_tradnl"/>
        </w:rPr>
        <w:t>señor Valenzuela Ávila</w:t>
      </w:r>
      <w:r w:rsidR="00242EAC" w:rsidRPr="007F3D68">
        <w:rPr>
          <w:rFonts w:ascii="Cambria" w:hAnsi="Cambria"/>
          <w:sz w:val="20"/>
          <w:szCs w:val="20"/>
          <w:lang w:val="es-ES_tradnl"/>
        </w:rPr>
        <w:t xml:space="preserve"> declaró que al ser de</w:t>
      </w:r>
      <w:r w:rsidR="0020708B" w:rsidRPr="007F3D68">
        <w:rPr>
          <w:rFonts w:ascii="Cambria" w:hAnsi="Cambria"/>
          <w:sz w:val="20"/>
          <w:szCs w:val="20"/>
          <w:lang w:val="es-ES_tradnl"/>
        </w:rPr>
        <w:t>tenido, el 27 de mayo de 1998, a</w:t>
      </w:r>
      <w:r w:rsidR="00242EAC" w:rsidRPr="007F3D68">
        <w:rPr>
          <w:rFonts w:ascii="Cambria" w:hAnsi="Cambria"/>
          <w:sz w:val="20"/>
          <w:szCs w:val="20"/>
          <w:lang w:val="es-ES_tradnl"/>
        </w:rPr>
        <w:t xml:space="preserve">gentes del SIC le golpearon en la nuca, en el abdomen, </w:t>
      </w:r>
      <w:r w:rsidRPr="007F3D68">
        <w:rPr>
          <w:rFonts w:ascii="Cambria" w:hAnsi="Cambria"/>
          <w:sz w:val="20"/>
          <w:szCs w:val="20"/>
          <w:lang w:val="es-ES_tradnl"/>
        </w:rPr>
        <w:t xml:space="preserve">las </w:t>
      </w:r>
      <w:r w:rsidR="00242EAC" w:rsidRPr="007F3D68">
        <w:rPr>
          <w:rFonts w:ascii="Cambria" w:hAnsi="Cambria"/>
          <w:sz w:val="20"/>
          <w:szCs w:val="20"/>
          <w:lang w:val="es-ES_tradnl"/>
        </w:rPr>
        <w:t xml:space="preserve">costillas y lo tiraron al suelo. Detalló en la misma declaración que lo asfixiaron con un veneno para ratas </w:t>
      </w:r>
      <w:r w:rsidR="003557C8" w:rsidRPr="007F3D68">
        <w:rPr>
          <w:rFonts w:ascii="Cambria" w:hAnsi="Cambria"/>
          <w:sz w:val="20"/>
          <w:szCs w:val="20"/>
          <w:lang w:val="es-ES_tradnl"/>
        </w:rPr>
        <w:t xml:space="preserve">“como </w:t>
      </w:r>
      <w:r w:rsidR="00242EAC" w:rsidRPr="007F3D68">
        <w:rPr>
          <w:rFonts w:ascii="Cambria" w:hAnsi="Cambria"/>
          <w:sz w:val="20"/>
          <w:szCs w:val="20"/>
          <w:lang w:val="es-ES_tradnl"/>
        </w:rPr>
        <w:t>en siete ocasiones</w:t>
      </w:r>
      <w:r w:rsidR="003557C8" w:rsidRPr="007F3D68">
        <w:rPr>
          <w:rFonts w:ascii="Cambria" w:hAnsi="Cambria"/>
          <w:sz w:val="20"/>
          <w:szCs w:val="20"/>
          <w:lang w:val="es-ES_tradnl"/>
        </w:rPr>
        <w:t>”</w:t>
      </w:r>
      <w:r w:rsidR="00242EAC" w:rsidRPr="007F3D68">
        <w:rPr>
          <w:rFonts w:ascii="Cambria" w:hAnsi="Cambria"/>
          <w:sz w:val="20"/>
          <w:szCs w:val="20"/>
          <w:lang w:val="es-ES_tradnl"/>
        </w:rPr>
        <w:t>, que duraban entre 30 y 40 segundos cada una, luego lo siguieron golpeando y amenazando</w:t>
      </w:r>
      <w:r w:rsidR="0081204A" w:rsidRPr="007F3D68">
        <w:rPr>
          <w:rFonts w:ascii="Cambria" w:hAnsi="Cambria"/>
          <w:sz w:val="20"/>
          <w:szCs w:val="20"/>
          <w:lang w:val="es-ES_tradnl"/>
        </w:rPr>
        <w:t xml:space="preserve"> de muerte y de violación.</w:t>
      </w:r>
      <w:r w:rsidR="00242EAC" w:rsidRPr="007F3D68">
        <w:rPr>
          <w:rFonts w:ascii="Cambria" w:hAnsi="Cambria"/>
          <w:sz w:val="20"/>
          <w:szCs w:val="20"/>
          <w:lang w:val="es-ES_tradnl"/>
        </w:rPr>
        <w:t xml:space="preserve"> Refirió que en la misma fecha le introdujeron un bastón en el ano hasta que se desmayó y despertó defecado.</w:t>
      </w:r>
      <w:r w:rsidR="00EF057A" w:rsidRPr="007F3D68">
        <w:rPr>
          <w:rFonts w:ascii="Cambria" w:hAnsi="Cambria"/>
          <w:sz w:val="20"/>
          <w:szCs w:val="20"/>
          <w:lang w:val="es-ES_tradnl"/>
        </w:rPr>
        <w:t xml:space="preserve"> En este contexto se produjo una confesión por parte del señor Valenzuela Ávila</w:t>
      </w:r>
      <w:r w:rsidR="00DB5635" w:rsidRPr="007F3D68">
        <w:rPr>
          <w:rFonts w:ascii="Cambria" w:hAnsi="Cambria"/>
          <w:sz w:val="20"/>
          <w:szCs w:val="20"/>
          <w:lang w:val="es-ES_tradnl"/>
        </w:rPr>
        <w:t xml:space="preserve">. </w:t>
      </w:r>
    </w:p>
    <w:p w:rsidR="000104F7" w:rsidRDefault="000104F7" w:rsidP="000104F7">
      <w:pPr>
        <w:pStyle w:val="ListParagraph"/>
        <w:rPr>
          <w:sz w:val="20"/>
          <w:szCs w:val="20"/>
          <w:lang w:val="es-ES_tradnl"/>
        </w:rPr>
      </w:pPr>
    </w:p>
    <w:p w:rsidR="00F40EB1" w:rsidRDefault="00F40EB1" w:rsidP="000104F7">
      <w:pPr>
        <w:pStyle w:val="ListParagraph"/>
        <w:rPr>
          <w:sz w:val="20"/>
          <w:szCs w:val="20"/>
          <w:lang w:val="es-ES_tradnl"/>
        </w:rPr>
      </w:pPr>
    </w:p>
    <w:p w:rsidR="00F40EB1" w:rsidRDefault="00F40EB1" w:rsidP="000104F7">
      <w:pPr>
        <w:pStyle w:val="ListParagraph"/>
        <w:rPr>
          <w:sz w:val="20"/>
          <w:szCs w:val="20"/>
          <w:lang w:val="es-ES_tradnl"/>
        </w:rPr>
      </w:pPr>
    </w:p>
    <w:p w:rsidR="00F40EB1" w:rsidRPr="007F3D68" w:rsidRDefault="00F40EB1" w:rsidP="000104F7">
      <w:pPr>
        <w:pStyle w:val="ListParagraph"/>
        <w:rPr>
          <w:sz w:val="20"/>
          <w:szCs w:val="20"/>
          <w:lang w:val="es-ES_tradnl"/>
        </w:rPr>
      </w:pPr>
    </w:p>
    <w:p w:rsidR="000104F7" w:rsidRPr="007F3D68" w:rsidRDefault="00BC41C0"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Sobre estos mismos hechos, </w:t>
      </w:r>
      <w:r w:rsidR="00242EAC" w:rsidRPr="007F3D68">
        <w:rPr>
          <w:rFonts w:ascii="Cambria" w:hAnsi="Cambria"/>
          <w:sz w:val="20"/>
          <w:szCs w:val="20"/>
          <w:lang w:val="es-ES_tradnl"/>
        </w:rPr>
        <w:t>su entonces conviviente indicó que vio a la presunta víctima el día de su detención y se veía desarreglado, con rasguños y respiración agitada. Asimismo, lo visitó dos días después en la cárcel y le contó que en el momento de su detención le taparon la cara con una bolsa plástica con “</w:t>
      </w:r>
      <w:proofErr w:type="spellStart"/>
      <w:r w:rsidR="00242EAC" w:rsidRPr="007F3D68">
        <w:rPr>
          <w:rFonts w:ascii="Cambria" w:hAnsi="Cambria"/>
          <w:sz w:val="20"/>
          <w:szCs w:val="20"/>
          <w:lang w:val="es-ES_tradnl"/>
        </w:rPr>
        <w:t>gamezán</w:t>
      </w:r>
      <w:proofErr w:type="spellEnd"/>
      <w:r w:rsidR="00242EAC" w:rsidRPr="007F3D68">
        <w:rPr>
          <w:rFonts w:ascii="Cambria" w:hAnsi="Cambria"/>
          <w:sz w:val="20"/>
          <w:szCs w:val="20"/>
          <w:lang w:val="es-ES_tradnl"/>
        </w:rPr>
        <w:t xml:space="preserve">” para ahogarlo, le patearon las costillas, que no quería comer porque tenía problemas para defecar y que lo golpearon hasta confesar el crimen. </w:t>
      </w:r>
    </w:p>
    <w:p w:rsidR="000104F7" w:rsidRPr="007F3D68" w:rsidRDefault="000104F7" w:rsidP="000104F7">
      <w:pPr>
        <w:pStyle w:val="ListParagraph"/>
        <w:rPr>
          <w:sz w:val="20"/>
          <w:szCs w:val="20"/>
          <w:lang w:val="es-ES_tradnl"/>
        </w:rPr>
      </w:pPr>
    </w:p>
    <w:p w:rsidR="000104F7" w:rsidRPr="007F3D68" w:rsidRDefault="00BC41C0"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Igualmente, </w:t>
      </w:r>
      <w:r w:rsidR="00242EAC" w:rsidRPr="007F3D68">
        <w:rPr>
          <w:rFonts w:ascii="Cambria" w:hAnsi="Cambria"/>
          <w:sz w:val="20"/>
          <w:szCs w:val="20"/>
          <w:lang w:val="es-ES_tradnl"/>
        </w:rPr>
        <w:t>Santos Morales Ramos, persona privada de libertad que estaba en la cárcel a la que fue enviada la presunta víctima en el momen</w:t>
      </w:r>
      <w:r w:rsidR="00526862" w:rsidRPr="007F3D68">
        <w:rPr>
          <w:rFonts w:ascii="Cambria" w:hAnsi="Cambria"/>
          <w:sz w:val="20"/>
          <w:szCs w:val="20"/>
          <w:lang w:val="es-ES_tradnl"/>
        </w:rPr>
        <w:t xml:space="preserve">to de su detención, indicó que </w:t>
      </w:r>
      <w:r w:rsidR="00242EAC" w:rsidRPr="007F3D68">
        <w:rPr>
          <w:rFonts w:ascii="Cambria" w:hAnsi="Cambria"/>
          <w:sz w:val="20"/>
          <w:szCs w:val="20"/>
          <w:lang w:val="es-ES_tradnl"/>
        </w:rPr>
        <w:t>este “llegó muy golpe</w:t>
      </w:r>
      <w:r w:rsidR="00ED7F66" w:rsidRPr="007F3D68">
        <w:rPr>
          <w:rFonts w:ascii="Cambria" w:hAnsi="Cambria"/>
          <w:sz w:val="20"/>
          <w:szCs w:val="20"/>
          <w:lang w:val="es-ES_tradnl"/>
        </w:rPr>
        <w:t>ado del rostro, defecaba sangre (…)”.</w:t>
      </w:r>
      <w:r w:rsidR="00BD1D8B" w:rsidRPr="007F3D68">
        <w:rPr>
          <w:rFonts w:ascii="Cambria" w:hAnsi="Cambria"/>
          <w:sz w:val="20"/>
          <w:szCs w:val="20"/>
          <w:lang w:val="es-ES_tradnl"/>
        </w:rPr>
        <w:t xml:space="preserve"> </w:t>
      </w:r>
      <w:r w:rsidR="00242EAC" w:rsidRPr="007F3D68">
        <w:rPr>
          <w:rFonts w:ascii="Cambria" w:hAnsi="Cambria"/>
          <w:sz w:val="20"/>
          <w:szCs w:val="20"/>
          <w:lang w:val="es-ES_tradnl"/>
        </w:rPr>
        <w:t xml:space="preserve">Además, Emeterio de Jesús </w:t>
      </w:r>
      <w:proofErr w:type="spellStart"/>
      <w:r w:rsidR="00242EAC" w:rsidRPr="007F3D68">
        <w:rPr>
          <w:rFonts w:ascii="Cambria" w:hAnsi="Cambria"/>
          <w:sz w:val="20"/>
          <w:szCs w:val="20"/>
          <w:lang w:val="es-ES_tradnl"/>
        </w:rPr>
        <w:t>Morataya</w:t>
      </w:r>
      <w:proofErr w:type="spellEnd"/>
      <w:r w:rsidR="00242EAC" w:rsidRPr="007F3D68">
        <w:rPr>
          <w:rFonts w:ascii="Cambria" w:hAnsi="Cambria"/>
          <w:sz w:val="20"/>
          <w:szCs w:val="20"/>
          <w:lang w:val="es-ES_tradnl"/>
        </w:rPr>
        <w:t xml:space="preserve"> declaró que la presunta víctima llegó el 29 de mayo de 1998 al segundo cuerpo de la Policía Nacional Civil, en Quetzaltenango, y que no podía ni sentarse al extremo que dormía parado porque defecaba sangre, iba desfigurado de la cara, con restos de poco bigote porque el resto se lo habían arrancado, iba derramando sangre, y contaba que “se lo metieron por el recto por lo que iba sumamente lastimado”. </w:t>
      </w:r>
    </w:p>
    <w:p w:rsidR="000104F7" w:rsidRPr="007F3D68" w:rsidRDefault="000104F7" w:rsidP="000104F7">
      <w:pPr>
        <w:pStyle w:val="ListParagraph"/>
        <w:rPr>
          <w:sz w:val="20"/>
          <w:szCs w:val="20"/>
          <w:lang w:val="es-CL"/>
        </w:rPr>
      </w:pPr>
    </w:p>
    <w:p w:rsidR="000104F7" w:rsidRPr="007F3D68" w:rsidRDefault="00BC41C0"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CL"/>
        </w:rPr>
        <w:t xml:space="preserve">En cuanto a la segunda ocasión en que alegó haber sido torturado, esto es, el 10 de abril de 1999, en el expediente consta un escrito presentado por la defensa el 8 de julio de 1999 en el que se denunciaba la situación y se pedía un examen médico. </w:t>
      </w:r>
      <w:r w:rsidR="00276B6F" w:rsidRPr="007F3D68">
        <w:rPr>
          <w:rFonts w:ascii="Cambria" w:hAnsi="Cambria"/>
          <w:sz w:val="20"/>
          <w:szCs w:val="20"/>
          <w:lang w:val="es-CL"/>
        </w:rPr>
        <w:t>El Estado no controvirtió esta información ni aportó prueba alguna que indique que el señor Valenzuela Ávila contó con un examen médico en esta oportunidad.</w:t>
      </w:r>
    </w:p>
    <w:p w:rsidR="000104F7" w:rsidRPr="007F3D68" w:rsidRDefault="000104F7" w:rsidP="000104F7">
      <w:pPr>
        <w:pStyle w:val="ListParagraph"/>
        <w:rPr>
          <w:sz w:val="20"/>
          <w:szCs w:val="20"/>
          <w:lang w:val="es-CL"/>
        </w:rPr>
      </w:pPr>
    </w:p>
    <w:p w:rsidR="000104F7" w:rsidRPr="007F3D68" w:rsidRDefault="00276B6F"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CL"/>
        </w:rPr>
        <w:t xml:space="preserve">El señor Valenzuela Ávila </w:t>
      </w:r>
      <w:r w:rsidR="00BD1D8B" w:rsidRPr="007F3D68">
        <w:rPr>
          <w:rFonts w:ascii="Cambria" w:hAnsi="Cambria"/>
          <w:sz w:val="20"/>
          <w:szCs w:val="20"/>
          <w:lang w:val="es-CL"/>
        </w:rPr>
        <w:t xml:space="preserve">declaró que también lo torturaron </w:t>
      </w:r>
      <w:r w:rsidR="00BC41C0" w:rsidRPr="007F3D68">
        <w:rPr>
          <w:rFonts w:ascii="Cambria" w:hAnsi="Cambria"/>
          <w:sz w:val="20"/>
          <w:szCs w:val="20"/>
          <w:lang w:val="es-CL"/>
        </w:rPr>
        <w:t xml:space="preserve">los días </w:t>
      </w:r>
      <w:r w:rsidR="00BD1D8B" w:rsidRPr="007F3D68">
        <w:rPr>
          <w:rFonts w:ascii="Cambria" w:hAnsi="Cambria"/>
          <w:sz w:val="20"/>
          <w:szCs w:val="20"/>
          <w:lang w:val="es-CL"/>
        </w:rPr>
        <w:t>17</w:t>
      </w:r>
      <w:r w:rsidR="00242EAC" w:rsidRPr="007F3D68">
        <w:rPr>
          <w:rFonts w:ascii="Cambria" w:hAnsi="Cambria"/>
          <w:sz w:val="20"/>
          <w:szCs w:val="20"/>
          <w:lang w:val="es-ES_tradnl"/>
        </w:rPr>
        <w:t xml:space="preserve">, 18 y 19 de junio de 2001 </w:t>
      </w:r>
      <w:r w:rsidR="00ED7F66" w:rsidRPr="007F3D68">
        <w:rPr>
          <w:rFonts w:ascii="Cambria" w:hAnsi="Cambria"/>
          <w:sz w:val="20"/>
          <w:szCs w:val="20"/>
          <w:lang w:val="es-ES_tradnl"/>
        </w:rPr>
        <w:t>tras ser recapturado luego de su fuga</w:t>
      </w:r>
      <w:r w:rsidR="00BC41C0" w:rsidRPr="007F3D68">
        <w:rPr>
          <w:rFonts w:ascii="Cambria" w:hAnsi="Cambria"/>
          <w:sz w:val="20"/>
          <w:szCs w:val="20"/>
          <w:lang w:val="es-ES_tradnl"/>
        </w:rPr>
        <w:t>. E</w:t>
      </w:r>
      <w:r w:rsidR="00954182" w:rsidRPr="007F3D68">
        <w:rPr>
          <w:rFonts w:ascii="Cambria" w:hAnsi="Cambria"/>
          <w:sz w:val="20"/>
          <w:szCs w:val="20"/>
          <w:lang w:val="es-ES_tradnl"/>
        </w:rPr>
        <w:t>n una carta remitida por él mismo se indica</w:t>
      </w:r>
      <w:r w:rsidR="00ED7F66" w:rsidRPr="007F3D68">
        <w:rPr>
          <w:rFonts w:ascii="Cambria" w:hAnsi="Cambria"/>
          <w:sz w:val="20"/>
          <w:szCs w:val="20"/>
          <w:lang w:val="es-ES_tradnl"/>
        </w:rPr>
        <w:t>:</w:t>
      </w:r>
      <w:r w:rsidR="008E673F" w:rsidRPr="007F3D68">
        <w:rPr>
          <w:rFonts w:ascii="Cambria" w:hAnsi="Cambria"/>
          <w:sz w:val="20"/>
          <w:szCs w:val="20"/>
          <w:lang w:val="es-ES_tradnl"/>
        </w:rPr>
        <w:t xml:space="preserve"> </w:t>
      </w:r>
      <w:r w:rsidR="00ED7F66" w:rsidRPr="007F3D68">
        <w:rPr>
          <w:rFonts w:ascii="Cambria" w:hAnsi="Cambria"/>
          <w:sz w:val="20"/>
          <w:szCs w:val="20"/>
          <w:lang w:val="es-ES_tradnl"/>
        </w:rPr>
        <w:t>“llevo</w:t>
      </w:r>
      <w:r w:rsidR="00242EAC" w:rsidRPr="007F3D68">
        <w:rPr>
          <w:rFonts w:ascii="Cambria" w:hAnsi="Cambria"/>
          <w:sz w:val="20"/>
          <w:szCs w:val="20"/>
          <w:lang w:val="es-ES_tradnl"/>
        </w:rPr>
        <w:t xml:space="preserve"> 4 días de estar en cama sin poderme movilizar </w:t>
      </w:r>
      <w:proofErr w:type="spellStart"/>
      <w:r w:rsidR="00242EAC" w:rsidRPr="007F3D68">
        <w:rPr>
          <w:rFonts w:ascii="Cambria" w:hAnsi="Cambria"/>
          <w:sz w:val="20"/>
          <w:szCs w:val="20"/>
          <w:lang w:val="es-ES_tradnl"/>
        </w:rPr>
        <w:t>devido</w:t>
      </w:r>
      <w:proofErr w:type="spellEnd"/>
      <w:r w:rsidR="00242EAC" w:rsidRPr="007F3D68">
        <w:rPr>
          <w:rFonts w:ascii="Cambria" w:hAnsi="Cambria"/>
          <w:sz w:val="20"/>
          <w:szCs w:val="20"/>
          <w:lang w:val="es-ES_tradnl"/>
        </w:rPr>
        <w:t xml:space="preserve"> (sic) al fuerte dolor en mi columna </w:t>
      </w:r>
      <w:proofErr w:type="spellStart"/>
      <w:r w:rsidR="00242EAC" w:rsidRPr="007F3D68">
        <w:rPr>
          <w:rFonts w:ascii="Cambria" w:hAnsi="Cambria"/>
          <w:sz w:val="20"/>
          <w:szCs w:val="20"/>
          <w:lang w:val="es-ES_tradnl"/>
        </w:rPr>
        <w:t>bertevral</w:t>
      </w:r>
      <w:proofErr w:type="spellEnd"/>
      <w:r w:rsidR="00242EAC" w:rsidRPr="007F3D68">
        <w:rPr>
          <w:rFonts w:ascii="Cambria" w:hAnsi="Cambria"/>
          <w:sz w:val="20"/>
          <w:szCs w:val="20"/>
          <w:lang w:val="es-ES_tradnl"/>
        </w:rPr>
        <w:t xml:space="preserve"> (sic)”.  </w:t>
      </w:r>
      <w:r w:rsidR="00BD1D8B" w:rsidRPr="007F3D68">
        <w:rPr>
          <w:rFonts w:ascii="Cambria" w:hAnsi="Cambria"/>
          <w:sz w:val="20"/>
          <w:szCs w:val="20"/>
          <w:lang w:val="es-ES_tradnl"/>
        </w:rPr>
        <w:t xml:space="preserve"> </w:t>
      </w:r>
      <w:r w:rsidR="00242EAC" w:rsidRPr="007F3D68">
        <w:rPr>
          <w:rFonts w:ascii="Cambria" w:hAnsi="Cambria"/>
          <w:sz w:val="20"/>
          <w:szCs w:val="20"/>
          <w:lang w:val="es-ES_tradnl"/>
        </w:rPr>
        <w:t xml:space="preserve">Al respecto, Pablo Arturo Ruiz </w:t>
      </w:r>
      <w:proofErr w:type="spellStart"/>
      <w:r w:rsidR="00242EAC" w:rsidRPr="007F3D68">
        <w:rPr>
          <w:rFonts w:ascii="Cambria" w:hAnsi="Cambria"/>
          <w:sz w:val="20"/>
          <w:szCs w:val="20"/>
          <w:lang w:val="es-ES_tradnl"/>
        </w:rPr>
        <w:t>Almengor</w:t>
      </w:r>
      <w:proofErr w:type="spellEnd"/>
      <w:r w:rsidR="00242EAC" w:rsidRPr="007F3D68">
        <w:rPr>
          <w:rFonts w:ascii="Cambria" w:hAnsi="Cambria"/>
          <w:sz w:val="20"/>
          <w:szCs w:val="20"/>
          <w:lang w:val="es-ES_tradnl"/>
        </w:rPr>
        <w:t xml:space="preserve">, </w:t>
      </w:r>
      <w:r w:rsidR="00242EAC" w:rsidRPr="007F3D68">
        <w:rPr>
          <w:rFonts w:asciiTheme="majorHAnsi" w:hAnsiTheme="majorHAnsi"/>
          <w:sz w:val="20"/>
          <w:szCs w:val="20"/>
          <w:lang w:val="es-ES_tradnl"/>
        </w:rPr>
        <w:t xml:space="preserve">cuya </w:t>
      </w:r>
      <w:r w:rsidR="00954182" w:rsidRPr="007F3D68">
        <w:rPr>
          <w:rFonts w:asciiTheme="majorHAnsi" w:hAnsiTheme="majorHAnsi"/>
          <w:sz w:val="20"/>
          <w:szCs w:val="20"/>
          <w:lang w:val="es-ES_tradnl"/>
        </w:rPr>
        <w:t>celda</w:t>
      </w:r>
      <w:r w:rsidR="00242EAC" w:rsidRPr="007F3D68">
        <w:rPr>
          <w:rFonts w:asciiTheme="majorHAnsi" w:hAnsiTheme="majorHAnsi"/>
          <w:sz w:val="20"/>
          <w:szCs w:val="20"/>
          <w:lang w:val="es-ES_tradnl"/>
        </w:rPr>
        <w:t xml:space="preserve"> estaba próxima a la de la presunta víctima declaró que “vinieron a sacarlo en repetidas oportunidades </w:t>
      </w:r>
      <w:r w:rsidR="00954182" w:rsidRPr="007F3D68">
        <w:rPr>
          <w:rFonts w:asciiTheme="majorHAnsi" w:hAnsiTheme="majorHAnsi"/>
          <w:sz w:val="20"/>
          <w:szCs w:val="20"/>
          <w:lang w:val="es-ES_tradnl"/>
        </w:rPr>
        <w:t xml:space="preserve">(…) </w:t>
      </w:r>
      <w:r w:rsidR="00242EAC" w:rsidRPr="007F3D68">
        <w:rPr>
          <w:rFonts w:asciiTheme="majorHAnsi" w:hAnsiTheme="majorHAnsi"/>
          <w:sz w:val="20"/>
          <w:szCs w:val="20"/>
          <w:lang w:val="es-ES_tradnl"/>
        </w:rPr>
        <w:t xml:space="preserve">y regresaba el cada vez más golpeado”. </w:t>
      </w:r>
    </w:p>
    <w:p w:rsidR="000104F7" w:rsidRPr="007F3D68" w:rsidRDefault="000104F7" w:rsidP="000104F7">
      <w:pPr>
        <w:pStyle w:val="ListParagraph"/>
        <w:rPr>
          <w:rFonts w:asciiTheme="majorHAnsi" w:hAnsiTheme="majorHAnsi"/>
          <w:sz w:val="20"/>
          <w:szCs w:val="20"/>
          <w:lang w:val="es-ES_tradnl"/>
        </w:rPr>
      </w:pPr>
    </w:p>
    <w:p w:rsidR="000104F7" w:rsidRPr="007F3D68" w:rsidRDefault="00954182"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Theme="majorHAnsi" w:hAnsiTheme="majorHAnsi"/>
          <w:sz w:val="20"/>
          <w:szCs w:val="20"/>
          <w:lang w:val="es-ES_tradnl"/>
        </w:rPr>
        <w:t xml:space="preserve">Además </w:t>
      </w:r>
      <w:r w:rsidRPr="007F3D68">
        <w:rPr>
          <w:rFonts w:ascii="Cambria" w:hAnsi="Cambria"/>
          <w:sz w:val="20"/>
          <w:szCs w:val="20"/>
          <w:lang w:val="es-ES_tradnl"/>
        </w:rPr>
        <w:t>de las descripciones del propio señor Valenzuela Ávila, corroboradas con las declaraciones de su conviviente y al menos tres personas privadas de libertad,</w:t>
      </w:r>
      <w:r w:rsidR="00AB0199" w:rsidRPr="007F3D68">
        <w:rPr>
          <w:rFonts w:ascii="Cambria" w:hAnsi="Cambria"/>
          <w:sz w:val="20"/>
          <w:szCs w:val="20"/>
          <w:lang w:val="es-ES_tradnl"/>
        </w:rPr>
        <w:t xml:space="preserve"> </w:t>
      </w:r>
      <w:r w:rsidR="00BD1D8B" w:rsidRPr="007F3D68">
        <w:rPr>
          <w:rFonts w:ascii="Cambria" w:hAnsi="Cambria"/>
          <w:sz w:val="20"/>
          <w:szCs w:val="20"/>
          <w:lang w:val="es-ES_tradnl"/>
        </w:rPr>
        <w:t xml:space="preserve">constan </w:t>
      </w:r>
      <w:r w:rsidRPr="007F3D68">
        <w:rPr>
          <w:rFonts w:ascii="Cambria" w:hAnsi="Cambria"/>
          <w:sz w:val="20"/>
          <w:szCs w:val="20"/>
          <w:lang w:val="es-ES_tradnl"/>
        </w:rPr>
        <w:t xml:space="preserve">en el expediente </w:t>
      </w:r>
      <w:r w:rsidR="00BD1D8B" w:rsidRPr="007F3D68">
        <w:rPr>
          <w:rFonts w:ascii="Cambria" w:hAnsi="Cambria"/>
          <w:sz w:val="20"/>
          <w:szCs w:val="20"/>
          <w:lang w:val="es-ES_tradnl"/>
        </w:rPr>
        <w:t>dos informes médicos</w:t>
      </w:r>
      <w:r w:rsidR="00C0211C" w:rsidRPr="007F3D68">
        <w:rPr>
          <w:rFonts w:ascii="Cambria" w:hAnsi="Cambria"/>
          <w:sz w:val="20"/>
          <w:szCs w:val="20"/>
          <w:lang w:val="es-ES_tradnl"/>
        </w:rPr>
        <w:t xml:space="preserve"> y psicológicos</w:t>
      </w:r>
      <w:r w:rsidRPr="007F3D68">
        <w:rPr>
          <w:rFonts w:ascii="Cambria" w:hAnsi="Cambria"/>
          <w:sz w:val="20"/>
          <w:szCs w:val="20"/>
          <w:lang w:val="es-ES_tradnl"/>
        </w:rPr>
        <w:t xml:space="preserve"> en los que se afirma que las afectaciones constatadas son compatibles con tortura, incluyendo violación sexual. Así, en uno de ellos se indica que </w:t>
      </w:r>
      <w:r w:rsidR="00242EAC" w:rsidRPr="007F3D68">
        <w:rPr>
          <w:rFonts w:ascii="Cambria" w:hAnsi="Cambria"/>
          <w:sz w:val="20"/>
          <w:szCs w:val="20"/>
          <w:lang w:val="es-ES_tradnl"/>
        </w:rPr>
        <w:t>“presenta un examen mental acorde a una persona que ha vivido tortura, malos tratos y violencia”</w:t>
      </w:r>
      <w:r w:rsidRPr="007F3D68">
        <w:rPr>
          <w:rFonts w:ascii="Cambria" w:hAnsi="Cambria"/>
          <w:sz w:val="20"/>
          <w:szCs w:val="20"/>
          <w:lang w:val="es-ES_tradnl"/>
        </w:rPr>
        <w:t xml:space="preserve">. En el otro se indica que </w:t>
      </w:r>
      <w:r w:rsidR="00242EAC" w:rsidRPr="007F3D68">
        <w:rPr>
          <w:rFonts w:ascii="Cambria" w:hAnsi="Cambria"/>
          <w:sz w:val="20"/>
          <w:szCs w:val="20"/>
          <w:lang w:val="es-ES_tradnl"/>
        </w:rPr>
        <w:t xml:space="preserve">“Tirso muestra las características de una persona torturada tanto desde el punto de vista físico y psicológico”. </w:t>
      </w:r>
    </w:p>
    <w:p w:rsidR="000104F7" w:rsidRPr="007F3D68" w:rsidRDefault="000104F7" w:rsidP="000104F7">
      <w:pPr>
        <w:pStyle w:val="ListParagraph"/>
        <w:rPr>
          <w:sz w:val="20"/>
          <w:szCs w:val="20"/>
          <w:lang w:val="es-ES_tradnl"/>
        </w:rPr>
      </w:pPr>
    </w:p>
    <w:p w:rsidR="000104F7" w:rsidRPr="007F3D68" w:rsidRDefault="004472B3"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Ante todo lo anterior, ante la CIDH</w:t>
      </w:r>
      <w:r w:rsidR="00CB6EEA" w:rsidRPr="007F3D68">
        <w:rPr>
          <w:rFonts w:ascii="Cambria" w:hAnsi="Cambria"/>
          <w:sz w:val="20"/>
          <w:szCs w:val="20"/>
          <w:lang w:val="es-ES_tradnl"/>
        </w:rPr>
        <w:t>,</w:t>
      </w:r>
      <w:r w:rsidRPr="007F3D68">
        <w:rPr>
          <w:rFonts w:ascii="Cambria" w:hAnsi="Cambria"/>
          <w:sz w:val="20"/>
          <w:szCs w:val="20"/>
          <w:lang w:val="es-ES_tradnl"/>
        </w:rPr>
        <w:t xml:space="preserve"> </w:t>
      </w:r>
      <w:r w:rsidR="00CB6EEA" w:rsidRPr="007F3D68">
        <w:rPr>
          <w:rFonts w:ascii="Cambria" w:hAnsi="Cambria"/>
          <w:sz w:val="20"/>
          <w:szCs w:val="20"/>
          <w:lang w:val="es-ES_tradnl"/>
        </w:rPr>
        <w:t xml:space="preserve">el Estado de </w:t>
      </w:r>
      <w:r w:rsidRPr="007F3D68">
        <w:rPr>
          <w:rFonts w:ascii="Cambria" w:hAnsi="Cambria"/>
          <w:sz w:val="20"/>
          <w:szCs w:val="20"/>
          <w:lang w:val="es-ES_tradnl"/>
        </w:rPr>
        <w:t xml:space="preserve">Guatemala no ofreció explicación satisfactoria alguna sobre las lesiones que sufrió el señor Valenzuela Ávila bajo su custodia y que, conforme a los estándares citados, se presumen responsabilidad del Estado. El examen médico realizado a instancias del propio Estado en el año 2005 carece de toda eficacia probatoria para concluir que no existió tortura. </w:t>
      </w:r>
      <w:r w:rsidR="008E7760" w:rsidRPr="007F3D68">
        <w:rPr>
          <w:rFonts w:ascii="Cambria" w:hAnsi="Cambria"/>
          <w:sz w:val="20"/>
          <w:szCs w:val="20"/>
          <w:lang w:val="es-ES_tradnl"/>
        </w:rPr>
        <w:t xml:space="preserve">Así por ejemplo, en el mismo no se hace referencia a metodología alguna para su realización, ni del mismo se desprende que se hubieran tomado en cuenta las reglas mínimas del Protocolo de Estambul. </w:t>
      </w:r>
      <w:r w:rsidR="00F4786A" w:rsidRPr="007F3D68">
        <w:rPr>
          <w:rFonts w:ascii="Cambria" w:hAnsi="Cambria"/>
          <w:sz w:val="20"/>
          <w:szCs w:val="20"/>
          <w:lang w:val="es-ES_tradnl"/>
        </w:rPr>
        <w:t xml:space="preserve"> Además, el mismo resulta contrario a lo descrito por otros internos, así como con los resultados de los otros informes médicos.  Asimismo, </w:t>
      </w:r>
      <w:r w:rsidRPr="007F3D68">
        <w:rPr>
          <w:rFonts w:ascii="Cambria" w:hAnsi="Cambria"/>
          <w:sz w:val="20"/>
          <w:szCs w:val="20"/>
          <w:lang w:val="es-ES_tradnl"/>
        </w:rPr>
        <w:t xml:space="preserve"> no se toma en consideración que el señor Valenzuela Ávila pudo negar las torturas por temor a represalias y no se profundiza en las cicatrices en su cuerpo ni se hace referencia a las posibles secuelas psicológicas. </w:t>
      </w:r>
    </w:p>
    <w:p w:rsidR="000104F7" w:rsidRPr="007F3D68" w:rsidRDefault="000104F7" w:rsidP="000104F7">
      <w:pPr>
        <w:pStyle w:val="ListParagraph"/>
        <w:rPr>
          <w:sz w:val="20"/>
          <w:szCs w:val="20"/>
          <w:lang w:val="es-ES_tradnl"/>
        </w:rPr>
      </w:pPr>
    </w:p>
    <w:p w:rsidR="000104F7" w:rsidRPr="007F3D68" w:rsidRDefault="004472B3"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Finalmente, y tal como se analizará más adelante, a pesar de contar tanto con denuncia como con razón fundada de posibles actos de tortura en múltiples oportunidades, a la fecha el Estado no ha iniciado ninguna investigación sobre los hechos. De esta manera, el Estado no ha logrado desvirtuar su presunción de responsabilidad por los graves hechos de violencia sufridos por el señor Valenzuela Ávila bajo su custodia. </w:t>
      </w:r>
    </w:p>
    <w:p w:rsidR="000104F7" w:rsidRPr="007F3D68" w:rsidRDefault="000104F7" w:rsidP="000104F7">
      <w:pPr>
        <w:pStyle w:val="ListParagraph"/>
        <w:rPr>
          <w:sz w:val="20"/>
          <w:szCs w:val="20"/>
          <w:lang w:val="es-ES_tradnl"/>
        </w:rPr>
      </w:pPr>
    </w:p>
    <w:p w:rsidR="00242EAC"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Con base en lo anterior, la Comisión considera</w:t>
      </w:r>
      <w:r w:rsidR="00455FF0" w:rsidRPr="007F3D68">
        <w:rPr>
          <w:rFonts w:ascii="Cambria" w:hAnsi="Cambria"/>
          <w:sz w:val="20"/>
          <w:szCs w:val="20"/>
          <w:lang w:val="es-ES_tradnl"/>
        </w:rPr>
        <w:t xml:space="preserve"> suficientemente</w:t>
      </w:r>
      <w:r w:rsidRPr="007F3D68">
        <w:rPr>
          <w:rFonts w:ascii="Cambria" w:hAnsi="Cambria"/>
          <w:sz w:val="20"/>
          <w:szCs w:val="20"/>
          <w:lang w:val="es-ES_tradnl"/>
        </w:rPr>
        <w:t xml:space="preserve"> acreditado que</w:t>
      </w:r>
      <w:r w:rsidR="00AF16CB" w:rsidRPr="007F3D68">
        <w:rPr>
          <w:rFonts w:ascii="Cambria" w:hAnsi="Cambria"/>
          <w:sz w:val="20"/>
          <w:szCs w:val="20"/>
          <w:lang w:val="es-ES_tradnl"/>
        </w:rPr>
        <w:t xml:space="preserve"> </w:t>
      </w:r>
      <w:r w:rsidR="00AF16CB" w:rsidRPr="007F3D68">
        <w:rPr>
          <w:rFonts w:asciiTheme="majorHAnsi" w:hAnsiTheme="majorHAnsi"/>
          <w:sz w:val="20"/>
          <w:szCs w:val="20"/>
          <w:lang w:val="es-ES_tradnl"/>
        </w:rPr>
        <w:t>el señor</w:t>
      </w:r>
      <w:r w:rsidRPr="007F3D68">
        <w:rPr>
          <w:rFonts w:ascii="Cambria" w:hAnsi="Cambria"/>
          <w:sz w:val="20"/>
          <w:szCs w:val="20"/>
          <w:lang w:val="es-ES_tradnl"/>
        </w:rPr>
        <w:t xml:space="preserve"> Valenzuela </w:t>
      </w:r>
      <w:r w:rsidR="00795794" w:rsidRPr="007F3D68">
        <w:rPr>
          <w:rFonts w:ascii="Cambria" w:hAnsi="Cambria"/>
          <w:sz w:val="20"/>
          <w:szCs w:val="20"/>
          <w:lang w:val="es-ES_tradnl"/>
        </w:rPr>
        <w:t xml:space="preserve">Ávila </w:t>
      </w:r>
      <w:r w:rsidRPr="007F3D68">
        <w:rPr>
          <w:rFonts w:ascii="Cambria" w:hAnsi="Cambria"/>
          <w:sz w:val="20"/>
          <w:szCs w:val="20"/>
          <w:lang w:val="es-ES_tradnl"/>
        </w:rPr>
        <w:t xml:space="preserve">fue víctima de </w:t>
      </w:r>
      <w:r w:rsidR="00795794" w:rsidRPr="007F3D68">
        <w:rPr>
          <w:rFonts w:ascii="Cambria" w:hAnsi="Cambria"/>
          <w:sz w:val="20"/>
          <w:szCs w:val="20"/>
          <w:lang w:val="es-ES_tradnl"/>
        </w:rPr>
        <w:t xml:space="preserve">violencia </w:t>
      </w:r>
      <w:r w:rsidRPr="007F3D68">
        <w:rPr>
          <w:rFonts w:ascii="Cambria" w:hAnsi="Cambria"/>
          <w:sz w:val="20"/>
          <w:szCs w:val="20"/>
          <w:lang w:val="es-ES_tradnl"/>
        </w:rPr>
        <w:t>físic</w:t>
      </w:r>
      <w:r w:rsidR="00795794" w:rsidRPr="007F3D68">
        <w:rPr>
          <w:rFonts w:ascii="Cambria" w:hAnsi="Cambria"/>
          <w:sz w:val="20"/>
          <w:szCs w:val="20"/>
          <w:lang w:val="es-ES_tradnl"/>
        </w:rPr>
        <w:t>a</w:t>
      </w:r>
      <w:r w:rsidRPr="007F3D68">
        <w:rPr>
          <w:rFonts w:ascii="Cambria" w:hAnsi="Cambria"/>
          <w:sz w:val="20"/>
          <w:szCs w:val="20"/>
          <w:lang w:val="es-ES_tradnl"/>
        </w:rPr>
        <w:t xml:space="preserve"> y psicológic</w:t>
      </w:r>
      <w:r w:rsidR="00795794" w:rsidRPr="007F3D68">
        <w:rPr>
          <w:rFonts w:ascii="Cambria" w:hAnsi="Cambria"/>
          <w:sz w:val="20"/>
          <w:szCs w:val="20"/>
          <w:lang w:val="es-ES_tradnl"/>
        </w:rPr>
        <w:t xml:space="preserve">a, incluyendo violencia y violación sexual al </w:t>
      </w:r>
      <w:r w:rsidRPr="007F3D68">
        <w:rPr>
          <w:rFonts w:ascii="Cambria" w:hAnsi="Cambria"/>
          <w:sz w:val="20"/>
          <w:szCs w:val="20"/>
          <w:lang w:val="es-ES_tradnl"/>
        </w:rPr>
        <w:t xml:space="preserve"> </w:t>
      </w:r>
      <w:r w:rsidR="00795794" w:rsidRPr="007F3D68">
        <w:rPr>
          <w:rFonts w:ascii="Cambria" w:hAnsi="Cambria"/>
          <w:sz w:val="20"/>
          <w:szCs w:val="20"/>
          <w:lang w:val="es-ES_tradnl"/>
        </w:rPr>
        <w:t>momento de su detención</w:t>
      </w:r>
      <w:r w:rsidR="00C84653" w:rsidRPr="007F3D68">
        <w:rPr>
          <w:rFonts w:ascii="Cambria" w:hAnsi="Cambria"/>
          <w:sz w:val="20"/>
          <w:szCs w:val="20"/>
          <w:lang w:val="es-ES_tradnl"/>
        </w:rPr>
        <w:t xml:space="preserve"> por parte de agentes estatales.</w:t>
      </w:r>
      <w:r w:rsidR="00795794" w:rsidRPr="007F3D68">
        <w:rPr>
          <w:rFonts w:ascii="Cambria" w:hAnsi="Cambria"/>
          <w:sz w:val="20"/>
          <w:szCs w:val="20"/>
          <w:lang w:val="es-ES_tradnl"/>
        </w:rPr>
        <w:t xml:space="preserve"> Asimismo, la Comisión considera suficientemente acreditado que fue víctima de violencia física y psicológica</w:t>
      </w:r>
      <w:r w:rsidRPr="007F3D68">
        <w:rPr>
          <w:rFonts w:ascii="Cambria" w:hAnsi="Cambria"/>
          <w:sz w:val="20"/>
          <w:szCs w:val="20"/>
          <w:lang w:val="es-ES_tradnl"/>
        </w:rPr>
        <w:t xml:space="preserve"> al menos dos veces más luego de ser recapturado tras su fuga </w:t>
      </w:r>
      <w:r w:rsidR="00C84653" w:rsidRPr="007F3D68">
        <w:rPr>
          <w:rFonts w:ascii="Cambria" w:hAnsi="Cambria"/>
          <w:sz w:val="20"/>
          <w:szCs w:val="20"/>
          <w:lang w:val="es-ES_tradnl"/>
        </w:rPr>
        <w:t>en 1999 y en 2001, también por parte de agentes estatales.</w:t>
      </w:r>
    </w:p>
    <w:p w:rsidR="00F40EB1" w:rsidRDefault="00F40EB1" w:rsidP="00F40EB1">
      <w:pPr>
        <w:pStyle w:val="ListParagraph"/>
        <w:rPr>
          <w:sz w:val="20"/>
          <w:szCs w:val="20"/>
          <w:lang w:val="es-ES_tradnl"/>
        </w:rPr>
      </w:pPr>
    </w:p>
    <w:p w:rsidR="00F40EB1" w:rsidRDefault="00F40EB1" w:rsidP="00F40E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_tradnl"/>
        </w:rPr>
      </w:pPr>
    </w:p>
    <w:p w:rsidR="00BB3D48" w:rsidRPr="007F3D68" w:rsidRDefault="00585981" w:rsidP="004E102F">
      <w:pPr>
        <w:pStyle w:val="Heading4"/>
        <w:numPr>
          <w:ilvl w:val="1"/>
          <w:numId w:val="69"/>
        </w:numPr>
        <w:tabs>
          <w:tab w:val="left" w:pos="1260"/>
        </w:tabs>
        <w:ind w:left="720" w:firstLine="0"/>
        <w:rPr>
          <w:rFonts w:asciiTheme="majorHAnsi" w:hAnsiTheme="majorHAnsi"/>
          <w:sz w:val="20"/>
          <w:lang w:val="es-ES_tradnl"/>
        </w:rPr>
      </w:pPr>
      <w:r w:rsidRPr="007F3D68">
        <w:rPr>
          <w:rFonts w:asciiTheme="majorHAnsi" w:hAnsiTheme="majorHAnsi"/>
          <w:sz w:val="20"/>
          <w:lang w:val="es-ES_tradnl"/>
        </w:rPr>
        <w:lastRenderedPageBreak/>
        <w:t>Sobre la calificación jurídica como tortura</w:t>
      </w:r>
    </w:p>
    <w:p w:rsidR="00411AA4" w:rsidRPr="007F3D68" w:rsidRDefault="00585981" w:rsidP="00411AA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_tradnl"/>
        </w:rPr>
      </w:pPr>
      <w:r w:rsidRPr="007F3D68">
        <w:rPr>
          <w:rFonts w:asciiTheme="majorHAnsi" w:hAnsiTheme="majorHAnsi"/>
          <w:sz w:val="20"/>
          <w:lang w:val="es-ES_tradnl"/>
        </w:rPr>
        <w:t xml:space="preserve"> </w:t>
      </w:r>
    </w:p>
    <w:p w:rsidR="000104F7" w:rsidRPr="007F3D68" w:rsidRDefault="00411AA4"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La Comisión analizará a continuación si la intensidad de las lesiones, así como sus fines, permiten calificarlas </w:t>
      </w:r>
      <w:r w:rsidR="000104F7" w:rsidRPr="007F3D68">
        <w:rPr>
          <w:rFonts w:ascii="Cambria" w:hAnsi="Cambria"/>
          <w:sz w:val="20"/>
          <w:szCs w:val="20"/>
          <w:lang w:val="es-ES_tradnl"/>
        </w:rPr>
        <w:t>como tortura.</w:t>
      </w:r>
    </w:p>
    <w:p w:rsidR="000104F7" w:rsidRPr="007F3D68"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En relación con los elementos de intencionalidad y la existencia de un fin determinado, la Comisión observa que según </w:t>
      </w:r>
      <w:r w:rsidR="00634CCD" w:rsidRPr="007F3D68">
        <w:rPr>
          <w:rFonts w:ascii="Cambria" w:hAnsi="Cambria"/>
          <w:sz w:val="20"/>
          <w:szCs w:val="20"/>
          <w:lang w:val="es-ES_tradnl"/>
        </w:rPr>
        <w:t xml:space="preserve">declaró el señor Valenzuela Ávila, </w:t>
      </w:r>
      <w:r w:rsidRPr="007F3D68">
        <w:rPr>
          <w:rFonts w:ascii="Cambria" w:hAnsi="Cambria"/>
          <w:sz w:val="20"/>
          <w:szCs w:val="20"/>
          <w:lang w:val="es-ES_tradnl"/>
        </w:rPr>
        <w:t>en la primera ocasión quien lo</w:t>
      </w:r>
      <w:r w:rsidR="007F253B" w:rsidRPr="007F3D68">
        <w:rPr>
          <w:rFonts w:ascii="Cambria" w:hAnsi="Cambria"/>
          <w:sz w:val="20"/>
          <w:szCs w:val="20"/>
          <w:lang w:val="es-ES_tradnl"/>
        </w:rPr>
        <w:t xml:space="preserve"> agredía </w:t>
      </w:r>
      <w:r w:rsidRPr="007F3D68">
        <w:rPr>
          <w:rFonts w:ascii="Cambria" w:hAnsi="Cambria"/>
          <w:sz w:val="20"/>
          <w:szCs w:val="20"/>
          <w:lang w:val="es-ES_tradnl"/>
        </w:rPr>
        <w:t xml:space="preserve">le decía frases como “¿vas a hablar o </w:t>
      </w:r>
      <w:proofErr w:type="spellStart"/>
      <w:r w:rsidRPr="007F3D68">
        <w:rPr>
          <w:rFonts w:ascii="Cambria" w:hAnsi="Cambria"/>
          <w:sz w:val="20"/>
          <w:szCs w:val="20"/>
          <w:lang w:val="es-ES_tradnl"/>
        </w:rPr>
        <w:t>queres</w:t>
      </w:r>
      <w:proofErr w:type="spellEnd"/>
      <w:r w:rsidRPr="007F3D68">
        <w:rPr>
          <w:rFonts w:ascii="Cambria" w:hAnsi="Cambria"/>
          <w:sz w:val="20"/>
          <w:szCs w:val="20"/>
          <w:lang w:val="es-ES_tradnl"/>
        </w:rPr>
        <w:t xml:space="preserve"> llevar verga?”. Asimismo, mientras era </w:t>
      </w:r>
      <w:r w:rsidR="00150CD7" w:rsidRPr="007F3D68">
        <w:rPr>
          <w:rFonts w:ascii="Cambria" w:hAnsi="Cambria"/>
          <w:sz w:val="20"/>
          <w:szCs w:val="20"/>
          <w:lang w:val="es-ES_tradnl"/>
        </w:rPr>
        <w:t xml:space="preserve">violado </w:t>
      </w:r>
      <w:r w:rsidRPr="007F3D68">
        <w:rPr>
          <w:rFonts w:ascii="Cambria" w:hAnsi="Cambria"/>
          <w:sz w:val="20"/>
          <w:szCs w:val="20"/>
          <w:lang w:val="es-ES_tradnl"/>
        </w:rPr>
        <w:t xml:space="preserve">sexualmente, la presunta víctima pedía que no lo mataran, a lo que el torturador respondía “si lo único que hago es puyarte el culo pero si no me </w:t>
      </w:r>
      <w:proofErr w:type="spellStart"/>
      <w:r w:rsidRPr="007F3D68">
        <w:rPr>
          <w:rFonts w:ascii="Cambria" w:hAnsi="Cambria"/>
          <w:sz w:val="20"/>
          <w:szCs w:val="20"/>
          <w:lang w:val="es-ES_tradnl"/>
        </w:rPr>
        <w:t>decis</w:t>
      </w:r>
      <w:proofErr w:type="spellEnd"/>
      <w:r w:rsidRPr="007F3D68">
        <w:rPr>
          <w:rFonts w:ascii="Cambria" w:hAnsi="Cambria"/>
          <w:sz w:val="20"/>
          <w:szCs w:val="20"/>
          <w:lang w:val="es-ES_tradnl"/>
        </w:rPr>
        <w:t xml:space="preserve"> si te voy a matar”.  En igual sentido, su conviviente declaró que este le comentó que “lo golpearon hasta confesar el crimen”. </w:t>
      </w:r>
      <w:r w:rsidR="00F4786A" w:rsidRPr="007F3D68">
        <w:rPr>
          <w:rFonts w:ascii="Cambria" w:hAnsi="Cambria"/>
          <w:sz w:val="20"/>
          <w:szCs w:val="20"/>
          <w:lang w:val="es-ES_tradnl"/>
        </w:rPr>
        <w:t>Así, hay indicios consistentes de</w:t>
      </w:r>
      <w:r w:rsidRPr="007F3D68">
        <w:rPr>
          <w:rFonts w:ascii="Cambria" w:hAnsi="Cambria"/>
          <w:sz w:val="20"/>
          <w:szCs w:val="20"/>
          <w:lang w:val="es-ES_tradnl"/>
        </w:rPr>
        <w:t xml:space="preserve"> que estos actos de violencia fueron perpetrados de manera deliberada e intencional con la finalidad de disminuir sus capacidades físicas y mentales y obtener una confesión de su parte. </w:t>
      </w:r>
    </w:p>
    <w:p w:rsidR="000104F7" w:rsidRPr="007F3D68" w:rsidRDefault="000104F7" w:rsidP="000104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_tradnl"/>
        </w:rPr>
      </w:pPr>
    </w:p>
    <w:p w:rsidR="000104F7" w:rsidRPr="007F3D68"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Con respecto a la intencionalidad y el fin determinado de la segunda y tercera ocasión en que fue torturado, la Comisión estima que tomando en cuenta las declaraciones de la presunta víctima, así como el contexto de ambas, luego de una recaptura, sugiere que dichas lesiones fueron infligidas de manera deliberada e intencional con la finalidad de castigar a la presunta víctima por fugarse de la cárcel. </w:t>
      </w:r>
    </w:p>
    <w:p w:rsidR="000104F7" w:rsidRPr="007F3D68" w:rsidRDefault="000104F7" w:rsidP="000104F7">
      <w:pPr>
        <w:pStyle w:val="ListParagraph"/>
        <w:rPr>
          <w:sz w:val="20"/>
          <w:szCs w:val="20"/>
          <w:lang w:val="es-ES_tradnl"/>
        </w:rPr>
      </w:pPr>
    </w:p>
    <w:p w:rsidR="000104F7" w:rsidRPr="007F3D68"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Sobre el elemento de la intensidad del daño físico y mental, la Comisión destaca en primer lugar que en una serie de casos como </w:t>
      </w:r>
      <w:r w:rsidRPr="007F3D68">
        <w:rPr>
          <w:rFonts w:ascii="Cambria" w:hAnsi="Cambria"/>
          <w:i/>
          <w:sz w:val="20"/>
          <w:szCs w:val="20"/>
          <w:lang w:val="es-US"/>
        </w:rPr>
        <w:t>Raquel Martín de Mejía vs. Perú</w:t>
      </w:r>
      <w:r w:rsidRPr="007F3D68">
        <w:rPr>
          <w:rStyle w:val="FootnoteReference"/>
          <w:rFonts w:ascii="Cambria" w:hAnsi="Cambria"/>
          <w:sz w:val="20"/>
          <w:szCs w:val="20"/>
        </w:rPr>
        <w:footnoteReference w:id="120"/>
      </w:r>
      <w:r w:rsidRPr="007F3D68">
        <w:rPr>
          <w:rFonts w:ascii="Cambria" w:hAnsi="Cambria"/>
          <w:sz w:val="20"/>
          <w:szCs w:val="20"/>
          <w:lang w:val="es-US"/>
        </w:rPr>
        <w:t xml:space="preserve"> y </w:t>
      </w:r>
      <w:r w:rsidRPr="007F3D68">
        <w:rPr>
          <w:rFonts w:ascii="Cambria" w:hAnsi="Cambria"/>
          <w:i/>
          <w:sz w:val="20"/>
          <w:szCs w:val="20"/>
          <w:lang w:val="es-US"/>
        </w:rPr>
        <w:t>Ana, Beatriz y Celia González Pérez vs. México</w:t>
      </w:r>
      <w:r w:rsidRPr="007F3D68">
        <w:rPr>
          <w:rStyle w:val="FootnoteReference"/>
          <w:rFonts w:ascii="Cambria" w:hAnsi="Cambria"/>
          <w:sz w:val="20"/>
          <w:szCs w:val="20"/>
        </w:rPr>
        <w:footnoteReference w:id="121"/>
      </w:r>
      <w:r w:rsidRPr="007F3D68">
        <w:rPr>
          <w:rFonts w:ascii="Cambria" w:hAnsi="Cambria"/>
          <w:sz w:val="20"/>
          <w:szCs w:val="20"/>
          <w:lang w:val="es-US"/>
        </w:rPr>
        <w:t>, ha abordado la violencia sexual como tortura. Asimismo, tanto la Comisión como la Corte Interamericana han considerado que la violencia sexual, la cual incluye la violación sexual, implican una afectación</w:t>
      </w:r>
      <w:r w:rsidR="00970584" w:rsidRPr="007F3D68">
        <w:rPr>
          <w:rFonts w:ascii="Cambria" w:hAnsi="Cambria"/>
          <w:sz w:val="20"/>
          <w:szCs w:val="20"/>
          <w:lang w:val="es-US"/>
        </w:rPr>
        <w:t>, al menos,</w:t>
      </w:r>
      <w:r w:rsidRPr="007F3D68">
        <w:rPr>
          <w:rFonts w:ascii="Cambria" w:hAnsi="Cambria"/>
          <w:sz w:val="20"/>
          <w:szCs w:val="20"/>
          <w:lang w:val="es-US"/>
        </w:rPr>
        <w:t xml:space="preserve"> a los derechos a la integridad personal</w:t>
      </w:r>
      <w:r w:rsidR="00970584" w:rsidRPr="007F3D68">
        <w:rPr>
          <w:rFonts w:ascii="Cambria" w:hAnsi="Cambria"/>
          <w:sz w:val="20"/>
          <w:szCs w:val="20"/>
          <w:lang w:val="es-US"/>
        </w:rPr>
        <w:t xml:space="preserve"> y</w:t>
      </w:r>
      <w:r w:rsidRPr="007F3D68">
        <w:rPr>
          <w:rFonts w:ascii="Cambria" w:hAnsi="Cambria"/>
          <w:sz w:val="20"/>
          <w:szCs w:val="20"/>
          <w:lang w:val="es-US"/>
        </w:rPr>
        <w:t xml:space="preserve"> a la vida privada, autonomía y dignidad</w:t>
      </w:r>
      <w:r w:rsidRPr="007F3D68">
        <w:rPr>
          <w:rFonts w:ascii="Cambria" w:hAnsi="Cambria"/>
          <w:sz w:val="20"/>
          <w:szCs w:val="20"/>
          <w:vertAlign w:val="superscript"/>
        </w:rPr>
        <w:footnoteReference w:id="122"/>
      </w:r>
      <w:r w:rsidRPr="007F3D68">
        <w:rPr>
          <w:rFonts w:ascii="Cambria" w:hAnsi="Cambria"/>
          <w:sz w:val="20"/>
          <w:szCs w:val="20"/>
          <w:lang w:val="es-US"/>
        </w:rPr>
        <w:t xml:space="preserve">. </w:t>
      </w:r>
    </w:p>
    <w:p w:rsidR="000104F7" w:rsidRPr="007F3D68" w:rsidRDefault="000104F7" w:rsidP="000104F7">
      <w:pPr>
        <w:pStyle w:val="ListParagraph"/>
        <w:rPr>
          <w:sz w:val="20"/>
          <w:szCs w:val="20"/>
          <w:lang w:val="es-ES_tradnl"/>
        </w:rPr>
      </w:pPr>
    </w:p>
    <w:p w:rsidR="000104F7" w:rsidRPr="007F3D68"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En palabras de la Corte la violación sexual comprende</w:t>
      </w:r>
      <w:r w:rsidRPr="007F3D68">
        <w:rPr>
          <w:rFonts w:ascii="Cambria" w:hAnsi="Cambria"/>
          <w:sz w:val="20"/>
          <w:szCs w:val="20"/>
          <w:lang w:val="es-US"/>
        </w:rPr>
        <w:t xml:space="preserve"> “actos de penetración vaginales o anales, sin consentimiento de la víctima, mediante la utilización de otras partes del cuerpo del agresor u objetos, así como la penetración bucal mediante el miembro viril”</w:t>
      </w:r>
      <w:r w:rsidRPr="007F3D68">
        <w:rPr>
          <w:rFonts w:ascii="Cambria" w:hAnsi="Cambria"/>
          <w:sz w:val="20"/>
          <w:szCs w:val="20"/>
          <w:vertAlign w:val="superscript"/>
        </w:rPr>
        <w:footnoteReference w:id="123"/>
      </w:r>
      <w:r w:rsidRPr="007F3D68">
        <w:rPr>
          <w:rFonts w:ascii="Cambria" w:hAnsi="Cambria"/>
          <w:sz w:val="20"/>
          <w:szCs w:val="20"/>
          <w:lang w:val="es-US"/>
        </w:rPr>
        <w:t xml:space="preserve">. En el caso </w:t>
      </w:r>
      <w:r w:rsidRPr="007F3D68">
        <w:rPr>
          <w:rFonts w:ascii="Cambria" w:hAnsi="Cambria"/>
          <w:i/>
          <w:sz w:val="20"/>
          <w:szCs w:val="20"/>
          <w:lang w:val="es-US"/>
        </w:rPr>
        <w:t>J. vs. Perú</w:t>
      </w:r>
      <w:r w:rsidRPr="007F3D68">
        <w:rPr>
          <w:rFonts w:ascii="Cambria" w:hAnsi="Cambria"/>
          <w:sz w:val="20"/>
          <w:szCs w:val="20"/>
          <w:lang w:val="es-US"/>
        </w:rPr>
        <w:t xml:space="preserve"> la Corte puntualizó además que para que un acto sea considerado como tal, “es suficiente que se produzca una penetración, por insignificante que sea, en los términos antes descritos”</w:t>
      </w:r>
      <w:r w:rsidRPr="007F3D68">
        <w:rPr>
          <w:rFonts w:ascii="Cambria" w:hAnsi="Cambria"/>
          <w:sz w:val="20"/>
          <w:szCs w:val="20"/>
          <w:vertAlign w:val="superscript"/>
        </w:rPr>
        <w:footnoteReference w:id="124"/>
      </w:r>
      <w:r w:rsidRPr="007F3D68">
        <w:rPr>
          <w:rFonts w:ascii="Cambria" w:hAnsi="Cambria"/>
          <w:sz w:val="20"/>
          <w:szCs w:val="20"/>
          <w:lang w:val="es-US"/>
        </w:rPr>
        <w:t xml:space="preserve">. </w:t>
      </w:r>
    </w:p>
    <w:p w:rsidR="000104F7" w:rsidRPr="007F3D68" w:rsidRDefault="000104F7" w:rsidP="000104F7">
      <w:pPr>
        <w:pStyle w:val="ListParagraph"/>
        <w:rPr>
          <w:sz w:val="20"/>
          <w:szCs w:val="20"/>
          <w:lang w:val="es-ES"/>
        </w:rPr>
      </w:pPr>
    </w:p>
    <w:p w:rsidR="000104F7" w:rsidRPr="007F3D68" w:rsidRDefault="00242EAC"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
        </w:rPr>
        <w:t xml:space="preserve">La Corte Interamericana </w:t>
      </w:r>
      <w:r w:rsidR="008E673F" w:rsidRPr="007F3D68">
        <w:rPr>
          <w:rFonts w:ascii="Cambria" w:hAnsi="Cambria"/>
          <w:sz w:val="20"/>
          <w:szCs w:val="20"/>
          <w:lang w:val="es-ES"/>
        </w:rPr>
        <w:t>señaló que la violación sexual</w:t>
      </w:r>
      <w:r w:rsidRPr="007F3D68">
        <w:rPr>
          <w:rFonts w:ascii="Cambria" w:hAnsi="Cambria"/>
          <w:sz w:val="20"/>
          <w:szCs w:val="20"/>
          <w:lang w:val="es-ES"/>
        </w:rPr>
        <w:t xml:space="preserve"> es una experiencia sumamente traumática que tiene severas consecuencias y causa gran daño físico y psicológico que deja a la víctima “humillada física y </w:t>
      </w:r>
      <w:r w:rsidRPr="007F3D68">
        <w:rPr>
          <w:rFonts w:ascii="Cambria" w:hAnsi="Cambria"/>
          <w:sz w:val="20"/>
          <w:szCs w:val="20"/>
          <w:lang w:val="es-US"/>
        </w:rPr>
        <w:t>emocionalmente</w:t>
      </w:r>
      <w:r w:rsidRPr="007F3D68">
        <w:rPr>
          <w:rFonts w:ascii="Cambria" w:hAnsi="Cambria"/>
          <w:sz w:val="20"/>
          <w:szCs w:val="20"/>
          <w:lang w:val="es-ES"/>
        </w:rPr>
        <w:t>”, situación difícilmente superable por el paso del tiempo. De ello se desprende que es inherente a la violación sexual el sufrimiento severo de la víctima, aun cuando no exista evidencia de lesiones o enfermedades físicas</w:t>
      </w:r>
      <w:r w:rsidRPr="007F3D68">
        <w:rPr>
          <w:rFonts w:ascii="Cambria" w:hAnsi="Cambria"/>
          <w:sz w:val="20"/>
          <w:szCs w:val="20"/>
          <w:vertAlign w:val="superscript"/>
          <w:lang w:val="es-ES"/>
        </w:rPr>
        <w:footnoteReference w:id="125"/>
      </w:r>
      <w:r w:rsidR="008E673F" w:rsidRPr="007F3D68">
        <w:rPr>
          <w:rFonts w:ascii="Cambria" w:hAnsi="Cambria"/>
          <w:sz w:val="20"/>
          <w:szCs w:val="20"/>
          <w:lang w:val="es-ES"/>
        </w:rPr>
        <w:t>.</w:t>
      </w:r>
      <w:r w:rsidR="00F57634" w:rsidRPr="007F3D68">
        <w:rPr>
          <w:rFonts w:ascii="Cambria" w:hAnsi="Cambria"/>
          <w:sz w:val="20"/>
          <w:szCs w:val="20"/>
          <w:lang w:val="es-ES_tradnl"/>
        </w:rPr>
        <w:t xml:space="preserve"> </w:t>
      </w:r>
      <w:r w:rsidRPr="007F3D68">
        <w:rPr>
          <w:rFonts w:ascii="Cambria" w:hAnsi="Cambria"/>
          <w:sz w:val="20"/>
          <w:szCs w:val="20"/>
          <w:lang w:val="es-ES"/>
        </w:rPr>
        <w:t>En similar</w:t>
      </w:r>
      <w:r w:rsidR="00F57634" w:rsidRPr="007F3D68">
        <w:rPr>
          <w:rFonts w:ascii="Cambria" w:hAnsi="Cambria"/>
          <w:sz w:val="20"/>
          <w:szCs w:val="20"/>
          <w:lang w:val="es-ES"/>
        </w:rPr>
        <w:t xml:space="preserve"> sentido </w:t>
      </w:r>
      <w:r w:rsidRPr="007F3D68">
        <w:rPr>
          <w:rFonts w:ascii="Cambria" w:hAnsi="Cambria"/>
          <w:sz w:val="20"/>
          <w:szCs w:val="20"/>
          <w:lang w:val="es-ES"/>
        </w:rPr>
        <w:t xml:space="preserve">ha indicado que la violación sexual presupone un sufrimiento físico y mental </w:t>
      </w:r>
      <w:r w:rsidRPr="007F3D68">
        <w:rPr>
          <w:rFonts w:ascii="Cambria" w:hAnsi="Cambria"/>
          <w:sz w:val="20"/>
          <w:szCs w:val="20"/>
          <w:lang w:val="es-US"/>
        </w:rPr>
        <w:t>severo</w:t>
      </w:r>
      <w:r w:rsidRPr="007F3D68">
        <w:rPr>
          <w:rFonts w:ascii="Cambria" w:hAnsi="Cambria"/>
          <w:sz w:val="20"/>
          <w:szCs w:val="20"/>
          <w:lang w:val="es-ES"/>
        </w:rPr>
        <w:t xml:space="preserve"> y duradero, debido a su naturaleza no consensual e invasiva y con consecuencias devastadoras para la víctima, su familia y comunidad</w:t>
      </w:r>
      <w:r w:rsidRPr="007F3D68">
        <w:rPr>
          <w:rFonts w:ascii="Cambria" w:hAnsi="Cambria"/>
          <w:sz w:val="20"/>
          <w:szCs w:val="20"/>
          <w:vertAlign w:val="superscript"/>
          <w:lang w:val="es-ES"/>
        </w:rPr>
        <w:footnoteReference w:id="126"/>
      </w:r>
      <w:r w:rsidRPr="007F3D68">
        <w:rPr>
          <w:rFonts w:ascii="Cambria" w:hAnsi="Cambria"/>
          <w:sz w:val="20"/>
          <w:szCs w:val="20"/>
          <w:lang w:val="es-ES"/>
        </w:rPr>
        <w:t xml:space="preserve">. </w:t>
      </w:r>
    </w:p>
    <w:p w:rsidR="000104F7" w:rsidRPr="007F3D68" w:rsidRDefault="000104F7" w:rsidP="000104F7">
      <w:pPr>
        <w:pStyle w:val="ListParagraph"/>
        <w:rPr>
          <w:sz w:val="20"/>
          <w:szCs w:val="20"/>
          <w:lang w:val="es-ES"/>
        </w:rPr>
      </w:pPr>
    </w:p>
    <w:p w:rsidR="000104F7" w:rsidRPr="007F3D68" w:rsidRDefault="00F4786A"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
        </w:rPr>
        <w:t>Según lo establecido en hechos probados, e</w:t>
      </w:r>
      <w:r w:rsidR="00F57634" w:rsidRPr="007F3D68">
        <w:rPr>
          <w:rFonts w:ascii="Cambria" w:hAnsi="Cambria"/>
          <w:sz w:val="20"/>
          <w:szCs w:val="20"/>
          <w:lang w:val="es-ES"/>
        </w:rPr>
        <w:t xml:space="preserve">l señor Valenzuela Ávila </w:t>
      </w:r>
      <w:r w:rsidR="00242EAC" w:rsidRPr="007F3D68">
        <w:rPr>
          <w:rFonts w:ascii="Cambria" w:hAnsi="Cambria"/>
          <w:sz w:val="20"/>
          <w:szCs w:val="20"/>
          <w:lang w:val="es-US"/>
        </w:rPr>
        <w:t>fue penetrad</w:t>
      </w:r>
      <w:r w:rsidR="00BC00E0" w:rsidRPr="007F3D68">
        <w:rPr>
          <w:rFonts w:ascii="Cambria" w:hAnsi="Cambria"/>
          <w:sz w:val="20"/>
          <w:szCs w:val="20"/>
          <w:lang w:val="es-US"/>
        </w:rPr>
        <w:t>o</w:t>
      </w:r>
      <w:r w:rsidR="00242EAC" w:rsidRPr="007F3D68">
        <w:rPr>
          <w:rFonts w:ascii="Cambria" w:hAnsi="Cambria"/>
          <w:sz w:val="20"/>
          <w:szCs w:val="20"/>
          <w:lang w:val="es-US"/>
        </w:rPr>
        <w:t xml:space="preserve"> analmente </w:t>
      </w:r>
      <w:r w:rsidR="003B298B" w:rsidRPr="007F3D68">
        <w:rPr>
          <w:rFonts w:ascii="Cambria" w:hAnsi="Cambria"/>
          <w:sz w:val="20"/>
          <w:szCs w:val="20"/>
          <w:lang w:val="es-US"/>
        </w:rPr>
        <w:t xml:space="preserve">por agentes estatales </w:t>
      </w:r>
      <w:r w:rsidR="00242EAC" w:rsidRPr="007F3D68">
        <w:rPr>
          <w:rFonts w:ascii="Cambria" w:hAnsi="Cambria"/>
          <w:sz w:val="20"/>
          <w:szCs w:val="20"/>
          <w:lang w:val="es-US"/>
        </w:rPr>
        <w:t xml:space="preserve">con un bastón hasta que perdió el conocimiento. </w:t>
      </w:r>
      <w:r w:rsidR="00E8674F" w:rsidRPr="007F3D68">
        <w:rPr>
          <w:rFonts w:ascii="Cambria" w:hAnsi="Cambria"/>
          <w:sz w:val="20"/>
          <w:szCs w:val="20"/>
          <w:lang w:val="es-US"/>
        </w:rPr>
        <w:t xml:space="preserve">Este hecho, en sí mismo, resulta suficiente para acreditar la severidad de la violencia en su contra. </w:t>
      </w:r>
      <w:r w:rsidR="00242EAC" w:rsidRPr="007F3D68">
        <w:rPr>
          <w:rFonts w:ascii="Cambria" w:hAnsi="Cambria"/>
          <w:sz w:val="20"/>
          <w:szCs w:val="20"/>
          <w:lang w:val="es-US"/>
        </w:rPr>
        <w:t xml:space="preserve">Por otra parte, los </w:t>
      </w:r>
      <w:r w:rsidR="00E8674F" w:rsidRPr="007F3D68">
        <w:rPr>
          <w:rFonts w:ascii="Cambria" w:hAnsi="Cambria"/>
          <w:sz w:val="20"/>
          <w:szCs w:val="20"/>
          <w:lang w:val="es-US"/>
        </w:rPr>
        <w:t xml:space="preserve">fuertes </w:t>
      </w:r>
      <w:r w:rsidR="00242EAC" w:rsidRPr="007F3D68">
        <w:rPr>
          <w:rFonts w:ascii="Cambria" w:hAnsi="Cambria"/>
          <w:sz w:val="20"/>
          <w:szCs w:val="20"/>
          <w:lang w:val="es-US"/>
        </w:rPr>
        <w:t>golpes en distintas partes del cuerpo</w:t>
      </w:r>
      <w:r w:rsidR="00E8674F" w:rsidRPr="007F3D68">
        <w:rPr>
          <w:rFonts w:ascii="Cambria" w:hAnsi="Cambria"/>
          <w:sz w:val="20"/>
          <w:szCs w:val="20"/>
          <w:lang w:val="es-US"/>
        </w:rPr>
        <w:t xml:space="preserve"> en las tres oportunidades denunciadas, así como </w:t>
      </w:r>
      <w:r w:rsidR="00242EAC" w:rsidRPr="007F3D68">
        <w:rPr>
          <w:rFonts w:ascii="Cambria" w:hAnsi="Cambria"/>
          <w:sz w:val="20"/>
          <w:szCs w:val="20"/>
          <w:lang w:val="es-US"/>
        </w:rPr>
        <w:t>la asfixia con un veneno para ratas, acompañadas de amenazas de muerte</w:t>
      </w:r>
      <w:r w:rsidR="00E8674F" w:rsidRPr="007F3D68">
        <w:rPr>
          <w:rFonts w:ascii="Cambria" w:hAnsi="Cambria"/>
          <w:sz w:val="20"/>
          <w:szCs w:val="20"/>
          <w:lang w:val="es-US"/>
        </w:rPr>
        <w:t xml:space="preserve"> y de violación</w:t>
      </w:r>
      <w:r w:rsidR="00242EAC" w:rsidRPr="007F3D68">
        <w:rPr>
          <w:rFonts w:ascii="Cambria" w:hAnsi="Cambria"/>
          <w:sz w:val="20"/>
          <w:szCs w:val="20"/>
          <w:lang w:val="es-US"/>
        </w:rPr>
        <w:t xml:space="preserve">, alcanzan </w:t>
      </w:r>
      <w:r w:rsidR="00E8674F" w:rsidRPr="007F3D68">
        <w:rPr>
          <w:rFonts w:ascii="Cambria" w:hAnsi="Cambria"/>
          <w:sz w:val="20"/>
          <w:szCs w:val="20"/>
          <w:lang w:val="es-US"/>
        </w:rPr>
        <w:t>el nivel de severidad necesario para ser calificados como tortura</w:t>
      </w:r>
      <w:r w:rsidR="00242EAC" w:rsidRPr="007F3D68">
        <w:rPr>
          <w:rFonts w:ascii="Cambria" w:hAnsi="Cambria"/>
          <w:sz w:val="20"/>
          <w:szCs w:val="20"/>
          <w:vertAlign w:val="superscript"/>
          <w:lang w:val="es-US"/>
        </w:rPr>
        <w:footnoteReference w:id="127"/>
      </w:r>
      <w:r w:rsidR="00242EAC" w:rsidRPr="007F3D68">
        <w:rPr>
          <w:rFonts w:ascii="Cambria" w:hAnsi="Cambria"/>
          <w:sz w:val="20"/>
          <w:szCs w:val="20"/>
          <w:lang w:val="es-US"/>
        </w:rPr>
        <w:t xml:space="preserve">. </w:t>
      </w:r>
    </w:p>
    <w:p w:rsidR="000104F7" w:rsidRPr="007F3D68" w:rsidRDefault="000104F7" w:rsidP="000104F7">
      <w:pPr>
        <w:pStyle w:val="ListParagraph"/>
        <w:rPr>
          <w:sz w:val="20"/>
          <w:szCs w:val="20"/>
          <w:lang w:val="es-US"/>
        </w:rPr>
      </w:pPr>
    </w:p>
    <w:p w:rsidR="00026AB6" w:rsidRPr="007F3D68" w:rsidRDefault="00026AB6" w:rsidP="00963B3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US"/>
        </w:rPr>
        <w:t xml:space="preserve">En </w:t>
      </w:r>
      <w:r w:rsidRPr="007F3D68">
        <w:rPr>
          <w:rFonts w:ascii="Cambria" w:hAnsi="Cambria"/>
          <w:sz w:val="20"/>
          <w:szCs w:val="20"/>
          <w:lang w:val="es-ES_tradnl"/>
        </w:rPr>
        <w:t>virtud</w:t>
      </w:r>
      <w:r w:rsidRPr="007F3D68">
        <w:rPr>
          <w:rFonts w:ascii="Cambria" w:hAnsi="Cambria"/>
          <w:sz w:val="20"/>
          <w:szCs w:val="20"/>
          <w:lang w:val="es-US"/>
        </w:rPr>
        <w:t xml:space="preserve"> de las anteriores consideraciones, la Comisión concluye que </w:t>
      </w:r>
      <w:r w:rsidR="00DE28F4" w:rsidRPr="007F3D68">
        <w:rPr>
          <w:rFonts w:ascii="Cambria" w:hAnsi="Cambria"/>
          <w:sz w:val="20"/>
          <w:szCs w:val="20"/>
          <w:lang w:val="es-US"/>
        </w:rPr>
        <w:t xml:space="preserve">el señor </w:t>
      </w:r>
      <w:r w:rsidRPr="007F3D68">
        <w:rPr>
          <w:rFonts w:ascii="Cambria" w:hAnsi="Cambria"/>
          <w:sz w:val="20"/>
          <w:szCs w:val="20"/>
          <w:lang w:val="es-US"/>
        </w:rPr>
        <w:t xml:space="preserve">Valenzuela Ávila </w:t>
      </w:r>
      <w:r w:rsidR="00C914F9" w:rsidRPr="007F3D68">
        <w:rPr>
          <w:rFonts w:ascii="Cambria" w:hAnsi="Cambria"/>
          <w:sz w:val="20"/>
          <w:szCs w:val="20"/>
          <w:lang w:val="es-US"/>
        </w:rPr>
        <w:t xml:space="preserve">fue víctima de tortura física y psicológica, incluyendo tortura sexual, en múltiples oportunidades por parte de agentes estatales. </w:t>
      </w:r>
      <w:r w:rsidRPr="007F3D68">
        <w:rPr>
          <w:rFonts w:ascii="Cambria" w:hAnsi="Cambria"/>
          <w:sz w:val="20"/>
          <w:szCs w:val="20"/>
          <w:lang w:val="es-US"/>
        </w:rPr>
        <w:t xml:space="preserve">Además, </w:t>
      </w:r>
      <w:r w:rsidR="00C914F9" w:rsidRPr="007F3D68">
        <w:rPr>
          <w:rFonts w:ascii="Cambria" w:hAnsi="Cambria"/>
          <w:sz w:val="20"/>
          <w:szCs w:val="20"/>
          <w:lang w:val="es-US"/>
        </w:rPr>
        <w:t xml:space="preserve">al menos en la primera ocasión, </w:t>
      </w:r>
      <w:r w:rsidRPr="007F3D68">
        <w:rPr>
          <w:rFonts w:ascii="Cambria" w:hAnsi="Cambria"/>
          <w:sz w:val="20"/>
          <w:szCs w:val="20"/>
          <w:lang w:val="es-US"/>
        </w:rPr>
        <w:t>esta actuación iba dirigida a obtener su confesión. En consecuencia, la Comisión considera que el Estado de Guatemala violó la prohibición absoluta de la tortura</w:t>
      </w:r>
      <w:r w:rsidR="00C32461" w:rsidRPr="007F3D68">
        <w:rPr>
          <w:rFonts w:ascii="Cambria" w:hAnsi="Cambria"/>
          <w:sz w:val="20"/>
          <w:szCs w:val="20"/>
          <w:lang w:val="es-US"/>
        </w:rPr>
        <w:t>, a su autonomía, vida privada y dignidad,</w:t>
      </w:r>
      <w:r w:rsidRPr="007F3D68">
        <w:rPr>
          <w:rFonts w:ascii="Cambria" w:hAnsi="Cambria"/>
          <w:sz w:val="20"/>
          <w:szCs w:val="20"/>
          <w:lang w:val="es-US"/>
        </w:rPr>
        <w:t xml:space="preserve"> </w:t>
      </w:r>
      <w:r w:rsidR="00C32461" w:rsidRPr="007F3D68">
        <w:rPr>
          <w:rFonts w:ascii="Cambria" w:hAnsi="Cambria"/>
          <w:sz w:val="20"/>
          <w:szCs w:val="20"/>
          <w:lang w:val="es-US"/>
        </w:rPr>
        <w:t>a</w:t>
      </w:r>
      <w:r w:rsidRPr="007F3D68">
        <w:rPr>
          <w:rFonts w:ascii="Cambria" w:hAnsi="Cambria"/>
          <w:sz w:val="20"/>
          <w:szCs w:val="20"/>
          <w:lang w:val="es-US"/>
        </w:rPr>
        <w:t>l derecho a no ser obligado a declarar contra sí mismo</w:t>
      </w:r>
      <w:r w:rsidR="003737DD" w:rsidRPr="007F3D68">
        <w:rPr>
          <w:rFonts w:ascii="Cambria" w:hAnsi="Cambria"/>
          <w:sz w:val="20"/>
          <w:szCs w:val="20"/>
          <w:lang w:val="es-US"/>
        </w:rPr>
        <w:t xml:space="preserve"> y a no ser coaccionado a confesar,</w:t>
      </w:r>
      <w:r w:rsidRPr="007F3D68">
        <w:rPr>
          <w:rFonts w:ascii="Cambria" w:hAnsi="Cambria"/>
          <w:sz w:val="20"/>
          <w:szCs w:val="20"/>
          <w:lang w:val="es-US"/>
        </w:rPr>
        <w:t xml:space="preserve"> estableci</w:t>
      </w:r>
      <w:r w:rsidR="003737DD" w:rsidRPr="007F3D68">
        <w:rPr>
          <w:rFonts w:ascii="Cambria" w:hAnsi="Cambria"/>
          <w:sz w:val="20"/>
          <w:szCs w:val="20"/>
          <w:lang w:val="es-US"/>
        </w:rPr>
        <w:t>dos en los artículos 5.1, 5.2</w:t>
      </w:r>
      <w:r w:rsidR="003737DD" w:rsidRPr="001C51C8">
        <w:rPr>
          <w:rFonts w:ascii="Cambria" w:hAnsi="Cambria"/>
          <w:sz w:val="20"/>
          <w:szCs w:val="20"/>
          <w:lang w:val="es-US"/>
        </w:rPr>
        <w:t xml:space="preserve">, </w:t>
      </w:r>
      <w:r w:rsidR="00C32461" w:rsidRPr="001C51C8">
        <w:rPr>
          <w:rFonts w:ascii="Cambria" w:hAnsi="Cambria"/>
          <w:sz w:val="20"/>
          <w:szCs w:val="20"/>
          <w:lang w:val="es-US"/>
        </w:rPr>
        <w:t xml:space="preserve">11, </w:t>
      </w:r>
      <w:r w:rsidRPr="001C51C8">
        <w:rPr>
          <w:rFonts w:ascii="Cambria" w:hAnsi="Cambria"/>
          <w:sz w:val="20"/>
          <w:szCs w:val="20"/>
          <w:lang w:val="es-US"/>
        </w:rPr>
        <w:t>8.2 g)</w:t>
      </w:r>
      <w:r w:rsidR="003737DD" w:rsidRPr="001C51C8">
        <w:rPr>
          <w:rFonts w:ascii="Cambria" w:hAnsi="Cambria"/>
          <w:sz w:val="20"/>
          <w:szCs w:val="20"/>
          <w:lang w:val="es-US"/>
        </w:rPr>
        <w:t xml:space="preserve"> y 8.3</w:t>
      </w:r>
      <w:r w:rsidRPr="001C51C8">
        <w:rPr>
          <w:rFonts w:ascii="Cambria" w:hAnsi="Cambria"/>
          <w:sz w:val="20"/>
          <w:szCs w:val="20"/>
          <w:lang w:val="es-US"/>
        </w:rPr>
        <w:t xml:space="preserve"> de la Convención Americana en relación el artículo 1.1 del mismo instrumento, en perjuicio de </w:t>
      </w:r>
      <w:r w:rsidR="00B87576" w:rsidRPr="001C51C8">
        <w:rPr>
          <w:rFonts w:ascii="Cambria" w:hAnsi="Cambria"/>
          <w:sz w:val="20"/>
          <w:szCs w:val="20"/>
          <w:lang w:val="es-US"/>
        </w:rPr>
        <w:t>Tirso Román Valenzuela Ávila</w:t>
      </w:r>
      <w:r w:rsidRPr="001C51C8">
        <w:rPr>
          <w:rFonts w:ascii="Cambria" w:hAnsi="Cambria"/>
          <w:sz w:val="20"/>
          <w:szCs w:val="20"/>
          <w:lang w:val="es-US"/>
        </w:rPr>
        <w:t xml:space="preserve">. </w:t>
      </w:r>
      <w:r w:rsidR="00F4786A" w:rsidRPr="001C51C8">
        <w:rPr>
          <w:rFonts w:ascii="Cambria" w:hAnsi="Cambria"/>
          <w:sz w:val="20"/>
          <w:szCs w:val="20"/>
          <w:lang w:val="es-US"/>
        </w:rPr>
        <w:t>Asimismo, la Comisión concluye que el Estado violó los artículos 1 y 6 de la CIPST.</w:t>
      </w:r>
    </w:p>
    <w:p w:rsidR="006573A8" w:rsidRPr="007F3D68" w:rsidRDefault="006573A8" w:rsidP="003346C8">
      <w:pPr>
        <w:pStyle w:val="Heading4"/>
        <w:numPr>
          <w:ilvl w:val="1"/>
          <w:numId w:val="69"/>
        </w:numPr>
        <w:tabs>
          <w:tab w:val="left" w:pos="1260"/>
        </w:tabs>
        <w:ind w:left="720" w:firstLine="0"/>
        <w:rPr>
          <w:rFonts w:asciiTheme="majorHAnsi" w:hAnsiTheme="majorHAnsi"/>
          <w:sz w:val="20"/>
          <w:lang w:val="es-ES_tradnl"/>
        </w:rPr>
      </w:pPr>
      <w:r w:rsidRPr="007F3D68">
        <w:rPr>
          <w:rFonts w:asciiTheme="majorHAnsi" w:hAnsiTheme="majorHAnsi"/>
          <w:sz w:val="20"/>
          <w:lang w:val="es-ES_tradnl"/>
        </w:rPr>
        <w:tab/>
      </w:r>
      <w:r w:rsidR="00963B33" w:rsidRPr="007F3D68">
        <w:rPr>
          <w:rFonts w:asciiTheme="majorHAnsi" w:hAnsiTheme="majorHAnsi"/>
          <w:sz w:val="20"/>
          <w:lang w:val="es-ES_tradnl"/>
        </w:rPr>
        <w:t>Sobre la investigación de la tortura</w:t>
      </w:r>
      <w:r w:rsidR="00550CE7" w:rsidRPr="007F3D68">
        <w:rPr>
          <w:rFonts w:asciiTheme="majorHAnsi" w:hAnsiTheme="majorHAnsi"/>
          <w:sz w:val="20"/>
          <w:lang w:val="es-ES_tradnl"/>
        </w:rPr>
        <w:t xml:space="preserve"> y la regla de exclusión</w:t>
      </w:r>
    </w:p>
    <w:p w:rsidR="00963B33" w:rsidRPr="007F3D68" w:rsidRDefault="00963B33" w:rsidP="00155C73">
      <w:pPr>
        <w:rPr>
          <w:sz w:val="20"/>
          <w:szCs w:val="20"/>
          <w:lang w:val="es-ES_tradnl"/>
        </w:rPr>
      </w:pPr>
    </w:p>
    <w:p w:rsidR="000104F7" w:rsidRPr="007F3D68" w:rsidRDefault="00ED6FAF" w:rsidP="000104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sz w:val="20"/>
          <w:szCs w:val="20"/>
          <w:lang w:val="es-US"/>
        </w:rPr>
        <w:t>En el presente informe</w:t>
      </w:r>
      <w:r w:rsidR="00A43BBF" w:rsidRPr="007F3D68">
        <w:rPr>
          <w:rFonts w:ascii="Cambria" w:hAnsi="Cambria"/>
          <w:sz w:val="20"/>
          <w:szCs w:val="20"/>
          <w:lang w:val="es-US"/>
        </w:rPr>
        <w:t xml:space="preserve"> la Comisión </w:t>
      </w:r>
      <w:r w:rsidRPr="007F3D68">
        <w:rPr>
          <w:rFonts w:ascii="Cambria" w:hAnsi="Cambria"/>
          <w:sz w:val="20"/>
          <w:szCs w:val="20"/>
          <w:lang w:val="es-US"/>
        </w:rPr>
        <w:t>ha dado</w:t>
      </w:r>
      <w:r w:rsidR="00A43BBF" w:rsidRPr="007F3D68">
        <w:rPr>
          <w:rFonts w:ascii="Cambria" w:hAnsi="Cambria"/>
          <w:sz w:val="20"/>
          <w:szCs w:val="20"/>
          <w:lang w:val="es-US"/>
        </w:rPr>
        <w:t xml:space="preserve"> por probado que agentes estatales cometieron actos de tortura en contra de</w:t>
      </w:r>
      <w:r w:rsidR="00C37880" w:rsidRPr="007F3D68">
        <w:rPr>
          <w:rFonts w:ascii="Cambria" w:hAnsi="Cambria"/>
          <w:sz w:val="20"/>
          <w:szCs w:val="20"/>
          <w:lang w:val="es-US"/>
        </w:rPr>
        <w:t xml:space="preserve">l señor </w:t>
      </w:r>
      <w:r w:rsidR="00155C73" w:rsidRPr="007F3D68">
        <w:rPr>
          <w:rFonts w:ascii="Cambria" w:hAnsi="Cambria"/>
          <w:sz w:val="20"/>
          <w:szCs w:val="20"/>
          <w:lang w:val="es-US"/>
        </w:rPr>
        <w:t>Valenzuela</w:t>
      </w:r>
      <w:r w:rsidR="00A43BBF" w:rsidRPr="007F3D68">
        <w:rPr>
          <w:rFonts w:ascii="Cambria" w:hAnsi="Cambria"/>
          <w:sz w:val="20"/>
          <w:szCs w:val="20"/>
          <w:lang w:val="es-US"/>
        </w:rPr>
        <w:t xml:space="preserve"> </w:t>
      </w:r>
      <w:r w:rsidR="00CB6873" w:rsidRPr="007F3D68">
        <w:rPr>
          <w:rFonts w:ascii="Cambria" w:hAnsi="Cambria"/>
          <w:sz w:val="20"/>
          <w:szCs w:val="20"/>
          <w:lang w:val="es-US"/>
        </w:rPr>
        <w:t xml:space="preserve">Ávila. </w:t>
      </w:r>
    </w:p>
    <w:p w:rsidR="000104F7" w:rsidRPr="007F3D68" w:rsidRDefault="000104F7" w:rsidP="000104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US"/>
        </w:rPr>
      </w:pPr>
    </w:p>
    <w:p w:rsidR="003346C8" w:rsidRPr="007F3D68" w:rsidRDefault="00C37880"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sz w:val="20"/>
          <w:szCs w:val="20"/>
          <w:lang w:val="es-US"/>
        </w:rPr>
        <w:t>A</w:t>
      </w:r>
      <w:r w:rsidR="00155C73" w:rsidRPr="007F3D68">
        <w:rPr>
          <w:rFonts w:ascii="Cambria" w:hAnsi="Cambria"/>
          <w:sz w:val="20"/>
          <w:szCs w:val="20"/>
          <w:lang w:val="es-US"/>
        </w:rPr>
        <w:t xml:space="preserve"> la fecha, el Estado guatemalteco no ha dado inicio a investigación alguna sobre estos hechos, no obstante</w:t>
      </w:r>
      <w:r w:rsidRPr="007F3D68">
        <w:rPr>
          <w:rFonts w:ascii="Cambria" w:hAnsi="Cambria"/>
          <w:sz w:val="20"/>
          <w:szCs w:val="20"/>
          <w:lang w:val="es-US"/>
        </w:rPr>
        <w:t xml:space="preserve"> desde la primera ocasión en que </w:t>
      </w:r>
      <w:r w:rsidR="000C5F94" w:rsidRPr="007F3D68">
        <w:rPr>
          <w:rFonts w:ascii="Cambria" w:hAnsi="Cambria"/>
          <w:sz w:val="20"/>
          <w:szCs w:val="20"/>
          <w:lang w:val="es-US"/>
        </w:rPr>
        <w:t>estuvo bajo su custodia, era visible que había sido sometido a múltiples formas de violencia. Además, desde su declaración en el juicio, el señor Valenzuela Ávila declaró haber sido víctima de tortura e individualizó a posibles responsables. En ocasiones posteriores, denunció otras torturas y solicitó, incluso mediante un recurso de exhibición personal, que se le realizara un examen médico para hacer constar las torturas y obtener atención médica. Además de la grave omisión estatal en iniciar una investigación por estos hechos, el Estado también se abstuvo de excluir</w:t>
      </w:r>
      <w:r w:rsidR="006D3155" w:rsidRPr="007F3D68">
        <w:rPr>
          <w:rFonts w:ascii="Cambria" w:hAnsi="Cambria"/>
          <w:sz w:val="20"/>
          <w:szCs w:val="20"/>
          <w:lang w:val="es-US"/>
        </w:rPr>
        <w:t xml:space="preserve"> la confesión del señor Valenzuela Ávila, no obstante, como se dijo, en el juicio denunció la tortura. </w:t>
      </w:r>
    </w:p>
    <w:p w:rsidR="003346C8" w:rsidRPr="007F3D68" w:rsidRDefault="003346C8" w:rsidP="003346C8">
      <w:pPr>
        <w:pStyle w:val="ListParagraph"/>
        <w:rPr>
          <w:sz w:val="20"/>
          <w:szCs w:val="20"/>
          <w:lang w:val="es-US"/>
        </w:rPr>
      </w:pPr>
    </w:p>
    <w:p w:rsidR="00B76577" w:rsidRPr="007F3D68" w:rsidRDefault="00B76577"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sz w:val="20"/>
          <w:szCs w:val="20"/>
          <w:lang w:val="es-US"/>
        </w:rPr>
        <w:t xml:space="preserve">En consecuencia, la CIDH concluye que </w:t>
      </w:r>
      <w:r w:rsidRPr="007F3D68">
        <w:rPr>
          <w:rFonts w:ascii="Cambria" w:eastAsia="Times New Roman" w:hAnsi="Cambria"/>
          <w:sz w:val="20"/>
          <w:szCs w:val="20"/>
          <w:lang w:val="es-ES"/>
        </w:rPr>
        <w:t>el Estado guatemalteco violó los derechos consagrados en los artículos 8.1 y 25.1 de la Convención Americana en relación con las obligaciones establecidas en el artículo 1.1 del mismo instrumento, en perjuicio de</w:t>
      </w:r>
      <w:r w:rsidR="00E927F3" w:rsidRPr="007F3D68">
        <w:rPr>
          <w:rFonts w:ascii="Cambria" w:eastAsia="Times New Roman" w:hAnsi="Cambria"/>
          <w:sz w:val="20"/>
          <w:szCs w:val="20"/>
          <w:lang w:val="es-ES"/>
        </w:rPr>
        <w:t xml:space="preserve"> </w:t>
      </w:r>
      <w:r w:rsidR="00E927F3" w:rsidRPr="007F3D68">
        <w:rPr>
          <w:rFonts w:ascii="Cambria" w:hAnsi="Cambria"/>
          <w:sz w:val="20"/>
          <w:szCs w:val="20"/>
          <w:lang w:val="es-US"/>
        </w:rPr>
        <w:t>Tirso Román Valenzuela Ávila</w:t>
      </w:r>
      <w:r w:rsidRPr="007F3D68">
        <w:rPr>
          <w:rFonts w:ascii="Cambria" w:eastAsia="Times New Roman" w:hAnsi="Cambria"/>
          <w:sz w:val="20"/>
          <w:szCs w:val="20"/>
          <w:lang w:val="es-ES"/>
        </w:rPr>
        <w:t>. Asimismo, la CIDH concluye que el Estado incumplió las obligaciones establecidas en los</w:t>
      </w:r>
      <w:r w:rsidR="006D3155" w:rsidRPr="007F3D68">
        <w:rPr>
          <w:rFonts w:ascii="Cambria" w:eastAsia="Times New Roman" w:hAnsi="Cambria"/>
          <w:sz w:val="20"/>
          <w:szCs w:val="20"/>
          <w:lang w:val="es-ES"/>
        </w:rPr>
        <w:t xml:space="preserve"> </w:t>
      </w:r>
      <w:r w:rsidR="006D3155" w:rsidRPr="008A7803">
        <w:rPr>
          <w:rFonts w:ascii="Cambria" w:eastAsia="Times New Roman" w:hAnsi="Cambria"/>
          <w:sz w:val="20"/>
          <w:szCs w:val="20"/>
          <w:lang w:val="es-ES"/>
        </w:rPr>
        <w:t>artículos 1, 6, 8 y 10 de la CIPST</w:t>
      </w:r>
      <w:r w:rsidR="002E7AEA" w:rsidRPr="008A7803">
        <w:rPr>
          <w:rFonts w:ascii="Cambria" w:eastAsia="Times New Roman" w:hAnsi="Cambria"/>
          <w:sz w:val="20"/>
          <w:szCs w:val="20"/>
          <w:lang w:val="es-ES"/>
        </w:rPr>
        <w:t>.</w:t>
      </w:r>
      <w:r w:rsidR="006D3155" w:rsidRPr="007F3D68">
        <w:rPr>
          <w:rFonts w:ascii="Cambria" w:eastAsia="Times New Roman" w:hAnsi="Cambria"/>
          <w:sz w:val="20"/>
          <w:szCs w:val="20"/>
          <w:lang w:val="es-ES"/>
        </w:rPr>
        <w:t xml:space="preserve"> </w:t>
      </w:r>
      <w:r w:rsidRPr="007F3D68">
        <w:rPr>
          <w:rFonts w:ascii="Cambria" w:eastAsia="Times New Roman" w:hAnsi="Cambria"/>
          <w:sz w:val="20"/>
          <w:szCs w:val="20"/>
          <w:lang w:val="es-ES"/>
        </w:rPr>
        <w:t xml:space="preserve"> </w:t>
      </w:r>
    </w:p>
    <w:p w:rsidR="00BF33FB" w:rsidRDefault="00BF33FB" w:rsidP="00BF33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A338B7" w:rsidRPr="007F3D68" w:rsidRDefault="00A338B7" w:rsidP="003346C8">
      <w:pPr>
        <w:pStyle w:val="Heading2"/>
        <w:numPr>
          <w:ilvl w:val="0"/>
          <w:numId w:val="77"/>
        </w:numPr>
        <w:ind w:left="1260" w:hanging="540"/>
        <w:rPr>
          <w:b w:val="0"/>
          <w:lang w:val="es-ES"/>
        </w:rPr>
      </w:pPr>
      <w:bookmarkStart w:id="103" w:name="_Toc495479562"/>
      <w:bookmarkStart w:id="104" w:name="_Toc491441654"/>
      <w:r w:rsidRPr="007F3D68">
        <w:rPr>
          <w:lang w:val="es-CO"/>
        </w:rPr>
        <w:t>Derechos a la vida</w:t>
      </w:r>
      <w:r w:rsidRPr="007F3D68">
        <w:rPr>
          <w:vertAlign w:val="superscript"/>
        </w:rPr>
        <w:footnoteReference w:id="128"/>
      </w:r>
      <w:r w:rsidRPr="007F3D68">
        <w:rPr>
          <w:lang w:val="es-CO"/>
        </w:rPr>
        <w:t>, garantías judiciales</w:t>
      </w:r>
      <w:r w:rsidRPr="007F3D68">
        <w:rPr>
          <w:vertAlign w:val="superscript"/>
        </w:rPr>
        <w:footnoteReference w:id="129"/>
      </w:r>
      <w:r w:rsidRPr="007F3D68">
        <w:rPr>
          <w:lang w:val="es-CO"/>
        </w:rPr>
        <w:t xml:space="preserve"> y protección judicial</w:t>
      </w:r>
      <w:r w:rsidRPr="007F3D68">
        <w:rPr>
          <w:vertAlign w:val="superscript"/>
        </w:rPr>
        <w:footnoteReference w:id="130"/>
      </w:r>
      <w:r w:rsidRPr="007F3D68">
        <w:rPr>
          <w:lang w:val="es-CO"/>
        </w:rPr>
        <w:t xml:space="preserve"> respecto de la muerte</w:t>
      </w:r>
      <w:r w:rsidRPr="007F3D68">
        <w:rPr>
          <w:lang w:val="es-ES"/>
        </w:rPr>
        <w:t xml:space="preserve"> de </w:t>
      </w:r>
      <w:r w:rsidR="004976E7" w:rsidRPr="007F3D68">
        <w:rPr>
          <w:lang w:val="es-US"/>
        </w:rPr>
        <w:t>Tirso Román Valenzuela Ávila</w:t>
      </w:r>
      <w:bookmarkEnd w:id="103"/>
      <w:r w:rsidR="004976E7" w:rsidRPr="007F3D68">
        <w:rPr>
          <w:lang w:val="es-ES"/>
        </w:rPr>
        <w:t xml:space="preserve"> </w:t>
      </w:r>
      <w:bookmarkEnd w:id="104"/>
    </w:p>
    <w:p w:rsidR="0016507B" w:rsidRPr="007F3D68" w:rsidRDefault="0016507B" w:rsidP="004E102F">
      <w:pPr>
        <w:pStyle w:val="Heading3"/>
        <w:numPr>
          <w:ilvl w:val="0"/>
          <w:numId w:val="70"/>
        </w:numPr>
        <w:tabs>
          <w:tab w:val="left" w:pos="1260"/>
        </w:tabs>
        <w:ind w:left="1440" w:hanging="720"/>
        <w:rPr>
          <w:color w:val="auto"/>
          <w:sz w:val="20"/>
          <w:szCs w:val="20"/>
          <w:lang w:val="es-CO"/>
        </w:rPr>
      </w:pPr>
      <w:bookmarkStart w:id="105" w:name="_Toc491441655"/>
      <w:bookmarkStart w:id="106" w:name="_Toc495479563"/>
      <w:r w:rsidRPr="007F3D68">
        <w:rPr>
          <w:color w:val="auto"/>
          <w:sz w:val="20"/>
          <w:szCs w:val="20"/>
          <w:lang w:val="es-CO"/>
        </w:rPr>
        <w:t>Consideraciones generales</w:t>
      </w:r>
      <w:bookmarkEnd w:id="105"/>
      <w:bookmarkEnd w:id="106"/>
      <w:r w:rsidRPr="007F3D68">
        <w:rPr>
          <w:color w:val="auto"/>
          <w:sz w:val="20"/>
          <w:szCs w:val="20"/>
          <w:lang w:val="es-CO"/>
        </w:rPr>
        <w:t xml:space="preserve"> </w:t>
      </w:r>
    </w:p>
    <w:p w:rsidR="0016507B" w:rsidRPr="007F3D68" w:rsidRDefault="0016507B" w:rsidP="001650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num" w:pos="1080"/>
          <w:tab w:val="left" w:pos="1440"/>
          <w:tab w:val="num" w:pos="2040"/>
        </w:tabs>
        <w:jc w:val="both"/>
        <w:rPr>
          <w:rFonts w:ascii="Cambria" w:hAnsi="Cambria"/>
          <w:b/>
          <w:sz w:val="20"/>
          <w:szCs w:val="20"/>
          <w:lang w:val="es-CO"/>
        </w:rPr>
      </w:pPr>
      <w:r w:rsidRPr="007F3D68">
        <w:rPr>
          <w:rFonts w:ascii="Cambria" w:hAnsi="Cambria"/>
          <w:b/>
          <w:sz w:val="20"/>
          <w:szCs w:val="20"/>
          <w:lang w:val="es-CO"/>
        </w:rPr>
        <w:t xml:space="preserve"> </w:t>
      </w: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sz w:val="20"/>
          <w:szCs w:val="20"/>
          <w:lang w:val="es-ES_tradnl"/>
        </w:rPr>
        <w:t>La Comisión recuerda que el derecho a la vida es prerrequisito del disfrute de todos los demás derechos humanos y sin cuyo respeto todos los demás carecen de sentido</w:t>
      </w:r>
      <w:r w:rsidRPr="007F3D68">
        <w:rPr>
          <w:rFonts w:ascii="Cambria" w:hAnsi="Cambria"/>
          <w:sz w:val="20"/>
          <w:szCs w:val="20"/>
          <w:vertAlign w:val="superscript"/>
          <w:lang w:val="es-ES_tradnl"/>
        </w:rPr>
        <w:footnoteReference w:id="131"/>
      </w:r>
      <w:r w:rsidRPr="007F3D68">
        <w:rPr>
          <w:rFonts w:ascii="Cambria" w:hAnsi="Cambria"/>
          <w:sz w:val="20"/>
          <w:szCs w:val="20"/>
          <w:lang w:val="es-ES_tradnl"/>
        </w:rPr>
        <w:t xml:space="preserve">. El cumplimiento del artículo 4 en </w:t>
      </w:r>
      <w:r w:rsidRPr="007F3D68">
        <w:rPr>
          <w:rFonts w:ascii="Cambria" w:hAnsi="Cambria"/>
          <w:sz w:val="20"/>
          <w:szCs w:val="20"/>
          <w:lang w:val="es-ES_tradnl"/>
        </w:rPr>
        <w:lastRenderedPageBreak/>
        <w:t>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7F3D68">
        <w:rPr>
          <w:rFonts w:ascii="Cambria" w:hAnsi="Cambria"/>
          <w:sz w:val="20"/>
          <w:szCs w:val="20"/>
          <w:vertAlign w:val="superscript"/>
          <w:lang w:val="es-ES_tradnl"/>
        </w:rPr>
        <w:footnoteReference w:id="132"/>
      </w:r>
      <w:r w:rsidRPr="007F3D68">
        <w:rPr>
          <w:rFonts w:ascii="Cambria" w:hAnsi="Cambria"/>
          <w:sz w:val="20"/>
          <w:szCs w:val="20"/>
          <w:lang w:val="es-ES_tradnl"/>
        </w:rPr>
        <w:t>. Por su parte, la Corte Europea ha señalado la importancia de que el derecho a la vida sea interpretado y aplicado de manera que sus salvaguardas sean prácticas y efectivas</w:t>
      </w:r>
      <w:r w:rsidRPr="007F3D68">
        <w:rPr>
          <w:rFonts w:ascii="Cambria" w:hAnsi="Cambria"/>
          <w:sz w:val="20"/>
          <w:szCs w:val="20"/>
          <w:vertAlign w:val="superscript"/>
          <w:lang w:val="es-ES_tradnl"/>
        </w:rPr>
        <w:footnoteReference w:id="133"/>
      </w:r>
      <w:r w:rsidRPr="007F3D68">
        <w:rPr>
          <w:rFonts w:ascii="Cambria" w:hAnsi="Cambria"/>
          <w:sz w:val="20"/>
          <w:szCs w:val="20"/>
          <w:lang w:val="es-ES_tradnl"/>
        </w:rPr>
        <w:t>.</w:t>
      </w:r>
    </w:p>
    <w:p w:rsidR="003346C8" w:rsidRPr="007F3D68" w:rsidRDefault="003346C8" w:rsidP="003346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US"/>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sz w:val="20"/>
          <w:szCs w:val="20"/>
          <w:lang w:val="es-ES"/>
        </w:rPr>
        <w:t xml:space="preserve">Tanto la Comisión como la Corte Interamericana han indicado que en </w:t>
      </w:r>
      <w:r w:rsidRPr="007F3D68">
        <w:rPr>
          <w:rFonts w:ascii="Cambria" w:hAnsi="Cambria"/>
          <w:spacing w:val="-2"/>
          <w:sz w:val="20"/>
          <w:szCs w:val="20"/>
          <w:lang w:val="es-CR"/>
        </w:rPr>
        <w:t>todo caso de despliegue de la fuerza, en el que agentes estatales hayan producido la muerte o lesiones de una persona, corresponde analizar el uso de la fuerza</w:t>
      </w:r>
      <w:r w:rsidRPr="007F3D68">
        <w:rPr>
          <w:rStyle w:val="FootnoteReference"/>
          <w:rFonts w:ascii="Cambria" w:hAnsi="Cambria"/>
          <w:spacing w:val="-2"/>
          <w:sz w:val="20"/>
          <w:szCs w:val="20"/>
          <w:lang w:val="es-CR"/>
        </w:rPr>
        <w:footnoteReference w:id="134"/>
      </w:r>
      <w:r w:rsidRPr="007F3D68">
        <w:rPr>
          <w:rFonts w:ascii="Cambria" w:hAnsi="Cambria"/>
          <w:spacing w:val="-2"/>
          <w:sz w:val="20"/>
          <w:szCs w:val="20"/>
          <w:lang w:val="es-CR"/>
        </w:rPr>
        <w:t xml:space="preserve">. En ese sentido, la Comisión analizará los hechos del caso tomando en cuenta lo expresado en su </w:t>
      </w:r>
      <w:r w:rsidRPr="007F3D68">
        <w:rPr>
          <w:rFonts w:ascii="Cambria" w:hAnsi="Cambria"/>
          <w:sz w:val="20"/>
          <w:szCs w:val="20"/>
          <w:lang w:val="es-ES"/>
        </w:rPr>
        <w:t>jurisprudencia</w:t>
      </w:r>
      <w:r w:rsidRPr="007F3D68">
        <w:rPr>
          <w:rFonts w:ascii="Cambria" w:hAnsi="Cambria"/>
          <w:spacing w:val="-2"/>
          <w:sz w:val="20"/>
          <w:szCs w:val="20"/>
          <w:lang w:val="es-CR"/>
        </w:rPr>
        <w:t xml:space="preserve"> interamericana sobre el derecho a la vida, en relación con las obligaciones de respeto y garantía y en materia de uso de la fuerza</w:t>
      </w:r>
      <w:r w:rsidRPr="007F3D68">
        <w:rPr>
          <w:rFonts w:ascii="Cambria" w:hAnsi="Cambria"/>
          <w:bCs/>
          <w:spacing w:val="-2"/>
          <w:sz w:val="20"/>
          <w:szCs w:val="20"/>
          <w:lang w:val="es-CR"/>
        </w:rPr>
        <w:t xml:space="preserve">. Para ello la CIDH tomará en cuenta </w:t>
      </w:r>
      <w:r w:rsidRPr="007F3D68">
        <w:rPr>
          <w:rFonts w:ascii="Cambria" w:hAnsi="Cambria"/>
          <w:spacing w:val="-2"/>
          <w:sz w:val="20"/>
          <w:szCs w:val="20"/>
          <w:lang w:val="es-CR"/>
        </w:rPr>
        <w:t xml:space="preserve">diversos instrumentos </w:t>
      </w:r>
      <w:r w:rsidRPr="007F3D68">
        <w:rPr>
          <w:rFonts w:ascii="Cambria" w:hAnsi="Cambria"/>
          <w:sz w:val="20"/>
          <w:szCs w:val="20"/>
          <w:lang w:val="es-ES"/>
        </w:rPr>
        <w:t>internacionales</w:t>
      </w:r>
      <w:r w:rsidRPr="007F3D68">
        <w:rPr>
          <w:rFonts w:ascii="Cambria" w:hAnsi="Cambria"/>
          <w:spacing w:val="-2"/>
          <w:sz w:val="20"/>
          <w:szCs w:val="20"/>
          <w:lang w:val="es-CR"/>
        </w:rPr>
        <w:t xml:space="preserve"> en la materia y, en particular, los Principios Básicos sobre el empleo de la fuerza y de armas de fuego por los funcionarios encargados de hacer cumplir la ley y del Código de conducta para funcionarios encargados de hacer cumplir la ley (en adelante “</w:t>
      </w:r>
      <w:r w:rsidRPr="007F3D68">
        <w:rPr>
          <w:rFonts w:ascii="Cambria" w:hAnsi="Cambria"/>
          <w:sz w:val="20"/>
          <w:szCs w:val="20"/>
          <w:lang w:val="es-CO"/>
        </w:rPr>
        <w:t>Principios sobre empleo de la fuerza” y “Código de Conducta”</w:t>
      </w:r>
      <w:r w:rsidRPr="007F3D68">
        <w:rPr>
          <w:rFonts w:ascii="Cambria" w:hAnsi="Cambria"/>
          <w:spacing w:val="-2"/>
          <w:sz w:val="20"/>
          <w:szCs w:val="20"/>
          <w:lang w:val="es-CR"/>
        </w:rPr>
        <w:t xml:space="preserve"> respectivamente).</w:t>
      </w:r>
    </w:p>
    <w:p w:rsidR="003346C8" w:rsidRPr="007F3D68" w:rsidRDefault="003346C8" w:rsidP="003346C8">
      <w:pPr>
        <w:pStyle w:val="ListParagraph"/>
        <w:rPr>
          <w:rFonts w:cs="Verdana"/>
          <w:sz w:val="20"/>
          <w:szCs w:val="20"/>
          <w:lang w:val="es-CO"/>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cs="Verdana"/>
          <w:sz w:val="20"/>
          <w:szCs w:val="20"/>
          <w:lang w:val="es-CO"/>
        </w:rPr>
        <w:t xml:space="preserve">La CIDH ha indicado que si bien </w:t>
      </w:r>
      <w:r w:rsidRPr="007F3D68">
        <w:rPr>
          <w:rFonts w:ascii="Cambria" w:hAnsi="Cambria"/>
          <w:sz w:val="20"/>
          <w:szCs w:val="20"/>
          <w:lang w:val="es-CO"/>
        </w:rPr>
        <w:t>el Estado tiene el derecho y la obligación de brindar protección contra las amenazas y para ello puede utilizar la fuerza letal en ciertas situaciones, dicha facultad debe estar restringida a cuando sea estrictamente necesario y proporcionado. Si no responde a esos principios, el uso de la fuerza letal puede constituir una privación arbitraria de la vida o una ejecución sumaria. Ello equivale a decir que el uso de la fuerza letal tiene necesariamente que estar justificado por el derecho del Estado a proteger la seguridad de todos</w:t>
      </w:r>
      <w:r w:rsidRPr="007F3D68">
        <w:rPr>
          <w:rStyle w:val="FootnoteReference"/>
          <w:rFonts w:ascii="Cambria" w:hAnsi="Cambria"/>
          <w:sz w:val="20"/>
          <w:szCs w:val="20"/>
        </w:rPr>
        <w:footnoteReference w:id="135"/>
      </w:r>
      <w:r w:rsidRPr="007F3D68">
        <w:rPr>
          <w:rFonts w:ascii="Cambria" w:hAnsi="Cambria"/>
          <w:sz w:val="20"/>
          <w:szCs w:val="20"/>
          <w:lang w:val="es-CO"/>
        </w:rPr>
        <w:t xml:space="preserve">. </w:t>
      </w:r>
    </w:p>
    <w:p w:rsidR="003346C8" w:rsidRPr="007F3D68" w:rsidRDefault="003346C8" w:rsidP="003346C8">
      <w:pPr>
        <w:pStyle w:val="ListParagraph"/>
        <w:rPr>
          <w:sz w:val="20"/>
          <w:szCs w:val="20"/>
          <w:lang w:val="es-CO"/>
        </w:rPr>
      </w:pPr>
    </w:p>
    <w:p w:rsidR="0016507B"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US"/>
        </w:rPr>
      </w:pPr>
      <w:r w:rsidRPr="007F3D68">
        <w:rPr>
          <w:rFonts w:ascii="Cambria" w:hAnsi="Cambria"/>
          <w:sz w:val="20"/>
          <w:szCs w:val="20"/>
          <w:lang w:val="es-CO"/>
        </w:rPr>
        <w:t xml:space="preserve">Cuando se alega que se ha producido una muerte como consecuencia del uso de la fuerza, la Corte </w:t>
      </w:r>
      <w:r w:rsidRPr="007F3D68">
        <w:rPr>
          <w:rFonts w:ascii="Cambria" w:hAnsi="Cambria"/>
          <w:sz w:val="20"/>
          <w:szCs w:val="20"/>
          <w:lang w:val="es-ES"/>
        </w:rPr>
        <w:t>Interamericana</w:t>
      </w:r>
      <w:r w:rsidRPr="007F3D68">
        <w:rPr>
          <w:rFonts w:ascii="Cambria" w:hAnsi="Cambria"/>
          <w:sz w:val="20"/>
          <w:szCs w:val="20"/>
          <w:lang w:val="es-CO"/>
        </w:rPr>
        <w:t xml:space="preserve"> ha establecido reglas claras sobre la carga de la prueba. En palabras del Tribunal: </w:t>
      </w:r>
    </w:p>
    <w:p w:rsidR="0016507B" w:rsidRPr="007F3D68" w:rsidRDefault="0016507B" w:rsidP="0016507B">
      <w:pPr>
        <w:ind w:left="720" w:right="720"/>
        <w:jc w:val="both"/>
        <w:rPr>
          <w:rFonts w:ascii="Cambria" w:hAnsi="Cambria" w:cs="Verdana"/>
          <w:sz w:val="20"/>
          <w:szCs w:val="20"/>
          <w:lang w:val="es-CO"/>
        </w:rPr>
      </w:pPr>
    </w:p>
    <w:p w:rsidR="0016507B" w:rsidRPr="007F3D68" w:rsidRDefault="0016507B" w:rsidP="0016507B">
      <w:pPr>
        <w:ind w:left="720" w:right="720"/>
        <w:jc w:val="both"/>
        <w:rPr>
          <w:rFonts w:ascii="Cambria" w:hAnsi="Cambria" w:cs="Verdana"/>
          <w:sz w:val="20"/>
          <w:szCs w:val="20"/>
          <w:lang w:val="es-CO"/>
        </w:rPr>
      </w:pPr>
      <w:r w:rsidRPr="007F3D68">
        <w:rPr>
          <w:rFonts w:ascii="Cambria" w:hAnsi="Cambria" w:cs="Verdana"/>
          <w:sz w:val="20"/>
          <w:szCs w:val="20"/>
          <w:lang w:val="es-CO"/>
        </w:rPr>
        <w:t>(…) en todo caso de uso de fuerza [por parte de agentes estatales] que haya producido la muerte o lesiones a una o más personas corresponde al Estado la obligación de proveer una explicación satisfactoria y convincente de lo sucedido y desvirtuar las alegaciones sobre su responsabilidad, mediante elementos probatorios adecuados</w:t>
      </w:r>
      <w:r w:rsidRPr="007F3D68">
        <w:rPr>
          <w:rStyle w:val="FootnoteReference"/>
          <w:rFonts w:ascii="Cambria" w:hAnsi="Cambria" w:cs="Verdana"/>
          <w:sz w:val="20"/>
          <w:szCs w:val="20"/>
        </w:rPr>
        <w:footnoteReference w:id="136"/>
      </w:r>
      <w:r w:rsidRPr="007F3D68">
        <w:rPr>
          <w:rFonts w:ascii="Cambria" w:hAnsi="Cambria" w:cs="Verdana"/>
          <w:sz w:val="20"/>
          <w:szCs w:val="20"/>
          <w:lang w:val="es-CO"/>
        </w:rPr>
        <w:t xml:space="preserve">. </w:t>
      </w:r>
    </w:p>
    <w:p w:rsidR="0016507B" w:rsidRPr="007F3D68" w:rsidRDefault="0016507B" w:rsidP="001650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US"/>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CO"/>
        </w:rPr>
        <w:t>En similar sentido, el Comité de Derechos Humanos de la ONU ha indicado que en los casos donde la clarificación de los hechos recaiga exclusivamente sobre el Estado, se pueden llegar a considerar las denuncias como probadas en la ausencia de evidencia o explicación satisfactoria que pueda refutar las pretensiones de los demandantes</w:t>
      </w:r>
      <w:r w:rsidRPr="007F3D68">
        <w:rPr>
          <w:rFonts w:ascii="Cambria" w:hAnsi="Cambria"/>
          <w:sz w:val="20"/>
          <w:szCs w:val="20"/>
          <w:vertAlign w:val="superscript"/>
          <w:lang w:val="es-CO"/>
        </w:rPr>
        <w:footnoteReference w:id="137"/>
      </w:r>
      <w:r w:rsidRPr="007F3D68">
        <w:rPr>
          <w:rFonts w:ascii="Cambria" w:hAnsi="Cambria"/>
          <w:sz w:val="20"/>
          <w:szCs w:val="20"/>
          <w:lang w:val="es-CO"/>
        </w:rPr>
        <w:t xml:space="preserve">. </w:t>
      </w:r>
    </w:p>
    <w:p w:rsidR="003346C8" w:rsidRPr="007F3D68" w:rsidRDefault="003346C8" w:rsidP="003346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CO"/>
        </w:rPr>
      </w:pPr>
    </w:p>
    <w:p w:rsidR="0016507B"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CO"/>
        </w:rPr>
      </w:pPr>
      <w:r w:rsidRPr="007F3D68">
        <w:rPr>
          <w:rFonts w:ascii="Cambria" w:hAnsi="Cambria"/>
          <w:sz w:val="20"/>
          <w:szCs w:val="20"/>
          <w:lang w:val="es-ES"/>
        </w:rPr>
        <w:lastRenderedPageBreak/>
        <w:t xml:space="preserve">En ese sentido, para que una explicación sobre el uso letal de la fuerza pueda ser considerada satisfactoria, es necesario que la misma sea el resultado de una investigación compatible con las garantías de independencia, imparcialidad y </w:t>
      </w:r>
      <w:r w:rsidRPr="007F3D68">
        <w:rPr>
          <w:rFonts w:ascii="Cambria" w:hAnsi="Cambria" w:cs="Verdana"/>
          <w:sz w:val="20"/>
          <w:szCs w:val="20"/>
          <w:lang w:val="es-CO"/>
        </w:rPr>
        <w:t>debida</w:t>
      </w:r>
      <w:r w:rsidRPr="007F3D68">
        <w:rPr>
          <w:rFonts w:ascii="Cambria" w:hAnsi="Cambria"/>
          <w:sz w:val="20"/>
          <w:szCs w:val="20"/>
          <w:lang w:val="es-ES"/>
        </w:rPr>
        <w:t xml:space="preserve"> diligencia y, además, se refiera a los elementos que conforme a la jurisprudencia interamericana deben concurrir para justificar dicho uso de la fuerza, a saber:</w:t>
      </w:r>
    </w:p>
    <w:p w:rsidR="0016507B" w:rsidRPr="007F3D68" w:rsidRDefault="0016507B" w:rsidP="0016507B">
      <w:pPr>
        <w:jc w:val="both"/>
        <w:rPr>
          <w:rFonts w:ascii="Cambria" w:hAnsi="Cambria"/>
          <w:sz w:val="20"/>
          <w:szCs w:val="20"/>
          <w:lang w:val="es-ES"/>
        </w:rPr>
      </w:pPr>
    </w:p>
    <w:p w:rsidR="0016507B" w:rsidRPr="007F3D68" w:rsidRDefault="0016507B" w:rsidP="0016507B">
      <w:pPr>
        <w:ind w:left="720" w:right="720"/>
        <w:jc w:val="both"/>
        <w:rPr>
          <w:rFonts w:ascii="Cambria" w:hAnsi="Cambria"/>
          <w:sz w:val="20"/>
          <w:szCs w:val="20"/>
          <w:lang w:val="es-ES"/>
        </w:rPr>
      </w:pPr>
      <w:r w:rsidRPr="007F3D68">
        <w:rPr>
          <w:rFonts w:ascii="Cambria" w:hAnsi="Cambria"/>
          <w:sz w:val="20"/>
          <w:szCs w:val="20"/>
          <w:lang w:val="es-ES"/>
        </w:rPr>
        <w:t>i. Finalidad legítima: el uso de la fuerza debe estar dirigido a lograr un objetivo legítimo. (…)</w:t>
      </w:r>
    </w:p>
    <w:p w:rsidR="0016507B" w:rsidRPr="007F3D68" w:rsidRDefault="0016507B" w:rsidP="0016507B">
      <w:pPr>
        <w:ind w:left="720" w:right="720"/>
        <w:jc w:val="both"/>
        <w:rPr>
          <w:rFonts w:ascii="Cambria" w:hAnsi="Cambria"/>
          <w:sz w:val="20"/>
          <w:szCs w:val="20"/>
          <w:lang w:val="es-ES"/>
        </w:rPr>
      </w:pPr>
    </w:p>
    <w:p w:rsidR="0016507B" w:rsidRPr="007F3D68" w:rsidRDefault="0016507B" w:rsidP="0016507B">
      <w:pPr>
        <w:ind w:left="720" w:right="720"/>
        <w:jc w:val="both"/>
        <w:rPr>
          <w:rFonts w:ascii="Cambria" w:hAnsi="Cambria"/>
          <w:sz w:val="20"/>
          <w:szCs w:val="20"/>
          <w:lang w:val="es-ES"/>
        </w:rPr>
      </w:pPr>
      <w:r w:rsidRPr="007F3D68">
        <w:rPr>
          <w:rFonts w:ascii="Cambria" w:hAnsi="Cambria"/>
          <w:sz w:val="20"/>
          <w:szCs w:val="20"/>
          <w:lang w:val="es-ES"/>
        </w:rPr>
        <w:t>ii. Absoluta necesidad: es preciso verificar si existen otros medios disponibles menos lesivos para tutelar la vida e integridad de la persona o situación que se pretende proteger, de conformidad con las circunstancias del caso. (…)</w:t>
      </w:r>
    </w:p>
    <w:p w:rsidR="0016507B" w:rsidRPr="007F3D68" w:rsidRDefault="0016507B" w:rsidP="0016507B">
      <w:pPr>
        <w:ind w:left="720" w:right="720"/>
        <w:jc w:val="both"/>
        <w:rPr>
          <w:rFonts w:ascii="Cambria" w:hAnsi="Cambria"/>
          <w:sz w:val="20"/>
          <w:szCs w:val="20"/>
          <w:lang w:val="es-ES"/>
        </w:rPr>
      </w:pPr>
    </w:p>
    <w:p w:rsidR="0016507B" w:rsidRPr="007F3D68" w:rsidRDefault="0016507B" w:rsidP="0016507B">
      <w:pPr>
        <w:ind w:left="720" w:right="720"/>
        <w:jc w:val="both"/>
        <w:rPr>
          <w:rFonts w:ascii="Cambria" w:hAnsi="Cambria"/>
          <w:sz w:val="20"/>
          <w:szCs w:val="20"/>
          <w:lang w:val="es-ES"/>
        </w:rPr>
      </w:pPr>
      <w:r w:rsidRPr="007F3D68">
        <w:rPr>
          <w:rFonts w:ascii="Cambria" w:hAnsi="Cambria"/>
          <w:sz w:val="20"/>
          <w:szCs w:val="20"/>
          <w:lang w:val="es-ES"/>
        </w:rPr>
        <w:t>iii. Proporcionalidad: el nivel de fuerza utilizado debe ser acorde con el nivel de resistencia ofrecido, lo cual implica un equilibrio entre la situación a la que se enfrenta el funcionario y su respuesta, considerando el daño potencial que podría ser ocasionado</w:t>
      </w:r>
      <w:r w:rsidRPr="007F3D68">
        <w:rPr>
          <w:rStyle w:val="FootnoteReference"/>
          <w:rFonts w:ascii="Cambria" w:hAnsi="Cambria"/>
          <w:sz w:val="20"/>
          <w:szCs w:val="20"/>
        </w:rPr>
        <w:footnoteReference w:id="138"/>
      </w:r>
      <w:r w:rsidRPr="007F3D68">
        <w:rPr>
          <w:rFonts w:ascii="Cambria" w:hAnsi="Cambria"/>
          <w:sz w:val="20"/>
          <w:szCs w:val="20"/>
          <w:lang w:val="es-ES"/>
        </w:rPr>
        <w:t>.</w:t>
      </w:r>
    </w:p>
    <w:p w:rsidR="0016507B" w:rsidRPr="007F3D68" w:rsidRDefault="0016507B" w:rsidP="0016507B">
      <w:pPr>
        <w:pStyle w:val="ListParagraph"/>
        <w:ind w:left="0"/>
        <w:jc w:val="both"/>
        <w:rPr>
          <w:rFonts w:cs="Verdana"/>
          <w:sz w:val="20"/>
          <w:szCs w:val="20"/>
          <w:lang w:val="es-ES_tradnl"/>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7F3D68">
        <w:rPr>
          <w:rFonts w:ascii="Cambria" w:hAnsi="Cambria"/>
          <w:sz w:val="20"/>
          <w:szCs w:val="20"/>
          <w:lang w:val="es-ES"/>
        </w:rPr>
        <w:t>Con base en lo señalado, la finalidad legítima, absoluta necesidad y proporcionalidad del uso de la fuerza deben ser demostradas por el Estado a la luz de las circunstancias particulares del caso concreto. Asimismo, como consecuencia de dichos principios, la Comisión recuerda que los agentes estatales que intervienen en operativos deben aplicar criterios de “uso diferenciado y progresivo de la fuerza, determinando el grado de cooperación, resistencia o agresión por parte del sujeto al cual se pretende intervenir, y con ello, emplear tácticas de negociación, control o uso de la fuerza según corresponda”</w:t>
      </w:r>
      <w:r w:rsidRPr="007F3D68">
        <w:rPr>
          <w:rFonts w:ascii="Cambria" w:hAnsi="Cambria"/>
          <w:sz w:val="20"/>
          <w:szCs w:val="20"/>
          <w:vertAlign w:val="superscript"/>
          <w:lang w:val="es-ES"/>
        </w:rPr>
        <w:footnoteReference w:id="139"/>
      </w:r>
      <w:r w:rsidRPr="007F3D68">
        <w:rPr>
          <w:rFonts w:ascii="Cambria" w:hAnsi="Cambria"/>
          <w:sz w:val="20"/>
          <w:szCs w:val="20"/>
          <w:lang w:val="es-ES"/>
        </w:rPr>
        <w:t>.</w:t>
      </w:r>
    </w:p>
    <w:p w:rsidR="003346C8" w:rsidRPr="007F3D68" w:rsidRDefault="003346C8" w:rsidP="003346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7F3D68">
        <w:rPr>
          <w:rFonts w:ascii="Cambria" w:hAnsi="Cambria"/>
          <w:sz w:val="20"/>
          <w:szCs w:val="20"/>
          <w:lang w:val="es-ES_tradnl"/>
        </w:rPr>
        <w:t xml:space="preserve">Cuando se ha producido la muerte o la afectación a la integridad de una persona en circunstancias violentas, la Comisión y la Corte Interamericana han sostenido que de los artículos 8 (garantías judiciales) y 25 (protección judicial) de la Convención Americana surge la obligación de realizar una investigación ex </w:t>
      </w:r>
      <w:proofErr w:type="spellStart"/>
      <w:r w:rsidRPr="007F3D68">
        <w:rPr>
          <w:rFonts w:ascii="Cambria" w:hAnsi="Cambria"/>
          <w:sz w:val="20"/>
          <w:szCs w:val="20"/>
          <w:lang w:val="es-ES_tradnl"/>
        </w:rPr>
        <w:t>officio</w:t>
      </w:r>
      <w:proofErr w:type="spellEnd"/>
      <w:r w:rsidRPr="007F3D68">
        <w:rPr>
          <w:rFonts w:ascii="Cambria" w:hAnsi="Cambria"/>
          <w:sz w:val="20"/>
          <w:szCs w:val="20"/>
          <w:lang w:val="es-ES_tradnl"/>
        </w:rPr>
        <w:t>, sin dilación, seria, imparcial y efectiva, como un elemento fundamental y condicionante para la protección de los derechos afectados</w:t>
      </w:r>
      <w:r w:rsidRPr="007F3D68">
        <w:rPr>
          <w:rFonts w:ascii="Cambria" w:hAnsi="Cambria"/>
          <w:sz w:val="20"/>
          <w:szCs w:val="20"/>
          <w:vertAlign w:val="superscript"/>
          <w:lang w:val="es-ES_tradnl"/>
        </w:rPr>
        <w:footnoteReference w:id="140"/>
      </w:r>
      <w:r w:rsidRPr="007F3D68">
        <w:rPr>
          <w:rFonts w:ascii="Cambria" w:hAnsi="Cambria"/>
          <w:sz w:val="20"/>
          <w:szCs w:val="20"/>
          <w:lang w:val="es-ES_tradnl"/>
        </w:rPr>
        <w:t xml:space="preserve">. </w:t>
      </w:r>
    </w:p>
    <w:p w:rsidR="003346C8" w:rsidRPr="007F3D68" w:rsidRDefault="003346C8" w:rsidP="003346C8">
      <w:pPr>
        <w:pStyle w:val="ListParagraph"/>
        <w:rPr>
          <w:sz w:val="20"/>
          <w:szCs w:val="20"/>
          <w:lang w:val="es-MX"/>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7F3D68">
        <w:rPr>
          <w:rFonts w:ascii="Cambria" w:hAnsi="Cambria"/>
          <w:sz w:val="20"/>
          <w:szCs w:val="20"/>
          <w:lang w:val="es-MX"/>
        </w:rPr>
        <w:t xml:space="preserve">En </w:t>
      </w:r>
      <w:r w:rsidRPr="007F3D68">
        <w:rPr>
          <w:rFonts w:ascii="Cambria" w:hAnsi="Cambria"/>
          <w:sz w:val="20"/>
          <w:szCs w:val="20"/>
          <w:lang w:val="es-ES_tradnl"/>
        </w:rPr>
        <w:t xml:space="preserve">casos en los que la muerte pudo haber sido consecuencia del uso letal de la fuerza por parte de agentes estatales, la Corte Europea ha señalado que debe realizarse el “más cuidadoso escrutinio” tomando en </w:t>
      </w:r>
      <w:r w:rsidRPr="007F3D68">
        <w:rPr>
          <w:rFonts w:ascii="Cambria" w:hAnsi="Cambria"/>
          <w:sz w:val="20"/>
          <w:szCs w:val="20"/>
          <w:lang w:val="es-MX"/>
        </w:rPr>
        <w:t>consideración</w:t>
      </w:r>
      <w:r w:rsidRPr="007F3D68">
        <w:rPr>
          <w:rFonts w:ascii="Cambria" w:hAnsi="Cambria"/>
          <w:sz w:val="20"/>
          <w:szCs w:val="20"/>
          <w:lang w:val="es-ES_tradnl"/>
        </w:rPr>
        <w:t xml:space="preserve"> no “</w:t>
      </w:r>
      <w:r w:rsidRPr="007F3D68">
        <w:rPr>
          <w:rFonts w:ascii="Cambria" w:hAnsi="Cambria"/>
          <w:sz w:val="20"/>
          <w:szCs w:val="20"/>
          <w:lang w:val="es-MX"/>
        </w:rPr>
        <w:t>sólo</w:t>
      </w:r>
      <w:r w:rsidRPr="007F3D68">
        <w:rPr>
          <w:rFonts w:ascii="Cambria" w:hAnsi="Cambria"/>
          <w:sz w:val="20"/>
          <w:szCs w:val="20"/>
          <w:lang w:val="es-ES_tradnl"/>
        </w:rPr>
        <w:t xml:space="preserve"> las acciones de los agentes del Estado quienes ejercieron la </w:t>
      </w:r>
      <w:r w:rsidRPr="007F3D68">
        <w:rPr>
          <w:rFonts w:ascii="Cambria" w:hAnsi="Cambria"/>
          <w:sz w:val="20"/>
          <w:szCs w:val="20"/>
          <w:lang w:val="es-ES"/>
        </w:rPr>
        <w:t>fuerza</w:t>
      </w:r>
      <w:r w:rsidRPr="007F3D68">
        <w:rPr>
          <w:rFonts w:ascii="Cambria" w:hAnsi="Cambria"/>
          <w:sz w:val="20"/>
          <w:szCs w:val="20"/>
          <w:lang w:val="es-ES_tradnl"/>
        </w:rPr>
        <w:t>, sino todas las circunstancias respectivas incluyendo materias tales como la planificación y control de las acciones bajo examen”</w:t>
      </w:r>
      <w:r w:rsidRPr="007F3D68">
        <w:rPr>
          <w:rStyle w:val="FootnoteReference"/>
          <w:rFonts w:ascii="Cambria" w:hAnsi="Cambria"/>
          <w:sz w:val="20"/>
          <w:szCs w:val="20"/>
        </w:rPr>
        <w:footnoteReference w:id="141"/>
      </w:r>
      <w:r w:rsidRPr="007F3D68">
        <w:rPr>
          <w:rFonts w:ascii="Cambria" w:hAnsi="Cambria"/>
          <w:sz w:val="20"/>
          <w:szCs w:val="20"/>
          <w:lang w:val="es-ES_tradnl"/>
        </w:rPr>
        <w:t>. De esta forma, “cualquier deficiencia en la investigación que socave su capacidad para establecer la causa de la muerte o a la persona responsable arriesgará el cumplimiento de esta norma”</w:t>
      </w:r>
      <w:r w:rsidRPr="007F3D68">
        <w:rPr>
          <w:rStyle w:val="FootnoteReference"/>
          <w:rFonts w:ascii="Cambria" w:hAnsi="Cambria"/>
          <w:sz w:val="20"/>
          <w:szCs w:val="20"/>
        </w:rPr>
        <w:footnoteReference w:id="142"/>
      </w:r>
      <w:r w:rsidRPr="007F3D68">
        <w:rPr>
          <w:rFonts w:ascii="Cambria" w:hAnsi="Cambria"/>
          <w:sz w:val="20"/>
          <w:szCs w:val="20"/>
          <w:lang w:val="es-ES_tradnl"/>
        </w:rPr>
        <w:t>.</w:t>
      </w:r>
    </w:p>
    <w:p w:rsidR="003346C8" w:rsidRPr="007F3D68" w:rsidRDefault="003346C8" w:rsidP="003346C8">
      <w:pPr>
        <w:pStyle w:val="ListParagraph"/>
        <w:rPr>
          <w:sz w:val="20"/>
          <w:szCs w:val="20"/>
          <w:lang w:val="es-ES"/>
        </w:rPr>
      </w:pPr>
    </w:p>
    <w:p w:rsidR="003346C8"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7F3D68">
        <w:rPr>
          <w:rFonts w:ascii="Cambria" w:hAnsi="Cambria"/>
          <w:sz w:val="20"/>
          <w:szCs w:val="20"/>
          <w:lang w:val="es-ES"/>
        </w:rPr>
        <w:t xml:space="preserve">Con respecto al deber de debida diligencia en investigaciones de supuestas ejecuciones extrajudiciales, la Corte Interamericana ha establecido “cada acto estatal que conforma el proceso investigativo, así como la </w:t>
      </w:r>
      <w:r w:rsidRPr="007F3D68">
        <w:rPr>
          <w:rFonts w:ascii="Cambria" w:hAnsi="Cambria"/>
          <w:sz w:val="20"/>
          <w:szCs w:val="20"/>
          <w:lang w:val="es-ES_tradnl"/>
        </w:rPr>
        <w:t>investigación</w:t>
      </w:r>
      <w:r w:rsidRPr="007F3D68">
        <w:rPr>
          <w:rFonts w:ascii="Cambria" w:hAnsi="Cambria"/>
          <w:sz w:val="20"/>
          <w:szCs w:val="20"/>
          <w:lang w:val="es-ES"/>
        </w:rPr>
        <w:t xml:space="preserve"> en su totalidad, debe estar orientado hacia una finalidad específica, la determinación de la verdad y la investigación, persecución, captura, enjuiciamiento, y en su caso, la sanción de los responsables de los hechos</w:t>
      </w:r>
      <w:r w:rsidRPr="007F3D68">
        <w:rPr>
          <w:rStyle w:val="FootnoteReference"/>
          <w:rFonts w:ascii="Cambria" w:hAnsi="Cambria"/>
          <w:sz w:val="20"/>
          <w:szCs w:val="20"/>
        </w:rPr>
        <w:footnoteReference w:id="143"/>
      </w:r>
      <w:r w:rsidRPr="007F3D68">
        <w:rPr>
          <w:rFonts w:ascii="Cambria" w:hAnsi="Cambria" w:cs="Arial"/>
          <w:sz w:val="20"/>
          <w:szCs w:val="20"/>
          <w:lang w:val="es-VE"/>
        </w:rPr>
        <w:t>.</w:t>
      </w:r>
      <w:r w:rsidRPr="007F3D68">
        <w:rPr>
          <w:rFonts w:ascii="Cambria" w:hAnsi="Cambria"/>
          <w:sz w:val="20"/>
          <w:szCs w:val="20"/>
          <w:lang w:val="es-VE"/>
        </w:rPr>
        <w:t xml:space="preserve"> A ese respecto, el Estado tiene que demostrar que ha realizado una </w:t>
      </w:r>
      <w:r w:rsidRPr="007F3D68">
        <w:rPr>
          <w:rFonts w:ascii="Cambria" w:hAnsi="Cambria"/>
          <w:sz w:val="20"/>
          <w:szCs w:val="20"/>
          <w:lang w:val="es-VE"/>
        </w:rPr>
        <w:lastRenderedPageBreak/>
        <w:t>investigación inmediata, exhaustiva, seria e imparcial</w:t>
      </w:r>
      <w:r w:rsidRPr="007F3D68">
        <w:rPr>
          <w:rStyle w:val="FootnoteReference"/>
          <w:rFonts w:ascii="Cambria" w:hAnsi="Cambria"/>
          <w:sz w:val="20"/>
          <w:szCs w:val="20"/>
          <w:lang w:val="es-ES"/>
        </w:rPr>
        <w:footnoteReference w:id="144"/>
      </w:r>
      <w:r w:rsidRPr="007F3D68">
        <w:rPr>
          <w:rFonts w:ascii="Cambria" w:hAnsi="Cambria"/>
          <w:sz w:val="20"/>
          <w:szCs w:val="20"/>
          <w:lang w:val="es-VE"/>
        </w:rPr>
        <w:t>, la cual debe estar orientada a explorar todas las líneas investigativas posibles</w:t>
      </w:r>
      <w:r w:rsidRPr="007F3D68">
        <w:rPr>
          <w:rStyle w:val="FootnoteReference"/>
          <w:rFonts w:ascii="Cambria" w:hAnsi="Cambria" w:cs="Arial"/>
          <w:sz w:val="20"/>
          <w:szCs w:val="20"/>
          <w:lang w:val="es-ES"/>
        </w:rPr>
        <w:footnoteReference w:id="145"/>
      </w:r>
      <w:r w:rsidRPr="007F3D68">
        <w:rPr>
          <w:rFonts w:ascii="Cambria" w:hAnsi="Cambria"/>
          <w:sz w:val="20"/>
          <w:szCs w:val="20"/>
          <w:lang w:val="es-VE"/>
        </w:rPr>
        <w:t>. El Estado puede ser responsable por no “ordenar, practicar o valorar pruebas” que pueden ser fundamentales para el debido esclarecimiento de los hechos”</w:t>
      </w:r>
      <w:r w:rsidRPr="007F3D68">
        <w:rPr>
          <w:rStyle w:val="FootnoteReference"/>
          <w:rFonts w:ascii="Cambria" w:hAnsi="Cambria"/>
          <w:sz w:val="20"/>
          <w:szCs w:val="20"/>
          <w:lang w:val="es-CO"/>
        </w:rPr>
        <w:footnoteReference w:id="146"/>
      </w:r>
      <w:r w:rsidRPr="007F3D68">
        <w:rPr>
          <w:rFonts w:ascii="Cambria" w:hAnsi="Cambria"/>
          <w:sz w:val="20"/>
          <w:szCs w:val="20"/>
          <w:lang w:val="es-VE"/>
        </w:rPr>
        <w:t xml:space="preserve">. </w:t>
      </w:r>
    </w:p>
    <w:p w:rsidR="003346C8" w:rsidRPr="007F3D68" w:rsidRDefault="003346C8" w:rsidP="003346C8">
      <w:pPr>
        <w:pStyle w:val="ListParagraph"/>
        <w:rPr>
          <w:sz w:val="20"/>
          <w:szCs w:val="20"/>
          <w:lang w:val="es-VE"/>
        </w:rPr>
      </w:pPr>
    </w:p>
    <w:p w:rsidR="0016507B" w:rsidRPr="007F3D68" w:rsidRDefault="0016507B"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7F3D68">
        <w:rPr>
          <w:rFonts w:ascii="Cambria" w:hAnsi="Cambria"/>
          <w:sz w:val="20"/>
          <w:szCs w:val="20"/>
          <w:lang w:val="es-VE"/>
        </w:rPr>
        <w:t>Asimismo, basado en el Manual sobre la Prevención e Investigación Efectiva de Ejecuciones Extrajudiciales, Arbitrarias y Sumarias de Naciones Unidas, tanto la Comisión como la Corte Interamericana ha</w:t>
      </w:r>
      <w:r w:rsidR="009775EF" w:rsidRPr="007F3D68">
        <w:rPr>
          <w:rFonts w:ascii="Cambria" w:hAnsi="Cambria"/>
          <w:sz w:val="20"/>
          <w:szCs w:val="20"/>
          <w:lang w:val="es-VE"/>
        </w:rPr>
        <w:t>n</w:t>
      </w:r>
      <w:r w:rsidRPr="007F3D68">
        <w:rPr>
          <w:rFonts w:ascii="Cambria" w:hAnsi="Cambria"/>
          <w:sz w:val="20"/>
          <w:szCs w:val="20"/>
          <w:lang w:val="es-VE"/>
        </w:rPr>
        <w:t xml:space="preserve"> especificado los principios rectores que es preciso observar cuando se considera que una muerte pudo deberse a una ejecución extrajudicial. Las autoridades estatales que conducen una investigación deben intentar como mínimo, inter </w:t>
      </w:r>
      <w:proofErr w:type="spellStart"/>
      <w:r w:rsidRPr="007F3D68">
        <w:rPr>
          <w:rFonts w:ascii="Cambria" w:hAnsi="Cambria"/>
          <w:sz w:val="20"/>
          <w:szCs w:val="20"/>
          <w:lang w:val="es-VE"/>
        </w:rPr>
        <w:t>alia</w:t>
      </w:r>
      <w:proofErr w:type="spellEnd"/>
      <w:r w:rsidRPr="007F3D68">
        <w:rPr>
          <w:rFonts w:ascii="Cambria" w:hAnsi="Cambria"/>
          <w:sz w:val="20"/>
          <w:szCs w:val="20"/>
          <w:lang w:val="es-VE"/>
        </w:rPr>
        <w:t>: a) identificar a la víctima; b) recuperar y preservar el material probatorio relacionado con la muerte, con el fin de ayudar en cualquier potencial investigación penal de los responsables; c) identificar posibles testigos y obtener sus declaraciones en relación con la muerte que se investiga; d) determinar la causa, forma, lugar y momento de la muerte, así como cualquier patrón o práctica que pueda haber causado la muerte;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7F3D68">
        <w:rPr>
          <w:rStyle w:val="FootnoteReference"/>
          <w:rFonts w:ascii="Cambria" w:hAnsi="Cambria"/>
          <w:sz w:val="20"/>
          <w:szCs w:val="20"/>
          <w:lang w:val="es-VE"/>
        </w:rPr>
        <w:footnoteReference w:id="147"/>
      </w:r>
      <w:r w:rsidRPr="007F3D68">
        <w:rPr>
          <w:rFonts w:ascii="Cambria" w:hAnsi="Cambria"/>
          <w:sz w:val="20"/>
          <w:szCs w:val="20"/>
          <w:lang w:val="es-VE"/>
        </w:rPr>
        <w:t>.</w:t>
      </w:r>
    </w:p>
    <w:p w:rsidR="00C52076" w:rsidRPr="007F3D68" w:rsidRDefault="00C52076" w:rsidP="004E102F">
      <w:pPr>
        <w:pStyle w:val="Heading3"/>
        <w:numPr>
          <w:ilvl w:val="0"/>
          <w:numId w:val="70"/>
        </w:numPr>
        <w:tabs>
          <w:tab w:val="left" w:pos="1260"/>
        </w:tabs>
        <w:ind w:left="1440" w:hanging="720"/>
        <w:rPr>
          <w:color w:val="auto"/>
          <w:sz w:val="20"/>
          <w:szCs w:val="20"/>
          <w:lang w:val="es-CO"/>
        </w:rPr>
      </w:pPr>
      <w:bookmarkStart w:id="107" w:name="_Toc491441656"/>
      <w:bookmarkStart w:id="108" w:name="_Toc495479564"/>
      <w:r w:rsidRPr="007F3D68">
        <w:rPr>
          <w:color w:val="auto"/>
          <w:sz w:val="20"/>
          <w:szCs w:val="20"/>
          <w:lang w:val="es-CO"/>
        </w:rPr>
        <w:t xml:space="preserve">Análisis de si la muerte del señor </w:t>
      </w:r>
      <w:r w:rsidR="00443954" w:rsidRPr="007F3D68">
        <w:rPr>
          <w:color w:val="auto"/>
          <w:sz w:val="20"/>
          <w:szCs w:val="20"/>
          <w:lang w:val="es-CO"/>
        </w:rPr>
        <w:t xml:space="preserve">Valenzuela Ávila </w:t>
      </w:r>
      <w:r w:rsidRPr="007F3D68">
        <w:rPr>
          <w:color w:val="auto"/>
          <w:sz w:val="20"/>
          <w:szCs w:val="20"/>
          <w:lang w:val="es-CO"/>
        </w:rPr>
        <w:t>fue una ejecución extrajudicial</w:t>
      </w:r>
      <w:bookmarkEnd w:id="107"/>
      <w:bookmarkEnd w:id="108"/>
    </w:p>
    <w:p w:rsidR="00C52076" w:rsidRPr="007F3D68" w:rsidRDefault="00C52076" w:rsidP="001201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rsidR="003346C8" w:rsidRPr="007F3D68" w:rsidRDefault="00560355"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C</w:t>
      </w:r>
      <w:r w:rsidR="00CB401E" w:rsidRPr="007F3D68">
        <w:rPr>
          <w:rFonts w:ascii="Cambria" w:hAnsi="Cambria"/>
          <w:sz w:val="20"/>
          <w:szCs w:val="20"/>
          <w:lang w:val="es-ES_tradnl"/>
        </w:rPr>
        <w:t xml:space="preserve">omo se indicó en </w:t>
      </w:r>
      <w:r w:rsidRPr="007F3D68">
        <w:rPr>
          <w:rFonts w:ascii="Cambria" w:hAnsi="Cambria"/>
          <w:sz w:val="20"/>
          <w:szCs w:val="20"/>
          <w:lang w:val="es-ES_tradnl"/>
        </w:rPr>
        <w:t xml:space="preserve">los </w:t>
      </w:r>
      <w:r w:rsidR="00F41AFE" w:rsidRPr="007F3D68">
        <w:rPr>
          <w:rFonts w:ascii="Cambria" w:hAnsi="Cambria"/>
          <w:sz w:val="20"/>
          <w:szCs w:val="20"/>
          <w:lang w:val="es-ES_tradnl"/>
        </w:rPr>
        <w:t>hechos probados,</w:t>
      </w:r>
      <w:r w:rsidR="00B13B13" w:rsidRPr="007F3D68">
        <w:rPr>
          <w:rFonts w:ascii="Cambria" w:hAnsi="Cambria"/>
          <w:sz w:val="20"/>
          <w:szCs w:val="20"/>
          <w:lang w:val="es-ES_tradnl"/>
        </w:rPr>
        <w:t xml:space="preserve"> el 8 de diciembre de 2006 murió violentamente por arma de fuego el señor Valenzuela Ávila, un poco más de un año después de su fuga.</w:t>
      </w:r>
      <w:r w:rsidR="004A4616" w:rsidRPr="007F3D68">
        <w:rPr>
          <w:rFonts w:ascii="Cambria" w:hAnsi="Cambria"/>
          <w:sz w:val="20"/>
          <w:szCs w:val="20"/>
          <w:lang w:val="es-ES_tradnl"/>
        </w:rPr>
        <w:t xml:space="preserve"> </w:t>
      </w:r>
      <w:r w:rsidR="003D1347" w:rsidRPr="007F3D68">
        <w:rPr>
          <w:rFonts w:ascii="Cambria" w:hAnsi="Cambria"/>
          <w:sz w:val="20"/>
          <w:szCs w:val="20"/>
          <w:lang w:val="es-VE"/>
        </w:rPr>
        <w:t>Los peticionarios alegaron que el señor Valenzuela fue ejecutado extrajudicialmente en el marco del “Plan Gavilán”</w:t>
      </w:r>
      <w:r w:rsidR="00686774" w:rsidRPr="007F3D68">
        <w:rPr>
          <w:rFonts w:ascii="Cambria" w:hAnsi="Cambria"/>
          <w:sz w:val="20"/>
          <w:szCs w:val="20"/>
          <w:lang w:val="es-VE"/>
        </w:rPr>
        <w:t xml:space="preserve">. </w:t>
      </w:r>
      <w:r w:rsidR="00190196" w:rsidRPr="007F3D68">
        <w:rPr>
          <w:rFonts w:ascii="Cambria" w:hAnsi="Cambria"/>
          <w:sz w:val="20"/>
          <w:szCs w:val="20"/>
          <w:lang w:val="es-ES_tradnl"/>
        </w:rPr>
        <w:t xml:space="preserve">El Estado, por su parte, </w:t>
      </w:r>
      <w:r w:rsidR="0090099B" w:rsidRPr="007F3D68">
        <w:rPr>
          <w:rFonts w:ascii="Cambria" w:hAnsi="Cambria"/>
          <w:sz w:val="20"/>
          <w:szCs w:val="20"/>
          <w:lang w:val="es-ES_tradnl"/>
        </w:rPr>
        <w:t xml:space="preserve">se limitó a indicar </w:t>
      </w:r>
      <w:r w:rsidR="00EB183A" w:rsidRPr="007F3D68">
        <w:rPr>
          <w:rFonts w:ascii="Cambria" w:hAnsi="Cambria"/>
          <w:sz w:val="20"/>
          <w:szCs w:val="20"/>
          <w:lang w:val="es-ES_tradnl"/>
        </w:rPr>
        <w:t>que no se trató de una ejecución extrajudicial</w:t>
      </w:r>
      <w:r w:rsidR="00447A0A" w:rsidRPr="007F3D68">
        <w:rPr>
          <w:rFonts w:ascii="Cambria" w:hAnsi="Cambria"/>
          <w:sz w:val="20"/>
          <w:szCs w:val="20"/>
          <w:lang w:val="es-ES_tradnl"/>
        </w:rPr>
        <w:t xml:space="preserve">. </w:t>
      </w:r>
    </w:p>
    <w:p w:rsidR="003346C8" w:rsidRPr="007F3D68" w:rsidRDefault="003346C8" w:rsidP="003346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_tradnl"/>
        </w:rPr>
      </w:pPr>
    </w:p>
    <w:p w:rsidR="003346C8" w:rsidRPr="007F3D68" w:rsidRDefault="00994B40"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Theme="majorHAnsi" w:hAnsiTheme="majorHAnsi"/>
          <w:sz w:val="20"/>
          <w:szCs w:val="20"/>
          <w:lang w:val="es-VE"/>
        </w:rPr>
        <w:t xml:space="preserve">En primer lugar, la Comisión recuerda que </w:t>
      </w:r>
      <w:r w:rsidR="00686774" w:rsidRPr="007F3D68">
        <w:rPr>
          <w:rFonts w:asciiTheme="majorHAnsi" w:hAnsiTheme="majorHAnsi"/>
          <w:sz w:val="20"/>
          <w:szCs w:val="20"/>
          <w:lang w:val="es-VE"/>
        </w:rPr>
        <w:t>e</w:t>
      </w:r>
      <w:r w:rsidRPr="007F3D68">
        <w:rPr>
          <w:rFonts w:asciiTheme="majorHAnsi" w:hAnsiTheme="majorHAnsi"/>
          <w:sz w:val="20"/>
          <w:szCs w:val="20"/>
          <w:lang w:val="es-VE"/>
        </w:rPr>
        <w:t>l “Plan Gavilán”</w:t>
      </w:r>
      <w:r w:rsidR="00686774" w:rsidRPr="007F3D68">
        <w:rPr>
          <w:rFonts w:asciiTheme="majorHAnsi" w:hAnsiTheme="majorHAnsi"/>
          <w:sz w:val="20"/>
          <w:szCs w:val="20"/>
          <w:lang w:val="es-VE"/>
        </w:rPr>
        <w:t xml:space="preserve"> estuvo diseñado </w:t>
      </w:r>
      <w:r w:rsidR="00447A0A" w:rsidRPr="007F3D68">
        <w:rPr>
          <w:rFonts w:asciiTheme="majorHAnsi" w:hAnsiTheme="majorHAnsi"/>
          <w:sz w:val="20"/>
          <w:szCs w:val="20"/>
          <w:lang w:val="es-VE"/>
        </w:rPr>
        <w:t xml:space="preserve">específicamente para </w:t>
      </w:r>
      <w:r w:rsidR="00822E81" w:rsidRPr="007F3D68">
        <w:rPr>
          <w:rFonts w:asciiTheme="majorHAnsi" w:hAnsiTheme="majorHAnsi"/>
          <w:sz w:val="20"/>
          <w:szCs w:val="20"/>
          <w:lang w:val="es-VE"/>
        </w:rPr>
        <w:t>recapturar a los 19 privados de libertad que se fugaron de la cárcel de máxima seguridad “El Infiernito” e</w:t>
      </w:r>
      <w:r w:rsidR="00822E81" w:rsidRPr="007F3D68">
        <w:rPr>
          <w:rFonts w:asciiTheme="majorHAnsi" w:hAnsiTheme="majorHAnsi"/>
          <w:sz w:val="20"/>
          <w:szCs w:val="20"/>
          <w:lang w:val="es-ES_tradnl"/>
        </w:rPr>
        <w:t>l 22 de octubre de 2005</w:t>
      </w:r>
      <w:r w:rsidR="008A670D" w:rsidRPr="007F3D68">
        <w:rPr>
          <w:rFonts w:asciiTheme="majorHAnsi" w:hAnsiTheme="majorHAnsi"/>
          <w:sz w:val="20"/>
          <w:szCs w:val="20"/>
          <w:lang w:val="es-ES_tradnl"/>
        </w:rPr>
        <w:t xml:space="preserve">, dentro de los cuales no está en controversia que se encontraba el señor Valenzuela Ávila. Tampoco está controvertido que </w:t>
      </w:r>
      <w:r w:rsidR="007A7DBD" w:rsidRPr="007F3D68">
        <w:rPr>
          <w:rFonts w:asciiTheme="majorHAnsi" w:hAnsiTheme="majorHAnsi"/>
          <w:sz w:val="20"/>
          <w:szCs w:val="20"/>
          <w:lang w:val="es-ES_tradnl"/>
        </w:rPr>
        <w:t xml:space="preserve">en el marco de dicho Plan se </w:t>
      </w:r>
      <w:r w:rsidR="007A7DBD" w:rsidRPr="007F3D68">
        <w:rPr>
          <w:rFonts w:asciiTheme="majorHAnsi" w:hAnsiTheme="majorHAnsi"/>
          <w:sz w:val="20"/>
          <w:szCs w:val="20"/>
          <w:lang w:val="es-VE"/>
        </w:rPr>
        <w:t>recapturó a nueve prófugos, falleciendo siete</w:t>
      </w:r>
      <w:r w:rsidR="00021F44" w:rsidRPr="007F3D68">
        <w:rPr>
          <w:rFonts w:asciiTheme="majorHAnsi" w:hAnsiTheme="majorHAnsi"/>
          <w:sz w:val="20"/>
          <w:szCs w:val="20"/>
          <w:lang w:val="es-VE"/>
        </w:rPr>
        <w:t xml:space="preserve"> personas. </w:t>
      </w:r>
      <w:r w:rsidR="007A7DBD" w:rsidRPr="007F3D68">
        <w:rPr>
          <w:rFonts w:asciiTheme="majorHAnsi" w:hAnsiTheme="majorHAnsi"/>
          <w:sz w:val="20"/>
          <w:szCs w:val="20"/>
          <w:lang w:val="es-VE"/>
        </w:rPr>
        <w:t xml:space="preserve"> </w:t>
      </w:r>
    </w:p>
    <w:p w:rsidR="003346C8" w:rsidRPr="007F3D68" w:rsidRDefault="003346C8" w:rsidP="003346C8">
      <w:pPr>
        <w:pStyle w:val="ListParagraph"/>
        <w:rPr>
          <w:rFonts w:asciiTheme="majorHAnsi" w:hAnsiTheme="majorHAnsi"/>
          <w:sz w:val="20"/>
          <w:szCs w:val="20"/>
          <w:lang w:val="es-VE"/>
        </w:rPr>
      </w:pPr>
    </w:p>
    <w:p w:rsidR="003346C8" w:rsidRPr="007F3D68" w:rsidRDefault="00021F44"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Theme="majorHAnsi" w:hAnsiTheme="majorHAnsi"/>
          <w:sz w:val="20"/>
          <w:szCs w:val="20"/>
          <w:lang w:val="es-VE"/>
        </w:rPr>
        <w:t xml:space="preserve">En segundo lugar, no se encuentra en controversia que </w:t>
      </w:r>
      <w:r w:rsidR="00994B40" w:rsidRPr="007F3D68">
        <w:rPr>
          <w:rFonts w:asciiTheme="majorHAnsi" w:hAnsiTheme="majorHAnsi"/>
          <w:sz w:val="20"/>
          <w:szCs w:val="20"/>
          <w:lang w:val="es-VE"/>
        </w:rPr>
        <w:t xml:space="preserve">a nivel interno </w:t>
      </w:r>
      <w:r w:rsidR="00722585" w:rsidRPr="007F3D68">
        <w:rPr>
          <w:rFonts w:asciiTheme="majorHAnsi" w:hAnsiTheme="majorHAnsi"/>
          <w:sz w:val="20"/>
          <w:szCs w:val="20"/>
          <w:lang w:val="es-VE"/>
        </w:rPr>
        <w:t xml:space="preserve">al menos tres </w:t>
      </w:r>
      <w:r w:rsidR="00994B40" w:rsidRPr="007F3D68">
        <w:rPr>
          <w:rFonts w:asciiTheme="majorHAnsi" w:hAnsiTheme="majorHAnsi"/>
          <w:sz w:val="20"/>
          <w:szCs w:val="20"/>
          <w:lang w:val="es-VE"/>
        </w:rPr>
        <w:t xml:space="preserve">agentes estatales </w:t>
      </w:r>
      <w:r w:rsidR="000823DC" w:rsidRPr="007F3D68">
        <w:rPr>
          <w:rFonts w:asciiTheme="majorHAnsi" w:hAnsiTheme="majorHAnsi"/>
          <w:sz w:val="20"/>
          <w:szCs w:val="20"/>
          <w:lang w:val="es-VE"/>
        </w:rPr>
        <w:t xml:space="preserve">que participaron en el Plan Gavilán, </w:t>
      </w:r>
      <w:r w:rsidR="00994B40" w:rsidRPr="007F3D68">
        <w:rPr>
          <w:rFonts w:asciiTheme="majorHAnsi" w:hAnsiTheme="majorHAnsi"/>
          <w:sz w:val="20"/>
          <w:szCs w:val="20"/>
          <w:lang w:val="es-VE"/>
        </w:rPr>
        <w:t>fueron condenados por cometer ejecuciones extrajudiciales en el marco del</w:t>
      </w:r>
      <w:r w:rsidR="000823DC" w:rsidRPr="007F3D68">
        <w:rPr>
          <w:rFonts w:asciiTheme="majorHAnsi" w:hAnsiTheme="majorHAnsi"/>
          <w:sz w:val="20"/>
          <w:szCs w:val="20"/>
          <w:lang w:val="es-VE"/>
        </w:rPr>
        <w:t xml:space="preserve"> mismo. </w:t>
      </w:r>
      <w:r w:rsidR="00722585" w:rsidRPr="007F3D68">
        <w:rPr>
          <w:rFonts w:asciiTheme="majorHAnsi" w:hAnsiTheme="majorHAnsi"/>
          <w:sz w:val="20"/>
          <w:szCs w:val="20"/>
          <w:lang w:val="es-ES_tradnl"/>
        </w:rPr>
        <w:t>Así por ejemplo, el 8 de agosto de 2014, fue condenado el</w:t>
      </w:r>
      <w:r w:rsidR="00722585" w:rsidRPr="007F3D68">
        <w:rPr>
          <w:rFonts w:asciiTheme="majorHAnsi" w:hAnsiTheme="majorHAnsi"/>
          <w:sz w:val="20"/>
          <w:szCs w:val="20"/>
          <w:lang w:val="es-VE"/>
        </w:rPr>
        <w:t xml:space="preserve"> ex jefe de Investigación Criminal de la Policía Nacional Civil</w:t>
      </w:r>
      <w:r w:rsidR="00722585" w:rsidRPr="007F3D68">
        <w:rPr>
          <w:rFonts w:asciiTheme="majorHAnsi" w:hAnsiTheme="majorHAnsi"/>
          <w:sz w:val="20"/>
          <w:szCs w:val="20"/>
          <w:lang w:val="es-ES_tradnl"/>
        </w:rPr>
        <w:t xml:space="preserve"> </w:t>
      </w:r>
      <w:r w:rsidR="00722585" w:rsidRPr="007F3D68">
        <w:rPr>
          <w:rFonts w:asciiTheme="majorHAnsi" w:hAnsiTheme="majorHAnsi"/>
          <w:sz w:val="20"/>
          <w:szCs w:val="20"/>
          <w:lang w:val="es-VE"/>
        </w:rPr>
        <w:t>por el delito de ejecución extrajudicial de 10 reos en las cárceles de Pavón e Infiernito ocurridas entre 2005 y 2006</w:t>
      </w:r>
      <w:r w:rsidR="00722585" w:rsidRPr="007F3D68">
        <w:rPr>
          <w:rStyle w:val="FootnoteReference"/>
          <w:rFonts w:asciiTheme="majorHAnsi" w:hAnsiTheme="majorHAnsi"/>
          <w:sz w:val="20"/>
          <w:szCs w:val="20"/>
          <w:lang w:val="es-VE"/>
        </w:rPr>
        <w:footnoteReference w:id="148"/>
      </w:r>
      <w:r w:rsidR="00722585" w:rsidRPr="007F3D68">
        <w:rPr>
          <w:rFonts w:asciiTheme="majorHAnsi" w:hAnsiTheme="majorHAnsi"/>
          <w:sz w:val="20"/>
          <w:szCs w:val="20"/>
          <w:lang w:val="es-VE"/>
        </w:rPr>
        <w:t xml:space="preserve"> . Según la CICIG, en la sentencia en contra de dicha persona el Tribunal consideró “evidente la injerencia que hubo de las autoridades en las acciones realizadas para la ejecución extrajudicial de los prófugos”. </w:t>
      </w:r>
    </w:p>
    <w:p w:rsidR="003346C8" w:rsidRPr="007F3D68" w:rsidRDefault="003346C8" w:rsidP="003346C8">
      <w:pPr>
        <w:pStyle w:val="ListParagraph"/>
        <w:rPr>
          <w:rFonts w:asciiTheme="majorHAnsi" w:hAnsiTheme="majorHAnsi"/>
          <w:sz w:val="20"/>
          <w:szCs w:val="20"/>
          <w:lang w:val="es-ES_tradnl"/>
        </w:rPr>
      </w:pPr>
    </w:p>
    <w:p w:rsidR="003346C8" w:rsidRPr="007F3D68" w:rsidRDefault="000823DC"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Theme="majorHAnsi" w:hAnsiTheme="majorHAnsi"/>
          <w:sz w:val="20"/>
          <w:szCs w:val="20"/>
          <w:lang w:val="es-ES_tradnl"/>
        </w:rPr>
        <w:t xml:space="preserve">En tercer lugar, existen indicios de posible encubrimiento por parte del Estado. Así, </w:t>
      </w:r>
      <w:r w:rsidR="00892A94" w:rsidRPr="007F3D68">
        <w:rPr>
          <w:rFonts w:asciiTheme="majorHAnsi" w:hAnsiTheme="majorHAnsi"/>
          <w:sz w:val="20"/>
          <w:szCs w:val="20"/>
          <w:lang w:val="es-ES_tradnl"/>
        </w:rPr>
        <w:t>el cadáver del señor Valenzuela Ávila no fue entregado a sus familiares y se les indicó por parte de agentes estatales que</w:t>
      </w:r>
      <w:r w:rsidR="00B1584B" w:rsidRPr="007F3D68">
        <w:rPr>
          <w:rFonts w:asciiTheme="majorHAnsi" w:hAnsiTheme="majorHAnsi"/>
          <w:sz w:val="20"/>
          <w:szCs w:val="20"/>
          <w:lang w:val="es-ES_tradnl"/>
        </w:rPr>
        <w:t xml:space="preserve"> ello era debido a su actuar delictivo y a que </w:t>
      </w:r>
      <w:r w:rsidR="00892A94" w:rsidRPr="007F3D68">
        <w:rPr>
          <w:rFonts w:asciiTheme="majorHAnsi" w:hAnsiTheme="majorHAnsi"/>
          <w:sz w:val="20"/>
          <w:szCs w:val="20"/>
          <w:lang w:val="es-ES_tradnl"/>
        </w:rPr>
        <w:t>era necesario realizar investigaciones.</w:t>
      </w:r>
      <w:r w:rsidR="00603368" w:rsidRPr="007F3D68">
        <w:rPr>
          <w:rFonts w:asciiTheme="majorHAnsi" w:hAnsiTheme="majorHAnsi"/>
          <w:sz w:val="20"/>
          <w:szCs w:val="20"/>
          <w:lang w:val="es-ES_tradnl"/>
        </w:rPr>
        <w:t xml:space="preserve"> </w:t>
      </w:r>
      <w:r w:rsidR="009775EF" w:rsidRPr="007F3D68">
        <w:rPr>
          <w:rFonts w:asciiTheme="majorHAnsi" w:hAnsiTheme="majorHAnsi"/>
          <w:sz w:val="20"/>
          <w:szCs w:val="20"/>
          <w:lang w:val="es-ES_tradnl"/>
        </w:rPr>
        <w:t>Según la información presentada, t</w:t>
      </w:r>
      <w:r w:rsidR="00603368" w:rsidRPr="007F3D68">
        <w:rPr>
          <w:rFonts w:asciiTheme="majorHAnsi" w:hAnsiTheme="majorHAnsi"/>
          <w:sz w:val="20"/>
          <w:szCs w:val="20"/>
          <w:lang w:val="es-ES_tradnl"/>
        </w:rPr>
        <w:t>ampoc</w:t>
      </w:r>
      <w:r w:rsidR="009775EF" w:rsidRPr="007F3D68">
        <w:rPr>
          <w:rFonts w:asciiTheme="majorHAnsi" w:hAnsiTheme="majorHAnsi"/>
          <w:sz w:val="20"/>
          <w:szCs w:val="20"/>
          <w:lang w:val="es-ES_tradnl"/>
        </w:rPr>
        <w:t xml:space="preserve">o se expidió acta de defunción. </w:t>
      </w:r>
      <w:r w:rsidR="00603368" w:rsidRPr="007F3D68">
        <w:rPr>
          <w:rFonts w:asciiTheme="majorHAnsi" w:hAnsiTheme="majorHAnsi"/>
          <w:sz w:val="20"/>
          <w:szCs w:val="20"/>
          <w:lang w:val="es-ES_tradnl"/>
        </w:rPr>
        <w:t xml:space="preserve">En vez de justificar estas actuaciones, el Estado se valió de la falta de </w:t>
      </w:r>
      <w:r w:rsidR="009775EF" w:rsidRPr="007F3D68">
        <w:rPr>
          <w:rFonts w:asciiTheme="majorHAnsi" w:hAnsiTheme="majorHAnsi"/>
          <w:sz w:val="20"/>
          <w:szCs w:val="20"/>
          <w:lang w:val="es-ES_tradnl"/>
        </w:rPr>
        <w:t xml:space="preserve">acta </w:t>
      </w:r>
      <w:r w:rsidR="00603368" w:rsidRPr="007F3D68">
        <w:rPr>
          <w:rFonts w:asciiTheme="majorHAnsi" w:hAnsiTheme="majorHAnsi"/>
          <w:sz w:val="20"/>
          <w:szCs w:val="20"/>
          <w:lang w:val="es-ES_tradnl"/>
        </w:rPr>
        <w:t>de</w:t>
      </w:r>
      <w:r w:rsidR="009775EF" w:rsidRPr="007F3D68">
        <w:rPr>
          <w:rFonts w:asciiTheme="majorHAnsi" w:hAnsiTheme="majorHAnsi"/>
          <w:sz w:val="20"/>
          <w:szCs w:val="20"/>
          <w:lang w:val="es-ES_tradnl"/>
        </w:rPr>
        <w:t xml:space="preserve"> de</w:t>
      </w:r>
      <w:r w:rsidR="00603368" w:rsidRPr="007F3D68">
        <w:rPr>
          <w:rFonts w:asciiTheme="majorHAnsi" w:hAnsiTheme="majorHAnsi"/>
          <w:sz w:val="20"/>
          <w:szCs w:val="20"/>
          <w:lang w:val="es-ES_tradnl"/>
        </w:rPr>
        <w:t xml:space="preserve">función para cuestionar que el señor Valenzuela Ávila había sido ejecutado. </w:t>
      </w:r>
    </w:p>
    <w:p w:rsidR="003346C8" w:rsidRPr="007F3D68" w:rsidRDefault="003346C8" w:rsidP="003346C8">
      <w:pPr>
        <w:pStyle w:val="ListParagraph"/>
        <w:rPr>
          <w:sz w:val="20"/>
          <w:szCs w:val="20"/>
          <w:lang w:val="es-ES_tradnl"/>
        </w:rPr>
      </w:pPr>
    </w:p>
    <w:p w:rsidR="003346C8" w:rsidRPr="007F3D68" w:rsidRDefault="00F265B6"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 xml:space="preserve">En cuarto lugar y como se analizará en la siguiente sección, el Estado no ha logrado esclarecer judicialmente la muerte del señor </w:t>
      </w:r>
      <w:r w:rsidR="00DF1B2F" w:rsidRPr="007F3D68">
        <w:rPr>
          <w:rFonts w:ascii="Cambria" w:hAnsi="Cambria"/>
          <w:sz w:val="20"/>
          <w:szCs w:val="20"/>
          <w:lang w:val="es-ES_tradnl"/>
        </w:rPr>
        <w:t xml:space="preserve">Valenzuela Ávila </w:t>
      </w:r>
      <w:r w:rsidRPr="007F3D68">
        <w:rPr>
          <w:rFonts w:ascii="Cambria" w:hAnsi="Cambria"/>
          <w:sz w:val="20"/>
          <w:szCs w:val="20"/>
          <w:lang w:val="es-ES_tradnl"/>
        </w:rPr>
        <w:t>y, en consecuencia, no ha</w:t>
      </w:r>
      <w:r w:rsidR="0074522A" w:rsidRPr="007F3D68">
        <w:rPr>
          <w:rFonts w:ascii="Cambria" w:hAnsi="Cambria"/>
          <w:sz w:val="20"/>
          <w:szCs w:val="20"/>
          <w:lang w:val="es-ES_tradnl"/>
        </w:rPr>
        <w:t xml:space="preserve"> aportado hipótesis alternativa a la muerte en el contexto de un plan diseñado por el Estado para recapturarlo y en el cual se cometieron múltiples ejecuciones extrajudiciales.</w:t>
      </w:r>
    </w:p>
    <w:p w:rsidR="003346C8" w:rsidRPr="007F3D68" w:rsidRDefault="003346C8" w:rsidP="003346C8">
      <w:pPr>
        <w:pStyle w:val="ListParagraph"/>
        <w:rPr>
          <w:sz w:val="20"/>
          <w:szCs w:val="20"/>
          <w:lang w:val="es-ES_tradnl"/>
        </w:rPr>
      </w:pPr>
    </w:p>
    <w:p w:rsidR="003B1328" w:rsidRPr="007F3D68" w:rsidRDefault="0074522A"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ES_tradnl"/>
        </w:rPr>
        <w:t>En virtud de los anteriores elementos, tomados en su conjunto</w:t>
      </w:r>
      <w:r w:rsidR="008F341F" w:rsidRPr="007F3D68">
        <w:rPr>
          <w:rFonts w:ascii="Cambria" w:hAnsi="Cambria"/>
          <w:sz w:val="20"/>
          <w:szCs w:val="20"/>
          <w:lang w:val="es-ES_tradnl"/>
        </w:rPr>
        <w:t xml:space="preserve">, la Comisión </w:t>
      </w:r>
      <w:r w:rsidR="00CB401E" w:rsidRPr="007F3D68">
        <w:rPr>
          <w:rFonts w:ascii="Cambria" w:hAnsi="Cambria"/>
          <w:sz w:val="20"/>
          <w:szCs w:val="20"/>
          <w:lang w:val="es-ES_tradnl"/>
        </w:rPr>
        <w:t xml:space="preserve"> concluye que </w:t>
      </w:r>
      <w:r w:rsidR="008F341F" w:rsidRPr="007F3D68">
        <w:rPr>
          <w:rFonts w:ascii="Cambria" w:hAnsi="Cambria"/>
          <w:sz w:val="20"/>
          <w:szCs w:val="20"/>
          <w:lang w:val="es-ES_tradnl"/>
        </w:rPr>
        <w:t xml:space="preserve">Tirso Román Valenzuela Ávila fue ejecutado extrajudicialmente y, por lo tanto, </w:t>
      </w:r>
      <w:r w:rsidR="00CB401E" w:rsidRPr="007F3D68">
        <w:rPr>
          <w:rFonts w:ascii="Cambria" w:hAnsi="Cambria"/>
          <w:sz w:val="20"/>
          <w:szCs w:val="20"/>
          <w:lang w:val="es-ES_tradnl"/>
        </w:rPr>
        <w:t>el Estado guatemalteco es responsable por</w:t>
      </w:r>
      <w:r w:rsidR="008F341F" w:rsidRPr="007F3D68">
        <w:rPr>
          <w:rFonts w:ascii="Cambria" w:hAnsi="Cambria"/>
          <w:sz w:val="20"/>
          <w:szCs w:val="20"/>
          <w:lang w:val="es-ES_tradnl"/>
        </w:rPr>
        <w:t xml:space="preserve"> la violación, en su perjuicio, del </w:t>
      </w:r>
      <w:r w:rsidR="003B1328" w:rsidRPr="007F3D68">
        <w:rPr>
          <w:rFonts w:ascii="Cambria" w:hAnsi="Cambria"/>
          <w:sz w:val="20"/>
          <w:szCs w:val="20"/>
          <w:lang w:val="es-ES_tradnl"/>
        </w:rPr>
        <w:t xml:space="preserve">derecho a la vida establecido en el artículo 4.1 de la Convención Americana en relación con el artículo 1.1 del mismo instrumento. </w:t>
      </w:r>
    </w:p>
    <w:p w:rsidR="00494500" w:rsidRPr="007F3D68" w:rsidRDefault="00494500" w:rsidP="003346C8">
      <w:pPr>
        <w:pStyle w:val="Heading3"/>
        <w:numPr>
          <w:ilvl w:val="0"/>
          <w:numId w:val="70"/>
        </w:numPr>
        <w:tabs>
          <w:tab w:val="left" w:pos="1260"/>
        </w:tabs>
        <w:ind w:left="1440" w:hanging="720"/>
        <w:rPr>
          <w:color w:val="auto"/>
          <w:sz w:val="20"/>
          <w:szCs w:val="20"/>
          <w:lang w:val="es-CO"/>
        </w:rPr>
      </w:pPr>
      <w:bookmarkStart w:id="109" w:name="_Toc491441657"/>
      <w:bookmarkStart w:id="110" w:name="_Toc495479565"/>
      <w:r w:rsidRPr="007F3D68">
        <w:rPr>
          <w:color w:val="auto"/>
          <w:sz w:val="20"/>
          <w:szCs w:val="20"/>
          <w:lang w:val="es-CO"/>
        </w:rPr>
        <w:t xml:space="preserve">Análisis sobre si el Estado cumplió su obligación de investigar la muerte del señor </w:t>
      </w:r>
      <w:r w:rsidR="00054535" w:rsidRPr="007F3D68">
        <w:rPr>
          <w:color w:val="auto"/>
          <w:sz w:val="20"/>
          <w:szCs w:val="20"/>
          <w:lang w:val="es-CO"/>
        </w:rPr>
        <w:t>Valenzuela Ávila</w:t>
      </w:r>
      <w:bookmarkEnd w:id="109"/>
      <w:bookmarkEnd w:id="110"/>
      <w:r w:rsidRPr="007F3D68">
        <w:rPr>
          <w:color w:val="auto"/>
          <w:sz w:val="20"/>
          <w:szCs w:val="20"/>
          <w:lang w:val="es-CO"/>
        </w:rPr>
        <w:t xml:space="preserve"> </w:t>
      </w:r>
    </w:p>
    <w:p w:rsidR="001C3A11" w:rsidRPr="007F3D68" w:rsidRDefault="001C3A11" w:rsidP="004853CA">
      <w:pPr>
        <w:rPr>
          <w:sz w:val="20"/>
          <w:szCs w:val="20"/>
          <w:lang w:val="es-MX"/>
        </w:rPr>
      </w:pPr>
    </w:p>
    <w:p w:rsidR="003346C8" w:rsidRPr="007F3D68" w:rsidRDefault="003173E4"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MX"/>
        </w:rPr>
        <w:t>Conforme a los</w:t>
      </w:r>
      <w:r w:rsidR="00CB401E" w:rsidRPr="007F3D68">
        <w:rPr>
          <w:rFonts w:ascii="Cambria" w:hAnsi="Cambria"/>
          <w:sz w:val="20"/>
          <w:szCs w:val="20"/>
          <w:lang w:val="es-MX"/>
        </w:rPr>
        <w:t xml:space="preserve"> hechos probados, el Estado indicó que su principal objetivo era investigar la muerte de la presunta víctima ocurrida el 8 de diciembre de 2006, por lo que inició una investigación penal. Refirió que en el marco de dicha investigación, el 2 de marzo de 2009 estableció quien es el propietario de la motocicleta utilizada </w:t>
      </w:r>
      <w:r w:rsidR="009775EF" w:rsidRPr="007F3D68">
        <w:rPr>
          <w:rFonts w:ascii="Cambria" w:hAnsi="Cambria"/>
          <w:sz w:val="20"/>
          <w:szCs w:val="20"/>
          <w:lang w:val="es-MX"/>
        </w:rPr>
        <w:t>por la persona que disparó y dio muerte</w:t>
      </w:r>
      <w:r w:rsidR="00CB401E" w:rsidRPr="007F3D68">
        <w:rPr>
          <w:rFonts w:ascii="Cambria" w:hAnsi="Cambria"/>
          <w:sz w:val="20"/>
          <w:szCs w:val="20"/>
          <w:lang w:val="es-MX"/>
        </w:rPr>
        <w:t xml:space="preserve"> a la presunta víctima, así como la lista de los agentes de la Policía asignados a la Comisaría 31 en el momento de los hechos. </w:t>
      </w:r>
    </w:p>
    <w:p w:rsidR="003346C8" w:rsidRPr="007F3D68" w:rsidRDefault="003346C8" w:rsidP="003346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_tradnl"/>
        </w:rPr>
      </w:pPr>
    </w:p>
    <w:p w:rsidR="00CB401E" w:rsidRPr="007F3D68" w:rsidRDefault="00CB401E"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_tradnl"/>
        </w:rPr>
      </w:pPr>
      <w:r w:rsidRPr="007F3D68">
        <w:rPr>
          <w:rFonts w:ascii="Cambria" w:hAnsi="Cambria"/>
          <w:sz w:val="20"/>
          <w:szCs w:val="20"/>
          <w:lang w:val="es-MX"/>
        </w:rPr>
        <w:t>La Comisión no tiene información de otras diligencias realizadas para investigar los hechos. En particular, no consta que el Estado haya realizado diligencias</w:t>
      </w:r>
      <w:r w:rsidR="00693F48" w:rsidRPr="007F3D68">
        <w:rPr>
          <w:rFonts w:ascii="Cambria" w:hAnsi="Cambria"/>
          <w:sz w:val="20"/>
          <w:szCs w:val="20"/>
          <w:lang w:val="es-MX"/>
        </w:rPr>
        <w:t xml:space="preserve"> mínimas y</w:t>
      </w:r>
      <w:r w:rsidRPr="007F3D68">
        <w:rPr>
          <w:rFonts w:ascii="Cambria" w:hAnsi="Cambria"/>
          <w:sz w:val="20"/>
          <w:szCs w:val="20"/>
          <w:lang w:val="es-MX"/>
        </w:rPr>
        <w:t xml:space="preserve"> fundamentales para esclarecer l</w:t>
      </w:r>
      <w:r w:rsidR="003173E4" w:rsidRPr="007F3D68">
        <w:rPr>
          <w:rFonts w:ascii="Cambria" w:hAnsi="Cambria"/>
          <w:sz w:val="20"/>
          <w:szCs w:val="20"/>
          <w:lang w:val="es-MX"/>
        </w:rPr>
        <w:t>a muerte de la presunta víctima, a la luz de los estánda</w:t>
      </w:r>
      <w:r w:rsidR="00693F48" w:rsidRPr="007F3D68">
        <w:rPr>
          <w:rFonts w:ascii="Cambria" w:hAnsi="Cambria"/>
          <w:sz w:val="20"/>
          <w:szCs w:val="20"/>
          <w:lang w:val="es-MX"/>
        </w:rPr>
        <w:t>res descritos. Así</w:t>
      </w:r>
      <w:r w:rsidR="00367E54" w:rsidRPr="007F3D68">
        <w:rPr>
          <w:rFonts w:ascii="Cambria" w:hAnsi="Cambria"/>
          <w:sz w:val="20"/>
          <w:szCs w:val="20"/>
          <w:lang w:val="es-MX"/>
        </w:rPr>
        <w:t>:</w:t>
      </w:r>
      <w:r w:rsidRPr="007F3D68">
        <w:rPr>
          <w:rFonts w:ascii="Cambria" w:hAnsi="Cambria"/>
          <w:sz w:val="20"/>
          <w:szCs w:val="20"/>
          <w:lang w:val="es-MX"/>
        </w:rPr>
        <w:t xml:space="preserve"> </w:t>
      </w:r>
    </w:p>
    <w:p w:rsidR="00CB401E" w:rsidRPr="007F3D68" w:rsidRDefault="00CB401E" w:rsidP="00CB401E">
      <w:pPr>
        <w:pStyle w:val="ListParagraph"/>
        <w:rPr>
          <w:sz w:val="20"/>
          <w:szCs w:val="20"/>
          <w:lang w:val="es-VE"/>
        </w:rPr>
      </w:pPr>
    </w:p>
    <w:p w:rsidR="00CB401E" w:rsidRPr="007F3D68" w:rsidRDefault="00CB401E" w:rsidP="00CB401E">
      <w:pPr>
        <w:shd w:val="clear" w:color="auto" w:fill="FFFFFF"/>
        <w:tabs>
          <w:tab w:val="left" w:pos="1440"/>
        </w:tabs>
        <w:ind w:left="720"/>
        <w:jc w:val="both"/>
        <w:rPr>
          <w:rFonts w:ascii="Cambria" w:hAnsi="Cambria"/>
          <w:sz w:val="20"/>
          <w:szCs w:val="20"/>
          <w:lang w:val="es-VE"/>
        </w:rPr>
      </w:pPr>
      <w:r w:rsidRPr="007F3D68">
        <w:rPr>
          <w:rFonts w:ascii="Cambria" w:hAnsi="Cambria"/>
          <w:sz w:val="20"/>
          <w:szCs w:val="20"/>
          <w:lang w:val="es-VE"/>
        </w:rPr>
        <w:t>-No obra información que indique que se hubiese intentado localizar</w:t>
      </w:r>
      <w:r w:rsidR="00A251C4" w:rsidRPr="007F3D68">
        <w:rPr>
          <w:rFonts w:ascii="Cambria" w:hAnsi="Cambria"/>
          <w:sz w:val="20"/>
          <w:szCs w:val="20"/>
          <w:lang w:val="es-VE"/>
        </w:rPr>
        <w:t xml:space="preserve"> y realizar pruebas respecto de</w:t>
      </w:r>
      <w:r w:rsidRPr="007F3D68">
        <w:rPr>
          <w:rFonts w:ascii="Cambria" w:hAnsi="Cambria"/>
          <w:sz w:val="20"/>
          <w:szCs w:val="20"/>
          <w:lang w:val="es-VE"/>
        </w:rPr>
        <w:t xml:space="preserve"> los proyectiles que terminaron con la vida de la presunta víctima</w:t>
      </w:r>
      <w:r w:rsidR="00A251C4" w:rsidRPr="007F3D68">
        <w:rPr>
          <w:rFonts w:ascii="Cambria" w:hAnsi="Cambria"/>
          <w:sz w:val="20"/>
          <w:szCs w:val="20"/>
          <w:lang w:val="es-VE"/>
        </w:rPr>
        <w:t>.</w:t>
      </w:r>
    </w:p>
    <w:p w:rsidR="00CB401E" w:rsidRPr="007F3D68" w:rsidRDefault="00893FF7" w:rsidP="00CB401E">
      <w:pPr>
        <w:pStyle w:val="ListParagraph"/>
        <w:jc w:val="both"/>
        <w:rPr>
          <w:sz w:val="20"/>
          <w:szCs w:val="20"/>
          <w:lang w:val="es-VE"/>
        </w:rPr>
      </w:pPr>
      <w:r w:rsidRPr="007F3D68">
        <w:rPr>
          <w:sz w:val="20"/>
          <w:szCs w:val="20"/>
          <w:lang w:val="es-VE"/>
        </w:rPr>
        <w:t>-Tampoco constan</w:t>
      </w:r>
      <w:r w:rsidR="00CB401E" w:rsidRPr="007F3D68">
        <w:rPr>
          <w:sz w:val="20"/>
          <w:szCs w:val="20"/>
          <w:lang w:val="es-VE"/>
        </w:rPr>
        <w:t xml:space="preserve"> diligencias de reconstrucción de los hechos y trayectorias de disparos. </w:t>
      </w:r>
    </w:p>
    <w:p w:rsidR="00CB401E" w:rsidRPr="007F3D68" w:rsidRDefault="00CB401E" w:rsidP="00CB401E">
      <w:pPr>
        <w:pStyle w:val="ListParagraph"/>
        <w:jc w:val="both"/>
        <w:rPr>
          <w:sz w:val="20"/>
          <w:szCs w:val="20"/>
          <w:lang w:val="es-VE"/>
        </w:rPr>
      </w:pPr>
      <w:r w:rsidRPr="007F3D68">
        <w:rPr>
          <w:sz w:val="20"/>
          <w:szCs w:val="20"/>
          <w:lang w:val="es-VE"/>
        </w:rPr>
        <w:t xml:space="preserve">-No consta que se hayan obtenido declaraciones del Jefe de la Unidad Anti-secuestros y homicidios de la Dirección de Investigación Criminal de la Policía Nacional Civil o del Director de dicha unidad para efectos de conocer los pormenores </w:t>
      </w:r>
      <w:r w:rsidR="0001417B" w:rsidRPr="007F3D68">
        <w:rPr>
          <w:sz w:val="20"/>
          <w:szCs w:val="20"/>
          <w:lang w:val="es-VE"/>
        </w:rPr>
        <w:t xml:space="preserve">del “Plan Gavilán”, pese a que </w:t>
      </w:r>
      <w:r w:rsidRPr="007F3D68">
        <w:rPr>
          <w:sz w:val="20"/>
          <w:szCs w:val="20"/>
          <w:lang w:val="es-VE"/>
        </w:rPr>
        <w:t>l</w:t>
      </w:r>
      <w:r w:rsidR="0001417B" w:rsidRPr="007F3D68">
        <w:rPr>
          <w:sz w:val="20"/>
          <w:szCs w:val="20"/>
          <w:lang w:val="es-VE"/>
        </w:rPr>
        <w:t>os peticionario</w:t>
      </w:r>
      <w:r w:rsidR="00893FF7" w:rsidRPr="007F3D68">
        <w:rPr>
          <w:sz w:val="20"/>
          <w:szCs w:val="20"/>
          <w:lang w:val="es-VE"/>
        </w:rPr>
        <w:t>s</w:t>
      </w:r>
      <w:r w:rsidR="0001417B" w:rsidRPr="007F3D68">
        <w:rPr>
          <w:sz w:val="20"/>
          <w:szCs w:val="20"/>
          <w:lang w:val="es-VE"/>
        </w:rPr>
        <w:t xml:space="preserve"> denunciaron</w:t>
      </w:r>
      <w:r w:rsidRPr="007F3D68">
        <w:rPr>
          <w:sz w:val="20"/>
          <w:szCs w:val="20"/>
          <w:lang w:val="es-VE"/>
        </w:rPr>
        <w:t xml:space="preserve"> que la muerte de la presunta víctima se realizó en el marco de dicho ope</w:t>
      </w:r>
      <w:r w:rsidR="00893FF7" w:rsidRPr="007F3D68">
        <w:rPr>
          <w:sz w:val="20"/>
          <w:szCs w:val="20"/>
          <w:lang w:val="es-VE"/>
        </w:rPr>
        <w:t>rativo, y que en el contexto de otro</w:t>
      </w:r>
      <w:r w:rsidRPr="007F3D68">
        <w:rPr>
          <w:sz w:val="20"/>
          <w:szCs w:val="20"/>
          <w:lang w:val="es-VE"/>
        </w:rPr>
        <w:t xml:space="preserve"> caso</w:t>
      </w:r>
      <w:r w:rsidR="00893FF7" w:rsidRPr="007F3D68">
        <w:rPr>
          <w:sz w:val="20"/>
          <w:szCs w:val="20"/>
          <w:lang w:val="es-VE"/>
        </w:rPr>
        <w:t xml:space="preserve"> ante la CIDH, el Estado informó que en el O</w:t>
      </w:r>
      <w:r w:rsidRPr="007F3D68">
        <w:rPr>
          <w:sz w:val="20"/>
          <w:szCs w:val="20"/>
          <w:lang w:val="es-VE"/>
        </w:rPr>
        <w:t xml:space="preserve">perativo Gavilán de recaptura de reos fugados de la cárcel el infiernito fallecieron algunas personas, entre las que se encontraría Tirso Román Valenzuela. </w:t>
      </w:r>
    </w:p>
    <w:p w:rsidR="00766A8E" w:rsidRPr="007F3D68" w:rsidRDefault="00CB401E" w:rsidP="0051641F">
      <w:pPr>
        <w:pStyle w:val="ListParagraph"/>
        <w:jc w:val="both"/>
        <w:rPr>
          <w:sz w:val="20"/>
          <w:szCs w:val="20"/>
          <w:lang w:val="es-VE"/>
        </w:rPr>
      </w:pPr>
      <w:r w:rsidRPr="007F3D68">
        <w:rPr>
          <w:sz w:val="20"/>
          <w:szCs w:val="20"/>
          <w:lang w:val="es-VE"/>
        </w:rPr>
        <w:t xml:space="preserve">-Tampoco consta la realización de entrevistas a otros posibles testigos presenciales de los hechos. </w:t>
      </w:r>
    </w:p>
    <w:p w:rsidR="00CB401E" w:rsidRPr="007F3D68" w:rsidRDefault="00CB401E" w:rsidP="0051641F">
      <w:pPr>
        <w:pStyle w:val="ListParagraph"/>
        <w:jc w:val="both"/>
        <w:rPr>
          <w:sz w:val="20"/>
          <w:szCs w:val="20"/>
          <w:lang w:val="es-VE"/>
        </w:rPr>
      </w:pPr>
      <w:r w:rsidRPr="007F3D68">
        <w:rPr>
          <w:sz w:val="20"/>
          <w:szCs w:val="20"/>
          <w:lang w:val="es-VE"/>
        </w:rPr>
        <w:t xml:space="preserve"> </w:t>
      </w:r>
    </w:p>
    <w:p w:rsidR="003346C8" w:rsidRPr="007F3D68" w:rsidRDefault="00893FF7" w:rsidP="003346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MX"/>
        </w:rPr>
      </w:pPr>
      <w:r w:rsidRPr="007F3D68">
        <w:rPr>
          <w:rFonts w:ascii="Cambria" w:hAnsi="Cambria"/>
          <w:sz w:val="20"/>
          <w:szCs w:val="20"/>
          <w:lang w:val="es-MX"/>
        </w:rPr>
        <w:t xml:space="preserve">La Comisión también hace notar que </w:t>
      </w:r>
      <w:r w:rsidR="00CB401E" w:rsidRPr="007F3D68">
        <w:rPr>
          <w:rFonts w:ascii="Cambria" w:hAnsi="Cambria"/>
          <w:sz w:val="20"/>
          <w:szCs w:val="20"/>
          <w:lang w:val="es-MX"/>
        </w:rPr>
        <w:t>tal como se indicó en la sección anterior, el Estado no produjo una partida de defunción de la víctima y rehusó entregar el cadáver a sus familiares. La Comisión no entiende las razones por las que no existe una partida de defunción de la presunta víctima, o la necesidad de la segunda medida</w:t>
      </w:r>
      <w:r w:rsidR="0008139B" w:rsidRPr="007F3D68">
        <w:rPr>
          <w:rFonts w:ascii="Cambria" w:hAnsi="Cambria"/>
          <w:sz w:val="20"/>
          <w:szCs w:val="20"/>
          <w:lang w:val="es-MX"/>
        </w:rPr>
        <w:t xml:space="preserve">. </w:t>
      </w:r>
      <w:r w:rsidR="009775EF" w:rsidRPr="007F3D68">
        <w:rPr>
          <w:rFonts w:ascii="Cambria" w:hAnsi="Cambria"/>
          <w:sz w:val="20"/>
          <w:szCs w:val="20"/>
          <w:lang w:val="es-MX"/>
        </w:rPr>
        <w:t xml:space="preserve"> Además, esta situación constituye una afectación </w:t>
      </w:r>
      <w:r w:rsidR="008352CC" w:rsidRPr="007F3D68">
        <w:rPr>
          <w:rFonts w:ascii="Cambria" w:hAnsi="Cambria"/>
          <w:sz w:val="20"/>
          <w:szCs w:val="20"/>
          <w:lang w:val="es-MX"/>
        </w:rPr>
        <w:t xml:space="preserve">significativa </w:t>
      </w:r>
      <w:r w:rsidR="009775EF" w:rsidRPr="007F3D68">
        <w:rPr>
          <w:rFonts w:ascii="Cambria" w:hAnsi="Cambria"/>
          <w:sz w:val="20"/>
          <w:szCs w:val="20"/>
          <w:lang w:val="es-MX"/>
        </w:rPr>
        <w:t xml:space="preserve">del derecho a la integridad personal de los familiares de Tirso Román </w:t>
      </w:r>
      <w:r w:rsidR="003649EB" w:rsidRPr="007F3D68">
        <w:rPr>
          <w:rFonts w:ascii="Cambria" w:hAnsi="Cambria"/>
          <w:sz w:val="20"/>
          <w:szCs w:val="20"/>
          <w:lang w:val="es-MX"/>
        </w:rPr>
        <w:t>Valenzuela.</w:t>
      </w:r>
    </w:p>
    <w:p w:rsidR="003346C8" w:rsidRPr="007F3D68" w:rsidRDefault="003346C8" w:rsidP="003346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MX"/>
        </w:rPr>
      </w:pPr>
    </w:p>
    <w:p w:rsidR="004719E4" w:rsidRPr="007F3D68" w:rsidRDefault="00CB401E" w:rsidP="004719E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MX"/>
        </w:rPr>
      </w:pPr>
      <w:r w:rsidRPr="007F3D68">
        <w:rPr>
          <w:rFonts w:ascii="Cambria" w:hAnsi="Cambria"/>
          <w:sz w:val="20"/>
          <w:szCs w:val="20"/>
          <w:lang w:val="es-MX"/>
        </w:rPr>
        <w:t xml:space="preserve">La Comisión resalta que a más de </w:t>
      </w:r>
      <w:r w:rsidR="00C35480" w:rsidRPr="007F3D68">
        <w:rPr>
          <w:rFonts w:ascii="Cambria" w:hAnsi="Cambria"/>
          <w:sz w:val="20"/>
          <w:szCs w:val="20"/>
          <w:lang w:val="es-MX"/>
        </w:rPr>
        <w:t>once</w:t>
      </w:r>
      <w:r w:rsidRPr="007F3D68">
        <w:rPr>
          <w:rFonts w:ascii="Cambria" w:hAnsi="Cambria"/>
          <w:sz w:val="20"/>
          <w:szCs w:val="20"/>
          <w:lang w:val="es-MX"/>
        </w:rPr>
        <w:t xml:space="preserve"> años de transcurridos los hechos, el Estado no informó acerca de las líne</w:t>
      </w:r>
      <w:r w:rsidR="003C27AA" w:rsidRPr="007F3D68">
        <w:rPr>
          <w:rFonts w:ascii="Cambria" w:hAnsi="Cambria"/>
          <w:sz w:val="20"/>
          <w:szCs w:val="20"/>
          <w:lang w:val="es-MX"/>
        </w:rPr>
        <w:t xml:space="preserve">as e hipótesis de investigación, ni la manera en que </w:t>
      </w:r>
      <w:r w:rsidRPr="007F3D68">
        <w:rPr>
          <w:rFonts w:ascii="Cambria" w:hAnsi="Cambria"/>
          <w:sz w:val="20"/>
          <w:szCs w:val="20"/>
          <w:lang w:val="es-MX"/>
        </w:rPr>
        <w:t xml:space="preserve">ha profundizado en cada una de ellas para dilucidar la verdad de los hechos y deducir </w:t>
      </w:r>
      <w:r w:rsidR="00A578EF" w:rsidRPr="007F3D68">
        <w:rPr>
          <w:rFonts w:ascii="Cambria" w:hAnsi="Cambria"/>
          <w:sz w:val="20"/>
          <w:szCs w:val="20"/>
          <w:lang w:val="es-MX"/>
        </w:rPr>
        <w:t xml:space="preserve">las respectivas </w:t>
      </w:r>
      <w:r w:rsidRPr="007F3D68">
        <w:rPr>
          <w:rFonts w:ascii="Cambria" w:hAnsi="Cambria"/>
          <w:sz w:val="20"/>
          <w:szCs w:val="20"/>
          <w:lang w:val="es-MX"/>
        </w:rPr>
        <w:t xml:space="preserve">responsabilidades. </w:t>
      </w:r>
      <w:r w:rsidR="00C35480" w:rsidRPr="007F3D68">
        <w:rPr>
          <w:rFonts w:ascii="Cambria" w:hAnsi="Cambria"/>
          <w:sz w:val="20"/>
          <w:szCs w:val="20"/>
          <w:lang w:val="es-MX"/>
        </w:rPr>
        <w:t xml:space="preserve">De la escueta información presentada por el Estado sobre las investigaciones, se desprende que las mismas no han sido llevadas a cabo con la debida diligencia ni en un plazo razonable. </w:t>
      </w:r>
    </w:p>
    <w:p w:rsidR="004719E4" w:rsidRDefault="004719E4" w:rsidP="004719E4">
      <w:pPr>
        <w:pStyle w:val="ListParagraph"/>
        <w:rPr>
          <w:sz w:val="20"/>
          <w:szCs w:val="20"/>
          <w:lang w:val="es-ES_tradnl"/>
        </w:rPr>
      </w:pPr>
    </w:p>
    <w:p w:rsidR="00B749FA" w:rsidRPr="007F3D68" w:rsidRDefault="00B749FA" w:rsidP="004719E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MX"/>
        </w:rPr>
      </w:pPr>
      <w:r w:rsidRPr="007F3D68">
        <w:rPr>
          <w:rFonts w:ascii="Cambria" w:hAnsi="Cambria"/>
          <w:sz w:val="20"/>
          <w:szCs w:val="20"/>
          <w:lang w:val="es-ES_tradnl"/>
        </w:rPr>
        <w:t>En virtud de las anteriores consideraciones, la Comisión considera que el Estado es responsable por la violación de los derechos establecidos en los artículos</w:t>
      </w:r>
      <w:r w:rsidR="002C5D9D" w:rsidRPr="007F3D68">
        <w:rPr>
          <w:rFonts w:ascii="Cambria" w:hAnsi="Cambria"/>
          <w:sz w:val="20"/>
          <w:szCs w:val="20"/>
          <w:lang w:val="es-ES_tradnl"/>
        </w:rPr>
        <w:t xml:space="preserve"> 5.1, </w:t>
      </w:r>
      <w:r w:rsidRPr="007F3D68">
        <w:rPr>
          <w:rFonts w:ascii="Cambria" w:hAnsi="Cambria"/>
          <w:sz w:val="20"/>
          <w:szCs w:val="20"/>
          <w:lang w:val="es-ES_tradnl"/>
        </w:rPr>
        <w:t xml:space="preserve"> 8.1 y 25.1 de la Convención en relación con el artículo 1.1 del mismo instrumento, en perjuicio de</w:t>
      </w:r>
      <w:r w:rsidR="00E20985" w:rsidRPr="007F3D68">
        <w:rPr>
          <w:rFonts w:ascii="Cambria" w:hAnsi="Cambria"/>
          <w:sz w:val="20"/>
          <w:szCs w:val="20"/>
          <w:lang w:val="es-ES_tradnl"/>
        </w:rPr>
        <w:t xml:space="preserve"> los familiares de</w:t>
      </w:r>
      <w:r w:rsidRPr="007F3D68">
        <w:rPr>
          <w:rFonts w:ascii="Cambria" w:hAnsi="Cambria"/>
          <w:sz w:val="20"/>
          <w:szCs w:val="20"/>
          <w:lang w:val="es-ES_tradnl"/>
        </w:rPr>
        <w:t xml:space="preserve"> Tirso Román Valenzuela Ávila</w:t>
      </w:r>
      <w:r w:rsidR="00E20985" w:rsidRPr="007F3D68">
        <w:rPr>
          <w:rFonts w:ascii="Cambria" w:hAnsi="Cambria"/>
          <w:sz w:val="20"/>
          <w:szCs w:val="20"/>
          <w:lang w:val="es-ES_tradnl"/>
        </w:rPr>
        <w:t xml:space="preserve">. </w:t>
      </w:r>
    </w:p>
    <w:p w:rsidR="00F40EB1" w:rsidRDefault="00F40EB1">
      <w:pPr>
        <w:rPr>
          <w:rFonts w:ascii="Cambria" w:eastAsia="Cambria" w:hAnsi="Cambria" w:cs="Cambria"/>
          <w:color w:val="000000"/>
          <w:sz w:val="20"/>
          <w:szCs w:val="20"/>
          <w:u w:color="000000"/>
          <w:lang w:val="es-ES_tradnl" w:eastAsia="es-ES"/>
        </w:rPr>
      </w:pPr>
      <w:r>
        <w:rPr>
          <w:sz w:val="20"/>
          <w:szCs w:val="20"/>
          <w:lang w:val="es-ES_tradnl"/>
        </w:rPr>
        <w:br w:type="page"/>
      </w:r>
    </w:p>
    <w:p w:rsidR="00441522" w:rsidRPr="007F3D68" w:rsidRDefault="00441522" w:rsidP="00441522">
      <w:pPr>
        <w:pStyle w:val="ListParagraph"/>
        <w:rPr>
          <w:sz w:val="20"/>
          <w:szCs w:val="20"/>
          <w:lang w:val="es-ES_tradnl"/>
        </w:rPr>
      </w:pPr>
    </w:p>
    <w:p w:rsidR="00DC61E2" w:rsidRPr="007F3D68" w:rsidRDefault="00DC61E2" w:rsidP="004719E4">
      <w:pPr>
        <w:pStyle w:val="Heading1"/>
        <w:numPr>
          <w:ilvl w:val="0"/>
          <w:numId w:val="55"/>
        </w:numPr>
        <w:tabs>
          <w:tab w:val="clear" w:pos="1440"/>
        </w:tabs>
        <w:ind w:left="1260" w:hanging="540"/>
      </w:pPr>
      <w:bookmarkStart w:id="111" w:name="_Toc495479566"/>
      <w:r w:rsidRPr="007F3D68">
        <w:t>CONCLUSIONES</w:t>
      </w:r>
      <w:bookmarkEnd w:id="111"/>
    </w:p>
    <w:p w:rsidR="00DC61E2" w:rsidRPr="007F3D68" w:rsidRDefault="00DC61E2" w:rsidP="00DC61E2">
      <w:pPr>
        <w:rPr>
          <w:lang w:val="es-ES_tradnl"/>
        </w:rPr>
      </w:pPr>
    </w:p>
    <w:p w:rsidR="00076DA1" w:rsidRPr="007F3D68" w:rsidRDefault="00076DA1" w:rsidP="004719E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MX"/>
        </w:rPr>
      </w:pPr>
      <w:r w:rsidRPr="007F3D68">
        <w:rPr>
          <w:rFonts w:ascii="Cambria" w:hAnsi="Cambria"/>
          <w:sz w:val="20"/>
          <w:szCs w:val="20"/>
          <w:lang w:val="es-MX"/>
        </w:rPr>
        <w:t xml:space="preserve">La Comisión concluye que el Estado de Guatemala es responsable por la violación de los derechos a la </w:t>
      </w:r>
      <w:r w:rsidRPr="007F3D68">
        <w:rPr>
          <w:rFonts w:ascii="Cambria" w:hAnsi="Cambria"/>
          <w:sz w:val="20"/>
          <w:szCs w:val="20"/>
          <w:lang w:val="es-ES_tradnl"/>
        </w:rPr>
        <w:t>vida</w:t>
      </w:r>
      <w:r w:rsidRPr="007F3D68">
        <w:rPr>
          <w:rFonts w:ascii="Cambria" w:hAnsi="Cambria"/>
          <w:sz w:val="20"/>
          <w:szCs w:val="20"/>
          <w:lang w:val="es-MX"/>
        </w:rPr>
        <w:t xml:space="preserve">, a la integridad personal, a las garantías judiciales, al principio de legalidad y a la protección judicial establecidos en los artículos 4.1, 4.2, 5.1, 5.2, 8.1, 8.2 </w:t>
      </w:r>
      <w:r w:rsidR="00B4690A" w:rsidRPr="007F3D68">
        <w:rPr>
          <w:rFonts w:ascii="Cambria" w:hAnsi="Cambria"/>
          <w:sz w:val="20"/>
          <w:szCs w:val="20"/>
          <w:lang w:val="es-MX"/>
        </w:rPr>
        <w:t>g),</w:t>
      </w:r>
      <w:r w:rsidRPr="007F3D68">
        <w:rPr>
          <w:rFonts w:ascii="Cambria" w:hAnsi="Cambria"/>
          <w:sz w:val="20"/>
          <w:szCs w:val="20"/>
          <w:lang w:val="es-MX"/>
        </w:rPr>
        <w:t xml:space="preserve"> h)</w:t>
      </w:r>
      <w:r w:rsidR="00B4690A" w:rsidRPr="007F3D68">
        <w:rPr>
          <w:rFonts w:ascii="Cambria" w:hAnsi="Cambria"/>
          <w:sz w:val="20"/>
          <w:szCs w:val="20"/>
          <w:lang w:val="es-MX"/>
        </w:rPr>
        <w:t>, 8.3,</w:t>
      </w:r>
      <w:r w:rsidR="00576777" w:rsidRPr="007F3D68">
        <w:rPr>
          <w:rFonts w:ascii="Cambria" w:hAnsi="Cambria"/>
          <w:sz w:val="20"/>
          <w:szCs w:val="20"/>
          <w:lang w:val="es-MX"/>
        </w:rPr>
        <w:t xml:space="preserve"> 9</w:t>
      </w:r>
      <w:r w:rsidR="002F307E" w:rsidRPr="007F3D68">
        <w:rPr>
          <w:rFonts w:ascii="Cambria" w:hAnsi="Cambria"/>
          <w:sz w:val="20"/>
          <w:szCs w:val="20"/>
          <w:lang w:val="es-MX"/>
        </w:rPr>
        <w:t>, 11</w:t>
      </w:r>
      <w:r w:rsidRPr="007F3D68">
        <w:rPr>
          <w:rFonts w:ascii="Cambria" w:hAnsi="Cambria"/>
          <w:sz w:val="20"/>
          <w:szCs w:val="20"/>
          <w:lang w:val="es-MX"/>
        </w:rPr>
        <w:t xml:space="preserve"> y 25.1 de la Convención Americana en relación con las obligaciones establecidas en los artículos 1.1 y 2 del mismo instrumento, en perjuicio de </w:t>
      </w:r>
      <w:r w:rsidR="004D7E9D" w:rsidRPr="007F3D68">
        <w:rPr>
          <w:rFonts w:ascii="Cambria" w:hAnsi="Cambria"/>
          <w:sz w:val="20"/>
          <w:szCs w:val="20"/>
          <w:lang w:val="es-MX"/>
        </w:rPr>
        <w:t>Tirso Román Valenzuela Ávila</w:t>
      </w:r>
      <w:r w:rsidRPr="007F3D68">
        <w:rPr>
          <w:rFonts w:ascii="Cambria" w:hAnsi="Cambria"/>
          <w:sz w:val="20"/>
          <w:szCs w:val="20"/>
          <w:lang w:val="es-MX"/>
        </w:rPr>
        <w:t>. La Comisión también concluye que el Estado de Guatemala es responsable por la violación de los derechos a la integridad personal, garantías judiciales y protección judicial establecidos en los artículos 5.1, 8.1 y 25.1 de la Convención Americana en relación con las obligaciones establecidas en el artículo 1.1 del mismo instrumento, en perjuicio de los familiares de</w:t>
      </w:r>
      <w:r w:rsidR="00FD7ED1" w:rsidRPr="007F3D68">
        <w:rPr>
          <w:rFonts w:ascii="Cambria" w:hAnsi="Cambria"/>
          <w:sz w:val="20"/>
          <w:szCs w:val="20"/>
          <w:lang w:val="es-MX"/>
        </w:rPr>
        <w:t xml:space="preserve"> Tirso Román Valenzuela Ávila</w:t>
      </w:r>
      <w:r w:rsidRPr="007F3D68">
        <w:rPr>
          <w:rFonts w:ascii="Cambria" w:hAnsi="Cambria"/>
          <w:sz w:val="20"/>
          <w:szCs w:val="20"/>
          <w:lang w:val="es-MX"/>
        </w:rPr>
        <w:t>. Finalmente, la Concluye que el Estado de Guat</w:t>
      </w:r>
      <w:r w:rsidR="003831A0" w:rsidRPr="007F3D68">
        <w:rPr>
          <w:rFonts w:ascii="Cambria" w:hAnsi="Cambria"/>
          <w:sz w:val="20"/>
          <w:szCs w:val="20"/>
          <w:lang w:val="es-MX"/>
        </w:rPr>
        <w:t>emala violó los artículos 1</w:t>
      </w:r>
      <w:r w:rsidR="003831A0" w:rsidRPr="00CD1D70">
        <w:rPr>
          <w:rFonts w:ascii="Cambria" w:hAnsi="Cambria"/>
          <w:sz w:val="20"/>
          <w:szCs w:val="20"/>
          <w:lang w:val="es-MX"/>
        </w:rPr>
        <w:t xml:space="preserve">, 6, </w:t>
      </w:r>
      <w:r w:rsidRPr="00CD1D70">
        <w:rPr>
          <w:rFonts w:ascii="Cambria" w:hAnsi="Cambria"/>
          <w:sz w:val="20"/>
          <w:szCs w:val="20"/>
          <w:lang w:val="es-MX"/>
        </w:rPr>
        <w:t>8</w:t>
      </w:r>
      <w:r w:rsidR="003831A0" w:rsidRPr="00CD1D70">
        <w:rPr>
          <w:rFonts w:ascii="Cambria" w:hAnsi="Cambria"/>
          <w:sz w:val="20"/>
          <w:szCs w:val="20"/>
          <w:lang w:val="es-MX"/>
        </w:rPr>
        <w:t xml:space="preserve"> y 10</w:t>
      </w:r>
      <w:r w:rsidRPr="007F3D68">
        <w:rPr>
          <w:rFonts w:ascii="Cambria" w:hAnsi="Cambria"/>
          <w:sz w:val="20"/>
          <w:szCs w:val="20"/>
          <w:lang w:val="es-MX"/>
        </w:rPr>
        <w:t xml:space="preserve"> de la Convención Interamericana para Prevenir y Sancionar la Tortura. </w:t>
      </w:r>
    </w:p>
    <w:p w:rsidR="00076DA1" w:rsidRPr="007F3D68" w:rsidRDefault="00076DA1" w:rsidP="00DC61E2">
      <w:pPr>
        <w:rPr>
          <w:lang w:val="es-ES_tradnl"/>
        </w:rPr>
      </w:pPr>
    </w:p>
    <w:p w:rsidR="004131B4" w:rsidRPr="007F3D68" w:rsidRDefault="004131B4" w:rsidP="004719E4">
      <w:pPr>
        <w:pStyle w:val="Heading1"/>
        <w:numPr>
          <w:ilvl w:val="0"/>
          <w:numId w:val="55"/>
        </w:numPr>
        <w:tabs>
          <w:tab w:val="clear" w:pos="1440"/>
        </w:tabs>
        <w:ind w:left="1260" w:hanging="540"/>
      </w:pPr>
      <w:bookmarkStart w:id="112" w:name="_Toc491441659"/>
      <w:bookmarkStart w:id="113" w:name="_Toc495479567"/>
      <w:r w:rsidRPr="007F3D68">
        <w:t>RECOMENDACIONES</w:t>
      </w:r>
      <w:bookmarkEnd w:id="112"/>
      <w:bookmarkEnd w:id="113"/>
      <w:r w:rsidRPr="007F3D68">
        <w:t xml:space="preserve"> </w:t>
      </w:r>
    </w:p>
    <w:p w:rsidR="004131B4" w:rsidRPr="007F3D68" w:rsidRDefault="004131B4" w:rsidP="004131B4">
      <w:pPr>
        <w:rPr>
          <w:lang w:val="es-ES_tradnl"/>
        </w:rPr>
      </w:pPr>
    </w:p>
    <w:p w:rsidR="004131B4" w:rsidRPr="007F3D68" w:rsidRDefault="004131B4" w:rsidP="004719E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es-MX"/>
        </w:rPr>
      </w:pPr>
      <w:r w:rsidRPr="007F3D68">
        <w:rPr>
          <w:rFonts w:ascii="Cambria" w:hAnsi="Cambria"/>
          <w:sz w:val="20"/>
          <w:szCs w:val="20"/>
          <w:lang w:val="es-MX"/>
        </w:rPr>
        <w:t>Con fundamento en las anteriores conclusiones,</w:t>
      </w:r>
    </w:p>
    <w:p w:rsidR="004131B4" w:rsidRPr="007F3D68" w:rsidRDefault="004131B4" w:rsidP="008E757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MX"/>
        </w:rPr>
      </w:pPr>
    </w:p>
    <w:p w:rsidR="004131B4" w:rsidRPr="007F3D68" w:rsidRDefault="004131B4" w:rsidP="004131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lang w:val="es-MX"/>
        </w:rPr>
      </w:pPr>
      <w:r w:rsidRPr="007F3D68">
        <w:rPr>
          <w:rFonts w:ascii="Cambria" w:hAnsi="Cambria"/>
          <w:b/>
          <w:sz w:val="20"/>
          <w:szCs w:val="20"/>
          <w:lang w:val="es-ES"/>
        </w:rPr>
        <w:t>LA COMISIÓN INTERAMERICANA DE DERECHOS HUMANOS RECOMIENDA AL ESTADO GUATEMALTECO,</w:t>
      </w:r>
    </w:p>
    <w:p w:rsidR="004131B4" w:rsidRPr="007F3D68" w:rsidRDefault="004131B4" w:rsidP="004131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jc w:val="both"/>
        <w:rPr>
          <w:lang w:val="es-MX"/>
        </w:rPr>
      </w:pPr>
    </w:p>
    <w:p w:rsidR="004131B4" w:rsidRPr="007F3D68" w:rsidRDefault="004131B4" w:rsidP="004E102F">
      <w:pPr>
        <w:pStyle w:val="BodyText3"/>
        <w:numPr>
          <w:ilvl w:val="0"/>
          <w:numId w:val="66"/>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7F3D68">
        <w:rPr>
          <w:rFonts w:ascii="Cambria" w:hAnsi="Cambria"/>
          <w:sz w:val="20"/>
          <w:szCs w:val="20"/>
          <w:lang w:val="es-VE"/>
        </w:rPr>
        <w:t>Reparar integralmente las violaciones de derechos humanos declaradas en el presente informe tanto en el aspecto material como inmaterial. Las medidas de reparación deberán incluir una justa compensación así como medidas de satisfacción y rehabilitación, de ser pertinentes, en consulta con los familiares del señor Valenzuela</w:t>
      </w:r>
      <w:r w:rsidR="000F075F" w:rsidRPr="007F3D68">
        <w:rPr>
          <w:rFonts w:ascii="Cambria" w:hAnsi="Cambria"/>
          <w:sz w:val="20"/>
          <w:szCs w:val="20"/>
          <w:lang w:val="es-VE"/>
        </w:rPr>
        <w:t xml:space="preserve"> Ávila</w:t>
      </w:r>
      <w:r w:rsidRPr="007F3D68">
        <w:rPr>
          <w:rFonts w:ascii="Cambria" w:hAnsi="Cambria"/>
          <w:sz w:val="20"/>
          <w:szCs w:val="20"/>
          <w:lang w:val="es-VE"/>
        </w:rPr>
        <w:t xml:space="preserve">. </w:t>
      </w:r>
      <w:r w:rsidR="00634E83" w:rsidRPr="007F3D68">
        <w:rPr>
          <w:rFonts w:ascii="Cambria" w:hAnsi="Cambria"/>
          <w:sz w:val="20"/>
          <w:szCs w:val="20"/>
          <w:lang w:val="es-VE"/>
        </w:rPr>
        <w:t>L</w:t>
      </w:r>
      <w:r w:rsidRPr="007F3D68">
        <w:rPr>
          <w:rFonts w:ascii="Cambria" w:hAnsi="Cambria"/>
          <w:sz w:val="20"/>
          <w:szCs w:val="20"/>
          <w:lang w:val="es-VE"/>
        </w:rPr>
        <w:t>a CIDH insta al Estado a realizar todos los esfuerzos posibles para ubicar</w:t>
      </w:r>
      <w:r w:rsidR="00634E83" w:rsidRPr="007F3D68">
        <w:rPr>
          <w:rFonts w:ascii="Cambria" w:hAnsi="Cambria"/>
          <w:sz w:val="20"/>
          <w:szCs w:val="20"/>
          <w:lang w:val="es-VE"/>
        </w:rPr>
        <w:t xml:space="preserve"> a dichos familiares</w:t>
      </w:r>
      <w:r w:rsidRPr="007F3D68">
        <w:rPr>
          <w:rFonts w:ascii="Cambria" w:hAnsi="Cambria"/>
          <w:sz w:val="20"/>
          <w:szCs w:val="20"/>
          <w:lang w:val="es-VE"/>
        </w:rPr>
        <w:t xml:space="preserve"> y</w:t>
      </w:r>
      <w:r w:rsidR="003647A1" w:rsidRPr="007F3D68">
        <w:rPr>
          <w:rFonts w:ascii="Cambria" w:hAnsi="Cambria"/>
          <w:sz w:val="20"/>
          <w:szCs w:val="20"/>
          <w:lang w:val="es-VE"/>
        </w:rPr>
        <w:t>,</w:t>
      </w:r>
      <w:r w:rsidRPr="007F3D68">
        <w:rPr>
          <w:rFonts w:ascii="Cambria" w:hAnsi="Cambria"/>
          <w:sz w:val="20"/>
          <w:szCs w:val="20"/>
          <w:lang w:val="es-VE"/>
        </w:rPr>
        <w:t xml:space="preserve"> en caso de no ser posible, aportar el componente pecuniario de la reparación que les correspondería, al Fondo de Asistencia Legal.</w:t>
      </w:r>
    </w:p>
    <w:p w:rsidR="004131B4" w:rsidRPr="007F3D68" w:rsidRDefault="004131B4" w:rsidP="004131B4">
      <w:pPr>
        <w:tabs>
          <w:tab w:val="num" w:pos="0"/>
          <w:tab w:val="left" w:pos="1440"/>
          <w:tab w:val="left" w:pos="9360"/>
        </w:tabs>
        <w:ind w:firstLine="720"/>
        <w:rPr>
          <w:rFonts w:ascii="Cambria" w:hAnsi="Cambria"/>
          <w:sz w:val="20"/>
          <w:szCs w:val="20"/>
          <w:lang w:val="es-VE"/>
        </w:rPr>
      </w:pPr>
    </w:p>
    <w:p w:rsidR="004131B4" w:rsidRPr="007F3D68" w:rsidRDefault="004131B4" w:rsidP="004E102F">
      <w:pPr>
        <w:pStyle w:val="BodyText3"/>
        <w:numPr>
          <w:ilvl w:val="0"/>
          <w:numId w:val="66"/>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7F3D68">
        <w:rPr>
          <w:rFonts w:ascii="Cambria" w:hAnsi="Cambria"/>
          <w:sz w:val="20"/>
          <w:szCs w:val="20"/>
          <w:lang w:val="es-VE"/>
        </w:rPr>
        <w:t xml:space="preserve">Investigar los actos de tortura sufridos por el señor </w:t>
      </w:r>
      <w:r w:rsidR="0022544E" w:rsidRPr="007F3D68">
        <w:rPr>
          <w:rFonts w:ascii="Cambria" w:hAnsi="Cambria"/>
          <w:sz w:val="20"/>
          <w:szCs w:val="20"/>
          <w:lang w:val="es-VE"/>
        </w:rPr>
        <w:t>Valenzuela</w:t>
      </w:r>
      <w:r w:rsidR="000F075F" w:rsidRPr="007F3D68">
        <w:rPr>
          <w:rFonts w:ascii="Cambria" w:hAnsi="Cambria"/>
          <w:sz w:val="20"/>
          <w:szCs w:val="20"/>
          <w:lang w:val="es-VE"/>
        </w:rPr>
        <w:t xml:space="preserve"> Ávila</w:t>
      </w:r>
      <w:r w:rsidRPr="007F3D68">
        <w:rPr>
          <w:rFonts w:ascii="Cambria" w:hAnsi="Cambria"/>
          <w:sz w:val="20"/>
          <w:szCs w:val="20"/>
          <w:lang w:val="es-VE"/>
        </w:rPr>
        <w:t xml:space="preserve"> de manera diligente, efectiva y en un plazo razonable con el objeto de esclarecer los hechos en forma completa, identificar a los autores e imponer las sanciones que correspondan. </w:t>
      </w:r>
    </w:p>
    <w:p w:rsidR="004131B4" w:rsidRPr="007F3D68" w:rsidRDefault="004131B4" w:rsidP="004131B4">
      <w:pPr>
        <w:pStyle w:val="BodyText3"/>
        <w:tabs>
          <w:tab w:val="num" w:pos="0"/>
          <w:tab w:val="left" w:pos="720"/>
          <w:tab w:val="left" w:pos="1440"/>
          <w:tab w:val="left" w:pos="9360"/>
        </w:tabs>
        <w:spacing w:after="0"/>
        <w:ind w:firstLine="720"/>
        <w:jc w:val="both"/>
        <w:rPr>
          <w:rFonts w:ascii="Cambria" w:hAnsi="Cambria"/>
          <w:sz w:val="20"/>
          <w:szCs w:val="20"/>
          <w:lang w:val="es-VE"/>
        </w:rPr>
      </w:pPr>
    </w:p>
    <w:p w:rsidR="004131B4" w:rsidRPr="007F3D68" w:rsidRDefault="004131B4" w:rsidP="004E102F">
      <w:pPr>
        <w:pStyle w:val="BodyText3"/>
        <w:numPr>
          <w:ilvl w:val="0"/>
          <w:numId w:val="66"/>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7F3D68">
        <w:rPr>
          <w:rFonts w:ascii="Cambria" w:hAnsi="Cambria"/>
          <w:sz w:val="20"/>
          <w:szCs w:val="20"/>
          <w:lang w:val="es-VE"/>
        </w:rPr>
        <w:t xml:space="preserve">Investigar la ejecución extrajudicial sufrida por el señor </w:t>
      </w:r>
      <w:r w:rsidR="0099527B" w:rsidRPr="007F3D68">
        <w:rPr>
          <w:rFonts w:ascii="Cambria" w:hAnsi="Cambria"/>
          <w:sz w:val="20"/>
          <w:szCs w:val="20"/>
          <w:lang w:val="es-VE"/>
        </w:rPr>
        <w:t xml:space="preserve">Valenzuela Ávila </w:t>
      </w:r>
      <w:r w:rsidRPr="007F3D68">
        <w:rPr>
          <w:rFonts w:ascii="Cambria" w:hAnsi="Cambria"/>
          <w:sz w:val="20"/>
          <w:szCs w:val="20"/>
          <w:lang w:val="es-VE"/>
        </w:rPr>
        <w:t xml:space="preserve">de manera diligente, efectiva y en un plazo razonable con el objeto de esclarecer los hechos en forma completa, identificar a los autores e imponer las sanciones que correspondan. </w:t>
      </w:r>
    </w:p>
    <w:p w:rsidR="004131B4" w:rsidRPr="007F3D68" w:rsidRDefault="004131B4" w:rsidP="004131B4">
      <w:pPr>
        <w:pStyle w:val="BodyText3"/>
        <w:tabs>
          <w:tab w:val="num" w:pos="0"/>
          <w:tab w:val="left" w:pos="720"/>
          <w:tab w:val="left" w:pos="1440"/>
          <w:tab w:val="left" w:pos="9360"/>
        </w:tabs>
        <w:spacing w:after="0"/>
        <w:ind w:firstLine="720"/>
        <w:jc w:val="both"/>
        <w:rPr>
          <w:rFonts w:ascii="Cambria" w:hAnsi="Cambria"/>
          <w:sz w:val="20"/>
          <w:szCs w:val="20"/>
          <w:lang w:val="es-VE"/>
        </w:rPr>
      </w:pPr>
    </w:p>
    <w:p w:rsidR="004131B4" w:rsidRPr="007F3D68" w:rsidRDefault="004131B4" w:rsidP="004E102F">
      <w:pPr>
        <w:pStyle w:val="BodyText3"/>
        <w:numPr>
          <w:ilvl w:val="0"/>
          <w:numId w:val="66"/>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7F3D68">
        <w:rPr>
          <w:rFonts w:ascii="Cambria" w:hAnsi="Cambria"/>
          <w:sz w:val="20"/>
          <w:szCs w:val="20"/>
          <w:lang w:val="es-VE"/>
        </w:rPr>
        <w:t>En cuanto a la pena de muerte, la Comisión toma nota y valora positivamente que desde hace 17 años la pena de muerte no ha sido impuesta por las autoridades judiciales y que también se ha dispuesto la conmutación de la pena desde hace más de una década frente a personas ya condenadas. Asimismo, la Comisión toma nota y valora positivamente que el Poder Ejecutivo durante años hubiese adoptado medidas para evitar la reactivación de la pena de muerte en Guatemala. En ese sentido, la Comisión observa que como consecuencia de acciones tanto del Poder Ejecutivo como del Poder Judicial, han pasado 17 años sin imposición ni ejecución de la pena de muerte en Guatemala. La Comisión entiende que, en la práctica, el Estado guatemalteco ha avanzado en una tendencia hacia la abolición de la pena de muerte, lo que resulta consistente con el espíritu de la Convención Americana en la materia. Por lo anterior, tomando en cuenta la práctica de ya casi dos décadas, y lo indicado por la CIDH en su Informe “La Pena de muerte en el Sistema Interamericano de Derechos Humanos: de restricciones a abolición” respecto a que los Estados miembros de la OEA deben eliminar gradualmente la pena de muerte, la Comisión recomienda al Estado de Guatemala adoptar las medidas necesarias para que la legislación interna sea consistente con dicha práctica y así continuar en el camino hacia la abolición de la pena de muerte.</w:t>
      </w:r>
    </w:p>
    <w:p w:rsidR="004131B4" w:rsidRPr="007F3D68" w:rsidRDefault="004131B4" w:rsidP="004131B4">
      <w:pPr>
        <w:pStyle w:val="BodyText3"/>
        <w:tabs>
          <w:tab w:val="num" w:pos="0"/>
          <w:tab w:val="left" w:pos="720"/>
          <w:tab w:val="left" w:pos="1440"/>
          <w:tab w:val="left" w:pos="9360"/>
        </w:tabs>
        <w:spacing w:after="0"/>
        <w:jc w:val="both"/>
        <w:rPr>
          <w:rFonts w:ascii="Cambria" w:hAnsi="Cambria"/>
          <w:sz w:val="20"/>
          <w:szCs w:val="20"/>
          <w:lang w:val="es-VE"/>
        </w:rPr>
      </w:pPr>
    </w:p>
    <w:p w:rsidR="004131B4" w:rsidRPr="007F3D68" w:rsidRDefault="004131B4" w:rsidP="004E102F">
      <w:pPr>
        <w:pStyle w:val="BodyText3"/>
        <w:numPr>
          <w:ilvl w:val="0"/>
          <w:numId w:val="66"/>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7F3D68">
        <w:rPr>
          <w:rFonts w:ascii="Cambria" w:hAnsi="Cambria"/>
          <w:sz w:val="20"/>
          <w:szCs w:val="20"/>
          <w:lang w:val="es-VE"/>
        </w:rPr>
        <w:t xml:space="preserve">Adoptar las medidas legislativas, administrativas y de </w:t>
      </w:r>
      <w:proofErr w:type="gramStart"/>
      <w:r w:rsidRPr="007F3D68">
        <w:rPr>
          <w:rFonts w:ascii="Cambria" w:hAnsi="Cambria"/>
          <w:sz w:val="20"/>
          <w:szCs w:val="20"/>
          <w:lang w:val="es-VE"/>
        </w:rPr>
        <w:t>otra índole necesarias</w:t>
      </w:r>
      <w:proofErr w:type="gramEnd"/>
      <w:r w:rsidRPr="007F3D68">
        <w:rPr>
          <w:rFonts w:ascii="Cambria" w:hAnsi="Cambria"/>
          <w:sz w:val="20"/>
          <w:szCs w:val="20"/>
          <w:lang w:val="es-VE"/>
        </w:rPr>
        <w:t xml:space="preserve"> para asegurar que en la regulación y en la práctica, las personas condenadas penalmente cuenten con un recurso ante autoridad jerárquica que permita una revisión integral del fallo condenatorio.</w:t>
      </w:r>
    </w:p>
    <w:p w:rsidR="004131B4" w:rsidRPr="007F3D68" w:rsidRDefault="004131B4" w:rsidP="004131B4">
      <w:pPr>
        <w:pStyle w:val="BodyText3"/>
        <w:tabs>
          <w:tab w:val="num" w:pos="0"/>
          <w:tab w:val="left" w:pos="720"/>
          <w:tab w:val="left" w:pos="1440"/>
          <w:tab w:val="left" w:pos="9360"/>
        </w:tabs>
        <w:spacing w:after="0"/>
        <w:ind w:firstLine="720"/>
        <w:jc w:val="both"/>
        <w:rPr>
          <w:rFonts w:ascii="Cambria" w:hAnsi="Cambria"/>
          <w:sz w:val="20"/>
          <w:szCs w:val="20"/>
          <w:lang w:val="es-CO"/>
        </w:rPr>
      </w:pPr>
    </w:p>
    <w:p w:rsidR="00DC61E2" w:rsidRPr="00F40EB1" w:rsidRDefault="004131B4" w:rsidP="00FB59EE">
      <w:pPr>
        <w:pStyle w:val="BodyText3"/>
        <w:numPr>
          <w:ilvl w:val="0"/>
          <w:numId w:val="66"/>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7F3D68">
        <w:rPr>
          <w:rFonts w:ascii="Cambria" w:hAnsi="Cambria"/>
          <w:sz w:val="20"/>
          <w:szCs w:val="20"/>
          <w:lang w:val="es-CO"/>
        </w:rPr>
        <w:t xml:space="preserve">Adoptar medidas administrativas y de otra índole dirigidas a capacitar a los cuerpos de seguridad en la prohibición absoluta de la tortura. Asimismo, el Estado deberá realizar capacitaciones sobre el uso de la fuerza conforme a los estándares internacionales en el marco de operativos de captura de personas privadas de libertad que se hayan dado a la fuga de los centros de detención. </w:t>
      </w:r>
      <w:r w:rsidR="00A5252E" w:rsidRPr="007F3D68">
        <w:rPr>
          <w:rFonts w:ascii="Cambria" w:hAnsi="Cambria"/>
          <w:sz w:val="20"/>
          <w:szCs w:val="20"/>
          <w:lang w:val="es-CO"/>
        </w:rPr>
        <w:t>Finalmente, el Estado debe adoptar medidas para fortalecer los procesos para investigar, enjuiciar y sancionar a agentes estatales involucrados en actos de tortura</w:t>
      </w:r>
      <w:r w:rsidR="008352CC" w:rsidRPr="007F3D68">
        <w:rPr>
          <w:rFonts w:ascii="Cambria" w:hAnsi="Cambria"/>
          <w:sz w:val="20"/>
          <w:szCs w:val="20"/>
          <w:lang w:val="es-CO"/>
        </w:rPr>
        <w:t xml:space="preserve"> o en violaciones de derechos humanos en el contexto de operativos de captura de personas fugadas. </w:t>
      </w:r>
    </w:p>
    <w:p w:rsidR="00F40EB1" w:rsidRDefault="00F40EB1" w:rsidP="00F40EB1">
      <w:pPr>
        <w:pStyle w:val="ListParagraph"/>
        <w:rPr>
          <w:sz w:val="20"/>
          <w:szCs w:val="20"/>
          <w:lang w:val="es-VE"/>
        </w:rPr>
      </w:pPr>
    </w:p>
    <w:p w:rsidR="00171E52" w:rsidRPr="00A37B82" w:rsidRDefault="00171E52" w:rsidP="00171E5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Paulo Vannuchi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171E52" w:rsidRPr="00A37B82" w:rsidRDefault="00171E52" w:rsidP="00171E52">
      <w:pPr>
        <w:suppressAutoHyphens/>
        <w:ind w:firstLine="720"/>
        <w:jc w:val="both"/>
        <w:rPr>
          <w:rFonts w:asciiTheme="majorHAnsi" w:hAnsiTheme="majorHAnsi" w:cs="Arial"/>
          <w:noProof/>
          <w:spacing w:val="-2"/>
          <w:sz w:val="20"/>
          <w:szCs w:val="20"/>
          <w:lang w:val="es-CL"/>
        </w:rPr>
      </w:pPr>
    </w:p>
    <w:p w:rsidR="00171E52" w:rsidRPr="00A37B82" w:rsidRDefault="00171E52" w:rsidP="00171E52">
      <w:pPr>
        <w:ind w:firstLine="720"/>
        <w:jc w:val="both"/>
        <w:rPr>
          <w:rFonts w:asciiTheme="majorHAnsi" w:hAnsiTheme="majorHAnsi" w:cs="Arial"/>
          <w:noProof/>
          <w:sz w:val="20"/>
          <w:szCs w:val="20"/>
          <w:lang w:val="es-CL"/>
        </w:rPr>
      </w:pPr>
      <w:r>
        <w:rPr>
          <w:rFonts w:asciiTheme="majorHAnsi" w:hAnsiTheme="majorHAnsi" w:cs="Arial"/>
          <w:noProof/>
          <w:sz w:val="20"/>
          <w:szCs w:val="20"/>
          <w:lang w:val="es-CL"/>
        </w:rPr>
        <w:t>La</w:t>
      </w:r>
      <w:r w:rsidRPr="00A37B82">
        <w:rPr>
          <w:rFonts w:asciiTheme="majorHAnsi" w:hAnsiTheme="majorHAnsi" w:cs="Arial"/>
          <w:noProof/>
          <w:sz w:val="20"/>
          <w:szCs w:val="20"/>
          <w:lang w:val="es-CL"/>
        </w:rPr>
        <w:t xml:space="preserve"> que suscribe, </w:t>
      </w:r>
      <w:r>
        <w:rPr>
          <w:rFonts w:asciiTheme="majorHAnsi" w:hAnsiTheme="majorHAnsi"/>
          <w:spacing w:val="-2"/>
          <w:sz w:val="20"/>
          <w:szCs w:val="20"/>
          <w:lang w:val="es-SV"/>
        </w:rPr>
        <w:t>Elizabeth Abi-Mershed</w:t>
      </w:r>
      <w:r>
        <w:rPr>
          <w:rFonts w:asciiTheme="majorHAnsi" w:hAnsiTheme="majorHAnsi" w:cs="Arial"/>
          <w:noProof/>
          <w:sz w:val="20"/>
          <w:szCs w:val="20"/>
          <w:lang w:val="es-CL"/>
        </w:rPr>
        <w:t>, en su carácter de Secretaria Ejecutiva Adjunta</w:t>
      </w:r>
      <w:r w:rsidRPr="00A37B82">
        <w:rPr>
          <w:rFonts w:asciiTheme="majorHAnsi" w:hAnsiTheme="majorHAnsi" w:cs="Arial"/>
          <w:noProof/>
          <w:sz w:val="20"/>
          <w:szCs w:val="20"/>
          <w:lang w:val="es-CL"/>
        </w:rPr>
        <w:t xml:space="preserve"> de la Comisión Interamericana de Derechos Humanos, de conformidad con el artículo 49 del Reglamento de la Comisión, certifica que es copia fiel del original depositado en los archivos de la Secretaría de la CIDH.</w:t>
      </w:r>
    </w:p>
    <w:p w:rsidR="00171E52" w:rsidRPr="00A37B82" w:rsidRDefault="00171E52" w:rsidP="00171E52">
      <w:pPr>
        <w:suppressAutoHyphens/>
        <w:jc w:val="both"/>
        <w:rPr>
          <w:rFonts w:asciiTheme="majorHAnsi" w:hAnsiTheme="majorHAnsi" w:cs="Arial"/>
          <w:noProof/>
          <w:spacing w:val="-2"/>
          <w:sz w:val="20"/>
          <w:szCs w:val="20"/>
          <w:lang w:val="es-CL"/>
        </w:rPr>
      </w:pPr>
    </w:p>
    <w:p w:rsidR="00171E52" w:rsidRDefault="00171E52" w:rsidP="00171E52">
      <w:pPr>
        <w:ind w:left="720" w:hanging="720"/>
        <w:jc w:val="center"/>
        <w:rPr>
          <w:rFonts w:asciiTheme="majorHAnsi" w:hAnsiTheme="majorHAnsi" w:cs="Arial"/>
          <w:sz w:val="20"/>
          <w:szCs w:val="20"/>
          <w:lang w:val="es-SV"/>
        </w:rPr>
      </w:pPr>
    </w:p>
    <w:p w:rsidR="00171E52" w:rsidRDefault="00171E52" w:rsidP="00171E52">
      <w:pPr>
        <w:ind w:left="720" w:hanging="720"/>
        <w:jc w:val="center"/>
        <w:rPr>
          <w:rFonts w:asciiTheme="majorHAnsi" w:hAnsiTheme="majorHAnsi" w:cs="Arial"/>
          <w:sz w:val="20"/>
          <w:szCs w:val="20"/>
          <w:lang w:val="es-SV"/>
        </w:rPr>
      </w:pPr>
    </w:p>
    <w:p w:rsidR="00171E52" w:rsidRDefault="00171E52" w:rsidP="00171E52">
      <w:pPr>
        <w:ind w:left="720" w:hanging="720"/>
        <w:jc w:val="center"/>
        <w:rPr>
          <w:rFonts w:asciiTheme="majorHAnsi" w:hAnsiTheme="majorHAnsi" w:cs="Arial"/>
          <w:sz w:val="20"/>
          <w:szCs w:val="20"/>
          <w:lang w:val="es-SV"/>
        </w:rPr>
      </w:pPr>
    </w:p>
    <w:p w:rsidR="00171E52" w:rsidRPr="00A37B82" w:rsidRDefault="00171E52" w:rsidP="00171E52">
      <w:pPr>
        <w:ind w:left="720" w:hanging="720"/>
        <w:jc w:val="center"/>
        <w:rPr>
          <w:rFonts w:asciiTheme="majorHAnsi" w:hAnsiTheme="majorHAnsi" w:cs="Arial"/>
          <w:sz w:val="20"/>
          <w:szCs w:val="20"/>
          <w:lang w:val="es-SV"/>
        </w:rPr>
      </w:pPr>
    </w:p>
    <w:p w:rsidR="00171E52" w:rsidRPr="00A37B82" w:rsidRDefault="00171E52" w:rsidP="00171E52">
      <w:pPr>
        <w:suppressAutoHyphens/>
        <w:jc w:val="center"/>
        <w:rPr>
          <w:rFonts w:asciiTheme="majorHAnsi" w:hAnsiTheme="majorHAnsi"/>
          <w:spacing w:val="-2"/>
          <w:sz w:val="20"/>
          <w:szCs w:val="20"/>
          <w:lang w:val="es-SV"/>
        </w:rPr>
      </w:pPr>
      <w:r>
        <w:rPr>
          <w:rFonts w:asciiTheme="majorHAnsi" w:hAnsiTheme="majorHAnsi"/>
          <w:spacing w:val="-2"/>
          <w:sz w:val="20"/>
          <w:szCs w:val="20"/>
          <w:lang w:val="es-SV"/>
        </w:rPr>
        <w:t>Elizabeth Abi-Mershed</w:t>
      </w:r>
    </w:p>
    <w:p w:rsidR="00171E52" w:rsidRPr="00A37B82" w:rsidRDefault="00171E52" w:rsidP="00171E52">
      <w:pPr>
        <w:ind w:left="720" w:hanging="720"/>
        <w:jc w:val="center"/>
        <w:rPr>
          <w:rFonts w:asciiTheme="majorHAnsi" w:hAnsiTheme="majorHAnsi" w:cs="Arial"/>
          <w:noProof/>
          <w:spacing w:val="-2"/>
          <w:sz w:val="20"/>
          <w:szCs w:val="20"/>
          <w:lang w:val="es-CL"/>
        </w:rPr>
      </w:pPr>
      <w:r>
        <w:rPr>
          <w:rFonts w:asciiTheme="majorHAnsi" w:hAnsiTheme="majorHAnsi"/>
          <w:spacing w:val="-2"/>
          <w:sz w:val="20"/>
          <w:szCs w:val="20"/>
          <w:lang w:val="es-SV"/>
        </w:rPr>
        <w:t>Secretaria Ejecutiva Adjunta</w:t>
      </w:r>
    </w:p>
    <w:p w:rsidR="00F40EB1" w:rsidRPr="007F3D68" w:rsidRDefault="00F40EB1" w:rsidP="00F40EB1">
      <w:pPr>
        <w:pStyle w:val="BodyText3"/>
        <w:tabs>
          <w:tab w:val="left" w:pos="720"/>
          <w:tab w:val="left" w:pos="1440"/>
          <w:tab w:val="left" w:pos="9360"/>
        </w:tabs>
        <w:spacing w:after="0"/>
        <w:jc w:val="both"/>
        <w:rPr>
          <w:rFonts w:ascii="Cambria" w:hAnsi="Cambria"/>
          <w:sz w:val="20"/>
          <w:szCs w:val="20"/>
          <w:lang w:val="es-VE"/>
        </w:rPr>
      </w:pPr>
    </w:p>
    <w:sectPr w:rsidR="00F40EB1" w:rsidRPr="007F3D68" w:rsidSect="000E3549">
      <w:type w:val="oddPage"/>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B1" w:rsidRDefault="00F40EB1">
      <w:r>
        <w:separator/>
      </w:r>
    </w:p>
  </w:endnote>
  <w:endnote w:type="continuationSeparator" w:id="0">
    <w:p w:rsidR="00F40EB1" w:rsidRDefault="00F4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al">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Times-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altName w:val="Optima ExtraBlack"/>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F40EB1" w:rsidRPr="00934A2C" w:rsidRDefault="00F40E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D7B67">
          <w:rPr>
            <w:noProof/>
            <w:sz w:val="16"/>
            <w:szCs w:val="22"/>
          </w:rPr>
          <w:t>37</w:t>
        </w:r>
        <w:r w:rsidRPr="00934A2C">
          <w:rPr>
            <w:noProof/>
            <w:sz w:val="16"/>
            <w:szCs w:val="22"/>
          </w:rPr>
          <w:fldChar w:fldCharType="end"/>
        </w:r>
      </w:p>
    </w:sdtContent>
  </w:sdt>
  <w:p w:rsidR="00F40EB1" w:rsidRDefault="00F40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1" w:rsidRPr="00934A2C" w:rsidRDefault="00F40EB1">
    <w:pPr>
      <w:pStyle w:val="Footer"/>
      <w:jc w:val="center"/>
      <w:rPr>
        <w:sz w:val="16"/>
        <w:szCs w:val="22"/>
      </w:rPr>
    </w:pPr>
  </w:p>
  <w:p w:rsidR="00F40EB1" w:rsidRDefault="00F40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B1" w:rsidRDefault="00F40EB1">
      <w:r>
        <w:separator/>
      </w:r>
    </w:p>
  </w:footnote>
  <w:footnote w:type="continuationSeparator" w:id="0">
    <w:p w:rsidR="00F40EB1" w:rsidRDefault="00F40EB1">
      <w:r>
        <w:continuationSeparator/>
      </w:r>
    </w:p>
  </w:footnote>
  <w:footnote w:type="continuationNotice" w:id="1">
    <w:p w:rsidR="00F40EB1" w:rsidRDefault="00F40EB1"/>
  </w:footnote>
  <w:footnote w:id="2">
    <w:p w:rsidR="00F40EB1" w:rsidRPr="007F3D68" w:rsidRDefault="00F40EB1" w:rsidP="00EA4FFC">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CIDH, </w:t>
      </w:r>
      <w:hyperlink r:id="rId1" w:history="1">
        <w:r w:rsidRPr="007F3D68">
          <w:rPr>
            <w:rStyle w:val="Hyperlink"/>
            <w:rFonts w:asciiTheme="majorHAnsi" w:hAnsiTheme="majorHAnsi"/>
            <w:sz w:val="16"/>
            <w:szCs w:val="16"/>
            <w:u w:val="none"/>
            <w:lang w:val="es-VE"/>
          </w:rPr>
          <w:t>Informe 24/04</w:t>
        </w:r>
      </w:hyperlink>
      <w:r w:rsidRPr="007F3D68">
        <w:rPr>
          <w:rFonts w:asciiTheme="majorHAnsi" w:hAnsiTheme="majorHAnsi"/>
          <w:sz w:val="16"/>
          <w:szCs w:val="16"/>
          <w:lang w:val="es-VE"/>
        </w:rPr>
        <w:t>, Petición 723/01, Admisibilidad, Tirso Román Valenzuela Ávila, 26 de febrero de 2004.</w:t>
      </w:r>
    </w:p>
  </w:footnote>
  <w:footnote w:id="3">
    <w:p w:rsidR="00F40EB1" w:rsidRPr="007F3D68" w:rsidRDefault="00F40EB1" w:rsidP="000D1743">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7F3D68">
        <w:rPr>
          <w:rFonts w:asciiTheme="majorHAnsi" w:hAnsiTheme="majorHAnsi"/>
          <w:sz w:val="16"/>
          <w:szCs w:val="16"/>
          <w:lang w:val="es-VE"/>
        </w:rPr>
        <w:t xml:space="preserve">. Acta de juicio 38-99, Of. 3 en la que consta la declaración de Tirso Román Valenzuela en folios 360 y subsiguientes. </w:t>
      </w:r>
    </w:p>
  </w:footnote>
  <w:footnote w:id="4">
    <w:p w:rsidR="00F40EB1" w:rsidRPr="007F3D68" w:rsidRDefault="00F40EB1" w:rsidP="00D8463B">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7F3D68">
        <w:rPr>
          <w:rFonts w:asciiTheme="majorHAnsi" w:hAnsiTheme="majorHAnsi"/>
          <w:sz w:val="16"/>
          <w:szCs w:val="16"/>
          <w:lang w:val="es-VE"/>
        </w:rPr>
        <w:t xml:space="preserve">. Acta de juicio 38-99, Of. 3 en la que consta la declaración de Tirso Román Valenzuela en folios 360 y subsiguientes. </w:t>
      </w:r>
    </w:p>
  </w:footnote>
  <w:footnote w:id="5">
    <w:p w:rsidR="00F40EB1" w:rsidRPr="007F3D68" w:rsidRDefault="00F40EB1" w:rsidP="00D8463B">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7F3D68">
        <w:rPr>
          <w:rFonts w:asciiTheme="majorHAnsi" w:hAnsiTheme="majorHAnsi"/>
          <w:sz w:val="16"/>
          <w:szCs w:val="16"/>
          <w:lang w:val="es-VE"/>
        </w:rPr>
        <w:t xml:space="preserve">. Acta de juicio 38-99, Of. 3 en la que consta la declaración de Tirso Román Valenzuela en folios 360 y subsiguientes. </w:t>
      </w:r>
    </w:p>
  </w:footnote>
  <w:footnote w:id="6">
    <w:p w:rsidR="00F40EB1" w:rsidRPr="007F3D68" w:rsidRDefault="00F40EB1" w:rsidP="00D8463B">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7F3D68">
        <w:rPr>
          <w:rFonts w:asciiTheme="majorHAnsi" w:hAnsiTheme="majorHAnsi"/>
          <w:sz w:val="16"/>
          <w:szCs w:val="16"/>
          <w:lang w:val="es-VE"/>
        </w:rPr>
        <w:t xml:space="preserve">. Acta notarial que contiene declaración de Rosa María Mendoza López, 22 de mayo de 2004. </w:t>
      </w:r>
    </w:p>
  </w:footnote>
  <w:footnote w:id="7">
    <w:p w:rsidR="00F40EB1" w:rsidRPr="007F3D68" w:rsidRDefault="00F40EB1" w:rsidP="00D8463B">
      <w:pPr>
        <w:pStyle w:val="FootnoteText"/>
        <w:ind w:firstLine="720"/>
        <w:rPr>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7F3D68">
        <w:rPr>
          <w:rFonts w:asciiTheme="majorHAnsi" w:hAnsiTheme="majorHAnsi"/>
          <w:sz w:val="16"/>
          <w:szCs w:val="16"/>
          <w:lang w:val="es-VE"/>
        </w:rPr>
        <w:t>. Acta notarial que contiene declaración de Rosa María Mendoza López, 22 de mayo de 2004.</w:t>
      </w:r>
      <w:r w:rsidRPr="007F3D68">
        <w:rPr>
          <w:lang w:val="es-VE"/>
        </w:rPr>
        <w:t xml:space="preserve"> </w:t>
      </w:r>
    </w:p>
  </w:footnote>
  <w:footnote w:id="8">
    <w:p w:rsidR="00F40EB1" w:rsidRPr="007F3D68" w:rsidRDefault="00F40EB1" w:rsidP="00D8463B">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7F3D68">
        <w:rPr>
          <w:rFonts w:asciiTheme="majorHAnsi" w:hAnsiTheme="majorHAnsi"/>
          <w:sz w:val="16"/>
          <w:szCs w:val="16"/>
          <w:lang w:val="es-VE"/>
        </w:rPr>
        <w:t>. Declaración de Santos Morales Ramos. Anexo al escrito de observaciones de los peticionarios presentado el 19 de julio de 2004.</w:t>
      </w:r>
    </w:p>
  </w:footnote>
  <w:footnote w:id="9">
    <w:p w:rsidR="00F40EB1" w:rsidRPr="007F3D68" w:rsidRDefault="00F40EB1" w:rsidP="00D8463B">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Anexo </w:t>
      </w:r>
      <w:r>
        <w:rPr>
          <w:rFonts w:asciiTheme="majorHAnsi" w:hAnsiTheme="majorHAnsi"/>
          <w:sz w:val="16"/>
          <w:szCs w:val="16"/>
          <w:lang w:val="es-VE"/>
        </w:rPr>
        <w:t xml:space="preserve"> 4</w:t>
      </w:r>
      <w:r w:rsidRPr="007F3D68">
        <w:rPr>
          <w:rFonts w:asciiTheme="majorHAnsi" w:hAnsiTheme="majorHAnsi"/>
          <w:sz w:val="16"/>
          <w:szCs w:val="16"/>
          <w:lang w:val="es-VE"/>
        </w:rPr>
        <w:t xml:space="preserve">. Declaración de Emeterio de Jesús </w:t>
      </w:r>
      <w:proofErr w:type="spellStart"/>
      <w:r w:rsidRPr="007F3D68">
        <w:rPr>
          <w:rFonts w:asciiTheme="majorHAnsi" w:hAnsiTheme="majorHAnsi"/>
          <w:sz w:val="16"/>
          <w:szCs w:val="16"/>
          <w:lang w:val="es-VE"/>
        </w:rPr>
        <w:t>Morataya</w:t>
      </w:r>
      <w:proofErr w:type="spellEnd"/>
      <w:r w:rsidRPr="007F3D68">
        <w:rPr>
          <w:rFonts w:asciiTheme="majorHAnsi" w:hAnsiTheme="majorHAnsi"/>
          <w:sz w:val="16"/>
          <w:szCs w:val="16"/>
          <w:lang w:val="es-VE"/>
        </w:rPr>
        <w:t xml:space="preserve"> Mayen. Anexo al escrito de observaciones de los peticionarios presentado el 19 de julio de 2004.</w:t>
      </w:r>
    </w:p>
  </w:footnote>
  <w:footnote w:id="10">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5.</w:t>
      </w:r>
      <w:r w:rsidRPr="007F3D68">
        <w:rPr>
          <w:rFonts w:ascii="Cambria" w:hAnsi="Cambria"/>
          <w:sz w:val="16"/>
          <w:szCs w:val="16"/>
          <w:lang w:val="es-VE"/>
        </w:rPr>
        <w:t xml:space="preserve"> Memorial presentado por el abogado defensor de Tirso Román Valenzuela Avila ante el Juez de Primera Instancia Penal, Narcoactividad y delitos contra el Ambiente. Anexo al escrito de observaciones de los peticionarios de 19 de julio de 2004.</w:t>
      </w:r>
    </w:p>
  </w:footnote>
  <w:footnote w:id="11">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6</w:t>
      </w:r>
      <w:r w:rsidRPr="007F3D68">
        <w:rPr>
          <w:rFonts w:ascii="Cambria" w:hAnsi="Cambria"/>
          <w:sz w:val="16"/>
          <w:szCs w:val="16"/>
          <w:lang w:val="es-VE"/>
        </w:rPr>
        <w:t xml:space="preserve">. Carta de Tirso Román Valenzuela Ávila al licenciado Enríquez Cabrera. </w:t>
      </w:r>
    </w:p>
  </w:footnote>
  <w:footnote w:id="12">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7</w:t>
      </w:r>
      <w:r w:rsidRPr="007F3D68">
        <w:rPr>
          <w:rFonts w:ascii="Cambria" w:hAnsi="Cambria"/>
          <w:sz w:val="16"/>
          <w:szCs w:val="16"/>
          <w:lang w:val="es-VE"/>
        </w:rPr>
        <w:t>. Recurso de exhibición personal planteado por Tirso Román Valenzuela Ávila el 11 de julio de 2001.</w:t>
      </w:r>
    </w:p>
  </w:footnote>
  <w:footnote w:id="13">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8</w:t>
      </w:r>
      <w:r w:rsidRPr="007F3D68">
        <w:rPr>
          <w:rFonts w:ascii="Cambria" w:hAnsi="Cambria"/>
          <w:sz w:val="16"/>
          <w:szCs w:val="16"/>
          <w:lang w:val="es-VE"/>
        </w:rPr>
        <w:t>. Decisión de la Sala Tercera de la Corte de Apelaciones denegando recurso de exhibición personal de 30 de julio de 2001.</w:t>
      </w:r>
    </w:p>
  </w:footnote>
  <w:footnote w:id="14">
    <w:p w:rsidR="00F40EB1" w:rsidRPr="007F3D68" w:rsidRDefault="00F40EB1" w:rsidP="00D914A2">
      <w:pPr>
        <w:pStyle w:val="FootnoteText"/>
        <w:ind w:firstLine="720"/>
        <w:rPr>
          <w:lang w:val="es-VE"/>
        </w:rPr>
      </w:pPr>
      <w:r w:rsidRPr="007F3D68">
        <w:rPr>
          <w:rStyle w:val="FootnoteReference"/>
          <w:rFonts w:ascii="Cambria" w:hAnsi="Cambria"/>
          <w:sz w:val="16"/>
          <w:szCs w:val="16"/>
        </w:rPr>
        <w:footnoteRef/>
      </w:r>
      <w:r>
        <w:rPr>
          <w:rFonts w:ascii="Cambria" w:hAnsi="Cambria"/>
          <w:sz w:val="16"/>
          <w:szCs w:val="16"/>
          <w:lang w:val="es-VE"/>
        </w:rPr>
        <w:t xml:space="preserve"> Anexo 9</w:t>
      </w:r>
      <w:r w:rsidRPr="007F3D68">
        <w:rPr>
          <w:rFonts w:ascii="Cambria" w:hAnsi="Cambria"/>
          <w:sz w:val="16"/>
          <w:szCs w:val="16"/>
          <w:lang w:val="es-VE"/>
        </w:rPr>
        <w:t xml:space="preserve">. Declaración de Pablo Arturo Ruiz </w:t>
      </w:r>
      <w:proofErr w:type="spellStart"/>
      <w:r w:rsidRPr="007F3D68">
        <w:rPr>
          <w:rFonts w:ascii="Cambria" w:hAnsi="Cambria"/>
          <w:sz w:val="16"/>
          <w:szCs w:val="16"/>
          <w:lang w:val="es-VE"/>
        </w:rPr>
        <w:t>Almengor</w:t>
      </w:r>
      <w:proofErr w:type="spellEnd"/>
      <w:r w:rsidRPr="007F3D68">
        <w:rPr>
          <w:rFonts w:ascii="Cambria" w:hAnsi="Cambria"/>
          <w:sz w:val="16"/>
          <w:szCs w:val="16"/>
          <w:lang w:val="es-VE"/>
        </w:rPr>
        <w:t>. Anexo al escrito de observaciones de los peticionarios presentado el 19 de julio de 2004.</w:t>
      </w:r>
    </w:p>
  </w:footnote>
  <w:footnote w:id="15">
    <w:p w:rsidR="00F40EB1" w:rsidRPr="007F3D68" w:rsidRDefault="00F40EB1" w:rsidP="00942D0B">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10</w:t>
      </w:r>
      <w:r w:rsidRPr="007F3D68">
        <w:rPr>
          <w:rFonts w:ascii="Cambria" w:hAnsi="Cambria"/>
          <w:sz w:val="16"/>
          <w:szCs w:val="16"/>
          <w:lang w:val="es-VE"/>
        </w:rPr>
        <w:t xml:space="preserve">. Oficio del médico Carlos Guillermo Quijada Sandoval a la Directora General del Sistema Penitenciario de Guatemala, 28 de febrero de 2005. </w:t>
      </w:r>
    </w:p>
  </w:footnote>
  <w:footnote w:id="16">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11</w:t>
      </w:r>
      <w:r w:rsidRPr="007F3D68">
        <w:rPr>
          <w:rFonts w:ascii="Cambria" w:hAnsi="Cambria"/>
          <w:sz w:val="16"/>
          <w:szCs w:val="16"/>
          <w:lang w:val="es-VE"/>
        </w:rPr>
        <w:t xml:space="preserve">. Informe del médico Edna Karina </w:t>
      </w:r>
      <w:proofErr w:type="spellStart"/>
      <w:r w:rsidRPr="007F3D68">
        <w:rPr>
          <w:rFonts w:ascii="Cambria" w:hAnsi="Cambria"/>
          <w:sz w:val="16"/>
          <w:szCs w:val="16"/>
          <w:lang w:val="es-VE"/>
        </w:rPr>
        <w:t>Vaquerano</w:t>
      </w:r>
      <w:proofErr w:type="spellEnd"/>
      <w:r w:rsidRPr="007F3D68">
        <w:rPr>
          <w:rFonts w:ascii="Cambria" w:hAnsi="Cambria"/>
          <w:sz w:val="16"/>
          <w:szCs w:val="16"/>
          <w:lang w:val="es-VE"/>
        </w:rPr>
        <w:t xml:space="preserve"> Martínez de 15 de junio de 2005. </w:t>
      </w:r>
    </w:p>
  </w:footnote>
  <w:footnote w:id="17">
    <w:p w:rsidR="00F40EB1" w:rsidRPr="007F3D68" w:rsidRDefault="00F40EB1" w:rsidP="008E7F97">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11</w:t>
      </w:r>
      <w:r w:rsidRPr="007F3D68">
        <w:rPr>
          <w:rFonts w:ascii="Cambria" w:hAnsi="Cambria"/>
          <w:sz w:val="16"/>
          <w:szCs w:val="16"/>
          <w:lang w:val="es-VE"/>
        </w:rPr>
        <w:t xml:space="preserve">. Informe del médico Edna Karina </w:t>
      </w:r>
      <w:proofErr w:type="spellStart"/>
      <w:r w:rsidRPr="007F3D68">
        <w:rPr>
          <w:rFonts w:ascii="Cambria" w:hAnsi="Cambria"/>
          <w:sz w:val="16"/>
          <w:szCs w:val="16"/>
          <w:lang w:val="es-VE"/>
        </w:rPr>
        <w:t>Vaquerano</w:t>
      </w:r>
      <w:proofErr w:type="spellEnd"/>
      <w:r w:rsidRPr="007F3D68">
        <w:rPr>
          <w:rFonts w:ascii="Cambria" w:hAnsi="Cambria"/>
          <w:sz w:val="16"/>
          <w:szCs w:val="16"/>
          <w:lang w:val="es-VE"/>
        </w:rPr>
        <w:t xml:space="preserve"> Martínez de 15 de junio de 2005.</w:t>
      </w:r>
    </w:p>
  </w:footnote>
  <w:footnote w:id="18">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12</w:t>
      </w:r>
      <w:r w:rsidRPr="007F3D68">
        <w:rPr>
          <w:rFonts w:ascii="Cambria" w:hAnsi="Cambria"/>
          <w:sz w:val="16"/>
          <w:szCs w:val="16"/>
          <w:lang w:val="es-VE"/>
        </w:rPr>
        <w:t xml:space="preserve">. Peritaje psicológico de Tirso Román Valenzuela Ávila, realizado por el médico Juan Cristóbal Aldana Alfaro. </w:t>
      </w:r>
    </w:p>
  </w:footnote>
  <w:footnote w:id="19">
    <w:p w:rsidR="00F40EB1" w:rsidRPr="007F3D68" w:rsidRDefault="00F40EB1" w:rsidP="00D914A2">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Pr>
          <w:rFonts w:ascii="Cambria" w:hAnsi="Cambria"/>
          <w:sz w:val="16"/>
          <w:szCs w:val="16"/>
          <w:lang w:val="es-VE"/>
        </w:rPr>
        <w:t xml:space="preserve"> Anexo 12</w:t>
      </w:r>
      <w:r w:rsidRPr="007F3D68">
        <w:rPr>
          <w:rFonts w:ascii="Cambria" w:hAnsi="Cambria"/>
          <w:sz w:val="16"/>
          <w:szCs w:val="16"/>
          <w:lang w:val="es-VE"/>
        </w:rPr>
        <w:t xml:space="preserve">. Peritaje psicológico de Tirso Román Valenzuela Ávila, realizado por el médico Juan Cristóbal Aldana Alfaro. </w:t>
      </w:r>
    </w:p>
  </w:footnote>
  <w:footnote w:id="20">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13</w:t>
      </w:r>
      <w:r w:rsidRPr="007F3D68">
        <w:rPr>
          <w:rFonts w:asciiTheme="majorHAnsi" w:hAnsiTheme="majorHAnsi"/>
          <w:sz w:val="16"/>
          <w:szCs w:val="16"/>
          <w:lang w:val="es-VE"/>
        </w:rPr>
        <w:t xml:space="preserve">. Escrito de acusación del Ministerio Público en contra de Tirso Román Valenzuela Ávila de 31 de mayo de 1999. </w:t>
      </w:r>
    </w:p>
  </w:footnote>
  <w:footnote w:id="21">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14</w:t>
      </w:r>
      <w:r w:rsidRPr="007F3D68">
        <w:rPr>
          <w:rFonts w:asciiTheme="majorHAnsi" w:hAnsiTheme="majorHAnsi"/>
          <w:sz w:val="16"/>
          <w:szCs w:val="16"/>
          <w:lang w:val="es-VE"/>
        </w:rPr>
        <w:t xml:space="preserve">. Resolución del Juzgado de Primera Instancia Penal que decreta sobreseimiento de 2 de julio de 1999. </w:t>
      </w:r>
    </w:p>
  </w:footnote>
  <w:footnote w:id="22">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15</w:t>
      </w:r>
      <w:r w:rsidRPr="007F3D68">
        <w:rPr>
          <w:rFonts w:asciiTheme="majorHAnsi" w:hAnsiTheme="majorHAnsi"/>
          <w:sz w:val="16"/>
          <w:szCs w:val="16"/>
          <w:lang w:val="es-VE"/>
        </w:rPr>
        <w:t xml:space="preserve">. Sentencia de Tribunal de Sentencia del Departamento de Quetzaltenango de 21 de octubre de 1999. </w:t>
      </w:r>
    </w:p>
  </w:footnote>
  <w:footnote w:id="23">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15</w:t>
      </w:r>
      <w:r w:rsidRPr="007F3D68">
        <w:rPr>
          <w:rFonts w:asciiTheme="majorHAnsi" w:hAnsiTheme="majorHAnsi"/>
          <w:sz w:val="16"/>
          <w:szCs w:val="16"/>
          <w:lang w:val="es-VE"/>
        </w:rPr>
        <w:t xml:space="preserve">. Sentencia de Tribunal de Sentencia del Departamento de Quetzaltenango de 21 de octubre de 1999. </w:t>
      </w:r>
    </w:p>
  </w:footnote>
  <w:footnote w:id="24">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Pr>
          <w:rFonts w:asciiTheme="majorHAnsi" w:hAnsiTheme="majorHAnsi"/>
          <w:sz w:val="16"/>
          <w:szCs w:val="16"/>
          <w:lang w:val="es-VE"/>
        </w:rPr>
        <w:t xml:space="preserve">Anexo 15. </w:t>
      </w:r>
      <w:r w:rsidRPr="007F3D68">
        <w:rPr>
          <w:rFonts w:asciiTheme="majorHAnsi" w:hAnsiTheme="majorHAnsi"/>
          <w:sz w:val="16"/>
          <w:szCs w:val="16"/>
          <w:lang w:val="es-VE"/>
        </w:rPr>
        <w:t xml:space="preserve">Sentencia de Tribunal de Sentencia del Departamento de Quetzaltenango de 21 de octubre de 1999. </w:t>
      </w:r>
    </w:p>
  </w:footnote>
  <w:footnote w:id="25">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16</w:t>
      </w:r>
      <w:r w:rsidRPr="007F3D68">
        <w:rPr>
          <w:rFonts w:asciiTheme="majorHAnsi" w:hAnsiTheme="majorHAnsi"/>
          <w:sz w:val="16"/>
          <w:szCs w:val="16"/>
          <w:lang w:val="es-VE"/>
        </w:rPr>
        <w:t xml:space="preserve">. Recurso de apelación especial interpuesto por Cristóbal Gerónimo Chales ante el Tribunal de Sentencia del Departamento de Quetzaltenango. </w:t>
      </w:r>
    </w:p>
  </w:footnote>
  <w:footnote w:id="26">
    <w:p w:rsidR="00F40EB1" w:rsidRPr="007F3D68" w:rsidRDefault="00F40EB1" w:rsidP="00056FA7">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16</w:t>
      </w:r>
      <w:r w:rsidRPr="007F3D68">
        <w:rPr>
          <w:rFonts w:asciiTheme="majorHAnsi" w:hAnsiTheme="majorHAnsi"/>
          <w:sz w:val="16"/>
          <w:szCs w:val="16"/>
          <w:lang w:val="es-VE"/>
        </w:rPr>
        <w:t xml:space="preserve">. Recurso de apelación especial interpuesto por Cristóbal Gerónimo Chales ante el Tribunal de Sentencia del Departamento de Quetzaltenango. </w:t>
      </w:r>
    </w:p>
  </w:footnote>
  <w:footnote w:id="27">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17</w:t>
      </w:r>
      <w:r w:rsidRPr="007F3D68">
        <w:rPr>
          <w:rFonts w:asciiTheme="majorHAnsi" w:hAnsiTheme="majorHAnsi"/>
          <w:sz w:val="16"/>
          <w:szCs w:val="16"/>
          <w:lang w:val="es-VE"/>
        </w:rPr>
        <w:t xml:space="preserve">. Decisión de la Sala Séptima de la Corte de Apelaciones de Quetzaltenango de 7 de agosto de 2000 que deniega recurso de apelación especial. </w:t>
      </w:r>
    </w:p>
  </w:footnote>
  <w:footnote w:id="28">
    <w:p w:rsidR="00F40EB1" w:rsidRPr="007F3D68" w:rsidRDefault="00F40EB1" w:rsidP="000A1A51">
      <w:pPr>
        <w:pStyle w:val="FootnoteText"/>
        <w:ind w:firstLine="720"/>
        <w:rPr>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17</w:t>
      </w:r>
      <w:r w:rsidRPr="007F3D68">
        <w:rPr>
          <w:rFonts w:asciiTheme="majorHAnsi" w:hAnsiTheme="majorHAnsi"/>
          <w:sz w:val="16"/>
          <w:szCs w:val="16"/>
          <w:lang w:val="es-VE"/>
        </w:rPr>
        <w:t>. Decisión de la Sala Séptima de la Corte de Apelaciones de Quetzaltenango de 7 de agosto de 2000 que deniega recurso de apelación especial.</w:t>
      </w:r>
      <w:r w:rsidRPr="007F3D68">
        <w:rPr>
          <w:lang w:val="es-VE"/>
        </w:rPr>
        <w:t xml:space="preserve"> </w:t>
      </w:r>
    </w:p>
  </w:footnote>
  <w:footnote w:id="29">
    <w:p w:rsidR="00F40EB1" w:rsidRPr="007F3D68" w:rsidRDefault="00F40EB1" w:rsidP="000516EB">
      <w:pPr>
        <w:pStyle w:val="FootnoteText"/>
        <w:ind w:firstLine="720"/>
        <w:rPr>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17</w:t>
      </w:r>
      <w:r w:rsidRPr="007F3D68">
        <w:rPr>
          <w:rFonts w:asciiTheme="majorHAnsi" w:hAnsiTheme="majorHAnsi"/>
          <w:sz w:val="16"/>
          <w:szCs w:val="16"/>
          <w:lang w:val="es-VE"/>
        </w:rPr>
        <w:t>. Decisión de la Sala Séptima de la Corte de Apelaciones de Quetzaltenango de 7 de agosto de 2000 que deniega recurso de apelación especial.</w:t>
      </w:r>
      <w:r w:rsidRPr="007F3D68">
        <w:rPr>
          <w:lang w:val="es-VE"/>
        </w:rPr>
        <w:t xml:space="preserve"> </w:t>
      </w:r>
    </w:p>
  </w:footnote>
  <w:footnote w:id="30">
    <w:p w:rsidR="00F40EB1" w:rsidRPr="007F3D68" w:rsidRDefault="00F40EB1" w:rsidP="00AE5024">
      <w:pPr>
        <w:pStyle w:val="FootnoteText"/>
        <w:ind w:firstLine="720"/>
        <w:rPr>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17</w:t>
      </w:r>
      <w:r w:rsidRPr="007F3D68">
        <w:rPr>
          <w:rFonts w:asciiTheme="majorHAnsi" w:hAnsiTheme="majorHAnsi"/>
          <w:sz w:val="16"/>
          <w:szCs w:val="16"/>
          <w:lang w:val="es-VE"/>
        </w:rPr>
        <w:t>. Decisión de la Sala Séptima de la Corte de Apelaciones de Quetzaltenango de 7 de agosto de 2000 que deniega recurso de apelación especial.</w:t>
      </w:r>
      <w:r w:rsidRPr="007F3D68">
        <w:rPr>
          <w:lang w:val="es-VE"/>
        </w:rPr>
        <w:t xml:space="preserve"> </w:t>
      </w:r>
    </w:p>
  </w:footnote>
  <w:footnote w:id="31">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18</w:t>
      </w:r>
      <w:r w:rsidRPr="007F3D68">
        <w:rPr>
          <w:rFonts w:asciiTheme="majorHAnsi" w:hAnsiTheme="majorHAnsi"/>
          <w:sz w:val="16"/>
          <w:szCs w:val="16"/>
          <w:lang w:val="es-VE"/>
        </w:rPr>
        <w:t xml:space="preserve">. Decisión de la Cámara Penal de la Corte Suprema de Justicia de 1 de diciembre de 2000 que declara sin lugar el recurso de casación interpuesto por la presunta víctima. </w:t>
      </w:r>
    </w:p>
  </w:footnote>
  <w:footnote w:id="32">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19</w:t>
      </w:r>
      <w:r w:rsidRPr="007F3D68">
        <w:rPr>
          <w:rFonts w:asciiTheme="majorHAnsi" w:hAnsiTheme="majorHAnsi"/>
          <w:sz w:val="16"/>
          <w:szCs w:val="16"/>
          <w:lang w:val="es-VE"/>
        </w:rPr>
        <w:t xml:space="preserve">. Decisión de la Cámara Penal de la Corte Suprema de justicia de 5 de julio de 2004 que deniega recurso de revisión. </w:t>
      </w:r>
    </w:p>
  </w:footnote>
  <w:footnote w:id="33">
    <w:p w:rsidR="00F40EB1" w:rsidRPr="007F3D68" w:rsidRDefault="00F40EB1" w:rsidP="000A1A51">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Pr>
          <w:rFonts w:asciiTheme="majorHAnsi" w:hAnsiTheme="majorHAnsi"/>
          <w:sz w:val="16"/>
          <w:szCs w:val="16"/>
          <w:lang w:val="es-VE"/>
        </w:rPr>
        <w:t xml:space="preserve"> Anexo 19</w:t>
      </w:r>
      <w:r w:rsidRPr="007F3D68">
        <w:rPr>
          <w:rFonts w:asciiTheme="majorHAnsi" w:hAnsiTheme="majorHAnsi"/>
          <w:sz w:val="16"/>
          <w:szCs w:val="16"/>
          <w:lang w:val="es-VE"/>
        </w:rPr>
        <w:t xml:space="preserve">. Decisión de la Cámara Penal de la Corte Suprema de justicia de 5 de julio de 2004 que deniega recurso de revisión. </w:t>
      </w:r>
    </w:p>
  </w:footnote>
  <w:footnote w:id="34">
    <w:p w:rsidR="00F40EB1" w:rsidRPr="007F3D68" w:rsidRDefault="00F40EB1" w:rsidP="004D11E8">
      <w:pPr>
        <w:pStyle w:val="FootnoteText"/>
        <w:spacing w:after="120"/>
        <w:ind w:firstLine="720"/>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w:t>
      </w:r>
      <w:hyperlink r:id="rId2" w:history="1">
        <w:r w:rsidRPr="007F3D68">
          <w:rPr>
            <w:rStyle w:val="Hyperlink"/>
            <w:rFonts w:ascii="Cambria" w:hAnsi="Cambria"/>
            <w:sz w:val="16"/>
            <w:szCs w:val="16"/>
            <w:lang w:val="es-VE"/>
          </w:rPr>
          <w:t>Constitución Política de la República de Guatemala</w:t>
        </w:r>
      </w:hyperlink>
      <w:r w:rsidRPr="007F3D68">
        <w:rPr>
          <w:rFonts w:ascii="Cambria" w:hAnsi="Cambria"/>
          <w:sz w:val="16"/>
          <w:szCs w:val="16"/>
          <w:lang w:val="es-VE"/>
        </w:rPr>
        <w:t xml:space="preserve"> de 1985. </w:t>
      </w:r>
    </w:p>
  </w:footnote>
  <w:footnote w:id="35">
    <w:p w:rsidR="00F40EB1" w:rsidRPr="007F3D68" w:rsidRDefault="00F40EB1" w:rsidP="004D11E8">
      <w:pPr>
        <w:pStyle w:val="FootnoteText"/>
        <w:spacing w:after="120"/>
        <w:ind w:firstLine="720"/>
        <w:jc w:val="both"/>
        <w:rPr>
          <w:rFonts w:ascii="Cambria" w:hAnsi="Cambria"/>
          <w:sz w:val="16"/>
          <w:szCs w:val="16"/>
          <w:lang w:val="pt-BR"/>
        </w:rPr>
      </w:pPr>
      <w:r w:rsidRPr="007F3D68">
        <w:rPr>
          <w:rStyle w:val="FootnoteReference"/>
          <w:rFonts w:ascii="Cambria" w:hAnsi="Cambria"/>
          <w:sz w:val="16"/>
          <w:szCs w:val="16"/>
        </w:rPr>
        <w:footnoteRef/>
      </w:r>
      <w:r w:rsidRPr="007F3D68">
        <w:rPr>
          <w:rFonts w:ascii="Cambria" w:hAnsi="Cambria"/>
          <w:sz w:val="16"/>
          <w:szCs w:val="16"/>
          <w:lang w:val="pt-BR"/>
        </w:rPr>
        <w:t xml:space="preserve"> Decreto Número 17-73, Código Penal de Guatemala.  </w:t>
      </w:r>
    </w:p>
  </w:footnote>
  <w:footnote w:id="36">
    <w:p w:rsidR="00F40EB1" w:rsidRPr="007F3D68" w:rsidRDefault="00F40EB1" w:rsidP="004D11E8">
      <w:pPr>
        <w:pStyle w:val="FootnoteText"/>
        <w:ind w:firstLine="720"/>
        <w:jc w:val="both"/>
        <w:rPr>
          <w:rFonts w:ascii="Cambria" w:hAnsi="Cambria"/>
          <w:sz w:val="16"/>
          <w:szCs w:val="16"/>
          <w:lang w:val="pt-BR"/>
        </w:rPr>
      </w:pPr>
      <w:r w:rsidRPr="007F3D68">
        <w:rPr>
          <w:rStyle w:val="FootnoteReference"/>
          <w:rFonts w:ascii="Cambria" w:hAnsi="Cambria"/>
          <w:sz w:val="16"/>
          <w:szCs w:val="16"/>
        </w:rPr>
        <w:footnoteRef/>
      </w:r>
      <w:r w:rsidRPr="007F3D68">
        <w:rPr>
          <w:rFonts w:ascii="Cambria" w:hAnsi="Cambria"/>
          <w:sz w:val="16"/>
          <w:szCs w:val="16"/>
          <w:lang w:val="pt-BR"/>
        </w:rPr>
        <w:t xml:space="preserve"> Decreto Número 17-73, Código Penal de Guatemala.  </w:t>
      </w:r>
    </w:p>
  </w:footnote>
  <w:footnote w:id="37">
    <w:p w:rsidR="00F40EB1" w:rsidRPr="007F3D68" w:rsidRDefault="00F40EB1" w:rsidP="004D11E8">
      <w:pPr>
        <w:pStyle w:val="FootnoteText"/>
        <w:ind w:firstLine="720"/>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Amnistía Internacional. Guatemala, El retorno de la pena de muerte. Marzo de 1997; ver también CIDH, Informe Anual de la Comisión Interamericana de Derechos Humanos, OEA/</w:t>
      </w:r>
      <w:proofErr w:type="spellStart"/>
      <w:r w:rsidRPr="007F3D68">
        <w:rPr>
          <w:rFonts w:ascii="Cambria" w:hAnsi="Cambria"/>
          <w:sz w:val="16"/>
          <w:szCs w:val="16"/>
          <w:lang w:val="es-VE"/>
        </w:rPr>
        <w:t>Ser.L</w:t>
      </w:r>
      <w:proofErr w:type="spellEnd"/>
      <w:r w:rsidRPr="007F3D68">
        <w:rPr>
          <w:rFonts w:ascii="Cambria" w:hAnsi="Cambria"/>
          <w:sz w:val="16"/>
          <w:szCs w:val="16"/>
          <w:lang w:val="es-VE"/>
        </w:rPr>
        <w:t>/V/II.63 doc.10, 28 de septiembre de 1984, Guatemala, párr. 9.</w:t>
      </w:r>
    </w:p>
  </w:footnote>
  <w:footnote w:id="38">
    <w:p w:rsidR="00F40EB1" w:rsidRPr="007F3D68" w:rsidRDefault="00F40EB1" w:rsidP="004D11E8">
      <w:pPr>
        <w:pStyle w:val="FootnoteText"/>
        <w:ind w:firstLine="720"/>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Al respecto el </w:t>
      </w:r>
      <w:hyperlink r:id="rId3" w:history="1">
        <w:r w:rsidRPr="007F3D68">
          <w:rPr>
            <w:rStyle w:val="Hyperlink"/>
            <w:rFonts w:ascii="Cambria" w:hAnsi="Cambria"/>
            <w:sz w:val="16"/>
            <w:szCs w:val="16"/>
            <w:lang w:val="es-VE"/>
          </w:rPr>
          <w:t>Decreto Número 100-96</w:t>
        </w:r>
      </w:hyperlink>
      <w:r w:rsidRPr="007F3D68">
        <w:rPr>
          <w:rFonts w:ascii="Cambria" w:hAnsi="Cambria"/>
          <w:sz w:val="16"/>
          <w:szCs w:val="16"/>
          <w:lang w:val="es-VE"/>
        </w:rPr>
        <w:t xml:space="preserve"> de 28 de noviembre de 1996, Ley que Establece el Procedimiento para la Ejecución de la Pena de Muerte. </w:t>
      </w:r>
    </w:p>
  </w:footnote>
  <w:footnote w:id="39">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Ver CIDH, Informe Anual de la Comisión Interamericana de Derechos Humanos de 1997,OEA/</w:t>
      </w:r>
      <w:proofErr w:type="spellStart"/>
      <w:r w:rsidRPr="007F3D68">
        <w:rPr>
          <w:rFonts w:ascii="Cambria" w:hAnsi="Cambria"/>
          <w:sz w:val="16"/>
          <w:szCs w:val="16"/>
          <w:lang w:val="es-VE"/>
        </w:rPr>
        <w:t>Ser.L</w:t>
      </w:r>
      <w:proofErr w:type="spellEnd"/>
      <w:r w:rsidRPr="007F3D68">
        <w:rPr>
          <w:rFonts w:ascii="Cambria" w:hAnsi="Cambria"/>
          <w:sz w:val="16"/>
          <w:szCs w:val="16"/>
          <w:lang w:val="es-VE"/>
        </w:rPr>
        <w:t>/V/II.doc.6, 17 de febrero de 1998, párr.26-29.</w:t>
      </w:r>
    </w:p>
  </w:footnote>
  <w:footnote w:id="40">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Corte de Constitucionalidad, Expediente 1015-96, Gaceta Jurisprudencial No. 41-Amparos en Única Instancia. </w:t>
      </w:r>
    </w:p>
  </w:footnote>
  <w:footnote w:id="41">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Ver </w:t>
      </w:r>
      <w:hyperlink r:id="rId4" w:history="1">
        <w:r w:rsidRPr="007F3D68">
          <w:rPr>
            <w:rStyle w:val="Hyperlink"/>
            <w:rFonts w:ascii="Cambria" w:hAnsi="Cambria"/>
            <w:sz w:val="16"/>
            <w:szCs w:val="16"/>
            <w:lang w:val="es-VE"/>
          </w:rPr>
          <w:t>Decreto número 32-2000</w:t>
        </w:r>
      </w:hyperlink>
      <w:r w:rsidRPr="007F3D68">
        <w:rPr>
          <w:rFonts w:ascii="Cambria" w:hAnsi="Cambria"/>
          <w:sz w:val="16"/>
          <w:szCs w:val="16"/>
          <w:lang w:val="es-VE"/>
        </w:rPr>
        <w:t xml:space="preserve"> publicado el 1 de junio de 2000.</w:t>
      </w:r>
    </w:p>
  </w:footnote>
  <w:footnote w:id="42">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Ver Artículo 132 del Decreto 17-73 del Congreso de la República de Guatemala, Código Penal. </w:t>
      </w:r>
    </w:p>
  </w:footnote>
  <w:footnote w:id="43">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Ver </w:t>
      </w:r>
      <w:hyperlink r:id="rId5" w:history="1">
        <w:r w:rsidRPr="007F3D68">
          <w:rPr>
            <w:rStyle w:val="Hyperlink"/>
            <w:rFonts w:ascii="Cambria" w:hAnsi="Cambria"/>
            <w:sz w:val="16"/>
            <w:szCs w:val="16"/>
            <w:lang w:val="es-VE"/>
          </w:rPr>
          <w:t>Artículo 5 del Decreto 20-96</w:t>
        </w:r>
      </w:hyperlink>
      <w:r w:rsidRPr="007F3D68">
        <w:rPr>
          <w:rFonts w:ascii="Cambria" w:hAnsi="Cambria"/>
          <w:sz w:val="16"/>
          <w:szCs w:val="16"/>
          <w:lang w:val="es-VE"/>
        </w:rPr>
        <w:t xml:space="preserve"> del Congreso de la República de Guatemala. </w:t>
      </w:r>
    </w:p>
  </w:footnote>
  <w:footnote w:id="44">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pt-BR"/>
        </w:rPr>
        <w:t xml:space="preserve"> Corte IDH. Caso Fermín Ramírez vs. Guatemala. </w:t>
      </w:r>
      <w:r w:rsidRPr="007F3D68">
        <w:rPr>
          <w:rFonts w:ascii="Cambria" w:hAnsi="Cambria"/>
          <w:sz w:val="16"/>
          <w:szCs w:val="16"/>
          <w:lang w:val="es-VE"/>
        </w:rPr>
        <w:t xml:space="preserve">Fondo, Reparaciones y Costas. Sentencia de 20 de junio de 2005. Serie C No. 126, párr.94 y ss. </w:t>
      </w:r>
    </w:p>
  </w:footnote>
  <w:footnote w:id="45">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Corte IDH. Caso Fermín Ramírez vs. Guatemala. Fondo, Reparaciones y Costas. Sentencia de 20 de junio de 2005. Serie C No. 126, párr.94 y ss. </w:t>
      </w:r>
    </w:p>
  </w:footnote>
  <w:footnote w:id="46">
    <w:p w:rsidR="00F40EB1" w:rsidRPr="007F3D68" w:rsidRDefault="00F40EB1" w:rsidP="004D11E8">
      <w:pPr>
        <w:pStyle w:val="FootnoteText"/>
        <w:spacing w:after="120"/>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Ver artículo de prensa publicado en Agencia Efe, </w:t>
      </w:r>
      <w:hyperlink r:id="rId6" w:history="1">
        <w:r w:rsidRPr="007F3D68">
          <w:rPr>
            <w:rStyle w:val="Hyperlink"/>
            <w:rFonts w:ascii="Cambria" w:hAnsi="Cambria"/>
            <w:sz w:val="16"/>
            <w:szCs w:val="16"/>
            <w:lang w:val="es-VE"/>
          </w:rPr>
          <w:t>Piden en Guatemala restituir figura de indulto, y con ella, la pena de muerte</w:t>
        </w:r>
      </w:hyperlink>
      <w:r w:rsidRPr="007F3D68">
        <w:rPr>
          <w:rFonts w:ascii="Cambria" w:hAnsi="Cambria"/>
          <w:sz w:val="16"/>
          <w:szCs w:val="16"/>
          <w:lang w:val="es-VE"/>
        </w:rPr>
        <w:t xml:space="preserve">, 10 de marzo de 2016, El periódico, </w:t>
      </w:r>
      <w:hyperlink r:id="rId7" w:history="1">
        <w:r w:rsidRPr="007F3D68">
          <w:rPr>
            <w:rStyle w:val="Hyperlink"/>
            <w:rFonts w:ascii="Cambria" w:hAnsi="Cambria"/>
            <w:sz w:val="16"/>
            <w:szCs w:val="16"/>
            <w:lang w:val="es-VE"/>
          </w:rPr>
          <w:t>conmutación de la pena de muerte</w:t>
        </w:r>
      </w:hyperlink>
      <w:r w:rsidRPr="007F3D68">
        <w:rPr>
          <w:rFonts w:ascii="Cambria" w:hAnsi="Cambria"/>
          <w:sz w:val="16"/>
          <w:szCs w:val="16"/>
          <w:lang w:val="es-VE"/>
        </w:rPr>
        <w:t>, 12 de febrero de 2016. La CIDH también ha documentado una serie de decisiones a nivel interno previas al año 2000, por medio de las cuales tribunales internos decidieron no aplicar la pena de muerte porque contrariaba los términos de aplicación del artículo 4.2 de la Convención Americana. Al respecto, en su informe anual de 1997 la CIDH indicó: “</w:t>
      </w:r>
      <w:r w:rsidRPr="007F3D68">
        <w:rPr>
          <w:rFonts w:ascii="Cambria" w:hAnsi="Cambria"/>
          <w:spacing w:val="-2"/>
          <w:sz w:val="16"/>
          <w:szCs w:val="16"/>
          <w:lang w:val="es-VE"/>
        </w:rPr>
        <w:t>En su último informe, la Comisión hizo referencia a la sentencia notable de la Sala Novena de la Corte de Apelaciones del 30 de enero de 1997, por la que conmutó tres sentencias de muerte en condenas de 50 años en base a lo dispuesto por el derecho interno, incluida la obligación que impone al Estado el artículo 4 de la Convención Americana.  La Comisión ha recibido información de que el Tribunal de Sentencia Penal, Narcoactividad y Delitos contra el Ambiente del Departamento de Santa Rosa, Cuilapa adoptó una decisión similar el 8 de mayo de 1997, en el caso de Guillermo López Contreras, habiendo dictaminado que, de acuerdo con los términos del régimen jurídico aplicable, el Tribunal no podía legalmente imponer la pena de muerte por un delito para el que no se preveía ese castigo a la fecha de la ratificación de la Convención.  La Comisión reconoce y valora tales decisiones que respetan y reflejan debidamente las obligaciones internacionales asumidas por el Estado en materia de derechos humanos”. Ver CIDH, Informe Anual de la Comisión Interamericana de Derechos Humanos de 1997, Guatemala, OEA/</w:t>
      </w:r>
      <w:proofErr w:type="spellStart"/>
      <w:r w:rsidRPr="007F3D68">
        <w:rPr>
          <w:rFonts w:ascii="Cambria" w:hAnsi="Cambria"/>
          <w:spacing w:val="-2"/>
          <w:sz w:val="16"/>
          <w:szCs w:val="16"/>
          <w:lang w:val="es-VE"/>
        </w:rPr>
        <w:t>Ser.L</w:t>
      </w:r>
      <w:proofErr w:type="spellEnd"/>
      <w:r w:rsidRPr="007F3D68">
        <w:rPr>
          <w:rFonts w:ascii="Cambria" w:hAnsi="Cambria"/>
          <w:spacing w:val="-2"/>
          <w:sz w:val="16"/>
          <w:szCs w:val="16"/>
          <w:lang w:val="es-VE"/>
        </w:rPr>
        <w:t>/V/II.98, Doc.6, 17 de febrero de 1998, párr.27.</w:t>
      </w:r>
    </w:p>
  </w:footnote>
  <w:footnote w:id="47">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Ver Congreso de la República de Guatemala,  Decreto Número 6-2008, </w:t>
      </w:r>
      <w:hyperlink r:id="rId8" w:history="1">
        <w:r w:rsidRPr="007F3D68">
          <w:rPr>
            <w:rStyle w:val="Hyperlink"/>
            <w:rFonts w:ascii="Cambria" w:hAnsi="Cambria"/>
            <w:sz w:val="16"/>
            <w:szCs w:val="16"/>
            <w:lang w:val="es-VE"/>
          </w:rPr>
          <w:t>Ley Reguladora de la Conmutación de la Pena para los Condenados a Muerte</w:t>
        </w:r>
      </w:hyperlink>
      <w:r w:rsidRPr="007F3D68">
        <w:rPr>
          <w:rFonts w:ascii="Cambria" w:hAnsi="Cambria"/>
          <w:sz w:val="16"/>
          <w:szCs w:val="16"/>
          <w:lang w:val="es-VE"/>
        </w:rPr>
        <w:t xml:space="preserve">. </w:t>
      </w:r>
    </w:p>
  </w:footnote>
  <w:footnote w:id="48">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Artículo de prensa publicado en elmundo.es,  </w:t>
      </w:r>
      <w:hyperlink r:id="rId9" w:history="1">
        <w:r w:rsidRPr="007F3D68">
          <w:rPr>
            <w:rStyle w:val="Hyperlink"/>
            <w:rFonts w:ascii="Cambria" w:hAnsi="Cambria"/>
            <w:sz w:val="16"/>
            <w:szCs w:val="16"/>
            <w:lang w:val="es-VE"/>
          </w:rPr>
          <w:t>Colom veta la ley que restituyó la pena de muerte en Guatemala</w:t>
        </w:r>
      </w:hyperlink>
      <w:r w:rsidRPr="007F3D68">
        <w:rPr>
          <w:rFonts w:ascii="Cambria" w:hAnsi="Cambria"/>
          <w:sz w:val="16"/>
          <w:szCs w:val="16"/>
          <w:lang w:val="es-VE"/>
        </w:rPr>
        <w:t xml:space="preserve">, 15 de marzo de 2008; Artículo de prensa publicado en BBCMundo.com, </w:t>
      </w:r>
      <w:hyperlink r:id="rId10" w:history="1">
        <w:r w:rsidRPr="007F3D68">
          <w:rPr>
            <w:rStyle w:val="Hyperlink"/>
            <w:rFonts w:ascii="Cambria" w:hAnsi="Cambria"/>
            <w:sz w:val="16"/>
            <w:szCs w:val="16"/>
            <w:lang w:val="es-VE"/>
          </w:rPr>
          <w:t>Colom vetó pena de muerte</w:t>
        </w:r>
      </w:hyperlink>
      <w:r w:rsidRPr="007F3D68">
        <w:rPr>
          <w:rFonts w:ascii="Cambria" w:hAnsi="Cambria"/>
          <w:sz w:val="16"/>
          <w:szCs w:val="16"/>
          <w:lang w:val="es-VE"/>
        </w:rPr>
        <w:t>, 15 de marzo de 2008.</w:t>
      </w:r>
    </w:p>
  </w:footnote>
  <w:footnote w:id="49">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Artículo de prensa publicado en laprensa.com.ni, </w:t>
      </w:r>
      <w:hyperlink r:id="rId11" w:history="1">
        <w:r w:rsidRPr="007F3D68">
          <w:rPr>
            <w:rStyle w:val="Hyperlink"/>
            <w:rFonts w:ascii="Cambria" w:hAnsi="Cambria"/>
            <w:sz w:val="16"/>
            <w:szCs w:val="16"/>
            <w:lang w:val="es-VE"/>
          </w:rPr>
          <w:t>Colom veta ley con que reactivarían pena de muerte</w:t>
        </w:r>
      </w:hyperlink>
      <w:r w:rsidRPr="007F3D68">
        <w:rPr>
          <w:rFonts w:ascii="Cambria" w:hAnsi="Cambria"/>
          <w:sz w:val="16"/>
          <w:szCs w:val="16"/>
          <w:lang w:val="es-VE"/>
        </w:rPr>
        <w:t xml:space="preserve">, 5 de noviembre de 2010. </w:t>
      </w:r>
    </w:p>
  </w:footnote>
  <w:footnote w:id="50">
    <w:p w:rsidR="00F40EB1" w:rsidRPr="007F3D68" w:rsidRDefault="00F40EB1" w:rsidP="004D11E8">
      <w:pPr>
        <w:pStyle w:val="FootnoteText"/>
        <w:ind w:firstLine="708"/>
        <w:jc w:val="both"/>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w:t>
      </w:r>
      <w:hyperlink r:id="rId12" w:history="1">
        <w:r w:rsidRPr="007F3D68">
          <w:rPr>
            <w:rStyle w:val="Hyperlink"/>
            <w:rFonts w:ascii="Cambria" w:hAnsi="Cambria"/>
            <w:sz w:val="16"/>
            <w:szCs w:val="16"/>
            <w:lang w:val="es-AR"/>
          </w:rPr>
          <w:t>Iniciativas de ley presentadas ante el Congreso de la República de Guatemala</w:t>
        </w:r>
      </w:hyperlink>
      <w:r w:rsidRPr="007F3D68">
        <w:rPr>
          <w:rFonts w:ascii="Cambria" w:hAnsi="Cambria"/>
          <w:sz w:val="16"/>
          <w:szCs w:val="16"/>
          <w:lang w:val="es-AR"/>
        </w:rPr>
        <w:t xml:space="preserve">. </w:t>
      </w:r>
    </w:p>
  </w:footnote>
  <w:footnote w:id="51">
    <w:p w:rsidR="00F40EB1" w:rsidRPr="007F3D68" w:rsidRDefault="00F40EB1" w:rsidP="00AB667A">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Plan de Acción Interno No. 002-2005 “Operación Gavilán”.</w:t>
      </w:r>
    </w:p>
  </w:footnote>
  <w:footnote w:id="52">
    <w:p w:rsidR="00F40EB1" w:rsidRPr="007F3D68" w:rsidRDefault="00F40EB1" w:rsidP="00AB667A">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Plan de acción interno No. 002-2005 “Operación Gavilán”. </w:t>
      </w:r>
    </w:p>
  </w:footnote>
  <w:footnote w:id="53">
    <w:p w:rsidR="00F40EB1" w:rsidRPr="007F3D68" w:rsidRDefault="00F40EB1" w:rsidP="00AB667A">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Escrito de observaciones del Estado en el caso de Hugo Humberto Ruiz Fuentes de 18 de agosto de 2009.</w:t>
      </w:r>
    </w:p>
  </w:footnote>
  <w:footnote w:id="54">
    <w:p w:rsidR="00F40EB1" w:rsidRPr="007F3D68" w:rsidRDefault="00F40EB1" w:rsidP="00AB667A">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Escrito de observaciones del Estado en el caso de Hugo Humberto Ruiz Fuentes de 27 de julio de 2009.</w:t>
      </w:r>
    </w:p>
  </w:footnote>
  <w:footnote w:id="55">
    <w:p w:rsidR="00F40EB1" w:rsidRPr="007F3D68" w:rsidRDefault="00F40EB1" w:rsidP="00AB667A">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Escrito de observaciones de los peticionarios de 30 de marzo de 2007. </w:t>
      </w:r>
    </w:p>
  </w:footnote>
  <w:footnote w:id="56">
    <w:p w:rsidR="00F40EB1" w:rsidRPr="007F3D68" w:rsidRDefault="00F40EB1" w:rsidP="00F50CA8">
      <w:pPr>
        <w:pStyle w:val="FootnoteText"/>
        <w:ind w:firstLine="720"/>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Escrito de observaciones de los peticionarios de 2 de abril de 2001. </w:t>
      </w:r>
    </w:p>
  </w:footnote>
  <w:footnote w:id="57">
    <w:p w:rsidR="00F40EB1" w:rsidRPr="007F3D68" w:rsidRDefault="00F40EB1" w:rsidP="00FE2DE7">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CICIG, Comunicado de prensa 041 </w:t>
      </w:r>
      <w:hyperlink r:id="rId13" w:history="1">
        <w:r w:rsidRPr="007F3D68">
          <w:rPr>
            <w:rStyle w:val="Hyperlink"/>
            <w:rFonts w:asciiTheme="majorHAnsi" w:hAnsiTheme="majorHAnsi"/>
            <w:sz w:val="16"/>
            <w:szCs w:val="16"/>
            <w:lang w:val="es-VE"/>
          </w:rPr>
          <w:t>Tribunal condena a responsables de ejecuciones extrajudiciales</w:t>
        </w:r>
      </w:hyperlink>
      <w:r w:rsidRPr="007F3D68">
        <w:rPr>
          <w:rFonts w:asciiTheme="majorHAnsi" w:hAnsiTheme="majorHAnsi"/>
          <w:sz w:val="16"/>
          <w:szCs w:val="16"/>
          <w:lang w:val="es-VE"/>
        </w:rPr>
        <w:t>, 8 de agosto de 2013.</w:t>
      </w:r>
    </w:p>
  </w:footnote>
  <w:footnote w:id="58">
    <w:p w:rsidR="00F40EB1" w:rsidRPr="007F3D68" w:rsidRDefault="00F40EB1" w:rsidP="00FE2DE7">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CICIG, Comunicado de prensa 041 Tribunal condena a responsables de ejecuciones extrajudiciales, 8 de agosto de 2013; </w:t>
      </w:r>
      <w:r w:rsidRPr="007F3D68">
        <w:rPr>
          <w:rStyle w:val="Hyperlink"/>
          <w:rFonts w:asciiTheme="majorHAnsi" w:hAnsiTheme="majorHAnsi"/>
          <w:sz w:val="16"/>
          <w:szCs w:val="16"/>
          <w:u w:val="none"/>
          <w:lang w:val="es-VE"/>
        </w:rPr>
        <w:t xml:space="preserve">ver también </w:t>
      </w:r>
      <w:hyperlink r:id="rId14" w:history="1">
        <w:r w:rsidRPr="007F3D68">
          <w:rPr>
            <w:rStyle w:val="Hyperlink"/>
            <w:rFonts w:asciiTheme="majorHAnsi" w:hAnsiTheme="majorHAnsi"/>
            <w:sz w:val="16"/>
            <w:szCs w:val="16"/>
            <w:lang w:val="es-VE"/>
          </w:rPr>
          <w:t>Sentencias condenatorias en procesos que apoya la CICIG</w:t>
        </w:r>
      </w:hyperlink>
      <w:r w:rsidRPr="007F3D68">
        <w:rPr>
          <w:rStyle w:val="Hyperlink"/>
          <w:rFonts w:asciiTheme="majorHAnsi" w:hAnsiTheme="majorHAnsi"/>
          <w:sz w:val="16"/>
          <w:szCs w:val="16"/>
          <w:u w:val="none"/>
          <w:lang w:val="es-VE"/>
        </w:rPr>
        <w:t>.</w:t>
      </w:r>
    </w:p>
  </w:footnote>
  <w:footnote w:id="59">
    <w:p w:rsidR="00F40EB1" w:rsidRPr="007F3D68" w:rsidRDefault="00F40EB1" w:rsidP="00FE2DE7">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CICIG, Comunicado de prensa 041 Tribunal condena a responsables de ejecuciones extrajudiciales, 8 de agosto de 2013.</w:t>
      </w:r>
    </w:p>
  </w:footnote>
  <w:footnote w:id="60">
    <w:p w:rsidR="00F40EB1" w:rsidRPr="007F3D68" w:rsidRDefault="00F40EB1" w:rsidP="00FE2DE7">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Ver Noticia publicada en Prensa Libre, </w:t>
      </w:r>
      <w:hyperlink r:id="rId15" w:history="1">
        <w:r w:rsidRPr="007F3D68">
          <w:rPr>
            <w:rStyle w:val="Hyperlink"/>
            <w:rFonts w:asciiTheme="majorHAnsi" w:hAnsiTheme="majorHAnsi"/>
            <w:sz w:val="16"/>
            <w:szCs w:val="16"/>
            <w:lang w:val="es-VE"/>
          </w:rPr>
          <w:t xml:space="preserve">Fiscalía insiste en pedir 160 años de cárcel para Carlos </w:t>
        </w:r>
        <w:proofErr w:type="spellStart"/>
        <w:r w:rsidRPr="007F3D68">
          <w:rPr>
            <w:rStyle w:val="Hyperlink"/>
            <w:rFonts w:asciiTheme="majorHAnsi" w:hAnsiTheme="majorHAnsi"/>
            <w:sz w:val="16"/>
            <w:szCs w:val="16"/>
            <w:lang w:val="es-VE"/>
          </w:rPr>
          <w:t>Vielman</w:t>
        </w:r>
        <w:proofErr w:type="spellEnd"/>
      </w:hyperlink>
      <w:r w:rsidRPr="007F3D68">
        <w:rPr>
          <w:rFonts w:asciiTheme="majorHAnsi" w:hAnsiTheme="majorHAnsi"/>
          <w:sz w:val="16"/>
          <w:szCs w:val="16"/>
          <w:lang w:val="es-VE"/>
        </w:rPr>
        <w:t>, 21 de febrero de 2017.</w:t>
      </w:r>
    </w:p>
  </w:footnote>
  <w:footnote w:id="61">
    <w:p w:rsidR="00F40EB1" w:rsidRPr="007F3D68" w:rsidRDefault="00F40EB1" w:rsidP="00FE2DE7">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Informe del Relator Especial, Philip Alston, sobre las ejecuciones extrajudiciales, sumarias o arbitrarias. Misión a Guatemala del 21 al 25 de agosto de 2006. A/HRC/4/20/Add.2, 19 de febrero de 2007.</w:t>
      </w:r>
    </w:p>
  </w:footnote>
  <w:footnote w:id="62">
    <w:p w:rsidR="00F40EB1" w:rsidRPr="007F3D68" w:rsidRDefault="00F40EB1" w:rsidP="00FE2DE7">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Informe del Relator Especial, Philip Alston, sobre las ejecuciones extrajudiciales, sumarias o arbitrarias. Misión a Guatemala del 21 al 25 de agosto de 2006. A/HRC/4/20/Add.2, 19 de febrero de 2007.</w:t>
      </w:r>
    </w:p>
  </w:footnote>
  <w:footnote w:id="63">
    <w:p w:rsidR="00F40EB1" w:rsidRPr="007F3D68" w:rsidRDefault="00F40EB1" w:rsidP="00B5099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El artículo 4 de la Convención Americana establece en lo pertinente: </w:t>
      </w:r>
    </w:p>
    <w:p w:rsidR="00F40EB1" w:rsidRPr="007F3D68" w:rsidRDefault="00F40EB1" w:rsidP="00B50994">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7F3D68">
        <w:rPr>
          <w:rFonts w:asciiTheme="majorHAnsi" w:hAnsiTheme="majorHAnsi" w:cs="Tahoma"/>
          <w:color w:val="000000"/>
          <w:sz w:val="16"/>
          <w:szCs w:val="16"/>
          <w:bdr w:val="none" w:sz="0" w:space="0" w:color="auto"/>
          <w:lang w:val="es-VE"/>
        </w:rPr>
        <w:t> 1. Toda persona tiene derecho a que se respete su vida.  Este derecho estará protegido por la ley y, en general, a partir del momento de la concepción.  Nadie puede ser privado de la vida arbitrariamente. </w:t>
      </w:r>
    </w:p>
    <w:p w:rsidR="00F40EB1" w:rsidRPr="007F3D68" w:rsidRDefault="00F40EB1" w:rsidP="00B50994">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7F3D68">
        <w:rPr>
          <w:rFonts w:asciiTheme="majorHAnsi" w:hAnsiTheme="majorHAnsi" w:cs="Tahoma"/>
          <w:color w:val="000000"/>
          <w:sz w:val="16"/>
          <w:szCs w:val="16"/>
          <w:bdr w:val="none" w:sz="0" w:space="0" w:color="auto"/>
          <w:lang w:val="es-VE"/>
        </w:rPr>
        <w:t>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w:t>
      </w:r>
    </w:p>
    <w:p w:rsidR="00F40EB1" w:rsidRPr="007F3D68" w:rsidRDefault="00F40EB1" w:rsidP="00B50994">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7F3D68">
        <w:rPr>
          <w:rFonts w:asciiTheme="majorHAnsi" w:hAnsiTheme="majorHAnsi" w:cs="Tahoma"/>
          <w:color w:val="000000"/>
          <w:sz w:val="16"/>
          <w:szCs w:val="16"/>
          <w:bdr w:val="none" w:sz="0" w:space="0" w:color="auto"/>
          <w:lang w:val="es-VE"/>
        </w:rPr>
        <w:t> 3. No se restablecerá la pena de muerte en los Estados que la han abolido. </w:t>
      </w:r>
    </w:p>
    <w:p w:rsidR="00F40EB1" w:rsidRPr="007F3D68" w:rsidRDefault="00F40EB1" w:rsidP="00373C1C">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7F3D68">
        <w:rPr>
          <w:rFonts w:asciiTheme="majorHAnsi" w:hAnsiTheme="majorHAnsi" w:cs="Tahoma"/>
          <w:color w:val="000000"/>
          <w:sz w:val="16"/>
          <w:szCs w:val="16"/>
          <w:bdr w:val="none" w:sz="0" w:space="0" w:color="auto"/>
          <w:lang w:val="es-VE"/>
        </w:rPr>
        <w:t> (…)</w:t>
      </w:r>
    </w:p>
  </w:footnote>
  <w:footnote w:id="64">
    <w:p w:rsidR="00F40EB1" w:rsidRPr="007F3D68" w:rsidRDefault="00F40EB1" w:rsidP="00BC19C3">
      <w:pPr>
        <w:pStyle w:val="FootnoteText"/>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El artículo 9 de la Convención Americana establece lo siguiente: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  </w:t>
      </w:r>
    </w:p>
  </w:footnote>
  <w:footnote w:id="65">
    <w:p w:rsidR="00F40EB1" w:rsidRPr="007F3D68" w:rsidRDefault="00F40EB1" w:rsidP="00B509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spacing w:after="120"/>
        <w:jc w:val="both"/>
        <w:rPr>
          <w:rFonts w:asciiTheme="majorHAnsi" w:hAnsiTheme="majorHAnsi"/>
          <w:sz w:val="16"/>
          <w:szCs w:val="16"/>
          <w:lang w:val="es-ES"/>
        </w:rPr>
      </w:pPr>
      <w:r w:rsidRPr="007F3D68">
        <w:rPr>
          <w:rFonts w:asciiTheme="majorHAnsi" w:hAnsiTheme="majorHAnsi"/>
          <w:sz w:val="16"/>
          <w:szCs w:val="16"/>
          <w:lang w:val="es-VE"/>
        </w:rPr>
        <w:tab/>
      </w: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El artículo 8 de la Convención Americana establece en lo pertinente, lo siguiente: </w:t>
      </w:r>
    </w:p>
    <w:p w:rsidR="00F40EB1" w:rsidRPr="007F3D68" w:rsidRDefault="00F40EB1" w:rsidP="004E102F">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spacing w:after="120"/>
        <w:ind w:left="0" w:firstLine="720"/>
        <w:jc w:val="both"/>
        <w:rPr>
          <w:rFonts w:asciiTheme="majorHAnsi" w:hAnsiTheme="majorHAnsi"/>
          <w:sz w:val="16"/>
          <w:szCs w:val="16"/>
          <w:lang w:val="es-VE"/>
        </w:rPr>
      </w:pPr>
      <w:r w:rsidRPr="007F3D68">
        <w:rPr>
          <w:rFonts w:asciiTheme="majorHAnsi" w:hAnsiTheme="majorHAnsi" w:cs="Tahoma"/>
          <w:sz w:val="16"/>
          <w:szCs w:val="16"/>
          <w:lang w:val="es-VE"/>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F40EB1" w:rsidRPr="007F3D68" w:rsidRDefault="00F40EB1" w:rsidP="004E102F">
      <w:pPr>
        <w:pStyle w:val="FootnoteText"/>
        <w:numPr>
          <w:ilvl w:val="0"/>
          <w:numId w:val="68"/>
        </w:numPr>
        <w:tabs>
          <w:tab w:val="left" w:pos="900"/>
        </w:tabs>
        <w:spacing w:after="120"/>
        <w:ind w:left="0" w:firstLine="720"/>
        <w:jc w:val="both"/>
        <w:rPr>
          <w:rFonts w:asciiTheme="majorHAnsi" w:hAnsiTheme="majorHAnsi"/>
          <w:sz w:val="16"/>
          <w:szCs w:val="16"/>
          <w:lang w:val="es-ES"/>
        </w:rPr>
      </w:pPr>
      <w:r w:rsidRPr="007F3D68">
        <w:rPr>
          <w:rFonts w:asciiTheme="majorHAnsi" w:hAnsiTheme="majorHAnsi" w:cs="Verdana"/>
          <w:sz w:val="16"/>
          <w:szCs w:val="16"/>
          <w:lang w:val="es-ES" w:bidi="en-US"/>
        </w:rPr>
        <w:t>Toda persona inculpada de delito tiene derecho a que se presuma su inocencia mientras no se establezca legalmente su culpabilidad. Durante el proceso, toda persona tiene derecho, en plena igualdad, a las siguientes garantías mínimas:</w:t>
      </w:r>
      <w:r w:rsidRPr="007F3D68">
        <w:rPr>
          <w:rFonts w:asciiTheme="majorHAnsi" w:hAnsiTheme="majorHAnsi" w:cs="Tahoma"/>
          <w:sz w:val="16"/>
          <w:szCs w:val="16"/>
          <w:lang w:val="es-VE"/>
        </w:rPr>
        <w:t xml:space="preserve"> (…) h) derecho de recurrir del fallo ante juez o tribunal superior.</w:t>
      </w:r>
    </w:p>
  </w:footnote>
  <w:footnote w:id="66">
    <w:p w:rsidR="00F40EB1" w:rsidRPr="007F3D68" w:rsidRDefault="00F40EB1" w:rsidP="00B50994">
      <w:pPr>
        <w:tabs>
          <w:tab w:val="left" w:pos="720"/>
        </w:tabs>
        <w:spacing w:after="120"/>
        <w:jc w:val="both"/>
        <w:rPr>
          <w:rFonts w:asciiTheme="majorHAnsi" w:hAnsiTheme="majorHAnsi"/>
          <w:sz w:val="16"/>
          <w:szCs w:val="16"/>
          <w:lang w:val="es-CO"/>
        </w:rPr>
      </w:pPr>
      <w:r w:rsidRPr="007F3D68">
        <w:rPr>
          <w:rFonts w:asciiTheme="majorHAnsi" w:hAnsiTheme="majorHAnsi"/>
          <w:sz w:val="16"/>
          <w:szCs w:val="16"/>
          <w:lang w:val="es-VE"/>
        </w:rPr>
        <w:tab/>
      </w: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El artículo 25 de la Convención Americana establece en lo pertinente, lo siguiente: </w:t>
      </w:r>
      <w:r w:rsidRPr="007F3D68">
        <w:rPr>
          <w:rFonts w:asciiTheme="majorHAnsi" w:hAnsiTheme="majorHAnsi" w:cs="Tahoma"/>
          <w:color w:val="000000"/>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7">
    <w:p w:rsidR="00F40EB1" w:rsidRPr="007F3D68" w:rsidRDefault="00F40EB1" w:rsidP="00C42F74">
      <w:pPr>
        <w:pStyle w:val="FootnoteText"/>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CIDH. Informe No. 76/16, Caso 12.254. Fondo. </w:t>
      </w:r>
      <w:proofErr w:type="spellStart"/>
      <w:r w:rsidRPr="007F3D68">
        <w:rPr>
          <w:rFonts w:asciiTheme="majorHAnsi" w:hAnsiTheme="majorHAnsi"/>
          <w:sz w:val="16"/>
          <w:szCs w:val="16"/>
          <w:lang w:val="es-VE"/>
        </w:rPr>
        <w:t>Victor</w:t>
      </w:r>
      <w:proofErr w:type="spellEnd"/>
      <w:r w:rsidRPr="007F3D68">
        <w:rPr>
          <w:rFonts w:asciiTheme="majorHAnsi" w:hAnsiTheme="majorHAnsi"/>
          <w:sz w:val="16"/>
          <w:szCs w:val="16"/>
          <w:lang w:val="es-VE"/>
        </w:rPr>
        <w:t xml:space="preserve"> </w:t>
      </w:r>
      <w:proofErr w:type="spellStart"/>
      <w:r w:rsidRPr="007F3D68">
        <w:rPr>
          <w:rFonts w:asciiTheme="majorHAnsi" w:hAnsiTheme="majorHAnsi"/>
          <w:sz w:val="16"/>
          <w:szCs w:val="16"/>
          <w:lang w:val="es-VE"/>
        </w:rPr>
        <w:t>Saldaño</w:t>
      </w:r>
      <w:proofErr w:type="spellEnd"/>
      <w:r w:rsidRPr="007F3D68">
        <w:rPr>
          <w:rFonts w:asciiTheme="majorHAnsi" w:hAnsiTheme="majorHAnsi"/>
          <w:sz w:val="16"/>
          <w:szCs w:val="16"/>
          <w:lang w:val="es-VE"/>
        </w:rPr>
        <w:t>. Estados Unidos. 10 de diciembre de 2016, párr.169.</w:t>
      </w:r>
    </w:p>
  </w:footnote>
  <w:footnote w:id="68">
    <w:p w:rsidR="00F40EB1" w:rsidRPr="007F3D68" w:rsidRDefault="00F40EB1" w:rsidP="00C42F74">
      <w:pPr>
        <w:pStyle w:val="FootnoteText"/>
        <w:ind w:firstLine="720"/>
        <w:jc w:val="both"/>
        <w:rPr>
          <w:rFonts w:asciiTheme="majorHAnsi" w:hAnsiTheme="majorHAnsi"/>
          <w:sz w:val="16"/>
          <w:szCs w:val="16"/>
          <w:lang w:val="es-ES_tradnl"/>
        </w:rPr>
      </w:pPr>
      <w:r w:rsidRPr="007F3D68">
        <w:rPr>
          <w:rStyle w:val="FootnoteReference"/>
          <w:rFonts w:asciiTheme="majorHAnsi" w:hAnsiTheme="majorHAnsi"/>
          <w:sz w:val="16"/>
          <w:szCs w:val="16"/>
          <w:lang w:val="es-ES_tradnl"/>
        </w:rPr>
        <w:footnoteRef/>
      </w:r>
      <w:r w:rsidRPr="007F3D68">
        <w:rPr>
          <w:rFonts w:asciiTheme="majorHAnsi" w:hAnsiTheme="majorHAnsi"/>
          <w:sz w:val="16"/>
          <w:szCs w:val="16"/>
          <w:lang w:val="es-ES_tradnl"/>
        </w:rPr>
        <w:t xml:space="preserve"> Véase, en este sentido, CIDH, La pena de muerte en el Sistema Interamericano de Derechos Humanos: de restricciones a abolición, OEA/</w:t>
      </w:r>
      <w:proofErr w:type="spellStart"/>
      <w:r w:rsidRPr="007F3D68">
        <w:rPr>
          <w:rFonts w:asciiTheme="majorHAnsi" w:hAnsiTheme="majorHAnsi"/>
          <w:sz w:val="16"/>
          <w:szCs w:val="16"/>
          <w:lang w:val="es-ES_tradnl"/>
        </w:rPr>
        <w:t>Ser.L</w:t>
      </w:r>
      <w:proofErr w:type="spellEnd"/>
      <w:r w:rsidRPr="007F3D68">
        <w:rPr>
          <w:rFonts w:asciiTheme="majorHAnsi" w:hAnsiTheme="majorHAnsi"/>
          <w:sz w:val="16"/>
          <w:szCs w:val="16"/>
          <w:lang w:val="es-ES_tradnl"/>
        </w:rPr>
        <w:t>/V/II.Doc. 68, 31 de diciembre de 2011.</w:t>
      </w:r>
    </w:p>
  </w:footnote>
  <w:footnote w:id="69">
    <w:p w:rsidR="00F40EB1" w:rsidRPr="007F3D68" w:rsidRDefault="00F40EB1" w:rsidP="00C42F74">
      <w:pPr>
        <w:pStyle w:val="FootnoteText"/>
        <w:ind w:firstLine="720"/>
        <w:jc w:val="both"/>
        <w:rPr>
          <w:rFonts w:asciiTheme="majorHAnsi" w:hAnsiTheme="majorHAnsi"/>
          <w:sz w:val="16"/>
          <w:szCs w:val="16"/>
          <w:lang w:val="es-ES_tradnl"/>
        </w:rPr>
      </w:pPr>
      <w:r w:rsidRPr="007F3D68">
        <w:rPr>
          <w:rStyle w:val="FootnoteReference"/>
          <w:rFonts w:asciiTheme="majorHAnsi" w:hAnsiTheme="majorHAnsi"/>
          <w:sz w:val="16"/>
          <w:szCs w:val="16"/>
          <w:lang w:val="es-ES_tradnl"/>
        </w:rPr>
        <w:footnoteRef/>
      </w:r>
      <w:r w:rsidRPr="007F3D68">
        <w:rPr>
          <w:rFonts w:asciiTheme="majorHAnsi" w:hAnsiTheme="majorHAnsi"/>
          <w:sz w:val="16"/>
          <w:szCs w:val="16"/>
          <w:lang w:val="es-ES_tradnl"/>
        </w:rPr>
        <w:t xml:space="preserve"> Véase, por ejemplo, Corte IDH, Opinión Consultiva OC-16/99 (1 de octubre de 1999) “El Derecho a la Información sobre la Asistencia Consular en el Marco de las Garantías del Debido Proceso Legal”, párr. 136 (determinación de que “[s]</w:t>
      </w:r>
      <w:proofErr w:type="spellStart"/>
      <w:r w:rsidRPr="007F3D68">
        <w:rPr>
          <w:rFonts w:asciiTheme="majorHAnsi" w:hAnsiTheme="majorHAnsi"/>
          <w:sz w:val="16"/>
          <w:szCs w:val="16"/>
          <w:lang w:val="es-ES_tradnl"/>
        </w:rPr>
        <w:t>iendo</w:t>
      </w:r>
      <w:proofErr w:type="spellEnd"/>
      <w:r w:rsidRPr="007F3D68">
        <w:rPr>
          <w:rFonts w:asciiTheme="majorHAnsi" w:hAnsiTheme="majorHAnsi"/>
          <w:sz w:val="16"/>
          <w:szCs w:val="16"/>
          <w:lang w:val="es-ES_tradnl"/>
        </w:rPr>
        <w:t xml:space="preserve"> la ejecución de la pena de muerte una medida de carácter irreversible, exige del Estado el más estricto y riguroso respeto de las garantías judiciales, de modo a evitar una violación de éstas, que, a su vez, acarrearía una privación arbitraria de la vida”); CDH-ONU, </w:t>
      </w:r>
      <w:proofErr w:type="spellStart"/>
      <w:r w:rsidRPr="007F3D68">
        <w:rPr>
          <w:rFonts w:asciiTheme="majorHAnsi" w:hAnsiTheme="majorHAnsi"/>
          <w:iCs/>
          <w:sz w:val="16"/>
          <w:szCs w:val="16"/>
          <w:lang w:val="es-ES_tradnl"/>
        </w:rPr>
        <w:t>Baboheram-Adhin</w:t>
      </w:r>
      <w:proofErr w:type="spellEnd"/>
      <w:r w:rsidRPr="007F3D68">
        <w:rPr>
          <w:rFonts w:asciiTheme="majorHAnsi" w:hAnsiTheme="majorHAnsi"/>
          <w:iCs/>
          <w:sz w:val="16"/>
          <w:szCs w:val="16"/>
          <w:lang w:val="es-ES_tradnl"/>
        </w:rPr>
        <w:t xml:space="preserve"> et al. v. </w:t>
      </w:r>
      <w:proofErr w:type="spellStart"/>
      <w:r w:rsidRPr="007F3D68">
        <w:rPr>
          <w:rFonts w:asciiTheme="majorHAnsi" w:hAnsiTheme="majorHAnsi"/>
          <w:iCs/>
          <w:sz w:val="16"/>
          <w:szCs w:val="16"/>
          <w:lang w:val="es-ES_tradnl"/>
        </w:rPr>
        <w:t>Suriname</w:t>
      </w:r>
      <w:proofErr w:type="spellEnd"/>
      <w:r w:rsidRPr="007F3D68">
        <w:rPr>
          <w:rFonts w:asciiTheme="majorHAnsi" w:hAnsiTheme="majorHAnsi"/>
          <w:sz w:val="16"/>
          <w:szCs w:val="16"/>
          <w:lang w:val="es-ES_tradnl"/>
        </w:rPr>
        <w:t xml:space="preserve">,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w:t>
      </w:r>
      <w:proofErr w:type="spellStart"/>
      <w:r w:rsidRPr="007F3D68">
        <w:rPr>
          <w:rFonts w:asciiTheme="majorHAnsi" w:hAnsiTheme="majorHAnsi"/>
          <w:sz w:val="16"/>
          <w:szCs w:val="16"/>
          <w:lang w:val="es-ES_tradnl"/>
        </w:rPr>
        <w:t>Bacre</w:t>
      </w:r>
      <w:proofErr w:type="spellEnd"/>
      <w:r w:rsidRPr="007F3D68">
        <w:rPr>
          <w:rFonts w:asciiTheme="majorHAnsi" w:hAnsiTheme="majorHAnsi"/>
          <w:sz w:val="16"/>
          <w:szCs w:val="16"/>
          <w:lang w:val="es-ES_tradnl"/>
        </w:rPr>
        <w:t xml:space="preserve"> </w:t>
      </w:r>
      <w:proofErr w:type="spellStart"/>
      <w:r w:rsidRPr="007F3D68">
        <w:rPr>
          <w:rFonts w:asciiTheme="majorHAnsi" w:hAnsiTheme="majorHAnsi"/>
          <w:sz w:val="16"/>
          <w:szCs w:val="16"/>
          <w:lang w:val="es-ES_tradnl"/>
        </w:rPr>
        <w:t>Waly</w:t>
      </w:r>
      <w:proofErr w:type="spellEnd"/>
      <w:r w:rsidRPr="007F3D68">
        <w:rPr>
          <w:rFonts w:asciiTheme="majorHAnsi" w:hAnsiTheme="majorHAnsi"/>
          <w:sz w:val="16"/>
          <w:szCs w:val="16"/>
          <w:lang w:val="es-ES_tradnl"/>
        </w:rPr>
        <w:t xml:space="preserve"> </w:t>
      </w:r>
      <w:proofErr w:type="spellStart"/>
      <w:r w:rsidRPr="007F3D68">
        <w:rPr>
          <w:rFonts w:asciiTheme="majorHAnsi" w:hAnsiTheme="majorHAnsi"/>
          <w:sz w:val="16"/>
          <w:szCs w:val="16"/>
          <w:lang w:val="es-ES_tradnl"/>
        </w:rPr>
        <w:t>Ndiaye</w:t>
      </w:r>
      <w:proofErr w:type="spellEnd"/>
      <w:r w:rsidRPr="007F3D68">
        <w:rPr>
          <w:rFonts w:asciiTheme="majorHAnsi" w:hAnsiTheme="majorHAnsi"/>
          <w:sz w:val="16"/>
          <w:szCs w:val="16"/>
          <w:lang w:val="es-ES_tradnl"/>
        </w:rPr>
        <w:t xml:space="preserv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w:t>
      </w:r>
      <w:proofErr w:type="spellStart"/>
      <w:r w:rsidRPr="007F3D68">
        <w:rPr>
          <w:rFonts w:asciiTheme="majorHAnsi" w:hAnsiTheme="majorHAnsi"/>
          <w:sz w:val="16"/>
          <w:szCs w:val="16"/>
          <w:lang w:val="es-ES_tradnl"/>
        </w:rPr>
        <w:t>Doc.E</w:t>
      </w:r>
      <w:proofErr w:type="spellEnd"/>
      <w:r w:rsidRPr="007F3D68">
        <w:rPr>
          <w:rFonts w:asciiTheme="majorHAnsi" w:hAnsiTheme="majorHAnsi"/>
          <w:sz w:val="16"/>
          <w:szCs w:val="16"/>
          <w:lang w:val="es-ES_tradnl"/>
        </w:rPr>
        <w:t xml:space="preserve">/CN.4/1995/61 (14 de diciembre de 1994) (en adelante el “Informe </w:t>
      </w:r>
      <w:proofErr w:type="spellStart"/>
      <w:r w:rsidRPr="007F3D68">
        <w:rPr>
          <w:rFonts w:asciiTheme="majorHAnsi" w:hAnsiTheme="majorHAnsi"/>
          <w:sz w:val="16"/>
          <w:szCs w:val="16"/>
          <w:lang w:val="es-ES_tradnl"/>
        </w:rPr>
        <w:t>Ndiaye</w:t>
      </w:r>
      <w:proofErr w:type="spellEnd"/>
      <w:r w:rsidRPr="007F3D68">
        <w:rPr>
          <w:rFonts w:asciiTheme="majorHAnsi" w:hAnsiTheme="majorHAnsi"/>
          <w:sz w:val="16"/>
          <w:szCs w:val="16"/>
          <w:lang w:val="es-ES_tradnl"/>
        </w:rPr>
        <w:t xml:space="preserv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  </w:t>
      </w:r>
    </w:p>
  </w:footnote>
  <w:footnote w:id="70">
    <w:p w:rsidR="00F40EB1" w:rsidRPr="007F3D68" w:rsidRDefault="00F40EB1" w:rsidP="00C42F74">
      <w:pPr>
        <w:pStyle w:val="FootnoteText"/>
        <w:ind w:firstLine="720"/>
        <w:jc w:val="both"/>
        <w:rPr>
          <w:rFonts w:asciiTheme="majorHAnsi" w:hAnsiTheme="majorHAnsi"/>
          <w:sz w:val="16"/>
          <w:szCs w:val="16"/>
          <w:lang w:val="es-ES"/>
        </w:rPr>
      </w:pPr>
      <w:r w:rsidRPr="007F3D68">
        <w:rPr>
          <w:rStyle w:val="FootnoteReference"/>
          <w:rFonts w:asciiTheme="majorHAnsi" w:hAnsiTheme="majorHAnsi"/>
          <w:sz w:val="16"/>
          <w:szCs w:val="16"/>
          <w:lang w:val="es-ES_tradnl"/>
        </w:rPr>
        <w:footnoteRef/>
      </w:r>
      <w:r w:rsidRPr="007F3D68">
        <w:rPr>
          <w:rFonts w:asciiTheme="majorHAnsi" w:hAnsiTheme="majorHAnsi"/>
          <w:sz w:val="16"/>
          <w:szCs w:val="16"/>
          <w:lang w:val="es-ES_tradnl"/>
        </w:rPr>
        <w:t xml:space="preserve"> CIDH, Informe No. 11/15, Caso 12.833, Fondo (</w:t>
      </w:r>
      <w:r w:rsidRPr="007F3D68">
        <w:rPr>
          <w:rFonts w:asciiTheme="majorHAnsi" w:hAnsiTheme="majorHAnsi"/>
          <w:sz w:val="16"/>
          <w:szCs w:val="16"/>
          <w:lang w:val="es-ES"/>
        </w:rPr>
        <w:t>Publicación), Félix Rocha Díaz, Estados Unidos, 23 de marzo de 2015, párrafo 54; Informe No. 44/14, Caso 12.873, Fondo (publicación), Edgar Tamayo Arias, Estados Unidos, 17 de julio de 2014, párrafo. 127;</w:t>
      </w:r>
      <w:r w:rsidRPr="007F3D68">
        <w:rPr>
          <w:rFonts w:asciiTheme="majorHAnsi" w:hAnsiTheme="majorHAnsi"/>
          <w:iCs/>
          <w:sz w:val="16"/>
          <w:szCs w:val="16"/>
          <w:lang w:val="es-ES"/>
        </w:rPr>
        <w:t xml:space="preserve"> </w:t>
      </w:r>
      <w:r w:rsidRPr="007F3D68">
        <w:rPr>
          <w:rFonts w:asciiTheme="majorHAnsi" w:hAnsiTheme="majorHAnsi"/>
          <w:sz w:val="16"/>
          <w:szCs w:val="16"/>
          <w:lang w:val="es-ES"/>
        </w:rPr>
        <w:t xml:space="preserve">Informe No. 57/96, </w:t>
      </w:r>
      <w:r w:rsidRPr="007F3D68">
        <w:rPr>
          <w:rFonts w:asciiTheme="majorHAnsi" w:hAnsiTheme="majorHAnsi"/>
          <w:iCs/>
          <w:sz w:val="16"/>
          <w:szCs w:val="16"/>
          <w:lang w:val="es-ES"/>
        </w:rPr>
        <w:t>Andrews, Estados Unidos</w:t>
      </w:r>
      <w:r w:rsidRPr="007F3D68">
        <w:rPr>
          <w:rFonts w:asciiTheme="majorHAnsi" w:hAnsiTheme="majorHAnsi"/>
          <w:sz w:val="16"/>
          <w:szCs w:val="16"/>
          <w:lang w:val="es-ES"/>
        </w:rPr>
        <w:t>, Informe Anual de la CIDH, 1997, párrafos 170-171.</w:t>
      </w:r>
    </w:p>
  </w:footnote>
  <w:footnote w:id="71">
    <w:p w:rsidR="00F40EB1" w:rsidRPr="007F3D68" w:rsidRDefault="00F40EB1" w:rsidP="00C42F74">
      <w:pPr>
        <w:autoSpaceDE w:val="0"/>
        <w:autoSpaceDN w:val="0"/>
        <w:adjustRightInd w:val="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CIDH, La pena de muerte en el Sistema Interamericano de Derechos Humanos: de restricciones a abolición, OEA/</w:t>
      </w:r>
      <w:proofErr w:type="spellStart"/>
      <w:r w:rsidRPr="007F3D68">
        <w:rPr>
          <w:rFonts w:asciiTheme="majorHAnsi" w:hAnsiTheme="majorHAnsi"/>
          <w:sz w:val="16"/>
          <w:szCs w:val="16"/>
          <w:lang w:val="es-ES"/>
        </w:rPr>
        <w:t>Ser.L</w:t>
      </w:r>
      <w:proofErr w:type="spellEnd"/>
      <w:r w:rsidRPr="007F3D68">
        <w:rPr>
          <w:rFonts w:asciiTheme="majorHAnsi" w:hAnsiTheme="majorHAnsi"/>
          <w:sz w:val="16"/>
          <w:szCs w:val="16"/>
          <w:lang w:val="es-ES"/>
        </w:rPr>
        <w:t>/V/II.Doc. 68, 31 de diciembre de 2011</w:t>
      </w:r>
      <w:r w:rsidRPr="007F3D68">
        <w:rPr>
          <w:rFonts w:asciiTheme="majorHAnsi" w:hAnsiTheme="majorHAnsi" w:cs="Calibri"/>
          <w:sz w:val="16"/>
          <w:szCs w:val="16"/>
          <w:lang w:val="es-ES"/>
        </w:rPr>
        <w:t>, párrafo</w:t>
      </w:r>
      <w:r w:rsidRPr="007F3D68">
        <w:rPr>
          <w:rFonts w:asciiTheme="majorHAnsi" w:hAnsiTheme="majorHAnsi"/>
          <w:sz w:val="16"/>
          <w:szCs w:val="16"/>
          <w:lang w:val="es-ES"/>
        </w:rPr>
        <w:t xml:space="preserve"> 41.</w:t>
      </w:r>
    </w:p>
  </w:footnote>
  <w:footnote w:id="72">
    <w:p w:rsidR="00F40EB1" w:rsidRPr="007F3D68" w:rsidRDefault="00F40EB1" w:rsidP="00C42F74">
      <w:pPr>
        <w:autoSpaceDE w:val="0"/>
        <w:autoSpaceDN w:val="0"/>
        <w:adjustRightInd w:val="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CIDH, Informe No. 78/07, Caso 12.265, Fondo (Publicación), Chad Roger Goodman, Bahamas, 15 de octubre de 2007, párrafo 34.</w:t>
      </w:r>
    </w:p>
  </w:footnote>
  <w:footnote w:id="73">
    <w:p w:rsidR="00F40EB1" w:rsidRPr="007F3D68" w:rsidRDefault="00F40EB1" w:rsidP="000655ED">
      <w:pPr>
        <w:pStyle w:val="FootnoteText"/>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CIDH; Informe No. 76/16, Caso 12.254. Fondo. </w:t>
      </w:r>
      <w:proofErr w:type="spellStart"/>
      <w:r w:rsidRPr="007F3D68">
        <w:rPr>
          <w:rFonts w:asciiTheme="majorHAnsi" w:hAnsiTheme="majorHAnsi"/>
          <w:sz w:val="16"/>
          <w:szCs w:val="16"/>
          <w:lang w:val="es-VE"/>
        </w:rPr>
        <w:t>Victor</w:t>
      </w:r>
      <w:proofErr w:type="spellEnd"/>
      <w:r w:rsidRPr="007F3D68">
        <w:rPr>
          <w:rFonts w:asciiTheme="majorHAnsi" w:hAnsiTheme="majorHAnsi"/>
          <w:sz w:val="16"/>
          <w:szCs w:val="16"/>
          <w:lang w:val="es-VE"/>
        </w:rPr>
        <w:t xml:space="preserve"> </w:t>
      </w:r>
      <w:proofErr w:type="spellStart"/>
      <w:r w:rsidRPr="007F3D68">
        <w:rPr>
          <w:rFonts w:asciiTheme="majorHAnsi" w:hAnsiTheme="majorHAnsi"/>
          <w:sz w:val="16"/>
          <w:szCs w:val="16"/>
          <w:lang w:val="es-VE"/>
        </w:rPr>
        <w:t>Saldaño</w:t>
      </w:r>
      <w:proofErr w:type="spellEnd"/>
      <w:r w:rsidRPr="007F3D68">
        <w:rPr>
          <w:rFonts w:asciiTheme="majorHAnsi" w:hAnsiTheme="majorHAnsi"/>
          <w:sz w:val="16"/>
          <w:szCs w:val="16"/>
          <w:lang w:val="es-VE"/>
        </w:rPr>
        <w:t>. Estados Unidos. 10 de diciembre de 2016, párr. 148.</w:t>
      </w:r>
    </w:p>
  </w:footnote>
  <w:footnote w:id="74">
    <w:p w:rsidR="00F40EB1" w:rsidRPr="007F3D68" w:rsidRDefault="00F40EB1" w:rsidP="000655ED">
      <w:pPr>
        <w:spacing w:after="120"/>
        <w:ind w:firstLine="720"/>
        <w:jc w:val="both"/>
        <w:rPr>
          <w:rFonts w:asciiTheme="majorHAnsi" w:hAnsiTheme="majorHAnsi"/>
          <w:sz w:val="16"/>
          <w:szCs w:val="16"/>
          <w:lang w:val="pt-BR"/>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Comité de Derechos Humanos del PIDCP. </w:t>
      </w:r>
      <w:r w:rsidRPr="007F3D68">
        <w:rPr>
          <w:rFonts w:asciiTheme="majorHAnsi" w:hAnsiTheme="majorHAnsi" w:cs="Georgia"/>
          <w:bCs/>
          <w:sz w:val="16"/>
          <w:szCs w:val="16"/>
          <w:lang w:val="es-CO"/>
        </w:rPr>
        <w:t xml:space="preserve">Robert John Fardon v. Australia, Comunicación No. 1629/2007, U.N. Doc. </w:t>
      </w:r>
      <w:r w:rsidRPr="007F3D68">
        <w:rPr>
          <w:rFonts w:asciiTheme="majorHAnsi" w:hAnsiTheme="majorHAnsi" w:cs="Georgia"/>
          <w:bCs/>
          <w:sz w:val="16"/>
          <w:szCs w:val="16"/>
          <w:lang w:val="pt-BR"/>
        </w:rPr>
        <w:t xml:space="preserve">CCPR/C/98/D/1629/2007 (2010). Párr. 7.4. </w:t>
      </w:r>
    </w:p>
  </w:footnote>
  <w:footnote w:id="75">
    <w:p w:rsidR="00F40EB1" w:rsidRPr="007F3D68" w:rsidRDefault="00F40EB1" w:rsidP="000655ED">
      <w:pPr>
        <w:pStyle w:val="FootnoteText"/>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pt-BR"/>
        </w:rPr>
        <w:t xml:space="preserve"> Corte IDH. Caso Fermín Ramírez vs. Guatemala. </w:t>
      </w:r>
      <w:r w:rsidRPr="007F3D68">
        <w:rPr>
          <w:rFonts w:asciiTheme="majorHAnsi" w:hAnsiTheme="majorHAnsi"/>
          <w:sz w:val="16"/>
          <w:szCs w:val="16"/>
          <w:lang w:val="es-VE"/>
        </w:rPr>
        <w:t xml:space="preserve">Fondo, Reparaciones y Costas. Sentencia de 20 de junio de 2005. Serie C No. 126. Párr. 94. </w:t>
      </w:r>
    </w:p>
  </w:footnote>
  <w:footnote w:id="76">
    <w:p w:rsidR="00F40EB1" w:rsidRPr="007F3D68" w:rsidRDefault="00F40EB1" w:rsidP="000655ED">
      <w:pPr>
        <w:pStyle w:val="FootnoteText"/>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w:t>
      </w:r>
      <w:r w:rsidRPr="007F3D68">
        <w:rPr>
          <w:rStyle w:val="Strong"/>
          <w:rFonts w:asciiTheme="majorHAnsi" w:eastAsia="Times New Roman" w:hAnsiTheme="majorHAnsi"/>
          <w:b w:val="0"/>
          <w:sz w:val="16"/>
          <w:szCs w:val="16"/>
          <w:lang w:val="es-ES"/>
        </w:rPr>
        <w:t xml:space="preserve">Corte IDH. Caso Pollo Rivera y otros Vs. Perú. Fondo, Reparaciones y Costas. Sentencia de 21 de octubre de 2016. Serie C No. 319. Párr. 248. </w:t>
      </w:r>
    </w:p>
  </w:footnote>
  <w:footnote w:id="77">
    <w:p w:rsidR="00F40EB1" w:rsidRPr="007F3D68" w:rsidRDefault="00F40EB1" w:rsidP="000655ED">
      <w:pPr>
        <w:pStyle w:val="FootnoteText"/>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w:t>
      </w:r>
      <w:r w:rsidRPr="007F3D68">
        <w:rPr>
          <w:rStyle w:val="Strong"/>
          <w:rFonts w:asciiTheme="majorHAnsi" w:eastAsia="Times New Roman" w:hAnsiTheme="majorHAnsi"/>
          <w:b w:val="0"/>
          <w:sz w:val="16"/>
          <w:szCs w:val="16"/>
          <w:lang w:val="es-ES"/>
        </w:rPr>
        <w:t xml:space="preserve">Corte IDH. Caso Pollo Rivera y otros Vs. Perú. Fondo, Reparaciones y Costas. Sentencia de 21 de octubre de 2016. Serie C No. 319. Párr. 249. </w:t>
      </w:r>
    </w:p>
  </w:footnote>
  <w:footnote w:id="78">
    <w:p w:rsidR="00F40EB1" w:rsidRPr="007F3D68" w:rsidRDefault="00F40EB1" w:rsidP="000655ED">
      <w:pPr>
        <w:pStyle w:val="FootnoteText"/>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Corte IDH. Caso Fermín Ramírez vs. Guatemala. </w:t>
      </w:r>
      <w:r w:rsidRPr="007F3D68">
        <w:rPr>
          <w:rFonts w:asciiTheme="majorHAnsi" w:hAnsiTheme="majorHAnsi"/>
          <w:sz w:val="16"/>
          <w:szCs w:val="16"/>
          <w:lang w:val="es-VE"/>
        </w:rPr>
        <w:t xml:space="preserve">Fondo, Reparaciones y Costas. Sentencia de 20 de junio de 2005. Serie C No. 126. Párr. 95 y 96. </w:t>
      </w:r>
    </w:p>
  </w:footnote>
  <w:footnote w:id="79">
    <w:p w:rsidR="00F40EB1" w:rsidRPr="007F3D68" w:rsidRDefault="00F40EB1" w:rsidP="004A2395">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pt-BR"/>
        </w:rPr>
        <w:t xml:space="preserve"> Corte IDH. Caso Mohamed vs. Argentina. </w:t>
      </w:r>
      <w:r w:rsidRPr="007F3D68">
        <w:rPr>
          <w:rFonts w:asciiTheme="majorHAnsi" w:hAnsiTheme="majorHAnsi"/>
          <w:sz w:val="16"/>
          <w:szCs w:val="16"/>
          <w:lang w:val="es-VE"/>
        </w:rPr>
        <w:t xml:space="preserve">Excepción Preliminar, Fondo, Reparaciones y Costas. Sentencia de 23 de noviembre de 2012. Serie C No. 255, párr.100. </w:t>
      </w:r>
    </w:p>
  </w:footnote>
  <w:footnote w:id="80">
    <w:p w:rsidR="00F40EB1" w:rsidRPr="007F3D68" w:rsidRDefault="00F40EB1" w:rsidP="004A2395">
      <w:pPr>
        <w:pStyle w:val="FootnoteText"/>
        <w:tabs>
          <w:tab w:val="left" w:pos="720"/>
        </w:tabs>
        <w:spacing w:after="120"/>
        <w:ind w:firstLine="720"/>
        <w:jc w:val="both"/>
        <w:rPr>
          <w:rFonts w:asciiTheme="majorHAnsi" w:hAnsiTheme="majorHAnsi"/>
          <w:sz w:val="16"/>
          <w:szCs w:val="16"/>
          <w:lang w:val="es-ES_tradnl"/>
        </w:rPr>
      </w:pPr>
      <w:r w:rsidRPr="007F3D68">
        <w:rPr>
          <w:rStyle w:val="FootnoteReference"/>
          <w:rFonts w:asciiTheme="majorHAnsi" w:hAnsiTheme="majorHAnsi"/>
          <w:sz w:val="16"/>
          <w:szCs w:val="16"/>
        </w:rPr>
        <w:footnoteRef/>
      </w:r>
      <w:r w:rsidRPr="007F3D68">
        <w:rPr>
          <w:rFonts w:asciiTheme="majorHAnsi" w:hAnsiTheme="majorHAnsi"/>
          <w:sz w:val="16"/>
          <w:szCs w:val="16"/>
          <w:lang w:val="es-ES_tradnl"/>
        </w:rPr>
        <w:t xml:space="preserve"> CIDH, Informe No. 33/14, Caso 12.820, Fondo, </w:t>
      </w:r>
      <w:proofErr w:type="spellStart"/>
      <w:r w:rsidRPr="007F3D68">
        <w:rPr>
          <w:rFonts w:asciiTheme="majorHAnsi" w:hAnsiTheme="majorHAnsi"/>
          <w:sz w:val="16"/>
          <w:szCs w:val="16"/>
          <w:lang w:val="es-ES_tradnl"/>
        </w:rPr>
        <w:t>Manfred</w:t>
      </w:r>
      <w:proofErr w:type="spellEnd"/>
      <w:r w:rsidRPr="007F3D68">
        <w:rPr>
          <w:rFonts w:asciiTheme="majorHAnsi" w:hAnsiTheme="majorHAnsi"/>
          <w:sz w:val="16"/>
          <w:szCs w:val="16"/>
          <w:lang w:val="es-ES_tradnl"/>
        </w:rPr>
        <w:t xml:space="preserve"> </w:t>
      </w:r>
      <w:proofErr w:type="spellStart"/>
      <w:r w:rsidRPr="007F3D68">
        <w:rPr>
          <w:rFonts w:asciiTheme="majorHAnsi" w:hAnsiTheme="majorHAnsi"/>
          <w:sz w:val="16"/>
          <w:szCs w:val="16"/>
          <w:lang w:val="es-ES_tradnl"/>
        </w:rPr>
        <w:t>Amrhein</w:t>
      </w:r>
      <w:proofErr w:type="spellEnd"/>
      <w:r w:rsidRPr="007F3D68">
        <w:rPr>
          <w:rFonts w:asciiTheme="majorHAnsi" w:hAnsiTheme="majorHAnsi"/>
          <w:sz w:val="16"/>
          <w:szCs w:val="16"/>
          <w:lang w:val="es-ES_tradnl"/>
        </w:rPr>
        <w:t xml:space="preserve"> y otros, Costa Rica, 4 de abril de 2014, Párr.192.</w:t>
      </w:r>
    </w:p>
  </w:footnote>
  <w:footnote w:id="81">
    <w:p w:rsidR="00F40EB1" w:rsidRPr="007F3D68" w:rsidRDefault="00F40EB1" w:rsidP="004A2395">
      <w:pPr>
        <w:pStyle w:val="FootnoteText"/>
        <w:spacing w:after="120"/>
        <w:ind w:firstLine="720"/>
        <w:jc w:val="both"/>
        <w:rPr>
          <w:rFonts w:asciiTheme="majorHAnsi" w:hAnsiTheme="majorHAnsi"/>
          <w:sz w:val="16"/>
          <w:szCs w:val="16"/>
          <w:lang w:val="es-CO"/>
        </w:rPr>
      </w:pPr>
      <w:r w:rsidRPr="007F3D68">
        <w:rPr>
          <w:rStyle w:val="FootnoteReference"/>
          <w:rFonts w:asciiTheme="majorHAnsi" w:hAnsiTheme="majorHAnsi"/>
          <w:sz w:val="16"/>
          <w:szCs w:val="16"/>
        </w:rPr>
        <w:footnoteRef/>
      </w:r>
      <w:r w:rsidRPr="007F3D68">
        <w:rPr>
          <w:rFonts w:asciiTheme="majorHAnsi" w:hAnsiTheme="majorHAnsi"/>
          <w:sz w:val="16"/>
          <w:szCs w:val="16"/>
          <w:lang w:val="es-ES_tradnl"/>
        </w:rPr>
        <w:t xml:space="preserve"> CIDH, Informe No. 172/10, Caso 12.561, Fondo, César Alberto Mendoza y otros (Prisión y reclusión perpetuas de adolescentes), Argentina, 2 de noviembre de 2010, párr. </w:t>
      </w:r>
      <w:r w:rsidRPr="007F3D68">
        <w:rPr>
          <w:rFonts w:asciiTheme="majorHAnsi" w:hAnsiTheme="majorHAnsi"/>
          <w:sz w:val="16"/>
          <w:szCs w:val="16"/>
          <w:lang w:val="es-CO"/>
        </w:rPr>
        <w:t>189.</w:t>
      </w:r>
    </w:p>
  </w:footnote>
  <w:footnote w:id="82">
    <w:p w:rsidR="00F40EB1" w:rsidRPr="007F3D68" w:rsidRDefault="00F40EB1" w:rsidP="006D1B01">
      <w:pPr>
        <w:pStyle w:val="FootnoteText"/>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Corte IDH, Restricciones a la Pena de Muerte (arts. 4.2 y 4.4 Convención Americana sobre Derechos Humanos). Opinión Consultiva OC</w:t>
      </w:r>
      <w:r w:rsidRPr="007F3D68">
        <w:rPr>
          <w:rFonts w:asciiTheme="majorHAnsi" w:hAnsiTheme="majorHAnsi" w:cs="Cambria Math"/>
          <w:sz w:val="16"/>
          <w:szCs w:val="16"/>
          <w:lang w:val="es-VE"/>
        </w:rPr>
        <w:t>‐</w:t>
      </w:r>
      <w:r w:rsidRPr="007F3D68">
        <w:rPr>
          <w:rFonts w:asciiTheme="majorHAnsi" w:hAnsiTheme="majorHAnsi"/>
          <w:sz w:val="16"/>
          <w:szCs w:val="16"/>
          <w:lang w:val="es-VE"/>
        </w:rPr>
        <w:t>3/83 del 8 de septiembre de 1983. Serie A No. 3, párr. 54.</w:t>
      </w:r>
    </w:p>
  </w:footnote>
  <w:footnote w:id="83">
    <w:p w:rsidR="00F40EB1" w:rsidRPr="007F3D68" w:rsidRDefault="00F40EB1" w:rsidP="006D1B01">
      <w:pPr>
        <w:pStyle w:val="FootnoteText"/>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CIDH, La pena de muerte en el Sistema Interamericano de Derechos Humanos: de restricciones a abolición, OEA/</w:t>
      </w:r>
      <w:proofErr w:type="spellStart"/>
      <w:r w:rsidRPr="007F3D68">
        <w:rPr>
          <w:rFonts w:asciiTheme="majorHAnsi" w:hAnsiTheme="majorHAnsi"/>
          <w:sz w:val="16"/>
          <w:szCs w:val="16"/>
          <w:lang w:val="es-VE"/>
        </w:rPr>
        <w:t>Ser.L</w:t>
      </w:r>
      <w:proofErr w:type="spellEnd"/>
      <w:r w:rsidRPr="007F3D68">
        <w:rPr>
          <w:rFonts w:asciiTheme="majorHAnsi" w:hAnsiTheme="majorHAnsi"/>
          <w:sz w:val="16"/>
          <w:szCs w:val="16"/>
          <w:lang w:val="es-VE"/>
        </w:rPr>
        <w:t>/V/II.Doc.68, 31 de diciembre de 2011, párr.88.</w:t>
      </w:r>
    </w:p>
  </w:footnote>
  <w:footnote w:id="84">
    <w:p w:rsidR="00F40EB1" w:rsidRPr="007F3D68" w:rsidRDefault="00F40EB1" w:rsidP="006D1B01">
      <w:pPr>
        <w:pStyle w:val="FootnoteText"/>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Ver CIDH, La pena de muerte en el Sistema Interamericano de Derechos Humanos: de restricciones a abolición, OEA/</w:t>
      </w:r>
      <w:proofErr w:type="spellStart"/>
      <w:r w:rsidRPr="007F3D68">
        <w:rPr>
          <w:rFonts w:asciiTheme="majorHAnsi" w:hAnsiTheme="majorHAnsi"/>
          <w:sz w:val="16"/>
          <w:szCs w:val="16"/>
          <w:lang w:val="es-VE"/>
        </w:rPr>
        <w:t>Ser.L</w:t>
      </w:r>
      <w:proofErr w:type="spellEnd"/>
      <w:r w:rsidRPr="007F3D68">
        <w:rPr>
          <w:rFonts w:asciiTheme="majorHAnsi" w:hAnsiTheme="majorHAnsi"/>
          <w:sz w:val="16"/>
          <w:szCs w:val="16"/>
          <w:lang w:val="es-VE"/>
        </w:rPr>
        <w:t>/V/II.Doc.68, 31 de diciembre de 2011.</w:t>
      </w:r>
    </w:p>
  </w:footnote>
  <w:footnote w:id="85">
    <w:p w:rsidR="00F40EB1" w:rsidRPr="00E152A0" w:rsidRDefault="00F40EB1" w:rsidP="00E152A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jc w:val="both"/>
        <w:rPr>
          <w:rFonts w:asciiTheme="majorHAnsi" w:hAnsiTheme="majorHAnsi"/>
          <w:sz w:val="16"/>
          <w:szCs w:val="16"/>
          <w:lang w:val="es-VE"/>
        </w:rPr>
      </w:pPr>
      <w:r w:rsidRPr="007F3D68">
        <w:rPr>
          <w:rFonts w:asciiTheme="majorHAnsi" w:hAnsiTheme="majorHAnsi"/>
          <w:sz w:val="16"/>
          <w:szCs w:val="16"/>
          <w:lang w:val="es-VE"/>
        </w:rPr>
        <w:tab/>
      </w: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El artículo 5 de la Convención Americ</w:t>
      </w:r>
      <w:r>
        <w:rPr>
          <w:rFonts w:asciiTheme="majorHAnsi" w:hAnsiTheme="majorHAnsi"/>
          <w:sz w:val="16"/>
          <w:szCs w:val="16"/>
          <w:lang w:val="es-VE"/>
        </w:rPr>
        <w:t xml:space="preserve">ana establece en lo pertinente: </w:t>
      </w:r>
      <w:r w:rsidRPr="007F3D68">
        <w:rPr>
          <w:rFonts w:asciiTheme="majorHAnsi" w:hAnsiTheme="majorHAnsi" w:cs="Tahoma"/>
          <w:color w:val="000000"/>
          <w:sz w:val="16"/>
          <w:szCs w:val="16"/>
          <w:lang w:val="es-VE"/>
        </w:rPr>
        <w:t xml:space="preserve">1. Toda </w:t>
      </w:r>
      <w:r w:rsidRPr="007F3D68">
        <w:rPr>
          <w:rFonts w:asciiTheme="majorHAnsi" w:hAnsiTheme="majorHAnsi"/>
          <w:sz w:val="16"/>
          <w:szCs w:val="16"/>
          <w:lang w:val="es-VE"/>
        </w:rPr>
        <w:t>persona</w:t>
      </w:r>
      <w:r w:rsidRPr="007F3D68">
        <w:rPr>
          <w:rFonts w:asciiTheme="majorHAnsi" w:hAnsiTheme="majorHAnsi" w:cs="Tahoma"/>
          <w:color w:val="000000"/>
          <w:sz w:val="16"/>
          <w:szCs w:val="16"/>
          <w:lang w:val="es-VE"/>
        </w:rPr>
        <w:t xml:space="preserve"> tiene derecho a que se respete su integrida</w:t>
      </w:r>
      <w:r>
        <w:rPr>
          <w:rFonts w:asciiTheme="majorHAnsi" w:hAnsiTheme="majorHAnsi" w:cs="Tahoma"/>
          <w:color w:val="000000"/>
          <w:sz w:val="16"/>
          <w:szCs w:val="16"/>
          <w:lang w:val="es-VE"/>
        </w:rPr>
        <w:t xml:space="preserve">d física, psíquica y moral; </w:t>
      </w:r>
      <w:r w:rsidRPr="007F3D68">
        <w:rPr>
          <w:rFonts w:asciiTheme="majorHAnsi" w:hAnsiTheme="majorHAnsi" w:cs="Tahoma"/>
          <w:sz w:val="16"/>
          <w:szCs w:val="16"/>
          <w:lang w:val="es-VE"/>
        </w:rPr>
        <w:t xml:space="preserve">2. Nadie debe ser sometido a torturas ni a penas o tratos crueles, inhumanos o degradantes. Toda persona </w:t>
      </w:r>
      <w:r w:rsidRPr="007F3D68">
        <w:rPr>
          <w:rFonts w:asciiTheme="majorHAnsi" w:hAnsiTheme="majorHAnsi"/>
          <w:sz w:val="16"/>
          <w:szCs w:val="16"/>
          <w:lang w:val="es-VE"/>
        </w:rPr>
        <w:t>privada</w:t>
      </w:r>
      <w:r w:rsidRPr="007F3D68">
        <w:rPr>
          <w:rFonts w:asciiTheme="majorHAnsi" w:hAnsiTheme="majorHAnsi" w:cs="Tahoma"/>
          <w:sz w:val="16"/>
          <w:szCs w:val="16"/>
          <w:lang w:val="es-VE"/>
        </w:rPr>
        <w:t xml:space="preserve"> de libertad será tratada con el respeto debido a la dignidad inherente al ser humano.</w:t>
      </w:r>
    </w:p>
  </w:footnote>
  <w:footnote w:id="86">
    <w:p w:rsidR="00F40EB1" w:rsidRDefault="00F40EB1" w:rsidP="00E152A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jc w:val="both"/>
        <w:rPr>
          <w:rFonts w:asciiTheme="majorHAnsi" w:hAnsiTheme="majorHAnsi"/>
          <w:sz w:val="16"/>
          <w:szCs w:val="16"/>
          <w:lang w:val="es-VE"/>
        </w:rPr>
      </w:pPr>
      <w:r w:rsidRPr="007F3D68">
        <w:rPr>
          <w:rFonts w:asciiTheme="majorHAnsi" w:hAnsiTheme="majorHAnsi"/>
          <w:sz w:val="16"/>
          <w:szCs w:val="16"/>
          <w:lang w:val="es-VE"/>
        </w:rPr>
        <w:tab/>
      </w: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Los artículos 1 y 6 de la </w:t>
      </w:r>
      <w:r>
        <w:rPr>
          <w:rFonts w:asciiTheme="majorHAnsi" w:hAnsiTheme="majorHAnsi"/>
          <w:sz w:val="16"/>
          <w:szCs w:val="16"/>
          <w:lang w:val="es-VE"/>
        </w:rPr>
        <w:t xml:space="preserve">CIPST establecen que: </w:t>
      </w:r>
      <w:r w:rsidRPr="007F3D68">
        <w:rPr>
          <w:rFonts w:asciiTheme="majorHAnsi" w:hAnsiTheme="majorHAnsi"/>
          <w:sz w:val="16"/>
          <w:szCs w:val="16"/>
          <w:lang w:val="es-VE"/>
        </w:rPr>
        <w:t>Artículo 1. Los Estados partes se obligan a prevenir y sancionar la tortura en lo</w:t>
      </w:r>
      <w:r>
        <w:rPr>
          <w:rFonts w:asciiTheme="majorHAnsi" w:hAnsiTheme="majorHAnsi"/>
          <w:sz w:val="16"/>
          <w:szCs w:val="16"/>
          <w:lang w:val="es-VE"/>
        </w:rPr>
        <w:t xml:space="preserve">s términos de dicha Convención. </w:t>
      </w:r>
    </w:p>
    <w:p w:rsidR="00F40EB1" w:rsidRPr="00E152A0" w:rsidRDefault="00F40EB1" w:rsidP="00E152A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jc w:val="both"/>
        <w:rPr>
          <w:rFonts w:asciiTheme="majorHAnsi" w:hAnsiTheme="majorHAnsi"/>
          <w:sz w:val="16"/>
          <w:szCs w:val="16"/>
          <w:lang w:val="es-VE"/>
        </w:rPr>
      </w:pPr>
      <w:r>
        <w:rPr>
          <w:rFonts w:asciiTheme="majorHAnsi" w:hAnsiTheme="majorHAnsi"/>
          <w:sz w:val="16"/>
          <w:szCs w:val="16"/>
          <w:lang w:val="es-VE"/>
        </w:rPr>
        <w:tab/>
      </w:r>
      <w:r w:rsidRPr="007F3D68">
        <w:rPr>
          <w:rFonts w:asciiTheme="majorHAnsi" w:hAnsiTheme="majorHAnsi"/>
          <w:sz w:val="16"/>
          <w:szCs w:val="16"/>
          <w:lang w:val="es-VE"/>
        </w:rPr>
        <w:t>Artículo 6.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w:t>
      </w:r>
    </w:p>
  </w:footnote>
  <w:footnote w:id="87">
    <w:p w:rsidR="00F40EB1" w:rsidRPr="007F3D68" w:rsidRDefault="00F40EB1" w:rsidP="005818A2">
      <w:pPr>
        <w:autoSpaceDE w:val="0"/>
        <w:autoSpaceDN w:val="0"/>
        <w:adjustRightInd w:val="0"/>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lang w:val="es-CO"/>
        </w:rPr>
        <w:t xml:space="preserve"> Naciones Unidas. Informe del Relator Especial sobre la tortura y otros tratos o penas crueles, </w:t>
      </w:r>
      <w:proofErr w:type="gramStart"/>
      <w:r w:rsidRPr="007F3D68">
        <w:rPr>
          <w:rFonts w:asciiTheme="majorHAnsi" w:hAnsiTheme="majorHAnsi"/>
          <w:sz w:val="16"/>
          <w:szCs w:val="16"/>
          <w:lang w:val="es-CO"/>
        </w:rPr>
        <w:t>inhumanos</w:t>
      </w:r>
      <w:proofErr w:type="gramEnd"/>
      <w:r w:rsidRPr="007F3D68">
        <w:rPr>
          <w:rFonts w:asciiTheme="majorHAnsi" w:hAnsiTheme="majorHAnsi"/>
          <w:sz w:val="16"/>
          <w:szCs w:val="16"/>
          <w:lang w:val="es-CO"/>
        </w:rPr>
        <w:t xml:space="preserve"> o degradantes. </w:t>
      </w:r>
      <w:proofErr w:type="gramStart"/>
      <w:r w:rsidRPr="007F3D68">
        <w:rPr>
          <w:rFonts w:asciiTheme="majorHAnsi" w:hAnsiTheme="majorHAnsi"/>
          <w:sz w:val="16"/>
          <w:szCs w:val="16"/>
        </w:rPr>
        <w:t xml:space="preserve">9 de </w:t>
      </w:r>
      <w:proofErr w:type="spellStart"/>
      <w:r w:rsidRPr="007F3D68">
        <w:rPr>
          <w:rFonts w:asciiTheme="majorHAnsi" w:hAnsiTheme="majorHAnsi"/>
          <w:sz w:val="16"/>
          <w:szCs w:val="16"/>
        </w:rPr>
        <w:t>agosto</w:t>
      </w:r>
      <w:proofErr w:type="spellEnd"/>
      <w:r w:rsidRPr="007F3D68">
        <w:rPr>
          <w:rFonts w:asciiTheme="majorHAnsi" w:hAnsiTheme="majorHAnsi"/>
          <w:sz w:val="16"/>
          <w:szCs w:val="16"/>
        </w:rPr>
        <w:t xml:space="preserve"> de 2012.</w:t>
      </w:r>
      <w:proofErr w:type="gramEnd"/>
      <w:r w:rsidRPr="007F3D68">
        <w:rPr>
          <w:rFonts w:asciiTheme="majorHAnsi" w:hAnsiTheme="majorHAnsi"/>
          <w:sz w:val="16"/>
          <w:szCs w:val="16"/>
        </w:rPr>
        <w:t xml:space="preserve"> </w:t>
      </w:r>
      <w:proofErr w:type="gramStart"/>
      <w:r w:rsidRPr="007F3D68">
        <w:rPr>
          <w:rFonts w:asciiTheme="majorHAnsi" w:hAnsiTheme="majorHAnsi"/>
          <w:bCs/>
          <w:sz w:val="16"/>
          <w:szCs w:val="16"/>
        </w:rPr>
        <w:t xml:space="preserve">A/67/279, </w:t>
      </w:r>
      <w:proofErr w:type="spellStart"/>
      <w:r w:rsidRPr="007F3D68">
        <w:rPr>
          <w:rFonts w:asciiTheme="majorHAnsi" w:hAnsiTheme="majorHAnsi"/>
          <w:bCs/>
          <w:sz w:val="16"/>
          <w:szCs w:val="16"/>
        </w:rPr>
        <w:t>Párr</w:t>
      </w:r>
      <w:proofErr w:type="spellEnd"/>
      <w:r w:rsidRPr="007F3D68">
        <w:rPr>
          <w:rFonts w:asciiTheme="majorHAnsi" w:hAnsiTheme="majorHAnsi"/>
          <w:bCs/>
          <w:sz w:val="16"/>
          <w:szCs w:val="16"/>
        </w:rPr>
        <w:t>.</w:t>
      </w:r>
      <w:proofErr w:type="gramEnd"/>
      <w:r w:rsidRPr="007F3D68">
        <w:rPr>
          <w:rFonts w:asciiTheme="majorHAnsi" w:hAnsiTheme="majorHAnsi"/>
          <w:bCs/>
          <w:sz w:val="16"/>
          <w:szCs w:val="16"/>
        </w:rPr>
        <w:t xml:space="preserve"> 42. </w:t>
      </w:r>
      <w:proofErr w:type="spellStart"/>
      <w:r w:rsidRPr="007F3D68">
        <w:rPr>
          <w:rFonts w:asciiTheme="majorHAnsi" w:hAnsiTheme="majorHAnsi"/>
          <w:bCs/>
          <w:sz w:val="16"/>
          <w:szCs w:val="16"/>
        </w:rPr>
        <w:t>Citando</w:t>
      </w:r>
      <w:proofErr w:type="spellEnd"/>
      <w:r w:rsidRPr="007F3D68">
        <w:rPr>
          <w:rFonts w:asciiTheme="majorHAnsi" w:hAnsiTheme="majorHAnsi"/>
          <w:bCs/>
          <w:sz w:val="16"/>
          <w:szCs w:val="16"/>
        </w:rPr>
        <w:t xml:space="preserve">. </w:t>
      </w:r>
      <w:r w:rsidRPr="007F3D68">
        <w:rPr>
          <w:rFonts w:asciiTheme="majorHAnsi" w:hAnsiTheme="majorHAnsi" w:cs="TimesNewRoman"/>
          <w:sz w:val="16"/>
          <w:szCs w:val="16"/>
        </w:rPr>
        <w:t xml:space="preserve">Patrick Hudson, “Does the Death Row Phenomenon Violate a Prisoner’s Rights Under International Law”, </w:t>
      </w:r>
      <w:r w:rsidRPr="007F3D68">
        <w:rPr>
          <w:rFonts w:asciiTheme="majorHAnsi" w:hAnsiTheme="majorHAnsi" w:cs="TimesNewRoman,Italic"/>
          <w:iCs/>
          <w:sz w:val="16"/>
          <w:szCs w:val="16"/>
        </w:rPr>
        <w:t>European Journal of International Law</w:t>
      </w:r>
      <w:r w:rsidRPr="007F3D68">
        <w:rPr>
          <w:rFonts w:asciiTheme="majorHAnsi" w:hAnsiTheme="majorHAnsi" w:cs="TimesNewRoman"/>
          <w:sz w:val="16"/>
          <w:szCs w:val="16"/>
        </w:rPr>
        <w:t xml:space="preserve">, vol. 11, </w:t>
      </w:r>
      <w:proofErr w:type="spellStart"/>
      <w:r w:rsidRPr="007F3D68">
        <w:rPr>
          <w:rFonts w:asciiTheme="majorHAnsi" w:hAnsiTheme="majorHAnsi" w:cs="TimesNewRoman"/>
          <w:sz w:val="16"/>
          <w:szCs w:val="16"/>
        </w:rPr>
        <w:t>núm</w:t>
      </w:r>
      <w:proofErr w:type="spellEnd"/>
      <w:r w:rsidRPr="007F3D68">
        <w:rPr>
          <w:rFonts w:asciiTheme="majorHAnsi" w:hAnsiTheme="majorHAnsi" w:cs="TimesNewRoman"/>
          <w:sz w:val="16"/>
          <w:szCs w:val="16"/>
        </w:rPr>
        <w:t xml:space="preserve">. </w:t>
      </w:r>
      <w:proofErr w:type="gramStart"/>
      <w:r w:rsidRPr="007F3D68">
        <w:rPr>
          <w:rFonts w:asciiTheme="majorHAnsi" w:hAnsiTheme="majorHAnsi" w:cs="TimesNewRoman"/>
          <w:sz w:val="16"/>
          <w:szCs w:val="16"/>
        </w:rPr>
        <w:t xml:space="preserve">No. 4, </w:t>
      </w:r>
      <w:proofErr w:type="spellStart"/>
      <w:r w:rsidRPr="007F3D68">
        <w:rPr>
          <w:rFonts w:asciiTheme="majorHAnsi" w:hAnsiTheme="majorHAnsi" w:cs="TimesNewRoman"/>
          <w:sz w:val="16"/>
          <w:szCs w:val="16"/>
        </w:rPr>
        <w:t>págs</w:t>
      </w:r>
      <w:proofErr w:type="spellEnd"/>
      <w:r w:rsidRPr="007F3D68">
        <w:rPr>
          <w:rFonts w:asciiTheme="majorHAnsi" w:hAnsiTheme="majorHAnsi" w:cs="TimesNewRoman"/>
          <w:sz w:val="16"/>
          <w:szCs w:val="16"/>
        </w:rPr>
        <w:t>.</w:t>
      </w:r>
      <w:proofErr w:type="gramEnd"/>
      <w:r w:rsidRPr="007F3D68">
        <w:rPr>
          <w:rFonts w:asciiTheme="majorHAnsi" w:hAnsiTheme="majorHAnsi" w:cs="TimesNewRoman"/>
          <w:sz w:val="16"/>
          <w:szCs w:val="16"/>
        </w:rPr>
        <w:t xml:space="preserve"> 834 </w:t>
      </w:r>
      <w:proofErr w:type="gramStart"/>
      <w:r w:rsidRPr="007F3D68">
        <w:rPr>
          <w:rFonts w:asciiTheme="majorHAnsi" w:hAnsiTheme="majorHAnsi" w:cs="TimesNewRoman"/>
          <w:sz w:val="16"/>
          <w:szCs w:val="16"/>
        </w:rPr>
        <w:t>a</w:t>
      </w:r>
      <w:proofErr w:type="gramEnd"/>
      <w:r w:rsidRPr="007F3D68">
        <w:rPr>
          <w:rFonts w:asciiTheme="majorHAnsi" w:hAnsiTheme="majorHAnsi" w:cs="TimesNewRoman"/>
          <w:sz w:val="16"/>
          <w:szCs w:val="16"/>
        </w:rPr>
        <w:t xml:space="preserve"> 837.</w:t>
      </w:r>
    </w:p>
  </w:footnote>
  <w:footnote w:id="88">
    <w:p w:rsidR="00F40EB1" w:rsidRPr="007F3D68" w:rsidRDefault="00F40EB1" w:rsidP="005818A2">
      <w:pPr>
        <w:autoSpaceDE w:val="0"/>
        <w:autoSpaceDN w:val="0"/>
        <w:adjustRightInd w:val="0"/>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spellStart"/>
      <w:r w:rsidRPr="007F3D68">
        <w:rPr>
          <w:rFonts w:asciiTheme="majorHAnsi" w:hAnsiTheme="majorHAnsi"/>
          <w:sz w:val="16"/>
          <w:szCs w:val="16"/>
        </w:rPr>
        <w:t>Naciones</w:t>
      </w:r>
      <w:proofErr w:type="spellEnd"/>
      <w:r w:rsidRPr="007F3D68">
        <w:rPr>
          <w:rFonts w:asciiTheme="majorHAnsi" w:hAnsiTheme="majorHAnsi"/>
          <w:sz w:val="16"/>
          <w:szCs w:val="16"/>
        </w:rPr>
        <w:t xml:space="preserve"> </w:t>
      </w:r>
      <w:proofErr w:type="spellStart"/>
      <w:r w:rsidRPr="007F3D68">
        <w:rPr>
          <w:rFonts w:asciiTheme="majorHAnsi" w:hAnsiTheme="majorHAnsi"/>
          <w:sz w:val="16"/>
          <w:szCs w:val="16"/>
        </w:rPr>
        <w:t>Unidas</w:t>
      </w:r>
      <w:proofErr w:type="spellEnd"/>
      <w:r w:rsidRPr="007F3D68">
        <w:rPr>
          <w:rFonts w:asciiTheme="majorHAnsi" w:hAnsiTheme="majorHAnsi"/>
          <w:sz w:val="16"/>
          <w:szCs w:val="16"/>
        </w:rPr>
        <w:t xml:space="preserve">. </w:t>
      </w:r>
      <w:proofErr w:type="spellStart"/>
      <w:r w:rsidRPr="007F3D68">
        <w:rPr>
          <w:rFonts w:asciiTheme="majorHAnsi" w:hAnsiTheme="majorHAnsi"/>
          <w:sz w:val="16"/>
          <w:szCs w:val="16"/>
        </w:rPr>
        <w:t>Informe</w:t>
      </w:r>
      <w:proofErr w:type="spellEnd"/>
      <w:r w:rsidRPr="007F3D68">
        <w:rPr>
          <w:rFonts w:asciiTheme="majorHAnsi" w:hAnsiTheme="majorHAnsi"/>
          <w:sz w:val="16"/>
          <w:szCs w:val="16"/>
        </w:rPr>
        <w:t xml:space="preserve"> </w:t>
      </w:r>
      <w:proofErr w:type="gramStart"/>
      <w:r w:rsidRPr="007F3D68">
        <w:rPr>
          <w:rFonts w:asciiTheme="majorHAnsi" w:hAnsiTheme="majorHAnsi"/>
          <w:sz w:val="16"/>
          <w:szCs w:val="16"/>
        </w:rPr>
        <w:t>del</w:t>
      </w:r>
      <w:proofErr w:type="gramEnd"/>
      <w:r w:rsidRPr="007F3D68">
        <w:rPr>
          <w:rFonts w:asciiTheme="majorHAnsi" w:hAnsiTheme="majorHAnsi"/>
          <w:sz w:val="16"/>
          <w:szCs w:val="16"/>
        </w:rPr>
        <w:t xml:space="preserve"> Relator Especial </w:t>
      </w:r>
      <w:proofErr w:type="spellStart"/>
      <w:r w:rsidRPr="007F3D68">
        <w:rPr>
          <w:rFonts w:asciiTheme="majorHAnsi" w:hAnsiTheme="majorHAnsi"/>
          <w:sz w:val="16"/>
          <w:szCs w:val="16"/>
        </w:rPr>
        <w:t>sobre</w:t>
      </w:r>
      <w:proofErr w:type="spellEnd"/>
      <w:r w:rsidRPr="007F3D68">
        <w:rPr>
          <w:rFonts w:asciiTheme="majorHAnsi" w:hAnsiTheme="majorHAnsi"/>
          <w:sz w:val="16"/>
          <w:szCs w:val="16"/>
        </w:rPr>
        <w:t xml:space="preserve"> la </w:t>
      </w:r>
      <w:proofErr w:type="spellStart"/>
      <w:r w:rsidRPr="007F3D68">
        <w:rPr>
          <w:rFonts w:asciiTheme="majorHAnsi" w:hAnsiTheme="majorHAnsi"/>
          <w:sz w:val="16"/>
          <w:szCs w:val="16"/>
        </w:rPr>
        <w:t>tortura</w:t>
      </w:r>
      <w:proofErr w:type="spellEnd"/>
      <w:r w:rsidRPr="007F3D68">
        <w:rPr>
          <w:rFonts w:asciiTheme="majorHAnsi" w:hAnsiTheme="majorHAnsi"/>
          <w:sz w:val="16"/>
          <w:szCs w:val="16"/>
        </w:rPr>
        <w:t xml:space="preserve"> y </w:t>
      </w:r>
      <w:proofErr w:type="spellStart"/>
      <w:r w:rsidRPr="007F3D68">
        <w:rPr>
          <w:rFonts w:asciiTheme="majorHAnsi" w:hAnsiTheme="majorHAnsi"/>
          <w:sz w:val="16"/>
          <w:szCs w:val="16"/>
        </w:rPr>
        <w:t>otros</w:t>
      </w:r>
      <w:proofErr w:type="spellEnd"/>
      <w:r w:rsidRPr="007F3D68">
        <w:rPr>
          <w:rFonts w:asciiTheme="majorHAnsi" w:hAnsiTheme="majorHAnsi"/>
          <w:sz w:val="16"/>
          <w:szCs w:val="16"/>
        </w:rPr>
        <w:t xml:space="preserve"> </w:t>
      </w:r>
      <w:proofErr w:type="spellStart"/>
      <w:r w:rsidRPr="007F3D68">
        <w:rPr>
          <w:rFonts w:asciiTheme="majorHAnsi" w:hAnsiTheme="majorHAnsi"/>
          <w:sz w:val="16"/>
          <w:szCs w:val="16"/>
        </w:rPr>
        <w:t>tratos</w:t>
      </w:r>
      <w:proofErr w:type="spellEnd"/>
      <w:r w:rsidRPr="007F3D68">
        <w:rPr>
          <w:rFonts w:asciiTheme="majorHAnsi" w:hAnsiTheme="majorHAnsi"/>
          <w:sz w:val="16"/>
          <w:szCs w:val="16"/>
        </w:rPr>
        <w:t xml:space="preserve"> o </w:t>
      </w:r>
      <w:proofErr w:type="spellStart"/>
      <w:r w:rsidRPr="007F3D68">
        <w:rPr>
          <w:rFonts w:asciiTheme="majorHAnsi" w:hAnsiTheme="majorHAnsi"/>
          <w:sz w:val="16"/>
          <w:szCs w:val="16"/>
        </w:rPr>
        <w:t>penas</w:t>
      </w:r>
      <w:proofErr w:type="spellEnd"/>
      <w:r w:rsidRPr="007F3D68">
        <w:rPr>
          <w:rFonts w:asciiTheme="majorHAnsi" w:hAnsiTheme="majorHAnsi"/>
          <w:sz w:val="16"/>
          <w:szCs w:val="16"/>
        </w:rPr>
        <w:t xml:space="preserve"> </w:t>
      </w:r>
      <w:proofErr w:type="spellStart"/>
      <w:r w:rsidRPr="007F3D68">
        <w:rPr>
          <w:rFonts w:asciiTheme="majorHAnsi" w:hAnsiTheme="majorHAnsi"/>
          <w:sz w:val="16"/>
          <w:szCs w:val="16"/>
        </w:rPr>
        <w:t>crueles</w:t>
      </w:r>
      <w:proofErr w:type="spellEnd"/>
      <w:r w:rsidRPr="007F3D68">
        <w:rPr>
          <w:rFonts w:asciiTheme="majorHAnsi" w:hAnsiTheme="majorHAnsi"/>
          <w:sz w:val="16"/>
          <w:szCs w:val="16"/>
        </w:rPr>
        <w:t xml:space="preserve">, </w:t>
      </w:r>
      <w:proofErr w:type="spellStart"/>
      <w:r w:rsidRPr="007F3D68">
        <w:rPr>
          <w:rFonts w:asciiTheme="majorHAnsi" w:hAnsiTheme="majorHAnsi"/>
          <w:sz w:val="16"/>
          <w:szCs w:val="16"/>
        </w:rPr>
        <w:t>inhumanos</w:t>
      </w:r>
      <w:proofErr w:type="spellEnd"/>
      <w:r w:rsidRPr="007F3D68">
        <w:rPr>
          <w:rFonts w:asciiTheme="majorHAnsi" w:hAnsiTheme="majorHAnsi"/>
          <w:sz w:val="16"/>
          <w:szCs w:val="16"/>
        </w:rPr>
        <w:t xml:space="preserve"> o </w:t>
      </w:r>
      <w:proofErr w:type="spellStart"/>
      <w:r w:rsidRPr="007F3D68">
        <w:rPr>
          <w:rFonts w:asciiTheme="majorHAnsi" w:hAnsiTheme="majorHAnsi"/>
          <w:sz w:val="16"/>
          <w:szCs w:val="16"/>
        </w:rPr>
        <w:t>degradantes</w:t>
      </w:r>
      <w:proofErr w:type="spellEnd"/>
      <w:r w:rsidRPr="007F3D68">
        <w:rPr>
          <w:rFonts w:asciiTheme="majorHAnsi" w:hAnsiTheme="majorHAnsi"/>
          <w:sz w:val="16"/>
          <w:szCs w:val="16"/>
        </w:rPr>
        <w:t xml:space="preserve">. </w:t>
      </w:r>
      <w:proofErr w:type="gramStart"/>
      <w:r w:rsidRPr="007F3D68">
        <w:rPr>
          <w:rFonts w:asciiTheme="majorHAnsi" w:hAnsiTheme="majorHAnsi"/>
          <w:sz w:val="16"/>
          <w:szCs w:val="16"/>
        </w:rPr>
        <w:t xml:space="preserve">9 de </w:t>
      </w:r>
      <w:proofErr w:type="spellStart"/>
      <w:r w:rsidRPr="007F3D68">
        <w:rPr>
          <w:rFonts w:asciiTheme="majorHAnsi" w:hAnsiTheme="majorHAnsi"/>
          <w:sz w:val="16"/>
          <w:szCs w:val="16"/>
        </w:rPr>
        <w:t>agosto</w:t>
      </w:r>
      <w:proofErr w:type="spellEnd"/>
      <w:r w:rsidRPr="007F3D68">
        <w:rPr>
          <w:rFonts w:asciiTheme="majorHAnsi" w:hAnsiTheme="majorHAnsi"/>
          <w:sz w:val="16"/>
          <w:szCs w:val="16"/>
        </w:rPr>
        <w:t xml:space="preserve"> de 2012.</w:t>
      </w:r>
      <w:proofErr w:type="gramEnd"/>
      <w:r w:rsidRPr="007F3D68">
        <w:rPr>
          <w:rFonts w:asciiTheme="majorHAnsi" w:hAnsiTheme="majorHAnsi"/>
          <w:sz w:val="16"/>
          <w:szCs w:val="16"/>
        </w:rPr>
        <w:t xml:space="preserve"> </w:t>
      </w:r>
      <w:proofErr w:type="gramStart"/>
      <w:r w:rsidRPr="007F3D68">
        <w:rPr>
          <w:rFonts w:asciiTheme="majorHAnsi" w:hAnsiTheme="majorHAnsi"/>
          <w:bCs/>
          <w:sz w:val="16"/>
          <w:szCs w:val="16"/>
        </w:rPr>
        <w:t xml:space="preserve">A/67/279, </w:t>
      </w:r>
      <w:proofErr w:type="spellStart"/>
      <w:r w:rsidRPr="007F3D68">
        <w:rPr>
          <w:rFonts w:asciiTheme="majorHAnsi" w:hAnsiTheme="majorHAnsi"/>
          <w:bCs/>
          <w:sz w:val="16"/>
          <w:szCs w:val="16"/>
        </w:rPr>
        <w:t>Párr</w:t>
      </w:r>
      <w:proofErr w:type="spellEnd"/>
      <w:r w:rsidRPr="007F3D68">
        <w:rPr>
          <w:rFonts w:asciiTheme="majorHAnsi" w:hAnsiTheme="majorHAnsi"/>
          <w:bCs/>
          <w:sz w:val="16"/>
          <w:szCs w:val="16"/>
        </w:rPr>
        <w:t>.</w:t>
      </w:r>
      <w:proofErr w:type="gramEnd"/>
      <w:r w:rsidRPr="007F3D68">
        <w:rPr>
          <w:rFonts w:asciiTheme="majorHAnsi" w:hAnsiTheme="majorHAnsi"/>
          <w:bCs/>
          <w:sz w:val="16"/>
          <w:szCs w:val="16"/>
        </w:rPr>
        <w:t xml:space="preserve"> 42. </w:t>
      </w:r>
    </w:p>
  </w:footnote>
  <w:footnote w:id="89">
    <w:p w:rsidR="00F40EB1" w:rsidRPr="007F3D68" w:rsidRDefault="00F40EB1" w:rsidP="005818A2">
      <w:pPr>
        <w:pStyle w:val="FootnoteText"/>
        <w:tabs>
          <w:tab w:val="right" w:pos="540"/>
        </w:tabs>
        <w:spacing w:after="120"/>
        <w:ind w:left="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gramStart"/>
      <w:r w:rsidRPr="007F3D68">
        <w:rPr>
          <w:rFonts w:asciiTheme="majorHAnsi" w:hAnsiTheme="majorHAnsi"/>
          <w:bCs/>
          <w:sz w:val="16"/>
          <w:szCs w:val="16"/>
        </w:rPr>
        <w:t>ECtHR.</w:t>
      </w:r>
      <w:proofErr w:type="gramEnd"/>
      <w:r w:rsidRPr="007F3D68">
        <w:rPr>
          <w:rFonts w:asciiTheme="majorHAnsi" w:hAnsiTheme="majorHAnsi"/>
          <w:bCs/>
          <w:sz w:val="16"/>
          <w:szCs w:val="16"/>
        </w:rPr>
        <w:t xml:space="preserve"> </w:t>
      </w:r>
      <w:proofErr w:type="gramStart"/>
      <w:r w:rsidRPr="007F3D68">
        <w:rPr>
          <w:rFonts w:asciiTheme="majorHAnsi" w:hAnsiTheme="majorHAnsi"/>
          <w:bCs/>
          <w:sz w:val="16"/>
          <w:szCs w:val="16"/>
        </w:rPr>
        <w:t xml:space="preserve">Case of </w:t>
      </w:r>
      <w:proofErr w:type="spellStart"/>
      <w:r w:rsidRPr="007F3D68">
        <w:rPr>
          <w:rFonts w:asciiTheme="majorHAnsi" w:hAnsiTheme="majorHAnsi"/>
          <w:bCs/>
          <w:sz w:val="16"/>
          <w:szCs w:val="16"/>
        </w:rPr>
        <w:t>Soering</w:t>
      </w:r>
      <w:proofErr w:type="spellEnd"/>
      <w:r w:rsidRPr="007F3D68">
        <w:rPr>
          <w:rFonts w:asciiTheme="majorHAnsi" w:hAnsiTheme="majorHAnsi"/>
          <w:bCs/>
          <w:sz w:val="16"/>
          <w:szCs w:val="16"/>
        </w:rPr>
        <w:t xml:space="preserve"> v.</w:t>
      </w:r>
      <w:proofErr w:type="gramEnd"/>
      <w:r w:rsidRPr="007F3D68">
        <w:rPr>
          <w:rFonts w:asciiTheme="majorHAnsi" w:hAnsiTheme="majorHAnsi"/>
          <w:bCs/>
          <w:sz w:val="16"/>
          <w:szCs w:val="16"/>
        </w:rPr>
        <w:t xml:space="preserve"> </w:t>
      </w:r>
      <w:proofErr w:type="gramStart"/>
      <w:r w:rsidRPr="007F3D68">
        <w:rPr>
          <w:rFonts w:asciiTheme="majorHAnsi" w:hAnsiTheme="majorHAnsi"/>
          <w:bCs/>
          <w:sz w:val="16"/>
          <w:szCs w:val="16"/>
        </w:rPr>
        <w:t>The United Kingdom.</w:t>
      </w:r>
      <w:proofErr w:type="gramEnd"/>
      <w:r w:rsidRPr="007F3D68">
        <w:rPr>
          <w:rFonts w:asciiTheme="majorHAnsi" w:hAnsiTheme="majorHAnsi"/>
          <w:bCs/>
          <w:sz w:val="16"/>
          <w:szCs w:val="16"/>
        </w:rPr>
        <w:t xml:space="preserve"> </w:t>
      </w:r>
      <w:proofErr w:type="gramStart"/>
      <w:r w:rsidRPr="007F3D68">
        <w:rPr>
          <w:rFonts w:asciiTheme="majorHAnsi" w:hAnsiTheme="majorHAnsi"/>
          <w:bCs/>
          <w:sz w:val="16"/>
          <w:szCs w:val="16"/>
        </w:rPr>
        <w:t>Application No. 14038/88.</w:t>
      </w:r>
      <w:proofErr w:type="gramEnd"/>
      <w:r w:rsidRPr="007F3D68">
        <w:rPr>
          <w:rFonts w:asciiTheme="majorHAnsi" w:hAnsiTheme="majorHAnsi"/>
          <w:bCs/>
          <w:sz w:val="16"/>
          <w:szCs w:val="16"/>
        </w:rPr>
        <w:t xml:space="preserve"> Judgment, 07 July 1989. </w:t>
      </w:r>
      <w:proofErr w:type="gramStart"/>
      <w:r w:rsidRPr="007F3D68">
        <w:rPr>
          <w:rFonts w:asciiTheme="majorHAnsi" w:hAnsiTheme="majorHAnsi"/>
          <w:bCs/>
          <w:sz w:val="16"/>
          <w:szCs w:val="16"/>
        </w:rPr>
        <w:t>Para.</w:t>
      </w:r>
      <w:proofErr w:type="gramEnd"/>
      <w:r w:rsidRPr="007F3D68">
        <w:rPr>
          <w:rFonts w:asciiTheme="majorHAnsi" w:hAnsiTheme="majorHAnsi"/>
          <w:bCs/>
          <w:sz w:val="16"/>
          <w:szCs w:val="16"/>
        </w:rPr>
        <w:t xml:space="preserve"> 104.</w:t>
      </w:r>
    </w:p>
  </w:footnote>
  <w:footnote w:id="90">
    <w:p w:rsidR="00F40EB1" w:rsidRPr="007F3D68" w:rsidRDefault="00F40EB1" w:rsidP="005818A2">
      <w:pPr>
        <w:pStyle w:val="FootnoteText"/>
        <w:tabs>
          <w:tab w:val="right" w:pos="540"/>
          <w:tab w:val="left" w:pos="720"/>
          <w:tab w:val="left" w:pos="900"/>
        </w:tabs>
        <w:spacing w:after="120"/>
        <w:ind w:left="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gramStart"/>
      <w:r w:rsidRPr="007F3D68">
        <w:rPr>
          <w:rFonts w:asciiTheme="majorHAnsi" w:hAnsiTheme="majorHAnsi"/>
          <w:bCs/>
          <w:sz w:val="16"/>
          <w:szCs w:val="16"/>
        </w:rPr>
        <w:t>ECtHR.</w:t>
      </w:r>
      <w:proofErr w:type="gramEnd"/>
      <w:r w:rsidRPr="007F3D68">
        <w:rPr>
          <w:rFonts w:asciiTheme="majorHAnsi" w:hAnsiTheme="majorHAnsi"/>
          <w:bCs/>
          <w:sz w:val="16"/>
          <w:szCs w:val="16"/>
        </w:rPr>
        <w:t xml:space="preserve"> </w:t>
      </w:r>
      <w:proofErr w:type="gramStart"/>
      <w:r w:rsidRPr="007F3D68">
        <w:rPr>
          <w:rFonts w:asciiTheme="majorHAnsi" w:hAnsiTheme="majorHAnsi"/>
          <w:bCs/>
          <w:sz w:val="16"/>
          <w:szCs w:val="16"/>
        </w:rPr>
        <w:t xml:space="preserve">Case of </w:t>
      </w:r>
      <w:proofErr w:type="spellStart"/>
      <w:r w:rsidRPr="007F3D68">
        <w:rPr>
          <w:rFonts w:asciiTheme="majorHAnsi" w:hAnsiTheme="majorHAnsi"/>
          <w:bCs/>
          <w:sz w:val="16"/>
          <w:szCs w:val="16"/>
        </w:rPr>
        <w:t>Soering</w:t>
      </w:r>
      <w:proofErr w:type="spellEnd"/>
      <w:r w:rsidRPr="007F3D68">
        <w:rPr>
          <w:rFonts w:asciiTheme="majorHAnsi" w:hAnsiTheme="majorHAnsi"/>
          <w:bCs/>
          <w:sz w:val="16"/>
          <w:szCs w:val="16"/>
        </w:rPr>
        <w:t xml:space="preserve"> v.</w:t>
      </w:r>
      <w:proofErr w:type="gramEnd"/>
      <w:r w:rsidRPr="007F3D68">
        <w:rPr>
          <w:rFonts w:asciiTheme="majorHAnsi" w:hAnsiTheme="majorHAnsi"/>
          <w:bCs/>
          <w:sz w:val="16"/>
          <w:szCs w:val="16"/>
        </w:rPr>
        <w:t xml:space="preserve"> </w:t>
      </w:r>
      <w:proofErr w:type="gramStart"/>
      <w:r w:rsidRPr="007F3D68">
        <w:rPr>
          <w:rFonts w:asciiTheme="majorHAnsi" w:hAnsiTheme="majorHAnsi"/>
          <w:bCs/>
          <w:sz w:val="16"/>
          <w:szCs w:val="16"/>
        </w:rPr>
        <w:t>The United Kingdom.</w:t>
      </w:r>
      <w:proofErr w:type="gramEnd"/>
      <w:r w:rsidRPr="007F3D68">
        <w:rPr>
          <w:rFonts w:asciiTheme="majorHAnsi" w:hAnsiTheme="majorHAnsi"/>
          <w:bCs/>
          <w:sz w:val="16"/>
          <w:szCs w:val="16"/>
        </w:rPr>
        <w:t xml:space="preserve"> </w:t>
      </w:r>
      <w:proofErr w:type="gramStart"/>
      <w:r w:rsidRPr="007F3D68">
        <w:rPr>
          <w:rFonts w:asciiTheme="majorHAnsi" w:hAnsiTheme="majorHAnsi"/>
          <w:bCs/>
          <w:sz w:val="16"/>
          <w:szCs w:val="16"/>
        </w:rPr>
        <w:t>Application No. 14038/88.</w:t>
      </w:r>
      <w:proofErr w:type="gramEnd"/>
      <w:r w:rsidRPr="007F3D68">
        <w:rPr>
          <w:rFonts w:asciiTheme="majorHAnsi" w:hAnsiTheme="majorHAnsi"/>
          <w:bCs/>
          <w:sz w:val="16"/>
          <w:szCs w:val="16"/>
        </w:rPr>
        <w:t xml:space="preserve"> Judgment, 07 July 1989. </w:t>
      </w:r>
      <w:proofErr w:type="gramStart"/>
      <w:r w:rsidRPr="007F3D68">
        <w:rPr>
          <w:rFonts w:asciiTheme="majorHAnsi" w:hAnsiTheme="majorHAnsi"/>
          <w:bCs/>
          <w:sz w:val="16"/>
          <w:szCs w:val="16"/>
        </w:rPr>
        <w:t>Para.</w:t>
      </w:r>
      <w:proofErr w:type="gramEnd"/>
      <w:r w:rsidRPr="007F3D68">
        <w:rPr>
          <w:rFonts w:asciiTheme="majorHAnsi" w:hAnsiTheme="majorHAnsi"/>
          <w:bCs/>
          <w:sz w:val="16"/>
          <w:szCs w:val="16"/>
        </w:rPr>
        <w:t xml:space="preserve"> 106.</w:t>
      </w:r>
    </w:p>
  </w:footnote>
  <w:footnote w:id="91">
    <w:p w:rsidR="00F40EB1" w:rsidRPr="007F3D68" w:rsidRDefault="00F40EB1" w:rsidP="005818A2">
      <w:pPr>
        <w:pStyle w:val="FootnoteText"/>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spellStart"/>
      <w:proofErr w:type="gramStart"/>
      <w:r w:rsidRPr="007F3D68">
        <w:rPr>
          <w:rFonts w:asciiTheme="majorHAnsi" w:hAnsiTheme="majorHAnsi"/>
          <w:sz w:val="16"/>
          <w:szCs w:val="16"/>
        </w:rPr>
        <w:t>ECthr</w:t>
      </w:r>
      <w:proofErr w:type="spellEnd"/>
      <w:r w:rsidRPr="007F3D68">
        <w:rPr>
          <w:rFonts w:asciiTheme="majorHAnsi" w:hAnsiTheme="majorHAnsi"/>
          <w:sz w:val="16"/>
          <w:szCs w:val="16"/>
        </w:rPr>
        <w:t>.</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Case of Al-</w:t>
      </w:r>
      <w:proofErr w:type="spellStart"/>
      <w:r w:rsidRPr="007F3D68">
        <w:rPr>
          <w:rFonts w:asciiTheme="majorHAnsi" w:hAnsiTheme="majorHAnsi"/>
          <w:sz w:val="16"/>
          <w:szCs w:val="16"/>
        </w:rPr>
        <w:t>Saadon</w:t>
      </w:r>
      <w:proofErr w:type="spellEnd"/>
      <w:r w:rsidRPr="007F3D68">
        <w:rPr>
          <w:rFonts w:asciiTheme="majorHAnsi" w:hAnsiTheme="majorHAnsi"/>
          <w:sz w:val="16"/>
          <w:szCs w:val="16"/>
        </w:rPr>
        <w:t xml:space="preserve"> and </w:t>
      </w:r>
      <w:proofErr w:type="spellStart"/>
      <w:r w:rsidRPr="007F3D68">
        <w:rPr>
          <w:rFonts w:asciiTheme="majorHAnsi" w:hAnsiTheme="majorHAnsi"/>
          <w:sz w:val="16"/>
          <w:szCs w:val="16"/>
        </w:rPr>
        <w:t>Mufdhi</w:t>
      </w:r>
      <w:proofErr w:type="spellEnd"/>
      <w:r w:rsidRPr="007F3D68">
        <w:rPr>
          <w:rFonts w:asciiTheme="majorHAnsi" w:hAnsiTheme="majorHAnsi"/>
          <w:sz w:val="16"/>
          <w:szCs w:val="16"/>
        </w:rPr>
        <w:t xml:space="preserve"> v.</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The United Kingdom.</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Application No. 61498/08.</w:t>
      </w:r>
      <w:proofErr w:type="gramEnd"/>
      <w:r w:rsidRPr="007F3D68">
        <w:rPr>
          <w:rFonts w:asciiTheme="majorHAnsi" w:hAnsiTheme="majorHAnsi"/>
          <w:sz w:val="16"/>
          <w:szCs w:val="16"/>
        </w:rPr>
        <w:t xml:space="preserve"> Judgment 2 march 2010 Para. 115. </w:t>
      </w:r>
      <w:r w:rsidRPr="007F3D68">
        <w:rPr>
          <w:rFonts w:asciiTheme="majorHAnsi" w:hAnsiTheme="majorHAnsi"/>
          <w:sz w:val="16"/>
          <w:szCs w:val="16"/>
          <w:lang w:val="es-VE"/>
        </w:rPr>
        <w:t xml:space="preserve">Ver también el caso </w:t>
      </w:r>
      <w:proofErr w:type="spellStart"/>
      <w:r w:rsidRPr="007F3D68">
        <w:rPr>
          <w:rFonts w:asciiTheme="majorHAnsi" w:hAnsiTheme="majorHAnsi"/>
          <w:sz w:val="16"/>
          <w:szCs w:val="16"/>
          <w:lang w:val="es-VE"/>
        </w:rPr>
        <w:t>Bader</w:t>
      </w:r>
      <w:proofErr w:type="spellEnd"/>
      <w:r w:rsidRPr="007F3D68">
        <w:rPr>
          <w:rFonts w:asciiTheme="majorHAnsi" w:hAnsiTheme="majorHAnsi"/>
          <w:sz w:val="16"/>
          <w:szCs w:val="16"/>
          <w:lang w:val="es-VE"/>
        </w:rPr>
        <w:t xml:space="preserve"> y </w:t>
      </w:r>
      <w:proofErr w:type="spellStart"/>
      <w:r w:rsidRPr="007F3D68">
        <w:rPr>
          <w:rFonts w:asciiTheme="majorHAnsi" w:hAnsiTheme="majorHAnsi"/>
          <w:sz w:val="16"/>
          <w:szCs w:val="16"/>
          <w:lang w:val="es-VE"/>
        </w:rPr>
        <w:t>Knabor</w:t>
      </w:r>
      <w:proofErr w:type="spellEnd"/>
      <w:r w:rsidRPr="007F3D68">
        <w:rPr>
          <w:rFonts w:asciiTheme="majorHAnsi" w:hAnsiTheme="majorHAnsi"/>
          <w:sz w:val="16"/>
          <w:szCs w:val="16"/>
          <w:lang w:val="es-VE"/>
        </w:rPr>
        <w:t xml:space="preserve"> vs. Suecia, en el que el Tribunal Europeo indicó que </w:t>
      </w:r>
      <w:r w:rsidRPr="007F3D68">
        <w:rPr>
          <w:rFonts w:asciiTheme="majorHAnsi" w:hAnsiTheme="majorHAnsi" w:cs="Arial"/>
          <w:color w:val="212121"/>
          <w:sz w:val="16"/>
          <w:szCs w:val="16"/>
          <w:shd w:val="clear" w:color="auto" w:fill="FFFFFF"/>
          <w:lang w:val="es-VE"/>
        </w:rPr>
        <w:t xml:space="preserve">imponer una sentencia de muerte a una persona después de un juicio injusto, en circunstancias en que exista una posibilidad real de que se ejecute la sentencia, genera un grado significativo de angustia y temor humano, contrario al artículo 3 de la Convención. </w:t>
      </w:r>
      <w:proofErr w:type="spellStart"/>
      <w:proofErr w:type="gramStart"/>
      <w:r w:rsidRPr="007F3D68">
        <w:rPr>
          <w:rFonts w:asciiTheme="majorHAnsi" w:hAnsiTheme="majorHAnsi" w:cs="Arial"/>
          <w:color w:val="212121"/>
          <w:sz w:val="16"/>
          <w:szCs w:val="16"/>
          <w:shd w:val="clear" w:color="auto" w:fill="FFFFFF"/>
        </w:rPr>
        <w:t>ECthr</w:t>
      </w:r>
      <w:proofErr w:type="spellEnd"/>
      <w:r w:rsidRPr="007F3D68">
        <w:rPr>
          <w:rFonts w:asciiTheme="majorHAnsi" w:hAnsiTheme="majorHAnsi" w:cs="Arial"/>
          <w:color w:val="212121"/>
          <w:sz w:val="16"/>
          <w:szCs w:val="16"/>
          <w:shd w:val="clear" w:color="auto" w:fill="FFFFFF"/>
        </w:rPr>
        <w:t>.</w:t>
      </w:r>
      <w:proofErr w:type="gramEnd"/>
      <w:r w:rsidRPr="007F3D68">
        <w:rPr>
          <w:rFonts w:asciiTheme="majorHAnsi" w:hAnsiTheme="majorHAnsi" w:cs="Arial"/>
          <w:color w:val="212121"/>
          <w:sz w:val="16"/>
          <w:szCs w:val="16"/>
          <w:shd w:val="clear" w:color="auto" w:fill="FFFFFF"/>
        </w:rPr>
        <w:t xml:space="preserve"> </w:t>
      </w:r>
      <w:proofErr w:type="gramStart"/>
      <w:r w:rsidRPr="007F3D68">
        <w:rPr>
          <w:rFonts w:asciiTheme="majorHAnsi" w:hAnsiTheme="majorHAnsi" w:cs="Arial"/>
          <w:color w:val="212121"/>
          <w:sz w:val="16"/>
          <w:szCs w:val="16"/>
          <w:shd w:val="clear" w:color="auto" w:fill="FFFFFF"/>
        </w:rPr>
        <w:t xml:space="preserve">Case of Bader and </w:t>
      </w:r>
      <w:proofErr w:type="spellStart"/>
      <w:r w:rsidRPr="007F3D68">
        <w:rPr>
          <w:rFonts w:asciiTheme="majorHAnsi" w:hAnsiTheme="majorHAnsi" w:cs="Arial"/>
          <w:color w:val="212121"/>
          <w:sz w:val="16"/>
          <w:szCs w:val="16"/>
          <w:shd w:val="clear" w:color="auto" w:fill="FFFFFF"/>
        </w:rPr>
        <w:t>Kanbor</w:t>
      </w:r>
      <w:proofErr w:type="spellEnd"/>
      <w:r w:rsidRPr="007F3D68">
        <w:rPr>
          <w:rFonts w:asciiTheme="majorHAnsi" w:hAnsiTheme="majorHAnsi" w:cs="Arial"/>
          <w:color w:val="212121"/>
          <w:sz w:val="16"/>
          <w:szCs w:val="16"/>
          <w:shd w:val="clear" w:color="auto" w:fill="FFFFFF"/>
        </w:rPr>
        <w:t xml:space="preserve"> v. Sweden.</w:t>
      </w:r>
      <w:proofErr w:type="gramEnd"/>
      <w:r w:rsidRPr="007F3D68">
        <w:rPr>
          <w:rFonts w:asciiTheme="majorHAnsi" w:hAnsiTheme="majorHAnsi" w:cs="Arial"/>
          <w:color w:val="212121"/>
          <w:sz w:val="16"/>
          <w:szCs w:val="16"/>
          <w:shd w:val="clear" w:color="auto" w:fill="FFFFFF"/>
        </w:rPr>
        <w:t xml:space="preserve"> </w:t>
      </w:r>
      <w:proofErr w:type="gramStart"/>
      <w:r w:rsidRPr="007F3D68">
        <w:rPr>
          <w:rFonts w:asciiTheme="majorHAnsi" w:hAnsiTheme="majorHAnsi" w:cs="Arial"/>
          <w:color w:val="212121"/>
          <w:sz w:val="16"/>
          <w:szCs w:val="16"/>
          <w:shd w:val="clear" w:color="auto" w:fill="FFFFFF"/>
        </w:rPr>
        <w:t>Application no.13284/04.</w:t>
      </w:r>
      <w:proofErr w:type="gramEnd"/>
      <w:r w:rsidRPr="007F3D68">
        <w:rPr>
          <w:rFonts w:asciiTheme="majorHAnsi" w:hAnsiTheme="majorHAnsi" w:cs="Arial"/>
          <w:color w:val="212121"/>
          <w:sz w:val="16"/>
          <w:szCs w:val="16"/>
          <w:shd w:val="clear" w:color="auto" w:fill="FFFFFF"/>
        </w:rPr>
        <w:t xml:space="preserve"> Judgment 8 </w:t>
      </w:r>
      <w:proofErr w:type="spellStart"/>
      <w:proofErr w:type="gramStart"/>
      <w:r w:rsidRPr="007F3D68">
        <w:rPr>
          <w:rFonts w:asciiTheme="majorHAnsi" w:hAnsiTheme="majorHAnsi" w:cs="Arial"/>
          <w:color w:val="212121"/>
          <w:sz w:val="16"/>
          <w:szCs w:val="16"/>
          <w:shd w:val="clear" w:color="auto" w:fill="FFFFFF"/>
        </w:rPr>
        <w:t>november</w:t>
      </w:r>
      <w:proofErr w:type="spellEnd"/>
      <w:proofErr w:type="gramEnd"/>
      <w:r w:rsidRPr="007F3D68">
        <w:rPr>
          <w:rFonts w:asciiTheme="majorHAnsi" w:hAnsiTheme="majorHAnsi" w:cs="Arial"/>
          <w:color w:val="212121"/>
          <w:sz w:val="16"/>
          <w:szCs w:val="16"/>
          <w:shd w:val="clear" w:color="auto" w:fill="FFFFFF"/>
        </w:rPr>
        <w:t xml:space="preserve"> 2005. </w:t>
      </w:r>
      <w:proofErr w:type="gramStart"/>
      <w:r w:rsidRPr="007F3D68">
        <w:rPr>
          <w:rFonts w:asciiTheme="majorHAnsi" w:hAnsiTheme="majorHAnsi" w:cs="Arial"/>
          <w:color w:val="212121"/>
          <w:sz w:val="16"/>
          <w:szCs w:val="16"/>
          <w:shd w:val="clear" w:color="auto" w:fill="FFFFFF"/>
        </w:rPr>
        <w:t>Pág.10.</w:t>
      </w:r>
      <w:proofErr w:type="gramEnd"/>
    </w:p>
  </w:footnote>
  <w:footnote w:id="92">
    <w:p w:rsidR="00F40EB1" w:rsidRPr="007F3D68" w:rsidRDefault="00F40EB1" w:rsidP="005818A2">
      <w:pPr>
        <w:pStyle w:val="FootnoteText"/>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spellStart"/>
      <w:proofErr w:type="gramStart"/>
      <w:r w:rsidRPr="007F3D68">
        <w:rPr>
          <w:rFonts w:asciiTheme="majorHAnsi" w:hAnsiTheme="majorHAnsi"/>
          <w:sz w:val="16"/>
          <w:szCs w:val="16"/>
        </w:rPr>
        <w:t>ECthr</w:t>
      </w:r>
      <w:proofErr w:type="spellEnd"/>
      <w:r w:rsidRPr="007F3D68">
        <w:rPr>
          <w:rFonts w:asciiTheme="majorHAnsi" w:hAnsiTheme="majorHAnsi"/>
          <w:sz w:val="16"/>
          <w:szCs w:val="16"/>
        </w:rPr>
        <w:t>.</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Case of Al-</w:t>
      </w:r>
      <w:proofErr w:type="spellStart"/>
      <w:r w:rsidRPr="007F3D68">
        <w:rPr>
          <w:rFonts w:asciiTheme="majorHAnsi" w:hAnsiTheme="majorHAnsi"/>
          <w:sz w:val="16"/>
          <w:szCs w:val="16"/>
        </w:rPr>
        <w:t>Saadon</w:t>
      </w:r>
      <w:proofErr w:type="spellEnd"/>
      <w:r w:rsidRPr="007F3D68">
        <w:rPr>
          <w:rFonts w:asciiTheme="majorHAnsi" w:hAnsiTheme="majorHAnsi"/>
          <w:sz w:val="16"/>
          <w:szCs w:val="16"/>
        </w:rPr>
        <w:t xml:space="preserve"> and </w:t>
      </w:r>
      <w:proofErr w:type="spellStart"/>
      <w:r w:rsidRPr="007F3D68">
        <w:rPr>
          <w:rFonts w:asciiTheme="majorHAnsi" w:hAnsiTheme="majorHAnsi"/>
          <w:sz w:val="16"/>
          <w:szCs w:val="16"/>
        </w:rPr>
        <w:t>Mufdhi</w:t>
      </w:r>
      <w:proofErr w:type="spellEnd"/>
      <w:r w:rsidRPr="007F3D68">
        <w:rPr>
          <w:rFonts w:asciiTheme="majorHAnsi" w:hAnsiTheme="majorHAnsi"/>
          <w:sz w:val="16"/>
          <w:szCs w:val="16"/>
        </w:rPr>
        <w:t xml:space="preserve"> v.</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The United Kingdom.</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Application No. 61498/08.</w:t>
      </w:r>
      <w:proofErr w:type="gramEnd"/>
      <w:r w:rsidRPr="007F3D68">
        <w:rPr>
          <w:rFonts w:asciiTheme="majorHAnsi" w:hAnsiTheme="majorHAnsi"/>
          <w:sz w:val="16"/>
          <w:szCs w:val="16"/>
        </w:rPr>
        <w:t xml:space="preserve"> Judgment 2 march 2010 Para. 137.</w:t>
      </w:r>
    </w:p>
  </w:footnote>
  <w:footnote w:id="93">
    <w:p w:rsidR="00F40EB1" w:rsidRPr="007F3D68" w:rsidRDefault="00F40EB1" w:rsidP="005818A2">
      <w:pPr>
        <w:pStyle w:val="FootnoteText"/>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gramStart"/>
      <w:r w:rsidRPr="007F3D68">
        <w:rPr>
          <w:rFonts w:asciiTheme="majorHAnsi" w:hAnsiTheme="majorHAnsi"/>
          <w:sz w:val="16"/>
          <w:szCs w:val="16"/>
        </w:rPr>
        <w:t xml:space="preserve">Supreme Court of Uganda in </w:t>
      </w:r>
      <w:r w:rsidRPr="007F3D68">
        <w:rPr>
          <w:rFonts w:asciiTheme="majorHAnsi" w:hAnsiTheme="majorHAnsi"/>
          <w:i/>
          <w:sz w:val="16"/>
          <w:szCs w:val="16"/>
        </w:rPr>
        <w:t xml:space="preserve">Attorney General v. Susan </w:t>
      </w:r>
      <w:proofErr w:type="spellStart"/>
      <w:r w:rsidRPr="007F3D68">
        <w:rPr>
          <w:rFonts w:asciiTheme="majorHAnsi" w:hAnsiTheme="majorHAnsi"/>
          <w:i/>
          <w:sz w:val="16"/>
          <w:szCs w:val="16"/>
        </w:rPr>
        <w:t>Kigula</w:t>
      </w:r>
      <w:proofErr w:type="spellEnd"/>
      <w:r w:rsidRPr="007F3D68">
        <w:rPr>
          <w:rFonts w:asciiTheme="majorHAnsi" w:hAnsiTheme="majorHAnsi"/>
          <w:sz w:val="16"/>
          <w:szCs w:val="16"/>
        </w:rPr>
        <w:t xml:space="preserve"> and 417 others (Constitutional Appeal No. 3 of 2006), 2009.</w:t>
      </w:r>
      <w:proofErr w:type="gramEnd"/>
    </w:p>
  </w:footnote>
  <w:footnote w:id="94">
    <w:p w:rsidR="00F40EB1" w:rsidRPr="007F3D68" w:rsidRDefault="00F40EB1" w:rsidP="005818A2">
      <w:pPr>
        <w:pStyle w:val="FootnoteText"/>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gramStart"/>
      <w:r w:rsidRPr="007F3D68">
        <w:rPr>
          <w:rFonts w:asciiTheme="majorHAnsi" w:hAnsiTheme="majorHAnsi"/>
          <w:sz w:val="16"/>
          <w:szCs w:val="16"/>
        </w:rPr>
        <w:t xml:space="preserve">Judgment of the Supreme Court of Zimbabwe of 24 June 1993 in </w:t>
      </w:r>
      <w:r w:rsidRPr="007F3D68">
        <w:rPr>
          <w:rFonts w:asciiTheme="majorHAnsi" w:hAnsiTheme="majorHAnsi"/>
          <w:i/>
          <w:iCs/>
          <w:sz w:val="16"/>
          <w:szCs w:val="16"/>
        </w:rPr>
        <w:t>Catholic Commissioner for Justice and Peace in Zimbabwe v. Attorney General</w:t>
      </w:r>
      <w:r w:rsidRPr="007F3D68">
        <w:rPr>
          <w:rFonts w:asciiTheme="majorHAnsi" w:hAnsiTheme="majorHAnsi"/>
          <w:sz w:val="16"/>
          <w:szCs w:val="16"/>
        </w:rPr>
        <w:t xml:space="preserve"> (4) SA 239 (ZS).</w:t>
      </w:r>
      <w:proofErr w:type="gramEnd"/>
    </w:p>
  </w:footnote>
  <w:footnote w:id="95">
    <w:p w:rsidR="00F40EB1" w:rsidRPr="007F3D68" w:rsidRDefault="00F40EB1" w:rsidP="00165264">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del artículo 5 de la Convención ya fue transcrito anteriormente. </w:t>
      </w:r>
    </w:p>
  </w:footnote>
  <w:footnote w:id="96">
    <w:p w:rsidR="00F40EB1" w:rsidRPr="007F3D68" w:rsidRDefault="00F40EB1" w:rsidP="00C11CA8">
      <w:pPr>
        <w:pStyle w:val="NormalWeb"/>
        <w:spacing w:before="90" w:beforeAutospacing="0" w:after="45" w:afterAutospacing="0" w:line="360" w:lineRule="auto"/>
        <w:ind w:left="75" w:right="75" w:firstLine="645"/>
        <w:rPr>
          <w:rFonts w:asciiTheme="majorHAnsi" w:eastAsia="Arial Unicode MS" w:hAnsiTheme="majorHAnsi"/>
          <w:sz w:val="16"/>
          <w:szCs w:val="16"/>
          <w:bdr w:val="nil"/>
          <w:lang w:val="es-ES" w:eastAsia="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CO"/>
        </w:rPr>
        <w:t xml:space="preserve"> </w:t>
      </w:r>
      <w:r w:rsidRPr="007F3D68">
        <w:rPr>
          <w:rFonts w:asciiTheme="majorHAnsi" w:eastAsia="Arial Unicode MS" w:hAnsiTheme="majorHAnsi"/>
          <w:sz w:val="16"/>
          <w:szCs w:val="16"/>
          <w:bdr w:val="nil"/>
          <w:lang w:val="es-ES" w:eastAsia="es-ES"/>
        </w:rPr>
        <w:t>El Artículo 11 de la Convención American establece: 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r w:rsidRPr="007F3D68">
        <w:rPr>
          <w:rFonts w:asciiTheme="majorHAnsi" w:hAnsiTheme="majorHAnsi" w:cs="Tahoma"/>
          <w:color w:val="000000"/>
          <w:sz w:val="16"/>
          <w:szCs w:val="16"/>
          <w:lang w:val="es-CO"/>
        </w:rPr>
        <w:t xml:space="preserve"> </w:t>
      </w:r>
    </w:p>
  </w:footnote>
  <w:footnote w:id="97">
    <w:p w:rsidR="00F40EB1" w:rsidRPr="007F3D68" w:rsidRDefault="00F40EB1" w:rsidP="00165264">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del artículo 8 de la Convención ya fue transcrito anteriormente. Se agrega en este punto los artículos 8.2 g) y 8.3 de dicho instrumento que consagran “el derecho a no ser obligado a declarar contra sí mismo ni a declararse culpable”; y que “la confesión del inculpado solamente es válida si es hecha sin coacción de ninguna naturaleza”.  </w:t>
      </w:r>
    </w:p>
  </w:footnote>
  <w:footnote w:id="98">
    <w:p w:rsidR="00F40EB1" w:rsidRPr="007F3D68" w:rsidRDefault="00F40EB1" w:rsidP="00165264">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del artículo 25 de la Convención ya fue transcrito anteriormente. </w:t>
      </w:r>
    </w:p>
  </w:footnote>
  <w:footnote w:id="99">
    <w:p w:rsidR="00F40EB1" w:rsidRPr="007F3D68" w:rsidRDefault="00F40EB1" w:rsidP="0016526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firstLine="720"/>
        <w:jc w:val="both"/>
        <w:rPr>
          <w:rFonts w:asciiTheme="majorHAnsi" w:hAnsiTheme="majorHAnsi"/>
          <w:sz w:val="16"/>
          <w:szCs w:val="16"/>
          <w:lang w:val="es-ES" w:eastAsia="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 los artículos 1 y 6 de la CIPST ya fue transcrito anteriormente. Se agrega en este punto el artículo 8 de dicho instrumento que señala: </w:t>
      </w:r>
      <w:r w:rsidRPr="007F3D68">
        <w:rPr>
          <w:rFonts w:asciiTheme="majorHAnsi" w:hAnsiTheme="majorHAnsi"/>
          <w:sz w:val="16"/>
          <w:szCs w:val="16"/>
          <w:lang w:val="es-ES" w:eastAsia="es-ES"/>
        </w:rPr>
        <w:t xml:space="preserve">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Además, el artículo 10 de la CIPST establece: Ninguna declaración que se compruebe haber sido obtenida mediante tortura, podrá ser admitida como medio de prueba en un proceso, salvo en el que se siga contra la persona o personas acusadas de haberla obtenido mediante actos de tortura y únicamente como prueba de que por ese medio el acusado obtuvo tal declaración.   </w:t>
      </w:r>
    </w:p>
  </w:footnote>
  <w:footnote w:id="100">
    <w:p w:rsidR="00F40EB1" w:rsidRPr="007F3D68" w:rsidRDefault="00F40EB1" w:rsidP="00BF224D">
      <w:pPr>
        <w:pStyle w:val="FootnoteText"/>
        <w:keepNext/>
        <w:spacing w:after="120"/>
        <w:ind w:firstLine="720"/>
        <w:jc w:val="both"/>
        <w:rPr>
          <w:rFonts w:asciiTheme="majorHAnsi" w:hAnsiTheme="majorHAnsi"/>
          <w:sz w:val="16"/>
          <w:szCs w:val="16"/>
          <w:lang w:val="es-ES_tradnl"/>
        </w:rPr>
      </w:pPr>
      <w:r w:rsidRPr="007F3D68">
        <w:rPr>
          <w:rStyle w:val="FootnoteReference"/>
          <w:rFonts w:asciiTheme="majorHAnsi" w:hAnsiTheme="majorHAnsi"/>
          <w:color w:val="auto"/>
          <w:sz w:val="16"/>
          <w:szCs w:val="16"/>
        </w:rPr>
        <w:footnoteRef/>
      </w:r>
      <w:r w:rsidRPr="007F3D68">
        <w:rPr>
          <w:rFonts w:asciiTheme="majorHAnsi" w:hAnsiTheme="majorHAnsi"/>
          <w:color w:val="auto"/>
          <w:sz w:val="16"/>
          <w:szCs w:val="16"/>
          <w:lang w:val="es-ES_tradnl"/>
        </w:rPr>
        <w:t xml:space="preserve"> CIDH, Informe sobre Terrorismo y Derechos Humanos, OEA/SER.L/V/II.116, Doc. 5 </w:t>
      </w:r>
      <w:proofErr w:type="spellStart"/>
      <w:r w:rsidRPr="007F3D68">
        <w:rPr>
          <w:rFonts w:asciiTheme="majorHAnsi" w:hAnsiTheme="majorHAnsi"/>
          <w:color w:val="auto"/>
          <w:sz w:val="16"/>
          <w:szCs w:val="16"/>
          <w:lang w:val="es-ES_tradnl"/>
        </w:rPr>
        <w:t>rev.</w:t>
      </w:r>
      <w:proofErr w:type="spellEnd"/>
      <w:r w:rsidRPr="007F3D68">
        <w:rPr>
          <w:rFonts w:asciiTheme="majorHAnsi" w:hAnsiTheme="majorHAnsi"/>
          <w:color w:val="auto"/>
          <w:sz w:val="16"/>
          <w:szCs w:val="16"/>
          <w:lang w:val="es-ES_tradnl"/>
        </w:rPr>
        <w:t xml:space="preserve"> 1, </w:t>
      </w:r>
      <w:proofErr w:type="spellStart"/>
      <w:r w:rsidRPr="007F3D68">
        <w:rPr>
          <w:rFonts w:asciiTheme="majorHAnsi" w:hAnsiTheme="majorHAnsi"/>
          <w:color w:val="auto"/>
          <w:sz w:val="16"/>
          <w:szCs w:val="16"/>
          <w:lang w:val="es-ES_tradnl"/>
        </w:rPr>
        <w:t>corr</w:t>
      </w:r>
      <w:proofErr w:type="spellEnd"/>
      <w:r w:rsidRPr="007F3D68">
        <w:rPr>
          <w:rFonts w:asciiTheme="majorHAnsi" w:hAnsiTheme="majorHAnsi"/>
          <w:color w:val="auto"/>
          <w:sz w:val="16"/>
          <w:szCs w:val="16"/>
          <w:lang w:val="es-ES_tradnl"/>
        </w:rPr>
        <w:t>., 22 de octubre de 2002. Citando. CIDH, Informe sobre la Situación de Derechos Humanos de los Solicitantes de Asilo en el Marco del Sistema Canadiense de Determinación de la Condición de Refugiado, OEA/</w:t>
      </w:r>
      <w:proofErr w:type="spellStart"/>
      <w:r w:rsidRPr="007F3D68">
        <w:rPr>
          <w:rFonts w:asciiTheme="majorHAnsi" w:hAnsiTheme="majorHAnsi"/>
          <w:color w:val="auto"/>
          <w:sz w:val="16"/>
          <w:szCs w:val="16"/>
          <w:lang w:val="es-ES_tradnl"/>
        </w:rPr>
        <w:t>Ser.L</w:t>
      </w:r>
      <w:proofErr w:type="spellEnd"/>
      <w:r w:rsidRPr="007F3D68">
        <w:rPr>
          <w:rFonts w:asciiTheme="majorHAnsi" w:hAnsiTheme="majorHAnsi"/>
          <w:color w:val="auto"/>
          <w:sz w:val="16"/>
          <w:szCs w:val="16"/>
          <w:lang w:val="es-ES_tradnl"/>
        </w:rPr>
        <w:t xml:space="preserve">/V/II.106, Doc. 40 </w:t>
      </w:r>
      <w:proofErr w:type="spellStart"/>
      <w:r w:rsidRPr="007F3D68">
        <w:rPr>
          <w:rFonts w:asciiTheme="majorHAnsi" w:hAnsiTheme="majorHAnsi"/>
          <w:color w:val="auto"/>
          <w:sz w:val="16"/>
          <w:szCs w:val="16"/>
          <w:lang w:val="es-ES_tradnl"/>
        </w:rPr>
        <w:t>rev.</w:t>
      </w:r>
      <w:proofErr w:type="spellEnd"/>
      <w:r w:rsidRPr="007F3D68">
        <w:rPr>
          <w:rFonts w:asciiTheme="majorHAnsi" w:hAnsiTheme="majorHAnsi"/>
          <w:color w:val="auto"/>
          <w:sz w:val="16"/>
          <w:szCs w:val="16"/>
          <w:lang w:val="es-ES_tradnl"/>
        </w:rPr>
        <w:t xml:space="preserve">, 28 de febrero de 2000, párr. 118. </w:t>
      </w:r>
    </w:p>
  </w:footnote>
  <w:footnote w:id="101">
    <w:p w:rsidR="00F40EB1" w:rsidRPr="007F3D68" w:rsidRDefault="00F40EB1" w:rsidP="00BF224D">
      <w:pPr>
        <w:pStyle w:val="FootnoteText"/>
        <w:spacing w:after="120"/>
        <w:ind w:firstLine="720"/>
        <w:jc w:val="both"/>
        <w:rPr>
          <w:rFonts w:asciiTheme="majorHAnsi" w:hAnsiTheme="majorHAnsi"/>
          <w:sz w:val="16"/>
          <w:szCs w:val="16"/>
          <w:lang w:val="es-ES_tradnl"/>
        </w:rPr>
      </w:pPr>
      <w:r w:rsidRPr="007F3D68">
        <w:rPr>
          <w:rStyle w:val="FootnoteReference"/>
          <w:rFonts w:asciiTheme="majorHAnsi" w:hAnsiTheme="majorHAnsi"/>
          <w:sz w:val="16"/>
          <w:szCs w:val="16"/>
        </w:rPr>
        <w:footnoteRef/>
      </w:r>
      <w:r w:rsidRPr="007F3D68">
        <w:rPr>
          <w:rFonts w:asciiTheme="majorHAnsi" w:hAnsiTheme="majorHAnsi"/>
          <w:sz w:val="16"/>
          <w:szCs w:val="16"/>
          <w:lang w:val="es-ES_tradnl"/>
        </w:rPr>
        <w:t xml:space="preserve"> CIDH, Informe sobre Terrorismo y Derechos Humanos, OEA/SER.L/V/II.116, Doc. 5 </w:t>
      </w:r>
      <w:proofErr w:type="spellStart"/>
      <w:r w:rsidRPr="007F3D68">
        <w:rPr>
          <w:rFonts w:asciiTheme="majorHAnsi" w:hAnsiTheme="majorHAnsi"/>
          <w:sz w:val="16"/>
          <w:szCs w:val="16"/>
          <w:lang w:val="es-ES_tradnl"/>
        </w:rPr>
        <w:t>rev.</w:t>
      </w:r>
      <w:proofErr w:type="spellEnd"/>
      <w:r w:rsidRPr="007F3D68">
        <w:rPr>
          <w:rFonts w:asciiTheme="majorHAnsi" w:hAnsiTheme="majorHAnsi"/>
          <w:sz w:val="16"/>
          <w:szCs w:val="16"/>
          <w:lang w:val="es-ES_tradnl"/>
        </w:rPr>
        <w:t xml:space="preserve"> 1, </w:t>
      </w:r>
      <w:proofErr w:type="spellStart"/>
      <w:r w:rsidRPr="007F3D68">
        <w:rPr>
          <w:rFonts w:asciiTheme="majorHAnsi" w:hAnsiTheme="majorHAnsi"/>
          <w:sz w:val="16"/>
          <w:szCs w:val="16"/>
          <w:lang w:val="es-ES_tradnl"/>
        </w:rPr>
        <w:t>corr</w:t>
      </w:r>
      <w:proofErr w:type="spellEnd"/>
      <w:r w:rsidRPr="007F3D68">
        <w:rPr>
          <w:rFonts w:asciiTheme="majorHAnsi" w:hAnsiTheme="majorHAnsi"/>
          <w:sz w:val="16"/>
          <w:szCs w:val="16"/>
          <w:lang w:val="es-ES_tradnl"/>
        </w:rPr>
        <w:t>., 22 de octubre de 2002. Citando. CIDH, Informe sobre la Situación de Derechos Humanos de los Solicitantes de Asilo en el Marco del Sistema Canadiense de Determinación de la Condición de Refugiado, OEA/</w:t>
      </w:r>
      <w:proofErr w:type="spellStart"/>
      <w:r w:rsidRPr="007F3D68">
        <w:rPr>
          <w:rFonts w:asciiTheme="majorHAnsi" w:hAnsiTheme="majorHAnsi"/>
          <w:sz w:val="16"/>
          <w:szCs w:val="16"/>
          <w:lang w:val="es-ES_tradnl"/>
        </w:rPr>
        <w:t>Ser.L</w:t>
      </w:r>
      <w:proofErr w:type="spellEnd"/>
      <w:r w:rsidRPr="007F3D68">
        <w:rPr>
          <w:rFonts w:asciiTheme="majorHAnsi" w:hAnsiTheme="majorHAnsi"/>
          <w:sz w:val="16"/>
          <w:szCs w:val="16"/>
          <w:lang w:val="es-ES_tradnl"/>
        </w:rPr>
        <w:t xml:space="preserve">/V/II.106, Doc. 40 </w:t>
      </w:r>
      <w:proofErr w:type="spellStart"/>
      <w:r w:rsidRPr="007F3D68">
        <w:rPr>
          <w:rFonts w:asciiTheme="majorHAnsi" w:hAnsiTheme="majorHAnsi"/>
          <w:sz w:val="16"/>
          <w:szCs w:val="16"/>
          <w:lang w:val="es-ES_tradnl"/>
        </w:rPr>
        <w:t>rev.</w:t>
      </w:r>
      <w:proofErr w:type="spellEnd"/>
      <w:r w:rsidRPr="007F3D68">
        <w:rPr>
          <w:rFonts w:asciiTheme="majorHAnsi" w:hAnsiTheme="majorHAnsi"/>
          <w:sz w:val="16"/>
          <w:szCs w:val="16"/>
          <w:lang w:val="es-ES_tradnl"/>
        </w:rPr>
        <w:t xml:space="preserve">, 28 de febrero de 2000. Párr. 154. </w:t>
      </w:r>
    </w:p>
  </w:footnote>
  <w:footnote w:id="102">
    <w:p w:rsidR="00F40EB1" w:rsidRPr="007F3D68" w:rsidRDefault="00F40EB1" w:rsidP="00BF224D">
      <w:pPr>
        <w:keepNext/>
        <w:tabs>
          <w:tab w:val="left" w:pos="900"/>
          <w:tab w:val="left" w:pos="1080"/>
        </w:tabs>
        <w:spacing w:after="120"/>
        <w:ind w:firstLine="720"/>
        <w:jc w:val="both"/>
        <w:rPr>
          <w:rFonts w:asciiTheme="majorHAnsi" w:hAnsiTheme="majorHAnsi"/>
          <w:sz w:val="16"/>
          <w:szCs w:val="16"/>
          <w:lang w:val="es-ES_tradnl"/>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Corte IDH. Caso Bueno Alves Vs. Argentina. Fondo, Reparaciones y Costas. Sentencia de 11 de mayo de 2007. Serie C No. 164, párr. 76; Corte IDH. Caso del Penal Miguel Castro </w:t>
      </w:r>
      <w:proofErr w:type="spellStart"/>
      <w:r w:rsidRPr="007F3D68">
        <w:rPr>
          <w:rFonts w:asciiTheme="majorHAnsi" w:hAnsiTheme="majorHAnsi"/>
          <w:sz w:val="16"/>
          <w:szCs w:val="16"/>
          <w:lang w:val="es-ES"/>
        </w:rPr>
        <w:t>Castro</w:t>
      </w:r>
      <w:proofErr w:type="spellEnd"/>
      <w:r w:rsidRPr="007F3D68">
        <w:rPr>
          <w:rFonts w:asciiTheme="majorHAnsi" w:hAnsiTheme="majorHAnsi"/>
          <w:sz w:val="16"/>
          <w:szCs w:val="16"/>
          <w:lang w:val="es-ES"/>
        </w:rPr>
        <w:t xml:space="preserve"> Vs. Perú. Fondo, Reparaciones y Costas. Sentencia de 25 de noviembre de 2006. Serie C No. 160, párr. 271; y Corte IDH. Caso </w:t>
      </w:r>
      <w:proofErr w:type="spellStart"/>
      <w:r w:rsidRPr="007F3D68">
        <w:rPr>
          <w:rFonts w:asciiTheme="majorHAnsi" w:hAnsiTheme="majorHAnsi"/>
          <w:sz w:val="16"/>
          <w:szCs w:val="16"/>
          <w:lang w:val="es-ES"/>
        </w:rPr>
        <w:t>Baldeón</w:t>
      </w:r>
      <w:proofErr w:type="spellEnd"/>
      <w:r w:rsidRPr="007F3D68">
        <w:rPr>
          <w:rFonts w:asciiTheme="majorHAnsi" w:hAnsiTheme="majorHAnsi"/>
          <w:sz w:val="16"/>
          <w:szCs w:val="16"/>
          <w:lang w:val="es-ES"/>
        </w:rPr>
        <w:t xml:space="preserve"> García Vs. Perú. Fondo, Reparaciones y Costas. Sentencia de 6 de abril de 2006. Serie C No. 147, párr. 117. </w:t>
      </w:r>
    </w:p>
  </w:footnote>
  <w:footnote w:id="103">
    <w:p w:rsidR="00F40EB1" w:rsidRPr="007F3D68" w:rsidRDefault="00F40EB1" w:rsidP="00BF224D">
      <w:pPr>
        <w:tabs>
          <w:tab w:val="left" w:pos="900"/>
          <w:tab w:val="left" w:pos="1080"/>
        </w:tabs>
        <w:spacing w:after="120"/>
        <w:ind w:firstLine="720"/>
        <w:jc w:val="both"/>
        <w:rPr>
          <w:rFonts w:asciiTheme="majorHAnsi" w:hAnsiTheme="majorHAnsi"/>
          <w:sz w:val="16"/>
          <w:szCs w:val="16"/>
          <w:lang w:val="es-CO"/>
        </w:rPr>
      </w:pPr>
      <w:r w:rsidRPr="007F3D68">
        <w:rPr>
          <w:rStyle w:val="FootnoteReference"/>
          <w:rFonts w:asciiTheme="majorHAnsi" w:hAnsiTheme="majorHAnsi"/>
          <w:color w:val="000000"/>
          <w:sz w:val="16"/>
          <w:szCs w:val="16"/>
        </w:rPr>
        <w:footnoteRef/>
      </w:r>
      <w:r w:rsidRPr="00F40EB1">
        <w:rPr>
          <w:rFonts w:asciiTheme="majorHAnsi" w:hAnsiTheme="majorHAnsi"/>
          <w:sz w:val="16"/>
          <w:szCs w:val="16"/>
          <w:lang w:val="es-ES"/>
        </w:rPr>
        <w:t xml:space="preserve"> Corte IDH, Caso Bueno Alves.  </w:t>
      </w:r>
      <w:r w:rsidRPr="007F3D68">
        <w:rPr>
          <w:rFonts w:asciiTheme="majorHAnsi" w:hAnsiTheme="majorHAnsi"/>
          <w:sz w:val="16"/>
          <w:szCs w:val="16"/>
          <w:lang w:val="es-ES"/>
        </w:rPr>
        <w:t xml:space="preserve">Sentencia de 11 de mayo de 2007.  Serie C. No. 164. </w:t>
      </w:r>
      <w:r w:rsidRPr="007F3D68">
        <w:rPr>
          <w:rFonts w:asciiTheme="majorHAnsi" w:hAnsiTheme="majorHAnsi"/>
          <w:sz w:val="16"/>
          <w:szCs w:val="16"/>
          <w:lang w:val="es-ES_tradnl"/>
        </w:rPr>
        <w:t xml:space="preserve">Párr. 76; </w:t>
      </w:r>
      <w:r>
        <w:rPr>
          <w:rFonts w:asciiTheme="majorHAnsi" w:hAnsiTheme="majorHAnsi"/>
          <w:sz w:val="16"/>
          <w:szCs w:val="16"/>
          <w:lang w:val="es-ES"/>
        </w:rPr>
        <w:t>Corte IDH</w:t>
      </w:r>
      <w:r w:rsidRPr="007F3D68">
        <w:rPr>
          <w:rFonts w:asciiTheme="majorHAnsi" w:hAnsiTheme="majorHAnsi"/>
          <w:sz w:val="16"/>
          <w:szCs w:val="16"/>
          <w:lang w:val="es-ES"/>
        </w:rPr>
        <w:t xml:space="preserve">, </w:t>
      </w:r>
      <w:r w:rsidRPr="007F3D68">
        <w:rPr>
          <w:rFonts w:asciiTheme="majorHAnsi" w:hAnsiTheme="majorHAnsi"/>
          <w:bCs/>
          <w:color w:val="000000"/>
          <w:sz w:val="16"/>
          <w:szCs w:val="16"/>
          <w:lang w:val="es-ES"/>
        </w:rPr>
        <w:t xml:space="preserve">Caso del Penal Miguel Castro </w:t>
      </w:r>
      <w:proofErr w:type="spellStart"/>
      <w:r w:rsidRPr="007F3D68">
        <w:rPr>
          <w:rFonts w:asciiTheme="majorHAnsi" w:hAnsiTheme="majorHAnsi"/>
          <w:bCs/>
          <w:color w:val="000000"/>
          <w:sz w:val="16"/>
          <w:szCs w:val="16"/>
          <w:lang w:val="es-ES"/>
        </w:rPr>
        <w:t>Castro</w:t>
      </w:r>
      <w:proofErr w:type="spellEnd"/>
      <w:r w:rsidRPr="007F3D68">
        <w:rPr>
          <w:rFonts w:asciiTheme="majorHAnsi" w:hAnsiTheme="majorHAnsi"/>
          <w:bCs/>
          <w:color w:val="000000"/>
          <w:sz w:val="16"/>
          <w:szCs w:val="16"/>
          <w:lang w:val="es-ES"/>
        </w:rPr>
        <w:t xml:space="preserve">. </w:t>
      </w:r>
      <w:r w:rsidRPr="007F3D68">
        <w:rPr>
          <w:rFonts w:asciiTheme="majorHAnsi" w:hAnsiTheme="majorHAnsi"/>
          <w:color w:val="000000"/>
          <w:sz w:val="16"/>
          <w:szCs w:val="16"/>
          <w:lang w:val="es-ES"/>
        </w:rPr>
        <w:t>Sentencia de 25 de noviembre de 2006. Serie C No. 160.</w:t>
      </w:r>
      <w:r w:rsidRPr="007F3D68">
        <w:rPr>
          <w:rFonts w:asciiTheme="majorHAnsi" w:hAnsiTheme="majorHAnsi"/>
          <w:sz w:val="16"/>
          <w:szCs w:val="16"/>
          <w:lang w:val="es-ES"/>
        </w:rPr>
        <w:t xml:space="preserve"> P</w:t>
      </w:r>
      <w:proofErr w:type="spellStart"/>
      <w:r>
        <w:rPr>
          <w:rFonts w:asciiTheme="majorHAnsi" w:hAnsiTheme="majorHAnsi"/>
          <w:sz w:val="16"/>
          <w:szCs w:val="16"/>
          <w:lang w:val="es-CO"/>
        </w:rPr>
        <w:t>árr</w:t>
      </w:r>
      <w:proofErr w:type="spellEnd"/>
      <w:r>
        <w:rPr>
          <w:rFonts w:asciiTheme="majorHAnsi" w:hAnsiTheme="majorHAnsi"/>
          <w:sz w:val="16"/>
          <w:szCs w:val="16"/>
          <w:lang w:val="es-CO"/>
        </w:rPr>
        <w:t>. 271; y Corte IDH</w:t>
      </w:r>
      <w:r w:rsidRPr="007F3D68">
        <w:rPr>
          <w:rFonts w:asciiTheme="majorHAnsi" w:hAnsiTheme="majorHAnsi"/>
          <w:sz w:val="16"/>
          <w:szCs w:val="16"/>
          <w:lang w:val="es-CO"/>
        </w:rPr>
        <w:t xml:space="preserve">, Caso </w:t>
      </w:r>
      <w:proofErr w:type="spellStart"/>
      <w:r w:rsidRPr="007F3D68">
        <w:rPr>
          <w:rFonts w:asciiTheme="majorHAnsi" w:hAnsiTheme="majorHAnsi"/>
          <w:sz w:val="16"/>
          <w:szCs w:val="16"/>
          <w:lang w:val="es-CO"/>
        </w:rPr>
        <w:t>Baldeón</w:t>
      </w:r>
      <w:proofErr w:type="spellEnd"/>
      <w:r w:rsidRPr="007F3D68">
        <w:rPr>
          <w:rFonts w:asciiTheme="majorHAnsi" w:hAnsiTheme="majorHAnsi"/>
          <w:sz w:val="16"/>
          <w:szCs w:val="16"/>
          <w:lang w:val="es-CO"/>
        </w:rPr>
        <w:t xml:space="preserve"> García. Sentencia de 6 de abril de 2006. Serie C No. 147. Párr. 117. </w:t>
      </w:r>
    </w:p>
  </w:footnote>
  <w:footnote w:id="104">
    <w:p w:rsidR="00F40EB1" w:rsidRPr="007F3D68" w:rsidRDefault="00F40EB1" w:rsidP="00BF224D">
      <w:pPr>
        <w:pStyle w:val="FootnoteText"/>
        <w:tabs>
          <w:tab w:val="left" w:pos="720"/>
          <w:tab w:val="left" w:pos="900"/>
          <w:tab w:val="left" w:pos="1080"/>
        </w:tabs>
        <w:spacing w:after="120"/>
        <w:ind w:firstLine="720"/>
        <w:jc w:val="both"/>
        <w:rPr>
          <w:rFonts w:asciiTheme="majorHAnsi" w:hAnsiTheme="majorHAnsi"/>
          <w:sz w:val="16"/>
          <w:szCs w:val="16"/>
          <w:lang w:val="es-ES_tradnl"/>
        </w:rPr>
      </w:pPr>
      <w:r w:rsidRPr="007F3D68">
        <w:rPr>
          <w:rStyle w:val="FootnoteReference"/>
          <w:rFonts w:asciiTheme="majorHAnsi" w:hAnsiTheme="majorHAnsi"/>
          <w:sz w:val="16"/>
          <w:szCs w:val="16"/>
        </w:rPr>
        <w:footnoteRef/>
      </w:r>
      <w:r w:rsidRPr="00F40EB1">
        <w:rPr>
          <w:rFonts w:asciiTheme="majorHAnsi" w:hAnsiTheme="majorHAnsi"/>
          <w:sz w:val="16"/>
          <w:szCs w:val="16"/>
          <w:lang w:val="es-CO"/>
        </w:rPr>
        <w:t xml:space="preserve"> Corte IDH, Caso Bueno Alves.  </w:t>
      </w:r>
      <w:r w:rsidRPr="007F3D68">
        <w:rPr>
          <w:rFonts w:asciiTheme="majorHAnsi" w:hAnsiTheme="majorHAnsi"/>
          <w:sz w:val="16"/>
          <w:szCs w:val="16"/>
          <w:lang w:val="es-ES"/>
        </w:rPr>
        <w:t xml:space="preserve">Sentencia de 11 de mayo de 2007.  Serie C. No. 164. </w:t>
      </w:r>
      <w:r w:rsidRPr="007F3D68">
        <w:rPr>
          <w:rFonts w:asciiTheme="majorHAnsi" w:hAnsiTheme="majorHAnsi"/>
          <w:sz w:val="16"/>
          <w:szCs w:val="16"/>
          <w:lang w:val="es-ES_tradnl"/>
        </w:rPr>
        <w:t xml:space="preserve">Párr. 77. Citando: Pacto Internacional de Derechos Civiles y Políticos, Art. 7; Convención contra la Tortura y Otros Tratos o Penas Crueles, Inhumanos o Degradantes, Art. 2; Convención sobre los Derechos del Niño, Art. 37, y Convención internacional sobre la protección de los derechos de todos los trabajadores migratorios y de sus familiares, Art. 10; Convención Interamericana para Prevenir y Sancionar la Tortura, art. 2; Carta Africana de los Derechos del Hombre y de los Pueblos, Art. 5; Carta Africana de los Derechos y Bienestar del Niño, Art. 16; Convención Interamericana para Prevenir, Erradicar y Sancionar la Violencia contra la Mujer (Convención de Belém do Pará), Art. 4, y Convenio Europeo para la Protección de los Derechos Humanos y de las Libertades Fundamentales, Art. 3; Conjunto de Principios para la protección de todas las personas sometidas a cualquier forma de detención o prisión, Principio 6; Código de conducta para funcionarios encargados de hacer cumplir la ley, Art. 5; Reglas de las Naciones Unidas para la protección de los menores privados de libertad, Regla 87(a); Declaración sobre los derechos humanos de los individuos que no son nacionales del país en que viven, Art. 6; Reglas mínimas de las Naciones Unidas para la administración de la justicia de menores (Reglas de Beijing), Regla 17.3; Declaración sobre la protección de la mujer y el niño en estados de emergencia o de conflicto armado, Art. 4, y Líneas directrices del Comité de Ministros del Consejo de Europa sobre los derechos humanos y la lucha contra el terrorismo, Directriz IV; y Art. 3 común a los cuatro Convenios de Ginebra; Convenio de Ginebra relativo al trato debido a los prisioneros de guerra (Convenio III), Arts. 49, 52, 87 y 89, 97; Convenio de Ginebra relativo a la protección debida a las personas civiles en tiempo de guerra (Convenio IV), Arts. 40, 51, 95, 96, 100 y 119; Protocolo Adicional a los Convenios de Ginebra del 12 de agosto de 1949 relativo a la Protección de las Víctimas de los Conflictos Armados Internacionales (Protocolo I), Art. 75.2.ii, y Protocolo adicional a los Convenios de Ginebra del 12 de agosto de 1949 relativo a la protección de las víctimas de los conflictos armados sin carácter internacional (Protocolo II), Art. 4.2.a. </w:t>
      </w:r>
    </w:p>
  </w:footnote>
  <w:footnote w:id="105">
    <w:p w:rsidR="00F40EB1" w:rsidRPr="007F3D68" w:rsidRDefault="00F40EB1" w:rsidP="00BF224D">
      <w:pPr>
        <w:pStyle w:val="FootnoteText"/>
        <w:keepNext/>
        <w:spacing w:after="120"/>
        <w:ind w:firstLine="720"/>
        <w:jc w:val="both"/>
        <w:rPr>
          <w:rFonts w:asciiTheme="majorHAnsi" w:hAnsiTheme="majorHAnsi"/>
          <w:sz w:val="16"/>
          <w:szCs w:val="16"/>
          <w:lang w:val="es-ES"/>
        </w:rPr>
      </w:pPr>
      <w:r w:rsidRPr="007F3D68">
        <w:rPr>
          <w:rStyle w:val="FootnoteReference"/>
          <w:rFonts w:asciiTheme="majorHAnsi" w:hAnsiTheme="majorHAnsi"/>
          <w:color w:val="auto"/>
          <w:sz w:val="16"/>
          <w:szCs w:val="16"/>
        </w:rPr>
        <w:footnoteRef/>
      </w:r>
      <w:r w:rsidRPr="007F3D68">
        <w:rPr>
          <w:rFonts w:asciiTheme="majorHAnsi" w:hAnsiTheme="majorHAnsi"/>
          <w:color w:val="auto"/>
          <w:sz w:val="16"/>
          <w:szCs w:val="16"/>
          <w:lang w:val="es-ES"/>
        </w:rPr>
        <w:t xml:space="preserve"> CIDH, Informe No. 5/96, Caso 10.970, Fondo, Raquel Martin Mejía, Perú, 1 de marzo de 1996, sección 3. análisis y Corte IDH. Caso Bueno Alves Vs. Argentina. Fondo, Reparaciones y Costas. Sentencia de 11 de mayo de 2007. Serie C No. 164, </w:t>
      </w:r>
      <w:r w:rsidRPr="007F3D68">
        <w:rPr>
          <w:rFonts w:asciiTheme="majorHAnsi" w:hAnsiTheme="majorHAnsi"/>
          <w:color w:val="auto"/>
          <w:sz w:val="16"/>
          <w:szCs w:val="16"/>
          <w:lang w:val="es-ES_tradnl"/>
        </w:rPr>
        <w:t>párr. 79.</w:t>
      </w:r>
      <w:r w:rsidRPr="007F3D68">
        <w:rPr>
          <w:rFonts w:asciiTheme="majorHAnsi" w:hAnsiTheme="majorHAnsi"/>
          <w:color w:val="auto"/>
          <w:sz w:val="16"/>
          <w:szCs w:val="16"/>
          <w:lang w:val="es-ES"/>
        </w:rPr>
        <w:t xml:space="preserve"> </w:t>
      </w:r>
    </w:p>
  </w:footnote>
  <w:footnote w:id="106">
    <w:p w:rsidR="00F40EB1" w:rsidRPr="007F3D68" w:rsidRDefault="00F40EB1" w:rsidP="00BF224D">
      <w:pPr>
        <w:pStyle w:val="FootnoteText"/>
        <w:spacing w:after="120"/>
        <w:ind w:firstLine="720"/>
        <w:jc w:val="both"/>
        <w:rPr>
          <w:rFonts w:asciiTheme="majorHAnsi" w:hAnsiTheme="majorHAnsi"/>
          <w:sz w:val="16"/>
          <w:szCs w:val="16"/>
          <w:lang w:val="es-ES_tradnl"/>
        </w:rPr>
      </w:pPr>
      <w:r w:rsidRPr="007F3D68">
        <w:rPr>
          <w:rStyle w:val="FootnoteReference"/>
          <w:rFonts w:asciiTheme="majorHAnsi" w:hAnsiTheme="majorHAnsi"/>
          <w:color w:val="auto"/>
          <w:sz w:val="16"/>
          <w:szCs w:val="16"/>
        </w:rPr>
        <w:footnoteRef/>
      </w:r>
      <w:r w:rsidRPr="007F3D68">
        <w:rPr>
          <w:rFonts w:asciiTheme="majorHAnsi" w:hAnsiTheme="majorHAnsi"/>
          <w:sz w:val="16"/>
          <w:szCs w:val="16"/>
          <w:lang w:val="es-ES_tradnl"/>
        </w:rPr>
        <w:t xml:space="preserve"> CIDH. Informe 172/10. César Alberto Mendoza y otros (Prisión y Reclusión perpetuas de adolescentes). Fondo. Argentina. 2 de noviembre de 2010. Párr. 298; </w:t>
      </w:r>
      <w:r w:rsidRPr="007F3D68">
        <w:rPr>
          <w:rFonts w:asciiTheme="majorHAnsi" w:hAnsiTheme="majorHAnsi"/>
          <w:color w:val="auto"/>
          <w:sz w:val="16"/>
          <w:szCs w:val="16"/>
          <w:lang w:val="es-ES"/>
        </w:rPr>
        <w:t xml:space="preserve">Corte IDH. Caso Cabrera García y Montiel Flores Vs. México. Excepción Preliminar, Fondo, Reparaciones y Costas. Sentencia de 26 de noviembre de 2010 Serie C No. 220, párr. </w:t>
      </w:r>
      <w:r w:rsidRPr="007F3D68">
        <w:rPr>
          <w:rFonts w:asciiTheme="majorHAnsi" w:hAnsiTheme="majorHAnsi"/>
          <w:color w:val="auto"/>
          <w:sz w:val="16"/>
          <w:szCs w:val="16"/>
          <w:lang w:val="es-MX"/>
        </w:rPr>
        <w:t>134 y Corte IDH. Caso Mendoza y otros Vs. Argentina. Excepciones Preliminares, Fondo y Reparaciones. Sentencia de 14 de mayo de 2013 Serie C No. 260.</w:t>
      </w:r>
    </w:p>
  </w:footnote>
  <w:footnote w:id="107">
    <w:p w:rsidR="00F40EB1" w:rsidRPr="007F3D68" w:rsidRDefault="00F40EB1" w:rsidP="00BF224D">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lang w:val="es-ES"/>
        </w:rPr>
        <w:footnoteRef/>
      </w:r>
      <w:r w:rsidRPr="007F3D68">
        <w:rPr>
          <w:rFonts w:asciiTheme="majorHAnsi" w:hAnsiTheme="majorHAnsi"/>
          <w:sz w:val="16"/>
          <w:szCs w:val="16"/>
          <w:lang w:val="es-ES"/>
        </w:rPr>
        <w:t xml:space="preserve"> Corte IDH, </w:t>
      </w:r>
      <w:r w:rsidRPr="007F3D68">
        <w:rPr>
          <w:rFonts w:asciiTheme="majorHAnsi" w:hAnsiTheme="majorHAnsi"/>
          <w:bCs/>
          <w:i/>
          <w:sz w:val="16"/>
          <w:szCs w:val="16"/>
          <w:lang w:val="es-ES"/>
        </w:rPr>
        <w:t xml:space="preserve">Caso </w:t>
      </w:r>
      <w:proofErr w:type="spellStart"/>
      <w:r w:rsidRPr="007F3D68">
        <w:rPr>
          <w:rFonts w:asciiTheme="majorHAnsi" w:hAnsiTheme="majorHAnsi"/>
          <w:bCs/>
          <w:i/>
          <w:sz w:val="16"/>
          <w:szCs w:val="16"/>
          <w:lang w:val="es-ES"/>
        </w:rPr>
        <w:t>Baldeón</w:t>
      </w:r>
      <w:proofErr w:type="spellEnd"/>
      <w:r w:rsidRPr="007F3D68">
        <w:rPr>
          <w:rFonts w:asciiTheme="majorHAnsi" w:hAnsiTheme="majorHAnsi"/>
          <w:bCs/>
          <w:i/>
          <w:sz w:val="16"/>
          <w:szCs w:val="16"/>
          <w:lang w:val="es-ES"/>
        </w:rPr>
        <w:t xml:space="preserve"> García</w:t>
      </w:r>
      <w:r w:rsidRPr="007F3D68">
        <w:rPr>
          <w:rFonts w:asciiTheme="majorHAnsi" w:hAnsiTheme="majorHAnsi"/>
          <w:bCs/>
          <w:sz w:val="16"/>
          <w:szCs w:val="16"/>
          <w:lang w:val="es-ES"/>
        </w:rPr>
        <w:t>.</w:t>
      </w:r>
      <w:r w:rsidRPr="007F3D68">
        <w:rPr>
          <w:rFonts w:asciiTheme="majorHAnsi" w:hAnsiTheme="majorHAnsi"/>
          <w:b/>
          <w:bCs/>
          <w:sz w:val="16"/>
          <w:szCs w:val="16"/>
          <w:lang w:val="es-ES"/>
        </w:rPr>
        <w:t xml:space="preserve"> </w:t>
      </w:r>
      <w:r w:rsidRPr="007F3D68">
        <w:rPr>
          <w:rFonts w:asciiTheme="majorHAnsi" w:hAnsiTheme="majorHAnsi"/>
          <w:sz w:val="16"/>
          <w:szCs w:val="16"/>
          <w:lang w:val="es-ES"/>
        </w:rPr>
        <w:t xml:space="preserve">Fondo, Reparaciones y Costas. Sentencia de 6 de abril de 2006. Serie C No. 147, párr. 156; </w:t>
      </w:r>
      <w:r w:rsidRPr="007F3D68">
        <w:rPr>
          <w:rFonts w:asciiTheme="majorHAnsi" w:hAnsiTheme="majorHAnsi"/>
          <w:bCs/>
          <w:i/>
          <w:sz w:val="16"/>
          <w:szCs w:val="16"/>
          <w:lang w:val="es-ES"/>
        </w:rPr>
        <w:t>Caso Gutiérrez Soler</w:t>
      </w:r>
      <w:r w:rsidRPr="007F3D68">
        <w:rPr>
          <w:rFonts w:asciiTheme="majorHAnsi" w:hAnsiTheme="majorHAnsi"/>
          <w:bCs/>
          <w:sz w:val="16"/>
          <w:szCs w:val="16"/>
          <w:lang w:val="es-ES"/>
        </w:rPr>
        <w:t>.</w:t>
      </w:r>
      <w:r w:rsidRPr="007F3D68">
        <w:rPr>
          <w:rFonts w:asciiTheme="majorHAnsi" w:hAnsiTheme="majorHAnsi"/>
          <w:b/>
          <w:bCs/>
          <w:sz w:val="16"/>
          <w:szCs w:val="16"/>
          <w:lang w:val="es-ES"/>
        </w:rPr>
        <w:t xml:space="preserve"> </w:t>
      </w:r>
      <w:r w:rsidRPr="007F3D68">
        <w:rPr>
          <w:rFonts w:asciiTheme="majorHAnsi" w:hAnsiTheme="majorHAnsi"/>
          <w:sz w:val="16"/>
          <w:szCs w:val="16"/>
          <w:lang w:val="es-ES"/>
        </w:rPr>
        <w:t xml:space="preserve">Fondo, Reparaciones y Costas. Sentencia de 12 de septiembre de 2005. Serie C No. 132, párr. 54; </w:t>
      </w:r>
      <w:r w:rsidRPr="007F3D68">
        <w:rPr>
          <w:rFonts w:asciiTheme="majorHAnsi" w:hAnsiTheme="majorHAnsi"/>
          <w:i/>
          <w:sz w:val="16"/>
          <w:szCs w:val="16"/>
          <w:lang w:val="es-ES"/>
        </w:rPr>
        <w:t>Caso Tibi</w:t>
      </w:r>
      <w:r w:rsidRPr="007F3D68">
        <w:rPr>
          <w:rFonts w:asciiTheme="majorHAnsi" w:hAnsiTheme="majorHAnsi"/>
          <w:sz w:val="16"/>
          <w:szCs w:val="16"/>
          <w:lang w:val="es-ES"/>
        </w:rPr>
        <w:t xml:space="preserve">. Sentencia de 7 de septiembre de 2004. Serie C No. 114, párr. 159 y </w:t>
      </w:r>
      <w:r w:rsidRPr="007F3D68">
        <w:rPr>
          <w:rFonts w:asciiTheme="majorHAnsi" w:hAnsiTheme="majorHAnsi"/>
          <w:bCs/>
          <w:sz w:val="16"/>
          <w:szCs w:val="16"/>
          <w:lang w:val="es-ES"/>
        </w:rPr>
        <w:t xml:space="preserve">Caso </w:t>
      </w:r>
      <w:proofErr w:type="spellStart"/>
      <w:r w:rsidRPr="007F3D68">
        <w:rPr>
          <w:rFonts w:asciiTheme="majorHAnsi" w:hAnsiTheme="majorHAnsi"/>
          <w:bCs/>
          <w:sz w:val="16"/>
          <w:szCs w:val="16"/>
          <w:lang w:val="es-ES"/>
        </w:rPr>
        <w:t>Ximenes</w:t>
      </w:r>
      <w:proofErr w:type="spellEnd"/>
      <w:r w:rsidRPr="007F3D68">
        <w:rPr>
          <w:rFonts w:asciiTheme="majorHAnsi" w:hAnsiTheme="majorHAnsi"/>
          <w:bCs/>
          <w:sz w:val="16"/>
          <w:szCs w:val="16"/>
          <w:lang w:val="es-ES"/>
        </w:rPr>
        <w:t xml:space="preserve"> </w:t>
      </w:r>
      <w:proofErr w:type="spellStart"/>
      <w:r w:rsidRPr="007F3D68">
        <w:rPr>
          <w:rFonts w:asciiTheme="majorHAnsi" w:hAnsiTheme="majorHAnsi"/>
          <w:bCs/>
          <w:sz w:val="16"/>
          <w:szCs w:val="16"/>
          <w:lang w:val="es-ES"/>
        </w:rPr>
        <w:t>Lopes</w:t>
      </w:r>
      <w:proofErr w:type="spellEnd"/>
      <w:r w:rsidRPr="007F3D68">
        <w:rPr>
          <w:rFonts w:asciiTheme="majorHAnsi" w:hAnsiTheme="majorHAnsi"/>
          <w:bCs/>
          <w:sz w:val="16"/>
          <w:szCs w:val="16"/>
          <w:lang w:val="es-ES"/>
        </w:rPr>
        <w:t>.</w:t>
      </w:r>
      <w:r w:rsidRPr="007F3D68">
        <w:rPr>
          <w:rFonts w:asciiTheme="majorHAnsi" w:hAnsiTheme="majorHAnsi"/>
          <w:b/>
          <w:bCs/>
          <w:sz w:val="16"/>
          <w:szCs w:val="16"/>
          <w:lang w:val="es-ES"/>
        </w:rPr>
        <w:t xml:space="preserve"> </w:t>
      </w:r>
      <w:r w:rsidRPr="007F3D68">
        <w:rPr>
          <w:rFonts w:asciiTheme="majorHAnsi" w:hAnsiTheme="majorHAnsi"/>
          <w:sz w:val="16"/>
          <w:szCs w:val="16"/>
          <w:lang w:val="es-ES"/>
        </w:rPr>
        <w:t xml:space="preserve">Fondo, Reparaciones y Costas. Sentencia de 4 de julio de 2006. Serie C No. 149, párr. 148. En el mismo sentido, </w:t>
      </w:r>
      <w:proofErr w:type="spellStart"/>
      <w:r w:rsidRPr="007F3D68">
        <w:rPr>
          <w:rFonts w:asciiTheme="majorHAnsi" w:hAnsiTheme="majorHAnsi"/>
          <w:i/>
          <w:sz w:val="16"/>
          <w:szCs w:val="16"/>
          <w:lang w:val="es-ES"/>
        </w:rPr>
        <w:t>Eur.C.H.R</w:t>
      </w:r>
      <w:proofErr w:type="spellEnd"/>
      <w:r w:rsidRPr="007F3D68">
        <w:rPr>
          <w:rFonts w:asciiTheme="majorHAnsi" w:hAnsiTheme="majorHAnsi"/>
          <w:i/>
          <w:sz w:val="16"/>
          <w:szCs w:val="16"/>
          <w:lang w:val="es-ES"/>
        </w:rPr>
        <w:t>.</w:t>
      </w:r>
      <w:r w:rsidRPr="007F3D68">
        <w:rPr>
          <w:rFonts w:asciiTheme="majorHAnsi" w:hAnsiTheme="majorHAnsi"/>
          <w:sz w:val="16"/>
          <w:szCs w:val="16"/>
          <w:lang w:val="es-ES"/>
        </w:rPr>
        <w:t xml:space="preserve">, </w:t>
      </w:r>
      <w:proofErr w:type="spellStart"/>
      <w:r w:rsidRPr="007F3D68">
        <w:rPr>
          <w:rFonts w:asciiTheme="majorHAnsi" w:hAnsiTheme="majorHAnsi"/>
          <w:i/>
          <w:sz w:val="16"/>
          <w:szCs w:val="16"/>
          <w:lang w:val="es-ES"/>
        </w:rPr>
        <w:t>Assenov</w:t>
      </w:r>
      <w:proofErr w:type="spellEnd"/>
      <w:r w:rsidRPr="007F3D68">
        <w:rPr>
          <w:rFonts w:asciiTheme="majorHAnsi" w:hAnsiTheme="majorHAnsi"/>
          <w:i/>
          <w:sz w:val="16"/>
          <w:szCs w:val="16"/>
          <w:lang w:val="es-ES"/>
        </w:rPr>
        <w:t xml:space="preserve"> and </w:t>
      </w:r>
      <w:proofErr w:type="spellStart"/>
      <w:r w:rsidRPr="007F3D68">
        <w:rPr>
          <w:rFonts w:asciiTheme="majorHAnsi" w:hAnsiTheme="majorHAnsi"/>
          <w:i/>
          <w:sz w:val="16"/>
          <w:szCs w:val="16"/>
          <w:lang w:val="es-ES"/>
        </w:rPr>
        <w:t>others</w:t>
      </w:r>
      <w:proofErr w:type="spellEnd"/>
      <w:r w:rsidRPr="007F3D68">
        <w:rPr>
          <w:rFonts w:asciiTheme="majorHAnsi" w:hAnsiTheme="majorHAnsi"/>
          <w:i/>
          <w:sz w:val="16"/>
          <w:szCs w:val="16"/>
          <w:lang w:val="es-ES"/>
        </w:rPr>
        <w:t xml:space="preserve"> v. Bulgaria, </w:t>
      </w:r>
      <w:r w:rsidRPr="007F3D68">
        <w:rPr>
          <w:rFonts w:asciiTheme="majorHAnsi" w:hAnsiTheme="majorHAnsi"/>
          <w:sz w:val="16"/>
          <w:szCs w:val="16"/>
          <w:lang w:val="es-ES"/>
        </w:rPr>
        <w:t xml:space="preserve">no. 90/1997/874/1086, </w:t>
      </w:r>
      <w:proofErr w:type="spellStart"/>
      <w:r w:rsidRPr="007F3D68">
        <w:rPr>
          <w:rFonts w:asciiTheme="majorHAnsi" w:hAnsiTheme="majorHAnsi"/>
          <w:sz w:val="16"/>
          <w:szCs w:val="16"/>
          <w:lang w:val="es-ES"/>
        </w:rPr>
        <w:t>Judgment</w:t>
      </w:r>
      <w:proofErr w:type="spellEnd"/>
      <w:r w:rsidRPr="007F3D68">
        <w:rPr>
          <w:rFonts w:asciiTheme="majorHAnsi" w:hAnsiTheme="majorHAnsi"/>
          <w:sz w:val="16"/>
          <w:szCs w:val="16"/>
          <w:lang w:val="es-ES"/>
        </w:rPr>
        <w:t xml:space="preserve"> of 28 </w:t>
      </w:r>
      <w:proofErr w:type="spellStart"/>
      <w:r w:rsidRPr="007F3D68">
        <w:rPr>
          <w:rFonts w:asciiTheme="majorHAnsi" w:hAnsiTheme="majorHAnsi"/>
          <w:sz w:val="16"/>
          <w:szCs w:val="16"/>
          <w:lang w:val="es-ES"/>
        </w:rPr>
        <w:t>October</w:t>
      </w:r>
      <w:proofErr w:type="spellEnd"/>
      <w:r w:rsidRPr="007F3D68">
        <w:rPr>
          <w:rFonts w:asciiTheme="majorHAnsi" w:hAnsiTheme="majorHAnsi"/>
          <w:sz w:val="16"/>
          <w:szCs w:val="16"/>
          <w:lang w:val="es-ES"/>
        </w:rPr>
        <w:t xml:space="preserve"> 1998, par. 102 y </w:t>
      </w:r>
      <w:proofErr w:type="spellStart"/>
      <w:r w:rsidRPr="007F3D68">
        <w:rPr>
          <w:rFonts w:asciiTheme="majorHAnsi" w:hAnsiTheme="majorHAnsi"/>
          <w:i/>
          <w:sz w:val="16"/>
          <w:szCs w:val="16"/>
          <w:lang w:val="es-ES"/>
        </w:rPr>
        <w:t>Eur.C.H.R</w:t>
      </w:r>
      <w:proofErr w:type="spellEnd"/>
      <w:r w:rsidRPr="007F3D68">
        <w:rPr>
          <w:rFonts w:asciiTheme="majorHAnsi" w:hAnsiTheme="majorHAnsi"/>
          <w:i/>
          <w:sz w:val="16"/>
          <w:szCs w:val="16"/>
          <w:lang w:val="es-ES"/>
        </w:rPr>
        <w:t>.</w:t>
      </w:r>
      <w:r w:rsidRPr="007F3D68">
        <w:rPr>
          <w:rFonts w:asciiTheme="majorHAnsi" w:hAnsiTheme="majorHAnsi"/>
          <w:sz w:val="16"/>
          <w:szCs w:val="16"/>
          <w:lang w:val="es-ES"/>
        </w:rPr>
        <w:t xml:space="preserve">, </w:t>
      </w:r>
      <w:proofErr w:type="spellStart"/>
      <w:r w:rsidRPr="007F3D68">
        <w:rPr>
          <w:rFonts w:asciiTheme="majorHAnsi" w:hAnsiTheme="majorHAnsi"/>
          <w:i/>
          <w:sz w:val="16"/>
          <w:szCs w:val="16"/>
          <w:lang w:val="es-ES"/>
        </w:rPr>
        <w:t>Ilhan</w:t>
      </w:r>
      <w:proofErr w:type="spellEnd"/>
      <w:r w:rsidRPr="007F3D68">
        <w:rPr>
          <w:rFonts w:asciiTheme="majorHAnsi" w:hAnsiTheme="majorHAnsi"/>
          <w:i/>
          <w:sz w:val="16"/>
          <w:szCs w:val="16"/>
          <w:lang w:val="es-ES"/>
        </w:rPr>
        <w:t xml:space="preserve"> v. </w:t>
      </w:r>
      <w:proofErr w:type="spellStart"/>
      <w:r w:rsidRPr="007F3D68">
        <w:rPr>
          <w:rFonts w:asciiTheme="majorHAnsi" w:hAnsiTheme="majorHAnsi"/>
          <w:i/>
          <w:sz w:val="16"/>
          <w:szCs w:val="16"/>
          <w:lang w:val="es-ES"/>
        </w:rPr>
        <w:t>Turkey</w:t>
      </w:r>
      <w:proofErr w:type="spellEnd"/>
      <w:r w:rsidRPr="007F3D68">
        <w:rPr>
          <w:rFonts w:asciiTheme="majorHAnsi" w:hAnsiTheme="majorHAnsi"/>
          <w:i/>
          <w:sz w:val="16"/>
          <w:szCs w:val="16"/>
          <w:lang w:val="es-ES"/>
        </w:rPr>
        <w:t xml:space="preserve"> </w:t>
      </w:r>
      <w:r w:rsidRPr="007F3D68">
        <w:rPr>
          <w:rFonts w:asciiTheme="majorHAnsi" w:hAnsiTheme="majorHAnsi"/>
          <w:sz w:val="16"/>
          <w:szCs w:val="16"/>
          <w:lang w:val="es-ES"/>
        </w:rPr>
        <w:t>[GC]</w:t>
      </w:r>
      <w:r w:rsidRPr="007F3D68">
        <w:rPr>
          <w:rFonts w:asciiTheme="majorHAnsi" w:hAnsiTheme="majorHAnsi"/>
          <w:i/>
          <w:sz w:val="16"/>
          <w:szCs w:val="16"/>
          <w:lang w:val="es-ES"/>
        </w:rPr>
        <w:t xml:space="preserve">, </w:t>
      </w:r>
      <w:r w:rsidRPr="007F3D68">
        <w:rPr>
          <w:rFonts w:asciiTheme="majorHAnsi" w:hAnsiTheme="majorHAnsi"/>
          <w:sz w:val="16"/>
          <w:szCs w:val="16"/>
          <w:lang w:val="es-ES"/>
        </w:rPr>
        <w:t xml:space="preserve">no. 22277/93, </w:t>
      </w:r>
      <w:proofErr w:type="spellStart"/>
      <w:r w:rsidRPr="007F3D68">
        <w:rPr>
          <w:rFonts w:asciiTheme="majorHAnsi" w:hAnsiTheme="majorHAnsi"/>
          <w:sz w:val="16"/>
          <w:szCs w:val="16"/>
          <w:lang w:val="es-ES"/>
        </w:rPr>
        <w:t>Judgment</w:t>
      </w:r>
      <w:proofErr w:type="spellEnd"/>
      <w:r w:rsidRPr="007F3D68">
        <w:rPr>
          <w:rFonts w:asciiTheme="majorHAnsi" w:hAnsiTheme="majorHAnsi"/>
          <w:sz w:val="16"/>
          <w:szCs w:val="16"/>
          <w:lang w:val="es-ES"/>
        </w:rPr>
        <w:t xml:space="preserve"> of 27 June 2000, paras. 89-93.</w:t>
      </w:r>
    </w:p>
  </w:footnote>
  <w:footnote w:id="108">
    <w:p w:rsidR="00F40EB1" w:rsidRPr="007F3D68" w:rsidRDefault="00F40EB1" w:rsidP="00BF224D">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Corte IDH. Caso Montero Aranguren y </w:t>
      </w:r>
      <w:proofErr w:type="gramStart"/>
      <w:r w:rsidRPr="007F3D68">
        <w:rPr>
          <w:rFonts w:asciiTheme="majorHAnsi" w:hAnsiTheme="majorHAnsi"/>
          <w:sz w:val="16"/>
          <w:szCs w:val="16"/>
          <w:lang w:val="es-VE"/>
        </w:rPr>
        <w:t>otros</w:t>
      </w:r>
      <w:proofErr w:type="gramEnd"/>
      <w:r w:rsidRPr="007F3D68">
        <w:rPr>
          <w:rFonts w:asciiTheme="majorHAnsi" w:hAnsiTheme="majorHAnsi"/>
          <w:sz w:val="16"/>
          <w:szCs w:val="16"/>
          <w:lang w:val="es-VE"/>
        </w:rPr>
        <w:t xml:space="preserve"> (Retén de Catia) vs. Venezuela. Fondo, Reparaciones y Costas. Sentencia de 5 de julio de 2006. Serie C No. 150, párr.79.</w:t>
      </w:r>
    </w:p>
  </w:footnote>
  <w:footnote w:id="109">
    <w:p w:rsidR="00F40EB1" w:rsidRPr="007F3D68" w:rsidRDefault="00F40EB1" w:rsidP="00BF224D">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Corte IDH. Caso Bueno Alves vs. Argentina. Fondo, Reparaciones y Costas. Sentencia de 11 de mayo de 2007. Serie C No. 16, párr.109.</w:t>
      </w:r>
    </w:p>
  </w:footnote>
  <w:footnote w:id="110">
    <w:p w:rsidR="00F40EB1" w:rsidRPr="007F3D68" w:rsidRDefault="00F40EB1" w:rsidP="00BF224D">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Corte IDH. Caso Bueno Alves vs. Argentina. Fondo, Reparaciones y Costas. Sentencia de 11 de mayo de 2007. Serie C No. 16, párr.111.</w:t>
      </w:r>
    </w:p>
  </w:footnote>
  <w:footnote w:id="111">
    <w:p w:rsidR="00F40EB1" w:rsidRPr="007F3D68" w:rsidRDefault="00F40EB1" w:rsidP="00BF224D">
      <w:pPr>
        <w:pStyle w:val="FootnoteText"/>
        <w:keepNext/>
        <w:spacing w:after="120"/>
        <w:ind w:firstLine="720"/>
        <w:jc w:val="both"/>
        <w:rPr>
          <w:rFonts w:asciiTheme="majorHAnsi" w:hAnsiTheme="majorHAnsi"/>
          <w:sz w:val="16"/>
          <w:szCs w:val="16"/>
          <w:lang w:val="es-CO"/>
        </w:rPr>
      </w:pPr>
      <w:r w:rsidRPr="007F3D68">
        <w:rPr>
          <w:rStyle w:val="FootnoteReference"/>
          <w:rFonts w:asciiTheme="majorHAnsi" w:hAnsiTheme="majorHAnsi"/>
          <w:color w:val="auto"/>
          <w:sz w:val="16"/>
          <w:szCs w:val="16"/>
          <w:lang w:val="es-ES"/>
        </w:rPr>
        <w:footnoteRef/>
      </w:r>
      <w:r w:rsidRPr="007F3D68">
        <w:rPr>
          <w:rFonts w:asciiTheme="majorHAnsi" w:hAnsiTheme="majorHAnsi"/>
          <w:color w:val="auto"/>
          <w:sz w:val="16"/>
          <w:szCs w:val="16"/>
          <w:lang w:val="es-ES"/>
        </w:rPr>
        <w:t xml:space="preserve"> Comité contra la Tortura. Examen de informes presentados por los Estados Partes en virtud del artículo 19 de la Convención.  CAT/c/MEX/CO/4. 6 de febrero de 2007. </w:t>
      </w:r>
    </w:p>
  </w:footnote>
  <w:footnote w:id="112">
    <w:p w:rsidR="00F40EB1" w:rsidRPr="007F3D68" w:rsidRDefault="00F40EB1" w:rsidP="00BF224D">
      <w:pPr>
        <w:pStyle w:val="FootnoteText"/>
        <w:keepNext/>
        <w:spacing w:after="120"/>
        <w:ind w:firstLine="720"/>
        <w:jc w:val="both"/>
        <w:rPr>
          <w:rFonts w:asciiTheme="majorHAnsi" w:hAnsiTheme="majorHAnsi"/>
          <w:sz w:val="16"/>
          <w:szCs w:val="16"/>
          <w:lang w:val="es-CO"/>
        </w:rPr>
      </w:pPr>
      <w:r w:rsidRPr="007F3D68">
        <w:rPr>
          <w:rStyle w:val="FootnoteReference"/>
          <w:rFonts w:asciiTheme="majorHAnsi" w:hAnsiTheme="majorHAnsi"/>
          <w:color w:val="auto"/>
          <w:sz w:val="16"/>
          <w:szCs w:val="16"/>
          <w:lang w:val="es-ES"/>
        </w:rPr>
        <w:footnoteRef/>
      </w:r>
      <w:r w:rsidRPr="007F3D68">
        <w:rPr>
          <w:rFonts w:asciiTheme="majorHAnsi" w:hAnsiTheme="majorHAnsi"/>
          <w:color w:val="auto"/>
          <w:sz w:val="16"/>
          <w:szCs w:val="16"/>
          <w:lang w:val="es-ES"/>
        </w:rPr>
        <w:t xml:space="preserve"> Véase: Manual para la investigación y documentación eficaces de la tortura y otros tratos o penas crueles, </w:t>
      </w:r>
      <w:proofErr w:type="gramStart"/>
      <w:r w:rsidRPr="007F3D68">
        <w:rPr>
          <w:rFonts w:asciiTheme="majorHAnsi" w:hAnsiTheme="majorHAnsi"/>
          <w:color w:val="auto"/>
          <w:sz w:val="16"/>
          <w:szCs w:val="16"/>
          <w:lang w:val="es-ES"/>
        </w:rPr>
        <w:t>inhumanos</w:t>
      </w:r>
      <w:proofErr w:type="gramEnd"/>
      <w:r w:rsidRPr="007F3D68">
        <w:rPr>
          <w:rFonts w:asciiTheme="majorHAnsi" w:hAnsiTheme="majorHAnsi"/>
          <w:color w:val="auto"/>
          <w:sz w:val="16"/>
          <w:szCs w:val="16"/>
          <w:lang w:val="es-ES"/>
        </w:rPr>
        <w:t xml:space="preserve"> o degradantes "Protocolo de Estambul". Oficina del Alto Comisionado de las Naciones Unidas para los Derechos Humanos, Naciones Unidas, Nueva Cork y Ginebra, 2001. </w:t>
      </w:r>
    </w:p>
  </w:footnote>
  <w:footnote w:id="113">
    <w:p w:rsidR="00F40EB1" w:rsidRPr="007F3D68" w:rsidRDefault="00F40EB1" w:rsidP="00A5569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7F3D68">
        <w:rPr>
          <w:rStyle w:val="FootnoteReference"/>
          <w:rFonts w:ascii="Cambria" w:hAnsi="Cambria"/>
          <w:color w:val="auto"/>
          <w:sz w:val="16"/>
          <w:szCs w:val="16"/>
        </w:rPr>
        <w:footnoteRef/>
      </w:r>
      <w:r w:rsidRPr="007F3D68">
        <w:rPr>
          <w:rFonts w:ascii="Cambria" w:hAnsi="Cambria"/>
          <w:color w:val="auto"/>
          <w:sz w:val="16"/>
          <w:szCs w:val="16"/>
          <w:lang w:val="es-ES"/>
        </w:rPr>
        <w:t xml:space="preserve"> El artículo 15 de la Convención contra la Tortura y Otros Tratos o Penas Crueles, Inhumanos o Degradantes establece que “[t]</w:t>
      </w:r>
      <w:proofErr w:type="spellStart"/>
      <w:r w:rsidRPr="007F3D68">
        <w:rPr>
          <w:rFonts w:ascii="Cambria" w:hAnsi="Cambria"/>
          <w:color w:val="auto"/>
          <w:sz w:val="16"/>
          <w:szCs w:val="16"/>
          <w:lang w:val="es-ES"/>
        </w:rPr>
        <w:t>odo</w:t>
      </w:r>
      <w:proofErr w:type="spellEnd"/>
      <w:r w:rsidRPr="007F3D68">
        <w:rPr>
          <w:rFonts w:ascii="Cambria" w:hAnsi="Cambria"/>
          <w:color w:val="auto"/>
          <w:sz w:val="16"/>
          <w:szCs w:val="16"/>
          <w:lang w:val="es-ES"/>
        </w:rPr>
        <w:t xml:space="preserve"> Estado Parte se asegurará de que ninguna declaración que se demuestre que ha sido hecha como resultado de tortura pueda ser invocada como prueba en ningún procedimiento, salvo en contra de una persona acusada de tortura como prueba de que se ha formulado la declaración”. Por su parte, el  artículo 10 de la Convención Interamericana para Prevenir y Sancionar la Tortura indica que “[n]</w:t>
      </w:r>
      <w:proofErr w:type="spellStart"/>
      <w:r w:rsidRPr="007F3D68">
        <w:rPr>
          <w:rFonts w:ascii="Cambria" w:hAnsi="Cambria"/>
          <w:color w:val="auto"/>
          <w:sz w:val="16"/>
          <w:szCs w:val="16"/>
          <w:lang w:val="es-ES"/>
        </w:rPr>
        <w:t>inguna</w:t>
      </w:r>
      <w:proofErr w:type="spellEnd"/>
      <w:r w:rsidRPr="007F3D68">
        <w:rPr>
          <w:rFonts w:ascii="Cambria" w:hAnsi="Cambria"/>
          <w:color w:val="auto"/>
          <w:sz w:val="16"/>
          <w:szCs w:val="16"/>
          <w:lang w:val="es-ES"/>
        </w:rPr>
        <w:t xml:space="preserve"> declaración que se compruebe haber sido obtenida mediante tortura podrá ser admitida como medio de prueba en un proceso, salvo en el que se siga contra la persona o personas acusadas de haberla obtenido mediante actos de tortura y únicamente como prueba de que por ese medio el acusado obtuvo tal declaración”.</w:t>
      </w:r>
    </w:p>
  </w:footnote>
  <w:footnote w:id="114">
    <w:p w:rsidR="00F40EB1" w:rsidRPr="007F3D68" w:rsidRDefault="00F40EB1" w:rsidP="00A5569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7F3D68">
        <w:rPr>
          <w:rStyle w:val="FootnoteReference"/>
          <w:rFonts w:ascii="Cambria" w:hAnsi="Cambria"/>
          <w:color w:val="auto"/>
          <w:sz w:val="16"/>
          <w:szCs w:val="16"/>
        </w:rPr>
        <w:footnoteRef/>
      </w:r>
      <w:r w:rsidRPr="007F3D68">
        <w:rPr>
          <w:rFonts w:ascii="Cambria" w:hAnsi="Cambria"/>
          <w:color w:val="auto"/>
          <w:sz w:val="16"/>
          <w:szCs w:val="16"/>
          <w:lang w:val="es-ES"/>
        </w:rPr>
        <w:t xml:space="preserve"> Al respecto, el Comité  contra  la  Tortura  ha  señalado que “las obligaciones previstas en los artículos 2 (según el cual “en ningún caso podrán invocarse circunstancias excepcionales como justificación de la tortura”), 15 (que prohíbe admitir como prueba las confesiones obtenidas mediante tortura, salvo en contra del torturador) y 16 (que prohíbe los tratos o penas crueles, inhumanos o degradantes) deben respetarse en todo momento”.  Cfr. Naciones Unidas. Comité contra la Tortura. Observación General No. 2, ‘Aplicación del artículo 2 por los Estados Partes’ de 24 de enero de 2008 (CAT/C/GC/2), párr. 6. Por su parte, el Comité de Derechos Humanos ha indicado lo siguiente: “Las garantías procesales nunca podrán ser objeto de medidas derogatorias que soslayen la protección de derechos que no son susceptibles de suspensión.  (…) ninguna declaración o confesión o, en principio, ninguna prueba que se obtenga en violación de esta disposición podrá admitirse en los procesos previstos por el artículo 14, incluso durante un estado de excepción, salvo si una declaración o confesión obtenida en violación del artículo 7 se utiliza como prueba de tortura u otro trato prohibido por esta disposición”. Naciones Unidas. Comité de Derechos humanos. Observación general N° 32, El derecho a un juicio imparcial y a la igualdad ante los tribunales y cortes de justicia (HRI/GEN/1/Rev.9 (vol. I)), </w:t>
      </w:r>
      <w:proofErr w:type="spellStart"/>
      <w:r w:rsidRPr="007F3D68">
        <w:rPr>
          <w:rFonts w:ascii="Cambria" w:hAnsi="Cambria"/>
          <w:color w:val="auto"/>
          <w:sz w:val="16"/>
          <w:szCs w:val="16"/>
          <w:lang w:val="es-ES"/>
        </w:rPr>
        <w:t>párr</w:t>
      </w:r>
      <w:proofErr w:type="spellEnd"/>
      <w:r w:rsidRPr="007F3D68">
        <w:rPr>
          <w:rFonts w:ascii="Cambria" w:hAnsi="Cambria"/>
          <w:color w:val="auto"/>
          <w:sz w:val="16"/>
          <w:szCs w:val="16"/>
          <w:lang w:val="es-ES"/>
        </w:rPr>
        <w:t xml:space="preserve"> 6.</w:t>
      </w:r>
    </w:p>
  </w:footnote>
  <w:footnote w:id="115">
    <w:p w:rsidR="00F40EB1" w:rsidRPr="007F3D68" w:rsidRDefault="00F40EB1" w:rsidP="00A5569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7F3D68">
        <w:rPr>
          <w:rStyle w:val="FootnoteReference"/>
          <w:rFonts w:ascii="Cambria" w:hAnsi="Cambria"/>
          <w:color w:val="auto"/>
          <w:sz w:val="16"/>
          <w:szCs w:val="16"/>
        </w:rPr>
        <w:footnoteRef/>
      </w:r>
      <w:r w:rsidRPr="007F3D68">
        <w:rPr>
          <w:rFonts w:ascii="Cambria" w:hAnsi="Cambria"/>
          <w:color w:val="auto"/>
          <w:sz w:val="16"/>
          <w:szCs w:val="16"/>
          <w:lang w:val="es-ES"/>
        </w:rPr>
        <w:t xml:space="preserve"> </w:t>
      </w:r>
      <w:r w:rsidRPr="007F3D68">
        <w:rPr>
          <w:rFonts w:ascii="Cambria" w:hAnsi="Cambria" w:cs="Arial"/>
          <w:color w:val="auto"/>
          <w:sz w:val="16"/>
          <w:szCs w:val="16"/>
          <w:shd w:val="clear" w:color="auto" w:fill="FFFFFF"/>
          <w:lang w:val="es-ES"/>
        </w:rPr>
        <w:t xml:space="preserve">Corte IDH. Caso Cabrera García y Montiel Flores Vs. México. Supervisión de Cumplimiento de Sentencia. Resolución de la Corte Interamericana de Derechos Humanos de 21 de agosto de 2013, párr. 165. </w:t>
      </w:r>
    </w:p>
  </w:footnote>
  <w:footnote w:id="116">
    <w:p w:rsidR="00F40EB1" w:rsidRPr="007F3D68" w:rsidRDefault="00F40EB1" w:rsidP="00A5569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7F3D68">
        <w:rPr>
          <w:rStyle w:val="FootnoteReference"/>
          <w:rFonts w:ascii="Cambria" w:hAnsi="Cambria"/>
          <w:color w:val="auto"/>
          <w:sz w:val="16"/>
          <w:szCs w:val="16"/>
        </w:rPr>
        <w:footnoteRef/>
      </w:r>
      <w:r w:rsidRPr="007F3D68">
        <w:rPr>
          <w:rFonts w:ascii="Cambria" w:hAnsi="Cambria"/>
          <w:color w:val="auto"/>
          <w:sz w:val="16"/>
          <w:szCs w:val="16"/>
          <w:lang w:val="es-MX"/>
        </w:rPr>
        <w:t xml:space="preserve"> CIDH, Informe sobre la Situación de los Derechos Humanos en México, Capítulo IV: el derecho a la integridad personal, OEA/</w:t>
      </w:r>
      <w:proofErr w:type="spellStart"/>
      <w:r w:rsidRPr="007F3D68">
        <w:rPr>
          <w:rFonts w:ascii="Cambria" w:hAnsi="Cambria"/>
          <w:color w:val="auto"/>
          <w:sz w:val="16"/>
          <w:szCs w:val="16"/>
          <w:lang w:val="es-MX"/>
        </w:rPr>
        <w:t>Ser.L</w:t>
      </w:r>
      <w:proofErr w:type="spellEnd"/>
      <w:r w:rsidRPr="007F3D68">
        <w:rPr>
          <w:rFonts w:ascii="Cambria" w:hAnsi="Cambria"/>
          <w:color w:val="auto"/>
          <w:sz w:val="16"/>
          <w:szCs w:val="16"/>
          <w:lang w:val="es-MX"/>
        </w:rPr>
        <w:t xml:space="preserve">/V/II.100, Doc. 7. </w:t>
      </w:r>
      <w:proofErr w:type="spellStart"/>
      <w:r w:rsidRPr="007F3D68">
        <w:rPr>
          <w:rFonts w:ascii="Cambria" w:hAnsi="Cambria"/>
          <w:color w:val="auto"/>
          <w:sz w:val="16"/>
          <w:szCs w:val="16"/>
          <w:lang w:val="es-MX"/>
        </w:rPr>
        <w:t>rev.</w:t>
      </w:r>
      <w:proofErr w:type="spellEnd"/>
      <w:r w:rsidRPr="007F3D68">
        <w:rPr>
          <w:rFonts w:ascii="Cambria" w:hAnsi="Cambria"/>
          <w:color w:val="auto"/>
          <w:sz w:val="16"/>
          <w:szCs w:val="16"/>
          <w:lang w:val="es-MX"/>
        </w:rPr>
        <w:t xml:space="preserve"> 1, 24 de septiembre de 1998, párr. 320.</w:t>
      </w:r>
    </w:p>
  </w:footnote>
  <w:footnote w:id="117">
    <w:p w:rsidR="00F40EB1" w:rsidRPr="007F3D68" w:rsidRDefault="00F40EB1" w:rsidP="00A5569C">
      <w:pPr>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7F3D68">
        <w:rPr>
          <w:rStyle w:val="FootnoteReference"/>
          <w:rFonts w:ascii="Cambria" w:hAnsi="Cambria"/>
          <w:sz w:val="16"/>
          <w:szCs w:val="16"/>
        </w:rPr>
        <w:footnoteRef/>
      </w:r>
      <w:r w:rsidRPr="007F3D68">
        <w:rPr>
          <w:rFonts w:ascii="Cambria" w:hAnsi="Cambria"/>
          <w:sz w:val="16"/>
          <w:szCs w:val="16"/>
          <w:lang w:val="es-CO"/>
        </w:rPr>
        <w:t xml:space="preserve"> </w:t>
      </w:r>
      <w:r w:rsidRPr="007F3D68">
        <w:rPr>
          <w:rFonts w:ascii="Cambria" w:hAnsi="Cambria"/>
          <w:sz w:val="16"/>
          <w:szCs w:val="16"/>
          <w:shd w:val="clear" w:color="auto" w:fill="FFFFFF"/>
          <w:lang w:val="es-CO"/>
        </w:rPr>
        <w:t xml:space="preserve">Corte IDH. </w:t>
      </w:r>
      <w:r w:rsidRPr="007F3D68">
        <w:rPr>
          <w:rFonts w:ascii="Cambria" w:hAnsi="Cambria"/>
          <w:sz w:val="16"/>
          <w:szCs w:val="16"/>
          <w:shd w:val="clear" w:color="auto" w:fill="FFFFFF"/>
          <w:lang w:val="es-ES"/>
        </w:rPr>
        <w:t xml:space="preserve">Caso Cabrera García y Montiel Flores Vs. México. Supervisión de Cumplimiento de Sentencia. Resolución de la Corte Interamericana de Derechos Humanos de 21 de agosto de 2013, párr. 166. </w:t>
      </w:r>
      <w:r w:rsidRPr="007F3D68">
        <w:rPr>
          <w:rFonts w:ascii="Cambria" w:hAnsi="Cambria"/>
          <w:sz w:val="16"/>
          <w:szCs w:val="16"/>
          <w:lang w:val="es-ES"/>
        </w:rPr>
        <w:t>Corte IDH. Caso García Cruz y Sánchez Silvestre Vs. México. Fondo, Reparaciones y Costas. Sentencia de 26 de noviembre de 2013. Serie C No. 273, párr. 58, ver particularmente nota al pie 73.</w:t>
      </w:r>
    </w:p>
  </w:footnote>
  <w:footnote w:id="118">
    <w:p w:rsidR="00F40EB1" w:rsidRPr="007F3D68" w:rsidRDefault="00F40EB1" w:rsidP="00A5569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CO"/>
        </w:rPr>
      </w:pPr>
      <w:r w:rsidRPr="007F3D68">
        <w:rPr>
          <w:rStyle w:val="FootnoteReference"/>
          <w:rFonts w:ascii="Cambria" w:hAnsi="Cambria"/>
          <w:color w:val="auto"/>
          <w:sz w:val="16"/>
          <w:szCs w:val="16"/>
        </w:rPr>
        <w:footnoteRef/>
      </w:r>
      <w:r w:rsidRPr="007F3D68">
        <w:rPr>
          <w:rFonts w:ascii="Cambria" w:hAnsi="Cambria"/>
          <w:color w:val="auto"/>
          <w:sz w:val="16"/>
          <w:szCs w:val="16"/>
          <w:lang w:val="es-ES"/>
        </w:rPr>
        <w:t xml:space="preserve"> </w:t>
      </w:r>
      <w:r w:rsidRPr="007F3D68">
        <w:rPr>
          <w:rFonts w:ascii="Cambria" w:hAnsi="Cambria" w:cs="Arial"/>
          <w:color w:val="auto"/>
          <w:sz w:val="16"/>
          <w:szCs w:val="16"/>
          <w:shd w:val="clear" w:color="auto" w:fill="FFFFFF"/>
          <w:lang w:val="es-ES"/>
        </w:rPr>
        <w:t xml:space="preserve">Corte IDH. Caso Cabrera García y Montiel Flores Vs. México. Supervisión de Cumplimiento de Sentencia. Resolución de la Corte </w:t>
      </w:r>
      <w:r w:rsidRPr="007F3D68">
        <w:rPr>
          <w:rFonts w:asciiTheme="majorHAnsi" w:hAnsiTheme="majorHAnsi" w:cs="Arial"/>
          <w:color w:val="auto"/>
          <w:sz w:val="16"/>
          <w:szCs w:val="16"/>
          <w:shd w:val="clear" w:color="auto" w:fill="FFFFFF"/>
          <w:lang w:val="es-ES"/>
        </w:rPr>
        <w:t xml:space="preserve">Interamericana de Derechos Humanos de 21 de agosto de 2013, párr. 166. </w:t>
      </w:r>
    </w:p>
  </w:footnote>
  <w:footnote w:id="119">
    <w:p w:rsidR="00F40EB1" w:rsidRPr="007F3D68" w:rsidRDefault="00F40EB1" w:rsidP="00602A16">
      <w:pPr>
        <w:pStyle w:val="FootnoteText"/>
        <w:ind w:firstLine="720"/>
        <w:jc w:val="both"/>
        <w:rPr>
          <w:rFonts w:asciiTheme="majorHAnsi" w:hAnsiTheme="majorHAnsi"/>
          <w:sz w:val="16"/>
          <w:szCs w:val="16"/>
          <w:lang w:val="es-CO"/>
        </w:rPr>
      </w:pPr>
      <w:r w:rsidRPr="007F3D68">
        <w:rPr>
          <w:rStyle w:val="FootnoteReference"/>
          <w:rFonts w:asciiTheme="majorHAnsi" w:hAnsiTheme="majorHAnsi"/>
          <w:sz w:val="16"/>
          <w:szCs w:val="16"/>
        </w:rPr>
        <w:footnoteRef/>
      </w:r>
      <w:r w:rsidRPr="007F3D68">
        <w:rPr>
          <w:rFonts w:asciiTheme="majorHAnsi" w:hAnsiTheme="majorHAnsi"/>
          <w:sz w:val="16"/>
          <w:szCs w:val="16"/>
          <w:lang w:val="es-CO"/>
        </w:rPr>
        <w:t xml:space="preserve"> CIDH. Informe No. 40/14. Caso 11.438. Admisibilidad y Fondo. Herrera Espinoza y otros. Ecuador. 17 de julio de 2011. Párr. 182.  </w:t>
      </w:r>
    </w:p>
  </w:footnote>
  <w:footnote w:id="120">
    <w:p w:rsidR="00F40EB1" w:rsidRPr="007F3D68" w:rsidRDefault="00F40EB1" w:rsidP="00242EAC">
      <w:pPr>
        <w:pStyle w:val="FootnoteText"/>
        <w:spacing w:after="120"/>
        <w:ind w:firstLine="720"/>
        <w:jc w:val="both"/>
        <w:rPr>
          <w:rFonts w:ascii="Cambria" w:hAnsi="Cambria"/>
          <w:sz w:val="16"/>
          <w:szCs w:val="16"/>
          <w:lang w:val="es-US"/>
        </w:rPr>
      </w:pPr>
      <w:r w:rsidRPr="007F3D68">
        <w:rPr>
          <w:rStyle w:val="FootnoteReference"/>
          <w:rFonts w:ascii="Cambria" w:hAnsi="Cambria"/>
          <w:sz w:val="16"/>
          <w:szCs w:val="16"/>
        </w:rPr>
        <w:footnoteRef/>
      </w:r>
      <w:r w:rsidRPr="007F3D68">
        <w:rPr>
          <w:rFonts w:ascii="Cambria" w:hAnsi="Cambria"/>
          <w:sz w:val="16"/>
          <w:szCs w:val="16"/>
          <w:lang w:val="es-US"/>
        </w:rPr>
        <w:t xml:space="preserve"> CIDH, Informe No. 5/96. Caso 10.970. Raquel Martín de Mejía (Perú), 1 de marzo de 1996. </w:t>
      </w:r>
    </w:p>
  </w:footnote>
  <w:footnote w:id="121">
    <w:p w:rsidR="00F40EB1" w:rsidRPr="007F3D68" w:rsidRDefault="00F40EB1" w:rsidP="00242EAC">
      <w:pPr>
        <w:pStyle w:val="FootnoteText"/>
        <w:spacing w:after="120"/>
        <w:ind w:firstLine="720"/>
        <w:jc w:val="both"/>
        <w:rPr>
          <w:rFonts w:ascii="Cambria" w:hAnsi="Cambria"/>
          <w:sz w:val="16"/>
          <w:szCs w:val="16"/>
          <w:lang w:val="es-US"/>
        </w:rPr>
      </w:pPr>
      <w:r w:rsidRPr="007F3D68">
        <w:rPr>
          <w:rStyle w:val="FootnoteReference"/>
          <w:rFonts w:ascii="Cambria" w:hAnsi="Cambria"/>
          <w:sz w:val="16"/>
          <w:szCs w:val="16"/>
        </w:rPr>
        <w:footnoteRef/>
      </w:r>
      <w:r w:rsidRPr="007F3D68">
        <w:rPr>
          <w:rFonts w:ascii="Cambria" w:hAnsi="Cambria"/>
          <w:sz w:val="16"/>
          <w:szCs w:val="16"/>
          <w:lang w:val="es-US"/>
        </w:rPr>
        <w:t xml:space="preserve"> CIDH, Informe No. 53/01. Caso 11.565. Ana, Beatriz y Celia González Pérez. México. 4 de abril de 2001. </w:t>
      </w:r>
    </w:p>
  </w:footnote>
  <w:footnote w:id="122">
    <w:p w:rsidR="00F40EB1" w:rsidRPr="007F3D68" w:rsidRDefault="00F40EB1" w:rsidP="00242EAC">
      <w:pPr>
        <w:pStyle w:val="FootnoteText"/>
        <w:spacing w:after="120"/>
        <w:ind w:firstLine="720"/>
        <w:jc w:val="both"/>
        <w:rPr>
          <w:rFonts w:ascii="Cambria" w:hAnsi="Cambria"/>
          <w:sz w:val="16"/>
          <w:szCs w:val="16"/>
          <w:lang w:val="es-US"/>
        </w:rPr>
      </w:pPr>
      <w:r w:rsidRPr="007F3D68">
        <w:rPr>
          <w:rStyle w:val="FootnoteReference"/>
          <w:rFonts w:ascii="Cambria" w:hAnsi="Cambria"/>
          <w:sz w:val="16"/>
          <w:szCs w:val="16"/>
        </w:rPr>
        <w:footnoteRef/>
      </w:r>
      <w:r w:rsidRPr="007F3D68">
        <w:rPr>
          <w:rFonts w:ascii="Cambria" w:hAnsi="Cambria"/>
          <w:sz w:val="16"/>
          <w:szCs w:val="16"/>
          <w:lang w:val="es-US"/>
        </w:rPr>
        <w:t xml:space="preserve"> Ver, entre otros: CIDH, Informe No. 33/16, Caso 12.797. Fondo. Linda Loaiza López Soto y familiares. Venezuela. 29 de julio de 2016, párr.175; </w:t>
      </w:r>
      <w:r w:rsidRPr="007F3D68">
        <w:rPr>
          <w:rFonts w:ascii="Cambria" w:hAnsi="Cambria"/>
          <w:sz w:val="16"/>
          <w:szCs w:val="16"/>
          <w:lang w:val="es-ES_tradnl"/>
        </w:rPr>
        <w:t xml:space="preserve">CIDH, Informe 76/11, Caso 11.769, Fondo, J., Perú, 20 de julio de 2011; y </w:t>
      </w:r>
      <w:r w:rsidRPr="007F3D68">
        <w:rPr>
          <w:rFonts w:ascii="Cambria" w:eastAsia="Times New Roman" w:hAnsi="Cambria"/>
          <w:bCs/>
          <w:sz w:val="16"/>
          <w:szCs w:val="16"/>
          <w:shd w:val="clear" w:color="auto" w:fill="FFFFFF"/>
          <w:lang w:val="es-ES"/>
        </w:rPr>
        <w:t xml:space="preserve">Corte IDH. Caso Fernández Ortega y otros. Vs. México. Excepción Preliminar, Fondo, Reparaciones y Costas. Sentencia de 30 de agosto de 2010 Serie C No. 215. </w:t>
      </w:r>
    </w:p>
  </w:footnote>
  <w:footnote w:id="123">
    <w:p w:rsidR="00F40EB1" w:rsidRPr="007F3D68" w:rsidRDefault="00F40EB1" w:rsidP="00242EAC">
      <w:pPr>
        <w:pStyle w:val="FootnoteText"/>
        <w:spacing w:after="120"/>
        <w:ind w:firstLine="720"/>
        <w:jc w:val="both"/>
        <w:rPr>
          <w:rFonts w:ascii="Cambria" w:hAnsi="Cambria"/>
          <w:sz w:val="16"/>
          <w:szCs w:val="16"/>
          <w:lang w:val="es-US"/>
        </w:rPr>
      </w:pPr>
      <w:r w:rsidRPr="007F3D68">
        <w:rPr>
          <w:rStyle w:val="FootnoteReference"/>
          <w:rFonts w:ascii="Cambria" w:hAnsi="Cambria"/>
          <w:sz w:val="16"/>
          <w:szCs w:val="16"/>
        </w:rPr>
        <w:footnoteRef/>
      </w:r>
      <w:r w:rsidRPr="007F3D68">
        <w:rPr>
          <w:rFonts w:ascii="Cambria" w:hAnsi="Cambria"/>
          <w:sz w:val="16"/>
          <w:szCs w:val="16"/>
          <w:lang w:val="es-US"/>
        </w:rPr>
        <w:t xml:space="preserve"> </w:t>
      </w:r>
      <w:r w:rsidRPr="007F3D68">
        <w:rPr>
          <w:rFonts w:ascii="Cambria" w:hAnsi="Cambria"/>
          <w:sz w:val="16"/>
          <w:szCs w:val="16"/>
          <w:lang w:val="es-ES"/>
        </w:rPr>
        <w:t xml:space="preserve">Corte IDH, </w:t>
      </w:r>
      <w:r w:rsidRPr="007F3D68">
        <w:rPr>
          <w:rFonts w:ascii="Cambria" w:hAnsi="Cambria"/>
          <w:bCs/>
          <w:sz w:val="16"/>
          <w:szCs w:val="16"/>
          <w:lang w:val="es-US"/>
        </w:rPr>
        <w:t xml:space="preserve">Caso del Penal Miguel Castro </w:t>
      </w:r>
      <w:proofErr w:type="spellStart"/>
      <w:r w:rsidRPr="007F3D68">
        <w:rPr>
          <w:rFonts w:ascii="Cambria" w:hAnsi="Cambria"/>
          <w:bCs/>
          <w:sz w:val="16"/>
          <w:szCs w:val="16"/>
          <w:lang w:val="es-US"/>
        </w:rPr>
        <w:t>Castro</w:t>
      </w:r>
      <w:proofErr w:type="spellEnd"/>
      <w:r w:rsidRPr="007F3D68">
        <w:rPr>
          <w:rFonts w:ascii="Cambria" w:hAnsi="Cambria"/>
          <w:bCs/>
          <w:sz w:val="16"/>
          <w:szCs w:val="16"/>
          <w:lang w:val="es-US"/>
        </w:rPr>
        <w:t xml:space="preserve">. </w:t>
      </w:r>
      <w:r w:rsidRPr="007F3D68">
        <w:rPr>
          <w:rFonts w:ascii="Cambria" w:hAnsi="Cambria"/>
          <w:sz w:val="16"/>
          <w:szCs w:val="16"/>
          <w:lang w:val="es-ES"/>
        </w:rPr>
        <w:t>Fondo, Reparaciones y Costas.</w:t>
      </w:r>
      <w:r w:rsidRPr="007F3D68">
        <w:rPr>
          <w:rFonts w:ascii="Cambria" w:hAnsi="Cambria"/>
          <w:bCs/>
          <w:sz w:val="16"/>
          <w:szCs w:val="16"/>
          <w:lang w:val="es-US"/>
        </w:rPr>
        <w:t xml:space="preserve"> </w:t>
      </w:r>
      <w:r w:rsidRPr="007F3D68">
        <w:rPr>
          <w:rFonts w:ascii="Cambria" w:hAnsi="Cambria"/>
          <w:sz w:val="16"/>
          <w:szCs w:val="16"/>
          <w:lang w:val="es-US"/>
        </w:rPr>
        <w:t xml:space="preserve">Sentencia de 25 de noviembre de 2006. Serie C No. 160, párr. 310; y </w:t>
      </w:r>
      <w:r w:rsidRPr="007F3D68">
        <w:rPr>
          <w:rStyle w:val="Strong"/>
          <w:rFonts w:ascii="Cambria" w:hAnsi="Cambria"/>
          <w:b w:val="0"/>
          <w:sz w:val="16"/>
          <w:szCs w:val="16"/>
          <w:shd w:val="clear" w:color="auto" w:fill="FFFFFF"/>
          <w:lang w:val="es-US"/>
        </w:rPr>
        <w:t xml:space="preserve">Corte IDH. Caso J. Vs. </w:t>
      </w:r>
      <w:r w:rsidRPr="007F3D68">
        <w:rPr>
          <w:rStyle w:val="Strong"/>
          <w:rFonts w:ascii="Cambria" w:hAnsi="Cambria"/>
          <w:b w:val="0"/>
          <w:sz w:val="16"/>
          <w:szCs w:val="16"/>
          <w:shd w:val="clear" w:color="auto" w:fill="FFFFFF"/>
          <w:lang w:val="es-ES"/>
        </w:rPr>
        <w:t xml:space="preserve">Perú. Excepción Preliminar, Fondo, Reparaciones y Costas. Sentencia de 27 de noviembre de 2013. Serie C No. 275, párr. 359. </w:t>
      </w:r>
    </w:p>
  </w:footnote>
  <w:footnote w:id="124">
    <w:p w:rsidR="00F40EB1" w:rsidRPr="007F3D68" w:rsidRDefault="00F40EB1" w:rsidP="00242EAC">
      <w:pPr>
        <w:pStyle w:val="FootnoteText"/>
        <w:spacing w:after="120"/>
        <w:ind w:firstLine="720"/>
        <w:jc w:val="both"/>
        <w:rPr>
          <w:rFonts w:ascii="Cambria" w:hAnsi="Cambria"/>
          <w:sz w:val="16"/>
          <w:szCs w:val="16"/>
          <w:lang w:val="es-US"/>
        </w:rPr>
      </w:pPr>
      <w:r w:rsidRPr="007F3D68">
        <w:rPr>
          <w:rStyle w:val="FootnoteReference"/>
          <w:rFonts w:ascii="Cambria" w:hAnsi="Cambria"/>
          <w:sz w:val="16"/>
          <w:szCs w:val="16"/>
        </w:rPr>
        <w:footnoteRef/>
      </w:r>
      <w:r w:rsidRPr="007F3D68">
        <w:rPr>
          <w:rFonts w:ascii="Cambria" w:hAnsi="Cambria"/>
          <w:sz w:val="16"/>
          <w:szCs w:val="16"/>
          <w:lang w:val="es-US"/>
        </w:rPr>
        <w:t xml:space="preserve"> </w:t>
      </w:r>
      <w:r w:rsidRPr="007F3D68">
        <w:rPr>
          <w:rStyle w:val="Strong"/>
          <w:rFonts w:ascii="Cambria" w:hAnsi="Cambria"/>
          <w:b w:val="0"/>
          <w:sz w:val="16"/>
          <w:szCs w:val="16"/>
          <w:shd w:val="clear" w:color="auto" w:fill="FFFFFF"/>
          <w:lang w:val="es-US"/>
        </w:rPr>
        <w:t xml:space="preserve">Corte IDH. </w:t>
      </w:r>
      <w:r w:rsidRPr="007F3D68">
        <w:rPr>
          <w:rStyle w:val="Strong"/>
          <w:rFonts w:ascii="Cambria" w:hAnsi="Cambria"/>
          <w:b w:val="0"/>
          <w:i/>
          <w:sz w:val="16"/>
          <w:szCs w:val="16"/>
          <w:shd w:val="clear" w:color="auto" w:fill="FFFFFF"/>
          <w:lang w:val="es-US"/>
        </w:rPr>
        <w:t xml:space="preserve">Caso J. Vs. </w:t>
      </w:r>
      <w:r w:rsidRPr="007F3D68">
        <w:rPr>
          <w:rStyle w:val="Strong"/>
          <w:rFonts w:ascii="Cambria" w:hAnsi="Cambria"/>
          <w:b w:val="0"/>
          <w:i/>
          <w:sz w:val="16"/>
          <w:szCs w:val="16"/>
          <w:shd w:val="clear" w:color="auto" w:fill="FFFFFF"/>
          <w:lang w:val="es-ES"/>
        </w:rPr>
        <w:t>Perú</w:t>
      </w:r>
      <w:r w:rsidRPr="007F3D68">
        <w:rPr>
          <w:rStyle w:val="Strong"/>
          <w:rFonts w:ascii="Cambria" w:hAnsi="Cambria"/>
          <w:b w:val="0"/>
          <w:sz w:val="16"/>
          <w:szCs w:val="16"/>
          <w:shd w:val="clear" w:color="auto" w:fill="FFFFFF"/>
          <w:lang w:val="es-ES"/>
        </w:rPr>
        <w:t xml:space="preserve">. Excepción Preliminar, Fondo, Reparaciones y Costas. Sentencia de 27 de noviembre de 2013. Serie C No. 275, párr. 359. </w:t>
      </w:r>
    </w:p>
  </w:footnote>
  <w:footnote w:id="125">
    <w:p w:rsidR="00F40EB1" w:rsidRPr="007F3D68" w:rsidRDefault="00F40EB1" w:rsidP="00242EAC">
      <w:pPr>
        <w:pStyle w:val="FootnoteText"/>
        <w:spacing w:after="120"/>
        <w:ind w:firstLine="720"/>
        <w:jc w:val="both"/>
        <w:rPr>
          <w:rFonts w:ascii="Cambria" w:hAnsi="Cambria"/>
          <w:sz w:val="16"/>
          <w:szCs w:val="16"/>
          <w:lang w:val="es-US"/>
        </w:rPr>
      </w:pPr>
      <w:r w:rsidRPr="007F3D68">
        <w:rPr>
          <w:rStyle w:val="FootnoteReference"/>
          <w:rFonts w:ascii="Cambria" w:hAnsi="Cambria"/>
          <w:sz w:val="16"/>
          <w:szCs w:val="16"/>
        </w:rPr>
        <w:footnoteRef/>
      </w:r>
      <w:r w:rsidRPr="007F3D68">
        <w:rPr>
          <w:rFonts w:ascii="Cambria" w:hAnsi="Cambria"/>
          <w:sz w:val="16"/>
          <w:szCs w:val="16"/>
          <w:lang w:val="es-US"/>
        </w:rPr>
        <w:t xml:space="preserve"> Corte IDH, </w:t>
      </w:r>
      <w:r w:rsidRPr="007F3D68">
        <w:rPr>
          <w:rFonts w:ascii="Cambria" w:hAnsi="Cambria"/>
          <w:i/>
          <w:sz w:val="16"/>
          <w:szCs w:val="16"/>
          <w:lang w:val="es-US"/>
        </w:rPr>
        <w:t>Caso Rosendo Cantú y otra Vs. México</w:t>
      </w:r>
      <w:r w:rsidRPr="007F3D68">
        <w:rPr>
          <w:rFonts w:ascii="Cambria" w:hAnsi="Cambria"/>
          <w:sz w:val="16"/>
          <w:szCs w:val="16"/>
          <w:lang w:val="es-US"/>
        </w:rPr>
        <w:t xml:space="preserve">, Excepción Preliminar, Fondo, Reparaciones y Costas, Sentencia de 31 de agosto de 2010. Serie C No. 216, párr. 114. </w:t>
      </w:r>
    </w:p>
  </w:footnote>
  <w:footnote w:id="126">
    <w:p w:rsidR="00F40EB1" w:rsidRPr="007F3D68" w:rsidRDefault="00F40EB1" w:rsidP="00242EAC">
      <w:pPr>
        <w:pStyle w:val="FootnoteText"/>
        <w:spacing w:after="120"/>
        <w:ind w:firstLine="720"/>
        <w:jc w:val="both"/>
        <w:rPr>
          <w:rFonts w:ascii="Cambria" w:hAnsi="Cambria"/>
          <w:sz w:val="16"/>
          <w:szCs w:val="16"/>
          <w:lang w:val="es-ES"/>
        </w:rPr>
      </w:pPr>
      <w:r w:rsidRPr="007F3D68">
        <w:rPr>
          <w:rStyle w:val="FootnoteReference"/>
          <w:rFonts w:ascii="Cambria" w:hAnsi="Cambria"/>
          <w:sz w:val="16"/>
          <w:szCs w:val="16"/>
        </w:rPr>
        <w:footnoteRef/>
      </w:r>
      <w:r w:rsidRPr="007F3D68">
        <w:rPr>
          <w:rFonts w:ascii="Cambria" w:hAnsi="Cambria"/>
          <w:sz w:val="16"/>
          <w:szCs w:val="16"/>
          <w:lang w:val="es-ES"/>
        </w:rPr>
        <w:t xml:space="preserve"> CIDH. Informe No 53/01. Caso 11.565. </w:t>
      </w:r>
      <w:r w:rsidRPr="007F3D68">
        <w:rPr>
          <w:rFonts w:ascii="Cambria" w:hAnsi="Cambria"/>
          <w:i/>
          <w:sz w:val="16"/>
          <w:szCs w:val="16"/>
          <w:lang w:val="es-ES"/>
        </w:rPr>
        <w:t>Ana, Beatriz y Celia González Pérez</w:t>
      </w:r>
      <w:r w:rsidRPr="007F3D68">
        <w:rPr>
          <w:rFonts w:ascii="Cambria" w:hAnsi="Cambria"/>
          <w:sz w:val="16"/>
          <w:szCs w:val="16"/>
          <w:lang w:val="es-ES"/>
        </w:rPr>
        <w:t xml:space="preserve">. México. 4 de abril de 2001. Párr. 45; CIDH. Demanda ante la Corte Interamericana de Derechos Humanos. Caso 12.579, </w:t>
      </w:r>
      <w:r w:rsidRPr="007F3D68">
        <w:rPr>
          <w:rFonts w:ascii="Cambria" w:hAnsi="Cambria"/>
          <w:i/>
          <w:sz w:val="16"/>
          <w:szCs w:val="16"/>
          <w:lang w:val="es-ES"/>
        </w:rPr>
        <w:t>Valentina Rosendo Cantú y otra</w:t>
      </w:r>
      <w:r w:rsidRPr="007F3D68">
        <w:rPr>
          <w:rFonts w:ascii="Cambria" w:hAnsi="Cambria"/>
          <w:sz w:val="16"/>
          <w:szCs w:val="16"/>
          <w:lang w:val="es-ES"/>
        </w:rPr>
        <w:t xml:space="preserve">, México, 2 de agosto de 2009, párr. 90, Demanda ante la Corte Interamericana de Derechos Humanos. Caso 12.580. </w:t>
      </w:r>
      <w:r w:rsidRPr="007F3D68">
        <w:rPr>
          <w:rFonts w:ascii="Cambria" w:hAnsi="Cambria"/>
          <w:i/>
          <w:sz w:val="16"/>
          <w:szCs w:val="16"/>
          <w:lang w:val="es-ES"/>
        </w:rPr>
        <w:t>Inés Fernández Ortega</w:t>
      </w:r>
      <w:r w:rsidRPr="007F3D68">
        <w:rPr>
          <w:rFonts w:ascii="Cambria" w:hAnsi="Cambria"/>
          <w:sz w:val="16"/>
          <w:szCs w:val="16"/>
          <w:lang w:val="es-ES"/>
        </w:rPr>
        <w:t>, México, 7 de mayo de 2009, párr. 117.</w:t>
      </w:r>
    </w:p>
  </w:footnote>
  <w:footnote w:id="127">
    <w:p w:rsidR="00F40EB1" w:rsidRPr="007F3D68" w:rsidRDefault="00F40EB1" w:rsidP="00242EAC">
      <w:pPr>
        <w:pStyle w:val="FootnoteText"/>
        <w:spacing w:after="120"/>
        <w:ind w:firstLine="720"/>
        <w:jc w:val="both"/>
        <w:rPr>
          <w:rFonts w:ascii="Cambria" w:hAnsi="Cambria"/>
          <w:sz w:val="16"/>
          <w:szCs w:val="16"/>
          <w:lang w:val="es-CO"/>
        </w:rPr>
      </w:pPr>
      <w:r w:rsidRPr="007F3D68">
        <w:rPr>
          <w:rStyle w:val="FootnoteReference"/>
          <w:rFonts w:ascii="Cambria" w:hAnsi="Cambria"/>
          <w:sz w:val="16"/>
          <w:szCs w:val="16"/>
        </w:rPr>
        <w:footnoteRef/>
      </w:r>
      <w:r w:rsidRPr="007F3D68">
        <w:rPr>
          <w:rFonts w:ascii="Cambria" w:hAnsi="Cambria"/>
          <w:sz w:val="16"/>
          <w:szCs w:val="16"/>
          <w:lang w:val="es-CO"/>
        </w:rPr>
        <w:t xml:space="preserve"> Naciones Unidas, Manual para la Investigación y Documentación Eficaces de la Tortura y otros tratos o penas crueles, inhumanos o degradantes, Protocolo de Estambul, 2001. Párr. 249. </w:t>
      </w:r>
    </w:p>
  </w:footnote>
  <w:footnote w:id="128">
    <w:p w:rsidR="00F40EB1" w:rsidRPr="007F3D68" w:rsidRDefault="00F40EB1" w:rsidP="00A338B7">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del artículo 4 de la Convención ya fue transcrito anteriormente. </w:t>
      </w:r>
    </w:p>
  </w:footnote>
  <w:footnote w:id="129">
    <w:p w:rsidR="00F40EB1" w:rsidRPr="007F3D68" w:rsidRDefault="00F40EB1" w:rsidP="00A338B7">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del artículo 8 de la Convención ya fue transcrito anteriormente. </w:t>
      </w:r>
    </w:p>
  </w:footnote>
  <w:footnote w:id="130">
    <w:p w:rsidR="00F40EB1" w:rsidRPr="007F3D68" w:rsidRDefault="00F40EB1" w:rsidP="00A338B7">
      <w:pPr>
        <w:pStyle w:val="FootnoteText"/>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w:t>
      </w:r>
      <w:r w:rsidRPr="007F3D68">
        <w:rPr>
          <w:rFonts w:asciiTheme="majorHAnsi" w:hAnsiTheme="majorHAnsi"/>
          <w:sz w:val="16"/>
          <w:szCs w:val="16"/>
          <w:lang w:val="es-ES"/>
        </w:rPr>
        <w:t xml:space="preserve">El contenido relevante del artículo 25 de la Convención ya fue transcrito anteriormente. </w:t>
      </w:r>
    </w:p>
  </w:footnote>
  <w:footnote w:id="131">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CIDH, Caso 12.270, Informe No. 2/15, Fondo, Johan Alexis Ortiz Hernández, Venezuela, 29 de enero de 2015, párr. </w:t>
      </w:r>
      <w:r w:rsidRPr="007F3D68">
        <w:rPr>
          <w:rFonts w:asciiTheme="majorHAnsi" w:hAnsiTheme="majorHAnsi"/>
          <w:sz w:val="16"/>
          <w:szCs w:val="16"/>
        </w:rPr>
        <w:t>185</w:t>
      </w:r>
      <w:proofErr w:type="gramStart"/>
      <w:r w:rsidRPr="007F3D68">
        <w:rPr>
          <w:rFonts w:asciiTheme="majorHAnsi" w:hAnsiTheme="majorHAnsi"/>
          <w:sz w:val="16"/>
          <w:szCs w:val="16"/>
        </w:rPr>
        <w:t>.ECHR</w:t>
      </w:r>
      <w:proofErr w:type="gramEnd"/>
      <w:r w:rsidRPr="007F3D68">
        <w:rPr>
          <w:rFonts w:asciiTheme="majorHAnsi" w:hAnsiTheme="majorHAnsi"/>
          <w:sz w:val="16"/>
          <w:szCs w:val="16"/>
        </w:rPr>
        <w:t xml:space="preserve">, Case McCann and others v. </w:t>
      </w:r>
      <w:proofErr w:type="gramStart"/>
      <w:r w:rsidRPr="007F3D68">
        <w:rPr>
          <w:rFonts w:asciiTheme="majorHAnsi" w:hAnsiTheme="majorHAnsi"/>
          <w:sz w:val="16"/>
          <w:szCs w:val="16"/>
        </w:rPr>
        <w:t>The United Kingdom.</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Application No. 27229/95, 27 September 1995, § 146.</w:t>
      </w:r>
      <w:proofErr w:type="gramEnd"/>
    </w:p>
  </w:footnote>
  <w:footnote w:id="132">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w:t>
      </w:r>
      <w:r w:rsidRPr="007F3D68">
        <w:rPr>
          <w:rFonts w:asciiTheme="majorHAnsi" w:hAnsiTheme="majorHAnsi"/>
          <w:sz w:val="16"/>
          <w:szCs w:val="16"/>
          <w:lang w:val="es-ES_tradnl"/>
        </w:rPr>
        <w:t xml:space="preserve">Corte IDH. </w:t>
      </w:r>
      <w:r w:rsidRPr="007F3D68">
        <w:rPr>
          <w:rFonts w:asciiTheme="majorHAnsi" w:hAnsiTheme="majorHAnsi"/>
          <w:bCs/>
          <w:sz w:val="16"/>
          <w:szCs w:val="16"/>
          <w:lang w:val="es-ES_tradnl"/>
        </w:rPr>
        <w:t xml:space="preserve">Caso Zambrano Vélez y otros Vs. Ecuador. </w:t>
      </w:r>
      <w:r w:rsidRPr="007F3D68">
        <w:rPr>
          <w:rFonts w:asciiTheme="majorHAnsi" w:hAnsiTheme="majorHAnsi"/>
          <w:sz w:val="16"/>
          <w:szCs w:val="16"/>
          <w:lang w:val="es-ES_tradnl"/>
        </w:rPr>
        <w:t xml:space="preserve">Fondo, Reparaciones y Costas. Sentencia de 4 de julio de 2007. Serie C No. 166, párr. 80. Asimismo, véase: </w:t>
      </w:r>
      <w:r w:rsidRPr="007F3D68">
        <w:rPr>
          <w:rFonts w:asciiTheme="majorHAnsi" w:hAnsiTheme="majorHAnsi"/>
          <w:sz w:val="16"/>
          <w:szCs w:val="16"/>
          <w:lang w:val="es-ES"/>
        </w:rPr>
        <w:t xml:space="preserve">CIDH, Caso 12.270, Informe No. 2/15, Fondo, Johan Alexis Ortiz Hernández, Venezuela, 29 de enero de 2015, párr. </w:t>
      </w:r>
      <w:r w:rsidRPr="007F3D68">
        <w:rPr>
          <w:rFonts w:asciiTheme="majorHAnsi" w:hAnsiTheme="majorHAnsi"/>
          <w:sz w:val="16"/>
          <w:szCs w:val="16"/>
        </w:rPr>
        <w:t>186.</w:t>
      </w:r>
    </w:p>
  </w:footnote>
  <w:footnote w:id="133">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lang w:val="es-CO"/>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gramStart"/>
      <w:r w:rsidRPr="007F3D68">
        <w:rPr>
          <w:rFonts w:asciiTheme="majorHAnsi" w:hAnsiTheme="majorHAnsi"/>
          <w:sz w:val="16"/>
          <w:szCs w:val="16"/>
        </w:rPr>
        <w:t>ECHR, Case McCann and others v.</w:t>
      </w:r>
      <w:proofErr w:type="gramEnd"/>
      <w:r w:rsidRPr="007F3D68">
        <w:rPr>
          <w:rFonts w:asciiTheme="majorHAnsi" w:hAnsiTheme="majorHAnsi"/>
          <w:sz w:val="16"/>
          <w:szCs w:val="16"/>
        </w:rPr>
        <w:t xml:space="preserve"> </w:t>
      </w:r>
      <w:proofErr w:type="gramStart"/>
      <w:r w:rsidRPr="007F3D68">
        <w:rPr>
          <w:rFonts w:asciiTheme="majorHAnsi" w:hAnsiTheme="majorHAnsi"/>
          <w:sz w:val="16"/>
          <w:szCs w:val="16"/>
        </w:rPr>
        <w:t>The United Kingdom.</w:t>
      </w:r>
      <w:proofErr w:type="gramEnd"/>
      <w:r w:rsidRPr="007F3D68">
        <w:rPr>
          <w:rFonts w:asciiTheme="majorHAnsi" w:hAnsiTheme="majorHAnsi"/>
          <w:sz w:val="16"/>
          <w:szCs w:val="16"/>
        </w:rPr>
        <w:t xml:space="preserve"> </w:t>
      </w:r>
      <w:proofErr w:type="spellStart"/>
      <w:r w:rsidRPr="007F3D68">
        <w:rPr>
          <w:rFonts w:asciiTheme="majorHAnsi" w:hAnsiTheme="majorHAnsi"/>
          <w:sz w:val="16"/>
          <w:szCs w:val="16"/>
          <w:lang w:val="es-CO"/>
        </w:rPr>
        <w:t>Application</w:t>
      </w:r>
      <w:proofErr w:type="spellEnd"/>
      <w:r w:rsidRPr="007F3D68">
        <w:rPr>
          <w:rFonts w:asciiTheme="majorHAnsi" w:hAnsiTheme="majorHAnsi"/>
          <w:sz w:val="16"/>
          <w:szCs w:val="16"/>
          <w:lang w:val="es-CO"/>
        </w:rPr>
        <w:t xml:space="preserve"> No. 27229/95, 27 </w:t>
      </w:r>
      <w:proofErr w:type="spellStart"/>
      <w:r w:rsidRPr="007F3D68">
        <w:rPr>
          <w:rFonts w:asciiTheme="majorHAnsi" w:hAnsiTheme="majorHAnsi"/>
          <w:sz w:val="16"/>
          <w:szCs w:val="16"/>
          <w:lang w:val="es-CO"/>
        </w:rPr>
        <w:t>September</w:t>
      </w:r>
      <w:proofErr w:type="spellEnd"/>
      <w:r w:rsidRPr="007F3D68">
        <w:rPr>
          <w:rFonts w:asciiTheme="majorHAnsi" w:hAnsiTheme="majorHAnsi"/>
          <w:sz w:val="16"/>
          <w:szCs w:val="16"/>
          <w:lang w:val="es-CO"/>
        </w:rPr>
        <w:t xml:space="preserve"> 1995, § 146.</w:t>
      </w:r>
    </w:p>
  </w:footnote>
  <w:footnote w:id="134">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lang w:val="es-CO"/>
        </w:rPr>
      </w:pPr>
      <w:r w:rsidRPr="007F3D68">
        <w:rPr>
          <w:rStyle w:val="FootnoteReference"/>
          <w:rFonts w:asciiTheme="majorHAnsi" w:hAnsiTheme="majorHAnsi"/>
          <w:sz w:val="16"/>
          <w:szCs w:val="16"/>
        </w:rPr>
        <w:footnoteRef/>
      </w:r>
      <w:r w:rsidRPr="007F3D68">
        <w:rPr>
          <w:rFonts w:asciiTheme="majorHAnsi" w:hAnsiTheme="majorHAnsi"/>
          <w:sz w:val="16"/>
          <w:szCs w:val="16"/>
          <w:lang w:val="es-CO"/>
        </w:rPr>
        <w:t xml:space="preserve"> </w:t>
      </w:r>
      <w:r w:rsidRPr="007F3D68">
        <w:rPr>
          <w:rFonts w:asciiTheme="majorHAnsi" w:hAnsiTheme="majorHAnsi" w:cs="Verdana"/>
          <w:bCs/>
          <w:sz w:val="16"/>
          <w:szCs w:val="16"/>
          <w:lang w:val="es-CO"/>
        </w:rPr>
        <w:t xml:space="preserve">Corte IDH. Caso Hermanos Landaeta Mejías y otros vs. Venezuela. Excepciones Preliminares, Fondo, Reparaciones y Costas. Sentencia de 27 de agosto de 2014. Serie C No. 281, párr. 123; </w:t>
      </w:r>
      <w:r w:rsidRPr="007F3D68">
        <w:rPr>
          <w:rFonts w:asciiTheme="majorHAnsi" w:hAnsiTheme="majorHAnsi"/>
          <w:sz w:val="16"/>
          <w:szCs w:val="16"/>
          <w:lang w:val="es-VE"/>
        </w:rPr>
        <w:t>CIDH, Caso 11.442, Informe No. 90/14, Fondo, Luis Jorge Valencia Hinojosa, Ecuador, 4 de noviembre de 2014, párr. 123.</w:t>
      </w:r>
    </w:p>
  </w:footnote>
  <w:footnote w:id="135">
    <w:p w:rsidR="00F40EB1" w:rsidRPr="007F3D68" w:rsidRDefault="00F40EB1" w:rsidP="0016507B">
      <w:pPr>
        <w:pStyle w:val="FootnoteText"/>
        <w:tabs>
          <w:tab w:val="left" w:pos="720"/>
        </w:tabs>
        <w:spacing w:after="120"/>
        <w:ind w:firstLine="720"/>
        <w:jc w:val="both"/>
        <w:rPr>
          <w:rFonts w:asciiTheme="majorHAnsi" w:hAnsiTheme="majorHAnsi"/>
          <w:sz w:val="16"/>
          <w:szCs w:val="16"/>
          <w:lang w:val="es-ES_tradnl"/>
        </w:rPr>
      </w:pPr>
      <w:r w:rsidRPr="007F3D68">
        <w:rPr>
          <w:rStyle w:val="FootnoteReference"/>
          <w:rFonts w:asciiTheme="majorHAnsi" w:hAnsiTheme="majorHAnsi"/>
          <w:sz w:val="16"/>
          <w:szCs w:val="16"/>
        </w:rPr>
        <w:footnoteRef/>
      </w:r>
      <w:r w:rsidRPr="007F3D68">
        <w:rPr>
          <w:rFonts w:asciiTheme="majorHAnsi" w:hAnsiTheme="majorHAnsi"/>
          <w:sz w:val="16"/>
          <w:szCs w:val="16"/>
          <w:lang w:val="es-MX"/>
        </w:rPr>
        <w:t xml:space="preserve"> CIDH. Informe No. 11/10. </w:t>
      </w:r>
      <w:r w:rsidRPr="007F3D68">
        <w:rPr>
          <w:rFonts w:asciiTheme="majorHAnsi" w:hAnsiTheme="majorHAnsi"/>
          <w:sz w:val="16"/>
          <w:szCs w:val="16"/>
          <w:lang w:val="es-CO"/>
        </w:rPr>
        <w:t xml:space="preserve">Caso 12.488. Fondo. Miembros de la Familia Barrios. Venezuela. 16 de marzo de 2010. 91. </w:t>
      </w:r>
      <w:r w:rsidRPr="007F3D68">
        <w:rPr>
          <w:rFonts w:asciiTheme="majorHAnsi" w:hAnsiTheme="majorHAnsi"/>
          <w:sz w:val="16"/>
          <w:szCs w:val="16"/>
          <w:lang w:val="es-ES_tradnl"/>
        </w:rPr>
        <w:t xml:space="preserve">CIDH. Informe sobre Terrorismo y Derechos Humanos. Párr. 88. </w:t>
      </w:r>
    </w:p>
  </w:footnote>
  <w:footnote w:id="136">
    <w:p w:rsidR="00F40EB1" w:rsidRPr="007F3D68" w:rsidRDefault="00F40EB1" w:rsidP="0016507B">
      <w:pPr>
        <w:pStyle w:val="FootnoteText"/>
        <w:tabs>
          <w:tab w:val="left" w:pos="720"/>
          <w:tab w:val="left" w:pos="900"/>
        </w:tabs>
        <w:spacing w:after="120"/>
        <w:ind w:firstLine="720"/>
        <w:jc w:val="both"/>
        <w:rPr>
          <w:rFonts w:asciiTheme="majorHAnsi" w:hAnsiTheme="majorHAnsi" w:cs="Arial"/>
          <w:sz w:val="16"/>
          <w:szCs w:val="16"/>
          <w:lang w:val="es-CO"/>
        </w:rPr>
      </w:pPr>
      <w:r w:rsidRPr="007F3D68">
        <w:rPr>
          <w:rStyle w:val="FootnoteReference"/>
          <w:rFonts w:asciiTheme="majorHAnsi" w:hAnsiTheme="majorHAnsi"/>
          <w:sz w:val="16"/>
          <w:szCs w:val="16"/>
        </w:rPr>
        <w:footnoteRef/>
      </w:r>
      <w:r w:rsidRPr="007F3D68">
        <w:rPr>
          <w:rFonts w:asciiTheme="majorHAnsi" w:hAnsiTheme="majorHAnsi"/>
          <w:sz w:val="16"/>
          <w:szCs w:val="16"/>
          <w:lang w:val="es-CO"/>
        </w:rPr>
        <w:t xml:space="preserve"> Corte IDH. </w:t>
      </w:r>
      <w:r w:rsidRPr="007F3D68">
        <w:rPr>
          <w:rFonts w:asciiTheme="majorHAnsi" w:hAnsiTheme="majorHAnsi"/>
          <w:bCs/>
          <w:sz w:val="16"/>
          <w:szCs w:val="16"/>
          <w:lang w:val="es-CO"/>
        </w:rPr>
        <w:t xml:space="preserve">Caso Zambrano Vélez y otros Vs. Ecuador. </w:t>
      </w:r>
      <w:r w:rsidRPr="007F3D68">
        <w:rPr>
          <w:rFonts w:asciiTheme="majorHAnsi" w:hAnsiTheme="majorHAnsi"/>
          <w:sz w:val="16"/>
          <w:szCs w:val="16"/>
          <w:lang w:val="es-CO"/>
        </w:rPr>
        <w:t xml:space="preserve">Fondo, Reparaciones y Costas. Sentencia de 4 de julio de 2007. Serie C No. 166. Párr. 108; </w:t>
      </w:r>
      <w:r w:rsidRPr="007F3D68">
        <w:rPr>
          <w:rStyle w:val="Strong"/>
          <w:rFonts w:asciiTheme="majorHAnsi" w:hAnsiTheme="majorHAnsi"/>
          <w:b w:val="0"/>
          <w:sz w:val="16"/>
          <w:szCs w:val="16"/>
          <w:lang w:val="es-CO"/>
        </w:rPr>
        <w:t>Caso Cruz Sánchez y otros Vs. Perú. Excepciones Preliminares, Fondo, Reparaciones y Costas. Sentencia de 17 de abril de 2015. Serie C No. 292, párr. 291; y Caso Hermanos Landaeta Mejías y otros Vs. Venezuela. Excepciones Preliminares, Fondo, Reparaciones y Costas. Sentencia de 27 de agosto de 2014. Serie C No. 281. Párr. 132</w:t>
      </w:r>
      <w:r w:rsidRPr="007F3D68">
        <w:rPr>
          <w:rStyle w:val="Strong"/>
          <w:rFonts w:asciiTheme="majorHAnsi" w:hAnsiTheme="majorHAnsi"/>
          <w:sz w:val="16"/>
          <w:szCs w:val="16"/>
          <w:lang w:val="es-CO"/>
        </w:rPr>
        <w:t>.</w:t>
      </w:r>
    </w:p>
  </w:footnote>
  <w:footnote w:id="137">
    <w:p w:rsidR="00F40EB1" w:rsidRPr="007F3D68" w:rsidRDefault="00F40EB1" w:rsidP="0016507B">
      <w:pPr>
        <w:pStyle w:val="FootnoteText"/>
        <w:tabs>
          <w:tab w:val="left" w:pos="720"/>
        </w:tabs>
        <w:spacing w:after="120"/>
        <w:ind w:firstLine="720"/>
        <w:jc w:val="both"/>
        <w:rPr>
          <w:rFonts w:asciiTheme="majorHAnsi" w:hAnsiTheme="majorHAnsi"/>
          <w:sz w:val="16"/>
          <w:szCs w:val="16"/>
          <w:lang w:val="es-CO"/>
        </w:rPr>
      </w:pPr>
      <w:r w:rsidRPr="007F3D68">
        <w:rPr>
          <w:rStyle w:val="FootnoteReference"/>
          <w:rFonts w:asciiTheme="majorHAnsi" w:hAnsiTheme="majorHAnsi"/>
          <w:sz w:val="16"/>
          <w:szCs w:val="16"/>
        </w:rPr>
        <w:footnoteRef/>
      </w:r>
      <w:r w:rsidRPr="007F3D68">
        <w:rPr>
          <w:rFonts w:asciiTheme="majorHAnsi" w:hAnsiTheme="majorHAnsi"/>
          <w:sz w:val="16"/>
          <w:szCs w:val="16"/>
          <w:lang w:val="es-CO"/>
        </w:rPr>
        <w:t xml:space="preserve"> ONU, Comité de Derechos Humanos. </w:t>
      </w:r>
      <w:r w:rsidRPr="007F3D68">
        <w:rPr>
          <w:rFonts w:asciiTheme="majorHAnsi" w:hAnsiTheme="majorHAnsi"/>
          <w:iCs/>
          <w:sz w:val="16"/>
          <w:szCs w:val="16"/>
          <w:lang w:val="es-CO"/>
        </w:rPr>
        <w:t xml:space="preserve">Caso Irene </w:t>
      </w:r>
      <w:proofErr w:type="spellStart"/>
      <w:r w:rsidRPr="007F3D68">
        <w:rPr>
          <w:rFonts w:asciiTheme="majorHAnsi" w:hAnsiTheme="majorHAnsi"/>
          <w:iCs/>
          <w:sz w:val="16"/>
          <w:szCs w:val="16"/>
          <w:lang w:val="es-CO"/>
        </w:rPr>
        <w:t>Bleier</w:t>
      </w:r>
      <w:proofErr w:type="spellEnd"/>
      <w:r w:rsidRPr="007F3D68">
        <w:rPr>
          <w:rFonts w:asciiTheme="majorHAnsi" w:hAnsiTheme="majorHAnsi"/>
          <w:iCs/>
          <w:sz w:val="16"/>
          <w:szCs w:val="16"/>
          <w:lang w:val="es-CO"/>
        </w:rPr>
        <w:t xml:space="preserve"> </w:t>
      </w:r>
      <w:proofErr w:type="spellStart"/>
      <w:r w:rsidRPr="007F3D68">
        <w:rPr>
          <w:rFonts w:asciiTheme="majorHAnsi" w:hAnsiTheme="majorHAnsi"/>
          <w:iCs/>
          <w:sz w:val="16"/>
          <w:szCs w:val="16"/>
          <w:lang w:val="es-CO"/>
        </w:rPr>
        <w:t>Lewenhoff</w:t>
      </w:r>
      <w:proofErr w:type="spellEnd"/>
      <w:r w:rsidRPr="007F3D68">
        <w:rPr>
          <w:rFonts w:asciiTheme="majorHAnsi" w:hAnsiTheme="majorHAnsi"/>
          <w:iCs/>
          <w:sz w:val="16"/>
          <w:szCs w:val="16"/>
          <w:lang w:val="es-CO"/>
        </w:rPr>
        <w:t xml:space="preserve"> and Rosa </w:t>
      </w:r>
      <w:proofErr w:type="spellStart"/>
      <w:r w:rsidRPr="007F3D68">
        <w:rPr>
          <w:rFonts w:asciiTheme="majorHAnsi" w:hAnsiTheme="majorHAnsi"/>
          <w:iCs/>
          <w:sz w:val="16"/>
          <w:szCs w:val="16"/>
          <w:lang w:val="es-CO"/>
        </w:rPr>
        <w:t>Valiño</w:t>
      </w:r>
      <w:proofErr w:type="spellEnd"/>
      <w:r w:rsidRPr="007F3D68">
        <w:rPr>
          <w:rFonts w:asciiTheme="majorHAnsi" w:hAnsiTheme="majorHAnsi"/>
          <w:iCs/>
          <w:sz w:val="16"/>
          <w:szCs w:val="16"/>
          <w:lang w:val="es-CO"/>
        </w:rPr>
        <w:t xml:space="preserve"> de </w:t>
      </w:r>
      <w:proofErr w:type="spellStart"/>
      <w:r w:rsidRPr="007F3D68">
        <w:rPr>
          <w:rFonts w:asciiTheme="majorHAnsi" w:hAnsiTheme="majorHAnsi"/>
          <w:iCs/>
          <w:sz w:val="16"/>
          <w:szCs w:val="16"/>
          <w:lang w:val="es-CO"/>
        </w:rPr>
        <w:t>Bleier</w:t>
      </w:r>
      <w:proofErr w:type="spellEnd"/>
      <w:r w:rsidRPr="007F3D68">
        <w:rPr>
          <w:rFonts w:asciiTheme="majorHAnsi" w:hAnsiTheme="majorHAnsi"/>
          <w:iCs/>
          <w:sz w:val="16"/>
          <w:szCs w:val="16"/>
          <w:lang w:val="es-CO"/>
        </w:rPr>
        <w:t xml:space="preserve"> Vs. Uruguay. </w:t>
      </w:r>
      <w:r w:rsidRPr="007F3D68">
        <w:rPr>
          <w:rFonts w:asciiTheme="majorHAnsi" w:hAnsiTheme="majorHAnsi"/>
          <w:sz w:val="16"/>
          <w:szCs w:val="16"/>
          <w:lang w:val="es-CO"/>
        </w:rPr>
        <w:t xml:space="preserve">Comunicación No. 30/1978, UN Doc. CCPR/C/OP/1, de 29 de Marzo de 1982, párr. 13.3; </w:t>
      </w:r>
      <w:r w:rsidRPr="007F3D68">
        <w:rPr>
          <w:rFonts w:asciiTheme="majorHAnsi" w:hAnsiTheme="majorHAnsi"/>
          <w:iCs/>
          <w:sz w:val="16"/>
          <w:szCs w:val="16"/>
          <w:lang w:val="es-CO"/>
        </w:rPr>
        <w:t xml:space="preserve">Caso Albert </w:t>
      </w:r>
      <w:proofErr w:type="spellStart"/>
      <w:r w:rsidRPr="007F3D68">
        <w:rPr>
          <w:rFonts w:asciiTheme="majorHAnsi" w:hAnsiTheme="majorHAnsi"/>
          <w:iCs/>
          <w:sz w:val="16"/>
          <w:szCs w:val="16"/>
          <w:lang w:val="es-CO"/>
        </w:rPr>
        <w:t>Womah</w:t>
      </w:r>
      <w:proofErr w:type="spellEnd"/>
      <w:r w:rsidRPr="007F3D68">
        <w:rPr>
          <w:rFonts w:asciiTheme="majorHAnsi" w:hAnsiTheme="majorHAnsi"/>
          <w:iCs/>
          <w:sz w:val="16"/>
          <w:szCs w:val="16"/>
          <w:lang w:val="es-CO"/>
        </w:rPr>
        <w:t xml:space="preserve"> </w:t>
      </w:r>
      <w:proofErr w:type="spellStart"/>
      <w:r w:rsidRPr="007F3D68">
        <w:rPr>
          <w:rFonts w:asciiTheme="majorHAnsi" w:hAnsiTheme="majorHAnsi"/>
          <w:iCs/>
          <w:sz w:val="16"/>
          <w:szCs w:val="16"/>
          <w:lang w:val="es-CO"/>
        </w:rPr>
        <w:t>Mukong</w:t>
      </w:r>
      <w:proofErr w:type="spellEnd"/>
      <w:r w:rsidRPr="007F3D68">
        <w:rPr>
          <w:rFonts w:asciiTheme="majorHAnsi" w:hAnsiTheme="majorHAnsi"/>
          <w:iCs/>
          <w:sz w:val="16"/>
          <w:szCs w:val="16"/>
          <w:lang w:val="es-CO"/>
        </w:rPr>
        <w:t xml:space="preserve"> Vs. Camerún. </w:t>
      </w:r>
      <w:r w:rsidRPr="007F3D68">
        <w:rPr>
          <w:rFonts w:asciiTheme="majorHAnsi" w:hAnsiTheme="majorHAnsi"/>
          <w:sz w:val="16"/>
          <w:szCs w:val="16"/>
          <w:lang w:val="es-CO"/>
        </w:rPr>
        <w:t xml:space="preserve">Comunicación No. 458/1991, UN Doc. CCPR/C/51/D/458/1991, de 21 de julio de 1994, párr. 9.2, y </w:t>
      </w:r>
      <w:r w:rsidRPr="007F3D68">
        <w:rPr>
          <w:rFonts w:asciiTheme="majorHAnsi" w:hAnsiTheme="majorHAnsi"/>
          <w:iCs/>
          <w:sz w:val="16"/>
          <w:szCs w:val="16"/>
          <w:lang w:val="es-CO"/>
        </w:rPr>
        <w:t xml:space="preserve">Caso </w:t>
      </w:r>
      <w:proofErr w:type="spellStart"/>
      <w:r w:rsidRPr="007F3D68">
        <w:rPr>
          <w:rFonts w:asciiTheme="majorHAnsi" w:hAnsiTheme="majorHAnsi"/>
          <w:iCs/>
          <w:sz w:val="16"/>
          <w:szCs w:val="16"/>
          <w:lang w:val="es-CO"/>
        </w:rPr>
        <w:t>Turdukan</w:t>
      </w:r>
      <w:proofErr w:type="spellEnd"/>
      <w:r w:rsidRPr="007F3D68">
        <w:rPr>
          <w:rFonts w:asciiTheme="majorHAnsi" w:hAnsiTheme="majorHAnsi"/>
          <w:iCs/>
          <w:sz w:val="16"/>
          <w:szCs w:val="16"/>
          <w:lang w:val="es-CO"/>
        </w:rPr>
        <w:t xml:space="preserve"> </w:t>
      </w:r>
      <w:proofErr w:type="spellStart"/>
      <w:r w:rsidRPr="007F3D68">
        <w:rPr>
          <w:rFonts w:asciiTheme="majorHAnsi" w:hAnsiTheme="majorHAnsi"/>
          <w:iCs/>
          <w:sz w:val="16"/>
          <w:szCs w:val="16"/>
          <w:lang w:val="es-CO"/>
        </w:rPr>
        <w:t>Zhumbaeva</w:t>
      </w:r>
      <w:proofErr w:type="spellEnd"/>
      <w:r w:rsidRPr="007F3D68">
        <w:rPr>
          <w:rFonts w:asciiTheme="majorHAnsi" w:hAnsiTheme="majorHAnsi"/>
          <w:iCs/>
          <w:sz w:val="16"/>
          <w:szCs w:val="16"/>
          <w:lang w:val="es-CO"/>
        </w:rPr>
        <w:t xml:space="preserve"> Vs. </w:t>
      </w:r>
      <w:proofErr w:type="spellStart"/>
      <w:r w:rsidRPr="007F3D68">
        <w:rPr>
          <w:rFonts w:asciiTheme="majorHAnsi" w:hAnsiTheme="majorHAnsi"/>
          <w:iCs/>
          <w:sz w:val="16"/>
          <w:szCs w:val="16"/>
          <w:lang w:val="es-CO"/>
        </w:rPr>
        <w:t>Kyrgyzstan</w:t>
      </w:r>
      <w:proofErr w:type="spellEnd"/>
      <w:r w:rsidRPr="007F3D68">
        <w:rPr>
          <w:rFonts w:asciiTheme="majorHAnsi" w:hAnsiTheme="majorHAnsi"/>
          <w:sz w:val="16"/>
          <w:szCs w:val="16"/>
          <w:lang w:val="es-CO"/>
        </w:rPr>
        <w:t xml:space="preserve">. Comunicación Nº 1756/2008, UN Doc. CCPR/C/102/D/1756/2008, de 29 de julio de 2011, párr. 8.7.  </w:t>
      </w:r>
    </w:p>
  </w:footnote>
  <w:footnote w:id="138">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7F3D68">
        <w:rPr>
          <w:rFonts w:asciiTheme="majorHAnsi" w:hAnsiTheme="majorHAnsi"/>
          <w:sz w:val="16"/>
          <w:szCs w:val="16"/>
          <w:lang w:val="es-ES"/>
        </w:rPr>
        <w:t xml:space="preserve"> </w:t>
      </w:r>
      <w:r w:rsidRPr="007F3D68">
        <w:rPr>
          <w:rFonts w:asciiTheme="majorHAnsi" w:eastAsia="Arial Unicode MS" w:hAnsiTheme="majorHAnsi" w:cs="Times New Roman"/>
          <w:bCs/>
          <w:sz w:val="16"/>
          <w:szCs w:val="16"/>
          <w:shd w:val="clear" w:color="auto" w:fill="FFFFFF"/>
          <w:lang w:val="es-ES" w:eastAsia="en-US"/>
        </w:rPr>
        <w:t>Corte IDH. Caso Hermanos Landaeta Mejías y otros Vs. Venezuela. Excepciones Preliminares, Fondo, Reparaciones y Costas. Sentencia de 27 de agosto de 2014. Serie C No. 281, párr. 134.</w:t>
      </w:r>
    </w:p>
  </w:footnote>
  <w:footnote w:id="139">
    <w:p w:rsidR="00F40EB1" w:rsidRPr="007F3D68" w:rsidRDefault="00F40EB1" w:rsidP="0016507B">
      <w:pPr>
        <w:tabs>
          <w:tab w:val="left" w:pos="720"/>
          <w:tab w:val="left" w:pos="900"/>
          <w:tab w:val="left" w:pos="1080"/>
        </w:tabs>
        <w:spacing w:after="120"/>
        <w:ind w:firstLine="720"/>
        <w:jc w:val="both"/>
        <w:rPr>
          <w:rFonts w:asciiTheme="majorHAnsi" w:hAnsiTheme="majorHAnsi"/>
          <w:sz w:val="16"/>
          <w:szCs w:val="16"/>
          <w:lang w:val="es-PE"/>
        </w:rPr>
      </w:pPr>
      <w:r w:rsidRPr="007F3D68">
        <w:rPr>
          <w:rStyle w:val="FootnoteReference"/>
          <w:rFonts w:asciiTheme="majorHAnsi" w:hAnsiTheme="majorHAnsi"/>
          <w:sz w:val="16"/>
          <w:szCs w:val="16"/>
        </w:rPr>
        <w:footnoteRef/>
      </w:r>
      <w:r w:rsidRPr="007F3D68">
        <w:rPr>
          <w:rFonts w:asciiTheme="majorHAnsi" w:hAnsiTheme="majorHAnsi"/>
          <w:sz w:val="16"/>
          <w:szCs w:val="16"/>
          <w:lang w:val="es-MX"/>
        </w:rPr>
        <w:t xml:space="preserve"> Corte IDH. Caso </w:t>
      </w:r>
      <w:proofErr w:type="spellStart"/>
      <w:r w:rsidRPr="007F3D68">
        <w:rPr>
          <w:rFonts w:asciiTheme="majorHAnsi" w:hAnsiTheme="majorHAnsi"/>
          <w:sz w:val="16"/>
          <w:szCs w:val="16"/>
          <w:lang w:val="es-MX"/>
        </w:rPr>
        <w:t>Nadege</w:t>
      </w:r>
      <w:proofErr w:type="spellEnd"/>
      <w:r w:rsidRPr="007F3D68">
        <w:rPr>
          <w:rFonts w:asciiTheme="majorHAnsi" w:hAnsiTheme="majorHAnsi"/>
          <w:sz w:val="16"/>
          <w:szCs w:val="16"/>
          <w:lang w:val="es-MX"/>
        </w:rPr>
        <w:t xml:space="preserve"> </w:t>
      </w:r>
      <w:proofErr w:type="spellStart"/>
      <w:r w:rsidRPr="007F3D68">
        <w:rPr>
          <w:rFonts w:asciiTheme="majorHAnsi" w:hAnsiTheme="majorHAnsi"/>
          <w:sz w:val="16"/>
          <w:szCs w:val="16"/>
          <w:lang w:val="es-MX"/>
        </w:rPr>
        <w:t>Dorzema</w:t>
      </w:r>
      <w:proofErr w:type="spellEnd"/>
      <w:r w:rsidRPr="007F3D68">
        <w:rPr>
          <w:rFonts w:asciiTheme="majorHAnsi" w:hAnsiTheme="majorHAnsi"/>
          <w:sz w:val="16"/>
          <w:szCs w:val="16"/>
          <w:lang w:val="es-MX"/>
        </w:rPr>
        <w:t xml:space="preserve"> y otros Vs. República Dominicana. Fondo Reparaciones y Costas. Sentencia de 24 de octubre de 2012 Serie C No. 251, párr. 85.</w:t>
      </w:r>
    </w:p>
  </w:footnote>
  <w:footnote w:id="140">
    <w:p w:rsidR="00F40EB1" w:rsidRPr="007F3D68" w:rsidRDefault="00F40EB1" w:rsidP="0016507B">
      <w:pPr>
        <w:tabs>
          <w:tab w:val="left" w:pos="720"/>
          <w:tab w:val="left" w:pos="900"/>
          <w:tab w:val="left" w:pos="1080"/>
        </w:tabs>
        <w:spacing w:after="120"/>
        <w:ind w:firstLine="720"/>
        <w:jc w:val="both"/>
        <w:rPr>
          <w:rFonts w:asciiTheme="majorHAnsi" w:hAnsiTheme="majorHAnsi"/>
          <w:sz w:val="16"/>
          <w:szCs w:val="16"/>
          <w:lang w:val="es-PE"/>
        </w:rPr>
      </w:pPr>
      <w:r w:rsidRPr="007F3D68">
        <w:rPr>
          <w:rStyle w:val="FootnoteReference"/>
          <w:rFonts w:asciiTheme="majorHAnsi" w:hAnsiTheme="majorHAnsi"/>
          <w:sz w:val="16"/>
          <w:szCs w:val="16"/>
        </w:rPr>
        <w:footnoteRef/>
      </w:r>
      <w:r w:rsidRPr="007F3D68">
        <w:rPr>
          <w:rFonts w:asciiTheme="majorHAnsi" w:hAnsiTheme="majorHAnsi" w:cs="Arial"/>
          <w:sz w:val="16"/>
          <w:szCs w:val="16"/>
          <w:lang w:val="es-CO"/>
        </w:rPr>
        <w:t xml:space="preserve"> </w:t>
      </w:r>
      <w:r w:rsidRPr="007F3D68">
        <w:rPr>
          <w:rFonts w:asciiTheme="majorHAnsi" w:hAnsiTheme="majorHAnsi"/>
          <w:sz w:val="16"/>
          <w:szCs w:val="16"/>
          <w:lang w:val="es-ES"/>
        </w:rPr>
        <w:t xml:space="preserve">CIDH, Informe No. 85/13, Caso 12.251, Admisibilidad y Fondo, Vereda la Esperanza, Colombia, 4 de noviembre de 2013, párr. </w:t>
      </w:r>
      <w:r w:rsidRPr="007F3D68">
        <w:rPr>
          <w:rFonts w:asciiTheme="majorHAnsi" w:hAnsiTheme="majorHAnsi"/>
          <w:sz w:val="16"/>
          <w:szCs w:val="16"/>
          <w:lang w:val="es-MX"/>
        </w:rPr>
        <w:t xml:space="preserve">242; y </w:t>
      </w:r>
      <w:r w:rsidRPr="007F3D68">
        <w:rPr>
          <w:rFonts w:asciiTheme="majorHAnsi" w:hAnsiTheme="majorHAnsi" w:cs="Arial"/>
          <w:sz w:val="16"/>
          <w:szCs w:val="16"/>
          <w:lang w:val="es-CO"/>
        </w:rPr>
        <w:t xml:space="preserve">Corte IDH. Caso </w:t>
      </w:r>
      <w:proofErr w:type="spellStart"/>
      <w:r w:rsidRPr="007F3D68">
        <w:rPr>
          <w:rFonts w:asciiTheme="majorHAnsi" w:hAnsiTheme="majorHAnsi" w:cs="Arial"/>
          <w:sz w:val="16"/>
          <w:szCs w:val="16"/>
          <w:lang w:val="es-CO"/>
        </w:rPr>
        <w:t>Kawas</w:t>
      </w:r>
      <w:proofErr w:type="spellEnd"/>
      <w:r w:rsidRPr="007F3D68">
        <w:rPr>
          <w:rFonts w:asciiTheme="majorHAnsi" w:hAnsiTheme="majorHAnsi" w:cs="Arial"/>
          <w:sz w:val="16"/>
          <w:szCs w:val="16"/>
          <w:lang w:val="es-CO"/>
        </w:rPr>
        <w:t xml:space="preserve"> Fernández Vs. </w:t>
      </w:r>
      <w:r w:rsidRPr="007F3D68">
        <w:rPr>
          <w:rFonts w:asciiTheme="majorHAnsi" w:hAnsiTheme="majorHAnsi" w:cs="Arial"/>
          <w:sz w:val="16"/>
          <w:szCs w:val="16"/>
          <w:lang w:val="es-MX"/>
        </w:rPr>
        <w:t>Honduras. Fondo, Reparaciones y Costas. Sentencia de 3 de abril de 2009 Serie C No. 196, párr. 75</w:t>
      </w:r>
      <w:r w:rsidRPr="007F3D68">
        <w:rPr>
          <w:rFonts w:asciiTheme="majorHAnsi" w:hAnsiTheme="majorHAnsi"/>
          <w:sz w:val="16"/>
          <w:szCs w:val="16"/>
          <w:lang w:val="es-MX"/>
        </w:rPr>
        <w:t xml:space="preserve">. </w:t>
      </w:r>
    </w:p>
  </w:footnote>
  <w:footnote w:id="141">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ECHR, </w:t>
      </w:r>
      <w:r w:rsidRPr="007F3D68">
        <w:rPr>
          <w:rStyle w:val="ju-005fpara--char"/>
          <w:rFonts w:asciiTheme="majorHAnsi" w:hAnsiTheme="majorHAnsi"/>
          <w:iCs/>
          <w:sz w:val="16"/>
          <w:szCs w:val="16"/>
        </w:rPr>
        <w:t>McCann and Others v. the United Kingdom</w:t>
      </w:r>
      <w:r w:rsidRPr="007F3D68">
        <w:rPr>
          <w:rFonts w:asciiTheme="majorHAnsi" w:hAnsiTheme="majorHAnsi"/>
          <w:sz w:val="16"/>
          <w:szCs w:val="16"/>
        </w:rPr>
        <w:t xml:space="preserve">, Application no. </w:t>
      </w:r>
      <w:proofErr w:type="gramStart"/>
      <w:r w:rsidRPr="007F3D68">
        <w:rPr>
          <w:rFonts w:asciiTheme="majorHAnsi" w:hAnsiTheme="majorHAnsi"/>
          <w:sz w:val="16"/>
          <w:szCs w:val="16"/>
        </w:rPr>
        <w:t>No. 27229/95, September 1995, § 36.</w:t>
      </w:r>
      <w:proofErr w:type="gramEnd"/>
    </w:p>
  </w:footnote>
  <w:footnote w:id="142">
    <w:p w:rsidR="00F40EB1" w:rsidRPr="007F3D68" w:rsidRDefault="00F40EB1" w:rsidP="0016507B">
      <w:pPr>
        <w:pStyle w:val="FootnoteText"/>
        <w:tabs>
          <w:tab w:val="left" w:pos="720"/>
          <w:tab w:val="left" w:pos="900"/>
          <w:tab w:val="left" w:pos="1080"/>
        </w:tabs>
        <w:spacing w:after="120"/>
        <w:ind w:firstLine="720"/>
        <w:jc w:val="both"/>
        <w:rPr>
          <w:rFonts w:asciiTheme="majorHAnsi" w:hAnsiTheme="majorHAnsi"/>
          <w:sz w:val="16"/>
          <w:szCs w:val="16"/>
        </w:rPr>
      </w:pPr>
      <w:r w:rsidRPr="007F3D68">
        <w:rPr>
          <w:rStyle w:val="FootnoteReference"/>
          <w:rFonts w:asciiTheme="majorHAnsi" w:hAnsiTheme="majorHAnsi"/>
          <w:sz w:val="16"/>
          <w:szCs w:val="16"/>
        </w:rPr>
        <w:footnoteRef/>
      </w:r>
      <w:r w:rsidRPr="007F3D68">
        <w:rPr>
          <w:rFonts w:asciiTheme="majorHAnsi" w:hAnsiTheme="majorHAnsi"/>
          <w:sz w:val="16"/>
          <w:szCs w:val="16"/>
        </w:rPr>
        <w:t xml:space="preserve"> </w:t>
      </w:r>
      <w:proofErr w:type="gramStart"/>
      <w:r w:rsidRPr="007F3D68">
        <w:rPr>
          <w:rFonts w:asciiTheme="majorHAnsi" w:hAnsiTheme="majorHAnsi"/>
          <w:sz w:val="16"/>
          <w:szCs w:val="16"/>
        </w:rPr>
        <w:t xml:space="preserve">ECHR, </w:t>
      </w:r>
      <w:proofErr w:type="spellStart"/>
      <w:r w:rsidRPr="007F3D68">
        <w:rPr>
          <w:rFonts w:asciiTheme="majorHAnsi" w:hAnsiTheme="majorHAnsi"/>
          <w:sz w:val="16"/>
          <w:szCs w:val="16"/>
        </w:rPr>
        <w:t>Milkhalkova</w:t>
      </w:r>
      <w:proofErr w:type="spellEnd"/>
      <w:r w:rsidRPr="007F3D68">
        <w:rPr>
          <w:rFonts w:asciiTheme="majorHAnsi" w:hAnsiTheme="majorHAnsi"/>
          <w:sz w:val="16"/>
          <w:szCs w:val="16"/>
        </w:rPr>
        <w:t xml:space="preserve"> and others v. Ukraine, Application no. 10919/05, 13 January 2011, § 42.</w:t>
      </w:r>
      <w:proofErr w:type="gramEnd"/>
    </w:p>
  </w:footnote>
  <w:footnote w:id="143">
    <w:p w:rsidR="00F40EB1" w:rsidRPr="007F3D68" w:rsidRDefault="00F40EB1" w:rsidP="0016507B">
      <w:pPr>
        <w:pStyle w:val="FootnoteText"/>
        <w:spacing w:after="120"/>
        <w:ind w:firstLine="709"/>
        <w:jc w:val="both"/>
        <w:rPr>
          <w:rFonts w:asciiTheme="majorHAnsi" w:hAnsiTheme="majorHAnsi"/>
          <w:sz w:val="16"/>
          <w:szCs w:val="16"/>
          <w:lang w:val="es-PE"/>
        </w:rPr>
      </w:pPr>
      <w:r w:rsidRPr="007F3D68">
        <w:rPr>
          <w:rStyle w:val="FootnoteReference"/>
          <w:rFonts w:asciiTheme="majorHAnsi" w:hAnsiTheme="majorHAnsi"/>
          <w:sz w:val="16"/>
          <w:szCs w:val="16"/>
        </w:rPr>
        <w:footnoteRef/>
      </w:r>
      <w:r w:rsidRPr="007F3D68">
        <w:rPr>
          <w:rFonts w:asciiTheme="majorHAnsi" w:hAnsiTheme="majorHAnsi"/>
          <w:sz w:val="16"/>
          <w:szCs w:val="16"/>
          <w:lang w:val="es-MX"/>
        </w:rPr>
        <w:t xml:space="preserve"> Corte IDH. Caso Cantoral </w:t>
      </w:r>
      <w:proofErr w:type="spellStart"/>
      <w:r w:rsidRPr="007F3D68">
        <w:rPr>
          <w:rFonts w:asciiTheme="majorHAnsi" w:hAnsiTheme="majorHAnsi"/>
          <w:sz w:val="16"/>
          <w:szCs w:val="16"/>
          <w:lang w:val="es-MX"/>
        </w:rPr>
        <w:t>Huamaní</w:t>
      </w:r>
      <w:proofErr w:type="spellEnd"/>
      <w:r w:rsidRPr="007F3D68">
        <w:rPr>
          <w:rFonts w:asciiTheme="majorHAnsi" w:hAnsiTheme="majorHAnsi"/>
          <w:sz w:val="16"/>
          <w:szCs w:val="16"/>
          <w:lang w:val="es-MX"/>
        </w:rPr>
        <w:t xml:space="preserve"> y García Santa Cruz Vs. Perú. Excepción Preliminar, Fondo, Reparaciones y Costas. Sentencia de 10 de julio de 2007. Serie C No. 167, párr. 131.</w:t>
      </w:r>
    </w:p>
  </w:footnote>
  <w:footnote w:id="144">
    <w:p w:rsidR="00F40EB1" w:rsidRPr="007F3D68" w:rsidRDefault="00F40EB1" w:rsidP="0016507B">
      <w:pPr>
        <w:spacing w:after="120"/>
        <w:ind w:firstLine="709"/>
        <w:jc w:val="both"/>
        <w:rPr>
          <w:rFonts w:asciiTheme="majorHAnsi" w:hAnsiTheme="majorHAnsi"/>
          <w:sz w:val="16"/>
          <w:szCs w:val="16"/>
          <w:lang w:val="pt-BR"/>
        </w:rPr>
      </w:pPr>
      <w:r w:rsidRPr="007F3D68">
        <w:rPr>
          <w:rStyle w:val="FootnoteReference"/>
          <w:rFonts w:asciiTheme="majorHAnsi" w:hAnsiTheme="majorHAnsi"/>
          <w:sz w:val="16"/>
          <w:szCs w:val="16"/>
          <w:lang w:val="es-ES"/>
        </w:rPr>
        <w:footnoteRef/>
      </w:r>
      <w:r w:rsidRPr="007F3D68">
        <w:rPr>
          <w:rFonts w:asciiTheme="majorHAnsi" w:hAnsiTheme="majorHAnsi"/>
          <w:sz w:val="16"/>
          <w:szCs w:val="16"/>
          <w:lang w:val="es-ES"/>
        </w:rPr>
        <w:t xml:space="preserve"> CIDH, Informe de Fondo, N˚ 55/97, Juan Carlos Abella y Otros (Argentina), 18 de noviembre de 1997, párr. </w:t>
      </w:r>
      <w:r w:rsidRPr="007F3D68">
        <w:rPr>
          <w:rFonts w:asciiTheme="majorHAnsi" w:hAnsiTheme="majorHAnsi"/>
          <w:sz w:val="16"/>
          <w:szCs w:val="16"/>
          <w:lang w:val="pt-BR"/>
        </w:rPr>
        <w:t>412.</w:t>
      </w:r>
    </w:p>
  </w:footnote>
  <w:footnote w:id="145">
    <w:p w:rsidR="00F40EB1" w:rsidRPr="007F3D68" w:rsidRDefault="00F40EB1" w:rsidP="0016507B">
      <w:pPr>
        <w:pStyle w:val="FootnoteText"/>
        <w:spacing w:after="120"/>
        <w:ind w:firstLine="709"/>
        <w:jc w:val="both"/>
        <w:rPr>
          <w:rFonts w:asciiTheme="majorHAnsi" w:hAnsiTheme="majorHAnsi"/>
          <w:sz w:val="16"/>
          <w:szCs w:val="16"/>
          <w:lang w:val="es-PE"/>
        </w:rPr>
      </w:pPr>
      <w:r w:rsidRPr="007F3D68">
        <w:rPr>
          <w:rStyle w:val="FootnoteReference"/>
          <w:rFonts w:asciiTheme="majorHAnsi" w:hAnsiTheme="majorHAnsi"/>
          <w:sz w:val="16"/>
          <w:szCs w:val="16"/>
        </w:rPr>
        <w:footnoteRef/>
      </w:r>
      <w:r w:rsidRPr="007F3D68">
        <w:rPr>
          <w:rFonts w:asciiTheme="majorHAnsi" w:hAnsiTheme="majorHAnsi"/>
          <w:sz w:val="16"/>
          <w:szCs w:val="16"/>
          <w:lang w:val="pt-BR"/>
        </w:rPr>
        <w:t xml:space="preserve">CIDH, Informe No. 25/09 Fondo (Sebastião Camargo Filho) Brasil, 19 de marzo de 2009, párr. </w:t>
      </w:r>
      <w:r w:rsidRPr="007F3D68">
        <w:rPr>
          <w:rFonts w:asciiTheme="majorHAnsi" w:hAnsiTheme="majorHAnsi"/>
          <w:sz w:val="16"/>
          <w:szCs w:val="16"/>
          <w:lang w:val="es-ES_tradnl"/>
        </w:rPr>
        <w:t xml:space="preserve">109. Ver también, </w:t>
      </w:r>
      <w:r w:rsidRPr="007F3D68">
        <w:rPr>
          <w:rFonts w:asciiTheme="majorHAnsi" w:hAnsiTheme="majorHAnsi"/>
          <w:sz w:val="16"/>
          <w:szCs w:val="16"/>
          <w:lang w:val="es-VE"/>
        </w:rPr>
        <w:t xml:space="preserve">CIDH, Acceso a la Justicia para las Mujeres Víctimas de Violencia en las Américas, </w:t>
      </w:r>
      <w:r w:rsidRPr="007F3D68">
        <w:rPr>
          <w:rFonts w:asciiTheme="majorHAnsi" w:hAnsiTheme="majorHAnsi"/>
          <w:sz w:val="16"/>
          <w:szCs w:val="16"/>
          <w:lang w:val="es-ES_tradnl"/>
        </w:rPr>
        <w:t>OEA/Ser. L/V/II. doc.68, 20 de enero de 2007, párr. 41.</w:t>
      </w:r>
    </w:p>
  </w:footnote>
  <w:footnote w:id="146">
    <w:p w:rsidR="00F40EB1" w:rsidRPr="007F3D68" w:rsidRDefault="00F40EB1" w:rsidP="0016507B">
      <w:pPr>
        <w:pStyle w:val="FootnoteText"/>
        <w:spacing w:after="120"/>
        <w:ind w:firstLine="709"/>
        <w:jc w:val="both"/>
        <w:rPr>
          <w:rFonts w:asciiTheme="majorHAnsi" w:hAnsiTheme="majorHAnsi"/>
          <w:sz w:val="16"/>
          <w:szCs w:val="16"/>
          <w:lang w:val="es-PE"/>
        </w:rPr>
      </w:pPr>
      <w:r w:rsidRPr="007F3D68">
        <w:rPr>
          <w:rStyle w:val="FootnoteReference"/>
          <w:rFonts w:asciiTheme="majorHAnsi" w:hAnsiTheme="majorHAnsi"/>
          <w:sz w:val="16"/>
          <w:szCs w:val="16"/>
        </w:rPr>
        <w:footnoteRef/>
      </w:r>
      <w:r w:rsidRPr="007F3D68">
        <w:rPr>
          <w:rFonts w:asciiTheme="majorHAnsi" w:hAnsiTheme="majorHAnsi"/>
          <w:sz w:val="16"/>
          <w:szCs w:val="16"/>
          <w:lang w:val="es-MX"/>
        </w:rPr>
        <w:t xml:space="preserve"> </w:t>
      </w:r>
      <w:r w:rsidRPr="007F3D68">
        <w:rPr>
          <w:rFonts w:asciiTheme="majorHAnsi" w:hAnsiTheme="majorHAnsi"/>
          <w:sz w:val="16"/>
          <w:szCs w:val="16"/>
          <w:lang w:val="es-PE"/>
        </w:rPr>
        <w:t xml:space="preserve">Corte IDH. </w:t>
      </w:r>
      <w:r w:rsidRPr="007F3D68">
        <w:rPr>
          <w:rFonts w:asciiTheme="majorHAnsi" w:hAnsiTheme="majorHAnsi"/>
          <w:iCs/>
          <w:sz w:val="16"/>
          <w:szCs w:val="16"/>
          <w:lang w:val="es-ES_tradnl"/>
        </w:rPr>
        <w:t>Caso de los “Niños de la Calle” (Villagrán Morales y otros).</w:t>
      </w:r>
      <w:r w:rsidRPr="007F3D68">
        <w:rPr>
          <w:rFonts w:asciiTheme="majorHAnsi" w:hAnsiTheme="majorHAnsi"/>
          <w:sz w:val="16"/>
          <w:szCs w:val="16"/>
          <w:lang w:val="es-ES_tradnl"/>
        </w:rPr>
        <w:t xml:space="preserve"> Sentencia de 19 de noviembre de 1999. Serie C No. 63,</w:t>
      </w:r>
      <w:r w:rsidRPr="007F3D68">
        <w:rPr>
          <w:rFonts w:asciiTheme="majorHAnsi" w:hAnsiTheme="majorHAnsi"/>
          <w:sz w:val="16"/>
          <w:szCs w:val="16"/>
          <w:lang w:val="es-CR"/>
        </w:rPr>
        <w:t xml:space="preserve"> párr. 230. </w:t>
      </w:r>
      <w:r w:rsidRPr="007F3D68">
        <w:rPr>
          <w:rFonts w:asciiTheme="majorHAnsi" w:hAnsiTheme="majorHAnsi"/>
          <w:sz w:val="16"/>
          <w:szCs w:val="16"/>
          <w:lang w:val="es-ES_tradnl"/>
        </w:rPr>
        <w:t xml:space="preserve">Ver también, </w:t>
      </w:r>
      <w:r w:rsidRPr="007F3D68">
        <w:rPr>
          <w:rFonts w:asciiTheme="majorHAnsi" w:hAnsiTheme="majorHAnsi"/>
          <w:sz w:val="16"/>
          <w:szCs w:val="16"/>
          <w:lang w:val="es-VE"/>
        </w:rPr>
        <w:t xml:space="preserve">CIDH, Acceso a la Justicia para las Mujeres Víctimas de Violencia en las Américas, </w:t>
      </w:r>
      <w:r w:rsidRPr="007F3D68">
        <w:rPr>
          <w:rFonts w:asciiTheme="majorHAnsi" w:hAnsiTheme="majorHAnsi"/>
          <w:sz w:val="16"/>
          <w:szCs w:val="16"/>
          <w:lang w:val="es-ES_tradnl"/>
        </w:rPr>
        <w:t>OEA/Ser. L/V/II. doc.68, 20 de enero de 2007, párr. 41.</w:t>
      </w:r>
    </w:p>
  </w:footnote>
  <w:footnote w:id="147">
    <w:p w:rsidR="00F40EB1" w:rsidRPr="007F3D68" w:rsidRDefault="00F40EB1" w:rsidP="0016507B">
      <w:pPr>
        <w:pStyle w:val="FootnoteText"/>
        <w:spacing w:after="120"/>
        <w:ind w:firstLine="720"/>
        <w:jc w:val="both"/>
        <w:rPr>
          <w:rFonts w:asciiTheme="majorHAnsi" w:hAnsiTheme="majorHAnsi"/>
          <w:sz w:val="16"/>
          <w:szCs w:val="16"/>
          <w:lang w:val="es-VE"/>
        </w:rPr>
      </w:pPr>
      <w:r w:rsidRPr="007F3D68">
        <w:rPr>
          <w:rStyle w:val="FootnoteReference"/>
          <w:rFonts w:asciiTheme="majorHAnsi" w:hAnsiTheme="majorHAnsi"/>
          <w:sz w:val="16"/>
          <w:szCs w:val="16"/>
        </w:rPr>
        <w:footnoteRef/>
      </w:r>
      <w:r w:rsidRPr="007F3D68">
        <w:rPr>
          <w:rFonts w:asciiTheme="majorHAnsi" w:hAnsiTheme="majorHAnsi"/>
          <w:sz w:val="16"/>
          <w:szCs w:val="16"/>
          <w:lang w:val="es-VE"/>
        </w:rPr>
        <w:t xml:space="preserve"> Corte IDH. Caso Juan Humberto Sánchez vs. Honduras. Excepciones Preliminares, Fondo, Reparaciones y Costas. Sentencia de 7 de junio de 2003. Serie C No. 99, párr.128. </w:t>
      </w:r>
    </w:p>
  </w:footnote>
  <w:footnote w:id="148">
    <w:p w:rsidR="00F40EB1" w:rsidRPr="00BB0660" w:rsidRDefault="00F40EB1" w:rsidP="00722585">
      <w:pPr>
        <w:pStyle w:val="FootnoteText"/>
        <w:ind w:firstLine="720"/>
        <w:rPr>
          <w:rFonts w:ascii="Cambria" w:hAnsi="Cambria"/>
          <w:sz w:val="16"/>
          <w:szCs w:val="16"/>
          <w:lang w:val="es-VE"/>
        </w:rPr>
      </w:pPr>
      <w:r w:rsidRPr="007F3D68">
        <w:rPr>
          <w:rStyle w:val="FootnoteReference"/>
          <w:rFonts w:ascii="Cambria" w:hAnsi="Cambria"/>
          <w:sz w:val="16"/>
          <w:szCs w:val="16"/>
        </w:rPr>
        <w:footnoteRef/>
      </w:r>
      <w:r w:rsidRPr="007F3D68">
        <w:rPr>
          <w:rFonts w:ascii="Cambria" w:hAnsi="Cambria"/>
          <w:sz w:val="16"/>
          <w:szCs w:val="16"/>
          <w:lang w:val="es-VE"/>
        </w:rPr>
        <w:t xml:space="preserve"> CICIG, Comunicado de prensa 041 </w:t>
      </w:r>
      <w:hyperlink r:id="rId16" w:history="1">
        <w:r w:rsidRPr="007F3D68">
          <w:rPr>
            <w:rStyle w:val="Hyperlink"/>
            <w:rFonts w:ascii="Cambria" w:hAnsi="Cambria"/>
            <w:sz w:val="16"/>
            <w:szCs w:val="16"/>
            <w:lang w:val="es-VE"/>
          </w:rPr>
          <w:t>Tribunal condena a responsables de ejecuciones extrajudiciales</w:t>
        </w:r>
      </w:hyperlink>
      <w:r w:rsidRPr="007F3D68">
        <w:rPr>
          <w:rFonts w:ascii="Cambria" w:hAnsi="Cambria"/>
          <w:sz w:val="16"/>
          <w:szCs w:val="16"/>
          <w:lang w:val="es-VE"/>
        </w:rPr>
        <w:t>, 8 de agosto de 2013.</w:t>
      </w:r>
      <w:r w:rsidRPr="00BB0660">
        <w:rPr>
          <w:rFonts w:ascii="Cambria" w:hAnsi="Cambria"/>
          <w:sz w:val="16"/>
          <w:szCs w:val="16"/>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1" w:rsidRDefault="00F40EB1"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40EB1" w:rsidRDefault="00F40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B1" w:rsidRDefault="00F40EB1" w:rsidP="00A50FCF">
    <w:pPr>
      <w:pStyle w:val="Header"/>
      <w:tabs>
        <w:tab w:val="clear" w:pos="4320"/>
        <w:tab w:val="clear" w:pos="8640"/>
      </w:tabs>
      <w:jc w:val="center"/>
      <w:rPr>
        <w:sz w:val="22"/>
        <w:szCs w:val="22"/>
      </w:rPr>
    </w:pPr>
    <w:r>
      <w:rPr>
        <w:noProof/>
        <w:sz w:val="22"/>
        <w:szCs w:val="22"/>
      </w:rPr>
      <w:drawing>
        <wp:inline distT="0" distB="0" distL="0" distR="0" wp14:anchorId="72F4E517" wp14:editId="38059A1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40EB1" w:rsidRPr="00EC7D62" w:rsidRDefault="006D7B67" w:rsidP="00A50FCF">
    <w:pPr>
      <w:pStyle w:val="Header"/>
      <w:tabs>
        <w:tab w:val="clear" w:pos="4320"/>
        <w:tab w:val="clear" w:pos="8640"/>
      </w:tabs>
      <w:jc w:val="center"/>
      <w:rPr>
        <w:sz w:val="22"/>
        <w:szCs w:val="22"/>
      </w:rPr>
    </w:pPr>
    <w:r>
      <w:rPr>
        <w:sz w:val="22"/>
        <w:szCs w:val="22"/>
      </w:rPr>
      <w:pict w14:anchorId="49F646FE">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34A6FF7"/>
    <w:multiLevelType w:val="hybridMultilevel"/>
    <w:tmpl w:val="26CE353C"/>
    <w:lvl w:ilvl="0" w:tplc="F8208B1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4B46074"/>
    <w:multiLevelType w:val="multilevel"/>
    <w:tmpl w:val="22C2CE3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1B4A0F8F"/>
    <w:multiLevelType w:val="hybridMultilevel"/>
    <w:tmpl w:val="D0F84A3A"/>
    <w:lvl w:ilvl="0" w:tplc="E160C51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6EC6EC4"/>
    <w:multiLevelType w:val="hybridMultilevel"/>
    <w:tmpl w:val="C89826B4"/>
    <w:lvl w:ilvl="0" w:tplc="37401D20">
      <w:start w:val="1"/>
      <w:numFmt w:val="decimal"/>
      <w:lvlText w:val="%1."/>
      <w:lvlJc w:val="left"/>
      <w:pPr>
        <w:ind w:left="1080" w:hanging="360"/>
      </w:pPr>
      <w:rPr>
        <w:rFonts w:hint="default"/>
        <w:lang w:val="es-ES_tradn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EC4556"/>
    <w:multiLevelType w:val="hybridMultilevel"/>
    <w:tmpl w:val="2E00237C"/>
    <w:lvl w:ilvl="0" w:tplc="90A47F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8C235C"/>
    <w:multiLevelType w:val="multilevel"/>
    <w:tmpl w:val="CC52E276"/>
    <w:lvl w:ilvl="0">
      <w:start w:val="1"/>
      <w:numFmt w:val="decimal"/>
      <w:lvlText w:val="%1."/>
      <w:lvlJc w:val="left"/>
      <w:pPr>
        <w:ind w:left="1080" w:hanging="360"/>
      </w:pPr>
      <w:rPr>
        <w:rFonts w:ascii="Cambria" w:hAnsi="Cambria" w:hint="default"/>
        <w:sz w:val="16"/>
        <w:szCs w:val="16"/>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61B7A7D"/>
    <w:multiLevelType w:val="multilevel"/>
    <w:tmpl w:val="CF3E23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381B1060"/>
    <w:multiLevelType w:val="hybridMultilevel"/>
    <w:tmpl w:val="C24A11D0"/>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DC61D90"/>
    <w:multiLevelType w:val="hybridMultilevel"/>
    <w:tmpl w:val="3C9A35F2"/>
    <w:lvl w:ilvl="0" w:tplc="FCB4136E">
      <w:start w:val="1"/>
      <w:numFmt w:val="decimal"/>
      <w:lvlText w:val="%1."/>
      <w:lvlJc w:val="left"/>
      <w:pPr>
        <w:tabs>
          <w:tab w:val="num" w:pos="1260"/>
        </w:tabs>
        <w:ind w:left="126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81E669B"/>
    <w:multiLevelType w:val="hybridMultilevel"/>
    <w:tmpl w:val="5672AE9A"/>
    <w:lvl w:ilvl="0" w:tplc="557A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53F06B0B"/>
    <w:multiLevelType w:val="hybridMultilevel"/>
    <w:tmpl w:val="186AFED2"/>
    <w:lvl w:ilvl="0" w:tplc="86A875A4">
      <w:start w:val="1"/>
      <w:numFmt w:val="upp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6">
    <w:nsid w:val="5B1D3AB0"/>
    <w:multiLevelType w:val="hybridMultilevel"/>
    <w:tmpl w:val="0B2253BA"/>
    <w:lvl w:ilvl="0" w:tplc="7C36868A">
      <w:start w:val="1"/>
      <w:numFmt w:val="decimal"/>
      <w:lvlText w:val="%1."/>
      <w:lvlJc w:val="left"/>
      <w:pPr>
        <w:tabs>
          <w:tab w:val="num" w:pos="1800"/>
        </w:tabs>
        <w:ind w:left="1800" w:hanging="360"/>
      </w:pPr>
      <w:rPr>
        <w:rFonts w:cs="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nsid w:val="5CA55EE6"/>
    <w:multiLevelType w:val="hybridMultilevel"/>
    <w:tmpl w:val="B67A0BBE"/>
    <w:lvl w:ilvl="0" w:tplc="D96C81CC">
      <w:start w:val="1"/>
      <w:numFmt w:val="decimal"/>
      <w:lvlText w:val="%1."/>
      <w:lvlJc w:val="left"/>
      <w:pPr>
        <w:tabs>
          <w:tab w:val="num" w:pos="1080"/>
        </w:tabs>
        <w:ind w:left="1080" w:hanging="360"/>
      </w:pPr>
      <w:rPr>
        <w:rFonts w:ascii="Cambria" w:hAnsi="Cambria" w:cs="Times New Roman" w:hint="default"/>
        <w:b/>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0852A9"/>
    <w:multiLevelType w:val="hybridMultilevel"/>
    <w:tmpl w:val="7A081660"/>
    <w:lvl w:ilvl="0" w:tplc="0F64BB8C">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420E66"/>
    <w:multiLevelType w:val="multilevel"/>
    <w:tmpl w:val="22C2CE3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61B643D4"/>
    <w:multiLevelType w:val="hybridMultilevel"/>
    <w:tmpl w:val="D5E69748"/>
    <w:lvl w:ilvl="0" w:tplc="A7946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61468EB"/>
    <w:multiLevelType w:val="hybridMultilevel"/>
    <w:tmpl w:val="45B0C0EC"/>
    <w:lvl w:ilvl="0" w:tplc="D6D071AA">
      <w:start w:val="1"/>
      <w:numFmt w:val="decimal"/>
      <w:lvlText w:val="%1."/>
      <w:lvlJc w:val="left"/>
      <w:pPr>
        <w:tabs>
          <w:tab w:val="num" w:pos="1080"/>
        </w:tabs>
        <w:ind w:left="1080" w:hanging="360"/>
      </w:pPr>
      <w:rPr>
        <w:rFonts w:ascii="Cambria" w:hAnsi="Cambria" w:cs="Times New Roman" w:hint="default"/>
        <w:b/>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6">
    <w:nsid w:val="66A101BB"/>
    <w:multiLevelType w:val="hybridMultilevel"/>
    <w:tmpl w:val="8ECEFD00"/>
    <w:lvl w:ilvl="0" w:tplc="CB3E82CC">
      <w:start w:val="1"/>
      <w:numFmt w:val="upperRoman"/>
      <w:lvlText w:val="%1."/>
      <w:lvlJc w:val="left"/>
      <w:pPr>
        <w:tabs>
          <w:tab w:val="num" w:pos="1440"/>
        </w:tabs>
        <w:ind w:left="1440" w:hanging="720"/>
      </w:pPr>
      <w:rPr>
        <w:rFonts w:cs="Times New Roman" w:hint="default"/>
        <w:b/>
      </w:rPr>
    </w:lvl>
    <w:lvl w:ilvl="1" w:tplc="73028C9A">
      <w:start w:val="1"/>
      <w:numFmt w:val="decimal"/>
      <w:lvlText w:val="%2."/>
      <w:lvlJc w:val="left"/>
      <w:pPr>
        <w:tabs>
          <w:tab w:val="num" w:pos="1800"/>
        </w:tabs>
        <w:ind w:left="1800" w:hanging="360"/>
      </w:pPr>
      <w:rPr>
        <w:rFonts w:cs="Times New Roman" w:hint="default"/>
        <w:b/>
        <w:sz w:val="20"/>
        <w:szCs w:val="2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6F21116F"/>
    <w:multiLevelType w:val="hybridMultilevel"/>
    <w:tmpl w:val="0AF016E4"/>
    <w:lvl w:ilvl="0" w:tplc="73028C9A">
      <w:start w:val="1"/>
      <w:numFmt w:val="decimal"/>
      <w:lvlText w:val="%1."/>
      <w:lvlJc w:val="left"/>
      <w:pPr>
        <w:tabs>
          <w:tab w:val="num" w:pos="1800"/>
        </w:tabs>
        <w:ind w:left="1800" w:hanging="360"/>
      </w:pPr>
      <w:rPr>
        <w:rFonts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E90133"/>
    <w:multiLevelType w:val="multilevel"/>
    <w:tmpl w:val="7B061A2C"/>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7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nsid w:val="7BA128DD"/>
    <w:multiLevelType w:val="hybridMultilevel"/>
    <w:tmpl w:val="3B9E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8">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73"/>
  </w:num>
  <w:num w:numId="4">
    <w:abstractNumId w:val="28"/>
  </w:num>
  <w:num w:numId="5">
    <w:abstractNumId w:val="65"/>
  </w:num>
  <w:num w:numId="6">
    <w:abstractNumId w:val="35"/>
  </w:num>
  <w:num w:numId="7">
    <w:abstractNumId w:val="10"/>
  </w:num>
  <w:num w:numId="8">
    <w:abstractNumId w:val="22"/>
  </w:num>
  <w:num w:numId="9">
    <w:abstractNumId w:val="54"/>
  </w:num>
  <w:num w:numId="10">
    <w:abstractNumId w:val="2"/>
  </w:num>
  <w:num w:numId="11">
    <w:abstractNumId w:val="47"/>
  </w:num>
  <w:num w:numId="12">
    <w:abstractNumId w:val="48"/>
  </w:num>
  <w:num w:numId="13">
    <w:abstractNumId w:val="55"/>
  </w:num>
  <w:num w:numId="14">
    <w:abstractNumId w:val="3"/>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3"/>
  </w:num>
  <w:num w:numId="26">
    <w:abstractNumId w:val="24"/>
  </w:num>
  <w:num w:numId="27">
    <w:abstractNumId w:val="29"/>
  </w:num>
  <w:num w:numId="28">
    <w:abstractNumId w:val="30"/>
  </w:num>
  <w:num w:numId="29">
    <w:abstractNumId w:val="31"/>
  </w:num>
  <w:num w:numId="30">
    <w:abstractNumId w:val="34"/>
  </w:num>
  <w:num w:numId="31">
    <w:abstractNumId w:val="36"/>
  </w:num>
  <w:num w:numId="32">
    <w:abstractNumId w:val="39"/>
  </w:num>
  <w:num w:numId="33">
    <w:abstractNumId w:val="40"/>
  </w:num>
  <w:num w:numId="34">
    <w:abstractNumId w:val="41"/>
  </w:num>
  <w:num w:numId="35">
    <w:abstractNumId w:val="42"/>
  </w:num>
  <w:num w:numId="36">
    <w:abstractNumId w:val="43"/>
  </w:num>
  <w:num w:numId="37">
    <w:abstractNumId w:val="45"/>
  </w:num>
  <w:num w:numId="38">
    <w:abstractNumId w:val="46"/>
  </w:num>
  <w:num w:numId="39">
    <w:abstractNumId w:val="50"/>
  </w:num>
  <w:num w:numId="40">
    <w:abstractNumId w:val="51"/>
  </w:num>
  <w:num w:numId="41">
    <w:abstractNumId w:val="62"/>
  </w:num>
  <w:num w:numId="42">
    <w:abstractNumId w:val="67"/>
  </w:num>
  <w:num w:numId="43">
    <w:abstractNumId w:val="68"/>
  </w:num>
  <w:num w:numId="44">
    <w:abstractNumId w:val="71"/>
  </w:num>
  <w:num w:numId="45">
    <w:abstractNumId w:val="72"/>
  </w:num>
  <w:num w:numId="46">
    <w:abstractNumId w:val="74"/>
  </w:num>
  <w:num w:numId="47">
    <w:abstractNumId w:val="76"/>
  </w:num>
  <w:num w:numId="48">
    <w:abstractNumId w:val="77"/>
  </w:num>
  <w:num w:numId="49">
    <w:abstractNumId w:val="79"/>
  </w:num>
  <w:num w:numId="50">
    <w:abstractNumId w:val="80"/>
  </w:num>
  <w:num w:numId="51">
    <w:abstractNumId w:val="27"/>
  </w:num>
  <w:num w:numId="52">
    <w:abstractNumId w:val="52"/>
  </w:num>
  <w:num w:numId="53">
    <w:abstractNumId w:val="57"/>
  </w:num>
  <w:num w:numId="54">
    <w:abstractNumId w:val="49"/>
  </w:num>
  <w:num w:numId="55">
    <w:abstractNumId w:val="66"/>
  </w:num>
  <w:num w:numId="56">
    <w:abstractNumId w:val="0"/>
  </w:num>
  <w:num w:numId="57">
    <w:abstractNumId w:val="78"/>
  </w:num>
  <w:num w:numId="58">
    <w:abstractNumId w:val="38"/>
  </w:num>
  <w:num w:numId="59">
    <w:abstractNumId w:val="37"/>
  </w:num>
  <w:num w:numId="60">
    <w:abstractNumId w:val="53"/>
  </w:num>
  <w:num w:numId="61">
    <w:abstractNumId w:val="9"/>
    <w:lvlOverride w:ilvl="0">
      <w:startOverride w:val="1"/>
    </w:lvlOverride>
  </w:num>
  <w:num w:numId="62">
    <w:abstractNumId w:val="33"/>
  </w:num>
  <w:num w:numId="63">
    <w:abstractNumId w:val="25"/>
  </w:num>
  <w:num w:numId="64">
    <w:abstractNumId w:val="1"/>
  </w:num>
  <w:num w:numId="65">
    <w:abstractNumId w:val="59"/>
  </w:num>
  <w:num w:numId="66">
    <w:abstractNumId w:val="60"/>
  </w:num>
  <w:num w:numId="67">
    <w:abstractNumId w:val="44"/>
  </w:num>
  <w:num w:numId="68">
    <w:abstractNumId w:val="26"/>
  </w:num>
  <w:num w:numId="69">
    <w:abstractNumId w:val="70"/>
  </w:num>
  <w:num w:numId="70">
    <w:abstractNumId w:val="18"/>
  </w:num>
  <w:num w:numId="71">
    <w:abstractNumId w:val="64"/>
  </w:num>
  <w:num w:numId="72">
    <w:abstractNumId w:val="58"/>
  </w:num>
  <w:num w:numId="73">
    <w:abstractNumId w:val="32"/>
  </w:num>
  <w:num w:numId="74">
    <w:abstractNumId w:val="8"/>
  </w:num>
  <w:num w:numId="75">
    <w:abstractNumId w:val="69"/>
  </w:num>
  <w:num w:numId="76">
    <w:abstractNumId w:val="56"/>
  </w:num>
  <w:num w:numId="77">
    <w:abstractNumId w:val="21"/>
  </w:num>
  <w:num w:numId="78">
    <w:abstractNumId w:val="7"/>
  </w:num>
  <w:num w:numId="79">
    <w:abstractNumId w:val="61"/>
  </w:num>
  <w:num w:numId="80">
    <w:abstractNumId w:val="75"/>
  </w:num>
  <w:num w:numId="81">
    <w:abstractNumId w:val="63"/>
  </w:num>
  <w:num w:numId="82">
    <w:abstractNumId w:val="49"/>
  </w:num>
  <w:num w:numId="83">
    <w:abstractNumId w:val="49"/>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867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65"/>
    <w:rsid w:val="000002C8"/>
    <w:rsid w:val="0000032A"/>
    <w:rsid w:val="00000333"/>
    <w:rsid w:val="0000036F"/>
    <w:rsid w:val="00000472"/>
    <w:rsid w:val="00000645"/>
    <w:rsid w:val="00000CDA"/>
    <w:rsid w:val="00000D64"/>
    <w:rsid w:val="00000F71"/>
    <w:rsid w:val="00000FB1"/>
    <w:rsid w:val="000011BD"/>
    <w:rsid w:val="000016B0"/>
    <w:rsid w:val="000017F9"/>
    <w:rsid w:val="00001855"/>
    <w:rsid w:val="00001FAC"/>
    <w:rsid w:val="00002210"/>
    <w:rsid w:val="0000270F"/>
    <w:rsid w:val="00002784"/>
    <w:rsid w:val="00003017"/>
    <w:rsid w:val="00003756"/>
    <w:rsid w:val="000037CA"/>
    <w:rsid w:val="00003C0A"/>
    <w:rsid w:val="00003DEE"/>
    <w:rsid w:val="00003E8B"/>
    <w:rsid w:val="00003F84"/>
    <w:rsid w:val="00004149"/>
    <w:rsid w:val="00004260"/>
    <w:rsid w:val="00004302"/>
    <w:rsid w:val="00004579"/>
    <w:rsid w:val="0000484F"/>
    <w:rsid w:val="000049DA"/>
    <w:rsid w:val="00004A86"/>
    <w:rsid w:val="00004CD3"/>
    <w:rsid w:val="00004DE7"/>
    <w:rsid w:val="000059E7"/>
    <w:rsid w:val="00005A60"/>
    <w:rsid w:val="00005ACB"/>
    <w:rsid w:val="00005CC5"/>
    <w:rsid w:val="00005E52"/>
    <w:rsid w:val="00005F8B"/>
    <w:rsid w:val="00006210"/>
    <w:rsid w:val="00006454"/>
    <w:rsid w:val="000065BB"/>
    <w:rsid w:val="0000665B"/>
    <w:rsid w:val="000066E8"/>
    <w:rsid w:val="00006939"/>
    <w:rsid w:val="00006AEB"/>
    <w:rsid w:val="00006B28"/>
    <w:rsid w:val="00006E1F"/>
    <w:rsid w:val="00006F41"/>
    <w:rsid w:val="00006FC6"/>
    <w:rsid w:val="000070D7"/>
    <w:rsid w:val="00007135"/>
    <w:rsid w:val="0000713D"/>
    <w:rsid w:val="0000721C"/>
    <w:rsid w:val="000079F2"/>
    <w:rsid w:val="00007C3A"/>
    <w:rsid w:val="00007D20"/>
    <w:rsid w:val="00007E1F"/>
    <w:rsid w:val="00007E84"/>
    <w:rsid w:val="00007EBD"/>
    <w:rsid w:val="000104F7"/>
    <w:rsid w:val="00010828"/>
    <w:rsid w:val="00010836"/>
    <w:rsid w:val="00010E7B"/>
    <w:rsid w:val="00010F73"/>
    <w:rsid w:val="00010FC1"/>
    <w:rsid w:val="000111A4"/>
    <w:rsid w:val="00011213"/>
    <w:rsid w:val="0001139F"/>
    <w:rsid w:val="000116A9"/>
    <w:rsid w:val="0001172F"/>
    <w:rsid w:val="00011738"/>
    <w:rsid w:val="00011A95"/>
    <w:rsid w:val="00011BC3"/>
    <w:rsid w:val="00011BFA"/>
    <w:rsid w:val="00011D28"/>
    <w:rsid w:val="00012301"/>
    <w:rsid w:val="00012BD4"/>
    <w:rsid w:val="00012E69"/>
    <w:rsid w:val="00012E8F"/>
    <w:rsid w:val="00013196"/>
    <w:rsid w:val="00013262"/>
    <w:rsid w:val="00013304"/>
    <w:rsid w:val="00013730"/>
    <w:rsid w:val="0001377C"/>
    <w:rsid w:val="00013833"/>
    <w:rsid w:val="00013ABA"/>
    <w:rsid w:val="00013EF8"/>
    <w:rsid w:val="00014052"/>
    <w:rsid w:val="0001417B"/>
    <w:rsid w:val="0001468F"/>
    <w:rsid w:val="000147EE"/>
    <w:rsid w:val="000152F0"/>
    <w:rsid w:val="00015511"/>
    <w:rsid w:val="00015589"/>
    <w:rsid w:val="000159EC"/>
    <w:rsid w:val="00015B68"/>
    <w:rsid w:val="00015C39"/>
    <w:rsid w:val="00015CF2"/>
    <w:rsid w:val="00015EEB"/>
    <w:rsid w:val="00016415"/>
    <w:rsid w:val="00016669"/>
    <w:rsid w:val="000167C9"/>
    <w:rsid w:val="00016D21"/>
    <w:rsid w:val="00016D84"/>
    <w:rsid w:val="00016F24"/>
    <w:rsid w:val="00016F91"/>
    <w:rsid w:val="0001714B"/>
    <w:rsid w:val="000175F4"/>
    <w:rsid w:val="00017661"/>
    <w:rsid w:val="0001788C"/>
    <w:rsid w:val="00017896"/>
    <w:rsid w:val="00017A0C"/>
    <w:rsid w:val="00017AC3"/>
    <w:rsid w:val="00017B7E"/>
    <w:rsid w:val="00017D12"/>
    <w:rsid w:val="00017D53"/>
    <w:rsid w:val="00017E9A"/>
    <w:rsid w:val="00020394"/>
    <w:rsid w:val="00020576"/>
    <w:rsid w:val="00020701"/>
    <w:rsid w:val="000209DF"/>
    <w:rsid w:val="000215E9"/>
    <w:rsid w:val="00021607"/>
    <w:rsid w:val="000216A9"/>
    <w:rsid w:val="000216C0"/>
    <w:rsid w:val="00021B34"/>
    <w:rsid w:val="00021D6E"/>
    <w:rsid w:val="00021EB3"/>
    <w:rsid w:val="00021F44"/>
    <w:rsid w:val="00022008"/>
    <w:rsid w:val="0002248F"/>
    <w:rsid w:val="000224F0"/>
    <w:rsid w:val="00022680"/>
    <w:rsid w:val="00022CE6"/>
    <w:rsid w:val="00023070"/>
    <w:rsid w:val="0002317B"/>
    <w:rsid w:val="0002339E"/>
    <w:rsid w:val="000234A9"/>
    <w:rsid w:val="0002381A"/>
    <w:rsid w:val="00023C43"/>
    <w:rsid w:val="00023CC4"/>
    <w:rsid w:val="00023F0A"/>
    <w:rsid w:val="0002440E"/>
    <w:rsid w:val="0002480B"/>
    <w:rsid w:val="00024A8B"/>
    <w:rsid w:val="00024A9E"/>
    <w:rsid w:val="00024F9A"/>
    <w:rsid w:val="00025118"/>
    <w:rsid w:val="0002538A"/>
    <w:rsid w:val="000258DF"/>
    <w:rsid w:val="00025A94"/>
    <w:rsid w:val="00026077"/>
    <w:rsid w:val="00026570"/>
    <w:rsid w:val="00026687"/>
    <w:rsid w:val="00026955"/>
    <w:rsid w:val="00026AB6"/>
    <w:rsid w:val="00026E33"/>
    <w:rsid w:val="00026EEE"/>
    <w:rsid w:val="00027093"/>
    <w:rsid w:val="00027161"/>
    <w:rsid w:val="000272B8"/>
    <w:rsid w:val="0002773C"/>
    <w:rsid w:val="00027921"/>
    <w:rsid w:val="0002796C"/>
    <w:rsid w:val="00027BC7"/>
    <w:rsid w:val="000308E4"/>
    <w:rsid w:val="00030CAE"/>
    <w:rsid w:val="00030CF4"/>
    <w:rsid w:val="00030D5E"/>
    <w:rsid w:val="00030EEA"/>
    <w:rsid w:val="00030EEC"/>
    <w:rsid w:val="0003101C"/>
    <w:rsid w:val="0003128C"/>
    <w:rsid w:val="0003140D"/>
    <w:rsid w:val="0003150E"/>
    <w:rsid w:val="00031F77"/>
    <w:rsid w:val="00032036"/>
    <w:rsid w:val="00032079"/>
    <w:rsid w:val="000322A7"/>
    <w:rsid w:val="000329AF"/>
    <w:rsid w:val="00032AF7"/>
    <w:rsid w:val="00032C1D"/>
    <w:rsid w:val="00032DB2"/>
    <w:rsid w:val="00032DD1"/>
    <w:rsid w:val="00033658"/>
    <w:rsid w:val="00033798"/>
    <w:rsid w:val="00033A34"/>
    <w:rsid w:val="00033A55"/>
    <w:rsid w:val="00033C0A"/>
    <w:rsid w:val="00033D3F"/>
    <w:rsid w:val="00033E63"/>
    <w:rsid w:val="0003418C"/>
    <w:rsid w:val="000341A8"/>
    <w:rsid w:val="00034465"/>
    <w:rsid w:val="00034479"/>
    <w:rsid w:val="000345D8"/>
    <w:rsid w:val="00034608"/>
    <w:rsid w:val="0003487D"/>
    <w:rsid w:val="000348CD"/>
    <w:rsid w:val="000349FD"/>
    <w:rsid w:val="00034B03"/>
    <w:rsid w:val="00034B08"/>
    <w:rsid w:val="000351F0"/>
    <w:rsid w:val="00035565"/>
    <w:rsid w:val="00035642"/>
    <w:rsid w:val="00035866"/>
    <w:rsid w:val="00035898"/>
    <w:rsid w:val="0003596B"/>
    <w:rsid w:val="00035F55"/>
    <w:rsid w:val="00036090"/>
    <w:rsid w:val="00036204"/>
    <w:rsid w:val="00036409"/>
    <w:rsid w:val="0003681B"/>
    <w:rsid w:val="0003720D"/>
    <w:rsid w:val="0003738C"/>
    <w:rsid w:val="00037942"/>
    <w:rsid w:val="00037C0D"/>
    <w:rsid w:val="00037D4A"/>
    <w:rsid w:val="00037DD7"/>
    <w:rsid w:val="00040177"/>
    <w:rsid w:val="0004040B"/>
    <w:rsid w:val="000404C8"/>
    <w:rsid w:val="000407EB"/>
    <w:rsid w:val="00040AE9"/>
    <w:rsid w:val="00040B5F"/>
    <w:rsid w:val="00040C3A"/>
    <w:rsid w:val="00040E37"/>
    <w:rsid w:val="00040EE5"/>
    <w:rsid w:val="0004176A"/>
    <w:rsid w:val="000417DE"/>
    <w:rsid w:val="00041976"/>
    <w:rsid w:val="00041BD3"/>
    <w:rsid w:val="00041CCA"/>
    <w:rsid w:val="000422ED"/>
    <w:rsid w:val="000423AC"/>
    <w:rsid w:val="00042707"/>
    <w:rsid w:val="000427BE"/>
    <w:rsid w:val="000428AA"/>
    <w:rsid w:val="00042AA3"/>
    <w:rsid w:val="00042B39"/>
    <w:rsid w:val="0004316F"/>
    <w:rsid w:val="00043246"/>
    <w:rsid w:val="000436BC"/>
    <w:rsid w:val="00043744"/>
    <w:rsid w:val="00043959"/>
    <w:rsid w:val="00043A9B"/>
    <w:rsid w:val="00043B7E"/>
    <w:rsid w:val="00043DC2"/>
    <w:rsid w:val="0004416B"/>
    <w:rsid w:val="000443AB"/>
    <w:rsid w:val="000444CD"/>
    <w:rsid w:val="0004481A"/>
    <w:rsid w:val="00044B69"/>
    <w:rsid w:val="00044D50"/>
    <w:rsid w:val="00044DFD"/>
    <w:rsid w:val="000453D5"/>
    <w:rsid w:val="0004559B"/>
    <w:rsid w:val="000455F8"/>
    <w:rsid w:val="000457C7"/>
    <w:rsid w:val="00045932"/>
    <w:rsid w:val="00045A40"/>
    <w:rsid w:val="00045AA7"/>
    <w:rsid w:val="00045C17"/>
    <w:rsid w:val="00045EAD"/>
    <w:rsid w:val="000460A7"/>
    <w:rsid w:val="00046100"/>
    <w:rsid w:val="0004618D"/>
    <w:rsid w:val="00046395"/>
    <w:rsid w:val="000465C7"/>
    <w:rsid w:val="0004682F"/>
    <w:rsid w:val="000469ED"/>
    <w:rsid w:val="000469F1"/>
    <w:rsid w:val="00046B21"/>
    <w:rsid w:val="00046BF1"/>
    <w:rsid w:val="00046C0E"/>
    <w:rsid w:val="0004735A"/>
    <w:rsid w:val="000473FB"/>
    <w:rsid w:val="00047441"/>
    <w:rsid w:val="00047885"/>
    <w:rsid w:val="000479B6"/>
    <w:rsid w:val="00047DE8"/>
    <w:rsid w:val="0005068C"/>
    <w:rsid w:val="00050917"/>
    <w:rsid w:val="00050A98"/>
    <w:rsid w:val="00050BD1"/>
    <w:rsid w:val="0005105A"/>
    <w:rsid w:val="00051497"/>
    <w:rsid w:val="000516EB"/>
    <w:rsid w:val="00051C33"/>
    <w:rsid w:val="00051C44"/>
    <w:rsid w:val="000521A8"/>
    <w:rsid w:val="000525EF"/>
    <w:rsid w:val="0005283E"/>
    <w:rsid w:val="00052A54"/>
    <w:rsid w:val="00052C79"/>
    <w:rsid w:val="00052E3D"/>
    <w:rsid w:val="000531B7"/>
    <w:rsid w:val="0005362B"/>
    <w:rsid w:val="0005370C"/>
    <w:rsid w:val="00053C8B"/>
    <w:rsid w:val="00053D00"/>
    <w:rsid w:val="00053EDB"/>
    <w:rsid w:val="00053FC6"/>
    <w:rsid w:val="00054266"/>
    <w:rsid w:val="00054314"/>
    <w:rsid w:val="00054535"/>
    <w:rsid w:val="0005482F"/>
    <w:rsid w:val="0005493D"/>
    <w:rsid w:val="00054BCE"/>
    <w:rsid w:val="00054D12"/>
    <w:rsid w:val="00054D4F"/>
    <w:rsid w:val="00055001"/>
    <w:rsid w:val="000551F8"/>
    <w:rsid w:val="000553EC"/>
    <w:rsid w:val="000554EC"/>
    <w:rsid w:val="00055503"/>
    <w:rsid w:val="0005571E"/>
    <w:rsid w:val="00055963"/>
    <w:rsid w:val="00055BEE"/>
    <w:rsid w:val="000561C0"/>
    <w:rsid w:val="000562FB"/>
    <w:rsid w:val="000566C8"/>
    <w:rsid w:val="0005677C"/>
    <w:rsid w:val="00056859"/>
    <w:rsid w:val="00056C6B"/>
    <w:rsid w:val="00056E11"/>
    <w:rsid w:val="00056FA7"/>
    <w:rsid w:val="000570A5"/>
    <w:rsid w:val="000574FF"/>
    <w:rsid w:val="0005789F"/>
    <w:rsid w:val="000579EC"/>
    <w:rsid w:val="00060CAB"/>
    <w:rsid w:val="00060F12"/>
    <w:rsid w:val="00061278"/>
    <w:rsid w:val="00061389"/>
    <w:rsid w:val="00061C6E"/>
    <w:rsid w:val="00062052"/>
    <w:rsid w:val="0006210F"/>
    <w:rsid w:val="00062663"/>
    <w:rsid w:val="0006292A"/>
    <w:rsid w:val="00062A19"/>
    <w:rsid w:val="00062AD7"/>
    <w:rsid w:val="00062B74"/>
    <w:rsid w:val="00062DAA"/>
    <w:rsid w:val="00062F65"/>
    <w:rsid w:val="00062F68"/>
    <w:rsid w:val="0006337A"/>
    <w:rsid w:val="00063CE9"/>
    <w:rsid w:val="000640B9"/>
    <w:rsid w:val="00064379"/>
    <w:rsid w:val="0006453F"/>
    <w:rsid w:val="000646CE"/>
    <w:rsid w:val="00064785"/>
    <w:rsid w:val="00064809"/>
    <w:rsid w:val="00064A20"/>
    <w:rsid w:val="00064A26"/>
    <w:rsid w:val="00064A4D"/>
    <w:rsid w:val="00064AAD"/>
    <w:rsid w:val="00064D5C"/>
    <w:rsid w:val="00064E24"/>
    <w:rsid w:val="00064F88"/>
    <w:rsid w:val="000655ED"/>
    <w:rsid w:val="00065907"/>
    <w:rsid w:val="000659A5"/>
    <w:rsid w:val="00065A77"/>
    <w:rsid w:val="00065FA9"/>
    <w:rsid w:val="000662FE"/>
    <w:rsid w:val="0006645E"/>
    <w:rsid w:val="000664AA"/>
    <w:rsid w:val="000668E2"/>
    <w:rsid w:val="00066AF8"/>
    <w:rsid w:val="00066DC1"/>
    <w:rsid w:val="00066DC3"/>
    <w:rsid w:val="00066EF9"/>
    <w:rsid w:val="000670F6"/>
    <w:rsid w:val="00067387"/>
    <w:rsid w:val="000673D7"/>
    <w:rsid w:val="00067805"/>
    <w:rsid w:val="0006782A"/>
    <w:rsid w:val="00067A21"/>
    <w:rsid w:val="00067A85"/>
    <w:rsid w:val="0007061E"/>
    <w:rsid w:val="0007068E"/>
    <w:rsid w:val="000708D6"/>
    <w:rsid w:val="000709B6"/>
    <w:rsid w:val="00070D39"/>
    <w:rsid w:val="00070D46"/>
    <w:rsid w:val="00071078"/>
    <w:rsid w:val="000710A8"/>
    <w:rsid w:val="0007147B"/>
    <w:rsid w:val="000714A8"/>
    <w:rsid w:val="000716C5"/>
    <w:rsid w:val="00071B3F"/>
    <w:rsid w:val="00072066"/>
    <w:rsid w:val="000723BA"/>
    <w:rsid w:val="00072A6F"/>
    <w:rsid w:val="00072D08"/>
    <w:rsid w:val="000731E4"/>
    <w:rsid w:val="00073293"/>
    <w:rsid w:val="00073559"/>
    <w:rsid w:val="0007379B"/>
    <w:rsid w:val="000738B8"/>
    <w:rsid w:val="00073936"/>
    <w:rsid w:val="00073C75"/>
    <w:rsid w:val="00073F9D"/>
    <w:rsid w:val="0007430D"/>
    <w:rsid w:val="00074739"/>
    <w:rsid w:val="00074A38"/>
    <w:rsid w:val="00074A70"/>
    <w:rsid w:val="00074FE8"/>
    <w:rsid w:val="00075027"/>
    <w:rsid w:val="00075262"/>
    <w:rsid w:val="00075397"/>
    <w:rsid w:val="000754FE"/>
    <w:rsid w:val="000756B3"/>
    <w:rsid w:val="000757B2"/>
    <w:rsid w:val="00075D33"/>
    <w:rsid w:val="00075E23"/>
    <w:rsid w:val="00075F8F"/>
    <w:rsid w:val="000765B6"/>
    <w:rsid w:val="000766DB"/>
    <w:rsid w:val="00076A85"/>
    <w:rsid w:val="00076DA1"/>
    <w:rsid w:val="00076F4F"/>
    <w:rsid w:val="0007700D"/>
    <w:rsid w:val="000771A8"/>
    <w:rsid w:val="000776FB"/>
    <w:rsid w:val="0007798E"/>
    <w:rsid w:val="00077A05"/>
    <w:rsid w:val="00077C02"/>
    <w:rsid w:val="00077E55"/>
    <w:rsid w:val="00077E68"/>
    <w:rsid w:val="0008002E"/>
    <w:rsid w:val="00080090"/>
    <w:rsid w:val="000800C2"/>
    <w:rsid w:val="00080D8C"/>
    <w:rsid w:val="00080E85"/>
    <w:rsid w:val="00081000"/>
    <w:rsid w:val="00081241"/>
    <w:rsid w:val="0008139B"/>
    <w:rsid w:val="000815AB"/>
    <w:rsid w:val="00081789"/>
    <w:rsid w:val="000817EB"/>
    <w:rsid w:val="00081831"/>
    <w:rsid w:val="00081915"/>
    <w:rsid w:val="000819B7"/>
    <w:rsid w:val="00082212"/>
    <w:rsid w:val="00082268"/>
    <w:rsid w:val="0008231E"/>
    <w:rsid w:val="000823DC"/>
    <w:rsid w:val="00082981"/>
    <w:rsid w:val="00082D95"/>
    <w:rsid w:val="00082DFB"/>
    <w:rsid w:val="00082FD1"/>
    <w:rsid w:val="000832CE"/>
    <w:rsid w:val="00083563"/>
    <w:rsid w:val="00083645"/>
    <w:rsid w:val="00083661"/>
    <w:rsid w:val="000838F8"/>
    <w:rsid w:val="00083BED"/>
    <w:rsid w:val="00083CD3"/>
    <w:rsid w:val="00083E46"/>
    <w:rsid w:val="000840CC"/>
    <w:rsid w:val="0008426D"/>
    <w:rsid w:val="000846D0"/>
    <w:rsid w:val="00084A48"/>
    <w:rsid w:val="00085014"/>
    <w:rsid w:val="000852BF"/>
    <w:rsid w:val="00085342"/>
    <w:rsid w:val="0008583A"/>
    <w:rsid w:val="000859B7"/>
    <w:rsid w:val="00085AAE"/>
    <w:rsid w:val="00085C02"/>
    <w:rsid w:val="00085F41"/>
    <w:rsid w:val="00086043"/>
    <w:rsid w:val="000862C6"/>
    <w:rsid w:val="000863E5"/>
    <w:rsid w:val="00086897"/>
    <w:rsid w:val="00086AA8"/>
    <w:rsid w:val="0008725D"/>
    <w:rsid w:val="000873CC"/>
    <w:rsid w:val="000877E4"/>
    <w:rsid w:val="00087C95"/>
    <w:rsid w:val="00087D18"/>
    <w:rsid w:val="00087F4C"/>
    <w:rsid w:val="0009019E"/>
    <w:rsid w:val="00090355"/>
    <w:rsid w:val="000905B3"/>
    <w:rsid w:val="00090C6F"/>
    <w:rsid w:val="00091369"/>
    <w:rsid w:val="00091B5A"/>
    <w:rsid w:val="000923CA"/>
    <w:rsid w:val="000927B3"/>
    <w:rsid w:val="00092B3D"/>
    <w:rsid w:val="00092DCD"/>
    <w:rsid w:val="00092EEA"/>
    <w:rsid w:val="00093196"/>
    <w:rsid w:val="00093275"/>
    <w:rsid w:val="0009344A"/>
    <w:rsid w:val="000936FF"/>
    <w:rsid w:val="00093BA5"/>
    <w:rsid w:val="00093C1D"/>
    <w:rsid w:val="00094037"/>
    <w:rsid w:val="0009424C"/>
    <w:rsid w:val="00094499"/>
    <w:rsid w:val="000949E4"/>
    <w:rsid w:val="00095659"/>
    <w:rsid w:val="00095959"/>
    <w:rsid w:val="00095BE7"/>
    <w:rsid w:val="000971C4"/>
    <w:rsid w:val="000972F8"/>
    <w:rsid w:val="00097447"/>
    <w:rsid w:val="0009765A"/>
    <w:rsid w:val="0009773E"/>
    <w:rsid w:val="000978D9"/>
    <w:rsid w:val="0009791F"/>
    <w:rsid w:val="00097DA5"/>
    <w:rsid w:val="000A0531"/>
    <w:rsid w:val="000A064B"/>
    <w:rsid w:val="000A0655"/>
    <w:rsid w:val="000A06F5"/>
    <w:rsid w:val="000A0743"/>
    <w:rsid w:val="000A083B"/>
    <w:rsid w:val="000A0C70"/>
    <w:rsid w:val="000A0CF5"/>
    <w:rsid w:val="000A0D6F"/>
    <w:rsid w:val="000A103F"/>
    <w:rsid w:val="000A13D0"/>
    <w:rsid w:val="000A14BC"/>
    <w:rsid w:val="000A17E2"/>
    <w:rsid w:val="000A180A"/>
    <w:rsid w:val="000A195F"/>
    <w:rsid w:val="000A1973"/>
    <w:rsid w:val="000A1A51"/>
    <w:rsid w:val="000A1C54"/>
    <w:rsid w:val="000A1CBC"/>
    <w:rsid w:val="000A2034"/>
    <w:rsid w:val="000A2060"/>
    <w:rsid w:val="000A2066"/>
    <w:rsid w:val="000A22FF"/>
    <w:rsid w:val="000A23C0"/>
    <w:rsid w:val="000A2610"/>
    <w:rsid w:val="000A268B"/>
    <w:rsid w:val="000A27F3"/>
    <w:rsid w:val="000A2868"/>
    <w:rsid w:val="000A2904"/>
    <w:rsid w:val="000A2C17"/>
    <w:rsid w:val="000A2C5F"/>
    <w:rsid w:val="000A30E2"/>
    <w:rsid w:val="000A3352"/>
    <w:rsid w:val="000A373B"/>
    <w:rsid w:val="000A392E"/>
    <w:rsid w:val="000A395F"/>
    <w:rsid w:val="000A3ADC"/>
    <w:rsid w:val="000A3AFC"/>
    <w:rsid w:val="000A495B"/>
    <w:rsid w:val="000A4B9A"/>
    <w:rsid w:val="000A51A6"/>
    <w:rsid w:val="000A546E"/>
    <w:rsid w:val="000A54CF"/>
    <w:rsid w:val="000A55A4"/>
    <w:rsid w:val="000A56CB"/>
    <w:rsid w:val="000A575F"/>
    <w:rsid w:val="000A5A10"/>
    <w:rsid w:val="000A5CD6"/>
    <w:rsid w:val="000A5E04"/>
    <w:rsid w:val="000A5FEB"/>
    <w:rsid w:val="000A7128"/>
    <w:rsid w:val="000A73B5"/>
    <w:rsid w:val="000A76B6"/>
    <w:rsid w:val="000A777B"/>
    <w:rsid w:val="000A77DD"/>
    <w:rsid w:val="000A77FA"/>
    <w:rsid w:val="000A7E6B"/>
    <w:rsid w:val="000B062E"/>
    <w:rsid w:val="000B08E4"/>
    <w:rsid w:val="000B099E"/>
    <w:rsid w:val="000B0AB4"/>
    <w:rsid w:val="000B0AD2"/>
    <w:rsid w:val="000B0B59"/>
    <w:rsid w:val="000B0B6B"/>
    <w:rsid w:val="000B0C9D"/>
    <w:rsid w:val="000B12AB"/>
    <w:rsid w:val="000B15F9"/>
    <w:rsid w:val="000B1B6C"/>
    <w:rsid w:val="000B1E2E"/>
    <w:rsid w:val="000B21D2"/>
    <w:rsid w:val="000B2317"/>
    <w:rsid w:val="000B2869"/>
    <w:rsid w:val="000B2D3E"/>
    <w:rsid w:val="000B2DDA"/>
    <w:rsid w:val="000B2FC1"/>
    <w:rsid w:val="000B33A5"/>
    <w:rsid w:val="000B389F"/>
    <w:rsid w:val="000B3E7D"/>
    <w:rsid w:val="000B3F89"/>
    <w:rsid w:val="000B40ED"/>
    <w:rsid w:val="000B421C"/>
    <w:rsid w:val="000B4B9B"/>
    <w:rsid w:val="000B4DD2"/>
    <w:rsid w:val="000B5C0D"/>
    <w:rsid w:val="000B5EF5"/>
    <w:rsid w:val="000B60D1"/>
    <w:rsid w:val="000B68EE"/>
    <w:rsid w:val="000B6C88"/>
    <w:rsid w:val="000B6CA3"/>
    <w:rsid w:val="000B6F56"/>
    <w:rsid w:val="000B7175"/>
    <w:rsid w:val="000B7473"/>
    <w:rsid w:val="000B77D4"/>
    <w:rsid w:val="000C0358"/>
    <w:rsid w:val="000C09BD"/>
    <w:rsid w:val="000C0E5C"/>
    <w:rsid w:val="000C0F9F"/>
    <w:rsid w:val="000C1465"/>
    <w:rsid w:val="000C14E7"/>
    <w:rsid w:val="000C174B"/>
    <w:rsid w:val="000C185A"/>
    <w:rsid w:val="000C1AEB"/>
    <w:rsid w:val="000C1C31"/>
    <w:rsid w:val="000C1C40"/>
    <w:rsid w:val="000C1F2C"/>
    <w:rsid w:val="000C21D9"/>
    <w:rsid w:val="000C23FC"/>
    <w:rsid w:val="000C246A"/>
    <w:rsid w:val="000C2B26"/>
    <w:rsid w:val="000C2D1E"/>
    <w:rsid w:val="000C2FC6"/>
    <w:rsid w:val="000C34D5"/>
    <w:rsid w:val="000C3537"/>
    <w:rsid w:val="000C35AA"/>
    <w:rsid w:val="000C38D0"/>
    <w:rsid w:val="000C3B19"/>
    <w:rsid w:val="000C3FAF"/>
    <w:rsid w:val="000C44C5"/>
    <w:rsid w:val="000C44F4"/>
    <w:rsid w:val="000C4608"/>
    <w:rsid w:val="000C4643"/>
    <w:rsid w:val="000C46DB"/>
    <w:rsid w:val="000C49E5"/>
    <w:rsid w:val="000C50A7"/>
    <w:rsid w:val="000C521B"/>
    <w:rsid w:val="000C53B7"/>
    <w:rsid w:val="000C5670"/>
    <w:rsid w:val="000C5702"/>
    <w:rsid w:val="000C57F5"/>
    <w:rsid w:val="000C5826"/>
    <w:rsid w:val="000C5BC3"/>
    <w:rsid w:val="000C5BC5"/>
    <w:rsid w:val="000C5F94"/>
    <w:rsid w:val="000C5FF7"/>
    <w:rsid w:val="000C606A"/>
    <w:rsid w:val="000C610A"/>
    <w:rsid w:val="000C6197"/>
    <w:rsid w:val="000C6396"/>
    <w:rsid w:val="000C67F1"/>
    <w:rsid w:val="000C68F1"/>
    <w:rsid w:val="000C6BA3"/>
    <w:rsid w:val="000C6D0F"/>
    <w:rsid w:val="000C6E2F"/>
    <w:rsid w:val="000C6F08"/>
    <w:rsid w:val="000C720D"/>
    <w:rsid w:val="000C7A01"/>
    <w:rsid w:val="000C7FD6"/>
    <w:rsid w:val="000D0272"/>
    <w:rsid w:val="000D0883"/>
    <w:rsid w:val="000D10DB"/>
    <w:rsid w:val="000D13F2"/>
    <w:rsid w:val="000D1743"/>
    <w:rsid w:val="000D180C"/>
    <w:rsid w:val="000D197F"/>
    <w:rsid w:val="000D1A13"/>
    <w:rsid w:val="000D1F6E"/>
    <w:rsid w:val="000D2081"/>
    <w:rsid w:val="000D2264"/>
    <w:rsid w:val="000D2722"/>
    <w:rsid w:val="000D2AC5"/>
    <w:rsid w:val="000D2B31"/>
    <w:rsid w:val="000D2BBE"/>
    <w:rsid w:val="000D2CA1"/>
    <w:rsid w:val="000D2E8A"/>
    <w:rsid w:val="000D2EB4"/>
    <w:rsid w:val="000D2FEA"/>
    <w:rsid w:val="000D3087"/>
    <w:rsid w:val="000D30AD"/>
    <w:rsid w:val="000D38BF"/>
    <w:rsid w:val="000D3CCE"/>
    <w:rsid w:val="000D3FFB"/>
    <w:rsid w:val="000D4302"/>
    <w:rsid w:val="000D47FD"/>
    <w:rsid w:val="000D4EDA"/>
    <w:rsid w:val="000D532D"/>
    <w:rsid w:val="000D5813"/>
    <w:rsid w:val="000D5F45"/>
    <w:rsid w:val="000D60AC"/>
    <w:rsid w:val="000D610A"/>
    <w:rsid w:val="000D63AB"/>
    <w:rsid w:val="000D63E3"/>
    <w:rsid w:val="000D6940"/>
    <w:rsid w:val="000D6C2C"/>
    <w:rsid w:val="000D6F0B"/>
    <w:rsid w:val="000D6F86"/>
    <w:rsid w:val="000D7174"/>
    <w:rsid w:val="000D77A5"/>
    <w:rsid w:val="000D7D62"/>
    <w:rsid w:val="000D7E5C"/>
    <w:rsid w:val="000D7FE4"/>
    <w:rsid w:val="000E0006"/>
    <w:rsid w:val="000E08AE"/>
    <w:rsid w:val="000E0926"/>
    <w:rsid w:val="000E115B"/>
    <w:rsid w:val="000E1361"/>
    <w:rsid w:val="000E13FE"/>
    <w:rsid w:val="000E15E0"/>
    <w:rsid w:val="000E1735"/>
    <w:rsid w:val="000E1F49"/>
    <w:rsid w:val="000E2205"/>
    <w:rsid w:val="000E2692"/>
    <w:rsid w:val="000E26E8"/>
    <w:rsid w:val="000E2984"/>
    <w:rsid w:val="000E2B85"/>
    <w:rsid w:val="000E2C13"/>
    <w:rsid w:val="000E2D08"/>
    <w:rsid w:val="000E2F92"/>
    <w:rsid w:val="000E33DF"/>
    <w:rsid w:val="000E3494"/>
    <w:rsid w:val="000E3549"/>
    <w:rsid w:val="000E36B8"/>
    <w:rsid w:val="000E36DB"/>
    <w:rsid w:val="000E3B73"/>
    <w:rsid w:val="000E417B"/>
    <w:rsid w:val="000E41D6"/>
    <w:rsid w:val="000E43B8"/>
    <w:rsid w:val="000E4430"/>
    <w:rsid w:val="000E451B"/>
    <w:rsid w:val="000E4C6D"/>
    <w:rsid w:val="000E4DE0"/>
    <w:rsid w:val="000E5533"/>
    <w:rsid w:val="000E5573"/>
    <w:rsid w:val="000E568E"/>
    <w:rsid w:val="000E5E47"/>
    <w:rsid w:val="000E5EB5"/>
    <w:rsid w:val="000E5F2D"/>
    <w:rsid w:val="000E6354"/>
    <w:rsid w:val="000E6571"/>
    <w:rsid w:val="000E68C0"/>
    <w:rsid w:val="000E696E"/>
    <w:rsid w:val="000E6A01"/>
    <w:rsid w:val="000E6BB4"/>
    <w:rsid w:val="000E6D56"/>
    <w:rsid w:val="000E6E28"/>
    <w:rsid w:val="000E6F30"/>
    <w:rsid w:val="000E7026"/>
    <w:rsid w:val="000E74A1"/>
    <w:rsid w:val="000E75B9"/>
    <w:rsid w:val="000E786A"/>
    <w:rsid w:val="000E79C6"/>
    <w:rsid w:val="000E7AB0"/>
    <w:rsid w:val="000E7DB1"/>
    <w:rsid w:val="000E7F36"/>
    <w:rsid w:val="000F01D6"/>
    <w:rsid w:val="000F02CF"/>
    <w:rsid w:val="000F02DD"/>
    <w:rsid w:val="000F05CF"/>
    <w:rsid w:val="000F075F"/>
    <w:rsid w:val="000F0780"/>
    <w:rsid w:val="000F0B6A"/>
    <w:rsid w:val="000F0BDE"/>
    <w:rsid w:val="000F0D25"/>
    <w:rsid w:val="000F11EC"/>
    <w:rsid w:val="000F13A9"/>
    <w:rsid w:val="000F144C"/>
    <w:rsid w:val="000F1550"/>
    <w:rsid w:val="000F15CF"/>
    <w:rsid w:val="000F1847"/>
    <w:rsid w:val="000F1BFB"/>
    <w:rsid w:val="000F20A0"/>
    <w:rsid w:val="000F24D2"/>
    <w:rsid w:val="000F2783"/>
    <w:rsid w:val="000F28D2"/>
    <w:rsid w:val="000F2C3E"/>
    <w:rsid w:val="000F30EA"/>
    <w:rsid w:val="000F3321"/>
    <w:rsid w:val="000F373A"/>
    <w:rsid w:val="000F3750"/>
    <w:rsid w:val="000F37CF"/>
    <w:rsid w:val="000F4860"/>
    <w:rsid w:val="000F4BEA"/>
    <w:rsid w:val="000F5157"/>
    <w:rsid w:val="000F536B"/>
    <w:rsid w:val="000F5A43"/>
    <w:rsid w:val="000F5F5D"/>
    <w:rsid w:val="000F60D7"/>
    <w:rsid w:val="000F6422"/>
    <w:rsid w:val="000F664E"/>
    <w:rsid w:val="000F67BF"/>
    <w:rsid w:val="000F6895"/>
    <w:rsid w:val="000F6B32"/>
    <w:rsid w:val="000F6BAD"/>
    <w:rsid w:val="000F7590"/>
    <w:rsid w:val="000F7AA3"/>
    <w:rsid w:val="001001AF"/>
    <w:rsid w:val="00100457"/>
    <w:rsid w:val="001007B4"/>
    <w:rsid w:val="00100911"/>
    <w:rsid w:val="00100A54"/>
    <w:rsid w:val="00100C29"/>
    <w:rsid w:val="00100DF8"/>
    <w:rsid w:val="00100E78"/>
    <w:rsid w:val="001013B3"/>
    <w:rsid w:val="001015B1"/>
    <w:rsid w:val="0010163B"/>
    <w:rsid w:val="00101D95"/>
    <w:rsid w:val="0010210A"/>
    <w:rsid w:val="0010239E"/>
    <w:rsid w:val="00102BA3"/>
    <w:rsid w:val="00102E54"/>
    <w:rsid w:val="00103220"/>
    <w:rsid w:val="00103340"/>
    <w:rsid w:val="00103453"/>
    <w:rsid w:val="00103563"/>
    <w:rsid w:val="00103A90"/>
    <w:rsid w:val="00103F08"/>
    <w:rsid w:val="0010409F"/>
    <w:rsid w:val="001041CF"/>
    <w:rsid w:val="0010427D"/>
    <w:rsid w:val="00104550"/>
    <w:rsid w:val="00104687"/>
    <w:rsid w:val="0010487A"/>
    <w:rsid w:val="001048C3"/>
    <w:rsid w:val="00104D50"/>
    <w:rsid w:val="00104EEF"/>
    <w:rsid w:val="00104F8F"/>
    <w:rsid w:val="00105168"/>
    <w:rsid w:val="00105495"/>
    <w:rsid w:val="00105618"/>
    <w:rsid w:val="001058D8"/>
    <w:rsid w:val="00105BF1"/>
    <w:rsid w:val="00105BFF"/>
    <w:rsid w:val="00105C91"/>
    <w:rsid w:val="00105E2B"/>
    <w:rsid w:val="00105F78"/>
    <w:rsid w:val="00105FEC"/>
    <w:rsid w:val="00106184"/>
    <w:rsid w:val="00106229"/>
    <w:rsid w:val="001063C9"/>
    <w:rsid w:val="00106478"/>
    <w:rsid w:val="001069C6"/>
    <w:rsid w:val="00106BB9"/>
    <w:rsid w:val="00106D45"/>
    <w:rsid w:val="00106F98"/>
    <w:rsid w:val="00107131"/>
    <w:rsid w:val="001072D6"/>
    <w:rsid w:val="001072DB"/>
    <w:rsid w:val="0010736F"/>
    <w:rsid w:val="0010779C"/>
    <w:rsid w:val="00107C7C"/>
    <w:rsid w:val="00107DE1"/>
    <w:rsid w:val="00107E5D"/>
    <w:rsid w:val="001108C5"/>
    <w:rsid w:val="001108D8"/>
    <w:rsid w:val="00110AC6"/>
    <w:rsid w:val="00111119"/>
    <w:rsid w:val="00111342"/>
    <w:rsid w:val="0011146D"/>
    <w:rsid w:val="00111511"/>
    <w:rsid w:val="00111D6D"/>
    <w:rsid w:val="00111D90"/>
    <w:rsid w:val="001121B5"/>
    <w:rsid w:val="0011230D"/>
    <w:rsid w:val="0011287E"/>
    <w:rsid w:val="001129E9"/>
    <w:rsid w:val="00112E9A"/>
    <w:rsid w:val="00112EC0"/>
    <w:rsid w:val="001135F0"/>
    <w:rsid w:val="001137BC"/>
    <w:rsid w:val="0011380D"/>
    <w:rsid w:val="001138D7"/>
    <w:rsid w:val="00113B37"/>
    <w:rsid w:val="00113E36"/>
    <w:rsid w:val="00113F73"/>
    <w:rsid w:val="00114098"/>
    <w:rsid w:val="00114195"/>
    <w:rsid w:val="0011455B"/>
    <w:rsid w:val="00114738"/>
    <w:rsid w:val="001148E3"/>
    <w:rsid w:val="00114A3E"/>
    <w:rsid w:val="00114F8B"/>
    <w:rsid w:val="00114FA2"/>
    <w:rsid w:val="0011518A"/>
    <w:rsid w:val="0011525E"/>
    <w:rsid w:val="001154EB"/>
    <w:rsid w:val="0011559D"/>
    <w:rsid w:val="00115971"/>
    <w:rsid w:val="001159C2"/>
    <w:rsid w:val="00115EFC"/>
    <w:rsid w:val="00116A99"/>
    <w:rsid w:val="00116AE4"/>
    <w:rsid w:val="00116D4D"/>
    <w:rsid w:val="00116DE9"/>
    <w:rsid w:val="0011729F"/>
    <w:rsid w:val="00117468"/>
    <w:rsid w:val="001175B6"/>
    <w:rsid w:val="00117804"/>
    <w:rsid w:val="001179C8"/>
    <w:rsid w:val="00117CAE"/>
    <w:rsid w:val="00117FA0"/>
    <w:rsid w:val="00120113"/>
    <w:rsid w:val="001207B6"/>
    <w:rsid w:val="00121824"/>
    <w:rsid w:val="0012194D"/>
    <w:rsid w:val="00121AE2"/>
    <w:rsid w:val="00121B13"/>
    <w:rsid w:val="00121B3D"/>
    <w:rsid w:val="00121CC2"/>
    <w:rsid w:val="00121DA5"/>
    <w:rsid w:val="00121FE7"/>
    <w:rsid w:val="001220F4"/>
    <w:rsid w:val="00122244"/>
    <w:rsid w:val="00122361"/>
    <w:rsid w:val="00122517"/>
    <w:rsid w:val="00122FFA"/>
    <w:rsid w:val="00123214"/>
    <w:rsid w:val="0012394B"/>
    <w:rsid w:val="00123B05"/>
    <w:rsid w:val="001241EA"/>
    <w:rsid w:val="001244C2"/>
    <w:rsid w:val="0012463E"/>
    <w:rsid w:val="001246BA"/>
    <w:rsid w:val="001246C5"/>
    <w:rsid w:val="00124961"/>
    <w:rsid w:val="00124FDB"/>
    <w:rsid w:val="00125199"/>
    <w:rsid w:val="001256DB"/>
    <w:rsid w:val="00125A0D"/>
    <w:rsid w:val="00125B5D"/>
    <w:rsid w:val="00125F82"/>
    <w:rsid w:val="00126439"/>
    <w:rsid w:val="001264D4"/>
    <w:rsid w:val="001267D6"/>
    <w:rsid w:val="00126A4C"/>
    <w:rsid w:val="00126B53"/>
    <w:rsid w:val="00126F99"/>
    <w:rsid w:val="001271B3"/>
    <w:rsid w:val="001272DF"/>
    <w:rsid w:val="0012741B"/>
    <w:rsid w:val="0012771D"/>
    <w:rsid w:val="00127A2E"/>
    <w:rsid w:val="00127BEC"/>
    <w:rsid w:val="00130061"/>
    <w:rsid w:val="0013019B"/>
    <w:rsid w:val="001302EC"/>
    <w:rsid w:val="001308B3"/>
    <w:rsid w:val="00130E7E"/>
    <w:rsid w:val="0013134A"/>
    <w:rsid w:val="00131518"/>
    <w:rsid w:val="00131531"/>
    <w:rsid w:val="0013174C"/>
    <w:rsid w:val="0013178C"/>
    <w:rsid w:val="001317DE"/>
    <w:rsid w:val="00131C81"/>
    <w:rsid w:val="00131D31"/>
    <w:rsid w:val="00131D92"/>
    <w:rsid w:val="00132556"/>
    <w:rsid w:val="00132991"/>
    <w:rsid w:val="001329AA"/>
    <w:rsid w:val="00132C5C"/>
    <w:rsid w:val="00132C97"/>
    <w:rsid w:val="00132F69"/>
    <w:rsid w:val="001335C7"/>
    <w:rsid w:val="00133762"/>
    <w:rsid w:val="001339BA"/>
    <w:rsid w:val="001339CE"/>
    <w:rsid w:val="00133EE5"/>
    <w:rsid w:val="00134011"/>
    <w:rsid w:val="00134170"/>
    <w:rsid w:val="00134213"/>
    <w:rsid w:val="001348B4"/>
    <w:rsid w:val="0013490B"/>
    <w:rsid w:val="00134917"/>
    <w:rsid w:val="00134B10"/>
    <w:rsid w:val="00134CAE"/>
    <w:rsid w:val="00134EC9"/>
    <w:rsid w:val="001357D3"/>
    <w:rsid w:val="00135AFF"/>
    <w:rsid w:val="00135B2B"/>
    <w:rsid w:val="00135D6D"/>
    <w:rsid w:val="001362B1"/>
    <w:rsid w:val="001362B9"/>
    <w:rsid w:val="00136851"/>
    <w:rsid w:val="00136BF2"/>
    <w:rsid w:val="00136BFD"/>
    <w:rsid w:val="00136C3F"/>
    <w:rsid w:val="00136CE2"/>
    <w:rsid w:val="00137213"/>
    <w:rsid w:val="00137255"/>
    <w:rsid w:val="00137490"/>
    <w:rsid w:val="001374B9"/>
    <w:rsid w:val="001375A9"/>
    <w:rsid w:val="001378F1"/>
    <w:rsid w:val="00137918"/>
    <w:rsid w:val="00137A99"/>
    <w:rsid w:val="00137B73"/>
    <w:rsid w:val="00137DCE"/>
    <w:rsid w:val="00137E46"/>
    <w:rsid w:val="001400F9"/>
    <w:rsid w:val="0014020B"/>
    <w:rsid w:val="00140280"/>
    <w:rsid w:val="00140AB7"/>
    <w:rsid w:val="00140CCF"/>
    <w:rsid w:val="00140D24"/>
    <w:rsid w:val="00140DE5"/>
    <w:rsid w:val="00141302"/>
    <w:rsid w:val="001414D2"/>
    <w:rsid w:val="00141F57"/>
    <w:rsid w:val="00142184"/>
    <w:rsid w:val="00142341"/>
    <w:rsid w:val="00142959"/>
    <w:rsid w:val="001429AA"/>
    <w:rsid w:val="00142F23"/>
    <w:rsid w:val="00142F74"/>
    <w:rsid w:val="001435E4"/>
    <w:rsid w:val="00143640"/>
    <w:rsid w:val="001437B1"/>
    <w:rsid w:val="00143A28"/>
    <w:rsid w:val="00143E73"/>
    <w:rsid w:val="00143F2D"/>
    <w:rsid w:val="00143FB6"/>
    <w:rsid w:val="00144168"/>
    <w:rsid w:val="0014430E"/>
    <w:rsid w:val="001443D1"/>
    <w:rsid w:val="00144B59"/>
    <w:rsid w:val="00144DDE"/>
    <w:rsid w:val="00144E97"/>
    <w:rsid w:val="00144F3C"/>
    <w:rsid w:val="00144F7B"/>
    <w:rsid w:val="00144F9D"/>
    <w:rsid w:val="0014604A"/>
    <w:rsid w:val="00146216"/>
    <w:rsid w:val="0014627C"/>
    <w:rsid w:val="0014640C"/>
    <w:rsid w:val="001464BE"/>
    <w:rsid w:val="0014683B"/>
    <w:rsid w:val="00146A91"/>
    <w:rsid w:val="00146DFF"/>
    <w:rsid w:val="00146E2B"/>
    <w:rsid w:val="00147111"/>
    <w:rsid w:val="001472B0"/>
    <w:rsid w:val="001472B3"/>
    <w:rsid w:val="00147374"/>
    <w:rsid w:val="0014754E"/>
    <w:rsid w:val="00147620"/>
    <w:rsid w:val="0014789A"/>
    <w:rsid w:val="00147A87"/>
    <w:rsid w:val="00147CDE"/>
    <w:rsid w:val="00147D6E"/>
    <w:rsid w:val="00147DC2"/>
    <w:rsid w:val="00147FBF"/>
    <w:rsid w:val="00150181"/>
    <w:rsid w:val="0015077B"/>
    <w:rsid w:val="001507B5"/>
    <w:rsid w:val="00150901"/>
    <w:rsid w:val="001509F1"/>
    <w:rsid w:val="00150C34"/>
    <w:rsid w:val="00150C96"/>
    <w:rsid w:val="00150CD7"/>
    <w:rsid w:val="00150D67"/>
    <w:rsid w:val="00150E42"/>
    <w:rsid w:val="001510FC"/>
    <w:rsid w:val="001516CA"/>
    <w:rsid w:val="001517D4"/>
    <w:rsid w:val="001518CD"/>
    <w:rsid w:val="001518FF"/>
    <w:rsid w:val="00151A03"/>
    <w:rsid w:val="00151A9C"/>
    <w:rsid w:val="001520CE"/>
    <w:rsid w:val="00152570"/>
    <w:rsid w:val="00152A76"/>
    <w:rsid w:val="00153168"/>
    <w:rsid w:val="00153375"/>
    <w:rsid w:val="00153559"/>
    <w:rsid w:val="00153864"/>
    <w:rsid w:val="00153902"/>
    <w:rsid w:val="00153995"/>
    <w:rsid w:val="00153C1B"/>
    <w:rsid w:val="00153C77"/>
    <w:rsid w:val="00153EF6"/>
    <w:rsid w:val="0015428A"/>
    <w:rsid w:val="00154311"/>
    <w:rsid w:val="001545F9"/>
    <w:rsid w:val="0015476E"/>
    <w:rsid w:val="00154C44"/>
    <w:rsid w:val="00154EAA"/>
    <w:rsid w:val="00154FCE"/>
    <w:rsid w:val="0015559D"/>
    <w:rsid w:val="0015564B"/>
    <w:rsid w:val="00155AF7"/>
    <w:rsid w:val="00155B80"/>
    <w:rsid w:val="00155C73"/>
    <w:rsid w:val="00155CBD"/>
    <w:rsid w:val="0015623F"/>
    <w:rsid w:val="001562AA"/>
    <w:rsid w:val="0015653E"/>
    <w:rsid w:val="00156563"/>
    <w:rsid w:val="001567E9"/>
    <w:rsid w:val="00156B5A"/>
    <w:rsid w:val="00156D89"/>
    <w:rsid w:val="00156F91"/>
    <w:rsid w:val="001572C1"/>
    <w:rsid w:val="00157D0A"/>
    <w:rsid w:val="001600F0"/>
    <w:rsid w:val="0016081C"/>
    <w:rsid w:val="001608AF"/>
    <w:rsid w:val="00160B83"/>
    <w:rsid w:val="00160BF1"/>
    <w:rsid w:val="00160CC9"/>
    <w:rsid w:val="00160DBE"/>
    <w:rsid w:val="0016133E"/>
    <w:rsid w:val="0016148D"/>
    <w:rsid w:val="001617EA"/>
    <w:rsid w:val="00161AC0"/>
    <w:rsid w:val="00161CB4"/>
    <w:rsid w:val="00161E86"/>
    <w:rsid w:val="0016214B"/>
    <w:rsid w:val="00162431"/>
    <w:rsid w:val="0016286B"/>
    <w:rsid w:val="00162936"/>
    <w:rsid w:val="0016299D"/>
    <w:rsid w:val="001629BF"/>
    <w:rsid w:val="00162C1F"/>
    <w:rsid w:val="00162C7D"/>
    <w:rsid w:val="00162CA0"/>
    <w:rsid w:val="00162CED"/>
    <w:rsid w:val="00162D93"/>
    <w:rsid w:val="00163082"/>
    <w:rsid w:val="0016376A"/>
    <w:rsid w:val="00163A4B"/>
    <w:rsid w:val="00163CC4"/>
    <w:rsid w:val="00163DD9"/>
    <w:rsid w:val="001640BE"/>
    <w:rsid w:val="001642A7"/>
    <w:rsid w:val="001644A9"/>
    <w:rsid w:val="00164537"/>
    <w:rsid w:val="00164E6C"/>
    <w:rsid w:val="00164F9D"/>
    <w:rsid w:val="0016507B"/>
    <w:rsid w:val="00165264"/>
    <w:rsid w:val="0016540B"/>
    <w:rsid w:val="00165554"/>
    <w:rsid w:val="00165734"/>
    <w:rsid w:val="001657A5"/>
    <w:rsid w:val="00165B4C"/>
    <w:rsid w:val="00165BE5"/>
    <w:rsid w:val="00165D74"/>
    <w:rsid w:val="0016621A"/>
    <w:rsid w:val="001662E0"/>
    <w:rsid w:val="00166325"/>
    <w:rsid w:val="0016638B"/>
    <w:rsid w:val="001668AD"/>
    <w:rsid w:val="0016753A"/>
    <w:rsid w:val="00167657"/>
    <w:rsid w:val="0016793E"/>
    <w:rsid w:val="00167A34"/>
    <w:rsid w:val="00167A48"/>
    <w:rsid w:val="00167F7E"/>
    <w:rsid w:val="0017016B"/>
    <w:rsid w:val="0017022F"/>
    <w:rsid w:val="001703E3"/>
    <w:rsid w:val="0017068B"/>
    <w:rsid w:val="001707AB"/>
    <w:rsid w:val="001707C9"/>
    <w:rsid w:val="00170D7D"/>
    <w:rsid w:val="00170E57"/>
    <w:rsid w:val="00170EC8"/>
    <w:rsid w:val="00171223"/>
    <w:rsid w:val="001715E1"/>
    <w:rsid w:val="00171A98"/>
    <w:rsid w:val="00171AC1"/>
    <w:rsid w:val="00171C75"/>
    <w:rsid w:val="00171E19"/>
    <w:rsid w:val="00171E52"/>
    <w:rsid w:val="00171E69"/>
    <w:rsid w:val="00171FD6"/>
    <w:rsid w:val="00172176"/>
    <w:rsid w:val="00172431"/>
    <w:rsid w:val="00172786"/>
    <w:rsid w:val="00172ADB"/>
    <w:rsid w:val="00172BA6"/>
    <w:rsid w:val="00173203"/>
    <w:rsid w:val="00173581"/>
    <w:rsid w:val="00173BFF"/>
    <w:rsid w:val="00173D98"/>
    <w:rsid w:val="00173E25"/>
    <w:rsid w:val="001740A2"/>
    <w:rsid w:val="00174320"/>
    <w:rsid w:val="001746C2"/>
    <w:rsid w:val="00174BA1"/>
    <w:rsid w:val="00174F9C"/>
    <w:rsid w:val="00175014"/>
    <w:rsid w:val="00175199"/>
    <w:rsid w:val="001751C7"/>
    <w:rsid w:val="001751CF"/>
    <w:rsid w:val="00175231"/>
    <w:rsid w:val="00175520"/>
    <w:rsid w:val="00175573"/>
    <w:rsid w:val="001756A7"/>
    <w:rsid w:val="001758DD"/>
    <w:rsid w:val="00175BED"/>
    <w:rsid w:val="00175FC7"/>
    <w:rsid w:val="00176353"/>
    <w:rsid w:val="00176CDE"/>
    <w:rsid w:val="001770BB"/>
    <w:rsid w:val="001774AA"/>
    <w:rsid w:val="0017778B"/>
    <w:rsid w:val="001777F9"/>
    <w:rsid w:val="001777FD"/>
    <w:rsid w:val="00177B10"/>
    <w:rsid w:val="001801B2"/>
    <w:rsid w:val="001801CE"/>
    <w:rsid w:val="00180466"/>
    <w:rsid w:val="00180561"/>
    <w:rsid w:val="001808A1"/>
    <w:rsid w:val="0018090E"/>
    <w:rsid w:val="00180AF9"/>
    <w:rsid w:val="00180C93"/>
    <w:rsid w:val="00180FC3"/>
    <w:rsid w:val="001816B3"/>
    <w:rsid w:val="001817CD"/>
    <w:rsid w:val="00181839"/>
    <w:rsid w:val="001818D6"/>
    <w:rsid w:val="00181A4D"/>
    <w:rsid w:val="00181EB1"/>
    <w:rsid w:val="00181F9D"/>
    <w:rsid w:val="00181FF3"/>
    <w:rsid w:val="001820E3"/>
    <w:rsid w:val="00182194"/>
    <w:rsid w:val="001821E7"/>
    <w:rsid w:val="001822BF"/>
    <w:rsid w:val="0018242E"/>
    <w:rsid w:val="0018292C"/>
    <w:rsid w:val="00182B71"/>
    <w:rsid w:val="00182EB1"/>
    <w:rsid w:val="00182F97"/>
    <w:rsid w:val="0018301D"/>
    <w:rsid w:val="001830E0"/>
    <w:rsid w:val="0018361F"/>
    <w:rsid w:val="001837BC"/>
    <w:rsid w:val="00183B96"/>
    <w:rsid w:val="00183D57"/>
    <w:rsid w:val="0018406F"/>
    <w:rsid w:val="001840B7"/>
    <w:rsid w:val="001840DF"/>
    <w:rsid w:val="00184368"/>
    <w:rsid w:val="001844F8"/>
    <w:rsid w:val="00184701"/>
    <w:rsid w:val="00184A77"/>
    <w:rsid w:val="00184CAF"/>
    <w:rsid w:val="00184CD1"/>
    <w:rsid w:val="00185D57"/>
    <w:rsid w:val="00186012"/>
    <w:rsid w:val="00186065"/>
    <w:rsid w:val="0018609E"/>
    <w:rsid w:val="001861F1"/>
    <w:rsid w:val="00186817"/>
    <w:rsid w:val="001869BA"/>
    <w:rsid w:val="00186CD0"/>
    <w:rsid w:val="00186D50"/>
    <w:rsid w:val="00186DDA"/>
    <w:rsid w:val="00186EB3"/>
    <w:rsid w:val="00186F05"/>
    <w:rsid w:val="001871DC"/>
    <w:rsid w:val="001871E0"/>
    <w:rsid w:val="00187415"/>
    <w:rsid w:val="001874E7"/>
    <w:rsid w:val="001875BF"/>
    <w:rsid w:val="00187970"/>
    <w:rsid w:val="00187A90"/>
    <w:rsid w:val="00187D91"/>
    <w:rsid w:val="00187EE6"/>
    <w:rsid w:val="00187F36"/>
    <w:rsid w:val="00190196"/>
    <w:rsid w:val="00190293"/>
    <w:rsid w:val="00190382"/>
    <w:rsid w:val="001904BF"/>
    <w:rsid w:val="00190729"/>
    <w:rsid w:val="00190849"/>
    <w:rsid w:val="00190881"/>
    <w:rsid w:val="0019090E"/>
    <w:rsid w:val="00190A6E"/>
    <w:rsid w:val="00190CDC"/>
    <w:rsid w:val="00190CFA"/>
    <w:rsid w:val="0019117A"/>
    <w:rsid w:val="0019124E"/>
    <w:rsid w:val="001913CF"/>
    <w:rsid w:val="0019153B"/>
    <w:rsid w:val="00191901"/>
    <w:rsid w:val="00191BCD"/>
    <w:rsid w:val="00191D9E"/>
    <w:rsid w:val="00192852"/>
    <w:rsid w:val="00192860"/>
    <w:rsid w:val="00192A6A"/>
    <w:rsid w:val="0019315D"/>
    <w:rsid w:val="001934F7"/>
    <w:rsid w:val="0019353E"/>
    <w:rsid w:val="00193E53"/>
    <w:rsid w:val="001944AF"/>
    <w:rsid w:val="00194612"/>
    <w:rsid w:val="0019477D"/>
    <w:rsid w:val="00194890"/>
    <w:rsid w:val="0019489B"/>
    <w:rsid w:val="00194A77"/>
    <w:rsid w:val="00194B6D"/>
    <w:rsid w:val="00195339"/>
    <w:rsid w:val="001954BF"/>
    <w:rsid w:val="001954FD"/>
    <w:rsid w:val="0019598F"/>
    <w:rsid w:val="0019636B"/>
    <w:rsid w:val="00196576"/>
    <w:rsid w:val="00196BB0"/>
    <w:rsid w:val="0019712F"/>
    <w:rsid w:val="00197303"/>
    <w:rsid w:val="0019744E"/>
    <w:rsid w:val="001979CC"/>
    <w:rsid w:val="00197D1C"/>
    <w:rsid w:val="001A0392"/>
    <w:rsid w:val="001A04E5"/>
    <w:rsid w:val="001A06B6"/>
    <w:rsid w:val="001A0A80"/>
    <w:rsid w:val="001A0BF7"/>
    <w:rsid w:val="001A0C64"/>
    <w:rsid w:val="001A0E10"/>
    <w:rsid w:val="001A0EE5"/>
    <w:rsid w:val="001A11A5"/>
    <w:rsid w:val="001A167D"/>
    <w:rsid w:val="001A2E9E"/>
    <w:rsid w:val="001A30F7"/>
    <w:rsid w:val="001A326F"/>
    <w:rsid w:val="001A33CF"/>
    <w:rsid w:val="001A39C9"/>
    <w:rsid w:val="001A3AC1"/>
    <w:rsid w:val="001A3D33"/>
    <w:rsid w:val="001A4150"/>
    <w:rsid w:val="001A4B19"/>
    <w:rsid w:val="001A4B50"/>
    <w:rsid w:val="001A56BE"/>
    <w:rsid w:val="001A5D0E"/>
    <w:rsid w:val="001A6142"/>
    <w:rsid w:val="001A6222"/>
    <w:rsid w:val="001A6A3C"/>
    <w:rsid w:val="001A724D"/>
    <w:rsid w:val="001A732B"/>
    <w:rsid w:val="001A73F3"/>
    <w:rsid w:val="001A75E5"/>
    <w:rsid w:val="001A7821"/>
    <w:rsid w:val="001A7870"/>
    <w:rsid w:val="001A78C1"/>
    <w:rsid w:val="001A7911"/>
    <w:rsid w:val="001A7FAE"/>
    <w:rsid w:val="001B0106"/>
    <w:rsid w:val="001B029E"/>
    <w:rsid w:val="001B0329"/>
    <w:rsid w:val="001B05AB"/>
    <w:rsid w:val="001B07C4"/>
    <w:rsid w:val="001B0833"/>
    <w:rsid w:val="001B0BFE"/>
    <w:rsid w:val="001B0C0C"/>
    <w:rsid w:val="001B0CFF"/>
    <w:rsid w:val="001B0E3E"/>
    <w:rsid w:val="001B0FA6"/>
    <w:rsid w:val="001B17A9"/>
    <w:rsid w:val="001B1C23"/>
    <w:rsid w:val="001B1FA7"/>
    <w:rsid w:val="001B20BE"/>
    <w:rsid w:val="001B24D6"/>
    <w:rsid w:val="001B2D1A"/>
    <w:rsid w:val="001B2D9F"/>
    <w:rsid w:val="001B2DA4"/>
    <w:rsid w:val="001B2E70"/>
    <w:rsid w:val="001B3128"/>
    <w:rsid w:val="001B317F"/>
    <w:rsid w:val="001B3309"/>
    <w:rsid w:val="001B38E8"/>
    <w:rsid w:val="001B38EF"/>
    <w:rsid w:val="001B397A"/>
    <w:rsid w:val="001B3E86"/>
    <w:rsid w:val="001B42FF"/>
    <w:rsid w:val="001B4300"/>
    <w:rsid w:val="001B4308"/>
    <w:rsid w:val="001B4309"/>
    <w:rsid w:val="001B464B"/>
    <w:rsid w:val="001B4C3B"/>
    <w:rsid w:val="001B4E9A"/>
    <w:rsid w:val="001B4EEE"/>
    <w:rsid w:val="001B512E"/>
    <w:rsid w:val="001B561D"/>
    <w:rsid w:val="001B58DF"/>
    <w:rsid w:val="001B59CB"/>
    <w:rsid w:val="001B5B5A"/>
    <w:rsid w:val="001B5BCA"/>
    <w:rsid w:val="001B5FF6"/>
    <w:rsid w:val="001B61B1"/>
    <w:rsid w:val="001B6514"/>
    <w:rsid w:val="001B659F"/>
    <w:rsid w:val="001B668D"/>
    <w:rsid w:val="001B67FC"/>
    <w:rsid w:val="001B706E"/>
    <w:rsid w:val="001B7386"/>
    <w:rsid w:val="001B73E2"/>
    <w:rsid w:val="001B79BA"/>
    <w:rsid w:val="001B7CF7"/>
    <w:rsid w:val="001B7DAC"/>
    <w:rsid w:val="001C02FD"/>
    <w:rsid w:val="001C0846"/>
    <w:rsid w:val="001C08F4"/>
    <w:rsid w:val="001C0C46"/>
    <w:rsid w:val="001C0C84"/>
    <w:rsid w:val="001C11BE"/>
    <w:rsid w:val="001C15C5"/>
    <w:rsid w:val="001C186C"/>
    <w:rsid w:val="001C1B04"/>
    <w:rsid w:val="001C1B41"/>
    <w:rsid w:val="001C1C84"/>
    <w:rsid w:val="001C1D3F"/>
    <w:rsid w:val="001C1FDD"/>
    <w:rsid w:val="001C258F"/>
    <w:rsid w:val="001C2648"/>
    <w:rsid w:val="001C2D17"/>
    <w:rsid w:val="001C3127"/>
    <w:rsid w:val="001C3605"/>
    <w:rsid w:val="001C3A11"/>
    <w:rsid w:val="001C3B7C"/>
    <w:rsid w:val="001C3E92"/>
    <w:rsid w:val="001C4035"/>
    <w:rsid w:val="001C405A"/>
    <w:rsid w:val="001C40D1"/>
    <w:rsid w:val="001C41DF"/>
    <w:rsid w:val="001C441C"/>
    <w:rsid w:val="001C48D2"/>
    <w:rsid w:val="001C4958"/>
    <w:rsid w:val="001C49B1"/>
    <w:rsid w:val="001C4BDB"/>
    <w:rsid w:val="001C4D40"/>
    <w:rsid w:val="001C5071"/>
    <w:rsid w:val="001C51C8"/>
    <w:rsid w:val="001C5387"/>
    <w:rsid w:val="001C55C1"/>
    <w:rsid w:val="001C5CF6"/>
    <w:rsid w:val="001C6093"/>
    <w:rsid w:val="001C6129"/>
    <w:rsid w:val="001C6599"/>
    <w:rsid w:val="001C65BC"/>
    <w:rsid w:val="001C65C8"/>
    <w:rsid w:val="001C6685"/>
    <w:rsid w:val="001C66CF"/>
    <w:rsid w:val="001C6A0C"/>
    <w:rsid w:val="001C7030"/>
    <w:rsid w:val="001C7080"/>
    <w:rsid w:val="001C7135"/>
    <w:rsid w:val="001C741A"/>
    <w:rsid w:val="001C7543"/>
    <w:rsid w:val="001C79C5"/>
    <w:rsid w:val="001C7CE1"/>
    <w:rsid w:val="001C7D08"/>
    <w:rsid w:val="001C7FB9"/>
    <w:rsid w:val="001D0110"/>
    <w:rsid w:val="001D018F"/>
    <w:rsid w:val="001D0551"/>
    <w:rsid w:val="001D08B3"/>
    <w:rsid w:val="001D0A0C"/>
    <w:rsid w:val="001D0A2D"/>
    <w:rsid w:val="001D0BFB"/>
    <w:rsid w:val="001D0C3F"/>
    <w:rsid w:val="001D0FE9"/>
    <w:rsid w:val="001D1AB6"/>
    <w:rsid w:val="001D1B18"/>
    <w:rsid w:val="001D2A57"/>
    <w:rsid w:val="001D2E51"/>
    <w:rsid w:val="001D3204"/>
    <w:rsid w:val="001D3235"/>
    <w:rsid w:val="001D3C9B"/>
    <w:rsid w:val="001D4838"/>
    <w:rsid w:val="001D4920"/>
    <w:rsid w:val="001D4C89"/>
    <w:rsid w:val="001D4DCB"/>
    <w:rsid w:val="001D4E2C"/>
    <w:rsid w:val="001D517C"/>
    <w:rsid w:val="001D53DD"/>
    <w:rsid w:val="001D546F"/>
    <w:rsid w:val="001D568D"/>
    <w:rsid w:val="001D574C"/>
    <w:rsid w:val="001D5CAE"/>
    <w:rsid w:val="001D5D94"/>
    <w:rsid w:val="001D601A"/>
    <w:rsid w:val="001D60EB"/>
    <w:rsid w:val="001D6250"/>
    <w:rsid w:val="001D62E7"/>
    <w:rsid w:val="001D65EF"/>
    <w:rsid w:val="001D66C0"/>
    <w:rsid w:val="001D679A"/>
    <w:rsid w:val="001D6933"/>
    <w:rsid w:val="001D69AF"/>
    <w:rsid w:val="001D6A0D"/>
    <w:rsid w:val="001D6BC8"/>
    <w:rsid w:val="001D6D90"/>
    <w:rsid w:val="001D70DC"/>
    <w:rsid w:val="001D7122"/>
    <w:rsid w:val="001D714A"/>
    <w:rsid w:val="001D72C4"/>
    <w:rsid w:val="001D78C3"/>
    <w:rsid w:val="001D791A"/>
    <w:rsid w:val="001D79BD"/>
    <w:rsid w:val="001D7D0B"/>
    <w:rsid w:val="001D7EE5"/>
    <w:rsid w:val="001E007F"/>
    <w:rsid w:val="001E0437"/>
    <w:rsid w:val="001E0550"/>
    <w:rsid w:val="001E06C3"/>
    <w:rsid w:val="001E0701"/>
    <w:rsid w:val="001E0794"/>
    <w:rsid w:val="001E0A72"/>
    <w:rsid w:val="001E0B07"/>
    <w:rsid w:val="001E0D57"/>
    <w:rsid w:val="001E0DAE"/>
    <w:rsid w:val="001E0E8D"/>
    <w:rsid w:val="001E191A"/>
    <w:rsid w:val="001E199C"/>
    <w:rsid w:val="001E1A30"/>
    <w:rsid w:val="001E1EB5"/>
    <w:rsid w:val="001E20DA"/>
    <w:rsid w:val="001E238B"/>
    <w:rsid w:val="001E2770"/>
    <w:rsid w:val="001E2ACA"/>
    <w:rsid w:val="001E2B2F"/>
    <w:rsid w:val="001E3CF8"/>
    <w:rsid w:val="001E3D9F"/>
    <w:rsid w:val="001E3EFF"/>
    <w:rsid w:val="001E3F2B"/>
    <w:rsid w:val="001E40A0"/>
    <w:rsid w:val="001E40FD"/>
    <w:rsid w:val="001E446E"/>
    <w:rsid w:val="001E44AA"/>
    <w:rsid w:val="001E459F"/>
    <w:rsid w:val="001E478E"/>
    <w:rsid w:val="001E4FA3"/>
    <w:rsid w:val="001E4FB1"/>
    <w:rsid w:val="001E5403"/>
    <w:rsid w:val="001E5543"/>
    <w:rsid w:val="001E5710"/>
    <w:rsid w:val="001E616F"/>
    <w:rsid w:val="001E626D"/>
    <w:rsid w:val="001E6967"/>
    <w:rsid w:val="001E730E"/>
    <w:rsid w:val="001E7B01"/>
    <w:rsid w:val="001E7D16"/>
    <w:rsid w:val="001E7E5D"/>
    <w:rsid w:val="001E7F5B"/>
    <w:rsid w:val="001F0137"/>
    <w:rsid w:val="001F02E2"/>
    <w:rsid w:val="001F08D3"/>
    <w:rsid w:val="001F0BAC"/>
    <w:rsid w:val="001F1455"/>
    <w:rsid w:val="001F1482"/>
    <w:rsid w:val="001F1783"/>
    <w:rsid w:val="001F19A7"/>
    <w:rsid w:val="001F1FCA"/>
    <w:rsid w:val="001F2029"/>
    <w:rsid w:val="001F21BE"/>
    <w:rsid w:val="001F2493"/>
    <w:rsid w:val="001F2850"/>
    <w:rsid w:val="001F2A99"/>
    <w:rsid w:val="001F3206"/>
    <w:rsid w:val="001F34D5"/>
    <w:rsid w:val="001F379C"/>
    <w:rsid w:val="001F3808"/>
    <w:rsid w:val="001F3C33"/>
    <w:rsid w:val="001F431E"/>
    <w:rsid w:val="001F46B7"/>
    <w:rsid w:val="001F4AD7"/>
    <w:rsid w:val="001F4BD9"/>
    <w:rsid w:val="001F50AD"/>
    <w:rsid w:val="001F5239"/>
    <w:rsid w:val="001F53B9"/>
    <w:rsid w:val="001F5500"/>
    <w:rsid w:val="001F57FF"/>
    <w:rsid w:val="001F58AE"/>
    <w:rsid w:val="001F5955"/>
    <w:rsid w:val="001F5F72"/>
    <w:rsid w:val="001F6065"/>
    <w:rsid w:val="001F6968"/>
    <w:rsid w:val="001F6A75"/>
    <w:rsid w:val="001F6B91"/>
    <w:rsid w:val="001F7006"/>
    <w:rsid w:val="001F7317"/>
    <w:rsid w:val="001F7555"/>
    <w:rsid w:val="001F7957"/>
    <w:rsid w:val="001F7DEA"/>
    <w:rsid w:val="00200042"/>
    <w:rsid w:val="0020078A"/>
    <w:rsid w:val="00200852"/>
    <w:rsid w:val="002010F0"/>
    <w:rsid w:val="00201149"/>
    <w:rsid w:val="00201165"/>
    <w:rsid w:val="00201186"/>
    <w:rsid w:val="002016AB"/>
    <w:rsid w:val="00201863"/>
    <w:rsid w:val="00201FCC"/>
    <w:rsid w:val="002021B7"/>
    <w:rsid w:val="0020239B"/>
    <w:rsid w:val="00202470"/>
    <w:rsid w:val="00202938"/>
    <w:rsid w:val="00202F0D"/>
    <w:rsid w:val="002035AD"/>
    <w:rsid w:val="00204055"/>
    <w:rsid w:val="0020428A"/>
    <w:rsid w:val="00204333"/>
    <w:rsid w:val="00204433"/>
    <w:rsid w:val="002044DA"/>
    <w:rsid w:val="0020451F"/>
    <w:rsid w:val="00204A07"/>
    <w:rsid w:val="002050C1"/>
    <w:rsid w:val="00205360"/>
    <w:rsid w:val="002054F0"/>
    <w:rsid w:val="00205C87"/>
    <w:rsid w:val="002062EF"/>
    <w:rsid w:val="00206580"/>
    <w:rsid w:val="00206678"/>
    <w:rsid w:val="00206EEA"/>
    <w:rsid w:val="00206FD6"/>
    <w:rsid w:val="0020708B"/>
    <w:rsid w:val="00207A7B"/>
    <w:rsid w:val="00207BA3"/>
    <w:rsid w:val="00207D88"/>
    <w:rsid w:val="00207E60"/>
    <w:rsid w:val="002100A6"/>
    <w:rsid w:val="002102E0"/>
    <w:rsid w:val="002106BD"/>
    <w:rsid w:val="00210A0E"/>
    <w:rsid w:val="00210CEC"/>
    <w:rsid w:val="00210D17"/>
    <w:rsid w:val="00210D4F"/>
    <w:rsid w:val="002112B7"/>
    <w:rsid w:val="00211639"/>
    <w:rsid w:val="002117CE"/>
    <w:rsid w:val="002119CF"/>
    <w:rsid w:val="00211BD3"/>
    <w:rsid w:val="00211E68"/>
    <w:rsid w:val="00211EA8"/>
    <w:rsid w:val="002120DB"/>
    <w:rsid w:val="002126B2"/>
    <w:rsid w:val="002126D9"/>
    <w:rsid w:val="0021289C"/>
    <w:rsid w:val="00212DC0"/>
    <w:rsid w:val="00212FEF"/>
    <w:rsid w:val="002133A4"/>
    <w:rsid w:val="002133DD"/>
    <w:rsid w:val="002139B8"/>
    <w:rsid w:val="00213CE7"/>
    <w:rsid w:val="00213DC7"/>
    <w:rsid w:val="00213FE5"/>
    <w:rsid w:val="002144DC"/>
    <w:rsid w:val="00214897"/>
    <w:rsid w:val="00214939"/>
    <w:rsid w:val="0021499E"/>
    <w:rsid w:val="00214A52"/>
    <w:rsid w:val="00214A83"/>
    <w:rsid w:val="00214EA4"/>
    <w:rsid w:val="00214F4E"/>
    <w:rsid w:val="00215540"/>
    <w:rsid w:val="00215979"/>
    <w:rsid w:val="002159C3"/>
    <w:rsid w:val="00215C4E"/>
    <w:rsid w:val="00215D04"/>
    <w:rsid w:val="00215DDB"/>
    <w:rsid w:val="00215E62"/>
    <w:rsid w:val="00215FDC"/>
    <w:rsid w:val="00216276"/>
    <w:rsid w:val="002163E3"/>
    <w:rsid w:val="002164B6"/>
    <w:rsid w:val="0021687A"/>
    <w:rsid w:val="00216B25"/>
    <w:rsid w:val="00216D92"/>
    <w:rsid w:val="00216E12"/>
    <w:rsid w:val="00217073"/>
    <w:rsid w:val="002170A0"/>
    <w:rsid w:val="002172C5"/>
    <w:rsid w:val="00217648"/>
    <w:rsid w:val="00217785"/>
    <w:rsid w:val="0021778B"/>
    <w:rsid w:val="0021787A"/>
    <w:rsid w:val="00217918"/>
    <w:rsid w:val="00217A4F"/>
    <w:rsid w:val="00217BE0"/>
    <w:rsid w:val="00217D23"/>
    <w:rsid w:val="00217D58"/>
    <w:rsid w:val="00217DCB"/>
    <w:rsid w:val="0022012F"/>
    <w:rsid w:val="0022080F"/>
    <w:rsid w:val="00220995"/>
    <w:rsid w:val="00220BC5"/>
    <w:rsid w:val="00220C98"/>
    <w:rsid w:val="00220FA2"/>
    <w:rsid w:val="00221775"/>
    <w:rsid w:val="00221882"/>
    <w:rsid w:val="00221A95"/>
    <w:rsid w:val="00221B4F"/>
    <w:rsid w:val="00221D3B"/>
    <w:rsid w:val="00221F78"/>
    <w:rsid w:val="002221C3"/>
    <w:rsid w:val="0022325B"/>
    <w:rsid w:val="00223356"/>
    <w:rsid w:val="0022363F"/>
    <w:rsid w:val="00223668"/>
    <w:rsid w:val="00223BB4"/>
    <w:rsid w:val="00223DC1"/>
    <w:rsid w:val="00223E1A"/>
    <w:rsid w:val="00223F08"/>
    <w:rsid w:val="00223FF8"/>
    <w:rsid w:val="00224155"/>
    <w:rsid w:val="0022476D"/>
    <w:rsid w:val="0022485A"/>
    <w:rsid w:val="0022498F"/>
    <w:rsid w:val="00224A01"/>
    <w:rsid w:val="00224D21"/>
    <w:rsid w:val="00224D3C"/>
    <w:rsid w:val="002250A3"/>
    <w:rsid w:val="0022544E"/>
    <w:rsid w:val="00225473"/>
    <w:rsid w:val="0022568F"/>
    <w:rsid w:val="002259E0"/>
    <w:rsid w:val="00225BFF"/>
    <w:rsid w:val="00225CB4"/>
    <w:rsid w:val="00226095"/>
    <w:rsid w:val="00226321"/>
    <w:rsid w:val="00226436"/>
    <w:rsid w:val="00226EE6"/>
    <w:rsid w:val="00227171"/>
    <w:rsid w:val="00227496"/>
    <w:rsid w:val="002275B6"/>
    <w:rsid w:val="002275EE"/>
    <w:rsid w:val="0022760C"/>
    <w:rsid w:val="00227A36"/>
    <w:rsid w:val="00230ED4"/>
    <w:rsid w:val="0023138D"/>
    <w:rsid w:val="0023143F"/>
    <w:rsid w:val="0023177B"/>
    <w:rsid w:val="00231A7E"/>
    <w:rsid w:val="00231B3A"/>
    <w:rsid w:val="00231E2D"/>
    <w:rsid w:val="00231F27"/>
    <w:rsid w:val="00231F5B"/>
    <w:rsid w:val="00232081"/>
    <w:rsid w:val="00232323"/>
    <w:rsid w:val="0023253E"/>
    <w:rsid w:val="00232699"/>
    <w:rsid w:val="0023295C"/>
    <w:rsid w:val="00232D05"/>
    <w:rsid w:val="00233203"/>
    <w:rsid w:val="0023335B"/>
    <w:rsid w:val="002334C5"/>
    <w:rsid w:val="00233556"/>
    <w:rsid w:val="00233754"/>
    <w:rsid w:val="00233A2A"/>
    <w:rsid w:val="00233ADE"/>
    <w:rsid w:val="00233D58"/>
    <w:rsid w:val="00233FED"/>
    <w:rsid w:val="00234195"/>
    <w:rsid w:val="002341E6"/>
    <w:rsid w:val="002348D2"/>
    <w:rsid w:val="002349F9"/>
    <w:rsid w:val="00234AFA"/>
    <w:rsid w:val="00234B78"/>
    <w:rsid w:val="00234E9B"/>
    <w:rsid w:val="00235211"/>
    <w:rsid w:val="00235217"/>
    <w:rsid w:val="002352F1"/>
    <w:rsid w:val="00235B23"/>
    <w:rsid w:val="00235B7B"/>
    <w:rsid w:val="00235D59"/>
    <w:rsid w:val="00236430"/>
    <w:rsid w:val="002367BF"/>
    <w:rsid w:val="00236929"/>
    <w:rsid w:val="00236BB6"/>
    <w:rsid w:val="00236BC1"/>
    <w:rsid w:val="00236DBB"/>
    <w:rsid w:val="0023712E"/>
    <w:rsid w:val="002376A1"/>
    <w:rsid w:val="002406F8"/>
    <w:rsid w:val="00240952"/>
    <w:rsid w:val="002409E7"/>
    <w:rsid w:val="00240CCD"/>
    <w:rsid w:val="00240E4C"/>
    <w:rsid w:val="002413C6"/>
    <w:rsid w:val="00241518"/>
    <w:rsid w:val="00241871"/>
    <w:rsid w:val="00241EF7"/>
    <w:rsid w:val="00242435"/>
    <w:rsid w:val="00242711"/>
    <w:rsid w:val="002428FF"/>
    <w:rsid w:val="00242EAC"/>
    <w:rsid w:val="00242EE2"/>
    <w:rsid w:val="0024314E"/>
    <w:rsid w:val="002431F3"/>
    <w:rsid w:val="002435CE"/>
    <w:rsid w:val="00243749"/>
    <w:rsid w:val="00243836"/>
    <w:rsid w:val="002438FF"/>
    <w:rsid w:val="0024399A"/>
    <w:rsid w:val="00243EC1"/>
    <w:rsid w:val="0024436B"/>
    <w:rsid w:val="00244577"/>
    <w:rsid w:val="0024466B"/>
    <w:rsid w:val="002447E7"/>
    <w:rsid w:val="0024495A"/>
    <w:rsid w:val="00244DCC"/>
    <w:rsid w:val="00244DD4"/>
    <w:rsid w:val="00245284"/>
    <w:rsid w:val="0024529F"/>
    <w:rsid w:val="002453E7"/>
    <w:rsid w:val="00245DC5"/>
    <w:rsid w:val="00246249"/>
    <w:rsid w:val="00246503"/>
    <w:rsid w:val="00246D1F"/>
    <w:rsid w:val="002470AA"/>
    <w:rsid w:val="00247102"/>
    <w:rsid w:val="002472DC"/>
    <w:rsid w:val="00247403"/>
    <w:rsid w:val="00247542"/>
    <w:rsid w:val="00247701"/>
    <w:rsid w:val="002479A1"/>
    <w:rsid w:val="002479E8"/>
    <w:rsid w:val="00250154"/>
    <w:rsid w:val="00250188"/>
    <w:rsid w:val="002501DF"/>
    <w:rsid w:val="002502FA"/>
    <w:rsid w:val="0025035A"/>
    <w:rsid w:val="002504A4"/>
    <w:rsid w:val="00250562"/>
    <w:rsid w:val="00250E0E"/>
    <w:rsid w:val="00250F6D"/>
    <w:rsid w:val="0025115D"/>
    <w:rsid w:val="002512A9"/>
    <w:rsid w:val="0025155D"/>
    <w:rsid w:val="00251815"/>
    <w:rsid w:val="00251AD4"/>
    <w:rsid w:val="00251C44"/>
    <w:rsid w:val="00251E70"/>
    <w:rsid w:val="00251F14"/>
    <w:rsid w:val="00252253"/>
    <w:rsid w:val="002525D7"/>
    <w:rsid w:val="00252808"/>
    <w:rsid w:val="002528A3"/>
    <w:rsid w:val="002529EF"/>
    <w:rsid w:val="00252CD9"/>
    <w:rsid w:val="00252D46"/>
    <w:rsid w:val="00252E62"/>
    <w:rsid w:val="00252F69"/>
    <w:rsid w:val="00253419"/>
    <w:rsid w:val="0025362D"/>
    <w:rsid w:val="0025368F"/>
    <w:rsid w:val="00253D89"/>
    <w:rsid w:val="00253ECD"/>
    <w:rsid w:val="00253F46"/>
    <w:rsid w:val="00253FE8"/>
    <w:rsid w:val="00254727"/>
    <w:rsid w:val="0025491D"/>
    <w:rsid w:val="00254BC3"/>
    <w:rsid w:val="00255A87"/>
    <w:rsid w:val="00255E75"/>
    <w:rsid w:val="002560A3"/>
    <w:rsid w:val="0025618D"/>
    <w:rsid w:val="002561F9"/>
    <w:rsid w:val="0025645E"/>
    <w:rsid w:val="002571C0"/>
    <w:rsid w:val="002571E1"/>
    <w:rsid w:val="0025721A"/>
    <w:rsid w:val="00257226"/>
    <w:rsid w:val="0025762A"/>
    <w:rsid w:val="0025788C"/>
    <w:rsid w:val="002579F1"/>
    <w:rsid w:val="00257E30"/>
    <w:rsid w:val="00260014"/>
    <w:rsid w:val="0026030B"/>
    <w:rsid w:val="00260324"/>
    <w:rsid w:val="0026036B"/>
    <w:rsid w:val="00260498"/>
    <w:rsid w:val="00260B9D"/>
    <w:rsid w:val="00261164"/>
    <w:rsid w:val="0026154A"/>
    <w:rsid w:val="00261C70"/>
    <w:rsid w:val="00261D46"/>
    <w:rsid w:val="00261FF3"/>
    <w:rsid w:val="002628DF"/>
    <w:rsid w:val="00262B65"/>
    <w:rsid w:val="00262F24"/>
    <w:rsid w:val="00262FE7"/>
    <w:rsid w:val="0026393D"/>
    <w:rsid w:val="002639B4"/>
    <w:rsid w:val="00263BA0"/>
    <w:rsid w:val="00263C9E"/>
    <w:rsid w:val="002648B6"/>
    <w:rsid w:val="0026496A"/>
    <w:rsid w:val="00264C08"/>
    <w:rsid w:val="00264D51"/>
    <w:rsid w:val="002652B1"/>
    <w:rsid w:val="00265475"/>
    <w:rsid w:val="00265763"/>
    <w:rsid w:val="00265864"/>
    <w:rsid w:val="00265875"/>
    <w:rsid w:val="00265979"/>
    <w:rsid w:val="00265CC8"/>
    <w:rsid w:val="00265E2F"/>
    <w:rsid w:val="00266228"/>
    <w:rsid w:val="00266B56"/>
    <w:rsid w:val="00266B61"/>
    <w:rsid w:val="0026712A"/>
    <w:rsid w:val="002676E2"/>
    <w:rsid w:val="00267BAC"/>
    <w:rsid w:val="00267EE9"/>
    <w:rsid w:val="00267FD8"/>
    <w:rsid w:val="002701C5"/>
    <w:rsid w:val="0027028C"/>
    <w:rsid w:val="002704DB"/>
    <w:rsid w:val="00270CCF"/>
    <w:rsid w:val="00270D43"/>
    <w:rsid w:val="00270E01"/>
    <w:rsid w:val="00271392"/>
    <w:rsid w:val="00271490"/>
    <w:rsid w:val="00272278"/>
    <w:rsid w:val="00272A9A"/>
    <w:rsid w:val="00272E96"/>
    <w:rsid w:val="00272FED"/>
    <w:rsid w:val="00273352"/>
    <w:rsid w:val="00273723"/>
    <w:rsid w:val="00273AAB"/>
    <w:rsid w:val="00273B48"/>
    <w:rsid w:val="00273C3E"/>
    <w:rsid w:val="00273D68"/>
    <w:rsid w:val="00274946"/>
    <w:rsid w:val="002749A5"/>
    <w:rsid w:val="00274F86"/>
    <w:rsid w:val="002752D3"/>
    <w:rsid w:val="00275A72"/>
    <w:rsid w:val="00275A82"/>
    <w:rsid w:val="002763AE"/>
    <w:rsid w:val="00276436"/>
    <w:rsid w:val="0027668F"/>
    <w:rsid w:val="0027673F"/>
    <w:rsid w:val="0027675D"/>
    <w:rsid w:val="00276B6F"/>
    <w:rsid w:val="00276CBA"/>
    <w:rsid w:val="00276D62"/>
    <w:rsid w:val="0027723F"/>
    <w:rsid w:val="00277379"/>
    <w:rsid w:val="002773C2"/>
    <w:rsid w:val="0027748E"/>
    <w:rsid w:val="002775FE"/>
    <w:rsid w:val="00277AC6"/>
    <w:rsid w:val="00277FA7"/>
    <w:rsid w:val="002802D8"/>
    <w:rsid w:val="00280503"/>
    <w:rsid w:val="00280702"/>
    <w:rsid w:val="00280936"/>
    <w:rsid w:val="00280D03"/>
    <w:rsid w:val="0028148D"/>
    <w:rsid w:val="00281754"/>
    <w:rsid w:val="002817B4"/>
    <w:rsid w:val="00281A16"/>
    <w:rsid w:val="002822DA"/>
    <w:rsid w:val="002826B4"/>
    <w:rsid w:val="00282B79"/>
    <w:rsid w:val="00282E05"/>
    <w:rsid w:val="0028341F"/>
    <w:rsid w:val="00283A12"/>
    <w:rsid w:val="00283C2C"/>
    <w:rsid w:val="00283F6A"/>
    <w:rsid w:val="002840C1"/>
    <w:rsid w:val="0028436C"/>
    <w:rsid w:val="002843AA"/>
    <w:rsid w:val="002845CB"/>
    <w:rsid w:val="00284873"/>
    <w:rsid w:val="002849E0"/>
    <w:rsid w:val="00284B8B"/>
    <w:rsid w:val="00284D12"/>
    <w:rsid w:val="00284DE8"/>
    <w:rsid w:val="002851FD"/>
    <w:rsid w:val="002854DD"/>
    <w:rsid w:val="00285591"/>
    <w:rsid w:val="002856B3"/>
    <w:rsid w:val="002856BB"/>
    <w:rsid w:val="00285772"/>
    <w:rsid w:val="0028583A"/>
    <w:rsid w:val="00285A63"/>
    <w:rsid w:val="00285A70"/>
    <w:rsid w:val="00285D52"/>
    <w:rsid w:val="00285F07"/>
    <w:rsid w:val="00285F63"/>
    <w:rsid w:val="002861AB"/>
    <w:rsid w:val="00286308"/>
    <w:rsid w:val="00286476"/>
    <w:rsid w:val="00286796"/>
    <w:rsid w:val="0028679F"/>
    <w:rsid w:val="002868D4"/>
    <w:rsid w:val="00286D5A"/>
    <w:rsid w:val="00287511"/>
    <w:rsid w:val="00287957"/>
    <w:rsid w:val="00287AD5"/>
    <w:rsid w:val="00287BD8"/>
    <w:rsid w:val="00290140"/>
    <w:rsid w:val="0029016B"/>
    <w:rsid w:val="00290E00"/>
    <w:rsid w:val="00290EA6"/>
    <w:rsid w:val="00291197"/>
    <w:rsid w:val="002915A4"/>
    <w:rsid w:val="00291690"/>
    <w:rsid w:val="00291852"/>
    <w:rsid w:val="002918D5"/>
    <w:rsid w:val="00291B27"/>
    <w:rsid w:val="00291C69"/>
    <w:rsid w:val="00291CB2"/>
    <w:rsid w:val="00291DD7"/>
    <w:rsid w:val="00291E29"/>
    <w:rsid w:val="00292A1B"/>
    <w:rsid w:val="00292AF9"/>
    <w:rsid w:val="0029305B"/>
    <w:rsid w:val="002933D1"/>
    <w:rsid w:val="00293632"/>
    <w:rsid w:val="002936AB"/>
    <w:rsid w:val="0029381F"/>
    <w:rsid w:val="00293886"/>
    <w:rsid w:val="002939B1"/>
    <w:rsid w:val="00293A69"/>
    <w:rsid w:val="00293BD4"/>
    <w:rsid w:val="002941C1"/>
    <w:rsid w:val="002949A6"/>
    <w:rsid w:val="00294A8A"/>
    <w:rsid w:val="00294BF5"/>
    <w:rsid w:val="00295580"/>
    <w:rsid w:val="00295B56"/>
    <w:rsid w:val="00295E72"/>
    <w:rsid w:val="00295E75"/>
    <w:rsid w:val="00295F6C"/>
    <w:rsid w:val="00296AD8"/>
    <w:rsid w:val="00296F9A"/>
    <w:rsid w:val="002978BD"/>
    <w:rsid w:val="002978D3"/>
    <w:rsid w:val="00297B06"/>
    <w:rsid w:val="00297DAC"/>
    <w:rsid w:val="002A0144"/>
    <w:rsid w:val="002A03BB"/>
    <w:rsid w:val="002A08CF"/>
    <w:rsid w:val="002A0AAE"/>
    <w:rsid w:val="002A0AE2"/>
    <w:rsid w:val="002A0C80"/>
    <w:rsid w:val="002A0ED4"/>
    <w:rsid w:val="002A0F05"/>
    <w:rsid w:val="002A1758"/>
    <w:rsid w:val="002A1897"/>
    <w:rsid w:val="002A1AEE"/>
    <w:rsid w:val="002A1D53"/>
    <w:rsid w:val="002A1DC1"/>
    <w:rsid w:val="002A22A6"/>
    <w:rsid w:val="002A2373"/>
    <w:rsid w:val="002A26A9"/>
    <w:rsid w:val="002A2830"/>
    <w:rsid w:val="002A29C5"/>
    <w:rsid w:val="002A2B81"/>
    <w:rsid w:val="002A2BB8"/>
    <w:rsid w:val="002A2C85"/>
    <w:rsid w:val="002A2FD2"/>
    <w:rsid w:val="002A3123"/>
    <w:rsid w:val="002A3139"/>
    <w:rsid w:val="002A34E1"/>
    <w:rsid w:val="002A357B"/>
    <w:rsid w:val="002A35C4"/>
    <w:rsid w:val="002A3A10"/>
    <w:rsid w:val="002A3EE3"/>
    <w:rsid w:val="002A3F12"/>
    <w:rsid w:val="002A41C3"/>
    <w:rsid w:val="002A4AC6"/>
    <w:rsid w:val="002A4AF0"/>
    <w:rsid w:val="002A4DAF"/>
    <w:rsid w:val="002A4E25"/>
    <w:rsid w:val="002A4FFC"/>
    <w:rsid w:val="002A51F5"/>
    <w:rsid w:val="002A5423"/>
    <w:rsid w:val="002A55D8"/>
    <w:rsid w:val="002A56D7"/>
    <w:rsid w:val="002A5820"/>
    <w:rsid w:val="002A58AC"/>
    <w:rsid w:val="002A5980"/>
    <w:rsid w:val="002A59D5"/>
    <w:rsid w:val="002A5E63"/>
    <w:rsid w:val="002A5F69"/>
    <w:rsid w:val="002A6012"/>
    <w:rsid w:val="002A60ED"/>
    <w:rsid w:val="002A62C7"/>
    <w:rsid w:val="002A6D47"/>
    <w:rsid w:val="002A6D6E"/>
    <w:rsid w:val="002A741D"/>
    <w:rsid w:val="002A75CD"/>
    <w:rsid w:val="002A760C"/>
    <w:rsid w:val="002A7867"/>
    <w:rsid w:val="002A7958"/>
    <w:rsid w:val="002A797C"/>
    <w:rsid w:val="002A7B21"/>
    <w:rsid w:val="002A7C3B"/>
    <w:rsid w:val="002B02DF"/>
    <w:rsid w:val="002B049F"/>
    <w:rsid w:val="002B1269"/>
    <w:rsid w:val="002B144E"/>
    <w:rsid w:val="002B1508"/>
    <w:rsid w:val="002B1FC1"/>
    <w:rsid w:val="002B2064"/>
    <w:rsid w:val="002B20C2"/>
    <w:rsid w:val="002B255A"/>
    <w:rsid w:val="002B265B"/>
    <w:rsid w:val="002B2684"/>
    <w:rsid w:val="002B26AA"/>
    <w:rsid w:val="002B26C1"/>
    <w:rsid w:val="002B2A30"/>
    <w:rsid w:val="002B31DE"/>
    <w:rsid w:val="002B3376"/>
    <w:rsid w:val="002B3710"/>
    <w:rsid w:val="002B38D3"/>
    <w:rsid w:val="002B3A7D"/>
    <w:rsid w:val="002B44BF"/>
    <w:rsid w:val="002B454A"/>
    <w:rsid w:val="002B4C45"/>
    <w:rsid w:val="002B4F84"/>
    <w:rsid w:val="002B5929"/>
    <w:rsid w:val="002B5C25"/>
    <w:rsid w:val="002B5C5B"/>
    <w:rsid w:val="002B5CA7"/>
    <w:rsid w:val="002B6194"/>
    <w:rsid w:val="002B65ED"/>
    <w:rsid w:val="002B6A63"/>
    <w:rsid w:val="002B6DE9"/>
    <w:rsid w:val="002B71EF"/>
    <w:rsid w:val="002B76B0"/>
    <w:rsid w:val="002B7912"/>
    <w:rsid w:val="002B79AD"/>
    <w:rsid w:val="002B7DEB"/>
    <w:rsid w:val="002B7ED9"/>
    <w:rsid w:val="002C0027"/>
    <w:rsid w:val="002C006D"/>
    <w:rsid w:val="002C0080"/>
    <w:rsid w:val="002C0102"/>
    <w:rsid w:val="002C045F"/>
    <w:rsid w:val="002C0A67"/>
    <w:rsid w:val="002C0B23"/>
    <w:rsid w:val="002C0D63"/>
    <w:rsid w:val="002C1573"/>
    <w:rsid w:val="002C15C4"/>
    <w:rsid w:val="002C1C29"/>
    <w:rsid w:val="002C1C64"/>
    <w:rsid w:val="002C1FF8"/>
    <w:rsid w:val="002C23A0"/>
    <w:rsid w:val="002C24AA"/>
    <w:rsid w:val="002C2904"/>
    <w:rsid w:val="002C2B7C"/>
    <w:rsid w:val="002C2BC3"/>
    <w:rsid w:val="002C2FAA"/>
    <w:rsid w:val="002C3390"/>
    <w:rsid w:val="002C33F8"/>
    <w:rsid w:val="002C34A2"/>
    <w:rsid w:val="002C34AB"/>
    <w:rsid w:val="002C34DC"/>
    <w:rsid w:val="002C3926"/>
    <w:rsid w:val="002C393D"/>
    <w:rsid w:val="002C3B14"/>
    <w:rsid w:val="002C4030"/>
    <w:rsid w:val="002C4287"/>
    <w:rsid w:val="002C42C4"/>
    <w:rsid w:val="002C4389"/>
    <w:rsid w:val="002C4A65"/>
    <w:rsid w:val="002C51E2"/>
    <w:rsid w:val="002C5523"/>
    <w:rsid w:val="002C591F"/>
    <w:rsid w:val="002C5D9D"/>
    <w:rsid w:val="002C5EAF"/>
    <w:rsid w:val="002C6225"/>
    <w:rsid w:val="002C633D"/>
    <w:rsid w:val="002C6433"/>
    <w:rsid w:val="002C64EE"/>
    <w:rsid w:val="002C65E0"/>
    <w:rsid w:val="002C6BCA"/>
    <w:rsid w:val="002C6EF4"/>
    <w:rsid w:val="002C708C"/>
    <w:rsid w:val="002C75D4"/>
    <w:rsid w:val="002C764F"/>
    <w:rsid w:val="002C7799"/>
    <w:rsid w:val="002C7A03"/>
    <w:rsid w:val="002C7A05"/>
    <w:rsid w:val="002D00ED"/>
    <w:rsid w:val="002D06E9"/>
    <w:rsid w:val="002D0721"/>
    <w:rsid w:val="002D15B4"/>
    <w:rsid w:val="002D1830"/>
    <w:rsid w:val="002D18B6"/>
    <w:rsid w:val="002D18D9"/>
    <w:rsid w:val="002D22FB"/>
    <w:rsid w:val="002D24B1"/>
    <w:rsid w:val="002D28A6"/>
    <w:rsid w:val="002D2B26"/>
    <w:rsid w:val="002D304E"/>
    <w:rsid w:val="002D31B6"/>
    <w:rsid w:val="002D3204"/>
    <w:rsid w:val="002D38A8"/>
    <w:rsid w:val="002D39A0"/>
    <w:rsid w:val="002D3B8F"/>
    <w:rsid w:val="002D3D48"/>
    <w:rsid w:val="002D432A"/>
    <w:rsid w:val="002D43E1"/>
    <w:rsid w:val="002D462C"/>
    <w:rsid w:val="002D491B"/>
    <w:rsid w:val="002D49D8"/>
    <w:rsid w:val="002D4A1A"/>
    <w:rsid w:val="002D5194"/>
    <w:rsid w:val="002D6432"/>
    <w:rsid w:val="002D6537"/>
    <w:rsid w:val="002D65D6"/>
    <w:rsid w:val="002D660F"/>
    <w:rsid w:val="002D67B6"/>
    <w:rsid w:val="002D6DFA"/>
    <w:rsid w:val="002D6FEA"/>
    <w:rsid w:val="002D7848"/>
    <w:rsid w:val="002D7C75"/>
    <w:rsid w:val="002D7E61"/>
    <w:rsid w:val="002D7EA2"/>
    <w:rsid w:val="002D7FF1"/>
    <w:rsid w:val="002E011E"/>
    <w:rsid w:val="002E02FF"/>
    <w:rsid w:val="002E06CC"/>
    <w:rsid w:val="002E07B0"/>
    <w:rsid w:val="002E0A05"/>
    <w:rsid w:val="002E1155"/>
    <w:rsid w:val="002E118C"/>
    <w:rsid w:val="002E11D8"/>
    <w:rsid w:val="002E1601"/>
    <w:rsid w:val="002E1727"/>
    <w:rsid w:val="002E17BB"/>
    <w:rsid w:val="002E1808"/>
    <w:rsid w:val="002E187C"/>
    <w:rsid w:val="002E20C2"/>
    <w:rsid w:val="002E214D"/>
    <w:rsid w:val="002E256E"/>
    <w:rsid w:val="002E2876"/>
    <w:rsid w:val="002E2970"/>
    <w:rsid w:val="002E2A8A"/>
    <w:rsid w:val="002E2B53"/>
    <w:rsid w:val="002E2BFD"/>
    <w:rsid w:val="002E2D5E"/>
    <w:rsid w:val="002E30E4"/>
    <w:rsid w:val="002E3978"/>
    <w:rsid w:val="002E3E41"/>
    <w:rsid w:val="002E4339"/>
    <w:rsid w:val="002E4B52"/>
    <w:rsid w:val="002E5390"/>
    <w:rsid w:val="002E5579"/>
    <w:rsid w:val="002E5624"/>
    <w:rsid w:val="002E583B"/>
    <w:rsid w:val="002E5999"/>
    <w:rsid w:val="002E5FBD"/>
    <w:rsid w:val="002E6725"/>
    <w:rsid w:val="002E67C3"/>
    <w:rsid w:val="002E67CD"/>
    <w:rsid w:val="002E68C8"/>
    <w:rsid w:val="002E6E9D"/>
    <w:rsid w:val="002E7000"/>
    <w:rsid w:val="002E709F"/>
    <w:rsid w:val="002E71E3"/>
    <w:rsid w:val="002E78CE"/>
    <w:rsid w:val="002E7AEA"/>
    <w:rsid w:val="002E7AFF"/>
    <w:rsid w:val="002E7B91"/>
    <w:rsid w:val="002E7C1A"/>
    <w:rsid w:val="002F02D3"/>
    <w:rsid w:val="002F07A3"/>
    <w:rsid w:val="002F085C"/>
    <w:rsid w:val="002F0CCD"/>
    <w:rsid w:val="002F0FB2"/>
    <w:rsid w:val="002F1132"/>
    <w:rsid w:val="002F1177"/>
    <w:rsid w:val="002F1768"/>
    <w:rsid w:val="002F1DF4"/>
    <w:rsid w:val="002F1ED2"/>
    <w:rsid w:val="002F1F9B"/>
    <w:rsid w:val="002F225F"/>
    <w:rsid w:val="002F2480"/>
    <w:rsid w:val="002F250C"/>
    <w:rsid w:val="002F26D5"/>
    <w:rsid w:val="002F2D34"/>
    <w:rsid w:val="002F2EE9"/>
    <w:rsid w:val="002F307E"/>
    <w:rsid w:val="002F3247"/>
    <w:rsid w:val="002F3964"/>
    <w:rsid w:val="002F39BC"/>
    <w:rsid w:val="002F3CDA"/>
    <w:rsid w:val="002F3D36"/>
    <w:rsid w:val="002F3DE9"/>
    <w:rsid w:val="002F3F97"/>
    <w:rsid w:val="002F3FD1"/>
    <w:rsid w:val="002F440F"/>
    <w:rsid w:val="002F464F"/>
    <w:rsid w:val="002F4708"/>
    <w:rsid w:val="002F4755"/>
    <w:rsid w:val="002F485D"/>
    <w:rsid w:val="002F4876"/>
    <w:rsid w:val="002F4A1F"/>
    <w:rsid w:val="002F4E0D"/>
    <w:rsid w:val="002F4E25"/>
    <w:rsid w:val="002F5526"/>
    <w:rsid w:val="002F56DC"/>
    <w:rsid w:val="002F596C"/>
    <w:rsid w:val="002F5A8D"/>
    <w:rsid w:val="002F5C30"/>
    <w:rsid w:val="002F5DAF"/>
    <w:rsid w:val="002F5EF7"/>
    <w:rsid w:val="002F5F89"/>
    <w:rsid w:val="002F6296"/>
    <w:rsid w:val="002F63F9"/>
    <w:rsid w:val="002F69BB"/>
    <w:rsid w:val="002F6F78"/>
    <w:rsid w:val="002F7046"/>
    <w:rsid w:val="003005A7"/>
    <w:rsid w:val="0030082A"/>
    <w:rsid w:val="00300DE6"/>
    <w:rsid w:val="00300F64"/>
    <w:rsid w:val="00301489"/>
    <w:rsid w:val="003016B9"/>
    <w:rsid w:val="003017B6"/>
    <w:rsid w:val="0030185C"/>
    <w:rsid w:val="003018E5"/>
    <w:rsid w:val="00301E20"/>
    <w:rsid w:val="00301F70"/>
    <w:rsid w:val="003021A5"/>
    <w:rsid w:val="00302347"/>
    <w:rsid w:val="00302733"/>
    <w:rsid w:val="00302A64"/>
    <w:rsid w:val="00302DD3"/>
    <w:rsid w:val="00302F2C"/>
    <w:rsid w:val="003032E4"/>
    <w:rsid w:val="00303319"/>
    <w:rsid w:val="00303433"/>
    <w:rsid w:val="003034B3"/>
    <w:rsid w:val="003034CE"/>
    <w:rsid w:val="003036B5"/>
    <w:rsid w:val="003037F0"/>
    <w:rsid w:val="00303974"/>
    <w:rsid w:val="003039F4"/>
    <w:rsid w:val="0030433B"/>
    <w:rsid w:val="003045D6"/>
    <w:rsid w:val="00304768"/>
    <w:rsid w:val="00304A46"/>
    <w:rsid w:val="00304AD9"/>
    <w:rsid w:val="00304CFD"/>
    <w:rsid w:val="0030512D"/>
    <w:rsid w:val="00305309"/>
    <w:rsid w:val="00305470"/>
    <w:rsid w:val="00305918"/>
    <w:rsid w:val="00305956"/>
    <w:rsid w:val="00305D7F"/>
    <w:rsid w:val="00305E4F"/>
    <w:rsid w:val="00305F49"/>
    <w:rsid w:val="00305FAB"/>
    <w:rsid w:val="0030616D"/>
    <w:rsid w:val="003063B2"/>
    <w:rsid w:val="00306486"/>
    <w:rsid w:val="003067CA"/>
    <w:rsid w:val="00306880"/>
    <w:rsid w:val="00306C37"/>
    <w:rsid w:val="00306E40"/>
    <w:rsid w:val="00306F10"/>
    <w:rsid w:val="0030711D"/>
    <w:rsid w:val="00307920"/>
    <w:rsid w:val="00307B49"/>
    <w:rsid w:val="00307EE5"/>
    <w:rsid w:val="003100F4"/>
    <w:rsid w:val="0031045A"/>
    <w:rsid w:val="003106C3"/>
    <w:rsid w:val="003109BF"/>
    <w:rsid w:val="00310F57"/>
    <w:rsid w:val="0031128E"/>
    <w:rsid w:val="003112A9"/>
    <w:rsid w:val="00311790"/>
    <w:rsid w:val="0031181D"/>
    <w:rsid w:val="00311901"/>
    <w:rsid w:val="003119AD"/>
    <w:rsid w:val="00311C12"/>
    <w:rsid w:val="00311EFE"/>
    <w:rsid w:val="00312253"/>
    <w:rsid w:val="003122F4"/>
    <w:rsid w:val="00312593"/>
    <w:rsid w:val="003126ED"/>
    <w:rsid w:val="003128E4"/>
    <w:rsid w:val="00312979"/>
    <w:rsid w:val="003129F0"/>
    <w:rsid w:val="00312F2F"/>
    <w:rsid w:val="00312F89"/>
    <w:rsid w:val="00312F99"/>
    <w:rsid w:val="0031367E"/>
    <w:rsid w:val="00313A8E"/>
    <w:rsid w:val="00313AD6"/>
    <w:rsid w:val="00313F08"/>
    <w:rsid w:val="00314078"/>
    <w:rsid w:val="00314765"/>
    <w:rsid w:val="00314791"/>
    <w:rsid w:val="00314834"/>
    <w:rsid w:val="00314836"/>
    <w:rsid w:val="00314901"/>
    <w:rsid w:val="00314A30"/>
    <w:rsid w:val="00314A7F"/>
    <w:rsid w:val="0031515E"/>
    <w:rsid w:val="00315471"/>
    <w:rsid w:val="0031575A"/>
    <w:rsid w:val="00316487"/>
    <w:rsid w:val="00316517"/>
    <w:rsid w:val="00316E88"/>
    <w:rsid w:val="00316F2E"/>
    <w:rsid w:val="00316FB5"/>
    <w:rsid w:val="003170EA"/>
    <w:rsid w:val="00317250"/>
    <w:rsid w:val="003173B1"/>
    <w:rsid w:val="003173E4"/>
    <w:rsid w:val="00317BFE"/>
    <w:rsid w:val="00317EC9"/>
    <w:rsid w:val="0032049A"/>
    <w:rsid w:val="003209F5"/>
    <w:rsid w:val="00321576"/>
    <w:rsid w:val="0032165A"/>
    <w:rsid w:val="003216F4"/>
    <w:rsid w:val="0032186D"/>
    <w:rsid w:val="00321A20"/>
    <w:rsid w:val="00321C42"/>
    <w:rsid w:val="003222B3"/>
    <w:rsid w:val="00322497"/>
    <w:rsid w:val="003229C1"/>
    <w:rsid w:val="00322BA6"/>
    <w:rsid w:val="00323190"/>
    <w:rsid w:val="003231D4"/>
    <w:rsid w:val="00323215"/>
    <w:rsid w:val="00323253"/>
    <w:rsid w:val="0032363A"/>
    <w:rsid w:val="00323C5F"/>
    <w:rsid w:val="00323E46"/>
    <w:rsid w:val="00323EA4"/>
    <w:rsid w:val="0032412C"/>
    <w:rsid w:val="00324254"/>
    <w:rsid w:val="00324343"/>
    <w:rsid w:val="00324432"/>
    <w:rsid w:val="003247D2"/>
    <w:rsid w:val="00324DE2"/>
    <w:rsid w:val="0032515D"/>
    <w:rsid w:val="003252C8"/>
    <w:rsid w:val="00325747"/>
    <w:rsid w:val="0032576C"/>
    <w:rsid w:val="00325794"/>
    <w:rsid w:val="0032594F"/>
    <w:rsid w:val="00325B5A"/>
    <w:rsid w:val="00326114"/>
    <w:rsid w:val="00326392"/>
    <w:rsid w:val="003264ED"/>
    <w:rsid w:val="003265A7"/>
    <w:rsid w:val="00326665"/>
    <w:rsid w:val="00326775"/>
    <w:rsid w:val="003269D9"/>
    <w:rsid w:val="00326A29"/>
    <w:rsid w:val="00326CE8"/>
    <w:rsid w:val="003273FC"/>
    <w:rsid w:val="0032749A"/>
    <w:rsid w:val="003274CA"/>
    <w:rsid w:val="003274F4"/>
    <w:rsid w:val="00327595"/>
    <w:rsid w:val="003275B4"/>
    <w:rsid w:val="00327BA0"/>
    <w:rsid w:val="00327BFD"/>
    <w:rsid w:val="00327C4D"/>
    <w:rsid w:val="00330140"/>
    <w:rsid w:val="00330266"/>
    <w:rsid w:val="003302A4"/>
    <w:rsid w:val="00330504"/>
    <w:rsid w:val="00330B2C"/>
    <w:rsid w:val="00330CFA"/>
    <w:rsid w:val="00330F9A"/>
    <w:rsid w:val="00330FB1"/>
    <w:rsid w:val="00331015"/>
    <w:rsid w:val="00331547"/>
    <w:rsid w:val="003315CA"/>
    <w:rsid w:val="0033169F"/>
    <w:rsid w:val="003316AF"/>
    <w:rsid w:val="00331756"/>
    <w:rsid w:val="00331880"/>
    <w:rsid w:val="00331B98"/>
    <w:rsid w:val="00331D6B"/>
    <w:rsid w:val="00331DB6"/>
    <w:rsid w:val="00331E5D"/>
    <w:rsid w:val="0033267B"/>
    <w:rsid w:val="00332983"/>
    <w:rsid w:val="00332C85"/>
    <w:rsid w:val="003332ED"/>
    <w:rsid w:val="00333392"/>
    <w:rsid w:val="00333430"/>
    <w:rsid w:val="003338C1"/>
    <w:rsid w:val="00333AB7"/>
    <w:rsid w:val="00333B27"/>
    <w:rsid w:val="003340F9"/>
    <w:rsid w:val="00334139"/>
    <w:rsid w:val="00334281"/>
    <w:rsid w:val="003346C8"/>
    <w:rsid w:val="00334A3E"/>
    <w:rsid w:val="00334B5B"/>
    <w:rsid w:val="003351CA"/>
    <w:rsid w:val="00335F96"/>
    <w:rsid w:val="00336068"/>
    <w:rsid w:val="0033611B"/>
    <w:rsid w:val="003363EF"/>
    <w:rsid w:val="00336412"/>
    <w:rsid w:val="003367AD"/>
    <w:rsid w:val="00336DBE"/>
    <w:rsid w:val="00336E99"/>
    <w:rsid w:val="00337307"/>
    <w:rsid w:val="003375BD"/>
    <w:rsid w:val="00337624"/>
    <w:rsid w:val="00337BAC"/>
    <w:rsid w:val="00337D8A"/>
    <w:rsid w:val="003401E5"/>
    <w:rsid w:val="003402C6"/>
    <w:rsid w:val="003403D3"/>
    <w:rsid w:val="00340417"/>
    <w:rsid w:val="003409C6"/>
    <w:rsid w:val="00340E9B"/>
    <w:rsid w:val="00341046"/>
    <w:rsid w:val="003410BD"/>
    <w:rsid w:val="0034137A"/>
    <w:rsid w:val="00341693"/>
    <w:rsid w:val="00341959"/>
    <w:rsid w:val="003419A1"/>
    <w:rsid w:val="00341A2D"/>
    <w:rsid w:val="00341A55"/>
    <w:rsid w:val="00341C8E"/>
    <w:rsid w:val="00341D78"/>
    <w:rsid w:val="00341D8B"/>
    <w:rsid w:val="00342026"/>
    <w:rsid w:val="00342457"/>
    <w:rsid w:val="003424A0"/>
    <w:rsid w:val="003429AA"/>
    <w:rsid w:val="00342A5D"/>
    <w:rsid w:val="00343226"/>
    <w:rsid w:val="00343559"/>
    <w:rsid w:val="00343BE6"/>
    <w:rsid w:val="00343DA6"/>
    <w:rsid w:val="00344699"/>
    <w:rsid w:val="00344A5B"/>
    <w:rsid w:val="00344A84"/>
    <w:rsid w:val="00344E9A"/>
    <w:rsid w:val="003450CB"/>
    <w:rsid w:val="00345593"/>
    <w:rsid w:val="0034594D"/>
    <w:rsid w:val="00345A36"/>
    <w:rsid w:val="00345FA9"/>
    <w:rsid w:val="00346183"/>
    <w:rsid w:val="0034641D"/>
    <w:rsid w:val="00346643"/>
    <w:rsid w:val="0034677E"/>
    <w:rsid w:val="0034698F"/>
    <w:rsid w:val="00346C95"/>
    <w:rsid w:val="00346D29"/>
    <w:rsid w:val="00346D2B"/>
    <w:rsid w:val="00347065"/>
    <w:rsid w:val="00347342"/>
    <w:rsid w:val="0034738C"/>
    <w:rsid w:val="003473A0"/>
    <w:rsid w:val="00347717"/>
    <w:rsid w:val="00347AA1"/>
    <w:rsid w:val="00347B81"/>
    <w:rsid w:val="003500CC"/>
    <w:rsid w:val="00350137"/>
    <w:rsid w:val="00350803"/>
    <w:rsid w:val="003508CD"/>
    <w:rsid w:val="00350CF0"/>
    <w:rsid w:val="00350FEF"/>
    <w:rsid w:val="00351021"/>
    <w:rsid w:val="003510D6"/>
    <w:rsid w:val="00351147"/>
    <w:rsid w:val="003513C8"/>
    <w:rsid w:val="003513F0"/>
    <w:rsid w:val="00351467"/>
    <w:rsid w:val="00351681"/>
    <w:rsid w:val="003518C0"/>
    <w:rsid w:val="0035200C"/>
    <w:rsid w:val="00352033"/>
    <w:rsid w:val="003523EE"/>
    <w:rsid w:val="003527E2"/>
    <w:rsid w:val="003528C1"/>
    <w:rsid w:val="0035295D"/>
    <w:rsid w:val="00352C95"/>
    <w:rsid w:val="00352E67"/>
    <w:rsid w:val="00352F12"/>
    <w:rsid w:val="003533E0"/>
    <w:rsid w:val="00353503"/>
    <w:rsid w:val="0035379E"/>
    <w:rsid w:val="00353892"/>
    <w:rsid w:val="00353946"/>
    <w:rsid w:val="00353972"/>
    <w:rsid w:val="00353E3C"/>
    <w:rsid w:val="003543CE"/>
    <w:rsid w:val="00354A4D"/>
    <w:rsid w:val="00354E25"/>
    <w:rsid w:val="00354E59"/>
    <w:rsid w:val="0035504C"/>
    <w:rsid w:val="003550D4"/>
    <w:rsid w:val="00355188"/>
    <w:rsid w:val="003555B8"/>
    <w:rsid w:val="00355769"/>
    <w:rsid w:val="003557B2"/>
    <w:rsid w:val="003557C8"/>
    <w:rsid w:val="003558F5"/>
    <w:rsid w:val="003559ED"/>
    <w:rsid w:val="00355A42"/>
    <w:rsid w:val="00355A43"/>
    <w:rsid w:val="00355E3E"/>
    <w:rsid w:val="00356185"/>
    <w:rsid w:val="003561A3"/>
    <w:rsid w:val="0035634C"/>
    <w:rsid w:val="003564C6"/>
    <w:rsid w:val="00357157"/>
    <w:rsid w:val="0035729D"/>
    <w:rsid w:val="00357486"/>
    <w:rsid w:val="00357600"/>
    <w:rsid w:val="00357AB2"/>
    <w:rsid w:val="00357E90"/>
    <w:rsid w:val="00357EBE"/>
    <w:rsid w:val="00357FAB"/>
    <w:rsid w:val="00360380"/>
    <w:rsid w:val="00360575"/>
    <w:rsid w:val="00360991"/>
    <w:rsid w:val="00360DF4"/>
    <w:rsid w:val="00360DF5"/>
    <w:rsid w:val="00360DF6"/>
    <w:rsid w:val="00360E13"/>
    <w:rsid w:val="00360EC9"/>
    <w:rsid w:val="00360F78"/>
    <w:rsid w:val="003616FA"/>
    <w:rsid w:val="00361940"/>
    <w:rsid w:val="00361E5F"/>
    <w:rsid w:val="00361F65"/>
    <w:rsid w:val="0036247E"/>
    <w:rsid w:val="0036249D"/>
    <w:rsid w:val="003624CE"/>
    <w:rsid w:val="00362560"/>
    <w:rsid w:val="0036281C"/>
    <w:rsid w:val="0036287E"/>
    <w:rsid w:val="003628E9"/>
    <w:rsid w:val="00362A2B"/>
    <w:rsid w:val="00362A5E"/>
    <w:rsid w:val="00362AE8"/>
    <w:rsid w:val="00363772"/>
    <w:rsid w:val="0036385B"/>
    <w:rsid w:val="003639E7"/>
    <w:rsid w:val="00363A3F"/>
    <w:rsid w:val="00363B69"/>
    <w:rsid w:val="00364165"/>
    <w:rsid w:val="003645B4"/>
    <w:rsid w:val="003647A1"/>
    <w:rsid w:val="003649EB"/>
    <w:rsid w:val="00364AC9"/>
    <w:rsid w:val="00364D74"/>
    <w:rsid w:val="00364DAE"/>
    <w:rsid w:val="00364E00"/>
    <w:rsid w:val="0036502F"/>
    <w:rsid w:val="0036510E"/>
    <w:rsid w:val="003652AB"/>
    <w:rsid w:val="0036599E"/>
    <w:rsid w:val="00365CF7"/>
    <w:rsid w:val="00365EB8"/>
    <w:rsid w:val="0036618F"/>
    <w:rsid w:val="003661B2"/>
    <w:rsid w:val="0036634F"/>
    <w:rsid w:val="0036651A"/>
    <w:rsid w:val="00366ADD"/>
    <w:rsid w:val="00366DDF"/>
    <w:rsid w:val="00366FF2"/>
    <w:rsid w:val="003670E7"/>
    <w:rsid w:val="003675E5"/>
    <w:rsid w:val="0036776F"/>
    <w:rsid w:val="00367BDC"/>
    <w:rsid w:val="00367C3F"/>
    <w:rsid w:val="00367E2C"/>
    <w:rsid w:val="00367E54"/>
    <w:rsid w:val="00370085"/>
    <w:rsid w:val="003701D9"/>
    <w:rsid w:val="00370353"/>
    <w:rsid w:val="00371214"/>
    <w:rsid w:val="0037187B"/>
    <w:rsid w:val="00371913"/>
    <w:rsid w:val="003719DF"/>
    <w:rsid w:val="00371A6F"/>
    <w:rsid w:val="00372131"/>
    <w:rsid w:val="003722AA"/>
    <w:rsid w:val="003724A9"/>
    <w:rsid w:val="0037278A"/>
    <w:rsid w:val="00372870"/>
    <w:rsid w:val="00372A1A"/>
    <w:rsid w:val="00372A97"/>
    <w:rsid w:val="00372B1B"/>
    <w:rsid w:val="00373626"/>
    <w:rsid w:val="00373675"/>
    <w:rsid w:val="003737DD"/>
    <w:rsid w:val="003738D7"/>
    <w:rsid w:val="00373A0C"/>
    <w:rsid w:val="00373B73"/>
    <w:rsid w:val="00373C1C"/>
    <w:rsid w:val="00373E57"/>
    <w:rsid w:val="003742C8"/>
    <w:rsid w:val="003742D2"/>
    <w:rsid w:val="00374597"/>
    <w:rsid w:val="00374654"/>
    <w:rsid w:val="00374692"/>
    <w:rsid w:val="0037480D"/>
    <w:rsid w:val="0037498B"/>
    <w:rsid w:val="00374B7D"/>
    <w:rsid w:val="00374E7F"/>
    <w:rsid w:val="003754C8"/>
    <w:rsid w:val="003757D0"/>
    <w:rsid w:val="00375C0E"/>
    <w:rsid w:val="00375C1E"/>
    <w:rsid w:val="00375D8A"/>
    <w:rsid w:val="00376037"/>
    <w:rsid w:val="003760F3"/>
    <w:rsid w:val="00376490"/>
    <w:rsid w:val="0037686A"/>
    <w:rsid w:val="00376B3E"/>
    <w:rsid w:val="00376D82"/>
    <w:rsid w:val="00377287"/>
    <w:rsid w:val="00377585"/>
    <w:rsid w:val="003779B8"/>
    <w:rsid w:val="00377B58"/>
    <w:rsid w:val="00377CE5"/>
    <w:rsid w:val="003800B9"/>
    <w:rsid w:val="0038019B"/>
    <w:rsid w:val="003803A8"/>
    <w:rsid w:val="00380743"/>
    <w:rsid w:val="00380AEC"/>
    <w:rsid w:val="00380B64"/>
    <w:rsid w:val="00380BCE"/>
    <w:rsid w:val="00380DD1"/>
    <w:rsid w:val="00380DFA"/>
    <w:rsid w:val="00380F5B"/>
    <w:rsid w:val="00381110"/>
    <w:rsid w:val="00381275"/>
    <w:rsid w:val="0038158C"/>
    <w:rsid w:val="003818C1"/>
    <w:rsid w:val="003819B8"/>
    <w:rsid w:val="00381C61"/>
    <w:rsid w:val="00382761"/>
    <w:rsid w:val="00382A14"/>
    <w:rsid w:val="00382BC9"/>
    <w:rsid w:val="00382C39"/>
    <w:rsid w:val="0038307F"/>
    <w:rsid w:val="003831A0"/>
    <w:rsid w:val="00383551"/>
    <w:rsid w:val="003835A1"/>
    <w:rsid w:val="003835B2"/>
    <w:rsid w:val="003836AB"/>
    <w:rsid w:val="00383FF6"/>
    <w:rsid w:val="00384606"/>
    <w:rsid w:val="00384754"/>
    <w:rsid w:val="00384D4E"/>
    <w:rsid w:val="00384E4C"/>
    <w:rsid w:val="00385269"/>
    <w:rsid w:val="00385C70"/>
    <w:rsid w:val="00385DF9"/>
    <w:rsid w:val="00386545"/>
    <w:rsid w:val="003865FC"/>
    <w:rsid w:val="003867B5"/>
    <w:rsid w:val="0038683C"/>
    <w:rsid w:val="003868E9"/>
    <w:rsid w:val="00386A5A"/>
    <w:rsid w:val="00386A9E"/>
    <w:rsid w:val="00386CF0"/>
    <w:rsid w:val="00386DC5"/>
    <w:rsid w:val="00386F16"/>
    <w:rsid w:val="00387210"/>
    <w:rsid w:val="00387697"/>
    <w:rsid w:val="00387929"/>
    <w:rsid w:val="00387A24"/>
    <w:rsid w:val="00387B9A"/>
    <w:rsid w:val="00387E8F"/>
    <w:rsid w:val="00387FC1"/>
    <w:rsid w:val="003900E6"/>
    <w:rsid w:val="003905DC"/>
    <w:rsid w:val="00390688"/>
    <w:rsid w:val="0039082B"/>
    <w:rsid w:val="00390877"/>
    <w:rsid w:val="00390C07"/>
    <w:rsid w:val="00390CF8"/>
    <w:rsid w:val="00390E1A"/>
    <w:rsid w:val="00391051"/>
    <w:rsid w:val="0039120B"/>
    <w:rsid w:val="003912A6"/>
    <w:rsid w:val="00391E81"/>
    <w:rsid w:val="00392130"/>
    <w:rsid w:val="003921AA"/>
    <w:rsid w:val="003922B2"/>
    <w:rsid w:val="003929D0"/>
    <w:rsid w:val="00392E4C"/>
    <w:rsid w:val="003930A2"/>
    <w:rsid w:val="00393272"/>
    <w:rsid w:val="00393329"/>
    <w:rsid w:val="00393445"/>
    <w:rsid w:val="00393448"/>
    <w:rsid w:val="0039344F"/>
    <w:rsid w:val="00393575"/>
    <w:rsid w:val="003935EE"/>
    <w:rsid w:val="00393769"/>
    <w:rsid w:val="00393872"/>
    <w:rsid w:val="0039440A"/>
    <w:rsid w:val="00394901"/>
    <w:rsid w:val="00394AF9"/>
    <w:rsid w:val="00394C3D"/>
    <w:rsid w:val="00394CD0"/>
    <w:rsid w:val="00394E1F"/>
    <w:rsid w:val="00395131"/>
    <w:rsid w:val="003951C8"/>
    <w:rsid w:val="0039521B"/>
    <w:rsid w:val="00395583"/>
    <w:rsid w:val="00395C27"/>
    <w:rsid w:val="00395D74"/>
    <w:rsid w:val="0039652B"/>
    <w:rsid w:val="0039660E"/>
    <w:rsid w:val="003966C1"/>
    <w:rsid w:val="003966C4"/>
    <w:rsid w:val="00396E3C"/>
    <w:rsid w:val="00397012"/>
    <w:rsid w:val="003970C8"/>
    <w:rsid w:val="003974DF"/>
    <w:rsid w:val="0039767F"/>
    <w:rsid w:val="003978EF"/>
    <w:rsid w:val="00397AFA"/>
    <w:rsid w:val="00397C9F"/>
    <w:rsid w:val="00397CEF"/>
    <w:rsid w:val="003A06CF"/>
    <w:rsid w:val="003A113D"/>
    <w:rsid w:val="003A174E"/>
    <w:rsid w:val="003A1CAB"/>
    <w:rsid w:val="003A1D79"/>
    <w:rsid w:val="003A2270"/>
    <w:rsid w:val="003A2506"/>
    <w:rsid w:val="003A27F6"/>
    <w:rsid w:val="003A2A49"/>
    <w:rsid w:val="003A2B0E"/>
    <w:rsid w:val="003A2EFC"/>
    <w:rsid w:val="003A2F41"/>
    <w:rsid w:val="003A31E7"/>
    <w:rsid w:val="003A3ACF"/>
    <w:rsid w:val="003A41F2"/>
    <w:rsid w:val="003A4255"/>
    <w:rsid w:val="003A431E"/>
    <w:rsid w:val="003A458A"/>
    <w:rsid w:val="003A4815"/>
    <w:rsid w:val="003A4996"/>
    <w:rsid w:val="003A4CCF"/>
    <w:rsid w:val="003A54A9"/>
    <w:rsid w:val="003A557C"/>
    <w:rsid w:val="003A5852"/>
    <w:rsid w:val="003A58E2"/>
    <w:rsid w:val="003A5933"/>
    <w:rsid w:val="003A5976"/>
    <w:rsid w:val="003A5B8E"/>
    <w:rsid w:val="003A5CF9"/>
    <w:rsid w:val="003A5F00"/>
    <w:rsid w:val="003A5F02"/>
    <w:rsid w:val="003A61C6"/>
    <w:rsid w:val="003A6220"/>
    <w:rsid w:val="003A6675"/>
    <w:rsid w:val="003A66F0"/>
    <w:rsid w:val="003A6A82"/>
    <w:rsid w:val="003A6E09"/>
    <w:rsid w:val="003A6F51"/>
    <w:rsid w:val="003A7106"/>
    <w:rsid w:val="003A723B"/>
    <w:rsid w:val="003A724A"/>
    <w:rsid w:val="003A74BB"/>
    <w:rsid w:val="003A7814"/>
    <w:rsid w:val="003A7971"/>
    <w:rsid w:val="003A7C0D"/>
    <w:rsid w:val="003A7E29"/>
    <w:rsid w:val="003A7FA8"/>
    <w:rsid w:val="003B0471"/>
    <w:rsid w:val="003B0584"/>
    <w:rsid w:val="003B08C7"/>
    <w:rsid w:val="003B0A7F"/>
    <w:rsid w:val="003B0C66"/>
    <w:rsid w:val="003B0CA0"/>
    <w:rsid w:val="003B1328"/>
    <w:rsid w:val="003B16AC"/>
    <w:rsid w:val="003B197C"/>
    <w:rsid w:val="003B1B1C"/>
    <w:rsid w:val="003B1D11"/>
    <w:rsid w:val="003B1E2E"/>
    <w:rsid w:val="003B1E51"/>
    <w:rsid w:val="003B2285"/>
    <w:rsid w:val="003B23B6"/>
    <w:rsid w:val="003B26A4"/>
    <w:rsid w:val="003B298B"/>
    <w:rsid w:val="003B2B17"/>
    <w:rsid w:val="003B2EC0"/>
    <w:rsid w:val="003B3094"/>
    <w:rsid w:val="003B3146"/>
    <w:rsid w:val="003B396A"/>
    <w:rsid w:val="003B3A0B"/>
    <w:rsid w:val="003B3CD9"/>
    <w:rsid w:val="003B3D0B"/>
    <w:rsid w:val="003B451A"/>
    <w:rsid w:val="003B4572"/>
    <w:rsid w:val="003B486C"/>
    <w:rsid w:val="003B49DF"/>
    <w:rsid w:val="003B4DAF"/>
    <w:rsid w:val="003B5118"/>
    <w:rsid w:val="003B52CE"/>
    <w:rsid w:val="003B56B1"/>
    <w:rsid w:val="003B5823"/>
    <w:rsid w:val="003B595A"/>
    <w:rsid w:val="003B59D9"/>
    <w:rsid w:val="003B5E55"/>
    <w:rsid w:val="003B6528"/>
    <w:rsid w:val="003B6713"/>
    <w:rsid w:val="003B6C36"/>
    <w:rsid w:val="003B6D3A"/>
    <w:rsid w:val="003B71FF"/>
    <w:rsid w:val="003B771B"/>
    <w:rsid w:val="003B78A3"/>
    <w:rsid w:val="003B7910"/>
    <w:rsid w:val="003B7AD5"/>
    <w:rsid w:val="003B7B5D"/>
    <w:rsid w:val="003B7E4E"/>
    <w:rsid w:val="003B7E9C"/>
    <w:rsid w:val="003B7EF5"/>
    <w:rsid w:val="003C090B"/>
    <w:rsid w:val="003C0A19"/>
    <w:rsid w:val="003C0BEF"/>
    <w:rsid w:val="003C11BA"/>
    <w:rsid w:val="003C18BC"/>
    <w:rsid w:val="003C1A9C"/>
    <w:rsid w:val="003C1AFC"/>
    <w:rsid w:val="003C2014"/>
    <w:rsid w:val="003C251B"/>
    <w:rsid w:val="003C27AA"/>
    <w:rsid w:val="003C2A17"/>
    <w:rsid w:val="003C2A78"/>
    <w:rsid w:val="003C2AB0"/>
    <w:rsid w:val="003C2AB7"/>
    <w:rsid w:val="003C2ABC"/>
    <w:rsid w:val="003C2C51"/>
    <w:rsid w:val="003C2D4B"/>
    <w:rsid w:val="003C2EF9"/>
    <w:rsid w:val="003C2F4A"/>
    <w:rsid w:val="003C3010"/>
    <w:rsid w:val="003C3634"/>
    <w:rsid w:val="003C3C82"/>
    <w:rsid w:val="003C3FB0"/>
    <w:rsid w:val="003C431B"/>
    <w:rsid w:val="003C464D"/>
    <w:rsid w:val="003C48A0"/>
    <w:rsid w:val="003C4A42"/>
    <w:rsid w:val="003C4B22"/>
    <w:rsid w:val="003C50A4"/>
    <w:rsid w:val="003C5129"/>
    <w:rsid w:val="003C5224"/>
    <w:rsid w:val="003C5489"/>
    <w:rsid w:val="003C579E"/>
    <w:rsid w:val="003C5B0F"/>
    <w:rsid w:val="003C5C5D"/>
    <w:rsid w:val="003C5F03"/>
    <w:rsid w:val="003C676B"/>
    <w:rsid w:val="003C6815"/>
    <w:rsid w:val="003C7130"/>
    <w:rsid w:val="003C73C4"/>
    <w:rsid w:val="003C7470"/>
    <w:rsid w:val="003C7713"/>
    <w:rsid w:val="003C77DC"/>
    <w:rsid w:val="003C7A03"/>
    <w:rsid w:val="003C7A3E"/>
    <w:rsid w:val="003C7BD0"/>
    <w:rsid w:val="003C7C62"/>
    <w:rsid w:val="003C7F06"/>
    <w:rsid w:val="003D113D"/>
    <w:rsid w:val="003D1347"/>
    <w:rsid w:val="003D139E"/>
    <w:rsid w:val="003D13EF"/>
    <w:rsid w:val="003D1521"/>
    <w:rsid w:val="003D1851"/>
    <w:rsid w:val="003D19F6"/>
    <w:rsid w:val="003D1A7D"/>
    <w:rsid w:val="003D1A88"/>
    <w:rsid w:val="003D1FF6"/>
    <w:rsid w:val="003D207D"/>
    <w:rsid w:val="003D28C3"/>
    <w:rsid w:val="003D290E"/>
    <w:rsid w:val="003D2B70"/>
    <w:rsid w:val="003D2BA6"/>
    <w:rsid w:val="003D2C70"/>
    <w:rsid w:val="003D2F7A"/>
    <w:rsid w:val="003D30EC"/>
    <w:rsid w:val="003D319A"/>
    <w:rsid w:val="003D3BC2"/>
    <w:rsid w:val="003D3BED"/>
    <w:rsid w:val="003D42E9"/>
    <w:rsid w:val="003D439F"/>
    <w:rsid w:val="003D4461"/>
    <w:rsid w:val="003D4573"/>
    <w:rsid w:val="003D45CD"/>
    <w:rsid w:val="003D4A75"/>
    <w:rsid w:val="003D4D12"/>
    <w:rsid w:val="003D4D71"/>
    <w:rsid w:val="003D508F"/>
    <w:rsid w:val="003D5097"/>
    <w:rsid w:val="003D5135"/>
    <w:rsid w:val="003D59E3"/>
    <w:rsid w:val="003D5B20"/>
    <w:rsid w:val="003D6089"/>
    <w:rsid w:val="003D6240"/>
    <w:rsid w:val="003D63EB"/>
    <w:rsid w:val="003D64EB"/>
    <w:rsid w:val="003D679D"/>
    <w:rsid w:val="003D6899"/>
    <w:rsid w:val="003D722F"/>
    <w:rsid w:val="003D7A6C"/>
    <w:rsid w:val="003D7B49"/>
    <w:rsid w:val="003D7BAA"/>
    <w:rsid w:val="003E01DC"/>
    <w:rsid w:val="003E0275"/>
    <w:rsid w:val="003E0724"/>
    <w:rsid w:val="003E0811"/>
    <w:rsid w:val="003E0EC0"/>
    <w:rsid w:val="003E1053"/>
    <w:rsid w:val="003E111D"/>
    <w:rsid w:val="003E151B"/>
    <w:rsid w:val="003E1A21"/>
    <w:rsid w:val="003E22FD"/>
    <w:rsid w:val="003E2556"/>
    <w:rsid w:val="003E2978"/>
    <w:rsid w:val="003E2B6D"/>
    <w:rsid w:val="003E2CF6"/>
    <w:rsid w:val="003E315B"/>
    <w:rsid w:val="003E36E8"/>
    <w:rsid w:val="003E3BF9"/>
    <w:rsid w:val="003E3DAA"/>
    <w:rsid w:val="003E3EAA"/>
    <w:rsid w:val="003E40BD"/>
    <w:rsid w:val="003E41AB"/>
    <w:rsid w:val="003E515A"/>
    <w:rsid w:val="003E52CE"/>
    <w:rsid w:val="003E5416"/>
    <w:rsid w:val="003E5438"/>
    <w:rsid w:val="003E5767"/>
    <w:rsid w:val="003E5B35"/>
    <w:rsid w:val="003E5E7F"/>
    <w:rsid w:val="003E63E0"/>
    <w:rsid w:val="003E653B"/>
    <w:rsid w:val="003E6604"/>
    <w:rsid w:val="003E67DE"/>
    <w:rsid w:val="003E6A99"/>
    <w:rsid w:val="003E6B54"/>
    <w:rsid w:val="003E6B60"/>
    <w:rsid w:val="003E6CA1"/>
    <w:rsid w:val="003E6D73"/>
    <w:rsid w:val="003E6F59"/>
    <w:rsid w:val="003E7128"/>
    <w:rsid w:val="003E73F9"/>
    <w:rsid w:val="003E74F1"/>
    <w:rsid w:val="003E761C"/>
    <w:rsid w:val="003E7ACD"/>
    <w:rsid w:val="003E7B74"/>
    <w:rsid w:val="003F007D"/>
    <w:rsid w:val="003F0888"/>
    <w:rsid w:val="003F09B3"/>
    <w:rsid w:val="003F0E4E"/>
    <w:rsid w:val="003F153A"/>
    <w:rsid w:val="003F17F3"/>
    <w:rsid w:val="003F1959"/>
    <w:rsid w:val="003F1A19"/>
    <w:rsid w:val="003F2149"/>
    <w:rsid w:val="003F245F"/>
    <w:rsid w:val="003F2712"/>
    <w:rsid w:val="003F2A42"/>
    <w:rsid w:val="003F2A5C"/>
    <w:rsid w:val="003F2AEF"/>
    <w:rsid w:val="003F2E36"/>
    <w:rsid w:val="003F2ED2"/>
    <w:rsid w:val="003F329E"/>
    <w:rsid w:val="003F3396"/>
    <w:rsid w:val="003F342F"/>
    <w:rsid w:val="003F38EE"/>
    <w:rsid w:val="003F38F1"/>
    <w:rsid w:val="003F39E7"/>
    <w:rsid w:val="003F3A91"/>
    <w:rsid w:val="003F3AD6"/>
    <w:rsid w:val="003F3C02"/>
    <w:rsid w:val="003F3CFA"/>
    <w:rsid w:val="003F3FBF"/>
    <w:rsid w:val="003F439C"/>
    <w:rsid w:val="003F4456"/>
    <w:rsid w:val="003F44DD"/>
    <w:rsid w:val="003F4531"/>
    <w:rsid w:val="003F46B5"/>
    <w:rsid w:val="003F47C5"/>
    <w:rsid w:val="003F49E4"/>
    <w:rsid w:val="003F4A56"/>
    <w:rsid w:val="003F4DA9"/>
    <w:rsid w:val="003F4F6B"/>
    <w:rsid w:val="003F4FFA"/>
    <w:rsid w:val="003F501E"/>
    <w:rsid w:val="003F54E0"/>
    <w:rsid w:val="003F5758"/>
    <w:rsid w:val="003F5ABB"/>
    <w:rsid w:val="003F5AEF"/>
    <w:rsid w:val="003F5BA5"/>
    <w:rsid w:val="003F5DBC"/>
    <w:rsid w:val="003F6293"/>
    <w:rsid w:val="003F6338"/>
    <w:rsid w:val="003F638A"/>
    <w:rsid w:val="003F6439"/>
    <w:rsid w:val="003F6738"/>
    <w:rsid w:val="003F6984"/>
    <w:rsid w:val="003F6E8F"/>
    <w:rsid w:val="003F6F0C"/>
    <w:rsid w:val="003F706E"/>
    <w:rsid w:val="003F7539"/>
    <w:rsid w:val="003F7E40"/>
    <w:rsid w:val="003F7F73"/>
    <w:rsid w:val="003F7FAD"/>
    <w:rsid w:val="004001F4"/>
    <w:rsid w:val="0040034D"/>
    <w:rsid w:val="004003F0"/>
    <w:rsid w:val="004003F5"/>
    <w:rsid w:val="00400678"/>
    <w:rsid w:val="004007C2"/>
    <w:rsid w:val="004009FC"/>
    <w:rsid w:val="00400AEF"/>
    <w:rsid w:val="00400C45"/>
    <w:rsid w:val="00400F7F"/>
    <w:rsid w:val="004010B0"/>
    <w:rsid w:val="004011E9"/>
    <w:rsid w:val="00401967"/>
    <w:rsid w:val="00401A7F"/>
    <w:rsid w:val="00401D09"/>
    <w:rsid w:val="00402035"/>
    <w:rsid w:val="0040277E"/>
    <w:rsid w:val="00402AC2"/>
    <w:rsid w:val="0040313F"/>
    <w:rsid w:val="004031DE"/>
    <w:rsid w:val="00403818"/>
    <w:rsid w:val="004040DA"/>
    <w:rsid w:val="004042F4"/>
    <w:rsid w:val="0040438E"/>
    <w:rsid w:val="00404395"/>
    <w:rsid w:val="00404399"/>
    <w:rsid w:val="0040441C"/>
    <w:rsid w:val="00404812"/>
    <w:rsid w:val="00404E55"/>
    <w:rsid w:val="00404F46"/>
    <w:rsid w:val="00404FE6"/>
    <w:rsid w:val="00405361"/>
    <w:rsid w:val="0040594E"/>
    <w:rsid w:val="00405A32"/>
    <w:rsid w:val="00405A3D"/>
    <w:rsid w:val="00405BC8"/>
    <w:rsid w:val="00405C29"/>
    <w:rsid w:val="00406039"/>
    <w:rsid w:val="00406215"/>
    <w:rsid w:val="00406CB5"/>
    <w:rsid w:val="00406F64"/>
    <w:rsid w:val="004079F1"/>
    <w:rsid w:val="00407A34"/>
    <w:rsid w:val="00407EFB"/>
    <w:rsid w:val="004102E9"/>
    <w:rsid w:val="0041047E"/>
    <w:rsid w:val="004106B4"/>
    <w:rsid w:val="00410A7A"/>
    <w:rsid w:val="00410B38"/>
    <w:rsid w:val="00411767"/>
    <w:rsid w:val="004119AE"/>
    <w:rsid w:val="00411AA4"/>
    <w:rsid w:val="0041202A"/>
    <w:rsid w:val="00412250"/>
    <w:rsid w:val="00412267"/>
    <w:rsid w:val="004127C5"/>
    <w:rsid w:val="00412C81"/>
    <w:rsid w:val="00412C9A"/>
    <w:rsid w:val="0041306A"/>
    <w:rsid w:val="004131B4"/>
    <w:rsid w:val="004138E9"/>
    <w:rsid w:val="00413AFD"/>
    <w:rsid w:val="00413C9E"/>
    <w:rsid w:val="00413CE4"/>
    <w:rsid w:val="00413DF4"/>
    <w:rsid w:val="00413F89"/>
    <w:rsid w:val="00414181"/>
    <w:rsid w:val="00414227"/>
    <w:rsid w:val="00414291"/>
    <w:rsid w:val="0041491C"/>
    <w:rsid w:val="00414E80"/>
    <w:rsid w:val="00415135"/>
    <w:rsid w:val="0041541E"/>
    <w:rsid w:val="004154FF"/>
    <w:rsid w:val="0041575D"/>
    <w:rsid w:val="00415BBD"/>
    <w:rsid w:val="0041616C"/>
    <w:rsid w:val="00416215"/>
    <w:rsid w:val="00416470"/>
    <w:rsid w:val="004165C2"/>
    <w:rsid w:val="0041672D"/>
    <w:rsid w:val="00416ADC"/>
    <w:rsid w:val="00416B51"/>
    <w:rsid w:val="00416D81"/>
    <w:rsid w:val="00416EFD"/>
    <w:rsid w:val="004170C6"/>
    <w:rsid w:val="00417460"/>
    <w:rsid w:val="00417692"/>
    <w:rsid w:val="0041778C"/>
    <w:rsid w:val="0041782F"/>
    <w:rsid w:val="00417966"/>
    <w:rsid w:val="00417AC6"/>
    <w:rsid w:val="00417C85"/>
    <w:rsid w:val="00417CBD"/>
    <w:rsid w:val="00417E46"/>
    <w:rsid w:val="00417E6F"/>
    <w:rsid w:val="0042041E"/>
    <w:rsid w:val="00420489"/>
    <w:rsid w:val="004205DD"/>
    <w:rsid w:val="004208A5"/>
    <w:rsid w:val="00420BA6"/>
    <w:rsid w:val="00420BC3"/>
    <w:rsid w:val="0042105C"/>
    <w:rsid w:val="00421205"/>
    <w:rsid w:val="0042136A"/>
    <w:rsid w:val="00421621"/>
    <w:rsid w:val="004216C5"/>
    <w:rsid w:val="00421995"/>
    <w:rsid w:val="00421A18"/>
    <w:rsid w:val="00421EFD"/>
    <w:rsid w:val="0042208B"/>
    <w:rsid w:val="004224B7"/>
    <w:rsid w:val="00422594"/>
    <w:rsid w:val="004225F7"/>
    <w:rsid w:val="0042274D"/>
    <w:rsid w:val="004227C6"/>
    <w:rsid w:val="00422E2F"/>
    <w:rsid w:val="0042303C"/>
    <w:rsid w:val="004231F7"/>
    <w:rsid w:val="00423A73"/>
    <w:rsid w:val="00423B60"/>
    <w:rsid w:val="00423D15"/>
    <w:rsid w:val="00424118"/>
    <w:rsid w:val="00424433"/>
    <w:rsid w:val="00424452"/>
    <w:rsid w:val="00424806"/>
    <w:rsid w:val="00424962"/>
    <w:rsid w:val="00424BA4"/>
    <w:rsid w:val="00424BAB"/>
    <w:rsid w:val="00424CB5"/>
    <w:rsid w:val="00424CF7"/>
    <w:rsid w:val="00424E79"/>
    <w:rsid w:val="00424EA8"/>
    <w:rsid w:val="0042533D"/>
    <w:rsid w:val="00425426"/>
    <w:rsid w:val="004254C0"/>
    <w:rsid w:val="00425563"/>
    <w:rsid w:val="0042566E"/>
    <w:rsid w:val="004257BA"/>
    <w:rsid w:val="00425D56"/>
    <w:rsid w:val="00425F29"/>
    <w:rsid w:val="00426021"/>
    <w:rsid w:val="004261C8"/>
    <w:rsid w:val="00426453"/>
    <w:rsid w:val="004265E4"/>
    <w:rsid w:val="0042699F"/>
    <w:rsid w:val="00426CA6"/>
    <w:rsid w:val="00426CF0"/>
    <w:rsid w:val="00426F7D"/>
    <w:rsid w:val="004270D6"/>
    <w:rsid w:val="00427486"/>
    <w:rsid w:val="00427868"/>
    <w:rsid w:val="00427A2E"/>
    <w:rsid w:val="00427B6E"/>
    <w:rsid w:val="00427BBB"/>
    <w:rsid w:val="00427F30"/>
    <w:rsid w:val="004301DB"/>
    <w:rsid w:val="004301E0"/>
    <w:rsid w:val="00430576"/>
    <w:rsid w:val="00430739"/>
    <w:rsid w:val="0043088F"/>
    <w:rsid w:val="004308D1"/>
    <w:rsid w:val="00430A11"/>
    <w:rsid w:val="004314FA"/>
    <w:rsid w:val="00431F79"/>
    <w:rsid w:val="00431FF9"/>
    <w:rsid w:val="004322D9"/>
    <w:rsid w:val="0043231F"/>
    <w:rsid w:val="0043250E"/>
    <w:rsid w:val="0043280F"/>
    <w:rsid w:val="00432898"/>
    <w:rsid w:val="00432899"/>
    <w:rsid w:val="00432994"/>
    <w:rsid w:val="00432C81"/>
    <w:rsid w:val="0043310F"/>
    <w:rsid w:val="004332D8"/>
    <w:rsid w:val="00433664"/>
    <w:rsid w:val="00433818"/>
    <w:rsid w:val="0043397E"/>
    <w:rsid w:val="00433AF2"/>
    <w:rsid w:val="00433C97"/>
    <w:rsid w:val="004343C2"/>
    <w:rsid w:val="0043456A"/>
    <w:rsid w:val="00434630"/>
    <w:rsid w:val="00434785"/>
    <w:rsid w:val="004347ED"/>
    <w:rsid w:val="00434849"/>
    <w:rsid w:val="004348D0"/>
    <w:rsid w:val="00434AC3"/>
    <w:rsid w:val="00434D64"/>
    <w:rsid w:val="00435092"/>
    <w:rsid w:val="00435148"/>
    <w:rsid w:val="00435241"/>
    <w:rsid w:val="00435797"/>
    <w:rsid w:val="00435BC8"/>
    <w:rsid w:val="00435E08"/>
    <w:rsid w:val="004363AB"/>
    <w:rsid w:val="00436503"/>
    <w:rsid w:val="00436E99"/>
    <w:rsid w:val="00436FF4"/>
    <w:rsid w:val="0043708E"/>
    <w:rsid w:val="00437367"/>
    <w:rsid w:val="00437845"/>
    <w:rsid w:val="004378F2"/>
    <w:rsid w:val="004378FB"/>
    <w:rsid w:val="00437BE0"/>
    <w:rsid w:val="00437CB9"/>
    <w:rsid w:val="00437D43"/>
    <w:rsid w:val="00437E1C"/>
    <w:rsid w:val="00437E20"/>
    <w:rsid w:val="00437FE1"/>
    <w:rsid w:val="0044020E"/>
    <w:rsid w:val="004403AC"/>
    <w:rsid w:val="004405C0"/>
    <w:rsid w:val="004406C7"/>
    <w:rsid w:val="0044075A"/>
    <w:rsid w:val="0044079F"/>
    <w:rsid w:val="0044096C"/>
    <w:rsid w:val="00440B67"/>
    <w:rsid w:val="00440D99"/>
    <w:rsid w:val="00440F62"/>
    <w:rsid w:val="004410E8"/>
    <w:rsid w:val="00441200"/>
    <w:rsid w:val="0044121F"/>
    <w:rsid w:val="00441522"/>
    <w:rsid w:val="004417F8"/>
    <w:rsid w:val="00441AA4"/>
    <w:rsid w:val="00441BB1"/>
    <w:rsid w:val="00441ECB"/>
    <w:rsid w:val="0044249C"/>
    <w:rsid w:val="004424FF"/>
    <w:rsid w:val="00442850"/>
    <w:rsid w:val="004429C4"/>
    <w:rsid w:val="00442B7F"/>
    <w:rsid w:val="00442BFB"/>
    <w:rsid w:val="00442F24"/>
    <w:rsid w:val="00443419"/>
    <w:rsid w:val="00443644"/>
    <w:rsid w:val="00443954"/>
    <w:rsid w:val="00443D9D"/>
    <w:rsid w:val="00444095"/>
    <w:rsid w:val="00444265"/>
    <w:rsid w:val="0044444F"/>
    <w:rsid w:val="00444461"/>
    <w:rsid w:val="00444BE3"/>
    <w:rsid w:val="00444C04"/>
    <w:rsid w:val="00444E38"/>
    <w:rsid w:val="004450B3"/>
    <w:rsid w:val="004451A2"/>
    <w:rsid w:val="00445262"/>
    <w:rsid w:val="00445FE0"/>
    <w:rsid w:val="00446174"/>
    <w:rsid w:val="00446198"/>
    <w:rsid w:val="004461C6"/>
    <w:rsid w:val="00446A1B"/>
    <w:rsid w:val="00446A4A"/>
    <w:rsid w:val="00447155"/>
    <w:rsid w:val="00447215"/>
    <w:rsid w:val="004472B3"/>
    <w:rsid w:val="004473DA"/>
    <w:rsid w:val="0044774D"/>
    <w:rsid w:val="004479D4"/>
    <w:rsid w:val="00447A0A"/>
    <w:rsid w:val="00447D51"/>
    <w:rsid w:val="00447F13"/>
    <w:rsid w:val="00450A47"/>
    <w:rsid w:val="00450CA7"/>
    <w:rsid w:val="00450EE8"/>
    <w:rsid w:val="0045185C"/>
    <w:rsid w:val="0045203F"/>
    <w:rsid w:val="004523F2"/>
    <w:rsid w:val="00453268"/>
    <w:rsid w:val="004538B2"/>
    <w:rsid w:val="00453BE6"/>
    <w:rsid w:val="00453C42"/>
    <w:rsid w:val="00453E6F"/>
    <w:rsid w:val="00454F14"/>
    <w:rsid w:val="004551A8"/>
    <w:rsid w:val="004557E0"/>
    <w:rsid w:val="00455AC0"/>
    <w:rsid w:val="00455C5C"/>
    <w:rsid w:val="00455C89"/>
    <w:rsid w:val="00455FF0"/>
    <w:rsid w:val="004562A5"/>
    <w:rsid w:val="004563A6"/>
    <w:rsid w:val="0045640E"/>
    <w:rsid w:val="0045661F"/>
    <w:rsid w:val="0045690B"/>
    <w:rsid w:val="00456C1F"/>
    <w:rsid w:val="00456CCA"/>
    <w:rsid w:val="004571E7"/>
    <w:rsid w:val="0045758B"/>
    <w:rsid w:val="0045771C"/>
    <w:rsid w:val="0045788B"/>
    <w:rsid w:val="00457A3B"/>
    <w:rsid w:val="00457DA5"/>
    <w:rsid w:val="004601D7"/>
    <w:rsid w:val="00460327"/>
    <w:rsid w:val="004604B5"/>
    <w:rsid w:val="00460A17"/>
    <w:rsid w:val="00460DDD"/>
    <w:rsid w:val="004610A9"/>
    <w:rsid w:val="004611CE"/>
    <w:rsid w:val="0046125C"/>
    <w:rsid w:val="0046192F"/>
    <w:rsid w:val="00462414"/>
    <w:rsid w:val="0046247F"/>
    <w:rsid w:val="00462771"/>
    <w:rsid w:val="00462B59"/>
    <w:rsid w:val="00462D95"/>
    <w:rsid w:val="00462F00"/>
    <w:rsid w:val="00462F66"/>
    <w:rsid w:val="00462FE6"/>
    <w:rsid w:val="004630DE"/>
    <w:rsid w:val="00463106"/>
    <w:rsid w:val="004636CE"/>
    <w:rsid w:val="00463AB9"/>
    <w:rsid w:val="00463C21"/>
    <w:rsid w:val="00463C4C"/>
    <w:rsid w:val="00463D1C"/>
    <w:rsid w:val="00464741"/>
    <w:rsid w:val="00464949"/>
    <w:rsid w:val="00464B09"/>
    <w:rsid w:val="00464BB4"/>
    <w:rsid w:val="00464E29"/>
    <w:rsid w:val="0046538D"/>
    <w:rsid w:val="0046545E"/>
    <w:rsid w:val="00466158"/>
    <w:rsid w:val="004664F9"/>
    <w:rsid w:val="004668D6"/>
    <w:rsid w:val="004668DA"/>
    <w:rsid w:val="00466977"/>
    <w:rsid w:val="004669A8"/>
    <w:rsid w:val="00466D04"/>
    <w:rsid w:val="00466F31"/>
    <w:rsid w:val="004671C7"/>
    <w:rsid w:val="00467534"/>
    <w:rsid w:val="00467B7E"/>
    <w:rsid w:val="00467D54"/>
    <w:rsid w:val="00470046"/>
    <w:rsid w:val="00470053"/>
    <w:rsid w:val="0047017B"/>
    <w:rsid w:val="00470193"/>
    <w:rsid w:val="0047063A"/>
    <w:rsid w:val="004706B2"/>
    <w:rsid w:val="004709B0"/>
    <w:rsid w:val="00470B7D"/>
    <w:rsid w:val="00470DAF"/>
    <w:rsid w:val="00470E85"/>
    <w:rsid w:val="004710B3"/>
    <w:rsid w:val="004711FE"/>
    <w:rsid w:val="0047125D"/>
    <w:rsid w:val="00471322"/>
    <w:rsid w:val="0047147B"/>
    <w:rsid w:val="00471484"/>
    <w:rsid w:val="0047196C"/>
    <w:rsid w:val="004719AA"/>
    <w:rsid w:val="004719E3"/>
    <w:rsid w:val="004719E4"/>
    <w:rsid w:val="00471A37"/>
    <w:rsid w:val="00471E58"/>
    <w:rsid w:val="004720AD"/>
    <w:rsid w:val="00472759"/>
    <w:rsid w:val="0047286F"/>
    <w:rsid w:val="00472A16"/>
    <w:rsid w:val="00472C8A"/>
    <w:rsid w:val="00472CC8"/>
    <w:rsid w:val="00473632"/>
    <w:rsid w:val="00473B36"/>
    <w:rsid w:val="00473B4A"/>
    <w:rsid w:val="00474277"/>
    <w:rsid w:val="0047462B"/>
    <w:rsid w:val="00474A08"/>
    <w:rsid w:val="00474B8A"/>
    <w:rsid w:val="00474D13"/>
    <w:rsid w:val="0047509E"/>
    <w:rsid w:val="0047544B"/>
    <w:rsid w:val="00475EA8"/>
    <w:rsid w:val="004762C7"/>
    <w:rsid w:val="00476335"/>
    <w:rsid w:val="0047664A"/>
    <w:rsid w:val="004768CB"/>
    <w:rsid w:val="00476BE0"/>
    <w:rsid w:val="0047724B"/>
    <w:rsid w:val="004772A6"/>
    <w:rsid w:val="00477592"/>
    <w:rsid w:val="0047785D"/>
    <w:rsid w:val="00477AC5"/>
    <w:rsid w:val="00480377"/>
    <w:rsid w:val="004806EB"/>
    <w:rsid w:val="0048083C"/>
    <w:rsid w:val="00480A29"/>
    <w:rsid w:val="00480BE6"/>
    <w:rsid w:val="00480CDD"/>
    <w:rsid w:val="00480D60"/>
    <w:rsid w:val="00480E41"/>
    <w:rsid w:val="00480FFA"/>
    <w:rsid w:val="004810D5"/>
    <w:rsid w:val="00481138"/>
    <w:rsid w:val="004812FD"/>
    <w:rsid w:val="004813E2"/>
    <w:rsid w:val="00481581"/>
    <w:rsid w:val="004821E1"/>
    <w:rsid w:val="00482575"/>
    <w:rsid w:val="004825DA"/>
    <w:rsid w:val="004826DF"/>
    <w:rsid w:val="00482A68"/>
    <w:rsid w:val="00482C5C"/>
    <w:rsid w:val="00482E64"/>
    <w:rsid w:val="0048309F"/>
    <w:rsid w:val="004837BD"/>
    <w:rsid w:val="0048391F"/>
    <w:rsid w:val="00483AF1"/>
    <w:rsid w:val="00483BF2"/>
    <w:rsid w:val="00484645"/>
    <w:rsid w:val="004846C0"/>
    <w:rsid w:val="00484838"/>
    <w:rsid w:val="00484BE1"/>
    <w:rsid w:val="00484DFB"/>
    <w:rsid w:val="0048532F"/>
    <w:rsid w:val="004853CA"/>
    <w:rsid w:val="004854D9"/>
    <w:rsid w:val="0048585D"/>
    <w:rsid w:val="004859F8"/>
    <w:rsid w:val="00485F16"/>
    <w:rsid w:val="004862FF"/>
    <w:rsid w:val="0048630E"/>
    <w:rsid w:val="00486431"/>
    <w:rsid w:val="0048643B"/>
    <w:rsid w:val="0048659E"/>
    <w:rsid w:val="004866AE"/>
    <w:rsid w:val="004868C6"/>
    <w:rsid w:val="00486F1C"/>
    <w:rsid w:val="00486FF7"/>
    <w:rsid w:val="00487237"/>
    <w:rsid w:val="00487781"/>
    <w:rsid w:val="004879A8"/>
    <w:rsid w:val="004879E6"/>
    <w:rsid w:val="00487A9D"/>
    <w:rsid w:val="00490384"/>
    <w:rsid w:val="004904D3"/>
    <w:rsid w:val="004904F9"/>
    <w:rsid w:val="004905CB"/>
    <w:rsid w:val="00490680"/>
    <w:rsid w:val="00490944"/>
    <w:rsid w:val="00490A3E"/>
    <w:rsid w:val="00490CA2"/>
    <w:rsid w:val="00490E0C"/>
    <w:rsid w:val="00490F2E"/>
    <w:rsid w:val="004910CC"/>
    <w:rsid w:val="00491C36"/>
    <w:rsid w:val="004921AB"/>
    <w:rsid w:val="0049241D"/>
    <w:rsid w:val="0049269C"/>
    <w:rsid w:val="00492892"/>
    <w:rsid w:val="00492926"/>
    <w:rsid w:val="004929C8"/>
    <w:rsid w:val="00492B05"/>
    <w:rsid w:val="00492B71"/>
    <w:rsid w:val="00492E0E"/>
    <w:rsid w:val="00492F3F"/>
    <w:rsid w:val="004930F4"/>
    <w:rsid w:val="0049399E"/>
    <w:rsid w:val="00493B99"/>
    <w:rsid w:val="00493C0B"/>
    <w:rsid w:val="00493EF9"/>
    <w:rsid w:val="0049419D"/>
    <w:rsid w:val="0049438E"/>
    <w:rsid w:val="00494500"/>
    <w:rsid w:val="0049462E"/>
    <w:rsid w:val="004949A4"/>
    <w:rsid w:val="00494B65"/>
    <w:rsid w:val="00494E02"/>
    <w:rsid w:val="00494F1F"/>
    <w:rsid w:val="00495159"/>
    <w:rsid w:val="004953A6"/>
    <w:rsid w:val="004956BF"/>
    <w:rsid w:val="004956F6"/>
    <w:rsid w:val="00495B50"/>
    <w:rsid w:val="00495F35"/>
    <w:rsid w:val="00496186"/>
    <w:rsid w:val="00496351"/>
    <w:rsid w:val="00496F75"/>
    <w:rsid w:val="004976AC"/>
    <w:rsid w:val="004976E7"/>
    <w:rsid w:val="00497B10"/>
    <w:rsid w:val="00497F49"/>
    <w:rsid w:val="004A03E4"/>
    <w:rsid w:val="004A05B5"/>
    <w:rsid w:val="004A0B3F"/>
    <w:rsid w:val="004A11F8"/>
    <w:rsid w:val="004A16C6"/>
    <w:rsid w:val="004A173E"/>
    <w:rsid w:val="004A1843"/>
    <w:rsid w:val="004A1A25"/>
    <w:rsid w:val="004A1B09"/>
    <w:rsid w:val="004A1D30"/>
    <w:rsid w:val="004A1E90"/>
    <w:rsid w:val="004A1EF4"/>
    <w:rsid w:val="004A1FA2"/>
    <w:rsid w:val="004A1FF8"/>
    <w:rsid w:val="004A2094"/>
    <w:rsid w:val="004A2395"/>
    <w:rsid w:val="004A258B"/>
    <w:rsid w:val="004A2856"/>
    <w:rsid w:val="004A2EB8"/>
    <w:rsid w:val="004A2F2E"/>
    <w:rsid w:val="004A31A9"/>
    <w:rsid w:val="004A3419"/>
    <w:rsid w:val="004A389A"/>
    <w:rsid w:val="004A3A49"/>
    <w:rsid w:val="004A4616"/>
    <w:rsid w:val="004A4942"/>
    <w:rsid w:val="004A52A6"/>
    <w:rsid w:val="004A533F"/>
    <w:rsid w:val="004A5667"/>
    <w:rsid w:val="004A5942"/>
    <w:rsid w:val="004A5BC7"/>
    <w:rsid w:val="004A5D6F"/>
    <w:rsid w:val="004A6051"/>
    <w:rsid w:val="004A617D"/>
    <w:rsid w:val="004A6257"/>
    <w:rsid w:val="004A63D5"/>
    <w:rsid w:val="004A70F3"/>
    <w:rsid w:val="004A71AE"/>
    <w:rsid w:val="004A71B1"/>
    <w:rsid w:val="004A7339"/>
    <w:rsid w:val="004A797F"/>
    <w:rsid w:val="004A79F0"/>
    <w:rsid w:val="004A7B9A"/>
    <w:rsid w:val="004A7BEC"/>
    <w:rsid w:val="004A7E5C"/>
    <w:rsid w:val="004B01BA"/>
    <w:rsid w:val="004B0689"/>
    <w:rsid w:val="004B087B"/>
    <w:rsid w:val="004B0B09"/>
    <w:rsid w:val="004B0C2F"/>
    <w:rsid w:val="004B0DE7"/>
    <w:rsid w:val="004B0E0B"/>
    <w:rsid w:val="004B0EDD"/>
    <w:rsid w:val="004B13E6"/>
    <w:rsid w:val="004B1968"/>
    <w:rsid w:val="004B1BE5"/>
    <w:rsid w:val="004B24F2"/>
    <w:rsid w:val="004B2543"/>
    <w:rsid w:val="004B2554"/>
    <w:rsid w:val="004B2646"/>
    <w:rsid w:val="004B265F"/>
    <w:rsid w:val="004B2990"/>
    <w:rsid w:val="004B2AD6"/>
    <w:rsid w:val="004B2DCD"/>
    <w:rsid w:val="004B316C"/>
    <w:rsid w:val="004B31A2"/>
    <w:rsid w:val="004B327C"/>
    <w:rsid w:val="004B32EA"/>
    <w:rsid w:val="004B3822"/>
    <w:rsid w:val="004B3950"/>
    <w:rsid w:val="004B3A73"/>
    <w:rsid w:val="004B3ACD"/>
    <w:rsid w:val="004B3D32"/>
    <w:rsid w:val="004B3DE0"/>
    <w:rsid w:val="004B3E96"/>
    <w:rsid w:val="004B44D1"/>
    <w:rsid w:val="004B4588"/>
    <w:rsid w:val="004B466E"/>
    <w:rsid w:val="004B50A2"/>
    <w:rsid w:val="004B520F"/>
    <w:rsid w:val="004B541C"/>
    <w:rsid w:val="004B556E"/>
    <w:rsid w:val="004B5E6C"/>
    <w:rsid w:val="004B5FEC"/>
    <w:rsid w:val="004B651B"/>
    <w:rsid w:val="004B65B5"/>
    <w:rsid w:val="004B6CBD"/>
    <w:rsid w:val="004B6F69"/>
    <w:rsid w:val="004B705D"/>
    <w:rsid w:val="004B70BC"/>
    <w:rsid w:val="004B71DC"/>
    <w:rsid w:val="004B776D"/>
    <w:rsid w:val="004B788A"/>
    <w:rsid w:val="004B7F0B"/>
    <w:rsid w:val="004C00F6"/>
    <w:rsid w:val="004C0369"/>
    <w:rsid w:val="004C0442"/>
    <w:rsid w:val="004C051E"/>
    <w:rsid w:val="004C09E3"/>
    <w:rsid w:val="004C0A40"/>
    <w:rsid w:val="004C0C69"/>
    <w:rsid w:val="004C0C8C"/>
    <w:rsid w:val="004C1192"/>
    <w:rsid w:val="004C124F"/>
    <w:rsid w:val="004C1356"/>
    <w:rsid w:val="004C1607"/>
    <w:rsid w:val="004C19F4"/>
    <w:rsid w:val="004C1E57"/>
    <w:rsid w:val="004C1FA2"/>
    <w:rsid w:val="004C2073"/>
    <w:rsid w:val="004C20D2"/>
    <w:rsid w:val="004C2836"/>
    <w:rsid w:val="004C28A0"/>
    <w:rsid w:val="004C2CDF"/>
    <w:rsid w:val="004C3017"/>
    <w:rsid w:val="004C31F0"/>
    <w:rsid w:val="004C32D2"/>
    <w:rsid w:val="004C33D2"/>
    <w:rsid w:val="004C36C5"/>
    <w:rsid w:val="004C373B"/>
    <w:rsid w:val="004C38AD"/>
    <w:rsid w:val="004C3FD6"/>
    <w:rsid w:val="004C4074"/>
    <w:rsid w:val="004C49DD"/>
    <w:rsid w:val="004C4B62"/>
    <w:rsid w:val="004C4B6F"/>
    <w:rsid w:val="004C4D01"/>
    <w:rsid w:val="004C4EA6"/>
    <w:rsid w:val="004C5112"/>
    <w:rsid w:val="004C518B"/>
    <w:rsid w:val="004C526B"/>
    <w:rsid w:val="004C54C9"/>
    <w:rsid w:val="004C5698"/>
    <w:rsid w:val="004C5730"/>
    <w:rsid w:val="004C5AD6"/>
    <w:rsid w:val="004C5B63"/>
    <w:rsid w:val="004C5D37"/>
    <w:rsid w:val="004C5D40"/>
    <w:rsid w:val="004C5E9F"/>
    <w:rsid w:val="004C5ED3"/>
    <w:rsid w:val="004C609C"/>
    <w:rsid w:val="004C642E"/>
    <w:rsid w:val="004C666F"/>
    <w:rsid w:val="004C6757"/>
    <w:rsid w:val="004C67C3"/>
    <w:rsid w:val="004C69F4"/>
    <w:rsid w:val="004C6A80"/>
    <w:rsid w:val="004C6FB2"/>
    <w:rsid w:val="004C706E"/>
    <w:rsid w:val="004C7450"/>
    <w:rsid w:val="004C78D5"/>
    <w:rsid w:val="004C7A88"/>
    <w:rsid w:val="004C7FD6"/>
    <w:rsid w:val="004D0030"/>
    <w:rsid w:val="004D0630"/>
    <w:rsid w:val="004D0708"/>
    <w:rsid w:val="004D0917"/>
    <w:rsid w:val="004D0970"/>
    <w:rsid w:val="004D0E7F"/>
    <w:rsid w:val="004D0F07"/>
    <w:rsid w:val="004D11E0"/>
    <w:rsid w:val="004D11E8"/>
    <w:rsid w:val="004D145B"/>
    <w:rsid w:val="004D14B8"/>
    <w:rsid w:val="004D182F"/>
    <w:rsid w:val="004D19C3"/>
    <w:rsid w:val="004D201E"/>
    <w:rsid w:val="004D2149"/>
    <w:rsid w:val="004D2643"/>
    <w:rsid w:val="004D30AE"/>
    <w:rsid w:val="004D3B62"/>
    <w:rsid w:val="004D3DAE"/>
    <w:rsid w:val="004D3DDC"/>
    <w:rsid w:val="004D4178"/>
    <w:rsid w:val="004D43BA"/>
    <w:rsid w:val="004D4485"/>
    <w:rsid w:val="004D4704"/>
    <w:rsid w:val="004D4AD2"/>
    <w:rsid w:val="004D4B43"/>
    <w:rsid w:val="004D4BC8"/>
    <w:rsid w:val="004D4C6B"/>
    <w:rsid w:val="004D4D99"/>
    <w:rsid w:val="004D4FEE"/>
    <w:rsid w:val="004D5333"/>
    <w:rsid w:val="004D53D0"/>
    <w:rsid w:val="004D5A17"/>
    <w:rsid w:val="004D5EBF"/>
    <w:rsid w:val="004D5ED4"/>
    <w:rsid w:val="004D5F62"/>
    <w:rsid w:val="004D6025"/>
    <w:rsid w:val="004D60D4"/>
    <w:rsid w:val="004D6324"/>
    <w:rsid w:val="004D6460"/>
    <w:rsid w:val="004D64FB"/>
    <w:rsid w:val="004D6611"/>
    <w:rsid w:val="004D677D"/>
    <w:rsid w:val="004D6A7F"/>
    <w:rsid w:val="004D6A88"/>
    <w:rsid w:val="004D6AC8"/>
    <w:rsid w:val="004D6DF5"/>
    <w:rsid w:val="004D6F68"/>
    <w:rsid w:val="004D7133"/>
    <w:rsid w:val="004D741F"/>
    <w:rsid w:val="004D7BB7"/>
    <w:rsid w:val="004D7E9D"/>
    <w:rsid w:val="004E0095"/>
    <w:rsid w:val="004E07AE"/>
    <w:rsid w:val="004E097C"/>
    <w:rsid w:val="004E0DAA"/>
    <w:rsid w:val="004E0FCD"/>
    <w:rsid w:val="004E102F"/>
    <w:rsid w:val="004E173C"/>
    <w:rsid w:val="004E17C8"/>
    <w:rsid w:val="004E193A"/>
    <w:rsid w:val="004E1D1E"/>
    <w:rsid w:val="004E1DE1"/>
    <w:rsid w:val="004E1FA6"/>
    <w:rsid w:val="004E2649"/>
    <w:rsid w:val="004E274B"/>
    <w:rsid w:val="004E2C4D"/>
    <w:rsid w:val="004E3014"/>
    <w:rsid w:val="004E308B"/>
    <w:rsid w:val="004E3657"/>
    <w:rsid w:val="004E3899"/>
    <w:rsid w:val="004E3B05"/>
    <w:rsid w:val="004E41F5"/>
    <w:rsid w:val="004E4868"/>
    <w:rsid w:val="004E4F27"/>
    <w:rsid w:val="004E4F29"/>
    <w:rsid w:val="004E4F80"/>
    <w:rsid w:val="004E50AF"/>
    <w:rsid w:val="004E5351"/>
    <w:rsid w:val="004E54FC"/>
    <w:rsid w:val="004E58E8"/>
    <w:rsid w:val="004E58ED"/>
    <w:rsid w:val="004E62B4"/>
    <w:rsid w:val="004E6607"/>
    <w:rsid w:val="004E6B7B"/>
    <w:rsid w:val="004E6D2E"/>
    <w:rsid w:val="004E6EA6"/>
    <w:rsid w:val="004E6FE0"/>
    <w:rsid w:val="004E73D4"/>
    <w:rsid w:val="004E7475"/>
    <w:rsid w:val="004E77CB"/>
    <w:rsid w:val="004E788C"/>
    <w:rsid w:val="004E7996"/>
    <w:rsid w:val="004E79B7"/>
    <w:rsid w:val="004E7CC8"/>
    <w:rsid w:val="004E7E35"/>
    <w:rsid w:val="004F0290"/>
    <w:rsid w:val="004F0655"/>
    <w:rsid w:val="004F0A83"/>
    <w:rsid w:val="004F11A9"/>
    <w:rsid w:val="004F123A"/>
    <w:rsid w:val="004F133B"/>
    <w:rsid w:val="004F13BA"/>
    <w:rsid w:val="004F15D8"/>
    <w:rsid w:val="004F193A"/>
    <w:rsid w:val="004F19C5"/>
    <w:rsid w:val="004F1A79"/>
    <w:rsid w:val="004F1A94"/>
    <w:rsid w:val="004F1AF1"/>
    <w:rsid w:val="004F1DA0"/>
    <w:rsid w:val="004F23A6"/>
    <w:rsid w:val="004F2C05"/>
    <w:rsid w:val="004F2CE6"/>
    <w:rsid w:val="004F2EE9"/>
    <w:rsid w:val="004F3269"/>
    <w:rsid w:val="004F334B"/>
    <w:rsid w:val="004F34D2"/>
    <w:rsid w:val="004F361D"/>
    <w:rsid w:val="004F36CD"/>
    <w:rsid w:val="004F3A9A"/>
    <w:rsid w:val="004F3B0B"/>
    <w:rsid w:val="004F3C45"/>
    <w:rsid w:val="004F3CB3"/>
    <w:rsid w:val="004F414D"/>
    <w:rsid w:val="004F46D8"/>
    <w:rsid w:val="004F4ACF"/>
    <w:rsid w:val="004F4EED"/>
    <w:rsid w:val="004F4F61"/>
    <w:rsid w:val="004F4FF8"/>
    <w:rsid w:val="004F5006"/>
    <w:rsid w:val="004F5715"/>
    <w:rsid w:val="004F573D"/>
    <w:rsid w:val="004F57C9"/>
    <w:rsid w:val="004F57FF"/>
    <w:rsid w:val="004F58B7"/>
    <w:rsid w:val="004F5B2D"/>
    <w:rsid w:val="004F5F30"/>
    <w:rsid w:val="004F600F"/>
    <w:rsid w:val="004F604D"/>
    <w:rsid w:val="004F6231"/>
    <w:rsid w:val="004F63E9"/>
    <w:rsid w:val="004F6740"/>
    <w:rsid w:val="004F67E1"/>
    <w:rsid w:val="004F6A8C"/>
    <w:rsid w:val="004F6B5E"/>
    <w:rsid w:val="004F6BA3"/>
    <w:rsid w:val="004F6D63"/>
    <w:rsid w:val="004F7398"/>
    <w:rsid w:val="004F73A5"/>
    <w:rsid w:val="005001F6"/>
    <w:rsid w:val="00500955"/>
    <w:rsid w:val="005011E6"/>
    <w:rsid w:val="0050125E"/>
    <w:rsid w:val="00501399"/>
    <w:rsid w:val="005013C5"/>
    <w:rsid w:val="0050153F"/>
    <w:rsid w:val="00501B1B"/>
    <w:rsid w:val="00501BDE"/>
    <w:rsid w:val="00501D9A"/>
    <w:rsid w:val="00501F6C"/>
    <w:rsid w:val="00502121"/>
    <w:rsid w:val="00502203"/>
    <w:rsid w:val="00502366"/>
    <w:rsid w:val="005025A5"/>
    <w:rsid w:val="00502973"/>
    <w:rsid w:val="00502BA5"/>
    <w:rsid w:val="00502D37"/>
    <w:rsid w:val="00502E41"/>
    <w:rsid w:val="00502E53"/>
    <w:rsid w:val="0050307A"/>
    <w:rsid w:val="005039D8"/>
    <w:rsid w:val="00503A50"/>
    <w:rsid w:val="00503B8D"/>
    <w:rsid w:val="005041EC"/>
    <w:rsid w:val="0050429C"/>
    <w:rsid w:val="0050469A"/>
    <w:rsid w:val="005049F3"/>
    <w:rsid w:val="00504A1A"/>
    <w:rsid w:val="00504D4C"/>
    <w:rsid w:val="00504DD5"/>
    <w:rsid w:val="00504FE2"/>
    <w:rsid w:val="00505151"/>
    <w:rsid w:val="00505527"/>
    <w:rsid w:val="005055D2"/>
    <w:rsid w:val="005059A1"/>
    <w:rsid w:val="00505A3B"/>
    <w:rsid w:val="00505A4D"/>
    <w:rsid w:val="00505C5A"/>
    <w:rsid w:val="00505D03"/>
    <w:rsid w:val="0050603A"/>
    <w:rsid w:val="0050633D"/>
    <w:rsid w:val="00506954"/>
    <w:rsid w:val="00506CF6"/>
    <w:rsid w:val="00506D0A"/>
    <w:rsid w:val="005070E5"/>
    <w:rsid w:val="00507BC4"/>
    <w:rsid w:val="00510157"/>
    <w:rsid w:val="005101F6"/>
    <w:rsid w:val="00510211"/>
    <w:rsid w:val="00510234"/>
    <w:rsid w:val="00510255"/>
    <w:rsid w:val="00510325"/>
    <w:rsid w:val="005104D4"/>
    <w:rsid w:val="0051067D"/>
    <w:rsid w:val="00510CEA"/>
    <w:rsid w:val="0051128D"/>
    <w:rsid w:val="005114B6"/>
    <w:rsid w:val="00511514"/>
    <w:rsid w:val="00511DBD"/>
    <w:rsid w:val="005121F5"/>
    <w:rsid w:val="00512302"/>
    <w:rsid w:val="00512714"/>
    <w:rsid w:val="005128E4"/>
    <w:rsid w:val="00512E8A"/>
    <w:rsid w:val="005133DB"/>
    <w:rsid w:val="005134B9"/>
    <w:rsid w:val="0051361F"/>
    <w:rsid w:val="00513755"/>
    <w:rsid w:val="005139CB"/>
    <w:rsid w:val="005139D5"/>
    <w:rsid w:val="00513CB7"/>
    <w:rsid w:val="00513E30"/>
    <w:rsid w:val="00513FD3"/>
    <w:rsid w:val="00514330"/>
    <w:rsid w:val="0051487D"/>
    <w:rsid w:val="00514FA3"/>
    <w:rsid w:val="005155B3"/>
    <w:rsid w:val="0051562E"/>
    <w:rsid w:val="005156FA"/>
    <w:rsid w:val="00515A14"/>
    <w:rsid w:val="00515B15"/>
    <w:rsid w:val="00515B37"/>
    <w:rsid w:val="00515DC3"/>
    <w:rsid w:val="0051641F"/>
    <w:rsid w:val="0051673E"/>
    <w:rsid w:val="00516778"/>
    <w:rsid w:val="00516871"/>
    <w:rsid w:val="005169D0"/>
    <w:rsid w:val="00516C63"/>
    <w:rsid w:val="00516D23"/>
    <w:rsid w:val="00516DCE"/>
    <w:rsid w:val="00517746"/>
    <w:rsid w:val="00520869"/>
    <w:rsid w:val="00520AD9"/>
    <w:rsid w:val="00520B5A"/>
    <w:rsid w:val="00520BAB"/>
    <w:rsid w:val="00520CF4"/>
    <w:rsid w:val="005216DC"/>
    <w:rsid w:val="0052196E"/>
    <w:rsid w:val="00521C52"/>
    <w:rsid w:val="00521C8E"/>
    <w:rsid w:val="00521CF5"/>
    <w:rsid w:val="0052239B"/>
    <w:rsid w:val="0052266E"/>
    <w:rsid w:val="0052293F"/>
    <w:rsid w:val="0052356C"/>
    <w:rsid w:val="00523571"/>
    <w:rsid w:val="00523909"/>
    <w:rsid w:val="005239B1"/>
    <w:rsid w:val="0052405D"/>
    <w:rsid w:val="0052425B"/>
    <w:rsid w:val="005245C0"/>
    <w:rsid w:val="0052469C"/>
    <w:rsid w:val="00524703"/>
    <w:rsid w:val="0052491D"/>
    <w:rsid w:val="00524B98"/>
    <w:rsid w:val="00524C2F"/>
    <w:rsid w:val="005254C4"/>
    <w:rsid w:val="00525560"/>
    <w:rsid w:val="0052567E"/>
    <w:rsid w:val="005256E9"/>
    <w:rsid w:val="005259A3"/>
    <w:rsid w:val="00525D29"/>
    <w:rsid w:val="00525F9B"/>
    <w:rsid w:val="00526081"/>
    <w:rsid w:val="005260C9"/>
    <w:rsid w:val="00526252"/>
    <w:rsid w:val="0052651C"/>
    <w:rsid w:val="00526862"/>
    <w:rsid w:val="00526BE2"/>
    <w:rsid w:val="00527688"/>
    <w:rsid w:val="005276EF"/>
    <w:rsid w:val="005278B0"/>
    <w:rsid w:val="00527C71"/>
    <w:rsid w:val="00527CE9"/>
    <w:rsid w:val="00527D40"/>
    <w:rsid w:val="00527E01"/>
    <w:rsid w:val="00527E99"/>
    <w:rsid w:val="0053018C"/>
    <w:rsid w:val="005307E1"/>
    <w:rsid w:val="00530AED"/>
    <w:rsid w:val="00530D87"/>
    <w:rsid w:val="00530E8B"/>
    <w:rsid w:val="00530ED5"/>
    <w:rsid w:val="00531486"/>
    <w:rsid w:val="005314E9"/>
    <w:rsid w:val="005319E8"/>
    <w:rsid w:val="00531BC2"/>
    <w:rsid w:val="00531C16"/>
    <w:rsid w:val="00531E33"/>
    <w:rsid w:val="00531E73"/>
    <w:rsid w:val="00531F93"/>
    <w:rsid w:val="0053252B"/>
    <w:rsid w:val="00532590"/>
    <w:rsid w:val="00532692"/>
    <w:rsid w:val="005328A1"/>
    <w:rsid w:val="00532975"/>
    <w:rsid w:val="00532A86"/>
    <w:rsid w:val="00533269"/>
    <w:rsid w:val="005334E2"/>
    <w:rsid w:val="0053366D"/>
    <w:rsid w:val="00533740"/>
    <w:rsid w:val="00533F0F"/>
    <w:rsid w:val="005342C2"/>
    <w:rsid w:val="00534382"/>
    <w:rsid w:val="00534464"/>
    <w:rsid w:val="00534C25"/>
    <w:rsid w:val="00535168"/>
    <w:rsid w:val="0053535A"/>
    <w:rsid w:val="00535B6C"/>
    <w:rsid w:val="005362D9"/>
    <w:rsid w:val="00536644"/>
    <w:rsid w:val="00536BCA"/>
    <w:rsid w:val="005370C8"/>
    <w:rsid w:val="0053714C"/>
    <w:rsid w:val="0053723D"/>
    <w:rsid w:val="005373F9"/>
    <w:rsid w:val="0053747D"/>
    <w:rsid w:val="005376D7"/>
    <w:rsid w:val="00537BA6"/>
    <w:rsid w:val="00537E23"/>
    <w:rsid w:val="00537E73"/>
    <w:rsid w:val="00540022"/>
    <w:rsid w:val="005403C4"/>
    <w:rsid w:val="00540577"/>
    <w:rsid w:val="005406CB"/>
    <w:rsid w:val="0054097C"/>
    <w:rsid w:val="00540A6A"/>
    <w:rsid w:val="00540C2B"/>
    <w:rsid w:val="00540C97"/>
    <w:rsid w:val="00540EA2"/>
    <w:rsid w:val="0054100B"/>
    <w:rsid w:val="005410E2"/>
    <w:rsid w:val="00541139"/>
    <w:rsid w:val="00541638"/>
    <w:rsid w:val="00541B5A"/>
    <w:rsid w:val="00541F66"/>
    <w:rsid w:val="0054210D"/>
    <w:rsid w:val="0054242C"/>
    <w:rsid w:val="00542583"/>
    <w:rsid w:val="00542774"/>
    <w:rsid w:val="005429D5"/>
    <w:rsid w:val="00542A42"/>
    <w:rsid w:val="00542A9F"/>
    <w:rsid w:val="00542DA9"/>
    <w:rsid w:val="00542EF4"/>
    <w:rsid w:val="0054312D"/>
    <w:rsid w:val="005432FB"/>
    <w:rsid w:val="00543399"/>
    <w:rsid w:val="00543535"/>
    <w:rsid w:val="00543771"/>
    <w:rsid w:val="00543AD2"/>
    <w:rsid w:val="00543B86"/>
    <w:rsid w:val="00543E41"/>
    <w:rsid w:val="00543EE5"/>
    <w:rsid w:val="00543FF6"/>
    <w:rsid w:val="00544007"/>
    <w:rsid w:val="00544144"/>
    <w:rsid w:val="0054436F"/>
    <w:rsid w:val="005444EF"/>
    <w:rsid w:val="00544570"/>
    <w:rsid w:val="0054465B"/>
    <w:rsid w:val="00544AAD"/>
    <w:rsid w:val="00544ABA"/>
    <w:rsid w:val="00544C49"/>
    <w:rsid w:val="00544CFA"/>
    <w:rsid w:val="00544E24"/>
    <w:rsid w:val="00544F8F"/>
    <w:rsid w:val="00544FDE"/>
    <w:rsid w:val="005451EB"/>
    <w:rsid w:val="0054575C"/>
    <w:rsid w:val="00545A37"/>
    <w:rsid w:val="00545E4B"/>
    <w:rsid w:val="00545FCB"/>
    <w:rsid w:val="0054604C"/>
    <w:rsid w:val="005461B1"/>
    <w:rsid w:val="0054639F"/>
    <w:rsid w:val="00546645"/>
    <w:rsid w:val="0054677D"/>
    <w:rsid w:val="00546A27"/>
    <w:rsid w:val="00546A52"/>
    <w:rsid w:val="0054729D"/>
    <w:rsid w:val="00547331"/>
    <w:rsid w:val="0054741E"/>
    <w:rsid w:val="005477CF"/>
    <w:rsid w:val="00547E2E"/>
    <w:rsid w:val="00550CD0"/>
    <w:rsid w:val="00550CE7"/>
    <w:rsid w:val="00550D2B"/>
    <w:rsid w:val="00550FA9"/>
    <w:rsid w:val="0055110A"/>
    <w:rsid w:val="00551166"/>
    <w:rsid w:val="0055148C"/>
    <w:rsid w:val="005516A1"/>
    <w:rsid w:val="005520EC"/>
    <w:rsid w:val="00552344"/>
    <w:rsid w:val="005523F0"/>
    <w:rsid w:val="0055250F"/>
    <w:rsid w:val="00552650"/>
    <w:rsid w:val="005529AC"/>
    <w:rsid w:val="00552E56"/>
    <w:rsid w:val="00552EF8"/>
    <w:rsid w:val="00553A72"/>
    <w:rsid w:val="00553A91"/>
    <w:rsid w:val="00553FAF"/>
    <w:rsid w:val="00554356"/>
    <w:rsid w:val="00554574"/>
    <w:rsid w:val="0055459E"/>
    <w:rsid w:val="005545D8"/>
    <w:rsid w:val="00555008"/>
    <w:rsid w:val="005554D2"/>
    <w:rsid w:val="00555928"/>
    <w:rsid w:val="00555B04"/>
    <w:rsid w:val="00555CA5"/>
    <w:rsid w:val="00556013"/>
    <w:rsid w:val="0055622C"/>
    <w:rsid w:val="005565FA"/>
    <w:rsid w:val="00556617"/>
    <w:rsid w:val="0055682B"/>
    <w:rsid w:val="00556BF8"/>
    <w:rsid w:val="00556E03"/>
    <w:rsid w:val="00556EE9"/>
    <w:rsid w:val="00557125"/>
    <w:rsid w:val="00557549"/>
    <w:rsid w:val="00557B7A"/>
    <w:rsid w:val="00557E63"/>
    <w:rsid w:val="00557F06"/>
    <w:rsid w:val="0056011B"/>
    <w:rsid w:val="00560142"/>
    <w:rsid w:val="00560355"/>
    <w:rsid w:val="00560418"/>
    <w:rsid w:val="00560543"/>
    <w:rsid w:val="00560687"/>
    <w:rsid w:val="005606BF"/>
    <w:rsid w:val="00560707"/>
    <w:rsid w:val="0056073E"/>
    <w:rsid w:val="00560AB5"/>
    <w:rsid w:val="00560D7D"/>
    <w:rsid w:val="00560DA6"/>
    <w:rsid w:val="0056133B"/>
    <w:rsid w:val="005613EE"/>
    <w:rsid w:val="0056174C"/>
    <w:rsid w:val="005617AA"/>
    <w:rsid w:val="00561A87"/>
    <w:rsid w:val="00561C20"/>
    <w:rsid w:val="00561D5A"/>
    <w:rsid w:val="00561FA0"/>
    <w:rsid w:val="00562587"/>
    <w:rsid w:val="00562600"/>
    <w:rsid w:val="005626E9"/>
    <w:rsid w:val="00563158"/>
    <w:rsid w:val="00563264"/>
    <w:rsid w:val="0056357E"/>
    <w:rsid w:val="00563767"/>
    <w:rsid w:val="00563885"/>
    <w:rsid w:val="00563887"/>
    <w:rsid w:val="0056392C"/>
    <w:rsid w:val="00563977"/>
    <w:rsid w:val="00563B06"/>
    <w:rsid w:val="00563BAE"/>
    <w:rsid w:val="00563F9A"/>
    <w:rsid w:val="005642AA"/>
    <w:rsid w:val="005644B8"/>
    <w:rsid w:val="00564554"/>
    <w:rsid w:val="0056495C"/>
    <w:rsid w:val="00565026"/>
    <w:rsid w:val="005652C1"/>
    <w:rsid w:val="0056548E"/>
    <w:rsid w:val="00565499"/>
    <w:rsid w:val="00565684"/>
    <w:rsid w:val="00565885"/>
    <w:rsid w:val="00565A04"/>
    <w:rsid w:val="00566106"/>
    <w:rsid w:val="0056619F"/>
    <w:rsid w:val="005662DD"/>
    <w:rsid w:val="00566347"/>
    <w:rsid w:val="0056639B"/>
    <w:rsid w:val="0056682E"/>
    <w:rsid w:val="00566921"/>
    <w:rsid w:val="00566BC9"/>
    <w:rsid w:val="005674CB"/>
    <w:rsid w:val="0056773F"/>
    <w:rsid w:val="005679FF"/>
    <w:rsid w:val="00570114"/>
    <w:rsid w:val="00570334"/>
    <w:rsid w:val="00570607"/>
    <w:rsid w:val="005709FB"/>
    <w:rsid w:val="00570B7D"/>
    <w:rsid w:val="00570C70"/>
    <w:rsid w:val="00571064"/>
    <w:rsid w:val="0057123C"/>
    <w:rsid w:val="005715B7"/>
    <w:rsid w:val="00571632"/>
    <w:rsid w:val="00571C90"/>
    <w:rsid w:val="00571DE0"/>
    <w:rsid w:val="005723D9"/>
    <w:rsid w:val="00572700"/>
    <w:rsid w:val="00572A86"/>
    <w:rsid w:val="00572B98"/>
    <w:rsid w:val="00572DDE"/>
    <w:rsid w:val="0057309A"/>
    <w:rsid w:val="00573798"/>
    <w:rsid w:val="0057389F"/>
    <w:rsid w:val="00573C8E"/>
    <w:rsid w:val="00573E39"/>
    <w:rsid w:val="0057402A"/>
    <w:rsid w:val="00574086"/>
    <w:rsid w:val="00574396"/>
    <w:rsid w:val="0057447D"/>
    <w:rsid w:val="0057455E"/>
    <w:rsid w:val="00574BCF"/>
    <w:rsid w:val="00574BE6"/>
    <w:rsid w:val="00574E64"/>
    <w:rsid w:val="00574EF7"/>
    <w:rsid w:val="00575540"/>
    <w:rsid w:val="00575753"/>
    <w:rsid w:val="005758A8"/>
    <w:rsid w:val="00575998"/>
    <w:rsid w:val="00575C14"/>
    <w:rsid w:val="00575E2A"/>
    <w:rsid w:val="00575E9C"/>
    <w:rsid w:val="00575F26"/>
    <w:rsid w:val="0057643D"/>
    <w:rsid w:val="00576777"/>
    <w:rsid w:val="00576860"/>
    <w:rsid w:val="00576E74"/>
    <w:rsid w:val="00576F11"/>
    <w:rsid w:val="00576F2E"/>
    <w:rsid w:val="005771D0"/>
    <w:rsid w:val="0057728A"/>
    <w:rsid w:val="005772F8"/>
    <w:rsid w:val="00577581"/>
    <w:rsid w:val="00577665"/>
    <w:rsid w:val="00577783"/>
    <w:rsid w:val="00577C88"/>
    <w:rsid w:val="00577DED"/>
    <w:rsid w:val="00580031"/>
    <w:rsid w:val="00580333"/>
    <w:rsid w:val="00580A83"/>
    <w:rsid w:val="00580CCA"/>
    <w:rsid w:val="0058101F"/>
    <w:rsid w:val="005810CD"/>
    <w:rsid w:val="0058177F"/>
    <w:rsid w:val="005818A2"/>
    <w:rsid w:val="0058192E"/>
    <w:rsid w:val="0058194B"/>
    <w:rsid w:val="00581A89"/>
    <w:rsid w:val="00581CDD"/>
    <w:rsid w:val="00581D90"/>
    <w:rsid w:val="00581DFC"/>
    <w:rsid w:val="00581E6D"/>
    <w:rsid w:val="00582096"/>
    <w:rsid w:val="005822B9"/>
    <w:rsid w:val="005825C4"/>
    <w:rsid w:val="00582959"/>
    <w:rsid w:val="00582A0B"/>
    <w:rsid w:val="00582D36"/>
    <w:rsid w:val="00582F5F"/>
    <w:rsid w:val="00582FE3"/>
    <w:rsid w:val="0058377A"/>
    <w:rsid w:val="005837C1"/>
    <w:rsid w:val="00583C78"/>
    <w:rsid w:val="00583D18"/>
    <w:rsid w:val="0058400D"/>
    <w:rsid w:val="00584228"/>
    <w:rsid w:val="0058422E"/>
    <w:rsid w:val="005842E2"/>
    <w:rsid w:val="00584C57"/>
    <w:rsid w:val="00584D24"/>
    <w:rsid w:val="00584DD1"/>
    <w:rsid w:val="00584EBE"/>
    <w:rsid w:val="005855B2"/>
    <w:rsid w:val="005858DC"/>
    <w:rsid w:val="00585981"/>
    <w:rsid w:val="00585A8F"/>
    <w:rsid w:val="00585D83"/>
    <w:rsid w:val="00585E67"/>
    <w:rsid w:val="00585FFF"/>
    <w:rsid w:val="005860CC"/>
    <w:rsid w:val="0058619A"/>
    <w:rsid w:val="005862CB"/>
    <w:rsid w:val="00586F50"/>
    <w:rsid w:val="00587276"/>
    <w:rsid w:val="005874C8"/>
    <w:rsid w:val="005878C3"/>
    <w:rsid w:val="00587C05"/>
    <w:rsid w:val="00587CE3"/>
    <w:rsid w:val="00587D44"/>
    <w:rsid w:val="00587D9C"/>
    <w:rsid w:val="00587EDF"/>
    <w:rsid w:val="0059005F"/>
    <w:rsid w:val="00590771"/>
    <w:rsid w:val="00590A5F"/>
    <w:rsid w:val="00590AC9"/>
    <w:rsid w:val="00590B1D"/>
    <w:rsid w:val="00590CE7"/>
    <w:rsid w:val="005912A2"/>
    <w:rsid w:val="005913D4"/>
    <w:rsid w:val="00591708"/>
    <w:rsid w:val="005918C2"/>
    <w:rsid w:val="0059191A"/>
    <w:rsid w:val="00591AE6"/>
    <w:rsid w:val="00591D12"/>
    <w:rsid w:val="005920D5"/>
    <w:rsid w:val="005921BB"/>
    <w:rsid w:val="005921DF"/>
    <w:rsid w:val="005921FF"/>
    <w:rsid w:val="005923CF"/>
    <w:rsid w:val="005925C7"/>
    <w:rsid w:val="00592672"/>
    <w:rsid w:val="00592B7B"/>
    <w:rsid w:val="00592F5D"/>
    <w:rsid w:val="005934E4"/>
    <w:rsid w:val="005934E5"/>
    <w:rsid w:val="005935D2"/>
    <w:rsid w:val="00593870"/>
    <w:rsid w:val="00593875"/>
    <w:rsid w:val="00593896"/>
    <w:rsid w:val="0059391D"/>
    <w:rsid w:val="00593B1B"/>
    <w:rsid w:val="00594297"/>
    <w:rsid w:val="00594871"/>
    <w:rsid w:val="005949AD"/>
    <w:rsid w:val="00594B9F"/>
    <w:rsid w:val="00594FFE"/>
    <w:rsid w:val="0059504F"/>
    <w:rsid w:val="00595184"/>
    <w:rsid w:val="00595AF4"/>
    <w:rsid w:val="00595E71"/>
    <w:rsid w:val="0059609F"/>
    <w:rsid w:val="0059641C"/>
    <w:rsid w:val="00596572"/>
    <w:rsid w:val="0059662E"/>
    <w:rsid w:val="005967AB"/>
    <w:rsid w:val="00596865"/>
    <w:rsid w:val="00596CAC"/>
    <w:rsid w:val="00596E2A"/>
    <w:rsid w:val="00596E80"/>
    <w:rsid w:val="00596F17"/>
    <w:rsid w:val="00597060"/>
    <w:rsid w:val="005970A8"/>
    <w:rsid w:val="005970DF"/>
    <w:rsid w:val="0059717F"/>
    <w:rsid w:val="00597407"/>
    <w:rsid w:val="005976A9"/>
    <w:rsid w:val="00597ADB"/>
    <w:rsid w:val="00597D4B"/>
    <w:rsid w:val="00597FA0"/>
    <w:rsid w:val="005A066F"/>
    <w:rsid w:val="005A0918"/>
    <w:rsid w:val="005A0CD7"/>
    <w:rsid w:val="005A0E84"/>
    <w:rsid w:val="005A0FE5"/>
    <w:rsid w:val="005A1455"/>
    <w:rsid w:val="005A15BE"/>
    <w:rsid w:val="005A201E"/>
    <w:rsid w:val="005A2053"/>
    <w:rsid w:val="005A22F6"/>
    <w:rsid w:val="005A2996"/>
    <w:rsid w:val="005A3348"/>
    <w:rsid w:val="005A3463"/>
    <w:rsid w:val="005A36F2"/>
    <w:rsid w:val="005A3886"/>
    <w:rsid w:val="005A3D24"/>
    <w:rsid w:val="005A3E3F"/>
    <w:rsid w:val="005A3EFF"/>
    <w:rsid w:val="005A3F06"/>
    <w:rsid w:val="005A420C"/>
    <w:rsid w:val="005A4311"/>
    <w:rsid w:val="005A46A2"/>
    <w:rsid w:val="005A4777"/>
    <w:rsid w:val="005A4BD4"/>
    <w:rsid w:val="005A4D17"/>
    <w:rsid w:val="005A4E99"/>
    <w:rsid w:val="005A5320"/>
    <w:rsid w:val="005A545C"/>
    <w:rsid w:val="005A555E"/>
    <w:rsid w:val="005A55AD"/>
    <w:rsid w:val="005A5702"/>
    <w:rsid w:val="005A5C58"/>
    <w:rsid w:val="005A5F2C"/>
    <w:rsid w:val="005A61C9"/>
    <w:rsid w:val="005A63AF"/>
    <w:rsid w:val="005A64E9"/>
    <w:rsid w:val="005A672C"/>
    <w:rsid w:val="005A6818"/>
    <w:rsid w:val="005A68B0"/>
    <w:rsid w:val="005A68B3"/>
    <w:rsid w:val="005A6D0E"/>
    <w:rsid w:val="005A71C6"/>
    <w:rsid w:val="005A7569"/>
    <w:rsid w:val="005A763E"/>
    <w:rsid w:val="005A77C4"/>
    <w:rsid w:val="005A78EF"/>
    <w:rsid w:val="005A7A04"/>
    <w:rsid w:val="005A7A72"/>
    <w:rsid w:val="005A7D4B"/>
    <w:rsid w:val="005A7ED9"/>
    <w:rsid w:val="005A7FEA"/>
    <w:rsid w:val="005B018D"/>
    <w:rsid w:val="005B03FD"/>
    <w:rsid w:val="005B048D"/>
    <w:rsid w:val="005B0539"/>
    <w:rsid w:val="005B0EA9"/>
    <w:rsid w:val="005B1236"/>
    <w:rsid w:val="005B1410"/>
    <w:rsid w:val="005B142C"/>
    <w:rsid w:val="005B1538"/>
    <w:rsid w:val="005B155B"/>
    <w:rsid w:val="005B1670"/>
    <w:rsid w:val="005B1C5F"/>
    <w:rsid w:val="005B1D77"/>
    <w:rsid w:val="005B221E"/>
    <w:rsid w:val="005B22CA"/>
    <w:rsid w:val="005B2461"/>
    <w:rsid w:val="005B246E"/>
    <w:rsid w:val="005B26D5"/>
    <w:rsid w:val="005B27A1"/>
    <w:rsid w:val="005B2949"/>
    <w:rsid w:val="005B2B19"/>
    <w:rsid w:val="005B2C4F"/>
    <w:rsid w:val="005B3078"/>
    <w:rsid w:val="005B307E"/>
    <w:rsid w:val="005B3401"/>
    <w:rsid w:val="005B3859"/>
    <w:rsid w:val="005B3A06"/>
    <w:rsid w:val="005B3CF4"/>
    <w:rsid w:val="005B4313"/>
    <w:rsid w:val="005B4396"/>
    <w:rsid w:val="005B4442"/>
    <w:rsid w:val="005B458F"/>
    <w:rsid w:val="005B46E5"/>
    <w:rsid w:val="005B4954"/>
    <w:rsid w:val="005B4B89"/>
    <w:rsid w:val="005B4D19"/>
    <w:rsid w:val="005B52B0"/>
    <w:rsid w:val="005B542E"/>
    <w:rsid w:val="005B54B1"/>
    <w:rsid w:val="005B55BE"/>
    <w:rsid w:val="005B586F"/>
    <w:rsid w:val="005B5E1E"/>
    <w:rsid w:val="005B5F46"/>
    <w:rsid w:val="005B6207"/>
    <w:rsid w:val="005B66E4"/>
    <w:rsid w:val="005B6806"/>
    <w:rsid w:val="005B6890"/>
    <w:rsid w:val="005B6B14"/>
    <w:rsid w:val="005B6B30"/>
    <w:rsid w:val="005B7153"/>
    <w:rsid w:val="005B72CA"/>
    <w:rsid w:val="005B7552"/>
    <w:rsid w:val="005B7ADF"/>
    <w:rsid w:val="005C0276"/>
    <w:rsid w:val="005C04F7"/>
    <w:rsid w:val="005C0569"/>
    <w:rsid w:val="005C0612"/>
    <w:rsid w:val="005C0771"/>
    <w:rsid w:val="005C07CE"/>
    <w:rsid w:val="005C0C4D"/>
    <w:rsid w:val="005C1183"/>
    <w:rsid w:val="005C13B1"/>
    <w:rsid w:val="005C1795"/>
    <w:rsid w:val="005C181C"/>
    <w:rsid w:val="005C1A4C"/>
    <w:rsid w:val="005C1E7A"/>
    <w:rsid w:val="005C29D7"/>
    <w:rsid w:val="005C2A8E"/>
    <w:rsid w:val="005C2C66"/>
    <w:rsid w:val="005C319B"/>
    <w:rsid w:val="005C31A7"/>
    <w:rsid w:val="005C3AAC"/>
    <w:rsid w:val="005C3AF8"/>
    <w:rsid w:val="005C3B88"/>
    <w:rsid w:val="005C3CCD"/>
    <w:rsid w:val="005C4225"/>
    <w:rsid w:val="005C439E"/>
    <w:rsid w:val="005C4651"/>
    <w:rsid w:val="005C4767"/>
    <w:rsid w:val="005C490F"/>
    <w:rsid w:val="005C49B8"/>
    <w:rsid w:val="005C4BC0"/>
    <w:rsid w:val="005C4F99"/>
    <w:rsid w:val="005C5643"/>
    <w:rsid w:val="005C57A0"/>
    <w:rsid w:val="005C612F"/>
    <w:rsid w:val="005C6514"/>
    <w:rsid w:val="005C6F03"/>
    <w:rsid w:val="005C700F"/>
    <w:rsid w:val="005C71A5"/>
    <w:rsid w:val="005C7488"/>
    <w:rsid w:val="005C74BF"/>
    <w:rsid w:val="005C772D"/>
    <w:rsid w:val="005C7F7D"/>
    <w:rsid w:val="005D02E8"/>
    <w:rsid w:val="005D041A"/>
    <w:rsid w:val="005D0D6B"/>
    <w:rsid w:val="005D1F4F"/>
    <w:rsid w:val="005D2501"/>
    <w:rsid w:val="005D2630"/>
    <w:rsid w:val="005D2926"/>
    <w:rsid w:val="005D2B1A"/>
    <w:rsid w:val="005D3109"/>
    <w:rsid w:val="005D35DB"/>
    <w:rsid w:val="005D3C3E"/>
    <w:rsid w:val="005D3CB6"/>
    <w:rsid w:val="005D442E"/>
    <w:rsid w:val="005D4463"/>
    <w:rsid w:val="005D44F3"/>
    <w:rsid w:val="005D4841"/>
    <w:rsid w:val="005D4947"/>
    <w:rsid w:val="005D4AA9"/>
    <w:rsid w:val="005D4B0E"/>
    <w:rsid w:val="005D4BFB"/>
    <w:rsid w:val="005D4C09"/>
    <w:rsid w:val="005D4DAE"/>
    <w:rsid w:val="005D52C5"/>
    <w:rsid w:val="005D531D"/>
    <w:rsid w:val="005D5528"/>
    <w:rsid w:val="005D5539"/>
    <w:rsid w:val="005D58B5"/>
    <w:rsid w:val="005D5AE2"/>
    <w:rsid w:val="005D5CC0"/>
    <w:rsid w:val="005D5CD2"/>
    <w:rsid w:val="005D6024"/>
    <w:rsid w:val="005D64B9"/>
    <w:rsid w:val="005D6695"/>
    <w:rsid w:val="005D6E8A"/>
    <w:rsid w:val="005D76E5"/>
    <w:rsid w:val="005E00FD"/>
    <w:rsid w:val="005E0415"/>
    <w:rsid w:val="005E04E5"/>
    <w:rsid w:val="005E081B"/>
    <w:rsid w:val="005E091C"/>
    <w:rsid w:val="005E09DC"/>
    <w:rsid w:val="005E0A12"/>
    <w:rsid w:val="005E140D"/>
    <w:rsid w:val="005E1599"/>
    <w:rsid w:val="005E17DF"/>
    <w:rsid w:val="005E1D97"/>
    <w:rsid w:val="005E1F03"/>
    <w:rsid w:val="005E21D4"/>
    <w:rsid w:val="005E235D"/>
    <w:rsid w:val="005E2874"/>
    <w:rsid w:val="005E2A54"/>
    <w:rsid w:val="005E2F8B"/>
    <w:rsid w:val="005E3264"/>
    <w:rsid w:val="005E3806"/>
    <w:rsid w:val="005E3919"/>
    <w:rsid w:val="005E3988"/>
    <w:rsid w:val="005E39C7"/>
    <w:rsid w:val="005E3C6C"/>
    <w:rsid w:val="005E4055"/>
    <w:rsid w:val="005E4081"/>
    <w:rsid w:val="005E41C6"/>
    <w:rsid w:val="005E421A"/>
    <w:rsid w:val="005E441F"/>
    <w:rsid w:val="005E4479"/>
    <w:rsid w:val="005E4543"/>
    <w:rsid w:val="005E45A4"/>
    <w:rsid w:val="005E48F2"/>
    <w:rsid w:val="005E5437"/>
    <w:rsid w:val="005E5580"/>
    <w:rsid w:val="005E56C9"/>
    <w:rsid w:val="005E59D9"/>
    <w:rsid w:val="005E5F4D"/>
    <w:rsid w:val="005E63E4"/>
    <w:rsid w:val="005E6507"/>
    <w:rsid w:val="005E65A6"/>
    <w:rsid w:val="005E65A7"/>
    <w:rsid w:val="005E66E5"/>
    <w:rsid w:val="005E699D"/>
    <w:rsid w:val="005E6E99"/>
    <w:rsid w:val="005E6F6C"/>
    <w:rsid w:val="005E6F71"/>
    <w:rsid w:val="005E7833"/>
    <w:rsid w:val="005E7839"/>
    <w:rsid w:val="005E7C5A"/>
    <w:rsid w:val="005E7F6F"/>
    <w:rsid w:val="005E7F73"/>
    <w:rsid w:val="005F04D3"/>
    <w:rsid w:val="005F05EF"/>
    <w:rsid w:val="005F0A37"/>
    <w:rsid w:val="005F0DAD"/>
    <w:rsid w:val="005F0F33"/>
    <w:rsid w:val="005F10FD"/>
    <w:rsid w:val="005F12AF"/>
    <w:rsid w:val="005F178D"/>
    <w:rsid w:val="005F1F3B"/>
    <w:rsid w:val="005F1F6E"/>
    <w:rsid w:val="005F2194"/>
    <w:rsid w:val="005F25C4"/>
    <w:rsid w:val="005F2728"/>
    <w:rsid w:val="005F2751"/>
    <w:rsid w:val="005F2F23"/>
    <w:rsid w:val="005F349E"/>
    <w:rsid w:val="005F35B6"/>
    <w:rsid w:val="005F3A3B"/>
    <w:rsid w:val="005F3AA0"/>
    <w:rsid w:val="005F3BAA"/>
    <w:rsid w:val="005F3DAE"/>
    <w:rsid w:val="005F400F"/>
    <w:rsid w:val="005F41B6"/>
    <w:rsid w:val="005F4951"/>
    <w:rsid w:val="005F496A"/>
    <w:rsid w:val="005F4DAF"/>
    <w:rsid w:val="005F539F"/>
    <w:rsid w:val="005F5622"/>
    <w:rsid w:val="005F59E6"/>
    <w:rsid w:val="005F5E04"/>
    <w:rsid w:val="005F5E4B"/>
    <w:rsid w:val="005F6105"/>
    <w:rsid w:val="005F6475"/>
    <w:rsid w:val="005F66E5"/>
    <w:rsid w:val="005F6AA6"/>
    <w:rsid w:val="005F6F1E"/>
    <w:rsid w:val="005F7076"/>
    <w:rsid w:val="005F70D5"/>
    <w:rsid w:val="005F7154"/>
    <w:rsid w:val="005F74FD"/>
    <w:rsid w:val="005F7876"/>
    <w:rsid w:val="005F7B04"/>
    <w:rsid w:val="005F7DE2"/>
    <w:rsid w:val="005F7EE4"/>
    <w:rsid w:val="005F7F85"/>
    <w:rsid w:val="005F7FD1"/>
    <w:rsid w:val="00600363"/>
    <w:rsid w:val="00600DEB"/>
    <w:rsid w:val="00600ED5"/>
    <w:rsid w:val="0060104B"/>
    <w:rsid w:val="006019A6"/>
    <w:rsid w:val="00601AC3"/>
    <w:rsid w:val="00601D10"/>
    <w:rsid w:val="0060208A"/>
    <w:rsid w:val="00602325"/>
    <w:rsid w:val="00602481"/>
    <w:rsid w:val="006024D3"/>
    <w:rsid w:val="006027F0"/>
    <w:rsid w:val="00602908"/>
    <w:rsid w:val="00602A16"/>
    <w:rsid w:val="00602AF6"/>
    <w:rsid w:val="00602B78"/>
    <w:rsid w:val="00602BE9"/>
    <w:rsid w:val="006031D9"/>
    <w:rsid w:val="006032C8"/>
    <w:rsid w:val="00603368"/>
    <w:rsid w:val="006037CA"/>
    <w:rsid w:val="0060387A"/>
    <w:rsid w:val="00603A8C"/>
    <w:rsid w:val="00603CC3"/>
    <w:rsid w:val="00603E3C"/>
    <w:rsid w:val="00603E73"/>
    <w:rsid w:val="00603F29"/>
    <w:rsid w:val="00603F9E"/>
    <w:rsid w:val="00604126"/>
    <w:rsid w:val="0060419C"/>
    <w:rsid w:val="00604481"/>
    <w:rsid w:val="006049D5"/>
    <w:rsid w:val="00604A58"/>
    <w:rsid w:val="00604DF8"/>
    <w:rsid w:val="00604E7B"/>
    <w:rsid w:val="00605273"/>
    <w:rsid w:val="006055B4"/>
    <w:rsid w:val="00605636"/>
    <w:rsid w:val="00605639"/>
    <w:rsid w:val="00605C21"/>
    <w:rsid w:val="00605DF3"/>
    <w:rsid w:val="00605ED0"/>
    <w:rsid w:val="00605F21"/>
    <w:rsid w:val="00606418"/>
    <w:rsid w:val="0060676C"/>
    <w:rsid w:val="00606810"/>
    <w:rsid w:val="00606B13"/>
    <w:rsid w:val="0060703A"/>
    <w:rsid w:val="006070A1"/>
    <w:rsid w:val="00607355"/>
    <w:rsid w:val="006078AB"/>
    <w:rsid w:val="006078DA"/>
    <w:rsid w:val="00610191"/>
    <w:rsid w:val="00610224"/>
    <w:rsid w:val="0061040B"/>
    <w:rsid w:val="0061044D"/>
    <w:rsid w:val="006104A9"/>
    <w:rsid w:val="00610598"/>
    <w:rsid w:val="006105BA"/>
    <w:rsid w:val="0061067B"/>
    <w:rsid w:val="00610D16"/>
    <w:rsid w:val="00610F85"/>
    <w:rsid w:val="00611302"/>
    <w:rsid w:val="00611411"/>
    <w:rsid w:val="006114B3"/>
    <w:rsid w:val="006118C9"/>
    <w:rsid w:val="00611F1F"/>
    <w:rsid w:val="00612699"/>
    <w:rsid w:val="00612985"/>
    <w:rsid w:val="00612AAA"/>
    <w:rsid w:val="00612DCC"/>
    <w:rsid w:val="006132F4"/>
    <w:rsid w:val="006133B9"/>
    <w:rsid w:val="006137AB"/>
    <w:rsid w:val="00613B4E"/>
    <w:rsid w:val="006145AD"/>
    <w:rsid w:val="006147AC"/>
    <w:rsid w:val="006149CE"/>
    <w:rsid w:val="00614C69"/>
    <w:rsid w:val="00614F48"/>
    <w:rsid w:val="00615532"/>
    <w:rsid w:val="0061565D"/>
    <w:rsid w:val="006158A1"/>
    <w:rsid w:val="00615AFD"/>
    <w:rsid w:val="00615C7C"/>
    <w:rsid w:val="00615C9D"/>
    <w:rsid w:val="0061631D"/>
    <w:rsid w:val="00616468"/>
    <w:rsid w:val="00616517"/>
    <w:rsid w:val="006165A2"/>
    <w:rsid w:val="00616733"/>
    <w:rsid w:val="00616911"/>
    <w:rsid w:val="00616A06"/>
    <w:rsid w:val="00616C27"/>
    <w:rsid w:val="0061720A"/>
    <w:rsid w:val="00617467"/>
    <w:rsid w:val="0061763B"/>
    <w:rsid w:val="0061774B"/>
    <w:rsid w:val="00617A5D"/>
    <w:rsid w:val="00617C65"/>
    <w:rsid w:val="00617F15"/>
    <w:rsid w:val="006202A8"/>
    <w:rsid w:val="0062090E"/>
    <w:rsid w:val="00620984"/>
    <w:rsid w:val="006209D8"/>
    <w:rsid w:val="00620CFD"/>
    <w:rsid w:val="00620D96"/>
    <w:rsid w:val="00620FE4"/>
    <w:rsid w:val="00621376"/>
    <w:rsid w:val="00621C71"/>
    <w:rsid w:val="00621DA7"/>
    <w:rsid w:val="00621E20"/>
    <w:rsid w:val="0062206A"/>
    <w:rsid w:val="00622121"/>
    <w:rsid w:val="006222AD"/>
    <w:rsid w:val="006222C7"/>
    <w:rsid w:val="006222F0"/>
    <w:rsid w:val="00622977"/>
    <w:rsid w:val="00622D9E"/>
    <w:rsid w:val="0062320A"/>
    <w:rsid w:val="00623415"/>
    <w:rsid w:val="0062361B"/>
    <w:rsid w:val="006236F8"/>
    <w:rsid w:val="00623732"/>
    <w:rsid w:val="00623AF6"/>
    <w:rsid w:val="00623F39"/>
    <w:rsid w:val="00623F54"/>
    <w:rsid w:val="006244EF"/>
    <w:rsid w:val="00624AB7"/>
    <w:rsid w:val="00624B07"/>
    <w:rsid w:val="00624B36"/>
    <w:rsid w:val="00624C18"/>
    <w:rsid w:val="00624D25"/>
    <w:rsid w:val="00624F13"/>
    <w:rsid w:val="0062540E"/>
    <w:rsid w:val="00625B29"/>
    <w:rsid w:val="00625E2A"/>
    <w:rsid w:val="00625FC4"/>
    <w:rsid w:val="006264B1"/>
    <w:rsid w:val="006265D6"/>
    <w:rsid w:val="0062667C"/>
    <w:rsid w:val="006266E4"/>
    <w:rsid w:val="00626A1D"/>
    <w:rsid w:val="00626A68"/>
    <w:rsid w:val="00626B0C"/>
    <w:rsid w:val="00627295"/>
    <w:rsid w:val="00627303"/>
    <w:rsid w:val="0062761B"/>
    <w:rsid w:val="0062761D"/>
    <w:rsid w:val="00627893"/>
    <w:rsid w:val="00627A84"/>
    <w:rsid w:val="00627C9F"/>
    <w:rsid w:val="00627DB9"/>
    <w:rsid w:val="00627DC1"/>
    <w:rsid w:val="00630099"/>
    <w:rsid w:val="006300F6"/>
    <w:rsid w:val="00630243"/>
    <w:rsid w:val="006303C3"/>
    <w:rsid w:val="00630421"/>
    <w:rsid w:val="0063069F"/>
    <w:rsid w:val="00630801"/>
    <w:rsid w:val="006308B0"/>
    <w:rsid w:val="00630992"/>
    <w:rsid w:val="00630ACE"/>
    <w:rsid w:val="00630F0A"/>
    <w:rsid w:val="006311E9"/>
    <w:rsid w:val="006312A6"/>
    <w:rsid w:val="00631456"/>
    <w:rsid w:val="0063197A"/>
    <w:rsid w:val="00631CFC"/>
    <w:rsid w:val="00632039"/>
    <w:rsid w:val="00632354"/>
    <w:rsid w:val="0063273D"/>
    <w:rsid w:val="006328B3"/>
    <w:rsid w:val="00632CED"/>
    <w:rsid w:val="00633006"/>
    <w:rsid w:val="0063332B"/>
    <w:rsid w:val="0063380B"/>
    <w:rsid w:val="0063384C"/>
    <w:rsid w:val="0063388A"/>
    <w:rsid w:val="006339B3"/>
    <w:rsid w:val="00633A4A"/>
    <w:rsid w:val="00633AFA"/>
    <w:rsid w:val="00634193"/>
    <w:rsid w:val="006344F7"/>
    <w:rsid w:val="0063460C"/>
    <w:rsid w:val="006348A4"/>
    <w:rsid w:val="00634935"/>
    <w:rsid w:val="00634CCD"/>
    <w:rsid w:val="00634E83"/>
    <w:rsid w:val="00634F0C"/>
    <w:rsid w:val="00635014"/>
    <w:rsid w:val="00635B81"/>
    <w:rsid w:val="00635EB4"/>
    <w:rsid w:val="00636164"/>
    <w:rsid w:val="006367BE"/>
    <w:rsid w:val="006368A4"/>
    <w:rsid w:val="00636E36"/>
    <w:rsid w:val="00636EEC"/>
    <w:rsid w:val="00637390"/>
    <w:rsid w:val="00637A7D"/>
    <w:rsid w:val="00637E9F"/>
    <w:rsid w:val="0064018B"/>
    <w:rsid w:val="00640200"/>
    <w:rsid w:val="00640598"/>
    <w:rsid w:val="00640C5B"/>
    <w:rsid w:val="00640DA6"/>
    <w:rsid w:val="00640E35"/>
    <w:rsid w:val="00640F7D"/>
    <w:rsid w:val="00641554"/>
    <w:rsid w:val="006415F5"/>
    <w:rsid w:val="00641972"/>
    <w:rsid w:val="00641FFA"/>
    <w:rsid w:val="00642011"/>
    <w:rsid w:val="00642021"/>
    <w:rsid w:val="00642053"/>
    <w:rsid w:val="00642149"/>
    <w:rsid w:val="0064214F"/>
    <w:rsid w:val="00642160"/>
    <w:rsid w:val="00642299"/>
    <w:rsid w:val="00642671"/>
    <w:rsid w:val="00642745"/>
    <w:rsid w:val="006427A2"/>
    <w:rsid w:val="00642810"/>
    <w:rsid w:val="00642846"/>
    <w:rsid w:val="0064298C"/>
    <w:rsid w:val="00642B2C"/>
    <w:rsid w:val="00642EA6"/>
    <w:rsid w:val="006431B7"/>
    <w:rsid w:val="006432DF"/>
    <w:rsid w:val="0064371D"/>
    <w:rsid w:val="00643B1A"/>
    <w:rsid w:val="00643CAC"/>
    <w:rsid w:val="00643DAE"/>
    <w:rsid w:val="00644100"/>
    <w:rsid w:val="0064414C"/>
    <w:rsid w:val="006443A2"/>
    <w:rsid w:val="00644635"/>
    <w:rsid w:val="00644CEF"/>
    <w:rsid w:val="00644FB9"/>
    <w:rsid w:val="0064529F"/>
    <w:rsid w:val="00645394"/>
    <w:rsid w:val="0064594A"/>
    <w:rsid w:val="00645C6C"/>
    <w:rsid w:val="0064625E"/>
    <w:rsid w:val="00646318"/>
    <w:rsid w:val="006463F5"/>
    <w:rsid w:val="00646412"/>
    <w:rsid w:val="0064649C"/>
    <w:rsid w:val="00646AAA"/>
    <w:rsid w:val="00646B23"/>
    <w:rsid w:val="00646BF0"/>
    <w:rsid w:val="0064715E"/>
    <w:rsid w:val="006475D3"/>
    <w:rsid w:val="006478AE"/>
    <w:rsid w:val="00647CBF"/>
    <w:rsid w:val="00647D67"/>
    <w:rsid w:val="00647F10"/>
    <w:rsid w:val="006501D8"/>
    <w:rsid w:val="006504B1"/>
    <w:rsid w:val="006505DC"/>
    <w:rsid w:val="00650B75"/>
    <w:rsid w:val="00650DF0"/>
    <w:rsid w:val="00650FD4"/>
    <w:rsid w:val="006510E9"/>
    <w:rsid w:val="00651248"/>
    <w:rsid w:val="00651686"/>
    <w:rsid w:val="006517C3"/>
    <w:rsid w:val="006519DE"/>
    <w:rsid w:val="006519E9"/>
    <w:rsid w:val="00651A84"/>
    <w:rsid w:val="00652129"/>
    <w:rsid w:val="00652333"/>
    <w:rsid w:val="00652714"/>
    <w:rsid w:val="00652C07"/>
    <w:rsid w:val="00652F5E"/>
    <w:rsid w:val="0065315F"/>
    <w:rsid w:val="006533A7"/>
    <w:rsid w:val="006534FF"/>
    <w:rsid w:val="0065354E"/>
    <w:rsid w:val="00653787"/>
    <w:rsid w:val="00653813"/>
    <w:rsid w:val="00653B5F"/>
    <w:rsid w:val="00653C47"/>
    <w:rsid w:val="006541D1"/>
    <w:rsid w:val="00654330"/>
    <w:rsid w:val="0065473B"/>
    <w:rsid w:val="00654AA0"/>
    <w:rsid w:val="00654CA8"/>
    <w:rsid w:val="00654E4B"/>
    <w:rsid w:val="00654E63"/>
    <w:rsid w:val="00654E84"/>
    <w:rsid w:val="0065526D"/>
    <w:rsid w:val="0065540B"/>
    <w:rsid w:val="006555CD"/>
    <w:rsid w:val="00655637"/>
    <w:rsid w:val="006556DA"/>
    <w:rsid w:val="0065583B"/>
    <w:rsid w:val="006558F3"/>
    <w:rsid w:val="006559B7"/>
    <w:rsid w:val="00655C09"/>
    <w:rsid w:val="00655DC3"/>
    <w:rsid w:val="00655F48"/>
    <w:rsid w:val="006560F5"/>
    <w:rsid w:val="006565CC"/>
    <w:rsid w:val="00656A10"/>
    <w:rsid w:val="00656A12"/>
    <w:rsid w:val="006570B1"/>
    <w:rsid w:val="006571BA"/>
    <w:rsid w:val="006573A8"/>
    <w:rsid w:val="00657915"/>
    <w:rsid w:val="00657A9F"/>
    <w:rsid w:val="00657BF3"/>
    <w:rsid w:val="00657C5E"/>
    <w:rsid w:val="00657D6D"/>
    <w:rsid w:val="00657E2F"/>
    <w:rsid w:val="0066006C"/>
    <w:rsid w:val="006602D9"/>
    <w:rsid w:val="00660616"/>
    <w:rsid w:val="00660A23"/>
    <w:rsid w:val="00661526"/>
    <w:rsid w:val="0066159A"/>
    <w:rsid w:val="006615AD"/>
    <w:rsid w:val="006618BC"/>
    <w:rsid w:val="00661A1B"/>
    <w:rsid w:val="00662116"/>
    <w:rsid w:val="006621D5"/>
    <w:rsid w:val="0066234E"/>
    <w:rsid w:val="006623FE"/>
    <w:rsid w:val="00662608"/>
    <w:rsid w:val="006626A2"/>
    <w:rsid w:val="00662AE2"/>
    <w:rsid w:val="00662FED"/>
    <w:rsid w:val="0066329E"/>
    <w:rsid w:val="006634FA"/>
    <w:rsid w:val="00663AAF"/>
    <w:rsid w:val="00663CA0"/>
    <w:rsid w:val="00663EF4"/>
    <w:rsid w:val="00664A64"/>
    <w:rsid w:val="00664BBD"/>
    <w:rsid w:val="00664EA3"/>
    <w:rsid w:val="006650A7"/>
    <w:rsid w:val="00665324"/>
    <w:rsid w:val="00665BA0"/>
    <w:rsid w:val="00665C39"/>
    <w:rsid w:val="00665EB9"/>
    <w:rsid w:val="00665F90"/>
    <w:rsid w:val="006660D0"/>
    <w:rsid w:val="0066678B"/>
    <w:rsid w:val="00666B07"/>
    <w:rsid w:val="0066736C"/>
    <w:rsid w:val="0066745B"/>
    <w:rsid w:val="006674FE"/>
    <w:rsid w:val="006676FD"/>
    <w:rsid w:val="00667AB0"/>
    <w:rsid w:val="00667BC7"/>
    <w:rsid w:val="00667CA7"/>
    <w:rsid w:val="00667EDC"/>
    <w:rsid w:val="006700BC"/>
    <w:rsid w:val="0067030C"/>
    <w:rsid w:val="00670732"/>
    <w:rsid w:val="00670833"/>
    <w:rsid w:val="00670BA7"/>
    <w:rsid w:val="00671028"/>
    <w:rsid w:val="00671984"/>
    <w:rsid w:val="00671B92"/>
    <w:rsid w:val="00671BD1"/>
    <w:rsid w:val="00671CD9"/>
    <w:rsid w:val="00671DE9"/>
    <w:rsid w:val="00671E37"/>
    <w:rsid w:val="0067213E"/>
    <w:rsid w:val="0067281D"/>
    <w:rsid w:val="00672A60"/>
    <w:rsid w:val="00672EF7"/>
    <w:rsid w:val="00673038"/>
    <w:rsid w:val="0067328F"/>
    <w:rsid w:val="00673E32"/>
    <w:rsid w:val="006746BC"/>
    <w:rsid w:val="00674D3E"/>
    <w:rsid w:val="00674D66"/>
    <w:rsid w:val="00674E0A"/>
    <w:rsid w:val="00674E4D"/>
    <w:rsid w:val="00675765"/>
    <w:rsid w:val="006758F4"/>
    <w:rsid w:val="00675923"/>
    <w:rsid w:val="0067594D"/>
    <w:rsid w:val="00675B13"/>
    <w:rsid w:val="00675D16"/>
    <w:rsid w:val="00675EE5"/>
    <w:rsid w:val="006764B0"/>
    <w:rsid w:val="00676930"/>
    <w:rsid w:val="00676AB0"/>
    <w:rsid w:val="00676BC8"/>
    <w:rsid w:val="00676BEC"/>
    <w:rsid w:val="0067711D"/>
    <w:rsid w:val="00677345"/>
    <w:rsid w:val="006774F4"/>
    <w:rsid w:val="006777D4"/>
    <w:rsid w:val="00677817"/>
    <w:rsid w:val="00677A96"/>
    <w:rsid w:val="00677AD8"/>
    <w:rsid w:val="00677AEF"/>
    <w:rsid w:val="00677B62"/>
    <w:rsid w:val="0068001B"/>
    <w:rsid w:val="00680080"/>
    <w:rsid w:val="0068009E"/>
    <w:rsid w:val="00680407"/>
    <w:rsid w:val="00680B66"/>
    <w:rsid w:val="00680D54"/>
    <w:rsid w:val="0068105A"/>
    <w:rsid w:val="0068128F"/>
    <w:rsid w:val="00681B7D"/>
    <w:rsid w:val="00681CE7"/>
    <w:rsid w:val="006820CE"/>
    <w:rsid w:val="00682170"/>
    <w:rsid w:val="006823E6"/>
    <w:rsid w:val="00682960"/>
    <w:rsid w:val="006829AF"/>
    <w:rsid w:val="00682A00"/>
    <w:rsid w:val="00682B10"/>
    <w:rsid w:val="00682BA1"/>
    <w:rsid w:val="006833DA"/>
    <w:rsid w:val="0068351C"/>
    <w:rsid w:val="0068357C"/>
    <w:rsid w:val="00683685"/>
    <w:rsid w:val="006837F8"/>
    <w:rsid w:val="00683B3E"/>
    <w:rsid w:val="0068424C"/>
    <w:rsid w:val="006844D5"/>
    <w:rsid w:val="00684A8E"/>
    <w:rsid w:val="00684ADA"/>
    <w:rsid w:val="00684C05"/>
    <w:rsid w:val="00685083"/>
    <w:rsid w:val="00685217"/>
    <w:rsid w:val="00685399"/>
    <w:rsid w:val="006853B8"/>
    <w:rsid w:val="006857A6"/>
    <w:rsid w:val="00685917"/>
    <w:rsid w:val="006860C3"/>
    <w:rsid w:val="00686774"/>
    <w:rsid w:val="006868CE"/>
    <w:rsid w:val="00686C4E"/>
    <w:rsid w:val="00686CD2"/>
    <w:rsid w:val="00686D7F"/>
    <w:rsid w:val="00686E08"/>
    <w:rsid w:val="00687233"/>
    <w:rsid w:val="006874D5"/>
    <w:rsid w:val="0068762B"/>
    <w:rsid w:val="0068775D"/>
    <w:rsid w:val="00687961"/>
    <w:rsid w:val="00687C60"/>
    <w:rsid w:val="00687DC4"/>
    <w:rsid w:val="00687F7E"/>
    <w:rsid w:val="00690574"/>
    <w:rsid w:val="00690D4C"/>
    <w:rsid w:val="0069104F"/>
    <w:rsid w:val="006911E3"/>
    <w:rsid w:val="00691211"/>
    <w:rsid w:val="006919A3"/>
    <w:rsid w:val="00691A60"/>
    <w:rsid w:val="006922F5"/>
    <w:rsid w:val="006928EA"/>
    <w:rsid w:val="00692B0E"/>
    <w:rsid w:val="00692CD1"/>
    <w:rsid w:val="00692E60"/>
    <w:rsid w:val="006936B5"/>
    <w:rsid w:val="00693E9F"/>
    <w:rsid w:val="00693F48"/>
    <w:rsid w:val="00694478"/>
    <w:rsid w:val="006945B0"/>
    <w:rsid w:val="00694B5E"/>
    <w:rsid w:val="0069542B"/>
    <w:rsid w:val="006954B6"/>
    <w:rsid w:val="006959DA"/>
    <w:rsid w:val="00695B2C"/>
    <w:rsid w:val="00695D7D"/>
    <w:rsid w:val="00695DB8"/>
    <w:rsid w:val="00695E32"/>
    <w:rsid w:val="00695FCA"/>
    <w:rsid w:val="00695FD8"/>
    <w:rsid w:val="00696003"/>
    <w:rsid w:val="0069616F"/>
    <w:rsid w:val="006966B2"/>
    <w:rsid w:val="0069695B"/>
    <w:rsid w:val="00696F5C"/>
    <w:rsid w:val="00697206"/>
    <w:rsid w:val="006974EF"/>
    <w:rsid w:val="006979BD"/>
    <w:rsid w:val="006A040E"/>
    <w:rsid w:val="006A071C"/>
    <w:rsid w:val="006A07CA"/>
    <w:rsid w:val="006A0950"/>
    <w:rsid w:val="006A0D73"/>
    <w:rsid w:val="006A0F6F"/>
    <w:rsid w:val="006A1131"/>
    <w:rsid w:val="006A12B2"/>
    <w:rsid w:val="006A12EA"/>
    <w:rsid w:val="006A139F"/>
    <w:rsid w:val="006A1409"/>
    <w:rsid w:val="006A177B"/>
    <w:rsid w:val="006A17CB"/>
    <w:rsid w:val="006A17D2"/>
    <w:rsid w:val="006A1B76"/>
    <w:rsid w:val="006A1DC1"/>
    <w:rsid w:val="006A26BC"/>
    <w:rsid w:val="006A2865"/>
    <w:rsid w:val="006A288D"/>
    <w:rsid w:val="006A2B0F"/>
    <w:rsid w:val="006A2D14"/>
    <w:rsid w:val="006A2FCE"/>
    <w:rsid w:val="006A34DF"/>
    <w:rsid w:val="006A3668"/>
    <w:rsid w:val="006A37BA"/>
    <w:rsid w:val="006A39D3"/>
    <w:rsid w:val="006A3B28"/>
    <w:rsid w:val="006A3BB7"/>
    <w:rsid w:val="006A3DA8"/>
    <w:rsid w:val="006A4388"/>
    <w:rsid w:val="006A4937"/>
    <w:rsid w:val="006A494C"/>
    <w:rsid w:val="006A4B7F"/>
    <w:rsid w:val="006A4BE6"/>
    <w:rsid w:val="006A4C34"/>
    <w:rsid w:val="006A4F24"/>
    <w:rsid w:val="006A5080"/>
    <w:rsid w:val="006A512F"/>
    <w:rsid w:val="006A5279"/>
    <w:rsid w:val="006A52B0"/>
    <w:rsid w:val="006A5378"/>
    <w:rsid w:val="006A5619"/>
    <w:rsid w:val="006A58B4"/>
    <w:rsid w:val="006A5D09"/>
    <w:rsid w:val="006A6032"/>
    <w:rsid w:val="006A6116"/>
    <w:rsid w:val="006A6396"/>
    <w:rsid w:val="006A6530"/>
    <w:rsid w:val="006A686E"/>
    <w:rsid w:val="006A6879"/>
    <w:rsid w:val="006A6958"/>
    <w:rsid w:val="006A6C28"/>
    <w:rsid w:val="006A6E4C"/>
    <w:rsid w:val="006A6F86"/>
    <w:rsid w:val="006A7061"/>
    <w:rsid w:val="006A7102"/>
    <w:rsid w:val="006A7208"/>
    <w:rsid w:val="006A73E6"/>
    <w:rsid w:val="006A75AD"/>
    <w:rsid w:val="006A789A"/>
    <w:rsid w:val="006A7A63"/>
    <w:rsid w:val="006A7DF0"/>
    <w:rsid w:val="006A7EE1"/>
    <w:rsid w:val="006B004E"/>
    <w:rsid w:val="006B0320"/>
    <w:rsid w:val="006B0709"/>
    <w:rsid w:val="006B09F4"/>
    <w:rsid w:val="006B0A06"/>
    <w:rsid w:val="006B0F94"/>
    <w:rsid w:val="006B1252"/>
    <w:rsid w:val="006B1287"/>
    <w:rsid w:val="006B140A"/>
    <w:rsid w:val="006B15CE"/>
    <w:rsid w:val="006B17C3"/>
    <w:rsid w:val="006B1A48"/>
    <w:rsid w:val="006B1BD8"/>
    <w:rsid w:val="006B1D23"/>
    <w:rsid w:val="006B2809"/>
    <w:rsid w:val="006B2A30"/>
    <w:rsid w:val="006B2AD1"/>
    <w:rsid w:val="006B2CC7"/>
    <w:rsid w:val="006B2D5C"/>
    <w:rsid w:val="006B2FBF"/>
    <w:rsid w:val="006B33C4"/>
    <w:rsid w:val="006B347B"/>
    <w:rsid w:val="006B34B4"/>
    <w:rsid w:val="006B351F"/>
    <w:rsid w:val="006B3714"/>
    <w:rsid w:val="006B3AF1"/>
    <w:rsid w:val="006B3D00"/>
    <w:rsid w:val="006B3D88"/>
    <w:rsid w:val="006B3F3E"/>
    <w:rsid w:val="006B4095"/>
    <w:rsid w:val="006B4811"/>
    <w:rsid w:val="006B4B1A"/>
    <w:rsid w:val="006B4D46"/>
    <w:rsid w:val="006B51B9"/>
    <w:rsid w:val="006B57E1"/>
    <w:rsid w:val="006B5B8E"/>
    <w:rsid w:val="006B5F56"/>
    <w:rsid w:val="006B661B"/>
    <w:rsid w:val="006B69B5"/>
    <w:rsid w:val="006B6CA3"/>
    <w:rsid w:val="006B6F1E"/>
    <w:rsid w:val="006B6F29"/>
    <w:rsid w:val="006B71F6"/>
    <w:rsid w:val="006B74C2"/>
    <w:rsid w:val="006B7FA2"/>
    <w:rsid w:val="006C075B"/>
    <w:rsid w:val="006C0784"/>
    <w:rsid w:val="006C078E"/>
    <w:rsid w:val="006C0A5B"/>
    <w:rsid w:val="006C0A65"/>
    <w:rsid w:val="006C0BE5"/>
    <w:rsid w:val="006C0D0B"/>
    <w:rsid w:val="006C0EB5"/>
    <w:rsid w:val="006C0FB6"/>
    <w:rsid w:val="006C11B7"/>
    <w:rsid w:val="006C128E"/>
    <w:rsid w:val="006C129D"/>
    <w:rsid w:val="006C15B5"/>
    <w:rsid w:val="006C16D2"/>
    <w:rsid w:val="006C1767"/>
    <w:rsid w:val="006C17B3"/>
    <w:rsid w:val="006C1ADB"/>
    <w:rsid w:val="006C1D5B"/>
    <w:rsid w:val="006C1E07"/>
    <w:rsid w:val="006C2316"/>
    <w:rsid w:val="006C2891"/>
    <w:rsid w:val="006C2924"/>
    <w:rsid w:val="006C3076"/>
    <w:rsid w:val="006C31F8"/>
    <w:rsid w:val="006C341D"/>
    <w:rsid w:val="006C3B01"/>
    <w:rsid w:val="006C4468"/>
    <w:rsid w:val="006C4EB1"/>
    <w:rsid w:val="006C56CA"/>
    <w:rsid w:val="006C58EB"/>
    <w:rsid w:val="006C5A70"/>
    <w:rsid w:val="006C6102"/>
    <w:rsid w:val="006C62AA"/>
    <w:rsid w:val="006C6946"/>
    <w:rsid w:val="006C7244"/>
    <w:rsid w:val="006C7306"/>
    <w:rsid w:val="006C7774"/>
    <w:rsid w:val="006C77B8"/>
    <w:rsid w:val="006D0196"/>
    <w:rsid w:val="006D0592"/>
    <w:rsid w:val="006D0772"/>
    <w:rsid w:val="006D0A39"/>
    <w:rsid w:val="006D0AAE"/>
    <w:rsid w:val="006D0B3C"/>
    <w:rsid w:val="006D0E40"/>
    <w:rsid w:val="006D0F9A"/>
    <w:rsid w:val="006D132D"/>
    <w:rsid w:val="006D13E0"/>
    <w:rsid w:val="006D1B01"/>
    <w:rsid w:val="006D1C43"/>
    <w:rsid w:val="006D1DAA"/>
    <w:rsid w:val="006D1DBD"/>
    <w:rsid w:val="006D2A5F"/>
    <w:rsid w:val="006D2C15"/>
    <w:rsid w:val="006D2D0D"/>
    <w:rsid w:val="006D2EC4"/>
    <w:rsid w:val="006D3155"/>
    <w:rsid w:val="006D362F"/>
    <w:rsid w:val="006D39C6"/>
    <w:rsid w:val="006D4019"/>
    <w:rsid w:val="006D40D8"/>
    <w:rsid w:val="006D47BD"/>
    <w:rsid w:val="006D497B"/>
    <w:rsid w:val="006D4E75"/>
    <w:rsid w:val="006D4F77"/>
    <w:rsid w:val="006D57EF"/>
    <w:rsid w:val="006D5960"/>
    <w:rsid w:val="006D5D2C"/>
    <w:rsid w:val="006D5ED9"/>
    <w:rsid w:val="006D640D"/>
    <w:rsid w:val="006D6521"/>
    <w:rsid w:val="006D6D14"/>
    <w:rsid w:val="006D6EC5"/>
    <w:rsid w:val="006D70B2"/>
    <w:rsid w:val="006D71C7"/>
    <w:rsid w:val="006D7534"/>
    <w:rsid w:val="006D796E"/>
    <w:rsid w:val="006D7A04"/>
    <w:rsid w:val="006D7B67"/>
    <w:rsid w:val="006D7C4C"/>
    <w:rsid w:val="006D7D4B"/>
    <w:rsid w:val="006D7E34"/>
    <w:rsid w:val="006D7E6F"/>
    <w:rsid w:val="006E0021"/>
    <w:rsid w:val="006E00A3"/>
    <w:rsid w:val="006E0123"/>
    <w:rsid w:val="006E0166"/>
    <w:rsid w:val="006E0732"/>
    <w:rsid w:val="006E07E8"/>
    <w:rsid w:val="006E0C97"/>
    <w:rsid w:val="006E1178"/>
    <w:rsid w:val="006E1697"/>
    <w:rsid w:val="006E1A3B"/>
    <w:rsid w:val="006E1CC1"/>
    <w:rsid w:val="006E1F28"/>
    <w:rsid w:val="006E1F2E"/>
    <w:rsid w:val="006E230E"/>
    <w:rsid w:val="006E239A"/>
    <w:rsid w:val="006E25DC"/>
    <w:rsid w:val="006E26D2"/>
    <w:rsid w:val="006E2743"/>
    <w:rsid w:val="006E28E8"/>
    <w:rsid w:val="006E2908"/>
    <w:rsid w:val="006E30B7"/>
    <w:rsid w:val="006E31CD"/>
    <w:rsid w:val="006E338A"/>
    <w:rsid w:val="006E33B3"/>
    <w:rsid w:val="006E362D"/>
    <w:rsid w:val="006E3AF6"/>
    <w:rsid w:val="006E3E8D"/>
    <w:rsid w:val="006E3EFB"/>
    <w:rsid w:val="006E434B"/>
    <w:rsid w:val="006E4E21"/>
    <w:rsid w:val="006E5002"/>
    <w:rsid w:val="006E54B0"/>
    <w:rsid w:val="006E56C1"/>
    <w:rsid w:val="006E582A"/>
    <w:rsid w:val="006E58D1"/>
    <w:rsid w:val="006E5989"/>
    <w:rsid w:val="006E59D4"/>
    <w:rsid w:val="006E5B92"/>
    <w:rsid w:val="006E5BFC"/>
    <w:rsid w:val="006E5DDA"/>
    <w:rsid w:val="006E5E19"/>
    <w:rsid w:val="006E6193"/>
    <w:rsid w:val="006E6208"/>
    <w:rsid w:val="006E621E"/>
    <w:rsid w:val="006E623C"/>
    <w:rsid w:val="006E66A1"/>
    <w:rsid w:val="006E6C31"/>
    <w:rsid w:val="006E6C59"/>
    <w:rsid w:val="006E6E08"/>
    <w:rsid w:val="006E6EF6"/>
    <w:rsid w:val="006E7141"/>
    <w:rsid w:val="006E72D0"/>
    <w:rsid w:val="006E73D4"/>
    <w:rsid w:val="006E7495"/>
    <w:rsid w:val="006E752E"/>
    <w:rsid w:val="006E76E6"/>
    <w:rsid w:val="006E7B34"/>
    <w:rsid w:val="006E7DF9"/>
    <w:rsid w:val="006F0078"/>
    <w:rsid w:val="006F0205"/>
    <w:rsid w:val="006F0305"/>
    <w:rsid w:val="006F09EB"/>
    <w:rsid w:val="006F0A0A"/>
    <w:rsid w:val="006F0BBD"/>
    <w:rsid w:val="006F0FBE"/>
    <w:rsid w:val="006F1121"/>
    <w:rsid w:val="006F1545"/>
    <w:rsid w:val="006F165F"/>
    <w:rsid w:val="006F16D0"/>
    <w:rsid w:val="006F1C06"/>
    <w:rsid w:val="006F1C37"/>
    <w:rsid w:val="006F1CF4"/>
    <w:rsid w:val="006F1DCA"/>
    <w:rsid w:val="006F241B"/>
    <w:rsid w:val="006F2584"/>
    <w:rsid w:val="006F273B"/>
    <w:rsid w:val="006F27B6"/>
    <w:rsid w:val="006F284C"/>
    <w:rsid w:val="006F2B4A"/>
    <w:rsid w:val="006F32DC"/>
    <w:rsid w:val="006F32EF"/>
    <w:rsid w:val="006F3397"/>
    <w:rsid w:val="006F3495"/>
    <w:rsid w:val="006F34E3"/>
    <w:rsid w:val="006F3C62"/>
    <w:rsid w:val="006F3DC4"/>
    <w:rsid w:val="006F474A"/>
    <w:rsid w:val="006F491C"/>
    <w:rsid w:val="006F4BD2"/>
    <w:rsid w:val="006F4CE6"/>
    <w:rsid w:val="006F4E46"/>
    <w:rsid w:val="006F4F5B"/>
    <w:rsid w:val="006F5275"/>
    <w:rsid w:val="006F5779"/>
    <w:rsid w:val="006F58F8"/>
    <w:rsid w:val="006F5AAE"/>
    <w:rsid w:val="006F5C1B"/>
    <w:rsid w:val="006F5DD5"/>
    <w:rsid w:val="006F5E2C"/>
    <w:rsid w:val="006F5F5B"/>
    <w:rsid w:val="006F6D88"/>
    <w:rsid w:val="006F6FE5"/>
    <w:rsid w:val="006F735A"/>
    <w:rsid w:val="006F792D"/>
    <w:rsid w:val="006F79EC"/>
    <w:rsid w:val="006F7CCB"/>
    <w:rsid w:val="006F7CE7"/>
    <w:rsid w:val="006F7EE3"/>
    <w:rsid w:val="007003DD"/>
    <w:rsid w:val="00700A19"/>
    <w:rsid w:val="00700B6B"/>
    <w:rsid w:val="00700BE6"/>
    <w:rsid w:val="00700D9E"/>
    <w:rsid w:val="00701315"/>
    <w:rsid w:val="007014EB"/>
    <w:rsid w:val="00701542"/>
    <w:rsid w:val="00701983"/>
    <w:rsid w:val="007019A7"/>
    <w:rsid w:val="00701B3F"/>
    <w:rsid w:val="00701F15"/>
    <w:rsid w:val="00701F4D"/>
    <w:rsid w:val="0070217A"/>
    <w:rsid w:val="007022F6"/>
    <w:rsid w:val="00702501"/>
    <w:rsid w:val="00702755"/>
    <w:rsid w:val="00702BB1"/>
    <w:rsid w:val="00702F28"/>
    <w:rsid w:val="007032B2"/>
    <w:rsid w:val="00703461"/>
    <w:rsid w:val="0070385B"/>
    <w:rsid w:val="00703A3A"/>
    <w:rsid w:val="00703C9F"/>
    <w:rsid w:val="00703E09"/>
    <w:rsid w:val="00703E40"/>
    <w:rsid w:val="00703E6F"/>
    <w:rsid w:val="00704084"/>
    <w:rsid w:val="00704237"/>
    <w:rsid w:val="007042C0"/>
    <w:rsid w:val="0070448F"/>
    <w:rsid w:val="0070498B"/>
    <w:rsid w:val="00704E13"/>
    <w:rsid w:val="00704F4E"/>
    <w:rsid w:val="0070520F"/>
    <w:rsid w:val="00705668"/>
    <w:rsid w:val="00705C69"/>
    <w:rsid w:val="00705E34"/>
    <w:rsid w:val="0070693D"/>
    <w:rsid w:val="0070697F"/>
    <w:rsid w:val="00706E87"/>
    <w:rsid w:val="007073E2"/>
    <w:rsid w:val="00707437"/>
    <w:rsid w:val="0070749A"/>
    <w:rsid w:val="007074D6"/>
    <w:rsid w:val="0070763C"/>
    <w:rsid w:val="007079BD"/>
    <w:rsid w:val="00707B58"/>
    <w:rsid w:val="00707B7D"/>
    <w:rsid w:val="00707BF5"/>
    <w:rsid w:val="00707F92"/>
    <w:rsid w:val="00710113"/>
    <w:rsid w:val="00710559"/>
    <w:rsid w:val="0071056F"/>
    <w:rsid w:val="007106B4"/>
    <w:rsid w:val="00710772"/>
    <w:rsid w:val="007107AF"/>
    <w:rsid w:val="007107C2"/>
    <w:rsid w:val="0071082A"/>
    <w:rsid w:val="00710831"/>
    <w:rsid w:val="00710D41"/>
    <w:rsid w:val="007114BB"/>
    <w:rsid w:val="0071162D"/>
    <w:rsid w:val="00711B80"/>
    <w:rsid w:val="00711E01"/>
    <w:rsid w:val="00711F99"/>
    <w:rsid w:val="007120E3"/>
    <w:rsid w:val="007124F8"/>
    <w:rsid w:val="00712705"/>
    <w:rsid w:val="007127ED"/>
    <w:rsid w:val="007127FA"/>
    <w:rsid w:val="00712A15"/>
    <w:rsid w:val="00712C37"/>
    <w:rsid w:val="00712DD6"/>
    <w:rsid w:val="007134FD"/>
    <w:rsid w:val="00713548"/>
    <w:rsid w:val="00713551"/>
    <w:rsid w:val="00713632"/>
    <w:rsid w:val="00713B81"/>
    <w:rsid w:val="00713E33"/>
    <w:rsid w:val="00714373"/>
    <w:rsid w:val="007144B7"/>
    <w:rsid w:val="007145D6"/>
    <w:rsid w:val="007146D8"/>
    <w:rsid w:val="00714B32"/>
    <w:rsid w:val="00714C80"/>
    <w:rsid w:val="00714F4B"/>
    <w:rsid w:val="007150A7"/>
    <w:rsid w:val="007151C2"/>
    <w:rsid w:val="0071555D"/>
    <w:rsid w:val="007155B6"/>
    <w:rsid w:val="00715756"/>
    <w:rsid w:val="0071591F"/>
    <w:rsid w:val="00715A46"/>
    <w:rsid w:val="00715B3B"/>
    <w:rsid w:val="00715E51"/>
    <w:rsid w:val="007160EE"/>
    <w:rsid w:val="0071619F"/>
    <w:rsid w:val="0071640E"/>
    <w:rsid w:val="007166D4"/>
    <w:rsid w:val="00716C41"/>
    <w:rsid w:val="00716FBE"/>
    <w:rsid w:val="007177DE"/>
    <w:rsid w:val="00717B02"/>
    <w:rsid w:val="00717EF6"/>
    <w:rsid w:val="00717FFA"/>
    <w:rsid w:val="007200CC"/>
    <w:rsid w:val="00720558"/>
    <w:rsid w:val="00720893"/>
    <w:rsid w:val="00720928"/>
    <w:rsid w:val="007209F2"/>
    <w:rsid w:val="00720A33"/>
    <w:rsid w:val="00720F2C"/>
    <w:rsid w:val="00720F4C"/>
    <w:rsid w:val="00720F8E"/>
    <w:rsid w:val="00720FD7"/>
    <w:rsid w:val="0072101B"/>
    <w:rsid w:val="00721111"/>
    <w:rsid w:val="0072111C"/>
    <w:rsid w:val="007214EF"/>
    <w:rsid w:val="00721568"/>
    <w:rsid w:val="007215FC"/>
    <w:rsid w:val="007215FD"/>
    <w:rsid w:val="0072179D"/>
    <w:rsid w:val="0072199C"/>
    <w:rsid w:val="00721AD2"/>
    <w:rsid w:val="00721B11"/>
    <w:rsid w:val="00721F44"/>
    <w:rsid w:val="007222C5"/>
    <w:rsid w:val="00722585"/>
    <w:rsid w:val="00722A09"/>
    <w:rsid w:val="00722C88"/>
    <w:rsid w:val="00722D18"/>
    <w:rsid w:val="00722D61"/>
    <w:rsid w:val="00722DBA"/>
    <w:rsid w:val="00723163"/>
    <w:rsid w:val="0072344D"/>
    <w:rsid w:val="00723A38"/>
    <w:rsid w:val="0072411E"/>
    <w:rsid w:val="00724D14"/>
    <w:rsid w:val="00724D73"/>
    <w:rsid w:val="00724E06"/>
    <w:rsid w:val="007250D4"/>
    <w:rsid w:val="007253B8"/>
    <w:rsid w:val="00725557"/>
    <w:rsid w:val="007255D9"/>
    <w:rsid w:val="007255DB"/>
    <w:rsid w:val="00725626"/>
    <w:rsid w:val="00725AF5"/>
    <w:rsid w:val="00725C8A"/>
    <w:rsid w:val="00725D24"/>
    <w:rsid w:val="00725E74"/>
    <w:rsid w:val="0072622B"/>
    <w:rsid w:val="007264EF"/>
    <w:rsid w:val="00726906"/>
    <w:rsid w:val="00726AC1"/>
    <w:rsid w:val="00726EB2"/>
    <w:rsid w:val="0072728A"/>
    <w:rsid w:val="007273F5"/>
    <w:rsid w:val="007274DE"/>
    <w:rsid w:val="007276A9"/>
    <w:rsid w:val="00727AD9"/>
    <w:rsid w:val="00727C60"/>
    <w:rsid w:val="00727F16"/>
    <w:rsid w:val="00730111"/>
    <w:rsid w:val="007301C7"/>
    <w:rsid w:val="007303F5"/>
    <w:rsid w:val="00730AED"/>
    <w:rsid w:val="00730FE2"/>
    <w:rsid w:val="007314E0"/>
    <w:rsid w:val="00731881"/>
    <w:rsid w:val="007319B6"/>
    <w:rsid w:val="00731B6C"/>
    <w:rsid w:val="00731EE4"/>
    <w:rsid w:val="00732113"/>
    <w:rsid w:val="00732153"/>
    <w:rsid w:val="007321C3"/>
    <w:rsid w:val="0073271A"/>
    <w:rsid w:val="00732A0F"/>
    <w:rsid w:val="00732AA5"/>
    <w:rsid w:val="00733029"/>
    <w:rsid w:val="00733032"/>
    <w:rsid w:val="0073332C"/>
    <w:rsid w:val="00733344"/>
    <w:rsid w:val="00733371"/>
    <w:rsid w:val="0073398A"/>
    <w:rsid w:val="00733A89"/>
    <w:rsid w:val="00733B2E"/>
    <w:rsid w:val="00733BC5"/>
    <w:rsid w:val="00733F97"/>
    <w:rsid w:val="00733FB1"/>
    <w:rsid w:val="007341B8"/>
    <w:rsid w:val="00734347"/>
    <w:rsid w:val="007343B5"/>
    <w:rsid w:val="007344DA"/>
    <w:rsid w:val="00734509"/>
    <w:rsid w:val="00734F47"/>
    <w:rsid w:val="00735244"/>
    <w:rsid w:val="007353CB"/>
    <w:rsid w:val="00735439"/>
    <w:rsid w:val="00735820"/>
    <w:rsid w:val="00735C10"/>
    <w:rsid w:val="00735E15"/>
    <w:rsid w:val="00735F77"/>
    <w:rsid w:val="007363AB"/>
    <w:rsid w:val="00736554"/>
    <w:rsid w:val="00736621"/>
    <w:rsid w:val="0073687C"/>
    <w:rsid w:val="007369DF"/>
    <w:rsid w:val="00736A4B"/>
    <w:rsid w:val="00736A5A"/>
    <w:rsid w:val="00736CDC"/>
    <w:rsid w:val="00736DB2"/>
    <w:rsid w:val="00737152"/>
    <w:rsid w:val="0073741F"/>
    <w:rsid w:val="00737B0C"/>
    <w:rsid w:val="00740406"/>
    <w:rsid w:val="00740435"/>
    <w:rsid w:val="00740558"/>
    <w:rsid w:val="00740607"/>
    <w:rsid w:val="007406AC"/>
    <w:rsid w:val="00740986"/>
    <w:rsid w:val="00740AD3"/>
    <w:rsid w:val="00740C75"/>
    <w:rsid w:val="00740D0C"/>
    <w:rsid w:val="00740EC3"/>
    <w:rsid w:val="00741846"/>
    <w:rsid w:val="00741CA3"/>
    <w:rsid w:val="0074209F"/>
    <w:rsid w:val="007421AC"/>
    <w:rsid w:val="007425C7"/>
    <w:rsid w:val="007427DE"/>
    <w:rsid w:val="00742AE9"/>
    <w:rsid w:val="00742B58"/>
    <w:rsid w:val="00742D79"/>
    <w:rsid w:val="007433FC"/>
    <w:rsid w:val="00743714"/>
    <w:rsid w:val="00743769"/>
    <w:rsid w:val="007438F1"/>
    <w:rsid w:val="00743D3B"/>
    <w:rsid w:val="00744187"/>
    <w:rsid w:val="00744387"/>
    <w:rsid w:val="0074447C"/>
    <w:rsid w:val="007444E9"/>
    <w:rsid w:val="00744539"/>
    <w:rsid w:val="00744749"/>
    <w:rsid w:val="0074478D"/>
    <w:rsid w:val="0074488D"/>
    <w:rsid w:val="00744B30"/>
    <w:rsid w:val="00744F40"/>
    <w:rsid w:val="0074509F"/>
    <w:rsid w:val="0074522A"/>
    <w:rsid w:val="007454BF"/>
    <w:rsid w:val="00745A9C"/>
    <w:rsid w:val="00745C39"/>
    <w:rsid w:val="00745F34"/>
    <w:rsid w:val="0074602F"/>
    <w:rsid w:val="0074626D"/>
    <w:rsid w:val="0074649B"/>
    <w:rsid w:val="0074667F"/>
    <w:rsid w:val="0074670B"/>
    <w:rsid w:val="00746BEB"/>
    <w:rsid w:val="00746D77"/>
    <w:rsid w:val="007470B2"/>
    <w:rsid w:val="007472EA"/>
    <w:rsid w:val="00747495"/>
    <w:rsid w:val="00747573"/>
    <w:rsid w:val="007475AC"/>
    <w:rsid w:val="0075008E"/>
    <w:rsid w:val="0075056B"/>
    <w:rsid w:val="00750DC5"/>
    <w:rsid w:val="0075120E"/>
    <w:rsid w:val="00751715"/>
    <w:rsid w:val="007518E6"/>
    <w:rsid w:val="00751BB1"/>
    <w:rsid w:val="00751BC3"/>
    <w:rsid w:val="0075203A"/>
    <w:rsid w:val="007525DE"/>
    <w:rsid w:val="0075265F"/>
    <w:rsid w:val="00752782"/>
    <w:rsid w:val="007527F2"/>
    <w:rsid w:val="007528B9"/>
    <w:rsid w:val="007528BE"/>
    <w:rsid w:val="00752A4D"/>
    <w:rsid w:val="00752DDB"/>
    <w:rsid w:val="00752FD6"/>
    <w:rsid w:val="007531C1"/>
    <w:rsid w:val="007534E4"/>
    <w:rsid w:val="007536A9"/>
    <w:rsid w:val="0075385A"/>
    <w:rsid w:val="00753C72"/>
    <w:rsid w:val="00754112"/>
    <w:rsid w:val="007543A5"/>
    <w:rsid w:val="007545C9"/>
    <w:rsid w:val="007547CF"/>
    <w:rsid w:val="00754E62"/>
    <w:rsid w:val="00755402"/>
    <w:rsid w:val="0075546D"/>
    <w:rsid w:val="007554FC"/>
    <w:rsid w:val="007555A2"/>
    <w:rsid w:val="007555B4"/>
    <w:rsid w:val="007556D6"/>
    <w:rsid w:val="007559AC"/>
    <w:rsid w:val="00755A09"/>
    <w:rsid w:val="00755FDC"/>
    <w:rsid w:val="007560F5"/>
    <w:rsid w:val="00756151"/>
    <w:rsid w:val="00756BE5"/>
    <w:rsid w:val="00757255"/>
    <w:rsid w:val="007573DE"/>
    <w:rsid w:val="007576D1"/>
    <w:rsid w:val="007578A2"/>
    <w:rsid w:val="00757EE9"/>
    <w:rsid w:val="00757F54"/>
    <w:rsid w:val="00760390"/>
    <w:rsid w:val="0076125B"/>
    <w:rsid w:val="00761D35"/>
    <w:rsid w:val="00761DA2"/>
    <w:rsid w:val="00761FB0"/>
    <w:rsid w:val="00762321"/>
    <w:rsid w:val="0076258E"/>
    <w:rsid w:val="007627B0"/>
    <w:rsid w:val="00762A48"/>
    <w:rsid w:val="00762BBB"/>
    <w:rsid w:val="00762F57"/>
    <w:rsid w:val="0076318F"/>
    <w:rsid w:val="0076334D"/>
    <w:rsid w:val="007633E5"/>
    <w:rsid w:val="007642E5"/>
    <w:rsid w:val="00764578"/>
    <w:rsid w:val="007647B1"/>
    <w:rsid w:val="007647E8"/>
    <w:rsid w:val="00764F31"/>
    <w:rsid w:val="007650EA"/>
    <w:rsid w:val="00765397"/>
    <w:rsid w:val="00765557"/>
    <w:rsid w:val="00765727"/>
    <w:rsid w:val="007658BB"/>
    <w:rsid w:val="00766170"/>
    <w:rsid w:val="0076643F"/>
    <w:rsid w:val="00766855"/>
    <w:rsid w:val="00766A8E"/>
    <w:rsid w:val="00766DE1"/>
    <w:rsid w:val="00766EA0"/>
    <w:rsid w:val="00766FA2"/>
    <w:rsid w:val="00766FD3"/>
    <w:rsid w:val="0076720B"/>
    <w:rsid w:val="007673D9"/>
    <w:rsid w:val="00767453"/>
    <w:rsid w:val="00767501"/>
    <w:rsid w:val="007676F1"/>
    <w:rsid w:val="007677F1"/>
    <w:rsid w:val="00767EB3"/>
    <w:rsid w:val="007700EA"/>
    <w:rsid w:val="00770A17"/>
    <w:rsid w:val="00770B4A"/>
    <w:rsid w:val="00770C19"/>
    <w:rsid w:val="007710D8"/>
    <w:rsid w:val="007716DA"/>
    <w:rsid w:val="00771ACE"/>
    <w:rsid w:val="00771C9A"/>
    <w:rsid w:val="00772433"/>
    <w:rsid w:val="00772665"/>
    <w:rsid w:val="00772A89"/>
    <w:rsid w:val="00772B17"/>
    <w:rsid w:val="00772C4C"/>
    <w:rsid w:val="00772CC1"/>
    <w:rsid w:val="00772EFA"/>
    <w:rsid w:val="0077372B"/>
    <w:rsid w:val="00773E4D"/>
    <w:rsid w:val="00774408"/>
    <w:rsid w:val="007746B6"/>
    <w:rsid w:val="00774989"/>
    <w:rsid w:val="00774B7A"/>
    <w:rsid w:val="00774C6F"/>
    <w:rsid w:val="00774C7A"/>
    <w:rsid w:val="00774DF0"/>
    <w:rsid w:val="007753D7"/>
    <w:rsid w:val="007755C7"/>
    <w:rsid w:val="00776045"/>
    <w:rsid w:val="0077672F"/>
    <w:rsid w:val="007767EF"/>
    <w:rsid w:val="00776913"/>
    <w:rsid w:val="00776B73"/>
    <w:rsid w:val="00776D12"/>
    <w:rsid w:val="00776DC6"/>
    <w:rsid w:val="00776F61"/>
    <w:rsid w:val="00776FDE"/>
    <w:rsid w:val="00777114"/>
    <w:rsid w:val="0077756C"/>
    <w:rsid w:val="00777F44"/>
    <w:rsid w:val="00780037"/>
    <w:rsid w:val="007801FB"/>
    <w:rsid w:val="00780581"/>
    <w:rsid w:val="00780661"/>
    <w:rsid w:val="0078099E"/>
    <w:rsid w:val="007809D3"/>
    <w:rsid w:val="007809F9"/>
    <w:rsid w:val="00780D8F"/>
    <w:rsid w:val="00780F38"/>
    <w:rsid w:val="00781213"/>
    <w:rsid w:val="007814C9"/>
    <w:rsid w:val="00781531"/>
    <w:rsid w:val="0078174E"/>
    <w:rsid w:val="00781B69"/>
    <w:rsid w:val="00782585"/>
    <w:rsid w:val="007825A5"/>
    <w:rsid w:val="00782A6F"/>
    <w:rsid w:val="00782B6A"/>
    <w:rsid w:val="00782C20"/>
    <w:rsid w:val="00782CFB"/>
    <w:rsid w:val="0078318D"/>
    <w:rsid w:val="0078329E"/>
    <w:rsid w:val="00783570"/>
    <w:rsid w:val="00783876"/>
    <w:rsid w:val="007839DC"/>
    <w:rsid w:val="00783B7E"/>
    <w:rsid w:val="007842BC"/>
    <w:rsid w:val="0078432E"/>
    <w:rsid w:val="0078460C"/>
    <w:rsid w:val="00784766"/>
    <w:rsid w:val="007848A4"/>
    <w:rsid w:val="00784A7A"/>
    <w:rsid w:val="00784AC1"/>
    <w:rsid w:val="00784C30"/>
    <w:rsid w:val="00784C71"/>
    <w:rsid w:val="00784E03"/>
    <w:rsid w:val="007851BE"/>
    <w:rsid w:val="00785213"/>
    <w:rsid w:val="0078551E"/>
    <w:rsid w:val="00785691"/>
    <w:rsid w:val="0078582E"/>
    <w:rsid w:val="00785B6E"/>
    <w:rsid w:val="00785BBF"/>
    <w:rsid w:val="00785F90"/>
    <w:rsid w:val="00786126"/>
    <w:rsid w:val="00786389"/>
    <w:rsid w:val="007863BC"/>
    <w:rsid w:val="0078689C"/>
    <w:rsid w:val="0078697D"/>
    <w:rsid w:val="00786A91"/>
    <w:rsid w:val="00786DB3"/>
    <w:rsid w:val="007872AB"/>
    <w:rsid w:val="00787666"/>
    <w:rsid w:val="00790178"/>
    <w:rsid w:val="00790243"/>
    <w:rsid w:val="00790652"/>
    <w:rsid w:val="007907F4"/>
    <w:rsid w:val="00790CB4"/>
    <w:rsid w:val="00790F1F"/>
    <w:rsid w:val="00790F8B"/>
    <w:rsid w:val="00790FAB"/>
    <w:rsid w:val="007910AA"/>
    <w:rsid w:val="00791141"/>
    <w:rsid w:val="007913E9"/>
    <w:rsid w:val="007916BC"/>
    <w:rsid w:val="00791828"/>
    <w:rsid w:val="00791A91"/>
    <w:rsid w:val="00792525"/>
    <w:rsid w:val="00792A15"/>
    <w:rsid w:val="00792DED"/>
    <w:rsid w:val="00792F53"/>
    <w:rsid w:val="00793493"/>
    <w:rsid w:val="007938CA"/>
    <w:rsid w:val="00793AED"/>
    <w:rsid w:val="00793CB7"/>
    <w:rsid w:val="0079417D"/>
    <w:rsid w:val="007941F2"/>
    <w:rsid w:val="00794475"/>
    <w:rsid w:val="00794641"/>
    <w:rsid w:val="0079488C"/>
    <w:rsid w:val="00794EE7"/>
    <w:rsid w:val="007950AC"/>
    <w:rsid w:val="0079553C"/>
    <w:rsid w:val="007955DC"/>
    <w:rsid w:val="00795794"/>
    <w:rsid w:val="007957F7"/>
    <w:rsid w:val="0079598C"/>
    <w:rsid w:val="00795E6D"/>
    <w:rsid w:val="0079611D"/>
    <w:rsid w:val="00796236"/>
    <w:rsid w:val="00796238"/>
    <w:rsid w:val="007962DA"/>
    <w:rsid w:val="00796A26"/>
    <w:rsid w:val="00796E57"/>
    <w:rsid w:val="00797DD9"/>
    <w:rsid w:val="007A0454"/>
    <w:rsid w:val="007A0688"/>
    <w:rsid w:val="007A0E26"/>
    <w:rsid w:val="007A101F"/>
    <w:rsid w:val="007A10D1"/>
    <w:rsid w:val="007A17E4"/>
    <w:rsid w:val="007A1CE0"/>
    <w:rsid w:val="007A1EC7"/>
    <w:rsid w:val="007A26BF"/>
    <w:rsid w:val="007A29CE"/>
    <w:rsid w:val="007A29E9"/>
    <w:rsid w:val="007A33CA"/>
    <w:rsid w:val="007A35BD"/>
    <w:rsid w:val="007A3C6D"/>
    <w:rsid w:val="007A3D67"/>
    <w:rsid w:val="007A3DCB"/>
    <w:rsid w:val="007A3DE5"/>
    <w:rsid w:val="007A3E5E"/>
    <w:rsid w:val="007A3EC1"/>
    <w:rsid w:val="007A4039"/>
    <w:rsid w:val="007A4188"/>
    <w:rsid w:val="007A440D"/>
    <w:rsid w:val="007A46C7"/>
    <w:rsid w:val="007A4794"/>
    <w:rsid w:val="007A4A25"/>
    <w:rsid w:val="007A4E0E"/>
    <w:rsid w:val="007A539D"/>
    <w:rsid w:val="007A5817"/>
    <w:rsid w:val="007A5BE6"/>
    <w:rsid w:val="007A6847"/>
    <w:rsid w:val="007A6B39"/>
    <w:rsid w:val="007A6E2E"/>
    <w:rsid w:val="007A6E5C"/>
    <w:rsid w:val="007A6E65"/>
    <w:rsid w:val="007A7070"/>
    <w:rsid w:val="007A7AD1"/>
    <w:rsid w:val="007A7DBD"/>
    <w:rsid w:val="007A7FED"/>
    <w:rsid w:val="007B01BB"/>
    <w:rsid w:val="007B03A8"/>
    <w:rsid w:val="007B03C2"/>
    <w:rsid w:val="007B043F"/>
    <w:rsid w:val="007B05F9"/>
    <w:rsid w:val="007B07D4"/>
    <w:rsid w:val="007B0A16"/>
    <w:rsid w:val="007B0C7B"/>
    <w:rsid w:val="007B0CE3"/>
    <w:rsid w:val="007B0DFF"/>
    <w:rsid w:val="007B0E26"/>
    <w:rsid w:val="007B0E6D"/>
    <w:rsid w:val="007B0EC9"/>
    <w:rsid w:val="007B12AB"/>
    <w:rsid w:val="007B1354"/>
    <w:rsid w:val="007B1A8A"/>
    <w:rsid w:val="007B1E92"/>
    <w:rsid w:val="007B1F4F"/>
    <w:rsid w:val="007B20AB"/>
    <w:rsid w:val="007B2B9C"/>
    <w:rsid w:val="007B3057"/>
    <w:rsid w:val="007B330B"/>
    <w:rsid w:val="007B3656"/>
    <w:rsid w:val="007B3C7F"/>
    <w:rsid w:val="007B3D30"/>
    <w:rsid w:val="007B3E4B"/>
    <w:rsid w:val="007B41C9"/>
    <w:rsid w:val="007B48C7"/>
    <w:rsid w:val="007B4920"/>
    <w:rsid w:val="007B515B"/>
    <w:rsid w:val="007B51AE"/>
    <w:rsid w:val="007B52BC"/>
    <w:rsid w:val="007B59A2"/>
    <w:rsid w:val="007B5D67"/>
    <w:rsid w:val="007B5DDA"/>
    <w:rsid w:val="007B60E9"/>
    <w:rsid w:val="007B61EF"/>
    <w:rsid w:val="007B6779"/>
    <w:rsid w:val="007B6CC3"/>
    <w:rsid w:val="007B70F7"/>
    <w:rsid w:val="007B7113"/>
    <w:rsid w:val="007B73C9"/>
    <w:rsid w:val="007B752C"/>
    <w:rsid w:val="007B75D3"/>
    <w:rsid w:val="007B79CB"/>
    <w:rsid w:val="007B7C16"/>
    <w:rsid w:val="007C01B1"/>
    <w:rsid w:val="007C0801"/>
    <w:rsid w:val="007C09E1"/>
    <w:rsid w:val="007C0A72"/>
    <w:rsid w:val="007C0B70"/>
    <w:rsid w:val="007C0C13"/>
    <w:rsid w:val="007C0DA5"/>
    <w:rsid w:val="007C1089"/>
    <w:rsid w:val="007C1B4C"/>
    <w:rsid w:val="007C1C83"/>
    <w:rsid w:val="007C1CC8"/>
    <w:rsid w:val="007C1DBF"/>
    <w:rsid w:val="007C1F44"/>
    <w:rsid w:val="007C2060"/>
    <w:rsid w:val="007C2330"/>
    <w:rsid w:val="007C23D2"/>
    <w:rsid w:val="007C27C3"/>
    <w:rsid w:val="007C2E57"/>
    <w:rsid w:val="007C2EDC"/>
    <w:rsid w:val="007C2FF6"/>
    <w:rsid w:val="007C3142"/>
    <w:rsid w:val="007C3334"/>
    <w:rsid w:val="007C351D"/>
    <w:rsid w:val="007C3570"/>
    <w:rsid w:val="007C4000"/>
    <w:rsid w:val="007C452A"/>
    <w:rsid w:val="007C4F8A"/>
    <w:rsid w:val="007C506C"/>
    <w:rsid w:val="007C51D7"/>
    <w:rsid w:val="007C53AA"/>
    <w:rsid w:val="007C547B"/>
    <w:rsid w:val="007C5491"/>
    <w:rsid w:val="007C5641"/>
    <w:rsid w:val="007C6899"/>
    <w:rsid w:val="007C68C5"/>
    <w:rsid w:val="007C6E82"/>
    <w:rsid w:val="007C6F41"/>
    <w:rsid w:val="007C6F54"/>
    <w:rsid w:val="007C6F65"/>
    <w:rsid w:val="007C7891"/>
    <w:rsid w:val="007C7C29"/>
    <w:rsid w:val="007C7E5C"/>
    <w:rsid w:val="007D0013"/>
    <w:rsid w:val="007D0278"/>
    <w:rsid w:val="007D031E"/>
    <w:rsid w:val="007D0A0D"/>
    <w:rsid w:val="007D0B97"/>
    <w:rsid w:val="007D0C17"/>
    <w:rsid w:val="007D0C8C"/>
    <w:rsid w:val="007D0E3C"/>
    <w:rsid w:val="007D0E4B"/>
    <w:rsid w:val="007D10B3"/>
    <w:rsid w:val="007D1170"/>
    <w:rsid w:val="007D11B8"/>
    <w:rsid w:val="007D1432"/>
    <w:rsid w:val="007D16DC"/>
    <w:rsid w:val="007D175E"/>
    <w:rsid w:val="007D19F7"/>
    <w:rsid w:val="007D1B51"/>
    <w:rsid w:val="007D2080"/>
    <w:rsid w:val="007D2484"/>
    <w:rsid w:val="007D2494"/>
    <w:rsid w:val="007D260D"/>
    <w:rsid w:val="007D2781"/>
    <w:rsid w:val="007D2A18"/>
    <w:rsid w:val="007D2B98"/>
    <w:rsid w:val="007D2D97"/>
    <w:rsid w:val="007D30F0"/>
    <w:rsid w:val="007D31DC"/>
    <w:rsid w:val="007D33BB"/>
    <w:rsid w:val="007D3D79"/>
    <w:rsid w:val="007D45CE"/>
    <w:rsid w:val="007D4D0A"/>
    <w:rsid w:val="007D4E45"/>
    <w:rsid w:val="007D4F01"/>
    <w:rsid w:val="007D5069"/>
    <w:rsid w:val="007D540E"/>
    <w:rsid w:val="007D549E"/>
    <w:rsid w:val="007D55A1"/>
    <w:rsid w:val="007D5A71"/>
    <w:rsid w:val="007D5AD1"/>
    <w:rsid w:val="007D5AEA"/>
    <w:rsid w:val="007D5C8D"/>
    <w:rsid w:val="007D5F5F"/>
    <w:rsid w:val="007D5F9E"/>
    <w:rsid w:val="007D6705"/>
    <w:rsid w:val="007D6FA3"/>
    <w:rsid w:val="007D715A"/>
    <w:rsid w:val="007D733F"/>
    <w:rsid w:val="007D7568"/>
    <w:rsid w:val="007D76FF"/>
    <w:rsid w:val="007D7C4D"/>
    <w:rsid w:val="007D7F07"/>
    <w:rsid w:val="007E0337"/>
    <w:rsid w:val="007E03CE"/>
    <w:rsid w:val="007E05CF"/>
    <w:rsid w:val="007E07FA"/>
    <w:rsid w:val="007E0A89"/>
    <w:rsid w:val="007E0D10"/>
    <w:rsid w:val="007E0D92"/>
    <w:rsid w:val="007E0F4A"/>
    <w:rsid w:val="007E1184"/>
    <w:rsid w:val="007E1554"/>
    <w:rsid w:val="007E15CA"/>
    <w:rsid w:val="007E1751"/>
    <w:rsid w:val="007E1768"/>
    <w:rsid w:val="007E1DDF"/>
    <w:rsid w:val="007E21BC"/>
    <w:rsid w:val="007E28DA"/>
    <w:rsid w:val="007E2B3E"/>
    <w:rsid w:val="007E2D37"/>
    <w:rsid w:val="007E321F"/>
    <w:rsid w:val="007E38E5"/>
    <w:rsid w:val="007E41D2"/>
    <w:rsid w:val="007E42A0"/>
    <w:rsid w:val="007E441B"/>
    <w:rsid w:val="007E4D79"/>
    <w:rsid w:val="007E5009"/>
    <w:rsid w:val="007E50B5"/>
    <w:rsid w:val="007E5462"/>
    <w:rsid w:val="007E5490"/>
    <w:rsid w:val="007E5655"/>
    <w:rsid w:val="007E585F"/>
    <w:rsid w:val="007E593F"/>
    <w:rsid w:val="007E5A40"/>
    <w:rsid w:val="007E5D40"/>
    <w:rsid w:val="007E61C5"/>
    <w:rsid w:val="007E62A4"/>
    <w:rsid w:val="007E6417"/>
    <w:rsid w:val="007E72BE"/>
    <w:rsid w:val="007E742C"/>
    <w:rsid w:val="007E7510"/>
    <w:rsid w:val="007E752B"/>
    <w:rsid w:val="007E799A"/>
    <w:rsid w:val="007E7C40"/>
    <w:rsid w:val="007E7C48"/>
    <w:rsid w:val="007E7EEE"/>
    <w:rsid w:val="007E7F43"/>
    <w:rsid w:val="007F0264"/>
    <w:rsid w:val="007F0496"/>
    <w:rsid w:val="007F0713"/>
    <w:rsid w:val="007F0A18"/>
    <w:rsid w:val="007F0C72"/>
    <w:rsid w:val="007F0D3D"/>
    <w:rsid w:val="007F0D3F"/>
    <w:rsid w:val="007F0E4E"/>
    <w:rsid w:val="007F10A3"/>
    <w:rsid w:val="007F171B"/>
    <w:rsid w:val="007F1BA9"/>
    <w:rsid w:val="007F1CD8"/>
    <w:rsid w:val="007F1D45"/>
    <w:rsid w:val="007F2072"/>
    <w:rsid w:val="007F22E5"/>
    <w:rsid w:val="007F253B"/>
    <w:rsid w:val="007F260E"/>
    <w:rsid w:val="007F27F6"/>
    <w:rsid w:val="007F2DC3"/>
    <w:rsid w:val="007F3406"/>
    <w:rsid w:val="007F3721"/>
    <w:rsid w:val="007F3B01"/>
    <w:rsid w:val="007F3D68"/>
    <w:rsid w:val="007F400D"/>
    <w:rsid w:val="007F4858"/>
    <w:rsid w:val="007F48EE"/>
    <w:rsid w:val="007F498F"/>
    <w:rsid w:val="007F4C17"/>
    <w:rsid w:val="007F4F45"/>
    <w:rsid w:val="007F5266"/>
    <w:rsid w:val="007F5537"/>
    <w:rsid w:val="007F55EC"/>
    <w:rsid w:val="007F5A3A"/>
    <w:rsid w:val="007F5C72"/>
    <w:rsid w:val="007F5D54"/>
    <w:rsid w:val="007F6080"/>
    <w:rsid w:val="007F6089"/>
    <w:rsid w:val="007F60D4"/>
    <w:rsid w:val="007F62F3"/>
    <w:rsid w:val="007F66BA"/>
    <w:rsid w:val="007F673D"/>
    <w:rsid w:val="007F6766"/>
    <w:rsid w:val="007F69D0"/>
    <w:rsid w:val="007F6BD5"/>
    <w:rsid w:val="007F6CBD"/>
    <w:rsid w:val="007F6F48"/>
    <w:rsid w:val="007F6F94"/>
    <w:rsid w:val="007F79B5"/>
    <w:rsid w:val="007F7A91"/>
    <w:rsid w:val="007F7AA6"/>
    <w:rsid w:val="007F7D9D"/>
    <w:rsid w:val="007F7F2B"/>
    <w:rsid w:val="008000F9"/>
    <w:rsid w:val="008004DC"/>
    <w:rsid w:val="00800630"/>
    <w:rsid w:val="00800842"/>
    <w:rsid w:val="0080085C"/>
    <w:rsid w:val="0080094F"/>
    <w:rsid w:val="008009F7"/>
    <w:rsid w:val="008009FA"/>
    <w:rsid w:val="00800B51"/>
    <w:rsid w:val="0080142B"/>
    <w:rsid w:val="00801688"/>
    <w:rsid w:val="00801BBC"/>
    <w:rsid w:val="00801C82"/>
    <w:rsid w:val="00801D53"/>
    <w:rsid w:val="00802182"/>
    <w:rsid w:val="008022B4"/>
    <w:rsid w:val="0080241F"/>
    <w:rsid w:val="00802659"/>
    <w:rsid w:val="00802E76"/>
    <w:rsid w:val="0080344D"/>
    <w:rsid w:val="0080398A"/>
    <w:rsid w:val="00803C4D"/>
    <w:rsid w:val="00803C9C"/>
    <w:rsid w:val="00803CC0"/>
    <w:rsid w:val="00803F1C"/>
    <w:rsid w:val="00804360"/>
    <w:rsid w:val="008045F4"/>
    <w:rsid w:val="00804937"/>
    <w:rsid w:val="00804AD4"/>
    <w:rsid w:val="008050EC"/>
    <w:rsid w:val="00805177"/>
    <w:rsid w:val="00805A26"/>
    <w:rsid w:val="00805EDF"/>
    <w:rsid w:val="0080600E"/>
    <w:rsid w:val="008060E0"/>
    <w:rsid w:val="0080612C"/>
    <w:rsid w:val="0080639F"/>
    <w:rsid w:val="0080685C"/>
    <w:rsid w:val="008069C1"/>
    <w:rsid w:val="008069D1"/>
    <w:rsid w:val="00806CE0"/>
    <w:rsid w:val="00806D71"/>
    <w:rsid w:val="0080746B"/>
    <w:rsid w:val="00807593"/>
    <w:rsid w:val="008079CC"/>
    <w:rsid w:val="00810541"/>
    <w:rsid w:val="00810566"/>
    <w:rsid w:val="00810860"/>
    <w:rsid w:val="0081099C"/>
    <w:rsid w:val="00810AC5"/>
    <w:rsid w:val="00810B64"/>
    <w:rsid w:val="00810F65"/>
    <w:rsid w:val="00811051"/>
    <w:rsid w:val="008112F7"/>
    <w:rsid w:val="008117BB"/>
    <w:rsid w:val="00811988"/>
    <w:rsid w:val="00811B47"/>
    <w:rsid w:val="00811E7F"/>
    <w:rsid w:val="0081204A"/>
    <w:rsid w:val="00812296"/>
    <w:rsid w:val="008124AE"/>
    <w:rsid w:val="008125EE"/>
    <w:rsid w:val="00812A95"/>
    <w:rsid w:val="00812ACD"/>
    <w:rsid w:val="00812ADE"/>
    <w:rsid w:val="00812B05"/>
    <w:rsid w:val="00812EFB"/>
    <w:rsid w:val="00812F47"/>
    <w:rsid w:val="0081371C"/>
    <w:rsid w:val="00813A9F"/>
    <w:rsid w:val="00813AB0"/>
    <w:rsid w:val="008140C5"/>
    <w:rsid w:val="00814173"/>
    <w:rsid w:val="0081449E"/>
    <w:rsid w:val="00814506"/>
    <w:rsid w:val="008146EC"/>
    <w:rsid w:val="00814818"/>
    <w:rsid w:val="0081496B"/>
    <w:rsid w:val="00814BC2"/>
    <w:rsid w:val="00815195"/>
    <w:rsid w:val="00815207"/>
    <w:rsid w:val="00815398"/>
    <w:rsid w:val="00815497"/>
    <w:rsid w:val="00815971"/>
    <w:rsid w:val="00815A24"/>
    <w:rsid w:val="00815A4B"/>
    <w:rsid w:val="00815E08"/>
    <w:rsid w:val="00816112"/>
    <w:rsid w:val="0081647F"/>
    <w:rsid w:val="00816513"/>
    <w:rsid w:val="008167A5"/>
    <w:rsid w:val="00816A42"/>
    <w:rsid w:val="00816AE5"/>
    <w:rsid w:val="00816BE5"/>
    <w:rsid w:val="00816ED6"/>
    <w:rsid w:val="00816F45"/>
    <w:rsid w:val="008170D4"/>
    <w:rsid w:val="00817276"/>
    <w:rsid w:val="0081746C"/>
    <w:rsid w:val="00817576"/>
    <w:rsid w:val="008175AA"/>
    <w:rsid w:val="00817612"/>
    <w:rsid w:val="00817A0E"/>
    <w:rsid w:val="00817AA5"/>
    <w:rsid w:val="00817B08"/>
    <w:rsid w:val="00817C4A"/>
    <w:rsid w:val="00817DF4"/>
    <w:rsid w:val="00817E57"/>
    <w:rsid w:val="00820291"/>
    <w:rsid w:val="00820F92"/>
    <w:rsid w:val="00821959"/>
    <w:rsid w:val="00821C2C"/>
    <w:rsid w:val="00821FF7"/>
    <w:rsid w:val="0082233B"/>
    <w:rsid w:val="008224EA"/>
    <w:rsid w:val="008225CB"/>
    <w:rsid w:val="008226D0"/>
    <w:rsid w:val="0082287D"/>
    <w:rsid w:val="00822988"/>
    <w:rsid w:val="00822E81"/>
    <w:rsid w:val="00822FF5"/>
    <w:rsid w:val="0082333F"/>
    <w:rsid w:val="008234BE"/>
    <w:rsid w:val="0082350F"/>
    <w:rsid w:val="008235E6"/>
    <w:rsid w:val="00823783"/>
    <w:rsid w:val="008238F3"/>
    <w:rsid w:val="0082476C"/>
    <w:rsid w:val="00824A3F"/>
    <w:rsid w:val="00824E4E"/>
    <w:rsid w:val="008253A6"/>
    <w:rsid w:val="00825623"/>
    <w:rsid w:val="0082564F"/>
    <w:rsid w:val="008258DE"/>
    <w:rsid w:val="00825C92"/>
    <w:rsid w:val="00825D2C"/>
    <w:rsid w:val="00825E86"/>
    <w:rsid w:val="00825F67"/>
    <w:rsid w:val="00825FF9"/>
    <w:rsid w:val="008266B8"/>
    <w:rsid w:val="00826860"/>
    <w:rsid w:val="008269EE"/>
    <w:rsid w:val="00826C65"/>
    <w:rsid w:val="008271E7"/>
    <w:rsid w:val="00827229"/>
    <w:rsid w:val="00827365"/>
    <w:rsid w:val="00827496"/>
    <w:rsid w:val="00827622"/>
    <w:rsid w:val="0082785F"/>
    <w:rsid w:val="008306E5"/>
    <w:rsid w:val="00830929"/>
    <w:rsid w:val="008309CD"/>
    <w:rsid w:val="00830B1C"/>
    <w:rsid w:val="00830C4A"/>
    <w:rsid w:val="00830F17"/>
    <w:rsid w:val="0083140A"/>
    <w:rsid w:val="0083146E"/>
    <w:rsid w:val="008315AB"/>
    <w:rsid w:val="008318FB"/>
    <w:rsid w:val="00831D3B"/>
    <w:rsid w:val="0083217D"/>
    <w:rsid w:val="00832212"/>
    <w:rsid w:val="008325D9"/>
    <w:rsid w:val="00832784"/>
    <w:rsid w:val="00832873"/>
    <w:rsid w:val="00832B46"/>
    <w:rsid w:val="00832E7E"/>
    <w:rsid w:val="0083327F"/>
    <w:rsid w:val="0083343D"/>
    <w:rsid w:val="00833633"/>
    <w:rsid w:val="00833661"/>
    <w:rsid w:val="008336D0"/>
    <w:rsid w:val="008337BE"/>
    <w:rsid w:val="008338A4"/>
    <w:rsid w:val="0083395A"/>
    <w:rsid w:val="00833B1B"/>
    <w:rsid w:val="00833D8C"/>
    <w:rsid w:val="00833EAA"/>
    <w:rsid w:val="00834158"/>
    <w:rsid w:val="008342BE"/>
    <w:rsid w:val="0083487F"/>
    <w:rsid w:val="00834C23"/>
    <w:rsid w:val="008350B4"/>
    <w:rsid w:val="00835216"/>
    <w:rsid w:val="008352BF"/>
    <w:rsid w:val="008352CC"/>
    <w:rsid w:val="0083554E"/>
    <w:rsid w:val="00835819"/>
    <w:rsid w:val="0083588E"/>
    <w:rsid w:val="00835BD9"/>
    <w:rsid w:val="00835C46"/>
    <w:rsid w:val="00836060"/>
    <w:rsid w:val="0083613A"/>
    <w:rsid w:val="00836907"/>
    <w:rsid w:val="008369AB"/>
    <w:rsid w:val="008369D8"/>
    <w:rsid w:val="00836E35"/>
    <w:rsid w:val="00836F27"/>
    <w:rsid w:val="00837083"/>
    <w:rsid w:val="008375A0"/>
    <w:rsid w:val="00837C45"/>
    <w:rsid w:val="00837DC6"/>
    <w:rsid w:val="0084036C"/>
    <w:rsid w:val="00841611"/>
    <w:rsid w:val="008417D9"/>
    <w:rsid w:val="008418D2"/>
    <w:rsid w:val="00841B6E"/>
    <w:rsid w:val="00841B90"/>
    <w:rsid w:val="00841D37"/>
    <w:rsid w:val="00841E8D"/>
    <w:rsid w:val="00842033"/>
    <w:rsid w:val="008423EA"/>
    <w:rsid w:val="00842510"/>
    <w:rsid w:val="00842675"/>
    <w:rsid w:val="00842BB7"/>
    <w:rsid w:val="008436B8"/>
    <w:rsid w:val="00843934"/>
    <w:rsid w:val="00843BA5"/>
    <w:rsid w:val="00843E99"/>
    <w:rsid w:val="00843F3D"/>
    <w:rsid w:val="0084404F"/>
    <w:rsid w:val="0084424C"/>
    <w:rsid w:val="00844730"/>
    <w:rsid w:val="00844798"/>
    <w:rsid w:val="00844E00"/>
    <w:rsid w:val="00845264"/>
    <w:rsid w:val="00845447"/>
    <w:rsid w:val="008457C2"/>
    <w:rsid w:val="0084582A"/>
    <w:rsid w:val="00845DC2"/>
    <w:rsid w:val="00846006"/>
    <w:rsid w:val="0084624B"/>
    <w:rsid w:val="0084626F"/>
    <w:rsid w:val="0084643A"/>
    <w:rsid w:val="0084650F"/>
    <w:rsid w:val="00846555"/>
    <w:rsid w:val="0084665C"/>
    <w:rsid w:val="00846690"/>
    <w:rsid w:val="0084677D"/>
    <w:rsid w:val="00846850"/>
    <w:rsid w:val="00846981"/>
    <w:rsid w:val="00846CB1"/>
    <w:rsid w:val="00846DCA"/>
    <w:rsid w:val="00847119"/>
    <w:rsid w:val="008472E2"/>
    <w:rsid w:val="008472EC"/>
    <w:rsid w:val="00847AE5"/>
    <w:rsid w:val="00847D04"/>
    <w:rsid w:val="00847D66"/>
    <w:rsid w:val="00847E88"/>
    <w:rsid w:val="00850500"/>
    <w:rsid w:val="008505C6"/>
    <w:rsid w:val="0085064A"/>
    <w:rsid w:val="00850819"/>
    <w:rsid w:val="008508B9"/>
    <w:rsid w:val="00850E4D"/>
    <w:rsid w:val="00851376"/>
    <w:rsid w:val="008514D3"/>
    <w:rsid w:val="0085156D"/>
    <w:rsid w:val="008515F1"/>
    <w:rsid w:val="00851A7D"/>
    <w:rsid w:val="00851BEA"/>
    <w:rsid w:val="00851DA5"/>
    <w:rsid w:val="008520EB"/>
    <w:rsid w:val="008525A9"/>
    <w:rsid w:val="0085266B"/>
    <w:rsid w:val="00853489"/>
    <w:rsid w:val="00853829"/>
    <w:rsid w:val="00853B54"/>
    <w:rsid w:val="00853F9D"/>
    <w:rsid w:val="008540B6"/>
    <w:rsid w:val="008540EE"/>
    <w:rsid w:val="0085423E"/>
    <w:rsid w:val="0085457E"/>
    <w:rsid w:val="008548E4"/>
    <w:rsid w:val="00854A32"/>
    <w:rsid w:val="00854F8F"/>
    <w:rsid w:val="008550C6"/>
    <w:rsid w:val="008554B8"/>
    <w:rsid w:val="0085567C"/>
    <w:rsid w:val="008556CA"/>
    <w:rsid w:val="00855D9C"/>
    <w:rsid w:val="008563A3"/>
    <w:rsid w:val="00856BF3"/>
    <w:rsid w:val="00856D9E"/>
    <w:rsid w:val="00857A82"/>
    <w:rsid w:val="00857D41"/>
    <w:rsid w:val="00857ED7"/>
    <w:rsid w:val="0086031A"/>
    <w:rsid w:val="008603F2"/>
    <w:rsid w:val="00860A9F"/>
    <w:rsid w:val="00860B0A"/>
    <w:rsid w:val="00860B5F"/>
    <w:rsid w:val="008611BC"/>
    <w:rsid w:val="00861880"/>
    <w:rsid w:val="008619A1"/>
    <w:rsid w:val="00861D82"/>
    <w:rsid w:val="00862253"/>
    <w:rsid w:val="0086261F"/>
    <w:rsid w:val="008627EF"/>
    <w:rsid w:val="008629F3"/>
    <w:rsid w:val="00862EC5"/>
    <w:rsid w:val="0086335C"/>
    <w:rsid w:val="00863367"/>
    <w:rsid w:val="00863802"/>
    <w:rsid w:val="00863ED4"/>
    <w:rsid w:val="008643F9"/>
    <w:rsid w:val="008644FA"/>
    <w:rsid w:val="0086456A"/>
    <w:rsid w:val="008645D3"/>
    <w:rsid w:val="008646C9"/>
    <w:rsid w:val="00864FF5"/>
    <w:rsid w:val="008650A4"/>
    <w:rsid w:val="008650CC"/>
    <w:rsid w:val="008655E7"/>
    <w:rsid w:val="008656C2"/>
    <w:rsid w:val="008657F3"/>
    <w:rsid w:val="00865CB9"/>
    <w:rsid w:val="00865CCD"/>
    <w:rsid w:val="00865D33"/>
    <w:rsid w:val="00865D59"/>
    <w:rsid w:val="00866186"/>
    <w:rsid w:val="008664EC"/>
    <w:rsid w:val="008665ED"/>
    <w:rsid w:val="0086668D"/>
    <w:rsid w:val="00866771"/>
    <w:rsid w:val="008668F6"/>
    <w:rsid w:val="00866E4E"/>
    <w:rsid w:val="00867001"/>
    <w:rsid w:val="0086721D"/>
    <w:rsid w:val="008674C2"/>
    <w:rsid w:val="00867A05"/>
    <w:rsid w:val="00867A6D"/>
    <w:rsid w:val="00867AC2"/>
    <w:rsid w:val="00867B68"/>
    <w:rsid w:val="0087015F"/>
    <w:rsid w:val="008704AD"/>
    <w:rsid w:val="0087074B"/>
    <w:rsid w:val="00870CEE"/>
    <w:rsid w:val="00870F88"/>
    <w:rsid w:val="008710B2"/>
    <w:rsid w:val="00871537"/>
    <w:rsid w:val="00871ACF"/>
    <w:rsid w:val="00871D0C"/>
    <w:rsid w:val="008721DA"/>
    <w:rsid w:val="0087259A"/>
    <w:rsid w:val="0087271C"/>
    <w:rsid w:val="00872A19"/>
    <w:rsid w:val="00872A3D"/>
    <w:rsid w:val="00873491"/>
    <w:rsid w:val="008737A5"/>
    <w:rsid w:val="00873836"/>
    <w:rsid w:val="00873AF3"/>
    <w:rsid w:val="00873E8E"/>
    <w:rsid w:val="00873F92"/>
    <w:rsid w:val="00874327"/>
    <w:rsid w:val="00874427"/>
    <w:rsid w:val="00874731"/>
    <w:rsid w:val="0087479F"/>
    <w:rsid w:val="00874C92"/>
    <w:rsid w:val="00874DE8"/>
    <w:rsid w:val="0087507A"/>
    <w:rsid w:val="0087511D"/>
    <w:rsid w:val="00875141"/>
    <w:rsid w:val="0087517E"/>
    <w:rsid w:val="0087518B"/>
    <w:rsid w:val="0087528D"/>
    <w:rsid w:val="00875B95"/>
    <w:rsid w:val="008762FF"/>
    <w:rsid w:val="00876822"/>
    <w:rsid w:val="008769DF"/>
    <w:rsid w:val="00876A9F"/>
    <w:rsid w:val="008771AD"/>
    <w:rsid w:val="00877250"/>
    <w:rsid w:val="00877442"/>
    <w:rsid w:val="0087747E"/>
    <w:rsid w:val="0087778E"/>
    <w:rsid w:val="00877CD0"/>
    <w:rsid w:val="00880B5E"/>
    <w:rsid w:val="00880B77"/>
    <w:rsid w:val="00880BC8"/>
    <w:rsid w:val="00880C11"/>
    <w:rsid w:val="00880FE8"/>
    <w:rsid w:val="00881157"/>
    <w:rsid w:val="008812F3"/>
    <w:rsid w:val="00881512"/>
    <w:rsid w:val="00881A67"/>
    <w:rsid w:val="00881B88"/>
    <w:rsid w:val="00881FF1"/>
    <w:rsid w:val="008823A7"/>
    <w:rsid w:val="0088252D"/>
    <w:rsid w:val="008825B3"/>
    <w:rsid w:val="008828EF"/>
    <w:rsid w:val="00882A03"/>
    <w:rsid w:val="00882DE2"/>
    <w:rsid w:val="00882FB6"/>
    <w:rsid w:val="00882FD5"/>
    <w:rsid w:val="008830A2"/>
    <w:rsid w:val="008833C1"/>
    <w:rsid w:val="00883438"/>
    <w:rsid w:val="0088368C"/>
    <w:rsid w:val="008836BC"/>
    <w:rsid w:val="00883E21"/>
    <w:rsid w:val="00884DB2"/>
    <w:rsid w:val="00884E81"/>
    <w:rsid w:val="00884ED1"/>
    <w:rsid w:val="00884FB6"/>
    <w:rsid w:val="00885223"/>
    <w:rsid w:val="00885396"/>
    <w:rsid w:val="00885450"/>
    <w:rsid w:val="0088545D"/>
    <w:rsid w:val="00885553"/>
    <w:rsid w:val="00885737"/>
    <w:rsid w:val="008857A5"/>
    <w:rsid w:val="00885974"/>
    <w:rsid w:val="00885987"/>
    <w:rsid w:val="00885C06"/>
    <w:rsid w:val="00885CA7"/>
    <w:rsid w:val="00885E54"/>
    <w:rsid w:val="00886282"/>
    <w:rsid w:val="0088636C"/>
    <w:rsid w:val="0088678D"/>
    <w:rsid w:val="0088679A"/>
    <w:rsid w:val="00886814"/>
    <w:rsid w:val="00886DA7"/>
    <w:rsid w:val="00887304"/>
    <w:rsid w:val="00887513"/>
    <w:rsid w:val="0088761F"/>
    <w:rsid w:val="00887BD0"/>
    <w:rsid w:val="00887C19"/>
    <w:rsid w:val="00887CD8"/>
    <w:rsid w:val="00887F99"/>
    <w:rsid w:val="008902F5"/>
    <w:rsid w:val="00890634"/>
    <w:rsid w:val="00890650"/>
    <w:rsid w:val="008909B7"/>
    <w:rsid w:val="00890C56"/>
    <w:rsid w:val="00890FA9"/>
    <w:rsid w:val="00890FEF"/>
    <w:rsid w:val="0089119C"/>
    <w:rsid w:val="008914B5"/>
    <w:rsid w:val="00891AD0"/>
    <w:rsid w:val="00891F36"/>
    <w:rsid w:val="00892723"/>
    <w:rsid w:val="008927C7"/>
    <w:rsid w:val="00892A41"/>
    <w:rsid w:val="00892A94"/>
    <w:rsid w:val="00892AB5"/>
    <w:rsid w:val="00892AD7"/>
    <w:rsid w:val="00892D44"/>
    <w:rsid w:val="008934E9"/>
    <w:rsid w:val="00893506"/>
    <w:rsid w:val="0089369B"/>
    <w:rsid w:val="00893713"/>
    <w:rsid w:val="00893818"/>
    <w:rsid w:val="00893DA3"/>
    <w:rsid w:val="00893DFD"/>
    <w:rsid w:val="00893EF9"/>
    <w:rsid w:val="00893FF7"/>
    <w:rsid w:val="00894134"/>
    <w:rsid w:val="00894765"/>
    <w:rsid w:val="00894809"/>
    <w:rsid w:val="00894D26"/>
    <w:rsid w:val="00894D2A"/>
    <w:rsid w:val="00895389"/>
    <w:rsid w:val="00895472"/>
    <w:rsid w:val="008957E2"/>
    <w:rsid w:val="008958F9"/>
    <w:rsid w:val="00895B43"/>
    <w:rsid w:val="00895BF4"/>
    <w:rsid w:val="00895D38"/>
    <w:rsid w:val="00895FA2"/>
    <w:rsid w:val="00896099"/>
    <w:rsid w:val="008964DF"/>
    <w:rsid w:val="00896625"/>
    <w:rsid w:val="00896628"/>
    <w:rsid w:val="00896807"/>
    <w:rsid w:val="00896A8D"/>
    <w:rsid w:val="00896F65"/>
    <w:rsid w:val="00897145"/>
    <w:rsid w:val="00897313"/>
    <w:rsid w:val="0089759E"/>
    <w:rsid w:val="00897C0D"/>
    <w:rsid w:val="00897C86"/>
    <w:rsid w:val="00897D76"/>
    <w:rsid w:val="00897E12"/>
    <w:rsid w:val="008A011A"/>
    <w:rsid w:val="008A0437"/>
    <w:rsid w:val="008A0457"/>
    <w:rsid w:val="008A04E1"/>
    <w:rsid w:val="008A069B"/>
    <w:rsid w:val="008A0DAD"/>
    <w:rsid w:val="008A0EC3"/>
    <w:rsid w:val="008A18E2"/>
    <w:rsid w:val="008A2170"/>
    <w:rsid w:val="008A21D5"/>
    <w:rsid w:val="008A2501"/>
    <w:rsid w:val="008A27CC"/>
    <w:rsid w:val="008A292E"/>
    <w:rsid w:val="008A2B89"/>
    <w:rsid w:val="008A2F89"/>
    <w:rsid w:val="008A30E2"/>
    <w:rsid w:val="008A3196"/>
    <w:rsid w:val="008A3473"/>
    <w:rsid w:val="008A3644"/>
    <w:rsid w:val="008A375B"/>
    <w:rsid w:val="008A3B82"/>
    <w:rsid w:val="008A41EF"/>
    <w:rsid w:val="008A4355"/>
    <w:rsid w:val="008A43E2"/>
    <w:rsid w:val="008A4533"/>
    <w:rsid w:val="008A4748"/>
    <w:rsid w:val="008A47F3"/>
    <w:rsid w:val="008A4985"/>
    <w:rsid w:val="008A49F0"/>
    <w:rsid w:val="008A4B90"/>
    <w:rsid w:val="008A4BC0"/>
    <w:rsid w:val="008A4C2F"/>
    <w:rsid w:val="008A5A9D"/>
    <w:rsid w:val="008A5C86"/>
    <w:rsid w:val="008A5EA2"/>
    <w:rsid w:val="008A5EAB"/>
    <w:rsid w:val="008A62B2"/>
    <w:rsid w:val="008A633B"/>
    <w:rsid w:val="008A63C6"/>
    <w:rsid w:val="008A670D"/>
    <w:rsid w:val="008A6716"/>
    <w:rsid w:val="008A6880"/>
    <w:rsid w:val="008A6B26"/>
    <w:rsid w:val="008A6BA9"/>
    <w:rsid w:val="008A6C80"/>
    <w:rsid w:val="008A6CB5"/>
    <w:rsid w:val="008A72C5"/>
    <w:rsid w:val="008A72E6"/>
    <w:rsid w:val="008A742E"/>
    <w:rsid w:val="008A75D0"/>
    <w:rsid w:val="008A7803"/>
    <w:rsid w:val="008A7874"/>
    <w:rsid w:val="008A7E0F"/>
    <w:rsid w:val="008B00E3"/>
    <w:rsid w:val="008B08E2"/>
    <w:rsid w:val="008B0C96"/>
    <w:rsid w:val="008B0EF3"/>
    <w:rsid w:val="008B10ED"/>
    <w:rsid w:val="008B12F5"/>
    <w:rsid w:val="008B1402"/>
    <w:rsid w:val="008B15CE"/>
    <w:rsid w:val="008B192D"/>
    <w:rsid w:val="008B1A58"/>
    <w:rsid w:val="008B1BBB"/>
    <w:rsid w:val="008B1C8D"/>
    <w:rsid w:val="008B1CF7"/>
    <w:rsid w:val="008B1E57"/>
    <w:rsid w:val="008B20E5"/>
    <w:rsid w:val="008B212B"/>
    <w:rsid w:val="008B21E9"/>
    <w:rsid w:val="008B26CE"/>
    <w:rsid w:val="008B2D49"/>
    <w:rsid w:val="008B2D5F"/>
    <w:rsid w:val="008B31CA"/>
    <w:rsid w:val="008B3941"/>
    <w:rsid w:val="008B3DB5"/>
    <w:rsid w:val="008B41A1"/>
    <w:rsid w:val="008B426B"/>
    <w:rsid w:val="008B450E"/>
    <w:rsid w:val="008B4891"/>
    <w:rsid w:val="008B4895"/>
    <w:rsid w:val="008B4B39"/>
    <w:rsid w:val="008B4CCC"/>
    <w:rsid w:val="008B4E58"/>
    <w:rsid w:val="008B5010"/>
    <w:rsid w:val="008B502C"/>
    <w:rsid w:val="008B516E"/>
    <w:rsid w:val="008B5196"/>
    <w:rsid w:val="008B5210"/>
    <w:rsid w:val="008B55C7"/>
    <w:rsid w:val="008B59E8"/>
    <w:rsid w:val="008B5ACB"/>
    <w:rsid w:val="008B5DFC"/>
    <w:rsid w:val="008B6017"/>
    <w:rsid w:val="008B60FC"/>
    <w:rsid w:val="008B675B"/>
    <w:rsid w:val="008B6765"/>
    <w:rsid w:val="008B67FC"/>
    <w:rsid w:val="008B6888"/>
    <w:rsid w:val="008B6BB8"/>
    <w:rsid w:val="008B6D49"/>
    <w:rsid w:val="008B6EC0"/>
    <w:rsid w:val="008B744E"/>
    <w:rsid w:val="008B751D"/>
    <w:rsid w:val="008B777D"/>
    <w:rsid w:val="008B77CB"/>
    <w:rsid w:val="008B781C"/>
    <w:rsid w:val="008B793B"/>
    <w:rsid w:val="008B7C48"/>
    <w:rsid w:val="008B7FD8"/>
    <w:rsid w:val="008C056E"/>
    <w:rsid w:val="008C0A49"/>
    <w:rsid w:val="008C0C3D"/>
    <w:rsid w:val="008C0CCF"/>
    <w:rsid w:val="008C10D9"/>
    <w:rsid w:val="008C1B2F"/>
    <w:rsid w:val="008C1BB7"/>
    <w:rsid w:val="008C1FE0"/>
    <w:rsid w:val="008C2225"/>
    <w:rsid w:val="008C294B"/>
    <w:rsid w:val="008C2AE9"/>
    <w:rsid w:val="008C33D1"/>
    <w:rsid w:val="008C3431"/>
    <w:rsid w:val="008C3892"/>
    <w:rsid w:val="008C3C05"/>
    <w:rsid w:val="008C3F6A"/>
    <w:rsid w:val="008C4927"/>
    <w:rsid w:val="008C4928"/>
    <w:rsid w:val="008C4A05"/>
    <w:rsid w:val="008C4C11"/>
    <w:rsid w:val="008C5146"/>
    <w:rsid w:val="008C5543"/>
    <w:rsid w:val="008C5562"/>
    <w:rsid w:val="008C5713"/>
    <w:rsid w:val="008C5C35"/>
    <w:rsid w:val="008C5D8E"/>
    <w:rsid w:val="008C6103"/>
    <w:rsid w:val="008C6399"/>
    <w:rsid w:val="008C6414"/>
    <w:rsid w:val="008C6603"/>
    <w:rsid w:val="008C6649"/>
    <w:rsid w:val="008C6720"/>
    <w:rsid w:val="008C6927"/>
    <w:rsid w:val="008C6949"/>
    <w:rsid w:val="008C6A79"/>
    <w:rsid w:val="008C6CD8"/>
    <w:rsid w:val="008C6EAF"/>
    <w:rsid w:val="008C70D3"/>
    <w:rsid w:val="008C710F"/>
    <w:rsid w:val="008C74AB"/>
    <w:rsid w:val="008C77C0"/>
    <w:rsid w:val="008C7AB2"/>
    <w:rsid w:val="008C7BBD"/>
    <w:rsid w:val="008C7DB1"/>
    <w:rsid w:val="008D046B"/>
    <w:rsid w:val="008D098C"/>
    <w:rsid w:val="008D0A1E"/>
    <w:rsid w:val="008D0BE4"/>
    <w:rsid w:val="008D0EC6"/>
    <w:rsid w:val="008D1265"/>
    <w:rsid w:val="008D1330"/>
    <w:rsid w:val="008D1A4E"/>
    <w:rsid w:val="008D1A69"/>
    <w:rsid w:val="008D1DCC"/>
    <w:rsid w:val="008D1F00"/>
    <w:rsid w:val="008D1FC9"/>
    <w:rsid w:val="008D21E0"/>
    <w:rsid w:val="008D23D9"/>
    <w:rsid w:val="008D2719"/>
    <w:rsid w:val="008D29D4"/>
    <w:rsid w:val="008D2A0D"/>
    <w:rsid w:val="008D2E8E"/>
    <w:rsid w:val="008D3224"/>
    <w:rsid w:val="008D33B3"/>
    <w:rsid w:val="008D36CF"/>
    <w:rsid w:val="008D3823"/>
    <w:rsid w:val="008D39B8"/>
    <w:rsid w:val="008D3FA1"/>
    <w:rsid w:val="008D4062"/>
    <w:rsid w:val="008D41F9"/>
    <w:rsid w:val="008D43AD"/>
    <w:rsid w:val="008D4432"/>
    <w:rsid w:val="008D4690"/>
    <w:rsid w:val="008D4727"/>
    <w:rsid w:val="008D473F"/>
    <w:rsid w:val="008D4768"/>
    <w:rsid w:val="008D480D"/>
    <w:rsid w:val="008D48B0"/>
    <w:rsid w:val="008D48BA"/>
    <w:rsid w:val="008D4A3F"/>
    <w:rsid w:val="008D4C94"/>
    <w:rsid w:val="008D5095"/>
    <w:rsid w:val="008D54E7"/>
    <w:rsid w:val="008D5CB6"/>
    <w:rsid w:val="008D60FB"/>
    <w:rsid w:val="008D6267"/>
    <w:rsid w:val="008D65CF"/>
    <w:rsid w:val="008D68B9"/>
    <w:rsid w:val="008D6B07"/>
    <w:rsid w:val="008D75CA"/>
    <w:rsid w:val="008D76ED"/>
    <w:rsid w:val="008D7912"/>
    <w:rsid w:val="008D7923"/>
    <w:rsid w:val="008D7D82"/>
    <w:rsid w:val="008E0137"/>
    <w:rsid w:val="008E03B8"/>
    <w:rsid w:val="008E075C"/>
    <w:rsid w:val="008E07BC"/>
    <w:rsid w:val="008E082F"/>
    <w:rsid w:val="008E0960"/>
    <w:rsid w:val="008E0B0A"/>
    <w:rsid w:val="008E0BB6"/>
    <w:rsid w:val="008E0EDA"/>
    <w:rsid w:val="008E11CA"/>
    <w:rsid w:val="008E1471"/>
    <w:rsid w:val="008E1700"/>
    <w:rsid w:val="008E17DB"/>
    <w:rsid w:val="008E1940"/>
    <w:rsid w:val="008E1D85"/>
    <w:rsid w:val="008E20A5"/>
    <w:rsid w:val="008E2248"/>
    <w:rsid w:val="008E22AA"/>
    <w:rsid w:val="008E22F7"/>
    <w:rsid w:val="008E25ED"/>
    <w:rsid w:val="008E2A39"/>
    <w:rsid w:val="008E2FC3"/>
    <w:rsid w:val="008E31B9"/>
    <w:rsid w:val="008E3511"/>
    <w:rsid w:val="008E354C"/>
    <w:rsid w:val="008E3759"/>
    <w:rsid w:val="008E3944"/>
    <w:rsid w:val="008E3B2C"/>
    <w:rsid w:val="008E3EC0"/>
    <w:rsid w:val="008E3FED"/>
    <w:rsid w:val="008E4267"/>
    <w:rsid w:val="008E4296"/>
    <w:rsid w:val="008E449B"/>
    <w:rsid w:val="008E4946"/>
    <w:rsid w:val="008E4C06"/>
    <w:rsid w:val="008E50F6"/>
    <w:rsid w:val="008E527D"/>
    <w:rsid w:val="008E53C0"/>
    <w:rsid w:val="008E5415"/>
    <w:rsid w:val="008E59E4"/>
    <w:rsid w:val="008E5A1F"/>
    <w:rsid w:val="008E5CEA"/>
    <w:rsid w:val="008E5DA5"/>
    <w:rsid w:val="008E629F"/>
    <w:rsid w:val="008E673F"/>
    <w:rsid w:val="008E69E2"/>
    <w:rsid w:val="008E6A8E"/>
    <w:rsid w:val="008E6AA4"/>
    <w:rsid w:val="008E6E7A"/>
    <w:rsid w:val="008E6F74"/>
    <w:rsid w:val="008E70A9"/>
    <w:rsid w:val="008E7255"/>
    <w:rsid w:val="008E74E7"/>
    <w:rsid w:val="008E7574"/>
    <w:rsid w:val="008E75D4"/>
    <w:rsid w:val="008E7760"/>
    <w:rsid w:val="008E793C"/>
    <w:rsid w:val="008E7E47"/>
    <w:rsid w:val="008E7EA2"/>
    <w:rsid w:val="008E7F97"/>
    <w:rsid w:val="008F0098"/>
    <w:rsid w:val="008F02C2"/>
    <w:rsid w:val="008F050C"/>
    <w:rsid w:val="008F0CBE"/>
    <w:rsid w:val="008F10DF"/>
    <w:rsid w:val="008F12CF"/>
    <w:rsid w:val="008F1612"/>
    <w:rsid w:val="008F17F5"/>
    <w:rsid w:val="008F1912"/>
    <w:rsid w:val="008F19CD"/>
    <w:rsid w:val="008F1E69"/>
    <w:rsid w:val="008F1F46"/>
    <w:rsid w:val="008F1F8A"/>
    <w:rsid w:val="008F2394"/>
    <w:rsid w:val="008F2478"/>
    <w:rsid w:val="008F2496"/>
    <w:rsid w:val="008F25BE"/>
    <w:rsid w:val="008F27D0"/>
    <w:rsid w:val="008F2A26"/>
    <w:rsid w:val="008F2D9D"/>
    <w:rsid w:val="008F305F"/>
    <w:rsid w:val="008F3062"/>
    <w:rsid w:val="008F3087"/>
    <w:rsid w:val="008F341F"/>
    <w:rsid w:val="008F3479"/>
    <w:rsid w:val="008F3526"/>
    <w:rsid w:val="008F3561"/>
    <w:rsid w:val="008F37C4"/>
    <w:rsid w:val="008F39A9"/>
    <w:rsid w:val="008F3E0A"/>
    <w:rsid w:val="008F3FD2"/>
    <w:rsid w:val="008F425A"/>
    <w:rsid w:val="008F4487"/>
    <w:rsid w:val="008F45C9"/>
    <w:rsid w:val="008F4711"/>
    <w:rsid w:val="008F471E"/>
    <w:rsid w:val="008F47E2"/>
    <w:rsid w:val="008F4962"/>
    <w:rsid w:val="008F4EFD"/>
    <w:rsid w:val="008F55C8"/>
    <w:rsid w:val="008F58FC"/>
    <w:rsid w:val="008F5B40"/>
    <w:rsid w:val="008F5E8B"/>
    <w:rsid w:val="008F5FB3"/>
    <w:rsid w:val="008F6098"/>
    <w:rsid w:val="008F627B"/>
    <w:rsid w:val="008F66DC"/>
    <w:rsid w:val="008F696E"/>
    <w:rsid w:val="008F69CB"/>
    <w:rsid w:val="008F6A7F"/>
    <w:rsid w:val="008F6BBA"/>
    <w:rsid w:val="008F7000"/>
    <w:rsid w:val="008F724A"/>
    <w:rsid w:val="008F7500"/>
    <w:rsid w:val="008F7553"/>
    <w:rsid w:val="008F7B8B"/>
    <w:rsid w:val="008F7FA4"/>
    <w:rsid w:val="009003AE"/>
    <w:rsid w:val="00900773"/>
    <w:rsid w:val="00900920"/>
    <w:rsid w:val="0090099B"/>
    <w:rsid w:val="00900AF1"/>
    <w:rsid w:val="00901029"/>
    <w:rsid w:val="00901586"/>
    <w:rsid w:val="00901A4C"/>
    <w:rsid w:val="009023CC"/>
    <w:rsid w:val="00902509"/>
    <w:rsid w:val="00902609"/>
    <w:rsid w:val="0090270B"/>
    <w:rsid w:val="00902EDB"/>
    <w:rsid w:val="00902EF1"/>
    <w:rsid w:val="00902F13"/>
    <w:rsid w:val="00902F2B"/>
    <w:rsid w:val="0090300E"/>
    <w:rsid w:val="009032C1"/>
    <w:rsid w:val="00903DD0"/>
    <w:rsid w:val="009041DC"/>
    <w:rsid w:val="009042DB"/>
    <w:rsid w:val="009042DC"/>
    <w:rsid w:val="00904343"/>
    <w:rsid w:val="009046A1"/>
    <w:rsid w:val="00904BD6"/>
    <w:rsid w:val="00905478"/>
    <w:rsid w:val="009054D0"/>
    <w:rsid w:val="0090550F"/>
    <w:rsid w:val="00905516"/>
    <w:rsid w:val="0090565D"/>
    <w:rsid w:val="009056A6"/>
    <w:rsid w:val="00905AB9"/>
    <w:rsid w:val="00905C12"/>
    <w:rsid w:val="00905F8E"/>
    <w:rsid w:val="0090610F"/>
    <w:rsid w:val="0090613B"/>
    <w:rsid w:val="0090649D"/>
    <w:rsid w:val="00906820"/>
    <w:rsid w:val="00906DAC"/>
    <w:rsid w:val="00906E1D"/>
    <w:rsid w:val="00906E40"/>
    <w:rsid w:val="00907063"/>
    <w:rsid w:val="009072E5"/>
    <w:rsid w:val="00907324"/>
    <w:rsid w:val="009078C0"/>
    <w:rsid w:val="00907F68"/>
    <w:rsid w:val="00910381"/>
    <w:rsid w:val="009105A9"/>
    <w:rsid w:val="0091063B"/>
    <w:rsid w:val="00910C41"/>
    <w:rsid w:val="00910D7B"/>
    <w:rsid w:val="009111B6"/>
    <w:rsid w:val="00911472"/>
    <w:rsid w:val="009115E7"/>
    <w:rsid w:val="00911823"/>
    <w:rsid w:val="009119A7"/>
    <w:rsid w:val="00911AD8"/>
    <w:rsid w:val="00911CD9"/>
    <w:rsid w:val="00911DA9"/>
    <w:rsid w:val="009120C5"/>
    <w:rsid w:val="009121A0"/>
    <w:rsid w:val="009123E5"/>
    <w:rsid w:val="00912540"/>
    <w:rsid w:val="00912B46"/>
    <w:rsid w:val="00912D2F"/>
    <w:rsid w:val="00912FB7"/>
    <w:rsid w:val="0091348F"/>
    <w:rsid w:val="00913739"/>
    <w:rsid w:val="009137EA"/>
    <w:rsid w:val="0091389C"/>
    <w:rsid w:val="00913A78"/>
    <w:rsid w:val="00913D8D"/>
    <w:rsid w:val="00914334"/>
    <w:rsid w:val="0091441A"/>
    <w:rsid w:val="009148CF"/>
    <w:rsid w:val="00914ADF"/>
    <w:rsid w:val="00914ECD"/>
    <w:rsid w:val="00915037"/>
    <w:rsid w:val="009154A4"/>
    <w:rsid w:val="009155FB"/>
    <w:rsid w:val="0091583A"/>
    <w:rsid w:val="009158F7"/>
    <w:rsid w:val="0091593A"/>
    <w:rsid w:val="00916621"/>
    <w:rsid w:val="00916668"/>
    <w:rsid w:val="00916739"/>
    <w:rsid w:val="009169B5"/>
    <w:rsid w:val="009169CB"/>
    <w:rsid w:val="00916AB6"/>
    <w:rsid w:val="00916AF3"/>
    <w:rsid w:val="00916E0F"/>
    <w:rsid w:val="00917159"/>
    <w:rsid w:val="009171C7"/>
    <w:rsid w:val="009177D4"/>
    <w:rsid w:val="009179E9"/>
    <w:rsid w:val="009203E9"/>
    <w:rsid w:val="0092041F"/>
    <w:rsid w:val="00920607"/>
    <w:rsid w:val="009206C5"/>
    <w:rsid w:val="00920889"/>
    <w:rsid w:val="00920930"/>
    <w:rsid w:val="009209D4"/>
    <w:rsid w:val="009209FD"/>
    <w:rsid w:val="00920A58"/>
    <w:rsid w:val="00920A8C"/>
    <w:rsid w:val="00920AB3"/>
    <w:rsid w:val="00920C3E"/>
    <w:rsid w:val="00920F28"/>
    <w:rsid w:val="00921832"/>
    <w:rsid w:val="00921997"/>
    <w:rsid w:val="009219E0"/>
    <w:rsid w:val="00921AB4"/>
    <w:rsid w:val="00921C8B"/>
    <w:rsid w:val="00921E5E"/>
    <w:rsid w:val="00921F39"/>
    <w:rsid w:val="00921F55"/>
    <w:rsid w:val="009221B2"/>
    <w:rsid w:val="00922273"/>
    <w:rsid w:val="00922964"/>
    <w:rsid w:val="00922D48"/>
    <w:rsid w:val="00922FB8"/>
    <w:rsid w:val="00922FC4"/>
    <w:rsid w:val="00923148"/>
    <w:rsid w:val="0092359B"/>
    <w:rsid w:val="009238E7"/>
    <w:rsid w:val="00923C90"/>
    <w:rsid w:val="0092405F"/>
    <w:rsid w:val="0092424C"/>
    <w:rsid w:val="00924764"/>
    <w:rsid w:val="009249B2"/>
    <w:rsid w:val="00924C64"/>
    <w:rsid w:val="00925367"/>
    <w:rsid w:val="00925733"/>
    <w:rsid w:val="00925A19"/>
    <w:rsid w:val="00926755"/>
    <w:rsid w:val="00926943"/>
    <w:rsid w:val="00926A08"/>
    <w:rsid w:val="00926A94"/>
    <w:rsid w:val="00926AA0"/>
    <w:rsid w:val="00926B86"/>
    <w:rsid w:val="00926BAE"/>
    <w:rsid w:val="00926C9C"/>
    <w:rsid w:val="00926D4F"/>
    <w:rsid w:val="00927033"/>
    <w:rsid w:val="0092713D"/>
    <w:rsid w:val="009271A8"/>
    <w:rsid w:val="00927354"/>
    <w:rsid w:val="00927535"/>
    <w:rsid w:val="009275F3"/>
    <w:rsid w:val="00927D83"/>
    <w:rsid w:val="00927ED8"/>
    <w:rsid w:val="00930133"/>
    <w:rsid w:val="009301F7"/>
    <w:rsid w:val="009308EE"/>
    <w:rsid w:val="009309EB"/>
    <w:rsid w:val="00930F4D"/>
    <w:rsid w:val="0093120D"/>
    <w:rsid w:val="009312A3"/>
    <w:rsid w:val="009316D4"/>
    <w:rsid w:val="00931907"/>
    <w:rsid w:val="00931B1C"/>
    <w:rsid w:val="00931D6C"/>
    <w:rsid w:val="00931E9D"/>
    <w:rsid w:val="00932212"/>
    <w:rsid w:val="0093271E"/>
    <w:rsid w:val="00932773"/>
    <w:rsid w:val="00932C5D"/>
    <w:rsid w:val="00932E91"/>
    <w:rsid w:val="009330D2"/>
    <w:rsid w:val="0093313B"/>
    <w:rsid w:val="009333AA"/>
    <w:rsid w:val="00933700"/>
    <w:rsid w:val="00933DAD"/>
    <w:rsid w:val="00933EE9"/>
    <w:rsid w:val="00933FCE"/>
    <w:rsid w:val="00934070"/>
    <w:rsid w:val="00934959"/>
    <w:rsid w:val="009349BE"/>
    <w:rsid w:val="00934A2C"/>
    <w:rsid w:val="00934B18"/>
    <w:rsid w:val="00934B4C"/>
    <w:rsid w:val="00934D16"/>
    <w:rsid w:val="00934DFB"/>
    <w:rsid w:val="00935013"/>
    <w:rsid w:val="0093501B"/>
    <w:rsid w:val="009353D7"/>
    <w:rsid w:val="009355D3"/>
    <w:rsid w:val="00935949"/>
    <w:rsid w:val="00935BCB"/>
    <w:rsid w:val="00936594"/>
    <w:rsid w:val="009366E0"/>
    <w:rsid w:val="0093685A"/>
    <w:rsid w:val="00936B61"/>
    <w:rsid w:val="00936F64"/>
    <w:rsid w:val="009370F3"/>
    <w:rsid w:val="00937444"/>
    <w:rsid w:val="0093771D"/>
    <w:rsid w:val="00937862"/>
    <w:rsid w:val="00937BCD"/>
    <w:rsid w:val="00940613"/>
    <w:rsid w:val="0094082C"/>
    <w:rsid w:val="00940AFA"/>
    <w:rsid w:val="00940DF6"/>
    <w:rsid w:val="00940FB2"/>
    <w:rsid w:val="009411A4"/>
    <w:rsid w:val="0094120E"/>
    <w:rsid w:val="009413D3"/>
    <w:rsid w:val="00941659"/>
    <w:rsid w:val="009416EC"/>
    <w:rsid w:val="00941EAA"/>
    <w:rsid w:val="00941EBA"/>
    <w:rsid w:val="00942414"/>
    <w:rsid w:val="009424DA"/>
    <w:rsid w:val="0094275B"/>
    <w:rsid w:val="009429BC"/>
    <w:rsid w:val="00942AD5"/>
    <w:rsid w:val="00942C1C"/>
    <w:rsid w:val="00942D0B"/>
    <w:rsid w:val="00942EC2"/>
    <w:rsid w:val="009431B7"/>
    <w:rsid w:val="00943552"/>
    <w:rsid w:val="00943D43"/>
    <w:rsid w:val="0094444C"/>
    <w:rsid w:val="0094464C"/>
    <w:rsid w:val="00944AC4"/>
    <w:rsid w:val="00944C2A"/>
    <w:rsid w:val="00944C59"/>
    <w:rsid w:val="00944F05"/>
    <w:rsid w:val="0094547C"/>
    <w:rsid w:val="00945A2C"/>
    <w:rsid w:val="00945A76"/>
    <w:rsid w:val="00945C70"/>
    <w:rsid w:val="00945C77"/>
    <w:rsid w:val="0094696E"/>
    <w:rsid w:val="00946B9A"/>
    <w:rsid w:val="00946EFD"/>
    <w:rsid w:val="00946F18"/>
    <w:rsid w:val="009470BC"/>
    <w:rsid w:val="009475F5"/>
    <w:rsid w:val="009479ED"/>
    <w:rsid w:val="00947E15"/>
    <w:rsid w:val="009500D7"/>
    <w:rsid w:val="009502A2"/>
    <w:rsid w:val="009503D9"/>
    <w:rsid w:val="009507D3"/>
    <w:rsid w:val="009508AA"/>
    <w:rsid w:val="00950B7F"/>
    <w:rsid w:val="00950E0E"/>
    <w:rsid w:val="00951062"/>
    <w:rsid w:val="00951A75"/>
    <w:rsid w:val="00951AE2"/>
    <w:rsid w:val="00951C7B"/>
    <w:rsid w:val="00951E65"/>
    <w:rsid w:val="009520B7"/>
    <w:rsid w:val="0095229E"/>
    <w:rsid w:val="0095245A"/>
    <w:rsid w:val="00952502"/>
    <w:rsid w:val="0095257D"/>
    <w:rsid w:val="009529DA"/>
    <w:rsid w:val="00952AE7"/>
    <w:rsid w:val="00952BCA"/>
    <w:rsid w:val="00952E64"/>
    <w:rsid w:val="00952EDD"/>
    <w:rsid w:val="00952FD1"/>
    <w:rsid w:val="00952FE3"/>
    <w:rsid w:val="009538B9"/>
    <w:rsid w:val="00953A76"/>
    <w:rsid w:val="0095411D"/>
    <w:rsid w:val="00954147"/>
    <w:rsid w:val="00954182"/>
    <w:rsid w:val="009542D4"/>
    <w:rsid w:val="009546E1"/>
    <w:rsid w:val="009546F4"/>
    <w:rsid w:val="00954809"/>
    <w:rsid w:val="0095497F"/>
    <w:rsid w:val="00954991"/>
    <w:rsid w:val="00954C0E"/>
    <w:rsid w:val="00954DFF"/>
    <w:rsid w:val="009552C9"/>
    <w:rsid w:val="00955372"/>
    <w:rsid w:val="0095569B"/>
    <w:rsid w:val="009556DC"/>
    <w:rsid w:val="00955960"/>
    <w:rsid w:val="009559BF"/>
    <w:rsid w:val="00955AA1"/>
    <w:rsid w:val="00955E9C"/>
    <w:rsid w:val="00955F89"/>
    <w:rsid w:val="009562F9"/>
    <w:rsid w:val="0095634C"/>
    <w:rsid w:val="009565D1"/>
    <w:rsid w:val="009567A7"/>
    <w:rsid w:val="00956842"/>
    <w:rsid w:val="0095700E"/>
    <w:rsid w:val="00957448"/>
    <w:rsid w:val="0095753F"/>
    <w:rsid w:val="00957674"/>
    <w:rsid w:val="00957E2C"/>
    <w:rsid w:val="00957E2F"/>
    <w:rsid w:val="00960021"/>
    <w:rsid w:val="00960A27"/>
    <w:rsid w:val="00960AC4"/>
    <w:rsid w:val="00960AF4"/>
    <w:rsid w:val="00960C14"/>
    <w:rsid w:val="009610C2"/>
    <w:rsid w:val="00961148"/>
    <w:rsid w:val="00961AAB"/>
    <w:rsid w:val="00961DDF"/>
    <w:rsid w:val="00962471"/>
    <w:rsid w:val="00962B4C"/>
    <w:rsid w:val="009633F4"/>
    <w:rsid w:val="00963625"/>
    <w:rsid w:val="0096395A"/>
    <w:rsid w:val="00963B33"/>
    <w:rsid w:val="00963D2D"/>
    <w:rsid w:val="0096435F"/>
    <w:rsid w:val="009643C0"/>
    <w:rsid w:val="00964642"/>
    <w:rsid w:val="00964A6F"/>
    <w:rsid w:val="00964E61"/>
    <w:rsid w:val="00964FF0"/>
    <w:rsid w:val="0096502E"/>
    <w:rsid w:val="0096528E"/>
    <w:rsid w:val="00965364"/>
    <w:rsid w:val="00965692"/>
    <w:rsid w:val="00965FF1"/>
    <w:rsid w:val="009661AF"/>
    <w:rsid w:val="0096646F"/>
    <w:rsid w:val="00966665"/>
    <w:rsid w:val="009666D9"/>
    <w:rsid w:val="0096684C"/>
    <w:rsid w:val="00966BE2"/>
    <w:rsid w:val="00966DEB"/>
    <w:rsid w:val="00966E05"/>
    <w:rsid w:val="00966FD8"/>
    <w:rsid w:val="00967024"/>
    <w:rsid w:val="00967045"/>
    <w:rsid w:val="0096706E"/>
    <w:rsid w:val="00967237"/>
    <w:rsid w:val="009673BF"/>
    <w:rsid w:val="00967592"/>
    <w:rsid w:val="009675EE"/>
    <w:rsid w:val="0096763A"/>
    <w:rsid w:val="0096766E"/>
    <w:rsid w:val="00967BDC"/>
    <w:rsid w:val="00967CCC"/>
    <w:rsid w:val="00967DAD"/>
    <w:rsid w:val="0097048E"/>
    <w:rsid w:val="00970584"/>
    <w:rsid w:val="00970B97"/>
    <w:rsid w:val="00970F4B"/>
    <w:rsid w:val="009712C6"/>
    <w:rsid w:val="00971445"/>
    <w:rsid w:val="00971555"/>
    <w:rsid w:val="00971629"/>
    <w:rsid w:val="00971902"/>
    <w:rsid w:val="009719FA"/>
    <w:rsid w:val="00971ADF"/>
    <w:rsid w:val="00972061"/>
    <w:rsid w:val="0097211D"/>
    <w:rsid w:val="009723AC"/>
    <w:rsid w:val="00972540"/>
    <w:rsid w:val="00972CBA"/>
    <w:rsid w:val="00972E9F"/>
    <w:rsid w:val="00973118"/>
    <w:rsid w:val="009731EE"/>
    <w:rsid w:val="00973BDF"/>
    <w:rsid w:val="00973E7C"/>
    <w:rsid w:val="0097414F"/>
    <w:rsid w:val="00974482"/>
    <w:rsid w:val="00974685"/>
    <w:rsid w:val="00974C38"/>
    <w:rsid w:val="00974CB1"/>
    <w:rsid w:val="00974D7E"/>
    <w:rsid w:val="00974EC9"/>
    <w:rsid w:val="00975034"/>
    <w:rsid w:val="009753E0"/>
    <w:rsid w:val="0097544B"/>
    <w:rsid w:val="00975C4E"/>
    <w:rsid w:val="00975E4C"/>
    <w:rsid w:val="00975F13"/>
    <w:rsid w:val="009760C3"/>
    <w:rsid w:val="00976430"/>
    <w:rsid w:val="00976577"/>
    <w:rsid w:val="00976633"/>
    <w:rsid w:val="00976CBA"/>
    <w:rsid w:val="009772CA"/>
    <w:rsid w:val="0097742E"/>
    <w:rsid w:val="009775EF"/>
    <w:rsid w:val="009778CA"/>
    <w:rsid w:val="00977AE2"/>
    <w:rsid w:val="00977B1C"/>
    <w:rsid w:val="00977B52"/>
    <w:rsid w:val="00977D82"/>
    <w:rsid w:val="00977E73"/>
    <w:rsid w:val="00977F70"/>
    <w:rsid w:val="0098038C"/>
    <w:rsid w:val="009805B0"/>
    <w:rsid w:val="00980623"/>
    <w:rsid w:val="009809FF"/>
    <w:rsid w:val="00980B7F"/>
    <w:rsid w:val="00980E04"/>
    <w:rsid w:val="00980EDD"/>
    <w:rsid w:val="00981174"/>
    <w:rsid w:val="0098144F"/>
    <w:rsid w:val="00981873"/>
    <w:rsid w:val="00981E2F"/>
    <w:rsid w:val="00981FBA"/>
    <w:rsid w:val="009820EC"/>
    <w:rsid w:val="0098223E"/>
    <w:rsid w:val="0098252F"/>
    <w:rsid w:val="009827F4"/>
    <w:rsid w:val="00982A48"/>
    <w:rsid w:val="00982BBB"/>
    <w:rsid w:val="00982C0F"/>
    <w:rsid w:val="00982D5E"/>
    <w:rsid w:val="00982DA4"/>
    <w:rsid w:val="00984198"/>
    <w:rsid w:val="00984776"/>
    <w:rsid w:val="00984E1B"/>
    <w:rsid w:val="0098519D"/>
    <w:rsid w:val="009853D7"/>
    <w:rsid w:val="00985879"/>
    <w:rsid w:val="00985B24"/>
    <w:rsid w:val="00985C1C"/>
    <w:rsid w:val="00985C45"/>
    <w:rsid w:val="00986095"/>
    <w:rsid w:val="00986489"/>
    <w:rsid w:val="0098652C"/>
    <w:rsid w:val="009867A2"/>
    <w:rsid w:val="00986806"/>
    <w:rsid w:val="00986BFB"/>
    <w:rsid w:val="00986E88"/>
    <w:rsid w:val="00987846"/>
    <w:rsid w:val="00987964"/>
    <w:rsid w:val="00987E41"/>
    <w:rsid w:val="00987F72"/>
    <w:rsid w:val="009901A9"/>
    <w:rsid w:val="0099057A"/>
    <w:rsid w:val="009907F7"/>
    <w:rsid w:val="00990B08"/>
    <w:rsid w:val="00990C85"/>
    <w:rsid w:val="00990CE5"/>
    <w:rsid w:val="00991017"/>
    <w:rsid w:val="0099106A"/>
    <w:rsid w:val="009910E7"/>
    <w:rsid w:val="009913E4"/>
    <w:rsid w:val="00991613"/>
    <w:rsid w:val="00991BFF"/>
    <w:rsid w:val="00991CC6"/>
    <w:rsid w:val="00991EC9"/>
    <w:rsid w:val="00992087"/>
    <w:rsid w:val="009922A2"/>
    <w:rsid w:val="009923C4"/>
    <w:rsid w:val="00992497"/>
    <w:rsid w:val="009927B2"/>
    <w:rsid w:val="00992F97"/>
    <w:rsid w:val="009932DD"/>
    <w:rsid w:val="0099354C"/>
    <w:rsid w:val="009937D9"/>
    <w:rsid w:val="00993864"/>
    <w:rsid w:val="0099465A"/>
    <w:rsid w:val="00994A61"/>
    <w:rsid w:val="00994B40"/>
    <w:rsid w:val="0099503C"/>
    <w:rsid w:val="0099527B"/>
    <w:rsid w:val="009957F8"/>
    <w:rsid w:val="00995985"/>
    <w:rsid w:val="009959C5"/>
    <w:rsid w:val="009959C9"/>
    <w:rsid w:val="00995A4A"/>
    <w:rsid w:val="00995B97"/>
    <w:rsid w:val="00995C0D"/>
    <w:rsid w:val="0099633B"/>
    <w:rsid w:val="00996486"/>
    <w:rsid w:val="00996B8A"/>
    <w:rsid w:val="00997407"/>
    <w:rsid w:val="00997BC5"/>
    <w:rsid w:val="00997E31"/>
    <w:rsid w:val="00997E52"/>
    <w:rsid w:val="00997F87"/>
    <w:rsid w:val="00997FDB"/>
    <w:rsid w:val="009A0323"/>
    <w:rsid w:val="009A03A9"/>
    <w:rsid w:val="009A092B"/>
    <w:rsid w:val="009A11B4"/>
    <w:rsid w:val="009A140A"/>
    <w:rsid w:val="009A1ABF"/>
    <w:rsid w:val="009A1B4C"/>
    <w:rsid w:val="009A1C21"/>
    <w:rsid w:val="009A1D44"/>
    <w:rsid w:val="009A22C5"/>
    <w:rsid w:val="009A2539"/>
    <w:rsid w:val="009A25F6"/>
    <w:rsid w:val="009A2749"/>
    <w:rsid w:val="009A2C0D"/>
    <w:rsid w:val="009A2DE2"/>
    <w:rsid w:val="009A30A5"/>
    <w:rsid w:val="009A30F6"/>
    <w:rsid w:val="009A33E2"/>
    <w:rsid w:val="009A3D68"/>
    <w:rsid w:val="009A3DB8"/>
    <w:rsid w:val="009A4178"/>
    <w:rsid w:val="009A440D"/>
    <w:rsid w:val="009A4AD3"/>
    <w:rsid w:val="009A4AE5"/>
    <w:rsid w:val="009A4B37"/>
    <w:rsid w:val="009A4CC9"/>
    <w:rsid w:val="009A4EC8"/>
    <w:rsid w:val="009A4F41"/>
    <w:rsid w:val="009A5295"/>
    <w:rsid w:val="009A56F1"/>
    <w:rsid w:val="009A571F"/>
    <w:rsid w:val="009A585B"/>
    <w:rsid w:val="009A591E"/>
    <w:rsid w:val="009A5B34"/>
    <w:rsid w:val="009A5D42"/>
    <w:rsid w:val="009A607F"/>
    <w:rsid w:val="009A6186"/>
    <w:rsid w:val="009A640E"/>
    <w:rsid w:val="009A68FF"/>
    <w:rsid w:val="009A69A0"/>
    <w:rsid w:val="009A6CA2"/>
    <w:rsid w:val="009A72E5"/>
    <w:rsid w:val="009A738A"/>
    <w:rsid w:val="009A78E7"/>
    <w:rsid w:val="009A79B7"/>
    <w:rsid w:val="009A7A66"/>
    <w:rsid w:val="009A7DF4"/>
    <w:rsid w:val="009B02F7"/>
    <w:rsid w:val="009B046F"/>
    <w:rsid w:val="009B05A4"/>
    <w:rsid w:val="009B062E"/>
    <w:rsid w:val="009B0CD6"/>
    <w:rsid w:val="009B0D9C"/>
    <w:rsid w:val="009B120B"/>
    <w:rsid w:val="009B13D5"/>
    <w:rsid w:val="009B1688"/>
    <w:rsid w:val="009B1A6B"/>
    <w:rsid w:val="009B1FD4"/>
    <w:rsid w:val="009B2084"/>
    <w:rsid w:val="009B220F"/>
    <w:rsid w:val="009B2454"/>
    <w:rsid w:val="009B2623"/>
    <w:rsid w:val="009B2830"/>
    <w:rsid w:val="009B2B4D"/>
    <w:rsid w:val="009B3386"/>
    <w:rsid w:val="009B33E4"/>
    <w:rsid w:val="009B342D"/>
    <w:rsid w:val="009B3595"/>
    <w:rsid w:val="009B381A"/>
    <w:rsid w:val="009B381B"/>
    <w:rsid w:val="009B3B35"/>
    <w:rsid w:val="009B3B7F"/>
    <w:rsid w:val="009B3C9E"/>
    <w:rsid w:val="009B401D"/>
    <w:rsid w:val="009B4027"/>
    <w:rsid w:val="009B4626"/>
    <w:rsid w:val="009B4685"/>
    <w:rsid w:val="009B4994"/>
    <w:rsid w:val="009B4CA0"/>
    <w:rsid w:val="009B4FCE"/>
    <w:rsid w:val="009B50A1"/>
    <w:rsid w:val="009B52CE"/>
    <w:rsid w:val="009B5398"/>
    <w:rsid w:val="009B53F0"/>
    <w:rsid w:val="009B5B35"/>
    <w:rsid w:val="009B5EF1"/>
    <w:rsid w:val="009B6281"/>
    <w:rsid w:val="009B62CA"/>
    <w:rsid w:val="009B6381"/>
    <w:rsid w:val="009B6461"/>
    <w:rsid w:val="009B6585"/>
    <w:rsid w:val="009B6919"/>
    <w:rsid w:val="009B6C83"/>
    <w:rsid w:val="009B70DE"/>
    <w:rsid w:val="009B7119"/>
    <w:rsid w:val="009B7333"/>
    <w:rsid w:val="009B7765"/>
    <w:rsid w:val="009B7C38"/>
    <w:rsid w:val="009B7C50"/>
    <w:rsid w:val="009B7D05"/>
    <w:rsid w:val="009B7D9B"/>
    <w:rsid w:val="009C04E8"/>
    <w:rsid w:val="009C0618"/>
    <w:rsid w:val="009C0C08"/>
    <w:rsid w:val="009C0C46"/>
    <w:rsid w:val="009C1046"/>
    <w:rsid w:val="009C121B"/>
    <w:rsid w:val="009C15E1"/>
    <w:rsid w:val="009C1664"/>
    <w:rsid w:val="009C167A"/>
    <w:rsid w:val="009C176D"/>
    <w:rsid w:val="009C1821"/>
    <w:rsid w:val="009C1890"/>
    <w:rsid w:val="009C1C1B"/>
    <w:rsid w:val="009C1DAB"/>
    <w:rsid w:val="009C22AA"/>
    <w:rsid w:val="009C23AE"/>
    <w:rsid w:val="009C23B6"/>
    <w:rsid w:val="009C244A"/>
    <w:rsid w:val="009C2C3F"/>
    <w:rsid w:val="009C2D00"/>
    <w:rsid w:val="009C2F0A"/>
    <w:rsid w:val="009C339C"/>
    <w:rsid w:val="009C3511"/>
    <w:rsid w:val="009C3942"/>
    <w:rsid w:val="009C3BA8"/>
    <w:rsid w:val="009C3C33"/>
    <w:rsid w:val="009C3C4B"/>
    <w:rsid w:val="009C3CC1"/>
    <w:rsid w:val="009C3D85"/>
    <w:rsid w:val="009C44EC"/>
    <w:rsid w:val="009C475A"/>
    <w:rsid w:val="009C48CD"/>
    <w:rsid w:val="009C494E"/>
    <w:rsid w:val="009C4C5F"/>
    <w:rsid w:val="009C4D2F"/>
    <w:rsid w:val="009C5141"/>
    <w:rsid w:val="009C54CA"/>
    <w:rsid w:val="009C600C"/>
    <w:rsid w:val="009C60C5"/>
    <w:rsid w:val="009C61BB"/>
    <w:rsid w:val="009C6760"/>
    <w:rsid w:val="009C6A0D"/>
    <w:rsid w:val="009C6B63"/>
    <w:rsid w:val="009C6F5F"/>
    <w:rsid w:val="009C7131"/>
    <w:rsid w:val="009C74A3"/>
    <w:rsid w:val="009C777D"/>
    <w:rsid w:val="009C7859"/>
    <w:rsid w:val="009C796E"/>
    <w:rsid w:val="009C7AEB"/>
    <w:rsid w:val="009C7BAA"/>
    <w:rsid w:val="009C7D64"/>
    <w:rsid w:val="009C7EA2"/>
    <w:rsid w:val="009C7F63"/>
    <w:rsid w:val="009C7FE4"/>
    <w:rsid w:val="009D037E"/>
    <w:rsid w:val="009D050F"/>
    <w:rsid w:val="009D08CE"/>
    <w:rsid w:val="009D0FBA"/>
    <w:rsid w:val="009D15D2"/>
    <w:rsid w:val="009D181B"/>
    <w:rsid w:val="009D1822"/>
    <w:rsid w:val="009D1A08"/>
    <w:rsid w:val="009D1A38"/>
    <w:rsid w:val="009D1E99"/>
    <w:rsid w:val="009D21A7"/>
    <w:rsid w:val="009D230B"/>
    <w:rsid w:val="009D260E"/>
    <w:rsid w:val="009D2752"/>
    <w:rsid w:val="009D2B45"/>
    <w:rsid w:val="009D2C16"/>
    <w:rsid w:val="009D2ECA"/>
    <w:rsid w:val="009D33B2"/>
    <w:rsid w:val="009D33F5"/>
    <w:rsid w:val="009D3685"/>
    <w:rsid w:val="009D38F1"/>
    <w:rsid w:val="009D38F5"/>
    <w:rsid w:val="009D3A41"/>
    <w:rsid w:val="009D3EF3"/>
    <w:rsid w:val="009D42E6"/>
    <w:rsid w:val="009D4465"/>
    <w:rsid w:val="009D5733"/>
    <w:rsid w:val="009D5770"/>
    <w:rsid w:val="009D5963"/>
    <w:rsid w:val="009D5E86"/>
    <w:rsid w:val="009D5F08"/>
    <w:rsid w:val="009D5F93"/>
    <w:rsid w:val="009D60B5"/>
    <w:rsid w:val="009D6140"/>
    <w:rsid w:val="009D6D2F"/>
    <w:rsid w:val="009D6E78"/>
    <w:rsid w:val="009D74D7"/>
    <w:rsid w:val="009D7611"/>
    <w:rsid w:val="009D767A"/>
    <w:rsid w:val="009D7969"/>
    <w:rsid w:val="009D7CFD"/>
    <w:rsid w:val="009E0289"/>
    <w:rsid w:val="009E05E3"/>
    <w:rsid w:val="009E0B61"/>
    <w:rsid w:val="009E0B84"/>
    <w:rsid w:val="009E0C30"/>
    <w:rsid w:val="009E11CC"/>
    <w:rsid w:val="009E12CB"/>
    <w:rsid w:val="009E12D8"/>
    <w:rsid w:val="009E13FC"/>
    <w:rsid w:val="009E1402"/>
    <w:rsid w:val="009E1BAF"/>
    <w:rsid w:val="009E21ED"/>
    <w:rsid w:val="009E273A"/>
    <w:rsid w:val="009E2826"/>
    <w:rsid w:val="009E2F48"/>
    <w:rsid w:val="009E3012"/>
    <w:rsid w:val="009E32CC"/>
    <w:rsid w:val="009E353E"/>
    <w:rsid w:val="009E3B6A"/>
    <w:rsid w:val="009E3D1E"/>
    <w:rsid w:val="009E4117"/>
    <w:rsid w:val="009E45CB"/>
    <w:rsid w:val="009E4975"/>
    <w:rsid w:val="009E4E45"/>
    <w:rsid w:val="009E4E91"/>
    <w:rsid w:val="009E50CA"/>
    <w:rsid w:val="009E53DE"/>
    <w:rsid w:val="009E5525"/>
    <w:rsid w:val="009E5577"/>
    <w:rsid w:val="009E55C9"/>
    <w:rsid w:val="009E58B4"/>
    <w:rsid w:val="009E5B14"/>
    <w:rsid w:val="009E5DD1"/>
    <w:rsid w:val="009E5E52"/>
    <w:rsid w:val="009E5FE1"/>
    <w:rsid w:val="009E61C0"/>
    <w:rsid w:val="009E63A1"/>
    <w:rsid w:val="009E6937"/>
    <w:rsid w:val="009E695C"/>
    <w:rsid w:val="009E6AB4"/>
    <w:rsid w:val="009E6C3E"/>
    <w:rsid w:val="009E6CC1"/>
    <w:rsid w:val="009E6D6F"/>
    <w:rsid w:val="009E761F"/>
    <w:rsid w:val="009E79F2"/>
    <w:rsid w:val="009E7C0B"/>
    <w:rsid w:val="009E7E3B"/>
    <w:rsid w:val="009F0505"/>
    <w:rsid w:val="009F0941"/>
    <w:rsid w:val="009F0DD7"/>
    <w:rsid w:val="009F0ED2"/>
    <w:rsid w:val="009F0F41"/>
    <w:rsid w:val="009F1026"/>
    <w:rsid w:val="009F156C"/>
    <w:rsid w:val="009F1747"/>
    <w:rsid w:val="009F19B5"/>
    <w:rsid w:val="009F1D4D"/>
    <w:rsid w:val="009F20B0"/>
    <w:rsid w:val="009F24D1"/>
    <w:rsid w:val="009F2659"/>
    <w:rsid w:val="009F2694"/>
    <w:rsid w:val="009F2AF7"/>
    <w:rsid w:val="009F2EF7"/>
    <w:rsid w:val="009F3075"/>
    <w:rsid w:val="009F32AE"/>
    <w:rsid w:val="009F32C6"/>
    <w:rsid w:val="009F33BF"/>
    <w:rsid w:val="009F38F6"/>
    <w:rsid w:val="009F3BB6"/>
    <w:rsid w:val="009F3CAF"/>
    <w:rsid w:val="009F40AE"/>
    <w:rsid w:val="009F4735"/>
    <w:rsid w:val="009F4EFC"/>
    <w:rsid w:val="009F50F4"/>
    <w:rsid w:val="009F51B6"/>
    <w:rsid w:val="009F5402"/>
    <w:rsid w:val="009F552D"/>
    <w:rsid w:val="009F564E"/>
    <w:rsid w:val="009F59B8"/>
    <w:rsid w:val="009F5AF5"/>
    <w:rsid w:val="009F6134"/>
    <w:rsid w:val="009F6313"/>
    <w:rsid w:val="009F63BF"/>
    <w:rsid w:val="009F6409"/>
    <w:rsid w:val="009F6745"/>
    <w:rsid w:val="009F6C1A"/>
    <w:rsid w:val="009F6CA0"/>
    <w:rsid w:val="009F6CD8"/>
    <w:rsid w:val="009F72BB"/>
    <w:rsid w:val="009F73E1"/>
    <w:rsid w:val="009F7549"/>
    <w:rsid w:val="009F7C21"/>
    <w:rsid w:val="00A00055"/>
    <w:rsid w:val="00A00144"/>
    <w:rsid w:val="00A0073D"/>
    <w:rsid w:val="00A00B69"/>
    <w:rsid w:val="00A00BFD"/>
    <w:rsid w:val="00A0131C"/>
    <w:rsid w:val="00A01C60"/>
    <w:rsid w:val="00A01D16"/>
    <w:rsid w:val="00A01D5D"/>
    <w:rsid w:val="00A01E78"/>
    <w:rsid w:val="00A025AC"/>
    <w:rsid w:val="00A02652"/>
    <w:rsid w:val="00A02673"/>
    <w:rsid w:val="00A027FA"/>
    <w:rsid w:val="00A028A8"/>
    <w:rsid w:val="00A02A12"/>
    <w:rsid w:val="00A02BDB"/>
    <w:rsid w:val="00A03143"/>
    <w:rsid w:val="00A0334E"/>
    <w:rsid w:val="00A033C9"/>
    <w:rsid w:val="00A033DA"/>
    <w:rsid w:val="00A037F6"/>
    <w:rsid w:val="00A04404"/>
    <w:rsid w:val="00A044AF"/>
    <w:rsid w:val="00A04A60"/>
    <w:rsid w:val="00A04AD4"/>
    <w:rsid w:val="00A04AF7"/>
    <w:rsid w:val="00A04CFC"/>
    <w:rsid w:val="00A05269"/>
    <w:rsid w:val="00A052AC"/>
    <w:rsid w:val="00A05477"/>
    <w:rsid w:val="00A05A90"/>
    <w:rsid w:val="00A05B35"/>
    <w:rsid w:val="00A05B93"/>
    <w:rsid w:val="00A06120"/>
    <w:rsid w:val="00A0623D"/>
    <w:rsid w:val="00A06467"/>
    <w:rsid w:val="00A0692F"/>
    <w:rsid w:val="00A06E28"/>
    <w:rsid w:val="00A070F3"/>
    <w:rsid w:val="00A071F0"/>
    <w:rsid w:val="00A072D4"/>
    <w:rsid w:val="00A0760C"/>
    <w:rsid w:val="00A07707"/>
    <w:rsid w:val="00A07AD8"/>
    <w:rsid w:val="00A07AF5"/>
    <w:rsid w:val="00A07B51"/>
    <w:rsid w:val="00A07C4A"/>
    <w:rsid w:val="00A07E5F"/>
    <w:rsid w:val="00A104DF"/>
    <w:rsid w:val="00A10A00"/>
    <w:rsid w:val="00A10B59"/>
    <w:rsid w:val="00A10BE2"/>
    <w:rsid w:val="00A10E6B"/>
    <w:rsid w:val="00A10ED4"/>
    <w:rsid w:val="00A10F16"/>
    <w:rsid w:val="00A10FA5"/>
    <w:rsid w:val="00A11505"/>
    <w:rsid w:val="00A1170C"/>
    <w:rsid w:val="00A117B7"/>
    <w:rsid w:val="00A11AE1"/>
    <w:rsid w:val="00A11E23"/>
    <w:rsid w:val="00A11FFA"/>
    <w:rsid w:val="00A12152"/>
    <w:rsid w:val="00A12768"/>
    <w:rsid w:val="00A12867"/>
    <w:rsid w:val="00A129D6"/>
    <w:rsid w:val="00A129F4"/>
    <w:rsid w:val="00A12DA6"/>
    <w:rsid w:val="00A12F23"/>
    <w:rsid w:val="00A13103"/>
    <w:rsid w:val="00A1346B"/>
    <w:rsid w:val="00A13654"/>
    <w:rsid w:val="00A1380F"/>
    <w:rsid w:val="00A1385C"/>
    <w:rsid w:val="00A13900"/>
    <w:rsid w:val="00A13931"/>
    <w:rsid w:val="00A13976"/>
    <w:rsid w:val="00A139B1"/>
    <w:rsid w:val="00A13D36"/>
    <w:rsid w:val="00A13DD1"/>
    <w:rsid w:val="00A154C3"/>
    <w:rsid w:val="00A15A90"/>
    <w:rsid w:val="00A15BCA"/>
    <w:rsid w:val="00A15D1A"/>
    <w:rsid w:val="00A15D6A"/>
    <w:rsid w:val="00A160DA"/>
    <w:rsid w:val="00A1622F"/>
    <w:rsid w:val="00A16A61"/>
    <w:rsid w:val="00A16B1B"/>
    <w:rsid w:val="00A16D37"/>
    <w:rsid w:val="00A17003"/>
    <w:rsid w:val="00A17157"/>
    <w:rsid w:val="00A173EC"/>
    <w:rsid w:val="00A17685"/>
    <w:rsid w:val="00A1783E"/>
    <w:rsid w:val="00A17852"/>
    <w:rsid w:val="00A178DD"/>
    <w:rsid w:val="00A17EC0"/>
    <w:rsid w:val="00A20048"/>
    <w:rsid w:val="00A20353"/>
    <w:rsid w:val="00A20460"/>
    <w:rsid w:val="00A20A63"/>
    <w:rsid w:val="00A20DBC"/>
    <w:rsid w:val="00A2145C"/>
    <w:rsid w:val="00A21721"/>
    <w:rsid w:val="00A219A8"/>
    <w:rsid w:val="00A21A43"/>
    <w:rsid w:val="00A21A95"/>
    <w:rsid w:val="00A21B9A"/>
    <w:rsid w:val="00A221A0"/>
    <w:rsid w:val="00A2220D"/>
    <w:rsid w:val="00A2234D"/>
    <w:rsid w:val="00A22C5C"/>
    <w:rsid w:val="00A23138"/>
    <w:rsid w:val="00A2319A"/>
    <w:rsid w:val="00A231BB"/>
    <w:rsid w:val="00A231C0"/>
    <w:rsid w:val="00A235A8"/>
    <w:rsid w:val="00A2376D"/>
    <w:rsid w:val="00A2380B"/>
    <w:rsid w:val="00A23D7A"/>
    <w:rsid w:val="00A23FFF"/>
    <w:rsid w:val="00A24010"/>
    <w:rsid w:val="00A24527"/>
    <w:rsid w:val="00A24801"/>
    <w:rsid w:val="00A24E43"/>
    <w:rsid w:val="00A24E67"/>
    <w:rsid w:val="00A24F19"/>
    <w:rsid w:val="00A2510D"/>
    <w:rsid w:val="00A25182"/>
    <w:rsid w:val="00A251C4"/>
    <w:rsid w:val="00A25228"/>
    <w:rsid w:val="00A253D7"/>
    <w:rsid w:val="00A2546A"/>
    <w:rsid w:val="00A2547A"/>
    <w:rsid w:val="00A254D2"/>
    <w:rsid w:val="00A2556A"/>
    <w:rsid w:val="00A2561A"/>
    <w:rsid w:val="00A25621"/>
    <w:rsid w:val="00A2572D"/>
    <w:rsid w:val="00A25B0A"/>
    <w:rsid w:val="00A25B6D"/>
    <w:rsid w:val="00A25E38"/>
    <w:rsid w:val="00A262AF"/>
    <w:rsid w:val="00A2643F"/>
    <w:rsid w:val="00A26639"/>
    <w:rsid w:val="00A26681"/>
    <w:rsid w:val="00A26C11"/>
    <w:rsid w:val="00A26F8A"/>
    <w:rsid w:val="00A27205"/>
    <w:rsid w:val="00A2742D"/>
    <w:rsid w:val="00A275D7"/>
    <w:rsid w:val="00A27D56"/>
    <w:rsid w:val="00A27D5F"/>
    <w:rsid w:val="00A30211"/>
    <w:rsid w:val="00A3090A"/>
    <w:rsid w:val="00A30A66"/>
    <w:rsid w:val="00A30DA9"/>
    <w:rsid w:val="00A31632"/>
    <w:rsid w:val="00A317DD"/>
    <w:rsid w:val="00A32032"/>
    <w:rsid w:val="00A3207B"/>
    <w:rsid w:val="00A320D6"/>
    <w:rsid w:val="00A322CA"/>
    <w:rsid w:val="00A3259F"/>
    <w:rsid w:val="00A32836"/>
    <w:rsid w:val="00A328B3"/>
    <w:rsid w:val="00A329E8"/>
    <w:rsid w:val="00A32BAF"/>
    <w:rsid w:val="00A32F4A"/>
    <w:rsid w:val="00A33317"/>
    <w:rsid w:val="00A33604"/>
    <w:rsid w:val="00A338B7"/>
    <w:rsid w:val="00A33976"/>
    <w:rsid w:val="00A339A3"/>
    <w:rsid w:val="00A33BB5"/>
    <w:rsid w:val="00A33CDB"/>
    <w:rsid w:val="00A33F2C"/>
    <w:rsid w:val="00A33F57"/>
    <w:rsid w:val="00A34040"/>
    <w:rsid w:val="00A344B3"/>
    <w:rsid w:val="00A34625"/>
    <w:rsid w:val="00A34A7E"/>
    <w:rsid w:val="00A3515F"/>
    <w:rsid w:val="00A356AE"/>
    <w:rsid w:val="00A3575D"/>
    <w:rsid w:val="00A357AB"/>
    <w:rsid w:val="00A357FF"/>
    <w:rsid w:val="00A359A7"/>
    <w:rsid w:val="00A35CBB"/>
    <w:rsid w:val="00A35CE3"/>
    <w:rsid w:val="00A35E49"/>
    <w:rsid w:val="00A3607C"/>
    <w:rsid w:val="00A36098"/>
    <w:rsid w:val="00A36165"/>
    <w:rsid w:val="00A36354"/>
    <w:rsid w:val="00A363BD"/>
    <w:rsid w:val="00A36B39"/>
    <w:rsid w:val="00A36B9D"/>
    <w:rsid w:val="00A36D42"/>
    <w:rsid w:val="00A37231"/>
    <w:rsid w:val="00A37440"/>
    <w:rsid w:val="00A3756B"/>
    <w:rsid w:val="00A3760F"/>
    <w:rsid w:val="00A376DC"/>
    <w:rsid w:val="00A379F0"/>
    <w:rsid w:val="00A379F5"/>
    <w:rsid w:val="00A37E0A"/>
    <w:rsid w:val="00A405E8"/>
    <w:rsid w:val="00A40EE9"/>
    <w:rsid w:val="00A40F16"/>
    <w:rsid w:val="00A411BD"/>
    <w:rsid w:val="00A4193D"/>
    <w:rsid w:val="00A41959"/>
    <w:rsid w:val="00A4206A"/>
    <w:rsid w:val="00A420E9"/>
    <w:rsid w:val="00A42259"/>
    <w:rsid w:val="00A426BF"/>
    <w:rsid w:val="00A427A2"/>
    <w:rsid w:val="00A4297C"/>
    <w:rsid w:val="00A42CF6"/>
    <w:rsid w:val="00A42D88"/>
    <w:rsid w:val="00A42E32"/>
    <w:rsid w:val="00A42F03"/>
    <w:rsid w:val="00A430F9"/>
    <w:rsid w:val="00A43282"/>
    <w:rsid w:val="00A43286"/>
    <w:rsid w:val="00A43685"/>
    <w:rsid w:val="00A43843"/>
    <w:rsid w:val="00A439A9"/>
    <w:rsid w:val="00A43BBF"/>
    <w:rsid w:val="00A43D5D"/>
    <w:rsid w:val="00A44165"/>
    <w:rsid w:val="00A44265"/>
    <w:rsid w:val="00A443E5"/>
    <w:rsid w:val="00A44446"/>
    <w:rsid w:val="00A4449E"/>
    <w:rsid w:val="00A44CCE"/>
    <w:rsid w:val="00A44E84"/>
    <w:rsid w:val="00A44EAD"/>
    <w:rsid w:val="00A456BE"/>
    <w:rsid w:val="00A4583D"/>
    <w:rsid w:val="00A458BB"/>
    <w:rsid w:val="00A45C15"/>
    <w:rsid w:val="00A45D58"/>
    <w:rsid w:val="00A46904"/>
    <w:rsid w:val="00A46B7B"/>
    <w:rsid w:val="00A46BA2"/>
    <w:rsid w:val="00A46F61"/>
    <w:rsid w:val="00A46FDF"/>
    <w:rsid w:val="00A47090"/>
    <w:rsid w:val="00A4737C"/>
    <w:rsid w:val="00A477D3"/>
    <w:rsid w:val="00A47911"/>
    <w:rsid w:val="00A479E5"/>
    <w:rsid w:val="00A47F9F"/>
    <w:rsid w:val="00A503DE"/>
    <w:rsid w:val="00A508E5"/>
    <w:rsid w:val="00A509E2"/>
    <w:rsid w:val="00A50B61"/>
    <w:rsid w:val="00A50B7B"/>
    <w:rsid w:val="00A50D2D"/>
    <w:rsid w:val="00A50F2F"/>
    <w:rsid w:val="00A50FA3"/>
    <w:rsid w:val="00A50FCF"/>
    <w:rsid w:val="00A512A5"/>
    <w:rsid w:val="00A51744"/>
    <w:rsid w:val="00A517B4"/>
    <w:rsid w:val="00A51E46"/>
    <w:rsid w:val="00A52457"/>
    <w:rsid w:val="00A5252E"/>
    <w:rsid w:val="00A528D1"/>
    <w:rsid w:val="00A52D34"/>
    <w:rsid w:val="00A53175"/>
    <w:rsid w:val="00A531DA"/>
    <w:rsid w:val="00A5335B"/>
    <w:rsid w:val="00A5337B"/>
    <w:rsid w:val="00A53982"/>
    <w:rsid w:val="00A53D16"/>
    <w:rsid w:val="00A54597"/>
    <w:rsid w:val="00A54861"/>
    <w:rsid w:val="00A54AB9"/>
    <w:rsid w:val="00A54F4B"/>
    <w:rsid w:val="00A550B7"/>
    <w:rsid w:val="00A551AD"/>
    <w:rsid w:val="00A55219"/>
    <w:rsid w:val="00A5569C"/>
    <w:rsid w:val="00A55B8D"/>
    <w:rsid w:val="00A55C7B"/>
    <w:rsid w:val="00A55EEF"/>
    <w:rsid w:val="00A55F64"/>
    <w:rsid w:val="00A55FD1"/>
    <w:rsid w:val="00A5642C"/>
    <w:rsid w:val="00A56499"/>
    <w:rsid w:val="00A564DC"/>
    <w:rsid w:val="00A565AC"/>
    <w:rsid w:val="00A5702A"/>
    <w:rsid w:val="00A57053"/>
    <w:rsid w:val="00A578E6"/>
    <w:rsid w:val="00A578EF"/>
    <w:rsid w:val="00A57B49"/>
    <w:rsid w:val="00A57E57"/>
    <w:rsid w:val="00A57F82"/>
    <w:rsid w:val="00A60070"/>
    <w:rsid w:val="00A60593"/>
    <w:rsid w:val="00A60715"/>
    <w:rsid w:val="00A60DF4"/>
    <w:rsid w:val="00A610CD"/>
    <w:rsid w:val="00A615B0"/>
    <w:rsid w:val="00A61F90"/>
    <w:rsid w:val="00A62016"/>
    <w:rsid w:val="00A62098"/>
    <w:rsid w:val="00A6209A"/>
    <w:rsid w:val="00A62487"/>
    <w:rsid w:val="00A624A6"/>
    <w:rsid w:val="00A627D2"/>
    <w:rsid w:val="00A627DA"/>
    <w:rsid w:val="00A628DA"/>
    <w:rsid w:val="00A62B85"/>
    <w:rsid w:val="00A62C2D"/>
    <w:rsid w:val="00A62CF1"/>
    <w:rsid w:val="00A63437"/>
    <w:rsid w:val="00A635E2"/>
    <w:rsid w:val="00A637C7"/>
    <w:rsid w:val="00A63815"/>
    <w:rsid w:val="00A63A78"/>
    <w:rsid w:val="00A640EF"/>
    <w:rsid w:val="00A6411A"/>
    <w:rsid w:val="00A64923"/>
    <w:rsid w:val="00A64A4F"/>
    <w:rsid w:val="00A64A93"/>
    <w:rsid w:val="00A65066"/>
    <w:rsid w:val="00A65569"/>
    <w:rsid w:val="00A65638"/>
    <w:rsid w:val="00A65830"/>
    <w:rsid w:val="00A658E1"/>
    <w:rsid w:val="00A65954"/>
    <w:rsid w:val="00A65AC3"/>
    <w:rsid w:val="00A65ACB"/>
    <w:rsid w:val="00A65CC1"/>
    <w:rsid w:val="00A65FB0"/>
    <w:rsid w:val="00A66084"/>
    <w:rsid w:val="00A66363"/>
    <w:rsid w:val="00A66490"/>
    <w:rsid w:val="00A666C4"/>
    <w:rsid w:val="00A66BEB"/>
    <w:rsid w:val="00A67020"/>
    <w:rsid w:val="00A673A8"/>
    <w:rsid w:val="00A675E6"/>
    <w:rsid w:val="00A67672"/>
    <w:rsid w:val="00A678A1"/>
    <w:rsid w:val="00A678CE"/>
    <w:rsid w:val="00A6797B"/>
    <w:rsid w:val="00A679A7"/>
    <w:rsid w:val="00A67C6B"/>
    <w:rsid w:val="00A67FD8"/>
    <w:rsid w:val="00A7030D"/>
    <w:rsid w:val="00A7105A"/>
    <w:rsid w:val="00A71400"/>
    <w:rsid w:val="00A714AB"/>
    <w:rsid w:val="00A7190E"/>
    <w:rsid w:val="00A71B46"/>
    <w:rsid w:val="00A71B59"/>
    <w:rsid w:val="00A72174"/>
    <w:rsid w:val="00A7230A"/>
    <w:rsid w:val="00A72957"/>
    <w:rsid w:val="00A729D1"/>
    <w:rsid w:val="00A72B74"/>
    <w:rsid w:val="00A72E2D"/>
    <w:rsid w:val="00A72EDD"/>
    <w:rsid w:val="00A731BF"/>
    <w:rsid w:val="00A73269"/>
    <w:rsid w:val="00A733E5"/>
    <w:rsid w:val="00A73892"/>
    <w:rsid w:val="00A73B2E"/>
    <w:rsid w:val="00A73B7E"/>
    <w:rsid w:val="00A7401D"/>
    <w:rsid w:val="00A7407B"/>
    <w:rsid w:val="00A7408E"/>
    <w:rsid w:val="00A740B9"/>
    <w:rsid w:val="00A74A27"/>
    <w:rsid w:val="00A74AA1"/>
    <w:rsid w:val="00A757F2"/>
    <w:rsid w:val="00A75A9C"/>
    <w:rsid w:val="00A75B29"/>
    <w:rsid w:val="00A76046"/>
    <w:rsid w:val="00A76263"/>
    <w:rsid w:val="00A76DB5"/>
    <w:rsid w:val="00A77001"/>
    <w:rsid w:val="00A77801"/>
    <w:rsid w:val="00A77C7A"/>
    <w:rsid w:val="00A77E21"/>
    <w:rsid w:val="00A807F2"/>
    <w:rsid w:val="00A80A6B"/>
    <w:rsid w:val="00A80D36"/>
    <w:rsid w:val="00A80E92"/>
    <w:rsid w:val="00A81008"/>
    <w:rsid w:val="00A814EE"/>
    <w:rsid w:val="00A81617"/>
    <w:rsid w:val="00A817B6"/>
    <w:rsid w:val="00A81A2C"/>
    <w:rsid w:val="00A81D4D"/>
    <w:rsid w:val="00A81DE1"/>
    <w:rsid w:val="00A81E6D"/>
    <w:rsid w:val="00A81E88"/>
    <w:rsid w:val="00A82364"/>
    <w:rsid w:val="00A8239B"/>
    <w:rsid w:val="00A82517"/>
    <w:rsid w:val="00A825A1"/>
    <w:rsid w:val="00A82EA7"/>
    <w:rsid w:val="00A831E4"/>
    <w:rsid w:val="00A832E5"/>
    <w:rsid w:val="00A83678"/>
    <w:rsid w:val="00A837F7"/>
    <w:rsid w:val="00A8380C"/>
    <w:rsid w:val="00A83D29"/>
    <w:rsid w:val="00A83D2C"/>
    <w:rsid w:val="00A84096"/>
    <w:rsid w:val="00A8423F"/>
    <w:rsid w:val="00A842A0"/>
    <w:rsid w:val="00A84314"/>
    <w:rsid w:val="00A84403"/>
    <w:rsid w:val="00A84477"/>
    <w:rsid w:val="00A84850"/>
    <w:rsid w:val="00A8492D"/>
    <w:rsid w:val="00A849C5"/>
    <w:rsid w:val="00A84A29"/>
    <w:rsid w:val="00A84D3B"/>
    <w:rsid w:val="00A84EEE"/>
    <w:rsid w:val="00A8532D"/>
    <w:rsid w:val="00A85477"/>
    <w:rsid w:val="00A8571D"/>
    <w:rsid w:val="00A859F8"/>
    <w:rsid w:val="00A85C23"/>
    <w:rsid w:val="00A85E23"/>
    <w:rsid w:val="00A85F99"/>
    <w:rsid w:val="00A862F8"/>
    <w:rsid w:val="00A866D0"/>
    <w:rsid w:val="00A86937"/>
    <w:rsid w:val="00A86C0A"/>
    <w:rsid w:val="00A86C69"/>
    <w:rsid w:val="00A86D00"/>
    <w:rsid w:val="00A86F06"/>
    <w:rsid w:val="00A8707F"/>
    <w:rsid w:val="00A87156"/>
    <w:rsid w:val="00A87157"/>
    <w:rsid w:val="00A8761A"/>
    <w:rsid w:val="00A87819"/>
    <w:rsid w:val="00A87877"/>
    <w:rsid w:val="00A90034"/>
    <w:rsid w:val="00A9097D"/>
    <w:rsid w:val="00A90A31"/>
    <w:rsid w:val="00A90B35"/>
    <w:rsid w:val="00A912E1"/>
    <w:rsid w:val="00A91484"/>
    <w:rsid w:val="00A918C1"/>
    <w:rsid w:val="00A91AC7"/>
    <w:rsid w:val="00A9258C"/>
    <w:rsid w:val="00A92B2D"/>
    <w:rsid w:val="00A92D19"/>
    <w:rsid w:val="00A92E97"/>
    <w:rsid w:val="00A93138"/>
    <w:rsid w:val="00A93522"/>
    <w:rsid w:val="00A9366F"/>
    <w:rsid w:val="00A93F13"/>
    <w:rsid w:val="00A93FDD"/>
    <w:rsid w:val="00A94080"/>
    <w:rsid w:val="00A9421E"/>
    <w:rsid w:val="00A94E0E"/>
    <w:rsid w:val="00A94E9F"/>
    <w:rsid w:val="00A94F3C"/>
    <w:rsid w:val="00A950BC"/>
    <w:rsid w:val="00A9538F"/>
    <w:rsid w:val="00A953BF"/>
    <w:rsid w:val="00A95457"/>
    <w:rsid w:val="00A95535"/>
    <w:rsid w:val="00A95679"/>
    <w:rsid w:val="00A95835"/>
    <w:rsid w:val="00A95C36"/>
    <w:rsid w:val="00A95C6E"/>
    <w:rsid w:val="00A95CBB"/>
    <w:rsid w:val="00A95CF3"/>
    <w:rsid w:val="00A96001"/>
    <w:rsid w:val="00A970C5"/>
    <w:rsid w:val="00A972D1"/>
    <w:rsid w:val="00A978BF"/>
    <w:rsid w:val="00A97B33"/>
    <w:rsid w:val="00A97BA9"/>
    <w:rsid w:val="00A97FB6"/>
    <w:rsid w:val="00AA027F"/>
    <w:rsid w:val="00AA048A"/>
    <w:rsid w:val="00AA04A2"/>
    <w:rsid w:val="00AA0751"/>
    <w:rsid w:val="00AA087A"/>
    <w:rsid w:val="00AA09A2"/>
    <w:rsid w:val="00AA09AD"/>
    <w:rsid w:val="00AA09B7"/>
    <w:rsid w:val="00AA1294"/>
    <w:rsid w:val="00AA1D44"/>
    <w:rsid w:val="00AA1D67"/>
    <w:rsid w:val="00AA26F7"/>
    <w:rsid w:val="00AA299D"/>
    <w:rsid w:val="00AA2DB1"/>
    <w:rsid w:val="00AA2DB7"/>
    <w:rsid w:val="00AA32A7"/>
    <w:rsid w:val="00AA3666"/>
    <w:rsid w:val="00AA380B"/>
    <w:rsid w:val="00AA3CC3"/>
    <w:rsid w:val="00AA3DE2"/>
    <w:rsid w:val="00AA3DF8"/>
    <w:rsid w:val="00AA3F11"/>
    <w:rsid w:val="00AA42C4"/>
    <w:rsid w:val="00AA4463"/>
    <w:rsid w:val="00AA477C"/>
    <w:rsid w:val="00AA4D9D"/>
    <w:rsid w:val="00AA50BE"/>
    <w:rsid w:val="00AA54F6"/>
    <w:rsid w:val="00AA556F"/>
    <w:rsid w:val="00AA56D0"/>
    <w:rsid w:val="00AA5754"/>
    <w:rsid w:val="00AA61E8"/>
    <w:rsid w:val="00AA64DD"/>
    <w:rsid w:val="00AA652D"/>
    <w:rsid w:val="00AA695B"/>
    <w:rsid w:val="00AA7736"/>
    <w:rsid w:val="00AA78EE"/>
    <w:rsid w:val="00AA7937"/>
    <w:rsid w:val="00AA7DEB"/>
    <w:rsid w:val="00AA7F6F"/>
    <w:rsid w:val="00AA7FE0"/>
    <w:rsid w:val="00AB00C5"/>
    <w:rsid w:val="00AB0116"/>
    <w:rsid w:val="00AB0199"/>
    <w:rsid w:val="00AB0351"/>
    <w:rsid w:val="00AB0512"/>
    <w:rsid w:val="00AB0C45"/>
    <w:rsid w:val="00AB0E74"/>
    <w:rsid w:val="00AB1082"/>
    <w:rsid w:val="00AB1190"/>
    <w:rsid w:val="00AB1501"/>
    <w:rsid w:val="00AB15C9"/>
    <w:rsid w:val="00AB184F"/>
    <w:rsid w:val="00AB190A"/>
    <w:rsid w:val="00AB1C07"/>
    <w:rsid w:val="00AB1D5F"/>
    <w:rsid w:val="00AB1DE7"/>
    <w:rsid w:val="00AB21D6"/>
    <w:rsid w:val="00AB259A"/>
    <w:rsid w:val="00AB2716"/>
    <w:rsid w:val="00AB2F76"/>
    <w:rsid w:val="00AB3046"/>
    <w:rsid w:val="00AB314E"/>
    <w:rsid w:val="00AB36A9"/>
    <w:rsid w:val="00AB3B18"/>
    <w:rsid w:val="00AB3D65"/>
    <w:rsid w:val="00AB3EDA"/>
    <w:rsid w:val="00AB43F6"/>
    <w:rsid w:val="00AB446E"/>
    <w:rsid w:val="00AB48B7"/>
    <w:rsid w:val="00AB52F0"/>
    <w:rsid w:val="00AB547F"/>
    <w:rsid w:val="00AB5770"/>
    <w:rsid w:val="00AB595C"/>
    <w:rsid w:val="00AB5BFB"/>
    <w:rsid w:val="00AB5CE7"/>
    <w:rsid w:val="00AB60D9"/>
    <w:rsid w:val="00AB61E4"/>
    <w:rsid w:val="00AB624E"/>
    <w:rsid w:val="00AB62FD"/>
    <w:rsid w:val="00AB6544"/>
    <w:rsid w:val="00AB667A"/>
    <w:rsid w:val="00AB66AE"/>
    <w:rsid w:val="00AB66BF"/>
    <w:rsid w:val="00AB6874"/>
    <w:rsid w:val="00AB6EEE"/>
    <w:rsid w:val="00AB7183"/>
    <w:rsid w:val="00AB75C6"/>
    <w:rsid w:val="00AB76A6"/>
    <w:rsid w:val="00AB770E"/>
    <w:rsid w:val="00AB7D09"/>
    <w:rsid w:val="00AB7E0F"/>
    <w:rsid w:val="00AC00C7"/>
    <w:rsid w:val="00AC0121"/>
    <w:rsid w:val="00AC0177"/>
    <w:rsid w:val="00AC02FB"/>
    <w:rsid w:val="00AC09AA"/>
    <w:rsid w:val="00AC0D64"/>
    <w:rsid w:val="00AC0E16"/>
    <w:rsid w:val="00AC1166"/>
    <w:rsid w:val="00AC1248"/>
    <w:rsid w:val="00AC19CB"/>
    <w:rsid w:val="00AC1C1E"/>
    <w:rsid w:val="00AC21C1"/>
    <w:rsid w:val="00AC2928"/>
    <w:rsid w:val="00AC2AC5"/>
    <w:rsid w:val="00AC2E7F"/>
    <w:rsid w:val="00AC3102"/>
    <w:rsid w:val="00AC3617"/>
    <w:rsid w:val="00AC3C4D"/>
    <w:rsid w:val="00AC3E50"/>
    <w:rsid w:val="00AC3E53"/>
    <w:rsid w:val="00AC4030"/>
    <w:rsid w:val="00AC4285"/>
    <w:rsid w:val="00AC42C7"/>
    <w:rsid w:val="00AC4BEC"/>
    <w:rsid w:val="00AC534C"/>
    <w:rsid w:val="00AC5504"/>
    <w:rsid w:val="00AC5976"/>
    <w:rsid w:val="00AC5AD5"/>
    <w:rsid w:val="00AC5ADF"/>
    <w:rsid w:val="00AC5B1D"/>
    <w:rsid w:val="00AC5B89"/>
    <w:rsid w:val="00AC5F68"/>
    <w:rsid w:val="00AC6687"/>
    <w:rsid w:val="00AC678E"/>
    <w:rsid w:val="00AC6C7A"/>
    <w:rsid w:val="00AC6D1C"/>
    <w:rsid w:val="00AC6DFA"/>
    <w:rsid w:val="00AC7163"/>
    <w:rsid w:val="00AC72A3"/>
    <w:rsid w:val="00AC74B7"/>
    <w:rsid w:val="00AC750B"/>
    <w:rsid w:val="00AC766D"/>
    <w:rsid w:val="00AC7CE6"/>
    <w:rsid w:val="00AC7E43"/>
    <w:rsid w:val="00AC7FB7"/>
    <w:rsid w:val="00AD040E"/>
    <w:rsid w:val="00AD0B73"/>
    <w:rsid w:val="00AD10FD"/>
    <w:rsid w:val="00AD1142"/>
    <w:rsid w:val="00AD1157"/>
    <w:rsid w:val="00AD198B"/>
    <w:rsid w:val="00AD1AC2"/>
    <w:rsid w:val="00AD1B9D"/>
    <w:rsid w:val="00AD1C92"/>
    <w:rsid w:val="00AD1D81"/>
    <w:rsid w:val="00AD1DB5"/>
    <w:rsid w:val="00AD1F92"/>
    <w:rsid w:val="00AD20C3"/>
    <w:rsid w:val="00AD2893"/>
    <w:rsid w:val="00AD2972"/>
    <w:rsid w:val="00AD2C61"/>
    <w:rsid w:val="00AD2CA9"/>
    <w:rsid w:val="00AD2DA0"/>
    <w:rsid w:val="00AD2F8F"/>
    <w:rsid w:val="00AD3083"/>
    <w:rsid w:val="00AD31E9"/>
    <w:rsid w:val="00AD32A1"/>
    <w:rsid w:val="00AD3494"/>
    <w:rsid w:val="00AD34CF"/>
    <w:rsid w:val="00AD3691"/>
    <w:rsid w:val="00AD3B36"/>
    <w:rsid w:val="00AD3BFB"/>
    <w:rsid w:val="00AD4156"/>
    <w:rsid w:val="00AD446C"/>
    <w:rsid w:val="00AD44F8"/>
    <w:rsid w:val="00AD452F"/>
    <w:rsid w:val="00AD4659"/>
    <w:rsid w:val="00AD47D8"/>
    <w:rsid w:val="00AD4990"/>
    <w:rsid w:val="00AD4AAE"/>
    <w:rsid w:val="00AD534E"/>
    <w:rsid w:val="00AD5703"/>
    <w:rsid w:val="00AD573B"/>
    <w:rsid w:val="00AD5D4D"/>
    <w:rsid w:val="00AD5D94"/>
    <w:rsid w:val="00AD6380"/>
    <w:rsid w:val="00AD6856"/>
    <w:rsid w:val="00AD68E8"/>
    <w:rsid w:val="00AD6A7C"/>
    <w:rsid w:val="00AD6F41"/>
    <w:rsid w:val="00AD7098"/>
    <w:rsid w:val="00AD7BB2"/>
    <w:rsid w:val="00AD7D00"/>
    <w:rsid w:val="00AD7F25"/>
    <w:rsid w:val="00AD7F4B"/>
    <w:rsid w:val="00AD7FD7"/>
    <w:rsid w:val="00AE02FB"/>
    <w:rsid w:val="00AE05ED"/>
    <w:rsid w:val="00AE063F"/>
    <w:rsid w:val="00AE08F0"/>
    <w:rsid w:val="00AE0CEB"/>
    <w:rsid w:val="00AE0EE6"/>
    <w:rsid w:val="00AE103A"/>
    <w:rsid w:val="00AE1585"/>
    <w:rsid w:val="00AE16D7"/>
    <w:rsid w:val="00AE16DB"/>
    <w:rsid w:val="00AE1770"/>
    <w:rsid w:val="00AE185A"/>
    <w:rsid w:val="00AE1C57"/>
    <w:rsid w:val="00AE1EC0"/>
    <w:rsid w:val="00AE20CB"/>
    <w:rsid w:val="00AE2101"/>
    <w:rsid w:val="00AE2548"/>
    <w:rsid w:val="00AE2C5D"/>
    <w:rsid w:val="00AE2D52"/>
    <w:rsid w:val="00AE3479"/>
    <w:rsid w:val="00AE3A24"/>
    <w:rsid w:val="00AE3C08"/>
    <w:rsid w:val="00AE46DB"/>
    <w:rsid w:val="00AE472C"/>
    <w:rsid w:val="00AE48BB"/>
    <w:rsid w:val="00AE4924"/>
    <w:rsid w:val="00AE4D51"/>
    <w:rsid w:val="00AE4FC5"/>
    <w:rsid w:val="00AE5024"/>
    <w:rsid w:val="00AE5488"/>
    <w:rsid w:val="00AE5492"/>
    <w:rsid w:val="00AE54EB"/>
    <w:rsid w:val="00AE5CC4"/>
    <w:rsid w:val="00AE5FFD"/>
    <w:rsid w:val="00AE60F2"/>
    <w:rsid w:val="00AE6775"/>
    <w:rsid w:val="00AE68F1"/>
    <w:rsid w:val="00AE6AC2"/>
    <w:rsid w:val="00AE6B83"/>
    <w:rsid w:val="00AE6BC9"/>
    <w:rsid w:val="00AE6C70"/>
    <w:rsid w:val="00AE6DE4"/>
    <w:rsid w:val="00AE6F59"/>
    <w:rsid w:val="00AE6F91"/>
    <w:rsid w:val="00AE702A"/>
    <w:rsid w:val="00AE73B1"/>
    <w:rsid w:val="00AE74FE"/>
    <w:rsid w:val="00AE7715"/>
    <w:rsid w:val="00AE77C4"/>
    <w:rsid w:val="00AF03CA"/>
    <w:rsid w:val="00AF05C1"/>
    <w:rsid w:val="00AF076C"/>
    <w:rsid w:val="00AF07D9"/>
    <w:rsid w:val="00AF0937"/>
    <w:rsid w:val="00AF0B04"/>
    <w:rsid w:val="00AF0DA1"/>
    <w:rsid w:val="00AF0FB9"/>
    <w:rsid w:val="00AF1020"/>
    <w:rsid w:val="00AF122B"/>
    <w:rsid w:val="00AF127A"/>
    <w:rsid w:val="00AF16CB"/>
    <w:rsid w:val="00AF17B0"/>
    <w:rsid w:val="00AF1CC1"/>
    <w:rsid w:val="00AF1EC1"/>
    <w:rsid w:val="00AF2050"/>
    <w:rsid w:val="00AF2089"/>
    <w:rsid w:val="00AF240F"/>
    <w:rsid w:val="00AF284A"/>
    <w:rsid w:val="00AF298E"/>
    <w:rsid w:val="00AF2D6E"/>
    <w:rsid w:val="00AF3064"/>
    <w:rsid w:val="00AF3883"/>
    <w:rsid w:val="00AF3A3D"/>
    <w:rsid w:val="00AF3E3C"/>
    <w:rsid w:val="00AF423D"/>
    <w:rsid w:val="00AF425D"/>
    <w:rsid w:val="00AF4278"/>
    <w:rsid w:val="00AF44C3"/>
    <w:rsid w:val="00AF4BB3"/>
    <w:rsid w:val="00AF4BC2"/>
    <w:rsid w:val="00AF4C2C"/>
    <w:rsid w:val="00AF4D3A"/>
    <w:rsid w:val="00AF4EE5"/>
    <w:rsid w:val="00AF52A5"/>
    <w:rsid w:val="00AF53C6"/>
    <w:rsid w:val="00AF5571"/>
    <w:rsid w:val="00AF596C"/>
    <w:rsid w:val="00AF5AA9"/>
    <w:rsid w:val="00AF5C3D"/>
    <w:rsid w:val="00AF5E4C"/>
    <w:rsid w:val="00AF5E7A"/>
    <w:rsid w:val="00AF5F6D"/>
    <w:rsid w:val="00AF6094"/>
    <w:rsid w:val="00AF60E0"/>
    <w:rsid w:val="00AF66D2"/>
    <w:rsid w:val="00AF691C"/>
    <w:rsid w:val="00AF6A32"/>
    <w:rsid w:val="00AF6AFF"/>
    <w:rsid w:val="00AF6CA1"/>
    <w:rsid w:val="00AF6D56"/>
    <w:rsid w:val="00AF734D"/>
    <w:rsid w:val="00AF7544"/>
    <w:rsid w:val="00AF7667"/>
    <w:rsid w:val="00AF76FB"/>
    <w:rsid w:val="00AF77AE"/>
    <w:rsid w:val="00AF7B8C"/>
    <w:rsid w:val="00AF7F89"/>
    <w:rsid w:val="00B00247"/>
    <w:rsid w:val="00B006FC"/>
    <w:rsid w:val="00B00B50"/>
    <w:rsid w:val="00B00C9F"/>
    <w:rsid w:val="00B00FAB"/>
    <w:rsid w:val="00B011EA"/>
    <w:rsid w:val="00B011F2"/>
    <w:rsid w:val="00B01497"/>
    <w:rsid w:val="00B0159E"/>
    <w:rsid w:val="00B0192B"/>
    <w:rsid w:val="00B01CCE"/>
    <w:rsid w:val="00B025E2"/>
    <w:rsid w:val="00B02C4E"/>
    <w:rsid w:val="00B02FBE"/>
    <w:rsid w:val="00B0318B"/>
    <w:rsid w:val="00B0341D"/>
    <w:rsid w:val="00B03882"/>
    <w:rsid w:val="00B03A26"/>
    <w:rsid w:val="00B03B60"/>
    <w:rsid w:val="00B041D8"/>
    <w:rsid w:val="00B04775"/>
    <w:rsid w:val="00B04817"/>
    <w:rsid w:val="00B04897"/>
    <w:rsid w:val="00B04ACE"/>
    <w:rsid w:val="00B04B7D"/>
    <w:rsid w:val="00B054EC"/>
    <w:rsid w:val="00B058ED"/>
    <w:rsid w:val="00B05B37"/>
    <w:rsid w:val="00B05DFC"/>
    <w:rsid w:val="00B0644A"/>
    <w:rsid w:val="00B0675F"/>
    <w:rsid w:val="00B06987"/>
    <w:rsid w:val="00B06C1C"/>
    <w:rsid w:val="00B06CFC"/>
    <w:rsid w:val="00B06E1C"/>
    <w:rsid w:val="00B06FE4"/>
    <w:rsid w:val="00B07000"/>
    <w:rsid w:val="00B077CE"/>
    <w:rsid w:val="00B07E78"/>
    <w:rsid w:val="00B07EBA"/>
    <w:rsid w:val="00B102E9"/>
    <w:rsid w:val="00B10684"/>
    <w:rsid w:val="00B10D93"/>
    <w:rsid w:val="00B10F4E"/>
    <w:rsid w:val="00B11004"/>
    <w:rsid w:val="00B11B2D"/>
    <w:rsid w:val="00B11BE3"/>
    <w:rsid w:val="00B11CC4"/>
    <w:rsid w:val="00B11DCE"/>
    <w:rsid w:val="00B121A7"/>
    <w:rsid w:val="00B12238"/>
    <w:rsid w:val="00B12280"/>
    <w:rsid w:val="00B12686"/>
    <w:rsid w:val="00B12FA9"/>
    <w:rsid w:val="00B1305F"/>
    <w:rsid w:val="00B13110"/>
    <w:rsid w:val="00B1311E"/>
    <w:rsid w:val="00B131AB"/>
    <w:rsid w:val="00B131FD"/>
    <w:rsid w:val="00B1357B"/>
    <w:rsid w:val="00B13ADD"/>
    <w:rsid w:val="00B13B13"/>
    <w:rsid w:val="00B13B48"/>
    <w:rsid w:val="00B13C95"/>
    <w:rsid w:val="00B13D6E"/>
    <w:rsid w:val="00B13DA0"/>
    <w:rsid w:val="00B13DE9"/>
    <w:rsid w:val="00B1414A"/>
    <w:rsid w:val="00B14334"/>
    <w:rsid w:val="00B14767"/>
    <w:rsid w:val="00B14E0A"/>
    <w:rsid w:val="00B14F30"/>
    <w:rsid w:val="00B14F7A"/>
    <w:rsid w:val="00B15121"/>
    <w:rsid w:val="00B1584B"/>
    <w:rsid w:val="00B15CE2"/>
    <w:rsid w:val="00B15D1A"/>
    <w:rsid w:val="00B160E9"/>
    <w:rsid w:val="00B164CA"/>
    <w:rsid w:val="00B1664E"/>
    <w:rsid w:val="00B16895"/>
    <w:rsid w:val="00B16901"/>
    <w:rsid w:val="00B16A2E"/>
    <w:rsid w:val="00B16EB9"/>
    <w:rsid w:val="00B1736D"/>
    <w:rsid w:val="00B17715"/>
    <w:rsid w:val="00B1773A"/>
    <w:rsid w:val="00B177BC"/>
    <w:rsid w:val="00B17DBA"/>
    <w:rsid w:val="00B17E13"/>
    <w:rsid w:val="00B17F4A"/>
    <w:rsid w:val="00B20071"/>
    <w:rsid w:val="00B203D2"/>
    <w:rsid w:val="00B203F2"/>
    <w:rsid w:val="00B20412"/>
    <w:rsid w:val="00B20723"/>
    <w:rsid w:val="00B2115C"/>
    <w:rsid w:val="00B21357"/>
    <w:rsid w:val="00B21524"/>
    <w:rsid w:val="00B218CB"/>
    <w:rsid w:val="00B21948"/>
    <w:rsid w:val="00B21BE2"/>
    <w:rsid w:val="00B221F3"/>
    <w:rsid w:val="00B224D4"/>
    <w:rsid w:val="00B233D9"/>
    <w:rsid w:val="00B23860"/>
    <w:rsid w:val="00B23A5B"/>
    <w:rsid w:val="00B23BBF"/>
    <w:rsid w:val="00B2426C"/>
    <w:rsid w:val="00B247B7"/>
    <w:rsid w:val="00B24991"/>
    <w:rsid w:val="00B24A9D"/>
    <w:rsid w:val="00B24BC8"/>
    <w:rsid w:val="00B24F59"/>
    <w:rsid w:val="00B25283"/>
    <w:rsid w:val="00B256B0"/>
    <w:rsid w:val="00B2572A"/>
    <w:rsid w:val="00B25CDF"/>
    <w:rsid w:val="00B25D3C"/>
    <w:rsid w:val="00B25D62"/>
    <w:rsid w:val="00B26250"/>
    <w:rsid w:val="00B262A4"/>
    <w:rsid w:val="00B26458"/>
    <w:rsid w:val="00B264BC"/>
    <w:rsid w:val="00B2650C"/>
    <w:rsid w:val="00B26584"/>
    <w:rsid w:val="00B266B7"/>
    <w:rsid w:val="00B266DC"/>
    <w:rsid w:val="00B2694A"/>
    <w:rsid w:val="00B26AAC"/>
    <w:rsid w:val="00B26B12"/>
    <w:rsid w:val="00B26C14"/>
    <w:rsid w:val="00B26D76"/>
    <w:rsid w:val="00B26F07"/>
    <w:rsid w:val="00B26FB4"/>
    <w:rsid w:val="00B2753D"/>
    <w:rsid w:val="00B27827"/>
    <w:rsid w:val="00B27BCD"/>
    <w:rsid w:val="00B27D61"/>
    <w:rsid w:val="00B302A6"/>
    <w:rsid w:val="00B302C7"/>
    <w:rsid w:val="00B304B7"/>
    <w:rsid w:val="00B30539"/>
    <w:rsid w:val="00B30977"/>
    <w:rsid w:val="00B30CFD"/>
    <w:rsid w:val="00B3141A"/>
    <w:rsid w:val="00B314DB"/>
    <w:rsid w:val="00B316B5"/>
    <w:rsid w:val="00B316B6"/>
    <w:rsid w:val="00B318E3"/>
    <w:rsid w:val="00B31924"/>
    <w:rsid w:val="00B319EC"/>
    <w:rsid w:val="00B3207A"/>
    <w:rsid w:val="00B3231C"/>
    <w:rsid w:val="00B32E38"/>
    <w:rsid w:val="00B32F4A"/>
    <w:rsid w:val="00B33091"/>
    <w:rsid w:val="00B33488"/>
    <w:rsid w:val="00B33A27"/>
    <w:rsid w:val="00B33E12"/>
    <w:rsid w:val="00B34258"/>
    <w:rsid w:val="00B34437"/>
    <w:rsid w:val="00B34535"/>
    <w:rsid w:val="00B34991"/>
    <w:rsid w:val="00B349D1"/>
    <w:rsid w:val="00B34ACE"/>
    <w:rsid w:val="00B34D31"/>
    <w:rsid w:val="00B34D89"/>
    <w:rsid w:val="00B34DF4"/>
    <w:rsid w:val="00B35113"/>
    <w:rsid w:val="00B35161"/>
    <w:rsid w:val="00B356B0"/>
    <w:rsid w:val="00B361D6"/>
    <w:rsid w:val="00B36240"/>
    <w:rsid w:val="00B36D53"/>
    <w:rsid w:val="00B3701B"/>
    <w:rsid w:val="00B3718B"/>
    <w:rsid w:val="00B37446"/>
    <w:rsid w:val="00B379F2"/>
    <w:rsid w:val="00B40069"/>
    <w:rsid w:val="00B4041B"/>
    <w:rsid w:val="00B4060E"/>
    <w:rsid w:val="00B40ADC"/>
    <w:rsid w:val="00B40F8F"/>
    <w:rsid w:val="00B40FB2"/>
    <w:rsid w:val="00B40FC2"/>
    <w:rsid w:val="00B41174"/>
    <w:rsid w:val="00B412CE"/>
    <w:rsid w:val="00B4164E"/>
    <w:rsid w:val="00B4171E"/>
    <w:rsid w:val="00B417D2"/>
    <w:rsid w:val="00B4182B"/>
    <w:rsid w:val="00B41B3B"/>
    <w:rsid w:val="00B41C05"/>
    <w:rsid w:val="00B41E18"/>
    <w:rsid w:val="00B4264B"/>
    <w:rsid w:val="00B42AD2"/>
    <w:rsid w:val="00B42BA3"/>
    <w:rsid w:val="00B42BDB"/>
    <w:rsid w:val="00B42C1A"/>
    <w:rsid w:val="00B4321D"/>
    <w:rsid w:val="00B434AA"/>
    <w:rsid w:val="00B43507"/>
    <w:rsid w:val="00B43AE5"/>
    <w:rsid w:val="00B43BEA"/>
    <w:rsid w:val="00B43BF1"/>
    <w:rsid w:val="00B43CAB"/>
    <w:rsid w:val="00B43CB8"/>
    <w:rsid w:val="00B43E21"/>
    <w:rsid w:val="00B43FC8"/>
    <w:rsid w:val="00B442C7"/>
    <w:rsid w:val="00B44752"/>
    <w:rsid w:val="00B44C7C"/>
    <w:rsid w:val="00B44CDD"/>
    <w:rsid w:val="00B44DD3"/>
    <w:rsid w:val="00B45219"/>
    <w:rsid w:val="00B45621"/>
    <w:rsid w:val="00B456B1"/>
    <w:rsid w:val="00B45759"/>
    <w:rsid w:val="00B458A8"/>
    <w:rsid w:val="00B45DF4"/>
    <w:rsid w:val="00B46228"/>
    <w:rsid w:val="00B4632A"/>
    <w:rsid w:val="00B46398"/>
    <w:rsid w:val="00B466AF"/>
    <w:rsid w:val="00B4690A"/>
    <w:rsid w:val="00B46A0F"/>
    <w:rsid w:val="00B46A8B"/>
    <w:rsid w:val="00B46F78"/>
    <w:rsid w:val="00B47055"/>
    <w:rsid w:val="00B470F9"/>
    <w:rsid w:val="00B47278"/>
    <w:rsid w:val="00B473D0"/>
    <w:rsid w:val="00B47486"/>
    <w:rsid w:val="00B476CE"/>
    <w:rsid w:val="00B50994"/>
    <w:rsid w:val="00B50B43"/>
    <w:rsid w:val="00B50D3F"/>
    <w:rsid w:val="00B50E30"/>
    <w:rsid w:val="00B50E37"/>
    <w:rsid w:val="00B50EBB"/>
    <w:rsid w:val="00B51482"/>
    <w:rsid w:val="00B51D11"/>
    <w:rsid w:val="00B51F3F"/>
    <w:rsid w:val="00B520E4"/>
    <w:rsid w:val="00B523B9"/>
    <w:rsid w:val="00B52511"/>
    <w:rsid w:val="00B528E6"/>
    <w:rsid w:val="00B529BF"/>
    <w:rsid w:val="00B529EF"/>
    <w:rsid w:val="00B530F1"/>
    <w:rsid w:val="00B5326D"/>
    <w:rsid w:val="00B5354B"/>
    <w:rsid w:val="00B53AD5"/>
    <w:rsid w:val="00B545D7"/>
    <w:rsid w:val="00B54749"/>
    <w:rsid w:val="00B547BC"/>
    <w:rsid w:val="00B54A0E"/>
    <w:rsid w:val="00B54C2A"/>
    <w:rsid w:val="00B54F1B"/>
    <w:rsid w:val="00B554CE"/>
    <w:rsid w:val="00B5550F"/>
    <w:rsid w:val="00B55599"/>
    <w:rsid w:val="00B55CE1"/>
    <w:rsid w:val="00B55FF8"/>
    <w:rsid w:val="00B561AD"/>
    <w:rsid w:val="00B56419"/>
    <w:rsid w:val="00B5652C"/>
    <w:rsid w:val="00B56AC1"/>
    <w:rsid w:val="00B56B37"/>
    <w:rsid w:val="00B56CBE"/>
    <w:rsid w:val="00B56FE9"/>
    <w:rsid w:val="00B570E7"/>
    <w:rsid w:val="00B57970"/>
    <w:rsid w:val="00B57AF8"/>
    <w:rsid w:val="00B57E19"/>
    <w:rsid w:val="00B57F96"/>
    <w:rsid w:val="00B600EF"/>
    <w:rsid w:val="00B600F0"/>
    <w:rsid w:val="00B600F4"/>
    <w:rsid w:val="00B6024D"/>
    <w:rsid w:val="00B605E4"/>
    <w:rsid w:val="00B60964"/>
    <w:rsid w:val="00B6099A"/>
    <w:rsid w:val="00B60A1E"/>
    <w:rsid w:val="00B60B60"/>
    <w:rsid w:val="00B60C61"/>
    <w:rsid w:val="00B6113A"/>
    <w:rsid w:val="00B612E1"/>
    <w:rsid w:val="00B61680"/>
    <w:rsid w:val="00B6191C"/>
    <w:rsid w:val="00B61A09"/>
    <w:rsid w:val="00B61E91"/>
    <w:rsid w:val="00B61F6A"/>
    <w:rsid w:val="00B621A1"/>
    <w:rsid w:val="00B62DB9"/>
    <w:rsid w:val="00B630CF"/>
    <w:rsid w:val="00B63484"/>
    <w:rsid w:val="00B636B5"/>
    <w:rsid w:val="00B63838"/>
    <w:rsid w:val="00B63922"/>
    <w:rsid w:val="00B63DDB"/>
    <w:rsid w:val="00B642DE"/>
    <w:rsid w:val="00B64393"/>
    <w:rsid w:val="00B646C3"/>
    <w:rsid w:val="00B64A9C"/>
    <w:rsid w:val="00B64AE2"/>
    <w:rsid w:val="00B64B86"/>
    <w:rsid w:val="00B65585"/>
    <w:rsid w:val="00B65B17"/>
    <w:rsid w:val="00B65B7D"/>
    <w:rsid w:val="00B65FAC"/>
    <w:rsid w:val="00B6650F"/>
    <w:rsid w:val="00B6674E"/>
    <w:rsid w:val="00B66DDF"/>
    <w:rsid w:val="00B66F20"/>
    <w:rsid w:val="00B6720D"/>
    <w:rsid w:val="00B674E6"/>
    <w:rsid w:val="00B67A69"/>
    <w:rsid w:val="00B67B13"/>
    <w:rsid w:val="00B67DA3"/>
    <w:rsid w:val="00B706EF"/>
    <w:rsid w:val="00B707CB"/>
    <w:rsid w:val="00B70B44"/>
    <w:rsid w:val="00B70E8D"/>
    <w:rsid w:val="00B711E2"/>
    <w:rsid w:val="00B71885"/>
    <w:rsid w:val="00B71BBE"/>
    <w:rsid w:val="00B7222E"/>
    <w:rsid w:val="00B72332"/>
    <w:rsid w:val="00B72338"/>
    <w:rsid w:val="00B723ED"/>
    <w:rsid w:val="00B727DB"/>
    <w:rsid w:val="00B7294B"/>
    <w:rsid w:val="00B7294E"/>
    <w:rsid w:val="00B72977"/>
    <w:rsid w:val="00B72B38"/>
    <w:rsid w:val="00B72C4A"/>
    <w:rsid w:val="00B73061"/>
    <w:rsid w:val="00B732CC"/>
    <w:rsid w:val="00B73798"/>
    <w:rsid w:val="00B737A1"/>
    <w:rsid w:val="00B737FD"/>
    <w:rsid w:val="00B7397F"/>
    <w:rsid w:val="00B74317"/>
    <w:rsid w:val="00B74930"/>
    <w:rsid w:val="00B749FA"/>
    <w:rsid w:val="00B74B77"/>
    <w:rsid w:val="00B74CF0"/>
    <w:rsid w:val="00B74DF9"/>
    <w:rsid w:val="00B7583A"/>
    <w:rsid w:val="00B75857"/>
    <w:rsid w:val="00B75A71"/>
    <w:rsid w:val="00B760E4"/>
    <w:rsid w:val="00B76577"/>
    <w:rsid w:val="00B765BB"/>
    <w:rsid w:val="00B7669A"/>
    <w:rsid w:val="00B76A78"/>
    <w:rsid w:val="00B76F8A"/>
    <w:rsid w:val="00B771FA"/>
    <w:rsid w:val="00B772CB"/>
    <w:rsid w:val="00B77911"/>
    <w:rsid w:val="00B77987"/>
    <w:rsid w:val="00B77CA4"/>
    <w:rsid w:val="00B77FA9"/>
    <w:rsid w:val="00B80262"/>
    <w:rsid w:val="00B803AC"/>
    <w:rsid w:val="00B803BE"/>
    <w:rsid w:val="00B8064A"/>
    <w:rsid w:val="00B80B1E"/>
    <w:rsid w:val="00B80B3F"/>
    <w:rsid w:val="00B80BBB"/>
    <w:rsid w:val="00B81169"/>
    <w:rsid w:val="00B81288"/>
    <w:rsid w:val="00B812D3"/>
    <w:rsid w:val="00B8136C"/>
    <w:rsid w:val="00B814A0"/>
    <w:rsid w:val="00B8166D"/>
    <w:rsid w:val="00B81742"/>
    <w:rsid w:val="00B819AD"/>
    <w:rsid w:val="00B81C16"/>
    <w:rsid w:val="00B81C52"/>
    <w:rsid w:val="00B81EAB"/>
    <w:rsid w:val="00B8268E"/>
    <w:rsid w:val="00B82744"/>
    <w:rsid w:val="00B82D41"/>
    <w:rsid w:val="00B82F7D"/>
    <w:rsid w:val="00B83140"/>
    <w:rsid w:val="00B832D3"/>
    <w:rsid w:val="00B8368E"/>
    <w:rsid w:val="00B83B21"/>
    <w:rsid w:val="00B83B56"/>
    <w:rsid w:val="00B83C7C"/>
    <w:rsid w:val="00B83CAA"/>
    <w:rsid w:val="00B83ED3"/>
    <w:rsid w:val="00B8460A"/>
    <w:rsid w:val="00B84923"/>
    <w:rsid w:val="00B84D32"/>
    <w:rsid w:val="00B84D3D"/>
    <w:rsid w:val="00B84DDA"/>
    <w:rsid w:val="00B84FF0"/>
    <w:rsid w:val="00B851B0"/>
    <w:rsid w:val="00B851ED"/>
    <w:rsid w:val="00B85958"/>
    <w:rsid w:val="00B85A22"/>
    <w:rsid w:val="00B85B17"/>
    <w:rsid w:val="00B85B42"/>
    <w:rsid w:val="00B85D0F"/>
    <w:rsid w:val="00B8600E"/>
    <w:rsid w:val="00B86A0C"/>
    <w:rsid w:val="00B86BAA"/>
    <w:rsid w:val="00B86D74"/>
    <w:rsid w:val="00B86DBC"/>
    <w:rsid w:val="00B87185"/>
    <w:rsid w:val="00B87576"/>
    <w:rsid w:val="00B87ADF"/>
    <w:rsid w:val="00B87DB6"/>
    <w:rsid w:val="00B90151"/>
    <w:rsid w:val="00B903F9"/>
    <w:rsid w:val="00B9049A"/>
    <w:rsid w:val="00B906F3"/>
    <w:rsid w:val="00B90768"/>
    <w:rsid w:val="00B90CB4"/>
    <w:rsid w:val="00B90D86"/>
    <w:rsid w:val="00B90E72"/>
    <w:rsid w:val="00B90E79"/>
    <w:rsid w:val="00B90EC1"/>
    <w:rsid w:val="00B91111"/>
    <w:rsid w:val="00B91154"/>
    <w:rsid w:val="00B9126E"/>
    <w:rsid w:val="00B91369"/>
    <w:rsid w:val="00B917C7"/>
    <w:rsid w:val="00B91B61"/>
    <w:rsid w:val="00B91B6E"/>
    <w:rsid w:val="00B91CAC"/>
    <w:rsid w:val="00B91D22"/>
    <w:rsid w:val="00B91D9A"/>
    <w:rsid w:val="00B92358"/>
    <w:rsid w:val="00B926B3"/>
    <w:rsid w:val="00B9294F"/>
    <w:rsid w:val="00B92B20"/>
    <w:rsid w:val="00B92C9B"/>
    <w:rsid w:val="00B92D5A"/>
    <w:rsid w:val="00B930D1"/>
    <w:rsid w:val="00B93439"/>
    <w:rsid w:val="00B93474"/>
    <w:rsid w:val="00B9354E"/>
    <w:rsid w:val="00B93BA5"/>
    <w:rsid w:val="00B93F68"/>
    <w:rsid w:val="00B93FE4"/>
    <w:rsid w:val="00B9432B"/>
    <w:rsid w:val="00B944B2"/>
    <w:rsid w:val="00B944FB"/>
    <w:rsid w:val="00B94589"/>
    <w:rsid w:val="00B94790"/>
    <w:rsid w:val="00B948CD"/>
    <w:rsid w:val="00B94B27"/>
    <w:rsid w:val="00B94C3F"/>
    <w:rsid w:val="00B94EAB"/>
    <w:rsid w:val="00B955AE"/>
    <w:rsid w:val="00B95C9D"/>
    <w:rsid w:val="00B95CD3"/>
    <w:rsid w:val="00B95DE5"/>
    <w:rsid w:val="00B95E11"/>
    <w:rsid w:val="00B95EE0"/>
    <w:rsid w:val="00B95F34"/>
    <w:rsid w:val="00B961C3"/>
    <w:rsid w:val="00B96300"/>
    <w:rsid w:val="00B9665E"/>
    <w:rsid w:val="00B966CC"/>
    <w:rsid w:val="00B97217"/>
    <w:rsid w:val="00B97310"/>
    <w:rsid w:val="00B977C7"/>
    <w:rsid w:val="00B97C86"/>
    <w:rsid w:val="00BA04E9"/>
    <w:rsid w:val="00BA0A5E"/>
    <w:rsid w:val="00BA10F2"/>
    <w:rsid w:val="00BA11E1"/>
    <w:rsid w:val="00BA1A67"/>
    <w:rsid w:val="00BA1C9C"/>
    <w:rsid w:val="00BA1D6D"/>
    <w:rsid w:val="00BA1D94"/>
    <w:rsid w:val="00BA234D"/>
    <w:rsid w:val="00BA23FD"/>
    <w:rsid w:val="00BA2600"/>
    <w:rsid w:val="00BA276C"/>
    <w:rsid w:val="00BA295C"/>
    <w:rsid w:val="00BA2D6A"/>
    <w:rsid w:val="00BA2DC2"/>
    <w:rsid w:val="00BA2F04"/>
    <w:rsid w:val="00BA397F"/>
    <w:rsid w:val="00BA3E56"/>
    <w:rsid w:val="00BA42C6"/>
    <w:rsid w:val="00BA4746"/>
    <w:rsid w:val="00BA4797"/>
    <w:rsid w:val="00BA483C"/>
    <w:rsid w:val="00BA4E7D"/>
    <w:rsid w:val="00BA526A"/>
    <w:rsid w:val="00BA528B"/>
    <w:rsid w:val="00BA53BB"/>
    <w:rsid w:val="00BA55A1"/>
    <w:rsid w:val="00BA573E"/>
    <w:rsid w:val="00BA5D29"/>
    <w:rsid w:val="00BA5D33"/>
    <w:rsid w:val="00BA5E29"/>
    <w:rsid w:val="00BA5E32"/>
    <w:rsid w:val="00BA5E8E"/>
    <w:rsid w:val="00BA619C"/>
    <w:rsid w:val="00BA63B3"/>
    <w:rsid w:val="00BA678E"/>
    <w:rsid w:val="00BA683E"/>
    <w:rsid w:val="00BA6B53"/>
    <w:rsid w:val="00BA7312"/>
    <w:rsid w:val="00BA74C3"/>
    <w:rsid w:val="00BA75DB"/>
    <w:rsid w:val="00BA76C8"/>
    <w:rsid w:val="00BA778F"/>
    <w:rsid w:val="00BA792D"/>
    <w:rsid w:val="00BA79CE"/>
    <w:rsid w:val="00BA7C8E"/>
    <w:rsid w:val="00BA7CCA"/>
    <w:rsid w:val="00BA7F1C"/>
    <w:rsid w:val="00BA7F2B"/>
    <w:rsid w:val="00BB01F4"/>
    <w:rsid w:val="00BB0213"/>
    <w:rsid w:val="00BB02E3"/>
    <w:rsid w:val="00BB0796"/>
    <w:rsid w:val="00BB0BEB"/>
    <w:rsid w:val="00BB11B1"/>
    <w:rsid w:val="00BB1354"/>
    <w:rsid w:val="00BB15C3"/>
    <w:rsid w:val="00BB19E7"/>
    <w:rsid w:val="00BB1DDA"/>
    <w:rsid w:val="00BB1F5B"/>
    <w:rsid w:val="00BB208D"/>
    <w:rsid w:val="00BB256D"/>
    <w:rsid w:val="00BB2CBA"/>
    <w:rsid w:val="00BB2D95"/>
    <w:rsid w:val="00BB2F1B"/>
    <w:rsid w:val="00BB2F42"/>
    <w:rsid w:val="00BB306F"/>
    <w:rsid w:val="00BB3189"/>
    <w:rsid w:val="00BB336D"/>
    <w:rsid w:val="00BB35E4"/>
    <w:rsid w:val="00BB369E"/>
    <w:rsid w:val="00BB3B9C"/>
    <w:rsid w:val="00BB3D48"/>
    <w:rsid w:val="00BB3DFB"/>
    <w:rsid w:val="00BB408A"/>
    <w:rsid w:val="00BB4116"/>
    <w:rsid w:val="00BB4145"/>
    <w:rsid w:val="00BB41C9"/>
    <w:rsid w:val="00BB4253"/>
    <w:rsid w:val="00BB49EB"/>
    <w:rsid w:val="00BB4BC3"/>
    <w:rsid w:val="00BB4CC8"/>
    <w:rsid w:val="00BB5240"/>
    <w:rsid w:val="00BB52E6"/>
    <w:rsid w:val="00BB5322"/>
    <w:rsid w:val="00BB5557"/>
    <w:rsid w:val="00BB572A"/>
    <w:rsid w:val="00BB5D6B"/>
    <w:rsid w:val="00BB5FC7"/>
    <w:rsid w:val="00BB64B7"/>
    <w:rsid w:val="00BB650E"/>
    <w:rsid w:val="00BB658B"/>
    <w:rsid w:val="00BB664F"/>
    <w:rsid w:val="00BB695B"/>
    <w:rsid w:val="00BB6E97"/>
    <w:rsid w:val="00BB7246"/>
    <w:rsid w:val="00BB72FE"/>
    <w:rsid w:val="00BB79ED"/>
    <w:rsid w:val="00BB7C91"/>
    <w:rsid w:val="00BB7D53"/>
    <w:rsid w:val="00BB7E95"/>
    <w:rsid w:val="00BC00E0"/>
    <w:rsid w:val="00BC0178"/>
    <w:rsid w:val="00BC05A0"/>
    <w:rsid w:val="00BC05DA"/>
    <w:rsid w:val="00BC0622"/>
    <w:rsid w:val="00BC0D77"/>
    <w:rsid w:val="00BC1478"/>
    <w:rsid w:val="00BC189E"/>
    <w:rsid w:val="00BC18C9"/>
    <w:rsid w:val="00BC19C3"/>
    <w:rsid w:val="00BC1A04"/>
    <w:rsid w:val="00BC2110"/>
    <w:rsid w:val="00BC25BD"/>
    <w:rsid w:val="00BC2753"/>
    <w:rsid w:val="00BC2AF0"/>
    <w:rsid w:val="00BC2AFC"/>
    <w:rsid w:val="00BC2D8D"/>
    <w:rsid w:val="00BC2EDB"/>
    <w:rsid w:val="00BC37F3"/>
    <w:rsid w:val="00BC3841"/>
    <w:rsid w:val="00BC39E9"/>
    <w:rsid w:val="00BC3C59"/>
    <w:rsid w:val="00BC4041"/>
    <w:rsid w:val="00BC41C0"/>
    <w:rsid w:val="00BC433F"/>
    <w:rsid w:val="00BC4A2D"/>
    <w:rsid w:val="00BC4BBC"/>
    <w:rsid w:val="00BC4BE9"/>
    <w:rsid w:val="00BC4D36"/>
    <w:rsid w:val="00BC4DAA"/>
    <w:rsid w:val="00BC4E19"/>
    <w:rsid w:val="00BC4F90"/>
    <w:rsid w:val="00BC57DB"/>
    <w:rsid w:val="00BC5941"/>
    <w:rsid w:val="00BC5E4A"/>
    <w:rsid w:val="00BC6005"/>
    <w:rsid w:val="00BC6548"/>
    <w:rsid w:val="00BC65A4"/>
    <w:rsid w:val="00BC668B"/>
    <w:rsid w:val="00BC668F"/>
    <w:rsid w:val="00BC6855"/>
    <w:rsid w:val="00BC6C67"/>
    <w:rsid w:val="00BC6DCB"/>
    <w:rsid w:val="00BC6F74"/>
    <w:rsid w:val="00BC70E9"/>
    <w:rsid w:val="00BC7311"/>
    <w:rsid w:val="00BC736B"/>
    <w:rsid w:val="00BC7733"/>
    <w:rsid w:val="00BC79CF"/>
    <w:rsid w:val="00BC7E53"/>
    <w:rsid w:val="00BD00E1"/>
    <w:rsid w:val="00BD0135"/>
    <w:rsid w:val="00BD09C0"/>
    <w:rsid w:val="00BD0CF9"/>
    <w:rsid w:val="00BD0D9F"/>
    <w:rsid w:val="00BD0EB4"/>
    <w:rsid w:val="00BD139E"/>
    <w:rsid w:val="00BD191C"/>
    <w:rsid w:val="00BD1D8B"/>
    <w:rsid w:val="00BD2028"/>
    <w:rsid w:val="00BD2299"/>
    <w:rsid w:val="00BD23C2"/>
    <w:rsid w:val="00BD2703"/>
    <w:rsid w:val="00BD2DF4"/>
    <w:rsid w:val="00BD324A"/>
    <w:rsid w:val="00BD3342"/>
    <w:rsid w:val="00BD33F7"/>
    <w:rsid w:val="00BD3653"/>
    <w:rsid w:val="00BD38E4"/>
    <w:rsid w:val="00BD3A3F"/>
    <w:rsid w:val="00BD3D6F"/>
    <w:rsid w:val="00BD3D92"/>
    <w:rsid w:val="00BD41AE"/>
    <w:rsid w:val="00BD41BB"/>
    <w:rsid w:val="00BD441B"/>
    <w:rsid w:val="00BD45C0"/>
    <w:rsid w:val="00BD4730"/>
    <w:rsid w:val="00BD495B"/>
    <w:rsid w:val="00BD4B89"/>
    <w:rsid w:val="00BD4CE2"/>
    <w:rsid w:val="00BD51C3"/>
    <w:rsid w:val="00BD5704"/>
    <w:rsid w:val="00BD5E95"/>
    <w:rsid w:val="00BD5F33"/>
    <w:rsid w:val="00BD6504"/>
    <w:rsid w:val="00BD6538"/>
    <w:rsid w:val="00BD6918"/>
    <w:rsid w:val="00BD6DAC"/>
    <w:rsid w:val="00BD726E"/>
    <w:rsid w:val="00BD7463"/>
    <w:rsid w:val="00BD76BF"/>
    <w:rsid w:val="00BD7826"/>
    <w:rsid w:val="00BD79CE"/>
    <w:rsid w:val="00BD7DCC"/>
    <w:rsid w:val="00BE025B"/>
    <w:rsid w:val="00BE02F6"/>
    <w:rsid w:val="00BE047B"/>
    <w:rsid w:val="00BE0B95"/>
    <w:rsid w:val="00BE0CBC"/>
    <w:rsid w:val="00BE0D78"/>
    <w:rsid w:val="00BE0EDF"/>
    <w:rsid w:val="00BE0F76"/>
    <w:rsid w:val="00BE120D"/>
    <w:rsid w:val="00BE158C"/>
    <w:rsid w:val="00BE167E"/>
    <w:rsid w:val="00BE16B9"/>
    <w:rsid w:val="00BE1964"/>
    <w:rsid w:val="00BE1967"/>
    <w:rsid w:val="00BE19E0"/>
    <w:rsid w:val="00BE2175"/>
    <w:rsid w:val="00BE21C8"/>
    <w:rsid w:val="00BE2530"/>
    <w:rsid w:val="00BE29AA"/>
    <w:rsid w:val="00BE2AE0"/>
    <w:rsid w:val="00BE2FB6"/>
    <w:rsid w:val="00BE3101"/>
    <w:rsid w:val="00BE31DC"/>
    <w:rsid w:val="00BE3526"/>
    <w:rsid w:val="00BE358A"/>
    <w:rsid w:val="00BE376B"/>
    <w:rsid w:val="00BE3A33"/>
    <w:rsid w:val="00BE3D72"/>
    <w:rsid w:val="00BE3DD0"/>
    <w:rsid w:val="00BE3FD6"/>
    <w:rsid w:val="00BE4112"/>
    <w:rsid w:val="00BE4709"/>
    <w:rsid w:val="00BE4A27"/>
    <w:rsid w:val="00BE4AE9"/>
    <w:rsid w:val="00BE4C47"/>
    <w:rsid w:val="00BE5379"/>
    <w:rsid w:val="00BE5402"/>
    <w:rsid w:val="00BE5855"/>
    <w:rsid w:val="00BE58DF"/>
    <w:rsid w:val="00BE5987"/>
    <w:rsid w:val="00BE5F4F"/>
    <w:rsid w:val="00BE6435"/>
    <w:rsid w:val="00BE64AF"/>
    <w:rsid w:val="00BE64B7"/>
    <w:rsid w:val="00BE65AE"/>
    <w:rsid w:val="00BE6A64"/>
    <w:rsid w:val="00BE6B69"/>
    <w:rsid w:val="00BE6BF1"/>
    <w:rsid w:val="00BE6C00"/>
    <w:rsid w:val="00BE6C3F"/>
    <w:rsid w:val="00BE6E94"/>
    <w:rsid w:val="00BE705C"/>
    <w:rsid w:val="00BE72B5"/>
    <w:rsid w:val="00BE73F9"/>
    <w:rsid w:val="00BE7498"/>
    <w:rsid w:val="00BE7509"/>
    <w:rsid w:val="00BE75DE"/>
    <w:rsid w:val="00BE7C1D"/>
    <w:rsid w:val="00BE7D95"/>
    <w:rsid w:val="00BF031D"/>
    <w:rsid w:val="00BF03D8"/>
    <w:rsid w:val="00BF0402"/>
    <w:rsid w:val="00BF0ACA"/>
    <w:rsid w:val="00BF0FCC"/>
    <w:rsid w:val="00BF1807"/>
    <w:rsid w:val="00BF180B"/>
    <w:rsid w:val="00BF1823"/>
    <w:rsid w:val="00BF1864"/>
    <w:rsid w:val="00BF1880"/>
    <w:rsid w:val="00BF1A40"/>
    <w:rsid w:val="00BF1B7B"/>
    <w:rsid w:val="00BF2146"/>
    <w:rsid w:val="00BF224D"/>
    <w:rsid w:val="00BF26E9"/>
    <w:rsid w:val="00BF2EF8"/>
    <w:rsid w:val="00BF2FF3"/>
    <w:rsid w:val="00BF3161"/>
    <w:rsid w:val="00BF3178"/>
    <w:rsid w:val="00BF339D"/>
    <w:rsid w:val="00BF33FB"/>
    <w:rsid w:val="00BF3411"/>
    <w:rsid w:val="00BF3461"/>
    <w:rsid w:val="00BF34CC"/>
    <w:rsid w:val="00BF34D3"/>
    <w:rsid w:val="00BF3DF6"/>
    <w:rsid w:val="00BF4CCB"/>
    <w:rsid w:val="00BF4D34"/>
    <w:rsid w:val="00BF4EFB"/>
    <w:rsid w:val="00BF5612"/>
    <w:rsid w:val="00BF5AF5"/>
    <w:rsid w:val="00BF6159"/>
    <w:rsid w:val="00BF61E1"/>
    <w:rsid w:val="00BF6533"/>
    <w:rsid w:val="00BF6AD4"/>
    <w:rsid w:val="00BF6B82"/>
    <w:rsid w:val="00BF6FD8"/>
    <w:rsid w:val="00BF717E"/>
    <w:rsid w:val="00BF72EC"/>
    <w:rsid w:val="00BF7D6D"/>
    <w:rsid w:val="00BF7F7C"/>
    <w:rsid w:val="00C00058"/>
    <w:rsid w:val="00C0075D"/>
    <w:rsid w:val="00C00A9D"/>
    <w:rsid w:val="00C00CE3"/>
    <w:rsid w:val="00C00CFE"/>
    <w:rsid w:val="00C00E20"/>
    <w:rsid w:val="00C01B6D"/>
    <w:rsid w:val="00C01D45"/>
    <w:rsid w:val="00C01E60"/>
    <w:rsid w:val="00C01EB1"/>
    <w:rsid w:val="00C0211C"/>
    <w:rsid w:val="00C0258D"/>
    <w:rsid w:val="00C0275D"/>
    <w:rsid w:val="00C02859"/>
    <w:rsid w:val="00C029AF"/>
    <w:rsid w:val="00C02B17"/>
    <w:rsid w:val="00C02C07"/>
    <w:rsid w:val="00C02C79"/>
    <w:rsid w:val="00C02D36"/>
    <w:rsid w:val="00C02EA6"/>
    <w:rsid w:val="00C0310B"/>
    <w:rsid w:val="00C035E3"/>
    <w:rsid w:val="00C03680"/>
    <w:rsid w:val="00C03899"/>
    <w:rsid w:val="00C03F9C"/>
    <w:rsid w:val="00C04314"/>
    <w:rsid w:val="00C04499"/>
    <w:rsid w:val="00C045F5"/>
    <w:rsid w:val="00C047D5"/>
    <w:rsid w:val="00C047D9"/>
    <w:rsid w:val="00C04CBF"/>
    <w:rsid w:val="00C04D87"/>
    <w:rsid w:val="00C04F37"/>
    <w:rsid w:val="00C051C1"/>
    <w:rsid w:val="00C052ED"/>
    <w:rsid w:val="00C054DF"/>
    <w:rsid w:val="00C0580F"/>
    <w:rsid w:val="00C0593D"/>
    <w:rsid w:val="00C05AAD"/>
    <w:rsid w:val="00C05C0C"/>
    <w:rsid w:val="00C05EC5"/>
    <w:rsid w:val="00C06120"/>
    <w:rsid w:val="00C062C0"/>
    <w:rsid w:val="00C067C3"/>
    <w:rsid w:val="00C068D1"/>
    <w:rsid w:val="00C06A42"/>
    <w:rsid w:val="00C06C6C"/>
    <w:rsid w:val="00C06D6E"/>
    <w:rsid w:val="00C07105"/>
    <w:rsid w:val="00C071D4"/>
    <w:rsid w:val="00C07B37"/>
    <w:rsid w:val="00C07F88"/>
    <w:rsid w:val="00C07FFC"/>
    <w:rsid w:val="00C1008E"/>
    <w:rsid w:val="00C1072B"/>
    <w:rsid w:val="00C10C6B"/>
    <w:rsid w:val="00C10CCF"/>
    <w:rsid w:val="00C11042"/>
    <w:rsid w:val="00C113F3"/>
    <w:rsid w:val="00C116DE"/>
    <w:rsid w:val="00C116E8"/>
    <w:rsid w:val="00C118D8"/>
    <w:rsid w:val="00C11A27"/>
    <w:rsid w:val="00C11CA8"/>
    <w:rsid w:val="00C12104"/>
    <w:rsid w:val="00C121E6"/>
    <w:rsid w:val="00C12270"/>
    <w:rsid w:val="00C1229C"/>
    <w:rsid w:val="00C12378"/>
    <w:rsid w:val="00C12709"/>
    <w:rsid w:val="00C12DEE"/>
    <w:rsid w:val="00C12DF1"/>
    <w:rsid w:val="00C1313C"/>
    <w:rsid w:val="00C13281"/>
    <w:rsid w:val="00C135D0"/>
    <w:rsid w:val="00C13881"/>
    <w:rsid w:val="00C13D44"/>
    <w:rsid w:val="00C14140"/>
    <w:rsid w:val="00C143A1"/>
    <w:rsid w:val="00C148FE"/>
    <w:rsid w:val="00C14978"/>
    <w:rsid w:val="00C14B6B"/>
    <w:rsid w:val="00C1502B"/>
    <w:rsid w:val="00C152A5"/>
    <w:rsid w:val="00C15A24"/>
    <w:rsid w:val="00C15A62"/>
    <w:rsid w:val="00C15E00"/>
    <w:rsid w:val="00C15E41"/>
    <w:rsid w:val="00C15EAC"/>
    <w:rsid w:val="00C160CF"/>
    <w:rsid w:val="00C1629F"/>
    <w:rsid w:val="00C16451"/>
    <w:rsid w:val="00C168B1"/>
    <w:rsid w:val="00C169C4"/>
    <w:rsid w:val="00C169FE"/>
    <w:rsid w:val="00C174CA"/>
    <w:rsid w:val="00C1780A"/>
    <w:rsid w:val="00C1787E"/>
    <w:rsid w:val="00C17BE7"/>
    <w:rsid w:val="00C17C8F"/>
    <w:rsid w:val="00C17D73"/>
    <w:rsid w:val="00C17EBE"/>
    <w:rsid w:val="00C2009B"/>
    <w:rsid w:val="00C2045A"/>
    <w:rsid w:val="00C20D9C"/>
    <w:rsid w:val="00C20E98"/>
    <w:rsid w:val="00C21308"/>
    <w:rsid w:val="00C21337"/>
    <w:rsid w:val="00C21762"/>
    <w:rsid w:val="00C21974"/>
    <w:rsid w:val="00C21975"/>
    <w:rsid w:val="00C21E02"/>
    <w:rsid w:val="00C21FDE"/>
    <w:rsid w:val="00C2207C"/>
    <w:rsid w:val="00C2211A"/>
    <w:rsid w:val="00C2240A"/>
    <w:rsid w:val="00C2268A"/>
    <w:rsid w:val="00C22742"/>
    <w:rsid w:val="00C22BEF"/>
    <w:rsid w:val="00C22E44"/>
    <w:rsid w:val="00C233AC"/>
    <w:rsid w:val="00C23507"/>
    <w:rsid w:val="00C2355D"/>
    <w:rsid w:val="00C2359A"/>
    <w:rsid w:val="00C236C1"/>
    <w:rsid w:val="00C2373E"/>
    <w:rsid w:val="00C240BD"/>
    <w:rsid w:val="00C24543"/>
    <w:rsid w:val="00C24624"/>
    <w:rsid w:val="00C247B9"/>
    <w:rsid w:val="00C24859"/>
    <w:rsid w:val="00C24A94"/>
    <w:rsid w:val="00C24CDF"/>
    <w:rsid w:val="00C2517B"/>
    <w:rsid w:val="00C25480"/>
    <w:rsid w:val="00C25607"/>
    <w:rsid w:val="00C256A2"/>
    <w:rsid w:val="00C2582F"/>
    <w:rsid w:val="00C25B4E"/>
    <w:rsid w:val="00C260BF"/>
    <w:rsid w:val="00C2655E"/>
    <w:rsid w:val="00C265A1"/>
    <w:rsid w:val="00C26A02"/>
    <w:rsid w:val="00C26AD6"/>
    <w:rsid w:val="00C2728C"/>
    <w:rsid w:val="00C27349"/>
    <w:rsid w:val="00C278B3"/>
    <w:rsid w:val="00C27A6A"/>
    <w:rsid w:val="00C27B9B"/>
    <w:rsid w:val="00C27F2A"/>
    <w:rsid w:val="00C300ED"/>
    <w:rsid w:val="00C304FA"/>
    <w:rsid w:val="00C30573"/>
    <w:rsid w:val="00C30972"/>
    <w:rsid w:val="00C30AC4"/>
    <w:rsid w:val="00C30B18"/>
    <w:rsid w:val="00C30B9C"/>
    <w:rsid w:val="00C30D2D"/>
    <w:rsid w:val="00C315BA"/>
    <w:rsid w:val="00C31AE8"/>
    <w:rsid w:val="00C31CD7"/>
    <w:rsid w:val="00C32100"/>
    <w:rsid w:val="00C3244B"/>
    <w:rsid w:val="00C32461"/>
    <w:rsid w:val="00C3249B"/>
    <w:rsid w:val="00C32539"/>
    <w:rsid w:val="00C32799"/>
    <w:rsid w:val="00C32962"/>
    <w:rsid w:val="00C329B6"/>
    <w:rsid w:val="00C331D7"/>
    <w:rsid w:val="00C33446"/>
    <w:rsid w:val="00C33726"/>
    <w:rsid w:val="00C33F5F"/>
    <w:rsid w:val="00C33F62"/>
    <w:rsid w:val="00C34113"/>
    <w:rsid w:val="00C34137"/>
    <w:rsid w:val="00C3457E"/>
    <w:rsid w:val="00C34834"/>
    <w:rsid w:val="00C34A4C"/>
    <w:rsid w:val="00C34CEF"/>
    <w:rsid w:val="00C34E9B"/>
    <w:rsid w:val="00C35013"/>
    <w:rsid w:val="00C3530F"/>
    <w:rsid w:val="00C3534A"/>
    <w:rsid w:val="00C35480"/>
    <w:rsid w:val="00C354CD"/>
    <w:rsid w:val="00C3552C"/>
    <w:rsid w:val="00C356D3"/>
    <w:rsid w:val="00C35CE9"/>
    <w:rsid w:val="00C3601A"/>
    <w:rsid w:val="00C3617B"/>
    <w:rsid w:val="00C3623E"/>
    <w:rsid w:val="00C36652"/>
    <w:rsid w:val="00C368BD"/>
    <w:rsid w:val="00C36BF9"/>
    <w:rsid w:val="00C36DFD"/>
    <w:rsid w:val="00C372B6"/>
    <w:rsid w:val="00C37533"/>
    <w:rsid w:val="00C3766B"/>
    <w:rsid w:val="00C3782B"/>
    <w:rsid w:val="00C37880"/>
    <w:rsid w:val="00C37F7F"/>
    <w:rsid w:val="00C37FDB"/>
    <w:rsid w:val="00C401C4"/>
    <w:rsid w:val="00C40219"/>
    <w:rsid w:val="00C4028A"/>
    <w:rsid w:val="00C4032E"/>
    <w:rsid w:val="00C405FE"/>
    <w:rsid w:val="00C40641"/>
    <w:rsid w:val="00C4082F"/>
    <w:rsid w:val="00C40D8C"/>
    <w:rsid w:val="00C40F01"/>
    <w:rsid w:val="00C4102B"/>
    <w:rsid w:val="00C41462"/>
    <w:rsid w:val="00C415F7"/>
    <w:rsid w:val="00C4160B"/>
    <w:rsid w:val="00C4162A"/>
    <w:rsid w:val="00C4162E"/>
    <w:rsid w:val="00C417C3"/>
    <w:rsid w:val="00C41985"/>
    <w:rsid w:val="00C41A01"/>
    <w:rsid w:val="00C41AD0"/>
    <w:rsid w:val="00C41B7E"/>
    <w:rsid w:val="00C41D1E"/>
    <w:rsid w:val="00C41D81"/>
    <w:rsid w:val="00C4267E"/>
    <w:rsid w:val="00C42BE7"/>
    <w:rsid w:val="00C42CEA"/>
    <w:rsid w:val="00C42E8D"/>
    <w:rsid w:val="00C42F74"/>
    <w:rsid w:val="00C433C4"/>
    <w:rsid w:val="00C437CD"/>
    <w:rsid w:val="00C43CBF"/>
    <w:rsid w:val="00C43E22"/>
    <w:rsid w:val="00C440BB"/>
    <w:rsid w:val="00C440EB"/>
    <w:rsid w:val="00C441D8"/>
    <w:rsid w:val="00C44748"/>
    <w:rsid w:val="00C44880"/>
    <w:rsid w:val="00C44D1F"/>
    <w:rsid w:val="00C4519A"/>
    <w:rsid w:val="00C45376"/>
    <w:rsid w:val="00C45415"/>
    <w:rsid w:val="00C45612"/>
    <w:rsid w:val="00C45834"/>
    <w:rsid w:val="00C45D0C"/>
    <w:rsid w:val="00C46451"/>
    <w:rsid w:val="00C46486"/>
    <w:rsid w:val="00C46810"/>
    <w:rsid w:val="00C46C5D"/>
    <w:rsid w:val="00C46D69"/>
    <w:rsid w:val="00C47936"/>
    <w:rsid w:val="00C47943"/>
    <w:rsid w:val="00C50392"/>
    <w:rsid w:val="00C50724"/>
    <w:rsid w:val="00C50AE1"/>
    <w:rsid w:val="00C50BC3"/>
    <w:rsid w:val="00C50D83"/>
    <w:rsid w:val="00C50E0A"/>
    <w:rsid w:val="00C50FB1"/>
    <w:rsid w:val="00C512B7"/>
    <w:rsid w:val="00C51515"/>
    <w:rsid w:val="00C51884"/>
    <w:rsid w:val="00C51A9D"/>
    <w:rsid w:val="00C51AA5"/>
    <w:rsid w:val="00C51B54"/>
    <w:rsid w:val="00C51D13"/>
    <w:rsid w:val="00C52032"/>
    <w:rsid w:val="00C52076"/>
    <w:rsid w:val="00C520A7"/>
    <w:rsid w:val="00C529DC"/>
    <w:rsid w:val="00C52E97"/>
    <w:rsid w:val="00C53067"/>
    <w:rsid w:val="00C5306D"/>
    <w:rsid w:val="00C5332A"/>
    <w:rsid w:val="00C53354"/>
    <w:rsid w:val="00C533FC"/>
    <w:rsid w:val="00C53A80"/>
    <w:rsid w:val="00C53ADC"/>
    <w:rsid w:val="00C53D99"/>
    <w:rsid w:val="00C54035"/>
    <w:rsid w:val="00C540FE"/>
    <w:rsid w:val="00C54104"/>
    <w:rsid w:val="00C544C8"/>
    <w:rsid w:val="00C548BE"/>
    <w:rsid w:val="00C54BCF"/>
    <w:rsid w:val="00C54EB5"/>
    <w:rsid w:val="00C554CF"/>
    <w:rsid w:val="00C55590"/>
    <w:rsid w:val="00C5560D"/>
    <w:rsid w:val="00C55C98"/>
    <w:rsid w:val="00C55DC5"/>
    <w:rsid w:val="00C56267"/>
    <w:rsid w:val="00C5660B"/>
    <w:rsid w:val="00C56633"/>
    <w:rsid w:val="00C567DF"/>
    <w:rsid w:val="00C569CD"/>
    <w:rsid w:val="00C56A7B"/>
    <w:rsid w:val="00C56BB7"/>
    <w:rsid w:val="00C573E1"/>
    <w:rsid w:val="00C575E8"/>
    <w:rsid w:val="00C576B7"/>
    <w:rsid w:val="00C578A4"/>
    <w:rsid w:val="00C57C08"/>
    <w:rsid w:val="00C57CC7"/>
    <w:rsid w:val="00C57E21"/>
    <w:rsid w:val="00C60071"/>
    <w:rsid w:val="00C604DB"/>
    <w:rsid w:val="00C6050F"/>
    <w:rsid w:val="00C605C2"/>
    <w:rsid w:val="00C60EAA"/>
    <w:rsid w:val="00C60EEA"/>
    <w:rsid w:val="00C60FD6"/>
    <w:rsid w:val="00C61082"/>
    <w:rsid w:val="00C6114D"/>
    <w:rsid w:val="00C61566"/>
    <w:rsid w:val="00C616B6"/>
    <w:rsid w:val="00C61CC5"/>
    <w:rsid w:val="00C62087"/>
    <w:rsid w:val="00C62141"/>
    <w:rsid w:val="00C62241"/>
    <w:rsid w:val="00C62460"/>
    <w:rsid w:val="00C62779"/>
    <w:rsid w:val="00C62AE2"/>
    <w:rsid w:val="00C62CFF"/>
    <w:rsid w:val="00C62D3C"/>
    <w:rsid w:val="00C630D7"/>
    <w:rsid w:val="00C63412"/>
    <w:rsid w:val="00C634ED"/>
    <w:rsid w:val="00C6366B"/>
    <w:rsid w:val="00C63994"/>
    <w:rsid w:val="00C639C6"/>
    <w:rsid w:val="00C639FB"/>
    <w:rsid w:val="00C63D51"/>
    <w:rsid w:val="00C6438A"/>
    <w:rsid w:val="00C64C20"/>
    <w:rsid w:val="00C6568F"/>
    <w:rsid w:val="00C656C5"/>
    <w:rsid w:val="00C65722"/>
    <w:rsid w:val="00C65E14"/>
    <w:rsid w:val="00C65EAD"/>
    <w:rsid w:val="00C66807"/>
    <w:rsid w:val="00C669EE"/>
    <w:rsid w:val="00C66B04"/>
    <w:rsid w:val="00C66B72"/>
    <w:rsid w:val="00C66CA5"/>
    <w:rsid w:val="00C66E3D"/>
    <w:rsid w:val="00C67228"/>
    <w:rsid w:val="00C675D4"/>
    <w:rsid w:val="00C67740"/>
    <w:rsid w:val="00C7030F"/>
    <w:rsid w:val="00C70378"/>
    <w:rsid w:val="00C7056B"/>
    <w:rsid w:val="00C70812"/>
    <w:rsid w:val="00C709D4"/>
    <w:rsid w:val="00C709FD"/>
    <w:rsid w:val="00C70B35"/>
    <w:rsid w:val="00C7121C"/>
    <w:rsid w:val="00C71287"/>
    <w:rsid w:val="00C713CE"/>
    <w:rsid w:val="00C713D2"/>
    <w:rsid w:val="00C71C0F"/>
    <w:rsid w:val="00C71DDD"/>
    <w:rsid w:val="00C71F60"/>
    <w:rsid w:val="00C722BA"/>
    <w:rsid w:val="00C72302"/>
    <w:rsid w:val="00C725C5"/>
    <w:rsid w:val="00C726E4"/>
    <w:rsid w:val="00C72736"/>
    <w:rsid w:val="00C72939"/>
    <w:rsid w:val="00C729FE"/>
    <w:rsid w:val="00C72AB3"/>
    <w:rsid w:val="00C72AD4"/>
    <w:rsid w:val="00C73345"/>
    <w:rsid w:val="00C73D8E"/>
    <w:rsid w:val="00C746F6"/>
    <w:rsid w:val="00C74A29"/>
    <w:rsid w:val="00C74AF3"/>
    <w:rsid w:val="00C751A0"/>
    <w:rsid w:val="00C7553C"/>
    <w:rsid w:val="00C755F5"/>
    <w:rsid w:val="00C7582E"/>
    <w:rsid w:val="00C75A24"/>
    <w:rsid w:val="00C75BB3"/>
    <w:rsid w:val="00C75D26"/>
    <w:rsid w:val="00C7606B"/>
    <w:rsid w:val="00C7625C"/>
    <w:rsid w:val="00C762F5"/>
    <w:rsid w:val="00C7651F"/>
    <w:rsid w:val="00C7669B"/>
    <w:rsid w:val="00C768DE"/>
    <w:rsid w:val="00C769B0"/>
    <w:rsid w:val="00C76DF0"/>
    <w:rsid w:val="00C76F86"/>
    <w:rsid w:val="00C7755C"/>
    <w:rsid w:val="00C777AC"/>
    <w:rsid w:val="00C777EF"/>
    <w:rsid w:val="00C77B1A"/>
    <w:rsid w:val="00C77BDE"/>
    <w:rsid w:val="00C80067"/>
    <w:rsid w:val="00C8077D"/>
    <w:rsid w:val="00C80B39"/>
    <w:rsid w:val="00C80D43"/>
    <w:rsid w:val="00C8114D"/>
    <w:rsid w:val="00C817A5"/>
    <w:rsid w:val="00C819AF"/>
    <w:rsid w:val="00C81B10"/>
    <w:rsid w:val="00C821A3"/>
    <w:rsid w:val="00C825C1"/>
    <w:rsid w:val="00C82945"/>
    <w:rsid w:val="00C82ED9"/>
    <w:rsid w:val="00C83595"/>
    <w:rsid w:val="00C8384D"/>
    <w:rsid w:val="00C83A04"/>
    <w:rsid w:val="00C83C2A"/>
    <w:rsid w:val="00C83F12"/>
    <w:rsid w:val="00C842DF"/>
    <w:rsid w:val="00C84510"/>
    <w:rsid w:val="00C84653"/>
    <w:rsid w:val="00C84A25"/>
    <w:rsid w:val="00C851E6"/>
    <w:rsid w:val="00C853B0"/>
    <w:rsid w:val="00C85578"/>
    <w:rsid w:val="00C85A89"/>
    <w:rsid w:val="00C85B93"/>
    <w:rsid w:val="00C85E9A"/>
    <w:rsid w:val="00C85F9F"/>
    <w:rsid w:val="00C86148"/>
    <w:rsid w:val="00C861DF"/>
    <w:rsid w:val="00C86278"/>
    <w:rsid w:val="00C8646E"/>
    <w:rsid w:val="00C86EE8"/>
    <w:rsid w:val="00C86F17"/>
    <w:rsid w:val="00C872FB"/>
    <w:rsid w:val="00C8740F"/>
    <w:rsid w:val="00C8759D"/>
    <w:rsid w:val="00C87837"/>
    <w:rsid w:val="00C87E2B"/>
    <w:rsid w:val="00C87EB8"/>
    <w:rsid w:val="00C90604"/>
    <w:rsid w:val="00C90D02"/>
    <w:rsid w:val="00C90F17"/>
    <w:rsid w:val="00C90FA6"/>
    <w:rsid w:val="00C9127C"/>
    <w:rsid w:val="00C914C4"/>
    <w:rsid w:val="00C914F9"/>
    <w:rsid w:val="00C9157C"/>
    <w:rsid w:val="00C9176B"/>
    <w:rsid w:val="00C9192C"/>
    <w:rsid w:val="00C91A11"/>
    <w:rsid w:val="00C91BCA"/>
    <w:rsid w:val="00C91F1F"/>
    <w:rsid w:val="00C91FAE"/>
    <w:rsid w:val="00C92371"/>
    <w:rsid w:val="00C923E6"/>
    <w:rsid w:val="00C925E5"/>
    <w:rsid w:val="00C9263A"/>
    <w:rsid w:val="00C92BBF"/>
    <w:rsid w:val="00C92DFD"/>
    <w:rsid w:val="00C93069"/>
    <w:rsid w:val="00C93076"/>
    <w:rsid w:val="00C933F9"/>
    <w:rsid w:val="00C9346A"/>
    <w:rsid w:val="00C93901"/>
    <w:rsid w:val="00C939C5"/>
    <w:rsid w:val="00C93BB0"/>
    <w:rsid w:val="00C93D7B"/>
    <w:rsid w:val="00C9443A"/>
    <w:rsid w:val="00C9446D"/>
    <w:rsid w:val="00C94480"/>
    <w:rsid w:val="00C94963"/>
    <w:rsid w:val="00C94BF7"/>
    <w:rsid w:val="00C94C3A"/>
    <w:rsid w:val="00C94D25"/>
    <w:rsid w:val="00C94D5E"/>
    <w:rsid w:val="00C94E03"/>
    <w:rsid w:val="00C95188"/>
    <w:rsid w:val="00C9543D"/>
    <w:rsid w:val="00C9562B"/>
    <w:rsid w:val="00C9567A"/>
    <w:rsid w:val="00C95E86"/>
    <w:rsid w:val="00C95F29"/>
    <w:rsid w:val="00C96C27"/>
    <w:rsid w:val="00C96E9B"/>
    <w:rsid w:val="00C9741F"/>
    <w:rsid w:val="00C97B5F"/>
    <w:rsid w:val="00CA02D4"/>
    <w:rsid w:val="00CA03F7"/>
    <w:rsid w:val="00CA08D1"/>
    <w:rsid w:val="00CA09B0"/>
    <w:rsid w:val="00CA0BD8"/>
    <w:rsid w:val="00CA107D"/>
    <w:rsid w:val="00CA115B"/>
    <w:rsid w:val="00CA1167"/>
    <w:rsid w:val="00CA1392"/>
    <w:rsid w:val="00CA1713"/>
    <w:rsid w:val="00CA1877"/>
    <w:rsid w:val="00CA18FF"/>
    <w:rsid w:val="00CA19CA"/>
    <w:rsid w:val="00CA1CAE"/>
    <w:rsid w:val="00CA1CFC"/>
    <w:rsid w:val="00CA2398"/>
    <w:rsid w:val="00CA2420"/>
    <w:rsid w:val="00CA2443"/>
    <w:rsid w:val="00CA24E3"/>
    <w:rsid w:val="00CA2AED"/>
    <w:rsid w:val="00CA2F0C"/>
    <w:rsid w:val="00CA2FD0"/>
    <w:rsid w:val="00CA31B2"/>
    <w:rsid w:val="00CA346B"/>
    <w:rsid w:val="00CA39F5"/>
    <w:rsid w:val="00CA3FAB"/>
    <w:rsid w:val="00CA4050"/>
    <w:rsid w:val="00CA438E"/>
    <w:rsid w:val="00CA4570"/>
    <w:rsid w:val="00CA45D3"/>
    <w:rsid w:val="00CA4E0B"/>
    <w:rsid w:val="00CA4E81"/>
    <w:rsid w:val="00CA51DB"/>
    <w:rsid w:val="00CA594D"/>
    <w:rsid w:val="00CA5B59"/>
    <w:rsid w:val="00CA5BC8"/>
    <w:rsid w:val="00CA5EFF"/>
    <w:rsid w:val="00CA6001"/>
    <w:rsid w:val="00CA6347"/>
    <w:rsid w:val="00CA6427"/>
    <w:rsid w:val="00CA646A"/>
    <w:rsid w:val="00CA69B4"/>
    <w:rsid w:val="00CA6A7E"/>
    <w:rsid w:val="00CA6B51"/>
    <w:rsid w:val="00CA710A"/>
    <w:rsid w:val="00CA7628"/>
    <w:rsid w:val="00CA7658"/>
    <w:rsid w:val="00CA77C5"/>
    <w:rsid w:val="00CA7835"/>
    <w:rsid w:val="00CA7A77"/>
    <w:rsid w:val="00CA7D38"/>
    <w:rsid w:val="00CA7EA3"/>
    <w:rsid w:val="00CB0568"/>
    <w:rsid w:val="00CB09A0"/>
    <w:rsid w:val="00CB09E7"/>
    <w:rsid w:val="00CB0ACA"/>
    <w:rsid w:val="00CB0B97"/>
    <w:rsid w:val="00CB10F6"/>
    <w:rsid w:val="00CB1367"/>
    <w:rsid w:val="00CB15BF"/>
    <w:rsid w:val="00CB1774"/>
    <w:rsid w:val="00CB1900"/>
    <w:rsid w:val="00CB1970"/>
    <w:rsid w:val="00CB1B22"/>
    <w:rsid w:val="00CB1DEC"/>
    <w:rsid w:val="00CB1DFB"/>
    <w:rsid w:val="00CB1F54"/>
    <w:rsid w:val="00CB212D"/>
    <w:rsid w:val="00CB2209"/>
    <w:rsid w:val="00CB2365"/>
    <w:rsid w:val="00CB25B4"/>
    <w:rsid w:val="00CB2660"/>
    <w:rsid w:val="00CB268E"/>
    <w:rsid w:val="00CB2B44"/>
    <w:rsid w:val="00CB33DA"/>
    <w:rsid w:val="00CB3658"/>
    <w:rsid w:val="00CB3766"/>
    <w:rsid w:val="00CB3934"/>
    <w:rsid w:val="00CB3975"/>
    <w:rsid w:val="00CB3A04"/>
    <w:rsid w:val="00CB3AA7"/>
    <w:rsid w:val="00CB3D2A"/>
    <w:rsid w:val="00CB3F4F"/>
    <w:rsid w:val="00CB401E"/>
    <w:rsid w:val="00CB420B"/>
    <w:rsid w:val="00CB447C"/>
    <w:rsid w:val="00CB46CC"/>
    <w:rsid w:val="00CB4946"/>
    <w:rsid w:val="00CB4D49"/>
    <w:rsid w:val="00CB51F9"/>
    <w:rsid w:val="00CB5405"/>
    <w:rsid w:val="00CB55E6"/>
    <w:rsid w:val="00CB5B57"/>
    <w:rsid w:val="00CB5CC9"/>
    <w:rsid w:val="00CB6563"/>
    <w:rsid w:val="00CB675A"/>
    <w:rsid w:val="00CB6873"/>
    <w:rsid w:val="00CB68A6"/>
    <w:rsid w:val="00CB68D3"/>
    <w:rsid w:val="00CB6914"/>
    <w:rsid w:val="00CB6A15"/>
    <w:rsid w:val="00CB6BBC"/>
    <w:rsid w:val="00CB6BD5"/>
    <w:rsid w:val="00CB6CDB"/>
    <w:rsid w:val="00CB6E4D"/>
    <w:rsid w:val="00CB6EEA"/>
    <w:rsid w:val="00CB7019"/>
    <w:rsid w:val="00CB7174"/>
    <w:rsid w:val="00CB72FC"/>
    <w:rsid w:val="00CB75DC"/>
    <w:rsid w:val="00CB768E"/>
    <w:rsid w:val="00CB78CC"/>
    <w:rsid w:val="00CC033F"/>
    <w:rsid w:val="00CC0411"/>
    <w:rsid w:val="00CC0526"/>
    <w:rsid w:val="00CC06B3"/>
    <w:rsid w:val="00CC08FE"/>
    <w:rsid w:val="00CC0C3B"/>
    <w:rsid w:val="00CC1D21"/>
    <w:rsid w:val="00CC2014"/>
    <w:rsid w:val="00CC2355"/>
    <w:rsid w:val="00CC23DD"/>
    <w:rsid w:val="00CC2479"/>
    <w:rsid w:val="00CC25EE"/>
    <w:rsid w:val="00CC2BC5"/>
    <w:rsid w:val="00CC2CE0"/>
    <w:rsid w:val="00CC2D25"/>
    <w:rsid w:val="00CC2F8A"/>
    <w:rsid w:val="00CC2FB9"/>
    <w:rsid w:val="00CC305E"/>
    <w:rsid w:val="00CC3194"/>
    <w:rsid w:val="00CC31C5"/>
    <w:rsid w:val="00CC33E4"/>
    <w:rsid w:val="00CC3DA8"/>
    <w:rsid w:val="00CC40F6"/>
    <w:rsid w:val="00CC437D"/>
    <w:rsid w:val="00CC44AC"/>
    <w:rsid w:val="00CC4507"/>
    <w:rsid w:val="00CC4FB6"/>
    <w:rsid w:val="00CC4FCD"/>
    <w:rsid w:val="00CC54BA"/>
    <w:rsid w:val="00CC5619"/>
    <w:rsid w:val="00CC5A69"/>
    <w:rsid w:val="00CC5E90"/>
    <w:rsid w:val="00CC5E9E"/>
    <w:rsid w:val="00CC5FD0"/>
    <w:rsid w:val="00CC6286"/>
    <w:rsid w:val="00CC62A2"/>
    <w:rsid w:val="00CC636E"/>
    <w:rsid w:val="00CC68DB"/>
    <w:rsid w:val="00CC6DEA"/>
    <w:rsid w:val="00CC6EB4"/>
    <w:rsid w:val="00CC6EEB"/>
    <w:rsid w:val="00CC7018"/>
    <w:rsid w:val="00CC7072"/>
    <w:rsid w:val="00CC7123"/>
    <w:rsid w:val="00CC73C1"/>
    <w:rsid w:val="00CC759E"/>
    <w:rsid w:val="00CC76D2"/>
    <w:rsid w:val="00CC7862"/>
    <w:rsid w:val="00CC7B6E"/>
    <w:rsid w:val="00CC7BE0"/>
    <w:rsid w:val="00CC7D0D"/>
    <w:rsid w:val="00CC7F14"/>
    <w:rsid w:val="00CD046C"/>
    <w:rsid w:val="00CD04FC"/>
    <w:rsid w:val="00CD07FB"/>
    <w:rsid w:val="00CD0EA6"/>
    <w:rsid w:val="00CD1071"/>
    <w:rsid w:val="00CD1103"/>
    <w:rsid w:val="00CD127C"/>
    <w:rsid w:val="00CD186A"/>
    <w:rsid w:val="00CD1947"/>
    <w:rsid w:val="00CD1B0D"/>
    <w:rsid w:val="00CD1C0C"/>
    <w:rsid w:val="00CD1D70"/>
    <w:rsid w:val="00CD215D"/>
    <w:rsid w:val="00CD21B3"/>
    <w:rsid w:val="00CD21DC"/>
    <w:rsid w:val="00CD241B"/>
    <w:rsid w:val="00CD2990"/>
    <w:rsid w:val="00CD2A95"/>
    <w:rsid w:val="00CD2B79"/>
    <w:rsid w:val="00CD31BC"/>
    <w:rsid w:val="00CD352F"/>
    <w:rsid w:val="00CD39A2"/>
    <w:rsid w:val="00CD3E9E"/>
    <w:rsid w:val="00CD4108"/>
    <w:rsid w:val="00CD4338"/>
    <w:rsid w:val="00CD489C"/>
    <w:rsid w:val="00CD49CE"/>
    <w:rsid w:val="00CD4B8B"/>
    <w:rsid w:val="00CD4BA5"/>
    <w:rsid w:val="00CD4EAB"/>
    <w:rsid w:val="00CD5CE4"/>
    <w:rsid w:val="00CD5E89"/>
    <w:rsid w:val="00CD6484"/>
    <w:rsid w:val="00CD66CD"/>
    <w:rsid w:val="00CD6740"/>
    <w:rsid w:val="00CD68FD"/>
    <w:rsid w:val="00CD6BFE"/>
    <w:rsid w:val="00CD6F85"/>
    <w:rsid w:val="00CD72F1"/>
    <w:rsid w:val="00CD73B3"/>
    <w:rsid w:val="00CD741C"/>
    <w:rsid w:val="00CD7561"/>
    <w:rsid w:val="00CD7A8E"/>
    <w:rsid w:val="00CD7ABD"/>
    <w:rsid w:val="00CD7C47"/>
    <w:rsid w:val="00CE0033"/>
    <w:rsid w:val="00CE009C"/>
    <w:rsid w:val="00CE0151"/>
    <w:rsid w:val="00CE02F4"/>
    <w:rsid w:val="00CE04B9"/>
    <w:rsid w:val="00CE0543"/>
    <w:rsid w:val="00CE076C"/>
    <w:rsid w:val="00CE0F5A"/>
    <w:rsid w:val="00CE1745"/>
    <w:rsid w:val="00CE174C"/>
    <w:rsid w:val="00CE17C9"/>
    <w:rsid w:val="00CE1801"/>
    <w:rsid w:val="00CE1A73"/>
    <w:rsid w:val="00CE1DFC"/>
    <w:rsid w:val="00CE20B6"/>
    <w:rsid w:val="00CE245D"/>
    <w:rsid w:val="00CE2A89"/>
    <w:rsid w:val="00CE2DD7"/>
    <w:rsid w:val="00CE2FB5"/>
    <w:rsid w:val="00CE311B"/>
    <w:rsid w:val="00CE318B"/>
    <w:rsid w:val="00CE366D"/>
    <w:rsid w:val="00CE371E"/>
    <w:rsid w:val="00CE37F3"/>
    <w:rsid w:val="00CE394F"/>
    <w:rsid w:val="00CE3D55"/>
    <w:rsid w:val="00CE40FF"/>
    <w:rsid w:val="00CE4343"/>
    <w:rsid w:val="00CE434E"/>
    <w:rsid w:val="00CE4419"/>
    <w:rsid w:val="00CE44CE"/>
    <w:rsid w:val="00CE4A64"/>
    <w:rsid w:val="00CE4C21"/>
    <w:rsid w:val="00CE4D31"/>
    <w:rsid w:val="00CE5199"/>
    <w:rsid w:val="00CE5305"/>
    <w:rsid w:val="00CE547B"/>
    <w:rsid w:val="00CE59DE"/>
    <w:rsid w:val="00CE5A44"/>
    <w:rsid w:val="00CE5C5B"/>
    <w:rsid w:val="00CE5D46"/>
    <w:rsid w:val="00CE5DB7"/>
    <w:rsid w:val="00CE6649"/>
    <w:rsid w:val="00CE66D5"/>
    <w:rsid w:val="00CE672C"/>
    <w:rsid w:val="00CE6D06"/>
    <w:rsid w:val="00CE6E9A"/>
    <w:rsid w:val="00CE78B1"/>
    <w:rsid w:val="00CE7C68"/>
    <w:rsid w:val="00CE7F4A"/>
    <w:rsid w:val="00CE7FB0"/>
    <w:rsid w:val="00CE7FC5"/>
    <w:rsid w:val="00CF011F"/>
    <w:rsid w:val="00CF012B"/>
    <w:rsid w:val="00CF02D8"/>
    <w:rsid w:val="00CF0811"/>
    <w:rsid w:val="00CF102F"/>
    <w:rsid w:val="00CF10B2"/>
    <w:rsid w:val="00CF11CB"/>
    <w:rsid w:val="00CF1229"/>
    <w:rsid w:val="00CF18D1"/>
    <w:rsid w:val="00CF1FAC"/>
    <w:rsid w:val="00CF2584"/>
    <w:rsid w:val="00CF2938"/>
    <w:rsid w:val="00CF29AF"/>
    <w:rsid w:val="00CF2B4C"/>
    <w:rsid w:val="00CF2CFE"/>
    <w:rsid w:val="00CF2D2D"/>
    <w:rsid w:val="00CF3144"/>
    <w:rsid w:val="00CF351C"/>
    <w:rsid w:val="00CF396D"/>
    <w:rsid w:val="00CF3A2D"/>
    <w:rsid w:val="00CF3E8C"/>
    <w:rsid w:val="00CF3FE8"/>
    <w:rsid w:val="00CF438A"/>
    <w:rsid w:val="00CF43DB"/>
    <w:rsid w:val="00CF45D6"/>
    <w:rsid w:val="00CF4A54"/>
    <w:rsid w:val="00CF4EE8"/>
    <w:rsid w:val="00CF4F4B"/>
    <w:rsid w:val="00CF54A5"/>
    <w:rsid w:val="00CF55F9"/>
    <w:rsid w:val="00CF581D"/>
    <w:rsid w:val="00CF5907"/>
    <w:rsid w:val="00CF5B9C"/>
    <w:rsid w:val="00CF5C49"/>
    <w:rsid w:val="00CF637A"/>
    <w:rsid w:val="00CF6417"/>
    <w:rsid w:val="00CF6754"/>
    <w:rsid w:val="00CF677F"/>
    <w:rsid w:val="00CF6787"/>
    <w:rsid w:val="00CF67F9"/>
    <w:rsid w:val="00CF690A"/>
    <w:rsid w:val="00CF6C35"/>
    <w:rsid w:val="00CF6DE7"/>
    <w:rsid w:val="00CF7664"/>
    <w:rsid w:val="00CF7A42"/>
    <w:rsid w:val="00CF7E17"/>
    <w:rsid w:val="00CF7EB4"/>
    <w:rsid w:val="00D0014F"/>
    <w:rsid w:val="00D00383"/>
    <w:rsid w:val="00D0086F"/>
    <w:rsid w:val="00D00928"/>
    <w:rsid w:val="00D00C12"/>
    <w:rsid w:val="00D01027"/>
    <w:rsid w:val="00D010CF"/>
    <w:rsid w:val="00D0122F"/>
    <w:rsid w:val="00D0171F"/>
    <w:rsid w:val="00D0175B"/>
    <w:rsid w:val="00D018AD"/>
    <w:rsid w:val="00D01BBD"/>
    <w:rsid w:val="00D01E41"/>
    <w:rsid w:val="00D01FD1"/>
    <w:rsid w:val="00D022A2"/>
    <w:rsid w:val="00D02764"/>
    <w:rsid w:val="00D02DAA"/>
    <w:rsid w:val="00D02DB7"/>
    <w:rsid w:val="00D03E7E"/>
    <w:rsid w:val="00D03F26"/>
    <w:rsid w:val="00D04259"/>
    <w:rsid w:val="00D044BD"/>
    <w:rsid w:val="00D046A0"/>
    <w:rsid w:val="00D046C4"/>
    <w:rsid w:val="00D04F27"/>
    <w:rsid w:val="00D052B4"/>
    <w:rsid w:val="00D05582"/>
    <w:rsid w:val="00D05894"/>
    <w:rsid w:val="00D059DE"/>
    <w:rsid w:val="00D05B0B"/>
    <w:rsid w:val="00D05D29"/>
    <w:rsid w:val="00D062FF"/>
    <w:rsid w:val="00D0639F"/>
    <w:rsid w:val="00D063AD"/>
    <w:rsid w:val="00D066BF"/>
    <w:rsid w:val="00D068DE"/>
    <w:rsid w:val="00D06C0D"/>
    <w:rsid w:val="00D0706F"/>
    <w:rsid w:val="00D071B0"/>
    <w:rsid w:val="00D07351"/>
    <w:rsid w:val="00D078F2"/>
    <w:rsid w:val="00D07CD3"/>
    <w:rsid w:val="00D10017"/>
    <w:rsid w:val="00D1016C"/>
    <w:rsid w:val="00D10504"/>
    <w:rsid w:val="00D107AA"/>
    <w:rsid w:val="00D108E9"/>
    <w:rsid w:val="00D10E07"/>
    <w:rsid w:val="00D10F5B"/>
    <w:rsid w:val="00D112E6"/>
    <w:rsid w:val="00D115FA"/>
    <w:rsid w:val="00D1165D"/>
    <w:rsid w:val="00D11A5E"/>
    <w:rsid w:val="00D11B06"/>
    <w:rsid w:val="00D122CE"/>
    <w:rsid w:val="00D1255D"/>
    <w:rsid w:val="00D12665"/>
    <w:rsid w:val="00D127BA"/>
    <w:rsid w:val="00D1284F"/>
    <w:rsid w:val="00D1292D"/>
    <w:rsid w:val="00D12CAB"/>
    <w:rsid w:val="00D12EFE"/>
    <w:rsid w:val="00D13137"/>
    <w:rsid w:val="00D1390E"/>
    <w:rsid w:val="00D13C2A"/>
    <w:rsid w:val="00D13D09"/>
    <w:rsid w:val="00D13FCE"/>
    <w:rsid w:val="00D1453E"/>
    <w:rsid w:val="00D14557"/>
    <w:rsid w:val="00D149F1"/>
    <w:rsid w:val="00D14D4D"/>
    <w:rsid w:val="00D14D5F"/>
    <w:rsid w:val="00D14ECA"/>
    <w:rsid w:val="00D14F16"/>
    <w:rsid w:val="00D15325"/>
    <w:rsid w:val="00D15370"/>
    <w:rsid w:val="00D159C3"/>
    <w:rsid w:val="00D15B6C"/>
    <w:rsid w:val="00D15EC3"/>
    <w:rsid w:val="00D15F59"/>
    <w:rsid w:val="00D162A1"/>
    <w:rsid w:val="00D163F2"/>
    <w:rsid w:val="00D1647D"/>
    <w:rsid w:val="00D166BA"/>
    <w:rsid w:val="00D167D5"/>
    <w:rsid w:val="00D167FE"/>
    <w:rsid w:val="00D16870"/>
    <w:rsid w:val="00D168E6"/>
    <w:rsid w:val="00D173C6"/>
    <w:rsid w:val="00D173D2"/>
    <w:rsid w:val="00D17482"/>
    <w:rsid w:val="00D17929"/>
    <w:rsid w:val="00D17CC0"/>
    <w:rsid w:val="00D17FBF"/>
    <w:rsid w:val="00D200F6"/>
    <w:rsid w:val="00D20226"/>
    <w:rsid w:val="00D202AC"/>
    <w:rsid w:val="00D203B3"/>
    <w:rsid w:val="00D2052B"/>
    <w:rsid w:val="00D20558"/>
    <w:rsid w:val="00D20A44"/>
    <w:rsid w:val="00D20AB9"/>
    <w:rsid w:val="00D20B84"/>
    <w:rsid w:val="00D20BD7"/>
    <w:rsid w:val="00D20D0E"/>
    <w:rsid w:val="00D20EA8"/>
    <w:rsid w:val="00D20FB9"/>
    <w:rsid w:val="00D2116F"/>
    <w:rsid w:val="00D211CE"/>
    <w:rsid w:val="00D21320"/>
    <w:rsid w:val="00D21891"/>
    <w:rsid w:val="00D21966"/>
    <w:rsid w:val="00D21A95"/>
    <w:rsid w:val="00D21A9E"/>
    <w:rsid w:val="00D21B3A"/>
    <w:rsid w:val="00D21D43"/>
    <w:rsid w:val="00D21ECA"/>
    <w:rsid w:val="00D21F40"/>
    <w:rsid w:val="00D22010"/>
    <w:rsid w:val="00D22566"/>
    <w:rsid w:val="00D22575"/>
    <w:rsid w:val="00D225CE"/>
    <w:rsid w:val="00D226F1"/>
    <w:rsid w:val="00D2281E"/>
    <w:rsid w:val="00D22A2B"/>
    <w:rsid w:val="00D22E8A"/>
    <w:rsid w:val="00D2333E"/>
    <w:rsid w:val="00D2360B"/>
    <w:rsid w:val="00D236A7"/>
    <w:rsid w:val="00D2399B"/>
    <w:rsid w:val="00D239E9"/>
    <w:rsid w:val="00D247B5"/>
    <w:rsid w:val="00D248F7"/>
    <w:rsid w:val="00D24A7F"/>
    <w:rsid w:val="00D24ED7"/>
    <w:rsid w:val="00D24EFB"/>
    <w:rsid w:val="00D251F2"/>
    <w:rsid w:val="00D255FE"/>
    <w:rsid w:val="00D2562A"/>
    <w:rsid w:val="00D2577D"/>
    <w:rsid w:val="00D25974"/>
    <w:rsid w:val="00D25DA5"/>
    <w:rsid w:val="00D25E35"/>
    <w:rsid w:val="00D25E53"/>
    <w:rsid w:val="00D25FD8"/>
    <w:rsid w:val="00D2602F"/>
    <w:rsid w:val="00D26301"/>
    <w:rsid w:val="00D2631B"/>
    <w:rsid w:val="00D26A84"/>
    <w:rsid w:val="00D26D2F"/>
    <w:rsid w:val="00D271E9"/>
    <w:rsid w:val="00D27665"/>
    <w:rsid w:val="00D27690"/>
    <w:rsid w:val="00D276A7"/>
    <w:rsid w:val="00D276C8"/>
    <w:rsid w:val="00D27700"/>
    <w:rsid w:val="00D27B53"/>
    <w:rsid w:val="00D302B9"/>
    <w:rsid w:val="00D306D1"/>
    <w:rsid w:val="00D306F3"/>
    <w:rsid w:val="00D308F8"/>
    <w:rsid w:val="00D309B3"/>
    <w:rsid w:val="00D30B38"/>
    <w:rsid w:val="00D30BB0"/>
    <w:rsid w:val="00D30DD0"/>
    <w:rsid w:val="00D3127C"/>
    <w:rsid w:val="00D31642"/>
    <w:rsid w:val="00D31674"/>
    <w:rsid w:val="00D318D8"/>
    <w:rsid w:val="00D31F3C"/>
    <w:rsid w:val="00D32002"/>
    <w:rsid w:val="00D32082"/>
    <w:rsid w:val="00D320C9"/>
    <w:rsid w:val="00D324B3"/>
    <w:rsid w:val="00D3282D"/>
    <w:rsid w:val="00D329C8"/>
    <w:rsid w:val="00D33614"/>
    <w:rsid w:val="00D33852"/>
    <w:rsid w:val="00D33903"/>
    <w:rsid w:val="00D33AF6"/>
    <w:rsid w:val="00D33CE8"/>
    <w:rsid w:val="00D33E17"/>
    <w:rsid w:val="00D34291"/>
    <w:rsid w:val="00D343B8"/>
    <w:rsid w:val="00D345DE"/>
    <w:rsid w:val="00D34740"/>
    <w:rsid w:val="00D34786"/>
    <w:rsid w:val="00D34BE9"/>
    <w:rsid w:val="00D34C63"/>
    <w:rsid w:val="00D34E8F"/>
    <w:rsid w:val="00D34EC4"/>
    <w:rsid w:val="00D35634"/>
    <w:rsid w:val="00D35829"/>
    <w:rsid w:val="00D35966"/>
    <w:rsid w:val="00D35BD0"/>
    <w:rsid w:val="00D35D07"/>
    <w:rsid w:val="00D35D37"/>
    <w:rsid w:val="00D35F36"/>
    <w:rsid w:val="00D35F98"/>
    <w:rsid w:val="00D360E3"/>
    <w:rsid w:val="00D363CB"/>
    <w:rsid w:val="00D367BC"/>
    <w:rsid w:val="00D3681A"/>
    <w:rsid w:val="00D3682C"/>
    <w:rsid w:val="00D36B0E"/>
    <w:rsid w:val="00D36DC7"/>
    <w:rsid w:val="00D3710A"/>
    <w:rsid w:val="00D37396"/>
    <w:rsid w:val="00D373F6"/>
    <w:rsid w:val="00D37B53"/>
    <w:rsid w:val="00D37BBE"/>
    <w:rsid w:val="00D40168"/>
    <w:rsid w:val="00D40175"/>
    <w:rsid w:val="00D401E6"/>
    <w:rsid w:val="00D4075D"/>
    <w:rsid w:val="00D409A3"/>
    <w:rsid w:val="00D413C3"/>
    <w:rsid w:val="00D415E8"/>
    <w:rsid w:val="00D4163E"/>
    <w:rsid w:val="00D41751"/>
    <w:rsid w:val="00D41B21"/>
    <w:rsid w:val="00D41B66"/>
    <w:rsid w:val="00D41BBF"/>
    <w:rsid w:val="00D41DC9"/>
    <w:rsid w:val="00D42D8E"/>
    <w:rsid w:val="00D43262"/>
    <w:rsid w:val="00D43675"/>
    <w:rsid w:val="00D43835"/>
    <w:rsid w:val="00D43A4E"/>
    <w:rsid w:val="00D43AD3"/>
    <w:rsid w:val="00D43B9E"/>
    <w:rsid w:val="00D43F6C"/>
    <w:rsid w:val="00D44154"/>
    <w:rsid w:val="00D44D1C"/>
    <w:rsid w:val="00D44E75"/>
    <w:rsid w:val="00D45354"/>
    <w:rsid w:val="00D455DD"/>
    <w:rsid w:val="00D455FA"/>
    <w:rsid w:val="00D45802"/>
    <w:rsid w:val="00D45CA7"/>
    <w:rsid w:val="00D46045"/>
    <w:rsid w:val="00D4610B"/>
    <w:rsid w:val="00D461A2"/>
    <w:rsid w:val="00D46263"/>
    <w:rsid w:val="00D4628A"/>
    <w:rsid w:val="00D4665B"/>
    <w:rsid w:val="00D46970"/>
    <w:rsid w:val="00D46A1F"/>
    <w:rsid w:val="00D46B2C"/>
    <w:rsid w:val="00D46CEA"/>
    <w:rsid w:val="00D46E22"/>
    <w:rsid w:val="00D46E48"/>
    <w:rsid w:val="00D46EBE"/>
    <w:rsid w:val="00D471E9"/>
    <w:rsid w:val="00D4750B"/>
    <w:rsid w:val="00D47537"/>
    <w:rsid w:val="00D47A8E"/>
    <w:rsid w:val="00D47E7A"/>
    <w:rsid w:val="00D5022E"/>
    <w:rsid w:val="00D506C4"/>
    <w:rsid w:val="00D50823"/>
    <w:rsid w:val="00D50CC0"/>
    <w:rsid w:val="00D50CE1"/>
    <w:rsid w:val="00D50CF0"/>
    <w:rsid w:val="00D50D9E"/>
    <w:rsid w:val="00D50E69"/>
    <w:rsid w:val="00D51633"/>
    <w:rsid w:val="00D51F61"/>
    <w:rsid w:val="00D52474"/>
    <w:rsid w:val="00D524E7"/>
    <w:rsid w:val="00D52D14"/>
    <w:rsid w:val="00D52D7B"/>
    <w:rsid w:val="00D52EDC"/>
    <w:rsid w:val="00D52F9C"/>
    <w:rsid w:val="00D531E3"/>
    <w:rsid w:val="00D532F7"/>
    <w:rsid w:val="00D534C7"/>
    <w:rsid w:val="00D538AD"/>
    <w:rsid w:val="00D5390E"/>
    <w:rsid w:val="00D53AA8"/>
    <w:rsid w:val="00D53D62"/>
    <w:rsid w:val="00D541CC"/>
    <w:rsid w:val="00D543A9"/>
    <w:rsid w:val="00D54451"/>
    <w:rsid w:val="00D5477A"/>
    <w:rsid w:val="00D550AF"/>
    <w:rsid w:val="00D5519A"/>
    <w:rsid w:val="00D553E1"/>
    <w:rsid w:val="00D557EC"/>
    <w:rsid w:val="00D55A37"/>
    <w:rsid w:val="00D55BB5"/>
    <w:rsid w:val="00D562DC"/>
    <w:rsid w:val="00D5671A"/>
    <w:rsid w:val="00D56BFB"/>
    <w:rsid w:val="00D57276"/>
    <w:rsid w:val="00D5747F"/>
    <w:rsid w:val="00D5755B"/>
    <w:rsid w:val="00D57732"/>
    <w:rsid w:val="00D57CC6"/>
    <w:rsid w:val="00D57E70"/>
    <w:rsid w:val="00D6022F"/>
    <w:rsid w:val="00D60299"/>
    <w:rsid w:val="00D603D4"/>
    <w:rsid w:val="00D607FA"/>
    <w:rsid w:val="00D60CA1"/>
    <w:rsid w:val="00D60F3A"/>
    <w:rsid w:val="00D612F9"/>
    <w:rsid w:val="00D616FB"/>
    <w:rsid w:val="00D61CF7"/>
    <w:rsid w:val="00D6214E"/>
    <w:rsid w:val="00D62720"/>
    <w:rsid w:val="00D628CB"/>
    <w:rsid w:val="00D62D3D"/>
    <w:rsid w:val="00D62EE3"/>
    <w:rsid w:val="00D6322D"/>
    <w:rsid w:val="00D63D41"/>
    <w:rsid w:val="00D63EBC"/>
    <w:rsid w:val="00D6401D"/>
    <w:rsid w:val="00D64185"/>
    <w:rsid w:val="00D64A85"/>
    <w:rsid w:val="00D652B5"/>
    <w:rsid w:val="00D65495"/>
    <w:rsid w:val="00D65A02"/>
    <w:rsid w:val="00D65F09"/>
    <w:rsid w:val="00D65F25"/>
    <w:rsid w:val="00D661BB"/>
    <w:rsid w:val="00D66395"/>
    <w:rsid w:val="00D66426"/>
    <w:rsid w:val="00D664FC"/>
    <w:rsid w:val="00D66684"/>
    <w:rsid w:val="00D66A14"/>
    <w:rsid w:val="00D66B72"/>
    <w:rsid w:val="00D670D4"/>
    <w:rsid w:val="00D67255"/>
    <w:rsid w:val="00D67780"/>
    <w:rsid w:val="00D6785E"/>
    <w:rsid w:val="00D67B63"/>
    <w:rsid w:val="00D67CC4"/>
    <w:rsid w:val="00D7001D"/>
    <w:rsid w:val="00D70810"/>
    <w:rsid w:val="00D70C8B"/>
    <w:rsid w:val="00D712D3"/>
    <w:rsid w:val="00D7130B"/>
    <w:rsid w:val="00D71422"/>
    <w:rsid w:val="00D7151E"/>
    <w:rsid w:val="00D71A72"/>
    <w:rsid w:val="00D7200F"/>
    <w:rsid w:val="00D724ED"/>
    <w:rsid w:val="00D7257D"/>
    <w:rsid w:val="00D72582"/>
    <w:rsid w:val="00D72716"/>
    <w:rsid w:val="00D7282B"/>
    <w:rsid w:val="00D728F8"/>
    <w:rsid w:val="00D72DC6"/>
    <w:rsid w:val="00D73102"/>
    <w:rsid w:val="00D7337D"/>
    <w:rsid w:val="00D73420"/>
    <w:rsid w:val="00D73451"/>
    <w:rsid w:val="00D737C1"/>
    <w:rsid w:val="00D73BE4"/>
    <w:rsid w:val="00D7401B"/>
    <w:rsid w:val="00D7431C"/>
    <w:rsid w:val="00D7451B"/>
    <w:rsid w:val="00D74BA2"/>
    <w:rsid w:val="00D74D79"/>
    <w:rsid w:val="00D7519B"/>
    <w:rsid w:val="00D752E8"/>
    <w:rsid w:val="00D754E1"/>
    <w:rsid w:val="00D7558D"/>
    <w:rsid w:val="00D758B9"/>
    <w:rsid w:val="00D75996"/>
    <w:rsid w:val="00D75997"/>
    <w:rsid w:val="00D75E0D"/>
    <w:rsid w:val="00D75E7C"/>
    <w:rsid w:val="00D7603D"/>
    <w:rsid w:val="00D7609D"/>
    <w:rsid w:val="00D76222"/>
    <w:rsid w:val="00D76409"/>
    <w:rsid w:val="00D767FC"/>
    <w:rsid w:val="00D7682C"/>
    <w:rsid w:val="00D7684D"/>
    <w:rsid w:val="00D76B90"/>
    <w:rsid w:val="00D76DC1"/>
    <w:rsid w:val="00D76E90"/>
    <w:rsid w:val="00D77087"/>
    <w:rsid w:val="00D7724D"/>
    <w:rsid w:val="00D77660"/>
    <w:rsid w:val="00D77E3E"/>
    <w:rsid w:val="00D80192"/>
    <w:rsid w:val="00D80196"/>
    <w:rsid w:val="00D803E6"/>
    <w:rsid w:val="00D80452"/>
    <w:rsid w:val="00D80A28"/>
    <w:rsid w:val="00D80B10"/>
    <w:rsid w:val="00D80BAC"/>
    <w:rsid w:val="00D810A9"/>
    <w:rsid w:val="00D810EB"/>
    <w:rsid w:val="00D812CF"/>
    <w:rsid w:val="00D81D92"/>
    <w:rsid w:val="00D81DB1"/>
    <w:rsid w:val="00D8270C"/>
    <w:rsid w:val="00D828B3"/>
    <w:rsid w:val="00D8295A"/>
    <w:rsid w:val="00D82C41"/>
    <w:rsid w:val="00D82F57"/>
    <w:rsid w:val="00D82F90"/>
    <w:rsid w:val="00D83270"/>
    <w:rsid w:val="00D832DD"/>
    <w:rsid w:val="00D83493"/>
    <w:rsid w:val="00D834FD"/>
    <w:rsid w:val="00D83533"/>
    <w:rsid w:val="00D83D0E"/>
    <w:rsid w:val="00D84457"/>
    <w:rsid w:val="00D8456A"/>
    <w:rsid w:val="00D8460F"/>
    <w:rsid w:val="00D8463B"/>
    <w:rsid w:val="00D84B05"/>
    <w:rsid w:val="00D84F1F"/>
    <w:rsid w:val="00D850AC"/>
    <w:rsid w:val="00D85115"/>
    <w:rsid w:val="00D85295"/>
    <w:rsid w:val="00D85638"/>
    <w:rsid w:val="00D85731"/>
    <w:rsid w:val="00D85874"/>
    <w:rsid w:val="00D858B7"/>
    <w:rsid w:val="00D85BCD"/>
    <w:rsid w:val="00D85D3C"/>
    <w:rsid w:val="00D85EAB"/>
    <w:rsid w:val="00D85EF7"/>
    <w:rsid w:val="00D860DF"/>
    <w:rsid w:val="00D86479"/>
    <w:rsid w:val="00D868E2"/>
    <w:rsid w:val="00D86926"/>
    <w:rsid w:val="00D86A15"/>
    <w:rsid w:val="00D86B6A"/>
    <w:rsid w:val="00D86B70"/>
    <w:rsid w:val="00D86C32"/>
    <w:rsid w:val="00D86C80"/>
    <w:rsid w:val="00D871DD"/>
    <w:rsid w:val="00D87369"/>
    <w:rsid w:val="00D8739D"/>
    <w:rsid w:val="00D873CB"/>
    <w:rsid w:val="00D87607"/>
    <w:rsid w:val="00D878B9"/>
    <w:rsid w:val="00D87BF1"/>
    <w:rsid w:val="00D900B7"/>
    <w:rsid w:val="00D90284"/>
    <w:rsid w:val="00D90291"/>
    <w:rsid w:val="00D906E2"/>
    <w:rsid w:val="00D906FD"/>
    <w:rsid w:val="00D90CDF"/>
    <w:rsid w:val="00D91193"/>
    <w:rsid w:val="00D91266"/>
    <w:rsid w:val="00D912E1"/>
    <w:rsid w:val="00D914A2"/>
    <w:rsid w:val="00D917CF"/>
    <w:rsid w:val="00D91882"/>
    <w:rsid w:val="00D91BCE"/>
    <w:rsid w:val="00D91DF1"/>
    <w:rsid w:val="00D91F0B"/>
    <w:rsid w:val="00D9245F"/>
    <w:rsid w:val="00D92701"/>
    <w:rsid w:val="00D927A3"/>
    <w:rsid w:val="00D928B6"/>
    <w:rsid w:val="00D9291F"/>
    <w:rsid w:val="00D92961"/>
    <w:rsid w:val="00D92C49"/>
    <w:rsid w:val="00D92CC8"/>
    <w:rsid w:val="00D92D6D"/>
    <w:rsid w:val="00D9324C"/>
    <w:rsid w:val="00D938BF"/>
    <w:rsid w:val="00D93ACB"/>
    <w:rsid w:val="00D9413C"/>
    <w:rsid w:val="00D94765"/>
    <w:rsid w:val="00D9479F"/>
    <w:rsid w:val="00D94887"/>
    <w:rsid w:val="00D94A3B"/>
    <w:rsid w:val="00D95628"/>
    <w:rsid w:val="00D956C3"/>
    <w:rsid w:val="00D957DD"/>
    <w:rsid w:val="00D95A66"/>
    <w:rsid w:val="00D95CAC"/>
    <w:rsid w:val="00D95FB0"/>
    <w:rsid w:val="00D96050"/>
    <w:rsid w:val="00D961AB"/>
    <w:rsid w:val="00D96436"/>
    <w:rsid w:val="00D96480"/>
    <w:rsid w:val="00D967D0"/>
    <w:rsid w:val="00D96E10"/>
    <w:rsid w:val="00D96E4F"/>
    <w:rsid w:val="00D9739F"/>
    <w:rsid w:val="00D97446"/>
    <w:rsid w:val="00D974F6"/>
    <w:rsid w:val="00D9757F"/>
    <w:rsid w:val="00D9763D"/>
    <w:rsid w:val="00D9793C"/>
    <w:rsid w:val="00D97B6E"/>
    <w:rsid w:val="00D97C62"/>
    <w:rsid w:val="00DA05DA"/>
    <w:rsid w:val="00DA080E"/>
    <w:rsid w:val="00DA0ACA"/>
    <w:rsid w:val="00DA0B90"/>
    <w:rsid w:val="00DA0CF1"/>
    <w:rsid w:val="00DA11C9"/>
    <w:rsid w:val="00DA1224"/>
    <w:rsid w:val="00DA1276"/>
    <w:rsid w:val="00DA138B"/>
    <w:rsid w:val="00DA14C4"/>
    <w:rsid w:val="00DA14C8"/>
    <w:rsid w:val="00DA14E2"/>
    <w:rsid w:val="00DA1707"/>
    <w:rsid w:val="00DA1993"/>
    <w:rsid w:val="00DA2039"/>
    <w:rsid w:val="00DA203D"/>
    <w:rsid w:val="00DA2351"/>
    <w:rsid w:val="00DA264A"/>
    <w:rsid w:val="00DA2675"/>
    <w:rsid w:val="00DA2C92"/>
    <w:rsid w:val="00DA326B"/>
    <w:rsid w:val="00DA380D"/>
    <w:rsid w:val="00DA391E"/>
    <w:rsid w:val="00DA4062"/>
    <w:rsid w:val="00DA4162"/>
    <w:rsid w:val="00DA4372"/>
    <w:rsid w:val="00DA451E"/>
    <w:rsid w:val="00DA4592"/>
    <w:rsid w:val="00DA59AB"/>
    <w:rsid w:val="00DA5B57"/>
    <w:rsid w:val="00DA5F7B"/>
    <w:rsid w:val="00DA5F80"/>
    <w:rsid w:val="00DA5FD7"/>
    <w:rsid w:val="00DA6AB0"/>
    <w:rsid w:val="00DA6D54"/>
    <w:rsid w:val="00DA7111"/>
    <w:rsid w:val="00DA7B5F"/>
    <w:rsid w:val="00DA7BF2"/>
    <w:rsid w:val="00DA7E3F"/>
    <w:rsid w:val="00DA7EE8"/>
    <w:rsid w:val="00DB0010"/>
    <w:rsid w:val="00DB00A0"/>
    <w:rsid w:val="00DB0A25"/>
    <w:rsid w:val="00DB0D85"/>
    <w:rsid w:val="00DB11C3"/>
    <w:rsid w:val="00DB1255"/>
    <w:rsid w:val="00DB1335"/>
    <w:rsid w:val="00DB13F3"/>
    <w:rsid w:val="00DB14AA"/>
    <w:rsid w:val="00DB1657"/>
    <w:rsid w:val="00DB1767"/>
    <w:rsid w:val="00DB1843"/>
    <w:rsid w:val="00DB22F3"/>
    <w:rsid w:val="00DB2856"/>
    <w:rsid w:val="00DB29D2"/>
    <w:rsid w:val="00DB2B1A"/>
    <w:rsid w:val="00DB32E8"/>
    <w:rsid w:val="00DB330D"/>
    <w:rsid w:val="00DB3618"/>
    <w:rsid w:val="00DB397C"/>
    <w:rsid w:val="00DB3C3F"/>
    <w:rsid w:val="00DB4292"/>
    <w:rsid w:val="00DB4904"/>
    <w:rsid w:val="00DB4CE5"/>
    <w:rsid w:val="00DB50A5"/>
    <w:rsid w:val="00DB5635"/>
    <w:rsid w:val="00DB567E"/>
    <w:rsid w:val="00DB5A76"/>
    <w:rsid w:val="00DB5BF0"/>
    <w:rsid w:val="00DB5C1D"/>
    <w:rsid w:val="00DB6648"/>
    <w:rsid w:val="00DB6960"/>
    <w:rsid w:val="00DB69E7"/>
    <w:rsid w:val="00DB6BC5"/>
    <w:rsid w:val="00DB6CA2"/>
    <w:rsid w:val="00DB6DCC"/>
    <w:rsid w:val="00DB76E2"/>
    <w:rsid w:val="00DB7AEB"/>
    <w:rsid w:val="00DB7BC2"/>
    <w:rsid w:val="00DB7CD5"/>
    <w:rsid w:val="00DC0183"/>
    <w:rsid w:val="00DC01D2"/>
    <w:rsid w:val="00DC0482"/>
    <w:rsid w:val="00DC0551"/>
    <w:rsid w:val="00DC05B8"/>
    <w:rsid w:val="00DC0767"/>
    <w:rsid w:val="00DC0A3C"/>
    <w:rsid w:val="00DC0D80"/>
    <w:rsid w:val="00DC0DE3"/>
    <w:rsid w:val="00DC11E7"/>
    <w:rsid w:val="00DC140D"/>
    <w:rsid w:val="00DC1580"/>
    <w:rsid w:val="00DC166C"/>
    <w:rsid w:val="00DC1A2E"/>
    <w:rsid w:val="00DC1D18"/>
    <w:rsid w:val="00DC1E9C"/>
    <w:rsid w:val="00DC2B87"/>
    <w:rsid w:val="00DC2C10"/>
    <w:rsid w:val="00DC32D8"/>
    <w:rsid w:val="00DC337C"/>
    <w:rsid w:val="00DC3564"/>
    <w:rsid w:val="00DC3942"/>
    <w:rsid w:val="00DC3981"/>
    <w:rsid w:val="00DC3B33"/>
    <w:rsid w:val="00DC409A"/>
    <w:rsid w:val="00DC4351"/>
    <w:rsid w:val="00DC435F"/>
    <w:rsid w:val="00DC499C"/>
    <w:rsid w:val="00DC4DB4"/>
    <w:rsid w:val="00DC51DD"/>
    <w:rsid w:val="00DC51F6"/>
    <w:rsid w:val="00DC5A67"/>
    <w:rsid w:val="00DC5B0D"/>
    <w:rsid w:val="00DC5C29"/>
    <w:rsid w:val="00DC6095"/>
    <w:rsid w:val="00DC6180"/>
    <w:rsid w:val="00DC61E2"/>
    <w:rsid w:val="00DC61EE"/>
    <w:rsid w:val="00DC6667"/>
    <w:rsid w:val="00DC672D"/>
    <w:rsid w:val="00DC6783"/>
    <w:rsid w:val="00DC67B2"/>
    <w:rsid w:val="00DC6884"/>
    <w:rsid w:val="00DC6B69"/>
    <w:rsid w:val="00DC6F0A"/>
    <w:rsid w:val="00DC6F6C"/>
    <w:rsid w:val="00DC6F7C"/>
    <w:rsid w:val="00DC7023"/>
    <w:rsid w:val="00DC7355"/>
    <w:rsid w:val="00DC74E5"/>
    <w:rsid w:val="00DC769A"/>
    <w:rsid w:val="00DC7BAF"/>
    <w:rsid w:val="00DC7E66"/>
    <w:rsid w:val="00DD018B"/>
    <w:rsid w:val="00DD063E"/>
    <w:rsid w:val="00DD0888"/>
    <w:rsid w:val="00DD0BBA"/>
    <w:rsid w:val="00DD0E82"/>
    <w:rsid w:val="00DD1443"/>
    <w:rsid w:val="00DD2142"/>
    <w:rsid w:val="00DD237C"/>
    <w:rsid w:val="00DD2396"/>
    <w:rsid w:val="00DD24ED"/>
    <w:rsid w:val="00DD256F"/>
    <w:rsid w:val="00DD298A"/>
    <w:rsid w:val="00DD2EC0"/>
    <w:rsid w:val="00DD31F9"/>
    <w:rsid w:val="00DD32A8"/>
    <w:rsid w:val="00DD3BC4"/>
    <w:rsid w:val="00DD3D86"/>
    <w:rsid w:val="00DD3E65"/>
    <w:rsid w:val="00DD3EF7"/>
    <w:rsid w:val="00DD410F"/>
    <w:rsid w:val="00DD4387"/>
    <w:rsid w:val="00DD4712"/>
    <w:rsid w:val="00DD497E"/>
    <w:rsid w:val="00DD49CF"/>
    <w:rsid w:val="00DD4BD2"/>
    <w:rsid w:val="00DD4C4D"/>
    <w:rsid w:val="00DD4CA8"/>
    <w:rsid w:val="00DD4D63"/>
    <w:rsid w:val="00DD4E5F"/>
    <w:rsid w:val="00DD515F"/>
    <w:rsid w:val="00DD59FB"/>
    <w:rsid w:val="00DD5B44"/>
    <w:rsid w:val="00DD5BBB"/>
    <w:rsid w:val="00DD5F5E"/>
    <w:rsid w:val="00DD65CF"/>
    <w:rsid w:val="00DD684B"/>
    <w:rsid w:val="00DD686E"/>
    <w:rsid w:val="00DD6B98"/>
    <w:rsid w:val="00DD6BA1"/>
    <w:rsid w:val="00DD6D14"/>
    <w:rsid w:val="00DD6D40"/>
    <w:rsid w:val="00DD6D92"/>
    <w:rsid w:val="00DD6F74"/>
    <w:rsid w:val="00DD70A5"/>
    <w:rsid w:val="00DD70D2"/>
    <w:rsid w:val="00DE02F3"/>
    <w:rsid w:val="00DE0367"/>
    <w:rsid w:val="00DE067B"/>
    <w:rsid w:val="00DE07D2"/>
    <w:rsid w:val="00DE07E4"/>
    <w:rsid w:val="00DE09A1"/>
    <w:rsid w:val="00DE09A5"/>
    <w:rsid w:val="00DE0A59"/>
    <w:rsid w:val="00DE1353"/>
    <w:rsid w:val="00DE14A4"/>
    <w:rsid w:val="00DE18AE"/>
    <w:rsid w:val="00DE19C3"/>
    <w:rsid w:val="00DE1ECE"/>
    <w:rsid w:val="00DE21FB"/>
    <w:rsid w:val="00DE2229"/>
    <w:rsid w:val="00DE2387"/>
    <w:rsid w:val="00DE238D"/>
    <w:rsid w:val="00DE2535"/>
    <w:rsid w:val="00DE26A0"/>
    <w:rsid w:val="00DE2805"/>
    <w:rsid w:val="00DE28F4"/>
    <w:rsid w:val="00DE2A16"/>
    <w:rsid w:val="00DE2B80"/>
    <w:rsid w:val="00DE2B9E"/>
    <w:rsid w:val="00DE2DAB"/>
    <w:rsid w:val="00DE2DCE"/>
    <w:rsid w:val="00DE30FA"/>
    <w:rsid w:val="00DE3193"/>
    <w:rsid w:val="00DE3395"/>
    <w:rsid w:val="00DE3B9B"/>
    <w:rsid w:val="00DE442D"/>
    <w:rsid w:val="00DE449B"/>
    <w:rsid w:val="00DE479C"/>
    <w:rsid w:val="00DE488D"/>
    <w:rsid w:val="00DE4C67"/>
    <w:rsid w:val="00DE4D69"/>
    <w:rsid w:val="00DE4EC3"/>
    <w:rsid w:val="00DE54C6"/>
    <w:rsid w:val="00DE56F7"/>
    <w:rsid w:val="00DE610F"/>
    <w:rsid w:val="00DE6483"/>
    <w:rsid w:val="00DE6CA6"/>
    <w:rsid w:val="00DE6F11"/>
    <w:rsid w:val="00DE70AC"/>
    <w:rsid w:val="00DE710B"/>
    <w:rsid w:val="00DE7267"/>
    <w:rsid w:val="00DE7423"/>
    <w:rsid w:val="00DE77CF"/>
    <w:rsid w:val="00DE792A"/>
    <w:rsid w:val="00DE7BCF"/>
    <w:rsid w:val="00DF01D3"/>
    <w:rsid w:val="00DF05E8"/>
    <w:rsid w:val="00DF077E"/>
    <w:rsid w:val="00DF087C"/>
    <w:rsid w:val="00DF0C1C"/>
    <w:rsid w:val="00DF0D34"/>
    <w:rsid w:val="00DF0F2C"/>
    <w:rsid w:val="00DF0FC5"/>
    <w:rsid w:val="00DF1593"/>
    <w:rsid w:val="00DF1B2F"/>
    <w:rsid w:val="00DF1B4B"/>
    <w:rsid w:val="00DF1BCE"/>
    <w:rsid w:val="00DF200D"/>
    <w:rsid w:val="00DF203B"/>
    <w:rsid w:val="00DF22C9"/>
    <w:rsid w:val="00DF26AA"/>
    <w:rsid w:val="00DF2C04"/>
    <w:rsid w:val="00DF2CDA"/>
    <w:rsid w:val="00DF2D7E"/>
    <w:rsid w:val="00DF2EBC"/>
    <w:rsid w:val="00DF30DA"/>
    <w:rsid w:val="00DF332F"/>
    <w:rsid w:val="00DF36A5"/>
    <w:rsid w:val="00DF39A9"/>
    <w:rsid w:val="00DF3BCF"/>
    <w:rsid w:val="00DF40D4"/>
    <w:rsid w:val="00DF41C7"/>
    <w:rsid w:val="00DF43B8"/>
    <w:rsid w:val="00DF43CA"/>
    <w:rsid w:val="00DF4976"/>
    <w:rsid w:val="00DF4BDC"/>
    <w:rsid w:val="00DF4C06"/>
    <w:rsid w:val="00DF4DC3"/>
    <w:rsid w:val="00DF4E47"/>
    <w:rsid w:val="00DF4E8E"/>
    <w:rsid w:val="00DF4FA5"/>
    <w:rsid w:val="00DF51BD"/>
    <w:rsid w:val="00DF52DC"/>
    <w:rsid w:val="00DF54E8"/>
    <w:rsid w:val="00DF5591"/>
    <w:rsid w:val="00DF5598"/>
    <w:rsid w:val="00DF55E9"/>
    <w:rsid w:val="00DF5814"/>
    <w:rsid w:val="00DF584F"/>
    <w:rsid w:val="00DF5850"/>
    <w:rsid w:val="00DF5AA4"/>
    <w:rsid w:val="00DF5D4F"/>
    <w:rsid w:val="00DF5E7D"/>
    <w:rsid w:val="00DF6137"/>
    <w:rsid w:val="00DF6243"/>
    <w:rsid w:val="00DF640C"/>
    <w:rsid w:val="00DF6541"/>
    <w:rsid w:val="00DF69CF"/>
    <w:rsid w:val="00DF6BE3"/>
    <w:rsid w:val="00DF6D65"/>
    <w:rsid w:val="00DF6EE0"/>
    <w:rsid w:val="00DF7034"/>
    <w:rsid w:val="00DF70B7"/>
    <w:rsid w:val="00DF7380"/>
    <w:rsid w:val="00DF7740"/>
    <w:rsid w:val="00E0018F"/>
    <w:rsid w:val="00E00575"/>
    <w:rsid w:val="00E0068F"/>
    <w:rsid w:val="00E007B6"/>
    <w:rsid w:val="00E00943"/>
    <w:rsid w:val="00E00BED"/>
    <w:rsid w:val="00E00E8B"/>
    <w:rsid w:val="00E01699"/>
    <w:rsid w:val="00E017C6"/>
    <w:rsid w:val="00E01F68"/>
    <w:rsid w:val="00E0215A"/>
    <w:rsid w:val="00E0225F"/>
    <w:rsid w:val="00E0238B"/>
    <w:rsid w:val="00E025B6"/>
    <w:rsid w:val="00E02802"/>
    <w:rsid w:val="00E02D81"/>
    <w:rsid w:val="00E02F88"/>
    <w:rsid w:val="00E03197"/>
    <w:rsid w:val="00E0340B"/>
    <w:rsid w:val="00E03501"/>
    <w:rsid w:val="00E03579"/>
    <w:rsid w:val="00E03835"/>
    <w:rsid w:val="00E03899"/>
    <w:rsid w:val="00E038C5"/>
    <w:rsid w:val="00E03C99"/>
    <w:rsid w:val="00E03D10"/>
    <w:rsid w:val="00E03FB1"/>
    <w:rsid w:val="00E0434E"/>
    <w:rsid w:val="00E0459B"/>
    <w:rsid w:val="00E04626"/>
    <w:rsid w:val="00E0487F"/>
    <w:rsid w:val="00E04B90"/>
    <w:rsid w:val="00E050D2"/>
    <w:rsid w:val="00E05117"/>
    <w:rsid w:val="00E05283"/>
    <w:rsid w:val="00E0542D"/>
    <w:rsid w:val="00E054BE"/>
    <w:rsid w:val="00E05590"/>
    <w:rsid w:val="00E057FC"/>
    <w:rsid w:val="00E05839"/>
    <w:rsid w:val="00E05963"/>
    <w:rsid w:val="00E05B00"/>
    <w:rsid w:val="00E05BD9"/>
    <w:rsid w:val="00E05DD4"/>
    <w:rsid w:val="00E063B5"/>
    <w:rsid w:val="00E06457"/>
    <w:rsid w:val="00E06482"/>
    <w:rsid w:val="00E06900"/>
    <w:rsid w:val="00E06907"/>
    <w:rsid w:val="00E07283"/>
    <w:rsid w:val="00E073AA"/>
    <w:rsid w:val="00E07432"/>
    <w:rsid w:val="00E07651"/>
    <w:rsid w:val="00E07921"/>
    <w:rsid w:val="00E07A00"/>
    <w:rsid w:val="00E07BDD"/>
    <w:rsid w:val="00E07C8F"/>
    <w:rsid w:val="00E07E15"/>
    <w:rsid w:val="00E07E9F"/>
    <w:rsid w:val="00E07F44"/>
    <w:rsid w:val="00E07FFB"/>
    <w:rsid w:val="00E100AC"/>
    <w:rsid w:val="00E100F6"/>
    <w:rsid w:val="00E10211"/>
    <w:rsid w:val="00E10888"/>
    <w:rsid w:val="00E10B87"/>
    <w:rsid w:val="00E11263"/>
    <w:rsid w:val="00E113FD"/>
    <w:rsid w:val="00E11C7C"/>
    <w:rsid w:val="00E11EFC"/>
    <w:rsid w:val="00E12008"/>
    <w:rsid w:val="00E121A5"/>
    <w:rsid w:val="00E124D4"/>
    <w:rsid w:val="00E129DA"/>
    <w:rsid w:val="00E12D6E"/>
    <w:rsid w:val="00E12FA4"/>
    <w:rsid w:val="00E132E4"/>
    <w:rsid w:val="00E134C8"/>
    <w:rsid w:val="00E1365D"/>
    <w:rsid w:val="00E137B9"/>
    <w:rsid w:val="00E138AA"/>
    <w:rsid w:val="00E138C0"/>
    <w:rsid w:val="00E13C6A"/>
    <w:rsid w:val="00E13D83"/>
    <w:rsid w:val="00E13F90"/>
    <w:rsid w:val="00E140CF"/>
    <w:rsid w:val="00E14556"/>
    <w:rsid w:val="00E14A07"/>
    <w:rsid w:val="00E14C31"/>
    <w:rsid w:val="00E14F9B"/>
    <w:rsid w:val="00E150F2"/>
    <w:rsid w:val="00E15153"/>
    <w:rsid w:val="00E152A0"/>
    <w:rsid w:val="00E1541F"/>
    <w:rsid w:val="00E15E74"/>
    <w:rsid w:val="00E161B6"/>
    <w:rsid w:val="00E166A0"/>
    <w:rsid w:val="00E168F4"/>
    <w:rsid w:val="00E16A50"/>
    <w:rsid w:val="00E16C12"/>
    <w:rsid w:val="00E16C4B"/>
    <w:rsid w:val="00E16D17"/>
    <w:rsid w:val="00E17B93"/>
    <w:rsid w:val="00E17EA4"/>
    <w:rsid w:val="00E204FA"/>
    <w:rsid w:val="00E20589"/>
    <w:rsid w:val="00E206A7"/>
    <w:rsid w:val="00E2087C"/>
    <w:rsid w:val="00E20985"/>
    <w:rsid w:val="00E209A8"/>
    <w:rsid w:val="00E20E99"/>
    <w:rsid w:val="00E20EBA"/>
    <w:rsid w:val="00E21558"/>
    <w:rsid w:val="00E2197C"/>
    <w:rsid w:val="00E219C7"/>
    <w:rsid w:val="00E21A2F"/>
    <w:rsid w:val="00E21D0C"/>
    <w:rsid w:val="00E21F0D"/>
    <w:rsid w:val="00E22213"/>
    <w:rsid w:val="00E2257A"/>
    <w:rsid w:val="00E2265D"/>
    <w:rsid w:val="00E226AD"/>
    <w:rsid w:val="00E229A6"/>
    <w:rsid w:val="00E22AFB"/>
    <w:rsid w:val="00E22D18"/>
    <w:rsid w:val="00E22EAD"/>
    <w:rsid w:val="00E22FD5"/>
    <w:rsid w:val="00E2332B"/>
    <w:rsid w:val="00E2335C"/>
    <w:rsid w:val="00E236F6"/>
    <w:rsid w:val="00E23818"/>
    <w:rsid w:val="00E23870"/>
    <w:rsid w:val="00E239AD"/>
    <w:rsid w:val="00E23E3D"/>
    <w:rsid w:val="00E23EAA"/>
    <w:rsid w:val="00E23FC1"/>
    <w:rsid w:val="00E24905"/>
    <w:rsid w:val="00E24C41"/>
    <w:rsid w:val="00E24E60"/>
    <w:rsid w:val="00E24EAC"/>
    <w:rsid w:val="00E25594"/>
    <w:rsid w:val="00E25617"/>
    <w:rsid w:val="00E256CB"/>
    <w:rsid w:val="00E25B14"/>
    <w:rsid w:val="00E25FD2"/>
    <w:rsid w:val="00E26C3D"/>
    <w:rsid w:val="00E26F09"/>
    <w:rsid w:val="00E26FA8"/>
    <w:rsid w:val="00E27024"/>
    <w:rsid w:val="00E2717A"/>
    <w:rsid w:val="00E2726E"/>
    <w:rsid w:val="00E276D7"/>
    <w:rsid w:val="00E27713"/>
    <w:rsid w:val="00E279A0"/>
    <w:rsid w:val="00E27C22"/>
    <w:rsid w:val="00E27E1F"/>
    <w:rsid w:val="00E27FBC"/>
    <w:rsid w:val="00E30410"/>
    <w:rsid w:val="00E30427"/>
    <w:rsid w:val="00E30B11"/>
    <w:rsid w:val="00E30B8F"/>
    <w:rsid w:val="00E30B91"/>
    <w:rsid w:val="00E31015"/>
    <w:rsid w:val="00E31199"/>
    <w:rsid w:val="00E3130F"/>
    <w:rsid w:val="00E31324"/>
    <w:rsid w:val="00E3162A"/>
    <w:rsid w:val="00E3177E"/>
    <w:rsid w:val="00E31AA3"/>
    <w:rsid w:val="00E31BCF"/>
    <w:rsid w:val="00E3229C"/>
    <w:rsid w:val="00E32549"/>
    <w:rsid w:val="00E3262D"/>
    <w:rsid w:val="00E3282D"/>
    <w:rsid w:val="00E32E6B"/>
    <w:rsid w:val="00E334EE"/>
    <w:rsid w:val="00E336DD"/>
    <w:rsid w:val="00E345CB"/>
    <w:rsid w:val="00E34862"/>
    <w:rsid w:val="00E34B4D"/>
    <w:rsid w:val="00E34B77"/>
    <w:rsid w:val="00E34E0F"/>
    <w:rsid w:val="00E34F06"/>
    <w:rsid w:val="00E34F67"/>
    <w:rsid w:val="00E34F86"/>
    <w:rsid w:val="00E3510C"/>
    <w:rsid w:val="00E352FD"/>
    <w:rsid w:val="00E35456"/>
    <w:rsid w:val="00E3569E"/>
    <w:rsid w:val="00E356FD"/>
    <w:rsid w:val="00E3598B"/>
    <w:rsid w:val="00E35C6A"/>
    <w:rsid w:val="00E35CA6"/>
    <w:rsid w:val="00E36321"/>
    <w:rsid w:val="00E3639C"/>
    <w:rsid w:val="00E3643F"/>
    <w:rsid w:val="00E36659"/>
    <w:rsid w:val="00E36709"/>
    <w:rsid w:val="00E36EA1"/>
    <w:rsid w:val="00E36EFF"/>
    <w:rsid w:val="00E36F31"/>
    <w:rsid w:val="00E370AD"/>
    <w:rsid w:val="00E370FE"/>
    <w:rsid w:val="00E3711F"/>
    <w:rsid w:val="00E37318"/>
    <w:rsid w:val="00E375F7"/>
    <w:rsid w:val="00E379FB"/>
    <w:rsid w:val="00E37D41"/>
    <w:rsid w:val="00E402DC"/>
    <w:rsid w:val="00E40449"/>
    <w:rsid w:val="00E404DA"/>
    <w:rsid w:val="00E40742"/>
    <w:rsid w:val="00E40EAA"/>
    <w:rsid w:val="00E4100A"/>
    <w:rsid w:val="00E41873"/>
    <w:rsid w:val="00E41A17"/>
    <w:rsid w:val="00E41AE4"/>
    <w:rsid w:val="00E41D6E"/>
    <w:rsid w:val="00E421BA"/>
    <w:rsid w:val="00E4227A"/>
    <w:rsid w:val="00E424EB"/>
    <w:rsid w:val="00E429E1"/>
    <w:rsid w:val="00E42BC5"/>
    <w:rsid w:val="00E42C57"/>
    <w:rsid w:val="00E42DC6"/>
    <w:rsid w:val="00E42F53"/>
    <w:rsid w:val="00E43157"/>
    <w:rsid w:val="00E43391"/>
    <w:rsid w:val="00E43532"/>
    <w:rsid w:val="00E435B7"/>
    <w:rsid w:val="00E438BC"/>
    <w:rsid w:val="00E43C7E"/>
    <w:rsid w:val="00E44029"/>
    <w:rsid w:val="00E4427A"/>
    <w:rsid w:val="00E442BF"/>
    <w:rsid w:val="00E442EF"/>
    <w:rsid w:val="00E443D8"/>
    <w:rsid w:val="00E44507"/>
    <w:rsid w:val="00E446E1"/>
    <w:rsid w:val="00E4495D"/>
    <w:rsid w:val="00E44A08"/>
    <w:rsid w:val="00E44F1B"/>
    <w:rsid w:val="00E44FB5"/>
    <w:rsid w:val="00E4564E"/>
    <w:rsid w:val="00E45D84"/>
    <w:rsid w:val="00E45E4A"/>
    <w:rsid w:val="00E461B1"/>
    <w:rsid w:val="00E461CE"/>
    <w:rsid w:val="00E461DF"/>
    <w:rsid w:val="00E4688F"/>
    <w:rsid w:val="00E46CFE"/>
    <w:rsid w:val="00E47085"/>
    <w:rsid w:val="00E47274"/>
    <w:rsid w:val="00E475CB"/>
    <w:rsid w:val="00E476A7"/>
    <w:rsid w:val="00E476F7"/>
    <w:rsid w:val="00E47DD5"/>
    <w:rsid w:val="00E47E60"/>
    <w:rsid w:val="00E5027C"/>
    <w:rsid w:val="00E502C3"/>
    <w:rsid w:val="00E50802"/>
    <w:rsid w:val="00E508DA"/>
    <w:rsid w:val="00E50985"/>
    <w:rsid w:val="00E5098A"/>
    <w:rsid w:val="00E509AD"/>
    <w:rsid w:val="00E50ACD"/>
    <w:rsid w:val="00E5111B"/>
    <w:rsid w:val="00E5125E"/>
    <w:rsid w:val="00E5178A"/>
    <w:rsid w:val="00E5183E"/>
    <w:rsid w:val="00E519B9"/>
    <w:rsid w:val="00E51B92"/>
    <w:rsid w:val="00E51F35"/>
    <w:rsid w:val="00E52120"/>
    <w:rsid w:val="00E52195"/>
    <w:rsid w:val="00E52778"/>
    <w:rsid w:val="00E52B0D"/>
    <w:rsid w:val="00E52B9C"/>
    <w:rsid w:val="00E532BF"/>
    <w:rsid w:val="00E53475"/>
    <w:rsid w:val="00E53522"/>
    <w:rsid w:val="00E53D1F"/>
    <w:rsid w:val="00E5464B"/>
    <w:rsid w:val="00E54667"/>
    <w:rsid w:val="00E5476A"/>
    <w:rsid w:val="00E549E8"/>
    <w:rsid w:val="00E54CF0"/>
    <w:rsid w:val="00E555A6"/>
    <w:rsid w:val="00E55C1E"/>
    <w:rsid w:val="00E55C9B"/>
    <w:rsid w:val="00E55EE9"/>
    <w:rsid w:val="00E56170"/>
    <w:rsid w:val="00E5630B"/>
    <w:rsid w:val="00E567D1"/>
    <w:rsid w:val="00E5697D"/>
    <w:rsid w:val="00E56AA3"/>
    <w:rsid w:val="00E56DC9"/>
    <w:rsid w:val="00E571A2"/>
    <w:rsid w:val="00E57390"/>
    <w:rsid w:val="00E577BB"/>
    <w:rsid w:val="00E57951"/>
    <w:rsid w:val="00E57D93"/>
    <w:rsid w:val="00E60177"/>
    <w:rsid w:val="00E6041E"/>
    <w:rsid w:val="00E6076F"/>
    <w:rsid w:val="00E6079F"/>
    <w:rsid w:val="00E60984"/>
    <w:rsid w:val="00E60DCD"/>
    <w:rsid w:val="00E60F11"/>
    <w:rsid w:val="00E611C5"/>
    <w:rsid w:val="00E6134B"/>
    <w:rsid w:val="00E6166A"/>
    <w:rsid w:val="00E61AF4"/>
    <w:rsid w:val="00E620D3"/>
    <w:rsid w:val="00E6236C"/>
    <w:rsid w:val="00E625E8"/>
    <w:rsid w:val="00E626A4"/>
    <w:rsid w:val="00E63181"/>
    <w:rsid w:val="00E6318B"/>
    <w:rsid w:val="00E632A1"/>
    <w:rsid w:val="00E633AE"/>
    <w:rsid w:val="00E6354B"/>
    <w:rsid w:val="00E6377D"/>
    <w:rsid w:val="00E638E9"/>
    <w:rsid w:val="00E63F00"/>
    <w:rsid w:val="00E63FB9"/>
    <w:rsid w:val="00E64439"/>
    <w:rsid w:val="00E64593"/>
    <w:rsid w:val="00E64C50"/>
    <w:rsid w:val="00E64E6F"/>
    <w:rsid w:val="00E64F6D"/>
    <w:rsid w:val="00E6503F"/>
    <w:rsid w:val="00E65121"/>
    <w:rsid w:val="00E6521A"/>
    <w:rsid w:val="00E65231"/>
    <w:rsid w:val="00E65686"/>
    <w:rsid w:val="00E6583F"/>
    <w:rsid w:val="00E65A0A"/>
    <w:rsid w:val="00E65D77"/>
    <w:rsid w:val="00E65E9D"/>
    <w:rsid w:val="00E65EEA"/>
    <w:rsid w:val="00E6608B"/>
    <w:rsid w:val="00E66401"/>
    <w:rsid w:val="00E666EC"/>
    <w:rsid w:val="00E66CA6"/>
    <w:rsid w:val="00E671D9"/>
    <w:rsid w:val="00E6751B"/>
    <w:rsid w:val="00E675D5"/>
    <w:rsid w:val="00E67C61"/>
    <w:rsid w:val="00E67D4F"/>
    <w:rsid w:val="00E67FE0"/>
    <w:rsid w:val="00E70489"/>
    <w:rsid w:val="00E7071E"/>
    <w:rsid w:val="00E709CE"/>
    <w:rsid w:val="00E70C6E"/>
    <w:rsid w:val="00E70DB4"/>
    <w:rsid w:val="00E7107C"/>
    <w:rsid w:val="00E711D2"/>
    <w:rsid w:val="00E71634"/>
    <w:rsid w:val="00E71846"/>
    <w:rsid w:val="00E7199C"/>
    <w:rsid w:val="00E71AC7"/>
    <w:rsid w:val="00E71D4F"/>
    <w:rsid w:val="00E720CA"/>
    <w:rsid w:val="00E722E2"/>
    <w:rsid w:val="00E725D4"/>
    <w:rsid w:val="00E72680"/>
    <w:rsid w:val="00E72705"/>
    <w:rsid w:val="00E72B00"/>
    <w:rsid w:val="00E72BF4"/>
    <w:rsid w:val="00E72D9C"/>
    <w:rsid w:val="00E72E14"/>
    <w:rsid w:val="00E73324"/>
    <w:rsid w:val="00E73DA2"/>
    <w:rsid w:val="00E73F34"/>
    <w:rsid w:val="00E741A4"/>
    <w:rsid w:val="00E741C9"/>
    <w:rsid w:val="00E74444"/>
    <w:rsid w:val="00E746DB"/>
    <w:rsid w:val="00E74D92"/>
    <w:rsid w:val="00E74DC8"/>
    <w:rsid w:val="00E751B6"/>
    <w:rsid w:val="00E751DA"/>
    <w:rsid w:val="00E751E0"/>
    <w:rsid w:val="00E752DD"/>
    <w:rsid w:val="00E75431"/>
    <w:rsid w:val="00E75980"/>
    <w:rsid w:val="00E75A4B"/>
    <w:rsid w:val="00E75C30"/>
    <w:rsid w:val="00E75CDA"/>
    <w:rsid w:val="00E761D6"/>
    <w:rsid w:val="00E763FB"/>
    <w:rsid w:val="00E767F0"/>
    <w:rsid w:val="00E76888"/>
    <w:rsid w:val="00E775F0"/>
    <w:rsid w:val="00E77728"/>
    <w:rsid w:val="00E77817"/>
    <w:rsid w:val="00E77DCE"/>
    <w:rsid w:val="00E77E37"/>
    <w:rsid w:val="00E802E4"/>
    <w:rsid w:val="00E8030C"/>
    <w:rsid w:val="00E8072F"/>
    <w:rsid w:val="00E80909"/>
    <w:rsid w:val="00E80D57"/>
    <w:rsid w:val="00E80E14"/>
    <w:rsid w:val="00E80FE4"/>
    <w:rsid w:val="00E810C5"/>
    <w:rsid w:val="00E816E4"/>
    <w:rsid w:val="00E81BF2"/>
    <w:rsid w:val="00E820D5"/>
    <w:rsid w:val="00E821A1"/>
    <w:rsid w:val="00E822A7"/>
    <w:rsid w:val="00E82893"/>
    <w:rsid w:val="00E829D7"/>
    <w:rsid w:val="00E82BA0"/>
    <w:rsid w:val="00E82BEE"/>
    <w:rsid w:val="00E82CCE"/>
    <w:rsid w:val="00E82DD9"/>
    <w:rsid w:val="00E830D2"/>
    <w:rsid w:val="00E8354B"/>
    <w:rsid w:val="00E83682"/>
    <w:rsid w:val="00E838BB"/>
    <w:rsid w:val="00E83BBD"/>
    <w:rsid w:val="00E83C3F"/>
    <w:rsid w:val="00E83F5C"/>
    <w:rsid w:val="00E840EE"/>
    <w:rsid w:val="00E841AF"/>
    <w:rsid w:val="00E84437"/>
    <w:rsid w:val="00E84727"/>
    <w:rsid w:val="00E849E5"/>
    <w:rsid w:val="00E84B42"/>
    <w:rsid w:val="00E84E07"/>
    <w:rsid w:val="00E84EB5"/>
    <w:rsid w:val="00E8505C"/>
    <w:rsid w:val="00E85662"/>
    <w:rsid w:val="00E85717"/>
    <w:rsid w:val="00E85865"/>
    <w:rsid w:val="00E8587C"/>
    <w:rsid w:val="00E85940"/>
    <w:rsid w:val="00E85A35"/>
    <w:rsid w:val="00E85B36"/>
    <w:rsid w:val="00E85BB1"/>
    <w:rsid w:val="00E8629D"/>
    <w:rsid w:val="00E8674F"/>
    <w:rsid w:val="00E86983"/>
    <w:rsid w:val="00E86A9C"/>
    <w:rsid w:val="00E86B98"/>
    <w:rsid w:val="00E8734C"/>
    <w:rsid w:val="00E8744A"/>
    <w:rsid w:val="00E876D9"/>
    <w:rsid w:val="00E877A1"/>
    <w:rsid w:val="00E8789F"/>
    <w:rsid w:val="00E900BE"/>
    <w:rsid w:val="00E90559"/>
    <w:rsid w:val="00E90613"/>
    <w:rsid w:val="00E9074C"/>
    <w:rsid w:val="00E90AEF"/>
    <w:rsid w:val="00E90B04"/>
    <w:rsid w:val="00E90BF7"/>
    <w:rsid w:val="00E90F6D"/>
    <w:rsid w:val="00E917E5"/>
    <w:rsid w:val="00E918FD"/>
    <w:rsid w:val="00E91A0A"/>
    <w:rsid w:val="00E91BB5"/>
    <w:rsid w:val="00E91BED"/>
    <w:rsid w:val="00E91CE8"/>
    <w:rsid w:val="00E91D64"/>
    <w:rsid w:val="00E91F27"/>
    <w:rsid w:val="00E91F29"/>
    <w:rsid w:val="00E92441"/>
    <w:rsid w:val="00E9247F"/>
    <w:rsid w:val="00E925A2"/>
    <w:rsid w:val="00E9272C"/>
    <w:rsid w:val="00E927F3"/>
    <w:rsid w:val="00E92AB0"/>
    <w:rsid w:val="00E92B0C"/>
    <w:rsid w:val="00E92C44"/>
    <w:rsid w:val="00E92CA6"/>
    <w:rsid w:val="00E931CF"/>
    <w:rsid w:val="00E9373C"/>
    <w:rsid w:val="00E93945"/>
    <w:rsid w:val="00E93954"/>
    <w:rsid w:val="00E93ACE"/>
    <w:rsid w:val="00E93FD8"/>
    <w:rsid w:val="00E943D5"/>
    <w:rsid w:val="00E94A36"/>
    <w:rsid w:val="00E950CD"/>
    <w:rsid w:val="00E9542C"/>
    <w:rsid w:val="00E956AB"/>
    <w:rsid w:val="00E956AD"/>
    <w:rsid w:val="00E95905"/>
    <w:rsid w:val="00E95C05"/>
    <w:rsid w:val="00E95EDC"/>
    <w:rsid w:val="00E960E0"/>
    <w:rsid w:val="00E960F8"/>
    <w:rsid w:val="00E967BC"/>
    <w:rsid w:val="00E967FF"/>
    <w:rsid w:val="00E96E07"/>
    <w:rsid w:val="00E96E1A"/>
    <w:rsid w:val="00E97A6C"/>
    <w:rsid w:val="00E97A79"/>
    <w:rsid w:val="00E97B71"/>
    <w:rsid w:val="00E97C19"/>
    <w:rsid w:val="00E97F29"/>
    <w:rsid w:val="00EA00A7"/>
    <w:rsid w:val="00EA030C"/>
    <w:rsid w:val="00EA058D"/>
    <w:rsid w:val="00EA0A0E"/>
    <w:rsid w:val="00EA0ACD"/>
    <w:rsid w:val="00EA0C4F"/>
    <w:rsid w:val="00EA10FA"/>
    <w:rsid w:val="00EA1360"/>
    <w:rsid w:val="00EA14B3"/>
    <w:rsid w:val="00EA16D3"/>
    <w:rsid w:val="00EA16FC"/>
    <w:rsid w:val="00EA193B"/>
    <w:rsid w:val="00EA1A04"/>
    <w:rsid w:val="00EA1BEE"/>
    <w:rsid w:val="00EA1C2A"/>
    <w:rsid w:val="00EA1CA1"/>
    <w:rsid w:val="00EA1E6E"/>
    <w:rsid w:val="00EA301B"/>
    <w:rsid w:val="00EA33E8"/>
    <w:rsid w:val="00EA3BB7"/>
    <w:rsid w:val="00EA3CC1"/>
    <w:rsid w:val="00EA3D34"/>
    <w:rsid w:val="00EA4447"/>
    <w:rsid w:val="00EA4459"/>
    <w:rsid w:val="00EA4585"/>
    <w:rsid w:val="00EA458C"/>
    <w:rsid w:val="00EA4702"/>
    <w:rsid w:val="00EA4730"/>
    <w:rsid w:val="00EA4837"/>
    <w:rsid w:val="00EA4865"/>
    <w:rsid w:val="00EA4B01"/>
    <w:rsid w:val="00EA4FFC"/>
    <w:rsid w:val="00EA5190"/>
    <w:rsid w:val="00EA53B4"/>
    <w:rsid w:val="00EA55F3"/>
    <w:rsid w:val="00EA59B1"/>
    <w:rsid w:val="00EA59BB"/>
    <w:rsid w:val="00EA5C48"/>
    <w:rsid w:val="00EA5D1F"/>
    <w:rsid w:val="00EA5DBC"/>
    <w:rsid w:val="00EA5E58"/>
    <w:rsid w:val="00EA609D"/>
    <w:rsid w:val="00EA640E"/>
    <w:rsid w:val="00EA68AD"/>
    <w:rsid w:val="00EA6B9C"/>
    <w:rsid w:val="00EA6BBB"/>
    <w:rsid w:val="00EA6E86"/>
    <w:rsid w:val="00EA71E0"/>
    <w:rsid w:val="00EA7416"/>
    <w:rsid w:val="00EA74FD"/>
    <w:rsid w:val="00EA79AB"/>
    <w:rsid w:val="00EA7DA0"/>
    <w:rsid w:val="00EA7DAD"/>
    <w:rsid w:val="00EB0009"/>
    <w:rsid w:val="00EB0237"/>
    <w:rsid w:val="00EB0584"/>
    <w:rsid w:val="00EB0A73"/>
    <w:rsid w:val="00EB0CC8"/>
    <w:rsid w:val="00EB0CE7"/>
    <w:rsid w:val="00EB0EBD"/>
    <w:rsid w:val="00EB1116"/>
    <w:rsid w:val="00EB1199"/>
    <w:rsid w:val="00EB1228"/>
    <w:rsid w:val="00EB1307"/>
    <w:rsid w:val="00EB1348"/>
    <w:rsid w:val="00EB151A"/>
    <w:rsid w:val="00EB17DA"/>
    <w:rsid w:val="00EB183A"/>
    <w:rsid w:val="00EB1949"/>
    <w:rsid w:val="00EB1FA6"/>
    <w:rsid w:val="00EB2252"/>
    <w:rsid w:val="00EB24A6"/>
    <w:rsid w:val="00EB24F9"/>
    <w:rsid w:val="00EB26D3"/>
    <w:rsid w:val="00EB2AC2"/>
    <w:rsid w:val="00EB2D76"/>
    <w:rsid w:val="00EB3019"/>
    <w:rsid w:val="00EB38D2"/>
    <w:rsid w:val="00EB3952"/>
    <w:rsid w:val="00EB39AE"/>
    <w:rsid w:val="00EB3E59"/>
    <w:rsid w:val="00EB3F5A"/>
    <w:rsid w:val="00EB408E"/>
    <w:rsid w:val="00EB413B"/>
    <w:rsid w:val="00EB454D"/>
    <w:rsid w:val="00EB473E"/>
    <w:rsid w:val="00EB492B"/>
    <w:rsid w:val="00EB496A"/>
    <w:rsid w:val="00EB4EF7"/>
    <w:rsid w:val="00EB521A"/>
    <w:rsid w:val="00EB576A"/>
    <w:rsid w:val="00EB60D2"/>
    <w:rsid w:val="00EB6159"/>
    <w:rsid w:val="00EB65F1"/>
    <w:rsid w:val="00EB6709"/>
    <w:rsid w:val="00EB68BD"/>
    <w:rsid w:val="00EB6964"/>
    <w:rsid w:val="00EB6BB4"/>
    <w:rsid w:val="00EB6DE1"/>
    <w:rsid w:val="00EB71A1"/>
    <w:rsid w:val="00EB720C"/>
    <w:rsid w:val="00EB7601"/>
    <w:rsid w:val="00EB7776"/>
    <w:rsid w:val="00EB7C0C"/>
    <w:rsid w:val="00EB7CCF"/>
    <w:rsid w:val="00EB7D08"/>
    <w:rsid w:val="00EC01D9"/>
    <w:rsid w:val="00EC07A3"/>
    <w:rsid w:val="00EC0B67"/>
    <w:rsid w:val="00EC1348"/>
    <w:rsid w:val="00EC250C"/>
    <w:rsid w:val="00EC25B8"/>
    <w:rsid w:val="00EC271E"/>
    <w:rsid w:val="00EC2A68"/>
    <w:rsid w:val="00EC2F58"/>
    <w:rsid w:val="00EC3420"/>
    <w:rsid w:val="00EC3939"/>
    <w:rsid w:val="00EC3B35"/>
    <w:rsid w:val="00EC3F5A"/>
    <w:rsid w:val="00EC456F"/>
    <w:rsid w:val="00EC46F5"/>
    <w:rsid w:val="00EC48FA"/>
    <w:rsid w:val="00EC4D70"/>
    <w:rsid w:val="00EC4DAF"/>
    <w:rsid w:val="00EC5171"/>
    <w:rsid w:val="00EC542B"/>
    <w:rsid w:val="00EC57CD"/>
    <w:rsid w:val="00EC57F1"/>
    <w:rsid w:val="00EC5871"/>
    <w:rsid w:val="00EC5AE5"/>
    <w:rsid w:val="00EC5C06"/>
    <w:rsid w:val="00EC5CB1"/>
    <w:rsid w:val="00EC5EC4"/>
    <w:rsid w:val="00EC5F21"/>
    <w:rsid w:val="00EC5FC9"/>
    <w:rsid w:val="00EC6131"/>
    <w:rsid w:val="00EC6162"/>
    <w:rsid w:val="00EC62FC"/>
    <w:rsid w:val="00EC64A6"/>
    <w:rsid w:val="00EC699E"/>
    <w:rsid w:val="00EC6C07"/>
    <w:rsid w:val="00EC6E83"/>
    <w:rsid w:val="00EC6FCD"/>
    <w:rsid w:val="00EC730A"/>
    <w:rsid w:val="00EC75CD"/>
    <w:rsid w:val="00EC7729"/>
    <w:rsid w:val="00EC7E71"/>
    <w:rsid w:val="00ED075D"/>
    <w:rsid w:val="00ED1109"/>
    <w:rsid w:val="00ED13EE"/>
    <w:rsid w:val="00ED1421"/>
    <w:rsid w:val="00ED1454"/>
    <w:rsid w:val="00ED14D5"/>
    <w:rsid w:val="00ED1725"/>
    <w:rsid w:val="00ED18DC"/>
    <w:rsid w:val="00ED1A3E"/>
    <w:rsid w:val="00ED1B04"/>
    <w:rsid w:val="00ED1C68"/>
    <w:rsid w:val="00ED211C"/>
    <w:rsid w:val="00ED248C"/>
    <w:rsid w:val="00ED2642"/>
    <w:rsid w:val="00ED27A3"/>
    <w:rsid w:val="00ED2824"/>
    <w:rsid w:val="00ED295F"/>
    <w:rsid w:val="00ED2B97"/>
    <w:rsid w:val="00ED2D74"/>
    <w:rsid w:val="00ED2DC6"/>
    <w:rsid w:val="00ED2FCF"/>
    <w:rsid w:val="00ED3118"/>
    <w:rsid w:val="00ED3A60"/>
    <w:rsid w:val="00ED3D04"/>
    <w:rsid w:val="00ED4148"/>
    <w:rsid w:val="00ED4370"/>
    <w:rsid w:val="00ED4911"/>
    <w:rsid w:val="00ED4C70"/>
    <w:rsid w:val="00ED4F32"/>
    <w:rsid w:val="00ED50C9"/>
    <w:rsid w:val="00ED52D6"/>
    <w:rsid w:val="00ED54AA"/>
    <w:rsid w:val="00ED5D69"/>
    <w:rsid w:val="00ED5FA0"/>
    <w:rsid w:val="00ED65C4"/>
    <w:rsid w:val="00ED6765"/>
    <w:rsid w:val="00ED67F1"/>
    <w:rsid w:val="00ED6A09"/>
    <w:rsid w:val="00ED6FAF"/>
    <w:rsid w:val="00ED6FBD"/>
    <w:rsid w:val="00ED75BD"/>
    <w:rsid w:val="00ED76BE"/>
    <w:rsid w:val="00ED7799"/>
    <w:rsid w:val="00ED7C53"/>
    <w:rsid w:val="00ED7DE2"/>
    <w:rsid w:val="00ED7F66"/>
    <w:rsid w:val="00ED7FD0"/>
    <w:rsid w:val="00EE0032"/>
    <w:rsid w:val="00EE0034"/>
    <w:rsid w:val="00EE0397"/>
    <w:rsid w:val="00EE0432"/>
    <w:rsid w:val="00EE0747"/>
    <w:rsid w:val="00EE07CF"/>
    <w:rsid w:val="00EE0E65"/>
    <w:rsid w:val="00EE0EF2"/>
    <w:rsid w:val="00EE0F3C"/>
    <w:rsid w:val="00EE0F45"/>
    <w:rsid w:val="00EE0F71"/>
    <w:rsid w:val="00EE1406"/>
    <w:rsid w:val="00EE1655"/>
    <w:rsid w:val="00EE1908"/>
    <w:rsid w:val="00EE1981"/>
    <w:rsid w:val="00EE1A7D"/>
    <w:rsid w:val="00EE1F51"/>
    <w:rsid w:val="00EE224E"/>
    <w:rsid w:val="00EE246F"/>
    <w:rsid w:val="00EE24F0"/>
    <w:rsid w:val="00EE2B90"/>
    <w:rsid w:val="00EE2B93"/>
    <w:rsid w:val="00EE2CE9"/>
    <w:rsid w:val="00EE3881"/>
    <w:rsid w:val="00EE3C36"/>
    <w:rsid w:val="00EE3CBA"/>
    <w:rsid w:val="00EE3EEA"/>
    <w:rsid w:val="00EE40D7"/>
    <w:rsid w:val="00EE4181"/>
    <w:rsid w:val="00EE42B2"/>
    <w:rsid w:val="00EE4414"/>
    <w:rsid w:val="00EE44D5"/>
    <w:rsid w:val="00EE4F2C"/>
    <w:rsid w:val="00EE5038"/>
    <w:rsid w:val="00EE51CE"/>
    <w:rsid w:val="00EE52BC"/>
    <w:rsid w:val="00EE56E1"/>
    <w:rsid w:val="00EE5735"/>
    <w:rsid w:val="00EE5AB2"/>
    <w:rsid w:val="00EE62E2"/>
    <w:rsid w:val="00EE66D5"/>
    <w:rsid w:val="00EE6BFA"/>
    <w:rsid w:val="00EE6E06"/>
    <w:rsid w:val="00EE708F"/>
    <w:rsid w:val="00EE78D4"/>
    <w:rsid w:val="00EE7AF3"/>
    <w:rsid w:val="00EE7DB5"/>
    <w:rsid w:val="00EE7DC6"/>
    <w:rsid w:val="00EF0086"/>
    <w:rsid w:val="00EF019F"/>
    <w:rsid w:val="00EF041B"/>
    <w:rsid w:val="00EF057A"/>
    <w:rsid w:val="00EF09B3"/>
    <w:rsid w:val="00EF0CFD"/>
    <w:rsid w:val="00EF0E20"/>
    <w:rsid w:val="00EF0E91"/>
    <w:rsid w:val="00EF10AE"/>
    <w:rsid w:val="00EF1533"/>
    <w:rsid w:val="00EF1620"/>
    <w:rsid w:val="00EF1767"/>
    <w:rsid w:val="00EF1FDC"/>
    <w:rsid w:val="00EF20EA"/>
    <w:rsid w:val="00EF25E4"/>
    <w:rsid w:val="00EF2CC9"/>
    <w:rsid w:val="00EF2CEA"/>
    <w:rsid w:val="00EF2E44"/>
    <w:rsid w:val="00EF300A"/>
    <w:rsid w:val="00EF3628"/>
    <w:rsid w:val="00EF36A2"/>
    <w:rsid w:val="00EF3789"/>
    <w:rsid w:val="00EF380F"/>
    <w:rsid w:val="00EF3997"/>
    <w:rsid w:val="00EF3A41"/>
    <w:rsid w:val="00EF3AAC"/>
    <w:rsid w:val="00EF3ACE"/>
    <w:rsid w:val="00EF3F5D"/>
    <w:rsid w:val="00EF40D4"/>
    <w:rsid w:val="00EF42B8"/>
    <w:rsid w:val="00EF4A52"/>
    <w:rsid w:val="00EF4B8C"/>
    <w:rsid w:val="00EF4D4A"/>
    <w:rsid w:val="00EF4D82"/>
    <w:rsid w:val="00EF5489"/>
    <w:rsid w:val="00EF55FC"/>
    <w:rsid w:val="00EF58B9"/>
    <w:rsid w:val="00EF5C68"/>
    <w:rsid w:val="00EF5F2C"/>
    <w:rsid w:val="00EF619B"/>
    <w:rsid w:val="00EF65A4"/>
    <w:rsid w:val="00EF65DB"/>
    <w:rsid w:val="00EF66D7"/>
    <w:rsid w:val="00EF6AE4"/>
    <w:rsid w:val="00EF6B97"/>
    <w:rsid w:val="00EF6C7F"/>
    <w:rsid w:val="00EF6DE9"/>
    <w:rsid w:val="00EF7060"/>
    <w:rsid w:val="00EF73D7"/>
    <w:rsid w:val="00EF7417"/>
    <w:rsid w:val="00EF758E"/>
    <w:rsid w:val="00EF769D"/>
    <w:rsid w:val="00EF76B1"/>
    <w:rsid w:val="00EF7710"/>
    <w:rsid w:val="00EF7AD6"/>
    <w:rsid w:val="00EF7ADD"/>
    <w:rsid w:val="00EF7B0E"/>
    <w:rsid w:val="00EF7C5E"/>
    <w:rsid w:val="00EF7E01"/>
    <w:rsid w:val="00F00055"/>
    <w:rsid w:val="00F00323"/>
    <w:rsid w:val="00F0043F"/>
    <w:rsid w:val="00F00735"/>
    <w:rsid w:val="00F00B38"/>
    <w:rsid w:val="00F00B55"/>
    <w:rsid w:val="00F00B7C"/>
    <w:rsid w:val="00F0113C"/>
    <w:rsid w:val="00F01B8B"/>
    <w:rsid w:val="00F01D64"/>
    <w:rsid w:val="00F01E62"/>
    <w:rsid w:val="00F01F7B"/>
    <w:rsid w:val="00F02058"/>
    <w:rsid w:val="00F02357"/>
    <w:rsid w:val="00F02506"/>
    <w:rsid w:val="00F02540"/>
    <w:rsid w:val="00F0274E"/>
    <w:rsid w:val="00F027CA"/>
    <w:rsid w:val="00F02865"/>
    <w:rsid w:val="00F02932"/>
    <w:rsid w:val="00F02987"/>
    <w:rsid w:val="00F029E9"/>
    <w:rsid w:val="00F029FA"/>
    <w:rsid w:val="00F02AD1"/>
    <w:rsid w:val="00F03017"/>
    <w:rsid w:val="00F031DF"/>
    <w:rsid w:val="00F03977"/>
    <w:rsid w:val="00F03B99"/>
    <w:rsid w:val="00F03C7D"/>
    <w:rsid w:val="00F03D56"/>
    <w:rsid w:val="00F03DA3"/>
    <w:rsid w:val="00F03E30"/>
    <w:rsid w:val="00F0417F"/>
    <w:rsid w:val="00F042BD"/>
    <w:rsid w:val="00F048F3"/>
    <w:rsid w:val="00F04F35"/>
    <w:rsid w:val="00F0509B"/>
    <w:rsid w:val="00F05E26"/>
    <w:rsid w:val="00F06349"/>
    <w:rsid w:val="00F06515"/>
    <w:rsid w:val="00F065B7"/>
    <w:rsid w:val="00F065D0"/>
    <w:rsid w:val="00F06AA1"/>
    <w:rsid w:val="00F06BB9"/>
    <w:rsid w:val="00F07182"/>
    <w:rsid w:val="00F071A7"/>
    <w:rsid w:val="00F077A7"/>
    <w:rsid w:val="00F07980"/>
    <w:rsid w:val="00F07BE5"/>
    <w:rsid w:val="00F07D4B"/>
    <w:rsid w:val="00F07F99"/>
    <w:rsid w:val="00F100C3"/>
    <w:rsid w:val="00F1043F"/>
    <w:rsid w:val="00F1049E"/>
    <w:rsid w:val="00F107B2"/>
    <w:rsid w:val="00F10A01"/>
    <w:rsid w:val="00F10D7E"/>
    <w:rsid w:val="00F10EF7"/>
    <w:rsid w:val="00F10F5F"/>
    <w:rsid w:val="00F10FF9"/>
    <w:rsid w:val="00F11623"/>
    <w:rsid w:val="00F11B32"/>
    <w:rsid w:val="00F11CDE"/>
    <w:rsid w:val="00F11CF8"/>
    <w:rsid w:val="00F121B8"/>
    <w:rsid w:val="00F12D3C"/>
    <w:rsid w:val="00F12E32"/>
    <w:rsid w:val="00F12E5C"/>
    <w:rsid w:val="00F13524"/>
    <w:rsid w:val="00F13B62"/>
    <w:rsid w:val="00F14024"/>
    <w:rsid w:val="00F141E4"/>
    <w:rsid w:val="00F1437D"/>
    <w:rsid w:val="00F146ED"/>
    <w:rsid w:val="00F14D01"/>
    <w:rsid w:val="00F14E7D"/>
    <w:rsid w:val="00F14F60"/>
    <w:rsid w:val="00F1510C"/>
    <w:rsid w:val="00F154CF"/>
    <w:rsid w:val="00F15811"/>
    <w:rsid w:val="00F15C84"/>
    <w:rsid w:val="00F15FDD"/>
    <w:rsid w:val="00F1644E"/>
    <w:rsid w:val="00F16538"/>
    <w:rsid w:val="00F16947"/>
    <w:rsid w:val="00F16B67"/>
    <w:rsid w:val="00F16D7C"/>
    <w:rsid w:val="00F16E58"/>
    <w:rsid w:val="00F172A9"/>
    <w:rsid w:val="00F1734C"/>
    <w:rsid w:val="00F1755B"/>
    <w:rsid w:val="00F17789"/>
    <w:rsid w:val="00F20239"/>
    <w:rsid w:val="00F202AA"/>
    <w:rsid w:val="00F2057E"/>
    <w:rsid w:val="00F2075F"/>
    <w:rsid w:val="00F20ABD"/>
    <w:rsid w:val="00F20B49"/>
    <w:rsid w:val="00F20CC3"/>
    <w:rsid w:val="00F2142B"/>
    <w:rsid w:val="00F218B3"/>
    <w:rsid w:val="00F2192C"/>
    <w:rsid w:val="00F219EA"/>
    <w:rsid w:val="00F21A94"/>
    <w:rsid w:val="00F21AB2"/>
    <w:rsid w:val="00F223FC"/>
    <w:rsid w:val="00F22765"/>
    <w:rsid w:val="00F228CD"/>
    <w:rsid w:val="00F22B42"/>
    <w:rsid w:val="00F22DF2"/>
    <w:rsid w:val="00F22F20"/>
    <w:rsid w:val="00F2325A"/>
    <w:rsid w:val="00F236D8"/>
    <w:rsid w:val="00F236EB"/>
    <w:rsid w:val="00F2398A"/>
    <w:rsid w:val="00F23B3A"/>
    <w:rsid w:val="00F23B45"/>
    <w:rsid w:val="00F23C77"/>
    <w:rsid w:val="00F23C80"/>
    <w:rsid w:val="00F23DB8"/>
    <w:rsid w:val="00F23F87"/>
    <w:rsid w:val="00F24770"/>
    <w:rsid w:val="00F247A0"/>
    <w:rsid w:val="00F2488D"/>
    <w:rsid w:val="00F248DE"/>
    <w:rsid w:val="00F24DEA"/>
    <w:rsid w:val="00F24E34"/>
    <w:rsid w:val="00F250C7"/>
    <w:rsid w:val="00F250FC"/>
    <w:rsid w:val="00F253CC"/>
    <w:rsid w:val="00F2551C"/>
    <w:rsid w:val="00F255D0"/>
    <w:rsid w:val="00F2579B"/>
    <w:rsid w:val="00F25A36"/>
    <w:rsid w:val="00F25CD8"/>
    <w:rsid w:val="00F25D69"/>
    <w:rsid w:val="00F2600C"/>
    <w:rsid w:val="00F26524"/>
    <w:rsid w:val="00F265B6"/>
    <w:rsid w:val="00F26610"/>
    <w:rsid w:val="00F26A2B"/>
    <w:rsid w:val="00F26BDA"/>
    <w:rsid w:val="00F26F0A"/>
    <w:rsid w:val="00F2702A"/>
    <w:rsid w:val="00F270F1"/>
    <w:rsid w:val="00F2770D"/>
    <w:rsid w:val="00F2785D"/>
    <w:rsid w:val="00F2796D"/>
    <w:rsid w:val="00F27A79"/>
    <w:rsid w:val="00F27EFA"/>
    <w:rsid w:val="00F27FEF"/>
    <w:rsid w:val="00F30124"/>
    <w:rsid w:val="00F30148"/>
    <w:rsid w:val="00F3016F"/>
    <w:rsid w:val="00F301F1"/>
    <w:rsid w:val="00F3062D"/>
    <w:rsid w:val="00F30798"/>
    <w:rsid w:val="00F308BC"/>
    <w:rsid w:val="00F308DF"/>
    <w:rsid w:val="00F311EF"/>
    <w:rsid w:val="00F318EF"/>
    <w:rsid w:val="00F31AC3"/>
    <w:rsid w:val="00F31DDD"/>
    <w:rsid w:val="00F31EA0"/>
    <w:rsid w:val="00F31EB3"/>
    <w:rsid w:val="00F32461"/>
    <w:rsid w:val="00F3246D"/>
    <w:rsid w:val="00F32619"/>
    <w:rsid w:val="00F32627"/>
    <w:rsid w:val="00F328BD"/>
    <w:rsid w:val="00F32D94"/>
    <w:rsid w:val="00F330E4"/>
    <w:rsid w:val="00F33748"/>
    <w:rsid w:val="00F33955"/>
    <w:rsid w:val="00F33AF9"/>
    <w:rsid w:val="00F33B32"/>
    <w:rsid w:val="00F3449B"/>
    <w:rsid w:val="00F34894"/>
    <w:rsid w:val="00F34B5A"/>
    <w:rsid w:val="00F34D6F"/>
    <w:rsid w:val="00F351BB"/>
    <w:rsid w:val="00F3585A"/>
    <w:rsid w:val="00F35B60"/>
    <w:rsid w:val="00F35DDD"/>
    <w:rsid w:val="00F35F7E"/>
    <w:rsid w:val="00F36342"/>
    <w:rsid w:val="00F367DC"/>
    <w:rsid w:val="00F367FD"/>
    <w:rsid w:val="00F3684D"/>
    <w:rsid w:val="00F3692A"/>
    <w:rsid w:val="00F36BBC"/>
    <w:rsid w:val="00F36BD1"/>
    <w:rsid w:val="00F36DD3"/>
    <w:rsid w:val="00F37106"/>
    <w:rsid w:val="00F37504"/>
    <w:rsid w:val="00F3776F"/>
    <w:rsid w:val="00F4002B"/>
    <w:rsid w:val="00F400D1"/>
    <w:rsid w:val="00F4059E"/>
    <w:rsid w:val="00F40611"/>
    <w:rsid w:val="00F40950"/>
    <w:rsid w:val="00F40EB1"/>
    <w:rsid w:val="00F40F53"/>
    <w:rsid w:val="00F4141B"/>
    <w:rsid w:val="00F41724"/>
    <w:rsid w:val="00F4174E"/>
    <w:rsid w:val="00F417F4"/>
    <w:rsid w:val="00F41AFE"/>
    <w:rsid w:val="00F41BBF"/>
    <w:rsid w:val="00F42346"/>
    <w:rsid w:val="00F42613"/>
    <w:rsid w:val="00F42707"/>
    <w:rsid w:val="00F4279E"/>
    <w:rsid w:val="00F428F3"/>
    <w:rsid w:val="00F42AAE"/>
    <w:rsid w:val="00F42BD0"/>
    <w:rsid w:val="00F43422"/>
    <w:rsid w:val="00F435E2"/>
    <w:rsid w:val="00F4360C"/>
    <w:rsid w:val="00F43B3A"/>
    <w:rsid w:val="00F4406D"/>
    <w:rsid w:val="00F4462C"/>
    <w:rsid w:val="00F446CF"/>
    <w:rsid w:val="00F446F3"/>
    <w:rsid w:val="00F446F9"/>
    <w:rsid w:val="00F44A15"/>
    <w:rsid w:val="00F44C09"/>
    <w:rsid w:val="00F44C14"/>
    <w:rsid w:val="00F44CA5"/>
    <w:rsid w:val="00F44CCA"/>
    <w:rsid w:val="00F44D14"/>
    <w:rsid w:val="00F44EFB"/>
    <w:rsid w:val="00F44FED"/>
    <w:rsid w:val="00F454F8"/>
    <w:rsid w:val="00F45631"/>
    <w:rsid w:val="00F4571E"/>
    <w:rsid w:val="00F458B4"/>
    <w:rsid w:val="00F45942"/>
    <w:rsid w:val="00F45ADC"/>
    <w:rsid w:val="00F45B86"/>
    <w:rsid w:val="00F45C02"/>
    <w:rsid w:val="00F460BD"/>
    <w:rsid w:val="00F46136"/>
    <w:rsid w:val="00F46421"/>
    <w:rsid w:val="00F46D7F"/>
    <w:rsid w:val="00F46DCE"/>
    <w:rsid w:val="00F46E91"/>
    <w:rsid w:val="00F47077"/>
    <w:rsid w:val="00F476EA"/>
    <w:rsid w:val="00F4786A"/>
    <w:rsid w:val="00F50106"/>
    <w:rsid w:val="00F50213"/>
    <w:rsid w:val="00F503E5"/>
    <w:rsid w:val="00F50484"/>
    <w:rsid w:val="00F506DB"/>
    <w:rsid w:val="00F50950"/>
    <w:rsid w:val="00F50C83"/>
    <w:rsid w:val="00F50CA8"/>
    <w:rsid w:val="00F50D1D"/>
    <w:rsid w:val="00F50E2F"/>
    <w:rsid w:val="00F51029"/>
    <w:rsid w:val="00F510CC"/>
    <w:rsid w:val="00F5120C"/>
    <w:rsid w:val="00F5126E"/>
    <w:rsid w:val="00F512E8"/>
    <w:rsid w:val="00F51864"/>
    <w:rsid w:val="00F51873"/>
    <w:rsid w:val="00F519CF"/>
    <w:rsid w:val="00F52036"/>
    <w:rsid w:val="00F5234A"/>
    <w:rsid w:val="00F5250D"/>
    <w:rsid w:val="00F52669"/>
    <w:rsid w:val="00F5266C"/>
    <w:rsid w:val="00F52D29"/>
    <w:rsid w:val="00F53091"/>
    <w:rsid w:val="00F53137"/>
    <w:rsid w:val="00F536AD"/>
    <w:rsid w:val="00F536F2"/>
    <w:rsid w:val="00F537C8"/>
    <w:rsid w:val="00F539AD"/>
    <w:rsid w:val="00F53C56"/>
    <w:rsid w:val="00F53D74"/>
    <w:rsid w:val="00F5419E"/>
    <w:rsid w:val="00F54512"/>
    <w:rsid w:val="00F54740"/>
    <w:rsid w:val="00F54A65"/>
    <w:rsid w:val="00F54BB1"/>
    <w:rsid w:val="00F54ECA"/>
    <w:rsid w:val="00F550DF"/>
    <w:rsid w:val="00F55253"/>
    <w:rsid w:val="00F55552"/>
    <w:rsid w:val="00F555C4"/>
    <w:rsid w:val="00F5569F"/>
    <w:rsid w:val="00F5572B"/>
    <w:rsid w:val="00F557DF"/>
    <w:rsid w:val="00F55A86"/>
    <w:rsid w:val="00F56089"/>
    <w:rsid w:val="00F560E0"/>
    <w:rsid w:val="00F56791"/>
    <w:rsid w:val="00F56AF1"/>
    <w:rsid w:val="00F56BA5"/>
    <w:rsid w:val="00F56C29"/>
    <w:rsid w:val="00F56C88"/>
    <w:rsid w:val="00F56E69"/>
    <w:rsid w:val="00F57246"/>
    <w:rsid w:val="00F57634"/>
    <w:rsid w:val="00F57702"/>
    <w:rsid w:val="00F57724"/>
    <w:rsid w:val="00F57978"/>
    <w:rsid w:val="00F57B9F"/>
    <w:rsid w:val="00F57D68"/>
    <w:rsid w:val="00F607B9"/>
    <w:rsid w:val="00F60E22"/>
    <w:rsid w:val="00F60E5B"/>
    <w:rsid w:val="00F60E6C"/>
    <w:rsid w:val="00F61227"/>
    <w:rsid w:val="00F61388"/>
    <w:rsid w:val="00F6165A"/>
    <w:rsid w:val="00F61A1A"/>
    <w:rsid w:val="00F61FE4"/>
    <w:rsid w:val="00F62282"/>
    <w:rsid w:val="00F62600"/>
    <w:rsid w:val="00F62748"/>
    <w:rsid w:val="00F62C58"/>
    <w:rsid w:val="00F62D1E"/>
    <w:rsid w:val="00F62FE2"/>
    <w:rsid w:val="00F6302F"/>
    <w:rsid w:val="00F63469"/>
    <w:rsid w:val="00F634D9"/>
    <w:rsid w:val="00F6351B"/>
    <w:rsid w:val="00F63CCB"/>
    <w:rsid w:val="00F640C5"/>
    <w:rsid w:val="00F6432D"/>
    <w:rsid w:val="00F649AD"/>
    <w:rsid w:val="00F64B8B"/>
    <w:rsid w:val="00F64DB1"/>
    <w:rsid w:val="00F65086"/>
    <w:rsid w:val="00F653D2"/>
    <w:rsid w:val="00F65545"/>
    <w:rsid w:val="00F659EC"/>
    <w:rsid w:val="00F65F23"/>
    <w:rsid w:val="00F66667"/>
    <w:rsid w:val="00F669A4"/>
    <w:rsid w:val="00F6703B"/>
    <w:rsid w:val="00F6731B"/>
    <w:rsid w:val="00F67538"/>
    <w:rsid w:val="00F676E7"/>
    <w:rsid w:val="00F67A0A"/>
    <w:rsid w:val="00F67A50"/>
    <w:rsid w:val="00F67B09"/>
    <w:rsid w:val="00F67C38"/>
    <w:rsid w:val="00F70327"/>
    <w:rsid w:val="00F704B2"/>
    <w:rsid w:val="00F70FB8"/>
    <w:rsid w:val="00F711C6"/>
    <w:rsid w:val="00F7124D"/>
    <w:rsid w:val="00F7178A"/>
    <w:rsid w:val="00F71A9D"/>
    <w:rsid w:val="00F7244A"/>
    <w:rsid w:val="00F72BD4"/>
    <w:rsid w:val="00F72EAB"/>
    <w:rsid w:val="00F72EB4"/>
    <w:rsid w:val="00F73170"/>
    <w:rsid w:val="00F734BE"/>
    <w:rsid w:val="00F73584"/>
    <w:rsid w:val="00F73588"/>
    <w:rsid w:val="00F735AE"/>
    <w:rsid w:val="00F73687"/>
    <w:rsid w:val="00F7394A"/>
    <w:rsid w:val="00F739DF"/>
    <w:rsid w:val="00F74151"/>
    <w:rsid w:val="00F74322"/>
    <w:rsid w:val="00F746C3"/>
    <w:rsid w:val="00F746FE"/>
    <w:rsid w:val="00F74E0A"/>
    <w:rsid w:val="00F75766"/>
    <w:rsid w:val="00F75A47"/>
    <w:rsid w:val="00F75F3C"/>
    <w:rsid w:val="00F76224"/>
    <w:rsid w:val="00F76487"/>
    <w:rsid w:val="00F764FE"/>
    <w:rsid w:val="00F76E2B"/>
    <w:rsid w:val="00F77B69"/>
    <w:rsid w:val="00F77C37"/>
    <w:rsid w:val="00F77CF9"/>
    <w:rsid w:val="00F77DF8"/>
    <w:rsid w:val="00F77F43"/>
    <w:rsid w:val="00F77FB6"/>
    <w:rsid w:val="00F804AE"/>
    <w:rsid w:val="00F80657"/>
    <w:rsid w:val="00F8067B"/>
    <w:rsid w:val="00F80A4F"/>
    <w:rsid w:val="00F80E66"/>
    <w:rsid w:val="00F81147"/>
    <w:rsid w:val="00F8167B"/>
    <w:rsid w:val="00F816DE"/>
    <w:rsid w:val="00F819BC"/>
    <w:rsid w:val="00F81BE3"/>
    <w:rsid w:val="00F82261"/>
    <w:rsid w:val="00F82642"/>
    <w:rsid w:val="00F82DD5"/>
    <w:rsid w:val="00F82E43"/>
    <w:rsid w:val="00F83A86"/>
    <w:rsid w:val="00F83E2B"/>
    <w:rsid w:val="00F84077"/>
    <w:rsid w:val="00F843AA"/>
    <w:rsid w:val="00F8487D"/>
    <w:rsid w:val="00F84D44"/>
    <w:rsid w:val="00F852F7"/>
    <w:rsid w:val="00F852FC"/>
    <w:rsid w:val="00F85337"/>
    <w:rsid w:val="00F85974"/>
    <w:rsid w:val="00F85A52"/>
    <w:rsid w:val="00F860B1"/>
    <w:rsid w:val="00F860D2"/>
    <w:rsid w:val="00F8621E"/>
    <w:rsid w:val="00F866A6"/>
    <w:rsid w:val="00F868FF"/>
    <w:rsid w:val="00F869AF"/>
    <w:rsid w:val="00F869E0"/>
    <w:rsid w:val="00F86B10"/>
    <w:rsid w:val="00F86B3A"/>
    <w:rsid w:val="00F874A1"/>
    <w:rsid w:val="00F875DA"/>
    <w:rsid w:val="00F876AC"/>
    <w:rsid w:val="00F877C0"/>
    <w:rsid w:val="00F87AE1"/>
    <w:rsid w:val="00F87BD3"/>
    <w:rsid w:val="00F90217"/>
    <w:rsid w:val="00F90433"/>
    <w:rsid w:val="00F9043B"/>
    <w:rsid w:val="00F90590"/>
    <w:rsid w:val="00F90767"/>
    <w:rsid w:val="00F90850"/>
    <w:rsid w:val="00F90AEF"/>
    <w:rsid w:val="00F90CAC"/>
    <w:rsid w:val="00F90CC2"/>
    <w:rsid w:val="00F90CDD"/>
    <w:rsid w:val="00F90CE4"/>
    <w:rsid w:val="00F91160"/>
    <w:rsid w:val="00F91542"/>
    <w:rsid w:val="00F917D1"/>
    <w:rsid w:val="00F91A90"/>
    <w:rsid w:val="00F91BBA"/>
    <w:rsid w:val="00F91BDC"/>
    <w:rsid w:val="00F9209D"/>
    <w:rsid w:val="00F92433"/>
    <w:rsid w:val="00F92850"/>
    <w:rsid w:val="00F92A8E"/>
    <w:rsid w:val="00F93327"/>
    <w:rsid w:val="00F9392B"/>
    <w:rsid w:val="00F93F64"/>
    <w:rsid w:val="00F93F8F"/>
    <w:rsid w:val="00F94216"/>
    <w:rsid w:val="00F94442"/>
    <w:rsid w:val="00F9451A"/>
    <w:rsid w:val="00F9491D"/>
    <w:rsid w:val="00F94F45"/>
    <w:rsid w:val="00F954CA"/>
    <w:rsid w:val="00F9568E"/>
    <w:rsid w:val="00F957AE"/>
    <w:rsid w:val="00F957C6"/>
    <w:rsid w:val="00F95A27"/>
    <w:rsid w:val="00F95A69"/>
    <w:rsid w:val="00F95D34"/>
    <w:rsid w:val="00F96160"/>
    <w:rsid w:val="00F96326"/>
    <w:rsid w:val="00F963B8"/>
    <w:rsid w:val="00F964F8"/>
    <w:rsid w:val="00F9653B"/>
    <w:rsid w:val="00F9666C"/>
    <w:rsid w:val="00F96778"/>
    <w:rsid w:val="00F96B55"/>
    <w:rsid w:val="00F96C41"/>
    <w:rsid w:val="00F96E6F"/>
    <w:rsid w:val="00F971FA"/>
    <w:rsid w:val="00F97516"/>
    <w:rsid w:val="00F976A7"/>
    <w:rsid w:val="00F97A52"/>
    <w:rsid w:val="00F97C9B"/>
    <w:rsid w:val="00F97D5B"/>
    <w:rsid w:val="00F97E2D"/>
    <w:rsid w:val="00F97E62"/>
    <w:rsid w:val="00FA00E2"/>
    <w:rsid w:val="00FA02EB"/>
    <w:rsid w:val="00FA0338"/>
    <w:rsid w:val="00FA0711"/>
    <w:rsid w:val="00FA084C"/>
    <w:rsid w:val="00FA08DD"/>
    <w:rsid w:val="00FA0908"/>
    <w:rsid w:val="00FA093F"/>
    <w:rsid w:val="00FA0D1A"/>
    <w:rsid w:val="00FA0D48"/>
    <w:rsid w:val="00FA0F18"/>
    <w:rsid w:val="00FA174E"/>
    <w:rsid w:val="00FA1A07"/>
    <w:rsid w:val="00FA1A78"/>
    <w:rsid w:val="00FA1EE7"/>
    <w:rsid w:val="00FA1FAA"/>
    <w:rsid w:val="00FA1FBB"/>
    <w:rsid w:val="00FA2595"/>
    <w:rsid w:val="00FA2B3C"/>
    <w:rsid w:val="00FA2E9D"/>
    <w:rsid w:val="00FA30A1"/>
    <w:rsid w:val="00FA35B3"/>
    <w:rsid w:val="00FA3858"/>
    <w:rsid w:val="00FA3987"/>
    <w:rsid w:val="00FA3D42"/>
    <w:rsid w:val="00FA3F46"/>
    <w:rsid w:val="00FA4035"/>
    <w:rsid w:val="00FA410D"/>
    <w:rsid w:val="00FA4293"/>
    <w:rsid w:val="00FA46DA"/>
    <w:rsid w:val="00FA4AD3"/>
    <w:rsid w:val="00FA4CD5"/>
    <w:rsid w:val="00FA4D1D"/>
    <w:rsid w:val="00FA57A0"/>
    <w:rsid w:val="00FA5957"/>
    <w:rsid w:val="00FA5C21"/>
    <w:rsid w:val="00FA5EAE"/>
    <w:rsid w:val="00FA5F9C"/>
    <w:rsid w:val="00FA60B9"/>
    <w:rsid w:val="00FA6127"/>
    <w:rsid w:val="00FA65A6"/>
    <w:rsid w:val="00FA65BB"/>
    <w:rsid w:val="00FA66D9"/>
    <w:rsid w:val="00FA6A30"/>
    <w:rsid w:val="00FA6A3E"/>
    <w:rsid w:val="00FA6C23"/>
    <w:rsid w:val="00FA6DA6"/>
    <w:rsid w:val="00FA7271"/>
    <w:rsid w:val="00FA7419"/>
    <w:rsid w:val="00FA7494"/>
    <w:rsid w:val="00FA7605"/>
    <w:rsid w:val="00FA77B7"/>
    <w:rsid w:val="00FA7959"/>
    <w:rsid w:val="00FA79C6"/>
    <w:rsid w:val="00FB0522"/>
    <w:rsid w:val="00FB05F9"/>
    <w:rsid w:val="00FB069F"/>
    <w:rsid w:val="00FB098E"/>
    <w:rsid w:val="00FB0A94"/>
    <w:rsid w:val="00FB0B2E"/>
    <w:rsid w:val="00FB0EC0"/>
    <w:rsid w:val="00FB1072"/>
    <w:rsid w:val="00FB1084"/>
    <w:rsid w:val="00FB10AB"/>
    <w:rsid w:val="00FB1351"/>
    <w:rsid w:val="00FB142C"/>
    <w:rsid w:val="00FB14D9"/>
    <w:rsid w:val="00FB1666"/>
    <w:rsid w:val="00FB1AC2"/>
    <w:rsid w:val="00FB1E9C"/>
    <w:rsid w:val="00FB2096"/>
    <w:rsid w:val="00FB2930"/>
    <w:rsid w:val="00FB2A66"/>
    <w:rsid w:val="00FB2E57"/>
    <w:rsid w:val="00FB2E91"/>
    <w:rsid w:val="00FB2ED7"/>
    <w:rsid w:val="00FB3912"/>
    <w:rsid w:val="00FB3A4F"/>
    <w:rsid w:val="00FB3D94"/>
    <w:rsid w:val="00FB3F52"/>
    <w:rsid w:val="00FB3F5D"/>
    <w:rsid w:val="00FB40F7"/>
    <w:rsid w:val="00FB4104"/>
    <w:rsid w:val="00FB4364"/>
    <w:rsid w:val="00FB43DD"/>
    <w:rsid w:val="00FB465A"/>
    <w:rsid w:val="00FB4BD3"/>
    <w:rsid w:val="00FB4E37"/>
    <w:rsid w:val="00FB4EB8"/>
    <w:rsid w:val="00FB52E5"/>
    <w:rsid w:val="00FB54A0"/>
    <w:rsid w:val="00FB57E4"/>
    <w:rsid w:val="00FB59EE"/>
    <w:rsid w:val="00FB5E1B"/>
    <w:rsid w:val="00FB616C"/>
    <w:rsid w:val="00FB62CF"/>
    <w:rsid w:val="00FB6330"/>
    <w:rsid w:val="00FB64DE"/>
    <w:rsid w:val="00FB6512"/>
    <w:rsid w:val="00FB68F0"/>
    <w:rsid w:val="00FB6A39"/>
    <w:rsid w:val="00FB6DB5"/>
    <w:rsid w:val="00FB726D"/>
    <w:rsid w:val="00FB739A"/>
    <w:rsid w:val="00FB78FA"/>
    <w:rsid w:val="00FB7B6A"/>
    <w:rsid w:val="00FC0A1C"/>
    <w:rsid w:val="00FC0F90"/>
    <w:rsid w:val="00FC0FA1"/>
    <w:rsid w:val="00FC1660"/>
    <w:rsid w:val="00FC171D"/>
    <w:rsid w:val="00FC1C3A"/>
    <w:rsid w:val="00FC1F8E"/>
    <w:rsid w:val="00FC2002"/>
    <w:rsid w:val="00FC219A"/>
    <w:rsid w:val="00FC2226"/>
    <w:rsid w:val="00FC27FD"/>
    <w:rsid w:val="00FC2925"/>
    <w:rsid w:val="00FC2B0C"/>
    <w:rsid w:val="00FC3301"/>
    <w:rsid w:val="00FC33C2"/>
    <w:rsid w:val="00FC351A"/>
    <w:rsid w:val="00FC36C7"/>
    <w:rsid w:val="00FC375C"/>
    <w:rsid w:val="00FC3A77"/>
    <w:rsid w:val="00FC3B9C"/>
    <w:rsid w:val="00FC3E44"/>
    <w:rsid w:val="00FC4122"/>
    <w:rsid w:val="00FC415B"/>
    <w:rsid w:val="00FC47E0"/>
    <w:rsid w:val="00FC488C"/>
    <w:rsid w:val="00FC4B1D"/>
    <w:rsid w:val="00FC5180"/>
    <w:rsid w:val="00FC54C6"/>
    <w:rsid w:val="00FC54E2"/>
    <w:rsid w:val="00FC551C"/>
    <w:rsid w:val="00FC563C"/>
    <w:rsid w:val="00FC5691"/>
    <w:rsid w:val="00FC5AF3"/>
    <w:rsid w:val="00FC6038"/>
    <w:rsid w:val="00FC6152"/>
    <w:rsid w:val="00FC634A"/>
    <w:rsid w:val="00FC650A"/>
    <w:rsid w:val="00FC6609"/>
    <w:rsid w:val="00FC6FE3"/>
    <w:rsid w:val="00FC721A"/>
    <w:rsid w:val="00FC7319"/>
    <w:rsid w:val="00FC73F0"/>
    <w:rsid w:val="00FC78EB"/>
    <w:rsid w:val="00FC7C8A"/>
    <w:rsid w:val="00FC7D96"/>
    <w:rsid w:val="00FD0360"/>
    <w:rsid w:val="00FD0576"/>
    <w:rsid w:val="00FD05AE"/>
    <w:rsid w:val="00FD05B2"/>
    <w:rsid w:val="00FD094F"/>
    <w:rsid w:val="00FD0C3E"/>
    <w:rsid w:val="00FD0C7F"/>
    <w:rsid w:val="00FD0EFE"/>
    <w:rsid w:val="00FD11D8"/>
    <w:rsid w:val="00FD125C"/>
    <w:rsid w:val="00FD12E4"/>
    <w:rsid w:val="00FD13DD"/>
    <w:rsid w:val="00FD1971"/>
    <w:rsid w:val="00FD1A5F"/>
    <w:rsid w:val="00FD1ABA"/>
    <w:rsid w:val="00FD1AFA"/>
    <w:rsid w:val="00FD1C57"/>
    <w:rsid w:val="00FD1CEF"/>
    <w:rsid w:val="00FD1F21"/>
    <w:rsid w:val="00FD20FC"/>
    <w:rsid w:val="00FD21EF"/>
    <w:rsid w:val="00FD2274"/>
    <w:rsid w:val="00FD2282"/>
    <w:rsid w:val="00FD26A1"/>
    <w:rsid w:val="00FD27E6"/>
    <w:rsid w:val="00FD2882"/>
    <w:rsid w:val="00FD2B50"/>
    <w:rsid w:val="00FD2E3F"/>
    <w:rsid w:val="00FD2FDF"/>
    <w:rsid w:val="00FD3315"/>
    <w:rsid w:val="00FD339E"/>
    <w:rsid w:val="00FD350A"/>
    <w:rsid w:val="00FD3C3B"/>
    <w:rsid w:val="00FD3D23"/>
    <w:rsid w:val="00FD3DC9"/>
    <w:rsid w:val="00FD421B"/>
    <w:rsid w:val="00FD4229"/>
    <w:rsid w:val="00FD44C4"/>
    <w:rsid w:val="00FD45B6"/>
    <w:rsid w:val="00FD46A6"/>
    <w:rsid w:val="00FD49F4"/>
    <w:rsid w:val="00FD4EA0"/>
    <w:rsid w:val="00FD4EC1"/>
    <w:rsid w:val="00FD4F75"/>
    <w:rsid w:val="00FD51B3"/>
    <w:rsid w:val="00FD54DA"/>
    <w:rsid w:val="00FD5540"/>
    <w:rsid w:val="00FD56E1"/>
    <w:rsid w:val="00FD5921"/>
    <w:rsid w:val="00FD5F29"/>
    <w:rsid w:val="00FD60E3"/>
    <w:rsid w:val="00FD61D4"/>
    <w:rsid w:val="00FD66F9"/>
    <w:rsid w:val="00FD6EA3"/>
    <w:rsid w:val="00FD6FEF"/>
    <w:rsid w:val="00FD70E8"/>
    <w:rsid w:val="00FD729D"/>
    <w:rsid w:val="00FD73FC"/>
    <w:rsid w:val="00FD76F2"/>
    <w:rsid w:val="00FD7903"/>
    <w:rsid w:val="00FD79FD"/>
    <w:rsid w:val="00FD79FF"/>
    <w:rsid w:val="00FD7ED1"/>
    <w:rsid w:val="00FD7F9C"/>
    <w:rsid w:val="00FE00CC"/>
    <w:rsid w:val="00FE0262"/>
    <w:rsid w:val="00FE0851"/>
    <w:rsid w:val="00FE0A9C"/>
    <w:rsid w:val="00FE0BC9"/>
    <w:rsid w:val="00FE0E1A"/>
    <w:rsid w:val="00FE0E59"/>
    <w:rsid w:val="00FE0EE6"/>
    <w:rsid w:val="00FE0F47"/>
    <w:rsid w:val="00FE12C4"/>
    <w:rsid w:val="00FE15F2"/>
    <w:rsid w:val="00FE18F9"/>
    <w:rsid w:val="00FE1DFE"/>
    <w:rsid w:val="00FE1F1B"/>
    <w:rsid w:val="00FE1F8C"/>
    <w:rsid w:val="00FE234C"/>
    <w:rsid w:val="00FE234D"/>
    <w:rsid w:val="00FE23D9"/>
    <w:rsid w:val="00FE2412"/>
    <w:rsid w:val="00FE29EC"/>
    <w:rsid w:val="00FE2A30"/>
    <w:rsid w:val="00FE2DE7"/>
    <w:rsid w:val="00FE31C6"/>
    <w:rsid w:val="00FE350D"/>
    <w:rsid w:val="00FE3566"/>
    <w:rsid w:val="00FE3895"/>
    <w:rsid w:val="00FE3B38"/>
    <w:rsid w:val="00FE4071"/>
    <w:rsid w:val="00FE4289"/>
    <w:rsid w:val="00FE4455"/>
    <w:rsid w:val="00FE45EF"/>
    <w:rsid w:val="00FE487F"/>
    <w:rsid w:val="00FE4928"/>
    <w:rsid w:val="00FE49FF"/>
    <w:rsid w:val="00FE5017"/>
    <w:rsid w:val="00FE52B3"/>
    <w:rsid w:val="00FE5681"/>
    <w:rsid w:val="00FE584B"/>
    <w:rsid w:val="00FE5B47"/>
    <w:rsid w:val="00FE5E14"/>
    <w:rsid w:val="00FE63A5"/>
    <w:rsid w:val="00FE66A3"/>
    <w:rsid w:val="00FE6783"/>
    <w:rsid w:val="00FE68A1"/>
    <w:rsid w:val="00FE6B45"/>
    <w:rsid w:val="00FE6BB0"/>
    <w:rsid w:val="00FE6F27"/>
    <w:rsid w:val="00FE7413"/>
    <w:rsid w:val="00FE762A"/>
    <w:rsid w:val="00FE7E5A"/>
    <w:rsid w:val="00FF0199"/>
    <w:rsid w:val="00FF0590"/>
    <w:rsid w:val="00FF08C7"/>
    <w:rsid w:val="00FF0923"/>
    <w:rsid w:val="00FF0BCF"/>
    <w:rsid w:val="00FF11B9"/>
    <w:rsid w:val="00FF14ED"/>
    <w:rsid w:val="00FF1BD8"/>
    <w:rsid w:val="00FF222C"/>
    <w:rsid w:val="00FF22DB"/>
    <w:rsid w:val="00FF24F4"/>
    <w:rsid w:val="00FF2A34"/>
    <w:rsid w:val="00FF2B48"/>
    <w:rsid w:val="00FF2D28"/>
    <w:rsid w:val="00FF2E0B"/>
    <w:rsid w:val="00FF2EA1"/>
    <w:rsid w:val="00FF2FF7"/>
    <w:rsid w:val="00FF30E6"/>
    <w:rsid w:val="00FF342C"/>
    <w:rsid w:val="00FF3492"/>
    <w:rsid w:val="00FF3556"/>
    <w:rsid w:val="00FF3C0C"/>
    <w:rsid w:val="00FF3C4E"/>
    <w:rsid w:val="00FF44D4"/>
    <w:rsid w:val="00FF460C"/>
    <w:rsid w:val="00FF4690"/>
    <w:rsid w:val="00FF4706"/>
    <w:rsid w:val="00FF4711"/>
    <w:rsid w:val="00FF48F6"/>
    <w:rsid w:val="00FF4D55"/>
    <w:rsid w:val="00FF4E38"/>
    <w:rsid w:val="00FF4EBD"/>
    <w:rsid w:val="00FF4F04"/>
    <w:rsid w:val="00FF522C"/>
    <w:rsid w:val="00FF53EA"/>
    <w:rsid w:val="00FF5851"/>
    <w:rsid w:val="00FF5EE6"/>
    <w:rsid w:val="00FF6BD0"/>
    <w:rsid w:val="00FF7255"/>
    <w:rsid w:val="00FF7621"/>
    <w:rsid w:val="00FF7876"/>
    <w:rsid w:val="00FF7B79"/>
    <w:rsid w:val="00FF7D01"/>
    <w:rsid w:val="00FF7DF5"/>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uiPriority w:val="99"/>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0E3549"/>
    <w:pPr>
      <w:tabs>
        <w:tab w:val="left" w:pos="1440"/>
        <w:tab w:val="right" w:leader="dot" w:pos="9350"/>
      </w:tabs>
      <w:spacing w:after="100"/>
      <w:ind w:left="1440" w:hanging="720"/>
    </w:pPr>
    <w:rPr>
      <w:rFonts w:asciiTheme="majorHAnsi" w:hAnsiTheme="majorHAnsi"/>
      <w:b/>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uiPriority w:val="9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uiPriority w:val="99"/>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uiPriority w:val="99"/>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uiPriority w:val="99"/>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0E3549"/>
    <w:pPr>
      <w:tabs>
        <w:tab w:val="left" w:pos="1440"/>
        <w:tab w:val="right" w:leader="dot" w:pos="9350"/>
      </w:tabs>
      <w:spacing w:after="100"/>
      <w:ind w:left="1440" w:hanging="720"/>
    </w:pPr>
    <w:rPr>
      <w:rFonts w:asciiTheme="majorHAnsi" w:hAnsiTheme="majorHAnsi"/>
      <w:b/>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uiPriority w:val="9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uiPriority w:val="99"/>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uiPriority w:val="99"/>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5586">
      <w:bodyDiv w:val="1"/>
      <w:marLeft w:val="0"/>
      <w:marRight w:val="0"/>
      <w:marTop w:val="0"/>
      <w:marBottom w:val="0"/>
      <w:divBdr>
        <w:top w:val="none" w:sz="0" w:space="0" w:color="auto"/>
        <w:left w:val="none" w:sz="0" w:space="0" w:color="auto"/>
        <w:bottom w:val="none" w:sz="0" w:space="0" w:color="auto"/>
        <w:right w:val="none" w:sz="0" w:space="0" w:color="auto"/>
      </w:divBdr>
      <w:divsChild>
        <w:div w:id="1353456201">
          <w:marLeft w:val="0"/>
          <w:marRight w:val="0"/>
          <w:marTop w:val="0"/>
          <w:marBottom w:val="0"/>
          <w:divBdr>
            <w:top w:val="none" w:sz="0" w:space="0" w:color="auto"/>
            <w:left w:val="none" w:sz="0" w:space="0" w:color="auto"/>
            <w:bottom w:val="none" w:sz="0" w:space="0" w:color="auto"/>
            <w:right w:val="none" w:sz="0" w:space="0" w:color="auto"/>
          </w:divBdr>
          <w:divsChild>
            <w:div w:id="1301301712">
              <w:marLeft w:val="0"/>
              <w:marRight w:val="0"/>
              <w:marTop w:val="0"/>
              <w:marBottom w:val="0"/>
              <w:divBdr>
                <w:top w:val="none" w:sz="0" w:space="0" w:color="auto"/>
                <w:left w:val="none" w:sz="0" w:space="0" w:color="auto"/>
                <w:bottom w:val="none" w:sz="0" w:space="0" w:color="auto"/>
                <w:right w:val="none" w:sz="0" w:space="0" w:color="auto"/>
              </w:divBdr>
              <w:divsChild>
                <w:div w:id="13789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512569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9240">
      <w:bodyDiv w:val="1"/>
      <w:marLeft w:val="0"/>
      <w:marRight w:val="0"/>
      <w:marTop w:val="0"/>
      <w:marBottom w:val="0"/>
      <w:divBdr>
        <w:top w:val="none" w:sz="0" w:space="0" w:color="auto"/>
        <w:left w:val="none" w:sz="0" w:space="0" w:color="auto"/>
        <w:bottom w:val="none" w:sz="0" w:space="0" w:color="auto"/>
        <w:right w:val="none" w:sz="0" w:space="0" w:color="auto"/>
      </w:divBdr>
    </w:div>
    <w:div w:id="258100335">
      <w:bodyDiv w:val="1"/>
      <w:marLeft w:val="0"/>
      <w:marRight w:val="0"/>
      <w:marTop w:val="0"/>
      <w:marBottom w:val="0"/>
      <w:divBdr>
        <w:top w:val="none" w:sz="0" w:space="0" w:color="auto"/>
        <w:left w:val="none" w:sz="0" w:space="0" w:color="auto"/>
        <w:bottom w:val="none" w:sz="0" w:space="0" w:color="auto"/>
        <w:right w:val="none" w:sz="0" w:space="0" w:color="auto"/>
      </w:divBdr>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285085130">
      <w:bodyDiv w:val="1"/>
      <w:marLeft w:val="0"/>
      <w:marRight w:val="0"/>
      <w:marTop w:val="0"/>
      <w:marBottom w:val="0"/>
      <w:divBdr>
        <w:top w:val="none" w:sz="0" w:space="0" w:color="auto"/>
        <w:left w:val="none" w:sz="0" w:space="0" w:color="auto"/>
        <w:bottom w:val="none" w:sz="0" w:space="0" w:color="auto"/>
        <w:right w:val="none" w:sz="0" w:space="0" w:color="auto"/>
      </w:divBdr>
    </w:div>
    <w:div w:id="304041971">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23039256">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44034496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6089">
      <w:bodyDiv w:val="1"/>
      <w:marLeft w:val="0"/>
      <w:marRight w:val="0"/>
      <w:marTop w:val="0"/>
      <w:marBottom w:val="0"/>
      <w:divBdr>
        <w:top w:val="none" w:sz="0" w:space="0" w:color="auto"/>
        <w:left w:val="none" w:sz="0" w:space="0" w:color="auto"/>
        <w:bottom w:val="none" w:sz="0" w:space="0" w:color="auto"/>
        <w:right w:val="none" w:sz="0" w:space="0" w:color="auto"/>
      </w:divBdr>
    </w:div>
    <w:div w:id="606502532">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669601868">
      <w:bodyDiv w:val="1"/>
      <w:marLeft w:val="0"/>
      <w:marRight w:val="0"/>
      <w:marTop w:val="0"/>
      <w:marBottom w:val="0"/>
      <w:divBdr>
        <w:top w:val="none" w:sz="0" w:space="0" w:color="auto"/>
        <w:left w:val="none" w:sz="0" w:space="0" w:color="auto"/>
        <w:bottom w:val="none" w:sz="0" w:space="0" w:color="auto"/>
        <w:right w:val="none" w:sz="0" w:space="0" w:color="auto"/>
      </w:divBdr>
    </w:div>
    <w:div w:id="745146367">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14300285">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81352473">
      <w:bodyDiv w:val="1"/>
      <w:marLeft w:val="0"/>
      <w:marRight w:val="0"/>
      <w:marTop w:val="0"/>
      <w:marBottom w:val="0"/>
      <w:divBdr>
        <w:top w:val="none" w:sz="0" w:space="0" w:color="auto"/>
        <w:left w:val="none" w:sz="0" w:space="0" w:color="auto"/>
        <w:bottom w:val="none" w:sz="0" w:space="0" w:color="auto"/>
        <w:right w:val="none" w:sz="0" w:space="0" w:color="auto"/>
      </w:divBdr>
    </w:div>
    <w:div w:id="1015961032">
      <w:bodyDiv w:val="1"/>
      <w:marLeft w:val="0"/>
      <w:marRight w:val="0"/>
      <w:marTop w:val="0"/>
      <w:marBottom w:val="0"/>
      <w:divBdr>
        <w:top w:val="none" w:sz="0" w:space="0" w:color="auto"/>
        <w:left w:val="none" w:sz="0" w:space="0" w:color="auto"/>
        <w:bottom w:val="none" w:sz="0" w:space="0" w:color="auto"/>
        <w:right w:val="none" w:sz="0" w:space="0" w:color="auto"/>
      </w:divBdr>
      <w:divsChild>
        <w:div w:id="1428816711">
          <w:marLeft w:val="0"/>
          <w:marRight w:val="0"/>
          <w:marTop w:val="0"/>
          <w:marBottom w:val="0"/>
          <w:divBdr>
            <w:top w:val="none" w:sz="0" w:space="0" w:color="auto"/>
            <w:left w:val="none" w:sz="0" w:space="0" w:color="auto"/>
            <w:bottom w:val="none" w:sz="0" w:space="0" w:color="auto"/>
            <w:right w:val="none" w:sz="0" w:space="0" w:color="auto"/>
          </w:divBdr>
          <w:divsChild>
            <w:div w:id="63534394">
              <w:marLeft w:val="0"/>
              <w:marRight w:val="0"/>
              <w:marTop w:val="0"/>
              <w:marBottom w:val="0"/>
              <w:divBdr>
                <w:top w:val="none" w:sz="0" w:space="0" w:color="auto"/>
                <w:left w:val="none" w:sz="0" w:space="0" w:color="auto"/>
                <w:bottom w:val="none" w:sz="0" w:space="0" w:color="auto"/>
                <w:right w:val="none" w:sz="0" w:space="0" w:color="auto"/>
              </w:divBdr>
              <w:divsChild>
                <w:div w:id="1519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083725840">
      <w:bodyDiv w:val="1"/>
      <w:marLeft w:val="0"/>
      <w:marRight w:val="0"/>
      <w:marTop w:val="0"/>
      <w:marBottom w:val="0"/>
      <w:divBdr>
        <w:top w:val="none" w:sz="0" w:space="0" w:color="auto"/>
        <w:left w:val="none" w:sz="0" w:space="0" w:color="auto"/>
        <w:bottom w:val="none" w:sz="0" w:space="0" w:color="auto"/>
        <w:right w:val="none" w:sz="0" w:space="0" w:color="auto"/>
      </w:divBdr>
    </w:div>
    <w:div w:id="1114984648">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637">
      <w:bodyDiv w:val="1"/>
      <w:marLeft w:val="0"/>
      <w:marRight w:val="0"/>
      <w:marTop w:val="0"/>
      <w:marBottom w:val="0"/>
      <w:divBdr>
        <w:top w:val="none" w:sz="0" w:space="0" w:color="auto"/>
        <w:left w:val="none" w:sz="0" w:space="0" w:color="auto"/>
        <w:bottom w:val="none" w:sz="0" w:space="0" w:color="auto"/>
        <w:right w:val="none" w:sz="0" w:space="0" w:color="auto"/>
      </w:divBdr>
    </w:div>
    <w:div w:id="1325426559">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98783">
      <w:bodyDiv w:val="1"/>
      <w:marLeft w:val="0"/>
      <w:marRight w:val="0"/>
      <w:marTop w:val="0"/>
      <w:marBottom w:val="0"/>
      <w:divBdr>
        <w:top w:val="none" w:sz="0" w:space="0" w:color="auto"/>
        <w:left w:val="none" w:sz="0" w:space="0" w:color="auto"/>
        <w:bottom w:val="none" w:sz="0" w:space="0" w:color="auto"/>
        <w:right w:val="none" w:sz="0" w:space="0" w:color="auto"/>
      </w:divBdr>
    </w:div>
    <w:div w:id="1445809089">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2137100">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0368231">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3114">
      <w:bodyDiv w:val="1"/>
      <w:marLeft w:val="0"/>
      <w:marRight w:val="0"/>
      <w:marTop w:val="0"/>
      <w:marBottom w:val="0"/>
      <w:divBdr>
        <w:top w:val="none" w:sz="0" w:space="0" w:color="auto"/>
        <w:left w:val="none" w:sz="0" w:space="0" w:color="auto"/>
        <w:bottom w:val="none" w:sz="0" w:space="0" w:color="auto"/>
        <w:right w:val="none" w:sz="0" w:space="0" w:color="auto"/>
      </w:divBdr>
      <w:divsChild>
        <w:div w:id="824705897">
          <w:marLeft w:val="0"/>
          <w:marRight w:val="0"/>
          <w:marTop w:val="0"/>
          <w:marBottom w:val="0"/>
          <w:divBdr>
            <w:top w:val="none" w:sz="0" w:space="0" w:color="auto"/>
            <w:left w:val="none" w:sz="0" w:space="0" w:color="auto"/>
            <w:bottom w:val="none" w:sz="0" w:space="0" w:color="auto"/>
            <w:right w:val="none" w:sz="0" w:space="0" w:color="auto"/>
          </w:divBdr>
          <w:divsChild>
            <w:div w:id="1783112884">
              <w:marLeft w:val="0"/>
              <w:marRight w:val="0"/>
              <w:marTop w:val="0"/>
              <w:marBottom w:val="0"/>
              <w:divBdr>
                <w:top w:val="none" w:sz="0" w:space="0" w:color="auto"/>
                <w:left w:val="none" w:sz="0" w:space="0" w:color="auto"/>
                <w:bottom w:val="none" w:sz="0" w:space="0" w:color="auto"/>
                <w:right w:val="none" w:sz="0" w:space="0" w:color="auto"/>
              </w:divBdr>
              <w:divsChild>
                <w:div w:id="12505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8499">
      <w:bodyDiv w:val="1"/>
      <w:marLeft w:val="0"/>
      <w:marRight w:val="0"/>
      <w:marTop w:val="0"/>
      <w:marBottom w:val="0"/>
      <w:divBdr>
        <w:top w:val="none" w:sz="0" w:space="0" w:color="auto"/>
        <w:left w:val="none" w:sz="0" w:space="0" w:color="auto"/>
        <w:bottom w:val="none" w:sz="0" w:space="0" w:color="auto"/>
        <w:right w:val="none" w:sz="0" w:space="0" w:color="auto"/>
      </w:divBdr>
    </w:div>
    <w:div w:id="1663240243">
      <w:bodyDiv w:val="1"/>
      <w:marLeft w:val="0"/>
      <w:marRight w:val="0"/>
      <w:marTop w:val="0"/>
      <w:marBottom w:val="0"/>
      <w:divBdr>
        <w:top w:val="none" w:sz="0" w:space="0" w:color="auto"/>
        <w:left w:val="none" w:sz="0" w:space="0" w:color="auto"/>
        <w:bottom w:val="none" w:sz="0" w:space="0" w:color="auto"/>
        <w:right w:val="none" w:sz="0" w:space="0" w:color="auto"/>
      </w:divBdr>
      <w:divsChild>
        <w:div w:id="110058648">
          <w:marLeft w:val="0"/>
          <w:marRight w:val="0"/>
          <w:marTop w:val="0"/>
          <w:marBottom w:val="0"/>
          <w:divBdr>
            <w:top w:val="none" w:sz="0" w:space="0" w:color="auto"/>
            <w:left w:val="none" w:sz="0" w:space="0" w:color="auto"/>
            <w:bottom w:val="none" w:sz="0" w:space="0" w:color="auto"/>
            <w:right w:val="none" w:sz="0" w:space="0" w:color="auto"/>
          </w:divBdr>
          <w:divsChild>
            <w:div w:id="125511039">
              <w:marLeft w:val="0"/>
              <w:marRight w:val="0"/>
              <w:marTop w:val="180"/>
              <w:marBottom w:val="0"/>
              <w:divBdr>
                <w:top w:val="none" w:sz="0" w:space="0" w:color="auto"/>
                <w:left w:val="none" w:sz="0" w:space="0" w:color="auto"/>
                <w:bottom w:val="none" w:sz="0" w:space="0" w:color="auto"/>
                <w:right w:val="none" w:sz="0" w:space="0" w:color="auto"/>
              </w:divBdr>
              <w:divsChild>
                <w:div w:id="811212909">
                  <w:marLeft w:val="0"/>
                  <w:marRight w:val="0"/>
                  <w:marTop w:val="0"/>
                  <w:marBottom w:val="0"/>
                  <w:divBdr>
                    <w:top w:val="none" w:sz="0" w:space="0" w:color="auto"/>
                    <w:left w:val="none" w:sz="0" w:space="0" w:color="auto"/>
                    <w:bottom w:val="none" w:sz="0" w:space="0" w:color="auto"/>
                    <w:right w:val="none" w:sz="0" w:space="0" w:color="auto"/>
                  </w:divBdr>
                  <w:divsChild>
                    <w:div w:id="1576278586">
                      <w:marLeft w:val="0"/>
                      <w:marRight w:val="0"/>
                      <w:marTop w:val="0"/>
                      <w:marBottom w:val="0"/>
                      <w:divBdr>
                        <w:top w:val="none" w:sz="0" w:space="0" w:color="auto"/>
                        <w:left w:val="none" w:sz="0" w:space="0" w:color="auto"/>
                        <w:bottom w:val="none" w:sz="0" w:space="0" w:color="auto"/>
                        <w:right w:val="none" w:sz="0" w:space="0" w:color="auto"/>
                      </w:divBdr>
                      <w:divsChild>
                        <w:div w:id="1747874853">
                          <w:marLeft w:val="180"/>
                          <w:marRight w:val="180"/>
                          <w:marTop w:val="0"/>
                          <w:marBottom w:val="0"/>
                          <w:divBdr>
                            <w:top w:val="single" w:sz="6" w:space="3" w:color="E5E5E5"/>
                            <w:left w:val="none" w:sz="0" w:space="0" w:color="auto"/>
                            <w:bottom w:val="none" w:sz="0" w:space="0" w:color="auto"/>
                            <w:right w:val="none" w:sz="0" w:space="0" w:color="auto"/>
                          </w:divBdr>
                          <w:divsChild>
                            <w:div w:id="1412317578">
                              <w:marLeft w:val="0"/>
                              <w:marRight w:val="0"/>
                              <w:marTop w:val="0"/>
                              <w:marBottom w:val="0"/>
                              <w:divBdr>
                                <w:top w:val="none" w:sz="0" w:space="0" w:color="auto"/>
                                <w:left w:val="none" w:sz="0" w:space="0" w:color="auto"/>
                                <w:bottom w:val="none" w:sz="0" w:space="0" w:color="auto"/>
                                <w:right w:val="none" w:sz="0" w:space="0" w:color="auto"/>
                              </w:divBdr>
                              <w:divsChild>
                                <w:div w:id="496187862">
                                  <w:marLeft w:val="0"/>
                                  <w:marRight w:val="0"/>
                                  <w:marTop w:val="0"/>
                                  <w:marBottom w:val="0"/>
                                  <w:divBdr>
                                    <w:top w:val="none" w:sz="0" w:space="0" w:color="auto"/>
                                    <w:left w:val="none" w:sz="0" w:space="0" w:color="auto"/>
                                    <w:bottom w:val="none" w:sz="0" w:space="0" w:color="auto"/>
                                    <w:right w:val="none" w:sz="0" w:space="0" w:color="auto"/>
                                  </w:divBdr>
                                  <w:divsChild>
                                    <w:div w:id="356152939">
                                      <w:marLeft w:val="0"/>
                                      <w:marRight w:val="0"/>
                                      <w:marTop w:val="0"/>
                                      <w:marBottom w:val="0"/>
                                      <w:divBdr>
                                        <w:top w:val="none" w:sz="0" w:space="0" w:color="auto"/>
                                        <w:left w:val="none" w:sz="0" w:space="0" w:color="auto"/>
                                        <w:bottom w:val="none" w:sz="0" w:space="0" w:color="auto"/>
                                        <w:right w:val="none" w:sz="0" w:space="0" w:color="auto"/>
                                      </w:divBdr>
                                    </w:div>
                                    <w:div w:id="495000895">
                                      <w:marLeft w:val="0"/>
                                      <w:marRight w:val="0"/>
                                      <w:marTop w:val="0"/>
                                      <w:marBottom w:val="0"/>
                                      <w:divBdr>
                                        <w:top w:val="none" w:sz="0" w:space="0" w:color="auto"/>
                                        <w:left w:val="none" w:sz="0" w:space="0" w:color="auto"/>
                                        <w:bottom w:val="none" w:sz="0" w:space="0" w:color="auto"/>
                                        <w:right w:val="none" w:sz="0" w:space="0" w:color="auto"/>
                                      </w:divBdr>
                                      <w:divsChild>
                                        <w:div w:id="148594779">
                                          <w:marLeft w:val="0"/>
                                          <w:marRight w:val="0"/>
                                          <w:marTop w:val="0"/>
                                          <w:marBottom w:val="0"/>
                                          <w:divBdr>
                                            <w:top w:val="none" w:sz="0" w:space="0" w:color="auto"/>
                                            <w:left w:val="none" w:sz="0" w:space="0" w:color="auto"/>
                                            <w:bottom w:val="none" w:sz="0" w:space="0" w:color="auto"/>
                                            <w:right w:val="none" w:sz="0" w:space="0" w:color="auto"/>
                                          </w:divBdr>
                                          <w:divsChild>
                                            <w:div w:id="2064522916">
                                              <w:marLeft w:val="0"/>
                                              <w:marRight w:val="0"/>
                                              <w:marTop w:val="0"/>
                                              <w:marBottom w:val="0"/>
                                              <w:divBdr>
                                                <w:top w:val="none" w:sz="0" w:space="0" w:color="auto"/>
                                                <w:left w:val="none" w:sz="0" w:space="0" w:color="auto"/>
                                                <w:bottom w:val="none" w:sz="0" w:space="0" w:color="auto"/>
                                                <w:right w:val="none" w:sz="0" w:space="0" w:color="auto"/>
                                              </w:divBdr>
                                              <w:divsChild>
                                                <w:div w:id="1291472498">
                                                  <w:marLeft w:val="0"/>
                                                  <w:marRight w:val="0"/>
                                                  <w:marTop w:val="0"/>
                                                  <w:marBottom w:val="0"/>
                                                  <w:divBdr>
                                                    <w:top w:val="none" w:sz="0" w:space="0" w:color="auto"/>
                                                    <w:left w:val="none" w:sz="0" w:space="0" w:color="auto"/>
                                                    <w:bottom w:val="none" w:sz="0" w:space="0" w:color="auto"/>
                                                    <w:right w:val="none" w:sz="0" w:space="0" w:color="auto"/>
                                                  </w:divBdr>
                                                  <w:divsChild>
                                                    <w:div w:id="1644576901">
                                                      <w:marLeft w:val="0"/>
                                                      <w:marRight w:val="0"/>
                                                      <w:marTop w:val="0"/>
                                                      <w:marBottom w:val="0"/>
                                                      <w:divBdr>
                                                        <w:top w:val="none" w:sz="0" w:space="0" w:color="auto"/>
                                                        <w:left w:val="none" w:sz="0" w:space="0" w:color="auto"/>
                                                        <w:bottom w:val="none" w:sz="0" w:space="0" w:color="auto"/>
                                                        <w:right w:val="none" w:sz="0" w:space="0" w:color="auto"/>
                                                      </w:divBdr>
                                                      <w:divsChild>
                                                        <w:div w:id="1328242944">
                                                          <w:marLeft w:val="0"/>
                                                          <w:marRight w:val="0"/>
                                                          <w:marTop w:val="480"/>
                                                          <w:marBottom w:val="0"/>
                                                          <w:divBdr>
                                                            <w:top w:val="none" w:sz="0" w:space="0" w:color="auto"/>
                                                            <w:left w:val="none" w:sz="0" w:space="0" w:color="auto"/>
                                                            <w:bottom w:val="none" w:sz="0" w:space="0" w:color="auto"/>
                                                            <w:right w:val="none" w:sz="0" w:space="0" w:color="auto"/>
                                                          </w:divBdr>
                                                          <w:divsChild>
                                                            <w:div w:id="479883735">
                                                              <w:marLeft w:val="0"/>
                                                              <w:marRight w:val="0"/>
                                                              <w:marTop w:val="0"/>
                                                              <w:marBottom w:val="0"/>
                                                              <w:divBdr>
                                                                <w:top w:val="none" w:sz="0" w:space="0" w:color="auto"/>
                                                                <w:left w:val="none" w:sz="0" w:space="0" w:color="auto"/>
                                                                <w:bottom w:val="none" w:sz="0" w:space="0" w:color="auto"/>
                                                                <w:right w:val="none" w:sz="0" w:space="0" w:color="auto"/>
                                                              </w:divBdr>
                                                              <w:divsChild>
                                                                <w:div w:id="193545575">
                                                                  <w:marLeft w:val="0"/>
                                                                  <w:marRight w:val="0"/>
                                                                  <w:marTop w:val="0"/>
                                                                  <w:marBottom w:val="0"/>
                                                                  <w:divBdr>
                                                                    <w:top w:val="none" w:sz="0" w:space="0" w:color="auto"/>
                                                                    <w:left w:val="none" w:sz="0" w:space="0" w:color="auto"/>
                                                                    <w:bottom w:val="none" w:sz="0" w:space="0" w:color="auto"/>
                                                                    <w:right w:val="none" w:sz="0" w:space="0" w:color="auto"/>
                                                                  </w:divBdr>
                                                                  <w:divsChild>
                                                                    <w:div w:id="12978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8080">
                                                              <w:marLeft w:val="0"/>
                                                              <w:marRight w:val="0"/>
                                                              <w:marTop w:val="0"/>
                                                              <w:marBottom w:val="0"/>
                                                              <w:divBdr>
                                                                <w:top w:val="none" w:sz="0" w:space="0" w:color="auto"/>
                                                                <w:left w:val="none" w:sz="0" w:space="0" w:color="auto"/>
                                                                <w:bottom w:val="none" w:sz="0" w:space="0" w:color="auto"/>
                                                                <w:right w:val="none" w:sz="0" w:space="0" w:color="auto"/>
                                                              </w:divBdr>
                                                              <w:divsChild>
                                                                <w:div w:id="1499879915">
                                                                  <w:marLeft w:val="0"/>
                                                                  <w:marRight w:val="0"/>
                                                                  <w:marTop w:val="0"/>
                                                                  <w:marBottom w:val="0"/>
                                                                  <w:divBdr>
                                                                    <w:top w:val="none" w:sz="0" w:space="0" w:color="auto"/>
                                                                    <w:left w:val="none" w:sz="0" w:space="0" w:color="auto"/>
                                                                    <w:bottom w:val="none" w:sz="0" w:space="0" w:color="auto"/>
                                                                    <w:right w:val="none" w:sz="0" w:space="0" w:color="auto"/>
                                                                  </w:divBdr>
                                                                  <w:divsChild>
                                                                    <w:div w:id="1803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789">
                                                              <w:marLeft w:val="0"/>
                                                              <w:marRight w:val="0"/>
                                                              <w:marTop w:val="0"/>
                                                              <w:marBottom w:val="0"/>
                                                              <w:divBdr>
                                                                <w:top w:val="none" w:sz="0" w:space="0" w:color="auto"/>
                                                                <w:left w:val="none" w:sz="0" w:space="0" w:color="auto"/>
                                                                <w:bottom w:val="none" w:sz="0" w:space="0" w:color="auto"/>
                                                                <w:right w:val="none" w:sz="0" w:space="0" w:color="auto"/>
                                                              </w:divBdr>
                                                              <w:divsChild>
                                                                <w:div w:id="647708941">
                                                                  <w:marLeft w:val="0"/>
                                                                  <w:marRight w:val="0"/>
                                                                  <w:marTop w:val="0"/>
                                                                  <w:marBottom w:val="0"/>
                                                                  <w:divBdr>
                                                                    <w:top w:val="none" w:sz="0" w:space="0" w:color="auto"/>
                                                                    <w:left w:val="none" w:sz="0" w:space="0" w:color="auto"/>
                                                                    <w:bottom w:val="none" w:sz="0" w:space="0" w:color="auto"/>
                                                                    <w:right w:val="none" w:sz="0" w:space="0" w:color="auto"/>
                                                                  </w:divBdr>
                                                                  <w:divsChild>
                                                                    <w:div w:id="784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2853">
                                                              <w:marLeft w:val="0"/>
                                                              <w:marRight w:val="0"/>
                                                              <w:marTop w:val="0"/>
                                                              <w:marBottom w:val="0"/>
                                                              <w:divBdr>
                                                                <w:top w:val="none" w:sz="0" w:space="0" w:color="auto"/>
                                                                <w:left w:val="none" w:sz="0" w:space="0" w:color="auto"/>
                                                                <w:bottom w:val="none" w:sz="0" w:space="0" w:color="auto"/>
                                                                <w:right w:val="none" w:sz="0" w:space="0" w:color="auto"/>
                                                              </w:divBdr>
                                                              <w:divsChild>
                                                                <w:div w:id="1856916083">
                                                                  <w:marLeft w:val="0"/>
                                                                  <w:marRight w:val="0"/>
                                                                  <w:marTop w:val="0"/>
                                                                  <w:marBottom w:val="0"/>
                                                                  <w:divBdr>
                                                                    <w:top w:val="none" w:sz="0" w:space="0" w:color="auto"/>
                                                                    <w:left w:val="none" w:sz="0" w:space="0" w:color="auto"/>
                                                                    <w:bottom w:val="none" w:sz="0" w:space="0" w:color="auto"/>
                                                                    <w:right w:val="none" w:sz="0" w:space="0" w:color="auto"/>
                                                                  </w:divBdr>
                                                                  <w:divsChild>
                                                                    <w:div w:id="1264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283">
                                                              <w:marLeft w:val="0"/>
                                                              <w:marRight w:val="0"/>
                                                              <w:marTop w:val="0"/>
                                                              <w:marBottom w:val="0"/>
                                                              <w:divBdr>
                                                                <w:top w:val="none" w:sz="0" w:space="0" w:color="auto"/>
                                                                <w:left w:val="none" w:sz="0" w:space="0" w:color="auto"/>
                                                                <w:bottom w:val="none" w:sz="0" w:space="0" w:color="auto"/>
                                                                <w:right w:val="none" w:sz="0" w:space="0" w:color="auto"/>
                                                              </w:divBdr>
                                                              <w:divsChild>
                                                                <w:div w:id="1996033417">
                                                                  <w:marLeft w:val="0"/>
                                                                  <w:marRight w:val="0"/>
                                                                  <w:marTop w:val="0"/>
                                                                  <w:marBottom w:val="0"/>
                                                                  <w:divBdr>
                                                                    <w:top w:val="none" w:sz="0" w:space="0" w:color="auto"/>
                                                                    <w:left w:val="none" w:sz="0" w:space="0" w:color="auto"/>
                                                                    <w:bottom w:val="none" w:sz="0" w:space="0" w:color="auto"/>
                                                                    <w:right w:val="none" w:sz="0" w:space="0" w:color="auto"/>
                                                                  </w:divBdr>
                                                                  <w:divsChild>
                                                                    <w:div w:id="1973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1646">
                                                              <w:marLeft w:val="0"/>
                                                              <w:marRight w:val="0"/>
                                                              <w:marTop w:val="0"/>
                                                              <w:marBottom w:val="0"/>
                                                              <w:divBdr>
                                                                <w:top w:val="none" w:sz="0" w:space="0" w:color="auto"/>
                                                                <w:left w:val="none" w:sz="0" w:space="0" w:color="auto"/>
                                                                <w:bottom w:val="none" w:sz="0" w:space="0" w:color="auto"/>
                                                                <w:right w:val="none" w:sz="0" w:space="0" w:color="auto"/>
                                                              </w:divBdr>
                                                              <w:divsChild>
                                                                <w:div w:id="1809011367">
                                                                  <w:marLeft w:val="0"/>
                                                                  <w:marRight w:val="0"/>
                                                                  <w:marTop w:val="0"/>
                                                                  <w:marBottom w:val="0"/>
                                                                  <w:divBdr>
                                                                    <w:top w:val="none" w:sz="0" w:space="0" w:color="auto"/>
                                                                    <w:left w:val="none" w:sz="0" w:space="0" w:color="auto"/>
                                                                    <w:bottom w:val="none" w:sz="0" w:space="0" w:color="auto"/>
                                                                    <w:right w:val="none" w:sz="0" w:space="0" w:color="auto"/>
                                                                  </w:divBdr>
                                                                  <w:divsChild>
                                                                    <w:div w:id="10738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16594">
          <w:marLeft w:val="0"/>
          <w:marRight w:val="0"/>
          <w:marTop w:val="0"/>
          <w:marBottom w:val="0"/>
          <w:divBdr>
            <w:top w:val="none" w:sz="0" w:space="0" w:color="auto"/>
            <w:left w:val="none" w:sz="0" w:space="0" w:color="auto"/>
            <w:bottom w:val="none" w:sz="0" w:space="0" w:color="auto"/>
            <w:right w:val="none" w:sz="0" w:space="0" w:color="auto"/>
          </w:divBdr>
          <w:divsChild>
            <w:div w:id="1357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476">
      <w:bodyDiv w:val="1"/>
      <w:marLeft w:val="0"/>
      <w:marRight w:val="0"/>
      <w:marTop w:val="0"/>
      <w:marBottom w:val="0"/>
      <w:divBdr>
        <w:top w:val="none" w:sz="0" w:space="0" w:color="auto"/>
        <w:left w:val="none" w:sz="0" w:space="0" w:color="auto"/>
        <w:bottom w:val="none" w:sz="0" w:space="0" w:color="auto"/>
        <w:right w:val="none" w:sz="0" w:space="0" w:color="auto"/>
      </w:divBdr>
    </w:div>
    <w:div w:id="1682122184">
      <w:bodyDiv w:val="1"/>
      <w:marLeft w:val="0"/>
      <w:marRight w:val="0"/>
      <w:marTop w:val="0"/>
      <w:marBottom w:val="0"/>
      <w:divBdr>
        <w:top w:val="none" w:sz="0" w:space="0" w:color="auto"/>
        <w:left w:val="none" w:sz="0" w:space="0" w:color="auto"/>
        <w:bottom w:val="none" w:sz="0" w:space="0" w:color="auto"/>
        <w:right w:val="none" w:sz="0" w:space="0" w:color="auto"/>
      </w:divBdr>
    </w:div>
    <w:div w:id="1730836369">
      <w:bodyDiv w:val="1"/>
      <w:marLeft w:val="0"/>
      <w:marRight w:val="0"/>
      <w:marTop w:val="0"/>
      <w:marBottom w:val="0"/>
      <w:divBdr>
        <w:top w:val="none" w:sz="0" w:space="0" w:color="auto"/>
        <w:left w:val="none" w:sz="0" w:space="0" w:color="auto"/>
        <w:bottom w:val="none" w:sz="0" w:space="0" w:color="auto"/>
        <w:right w:val="none" w:sz="0" w:space="0" w:color="auto"/>
      </w:divBdr>
      <w:divsChild>
        <w:div w:id="1244685949">
          <w:marLeft w:val="0"/>
          <w:marRight w:val="0"/>
          <w:marTop w:val="0"/>
          <w:marBottom w:val="0"/>
          <w:divBdr>
            <w:top w:val="none" w:sz="0" w:space="0" w:color="auto"/>
            <w:left w:val="none" w:sz="0" w:space="0" w:color="auto"/>
            <w:bottom w:val="none" w:sz="0" w:space="0" w:color="auto"/>
            <w:right w:val="none" w:sz="0" w:space="0" w:color="auto"/>
          </w:divBdr>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195">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1900021470">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27559892">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86876998">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1048309">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old.congreso.gob.gt/archivos/decretos/2008/gtdcx6-2008.pdf" TargetMode="External"/><Relationship Id="rId13" Type="http://schemas.openxmlformats.org/officeDocument/2006/relationships/hyperlink" Target="http://www.cicig.org/index.php?mact=News,cntnt01,detail,0&amp;cntnt01articleid=420&amp;cntnt01returnid=67" TargetMode="External"/><Relationship Id="rId3" Type="http://schemas.openxmlformats.org/officeDocument/2006/relationships/hyperlink" Target="http://www.refworld.org/docid/3ae6b4d014.html" TargetMode="External"/><Relationship Id="rId7" Type="http://schemas.openxmlformats.org/officeDocument/2006/relationships/hyperlink" Target="http://elperiodico.com.gt/2016/02/12/opinion/conmutacion-de-la-pena-de-muerte/" TargetMode="External"/><Relationship Id="rId12" Type="http://schemas.openxmlformats.org/officeDocument/2006/relationships/hyperlink" Target="http://old.congreso.gob.gt/archivos/iniciativas/registro5100.pdf" TargetMode="External"/><Relationship Id="rId2" Type="http://schemas.openxmlformats.org/officeDocument/2006/relationships/hyperlink" Target="https://www.oas.org/juridico/mla/sp/gtm/sp_gtm-int-text-const.pdf." TargetMode="External"/><Relationship Id="rId16" Type="http://schemas.openxmlformats.org/officeDocument/2006/relationships/hyperlink" Target="http://www.cicig.org/index.php?mact=News,cntnt01,detail,0&amp;cntnt01articleid=420&amp;cntnt01returnid=67" TargetMode="External"/><Relationship Id="rId1" Type="http://schemas.openxmlformats.org/officeDocument/2006/relationships/hyperlink" Target="http://www.cidh.oas.org/annualrep/2004sp/Guatemala.723.01.htm" TargetMode="External"/><Relationship Id="rId6" Type="http://schemas.openxmlformats.org/officeDocument/2006/relationships/hyperlink" Target="http://www.efe.com/efe/america/politica/piden-en-guatemala-restituir-figura-de-indulto-y-con-ella-la-pena-muerte/20000035-2863701" TargetMode="External"/><Relationship Id="rId11" Type="http://schemas.openxmlformats.org/officeDocument/2006/relationships/hyperlink" Target="http://www.laprensa.com.ni/2010/11/05/internacionales/42724-colom-veta-ley-con-que-reactivarian-pena-de-muerte" TargetMode="External"/><Relationship Id="rId5" Type="http://schemas.openxmlformats.org/officeDocument/2006/relationships/hyperlink" Target="http://old.congreso.gob.gt/archivos/decretos/1996/gtdcx20-1996.pdf" TargetMode="External"/><Relationship Id="rId15" Type="http://schemas.openxmlformats.org/officeDocument/2006/relationships/hyperlink" Target="http://www.prensalibre.com/guatemala/justicia/fiscalia-espaola-mantiene-peticion-de-160-aos-de-carcel-para-carlos-vielmann." TargetMode="External"/><Relationship Id="rId10" Type="http://schemas.openxmlformats.org/officeDocument/2006/relationships/hyperlink" Target="http://news.bbc.co.uk/hi/spanish/latin_america/newsid_7297000/7297884.stm" TargetMode="External"/><Relationship Id="rId4" Type="http://schemas.openxmlformats.org/officeDocument/2006/relationships/hyperlink" Target="http://old.congreso.gob.gt/archivos/decretos/2000/gtdcx32-2000.pdf," TargetMode="External"/><Relationship Id="rId9" Type="http://schemas.openxmlformats.org/officeDocument/2006/relationships/hyperlink" Target="http://www.elmundo.es/elmundo/2008/03/15/internacional/1205539033.html" TargetMode="External"/><Relationship Id="rId14" Type="http://schemas.openxmlformats.org/officeDocument/2006/relationships/hyperlink" Target="http://www.cicig.org/uploads/documents/2013/SENT-20131018-01-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45C0A-B955-44CE-9F76-1EF4924A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38</Pages>
  <Words>16794</Words>
  <Characters>95730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46</cp:revision>
  <cp:lastPrinted>2017-10-11T21:32:00Z</cp:lastPrinted>
  <dcterms:created xsi:type="dcterms:W3CDTF">2017-09-25T21:23:00Z</dcterms:created>
  <dcterms:modified xsi:type="dcterms:W3CDTF">2018-01-18T17:16:00Z</dcterms:modified>
</cp:coreProperties>
</file>