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BB3AE8" w:rsidRDefault="00D306D1" w:rsidP="00627C9F">
      <w:pPr>
        <w:jc w:val="both"/>
        <w:rPr>
          <w:rFonts w:ascii="Cambria" w:hAnsi="Cambria" w:cs="Univers"/>
          <w:b/>
          <w:bCs/>
          <w:sz w:val="20"/>
          <w:szCs w:val="20"/>
          <w:lang w:val="es-VE"/>
        </w:rPr>
      </w:pPr>
      <w:r w:rsidRPr="00DB4A13">
        <w:rPr>
          <w:rFonts w:ascii="Cambria" w:hAnsi="Cambria"/>
          <w:noProof/>
          <w:sz w:val="20"/>
          <w:szCs w:val="20"/>
        </w:rPr>
        <mc:AlternateContent>
          <mc:Choice Requires="wps">
            <w:drawing>
              <wp:anchor distT="0" distB="0" distL="114300" distR="114300" simplePos="0" relativeHeight="251661311" behindDoc="0" locked="0" layoutInCell="1" allowOverlap="1" wp14:anchorId="735D28F0" wp14:editId="57F882D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B4A13">
        <w:rPr>
          <w:rFonts w:ascii="Cambria" w:hAnsi="Cambria"/>
          <w:noProof/>
          <w:sz w:val="20"/>
          <w:szCs w:val="20"/>
        </w:rPr>
        <mc:AlternateContent>
          <mc:Choice Requires="wps">
            <w:drawing>
              <wp:anchor distT="0" distB="0" distL="114300" distR="114300" simplePos="0" relativeHeight="251673600" behindDoc="0" locked="0" layoutInCell="1" allowOverlap="1" wp14:anchorId="73C02B20" wp14:editId="1B08AA6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Default="00615A5B" w:rsidP="00AE5488">
                            <w:r>
                              <w:rPr>
                                <w:noProof/>
                              </w:rPr>
                              <w:drawing>
                                <wp:inline distT="0" distB="0" distL="0" distR="0" wp14:anchorId="470688BF" wp14:editId="60B8EDE3">
                                  <wp:extent cx="2647666" cy="509676"/>
                                  <wp:effectExtent l="0" t="0" r="635" b="5080"/>
                                  <wp:docPr id="18" name="Picture 18"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15A5B" w:rsidRDefault="00615A5B" w:rsidP="00AE5488">
                      <w:r>
                        <w:rPr>
                          <w:noProof/>
                        </w:rPr>
                        <w:drawing>
                          <wp:inline distT="0" distB="0" distL="0" distR="0" wp14:anchorId="470688BF" wp14:editId="60B8EDE3">
                            <wp:extent cx="2647666" cy="509676"/>
                            <wp:effectExtent l="0" t="0" r="635" b="5080"/>
                            <wp:docPr id="18" name="Picture 18"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35756" w:rsidRPr="00BB3AE8">
        <w:rPr>
          <w:rFonts w:ascii="Cambria" w:hAnsi="Cambria" w:cs="Univers"/>
          <w:b/>
          <w:bCs/>
          <w:sz w:val="20"/>
          <w:szCs w:val="20"/>
          <w:lang w:val="es-VE"/>
        </w:rPr>
        <w:t>Web spot</w:t>
      </w:r>
    </w:p>
    <w:p w:rsidR="00040C3A" w:rsidRPr="00BB3AE8" w:rsidRDefault="00040C3A" w:rsidP="00040C3A">
      <w:pPr>
        <w:tabs>
          <w:tab w:val="center" w:pos="5400"/>
        </w:tabs>
        <w:suppressAutoHyphens/>
        <w:jc w:val="both"/>
        <w:rPr>
          <w:rFonts w:ascii="Cambria" w:hAnsi="Cambria"/>
          <w:sz w:val="20"/>
          <w:szCs w:val="20"/>
          <w:lang w:val="es-VE"/>
        </w:rPr>
      </w:pPr>
    </w:p>
    <w:p w:rsidR="00040C3A" w:rsidRPr="00BB3AE8" w:rsidRDefault="00040C3A" w:rsidP="00040C3A">
      <w:pPr>
        <w:tabs>
          <w:tab w:val="center" w:pos="5400"/>
        </w:tabs>
        <w:suppressAutoHyphens/>
        <w:jc w:val="both"/>
        <w:rPr>
          <w:rFonts w:ascii="Cambria" w:hAnsi="Cambria"/>
          <w:sz w:val="20"/>
          <w:szCs w:val="20"/>
          <w:lang w:val="es-VE"/>
        </w:rPr>
      </w:pPr>
    </w:p>
    <w:p w:rsidR="005128E4" w:rsidRPr="00BB3AE8" w:rsidRDefault="005128E4" w:rsidP="00040C3A">
      <w:pPr>
        <w:tabs>
          <w:tab w:val="center" w:pos="5400"/>
        </w:tabs>
        <w:suppressAutoHyphens/>
        <w:rPr>
          <w:rFonts w:ascii="Cambria" w:hAnsi="Cambria"/>
          <w:sz w:val="20"/>
          <w:szCs w:val="20"/>
          <w:lang w:val="es-VE"/>
        </w:rPr>
      </w:pPr>
    </w:p>
    <w:p w:rsidR="005128E4" w:rsidRPr="00BB3AE8" w:rsidRDefault="005128E4" w:rsidP="00040C3A">
      <w:pPr>
        <w:tabs>
          <w:tab w:val="center" w:pos="5400"/>
        </w:tabs>
        <w:suppressAutoHyphens/>
        <w:rPr>
          <w:rFonts w:ascii="Cambria" w:hAnsi="Cambria"/>
          <w:sz w:val="20"/>
          <w:szCs w:val="20"/>
          <w:lang w:val="es-VE"/>
        </w:rPr>
      </w:pPr>
    </w:p>
    <w:p w:rsidR="005128E4" w:rsidRPr="00BB3AE8" w:rsidRDefault="005128E4" w:rsidP="00040C3A">
      <w:pPr>
        <w:tabs>
          <w:tab w:val="center" w:pos="5400"/>
        </w:tabs>
        <w:suppressAutoHyphens/>
        <w:rPr>
          <w:rFonts w:ascii="Cambria" w:hAnsi="Cambria"/>
          <w:sz w:val="20"/>
          <w:szCs w:val="20"/>
          <w:lang w:val="es-VE"/>
        </w:rPr>
      </w:pPr>
    </w:p>
    <w:p w:rsidR="00040C3A" w:rsidRPr="00BB3AE8" w:rsidRDefault="00040C3A" w:rsidP="005128E4">
      <w:pPr>
        <w:tabs>
          <w:tab w:val="center" w:pos="5400"/>
        </w:tabs>
        <w:suppressAutoHyphens/>
        <w:jc w:val="center"/>
        <w:rPr>
          <w:rFonts w:ascii="Cambria" w:hAnsi="Cambria"/>
          <w:sz w:val="20"/>
          <w:szCs w:val="20"/>
          <w:lang w:val="es-VE"/>
        </w:rPr>
      </w:pPr>
    </w:p>
    <w:p w:rsidR="00040C3A" w:rsidRPr="00BB3AE8" w:rsidRDefault="00040C3A" w:rsidP="005128E4">
      <w:pPr>
        <w:tabs>
          <w:tab w:val="center" w:pos="5400"/>
        </w:tabs>
        <w:suppressAutoHyphens/>
        <w:jc w:val="center"/>
        <w:rPr>
          <w:rFonts w:ascii="Cambria" w:hAnsi="Cambria"/>
          <w:sz w:val="20"/>
          <w:szCs w:val="20"/>
          <w:lang w:val="es-VE"/>
        </w:rPr>
      </w:pPr>
    </w:p>
    <w:p w:rsidR="005B52B0" w:rsidRPr="00BB3AE8" w:rsidRDefault="005B52B0" w:rsidP="005128E4">
      <w:pPr>
        <w:tabs>
          <w:tab w:val="center" w:pos="5400"/>
        </w:tabs>
        <w:suppressAutoHyphens/>
        <w:jc w:val="center"/>
        <w:rPr>
          <w:rFonts w:ascii="Cambria" w:hAnsi="Cambria"/>
          <w:sz w:val="20"/>
          <w:szCs w:val="20"/>
          <w:lang w:val="es-VE"/>
        </w:rPr>
      </w:pPr>
    </w:p>
    <w:p w:rsidR="005B52B0" w:rsidRPr="00BB3AE8" w:rsidRDefault="005B52B0" w:rsidP="005128E4">
      <w:pPr>
        <w:tabs>
          <w:tab w:val="center" w:pos="5400"/>
        </w:tabs>
        <w:suppressAutoHyphens/>
        <w:jc w:val="center"/>
        <w:rPr>
          <w:rFonts w:ascii="Cambria" w:hAnsi="Cambria"/>
          <w:sz w:val="20"/>
          <w:szCs w:val="20"/>
          <w:lang w:val="es-VE"/>
        </w:rPr>
      </w:pPr>
    </w:p>
    <w:p w:rsidR="005B52B0" w:rsidRPr="00BB3AE8" w:rsidRDefault="005B52B0" w:rsidP="005128E4">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3D3BC2" w:rsidP="00040C3A">
      <w:pPr>
        <w:tabs>
          <w:tab w:val="center" w:pos="5400"/>
        </w:tabs>
        <w:suppressAutoHyphens/>
        <w:jc w:val="center"/>
        <w:rPr>
          <w:rFonts w:ascii="Cambria" w:hAnsi="Cambria"/>
          <w:sz w:val="20"/>
          <w:szCs w:val="20"/>
          <w:lang w:val="es-VE"/>
        </w:rPr>
      </w:pPr>
      <w:r w:rsidRPr="00DB4A13">
        <w:rPr>
          <w:rFonts w:ascii="Cambria" w:hAnsi="Cambria"/>
          <w:noProof/>
          <w:sz w:val="20"/>
          <w:szCs w:val="20"/>
        </w:rPr>
        <mc:AlternateContent>
          <mc:Choice Requires="wps">
            <w:drawing>
              <wp:anchor distT="0" distB="0" distL="114300" distR="114300" simplePos="0" relativeHeight="251669504" behindDoc="0" locked="0" layoutInCell="1" allowOverlap="1" wp14:anchorId="66F6ABC5" wp14:editId="50AA1B9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7A393E" w:rsidRDefault="00615A5B" w:rsidP="00997BC5">
                            <w:pPr>
                              <w:spacing w:line="276" w:lineRule="auto"/>
                              <w:rPr>
                                <w:rFonts w:asciiTheme="majorHAnsi" w:hAnsiTheme="majorHAnsi" w:cs="Arial"/>
                                <w:b/>
                                <w:bCs/>
                                <w:color w:val="0D0D0D" w:themeColor="text1" w:themeTint="F2"/>
                                <w:sz w:val="36"/>
                                <w:szCs w:val="22"/>
                                <w:lang w:val="es-CO"/>
                              </w:rPr>
                            </w:pPr>
                            <w:r w:rsidRPr="007A393E">
                              <w:rPr>
                                <w:rFonts w:asciiTheme="majorHAnsi" w:hAnsiTheme="majorHAnsi" w:cs="Arial"/>
                                <w:b/>
                                <w:bCs/>
                                <w:color w:val="0D0D0D" w:themeColor="text1" w:themeTint="F2"/>
                                <w:sz w:val="36"/>
                                <w:szCs w:val="22"/>
                                <w:lang w:val="es-CO"/>
                              </w:rPr>
                              <w:t xml:space="preserve">INFORME </w:t>
                            </w:r>
                            <w:r w:rsidRPr="007A393E">
                              <w:rPr>
                                <w:rFonts w:asciiTheme="majorHAnsi" w:hAnsiTheme="majorHAnsi" w:cs="Arial"/>
                                <w:b/>
                                <w:bCs/>
                                <w:color w:val="0D0D0D" w:themeColor="text1" w:themeTint="F2"/>
                                <w:sz w:val="36"/>
                                <w:szCs w:val="40"/>
                                <w:lang w:val="es-CO"/>
                              </w:rPr>
                              <w:t>No.</w:t>
                            </w:r>
                            <w:r w:rsidRPr="007A393E">
                              <w:rPr>
                                <w:rFonts w:asciiTheme="majorHAnsi" w:hAnsiTheme="majorHAnsi" w:cs="Arial"/>
                                <w:b/>
                                <w:bCs/>
                                <w:color w:val="0D0D0D" w:themeColor="text1" w:themeTint="F2"/>
                                <w:sz w:val="36"/>
                                <w:szCs w:val="22"/>
                                <w:lang w:val="es-CO"/>
                              </w:rPr>
                              <w:t xml:space="preserve"> </w:t>
                            </w:r>
                            <w:r w:rsidR="0006195E">
                              <w:rPr>
                                <w:rFonts w:asciiTheme="majorHAnsi" w:hAnsiTheme="majorHAnsi" w:cs="Arial"/>
                                <w:b/>
                                <w:bCs/>
                                <w:color w:val="0D0D0D" w:themeColor="text1" w:themeTint="F2"/>
                                <w:sz w:val="36"/>
                                <w:szCs w:val="22"/>
                                <w:lang w:val="es-CO"/>
                              </w:rPr>
                              <w:t>114</w:t>
                            </w:r>
                            <w:r w:rsidRPr="007A393E">
                              <w:rPr>
                                <w:rFonts w:asciiTheme="majorHAnsi" w:hAnsiTheme="majorHAnsi" w:cs="Arial"/>
                                <w:b/>
                                <w:bCs/>
                                <w:color w:val="0D0D0D" w:themeColor="text1" w:themeTint="F2"/>
                                <w:sz w:val="36"/>
                                <w:szCs w:val="22"/>
                                <w:lang w:val="es-CO"/>
                              </w:rPr>
                              <w:t>/18</w:t>
                            </w:r>
                          </w:p>
                          <w:p w:rsidR="00615A5B" w:rsidRPr="007A393E" w:rsidRDefault="00615A5B" w:rsidP="00997BC5">
                            <w:pPr>
                              <w:spacing w:line="276" w:lineRule="auto"/>
                              <w:rPr>
                                <w:rFonts w:asciiTheme="majorHAnsi" w:hAnsiTheme="majorHAnsi" w:cs="Arial"/>
                                <w:b/>
                                <w:color w:val="0D0D0D" w:themeColor="text1" w:themeTint="F2"/>
                                <w:sz w:val="36"/>
                                <w:szCs w:val="22"/>
                                <w:lang w:val="es-CO"/>
                              </w:rPr>
                            </w:pPr>
                            <w:r w:rsidRPr="007A393E">
                              <w:rPr>
                                <w:rFonts w:asciiTheme="majorHAnsi" w:hAnsiTheme="majorHAnsi" w:cs="Arial"/>
                                <w:b/>
                                <w:color w:val="0D0D0D" w:themeColor="text1" w:themeTint="F2"/>
                                <w:sz w:val="36"/>
                                <w:szCs w:val="22"/>
                                <w:lang w:val="es-CO"/>
                              </w:rPr>
                              <w:t xml:space="preserve">CASO </w:t>
                            </w:r>
                            <w:r w:rsidR="00533682" w:rsidRPr="007A393E">
                              <w:rPr>
                                <w:rFonts w:asciiTheme="majorHAnsi" w:hAnsiTheme="majorHAnsi" w:cs="Arial"/>
                                <w:b/>
                                <w:color w:val="0D0D0D" w:themeColor="text1" w:themeTint="F2"/>
                                <w:sz w:val="36"/>
                                <w:szCs w:val="22"/>
                                <w:lang w:val="es-CO"/>
                              </w:rPr>
                              <w:t>12.722</w:t>
                            </w:r>
                          </w:p>
                          <w:p w:rsidR="00615A5B" w:rsidRPr="0010736F" w:rsidRDefault="00615A5B"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615A5B" w:rsidRDefault="00615A5B" w:rsidP="00997BC5">
                            <w:pPr>
                              <w:spacing w:line="276" w:lineRule="auto"/>
                              <w:rPr>
                                <w:rFonts w:asciiTheme="majorHAnsi" w:hAnsiTheme="majorHAnsi" w:cs="Arial"/>
                                <w:color w:val="0D0D0D" w:themeColor="text1" w:themeTint="F2"/>
                                <w:szCs w:val="22"/>
                                <w:lang w:val="es-ES_tradnl"/>
                              </w:rPr>
                            </w:pPr>
                          </w:p>
                          <w:p w:rsidR="00615A5B" w:rsidRPr="00373A87" w:rsidRDefault="00615A5B" w:rsidP="00997BC5">
                            <w:pPr>
                              <w:spacing w:line="276" w:lineRule="auto"/>
                              <w:rPr>
                                <w:rFonts w:asciiTheme="majorHAnsi" w:hAnsiTheme="majorHAnsi" w:cs="Arial"/>
                                <w:color w:val="0D0D0D" w:themeColor="text1" w:themeTint="F2"/>
                                <w:szCs w:val="22"/>
                                <w:lang w:val="es-CO"/>
                              </w:rPr>
                            </w:pPr>
                            <w:r w:rsidRPr="00373A87">
                              <w:rPr>
                                <w:rFonts w:asciiTheme="majorHAnsi" w:hAnsiTheme="majorHAnsi" w:cs="Arial"/>
                                <w:color w:val="0D0D0D" w:themeColor="text1" w:themeTint="F2"/>
                                <w:szCs w:val="22"/>
                                <w:lang w:val="es-CO"/>
                              </w:rPr>
                              <w:t>PEDRO BASILIO ROCHE AZAÑA</w:t>
                            </w:r>
                            <w:r>
                              <w:rPr>
                                <w:rFonts w:asciiTheme="majorHAnsi" w:hAnsiTheme="majorHAnsi" w:cs="Arial"/>
                                <w:color w:val="0D0D0D" w:themeColor="text1" w:themeTint="F2"/>
                                <w:szCs w:val="22"/>
                                <w:lang w:val="es-CO"/>
                              </w:rPr>
                              <w:t xml:space="preserve"> Y OTRO</w:t>
                            </w:r>
                          </w:p>
                          <w:p w:rsidR="00615A5B" w:rsidRPr="00373A87" w:rsidRDefault="00615A5B" w:rsidP="00997BC5">
                            <w:pPr>
                              <w:spacing w:line="276" w:lineRule="auto"/>
                              <w:rPr>
                                <w:rFonts w:asciiTheme="majorHAnsi" w:hAnsiTheme="majorHAnsi" w:cs="Arial"/>
                                <w:color w:val="0D0D0D" w:themeColor="text1" w:themeTint="F2"/>
                                <w:szCs w:val="22"/>
                                <w:lang w:val="es-CO"/>
                              </w:rPr>
                            </w:pPr>
                            <w:r w:rsidRPr="00373A87">
                              <w:rPr>
                                <w:rFonts w:asciiTheme="majorHAnsi" w:hAnsiTheme="majorHAnsi" w:cs="Arial"/>
                                <w:color w:val="0D0D0D" w:themeColor="text1" w:themeTint="F2"/>
                                <w:szCs w:val="22"/>
                                <w:lang w:val="es-CO"/>
                              </w:rPr>
                              <w:t>NICARAGUA</w:t>
                            </w:r>
                          </w:p>
                          <w:p w:rsidR="00615A5B" w:rsidRPr="00373A87" w:rsidRDefault="00615A5B" w:rsidP="007A5817">
                            <w:pPr>
                              <w:rPr>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15A5B" w:rsidRPr="007A393E" w:rsidRDefault="00615A5B" w:rsidP="00997BC5">
                      <w:pPr>
                        <w:spacing w:line="276" w:lineRule="auto"/>
                        <w:rPr>
                          <w:rFonts w:asciiTheme="majorHAnsi" w:hAnsiTheme="majorHAnsi" w:cs="Arial"/>
                          <w:b/>
                          <w:bCs/>
                          <w:color w:val="0D0D0D" w:themeColor="text1" w:themeTint="F2"/>
                          <w:sz w:val="36"/>
                          <w:szCs w:val="22"/>
                          <w:lang w:val="es-CO"/>
                        </w:rPr>
                      </w:pPr>
                      <w:r w:rsidRPr="007A393E">
                        <w:rPr>
                          <w:rFonts w:asciiTheme="majorHAnsi" w:hAnsiTheme="majorHAnsi" w:cs="Arial"/>
                          <w:b/>
                          <w:bCs/>
                          <w:color w:val="0D0D0D" w:themeColor="text1" w:themeTint="F2"/>
                          <w:sz w:val="36"/>
                          <w:szCs w:val="22"/>
                          <w:lang w:val="es-CO"/>
                        </w:rPr>
                        <w:t xml:space="preserve">INFORME </w:t>
                      </w:r>
                      <w:r w:rsidRPr="007A393E">
                        <w:rPr>
                          <w:rFonts w:asciiTheme="majorHAnsi" w:hAnsiTheme="majorHAnsi" w:cs="Arial"/>
                          <w:b/>
                          <w:bCs/>
                          <w:color w:val="0D0D0D" w:themeColor="text1" w:themeTint="F2"/>
                          <w:sz w:val="36"/>
                          <w:szCs w:val="40"/>
                          <w:lang w:val="es-CO"/>
                        </w:rPr>
                        <w:t>No.</w:t>
                      </w:r>
                      <w:r w:rsidRPr="007A393E">
                        <w:rPr>
                          <w:rFonts w:asciiTheme="majorHAnsi" w:hAnsiTheme="majorHAnsi" w:cs="Arial"/>
                          <w:b/>
                          <w:bCs/>
                          <w:color w:val="0D0D0D" w:themeColor="text1" w:themeTint="F2"/>
                          <w:sz w:val="36"/>
                          <w:szCs w:val="22"/>
                          <w:lang w:val="es-CO"/>
                        </w:rPr>
                        <w:t xml:space="preserve"> </w:t>
                      </w:r>
                      <w:r w:rsidR="0006195E">
                        <w:rPr>
                          <w:rFonts w:asciiTheme="majorHAnsi" w:hAnsiTheme="majorHAnsi" w:cs="Arial"/>
                          <w:b/>
                          <w:bCs/>
                          <w:color w:val="0D0D0D" w:themeColor="text1" w:themeTint="F2"/>
                          <w:sz w:val="36"/>
                          <w:szCs w:val="22"/>
                          <w:lang w:val="es-CO"/>
                        </w:rPr>
                        <w:t>114</w:t>
                      </w:r>
                      <w:r w:rsidRPr="007A393E">
                        <w:rPr>
                          <w:rFonts w:asciiTheme="majorHAnsi" w:hAnsiTheme="majorHAnsi" w:cs="Arial"/>
                          <w:b/>
                          <w:bCs/>
                          <w:color w:val="0D0D0D" w:themeColor="text1" w:themeTint="F2"/>
                          <w:sz w:val="36"/>
                          <w:szCs w:val="22"/>
                          <w:lang w:val="es-CO"/>
                        </w:rPr>
                        <w:t>/18</w:t>
                      </w:r>
                    </w:p>
                    <w:p w:rsidR="00615A5B" w:rsidRPr="007A393E" w:rsidRDefault="00615A5B" w:rsidP="00997BC5">
                      <w:pPr>
                        <w:spacing w:line="276" w:lineRule="auto"/>
                        <w:rPr>
                          <w:rFonts w:asciiTheme="majorHAnsi" w:hAnsiTheme="majorHAnsi" w:cs="Arial"/>
                          <w:b/>
                          <w:color w:val="0D0D0D" w:themeColor="text1" w:themeTint="F2"/>
                          <w:sz w:val="36"/>
                          <w:szCs w:val="22"/>
                          <w:lang w:val="es-CO"/>
                        </w:rPr>
                      </w:pPr>
                      <w:r w:rsidRPr="007A393E">
                        <w:rPr>
                          <w:rFonts w:asciiTheme="majorHAnsi" w:hAnsiTheme="majorHAnsi" w:cs="Arial"/>
                          <w:b/>
                          <w:color w:val="0D0D0D" w:themeColor="text1" w:themeTint="F2"/>
                          <w:sz w:val="36"/>
                          <w:szCs w:val="22"/>
                          <w:lang w:val="es-CO"/>
                        </w:rPr>
                        <w:t xml:space="preserve">CASO </w:t>
                      </w:r>
                      <w:r w:rsidR="00533682" w:rsidRPr="007A393E">
                        <w:rPr>
                          <w:rFonts w:asciiTheme="majorHAnsi" w:hAnsiTheme="majorHAnsi" w:cs="Arial"/>
                          <w:b/>
                          <w:color w:val="0D0D0D" w:themeColor="text1" w:themeTint="F2"/>
                          <w:sz w:val="36"/>
                          <w:szCs w:val="22"/>
                          <w:lang w:val="es-CO"/>
                        </w:rPr>
                        <w:t>12.722</w:t>
                      </w:r>
                    </w:p>
                    <w:p w:rsidR="00615A5B" w:rsidRPr="0010736F" w:rsidRDefault="00615A5B"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615A5B" w:rsidRDefault="00615A5B" w:rsidP="00997BC5">
                      <w:pPr>
                        <w:spacing w:line="276" w:lineRule="auto"/>
                        <w:rPr>
                          <w:rFonts w:asciiTheme="majorHAnsi" w:hAnsiTheme="majorHAnsi" w:cs="Arial"/>
                          <w:color w:val="0D0D0D" w:themeColor="text1" w:themeTint="F2"/>
                          <w:szCs w:val="22"/>
                          <w:lang w:val="es-ES_tradnl"/>
                        </w:rPr>
                      </w:pPr>
                    </w:p>
                    <w:p w:rsidR="00615A5B" w:rsidRPr="00373A87" w:rsidRDefault="00615A5B" w:rsidP="00997BC5">
                      <w:pPr>
                        <w:spacing w:line="276" w:lineRule="auto"/>
                        <w:rPr>
                          <w:rFonts w:asciiTheme="majorHAnsi" w:hAnsiTheme="majorHAnsi" w:cs="Arial"/>
                          <w:color w:val="0D0D0D" w:themeColor="text1" w:themeTint="F2"/>
                          <w:szCs w:val="22"/>
                          <w:lang w:val="es-CO"/>
                        </w:rPr>
                      </w:pPr>
                      <w:r w:rsidRPr="00373A87">
                        <w:rPr>
                          <w:rFonts w:asciiTheme="majorHAnsi" w:hAnsiTheme="majorHAnsi" w:cs="Arial"/>
                          <w:color w:val="0D0D0D" w:themeColor="text1" w:themeTint="F2"/>
                          <w:szCs w:val="22"/>
                          <w:lang w:val="es-CO"/>
                        </w:rPr>
                        <w:t>PEDRO BASILIO ROCHE AZAÑA</w:t>
                      </w:r>
                      <w:r>
                        <w:rPr>
                          <w:rFonts w:asciiTheme="majorHAnsi" w:hAnsiTheme="majorHAnsi" w:cs="Arial"/>
                          <w:color w:val="0D0D0D" w:themeColor="text1" w:themeTint="F2"/>
                          <w:szCs w:val="22"/>
                          <w:lang w:val="es-CO"/>
                        </w:rPr>
                        <w:t xml:space="preserve"> Y OTRO</w:t>
                      </w:r>
                    </w:p>
                    <w:p w:rsidR="00615A5B" w:rsidRPr="00373A87" w:rsidRDefault="00615A5B" w:rsidP="00997BC5">
                      <w:pPr>
                        <w:spacing w:line="276" w:lineRule="auto"/>
                        <w:rPr>
                          <w:rFonts w:asciiTheme="majorHAnsi" w:hAnsiTheme="majorHAnsi" w:cs="Arial"/>
                          <w:color w:val="0D0D0D" w:themeColor="text1" w:themeTint="F2"/>
                          <w:szCs w:val="22"/>
                          <w:lang w:val="es-CO"/>
                        </w:rPr>
                      </w:pPr>
                      <w:r w:rsidRPr="00373A87">
                        <w:rPr>
                          <w:rFonts w:asciiTheme="majorHAnsi" w:hAnsiTheme="majorHAnsi" w:cs="Arial"/>
                          <w:color w:val="0D0D0D" w:themeColor="text1" w:themeTint="F2"/>
                          <w:szCs w:val="22"/>
                          <w:lang w:val="es-CO"/>
                        </w:rPr>
                        <w:t>NICARAGUA</w:t>
                      </w:r>
                    </w:p>
                    <w:p w:rsidR="00615A5B" w:rsidRPr="00373A87" w:rsidRDefault="00615A5B" w:rsidP="007A5817">
                      <w:pPr>
                        <w:rPr>
                          <w:color w:val="0D0D0D" w:themeColor="text1" w:themeTint="F2"/>
                          <w:lang w:val="es-CO"/>
                        </w:rPr>
                      </w:pPr>
                    </w:p>
                  </w:txbxContent>
                </v:textbox>
              </v:shape>
            </w:pict>
          </mc:Fallback>
        </mc:AlternateContent>
      </w:r>
      <w:r w:rsidR="004E2649" w:rsidRPr="00DB4A13">
        <w:rPr>
          <w:rFonts w:ascii="Cambria" w:hAnsi="Cambria"/>
          <w:noProof/>
          <w:sz w:val="20"/>
          <w:szCs w:val="20"/>
        </w:rPr>
        <mc:AlternateContent>
          <mc:Choice Requires="wps">
            <w:drawing>
              <wp:anchor distT="0" distB="0" distL="114300" distR="114300" simplePos="0" relativeHeight="251671552" behindDoc="0" locked="0" layoutInCell="1" allowOverlap="1" wp14:anchorId="4EF031A6" wp14:editId="6FAD830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4E2649" w:rsidRDefault="00615A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7F0D78">
                              <w:rPr>
                                <w:rFonts w:asciiTheme="minorHAnsi" w:hAnsiTheme="minorHAnsi"/>
                                <w:color w:val="FFFFFF" w:themeColor="background1"/>
                                <w:sz w:val="22"/>
                                <w:lang w:val="pt-BR"/>
                              </w:rPr>
                              <w:t>169</w:t>
                            </w:r>
                          </w:p>
                          <w:p w:rsidR="00615A5B" w:rsidRPr="004E2649" w:rsidRDefault="00615A5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F0D78">
                              <w:rPr>
                                <w:rFonts w:asciiTheme="minorHAnsi" w:hAnsiTheme="minorHAnsi"/>
                                <w:color w:val="FFFFFF" w:themeColor="background1"/>
                                <w:sz w:val="22"/>
                                <w:lang w:val="pt-BR"/>
                              </w:rPr>
                              <w:t>131</w:t>
                            </w:r>
                          </w:p>
                          <w:p w:rsidR="00615A5B" w:rsidRPr="007C756A" w:rsidRDefault="007F0D7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w:t>
                            </w:r>
                            <w:r w:rsidR="00615A5B"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00615A5B" w:rsidRPr="007C756A">
                              <w:rPr>
                                <w:rFonts w:asciiTheme="minorHAnsi" w:hAnsiTheme="minorHAnsi"/>
                                <w:color w:val="FFFFFF" w:themeColor="background1"/>
                                <w:sz w:val="22"/>
                                <w:lang w:val="es-US"/>
                              </w:rPr>
                              <w:t xml:space="preserve"> 20</w:t>
                            </w:r>
                            <w:r w:rsidR="00615A5B">
                              <w:rPr>
                                <w:rFonts w:asciiTheme="minorHAnsi" w:hAnsiTheme="minorHAnsi"/>
                                <w:color w:val="FFFFFF" w:themeColor="background1"/>
                                <w:sz w:val="22"/>
                                <w:lang w:val="es-US"/>
                              </w:rPr>
                              <w:t>18</w:t>
                            </w:r>
                          </w:p>
                          <w:p w:rsidR="00615A5B" w:rsidRPr="007C756A" w:rsidRDefault="00615A5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15A5B" w:rsidRPr="004E2649" w:rsidRDefault="00615A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7F0D78">
                        <w:rPr>
                          <w:rFonts w:asciiTheme="minorHAnsi" w:hAnsiTheme="minorHAnsi"/>
                          <w:color w:val="FFFFFF" w:themeColor="background1"/>
                          <w:sz w:val="22"/>
                          <w:lang w:val="pt-BR"/>
                        </w:rPr>
                        <w:t>169</w:t>
                      </w:r>
                    </w:p>
                    <w:p w:rsidR="00615A5B" w:rsidRPr="004E2649" w:rsidRDefault="00615A5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F0D78">
                        <w:rPr>
                          <w:rFonts w:asciiTheme="minorHAnsi" w:hAnsiTheme="minorHAnsi"/>
                          <w:color w:val="FFFFFF" w:themeColor="background1"/>
                          <w:sz w:val="22"/>
                          <w:lang w:val="pt-BR"/>
                        </w:rPr>
                        <w:t>131</w:t>
                      </w:r>
                    </w:p>
                    <w:p w:rsidR="00615A5B" w:rsidRPr="007C756A" w:rsidRDefault="007F0D7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w:t>
                      </w:r>
                      <w:r w:rsidR="00615A5B"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00615A5B" w:rsidRPr="007C756A">
                        <w:rPr>
                          <w:rFonts w:asciiTheme="minorHAnsi" w:hAnsiTheme="minorHAnsi"/>
                          <w:color w:val="FFFFFF" w:themeColor="background1"/>
                          <w:sz w:val="22"/>
                          <w:lang w:val="es-US"/>
                        </w:rPr>
                        <w:t xml:space="preserve"> 20</w:t>
                      </w:r>
                      <w:r w:rsidR="00615A5B">
                        <w:rPr>
                          <w:rFonts w:asciiTheme="minorHAnsi" w:hAnsiTheme="minorHAnsi"/>
                          <w:color w:val="FFFFFF" w:themeColor="background1"/>
                          <w:sz w:val="22"/>
                          <w:lang w:val="es-US"/>
                        </w:rPr>
                        <w:t>18</w:t>
                      </w:r>
                    </w:p>
                    <w:p w:rsidR="00615A5B" w:rsidRPr="007C756A" w:rsidRDefault="00615A5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cs="Arial"/>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5128E4" w:rsidRPr="00BB3AE8" w:rsidRDefault="005128E4"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5128E4" w:rsidRPr="00BB3AE8" w:rsidRDefault="005128E4" w:rsidP="00040C3A">
      <w:pPr>
        <w:tabs>
          <w:tab w:val="center" w:pos="5400"/>
        </w:tabs>
        <w:suppressAutoHyphens/>
        <w:jc w:val="center"/>
        <w:rPr>
          <w:rFonts w:ascii="Cambria" w:hAnsi="Cambria"/>
          <w:sz w:val="20"/>
          <w:szCs w:val="20"/>
          <w:lang w:val="es-VE"/>
        </w:rPr>
      </w:pPr>
    </w:p>
    <w:p w:rsidR="005128E4" w:rsidRPr="00BB3AE8" w:rsidRDefault="005128E4" w:rsidP="00040C3A">
      <w:pPr>
        <w:tabs>
          <w:tab w:val="center" w:pos="5400"/>
        </w:tabs>
        <w:suppressAutoHyphens/>
        <w:jc w:val="center"/>
        <w:rPr>
          <w:rFonts w:ascii="Cambria" w:hAnsi="Cambria"/>
          <w:sz w:val="20"/>
          <w:szCs w:val="20"/>
          <w:lang w:val="es-VE"/>
        </w:rPr>
      </w:pPr>
    </w:p>
    <w:p w:rsidR="005128E4" w:rsidRPr="00BB3AE8" w:rsidRDefault="005128E4"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040C3A" w:rsidRPr="00BB3AE8" w:rsidRDefault="00040C3A"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90270B" w:rsidP="00040C3A">
      <w:pPr>
        <w:tabs>
          <w:tab w:val="center" w:pos="5400"/>
        </w:tabs>
        <w:suppressAutoHyphens/>
        <w:jc w:val="center"/>
        <w:rPr>
          <w:rFonts w:ascii="Cambria" w:hAnsi="Cambria"/>
          <w:sz w:val="20"/>
          <w:szCs w:val="20"/>
          <w:lang w:val="es-VE"/>
        </w:rPr>
      </w:pPr>
      <w:r w:rsidRPr="00DB4A13">
        <w:rPr>
          <w:rFonts w:ascii="Cambria" w:hAnsi="Cambria"/>
          <w:noProof/>
          <w:sz w:val="20"/>
          <w:szCs w:val="20"/>
        </w:rPr>
        <mc:AlternateContent>
          <mc:Choice Requires="wps">
            <w:drawing>
              <wp:anchor distT="0" distB="0" distL="114300" distR="114300" simplePos="0" relativeHeight="251670528" behindDoc="0" locked="0" layoutInCell="1" allowOverlap="1" wp14:anchorId="6E884F39" wp14:editId="7E543A0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890650" w:rsidRDefault="00615A5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F0D78">
                              <w:rPr>
                                <w:rFonts w:asciiTheme="majorHAnsi" w:hAnsiTheme="majorHAnsi"/>
                                <w:color w:val="0D0D0D" w:themeColor="text1" w:themeTint="F2"/>
                                <w:sz w:val="18"/>
                                <w:szCs w:val="20"/>
                                <w:lang w:val="es-ES"/>
                              </w:rPr>
                              <w:t>2137</w:t>
                            </w:r>
                            <w:r w:rsidRPr="00890650">
                              <w:rPr>
                                <w:rFonts w:asciiTheme="majorHAnsi" w:hAnsiTheme="majorHAnsi"/>
                                <w:color w:val="0D0D0D" w:themeColor="text1" w:themeTint="F2"/>
                                <w:sz w:val="18"/>
                                <w:szCs w:val="20"/>
                                <w:lang w:val="es-ES"/>
                              </w:rPr>
                              <w:t xml:space="preserve"> c</w:t>
                            </w:r>
                            <w:r w:rsidR="007F0D78">
                              <w:rPr>
                                <w:rFonts w:asciiTheme="majorHAnsi" w:hAnsiTheme="majorHAnsi"/>
                                <w:color w:val="0D0D0D" w:themeColor="text1" w:themeTint="F2"/>
                                <w:sz w:val="18"/>
                                <w:szCs w:val="20"/>
                                <w:lang w:val="es-ES"/>
                              </w:rPr>
                              <w:t>elebrada el 5</w:t>
                            </w:r>
                            <w:r>
                              <w:rPr>
                                <w:rFonts w:asciiTheme="majorHAnsi" w:hAnsiTheme="majorHAnsi"/>
                                <w:color w:val="0D0D0D" w:themeColor="text1" w:themeTint="F2"/>
                                <w:sz w:val="18"/>
                                <w:szCs w:val="20"/>
                                <w:lang w:val="es-ES"/>
                              </w:rPr>
                              <w:t xml:space="preserve"> de</w:t>
                            </w:r>
                            <w:r w:rsidR="007F0D78">
                              <w:rPr>
                                <w:rFonts w:asciiTheme="majorHAnsi" w:hAnsiTheme="majorHAnsi"/>
                                <w:color w:val="0D0D0D" w:themeColor="text1" w:themeTint="F2"/>
                                <w:sz w:val="18"/>
                                <w:szCs w:val="20"/>
                                <w:lang w:val="es-ES"/>
                              </w:rPr>
                              <w:t xml:space="preserv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6B6031">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erío</w:t>
                            </w:r>
                            <w:r w:rsidR="006B6031">
                              <w:rPr>
                                <w:rFonts w:asciiTheme="majorHAnsi" w:hAnsiTheme="majorHAnsi" w:cs="Univers"/>
                                <w:color w:val="0D0D0D" w:themeColor="text1" w:themeTint="F2"/>
                                <w:sz w:val="18"/>
                                <w:szCs w:val="20"/>
                                <w:lang w:val="es-ES_tradnl"/>
                              </w:rPr>
                              <w:t>do O</w:t>
                            </w:r>
                            <w:r w:rsidRPr="007F0D78">
                              <w:rPr>
                                <w:rFonts w:asciiTheme="majorHAnsi" w:hAnsiTheme="majorHAnsi" w:cs="Univers"/>
                                <w:color w:val="0D0D0D" w:themeColor="text1" w:themeTint="F2"/>
                                <w:sz w:val="18"/>
                                <w:szCs w:val="20"/>
                                <w:lang w:val="es-ES_tradnl"/>
                              </w:rPr>
                              <w:t>rdinario</w:t>
                            </w:r>
                            <w:r w:rsidRPr="00890650">
                              <w:rPr>
                                <w:rFonts w:asciiTheme="majorHAnsi" w:hAnsiTheme="majorHAnsi" w:cs="Univers"/>
                                <w:color w:val="0D0D0D" w:themeColor="text1" w:themeTint="F2"/>
                                <w:sz w:val="18"/>
                                <w:szCs w:val="20"/>
                                <w:lang w:val="es-ES_tradnl"/>
                              </w:rPr>
                              <w:t xml:space="preserve"> de </w:t>
                            </w:r>
                            <w:r w:rsidR="006B6031">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rsidR="00615A5B" w:rsidRPr="006B6031" w:rsidRDefault="00615A5B"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615A5B" w:rsidRPr="00167A34" w:rsidRDefault="00615A5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15A5B" w:rsidRPr="00890650" w:rsidRDefault="00615A5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F0D78">
                        <w:rPr>
                          <w:rFonts w:asciiTheme="majorHAnsi" w:hAnsiTheme="majorHAnsi"/>
                          <w:color w:val="0D0D0D" w:themeColor="text1" w:themeTint="F2"/>
                          <w:sz w:val="18"/>
                          <w:szCs w:val="20"/>
                          <w:lang w:val="es-ES"/>
                        </w:rPr>
                        <w:t>2137</w:t>
                      </w:r>
                      <w:r w:rsidRPr="00890650">
                        <w:rPr>
                          <w:rFonts w:asciiTheme="majorHAnsi" w:hAnsiTheme="majorHAnsi"/>
                          <w:color w:val="0D0D0D" w:themeColor="text1" w:themeTint="F2"/>
                          <w:sz w:val="18"/>
                          <w:szCs w:val="20"/>
                          <w:lang w:val="es-ES"/>
                        </w:rPr>
                        <w:t xml:space="preserve"> c</w:t>
                      </w:r>
                      <w:r w:rsidR="007F0D78">
                        <w:rPr>
                          <w:rFonts w:asciiTheme="majorHAnsi" w:hAnsiTheme="majorHAnsi"/>
                          <w:color w:val="0D0D0D" w:themeColor="text1" w:themeTint="F2"/>
                          <w:sz w:val="18"/>
                          <w:szCs w:val="20"/>
                          <w:lang w:val="es-ES"/>
                        </w:rPr>
                        <w:t>elebrada el 5</w:t>
                      </w:r>
                      <w:r>
                        <w:rPr>
                          <w:rFonts w:asciiTheme="majorHAnsi" w:hAnsiTheme="majorHAnsi"/>
                          <w:color w:val="0D0D0D" w:themeColor="text1" w:themeTint="F2"/>
                          <w:sz w:val="18"/>
                          <w:szCs w:val="20"/>
                          <w:lang w:val="es-ES"/>
                        </w:rPr>
                        <w:t xml:space="preserve"> de</w:t>
                      </w:r>
                      <w:r w:rsidR="007F0D78">
                        <w:rPr>
                          <w:rFonts w:asciiTheme="majorHAnsi" w:hAnsiTheme="majorHAnsi"/>
                          <w:color w:val="0D0D0D" w:themeColor="text1" w:themeTint="F2"/>
                          <w:sz w:val="18"/>
                          <w:szCs w:val="20"/>
                          <w:lang w:val="es-ES"/>
                        </w:rPr>
                        <w:t xml:space="preserv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6B6031">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erío</w:t>
                      </w:r>
                      <w:r w:rsidR="006B6031">
                        <w:rPr>
                          <w:rFonts w:asciiTheme="majorHAnsi" w:hAnsiTheme="majorHAnsi" w:cs="Univers"/>
                          <w:color w:val="0D0D0D" w:themeColor="text1" w:themeTint="F2"/>
                          <w:sz w:val="18"/>
                          <w:szCs w:val="20"/>
                          <w:lang w:val="es-ES_tradnl"/>
                        </w:rPr>
                        <w:t>do O</w:t>
                      </w:r>
                      <w:r w:rsidRPr="007F0D78">
                        <w:rPr>
                          <w:rFonts w:asciiTheme="majorHAnsi" w:hAnsiTheme="majorHAnsi" w:cs="Univers"/>
                          <w:color w:val="0D0D0D" w:themeColor="text1" w:themeTint="F2"/>
                          <w:sz w:val="18"/>
                          <w:szCs w:val="20"/>
                          <w:lang w:val="es-ES_tradnl"/>
                        </w:rPr>
                        <w:t>rdinario</w:t>
                      </w:r>
                      <w:r w:rsidRPr="00890650">
                        <w:rPr>
                          <w:rFonts w:asciiTheme="majorHAnsi" w:hAnsiTheme="majorHAnsi" w:cs="Univers"/>
                          <w:color w:val="0D0D0D" w:themeColor="text1" w:themeTint="F2"/>
                          <w:sz w:val="18"/>
                          <w:szCs w:val="20"/>
                          <w:lang w:val="es-ES_tradnl"/>
                        </w:rPr>
                        <w:t xml:space="preserve"> de </w:t>
                      </w:r>
                      <w:r w:rsidR="006B6031">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rsidR="00615A5B" w:rsidRPr="006B6031" w:rsidRDefault="00615A5B"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615A5B" w:rsidRPr="00167A34" w:rsidRDefault="00615A5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A50FCF" w:rsidP="00040C3A">
      <w:pPr>
        <w:tabs>
          <w:tab w:val="center" w:pos="5400"/>
        </w:tabs>
        <w:suppressAutoHyphens/>
        <w:jc w:val="center"/>
        <w:rPr>
          <w:rFonts w:ascii="Cambria" w:hAnsi="Cambria"/>
          <w:sz w:val="20"/>
          <w:szCs w:val="20"/>
          <w:lang w:val="es-VE"/>
        </w:rPr>
      </w:pPr>
    </w:p>
    <w:p w:rsidR="00A50FCF" w:rsidRPr="00BB3AE8" w:rsidRDefault="0090270B" w:rsidP="00040C3A">
      <w:pPr>
        <w:tabs>
          <w:tab w:val="center" w:pos="5400"/>
        </w:tabs>
        <w:suppressAutoHyphens/>
        <w:jc w:val="center"/>
        <w:rPr>
          <w:rFonts w:ascii="Cambria" w:hAnsi="Cambria"/>
          <w:sz w:val="20"/>
          <w:szCs w:val="20"/>
          <w:lang w:val="es-VE"/>
        </w:rPr>
      </w:pPr>
      <w:r w:rsidRPr="00DB4A13">
        <w:rPr>
          <w:rFonts w:ascii="Cambria" w:hAnsi="Cambria"/>
          <w:noProof/>
          <w:sz w:val="20"/>
          <w:szCs w:val="20"/>
        </w:rPr>
        <mc:AlternateContent>
          <mc:Choice Requires="wps">
            <w:drawing>
              <wp:anchor distT="0" distB="0" distL="114300" distR="114300" simplePos="0" relativeHeight="251678720" behindDoc="0" locked="0" layoutInCell="1" allowOverlap="1" wp14:anchorId="00426C1F" wp14:editId="0F3A8B7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7C756A" w:rsidRDefault="00615A5B" w:rsidP="00113F73">
                            <w:pPr>
                              <w:spacing w:line="276" w:lineRule="auto"/>
                              <w:rPr>
                                <w:rFonts w:asciiTheme="majorHAnsi" w:hAnsiTheme="majorHAnsi"/>
                                <w:color w:val="595959" w:themeColor="text1" w:themeTint="A6"/>
                                <w:sz w:val="18"/>
                                <w:szCs w:val="18"/>
                                <w:lang w:val="es-US"/>
                              </w:rPr>
                            </w:pPr>
                            <w:r w:rsidRPr="00BB3AE8">
                              <w:rPr>
                                <w:rFonts w:asciiTheme="majorHAnsi" w:hAnsiTheme="majorHAnsi"/>
                                <w:b/>
                                <w:color w:val="595959" w:themeColor="text1" w:themeTint="A6"/>
                                <w:sz w:val="18"/>
                                <w:szCs w:val="18"/>
                                <w:lang w:val="pt-BR"/>
                              </w:rPr>
                              <w:t>Citar como:</w:t>
                            </w:r>
                            <w:r w:rsidRPr="00BB3AE8">
                              <w:rPr>
                                <w:rFonts w:asciiTheme="majorHAnsi" w:hAnsiTheme="majorHAnsi"/>
                                <w:color w:val="595959" w:themeColor="text1" w:themeTint="A6"/>
                                <w:sz w:val="18"/>
                                <w:szCs w:val="18"/>
                                <w:lang w:val="pt-BR"/>
                              </w:rPr>
                              <w:t xml:space="preserve"> CIDH, Informe No. </w:t>
                            </w:r>
                            <w:r w:rsidR="007F0D78" w:rsidRPr="00BB3AE8">
                              <w:rPr>
                                <w:rFonts w:asciiTheme="majorHAnsi" w:hAnsiTheme="majorHAnsi"/>
                                <w:color w:val="595959" w:themeColor="text1" w:themeTint="A6"/>
                                <w:sz w:val="18"/>
                                <w:szCs w:val="18"/>
                                <w:lang w:val="pt-BR"/>
                              </w:rPr>
                              <w:t>114</w:t>
                            </w:r>
                            <w:r w:rsidRPr="00BB3AE8">
                              <w:rPr>
                                <w:rFonts w:asciiTheme="majorHAnsi" w:hAnsiTheme="majorHAnsi"/>
                                <w:color w:val="595959" w:themeColor="text1" w:themeTint="A6"/>
                                <w:sz w:val="18"/>
                                <w:szCs w:val="18"/>
                                <w:lang w:val="pt-BR"/>
                              </w:rPr>
                              <w:t>/</w:t>
                            </w:r>
                            <w:r w:rsidR="007F0D78" w:rsidRPr="00BB3AE8">
                              <w:rPr>
                                <w:rFonts w:asciiTheme="majorHAnsi" w:hAnsiTheme="majorHAnsi"/>
                                <w:color w:val="595959" w:themeColor="text1" w:themeTint="A6"/>
                                <w:sz w:val="18"/>
                                <w:szCs w:val="18"/>
                                <w:lang w:val="pt-BR"/>
                              </w:rPr>
                              <w:t>18</w:t>
                            </w:r>
                            <w:r w:rsidRPr="00BB3AE8">
                              <w:rPr>
                                <w:rFonts w:asciiTheme="majorHAnsi" w:hAnsiTheme="majorHAnsi"/>
                                <w:color w:val="595959" w:themeColor="text1" w:themeTint="A6"/>
                                <w:sz w:val="18"/>
                                <w:szCs w:val="18"/>
                                <w:lang w:val="pt-BR"/>
                              </w:rPr>
                              <w:t>, Caso</w:t>
                            </w:r>
                            <w:r w:rsidR="007F0D78" w:rsidRPr="00BB3AE8">
                              <w:rPr>
                                <w:rFonts w:asciiTheme="majorHAnsi" w:hAnsiTheme="majorHAnsi"/>
                                <w:color w:val="595959" w:themeColor="text1" w:themeTint="A6"/>
                                <w:sz w:val="18"/>
                                <w:szCs w:val="18"/>
                                <w:lang w:val="pt-BR"/>
                              </w:rPr>
                              <w:t xml:space="preserve"> 12.722</w:t>
                            </w:r>
                            <w:r w:rsidRPr="00BB3AE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Fondo</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Pedro Basilio Roche Azaña y otro</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Nicaragua</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5 de octubre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15A5B" w:rsidRPr="007C756A" w:rsidRDefault="00615A5B" w:rsidP="00113F73">
                      <w:pPr>
                        <w:spacing w:line="276" w:lineRule="auto"/>
                        <w:rPr>
                          <w:rFonts w:asciiTheme="majorHAnsi" w:hAnsiTheme="majorHAnsi"/>
                          <w:color w:val="595959" w:themeColor="text1" w:themeTint="A6"/>
                          <w:sz w:val="18"/>
                          <w:szCs w:val="18"/>
                          <w:lang w:val="es-US"/>
                        </w:rPr>
                      </w:pPr>
                      <w:r w:rsidRPr="00BB3AE8">
                        <w:rPr>
                          <w:rFonts w:asciiTheme="majorHAnsi" w:hAnsiTheme="majorHAnsi"/>
                          <w:b/>
                          <w:color w:val="595959" w:themeColor="text1" w:themeTint="A6"/>
                          <w:sz w:val="18"/>
                          <w:szCs w:val="18"/>
                          <w:lang w:val="pt-BR"/>
                        </w:rPr>
                        <w:t>Citar como:</w:t>
                      </w:r>
                      <w:r w:rsidRPr="00BB3AE8">
                        <w:rPr>
                          <w:rFonts w:asciiTheme="majorHAnsi" w:hAnsiTheme="majorHAnsi"/>
                          <w:color w:val="595959" w:themeColor="text1" w:themeTint="A6"/>
                          <w:sz w:val="18"/>
                          <w:szCs w:val="18"/>
                          <w:lang w:val="pt-BR"/>
                        </w:rPr>
                        <w:t xml:space="preserve"> CIDH, Informe No. </w:t>
                      </w:r>
                      <w:r w:rsidR="007F0D78" w:rsidRPr="00BB3AE8">
                        <w:rPr>
                          <w:rFonts w:asciiTheme="majorHAnsi" w:hAnsiTheme="majorHAnsi"/>
                          <w:color w:val="595959" w:themeColor="text1" w:themeTint="A6"/>
                          <w:sz w:val="18"/>
                          <w:szCs w:val="18"/>
                          <w:lang w:val="pt-BR"/>
                        </w:rPr>
                        <w:t>114</w:t>
                      </w:r>
                      <w:r w:rsidRPr="00BB3AE8">
                        <w:rPr>
                          <w:rFonts w:asciiTheme="majorHAnsi" w:hAnsiTheme="majorHAnsi"/>
                          <w:color w:val="595959" w:themeColor="text1" w:themeTint="A6"/>
                          <w:sz w:val="18"/>
                          <w:szCs w:val="18"/>
                          <w:lang w:val="pt-BR"/>
                        </w:rPr>
                        <w:t>/</w:t>
                      </w:r>
                      <w:r w:rsidR="007F0D78" w:rsidRPr="00BB3AE8">
                        <w:rPr>
                          <w:rFonts w:asciiTheme="majorHAnsi" w:hAnsiTheme="majorHAnsi"/>
                          <w:color w:val="595959" w:themeColor="text1" w:themeTint="A6"/>
                          <w:sz w:val="18"/>
                          <w:szCs w:val="18"/>
                          <w:lang w:val="pt-BR"/>
                        </w:rPr>
                        <w:t>18</w:t>
                      </w:r>
                      <w:r w:rsidRPr="00BB3AE8">
                        <w:rPr>
                          <w:rFonts w:asciiTheme="majorHAnsi" w:hAnsiTheme="majorHAnsi"/>
                          <w:color w:val="595959" w:themeColor="text1" w:themeTint="A6"/>
                          <w:sz w:val="18"/>
                          <w:szCs w:val="18"/>
                          <w:lang w:val="pt-BR"/>
                        </w:rPr>
                        <w:t>, Caso</w:t>
                      </w:r>
                      <w:r w:rsidR="007F0D78" w:rsidRPr="00BB3AE8">
                        <w:rPr>
                          <w:rFonts w:asciiTheme="majorHAnsi" w:hAnsiTheme="majorHAnsi"/>
                          <w:color w:val="595959" w:themeColor="text1" w:themeTint="A6"/>
                          <w:sz w:val="18"/>
                          <w:szCs w:val="18"/>
                          <w:lang w:val="pt-BR"/>
                        </w:rPr>
                        <w:t xml:space="preserve"> 12.722</w:t>
                      </w:r>
                      <w:r w:rsidRPr="00BB3AE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Fondo</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Pedro Basilio Roche Azaña y otro</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Nicaragua</w:t>
                      </w:r>
                      <w:r w:rsidRPr="00890650">
                        <w:rPr>
                          <w:rFonts w:asciiTheme="majorHAnsi" w:hAnsiTheme="majorHAnsi"/>
                          <w:color w:val="595959" w:themeColor="text1" w:themeTint="A6"/>
                          <w:sz w:val="18"/>
                          <w:szCs w:val="18"/>
                          <w:lang w:val="es-ES_tradnl"/>
                        </w:rPr>
                        <w:t>.</w:t>
                      </w:r>
                      <w:r w:rsidR="007F0D78">
                        <w:rPr>
                          <w:rFonts w:asciiTheme="majorHAnsi" w:hAnsiTheme="majorHAnsi"/>
                          <w:color w:val="595959" w:themeColor="text1" w:themeTint="A6"/>
                          <w:sz w:val="18"/>
                          <w:szCs w:val="18"/>
                          <w:lang w:val="es-ES_tradnl"/>
                        </w:rPr>
                        <w:t xml:space="preserve"> 5 de octubre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BB3AE8" w:rsidRDefault="00A50FCF" w:rsidP="00040C3A">
      <w:pPr>
        <w:tabs>
          <w:tab w:val="center" w:pos="5400"/>
        </w:tabs>
        <w:suppressAutoHyphens/>
        <w:jc w:val="center"/>
        <w:rPr>
          <w:rFonts w:ascii="Cambria" w:hAnsi="Cambria"/>
          <w:sz w:val="20"/>
          <w:szCs w:val="20"/>
          <w:lang w:val="es-VE"/>
        </w:rPr>
      </w:pPr>
    </w:p>
    <w:p w:rsidR="0090270B" w:rsidRPr="00BB3AE8" w:rsidRDefault="00D306D1" w:rsidP="005516A1">
      <w:pPr>
        <w:tabs>
          <w:tab w:val="center" w:pos="5400"/>
        </w:tabs>
        <w:suppressAutoHyphens/>
        <w:jc w:val="center"/>
        <w:rPr>
          <w:rFonts w:ascii="Cambria" w:hAnsi="Cambria"/>
          <w:b/>
          <w:sz w:val="20"/>
          <w:szCs w:val="20"/>
          <w:lang w:val="es-VE"/>
        </w:rPr>
      </w:pPr>
      <w:r w:rsidRPr="00DB4A13">
        <w:rPr>
          <w:rFonts w:ascii="Cambria" w:hAnsi="Cambria"/>
          <w:noProof/>
          <w:sz w:val="20"/>
          <w:szCs w:val="20"/>
        </w:rPr>
        <mc:AlternateContent>
          <mc:Choice Requires="wps">
            <w:drawing>
              <wp:anchor distT="0" distB="0" distL="114300" distR="114300" simplePos="0" relativeHeight="251680768" behindDoc="0" locked="0" layoutInCell="1" allowOverlap="1" wp14:anchorId="5404785E" wp14:editId="4A8AA23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D72DC6" w:rsidRDefault="00615A5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8B09E3" wp14:editId="3E071CE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15A5B" w:rsidRPr="00D72DC6" w:rsidRDefault="00615A5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8B09E3" wp14:editId="3E071CE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A13">
        <w:rPr>
          <w:rFonts w:ascii="Cambria" w:hAnsi="Cambria"/>
          <w:noProof/>
          <w:sz w:val="20"/>
          <w:szCs w:val="20"/>
        </w:rPr>
        <mc:AlternateContent>
          <mc:Choice Requires="wps">
            <w:drawing>
              <wp:anchor distT="0" distB="0" distL="114300" distR="114300" simplePos="0" relativeHeight="251682816" behindDoc="0" locked="0" layoutInCell="1" allowOverlap="1" wp14:anchorId="437D215E" wp14:editId="3275FEB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A5B" w:rsidRPr="004B7EB6" w:rsidRDefault="00615A5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15A5B" w:rsidRPr="004B7EB6" w:rsidRDefault="00615A5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B3AE8" w:rsidRDefault="0070697F" w:rsidP="005516A1">
      <w:pPr>
        <w:tabs>
          <w:tab w:val="center" w:pos="5400"/>
        </w:tabs>
        <w:suppressAutoHyphens/>
        <w:jc w:val="center"/>
        <w:rPr>
          <w:rFonts w:ascii="Cambria" w:hAnsi="Cambria"/>
          <w:b/>
          <w:sz w:val="20"/>
          <w:szCs w:val="20"/>
          <w:lang w:val="es-VE"/>
        </w:rPr>
        <w:sectPr w:rsidR="0070697F" w:rsidRPr="00BB3AE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06195E" w:rsidRDefault="007C756A" w:rsidP="00722C9F">
      <w:pPr>
        <w:tabs>
          <w:tab w:val="center" w:pos="5400"/>
        </w:tabs>
        <w:suppressAutoHyphens/>
        <w:spacing w:line="276" w:lineRule="auto"/>
        <w:jc w:val="center"/>
        <w:rPr>
          <w:rFonts w:ascii="Cambria" w:hAnsi="Cambria"/>
          <w:b/>
          <w:sz w:val="20"/>
          <w:szCs w:val="20"/>
          <w:lang w:val="es-CO"/>
        </w:rPr>
      </w:pPr>
      <w:r w:rsidRPr="0006195E">
        <w:rPr>
          <w:rFonts w:ascii="Cambria" w:hAnsi="Cambria"/>
          <w:b/>
          <w:sz w:val="20"/>
          <w:szCs w:val="20"/>
          <w:lang w:val="es-CO"/>
        </w:rPr>
        <w:lastRenderedPageBreak/>
        <w:t xml:space="preserve">INFORME No. </w:t>
      </w:r>
      <w:r w:rsidR="0006195E">
        <w:rPr>
          <w:rFonts w:ascii="Cambria" w:hAnsi="Cambria"/>
          <w:b/>
          <w:sz w:val="20"/>
          <w:szCs w:val="20"/>
          <w:lang w:val="es-CO"/>
        </w:rPr>
        <w:t>114</w:t>
      </w:r>
      <w:r w:rsidRPr="0006195E">
        <w:rPr>
          <w:rFonts w:ascii="Cambria" w:hAnsi="Cambria"/>
          <w:b/>
          <w:sz w:val="20"/>
          <w:szCs w:val="20"/>
          <w:lang w:val="es-CO"/>
        </w:rPr>
        <w:t>/</w:t>
      </w:r>
      <w:r w:rsidR="00E80DA2" w:rsidRPr="0006195E">
        <w:rPr>
          <w:rFonts w:ascii="Cambria" w:hAnsi="Cambria"/>
          <w:b/>
          <w:sz w:val="20"/>
          <w:szCs w:val="20"/>
          <w:lang w:val="es-CO"/>
        </w:rPr>
        <w:t>18</w:t>
      </w:r>
    </w:p>
    <w:p w:rsidR="00722C9F" w:rsidRPr="00DB4A13" w:rsidRDefault="00722C9F" w:rsidP="00722C9F">
      <w:pPr>
        <w:tabs>
          <w:tab w:val="center" w:pos="5400"/>
        </w:tabs>
        <w:suppressAutoHyphens/>
        <w:spacing w:line="276" w:lineRule="auto"/>
        <w:jc w:val="center"/>
        <w:rPr>
          <w:rFonts w:ascii="Cambria" w:hAnsi="Cambria"/>
          <w:b/>
          <w:sz w:val="20"/>
          <w:szCs w:val="20"/>
          <w:lang w:val="es-MX"/>
        </w:rPr>
      </w:pPr>
      <w:r w:rsidRPr="00DB4A13">
        <w:rPr>
          <w:rFonts w:ascii="Cambria" w:hAnsi="Cambria"/>
          <w:b/>
          <w:sz w:val="20"/>
          <w:szCs w:val="20"/>
          <w:lang w:val="es-MX"/>
        </w:rPr>
        <w:t xml:space="preserve">CASO </w:t>
      </w:r>
      <w:r w:rsidR="00533682" w:rsidRPr="00DB4A13">
        <w:rPr>
          <w:rFonts w:ascii="Cambria" w:hAnsi="Cambria"/>
          <w:b/>
          <w:sz w:val="20"/>
          <w:szCs w:val="20"/>
          <w:lang w:val="es-MX"/>
        </w:rPr>
        <w:t>12</w:t>
      </w:r>
      <w:r w:rsidRPr="00DB4A13">
        <w:rPr>
          <w:rFonts w:ascii="Cambria" w:hAnsi="Cambria"/>
          <w:b/>
          <w:sz w:val="20"/>
          <w:szCs w:val="20"/>
          <w:lang w:val="es-MX"/>
        </w:rPr>
        <w:t>.</w:t>
      </w:r>
      <w:r w:rsidR="00533682" w:rsidRPr="00DB4A13">
        <w:rPr>
          <w:rFonts w:ascii="Cambria" w:hAnsi="Cambria"/>
          <w:b/>
          <w:sz w:val="20"/>
          <w:szCs w:val="20"/>
          <w:lang w:val="es-MX"/>
        </w:rPr>
        <w:t>722</w:t>
      </w:r>
    </w:p>
    <w:p w:rsidR="00722C9F" w:rsidRPr="00DB4A13" w:rsidRDefault="00F805FB" w:rsidP="00722C9F">
      <w:pPr>
        <w:tabs>
          <w:tab w:val="center" w:pos="5400"/>
        </w:tabs>
        <w:suppressAutoHyphens/>
        <w:spacing w:line="276" w:lineRule="auto"/>
        <w:jc w:val="center"/>
        <w:rPr>
          <w:rFonts w:ascii="Cambria" w:hAnsi="Cambria"/>
          <w:sz w:val="20"/>
          <w:szCs w:val="20"/>
          <w:lang w:val="es-ES_tradnl"/>
        </w:rPr>
      </w:pPr>
      <w:r w:rsidRPr="00DB4A13">
        <w:rPr>
          <w:rFonts w:ascii="Cambria" w:hAnsi="Cambria"/>
          <w:sz w:val="20"/>
          <w:szCs w:val="20"/>
          <w:lang w:val="es-ES_tradnl"/>
        </w:rPr>
        <w:t>FONDO</w:t>
      </w:r>
    </w:p>
    <w:p w:rsidR="00722C9F" w:rsidRPr="00DB4A13" w:rsidRDefault="00B109E3" w:rsidP="00722C9F">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 xml:space="preserve">PEDRO BASILIO ROCHE AZAÑA Y OTRO </w:t>
      </w:r>
    </w:p>
    <w:p w:rsidR="0070697F" w:rsidRPr="00DB4A13" w:rsidRDefault="00B109E3" w:rsidP="00722C9F">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NICARAGUA</w:t>
      </w:r>
    </w:p>
    <w:p w:rsidR="00722C9F" w:rsidRPr="007A393E" w:rsidRDefault="00B109E3" w:rsidP="00722C9F">
      <w:pPr>
        <w:tabs>
          <w:tab w:val="center" w:pos="5400"/>
        </w:tabs>
        <w:suppressAutoHyphens/>
        <w:spacing w:line="276" w:lineRule="auto"/>
        <w:jc w:val="center"/>
        <w:rPr>
          <w:rFonts w:ascii="Cambria" w:hAnsi="Cambria"/>
          <w:sz w:val="20"/>
          <w:szCs w:val="20"/>
          <w:lang w:val="es-CO"/>
        </w:rPr>
      </w:pPr>
      <w:r>
        <w:rPr>
          <w:rFonts w:ascii="Cambria" w:hAnsi="Cambria"/>
          <w:sz w:val="20"/>
          <w:szCs w:val="20"/>
          <w:lang w:val="es-CO"/>
        </w:rPr>
        <w:t>5 DE OCTUBRE DE 2018</w:t>
      </w:r>
    </w:p>
    <w:p w:rsidR="00722C9F" w:rsidRPr="007A393E" w:rsidRDefault="00722C9F" w:rsidP="00722C9F">
      <w:pPr>
        <w:tabs>
          <w:tab w:val="center" w:pos="5400"/>
        </w:tabs>
        <w:suppressAutoHyphens/>
        <w:spacing w:line="276" w:lineRule="auto"/>
        <w:jc w:val="center"/>
        <w:rPr>
          <w:rFonts w:ascii="Cambria" w:hAnsi="Cambria"/>
          <w:sz w:val="20"/>
          <w:szCs w:val="20"/>
          <w:lang w:val="es-CO"/>
        </w:rPr>
      </w:pPr>
    </w:p>
    <w:p w:rsidR="00B935E4" w:rsidRPr="00B935E4" w:rsidRDefault="00722C9F" w:rsidP="00B935E4">
      <w:pPr>
        <w:tabs>
          <w:tab w:val="center" w:pos="5400"/>
        </w:tabs>
        <w:suppressAutoHyphens/>
        <w:spacing w:line="276" w:lineRule="auto"/>
        <w:jc w:val="center"/>
        <w:rPr>
          <w:rFonts w:ascii="Cambria" w:hAnsi="Cambria"/>
          <w:b/>
          <w:sz w:val="20"/>
          <w:szCs w:val="20"/>
          <w:lang w:val="es-CO"/>
        </w:rPr>
      </w:pPr>
      <w:r w:rsidRPr="007A393E">
        <w:rPr>
          <w:rFonts w:ascii="Cambria" w:hAnsi="Cambria"/>
          <w:b/>
          <w:sz w:val="20"/>
          <w:szCs w:val="20"/>
          <w:lang w:val="es-CO"/>
        </w:rPr>
        <w:t>ÍNDICE</w:t>
      </w:r>
    </w:p>
    <w:sdt>
      <w:sdtPr>
        <w:rPr>
          <w:rFonts w:ascii="Times New Roman" w:eastAsia="Arial Unicode MS" w:hAnsi="Times New Roman" w:cs="Times New Roman"/>
          <w:b w:val="0"/>
          <w:bCs w:val="0"/>
          <w:color w:val="auto"/>
          <w:sz w:val="24"/>
          <w:szCs w:val="24"/>
          <w:bdr w:val="nil"/>
          <w:lang w:eastAsia="en-US"/>
        </w:rPr>
        <w:id w:val="-1667319955"/>
        <w:docPartObj>
          <w:docPartGallery w:val="Table of Contents"/>
          <w:docPartUnique/>
        </w:docPartObj>
      </w:sdtPr>
      <w:sdtEndPr>
        <w:rPr>
          <w:noProof/>
        </w:rPr>
      </w:sdtEndPr>
      <w:sdtContent>
        <w:p w:rsidR="00B935E4" w:rsidRDefault="00B935E4">
          <w:pPr>
            <w:pStyle w:val="TOCHeading"/>
          </w:pPr>
        </w:p>
        <w:p w:rsidR="00B935E4" w:rsidRPr="00B935E4" w:rsidRDefault="00B935E4">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fldChar w:fldCharType="begin"/>
          </w:r>
          <w:r>
            <w:instrText xml:space="preserve"> TOC \o "1-3" \h \z \u </w:instrText>
          </w:r>
          <w:r>
            <w:fldChar w:fldCharType="separate"/>
          </w:r>
          <w:hyperlink w:anchor="_Toc536087973" w:history="1">
            <w:r w:rsidRPr="00B935E4">
              <w:rPr>
                <w:rStyle w:val="Hyperlink"/>
                <w:rFonts w:asciiTheme="majorHAnsi" w:hAnsiTheme="majorHAnsi"/>
                <w:b/>
                <w:noProof/>
                <w:sz w:val="20"/>
                <w:szCs w:val="20"/>
                <w:lang w:val="es-ES_tradnl"/>
              </w:rPr>
              <w:t>I.</w:t>
            </w:r>
            <w:r w:rsidRPr="00B935E4">
              <w:rPr>
                <w:rFonts w:asciiTheme="majorHAnsi" w:eastAsiaTheme="minorEastAsia" w:hAnsiTheme="majorHAnsi" w:cstheme="minorBidi"/>
                <w:b/>
                <w:noProof/>
                <w:sz w:val="20"/>
                <w:szCs w:val="20"/>
                <w:bdr w:val="none" w:sz="0" w:space="0" w:color="auto"/>
              </w:rPr>
              <w:tab/>
            </w:r>
            <w:r w:rsidRPr="00B935E4">
              <w:rPr>
                <w:rStyle w:val="Hyperlink"/>
                <w:rFonts w:asciiTheme="majorHAnsi" w:hAnsiTheme="majorHAnsi"/>
                <w:b/>
                <w:noProof/>
                <w:sz w:val="20"/>
                <w:szCs w:val="20"/>
                <w:lang w:val="es-ES_tradnl"/>
              </w:rPr>
              <w:t>RESUMEN</w:t>
            </w:r>
            <w:r w:rsidRPr="00B935E4">
              <w:rPr>
                <w:rFonts w:asciiTheme="majorHAnsi" w:hAnsiTheme="majorHAnsi"/>
                <w:noProof/>
                <w:webHidden/>
                <w:sz w:val="20"/>
                <w:szCs w:val="20"/>
              </w:rPr>
              <w:tab/>
            </w:r>
            <w:r w:rsidRPr="00B935E4">
              <w:rPr>
                <w:rFonts w:asciiTheme="majorHAnsi" w:hAnsiTheme="majorHAnsi"/>
                <w:noProof/>
                <w:webHidden/>
                <w:sz w:val="20"/>
                <w:szCs w:val="20"/>
              </w:rPr>
              <w:fldChar w:fldCharType="begin"/>
            </w:r>
            <w:r w:rsidRPr="00B935E4">
              <w:rPr>
                <w:rFonts w:asciiTheme="majorHAnsi" w:hAnsiTheme="majorHAnsi"/>
                <w:noProof/>
                <w:webHidden/>
                <w:sz w:val="20"/>
                <w:szCs w:val="20"/>
              </w:rPr>
              <w:instrText xml:space="preserve"> PAGEREF _Toc536087973 \h </w:instrText>
            </w:r>
            <w:r w:rsidRPr="00B935E4">
              <w:rPr>
                <w:rFonts w:asciiTheme="majorHAnsi" w:hAnsiTheme="majorHAnsi"/>
                <w:noProof/>
                <w:webHidden/>
                <w:sz w:val="20"/>
                <w:szCs w:val="20"/>
              </w:rPr>
            </w:r>
            <w:r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2</w:t>
            </w:r>
            <w:r w:rsidRPr="00B935E4">
              <w:rPr>
                <w:rFonts w:asciiTheme="majorHAnsi" w:hAnsiTheme="majorHAnsi"/>
                <w:noProof/>
                <w:webHidden/>
                <w:sz w:val="20"/>
                <w:szCs w:val="20"/>
              </w:rPr>
              <w:fldChar w:fldCharType="end"/>
            </w:r>
          </w:hyperlink>
        </w:p>
        <w:p w:rsidR="00B935E4" w:rsidRPr="00B935E4" w:rsidRDefault="00A762E3">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6087974" w:history="1">
            <w:r w:rsidR="00B935E4" w:rsidRPr="00B935E4">
              <w:rPr>
                <w:rStyle w:val="Hyperlink"/>
                <w:rFonts w:asciiTheme="majorHAnsi" w:hAnsiTheme="majorHAnsi"/>
                <w:b/>
                <w:noProof/>
                <w:sz w:val="20"/>
                <w:szCs w:val="20"/>
                <w:lang w:val="es-ES_tradnl"/>
              </w:rPr>
              <w:t>II.</w:t>
            </w:r>
            <w:r w:rsidR="00B935E4" w:rsidRPr="00B935E4">
              <w:rPr>
                <w:rFonts w:asciiTheme="majorHAnsi" w:eastAsiaTheme="minorEastAsia" w:hAnsiTheme="majorHAnsi" w:cstheme="minorBidi"/>
                <w:b/>
                <w:noProof/>
                <w:sz w:val="20"/>
                <w:szCs w:val="20"/>
                <w:bdr w:val="none" w:sz="0" w:space="0" w:color="auto"/>
              </w:rPr>
              <w:tab/>
            </w:r>
            <w:r w:rsidR="00B935E4" w:rsidRPr="00B935E4">
              <w:rPr>
                <w:rStyle w:val="Hyperlink"/>
                <w:rFonts w:asciiTheme="majorHAnsi" w:hAnsiTheme="majorHAnsi"/>
                <w:b/>
                <w:noProof/>
                <w:sz w:val="20"/>
                <w:szCs w:val="20"/>
                <w:lang w:val="es-ES_tradnl"/>
              </w:rPr>
              <w:t>ALEGATOS DE LAS PARTES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_Toc536087974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3</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75" w:history="1">
            <w:r w:rsidR="00B935E4" w:rsidRPr="00B935E4">
              <w:rPr>
                <w:rStyle w:val="Hyperlink"/>
                <w:rFonts w:asciiTheme="majorHAnsi" w:hAnsiTheme="majorHAnsi"/>
                <w:noProof/>
                <w:sz w:val="20"/>
                <w:szCs w:val="20"/>
                <w:lang w:val="es-ES_tradnl"/>
              </w:rPr>
              <w:t>A.</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_tradnl"/>
              </w:rPr>
              <w:t>PARTE PETICIONARIA</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_Toc536087975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3</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76" w:history="1">
            <w:r w:rsidR="00B935E4" w:rsidRPr="00B935E4">
              <w:rPr>
                <w:rStyle w:val="Hyperlink"/>
                <w:rFonts w:asciiTheme="majorHAnsi" w:hAnsiTheme="majorHAnsi"/>
                <w:noProof/>
                <w:sz w:val="20"/>
                <w:szCs w:val="20"/>
                <w:lang w:val="es-ES_tradnl"/>
              </w:rPr>
              <w:t>B.</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_tradnl"/>
              </w:rPr>
              <w:t>ESTADO</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_Toc536087976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4</w:t>
            </w:r>
            <w:r w:rsidR="00B935E4" w:rsidRPr="00B935E4">
              <w:rPr>
                <w:rFonts w:asciiTheme="majorHAnsi" w:hAnsiTheme="majorHAnsi"/>
                <w:noProof/>
                <w:webHidden/>
                <w:sz w:val="20"/>
                <w:szCs w:val="20"/>
              </w:rPr>
              <w:fldChar w:fldCharType="end"/>
            </w:r>
          </w:hyperlink>
        </w:p>
        <w:p w:rsidR="00B935E4" w:rsidRPr="00B935E4" w:rsidRDefault="00A762E3">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6087977" w:history="1">
            <w:r w:rsidR="00B935E4" w:rsidRPr="00B935E4">
              <w:rPr>
                <w:rStyle w:val="Hyperlink"/>
                <w:rFonts w:asciiTheme="majorHAnsi" w:hAnsiTheme="majorHAnsi"/>
                <w:b/>
                <w:noProof/>
                <w:sz w:val="20"/>
                <w:szCs w:val="20"/>
                <w:lang w:val="es-ES_tradnl"/>
              </w:rPr>
              <w:t>III.</w:t>
            </w:r>
            <w:r w:rsidR="00B935E4" w:rsidRPr="00B935E4">
              <w:rPr>
                <w:rFonts w:asciiTheme="majorHAnsi" w:eastAsiaTheme="minorEastAsia" w:hAnsiTheme="majorHAnsi" w:cstheme="minorBidi"/>
                <w:b/>
                <w:noProof/>
                <w:sz w:val="20"/>
                <w:szCs w:val="20"/>
                <w:bdr w:val="none" w:sz="0" w:space="0" w:color="auto"/>
              </w:rPr>
              <w:tab/>
            </w:r>
            <w:r w:rsidR="00B935E4" w:rsidRPr="00B935E4">
              <w:rPr>
                <w:rStyle w:val="Hyperlink"/>
                <w:rFonts w:asciiTheme="majorHAnsi" w:hAnsiTheme="majorHAnsi"/>
                <w:b/>
                <w:noProof/>
                <w:sz w:val="20"/>
                <w:szCs w:val="20"/>
                <w:lang w:val="es-ES_tradnl"/>
              </w:rPr>
              <w:t>HECHOS PROBADOS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_Toc536087977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5</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78" w:history="1">
            <w:r w:rsidR="00B935E4" w:rsidRPr="00B935E4">
              <w:rPr>
                <w:rStyle w:val="Hyperlink"/>
                <w:rFonts w:asciiTheme="majorHAnsi" w:hAnsiTheme="majorHAnsi"/>
                <w:noProof/>
                <w:sz w:val="20"/>
                <w:szCs w:val="20"/>
                <w:lang w:val="es-ES_tradnl"/>
              </w:rPr>
              <w:t>A.</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_tradnl"/>
              </w:rPr>
              <w:t>Sobre la migración de los hermanos Roche Azaña y el uso de la fuerza por parte de autoridades nicaragüenses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_Toc536087978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5</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79" w:history="1">
            <w:r w:rsidR="00B935E4" w:rsidRPr="00B935E4">
              <w:rPr>
                <w:rStyle w:val="Hyperlink"/>
                <w:rFonts w:asciiTheme="majorHAnsi" w:hAnsiTheme="majorHAnsi"/>
                <w:noProof/>
                <w:sz w:val="20"/>
                <w:szCs w:val="20"/>
                <w:lang w:val="es-ES_tradnl"/>
              </w:rPr>
              <w:t>B.</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_tradnl"/>
              </w:rPr>
              <w:t>Sobre los procesos internos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_Toc536087979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7</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80" w:history="1">
            <w:r w:rsidR="00B935E4" w:rsidRPr="00B935E4">
              <w:rPr>
                <w:rStyle w:val="Hyperlink"/>
                <w:rFonts w:asciiTheme="majorHAnsi" w:hAnsiTheme="majorHAnsi"/>
                <w:noProof/>
                <w:sz w:val="20"/>
                <w:szCs w:val="20"/>
                <w:lang w:val="es-ES_tradnl"/>
              </w:rPr>
              <w:t>C.</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_tradnl"/>
              </w:rPr>
              <w:t>Sobre la falta de participación de Patricio Roche Azaña en los procedimientos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_Toc536087980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8</w:t>
            </w:r>
            <w:r w:rsidR="00B935E4" w:rsidRPr="00B935E4">
              <w:rPr>
                <w:rFonts w:asciiTheme="majorHAnsi" w:hAnsiTheme="majorHAnsi"/>
                <w:noProof/>
                <w:webHidden/>
                <w:sz w:val="20"/>
                <w:szCs w:val="20"/>
              </w:rPr>
              <w:fldChar w:fldCharType="end"/>
            </w:r>
          </w:hyperlink>
        </w:p>
        <w:p w:rsidR="00B935E4" w:rsidRPr="00B935E4" w:rsidRDefault="00A762E3">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6087981" w:history="1">
            <w:r w:rsidR="00B935E4" w:rsidRPr="00B935E4">
              <w:rPr>
                <w:rStyle w:val="Hyperlink"/>
                <w:rFonts w:asciiTheme="majorHAnsi" w:hAnsiTheme="majorHAnsi"/>
                <w:b/>
                <w:noProof/>
                <w:sz w:val="20"/>
                <w:szCs w:val="20"/>
                <w:lang w:val="es-ES_tradnl"/>
              </w:rPr>
              <w:t>IV.</w:t>
            </w:r>
            <w:r w:rsidR="00B935E4" w:rsidRPr="00B935E4">
              <w:rPr>
                <w:rFonts w:asciiTheme="majorHAnsi" w:eastAsiaTheme="minorEastAsia" w:hAnsiTheme="majorHAnsi" w:cstheme="minorBidi"/>
                <w:b/>
                <w:noProof/>
                <w:sz w:val="20"/>
                <w:szCs w:val="20"/>
                <w:bdr w:val="none" w:sz="0" w:space="0" w:color="auto"/>
              </w:rPr>
              <w:tab/>
            </w:r>
            <w:r w:rsidR="00B935E4" w:rsidRPr="00B935E4">
              <w:rPr>
                <w:rStyle w:val="Hyperlink"/>
                <w:rFonts w:asciiTheme="majorHAnsi" w:hAnsiTheme="majorHAnsi"/>
                <w:b/>
                <w:noProof/>
                <w:sz w:val="20"/>
                <w:szCs w:val="20"/>
                <w:lang w:val="es-ES_tradnl"/>
              </w:rPr>
              <w:t>ANÁLISIS DE DERECHO</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_Toc536087981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9</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82" w:history="1">
            <w:r w:rsidR="00B935E4" w:rsidRPr="00B935E4">
              <w:rPr>
                <w:rStyle w:val="Hyperlink"/>
                <w:rFonts w:asciiTheme="majorHAnsi" w:hAnsiTheme="majorHAnsi"/>
                <w:noProof/>
                <w:sz w:val="20"/>
                <w:szCs w:val="20"/>
                <w:lang w:val="es-ES"/>
              </w:rPr>
              <w:t>A.</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Derecho a la vida (artículo 4.1) y derecho a la integridad (artículo 5.1) en relación con el artículo 1.1 de la Convención Americana respecto de Pedro Bacilio y Patricio Fernando Roche Azaña</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_Toc536087982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9</w:t>
            </w:r>
            <w:r w:rsidR="00B935E4" w:rsidRPr="00B935E4">
              <w:rPr>
                <w:rFonts w:asciiTheme="majorHAnsi" w:hAnsiTheme="majorHAnsi"/>
                <w:noProof/>
                <w:webHidden/>
                <w:sz w:val="20"/>
                <w:szCs w:val="20"/>
              </w:rPr>
              <w:fldChar w:fldCharType="end"/>
            </w:r>
          </w:hyperlink>
        </w:p>
        <w:p w:rsidR="00B935E4" w:rsidRPr="00B935E4" w:rsidRDefault="00A762E3">
          <w:pPr>
            <w:pStyle w:val="TOC3"/>
            <w:tabs>
              <w:tab w:val="left" w:pos="2160"/>
            </w:tabs>
            <w:rPr>
              <w:rFonts w:asciiTheme="majorHAnsi" w:eastAsiaTheme="minorEastAsia" w:hAnsiTheme="majorHAnsi" w:cstheme="minorBidi"/>
              <w:noProof/>
              <w:sz w:val="20"/>
              <w:szCs w:val="20"/>
              <w:bdr w:val="none" w:sz="0" w:space="0" w:color="auto"/>
            </w:rPr>
          </w:pPr>
          <w:hyperlink w:anchor="_Toc536087983" w:history="1">
            <w:r w:rsidR="00B935E4" w:rsidRPr="00B935E4">
              <w:rPr>
                <w:rStyle w:val="Hyperlink"/>
                <w:rFonts w:asciiTheme="majorHAnsi" w:hAnsiTheme="majorHAnsi"/>
                <w:noProof/>
                <w:sz w:val="20"/>
                <w:szCs w:val="20"/>
                <w:lang w:val="es-ES"/>
              </w:rPr>
              <w:t>1.</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Consideraciones generales y carga probatoria (“explicación satisfactoria”) en casos que involucran el empleo de la fuerza y armas de fuego por parte de agentes estatales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_Toc536087983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9</w:t>
            </w:r>
            <w:r w:rsidR="00B935E4" w:rsidRPr="00B935E4">
              <w:rPr>
                <w:rFonts w:asciiTheme="majorHAnsi" w:hAnsiTheme="majorHAnsi"/>
                <w:noProof/>
                <w:webHidden/>
                <w:sz w:val="20"/>
                <w:szCs w:val="20"/>
              </w:rPr>
              <w:fldChar w:fldCharType="end"/>
            </w:r>
          </w:hyperlink>
        </w:p>
        <w:p w:rsidR="00B935E4" w:rsidRPr="00B935E4" w:rsidRDefault="00A762E3">
          <w:pPr>
            <w:pStyle w:val="TOC3"/>
            <w:tabs>
              <w:tab w:val="left" w:pos="2160"/>
            </w:tabs>
            <w:rPr>
              <w:rFonts w:asciiTheme="majorHAnsi" w:eastAsiaTheme="minorEastAsia" w:hAnsiTheme="majorHAnsi" w:cstheme="minorBidi"/>
              <w:noProof/>
              <w:sz w:val="20"/>
              <w:szCs w:val="20"/>
              <w:bdr w:val="none" w:sz="0" w:space="0" w:color="auto"/>
            </w:rPr>
          </w:pPr>
          <w:hyperlink w:anchor="_Toc536087984" w:history="1">
            <w:r w:rsidR="00B935E4" w:rsidRPr="00B935E4">
              <w:rPr>
                <w:rStyle w:val="Hyperlink"/>
                <w:rFonts w:asciiTheme="majorHAnsi" w:hAnsiTheme="majorHAnsi"/>
                <w:noProof/>
                <w:sz w:val="20"/>
                <w:szCs w:val="20"/>
                <w:lang w:val="es-ES"/>
              </w:rPr>
              <w:t>2.</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Estándares generales sobre el derecho la vida, el derecho a la integridad en casos relacionados con alegado uso ilegítimo de la fuerza letal</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_Toc536087984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11</w:t>
            </w:r>
            <w:r w:rsidR="00B935E4" w:rsidRPr="00B935E4">
              <w:rPr>
                <w:rFonts w:asciiTheme="majorHAnsi" w:hAnsiTheme="majorHAnsi"/>
                <w:noProof/>
                <w:webHidden/>
                <w:sz w:val="20"/>
                <w:szCs w:val="20"/>
              </w:rPr>
              <w:fldChar w:fldCharType="end"/>
            </w:r>
          </w:hyperlink>
        </w:p>
        <w:p w:rsidR="00B935E4" w:rsidRPr="00B935E4" w:rsidRDefault="00A762E3">
          <w:pPr>
            <w:pStyle w:val="TOC3"/>
            <w:tabs>
              <w:tab w:val="left" w:pos="2160"/>
            </w:tabs>
            <w:rPr>
              <w:rFonts w:asciiTheme="majorHAnsi" w:eastAsiaTheme="minorEastAsia" w:hAnsiTheme="majorHAnsi" w:cstheme="minorBidi"/>
              <w:noProof/>
              <w:sz w:val="20"/>
              <w:szCs w:val="20"/>
              <w:bdr w:val="none" w:sz="0" w:space="0" w:color="auto"/>
            </w:rPr>
          </w:pPr>
          <w:hyperlink w:anchor="_Toc536087985" w:history="1">
            <w:r w:rsidR="00B935E4" w:rsidRPr="00B935E4">
              <w:rPr>
                <w:rStyle w:val="Hyperlink"/>
                <w:rFonts w:asciiTheme="majorHAnsi" w:hAnsiTheme="majorHAnsi"/>
                <w:noProof/>
                <w:sz w:val="20"/>
                <w:szCs w:val="20"/>
                <w:lang w:val="es-ES"/>
              </w:rPr>
              <w:t>3.</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Determinación de la legitimidad de la privación de la vida de Pedro Roche Azaña y las lesiones de Patricio Roche Azaña a través de la fuerza letal y análisis del estándar de “explicación satisfactoria” del Estado</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_Toc536087985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11</w:t>
            </w:r>
            <w:r w:rsidR="00B935E4" w:rsidRPr="00B935E4">
              <w:rPr>
                <w:rFonts w:asciiTheme="majorHAnsi" w:hAnsiTheme="majorHAnsi"/>
                <w:noProof/>
                <w:webHidden/>
                <w:sz w:val="20"/>
                <w:szCs w:val="20"/>
              </w:rPr>
              <w:fldChar w:fldCharType="end"/>
            </w:r>
          </w:hyperlink>
        </w:p>
        <w:p w:rsidR="00B935E4" w:rsidRPr="00B935E4" w:rsidRDefault="00A762E3">
          <w:pPr>
            <w:pStyle w:val="TOC2"/>
            <w:rPr>
              <w:rFonts w:asciiTheme="majorHAnsi" w:eastAsiaTheme="minorEastAsia" w:hAnsiTheme="majorHAnsi" w:cstheme="minorBidi"/>
              <w:noProof/>
              <w:sz w:val="20"/>
              <w:szCs w:val="20"/>
              <w:bdr w:val="none" w:sz="0" w:space="0" w:color="auto"/>
            </w:rPr>
          </w:pPr>
          <w:hyperlink w:anchor="_Toc536087986" w:history="1">
            <w:r w:rsidR="00B935E4" w:rsidRPr="00B935E4">
              <w:rPr>
                <w:rStyle w:val="Hyperlink"/>
                <w:rFonts w:asciiTheme="majorHAnsi" w:hAnsiTheme="majorHAnsi"/>
                <w:noProof/>
                <w:sz w:val="20"/>
                <w:szCs w:val="20"/>
                <w:lang w:val="es-ES"/>
              </w:rPr>
              <w:t>B.</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Derechos a las garantías judiciales, protección judicial e integridad personal (artículos 8</w:t>
            </w:r>
            <w:r w:rsidR="00B935E4" w:rsidRPr="00B935E4">
              <w:rPr>
                <w:rStyle w:val="Hyperlink"/>
                <w:rFonts w:asciiTheme="majorHAnsi" w:hAnsiTheme="majorHAnsi"/>
                <w:noProof/>
                <w:sz w:val="20"/>
                <w:szCs w:val="20"/>
                <w:vertAlign w:val="superscript"/>
                <w:lang w:val="es-ES"/>
              </w:rPr>
              <w:t xml:space="preserve">, </w:t>
            </w:r>
            <w:r w:rsidR="00B935E4" w:rsidRPr="00B935E4">
              <w:rPr>
                <w:rStyle w:val="Hyperlink"/>
                <w:rFonts w:asciiTheme="majorHAnsi" w:hAnsiTheme="majorHAnsi"/>
                <w:noProof/>
                <w:sz w:val="20"/>
                <w:szCs w:val="20"/>
                <w:lang w:val="es-ES"/>
              </w:rPr>
              <w:t>artículo 25.1 y 5.1) en relación con el artículo 1.1 de la Convención Americana</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_Toc536087986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13</w:t>
            </w:r>
            <w:r w:rsidR="00B935E4" w:rsidRPr="00B935E4">
              <w:rPr>
                <w:rFonts w:asciiTheme="majorHAnsi" w:hAnsiTheme="majorHAnsi"/>
                <w:noProof/>
                <w:webHidden/>
                <w:sz w:val="20"/>
                <w:szCs w:val="20"/>
              </w:rPr>
              <w:fldChar w:fldCharType="end"/>
            </w:r>
          </w:hyperlink>
        </w:p>
        <w:p w:rsidR="00B935E4" w:rsidRPr="00B935E4" w:rsidRDefault="00A762E3">
          <w:pPr>
            <w:pStyle w:val="TOC3"/>
            <w:tabs>
              <w:tab w:val="left" w:pos="2160"/>
            </w:tabs>
            <w:rPr>
              <w:rFonts w:asciiTheme="majorHAnsi" w:eastAsiaTheme="minorEastAsia" w:hAnsiTheme="majorHAnsi" w:cstheme="minorBidi"/>
              <w:noProof/>
              <w:sz w:val="20"/>
              <w:szCs w:val="20"/>
              <w:bdr w:val="none" w:sz="0" w:space="0" w:color="auto"/>
            </w:rPr>
          </w:pPr>
          <w:hyperlink w:anchor="_Toc536087987" w:history="1">
            <w:r w:rsidR="00B935E4" w:rsidRPr="00B935E4">
              <w:rPr>
                <w:rStyle w:val="Hyperlink"/>
                <w:rFonts w:asciiTheme="majorHAnsi" w:hAnsiTheme="majorHAnsi"/>
                <w:noProof/>
                <w:sz w:val="20"/>
                <w:szCs w:val="20"/>
                <w:lang w:val="es-ES"/>
              </w:rPr>
              <w:t>1.</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Consideraciones generales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_Toc536087987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13</w:t>
            </w:r>
            <w:r w:rsidR="00B935E4" w:rsidRPr="00B935E4">
              <w:rPr>
                <w:rFonts w:asciiTheme="majorHAnsi" w:hAnsiTheme="majorHAnsi"/>
                <w:noProof/>
                <w:webHidden/>
                <w:sz w:val="20"/>
                <w:szCs w:val="20"/>
              </w:rPr>
              <w:fldChar w:fldCharType="end"/>
            </w:r>
          </w:hyperlink>
        </w:p>
        <w:p w:rsidR="00B935E4" w:rsidRPr="00B935E4" w:rsidRDefault="00A762E3">
          <w:pPr>
            <w:pStyle w:val="TOC3"/>
            <w:tabs>
              <w:tab w:val="left" w:pos="2160"/>
            </w:tabs>
            <w:rPr>
              <w:rFonts w:asciiTheme="majorHAnsi" w:eastAsiaTheme="minorEastAsia" w:hAnsiTheme="majorHAnsi" w:cstheme="minorBidi"/>
              <w:noProof/>
              <w:sz w:val="20"/>
              <w:szCs w:val="20"/>
              <w:bdr w:val="none" w:sz="0" w:space="0" w:color="auto"/>
            </w:rPr>
          </w:pPr>
          <w:hyperlink w:anchor="_Toc536087988" w:history="1">
            <w:r w:rsidR="00B935E4" w:rsidRPr="00B935E4">
              <w:rPr>
                <w:rStyle w:val="Hyperlink"/>
                <w:rFonts w:asciiTheme="majorHAnsi" w:hAnsiTheme="majorHAnsi"/>
                <w:noProof/>
                <w:sz w:val="20"/>
                <w:szCs w:val="20"/>
                <w:lang w:val="es-ES"/>
              </w:rPr>
              <w:t>2.</w:t>
            </w:r>
            <w:r w:rsidR="00B935E4" w:rsidRPr="00B935E4">
              <w:rPr>
                <w:rFonts w:asciiTheme="majorHAnsi" w:eastAsiaTheme="minorEastAsia" w:hAnsiTheme="majorHAnsi" w:cstheme="minorBidi"/>
                <w:noProof/>
                <w:sz w:val="20"/>
                <w:szCs w:val="20"/>
                <w:bdr w:val="none" w:sz="0" w:space="0" w:color="auto"/>
              </w:rPr>
              <w:tab/>
            </w:r>
            <w:r w:rsidR="00B935E4" w:rsidRPr="00B935E4">
              <w:rPr>
                <w:rStyle w:val="Hyperlink"/>
                <w:rFonts w:asciiTheme="majorHAnsi" w:hAnsiTheme="majorHAnsi"/>
                <w:noProof/>
                <w:sz w:val="20"/>
                <w:szCs w:val="20"/>
                <w:lang w:val="es-ES"/>
              </w:rPr>
              <w:t>Análisis del caso</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_Toc536087988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15</w:t>
            </w:r>
            <w:r w:rsidR="00B935E4" w:rsidRPr="00B935E4">
              <w:rPr>
                <w:rFonts w:asciiTheme="majorHAnsi" w:hAnsiTheme="majorHAnsi"/>
                <w:noProof/>
                <w:webHidden/>
                <w:sz w:val="20"/>
                <w:szCs w:val="20"/>
              </w:rPr>
              <w:fldChar w:fldCharType="end"/>
            </w:r>
          </w:hyperlink>
        </w:p>
        <w:p w:rsidR="00B935E4" w:rsidRPr="00B935E4" w:rsidRDefault="00A762E3">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6087989" w:history="1">
            <w:r w:rsidR="00B935E4" w:rsidRPr="00B935E4">
              <w:rPr>
                <w:rStyle w:val="Hyperlink"/>
                <w:rFonts w:asciiTheme="majorHAnsi" w:hAnsiTheme="majorHAnsi"/>
                <w:b/>
                <w:noProof/>
                <w:sz w:val="20"/>
                <w:szCs w:val="20"/>
                <w:lang w:val="es-ES_tradnl"/>
              </w:rPr>
              <w:t>V.</w:t>
            </w:r>
            <w:r w:rsidR="00B935E4" w:rsidRPr="00B935E4">
              <w:rPr>
                <w:rFonts w:asciiTheme="majorHAnsi" w:eastAsiaTheme="minorEastAsia" w:hAnsiTheme="majorHAnsi" w:cstheme="minorBidi"/>
                <w:b/>
                <w:noProof/>
                <w:sz w:val="20"/>
                <w:szCs w:val="20"/>
                <w:bdr w:val="none" w:sz="0" w:space="0" w:color="auto"/>
              </w:rPr>
              <w:tab/>
            </w:r>
            <w:r w:rsidR="00B935E4" w:rsidRPr="00B935E4">
              <w:rPr>
                <w:rStyle w:val="Hyperlink"/>
                <w:rFonts w:asciiTheme="majorHAnsi" w:hAnsiTheme="majorHAnsi"/>
                <w:b/>
                <w:noProof/>
                <w:sz w:val="20"/>
                <w:szCs w:val="20"/>
                <w:lang w:val="es-ES_tradnl"/>
              </w:rPr>
              <w:t>CONCLUSIONES Y RECOMENDACIONES</w:t>
            </w:r>
            <w:r w:rsidR="00B935E4" w:rsidRPr="00B935E4">
              <w:rPr>
                <w:rFonts w:asciiTheme="majorHAnsi" w:hAnsiTheme="majorHAnsi"/>
                <w:noProof/>
                <w:webHidden/>
                <w:sz w:val="20"/>
                <w:szCs w:val="20"/>
              </w:rPr>
              <w:tab/>
            </w:r>
            <w:r w:rsidR="00B935E4" w:rsidRPr="00B935E4">
              <w:rPr>
                <w:rFonts w:asciiTheme="majorHAnsi" w:hAnsiTheme="majorHAnsi"/>
                <w:noProof/>
                <w:webHidden/>
                <w:sz w:val="20"/>
                <w:szCs w:val="20"/>
              </w:rPr>
              <w:fldChar w:fldCharType="begin"/>
            </w:r>
            <w:r w:rsidR="00B935E4" w:rsidRPr="00B935E4">
              <w:rPr>
                <w:rFonts w:asciiTheme="majorHAnsi" w:hAnsiTheme="majorHAnsi"/>
                <w:noProof/>
                <w:webHidden/>
                <w:sz w:val="20"/>
                <w:szCs w:val="20"/>
              </w:rPr>
              <w:instrText xml:space="preserve"> PAGEREF _Toc536087989 \h </w:instrText>
            </w:r>
            <w:r w:rsidR="00B935E4" w:rsidRPr="00B935E4">
              <w:rPr>
                <w:rFonts w:asciiTheme="majorHAnsi" w:hAnsiTheme="majorHAnsi"/>
                <w:noProof/>
                <w:webHidden/>
                <w:sz w:val="20"/>
                <w:szCs w:val="20"/>
              </w:rPr>
            </w:r>
            <w:r w:rsidR="00B935E4" w:rsidRPr="00B935E4">
              <w:rPr>
                <w:rFonts w:asciiTheme="majorHAnsi" w:hAnsiTheme="majorHAnsi"/>
                <w:noProof/>
                <w:webHidden/>
                <w:sz w:val="20"/>
                <w:szCs w:val="20"/>
              </w:rPr>
              <w:fldChar w:fldCharType="separate"/>
            </w:r>
            <w:r w:rsidR="00646151">
              <w:rPr>
                <w:rFonts w:asciiTheme="majorHAnsi" w:hAnsiTheme="majorHAnsi"/>
                <w:noProof/>
                <w:webHidden/>
                <w:sz w:val="20"/>
                <w:szCs w:val="20"/>
              </w:rPr>
              <w:t>16</w:t>
            </w:r>
            <w:r w:rsidR="00B935E4" w:rsidRPr="00B935E4">
              <w:rPr>
                <w:rFonts w:asciiTheme="majorHAnsi" w:hAnsiTheme="majorHAnsi"/>
                <w:noProof/>
                <w:webHidden/>
                <w:sz w:val="20"/>
                <w:szCs w:val="20"/>
              </w:rPr>
              <w:fldChar w:fldCharType="end"/>
            </w:r>
          </w:hyperlink>
        </w:p>
        <w:p w:rsidR="00B935E4" w:rsidRDefault="00B935E4">
          <w:r>
            <w:rPr>
              <w:b/>
              <w:bCs/>
              <w:noProof/>
            </w:rPr>
            <w:fldChar w:fldCharType="end"/>
          </w:r>
        </w:p>
      </w:sdtContent>
    </w:sdt>
    <w:p w:rsidR="00722C9F" w:rsidRDefault="00722C9F">
      <w:pPr>
        <w:rPr>
          <w:rFonts w:ascii="Cambria" w:hAnsi="Cambria" w:cs="Calibri"/>
          <w:sz w:val="20"/>
          <w:szCs w:val="20"/>
          <w:lang w:val="es-CO"/>
        </w:rPr>
      </w:pPr>
    </w:p>
    <w:p w:rsidR="00B935E4" w:rsidRDefault="00B935E4">
      <w:pPr>
        <w:rPr>
          <w:rFonts w:ascii="Cambria" w:hAnsi="Cambria" w:cs="Calibri"/>
          <w:sz w:val="20"/>
          <w:szCs w:val="20"/>
          <w:lang w:val="es-CO"/>
        </w:rPr>
      </w:pPr>
    </w:p>
    <w:p w:rsidR="00B935E4" w:rsidRDefault="00B935E4">
      <w:pPr>
        <w:rPr>
          <w:rFonts w:ascii="Cambria" w:hAnsi="Cambria" w:cs="Calibri"/>
          <w:sz w:val="20"/>
          <w:szCs w:val="20"/>
          <w:lang w:val="es-CO"/>
        </w:rPr>
      </w:pPr>
    </w:p>
    <w:p w:rsidR="00B935E4" w:rsidRDefault="00B935E4">
      <w:pPr>
        <w:rPr>
          <w:rFonts w:ascii="Cambria" w:hAnsi="Cambria" w:cs="Calibri"/>
          <w:sz w:val="20"/>
          <w:szCs w:val="20"/>
          <w:lang w:val="es-CO"/>
        </w:rPr>
      </w:pPr>
    </w:p>
    <w:p w:rsidR="00B935E4" w:rsidRDefault="00B935E4">
      <w:pPr>
        <w:rPr>
          <w:rFonts w:ascii="Cambria" w:hAnsi="Cambria" w:cs="Calibri"/>
          <w:sz w:val="20"/>
          <w:szCs w:val="20"/>
          <w:lang w:val="es-CO"/>
        </w:rPr>
      </w:pPr>
    </w:p>
    <w:p w:rsidR="00B935E4" w:rsidRDefault="00B935E4">
      <w:pPr>
        <w:rPr>
          <w:rFonts w:ascii="Cambria" w:hAnsi="Cambria" w:cs="Calibri"/>
          <w:sz w:val="20"/>
          <w:szCs w:val="20"/>
          <w:lang w:val="es-CO"/>
        </w:rPr>
      </w:pPr>
    </w:p>
    <w:p w:rsidR="00B935E4" w:rsidRPr="007A393E" w:rsidRDefault="00B935E4">
      <w:pPr>
        <w:rPr>
          <w:rFonts w:ascii="Cambria" w:hAnsi="Cambria" w:cs="Calibri"/>
          <w:sz w:val="20"/>
          <w:szCs w:val="20"/>
          <w:lang w:val="es-CO"/>
        </w:rPr>
      </w:pPr>
    </w:p>
    <w:p w:rsidR="00722C9F" w:rsidRPr="007A393E" w:rsidRDefault="007C756A" w:rsidP="00722C9F">
      <w:pPr>
        <w:tabs>
          <w:tab w:val="center" w:pos="5400"/>
        </w:tabs>
        <w:suppressAutoHyphens/>
        <w:spacing w:line="276" w:lineRule="auto"/>
        <w:jc w:val="center"/>
        <w:rPr>
          <w:rFonts w:ascii="Cambria" w:hAnsi="Cambria"/>
          <w:b/>
          <w:sz w:val="20"/>
          <w:szCs w:val="20"/>
          <w:lang w:val="es-CO"/>
        </w:rPr>
      </w:pPr>
      <w:r w:rsidRPr="007A393E">
        <w:rPr>
          <w:rFonts w:ascii="Cambria" w:hAnsi="Cambria"/>
          <w:b/>
          <w:sz w:val="20"/>
          <w:szCs w:val="20"/>
          <w:lang w:val="es-CO"/>
        </w:rPr>
        <w:lastRenderedPageBreak/>
        <w:t xml:space="preserve">INFORME No. </w:t>
      </w:r>
      <w:r w:rsidR="0006195E">
        <w:rPr>
          <w:rFonts w:ascii="Cambria" w:hAnsi="Cambria"/>
          <w:b/>
          <w:sz w:val="20"/>
          <w:szCs w:val="20"/>
          <w:lang w:val="es-CO"/>
        </w:rPr>
        <w:t>114</w:t>
      </w:r>
      <w:r w:rsidRPr="007A393E">
        <w:rPr>
          <w:rFonts w:ascii="Cambria" w:hAnsi="Cambria"/>
          <w:b/>
          <w:sz w:val="20"/>
          <w:szCs w:val="20"/>
          <w:lang w:val="es-CO"/>
        </w:rPr>
        <w:t>/</w:t>
      </w:r>
      <w:r w:rsidR="00E80DA2" w:rsidRPr="007A393E">
        <w:rPr>
          <w:rFonts w:ascii="Cambria" w:hAnsi="Cambria"/>
          <w:b/>
          <w:sz w:val="20"/>
          <w:szCs w:val="20"/>
          <w:lang w:val="es-CO"/>
        </w:rPr>
        <w:t>18</w:t>
      </w:r>
    </w:p>
    <w:p w:rsidR="00722C9F" w:rsidRPr="007A393E" w:rsidRDefault="00722C9F" w:rsidP="00722C9F">
      <w:pPr>
        <w:tabs>
          <w:tab w:val="center" w:pos="5400"/>
        </w:tabs>
        <w:suppressAutoHyphens/>
        <w:spacing w:line="276" w:lineRule="auto"/>
        <w:jc w:val="center"/>
        <w:rPr>
          <w:rFonts w:ascii="Cambria" w:hAnsi="Cambria"/>
          <w:b/>
          <w:sz w:val="20"/>
          <w:szCs w:val="20"/>
          <w:lang w:val="es-CO"/>
        </w:rPr>
      </w:pPr>
      <w:r w:rsidRPr="007A393E">
        <w:rPr>
          <w:rFonts w:ascii="Cambria" w:hAnsi="Cambria"/>
          <w:b/>
          <w:sz w:val="20"/>
          <w:szCs w:val="20"/>
          <w:lang w:val="es-CO"/>
        </w:rPr>
        <w:t xml:space="preserve">CASO </w:t>
      </w:r>
      <w:r w:rsidR="00533682" w:rsidRPr="007A393E">
        <w:rPr>
          <w:rFonts w:ascii="Cambria" w:hAnsi="Cambria"/>
          <w:b/>
          <w:sz w:val="20"/>
          <w:szCs w:val="20"/>
          <w:lang w:val="es-CO"/>
        </w:rPr>
        <w:t>12.722</w:t>
      </w:r>
    </w:p>
    <w:p w:rsidR="00722C9F" w:rsidRPr="00DB4A13" w:rsidRDefault="007C756A" w:rsidP="00722C9F">
      <w:pPr>
        <w:tabs>
          <w:tab w:val="center" w:pos="5400"/>
        </w:tabs>
        <w:suppressAutoHyphens/>
        <w:spacing w:line="276" w:lineRule="auto"/>
        <w:jc w:val="center"/>
        <w:rPr>
          <w:rFonts w:ascii="Cambria" w:hAnsi="Cambria"/>
          <w:sz w:val="20"/>
          <w:szCs w:val="20"/>
          <w:lang w:val="es-ES_tradnl"/>
        </w:rPr>
      </w:pPr>
      <w:r w:rsidRPr="00DB4A13">
        <w:rPr>
          <w:rFonts w:ascii="Cambria" w:hAnsi="Cambria"/>
          <w:sz w:val="20"/>
          <w:szCs w:val="20"/>
          <w:lang w:val="es-ES_tradnl"/>
        </w:rPr>
        <w:t>FONDO</w:t>
      </w:r>
    </w:p>
    <w:p w:rsidR="00A762E3" w:rsidRPr="00DB4A13" w:rsidRDefault="00A762E3" w:rsidP="00A762E3">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 xml:space="preserve">PEDRO BASILIO ROCHE AZAÑA Y OTRO </w:t>
      </w:r>
      <w:bookmarkStart w:id="0" w:name="_GoBack"/>
      <w:bookmarkEnd w:id="0"/>
    </w:p>
    <w:p w:rsidR="00722C9F" w:rsidRPr="00DB4A13" w:rsidRDefault="00D12B28" w:rsidP="00722C9F">
      <w:pPr>
        <w:tabs>
          <w:tab w:val="center" w:pos="5400"/>
        </w:tabs>
        <w:suppressAutoHyphens/>
        <w:spacing w:line="276" w:lineRule="auto"/>
        <w:jc w:val="center"/>
        <w:rPr>
          <w:rFonts w:ascii="Cambria" w:hAnsi="Cambria"/>
          <w:sz w:val="20"/>
          <w:szCs w:val="20"/>
          <w:lang w:val="es-ES_tradnl"/>
        </w:rPr>
      </w:pPr>
      <w:r w:rsidRPr="00DB4A13">
        <w:rPr>
          <w:rFonts w:ascii="Cambria" w:hAnsi="Cambria"/>
          <w:sz w:val="20"/>
          <w:szCs w:val="20"/>
          <w:lang w:val="es-ES_tradnl"/>
        </w:rPr>
        <w:t>NICARAGUA</w:t>
      </w:r>
    </w:p>
    <w:p w:rsidR="00722C9F" w:rsidRPr="00DB4A13" w:rsidRDefault="001725EA" w:rsidP="00722C9F">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5 DE OCTUBRE DE 2018</w:t>
      </w:r>
    </w:p>
    <w:p w:rsidR="005937F1" w:rsidRPr="00096753" w:rsidRDefault="005937F1" w:rsidP="00096753">
      <w:pPr>
        <w:suppressAutoHyphens/>
        <w:rPr>
          <w:b/>
          <w:sz w:val="20"/>
          <w:szCs w:val="20"/>
          <w:lang w:val="es-ES_tradnl"/>
        </w:rPr>
      </w:pPr>
    </w:p>
    <w:p w:rsidR="00906439" w:rsidRPr="00BB3AE8" w:rsidRDefault="00906439" w:rsidP="00BB3AE8">
      <w:pPr>
        <w:pStyle w:val="Heading1"/>
        <w:ind w:hanging="90"/>
        <w:rPr>
          <w:color w:val="auto"/>
          <w:sz w:val="20"/>
          <w:szCs w:val="20"/>
          <w:lang w:val="es-ES_tradnl"/>
        </w:rPr>
      </w:pPr>
      <w:bookmarkStart w:id="1" w:name="_Toc536087973"/>
      <w:r w:rsidRPr="00BB3AE8">
        <w:rPr>
          <w:color w:val="auto"/>
          <w:sz w:val="20"/>
          <w:szCs w:val="20"/>
          <w:lang w:val="es-ES_tradnl"/>
        </w:rPr>
        <w:t>RESUMEN</w:t>
      </w:r>
      <w:bookmarkEnd w:id="1"/>
      <w:r w:rsidRPr="00BB3AE8">
        <w:rPr>
          <w:color w:val="auto"/>
          <w:sz w:val="20"/>
          <w:szCs w:val="20"/>
          <w:lang w:val="es-ES_tradnl"/>
        </w:rPr>
        <w:t xml:space="preserve"> </w:t>
      </w:r>
    </w:p>
    <w:p w:rsidR="00906439" w:rsidRPr="00DB4A13" w:rsidRDefault="00906439" w:rsidP="00906439">
      <w:pPr>
        <w:suppressAutoHyphens/>
        <w:ind w:left="360"/>
        <w:rPr>
          <w:rFonts w:ascii="Cambria" w:hAnsi="Cambria"/>
          <w:b/>
          <w:sz w:val="20"/>
          <w:szCs w:val="20"/>
          <w:lang w:val="es-ES_tradnl"/>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El 23 de diciembre de 1998 la Comisión Interamericana de Derechos Humanos (en adelante “la Comisión Interamericana”, “la Comisión” o “la CIDH”) recibió una petición presentada por el señor Patricio Barrera Tello en representación de los señores Pedro Bacilio Roche Azaña y Patricio Fernando Roche Azaña (en adelante “la parte peticionaria”) en la cual se alega la responsabilidad internacional del Estado de Nicaragua (en adelante “el Estado nicaragüense”, “el Estado” o “Nicaragua”) en perjuicio de Pedro Bacilio Roche Azaña y Patricio Fernando Roche Azaña.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color w:val="000000" w:themeColor="text1"/>
          <w:sz w:val="20"/>
          <w:szCs w:val="20"/>
          <w:lang w:val="es-VE"/>
        </w:rPr>
        <w:t>L</w:t>
      </w:r>
      <w:r w:rsidRPr="00DB4A13">
        <w:rPr>
          <w:rFonts w:ascii="Cambria" w:hAnsi="Cambria"/>
          <w:sz w:val="20"/>
          <w:szCs w:val="20"/>
          <w:lang w:val="es-ES_tradnl"/>
        </w:rPr>
        <w:t>a Comisión aprobó el informe de admisibilidad No. 88/09 el 7 de agosto de 2009</w:t>
      </w:r>
      <w:r w:rsidRPr="00DB4A13">
        <w:rPr>
          <w:rStyle w:val="FootnoteReference"/>
          <w:rFonts w:ascii="Cambria" w:hAnsi="Cambria"/>
          <w:sz w:val="20"/>
          <w:szCs w:val="20"/>
          <w:lang w:val="es-ES_tradnl"/>
        </w:rPr>
        <w:footnoteReference w:id="2"/>
      </w:r>
      <w:r w:rsidRPr="00DB4A13">
        <w:rPr>
          <w:rFonts w:ascii="Cambria" w:hAnsi="Cambria"/>
          <w:sz w:val="20"/>
          <w:szCs w:val="20"/>
          <w:lang w:val="es-ES_tradnl"/>
        </w:rPr>
        <w:t xml:space="preserve">. El 1 de septiembre de </w:t>
      </w:r>
      <w:r w:rsidRPr="00DB4A13">
        <w:rPr>
          <w:rFonts w:ascii="Cambria" w:hAnsi="Cambria"/>
          <w:color w:val="000000" w:themeColor="text1"/>
          <w:sz w:val="20"/>
          <w:szCs w:val="20"/>
          <w:lang w:val="es-VE"/>
        </w:rPr>
        <w:t>2009</w:t>
      </w:r>
      <w:r w:rsidRPr="00DB4A13">
        <w:rPr>
          <w:rFonts w:ascii="Cambria" w:hAnsi="Cambria"/>
          <w:sz w:val="20"/>
          <w:szCs w:val="20"/>
          <w:lang w:val="es-ES_tradnl"/>
        </w:rPr>
        <w:t xml:space="preserve"> la Comisión notificó dicho informe a las partes y se puso a su disposición a fin de llegar a una solución amistosa. Las partes contaron con los plazos reglamentarios para presentar sus observaciones adicionales sobre el fondo. La parte peticionaria presentó sus observaciones de fondo el 26 de octubre de 2009 </w:t>
      </w:r>
      <w:r w:rsidR="00B45E55" w:rsidRPr="00DB4A13">
        <w:rPr>
          <w:rFonts w:ascii="Cambria" w:hAnsi="Cambria"/>
          <w:sz w:val="20"/>
          <w:szCs w:val="20"/>
          <w:lang w:val="es-ES_tradnl"/>
        </w:rPr>
        <w:t>manifestando su disposición para lograr una solución amistosa</w:t>
      </w:r>
      <w:r w:rsidR="00D2457A" w:rsidRPr="00DB4A13">
        <w:rPr>
          <w:rFonts w:ascii="Cambria" w:hAnsi="Cambria"/>
          <w:sz w:val="20"/>
          <w:szCs w:val="20"/>
          <w:lang w:val="es-ES_tradnl"/>
        </w:rPr>
        <w:t>.</w:t>
      </w:r>
      <w:r w:rsidR="00B45E55" w:rsidRPr="00DB4A13">
        <w:rPr>
          <w:rFonts w:ascii="Cambria" w:hAnsi="Cambria"/>
          <w:sz w:val="20"/>
          <w:szCs w:val="20"/>
          <w:lang w:val="es-ES_tradnl"/>
        </w:rPr>
        <w:t xml:space="preserve"> </w:t>
      </w:r>
      <w:r w:rsidR="000501E8" w:rsidRPr="00DB4A13">
        <w:rPr>
          <w:rFonts w:ascii="Cambria" w:hAnsi="Cambria"/>
          <w:sz w:val="20"/>
          <w:szCs w:val="20"/>
          <w:lang w:val="es-ES_tradnl"/>
        </w:rPr>
        <w:t>P</w:t>
      </w:r>
      <w:r w:rsidR="00B45E55" w:rsidRPr="00DB4A13">
        <w:rPr>
          <w:rFonts w:ascii="Cambria" w:hAnsi="Cambria"/>
          <w:sz w:val="20"/>
          <w:szCs w:val="20"/>
          <w:lang w:val="es-ES_tradnl"/>
        </w:rPr>
        <w:t>or su parte</w:t>
      </w:r>
      <w:r w:rsidR="0098158E" w:rsidRPr="00DB4A13">
        <w:rPr>
          <w:rFonts w:ascii="Cambria" w:hAnsi="Cambria"/>
          <w:sz w:val="20"/>
          <w:szCs w:val="20"/>
          <w:lang w:val="es-ES_tradnl"/>
        </w:rPr>
        <w:t>,</w:t>
      </w:r>
      <w:r w:rsidR="00B45E55" w:rsidRPr="00DB4A13">
        <w:rPr>
          <w:rFonts w:ascii="Cambria" w:hAnsi="Cambria"/>
          <w:sz w:val="20"/>
          <w:szCs w:val="20"/>
          <w:lang w:val="es-ES_tradnl"/>
        </w:rPr>
        <w:t xml:space="preserve"> el </w:t>
      </w:r>
      <w:r w:rsidRPr="00DB4A13">
        <w:rPr>
          <w:rFonts w:ascii="Cambria" w:hAnsi="Cambria"/>
          <w:sz w:val="20"/>
          <w:szCs w:val="20"/>
          <w:lang w:val="es-ES_tradnl"/>
        </w:rPr>
        <w:t>Es</w:t>
      </w:r>
      <w:r w:rsidR="00275B52" w:rsidRPr="00DB4A13">
        <w:rPr>
          <w:rFonts w:ascii="Cambria" w:hAnsi="Cambria"/>
          <w:sz w:val="20"/>
          <w:szCs w:val="20"/>
          <w:lang w:val="es-ES_tradnl"/>
        </w:rPr>
        <w:t>tado</w:t>
      </w:r>
      <w:r w:rsidR="00B45E55" w:rsidRPr="00DB4A13">
        <w:rPr>
          <w:rFonts w:ascii="Cambria" w:hAnsi="Cambria"/>
          <w:sz w:val="20"/>
          <w:szCs w:val="20"/>
          <w:lang w:val="es-ES_tradnl"/>
        </w:rPr>
        <w:t xml:space="preserve"> presentó observaciones</w:t>
      </w:r>
      <w:r w:rsidR="00275B52" w:rsidRPr="00DB4A13">
        <w:rPr>
          <w:rFonts w:ascii="Cambria" w:hAnsi="Cambria"/>
          <w:sz w:val="20"/>
          <w:szCs w:val="20"/>
          <w:lang w:val="es-ES_tradnl"/>
        </w:rPr>
        <w:t xml:space="preserve"> el 2 de septiembre de 2011</w:t>
      </w:r>
      <w:r w:rsidR="00B45E55" w:rsidRPr="00DB4A13">
        <w:rPr>
          <w:rFonts w:ascii="Cambria" w:hAnsi="Cambria"/>
          <w:sz w:val="20"/>
          <w:szCs w:val="20"/>
          <w:lang w:val="es-ES_tradnl"/>
        </w:rPr>
        <w:t xml:space="preserve">, </w:t>
      </w:r>
      <w:r w:rsidR="00023CF9" w:rsidRPr="00DB4A13">
        <w:rPr>
          <w:rFonts w:ascii="Cambria" w:hAnsi="Cambria"/>
          <w:sz w:val="20"/>
          <w:szCs w:val="20"/>
          <w:lang w:val="es-ES_tradnl"/>
        </w:rPr>
        <w:t xml:space="preserve">sin hacer referencia a una posible </w:t>
      </w:r>
      <w:r w:rsidR="00B45E55" w:rsidRPr="00DB4A13">
        <w:rPr>
          <w:rFonts w:ascii="Cambria" w:hAnsi="Cambria"/>
          <w:sz w:val="20"/>
          <w:szCs w:val="20"/>
          <w:lang w:val="es-ES_tradnl"/>
        </w:rPr>
        <w:t>solución amistosa</w:t>
      </w:r>
      <w:r w:rsidRPr="00DB4A13">
        <w:rPr>
          <w:rFonts w:ascii="Cambria" w:hAnsi="Cambria"/>
          <w:sz w:val="20"/>
          <w:szCs w:val="20"/>
          <w:lang w:val="es-ES_tradnl"/>
        </w:rPr>
        <w:t>.</w:t>
      </w:r>
      <w:r w:rsidR="00B45E55" w:rsidRPr="00DB4A13">
        <w:rPr>
          <w:rFonts w:ascii="Cambria" w:hAnsi="Cambria"/>
          <w:sz w:val="20"/>
          <w:szCs w:val="20"/>
          <w:lang w:val="es-US"/>
        </w:rPr>
        <w:t xml:space="preserve"> </w:t>
      </w:r>
      <w:r w:rsidRPr="00DB4A13">
        <w:rPr>
          <w:rFonts w:ascii="Cambria" w:hAnsi="Cambria"/>
          <w:sz w:val="20"/>
          <w:szCs w:val="20"/>
          <w:lang w:val="es-ES_tradnl"/>
        </w:rPr>
        <w:t xml:space="preserve">Toda la información recibida fue debidamente trasladada entre las partes.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La parte peticionaria alegó que la polic</w:t>
      </w:r>
      <w:r w:rsidRPr="00DB4A13">
        <w:rPr>
          <w:rFonts w:ascii="Cambria" w:hAnsi="Cambria"/>
          <w:color w:val="000000" w:themeColor="text1"/>
          <w:sz w:val="20"/>
          <w:szCs w:val="20"/>
          <w:lang w:val="es-MX"/>
        </w:rPr>
        <w:t>ía de Nicaragua en el Municipio de Chinandega disparó de manera indiscriminada y discriminatoria a una furgoneta en</w:t>
      </w:r>
      <w:r w:rsidR="00D84330" w:rsidRPr="00DB4A13">
        <w:rPr>
          <w:rFonts w:ascii="Cambria" w:hAnsi="Cambria"/>
          <w:color w:val="000000" w:themeColor="text1"/>
          <w:sz w:val="20"/>
          <w:szCs w:val="20"/>
          <w:lang w:val="es-MX"/>
        </w:rPr>
        <w:t xml:space="preserve"> la que</w:t>
      </w:r>
      <w:r w:rsidRPr="00DB4A13">
        <w:rPr>
          <w:rFonts w:ascii="Cambria" w:hAnsi="Cambria"/>
          <w:color w:val="000000" w:themeColor="text1"/>
          <w:sz w:val="20"/>
          <w:szCs w:val="20"/>
          <w:lang w:val="es-MX"/>
        </w:rPr>
        <w:t xml:space="preserve"> iban de 30 a 40 personas migrantes buscando llegar a</w:t>
      </w:r>
      <w:r w:rsidR="00E4003B" w:rsidRPr="00DB4A13">
        <w:rPr>
          <w:rFonts w:ascii="Cambria" w:hAnsi="Cambria"/>
          <w:color w:val="000000" w:themeColor="text1"/>
          <w:sz w:val="20"/>
          <w:szCs w:val="20"/>
          <w:lang w:val="es-MX"/>
        </w:rPr>
        <w:t xml:space="preserve"> los</w:t>
      </w:r>
      <w:r w:rsidRPr="00DB4A13">
        <w:rPr>
          <w:rFonts w:ascii="Cambria" w:hAnsi="Cambria"/>
          <w:color w:val="000000" w:themeColor="text1"/>
          <w:sz w:val="20"/>
          <w:szCs w:val="20"/>
          <w:lang w:val="es-MX"/>
        </w:rPr>
        <w:t xml:space="preserve"> Estados Unidos de América.</w:t>
      </w:r>
      <w:r w:rsidRPr="00DB4A13">
        <w:rPr>
          <w:rFonts w:ascii="Cambria" w:hAnsi="Cambria"/>
          <w:color w:val="000000" w:themeColor="text1"/>
          <w:sz w:val="20"/>
          <w:szCs w:val="20"/>
          <w:lang w:val="es-VE"/>
        </w:rPr>
        <w:t xml:space="preserve"> Señaló que fueron abandonados en un lugar despoblado y que en la mañana del día siguiente </w:t>
      </w:r>
      <w:r w:rsidR="00D02059" w:rsidRPr="00DB4A13">
        <w:rPr>
          <w:rFonts w:ascii="Cambria" w:hAnsi="Cambria"/>
          <w:color w:val="000000" w:themeColor="text1"/>
          <w:sz w:val="20"/>
          <w:szCs w:val="20"/>
          <w:lang w:val="es-VE"/>
        </w:rPr>
        <w:t xml:space="preserve">recibieron </w:t>
      </w:r>
      <w:r w:rsidRPr="00DB4A13">
        <w:rPr>
          <w:rFonts w:ascii="Cambria" w:hAnsi="Cambria"/>
          <w:color w:val="000000" w:themeColor="text1"/>
          <w:sz w:val="20"/>
          <w:szCs w:val="20"/>
          <w:lang w:val="es-VE"/>
        </w:rPr>
        <w:t xml:space="preserve">auxilio de vecinos, quienes los llevaron al hospital. Indicó que como resultado de dicho ataque, Pedro Bacilio Roche Azaña </w:t>
      </w:r>
      <w:r w:rsidR="00C50D25" w:rsidRPr="00DB4A13">
        <w:rPr>
          <w:rFonts w:ascii="Cambria" w:hAnsi="Cambria"/>
          <w:color w:val="000000" w:themeColor="text1"/>
          <w:sz w:val="20"/>
          <w:szCs w:val="20"/>
          <w:lang w:val="es-VE"/>
        </w:rPr>
        <w:t>p</w:t>
      </w:r>
      <w:r w:rsidRPr="00DB4A13">
        <w:rPr>
          <w:rFonts w:ascii="Cambria" w:hAnsi="Cambria"/>
          <w:color w:val="000000" w:themeColor="text1"/>
          <w:sz w:val="20"/>
          <w:szCs w:val="20"/>
          <w:lang w:val="es-VE"/>
        </w:rPr>
        <w:t xml:space="preserve">erdió la vida y </w:t>
      </w:r>
      <w:r w:rsidR="009E03A5" w:rsidRPr="00DB4A13">
        <w:rPr>
          <w:rFonts w:ascii="Cambria" w:hAnsi="Cambria"/>
          <w:color w:val="000000" w:themeColor="text1"/>
          <w:sz w:val="20"/>
          <w:szCs w:val="20"/>
          <w:lang w:val="es-VE"/>
        </w:rPr>
        <w:t xml:space="preserve">cinco </w:t>
      </w:r>
      <w:r w:rsidRPr="00DB4A13">
        <w:rPr>
          <w:rFonts w:ascii="Cambria" w:hAnsi="Cambria"/>
          <w:color w:val="000000" w:themeColor="text1"/>
          <w:sz w:val="20"/>
          <w:szCs w:val="20"/>
          <w:lang w:val="es-VE"/>
        </w:rPr>
        <w:t>personas resultaron gravemente heridas, entre las que se encuentran Patricio Roch</w:t>
      </w:r>
      <w:r w:rsidR="00C92873" w:rsidRPr="00DB4A13">
        <w:rPr>
          <w:rFonts w:ascii="Cambria" w:hAnsi="Cambria"/>
          <w:color w:val="000000" w:themeColor="text1"/>
          <w:sz w:val="20"/>
          <w:szCs w:val="20"/>
          <w:lang w:val="es-VE"/>
        </w:rPr>
        <w:t>e Azaña</w:t>
      </w:r>
      <w:r w:rsidRPr="00DB4A13">
        <w:rPr>
          <w:rFonts w:ascii="Cambria" w:hAnsi="Cambria"/>
          <w:color w:val="000000" w:themeColor="text1"/>
          <w:sz w:val="20"/>
          <w:szCs w:val="20"/>
          <w:lang w:val="es-VE"/>
        </w:rPr>
        <w:t>, quien alega haber permanecido tres meses hospitalizado, el primero</w:t>
      </w:r>
      <w:r w:rsidR="00C50D25" w:rsidRPr="00DB4A13">
        <w:rPr>
          <w:rFonts w:ascii="Cambria" w:hAnsi="Cambria"/>
          <w:color w:val="000000" w:themeColor="text1"/>
          <w:sz w:val="20"/>
          <w:szCs w:val="20"/>
          <w:lang w:val="es-VE"/>
        </w:rPr>
        <w:t xml:space="preserve"> de tales meses</w:t>
      </w:r>
      <w:r w:rsidRPr="00DB4A13">
        <w:rPr>
          <w:rFonts w:ascii="Cambria" w:hAnsi="Cambria"/>
          <w:color w:val="000000" w:themeColor="text1"/>
          <w:sz w:val="20"/>
          <w:szCs w:val="20"/>
          <w:lang w:val="es-VE"/>
        </w:rPr>
        <w:t xml:space="preserve"> en estado de coma, pudiendo regresar posteriormente a Ecuador, donde fue sometido a seis operaciones y sufre actualmente una </w:t>
      </w:r>
      <w:r w:rsidR="0005628E" w:rsidRPr="00DB4A13">
        <w:rPr>
          <w:rFonts w:ascii="Cambria" w:hAnsi="Cambria"/>
          <w:color w:val="000000" w:themeColor="text1"/>
          <w:sz w:val="20"/>
          <w:szCs w:val="20"/>
          <w:lang w:val="es-VE"/>
        </w:rPr>
        <w:t>deficiencia</w:t>
      </w:r>
      <w:r w:rsidRPr="00DB4A13">
        <w:rPr>
          <w:rFonts w:ascii="Cambria" w:hAnsi="Cambria"/>
          <w:color w:val="000000" w:themeColor="text1"/>
          <w:sz w:val="20"/>
          <w:szCs w:val="20"/>
          <w:lang w:val="es-VE"/>
        </w:rPr>
        <w:t xml:space="preserve"> física permanente. Asimismo, la parte peticionaria aleg</w:t>
      </w:r>
      <w:r w:rsidR="0005628E" w:rsidRPr="00DB4A13">
        <w:rPr>
          <w:rFonts w:ascii="Cambria" w:hAnsi="Cambria"/>
          <w:color w:val="000000" w:themeColor="text1"/>
          <w:sz w:val="20"/>
          <w:szCs w:val="20"/>
          <w:lang w:val="es-VE"/>
        </w:rPr>
        <w:t>ó</w:t>
      </w:r>
      <w:r w:rsidRPr="00DB4A13">
        <w:rPr>
          <w:rFonts w:ascii="Cambria" w:hAnsi="Cambria"/>
          <w:color w:val="000000" w:themeColor="text1"/>
          <w:sz w:val="20"/>
          <w:szCs w:val="20"/>
          <w:lang w:val="es-VE"/>
        </w:rPr>
        <w:t xml:space="preserve"> que</w:t>
      </w:r>
      <w:r w:rsidR="0005628E" w:rsidRPr="00DB4A13">
        <w:rPr>
          <w:rFonts w:ascii="Cambria" w:hAnsi="Cambria"/>
          <w:color w:val="000000" w:themeColor="text1"/>
          <w:sz w:val="20"/>
          <w:szCs w:val="20"/>
          <w:lang w:val="es-VE"/>
        </w:rPr>
        <w:t xml:space="preserve"> la presuntas víctimas</w:t>
      </w:r>
      <w:r w:rsidRPr="00DB4A13">
        <w:rPr>
          <w:rFonts w:ascii="Cambria" w:hAnsi="Cambria"/>
          <w:color w:val="000000" w:themeColor="text1"/>
          <w:sz w:val="20"/>
          <w:szCs w:val="20"/>
          <w:lang w:val="es-VE"/>
        </w:rPr>
        <w:t xml:space="preserve"> no </w:t>
      </w:r>
      <w:r w:rsidR="00A34B28" w:rsidRPr="00DB4A13">
        <w:rPr>
          <w:rFonts w:ascii="Cambria" w:hAnsi="Cambria"/>
          <w:color w:val="000000" w:themeColor="text1"/>
          <w:sz w:val="20"/>
          <w:szCs w:val="20"/>
          <w:lang w:val="es-VE"/>
        </w:rPr>
        <w:t xml:space="preserve">contaron con acceso a la </w:t>
      </w:r>
      <w:r w:rsidRPr="00DB4A13">
        <w:rPr>
          <w:rFonts w:ascii="Cambria" w:hAnsi="Cambria"/>
          <w:color w:val="000000" w:themeColor="text1"/>
          <w:sz w:val="20"/>
          <w:szCs w:val="20"/>
          <w:lang w:val="es-VE"/>
        </w:rPr>
        <w:t xml:space="preserve">justicia debido a la sentencia absolutoria y a la puesta en libertad de los procesados, así como a violaciones al debido proceso pues no le fue tomada la declaración en el proceso penal ni se le notificó ninguna decisión.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El Estado alegó que la furgoneta pasó por un retén policial que le dio múltiples señales para que se detuviera, siendo todas ignoradas por el conductor, quien continuó la fuga a alta velocidad, por lo que  los policías se vieron obligados a disparar. Sostuvo que no era posible que los policías conocieran que se trataba de personas migrantes. Agregó que fue la policía </w:t>
      </w:r>
      <w:r w:rsidR="004254D2" w:rsidRPr="00DB4A13">
        <w:rPr>
          <w:rFonts w:ascii="Cambria" w:hAnsi="Cambria"/>
          <w:color w:val="000000" w:themeColor="text1"/>
          <w:sz w:val="20"/>
          <w:szCs w:val="20"/>
          <w:lang w:val="es-VE"/>
        </w:rPr>
        <w:t xml:space="preserve">la </w:t>
      </w:r>
      <w:r w:rsidRPr="00DB4A13">
        <w:rPr>
          <w:rFonts w:ascii="Cambria" w:hAnsi="Cambria"/>
          <w:color w:val="000000" w:themeColor="text1"/>
          <w:sz w:val="20"/>
          <w:szCs w:val="20"/>
          <w:lang w:val="es-VE"/>
        </w:rPr>
        <w:t>que, ante el aviso de pobladores, auxilió a las personas migrantes y las trasladaron al hospital de Chinandega de manera humanitaria. Finalmente, aseguró que en todo momento fueron respetadas las garantías procesales y que los hechos fueron analizados y objeto de un veredicto del Tribunal de Jurados. Alegó que la declaración de Patricio Roche Azaña no se pudo tomar antes del plazo procesal legal debido a su crítica condición de salud y que la sentencia no le fue notificada debido a que no</w:t>
      </w:r>
      <w:r w:rsidR="00201E95" w:rsidRPr="00DB4A13">
        <w:rPr>
          <w:rFonts w:ascii="Cambria" w:hAnsi="Cambria"/>
          <w:color w:val="000000" w:themeColor="text1"/>
          <w:sz w:val="20"/>
          <w:szCs w:val="20"/>
          <w:lang w:val="es-VE"/>
        </w:rPr>
        <w:t xml:space="preserve"> se</w:t>
      </w:r>
      <w:r w:rsidRPr="00DB4A13">
        <w:rPr>
          <w:rFonts w:ascii="Cambria" w:hAnsi="Cambria"/>
          <w:color w:val="000000" w:themeColor="text1"/>
          <w:sz w:val="20"/>
          <w:szCs w:val="20"/>
          <w:lang w:val="es-VE"/>
        </w:rPr>
        <w:t xml:space="preserve"> constituyó en calidad de denunciante privado en el juicio. </w:t>
      </w:r>
    </w:p>
    <w:p w:rsidR="00906439" w:rsidRDefault="00906439" w:rsidP="00906439">
      <w:pPr>
        <w:pStyle w:val="ListParagraph"/>
        <w:rPr>
          <w:color w:val="000000" w:themeColor="text1"/>
          <w:sz w:val="20"/>
          <w:szCs w:val="20"/>
          <w:lang w:val="es-VE"/>
        </w:rPr>
      </w:pPr>
    </w:p>
    <w:p w:rsidR="006B6031" w:rsidRDefault="006B6031" w:rsidP="00906439">
      <w:pPr>
        <w:pStyle w:val="ListParagraph"/>
        <w:rPr>
          <w:color w:val="000000" w:themeColor="text1"/>
          <w:sz w:val="20"/>
          <w:szCs w:val="20"/>
          <w:lang w:val="es-VE"/>
        </w:rPr>
      </w:pPr>
    </w:p>
    <w:p w:rsidR="006B6031" w:rsidRPr="00DB4A13" w:rsidRDefault="006B6031" w:rsidP="00906439">
      <w:pPr>
        <w:pStyle w:val="ListParagraph"/>
        <w:rPr>
          <w:color w:val="000000" w:themeColor="text1"/>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Con base en las determinaciones de hecho y de derecho, la Comisión Interamericana concluyó que el Estado es responsable por la violación de los artículos 4.1 (derecho a la vida), 5.1 (integridad personal), 8.1 (garantías judiciales) y 25.1 (protección judicial) de la Convención Americana sobre Derechos Humanos (en adelante  “la Convención Americana” o “la Convención”), en relación con las obligaciones establecidas en el </w:t>
      </w:r>
      <w:r w:rsidRPr="00DB4A13">
        <w:rPr>
          <w:rFonts w:ascii="Cambria" w:hAnsi="Cambria"/>
          <w:sz w:val="20"/>
          <w:szCs w:val="20"/>
          <w:lang w:val="es-VE"/>
        </w:rPr>
        <w:t xml:space="preserve">artículo 1.1 del mismo </w:t>
      </w:r>
      <w:r w:rsidRPr="00DB4A13">
        <w:rPr>
          <w:rFonts w:ascii="Cambria" w:hAnsi="Cambria"/>
          <w:color w:val="000000" w:themeColor="text1"/>
          <w:sz w:val="20"/>
          <w:szCs w:val="20"/>
          <w:lang w:val="es-VE"/>
        </w:rPr>
        <w:t xml:space="preserve">instrumento. La Comisión formuló las recomendaciones respectivas. </w:t>
      </w:r>
    </w:p>
    <w:p w:rsidR="00906439" w:rsidRPr="00DB4A13" w:rsidRDefault="00906439" w:rsidP="00906439">
      <w:pPr>
        <w:pStyle w:val="ListParagraph"/>
        <w:suppressAutoHyphens/>
        <w:ind w:left="1080"/>
        <w:rPr>
          <w:b/>
          <w:sz w:val="20"/>
          <w:szCs w:val="20"/>
          <w:lang w:val="es-ES_tradnl"/>
        </w:rPr>
      </w:pPr>
    </w:p>
    <w:p w:rsidR="00906439" w:rsidRPr="00BB3AE8" w:rsidRDefault="00906439" w:rsidP="00BB3AE8">
      <w:pPr>
        <w:pStyle w:val="Heading1"/>
        <w:ind w:hanging="90"/>
        <w:rPr>
          <w:color w:val="auto"/>
          <w:sz w:val="20"/>
          <w:szCs w:val="20"/>
          <w:lang w:val="es-ES_tradnl"/>
        </w:rPr>
      </w:pPr>
      <w:bookmarkStart w:id="2" w:name="_Toc536087974"/>
      <w:r w:rsidRPr="00BB3AE8">
        <w:rPr>
          <w:color w:val="auto"/>
          <w:sz w:val="20"/>
          <w:szCs w:val="20"/>
          <w:lang w:val="es-ES_tradnl"/>
        </w:rPr>
        <w:t>ALEGATOS DE LAS PARTES</w:t>
      </w:r>
      <w:bookmarkEnd w:id="2"/>
    </w:p>
    <w:p w:rsidR="00906439" w:rsidRPr="00BB3AE8" w:rsidRDefault="00906439" w:rsidP="00356B7C">
      <w:pPr>
        <w:pStyle w:val="Heading2"/>
        <w:numPr>
          <w:ilvl w:val="0"/>
          <w:numId w:val="59"/>
        </w:numPr>
        <w:ind w:hanging="90"/>
        <w:rPr>
          <w:rFonts w:asciiTheme="majorHAnsi" w:hAnsiTheme="majorHAnsi"/>
          <w:i w:val="0"/>
          <w:sz w:val="20"/>
          <w:szCs w:val="20"/>
          <w:lang w:val="es-ES_tradnl"/>
        </w:rPr>
      </w:pPr>
      <w:bookmarkStart w:id="3" w:name="_Toc536087975"/>
      <w:r w:rsidRPr="00BB3AE8">
        <w:rPr>
          <w:rFonts w:asciiTheme="majorHAnsi" w:hAnsiTheme="majorHAnsi"/>
          <w:i w:val="0"/>
          <w:sz w:val="20"/>
          <w:szCs w:val="20"/>
          <w:lang w:val="es-ES_tradnl"/>
        </w:rPr>
        <w:t>PARTE PETICIONARIA</w:t>
      </w:r>
      <w:bookmarkEnd w:id="3"/>
      <w:r w:rsidRPr="00BB3AE8">
        <w:rPr>
          <w:rFonts w:asciiTheme="majorHAnsi" w:hAnsiTheme="majorHAnsi"/>
          <w:i w:val="0"/>
          <w:sz w:val="20"/>
          <w:szCs w:val="20"/>
          <w:lang w:val="es-ES_tradnl"/>
        </w:rPr>
        <w:t xml:space="preserve">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US"/>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La parte peticionaria señal</w:t>
      </w:r>
      <w:r w:rsidR="00557C2D" w:rsidRPr="00DB4A13">
        <w:rPr>
          <w:rFonts w:ascii="Cambria" w:hAnsi="Cambria"/>
          <w:sz w:val="20"/>
          <w:szCs w:val="20"/>
          <w:lang w:val="es-US"/>
        </w:rPr>
        <w:t>ó</w:t>
      </w:r>
      <w:r w:rsidRPr="00DB4A13">
        <w:rPr>
          <w:rFonts w:ascii="Cambria" w:hAnsi="Cambria"/>
          <w:sz w:val="20"/>
          <w:szCs w:val="20"/>
          <w:lang w:val="es-US"/>
        </w:rPr>
        <w:t xml:space="preserve"> que los hermanos Roche Azaña abandonaron su localidad de origen en la provincia de Azuay, Ecuador, el 8 de abril de 1996 con la intención de llegar a</w:t>
      </w:r>
      <w:r w:rsidR="009D2695" w:rsidRPr="00DB4A13">
        <w:rPr>
          <w:rFonts w:ascii="Cambria" w:hAnsi="Cambria"/>
          <w:sz w:val="20"/>
          <w:szCs w:val="20"/>
          <w:lang w:val="es-US"/>
        </w:rPr>
        <w:t xml:space="preserve"> los</w:t>
      </w:r>
      <w:r w:rsidRPr="00DB4A13">
        <w:rPr>
          <w:rFonts w:ascii="Cambria" w:hAnsi="Cambria"/>
          <w:sz w:val="20"/>
          <w:szCs w:val="20"/>
          <w:lang w:val="es-US"/>
        </w:rPr>
        <w:t xml:space="preserve"> Estados Unidos de América. Narró que se dirigieron a través de la ciudad de Guayaquil, para luego partir a Panamá, llegando a Nicaragua el 14 de abril de 1996. Indicó que en Managua</w:t>
      </w:r>
      <w:r w:rsidRPr="00DB4A13">
        <w:rPr>
          <w:rFonts w:ascii="Cambria" w:hAnsi="Cambria"/>
          <w:sz w:val="20"/>
          <w:szCs w:val="20"/>
          <w:lang w:val="es-ES_tradnl"/>
        </w:rPr>
        <w:t xml:space="preserve">, la persona que los transportaba procedió a reunirlos con aproximadamente 30 personas migrantes para ser transportados a la ciudad de Chinandega, Nicaragua, lugar en el que los subieron en un vehículo tipo furgoneta, completamente cerrado, con el objetivo de llevarlos hacia Honduras. Señaló que dicha furgoneta tenía espacio únicamente para 12 personas.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US"/>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 xml:space="preserve">Indicó que a las 20:00 horas, en forma intempestiva y por el solo hecho de haberlos considerado migrantes o extranjeros, efectivos de la Policía del Municipio de Chinandega detonaron disparos en contra del vehículo en el cual se trasladaban sin previo aviso. Sostuvo que no podían salir ni hacer ningún acto para defenderse debido a que se encontraban acorralados y desarmados. Agregó que fruto de dicho ataque resultaron heridas aproximadamente </w:t>
      </w:r>
      <w:r w:rsidR="00557C2D" w:rsidRPr="00DB4A13">
        <w:rPr>
          <w:rFonts w:ascii="Cambria" w:hAnsi="Cambria"/>
          <w:sz w:val="20"/>
          <w:szCs w:val="20"/>
          <w:lang w:val="es-US"/>
        </w:rPr>
        <w:t>cinco</w:t>
      </w:r>
      <w:r w:rsidRPr="00DB4A13">
        <w:rPr>
          <w:rFonts w:ascii="Cambria" w:hAnsi="Cambria"/>
          <w:sz w:val="20"/>
          <w:szCs w:val="20"/>
          <w:lang w:val="es-US"/>
        </w:rPr>
        <w:t xml:space="preserve"> personas que fueron abandonadas en un lugar despoblado. Señaló que dentro de estas personas se encontraba Pedro Bacilio Roche Azaña, quien resultó herido con un impacto de bala en la cabeza y agonizó hasta que a las 24:00 horas del mismo día perdió la vida. </w:t>
      </w:r>
    </w:p>
    <w:p w:rsidR="00906439" w:rsidRPr="00DB4A13" w:rsidRDefault="00906439" w:rsidP="00906439">
      <w:pPr>
        <w:pStyle w:val="ListParagraph"/>
        <w:rPr>
          <w:sz w:val="20"/>
          <w:szCs w:val="20"/>
          <w:lang w:val="es-US"/>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 xml:space="preserve">La parte peticionaria narró que Patricio Fernando Roche Azaña fue herido de un impacto de bala a la altura de su cavidad toráxica lo que le causó una herida grave; sin embargo fue ayudado por una persona que le ató fuertemente la herida. Indicó que en la mañana del día siguiente, vecinos del lugar trataron de socorrerlos y fueron trasladados al hospital de Chinandega, en el que permaneció inconsciente y en estado de coma aproximadamente por un mes, lejos de su familia. </w:t>
      </w:r>
      <w:r w:rsidR="00B64E13" w:rsidRPr="00DB4A13">
        <w:rPr>
          <w:rFonts w:ascii="Cambria" w:hAnsi="Cambria"/>
          <w:sz w:val="20"/>
          <w:szCs w:val="20"/>
          <w:lang w:val="es-US"/>
        </w:rPr>
        <w:t>Señaló que permaneció e</w:t>
      </w:r>
      <w:r w:rsidRPr="00DB4A13">
        <w:rPr>
          <w:rFonts w:ascii="Cambria" w:hAnsi="Cambria"/>
          <w:sz w:val="20"/>
          <w:szCs w:val="20"/>
          <w:lang w:val="es-US"/>
        </w:rPr>
        <w:t xml:space="preserve">n el hospital un total de tres meses, para posteriormente iniciar el viaje de retorno a Ecuador. </w:t>
      </w:r>
    </w:p>
    <w:p w:rsidR="00906439" w:rsidRPr="00DB4A13" w:rsidRDefault="00906439" w:rsidP="00906439">
      <w:pPr>
        <w:rPr>
          <w:rFonts w:ascii="Cambria" w:hAnsi="Cambria"/>
          <w:sz w:val="20"/>
          <w:szCs w:val="20"/>
          <w:lang w:val="es-US"/>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 xml:space="preserve">Alegó que el 23 de abril de 1996 se inició un proceso contra siete miembros de la Policía de Nicaragua, por los delitos de homicidio doloso y lesiones graves, pero que fueron absueltos y se les dejó en libertad mediante una resolución del </w:t>
      </w:r>
      <w:r w:rsidR="00B14A3E" w:rsidRPr="00DB4A13">
        <w:rPr>
          <w:rFonts w:ascii="Cambria" w:hAnsi="Cambria"/>
          <w:sz w:val="20"/>
          <w:szCs w:val="20"/>
          <w:lang w:val="es-US"/>
        </w:rPr>
        <w:t>“</w:t>
      </w:r>
      <w:r w:rsidRPr="00DB4A13">
        <w:rPr>
          <w:rFonts w:ascii="Cambria" w:hAnsi="Cambria"/>
          <w:sz w:val="20"/>
          <w:szCs w:val="20"/>
          <w:lang w:val="es-US"/>
        </w:rPr>
        <w:t>Consejo de Jurados</w:t>
      </w:r>
      <w:r w:rsidR="00B14A3E" w:rsidRPr="00DB4A13">
        <w:rPr>
          <w:rFonts w:ascii="Cambria" w:hAnsi="Cambria"/>
          <w:sz w:val="20"/>
          <w:szCs w:val="20"/>
          <w:lang w:val="es-US"/>
        </w:rPr>
        <w:t>”</w:t>
      </w:r>
      <w:r w:rsidRPr="00DB4A13">
        <w:rPr>
          <w:rFonts w:ascii="Cambria" w:hAnsi="Cambria"/>
          <w:sz w:val="20"/>
          <w:szCs w:val="20"/>
          <w:lang w:val="es-US"/>
        </w:rPr>
        <w:t xml:space="preserve"> no susceptible de apelación. Señal</w:t>
      </w:r>
      <w:r w:rsidR="00C76601" w:rsidRPr="00DB4A13">
        <w:rPr>
          <w:rFonts w:ascii="Cambria" w:hAnsi="Cambria"/>
          <w:sz w:val="20"/>
          <w:szCs w:val="20"/>
          <w:lang w:val="es-US"/>
        </w:rPr>
        <w:t>ó</w:t>
      </w:r>
      <w:r w:rsidRPr="00DB4A13">
        <w:rPr>
          <w:rFonts w:ascii="Cambria" w:hAnsi="Cambria"/>
          <w:sz w:val="20"/>
          <w:szCs w:val="20"/>
          <w:lang w:val="es-US"/>
        </w:rPr>
        <w:t xml:space="preserve"> que </w:t>
      </w:r>
      <w:r w:rsidR="001478C0" w:rsidRPr="00DB4A13">
        <w:rPr>
          <w:rFonts w:ascii="Cambria" w:hAnsi="Cambria"/>
          <w:sz w:val="20"/>
          <w:szCs w:val="20"/>
          <w:lang w:val="es-US"/>
        </w:rPr>
        <w:t>a</w:t>
      </w:r>
      <w:r w:rsidRPr="00DB4A13">
        <w:rPr>
          <w:rFonts w:ascii="Cambria" w:hAnsi="Cambria"/>
          <w:sz w:val="20"/>
          <w:szCs w:val="20"/>
          <w:lang w:val="es-US"/>
        </w:rPr>
        <w:t xml:space="preserve"> </w:t>
      </w:r>
      <w:r w:rsidR="001478C0" w:rsidRPr="00DB4A13">
        <w:rPr>
          <w:rFonts w:ascii="Cambria" w:hAnsi="Cambria"/>
          <w:sz w:val="20"/>
          <w:szCs w:val="20"/>
          <w:lang w:val="es-US"/>
        </w:rPr>
        <w:t xml:space="preserve">Patricio </w:t>
      </w:r>
      <w:r w:rsidRPr="00DB4A13">
        <w:rPr>
          <w:rFonts w:ascii="Cambria" w:hAnsi="Cambria"/>
          <w:sz w:val="20"/>
          <w:szCs w:val="20"/>
          <w:lang w:val="es-US"/>
        </w:rPr>
        <w:t>Roche Azaña no le fue tomada la declaración en el proceso penal debido al estado de su salud, y que tampoco tuvo oportunidad de ofrecer su testimonio una vez recuperado. Mencion</w:t>
      </w:r>
      <w:r w:rsidR="00D064A7" w:rsidRPr="00DB4A13">
        <w:rPr>
          <w:rFonts w:ascii="Cambria" w:hAnsi="Cambria"/>
          <w:sz w:val="20"/>
          <w:szCs w:val="20"/>
          <w:lang w:val="es-US"/>
        </w:rPr>
        <w:t>ó</w:t>
      </w:r>
      <w:r w:rsidRPr="00DB4A13">
        <w:rPr>
          <w:rFonts w:ascii="Cambria" w:hAnsi="Cambria"/>
          <w:sz w:val="20"/>
          <w:szCs w:val="20"/>
          <w:lang w:val="es-US"/>
        </w:rPr>
        <w:t xml:space="preserve"> que no fue informado de sus derechos como víctima en el proceso, no tuvo acceso a participación alguna en el mismo, ni fue notificado de ninguna decisión judicial por el Estado directamente, sino que se enteró de la decisión del tribunal de Nicaragua en agosto de 1998, cuando su madre recibió informalmente una copia de la sentencia por parte de cancillería de Ecuador. </w:t>
      </w:r>
    </w:p>
    <w:p w:rsidR="00906439" w:rsidRPr="00DB4A13" w:rsidRDefault="00906439" w:rsidP="00906439">
      <w:pPr>
        <w:pStyle w:val="ListParagraph"/>
        <w:rPr>
          <w:sz w:val="20"/>
          <w:szCs w:val="20"/>
          <w:lang w:val="es-US"/>
        </w:rPr>
      </w:pPr>
    </w:p>
    <w:p w:rsidR="00906439"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 xml:space="preserve">Indicó que en Ecuador comenzó una serie de tratamientos médicos en busca de su recuperación, misma que no ha logrado hasta la presente fecha, pues después de </w:t>
      </w:r>
      <w:r w:rsidR="00980D37" w:rsidRPr="00DB4A13">
        <w:rPr>
          <w:rFonts w:ascii="Cambria" w:hAnsi="Cambria"/>
          <w:sz w:val="20"/>
          <w:szCs w:val="20"/>
          <w:lang w:val="es-US"/>
        </w:rPr>
        <w:t>“</w:t>
      </w:r>
      <w:r w:rsidRPr="00DB4A13">
        <w:rPr>
          <w:rFonts w:ascii="Cambria" w:hAnsi="Cambria"/>
          <w:sz w:val="20"/>
          <w:szCs w:val="20"/>
          <w:lang w:val="es-US"/>
        </w:rPr>
        <w:t>casi siete</w:t>
      </w:r>
      <w:r w:rsidR="00980D37" w:rsidRPr="00DB4A13">
        <w:rPr>
          <w:rFonts w:ascii="Cambria" w:hAnsi="Cambria"/>
          <w:sz w:val="20"/>
          <w:szCs w:val="20"/>
          <w:lang w:val="es-US"/>
        </w:rPr>
        <w:t>”</w:t>
      </w:r>
      <w:r w:rsidRPr="00DB4A13">
        <w:rPr>
          <w:rFonts w:ascii="Cambria" w:hAnsi="Cambria"/>
          <w:sz w:val="20"/>
          <w:szCs w:val="20"/>
          <w:lang w:val="es-US"/>
        </w:rPr>
        <w:t xml:space="preserve"> intervenciones quirúrgicas ha quedado con lesiones permanentes que le han incapacitado para realizar actividades y poder vivir normal y adecuadamente. Señaló que el tratamiento y los gastos realizados para recuperar el cadáver de su difunto hermano llevaron a su familia a la </w:t>
      </w:r>
      <w:r w:rsidR="00BE70A5" w:rsidRPr="00DB4A13">
        <w:rPr>
          <w:rFonts w:ascii="Cambria" w:hAnsi="Cambria"/>
          <w:sz w:val="20"/>
          <w:szCs w:val="20"/>
          <w:lang w:val="es-US"/>
        </w:rPr>
        <w:t>“</w:t>
      </w:r>
      <w:r w:rsidRPr="00DB4A13">
        <w:rPr>
          <w:rFonts w:ascii="Cambria" w:hAnsi="Cambria"/>
          <w:sz w:val="20"/>
          <w:szCs w:val="20"/>
          <w:lang w:val="es-US"/>
        </w:rPr>
        <w:t>miseria</w:t>
      </w:r>
      <w:r w:rsidR="00BE70A5" w:rsidRPr="00DB4A13">
        <w:rPr>
          <w:rFonts w:ascii="Cambria" w:hAnsi="Cambria"/>
          <w:sz w:val="20"/>
          <w:szCs w:val="20"/>
          <w:lang w:val="es-US"/>
        </w:rPr>
        <w:t>”</w:t>
      </w:r>
      <w:r w:rsidRPr="00DB4A13">
        <w:rPr>
          <w:rFonts w:ascii="Cambria" w:hAnsi="Cambria"/>
          <w:sz w:val="20"/>
          <w:szCs w:val="20"/>
          <w:lang w:val="es-US"/>
        </w:rPr>
        <w:t xml:space="preserve">. </w:t>
      </w:r>
    </w:p>
    <w:p w:rsidR="006B6031" w:rsidRDefault="006B6031" w:rsidP="006B603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mbria" w:hAnsi="Cambria" w:cs="Cambria"/>
          <w:color w:val="000000"/>
          <w:sz w:val="20"/>
          <w:szCs w:val="20"/>
          <w:u w:color="000000"/>
          <w:lang w:val="es-US" w:eastAsia="es-ES"/>
        </w:rPr>
      </w:pPr>
    </w:p>
    <w:p w:rsidR="006B6031" w:rsidRPr="00DB4A13" w:rsidRDefault="006B6031" w:rsidP="006B603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906439"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VE"/>
        </w:rPr>
      </w:pPr>
    </w:p>
    <w:p w:rsidR="00906439" w:rsidRPr="00BB3AE8" w:rsidRDefault="00906439" w:rsidP="00356B7C">
      <w:pPr>
        <w:pStyle w:val="Heading2"/>
        <w:numPr>
          <w:ilvl w:val="0"/>
          <w:numId w:val="59"/>
        </w:numPr>
        <w:ind w:hanging="90"/>
        <w:rPr>
          <w:rFonts w:asciiTheme="majorHAnsi" w:hAnsiTheme="majorHAnsi"/>
          <w:i w:val="0"/>
          <w:sz w:val="20"/>
          <w:szCs w:val="20"/>
          <w:lang w:val="es-ES_tradnl"/>
        </w:rPr>
      </w:pPr>
      <w:bookmarkStart w:id="4" w:name="_Toc536087976"/>
      <w:r w:rsidRPr="00BB3AE8">
        <w:rPr>
          <w:rFonts w:asciiTheme="majorHAnsi" w:hAnsiTheme="majorHAnsi"/>
          <w:i w:val="0"/>
          <w:sz w:val="20"/>
          <w:szCs w:val="20"/>
          <w:lang w:val="es-ES_tradnl"/>
        </w:rPr>
        <w:lastRenderedPageBreak/>
        <w:t>ESTADO</w:t>
      </w:r>
      <w:bookmarkEnd w:id="4"/>
      <w:r w:rsidRPr="00BB3AE8">
        <w:rPr>
          <w:rFonts w:asciiTheme="majorHAnsi" w:hAnsiTheme="majorHAnsi"/>
          <w:i w:val="0"/>
          <w:sz w:val="20"/>
          <w:szCs w:val="20"/>
          <w:lang w:val="es-ES_tradnl"/>
        </w:rPr>
        <w:t xml:space="preserve"> </w:t>
      </w:r>
    </w:p>
    <w:p w:rsidR="00906439" w:rsidRPr="00DB4A13" w:rsidRDefault="00906439" w:rsidP="00906439">
      <w:pPr>
        <w:suppressAutoHyphens/>
        <w:rPr>
          <w:rFonts w:ascii="Cambria" w:hAnsi="Cambria"/>
          <w:sz w:val="20"/>
          <w:szCs w:val="20"/>
          <w:lang w:val="es-ES_tradnl"/>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El Estado indicó que el 14 de abril de 1996, aproximadamente 30 personas de nacionalidades peruana, ecuatoriana y colombiana ingresaron </w:t>
      </w:r>
      <w:r w:rsidR="00CC571D" w:rsidRPr="00DB4A13">
        <w:rPr>
          <w:rFonts w:ascii="Cambria" w:hAnsi="Cambria"/>
          <w:color w:val="000000" w:themeColor="text1"/>
          <w:sz w:val="20"/>
          <w:szCs w:val="20"/>
          <w:lang w:val="es-VE"/>
        </w:rPr>
        <w:t>“</w:t>
      </w:r>
      <w:r w:rsidRPr="00DB4A13">
        <w:rPr>
          <w:rFonts w:ascii="Cambria" w:hAnsi="Cambria"/>
          <w:color w:val="000000" w:themeColor="text1"/>
          <w:sz w:val="20"/>
          <w:szCs w:val="20"/>
          <w:lang w:val="es-VE"/>
        </w:rPr>
        <w:t>ilegalmente</w:t>
      </w:r>
      <w:r w:rsidR="00CC571D" w:rsidRPr="00DB4A13">
        <w:rPr>
          <w:rFonts w:ascii="Cambria" w:hAnsi="Cambria"/>
          <w:color w:val="000000" w:themeColor="text1"/>
          <w:sz w:val="20"/>
          <w:szCs w:val="20"/>
          <w:lang w:val="es-VE"/>
        </w:rPr>
        <w:t>”</w:t>
      </w:r>
      <w:r w:rsidRPr="00DB4A13">
        <w:rPr>
          <w:rFonts w:ascii="Cambria" w:hAnsi="Cambria"/>
          <w:color w:val="000000" w:themeColor="text1"/>
          <w:sz w:val="20"/>
          <w:szCs w:val="20"/>
          <w:lang w:val="es-VE"/>
        </w:rPr>
        <w:t xml:space="preserve"> a territorio nicaragüense a través de la frontera con Costa Rica, en tránsito hacia Estados Unidos. Señaló que ese día abordaron un autobús con virios polarizados para ocultar la cantidad de pasajeros. Según la narración del Estado, sobre la carretera se encontraron con un retén de policías que ejercían labor nocturna de control y prevención en contra de la actividad de contrabando y otros delitos  de incidencia de la zona; y que los policías le dieron la señal de alto al vehículo, pero que ésta fue ignorada por el conductor que había sido contratado por las personas migrantes.</w:t>
      </w:r>
    </w:p>
    <w:p w:rsidR="00906439" w:rsidRPr="00DB4A13" w:rsidRDefault="00906439" w:rsidP="00906439">
      <w:pPr>
        <w:rPr>
          <w:rFonts w:ascii="Cambria" w:hAnsi="Cambria"/>
          <w:color w:val="000000" w:themeColor="text1"/>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Indicó que el conductor, de manera deliberada, se abstuvo de atender las señales de alto que le hizo el retén policial y, por el contrario, aceleró la marcha del vehículo, huyendo </w:t>
      </w:r>
      <w:r w:rsidR="00B37828" w:rsidRPr="00DB4A13">
        <w:rPr>
          <w:rFonts w:ascii="Cambria" w:hAnsi="Cambria"/>
          <w:color w:val="000000" w:themeColor="text1"/>
          <w:sz w:val="20"/>
          <w:szCs w:val="20"/>
          <w:lang w:val="es-VE"/>
        </w:rPr>
        <w:t>“</w:t>
      </w:r>
      <w:r w:rsidRPr="00DB4A13">
        <w:rPr>
          <w:rFonts w:ascii="Cambria" w:hAnsi="Cambria"/>
          <w:color w:val="000000" w:themeColor="text1"/>
          <w:sz w:val="20"/>
          <w:szCs w:val="20"/>
          <w:lang w:val="es-VE"/>
        </w:rPr>
        <w:t>dolosamente</w:t>
      </w:r>
      <w:r w:rsidR="00B37828" w:rsidRPr="00DB4A13">
        <w:rPr>
          <w:rFonts w:ascii="Cambria" w:hAnsi="Cambria"/>
          <w:color w:val="000000" w:themeColor="text1"/>
          <w:sz w:val="20"/>
          <w:szCs w:val="20"/>
          <w:lang w:val="es-VE"/>
        </w:rPr>
        <w:t>”</w:t>
      </w:r>
      <w:r w:rsidRPr="00DB4A13">
        <w:rPr>
          <w:rFonts w:ascii="Cambria" w:hAnsi="Cambria"/>
          <w:color w:val="000000" w:themeColor="text1"/>
          <w:sz w:val="20"/>
          <w:szCs w:val="20"/>
          <w:lang w:val="es-VE"/>
        </w:rPr>
        <w:t xml:space="preserve"> a toda prisa del lugar, por lo que “las autoridades policiales se vieron en la necesidad de hacer disparos al vehículo con la finalidad de detener la fuga”. Agregó que aún con los disparos, el conductor continuó la marcha hasta adentrarse en sectores despoblados donde se detuvo, se dio a la fuga y dejó abandonadas a las personas migrantes. El Estado alegó que resultaron heridos Patricio Roche Azaña y cuatro personas más y que Pedro Bacilio Roche Azaña perdió la vida, principalmente por la actitud del conductor. Señaló también que fue la Policía Nacional, ante el aviso de los pobladores, la que posteriormente los auxilió y trasladó al hospital de Chinandega de manera humanitaria. </w:t>
      </w:r>
    </w:p>
    <w:p w:rsidR="00906439" w:rsidRPr="00DB4A13" w:rsidRDefault="00906439" w:rsidP="009064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 xml:space="preserve">Mencionó que objetivamente, los funcionarios de la Policía Nacional no pudieron previamente conocer que se trataba de personas que viajaban de forma oculta dentro del vehículos, ni que se trataba de personas migrantes, pues viajaban de noche, escondidas en un microbús completamente cerrado y en un lugar sin iluminación. </w:t>
      </w:r>
    </w:p>
    <w:p w:rsidR="00906439" w:rsidRPr="00DB4A13" w:rsidRDefault="00906439" w:rsidP="00906439">
      <w:pPr>
        <w:pStyle w:val="ListParagraph"/>
        <w:rPr>
          <w:sz w:val="20"/>
          <w:szCs w:val="20"/>
          <w:lang w:val="es-US"/>
        </w:rPr>
      </w:pPr>
    </w:p>
    <w:p w:rsidR="00906439" w:rsidRPr="00DB4A1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sz w:val="20"/>
          <w:szCs w:val="20"/>
          <w:lang w:val="es-US"/>
        </w:rPr>
        <w:t>E</w:t>
      </w:r>
      <w:r w:rsidRPr="00DB4A13">
        <w:rPr>
          <w:rFonts w:ascii="Cambria" w:hAnsi="Cambria"/>
          <w:sz w:val="20"/>
          <w:szCs w:val="20"/>
          <w:lang w:val="es-ES_tradnl"/>
        </w:rPr>
        <w:t xml:space="preserve">l Estado afirmó que en todo momento fueron respetadas las garantías procesales en el marco del proceso iniciado por los hechos. Señaló que la Procuraduría General de Justicia determinó la responsabilidad de </w:t>
      </w:r>
      <w:r w:rsidR="00D32AC4" w:rsidRPr="00DB4A13">
        <w:rPr>
          <w:rFonts w:ascii="Cambria" w:hAnsi="Cambria"/>
          <w:sz w:val="20"/>
          <w:szCs w:val="20"/>
          <w:lang w:val="es-ES_tradnl"/>
        </w:rPr>
        <w:t>cinco</w:t>
      </w:r>
      <w:r w:rsidRPr="00DB4A13">
        <w:rPr>
          <w:rFonts w:ascii="Cambria" w:hAnsi="Cambria"/>
          <w:sz w:val="20"/>
          <w:szCs w:val="20"/>
          <w:lang w:val="es-ES_tradnl"/>
        </w:rPr>
        <w:t xml:space="preserve"> policías y que fue identificado el ciudadano que transportaba a los migrantes, quien se había dado a la fuga. Indicó que </w:t>
      </w:r>
      <w:r w:rsidR="004A0053" w:rsidRPr="00DB4A13">
        <w:rPr>
          <w:rFonts w:ascii="Cambria" w:hAnsi="Cambria"/>
          <w:sz w:val="20"/>
          <w:szCs w:val="20"/>
          <w:lang w:val="es-ES_tradnl"/>
        </w:rPr>
        <w:t xml:space="preserve">tales </w:t>
      </w:r>
      <w:r w:rsidRPr="00DB4A13">
        <w:rPr>
          <w:rFonts w:ascii="Cambria" w:hAnsi="Cambria"/>
          <w:sz w:val="20"/>
          <w:szCs w:val="20"/>
          <w:lang w:val="es-ES_tradnl"/>
        </w:rPr>
        <w:t xml:space="preserve">hechos fueron objeto de un veredicto inapelable del Tribunal de Jurados, en donde se decidió absolver y poner en libertad a los presuntos responsables. Reiteró que no existió violación </w:t>
      </w:r>
      <w:r w:rsidR="00594FD9" w:rsidRPr="00DB4A13">
        <w:rPr>
          <w:rFonts w:ascii="Cambria" w:hAnsi="Cambria"/>
          <w:sz w:val="20"/>
          <w:szCs w:val="20"/>
          <w:lang w:val="es-ES_tradnl"/>
        </w:rPr>
        <w:t xml:space="preserve">al </w:t>
      </w:r>
      <w:r w:rsidRPr="00DB4A13">
        <w:rPr>
          <w:rFonts w:ascii="Cambria" w:hAnsi="Cambria"/>
          <w:sz w:val="20"/>
          <w:szCs w:val="20"/>
          <w:lang w:val="es-ES_tradnl"/>
        </w:rPr>
        <w:t xml:space="preserve">principio de igualdad ante la ley debido a que la tutela de los derechos de las presuntas víctimas estuvo protegida específicamente a través de la representación que de ellas ejerce la </w:t>
      </w:r>
      <w:r w:rsidR="00191AD7" w:rsidRPr="00DB4A13">
        <w:rPr>
          <w:rFonts w:ascii="Cambria" w:hAnsi="Cambria"/>
          <w:sz w:val="20"/>
          <w:szCs w:val="20"/>
          <w:lang w:val="es-ES_tradnl"/>
        </w:rPr>
        <w:t>“</w:t>
      </w:r>
      <w:r w:rsidRPr="00DB4A13">
        <w:rPr>
          <w:rFonts w:ascii="Cambria" w:hAnsi="Cambria"/>
          <w:sz w:val="20"/>
          <w:szCs w:val="20"/>
          <w:lang w:val="es-ES_tradnl"/>
        </w:rPr>
        <w:t>vindicta pública</w:t>
      </w:r>
      <w:r w:rsidR="00191AD7" w:rsidRPr="00DB4A13">
        <w:rPr>
          <w:rFonts w:ascii="Cambria" w:hAnsi="Cambria"/>
          <w:sz w:val="20"/>
          <w:szCs w:val="20"/>
          <w:lang w:val="es-ES_tradnl"/>
        </w:rPr>
        <w:t>”</w:t>
      </w:r>
      <w:r w:rsidRPr="00DB4A13">
        <w:rPr>
          <w:rFonts w:ascii="Cambria" w:hAnsi="Cambria"/>
          <w:sz w:val="20"/>
          <w:szCs w:val="20"/>
          <w:lang w:val="es-ES_tradnl"/>
        </w:rPr>
        <w:t xml:space="preserve"> en el proceso y que existió participación directa en el mismo por la mayoría de las víctimas. </w:t>
      </w:r>
    </w:p>
    <w:p w:rsidR="00906439" w:rsidRPr="00DB4A13" w:rsidRDefault="00906439" w:rsidP="00906439">
      <w:pPr>
        <w:pStyle w:val="ListParagraph"/>
        <w:rPr>
          <w:color w:val="000000" w:themeColor="text1"/>
          <w:sz w:val="20"/>
          <w:szCs w:val="20"/>
          <w:lang w:val="es-VE"/>
        </w:rPr>
      </w:pPr>
    </w:p>
    <w:p w:rsidR="00D83D73" w:rsidRDefault="009064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Argumentó el Estado que el Juez Primero de Distrito del Crimen de Chinandega se constituyó el 30 de abril de 1996 en el hospital donde se encontraba internado el señor Roche Azaña con la finalidad de tomarle la correspondiente declaración y comunicarle sus derechos y su representación por parte de la Procuraduría General, durante el período de diez días, que era el legalmente obligatorio. Indicó que, no obstante, en razón de su crítica condición de salud, el juez no pudo tomarle la declaración antes de dicho plazo. Manifestó que ni el señor Patricio Fernando Roche Azaña ni su madre, por sí mismos o por medio de representantes o del servicio consular de la embajada de Ecuador, a pesar de la amplia difusión y el público conocimiento alcanzado por los hechos, se constituyeron en calidad de “denunciante privado” en el juicio y que, por lo tanto, no existía obligación de notificarles de acuerdo con la legislación nicaragüense entonces vigente. Precisó que dicha legislación consideraba como sujetos procesales al juez, al acusado, al acusador particular y/o procurador general, este último siendo el representante de la víctima a través de quien se notificaban los autos y demás providencias judiciales. Finalmente, el Estado mencionó que realizó las coordinaciones necesarias para que las personas migrantes pudieran retornar a su país de origen, protegiendo sus derechos y en representación de los mismos.</w:t>
      </w:r>
    </w:p>
    <w:p w:rsidR="00BB3AE8" w:rsidRDefault="00BB3AE8" w:rsidP="00BB3A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BB3AE8" w:rsidRDefault="00BB3AE8" w:rsidP="00BB3A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6B6031" w:rsidRDefault="006B6031" w:rsidP="00BB3A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AB704D" w:rsidRPr="00BB3AE8" w:rsidRDefault="004D195F" w:rsidP="00BB3AE8">
      <w:pPr>
        <w:pStyle w:val="Heading1"/>
        <w:ind w:hanging="90"/>
        <w:rPr>
          <w:color w:val="auto"/>
          <w:sz w:val="20"/>
          <w:szCs w:val="20"/>
          <w:lang w:val="es-ES_tradnl"/>
        </w:rPr>
      </w:pPr>
      <w:bookmarkStart w:id="5" w:name="_Toc536087977"/>
      <w:r w:rsidRPr="00BB3AE8">
        <w:rPr>
          <w:color w:val="auto"/>
          <w:sz w:val="20"/>
          <w:szCs w:val="20"/>
          <w:lang w:val="es-ES_tradnl"/>
        </w:rPr>
        <w:lastRenderedPageBreak/>
        <w:t xml:space="preserve">HECHOS </w:t>
      </w:r>
      <w:r w:rsidR="00A34BD7" w:rsidRPr="00BB3AE8">
        <w:rPr>
          <w:color w:val="auto"/>
          <w:sz w:val="20"/>
          <w:szCs w:val="20"/>
          <w:lang w:val="es-ES_tradnl"/>
        </w:rPr>
        <w:t>PROBADOS</w:t>
      </w:r>
      <w:bookmarkEnd w:id="5"/>
    </w:p>
    <w:p w:rsidR="00AB704D" w:rsidRPr="00BB3AE8" w:rsidRDefault="001310A1" w:rsidP="00356B7C">
      <w:pPr>
        <w:pStyle w:val="Heading2"/>
        <w:numPr>
          <w:ilvl w:val="0"/>
          <w:numId w:val="60"/>
        </w:numPr>
        <w:ind w:hanging="90"/>
        <w:rPr>
          <w:rFonts w:asciiTheme="majorHAnsi" w:hAnsiTheme="majorHAnsi"/>
          <w:i w:val="0"/>
          <w:sz w:val="20"/>
          <w:szCs w:val="20"/>
          <w:lang w:val="es-ES_tradnl"/>
        </w:rPr>
      </w:pPr>
      <w:bookmarkStart w:id="6" w:name="_Toc536087978"/>
      <w:r w:rsidRPr="00BB3AE8">
        <w:rPr>
          <w:rFonts w:asciiTheme="majorHAnsi" w:hAnsiTheme="majorHAnsi"/>
          <w:i w:val="0"/>
          <w:sz w:val="20"/>
          <w:szCs w:val="20"/>
          <w:lang w:val="es-ES_tradnl"/>
        </w:rPr>
        <w:t xml:space="preserve">Sobre la </w:t>
      </w:r>
      <w:r w:rsidR="00201E95" w:rsidRPr="00BB3AE8">
        <w:rPr>
          <w:rFonts w:asciiTheme="majorHAnsi" w:hAnsiTheme="majorHAnsi"/>
          <w:i w:val="0"/>
          <w:sz w:val="20"/>
          <w:szCs w:val="20"/>
          <w:lang w:val="es-ES_tradnl"/>
        </w:rPr>
        <w:t>migración de los hermanos Roche Azaña y el uso de la fuerza por parte de autoridades nicaragüenses</w:t>
      </w:r>
      <w:bookmarkEnd w:id="6"/>
      <w:r w:rsidR="00201E95" w:rsidRPr="00BB3AE8">
        <w:rPr>
          <w:rFonts w:asciiTheme="majorHAnsi" w:hAnsiTheme="majorHAnsi"/>
          <w:i w:val="0"/>
          <w:sz w:val="20"/>
          <w:szCs w:val="20"/>
          <w:lang w:val="es-ES_tradnl"/>
        </w:rPr>
        <w:t xml:space="preserve"> </w:t>
      </w:r>
    </w:p>
    <w:p w:rsidR="001310A1" w:rsidRPr="00DB4A13" w:rsidRDefault="001310A1" w:rsidP="001310A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b/>
          <w:sz w:val="20"/>
          <w:szCs w:val="20"/>
          <w:lang w:val="es-ES_tradnl"/>
        </w:rPr>
      </w:pPr>
    </w:p>
    <w:p w:rsidR="00407B38" w:rsidRPr="00DB4A13" w:rsidRDefault="00E419A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De acuerdo con</w:t>
      </w:r>
      <w:r w:rsidR="00F4183B" w:rsidRPr="00DB4A13">
        <w:rPr>
          <w:rFonts w:ascii="Cambria" w:hAnsi="Cambria"/>
          <w:sz w:val="20"/>
          <w:szCs w:val="20"/>
          <w:lang w:val="es-ES_tradnl"/>
        </w:rPr>
        <w:t xml:space="preserve"> la narración de la parte peticionaria, </w:t>
      </w:r>
      <w:r w:rsidR="001478C0" w:rsidRPr="00DB4A13">
        <w:rPr>
          <w:rFonts w:ascii="Cambria" w:hAnsi="Cambria"/>
          <w:sz w:val="20"/>
          <w:szCs w:val="20"/>
          <w:lang w:val="es-ES_tradnl"/>
        </w:rPr>
        <w:t>Pedro Fernando y Pedro Bacilio</w:t>
      </w:r>
      <w:r w:rsidR="00335094" w:rsidRPr="00DB4A13">
        <w:rPr>
          <w:rFonts w:ascii="Cambria" w:hAnsi="Cambria"/>
          <w:sz w:val="20"/>
          <w:szCs w:val="20"/>
          <w:lang w:val="es-ES_tradnl"/>
        </w:rPr>
        <w:t>, ambos de apellido Roche Azaña,</w:t>
      </w:r>
      <w:r w:rsidR="001478C0" w:rsidRPr="00DB4A13">
        <w:rPr>
          <w:rFonts w:ascii="Cambria" w:hAnsi="Cambria"/>
          <w:sz w:val="20"/>
          <w:szCs w:val="20"/>
          <w:lang w:val="es-ES_tradnl"/>
        </w:rPr>
        <w:t xml:space="preserve"> son hijos de José Fernando Roche Zhizhingo y María Angélica Azaña Tesaca. La familia vivía en la provincia de Azuay, cañón San Fernando en Ecuador y se dedicaban a la agricultura. </w:t>
      </w:r>
      <w:r w:rsidR="00133136" w:rsidRPr="00DB4A13">
        <w:rPr>
          <w:rFonts w:ascii="Cambria" w:hAnsi="Cambria"/>
          <w:sz w:val="20"/>
          <w:szCs w:val="20"/>
          <w:lang w:val="es-ES_tradnl"/>
        </w:rPr>
        <w:t xml:space="preserve">Ambos decidieron salir de su país en búsqueda de mejores oportunidades en Estados Unidos a las edades de 21 </w:t>
      </w:r>
      <w:r w:rsidRPr="00DB4A13">
        <w:rPr>
          <w:rFonts w:ascii="Cambria" w:hAnsi="Cambria"/>
          <w:sz w:val="20"/>
          <w:szCs w:val="20"/>
          <w:lang w:val="es-ES_tradnl"/>
        </w:rPr>
        <w:t>en el caso de</w:t>
      </w:r>
      <w:r w:rsidR="00133136" w:rsidRPr="00DB4A13">
        <w:rPr>
          <w:rFonts w:ascii="Cambria" w:hAnsi="Cambria"/>
          <w:sz w:val="20"/>
          <w:szCs w:val="20"/>
          <w:lang w:val="es-ES_tradnl"/>
        </w:rPr>
        <w:t xml:space="preserve"> Pedro y 23 </w:t>
      </w:r>
      <w:r w:rsidRPr="00DB4A13">
        <w:rPr>
          <w:rFonts w:ascii="Cambria" w:hAnsi="Cambria"/>
          <w:sz w:val="20"/>
          <w:szCs w:val="20"/>
          <w:lang w:val="es-ES_tradnl"/>
        </w:rPr>
        <w:t xml:space="preserve">en el caso de </w:t>
      </w:r>
      <w:r w:rsidR="00133136" w:rsidRPr="00DB4A13">
        <w:rPr>
          <w:rFonts w:ascii="Cambria" w:hAnsi="Cambria"/>
          <w:sz w:val="20"/>
          <w:szCs w:val="20"/>
          <w:lang w:val="es-ES_tradnl"/>
        </w:rPr>
        <w:t xml:space="preserve">Patricio. </w:t>
      </w:r>
      <w:r w:rsidR="001310A1" w:rsidRPr="00DB4A13">
        <w:rPr>
          <w:rFonts w:ascii="Cambria" w:hAnsi="Cambria"/>
          <w:sz w:val="20"/>
          <w:szCs w:val="20"/>
          <w:lang w:val="es-ES_tradnl"/>
        </w:rPr>
        <w:t xml:space="preserve">El 8 de abril de 1996 </w:t>
      </w:r>
      <w:r w:rsidR="001478C0" w:rsidRPr="00DB4A13">
        <w:rPr>
          <w:rFonts w:ascii="Cambria" w:hAnsi="Cambria"/>
          <w:sz w:val="20"/>
          <w:szCs w:val="20"/>
          <w:lang w:val="es-ES_tradnl"/>
        </w:rPr>
        <w:t>los hermanos Roche Azaña</w:t>
      </w:r>
      <w:r w:rsidR="001310A1" w:rsidRPr="00DB4A13">
        <w:rPr>
          <w:rFonts w:ascii="Cambria" w:hAnsi="Cambria"/>
          <w:sz w:val="20"/>
          <w:szCs w:val="20"/>
          <w:lang w:val="es-ES_tradnl"/>
        </w:rPr>
        <w:t xml:space="preserve"> </w:t>
      </w:r>
      <w:r w:rsidR="001478C0" w:rsidRPr="00DB4A13">
        <w:rPr>
          <w:rFonts w:ascii="Cambria" w:hAnsi="Cambria"/>
          <w:sz w:val="20"/>
          <w:szCs w:val="20"/>
          <w:lang w:val="es-ES_tradnl"/>
        </w:rPr>
        <w:t>salieron de su hogar ubicado</w:t>
      </w:r>
      <w:r w:rsidR="00DD1F37" w:rsidRPr="00DB4A13">
        <w:rPr>
          <w:rFonts w:ascii="Cambria" w:hAnsi="Cambria"/>
          <w:sz w:val="20"/>
          <w:szCs w:val="20"/>
          <w:lang w:val="es-ES_tradnl"/>
        </w:rPr>
        <w:t xml:space="preserve"> en </w:t>
      </w:r>
      <w:r w:rsidR="0058635D" w:rsidRPr="00DB4A13">
        <w:rPr>
          <w:rFonts w:ascii="Cambria" w:hAnsi="Cambria"/>
          <w:sz w:val="20"/>
          <w:szCs w:val="20"/>
          <w:lang w:val="es-ES_tradnl"/>
        </w:rPr>
        <w:t>l</w:t>
      </w:r>
      <w:r w:rsidR="00DD1F37" w:rsidRPr="00DB4A13">
        <w:rPr>
          <w:rFonts w:ascii="Cambria" w:hAnsi="Cambria"/>
          <w:sz w:val="20"/>
          <w:szCs w:val="20"/>
          <w:lang w:val="es-ES_tradnl"/>
        </w:rPr>
        <w:t>a provincia del Azuay</w:t>
      </w:r>
      <w:r w:rsidR="00F949F1" w:rsidRPr="00DB4A13">
        <w:rPr>
          <w:rFonts w:ascii="Cambria" w:hAnsi="Cambria"/>
          <w:sz w:val="20"/>
          <w:szCs w:val="20"/>
          <w:lang w:val="es-ES_tradnl"/>
        </w:rPr>
        <w:t>,</w:t>
      </w:r>
      <w:r w:rsidR="00DD1F37" w:rsidRPr="00DB4A13">
        <w:rPr>
          <w:rFonts w:ascii="Cambria" w:hAnsi="Cambria"/>
          <w:sz w:val="20"/>
          <w:szCs w:val="20"/>
          <w:lang w:val="es-ES_tradnl"/>
        </w:rPr>
        <w:t xml:space="preserve"> República del Ecuador, hacia la ciudad de Guayaquil, a fin de partir desde ese punto con destino a la República de Panamá</w:t>
      </w:r>
      <w:r w:rsidR="0058635D" w:rsidRPr="00DB4A13">
        <w:rPr>
          <w:rFonts w:ascii="Cambria" w:hAnsi="Cambria"/>
          <w:sz w:val="20"/>
          <w:szCs w:val="20"/>
          <w:lang w:val="es-ES_tradnl"/>
        </w:rPr>
        <w:t>, desde donde se trasladaron a Nicaragua, llega</w:t>
      </w:r>
      <w:r w:rsidR="00C6346C" w:rsidRPr="00DB4A13">
        <w:rPr>
          <w:rFonts w:ascii="Cambria" w:hAnsi="Cambria"/>
          <w:sz w:val="20"/>
          <w:szCs w:val="20"/>
          <w:lang w:val="es-ES_tradnl"/>
        </w:rPr>
        <w:t>ndo a ese país</w:t>
      </w:r>
      <w:r w:rsidR="0058635D" w:rsidRPr="00DB4A13">
        <w:rPr>
          <w:rFonts w:ascii="Cambria" w:hAnsi="Cambria"/>
          <w:sz w:val="20"/>
          <w:szCs w:val="20"/>
          <w:lang w:val="es-ES_tradnl"/>
        </w:rPr>
        <w:t xml:space="preserve"> el </w:t>
      </w:r>
      <w:r w:rsidR="00FC5606" w:rsidRPr="00DB4A13">
        <w:rPr>
          <w:rFonts w:ascii="Cambria" w:hAnsi="Cambria"/>
          <w:sz w:val="20"/>
          <w:szCs w:val="20"/>
          <w:lang w:val="es-ES_tradnl"/>
        </w:rPr>
        <w:t>1</w:t>
      </w:r>
      <w:r w:rsidR="0058635D" w:rsidRPr="00DB4A13">
        <w:rPr>
          <w:rFonts w:ascii="Cambria" w:hAnsi="Cambria"/>
          <w:sz w:val="20"/>
          <w:szCs w:val="20"/>
          <w:lang w:val="es-ES_tradnl"/>
        </w:rPr>
        <w:t xml:space="preserve">4 de abril de 1996. En la ciudad </w:t>
      </w:r>
      <w:r w:rsidR="006C4BB6" w:rsidRPr="00DB4A13">
        <w:rPr>
          <w:rFonts w:ascii="Cambria" w:hAnsi="Cambria"/>
          <w:sz w:val="20"/>
          <w:szCs w:val="20"/>
          <w:lang w:val="es-ES_tradnl"/>
        </w:rPr>
        <w:t>de Managua se reunieron con otra</w:t>
      </w:r>
      <w:r w:rsidR="0058635D" w:rsidRPr="00DB4A13">
        <w:rPr>
          <w:rFonts w:ascii="Cambria" w:hAnsi="Cambria"/>
          <w:sz w:val="20"/>
          <w:szCs w:val="20"/>
          <w:lang w:val="es-ES_tradnl"/>
        </w:rPr>
        <w:t xml:space="preserve">s 30 </w:t>
      </w:r>
      <w:r w:rsidR="006C4BB6" w:rsidRPr="00DB4A13">
        <w:rPr>
          <w:rFonts w:ascii="Cambria" w:hAnsi="Cambria"/>
          <w:sz w:val="20"/>
          <w:szCs w:val="20"/>
          <w:lang w:val="es-ES_tradnl"/>
        </w:rPr>
        <w:t xml:space="preserve">personas </w:t>
      </w:r>
      <w:r w:rsidR="0058635D" w:rsidRPr="00DB4A13">
        <w:rPr>
          <w:rFonts w:ascii="Cambria" w:hAnsi="Cambria"/>
          <w:sz w:val="20"/>
          <w:szCs w:val="20"/>
          <w:lang w:val="es-ES_tradnl"/>
        </w:rPr>
        <w:t>migrantes con quienes fueron transportados</w:t>
      </w:r>
      <w:r w:rsidR="00133136" w:rsidRPr="00DB4A13">
        <w:rPr>
          <w:rFonts w:ascii="Cambria" w:hAnsi="Cambria"/>
          <w:sz w:val="20"/>
          <w:szCs w:val="20"/>
          <w:lang w:val="es-ES_tradnl"/>
        </w:rPr>
        <w:t xml:space="preserve"> en una furgoneta</w:t>
      </w:r>
      <w:r w:rsidR="0058635D" w:rsidRPr="00DB4A13">
        <w:rPr>
          <w:rFonts w:ascii="Cambria" w:hAnsi="Cambria"/>
          <w:sz w:val="20"/>
          <w:szCs w:val="20"/>
          <w:lang w:val="es-ES_tradnl"/>
        </w:rPr>
        <w:t xml:space="preserve"> a la </w:t>
      </w:r>
      <w:r w:rsidR="00407B38" w:rsidRPr="00DB4A13">
        <w:rPr>
          <w:rFonts w:ascii="Cambria" w:hAnsi="Cambria"/>
          <w:sz w:val="20"/>
          <w:szCs w:val="20"/>
          <w:lang w:val="es-ES_tradnl"/>
        </w:rPr>
        <w:t>ciudad de Chinandega, Nicaragua</w:t>
      </w:r>
      <w:r w:rsidR="00283F06" w:rsidRPr="00DB4A13">
        <w:rPr>
          <w:rStyle w:val="FootnoteReference"/>
          <w:rFonts w:ascii="Cambria" w:hAnsi="Cambria"/>
          <w:sz w:val="20"/>
          <w:szCs w:val="20"/>
          <w:lang w:val="es-ES_tradnl"/>
        </w:rPr>
        <w:footnoteReference w:id="3"/>
      </w:r>
      <w:r w:rsidR="00407B38" w:rsidRPr="00DB4A13">
        <w:rPr>
          <w:rFonts w:ascii="Cambria" w:hAnsi="Cambria"/>
          <w:sz w:val="20"/>
          <w:szCs w:val="20"/>
          <w:lang w:val="es-ES_tradnl"/>
        </w:rPr>
        <w:t>.</w:t>
      </w:r>
      <w:r w:rsidR="00AC2B55" w:rsidRPr="00DB4A13">
        <w:rPr>
          <w:rFonts w:ascii="Cambria" w:hAnsi="Cambria"/>
          <w:sz w:val="20"/>
          <w:szCs w:val="20"/>
          <w:lang w:val="es-ES_tradnl"/>
        </w:rPr>
        <w:t xml:space="preserve"> El Estado no controvirtió esta información.</w:t>
      </w:r>
    </w:p>
    <w:p w:rsidR="00407B38" w:rsidRPr="00DB4A13" w:rsidRDefault="00407B38" w:rsidP="00407B38">
      <w:pPr>
        <w:pStyle w:val="ListParagraph"/>
        <w:rPr>
          <w:sz w:val="20"/>
          <w:szCs w:val="20"/>
          <w:lang w:val="es-ES_tradnl"/>
        </w:rPr>
      </w:pPr>
    </w:p>
    <w:p w:rsidR="00195178" w:rsidRPr="00DB4A13" w:rsidRDefault="00407B3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La CIDH tiene </w:t>
      </w:r>
      <w:r w:rsidR="00DE16DB" w:rsidRPr="00DB4A13">
        <w:rPr>
          <w:rFonts w:ascii="Cambria" w:hAnsi="Cambria"/>
          <w:sz w:val="20"/>
          <w:szCs w:val="20"/>
          <w:lang w:val="es-ES_tradnl"/>
        </w:rPr>
        <w:t>a la vista</w:t>
      </w:r>
      <w:r w:rsidRPr="00DB4A13">
        <w:rPr>
          <w:rFonts w:ascii="Cambria" w:hAnsi="Cambria"/>
          <w:sz w:val="20"/>
          <w:szCs w:val="20"/>
          <w:lang w:val="es-ES_tradnl"/>
        </w:rPr>
        <w:t xml:space="preserve"> la inspección ocular del vehículo</w:t>
      </w:r>
      <w:r w:rsidR="0058635D" w:rsidRPr="00DB4A13">
        <w:rPr>
          <w:rFonts w:ascii="Cambria" w:hAnsi="Cambria"/>
          <w:sz w:val="20"/>
          <w:szCs w:val="20"/>
          <w:lang w:val="es-ES_tradnl"/>
        </w:rPr>
        <w:t xml:space="preserve"> en donde </w:t>
      </w:r>
      <w:r w:rsidRPr="00DB4A13">
        <w:rPr>
          <w:rFonts w:ascii="Cambria" w:hAnsi="Cambria"/>
          <w:sz w:val="20"/>
          <w:szCs w:val="20"/>
          <w:lang w:val="es-ES_tradnl"/>
        </w:rPr>
        <w:t xml:space="preserve">consta que las personas migrantes </w:t>
      </w:r>
      <w:r w:rsidR="0058635D" w:rsidRPr="00DB4A13">
        <w:rPr>
          <w:rFonts w:ascii="Cambria" w:hAnsi="Cambria"/>
          <w:sz w:val="20"/>
          <w:szCs w:val="20"/>
          <w:lang w:val="es-ES_tradnl"/>
        </w:rPr>
        <w:t>subieron a un</w:t>
      </w:r>
      <w:r w:rsidR="0089102F" w:rsidRPr="00DB4A13">
        <w:rPr>
          <w:rFonts w:ascii="Cambria" w:hAnsi="Cambria"/>
          <w:sz w:val="20"/>
          <w:szCs w:val="20"/>
          <w:lang w:val="es-ES_tradnl"/>
        </w:rPr>
        <w:t xml:space="preserve">a furgoneta con </w:t>
      </w:r>
      <w:r w:rsidR="00730198" w:rsidRPr="00DB4A13">
        <w:rPr>
          <w:rFonts w:ascii="Cambria" w:hAnsi="Cambria"/>
          <w:sz w:val="20"/>
          <w:szCs w:val="20"/>
          <w:lang w:val="es-ES_tradnl"/>
        </w:rPr>
        <w:t>capacidad para aproximadamente 12 personas</w:t>
      </w:r>
      <w:r w:rsidR="00195178" w:rsidRPr="00DB4A13">
        <w:rPr>
          <w:rFonts w:ascii="Cambria" w:hAnsi="Cambria"/>
          <w:sz w:val="20"/>
          <w:szCs w:val="20"/>
          <w:lang w:val="es-ES_tradnl"/>
        </w:rPr>
        <w:t>.</w:t>
      </w:r>
      <w:r w:rsidRPr="00DB4A13">
        <w:rPr>
          <w:rFonts w:ascii="Cambria" w:hAnsi="Cambria"/>
          <w:sz w:val="20"/>
          <w:szCs w:val="20"/>
          <w:lang w:val="es-ES_tradnl"/>
        </w:rPr>
        <w:t xml:space="preserve"> Asimismo,</w:t>
      </w:r>
      <w:r w:rsidR="00195178" w:rsidRPr="00DB4A13">
        <w:rPr>
          <w:rFonts w:ascii="Cambria" w:hAnsi="Cambria"/>
          <w:sz w:val="20"/>
          <w:szCs w:val="20"/>
          <w:lang w:val="es-ES_tradnl"/>
        </w:rPr>
        <w:t xml:space="preserve"> </w:t>
      </w:r>
      <w:r w:rsidRPr="00DB4A13">
        <w:rPr>
          <w:rFonts w:ascii="Cambria" w:hAnsi="Cambria"/>
          <w:sz w:val="20"/>
          <w:szCs w:val="20"/>
          <w:lang w:val="es-ES_tradnl"/>
        </w:rPr>
        <w:t>el vehículo t</w:t>
      </w:r>
      <w:r w:rsidR="00195178" w:rsidRPr="00DB4A13">
        <w:rPr>
          <w:rFonts w:ascii="Cambria" w:hAnsi="Cambria"/>
          <w:sz w:val="20"/>
          <w:szCs w:val="20"/>
          <w:lang w:val="es-ES_tradnl"/>
        </w:rPr>
        <w:t>enía vidrios polarizados en la parte delantera y las dos puertas delanteras, así como dos pequeñas ventanas en la parte trasera. Las puertas laterales eran corr</w:t>
      </w:r>
      <w:r w:rsidR="00806A39" w:rsidRPr="00DB4A13">
        <w:rPr>
          <w:rFonts w:ascii="Cambria" w:hAnsi="Cambria"/>
          <w:sz w:val="20"/>
          <w:szCs w:val="20"/>
          <w:lang w:val="es-ES_tradnl"/>
        </w:rPr>
        <w:t>edizas y completamente cerradas</w:t>
      </w:r>
      <w:r w:rsidR="00195178" w:rsidRPr="00DB4A13">
        <w:rPr>
          <w:rStyle w:val="FootnoteReference"/>
          <w:rFonts w:ascii="Cambria" w:hAnsi="Cambria"/>
          <w:sz w:val="20"/>
          <w:szCs w:val="20"/>
          <w:lang w:val="es-ES_tradnl"/>
        </w:rPr>
        <w:footnoteReference w:id="4"/>
      </w:r>
      <w:r w:rsidR="00806A39" w:rsidRPr="00DB4A13">
        <w:rPr>
          <w:rFonts w:ascii="Cambria" w:hAnsi="Cambria"/>
          <w:sz w:val="20"/>
          <w:szCs w:val="20"/>
          <w:lang w:val="es-ES_tradnl"/>
        </w:rPr>
        <w:t>.</w:t>
      </w:r>
    </w:p>
    <w:p w:rsidR="00195178" w:rsidRPr="00DB4A13" w:rsidRDefault="00195178" w:rsidP="005A104E">
      <w:pPr>
        <w:pStyle w:val="ListParagraph"/>
        <w:rPr>
          <w:sz w:val="20"/>
          <w:szCs w:val="20"/>
          <w:lang w:val="es-ES_tradnl"/>
        </w:rPr>
      </w:pPr>
    </w:p>
    <w:p w:rsidR="007333A2" w:rsidRPr="00DB4A13" w:rsidRDefault="0087437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El 14 de abril</w:t>
      </w:r>
      <w:r w:rsidR="00E22D7C" w:rsidRPr="00DB4A13">
        <w:rPr>
          <w:rFonts w:ascii="Cambria" w:hAnsi="Cambria"/>
          <w:sz w:val="20"/>
          <w:szCs w:val="20"/>
          <w:lang w:val="es-ES_tradnl"/>
        </w:rPr>
        <w:t xml:space="preserve"> de 1996</w:t>
      </w:r>
      <w:r w:rsidRPr="00DB4A13">
        <w:rPr>
          <w:rFonts w:ascii="Cambria" w:hAnsi="Cambria"/>
          <w:sz w:val="20"/>
          <w:szCs w:val="20"/>
          <w:lang w:val="es-ES_tradnl"/>
        </w:rPr>
        <w:t xml:space="preserve"> la furgoneta pasó por un primer retén policial que se encontraba intentando inter</w:t>
      </w:r>
      <w:r w:rsidR="007A1C58" w:rsidRPr="00DB4A13">
        <w:rPr>
          <w:rFonts w:ascii="Cambria" w:hAnsi="Cambria"/>
          <w:sz w:val="20"/>
          <w:szCs w:val="20"/>
          <w:lang w:val="es-ES_tradnl"/>
        </w:rPr>
        <w:t>c</w:t>
      </w:r>
      <w:r w:rsidRPr="00DB4A13">
        <w:rPr>
          <w:rFonts w:ascii="Cambria" w:hAnsi="Cambria"/>
          <w:sz w:val="20"/>
          <w:szCs w:val="20"/>
          <w:lang w:val="es-ES_tradnl"/>
        </w:rPr>
        <w:t xml:space="preserve">eptar vehículos que presuntamente introducían mercancía ilícita a Nicaragua. De acuerdo con </w:t>
      </w:r>
      <w:r w:rsidR="00955FE6" w:rsidRPr="00DB4A13">
        <w:rPr>
          <w:rFonts w:ascii="Cambria" w:hAnsi="Cambria"/>
          <w:sz w:val="20"/>
          <w:szCs w:val="20"/>
          <w:lang w:val="es-ES_tradnl"/>
        </w:rPr>
        <w:t>un testimonio</w:t>
      </w:r>
      <w:r w:rsidR="004912A9" w:rsidRPr="00DB4A13">
        <w:rPr>
          <w:rStyle w:val="FootnoteReference"/>
          <w:rFonts w:ascii="Cambria" w:hAnsi="Cambria"/>
          <w:sz w:val="20"/>
          <w:szCs w:val="20"/>
          <w:lang w:val="es-ES_tradnl"/>
        </w:rPr>
        <w:footnoteReference w:id="5"/>
      </w:r>
      <w:r w:rsidRPr="00DB4A13">
        <w:rPr>
          <w:rFonts w:ascii="Cambria" w:hAnsi="Cambria"/>
          <w:sz w:val="20"/>
          <w:szCs w:val="20"/>
          <w:lang w:val="es-ES_tradnl"/>
        </w:rPr>
        <w:t xml:space="preserve">, dos camionetas cargadas de contrabando habían pasado junto al Teniente Germán Pineda, </w:t>
      </w:r>
      <w:r w:rsidR="00B81877" w:rsidRPr="00DB4A13">
        <w:rPr>
          <w:rFonts w:ascii="Cambria" w:hAnsi="Cambria"/>
          <w:sz w:val="20"/>
          <w:szCs w:val="20"/>
          <w:lang w:val="es-ES_tradnl"/>
        </w:rPr>
        <w:t>por lo que</w:t>
      </w:r>
      <w:r w:rsidRPr="00DB4A13">
        <w:rPr>
          <w:rFonts w:ascii="Cambria" w:hAnsi="Cambria"/>
          <w:sz w:val="20"/>
          <w:szCs w:val="20"/>
          <w:lang w:val="es-ES_tradnl"/>
        </w:rPr>
        <w:t xml:space="preserve"> le dio aviso al teniente Garmendia</w:t>
      </w:r>
      <w:r w:rsidR="007333A2" w:rsidRPr="00DB4A13">
        <w:rPr>
          <w:rFonts w:ascii="Cambria" w:hAnsi="Cambria"/>
          <w:sz w:val="20"/>
          <w:szCs w:val="20"/>
          <w:lang w:val="es-ES_tradnl"/>
        </w:rPr>
        <w:t xml:space="preserve"> para que fueran detenidas. El Teniente Garmendia, a su vez, pasó</w:t>
      </w:r>
      <w:r w:rsidRPr="00DB4A13">
        <w:rPr>
          <w:rFonts w:ascii="Cambria" w:hAnsi="Cambria"/>
          <w:sz w:val="20"/>
          <w:szCs w:val="20"/>
          <w:lang w:val="es-ES_tradnl"/>
        </w:rPr>
        <w:t xml:space="preserve"> </w:t>
      </w:r>
      <w:r w:rsidR="007333A2" w:rsidRPr="00DB4A13">
        <w:rPr>
          <w:rFonts w:ascii="Cambria" w:hAnsi="Cambria"/>
          <w:sz w:val="20"/>
          <w:szCs w:val="20"/>
          <w:lang w:val="es-ES_tradnl"/>
        </w:rPr>
        <w:t>dichas órdenes a las patrullas 0142 y 0143</w:t>
      </w:r>
      <w:r w:rsidR="007333A2" w:rsidRPr="00DB4A13">
        <w:rPr>
          <w:rStyle w:val="FootnoteReference"/>
          <w:rFonts w:ascii="Cambria" w:hAnsi="Cambria"/>
          <w:sz w:val="20"/>
          <w:szCs w:val="20"/>
          <w:lang w:val="es-ES_tradnl"/>
        </w:rPr>
        <w:footnoteReference w:id="6"/>
      </w:r>
      <w:r w:rsidR="007333A2" w:rsidRPr="00DB4A13">
        <w:rPr>
          <w:rFonts w:ascii="Cambria" w:hAnsi="Cambria"/>
          <w:sz w:val="20"/>
          <w:szCs w:val="20"/>
          <w:lang w:val="es-ES_tradnl"/>
        </w:rPr>
        <w:t>.</w:t>
      </w:r>
    </w:p>
    <w:p w:rsidR="002C455F" w:rsidRPr="00DB4A13" w:rsidRDefault="002C455F" w:rsidP="009824F8">
      <w:pPr>
        <w:rPr>
          <w:rFonts w:ascii="Cambria" w:hAnsi="Cambria"/>
          <w:sz w:val="20"/>
          <w:szCs w:val="20"/>
          <w:lang w:val="es-ES_tradnl"/>
        </w:rPr>
      </w:pPr>
    </w:p>
    <w:p w:rsidR="005A5E4C" w:rsidRPr="00DB4A13" w:rsidRDefault="00C068A4"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Según testimonios, </w:t>
      </w:r>
      <w:r w:rsidR="002E7CDF" w:rsidRPr="00DB4A13">
        <w:rPr>
          <w:rFonts w:ascii="Cambria" w:hAnsi="Cambria"/>
          <w:sz w:val="20"/>
          <w:szCs w:val="20"/>
          <w:lang w:val="es-ES_tradnl"/>
        </w:rPr>
        <w:t>l</w:t>
      </w:r>
      <w:r w:rsidR="006C4BB6" w:rsidRPr="00DB4A13">
        <w:rPr>
          <w:rFonts w:ascii="Cambria" w:hAnsi="Cambria"/>
          <w:sz w:val="20"/>
          <w:szCs w:val="20"/>
          <w:lang w:val="es-ES_tradnl"/>
        </w:rPr>
        <w:t>a primera patrulla, a cargo del Oficial Carlos Aguirre, se instaló en la Villa Quince de Julio, antes del pue</w:t>
      </w:r>
      <w:r w:rsidR="009824F8" w:rsidRPr="00DB4A13">
        <w:rPr>
          <w:rFonts w:ascii="Cambria" w:hAnsi="Cambria"/>
          <w:sz w:val="20"/>
          <w:szCs w:val="20"/>
          <w:lang w:val="es-ES_tradnl"/>
        </w:rPr>
        <w:t>nte. Cuando pasó la furgoneta,</w:t>
      </w:r>
      <w:r w:rsidR="006C4BB6" w:rsidRPr="00DB4A13">
        <w:rPr>
          <w:rFonts w:ascii="Cambria" w:hAnsi="Cambria"/>
          <w:sz w:val="20"/>
          <w:szCs w:val="20"/>
          <w:lang w:val="es-ES_tradnl"/>
        </w:rPr>
        <w:t xml:space="preserve"> </w:t>
      </w:r>
      <w:r w:rsidR="007333A2" w:rsidRPr="00DB4A13">
        <w:rPr>
          <w:rFonts w:ascii="Cambria" w:hAnsi="Cambria"/>
          <w:sz w:val="20"/>
          <w:szCs w:val="20"/>
          <w:lang w:val="es-ES_tradnl"/>
        </w:rPr>
        <w:t xml:space="preserve">el oficial </w:t>
      </w:r>
      <w:r w:rsidR="00BB717C" w:rsidRPr="00DB4A13">
        <w:rPr>
          <w:rFonts w:ascii="Cambria" w:hAnsi="Cambria"/>
          <w:sz w:val="20"/>
          <w:szCs w:val="20"/>
          <w:lang w:val="es-ES_tradnl"/>
        </w:rPr>
        <w:t>Isaac</w:t>
      </w:r>
      <w:r w:rsidR="002C455F" w:rsidRPr="00DB4A13">
        <w:rPr>
          <w:rFonts w:ascii="Cambria" w:hAnsi="Cambria"/>
          <w:sz w:val="20"/>
          <w:szCs w:val="20"/>
          <w:lang w:val="es-ES_tradnl"/>
        </w:rPr>
        <w:t xml:space="preserve"> Melsiades Real le hizo la se</w:t>
      </w:r>
      <w:r w:rsidR="002C455F" w:rsidRPr="00DB4A13">
        <w:rPr>
          <w:rFonts w:ascii="Cambria" w:hAnsi="Cambria"/>
          <w:sz w:val="20"/>
          <w:szCs w:val="20"/>
          <w:lang w:val="es-MX"/>
        </w:rPr>
        <w:t xml:space="preserve">ñal de alto </w:t>
      </w:r>
      <w:r w:rsidR="00275B52" w:rsidRPr="00DB4A13">
        <w:rPr>
          <w:rFonts w:ascii="Cambria" w:hAnsi="Cambria"/>
          <w:sz w:val="20"/>
          <w:szCs w:val="20"/>
          <w:lang w:val="es-MX"/>
        </w:rPr>
        <w:t>con el bastón vial, se ubicó a la orilla de la carretera y le hizo el alto, no obstante, el vehículo aceleró más y no hizo intento de parar, por lo que el policía tuvo que salirse de la vía, solicitando que se encendieran las luces de la patrulla, lo que ayudó a que se percataran que se trataba de una furgoneta blanca</w:t>
      </w:r>
      <w:r w:rsidR="005A5E4C" w:rsidRPr="00DB4A13">
        <w:rPr>
          <w:rFonts w:ascii="Cambria" w:hAnsi="Cambria"/>
          <w:sz w:val="20"/>
          <w:szCs w:val="20"/>
          <w:lang w:val="es-MX"/>
        </w:rPr>
        <w:t xml:space="preserve">. </w:t>
      </w:r>
      <w:r w:rsidR="00A262FD" w:rsidRPr="00DB4A13">
        <w:rPr>
          <w:rFonts w:ascii="Cambria" w:hAnsi="Cambria"/>
          <w:sz w:val="20"/>
          <w:szCs w:val="20"/>
          <w:lang w:val="es-MX"/>
        </w:rPr>
        <w:t>E</w:t>
      </w:r>
      <w:r w:rsidR="005A5E4C" w:rsidRPr="00DB4A13">
        <w:rPr>
          <w:rFonts w:ascii="Cambria" w:hAnsi="Cambria"/>
          <w:sz w:val="20"/>
          <w:szCs w:val="20"/>
          <w:lang w:val="es-MX"/>
        </w:rPr>
        <w:t>n este primer retén no se realizaron disparos ni se les persiguió</w:t>
      </w:r>
      <w:r w:rsidR="005A5E4C" w:rsidRPr="00DB4A13">
        <w:rPr>
          <w:rStyle w:val="FootnoteReference"/>
          <w:rFonts w:ascii="Cambria" w:hAnsi="Cambria"/>
          <w:sz w:val="20"/>
          <w:szCs w:val="20"/>
          <w:lang w:val="es-ES_tradnl"/>
        </w:rPr>
        <w:footnoteReference w:id="7"/>
      </w:r>
      <w:r w:rsidR="005A5E4C" w:rsidRPr="00DB4A13">
        <w:rPr>
          <w:rFonts w:ascii="Cambria" w:hAnsi="Cambria"/>
          <w:sz w:val="20"/>
          <w:szCs w:val="20"/>
          <w:lang w:val="es-MX"/>
        </w:rPr>
        <w:t>. El Oficial Carlos Aguirre dio aviso al Teniente</w:t>
      </w:r>
      <w:r w:rsidR="0063050E" w:rsidRPr="00DB4A13">
        <w:rPr>
          <w:rFonts w:ascii="Cambria" w:hAnsi="Cambria"/>
          <w:sz w:val="20"/>
          <w:szCs w:val="20"/>
          <w:lang w:val="es-MX"/>
        </w:rPr>
        <w:t xml:space="preserve"> José Carcache Yañez Pineda,</w:t>
      </w:r>
      <w:r w:rsidR="005A5E4C" w:rsidRPr="00DB4A13">
        <w:rPr>
          <w:rFonts w:ascii="Cambria" w:hAnsi="Cambria"/>
          <w:sz w:val="20"/>
          <w:szCs w:val="20"/>
          <w:lang w:val="es-MX"/>
        </w:rPr>
        <w:t xml:space="preserve"> que se encontraba en una patrulla policial a tres kilómetros hacia el sector de Somotillo sobre el vehículo que acababa de pasar y su negativa de pararse</w:t>
      </w:r>
      <w:r w:rsidR="009824F8" w:rsidRPr="00DB4A13">
        <w:rPr>
          <w:rStyle w:val="FootnoteReference"/>
          <w:rFonts w:ascii="Cambria" w:hAnsi="Cambria"/>
          <w:sz w:val="20"/>
          <w:szCs w:val="20"/>
          <w:lang w:val="es-MX"/>
        </w:rPr>
        <w:footnoteReference w:id="8"/>
      </w:r>
      <w:r w:rsidR="005A5E4C" w:rsidRPr="00DB4A13">
        <w:rPr>
          <w:rFonts w:ascii="Cambria" w:hAnsi="Cambria"/>
          <w:sz w:val="20"/>
          <w:szCs w:val="20"/>
          <w:lang w:val="es-MX"/>
        </w:rPr>
        <w:t>.</w:t>
      </w:r>
    </w:p>
    <w:p w:rsidR="005A5E4C" w:rsidRPr="00DB4A13" w:rsidRDefault="005A5E4C" w:rsidP="005A5E4C">
      <w:pPr>
        <w:pStyle w:val="ListParagraph"/>
        <w:rPr>
          <w:sz w:val="20"/>
          <w:szCs w:val="20"/>
          <w:lang w:val="es-MX"/>
        </w:rPr>
      </w:pPr>
    </w:p>
    <w:p w:rsidR="00230463" w:rsidRPr="00DB4A13" w:rsidRDefault="005A5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MX"/>
        </w:rPr>
        <w:t xml:space="preserve"> </w:t>
      </w:r>
      <w:r w:rsidR="0063050E" w:rsidRPr="00DB4A13">
        <w:rPr>
          <w:rFonts w:ascii="Cambria" w:hAnsi="Cambria"/>
          <w:sz w:val="20"/>
          <w:szCs w:val="20"/>
          <w:lang w:val="es-MX"/>
        </w:rPr>
        <w:t>El  segundo retén se encontraba unos metros adelante</w:t>
      </w:r>
      <w:r w:rsidR="00884A9C" w:rsidRPr="00DB4A13">
        <w:rPr>
          <w:rFonts w:ascii="Cambria" w:hAnsi="Cambria"/>
          <w:sz w:val="20"/>
          <w:szCs w:val="20"/>
          <w:lang w:val="es-MX"/>
        </w:rPr>
        <w:t xml:space="preserve"> </w:t>
      </w:r>
      <w:r w:rsidR="0063050E" w:rsidRPr="00DB4A13">
        <w:rPr>
          <w:rFonts w:ascii="Cambria" w:hAnsi="Cambria"/>
          <w:sz w:val="20"/>
          <w:szCs w:val="20"/>
          <w:lang w:val="es-MX"/>
        </w:rPr>
        <w:t xml:space="preserve">en </w:t>
      </w:r>
      <w:r w:rsidR="00884A9C" w:rsidRPr="00DB4A13">
        <w:rPr>
          <w:rFonts w:ascii="Cambria" w:hAnsi="Cambria"/>
          <w:sz w:val="20"/>
          <w:szCs w:val="20"/>
          <w:lang w:val="es-MX"/>
        </w:rPr>
        <w:t>la</w:t>
      </w:r>
      <w:r w:rsidR="0063050E" w:rsidRPr="00DB4A13">
        <w:rPr>
          <w:rFonts w:ascii="Cambria" w:hAnsi="Cambria"/>
          <w:sz w:val="20"/>
          <w:szCs w:val="20"/>
          <w:lang w:val="es-MX"/>
        </w:rPr>
        <w:t xml:space="preserve"> entrada de las </w:t>
      </w:r>
      <w:r w:rsidR="00884A9C" w:rsidRPr="00DB4A13">
        <w:rPr>
          <w:rFonts w:ascii="Cambria" w:hAnsi="Cambria"/>
          <w:sz w:val="20"/>
          <w:szCs w:val="20"/>
          <w:lang w:val="es-MX"/>
        </w:rPr>
        <w:t>M</w:t>
      </w:r>
      <w:r w:rsidR="0063050E" w:rsidRPr="00DB4A13">
        <w:rPr>
          <w:rFonts w:ascii="Cambria" w:hAnsi="Cambria"/>
          <w:sz w:val="20"/>
          <w:szCs w:val="20"/>
          <w:lang w:val="es-MX"/>
        </w:rPr>
        <w:t>ercedes</w:t>
      </w:r>
      <w:r w:rsidR="00002900" w:rsidRPr="00DB4A13">
        <w:rPr>
          <w:rFonts w:ascii="Cambria" w:hAnsi="Cambria"/>
          <w:sz w:val="20"/>
          <w:szCs w:val="20"/>
          <w:lang w:val="es-MX"/>
        </w:rPr>
        <w:t>, en el kilómetro 168</w:t>
      </w:r>
      <w:r w:rsidR="0063050E" w:rsidRPr="00DB4A13">
        <w:rPr>
          <w:rFonts w:ascii="Cambria" w:hAnsi="Cambria"/>
          <w:sz w:val="20"/>
          <w:szCs w:val="20"/>
          <w:lang w:val="es-MX"/>
        </w:rPr>
        <w:t xml:space="preserve">. </w:t>
      </w:r>
      <w:r w:rsidR="00450506" w:rsidRPr="00DB4A13">
        <w:rPr>
          <w:rFonts w:ascii="Cambria" w:hAnsi="Cambria"/>
          <w:sz w:val="20"/>
          <w:szCs w:val="20"/>
          <w:lang w:val="es-MX"/>
        </w:rPr>
        <w:t>De acuerdo con la narración de los policías, a</w:t>
      </w:r>
      <w:r w:rsidR="0063050E" w:rsidRPr="00DB4A13">
        <w:rPr>
          <w:rFonts w:ascii="Cambria" w:hAnsi="Cambria"/>
          <w:sz w:val="20"/>
          <w:szCs w:val="20"/>
          <w:lang w:val="es-MX"/>
        </w:rPr>
        <w:t xml:space="preserve">l ver que el vehículo se acercaba, se le hicieron señales </w:t>
      </w:r>
      <w:r w:rsidR="00133136" w:rsidRPr="00DB4A13">
        <w:rPr>
          <w:rFonts w:ascii="Cambria" w:hAnsi="Cambria"/>
          <w:sz w:val="20"/>
          <w:szCs w:val="20"/>
          <w:lang w:val="es-MX"/>
        </w:rPr>
        <w:t>de alto</w:t>
      </w:r>
      <w:r w:rsidR="0063050E" w:rsidRPr="00DB4A13">
        <w:rPr>
          <w:rFonts w:ascii="Cambria" w:hAnsi="Cambria"/>
          <w:sz w:val="20"/>
          <w:szCs w:val="20"/>
          <w:lang w:val="es-MX"/>
        </w:rPr>
        <w:t>, pero</w:t>
      </w:r>
      <w:r w:rsidR="00133136" w:rsidRPr="00DB4A13">
        <w:rPr>
          <w:rFonts w:ascii="Cambria" w:hAnsi="Cambria"/>
          <w:sz w:val="20"/>
          <w:szCs w:val="20"/>
          <w:lang w:val="es-MX"/>
        </w:rPr>
        <w:t xml:space="preserve"> el conductor</w:t>
      </w:r>
      <w:r w:rsidR="0063050E" w:rsidRPr="00DB4A13">
        <w:rPr>
          <w:rFonts w:ascii="Cambria" w:hAnsi="Cambria"/>
          <w:sz w:val="20"/>
          <w:szCs w:val="20"/>
          <w:lang w:val="es-MX"/>
        </w:rPr>
        <w:t xml:space="preserve"> no hizo ningún intento por detenerse. </w:t>
      </w:r>
      <w:r w:rsidR="008350B1" w:rsidRPr="00DB4A13">
        <w:rPr>
          <w:rFonts w:ascii="Cambria" w:hAnsi="Cambria"/>
          <w:sz w:val="20"/>
          <w:szCs w:val="20"/>
          <w:lang w:val="es-MX"/>
        </w:rPr>
        <w:t>Sobre el particular</w:t>
      </w:r>
      <w:r w:rsidR="002B6B02" w:rsidRPr="00DB4A13">
        <w:rPr>
          <w:rFonts w:ascii="Cambria" w:hAnsi="Cambria"/>
          <w:sz w:val="20"/>
          <w:szCs w:val="20"/>
          <w:lang w:val="es-MX"/>
        </w:rPr>
        <w:t>,</w:t>
      </w:r>
      <w:r w:rsidR="008731FF" w:rsidRPr="00DB4A13">
        <w:rPr>
          <w:rFonts w:ascii="Cambria" w:hAnsi="Cambria"/>
          <w:sz w:val="20"/>
          <w:szCs w:val="20"/>
          <w:lang w:val="es-MX"/>
        </w:rPr>
        <w:t xml:space="preserve"> los agentes policiales</w:t>
      </w:r>
      <w:r w:rsidR="00E369DE" w:rsidRPr="00DB4A13">
        <w:rPr>
          <w:rFonts w:ascii="Cambria" w:hAnsi="Cambria"/>
          <w:sz w:val="20"/>
          <w:szCs w:val="20"/>
          <w:lang w:val="es-MX"/>
        </w:rPr>
        <w:t xml:space="preserve"> describieron</w:t>
      </w:r>
      <w:r w:rsidR="00BB2B39" w:rsidRPr="00DB4A13">
        <w:rPr>
          <w:rFonts w:ascii="Cambria" w:hAnsi="Cambria"/>
          <w:sz w:val="20"/>
          <w:szCs w:val="20"/>
          <w:lang w:val="es-MX"/>
        </w:rPr>
        <w:t xml:space="preserve"> lo siguiente</w:t>
      </w:r>
      <w:r w:rsidR="00E369DE" w:rsidRPr="00DB4A13">
        <w:rPr>
          <w:rFonts w:ascii="Cambria" w:hAnsi="Cambria"/>
          <w:sz w:val="20"/>
          <w:szCs w:val="20"/>
          <w:lang w:val="es-MX"/>
        </w:rPr>
        <w:t>:</w:t>
      </w:r>
      <w:r w:rsidR="008350B1" w:rsidRPr="00DB4A13">
        <w:rPr>
          <w:rFonts w:ascii="Cambria" w:hAnsi="Cambria"/>
          <w:sz w:val="20"/>
          <w:szCs w:val="20"/>
          <w:lang w:val="es-MX"/>
        </w:rPr>
        <w:t xml:space="preserve"> Francisco Simón Ordoñez Nájera afirmó haber realizado dos disparos al aire</w:t>
      </w:r>
      <w:r w:rsidR="006C510B" w:rsidRPr="00DB4A13">
        <w:rPr>
          <w:rStyle w:val="FootnoteReference"/>
          <w:rFonts w:ascii="Cambria" w:hAnsi="Cambria"/>
          <w:sz w:val="20"/>
          <w:szCs w:val="20"/>
          <w:lang w:val="es-MX"/>
        </w:rPr>
        <w:footnoteReference w:id="9"/>
      </w:r>
      <w:r w:rsidR="008350B1" w:rsidRPr="00DB4A13">
        <w:rPr>
          <w:rFonts w:ascii="Cambria" w:hAnsi="Cambria"/>
          <w:sz w:val="20"/>
          <w:szCs w:val="20"/>
          <w:lang w:val="es-MX"/>
        </w:rPr>
        <w:t>;</w:t>
      </w:r>
      <w:r w:rsidR="002B6B02" w:rsidRPr="00DB4A13">
        <w:rPr>
          <w:rFonts w:ascii="Cambria" w:hAnsi="Cambria"/>
          <w:sz w:val="20"/>
          <w:szCs w:val="20"/>
          <w:lang w:val="es-MX"/>
        </w:rPr>
        <w:t xml:space="preserve"> Ricardo Ja</w:t>
      </w:r>
      <w:r w:rsidR="00D73049" w:rsidRPr="00DB4A13">
        <w:rPr>
          <w:rFonts w:ascii="Cambria" w:hAnsi="Cambria"/>
          <w:sz w:val="20"/>
          <w:szCs w:val="20"/>
          <w:lang w:val="es-MX"/>
        </w:rPr>
        <w:t>vier Salgado Ojeda</w:t>
      </w:r>
      <w:r w:rsidR="0063050E" w:rsidRPr="00DB4A13">
        <w:rPr>
          <w:rFonts w:ascii="Cambria" w:hAnsi="Cambria"/>
          <w:sz w:val="20"/>
          <w:szCs w:val="20"/>
          <w:lang w:val="es-MX"/>
        </w:rPr>
        <w:t xml:space="preserve"> </w:t>
      </w:r>
      <w:r w:rsidR="00884A9C" w:rsidRPr="00DB4A13">
        <w:rPr>
          <w:rFonts w:ascii="Cambria" w:hAnsi="Cambria"/>
          <w:sz w:val="20"/>
          <w:szCs w:val="20"/>
          <w:lang w:val="es-MX"/>
        </w:rPr>
        <w:t>afirmó haber realizado</w:t>
      </w:r>
      <w:r w:rsidR="0063050E" w:rsidRPr="00DB4A13">
        <w:rPr>
          <w:rFonts w:ascii="Cambria" w:hAnsi="Cambria"/>
          <w:sz w:val="20"/>
          <w:szCs w:val="20"/>
          <w:lang w:val="es-MX"/>
        </w:rPr>
        <w:t xml:space="preserve"> tres disparos al aire</w:t>
      </w:r>
      <w:r w:rsidR="006C510B" w:rsidRPr="00DB4A13">
        <w:rPr>
          <w:rStyle w:val="FootnoteReference"/>
          <w:rFonts w:ascii="Cambria" w:hAnsi="Cambria"/>
          <w:sz w:val="20"/>
          <w:szCs w:val="20"/>
          <w:lang w:val="es-MX"/>
        </w:rPr>
        <w:footnoteReference w:id="10"/>
      </w:r>
      <w:r w:rsidR="002B6B02" w:rsidRPr="00DB4A13">
        <w:rPr>
          <w:rFonts w:ascii="Cambria" w:hAnsi="Cambria"/>
          <w:sz w:val="20"/>
          <w:szCs w:val="20"/>
          <w:lang w:val="es-MX"/>
        </w:rPr>
        <w:t>; Silvio Antonio Vanegas Blandon un disparo al aire</w:t>
      </w:r>
      <w:r w:rsidR="006C510B" w:rsidRPr="00DB4A13">
        <w:rPr>
          <w:rStyle w:val="FootnoteReference"/>
          <w:rFonts w:ascii="Cambria" w:hAnsi="Cambria"/>
          <w:sz w:val="20"/>
          <w:szCs w:val="20"/>
          <w:lang w:val="es-MX"/>
        </w:rPr>
        <w:footnoteReference w:id="11"/>
      </w:r>
      <w:r w:rsidR="002B6B02" w:rsidRPr="00DB4A13">
        <w:rPr>
          <w:rFonts w:ascii="Cambria" w:hAnsi="Cambria"/>
          <w:sz w:val="20"/>
          <w:szCs w:val="20"/>
          <w:lang w:val="es-MX"/>
        </w:rPr>
        <w:t>;</w:t>
      </w:r>
      <w:r w:rsidR="00884A9C" w:rsidRPr="00DB4A13">
        <w:rPr>
          <w:rFonts w:ascii="Cambria" w:hAnsi="Cambria"/>
          <w:sz w:val="20"/>
          <w:szCs w:val="20"/>
          <w:lang w:val="es-MX"/>
        </w:rPr>
        <w:t xml:space="preserve"> </w:t>
      </w:r>
      <w:r w:rsidR="002B6B02" w:rsidRPr="00DB4A13">
        <w:rPr>
          <w:rFonts w:ascii="Cambria" w:hAnsi="Cambria"/>
          <w:sz w:val="20"/>
          <w:szCs w:val="20"/>
          <w:lang w:val="es-MX"/>
        </w:rPr>
        <w:t xml:space="preserve">José Marcelino Ramírez Vargas de 3 a 4 disparos </w:t>
      </w:r>
      <w:r w:rsidR="00333FE3" w:rsidRPr="00DB4A13">
        <w:rPr>
          <w:rFonts w:ascii="Cambria" w:hAnsi="Cambria"/>
          <w:sz w:val="20"/>
          <w:szCs w:val="20"/>
          <w:lang w:val="es-MX"/>
        </w:rPr>
        <w:t>“</w:t>
      </w:r>
      <w:r w:rsidR="002B6B02" w:rsidRPr="00DB4A13">
        <w:rPr>
          <w:rFonts w:ascii="Cambria" w:hAnsi="Cambria"/>
          <w:sz w:val="20"/>
          <w:szCs w:val="20"/>
          <w:lang w:val="es-MX"/>
        </w:rPr>
        <w:t>sin autorización</w:t>
      </w:r>
      <w:r w:rsidR="00333FE3" w:rsidRPr="00DB4A13">
        <w:rPr>
          <w:rFonts w:ascii="Cambria" w:hAnsi="Cambria"/>
          <w:sz w:val="20"/>
          <w:szCs w:val="20"/>
          <w:lang w:val="es-MX"/>
        </w:rPr>
        <w:t>”</w:t>
      </w:r>
      <w:r w:rsidR="002B6B02" w:rsidRPr="00DB4A13">
        <w:rPr>
          <w:rFonts w:ascii="Cambria" w:hAnsi="Cambria"/>
          <w:sz w:val="20"/>
          <w:szCs w:val="20"/>
          <w:lang w:val="es-MX"/>
        </w:rPr>
        <w:t xml:space="preserve"> en dirección a las llantas del extremo derecho del vehículo</w:t>
      </w:r>
      <w:r w:rsidR="0097082E" w:rsidRPr="00DB4A13">
        <w:rPr>
          <w:rStyle w:val="FootnoteReference"/>
          <w:rFonts w:ascii="Cambria" w:hAnsi="Cambria"/>
          <w:sz w:val="20"/>
          <w:szCs w:val="20"/>
          <w:lang w:val="es-MX"/>
        </w:rPr>
        <w:footnoteReference w:id="12"/>
      </w:r>
      <w:r w:rsidR="00765612" w:rsidRPr="00DB4A13">
        <w:rPr>
          <w:rFonts w:ascii="Cambria" w:hAnsi="Cambria"/>
          <w:sz w:val="20"/>
          <w:szCs w:val="20"/>
          <w:lang w:val="es-MX"/>
        </w:rPr>
        <w:t xml:space="preserve">; </w:t>
      </w:r>
      <w:r w:rsidR="00333FE3" w:rsidRPr="00DB4A13">
        <w:rPr>
          <w:rFonts w:ascii="Cambria" w:hAnsi="Cambria"/>
          <w:sz w:val="20"/>
          <w:szCs w:val="20"/>
          <w:lang w:val="es-MX"/>
        </w:rPr>
        <w:t xml:space="preserve">y </w:t>
      </w:r>
      <w:r w:rsidR="00765612" w:rsidRPr="00DB4A13">
        <w:rPr>
          <w:rFonts w:ascii="Cambria" w:hAnsi="Cambria"/>
          <w:sz w:val="20"/>
          <w:szCs w:val="20"/>
          <w:lang w:val="es-MX"/>
        </w:rPr>
        <w:t>José Reynaldo Pineda Silva manifestó que no realizó disparos cuando se inició la persecución del vehículo.</w:t>
      </w:r>
      <w:r w:rsidR="00230463" w:rsidRPr="00DB4A13">
        <w:rPr>
          <w:rFonts w:ascii="Cambria" w:hAnsi="Cambria"/>
          <w:sz w:val="20"/>
          <w:szCs w:val="20"/>
          <w:lang w:val="es-MX"/>
        </w:rPr>
        <w:t xml:space="preserve"> </w:t>
      </w:r>
      <w:r w:rsidR="00230463" w:rsidRPr="00DB4A13">
        <w:rPr>
          <w:rFonts w:ascii="Cambria" w:hAnsi="Cambria"/>
          <w:sz w:val="20"/>
          <w:szCs w:val="20"/>
          <w:lang w:val="es-ES_tradnl"/>
        </w:rPr>
        <w:t xml:space="preserve"> </w:t>
      </w:r>
    </w:p>
    <w:p w:rsidR="00133136" w:rsidRPr="00DB4A13" w:rsidRDefault="00133136" w:rsidP="00133136">
      <w:pPr>
        <w:pStyle w:val="ListParagraph"/>
        <w:rPr>
          <w:sz w:val="20"/>
          <w:szCs w:val="20"/>
          <w:lang w:val="es-ES_tradnl"/>
        </w:rPr>
      </w:pPr>
    </w:p>
    <w:p w:rsidR="00333FE3" w:rsidRPr="00DB4A13" w:rsidRDefault="00133136"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lastRenderedPageBreak/>
        <w:t>Específicamente, José Mar</w:t>
      </w:r>
      <w:r w:rsidR="00333FE3" w:rsidRPr="00DB4A13">
        <w:rPr>
          <w:rFonts w:ascii="Cambria" w:hAnsi="Cambria"/>
          <w:sz w:val="20"/>
          <w:szCs w:val="20"/>
          <w:lang w:val="es-ES_tradnl"/>
        </w:rPr>
        <w:t>celino Ramírez Vargas manifestó lo siguiente:</w:t>
      </w:r>
      <w:r w:rsidRPr="00DB4A13">
        <w:rPr>
          <w:rFonts w:ascii="Cambria" w:hAnsi="Cambria"/>
          <w:sz w:val="20"/>
          <w:szCs w:val="20"/>
          <w:lang w:val="es-ES_tradnl"/>
        </w:rPr>
        <w:t xml:space="preserve"> </w:t>
      </w:r>
    </w:p>
    <w:p w:rsidR="00333FE3" w:rsidRPr="00DB4A13" w:rsidRDefault="00333FE3" w:rsidP="00333FE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rsidR="00230463" w:rsidRPr="00DB4A13" w:rsidRDefault="00230463" w:rsidP="00333FE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ES_tradnl"/>
        </w:rPr>
      </w:pPr>
      <w:r w:rsidRPr="00DB4A13">
        <w:rPr>
          <w:rFonts w:ascii="Cambria" w:hAnsi="Cambria"/>
          <w:sz w:val="20"/>
          <w:szCs w:val="20"/>
          <w:lang w:val="es-MX"/>
        </w:rPr>
        <w:t xml:space="preserve">Observamos unas luces de vehículo que venía de Sur a norte, por lo que de inmediato Ricardo y yo nos montamos sobre la vía casi al centro de la carretera para reaplicar la señales de alto al vehículo al realizar las señales con la lámpara y guantes logro divisar que era una ban </w:t>
      </w:r>
      <w:r w:rsidR="003A01C8" w:rsidRPr="00DB4A13">
        <w:rPr>
          <w:rFonts w:ascii="Cambria" w:hAnsi="Cambria"/>
          <w:sz w:val="20"/>
          <w:szCs w:val="20"/>
          <w:lang w:val="es-MX"/>
        </w:rPr>
        <w:t xml:space="preserve">(sic) </w:t>
      </w:r>
      <w:r w:rsidRPr="00DB4A13">
        <w:rPr>
          <w:rFonts w:ascii="Cambria" w:hAnsi="Cambria"/>
          <w:sz w:val="20"/>
          <w:szCs w:val="20"/>
          <w:lang w:val="es-MX"/>
        </w:rPr>
        <w:t>color blanco no precisando su vidrio a la que a la vez no acata la señal de tránsito y por poco nos atropella. Por instinto y sin autorización realicé de tres a cuatro disparos en  dirección a las llantas del extremo derecho del vehículo, lo mismo lo hizo Ricardo, el otro policía ubicado a la entrada la Mercedes</w:t>
      </w:r>
      <w:r w:rsidRPr="00DB4A13">
        <w:rPr>
          <w:rStyle w:val="FootnoteReference"/>
          <w:rFonts w:ascii="Cambria" w:hAnsi="Cambria"/>
          <w:sz w:val="20"/>
          <w:szCs w:val="20"/>
          <w:lang w:val="es-MX"/>
        </w:rPr>
        <w:footnoteReference w:id="13"/>
      </w:r>
      <w:r w:rsidRPr="00DB4A13">
        <w:rPr>
          <w:rFonts w:ascii="Cambria" w:hAnsi="Cambria"/>
          <w:sz w:val="20"/>
          <w:szCs w:val="20"/>
          <w:lang w:val="es-MX"/>
        </w:rPr>
        <w:t>.</w:t>
      </w:r>
    </w:p>
    <w:p w:rsidR="00B464C7" w:rsidRPr="00DB4A13" w:rsidRDefault="00B464C7" w:rsidP="00B464C7">
      <w:pPr>
        <w:pStyle w:val="ListParagraph"/>
        <w:rPr>
          <w:sz w:val="20"/>
          <w:szCs w:val="20"/>
          <w:lang w:val="es-ES_tradnl"/>
        </w:rPr>
      </w:pPr>
    </w:p>
    <w:p w:rsidR="00002900" w:rsidRPr="00DB4A13" w:rsidRDefault="00002900"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En el lugar del segundo retén, se encontró un casquillo en el borde del carril con sentido de Norte a Sur, 7 casquillos en borde del carril con sentido Norte a Sur; y un casquillo a una distancia de 1500 metros del retén policial frente a la primera casa de la Cooperativa Pedro Joaquín Chamorro</w:t>
      </w:r>
      <w:r w:rsidR="00F3158F" w:rsidRPr="00DB4A13">
        <w:rPr>
          <w:rStyle w:val="FootnoteReference"/>
          <w:rFonts w:ascii="Cambria" w:hAnsi="Cambria"/>
          <w:sz w:val="20"/>
          <w:szCs w:val="20"/>
          <w:lang w:val="es-ES_tradnl"/>
        </w:rPr>
        <w:footnoteReference w:id="14"/>
      </w:r>
      <w:r w:rsidRPr="00DB4A13">
        <w:rPr>
          <w:rFonts w:ascii="Cambria" w:hAnsi="Cambria"/>
          <w:sz w:val="20"/>
          <w:szCs w:val="20"/>
          <w:lang w:val="es-ES_tradnl"/>
        </w:rPr>
        <w:t>.</w:t>
      </w:r>
      <w:r w:rsidR="00F3158F" w:rsidRPr="00DB4A13">
        <w:rPr>
          <w:rFonts w:ascii="Cambria" w:hAnsi="Cambria"/>
          <w:sz w:val="20"/>
          <w:szCs w:val="20"/>
          <w:lang w:val="es-ES_tradnl"/>
        </w:rPr>
        <w:t xml:space="preserve"> </w:t>
      </w:r>
      <w:r w:rsidR="00B41F33" w:rsidRPr="00DB4A13">
        <w:rPr>
          <w:rFonts w:ascii="Cambria" w:hAnsi="Cambria"/>
          <w:sz w:val="20"/>
          <w:szCs w:val="20"/>
          <w:lang w:val="es-ES_tradnl"/>
        </w:rPr>
        <w:t>D</w:t>
      </w:r>
      <w:r w:rsidR="005D24E0" w:rsidRPr="00DB4A13">
        <w:rPr>
          <w:rFonts w:ascii="Cambria" w:hAnsi="Cambria"/>
          <w:sz w:val="20"/>
          <w:szCs w:val="20"/>
          <w:lang w:val="es-ES_tradnl"/>
        </w:rPr>
        <w:t>e la inspección ocular del vehículo de fecha 18 de abril de 1996, se encontraron seis orificios producidos por impacto de bala; dos en la parte delantera; dos en la parte trasera; uno en el costado izquierdo; y otro en la puerta derecha</w:t>
      </w:r>
      <w:r w:rsidR="006D7696" w:rsidRPr="00DB4A13">
        <w:rPr>
          <w:rStyle w:val="FootnoteReference"/>
          <w:rFonts w:ascii="Cambria" w:hAnsi="Cambria"/>
          <w:sz w:val="20"/>
          <w:szCs w:val="20"/>
          <w:lang w:val="es-ES_tradnl"/>
        </w:rPr>
        <w:footnoteReference w:id="15"/>
      </w:r>
      <w:r w:rsidR="00F3158F" w:rsidRPr="00DB4A13">
        <w:rPr>
          <w:rFonts w:ascii="Cambria" w:hAnsi="Cambria"/>
          <w:sz w:val="20"/>
          <w:szCs w:val="20"/>
          <w:lang w:val="es-ES_tradnl"/>
        </w:rPr>
        <w:t xml:space="preserve">. </w:t>
      </w:r>
    </w:p>
    <w:p w:rsidR="00002900" w:rsidRPr="00DB4A13" w:rsidRDefault="00002900" w:rsidP="0000290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2D2618" w:rsidRPr="00DB4A13" w:rsidRDefault="00E87D06"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De acuerdo con los testimonios de las personas migrantes, éstas </w:t>
      </w:r>
      <w:r w:rsidR="00B464C7" w:rsidRPr="00DB4A13">
        <w:rPr>
          <w:rFonts w:ascii="Cambria" w:hAnsi="Cambria"/>
          <w:sz w:val="20"/>
          <w:szCs w:val="20"/>
          <w:lang w:val="es-ES_tradnl"/>
        </w:rPr>
        <w:t>solicitaron de manera reiterada al conductor que parara el vehículo puesto que algunas personas habían sido heridas como consecuencia de los disparos de armas de fuego. No obstante, el conductor continuó su marcha llegando a Marimboro, donde se introdujo a un camino de tierra, recorriendo a</w:t>
      </w:r>
      <w:r w:rsidR="00E35C37" w:rsidRPr="00DB4A13">
        <w:rPr>
          <w:rFonts w:ascii="Cambria" w:hAnsi="Cambria"/>
          <w:sz w:val="20"/>
          <w:szCs w:val="20"/>
          <w:lang w:val="es-ES_tradnl"/>
        </w:rPr>
        <w:t>proximadamente nueve kilómetros y</w:t>
      </w:r>
      <w:r w:rsidR="00B464C7" w:rsidRPr="00DB4A13">
        <w:rPr>
          <w:rFonts w:ascii="Cambria" w:hAnsi="Cambria"/>
          <w:sz w:val="20"/>
          <w:szCs w:val="20"/>
          <w:lang w:val="es-ES_tradnl"/>
        </w:rPr>
        <w:t xml:space="preserve"> llegando a la comunidad conocida como Jucote, l</w:t>
      </w:r>
      <w:r w:rsidR="00B81877" w:rsidRPr="00DB4A13">
        <w:rPr>
          <w:rFonts w:ascii="Cambria" w:hAnsi="Cambria"/>
          <w:sz w:val="20"/>
          <w:szCs w:val="20"/>
          <w:lang w:val="es-ES_tradnl"/>
        </w:rPr>
        <w:t>ugar donde se detuvo y bajó a la</w:t>
      </w:r>
      <w:r w:rsidR="00B464C7" w:rsidRPr="00DB4A13">
        <w:rPr>
          <w:rFonts w:ascii="Cambria" w:hAnsi="Cambria"/>
          <w:sz w:val="20"/>
          <w:szCs w:val="20"/>
          <w:lang w:val="es-ES_tradnl"/>
        </w:rPr>
        <w:t>s</w:t>
      </w:r>
      <w:r w:rsidR="00B81877" w:rsidRPr="00DB4A13">
        <w:rPr>
          <w:rFonts w:ascii="Cambria" w:hAnsi="Cambria"/>
          <w:sz w:val="20"/>
          <w:szCs w:val="20"/>
          <w:lang w:val="es-ES_tradnl"/>
        </w:rPr>
        <w:t xml:space="preserve"> personas migrantes dejándolas abandonada</w:t>
      </w:r>
      <w:r w:rsidR="00B464C7" w:rsidRPr="00DB4A13">
        <w:rPr>
          <w:rFonts w:ascii="Cambria" w:hAnsi="Cambria"/>
          <w:sz w:val="20"/>
          <w:szCs w:val="20"/>
          <w:lang w:val="es-ES_tradnl"/>
        </w:rPr>
        <w:t>s en el lugar, mientras continuó la fuga</w:t>
      </w:r>
      <w:r w:rsidR="00030DF0" w:rsidRPr="00DB4A13">
        <w:rPr>
          <w:rStyle w:val="FootnoteReference"/>
          <w:rFonts w:ascii="Cambria" w:hAnsi="Cambria"/>
          <w:sz w:val="20"/>
          <w:szCs w:val="20"/>
          <w:lang w:val="es-ES_tradnl"/>
        </w:rPr>
        <w:footnoteReference w:id="16"/>
      </w:r>
      <w:r w:rsidR="00B464C7" w:rsidRPr="00DB4A13">
        <w:rPr>
          <w:rFonts w:ascii="Cambria" w:hAnsi="Cambria"/>
          <w:sz w:val="20"/>
          <w:szCs w:val="20"/>
          <w:lang w:val="es-ES_tradnl"/>
        </w:rPr>
        <w:t>.</w:t>
      </w:r>
    </w:p>
    <w:p w:rsidR="00A03F85" w:rsidRPr="00DB4A13" w:rsidRDefault="00A03F85" w:rsidP="00A03F85">
      <w:pPr>
        <w:pStyle w:val="ListParagraph"/>
        <w:rPr>
          <w:sz w:val="20"/>
          <w:szCs w:val="20"/>
          <w:lang w:val="es-ES_tradnl"/>
        </w:rPr>
      </w:pPr>
    </w:p>
    <w:p w:rsidR="008038AC" w:rsidRPr="00DB4A13" w:rsidRDefault="00A03F85"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De acuerdo con </w:t>
      </w:r>
      <w:r w:rsidR="00030DF0" w:rsidRPr="00DB4A13">
        <w:rPr>
          <w:rFonts w:ascii="Cambria" w:hAnsi="Cambria"/>
          <w:sz w:val="20"/>
          <w:szCs w:val="20"/>
          <w:lang w:val="es-ES_tradnl"/>
        </w:rPr>
        <w:t>dichos testimonios</w:t>
      </w:r>
      <w:r w:rsidRPr="00DB4A13">
        <w:rPr>
          <w:rFonts w:ascii="Cambria" w:hAnsi="Cambria"/>
          <w:sz w:val="20"/>
          <w:szCs w:val="20"/>
          <w:lang w:val="es-ES_tradnl"/>
        </w:rPr>
        <w:t>, cuando paró la camioneta todas las personas se dispersaron al m</w:t>
      </w:r>
      <w:r w:rsidR="00806A39" w:rsidRPr="00DB4A13">
        <w:rPr>
          <w:rFonts w:ascii="Cambria" w:hAnsi="Cambria"/>
          <w:sz w:val="20"/>
          <w:szCs w:val="20"/>
          <w:lang w:val="es-ES_tradnl"/>
        </w:rPr>
        <w:t>onte por miedo a ser detenidas.</w:t>
      </w:r>
      <w:r w:rsidRPr="00DB4A13">
        <w:rPr>
          <w:rFonts w:ascii="Cambria" w:hAnsi="Cambria"/>
          <w:sz w:val="20"/>
          <w:szCs w:val="20"/>
          <w:lang w:val="es-ES_tradnl"/>
        </w:rPr>
        <w:t xml:space="preserve"> Había</w:t>
      </w:r>
      <w:r w:rsidR="007C1876" w:rsidRPr="00DB4A13">
        <w:rPr>
          <w:rFonts w:ascii="Cambria" w:hAnsi="Cambria"/>
          <w:sz w:val="20"/>
          <w:szCs w:val="20"/>
          <w:lang w:val="es-ES_tradnl"/>
        </w:rPr>
        <w:t xml:space="preserve"> cinco</w:t>
      </w:r>
      <w:r w:rsidRPr="00DB4A13">
        <w:rPr>
          <w:rFonts w:ascii="Cambria" w:hAnsi="Cambria"/>
          <w:sz w:val="20"/>
          <w:szCs w:val="20"/>
          <w:lang w:val="es-ES_tradnl"/>
        </w:rPr>
        <w:t xml:space="preserve"> personas heridas y Pedro Bacilio Roche Azaña</w:t>
      </w:r>
      <w:r w:rsidR="007E2D4F" w:rsidRPr="00DB4A13">
        <w:rPr>
          <w:rFonts w:ascii="Cambria" w:hAnsi="Cambria"/>
          <w:sz w:val="20"/>
          <w:szCs w:val="20"/>
          <w:lang w:val="es-ES_tradnl"/>
        </w:rPr>
        <w:t xml:space="preserve">, </w:t>
      </w:r>
      <w:r w:rsidR="00E35C37" w:rsidRPr="00DB4A13">
        <w:rPr>
          <w:rFonts w:ascii="Cambria" w:hAnsi="Cambria"/>
          <w:sz w:val="20"/>
          <w:szCs w:val="20"/>
          <w:lang w:val="es-ES_tradnl"/>
        </w:rPr>
        <w:t xml:space="preserve">quien </w:t>
      </w:r>
      <w:r w:rsidRPr="00DB4A13">
        <w:rPr>
          <w:rFonts w:ascii="Cambria" w:hAnsi="Cambria"/>
          <w:sz w:val="20"/>
          <w:szCs w:val="20"/>
          <w:lang w:val="es-ES_tradnl"/>
        </w:rPr>
        <w:t>se encontraba agonizando</w:t>
      </w:r>
      <w:r w:rsidR="00950E4C" w:rsidRPr="00DB4A13">
        <w:rPr>
          <w:rFonts w:ascii="Cambria" w:hAnsi="Cambria"/>
          <w:sz w:val="20"/>
          <w:szCs w:val="20"/>
          <w:lang w:val="es-ES_tradnl"/>
        </w:rPr>
        <w:t xml:space="preserve"> y </w:t>
      </w:r>
      <w:r w:rsidR="00C74CB4" w:rsidRPr="00DB4A13">
        <w:rPr>
          <w:rFonts w:ascii="Cambria" w:hAnsi="Cambria"/>
          <w:sz w:val="20"/>
          <w:szCs w:val="20"/>
          <w:lang w:val="es-ES_tradnl"/>
        </w:rPr>
        <w:t>falleció posteriormente</w:t>
      </w:r>
      <w:r w:rsidR="007E2D4F" w:rsidRPr="00DB4A13">
        <w:rPr>
          <w:rFonts w:ascii="Cambria" w:hAnsi="Cambria"/>
          <w:sz w:val="20"/>
          <w:szCs w:val="20"/>
          <w:lang w:val="es-ES_tradnl"/>
        </w:rPr>
        <w:t>. Algunos migrantes ayudaron a los heridos a llegar a una choza que se encontraba cerca en donde campesinos les brindaron atención y apoyo</w:t>
      </w:r>
      <w:r w:rsidR="008928CE" w:rsidRPr="00DB4A13">
        <w:rPr>
          <w:rStyle w:val="FootnoteReference"/>
          <w:rFonts w:ascii="Cambria" w:hAnsi="Cambria"/>
          <w:sz w:val="20"/>
          <w:szCs w:val="20"/>
          <w:lang w:val="es-ES_tradnl"/>
        </w:rPr>
        <w:footnoteReference w:id="17"/>
      </w:r>
      <w:r w:rsidR="007E2D4F" w:rsidRPr="00DB4A13">
        <w:rPr>
          <w:rFonts w:ascii="Cambria" w:hAnsi="Cambria"/>
          <w:sz w:val="20"/>
          <w:szCs w:val="20"/>
          <w:lang w:val="es-ES_tradnl"/>
        </w:rPr>
        <w:t xml:space="preserve">. </w:t>
      </w:r>
    </w:p>
    <w:p w:rsidR="00806A39" w:rsidRPr="00DB4A13" w:rsidRDefault="00806A39" w:rsidP="00806A39">
      <w:pPr>
        <w:pStyle w:val="ListParagraph"/>
        <w:rPr>
          <w:sz w:val="20"/>
          <w:szCs w:val="20"/>
          <w:lang w:val="es-ES_tradnl"/>
        </w:rPr>
      </w:pPr>
    </w:p>
    <w:p w:rsidR="00BF18DC" w:rsidRPr="00DB4A13" w:rsidRDefault="00806A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Aproximadamente a las 24 horas falleció el señor Pedro Bacilio Roche Azaña como consecuencia de la herida de bala. </w:t>
      </w:r>
      <w:r w:rsidR="00EB5C5C" w:rsidRPr="00DB4A13">
        <w:rPr>
          <w:rFonts w:ascii="Cambria" w:hAnsi="Cambria"/>
          <w:sz w:val="20"/>
          <w:szCs w:val="20"/>
          <w:lang w:val="es-ES_tradnl"/>
        </w:rPr>
        <w:t xml:space="preserve">El dictamen médico legal </w:t>
      </w:r>
      <w:r w:rsidR="00614ABC" w:rsidRPr="00DB4A13">
        <w:rPr>
          <w:rFonts w:ascii="Cambria" w:hAnsi="Cambria"/>
          <w:sz w:val="20"/>
          <w:szCs w:val="20"/>
          <w:lang w:val="es-ES_tradnl"/>
        </w:rPr>
        <w:t xml:space="preserve">indica: </w:t>
      </w:r>
      <w:r w:rsidRPr="00DB4A13">
        <w:rPr>
          <w:rFonts w:ascii="Cambria" w:hAnsi="Cambria"/>
          <w:sz w:val="20"/>
          <w:szCs w:val="20"/>
          <w:lang w:val="es-ES_tradnl"/>
        </w:rPr>
        <w:t>“</w:t>
      </w:r>
      <w:r w:rsidR="00972158" w:rsidRPr="00DB4A13">
        <w:rPr>
          <w:rFonts w:ascii="Cambria" w:hAnsi="Cambria"/>
          <w:sz w:val="20"/>
          <w:szCs w:val="20"/>
          <w:lang w:val="es-ES_tradnl"/>
        </w:rPr>
        <w:t xml:space="preserve">es </w:t>
      </w:r>
      <w:r w:rsidRPr="00DB4A13">
        <w:rPr>
          <w:rFonts w:ascii="Cambria" w:hAnsi="Cambria"/>
          <w:sz w:val="20"/>
          <w:szCs w:val="20"/>
          <w:lang w:val="es-ES_tradnl"/>
        </w:rPr>
        <w:t>evidente que el ciudadano Pedro Bacilio Roche Azaña falleció por violencia externa, consistente en lesión penetrante de proyectil de arma de fuego, que dicho proyectil, se comprobó del tipo conocido  como AK (fusil de arma de guerra)</w:t>
      </w:r>
      <w:r w:rsidR="00A1067E" w:rsidRPr="00DB4A13">
        <w:rPr>
          <w:rFonts w:ascii="Cambria" w:hAnsi="Cambria"/>
          <w:sz w:val="20"/>
          <w:szCs w:val="20"/>
          <w:lang w:val="es-ES_tradnl"/>
        </w:rPr>
        <w:t>”</w:t>
      </w:r>
      <w:r w:rsidRPr="00DB4A13">
        <w:rPr>
          <w:rStyle w:val="FootnoteReference"/>
          <w:rFonts w:ascii="Cambria" w:hAnsi="Cambria"/>
          <w:sz w:val="20"/>
          <w:szCs w:val="20"/>
          <w:lang w:val="es-ES_tradnl"/>
        </w:rPr>
        <w:footnoteReference w:id="18"/>
      </w:r>
      <w:r w:rsidRPr="00DB4A13">
        <w:rPr>
          <w:rFonts w:ascii="Cambria" w:hAnsi="Cambria"/>
          <w:sz w:val="20"/>
          <w:szCs w:val="20"/>
          <w:lang w:val="es-ES_tradnl"/>
        </w:rPr>
        <w:t xml:space="preserve">. </w:t>
      </w:r>
      <w:r w:rsidR="00BF18DC" w:rsidRPr="00DB4A13">
        <w:rPr>
          <w:rFonts w:ascii="Cambria" w:hAnsi="Cambria"/>
          <w:sz w:val="20"/>
          <w:szCs w:val="20"/>
          <w:lang w:val="es-ES_tradnl"/>
        </w:rPr>
        <w:t>Al respecto, el 27 de abril de 1996 se realizó el procedimiento de preservación y preparación de cadáver en el local de la morgue del hospital España de Chinandega, para efectos de ser trasladado a la República de Ecuador</w:t>
      </w:r>
      <w:r w:rsidR="00BF18DC" w:rsidRPr="00DB4A13">
        <w:rPr>
          <w:rStyle w:val="FootnoteReference"/>
          <w:rFonts w:ascii="Cambria" w:hAnsi="Cambria"/>
          <w:sz w:val="20"/>
          <w:szCs w:val="20"/>
          <w:lang w:val="es-ES_tradnl"/>
        </w:rPr>
        <w:footnoteReference w:id="19"/>
      </w:r>
      <w:r w:rsidR="00BF18DC" w:rsidRPr="00DB4A13">
        <w:rPr>
          <w:rFonts w:ascii="Cambria" w:hAnsi="Cambria"/>
          <w:sz w:val="20"/>
          <w:szCs w:val="20"/>
          <w:lang w:val="es-ES_tradnl"/>
        </w:rPr>
        <w:t xml:space="preserve">.   </w:t>
      </w:r>
    </w:p>
    <w:p w:rsidR="00974008" w:rsidRPr="00DB4A13" w:rsidRDefault="00974008" w:rsidP="009740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950E4C" w:rsidRPr="00DB4A13" w:rsidRDefault="00313106"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lastRenderedPageBreak/>
        <w:t xml:space="preserve">Según los testimonios de las personas migrantes, algunas de ellas </w:t>
      </w:r>
      <w:r w:rsidR="008A61CD" w:rsidRPr="00DB4A13">
        <w:rPr>
          <w:rFonts w:ascii="Cambria" w:hAnsi="Cambria"/>
          <w:sz w:val="20"/>
          <w:szCs w:val="20"/>
          <w:lang w:val="es-ES_tradnl"/>
        </w:rPr>
        <w:t>ayudaron a l</w:t>
      </w:r>
      <w:r w:rsidR="00696CA0" w:rsidRPr="00DB4A13">
        <w:rPr>
          <w:rFonts w:ascii="Cambria" w:hAnsi="Cambria"/>
          <w:sz w:val="20"/>
          <w:szCs w:val="20"/>
          <w:lang w:val="es-ES_tradnl"/>
        </w:rPr>
        <w:t>os heridos</w:t>
      </w:r>
      <w:r w:rsidR="008A61CD" w:rsidRPr="00DB4A13">
        <w:rPr>
          <w:rFonts w:ascii="Cambria" w:hAnsi="Cambria"/>
          <w:sz w:val="20"/>
          <w:szCs w:val="20"/>
          <w:lang w:val="es-ES_tradnl"/>
        </w:rPr>
        <w:t xml:space="preserve"> cargándol</w:t>
      </w:r>
      <w:r w:rsidR="00BE2C00" w:rsidRPr="00DB4A13">
        <w:rPr>
          <w:rFonts w:ascii="Cambria" w:hAnsi="Cambria"/>
          <w:sz w:val="20"/>
          <w:szCs w:val="20"/>
          <w:lang w:val="es-ES_tradnl"/>
        </w:rPr>
        <w:t>o</w:t>
      </w:r>
      <w:r w:rsidR="008A61CD" w:rsidRPr="00DB4A13">
        <w:rPr>
          <w:rFonts w:ascii="Cambria" w:hAnsi="Cambria"/>
          <w:sz w:val="20"/>
          <w:szCs w:val="20"/>
          <w:lang w:val="es-ES_tradnl"/>
        </w:rPr>
        <w:t>s a un rancho que se encontraba a unos cuarenta metros del lugar donde se había p</w:t>
      </w:r>
      <w:r w:rsidR="00B81877" w:rsidRPr="00DB4A13">
        <w:rPr>
          <w:rFonts w:ascii="Cambria" w:hAnsi="Cambria"/>
          <w:sz w:val="20"/>
          <w:szCs w:val="20"/>
          <w:lang w:val="es-ES_tradnl"/>
        </w:rPr>
        <w:t>arado el carro. Permanecieron all</w:t>
      </w:r>
      <w:r w:rsidR="008A61CD" w:rsidRPr="00DB4A13">
        <w:rPr>
          <w:rFonts w:ascii="Cambria" w:hAnsi="Cambria"/>
          <w:sz w:val="20"/>
          <w:szCs w:val="20"/>
          <w:lang w:val="es-ES_tradnl"/>
        </w:rPr>
        <w:t>í</w:t>
      </w:r>
      <w:r w:rsidR="00AE5748" w:rsidRPr="00DB4A13">
        <w:rPr>
          <w:rFonts w:ascii="Cambria" w:hAnsi="Cambria"/>
          <w:sz w:val="20"/>
          <w:szCs w:val="20"/>
          <w:lang w:val="es-ES_tradnl"/>
        </w:rPr>
        <w:t>, ayudados</w:t>
      </w:r>
      <w:r w:rsidR="00B81877" w:rsidRPr="00DB4A13">
        <w:rPr>
          <w:rFonts w:ascii="Cambria" w:hAnsi="Cambria"/>
          <w:sz w:val="20"/>
          <w:szCs w:val="20"/>
          <w:lang w:val="es-ES_tradnl"/>
        </w:rPr>
        <w:t xml:space="preserve"> por</w:t>
      </w:r>
      <w:r w:rsidR="00AE5748" w:rsidRPr="00DB4A13">
        <w:rPr>
          <w:rFonts w:ascii="Cambria" w:hAnsi="Cambria"/>
          <w:sz w:val="20"/>
          <w:szCs w:val="20"/>
          <w:lang w:val="es-ES_tradnl"/>
        </w:rPr>
        <w:t xml:space="preserve"> </w:t>
      </w:r>
      <w:r w:rsidR="00EB5CCF" w:rsidRPr="00DB4A13">
        <w:rPr>
          <w:rFonts w:ascii="Cambria" w:hAnsi="Cambria"/>
          <w:sz w:val="20"/>
          <w:szCs w:val="20"/>
          <w:lang w:val="es-ES_tradnl"/>
        </w:rPr>
        <w:t>el señor Ruperto Méndez Méndez</w:t>
      </w:r>
      <w:r w:rsidR="00AE5748" w:rsidRPr="00DB4A13">
        <w:rPr>
          <w:rFonts w:ascii="Cambria" w:hAnsi="Cambria"/>
          <w:sz w:val="20"/>
          <w:szCs w:val="20"/>
          <w:lang w:val="es-ES_tradnl"/>
        </w:rPr>
        <w:t>,</w:t>
      </w:r>
      <w:r w:rsidR="008A61CD" w:rsidRPr="00DB4A13">
        <w:rPr>
          <w:rFonts w:ascii="Cambria" w:hAnsi="Cambria"/>
          <w:sz w:val="20"/>
          <w:szCs w:val="20"/>
          <w:lang w:val="es-ES_tradnl"/>
        </w:rPr>
        <w:t xml:space="preserve"> </w:t>
      </w:r>
      <w:r w:rsidR="00EB5CCF" w:rsidRPr="00DB4A13">
        <w:rPr>
          <w:rFonts w:ascii="Cambria" w:hAnsi="Cambria"/>
          <w:sz w:val="20"/>
          <w:szCs w:val="20"/>
          <w:lang w:val="es-ES_tradnl"/>
        </w:rPr>
        <w:t>quien consiguió el apoyo del señor Luis Guerrero para trasladarnos en su camioneta personal al centro de salud de Villanueva. Debido a la gravedad, llegó una ambulancia posteriormente y los trasladó al Hospital España, donde fueron atendidos</w:t>
      </w:r>
      <w:r w:rsidR="008928CE" w:rsidRPr="00DB4A13">
        <w:rPr>
          <w:rStyle w:val="FootnoteReference"/>
          <w:rFonts w:ascii="Cambria" w:hAnsi="Cambria"/>
          <w:sz w:val="20"/>
          <w:szCs w:val="20"/>
          <w:lang w:val="es-ES_tradnl"/>
        </w:rPr>
        <w:footnoteReference w:id="20"/>
      </w:r>
      <w:r w:rsidR="00EB5CCF" w:rsidRPr="00DB4A13">
        <w:rPr>
          <w:rFonts w:ascii="Cambria" w:hAnsi="Cambria"/>
          <w:sz w:val="20"/>
          <w:szCs w:val="20"/>
          <w:lang w:val="es-ES_tradnl"/>
        </w:rPr>
        <w:t xml:space="preserve">. </w:t>
      </w:r>
    </w:p>
    <w:p w:rsidR="00950E4C" w:rsidRPr="00DB4A13" w:rsidRDefault="00950E4C" w:rsidP="00950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EB5C5C" w:rsidRPr="00DB4A13" w:rsidRDefault="00806A39"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De acuerdo con</w:t>
      </w:r>
      <w:r w:rsidR="000069FF" w:rsidRPr="00DB4A13">
        <w:rPr>
          <w:rFonts w:ascii="Cambria" w:hAnsi="Cambria"/>
          <w:sz w:val="20"/>
          <w:szCs w:val="20"/>
          <w:lang w:val="es-ES_tradnl"/>
        </w:rPr>
        <w:t xml:space="preserve"> el dictamen </w:t>
      </w:r>
      <w:r w:rsidRPr="00DB4A13">
        <w:rPr>
          <w:rFonts w:ascii="Cambria" w:hAnsi="Cambria"/>
          <w:sz w:val="20"/>
          <w:szCs w:val="20"/>
          <w:lang w:val="es-MX"/>
        </w:rPr>
        <w:t xml:space="preserve">médico, </w:t>
      </w:r>
      <w:r w:rsidR="00297849" w:rsidRPr="00DB4A13">
        <w:rPr>
          <w:rFonts w:ascii="Cambria" w:hAnsi="Cambria"/>
          <w:sz w:val="20"/>
          <w:szCs w:val="20"/>
          <w:lang w:val="es-MX"/>
        </w:rPr>
        <w:t>resultó herido</w:t>
      </w:r>
      <w:r w:rsidR="00303B1F" w:rsidRPr="00DB4A13">
        <w:rPr>
          <w:rFonts w:ascii="Cambria" w:hAnsi="Cambria"/>
          <w:sz w:val="20"/>
          <w:szCs w:val="20"/>
          <w:lang w:val="es-MX"/>
        </w:rPr>
        <w:t xml:space="preserve"> de gravedad Pat</w:t>
      </w:r>
      <w:r w:rsidR="00970A3A" w:rsidRPr="00DB4A13">
        <w:rPr>
          <w:rFonts w:ascii="Cambria" w:hAnsi="Cambria"/>
          <w:sz w:val="20"/>
          <w:szCs w:val="20"/>
          <w:lang w:val="es-MX"/>
        </w:rPr>
        <w:t>r</w:t>
      </w:r>
      <w:r w:rsidR="00303B1F" w:rsidRPr="00DB4A13">
        <w:rPr>
          <w:rFonts w:ascii="Cambria" w:hAnsi="Cambria"/>
          <w:sz w:val="20"/>
          <w:szCs w:val="20"/>
          <w:lang w:val="es-MX"/>
        </w:rPr>
        <w:t xml:space="preserve">icio Roche Azaña, quien </w:t>
      </w:r>
      <w:r w:rsidRPr="00DB4A13">
        <w:rPr>
          <w:rFonts w:ascii="Cambria" w:hAnsi="Cambria"/>
          <w:sz w:val="20"/>
          <w:szCs w:val="20"/>
          <w:lang w:val="es-MX"/>
        </w:rPr>
        <w:t xml:space="preserve">sufrió una </w:t>
      </w:r>
      <w:r w:rsidRPr="00DB4A13">
        <w:rPr>
          <w:rFonts w:ascii="Cambria" w:hAnsi="Cambria"/>
          <w:sz w:val="20"/>
          <w:szCs w:val="20"/>
          <w:lang w:val="es-ES_tradnl"/>
        </w:rPr>
        <w:t>perforación del piso pélvico y perforación intestinal. Asimismo, se produjo hematoma isqu</w:t>
      </w:r>
      <w:r w:rsidR="004341E4" w:rsidRPr="00DB4A13">
        <w:rPr>
          <w:rFonts w:ascii="Cambria" w:hAnsi="Cambria"/>
          <w:sz w:val="20"/>
          <w:szCs w:val="20"/>
          <w:lang w:val="es-ES_tradnl"/>
        </w:rPr>
        <w:t xml:space="preserve">iorrectal, perforación de colon </w:t>
      </w:r>
      <w:r w:rsidRPr="00DB4A13">
        <w:rPr>
          <w:rFonts w:ascii="Cambria" w:hAnsi="Cambria"/>
          <w:sz w:val="20"/>
          <w:szCs w:val="20"/>
          <w:lang w:val="es-ES_tradnl"/>
        </w:rPr>
        <w:t xml:space="preserve">y debido al estado de gravedad se realizó una nueva intervención </w:t>
      </w:r>
      <w:r w:rsidR="008E58B8" w:rsidRPr="00DB4A13">
        <w:rPr>
          <w:rFonts w:ascii="Cambria" w:hAnsi="Cambria"/>
          <w:sz w:val="20"/>
          <w:szCs w:val="20"/>
          <w:lang w:val="es-ES_tradnl"/>
        </w:rPr>
        <w:t>quirúrgica</w:t>
      </w:r>
      <w:r w:rsidRPr="00DB4A13">
        <w:rPr>
          <w:rFonts w:ascii="Cambria" w:hAnsi="Cambria"/>
          <w:sz w:val="20"/>
          <w:szCs w:val="20"/>
          <w:lang w:val="es-ES_tradnl"/>
        </w:rPr>
        <w:t xml:space="preserve"> el día 21 de abril</w:t>
      </w:r>
      <w:r w:rsidR="00B23BB0" w:rsidRPr="00DB4A13">
        <w:rPr>
          <w:rFonts w:ascii="Cambria" w:hAnsi="Cambria"/>
          <w:sz w:val="20"/>
          <w:szCs w:val="20"/>
          <w:lang w:val="es-ES_tradnl"/>
        </w:rPr>
        <w:t xml:space="preserve"> de 1996</w:t>
      </w:r>
      <w:r w:rsidRPr="00DB4A13">
        <w:rPr>
          <w:rFonts w:ascii="Cambria" w:hAnsi="Cambria"/>
          <w:sz w:val="20"/>
          <w:szCs w:val="20"/>
          <w:lang w:val="es-ES_tradnl"/>
        </w:rPr>
        <w:t>. Hubo también f</w:t>
      </w:r>
      <w:r w:rsidR="004341E4" w:rsidRPr="00DB4A13">
        <w:rPr>
          <w:rFonts w:ascii="Cambria" w:hAnsi="Cambria"/>
          <w:sz w:val="20"/>
          <w:szCs w:val="20"/>
          <w:lang w:val="es-ES_tradnl"/>
        </w:rPr>
        <w:t>r</w:t>
      </w:r>
      <w:r w:rsidRPr="00DB4A13">
        <w:rPr>
          <w:rFonts w:ascii="Cambria" w:hAnsi="Cambria"/>
          <w:sz w:val="20"/>
          <w:szCs w:val="20"/>
          <w:lang w:val="es-ES_tradnl"/>
        </w:rPr>
        <w:t>actura de fémur izquierdo y se determinó que exist</w:t>
      </w:r>
      <w:r w:rsidR="007B5FD6" w:rsidRPr="00DB4A13">
        <w:rPr>
          <w:rFonts w:ascii="Cambria" w:hAnsi="Cambria"/>
          <w:sz w:val="20"/>
          <w:szCs w:val="20"/>
          <w:lang w:val="es-ES_tradnl"/>
        </w:rPr>
        <w:t>ía</w:t>
      </w:r>
      <w:r w:rsidRPr="00DB4A13">
        <w:rPr>
          <w:rFonts w:ascii="Cambria" w:hAnsi="Cambria"/>
          <w:sz w:val="20"/>
          <w:szCs w:val="20"/>
          <w:lang w:val="es-ES_tradnl"/>
        </w:rPr>
        <w:t xml:space="preserve"> inminente peligro de muerte</w:t>
      </w:r>
      <w:r w:rsidRPr="00DB4A13">
        <w:rPr>
          <w:rStyle w:val="FootnoteReference"/>
          <w:rFonts w:ascii="Cambria" w:hAnsi="Cambria"/>
          <w:sz w:val="20"/>
          <w:szCs w:val="20"/>
          <w:lang w:val="es-ES_tradnl"/>
        </w:rPr>
        <w:footnoteReference w:id="21"/>
      </w:r>
      <w:r w:rsidRPr="00DB4A13">
        <w:rPr>
          <w:rFonts w:ascii="Cambria" w:hAnsi="Cambria"/>
          <w:sz w:val="20"/>
          <w:szCs w:val="20"/>
          <w:lang w:val="es-ES_tradnl"/>
        </w:rPr>
        <w:t>.</w:t>
      </w:r>
      <w:r w:rsidR="00EB5C5C" w:rsidRPr="00DB4A13">
        <w:rPr>
          <w:rFonts w:ascii="Cambria" w:hAnsi="Cambria"/>
          <w:sz w:val="20"/>
          <w:szCs w:val="20"/>
          <w:lang w:val="es-ES_tradnl"/>
        </w:rPr>
        <w:t xml:space="preserve"> Asimismo, resultaron heridas otras cinco personas por arma de fuego en diferentes partes del cuerpo</w:t>
      </w:r>
      <w:r w:rsidR="00B11F4A" w:rsidRPr="00DB4A13">
        <w:rPr>
          <w:rStyle w:val="FootnoteReference"/>
          <w:rFonts w:ascii="Cambria" w:hAnsi="Cambria"/>
          <w:sz w:val="20"/>
          <w:szCs w:val="20"/>
          <w:lang w:val="es-ES_tradnl"/>
        </w:rPr>
        <w:footnoteReference w:id="22"/>
      </w:r>
      <w:r w:rsidR="00EB5C5C" w:rsidRPr="00DB4A13">
        <w:rPr>
          <w:rFonts w:ascii="Cambria" w:hAnsi="Cambria"/>
          <w:sz w:val="20"/>
          <w:szCs w:val="20"/>
          <w:lang w:val="es-ES_tradnl"/>
        </w:rPr>
        <w:t xml:space="preserve">. </w:t>
      </w:r>
    </w:p>
    <w:p w:rsidR="00DD6D1A" w:rsidRPr="00DB4A13" w:rsidRDefault="00DD6D1A" w:rsidP="009F67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rsidR="004D195F" w:rsidRPr="00BB3AE8" w:rsidRDefault="00196F01"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La Dirección de Migración y Extranjería de Nicaragua autorizó la salida de las personas extranjeras hacia sus países de origen, sin abrirles un procedimiento penal por </w:t>
      </w:r>
      <w:r w:rsidR="00492B6D" w:rsidRPr="00DB4A13">
        <w:rPr>
          <w:rFonts w:ascii="Cambria" w:hAnsi="Cambria"/>
          <w:sz w:val="20"/>
          <w:szCs w:val="20"/>
          <w:lang w:val="es-ES_tradnl"/>
        </w:rPr>
        <w:t>ser</w:t>
      </w:r>
      <w:r w:rsidRPr="00DB4A13">
        <w:rPr>
          <w:rFonts w:ascii="Cambria" w:hAnsi="Cambria"/>
          <w:sz w:val="20"/>
          <w:szCs w:val="20"/>
          <w:lang w:val="es-ES_tradnl"/>
        </w:rPr>
        <w:t xml:space="preserve"> personas migrantes en situación irregular</w:t>
      </w:r>
      <w:r w:rsidR="00E86132" w:rsidRPr="00DB4A13">
        <w:rPr>
          <w:rFonts w:ascii="Cambria" w:hAnsi="Cambria"/>
          <w:sz w:val="20"/>
          <w:szCs w:val="20"/>
          <w:lang w:val="es-ES_tradnl"/>
        </w:rPr>
        <w:t>, que en el momento de los hechos era un delito</w:t>
      </w:r>
      <w:r w:rsidR="00846ED4" w:rsidRPr="00DB4A13">
        <w:rPr>
          <w:rStyle w:val="FootnoteReference"/>
          <w:rFonts w:ascii="Cambria" w:hAnsi="Cambria"/>
          <w:sz w:val="20"/>
          <w:szCs w:val="20"/>
          <w:lang w:val="es-ES_tradnl"/>
        </w:rPr>
        <w:footnoteReference w:id="23"/>
      </w:r>
      <w:r w:rsidRPr="00DB4A13">
        <w:rPr>
          <w:rFonts w:ascii="Cambria" w:hAnsi="Cambria"/>
          <w:sz w:val="20"/>
          <w:szCs w:val="20"/>
          <w:lang w:val="es-ES_tradnl"/>
        </w:rPr>
        <w:t xml:space="preserve">.  </w:t>
      </w:r>
    </w:p>
    <w:p w:rsidR="007721B2" w:rsidRPr="00BB3AE8" w:rsidRDefault="004C08F9" w:rsidP="00356B7C">
      <w:pPr>
        <w:pStyle w:val="Heading2"/>
        <w:numPr>
          <w:ilvl w:val="0"/>
          <w:numId w:val="60"/>
        </w:numPr>
        <w:ind w:hanging="90"/>
        <w:rPr>
          <w:i w:val="0"/>
          <w:sz w:val="20"/>
          <w:szCs w:val="20"/>
          <w:lang w:val="es-ES_tradnl"/>
        </w:rPr>
      </w:pPr>
      <w:bookmarkStart w:id="7" w:name="_Toc536087979"/>
      <w:r w:rsidRPr="00BB3AE8">
        <w:rPr>
          <w:rFonts w:asciiTheme="majorHAnsi" w:hAnsiTheme="majorHAnsi"/>
          <w:i w:val="0"/>
          <w:sz w:val="20"/>
          <w:szCs w:val="20"/>
          <w:lang w:val="es-ES_tradnl"/>
        </w:rPr>
        <w:t>Sobre los procesos internos</w:t>
      </w:r>
      <w:bookmarkEnd w:id="7"/>
    </w:p>
    <w:p w:rsidR="007161B6" w:rsidRPr="00DB4A13" w:rsidRDefault="007161B6" w:rsidP="007161B6">
      <w:pPr>
        <w:ind w:left="1080"/>
        <w:jc w:val="both"/>
        <w:rPr>
          <w:rFonts w:ascii="Cambria" w:hAnsi="Cambria"/>
          <w:b/>
          <w:color w:val="FF0000"/>
          <w:sz w:val="20"/>
          <w:szCs w:val="20"/>
          <w:lang w:val="es-ES_tradnl"/>
        </w:rPr>
      </w:pPr>
    </w:p>
    <w:p w:rsidR="00F16C43" w:rsidRPr="00DB4A13" w:rsidRDefault="00CB3B0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El procurador auxiliar P</w:t>
      </w:r>
      <w:r w:rsidR="00B77435" w:rsidRPr="00DB4A13">
        <w:rPr>
          <w:rFonts w:ascii="Cambria" w:hAnsi="Cambria"/>
          <w:sz w:val="20"/>
          <w:szCs w:val="20"/>
          <w:lang w:val="es-ES_tradnl"/>
        </w:rPr>
        <w:t xml:space="preserve">enal de Justicia de Chinandega </w:t>
      </w:r>
      <w:r w:rsidRPr="00DB4A13">
        <w:rPr>
          <w:rFonts w:ascii="Cambria" w:hAnsi="Cambria"/>
          <w:sz w:val="20"/>
          <w:szCs w:val="20"/>
          <w:lang w:val="es-ES_tradnl"/>
        </w:rPr>
        <w:t>presentó un escrito de denuncia en contra de Fernando Antonio Carcache Pineda, José Marcelino Ramírez Vargas, Ricardo Javier Salgado Ojeda, Silvio Antonio Vanegas Blandon, Francisco Simon Ordoñez Nájarez y José Reynaldo Pineda Silva como presuntos au</w:t>
      </w:r>
      <w:r w:rsidR="00EE50B7" w:rsidRPr="00DB4A13">
        <w:rPr>
          <w:rFonts w:ascii="Cambria" w:hAnsi="Cambria"/>
          <w:sz w:val="20"/>
          <w:szCs w:val="20"/>
          <w:lang w:val="es-ES_tradnl"/>
        </w:rPr>
        <w:t>tores de los delitos de homicid</w:t>
      </w:r>
      <w:r w:rsidRPr="00DB4A13">
        <w:rPr>
          <w:rFonts w:ascii="Cambria" w:hAnsi="Cambria"/>
          <w:sz w:val="20"/>
          <w:szCs w:val="20"/>
          <w:lang w:val="es-ES_tradnl"/>
        </w:rPr>
        <w:t>i</w:t>
      </w:r>
      <w:r w:rsidR="00EE50B7" w:rsidRPr="00DB4A13">
        <w:rPr>
          <w:rFonts w:ascii="Cambria" w:hAnsi="Cambria"/>
          <w:sz w:val="20"/>
          <w:szCs w:val="20"/>
          <w:lang w:val="es-ES_tradnl"/>
        </w:rPr>
        <w:t>o</w:t>
      </w:r>
      <w:r w:rsidRPr="00DB4A13">
        <w:rPr>
          <w:rFonts w:ascii="Cambria" w:hAnsi="Cambria"/>
          <w:sz w:val="20"/>
          <w:szCs w:val="20"/>
          <w:lang w:val="es-ES_tradnl"/>
        </w:rPr>
        <w:t xml:space="preserve"> doloso en perjuicio de Pedro Basil</w:t>
      </w:r>
      <w:r w:rsidR="00DE1751" w:rsidRPr="00DB4A13">
        <w:rPr>
          <w:rFonts w:ascii="Cambria" w:hAnsi="Cambria"/>
          <w:sz w:val="20"/>
          <w:szCs w:val="20"/>
          <w:lang w:val="es-ES_tradnl"/>
        </w:rPr>
        <w:t>i</w:t>
      </w:r>
      <w:r w:rsidRPr="00DB4A13">
        <w:rPr>
          <w:rFonts w:ascii="Cambria" w:hAnsi="Cambria"/>
          <w:sz w:val="20"/>
          <w:szCs w:val="20"/>
          <w:lang w:val="es-ES_tradnl"/>
        </w:rPr>
        <w:t xml:space="preserve">o </w:t>
      </w:r>
      <w:r w:rsidR="00F16C43" w:rsidRPr="00DB4A13">
        <w:rPr>
          <w:rFonts w:ascii="Cambria" w:hAnsi="Cambria"/>
          <w:sz w:val="20"/>
          <w:szCs w:val="20"/>
          <w:lang w:val="es-ES_tradnl"/>
        </w:rPr>
        <w:t xml:space="preserve">Roche Azaña </w:t>
      </w:r>
      <w:r w:rsidRPr="00DB4A13">
        <w:rPr>
          <w:rFonts w:ascii="Cambria" w:hAnsi="Cambria"/>
          <w:sz w:val="20"/>
          <w:szCs w:val="20"/>
          <w:lang w:val="es-ES_tradnl"/>
        </w:rPr>
        <w:t>y lesiones dolosas en perjui</w:t>
      </w:r>
      <w:r w:rsidR="00D20D55" w:rsidRPr="00DB4A13">
        <w:rPr>
          <w:rFonts w:ascii="Cambria" w:hAnsi="Cambria"/>
          <w:sz w:val="20"/>
          <w:szCs w:val="20"/>
          <w:lang w:val="es-ES_tradnl"/>
        </w:rPr>
        <w:t>c</w:t>
      </w:r>
      <w:r w:rsidRPr="00DB4A13">
        <w:rPr>
          <w:rFonts w:ascii="Cambria" w:hAnsi="Cambria"/>
          <w:sz w:val="20"/>
          <w:szCs w:val="20"/>
          <w:lang w:val="es-ES_tradnl"/>
        </w:rPr>
        <w:t>io de Patricio Roche</w:t>
      </w:r>
      <w:r w:rsidR="00E30333" w:rsidRPr="00DB4A13">
        <w:rPr>
          <w:rFonts w:ascii="Cambria" w:hAnsi="Cambria"/>
          <w:sz w:val="20"/>
          <w:szCs w:val="20"/>
          <w:lang w:val="es-ES_tradnl"/>
        </w:rPr>
        <w:t xml:space="preserve"> </w:t>
      </w:r>
      <w:r w:rsidR="004A0C33" w:rsidRPr="00DB4A13">
        <w:rPr>
          <w:rFonts w:ascii="Cambria" w:hAnsi="Cambria"/>
          <w:sz w:val="20"/>
          <w:szCs w:val="20"/>
          <w:lang w:val="es-ES_tradnl"/>
        </w:rPr>
        <w:t>Azaña</w:t>
      </w:r>
      <w:r w:rsidRPr="00DB4A13">
        <w:rPr>
          <w:rFonts w:ascii="Cambria" w:hAnsi="Cambria"/>
          <w:sz w:val="20"/>
          <w:szCs w:val="20"/>
          <w:lang w:val="es-ES_tradnl"/>
        </w:rPr>
        <w:t xml:space="preserve">, Maribel Quispe Pohuanare, Nora </w:t>
      </w:r>
      <w:r w:rsidR="00A630F5" w:rsidRPr="00DB4A13">
        <w:rPr>
          <w:rFonts w:ascii="Cambria" w:hAnsi="Cambria"/>
          <w:sz w:val="20"/>
          <w:szCs w:val="20"/>
          <w:lang w:val="es-ES_tradnl"/>
        </w:rPr>
        <w:t>Do</w:t>
      </w:r>
      <w:r w:rsidRPr="00DB4A13">
        <w:rPr>
          <w:rFonts w:ascii="Cambria" w:hAnsi="Cambria"/>
          <w:sz w:val="20"/>
          <w:szCs w:val="20"/>
          <w:lang w:val="es-ES_tradnl"/>
        </w:rPr>
        <w:t>za Samaniego, Adolfo Castillo Sarmiento y Marcelino Cajamarca Ruviola</w:t>
      </w:r>
      <w:r w:rsidR="00F16C43" w:rsidRPr="00DB4A13">
        <w:rPr>
          <w:rStyle w:val="FootnoteReference"/>
          <w:rFonts w:ascii="Cambria" w:hAnsi="Cambria"/>
          <w:sz w:val="20"/>
          <w:szCs w:val="20"/>
          <w:lang w:val="es-ES_tradnl"/>
        </w:rPr>
        <w:footnoteReference w:id="24"/>
      </w:r>
      <w:r w:rsidRPr="00DB4A13">
        <w:rPr>
          <w:rFonts w:ascii="Cambria" w:hAnsi="Cambria"/>
          <w:sz w:val="20"/>
          <w:szCs w:val="20"/>
          <w:lang w:val="es-ES_tradnl"/>
        </w:rPr>
        <w:t xml:space="preserve">. </w:t>
      </w:r>
    </w:p>
    <w:p w:rsidR="00CB3B0F" w:rsidRPr="00DB4A13" w:rsidRDefault="00CB3B0F" w:rsidP="00CB3B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FF2C18" w:rsidRPr="00DB4A13" w:rsidRDefault="00FF2C1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Mediante sentencia del Juzgado Primero de Distrito del Crimen, el 6 de mayo de 1996 se dictó auto de formal prisión a los procesados</w:t>
      </w:r>
      <w:r w:rsidR="007161B6" w:rsidRPr="00DB4A13">
        <w:rPr>
          <w:rFonts w:ascii="Cambria" w:hAnsi="Cambria"/>
          <w:sz w:val="20"/>
          <w:szCs w:val="20"/>
          <w:lang w:val="es-ES_tradnl"/>
        </w:rPr>
        <w:t xml:space="preserve"> </w:t>
      </w:r>
      <w:r w:rsidRPr="00DB4A13">
        <w:rPr>
          <w:rFonts w:ascii="Cambria" w:hAnsi="Cambria"/>
          <w:sz w:val="20"/>
          <w:szCs w:val="20"/>
          <w:lang w:val="es-ES_tradnl"/>
        </w:rPr>
        <w:t>Fernando Antonio Carcache Pineda, José Marcelino Ramírez Vargas, Ricardo Javier Salgado Ojeda, Silvio Antonio Vanegas Blandon, Francisco Simon Ordoñez Nájarez</w:t>
      </w:r>
      <w:r w:rsidR="00270AC9" w:rsidRPr="00DB4A13">
        <w:rPr>
          <w:rFonts w:ascii="Cambria" w:hAnsi="Cambria"/>
          <w:sz w:val="20"/>
          <w:szCs w:val="20"/>
          <w:lang w:val="es-ES_tradnl"/>
        </w:rPr>
        <w:t>. Asimismo, se absolvió</w:t>
      </w:r>
      <w:r w:rsidR="007161B6" w:rsidRPr="00DB4A13">
        <w:rPr>
          <w:rFonts w:ascii="Cambria" w:hAnsi="Cambria"/>
          <w:sz w:val="20"/>
          <w:szCs w:val="20"/>
          <w:lang w:val="es-ES_tradnl"/>
        </w:rPr>
        <w:t xml:space="preserve"> a José Reynaldo Pineda Silva</w:t>
      </w:r>
      <w:r w:rsidR="00BF17D9" w:rsidRPr="00DB4A13">
        <w:rPr>
          <w:rFonts w:ascii="Cambria" w:hAnsi="Cambria"/>
          <w:sz w:val="20"/>
          <w:szCs w:val="20"/>
          <w:lang w:val="es-ES_tradnl"/>
        </w:rPr>
        <w:t>, ya que no se logró determinar que hubiera realizado disparos el día de los hechos</w:t>
      </w:r>
      <w:r w:rsidR="007161B6" w:rsidRPr="00DB4A13">
        <w:rPr>
          <w:rStyle w:val="FootnoteReference"/>
          <w:rFonts w:ascii="Cambria" w:hAnsi="Cambria"/>
          <w:sz w:val="20"/>
          <w:szCs w:val="20"/>
          <w:lang w:val="es-ES_tradnl"/>
        </w:rPr>
        <w:footnoteReference w:id="25"/>
      </w:r>
      <w:r w:rsidR="007161B6" w:rsidRPr="00DB4A13">
        <w:rPr>
          <w:rFonts w:ascii="Cambria" w:hAnsi="Cambria"/>
          <w:sz w:val="20"/>
          <w:szCs w:val="20"/>
          <w:lang w:val="es-ES_tradnl"/>
        </w:rPr>
        <w:t>.</w:t>
      </w:r>
    </w:p>
    <w:p w:rsidR="007161B6" w:rsidRPr="00DB4A13" w:rsidRDefault="007161B6" w:rsidP="007161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C114BC" w:rsidRPr="00DB4A13" w:rsidRDefault="005209A7"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Mediante sentencia del Tribunal de Apelaciones, Región Occidental, Sala de lo Criminal del 28 de agosto de 1996, se resolvió confirmar el auto de segura y formal prisión </w:t>
      </w:r>
      <w:r w:rsidR="004015DA" w:rsidRPr="00DB4A13">
        <w:rPr>
          <w:rFonts w:ascii="Cambria" w:hAnsi="Cambria"/>
          <w:sz w:val="20"/>
          <w:szCs w:val="20"/>
          <w:lang w:val="es-ES_tradnl"/>
        </w:rPr>
        <w:t xml:space="preserve">a los procesados, </w:t>
      </w:r>
      <w:r w:rsidR="00EE50B7" w:rsidRPr="00DB4A13">
        <w:rPr>
          <w:rFonts w:ascii="Cambria" w:hAnsi="Cambria"/>
          <w:sz w:val="20"/>
          <w:szCs w:val="20"/>
          <w:lang w:val="es-ES_tradnl"/>
        </w:rPr>
        <w:t>con excepción de</w:t>
      </w:r>
      <w:r w:rsidR="004015DA" w:rsidRPr="00DB4A13">
        <w:rPr>
          <w:rFonts w:ascii="Cambria" w:hAnsi="Cambria"/>
          <w:sz w:val="20"/>
          <w:szCs w:val="20"/>
          <w:lang w:val="es-ES_tradnl"/>
        </w:rPr>
        <w:t xml:space="preserve"> Fernando Antonio Carcache, a quien se le revoc</w:t>
      </w:r>
      <w:r w:rsidR="00DF20FB" w:rsidRPr="00DB4A13">
        <w:rPr>
          <w:rFonts w:ascii="Cambria" w:hAnsi="Cambria"/>
          <w:sz w:val="20"/>
          <w:szCs w:val="20"/>
          <w:lang w:val="es-ES_tradnl"/>
        </w:rPr>
        <w:t>ó</w:t>
      </w:r>
      <w:r w:rsidR="004015DA" w:rsidRPr="00DB4A13">
        <w:rPr>
          <w:rFonts w:ascii="Cambria" w:hAnsi="Cambria"/>
          <w:sz w:val="20"/>
          <w:szCs w:val="20"/>
          <w:lang w:val="es-ES_tradnl"/>
        </w:rPr>
        <w:t xml:space="preserve"> y se dict</w:t>
      </w:r>
      <w:r w:rsidR="00DF20FB" w:rsidRPr="00DB4A13">
        <w:rPr>
          <w:rFonts w:ascii="Cambria" w:hAnsi="Cambria"/>
          <w:sz w:val="20"/>
          <w:szCs w:val="20"/>
          <w:lang w:val="es-ES_tradnl"/>
        </w:rPr>
        <w:t>ó</w:t>
      </w:r>
      <w:r w:rsidR="004015DA" w:rsidRPr="00DB4A13">
        <w:rPr>
          <w:rFonts w:ascii="Cambria" w:hAnsi="Cambria"/>
          <w:sz w:val="20"/>
          <w:szCs w:val="20"/>
          <w:lang w:val="es-ES_tradnl"/>
        </w:rPr>
        <w:t xml:space="preserve"> un sobreseimiento a su favor</w:t>
      </w:r>
      <w:r w:rsidR="006F04D5" w:rsidRPr="00DB4A13">
        <w:rPr>
          <w:rFonts w:ascii="Cambria" w:hAnsi="Cambria"/>
          <w:sz w:val="20"/>
          <w:szCs w:val="20"/>
          <w:lang w:val="es-ES_tradnl"/>
        </w:rPr>
        <w:t xml:space="preserve"> debido a que al momento de los hechos estaba aparcando la camioneta patrulla que en ese instante conducía</w:t>
      </w:r>
      <w:r w:rsidR="004015DA" w:rsidRPr="00DB4A13">
        <w:rPr>
          <w:rStyle w:val="FootnoteReference"/>
          <w:rFonts w:ascii="Cambria" w:hAnsi="Cambria"/>
          <w:sz w:val="20"/>
          <w:szCs w:val="20"/>
          <w:lang w:val="es-ES_tradnl"/>
        </w:rPr>
        <w:footnoteReference w:id="26"/>
      </w:r>
      <w:r w:rsidR="004015DA" w:rsidRPr="00DB4A13">
        <w:rPr>
          <w:rFonts w:ascii="Cambria" w:hAnsi="Cambria"/>
          <w:sz w:val="20"/>
          <w:szCs w:val="20"/>
          <w:lang w:val="es-ES_tradnl"/>
        </w:rPr>
        <w:t xml:space="preserve">. </w:t>
      </w:r>
    </w:p>
    <w:p w:rsidR="00196F01" w:rsidRPr="00DB4A13" w:rsidRDefault="00196F01" w:rsidP="00196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rsidR="00C114BC" w:rsidRPr="00DB4A13" w:rsidRDefault="00C114B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El 24 de febrero de 1997 el Tribunal de Jurados declaró a los procesados como inocentes de los delitos de homicidio doloso y lesiones dolosas</w:t>
      </w:r>
      <w:r w:rsidRPr="00DB4A13">
        <w:rPr>
          <w:rStyle w:val="FootnoteReference"/>
          <w:rFonts w:ascii="Cambria" w:hAnsi="Cambria"/>
          <w:sz w:val="20"/>
          <w:szCs w:val="20"/>
          <w:lang w:val="es-ES_tradnl"/>
        </w:rPr>
        <w:footnoteReference w:id="27"/>
      </w:r>
      <w:r w:rsidR="0023761B" w:rsidRPr="00DB4A13">
        <w:rPr>
          <w:rFonts w:ascii="Cambria" w:hAnsi="Cambria"/>
          <w:sz w:val="20"/>
          <w:szCs w:val="20"/>
          <w:lang w:val="es-ES_tradnl"/>
        </w:rPr>
        <w:t>. La Comisión observa que dicho fallo cuenta únicamente con</w:t>
      </w:r>
      <w:r w:rsidR="004A3DD9" w:rsidRPr="00DB4A13">
        <w:rPr>
          <w:rFonts w:ascii="Cambria" w:hAnsi="Cambria"/>
          <w:sz w:val="20"/>
          <w:szCs w:val="20"/>
          <w:lang w:val="es-ES_tradnl"/>
        </w:rPr>
        <w:t xml:space="preserve"> el sentido de la decisión, pero no </w:t>
      </w:r>
      <w:r w:rsidR="0023761B" w:rsidRPr="00DB4A13">
        <w:rPr>
          <w:rFonts w:ascii="Cambria" w:hAnsi="Cambria"/>
          <w:sz w:val="20"/>
          <w:szCs w:val="20"/>
          <w:lang w:val="es-ES_tradnl"/>
        </w:rPr>
        <w:t>con</w:t>
      </w:r>
      <w:r w:rsidR="004A3DD9" w:rsidRPr="00DB4A13">
        <w:rPr>
          <w:rFonts w:ascii="Cambria" w:hAnsi="Cambria"/>
          <w:sz w:val="20"/>
          <w:szCs w:val="20"/>
          <w:lang w:val="es-ES_tradnl"/>
        </w:rPr>
        <w:t xml:space="preserve">tiene </w:t>
      </w:r>
      <w:r w:rsidR="0023761B" w:rsidRPr="00DB4A13">
        <w:rPr>
          <w:rFonts w:ascii="Cambria" w:hAnsi="Cambria"/>
          <w:sz w:val="20"/>
          <w:szCs w:val="20"/>
          <w:lang w:val="es-ES_tradnl"/>
        </w:rPr>
        <w:t xml:space="preserve">la </w:t>
      </w:r>
      <w:r w:rsidR="004A3DD9" w:rsidRPr="00DB4A13">
        <w:rPr>
          <w:rFonts w:ascii="Cambria" w:hAnsi="Cambria"/>
          <w:sz w:val="20"/>
          <w:szCs w:val="20"/>
          <w:lang w:val="es-ES_tradnl"/>
        </w:rPr>
        <w:t xml:space="preserve">fundamentación sobre las razones de dicha </w:t>
      </w:r>
      <w:r w:rsidR="00DB7999" w:rsidRPr="00DB4A13">
        <w:rPr>
          <w:rFonts w:ascii="Cambria" w:hAnsi="Cambria"/>
          <w:sz w:val="20"/>
          <w:szCs w:val="20"/>
          <w:lang w:val="es-ES_tradnl"/>
        </w:rPr>
        <w:t>conclusión</w:t>
      </w:r>
      <w:r w:rsidR="004A3DD9" w:rsidRPr="00DB4A13">
        <w:rPr>
          <w:rFonts w:ascii="Cambria" w:hAnsi="Cambria"/>
          <w:sz w:val="20"/>
          <w:szCs w:val="20"/>
          <w:lang w:val="es-ES_tradnl"/>
        </w:rPr>
        <w:t xml:space="preserve"> del</w:t>
      </w:r>
      <w:r w:rsidR="00DB7999" w:rsidRPr="00DB4A13">
        <w:rPr>
          <w:rFonts w:ascii="Cambria" w:hAnsi="Cambria"/>
          <w:sz w:val="20"/>
          <w:szCs w:val="20"/>
          <w:lang w:val="es-ES_tradnl"/>
        </w:rPr>
        <w:t xml:space="preserve"> Jurado</w:t>
      </w:r>
      <w:r w:rsidRPr="00DB4A13">
        <w:rPr>
          <w:rFonts w:ascii="Cambria" w:hAnsi="Cambria"/>
          <w:sz w:val="20"/>
          <w:szCs w:val="20"/>
          <w:lang w:val="es-ES_tradnl"/>
        </w:rPr>
        <w:t xml:space="preserve">. </w:t>
      </w:r>
      <w:r w:rsidR="00DB7999" w:rsidRPr="00DB4A13">
        <w:rPr>
          <w:rFonts w:ascii="Cambria" w:hAnsi="Cambria"/>
          <w:sz w:val="20"/>
          <w:szCs w:val="20"/>
          <w:lang w:val="es-ES_tradnl"/>
        </w:rPr>
        <w:t xml:space="preserve">Siguiendo dicho veredicto, </w:t>
      </w:r>
      <w:r w:rsidRPr="00DB4A13">
        <w:rPr>
          <w:rFonts w:ascii="Cambria" w:hAnsi="Cambria"/>
          <w:sz w:val="20"/>
          <w:szCs w:val="20"/>
          <w:lang w:val="es-ES_tradnl"/>
        </w:rPr>
        <w:t xml:space="preserve">el Juzgado Primero de Distrito del Crimen de Chinandega el 27 de febrero </w:t>
      </w:r>
      <w:r w:rsidRPr="00DB4A13">
        <w:rPr>
          <w:rFonts w:ascii="Cambria" w:hAnsi="Cambria"/>
          <w:sz w:val="20"/>
          <w:szCs w:val="20"/>
          <w:lang w:val="es-ES_tradnl"/>
        </w:rPr>
        <w:lastRenderedPageBreak/>
        <w:t>de 1997</w:t>
      </w:r>
      <w:r w:rsidR="00C23210" w:rsidRPr="00DB4A13">
        <w:rPr>
          <w:rFonts w:ascii="Cambria" w:hAnsi="Cambria"/>
          <w:sz w:val="20"/>
          <w:szCs w:val="20"/>
          <w:lang w:val="es-ES_tradnl"/>
        </w:rPr>
        <w:t xml:space="preserve"> </w:t>
      </w:r>
      <w:r w:rsidRPr="00DB4A13">
        <w:rPr>
          <w:rFonts w:ascii="Cambria" w:hAnsi="Cambria"/>
          <w:sz w:val="20"/>
          <w:szCs w:val="20"/>
          <w:lang w:val="es-ES_tradnl"/>
        </w:rPr>
        <w:t>absolvió a los procesados</w:t>
      </w:r>
      <w:r w:rsidRPr="00DB4A13">
        <w:rPr>
          <w:rStyle w:val="FootnoteReference"/>
          <w:rFonts w:ascii="Cambria" w:hAnsi="Cambria"/>
          <w:sz w:val="20"/>
          <w:szCs w:val="20"/>
          <w:lang w:val="es-ES_tradnl"/>
        </w:rPr>
        <w:footnoteReference w:id="28"/>
      </w:r>
      <w:r w:rsidRPr="00DB4A13">
        <w:rPr>
          <w:rFonts w:ascii="Cambria" w:hAnsi="Cambria"/>
          <w:sz w:val="20"/>
          <w:szCs w:val="20"/>
          <w:lang w:val="es-ES_tradnl"/>
        </w:rPr>
        <w:t>.</w:t>
      </w:r>
      <w:r w:rsidR="00A07079" w:rsidRPr="00DB4A13">
        <w:rPr>
          <w:rFonts w:ascii="Cambria" w:hAnsi="Cambria"/>
          <w:sz w:val="20"/>
          <w:szCs w:val="20"/>
          <w:lang w:val="es-ES_tradnl"/>
        </w:rPr>
        <w:t xml:space="preserve"> Esta decisión tampoco cuenta con motivación</w:t>
      </w:r>
      <w:r w:rsidR="004A4935" w:rsidRPr="00DB4A13">
        <w:rPr>
          <w:rFonts w:ascii="Cambria" w:hAnsi="Cambria"/>
          <w:sz w:val="20"/>
          <w:szCs w:val="20"/>
          <w:lang w:val="es-ES_tradnl"/>
        </w:rPr>
        <w:t>.</w:t>
      </w:r>
      <w:r w:rsidRPr="00DB4A13">
        <w:rPr>
          <w:rFonts w:ascii="Cambria" w:hAnsi="Cambria"/>
          <w:sz w:val="20"/>
          <w:szCs w:val="20"/>
          <w:lang w:val="es-ES_tradnl"/>
        </w:rPr>
        <w:t xml:space="preserve"> </w:t>
      </w:r>
      <w:r w:rsidR="00D20D55" w:rsidRPr="00DB4A13">
        <w:rPr>
          <w:rFonts w:ascii="Cambria" w:hAnsi="Cambria"/>
          <w:sz w:val="20"/>
          <w:szCs w:val="20"/>
          <w:lang w:val="es-ES_tradnl"/>
        </w:rPr>
        <w:t>Dicha resolución es inapelable de acuerdo con las leyes del Estado nicaragüense</w:t>
      </w:r>
      <w:r w:rsidR="005605D6" w:rsidRPr="00DB4A13">
        <w:rPr>
          <w:rStyle w:val="FootnoteReference"/>
          <w:rFonts w:ascii="Cambria" w:hAnsi="Cambria"/>
          <w:sz w:val="20"/>
          <w:szCs w:val="20"/>
          <w:lang w:val="es-ES_tradnl"/>
        </w:rPr>
        <w:footnoteReference w:id="29"/>
      </w:r>
      <w:r w:rsidR="00D20D55" w:rsidRPr="00DB4A13">
        <w:rPr>
          <w:rFonts w:ascii="Cambria" w:hAnsi="Cambria"/>
          <w:sz w:val="20"/>
          <w:szCs w:val="20"/>
          <w:lang w:val="es-ES_tradnl"/>
        </w:rPr>
        <w:t xml:space="preserve">. </w:t>
      </w:r>
    </w:p>
    <w:p w:rsidR="004E7595" w:rsidRPr="00DB4A13" w:rsidRDefault="004E7595" w:rsidP="004E7595">
      <w:pPr>
        <w:pStyle w:val="ListParagraph"/>
        <w:rPr>
          <w:sz w:val="20"/>
          <w:szCs w:val="20"/>
          <w:lang w:val="es-ES_tradnl"/>
        </w:rPr>
      </w:pPr>
    </w:p>
    <w:p w:rsidR="00784464" w:rsidRPr="00BB3AE8" w:rsidRDefault="006D7696"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_tradnl"/>
        </w:rPr>
      </w:pPr>
      <w:r w:rsidRPr="00DB4A13">
        <w:rPr>
          <w:rFonts w:ascii="Cambria" w:hAnsi="Cambria"/>
          <w:sz w:val="20"/>
          <w:szCs w:val="20"/>
          <w:lang w:val="es-ES_tradnl"/>
        </w:rPr>
        <w:t xml:space="preserve">Durante </w:t>
      </w:r>
      <w:r w:rsidR="00B61582" w:rsidRPr="00DB4A13">
        <w:rPr>
          <w:rFonts w:ascii="Cambria" w:hAnsi="Cambria"/>
          <w:sz w:val="20"/>
          <w:szCs w:val="20"/>
          <w:lang w:val="es-ES_tradnl"/>
        </w:rPr>
        <w:t xml:space="preserve">la investigación se realizaron las siguientes diligencias: </w:t>
      </w:r>
      <w:r w:rsidRPr="00DB4A13">
        <w:rPr>
          <w:rFonts w:ascii="Cambria" w:hAnsi="Cambria"/>
          <w:sz w:val="20"/>
          <w:szCs w:val="20"/>
          <w:lang w:val="es-ES_tradnl"/>
        </w:rPr>
        <w:t>la toma de 32 declaraciones de personas migrantes que iban en la furgoneta</w:t>
      </w:r>
      <w:r w:rsidR="00A246B0" w:rsidRPr="00DB4A13">
        <w:rPr>
          <w:rStyle w:val="FootnoteReference"/>
          <w:rFonts w:ascii="Cambria" w:hAnsi="Cambria"/>
          <w:sz w:val="20"/>
          <w:szCs w:val="20"/>
          <w:lang w:val="es-ES_tradnl"/>
        </w:rPr>
        <w:footnoteReference w:id="30"/>
      </w:r>
      <w:r w:rsidRPr="00DB4A13">
        <w:rPr>
          <w:rFonts w:ascii="Cambria" w:hAnsi="Cambria"/>
          <w:sz w:val="20"/>
          <w:szCs w:val="20"/>
          <w:lang w:val="es-ES_tradnl"/>
        </w:rPr>
        <w:t>; 8 personas de nacionalidad nicaragüense que escucharon los disparos, o bien ayudaron a las personas que estaban heridas</w:t>
      </w:r>
      <w:r w:rsidR="00FC4C1C" w:rsidRPr="00DB4A13">
        <w:rPr>
          <w:rStyle w:val="FootnoteReference"/>
          <w:rFonts w:ascii="Cambria" w:hAnsi="Cambria"/>
          <w:sz w:val="20"/>
          <w:szCs w:val="20"/>
          <w:lang w:val="es-ES_tradnl"/>
        </w:rPr>
        <w:footnoteReference w:id="31"/>
      </w:r>
      <w:r w:rsidRPr="00DB4A13">
        <w:rPr>
          <w:rFonts w:ascii="Cambria" w:hAnsi="Cambria"/>
          <w:sz w:val="20"/>
          <w:szCs w:val="20"/>
          <w:lang w:val="es-ES_tradnl"/>
        </w:rPr>
        <w:t xml:space="preserve">; </w:t>
      </w:r>
      <w:r w:rsidR="00704A66" w:rsidRPr="00DB4A13">
        <w:rPr>
          <w:rFonts w:ascii="Cambria" w:hAnsi="Cambria"/>
          <w:sz w:val="20"/>
          <w:szCs w:val="20"/>
          <w:lang w:val="es-ES_tradnl"/>
        </w:rPr>
        <w:t>22 declaraciones de policías</w:t>
      </w:r>
      <w:r w:rsidR="00C80862" w:rsidRPr="00DB4A13">
        <w:rPr>
          <w:rFonts w:ascii="Cambria" w:hAnsi="Cambria"/>
          <w:sz w:val="20"/>
          <w:szCs w:val="20"/>
          <w:lang w:val="es-ES_tradnl"/>
        </w:rPr>
        <w:t xml:space="preserve"> que conoc</w:t>
      </w:r>
      <w:r w:rsidR="00700414" w:rsidRPr="00DB4A13">
        <w:rPr>
          <w:rFonts w:ascii="Cambria" w:hAnsi="Cambria"/>
          <w:sz w:val="20"/>
          <w:szCs w:val="20"/>
          <w:lang w:val="es-ES_tradnl"/>
        </w:rPr>
        <w:t>i</w:t>
      </w:r>
      <w:r w:rsidR="00C80862" w:rsidRPr="00DB4A13">
        <w:rPr>
          <w:rFonts w:ascii="Cambria" w:hAnsi="Cambria"/>
          <w:sz w:val="20"/>
          <w:szCs w:val="20"/>
          <w:lang w:val="es-ES_tradnl"/>
        </w:rPr>
        <w:t>eron los hechos</w:t>
      </w:r>
      <w:r w:rsidR="00FC4C1C" w:rsidRPr="00DB4A13">
        <w:rPr>
          <w:rStyle w:val="FootnoteReference"/>
          <w:rFonts w:ascii="Cambria" w:hAnsi="Cambria"/>
          <w:sz w:val="20"/>
          <w:szCs w:val="20"/>
          <w:lang w:val="es-ES_tradnl"/>
        </w:rPr>
        <w:footnoteReference w:id="32"/>
      </w:r>
      <w:r w:rsidR="00704A66" w:rsidRPr="00DB4A13">
        <w:rPr>
          <w:rFonts w:ascii="Cambria" w:hAnsi="Cambria"/>
          <w:sz w:val="20"/>
          <w:szCs w:val="20"/>
          <w:lang w:val="es-ES_tradnl"/>
        </w:rPr>
        <w:t xml:space="preserve">; las declaraciones de los inculpados </w:t>
      </w:r>
      <w:r w:rsidR="00C80862" w:rsidRPr="00DB4A13">
        <w:rPr>
          <w:rFonts w:ascii="Cambria" w:hAnsi="Cambria"/>
          <w:sz w:val="20"/>
          <w:szCs w:val="20"/>
          <w:lang w:val="es-ES_tradnl"/>
        </w:rPr>
        <w:t>que indicaron haber reali</w:t>
      </w:r>
      <w:r w:rsidR="00700414" w:rsidRPr="00DB4A13">
        <w:rPr>
          <w:rFonts w:ascii="Cambria" w:hAnsi="Cambria"/>
          <w:sz w:val="20"/>
          <w:szCs w:val="20"/>
          <w:lang w:val="es-ES_tradnl"/>
        </w:rPr>
        <w:t>zado disparos con arma de fuego</w:t>
      </w:r>
      <w:r w:rsidR="00615A5B" w:rsidRPr="00DB4A13">
        <w:rPr>
          <w:rStyle w:val="FootnoteReference"/>
          <w:rFonts w:ascii="Cambria" w:hAnsi="Cambria"/>
          <w:sz w:val="20"/>
          <w:szCs w:val="20"/>
          <w:lang w:val="es-ES_tradnl"/>
        </w:rPr>
        <w:footnoteReference w:id="33"/>
      </w:r>
      <w:r w:rsidR="00700414" w:rsidRPr="00DB4A13">
        <w:rPr>
          <w:rFonts w:ascii="Cambria" w:hAnsi="Cambria"/>
          <w:sz w:val="20"/>
          <w:szCs w:val="20"/>
          <w:lang w:val="es-ES_tradnl"/>
        </w:rPr>
        <w:t xml:space="preserve">. Asimismo, se realizó una </w:t>
      </w:r>
      <w:r w:rsidR="00C80862" w:rsidRPr="00DB4A13">
        <w:rPr>
          <w:rFonts w:ascii="Cambria" w:hAnsi="Cambria"/>
          <w:sz w:val="20"/>
          <w:szCs w:val="20"/>
          <w:lang w:val="es-ES_tradnl"/>
        </w:rPr>
        <w:t>inspección ocular de vehículo que</w:t>
      </w:r>
      <w:r w:rsidR="0023761B" w:rsidRPr="00DB4A13">
        <w:rPr>
          <w:rFonts w:ascii="Cambria" w:hAnsi="Cambria"/>
          <w:sz w:val="20"/>
          <w:szCs w:val="20"/>
          <w:lang w:val="es-ES_tradnl"/>
        </w:rPr>
        <w:t>, como se dijo,</w:t>
      </w:r>
      <w:r w:rsidR="00C80862" w:rsidRPr="00DB4A13">
        <w:rPr>
          <w:rFonts w:ascii="Cambria" w:hAnsi="Cambria"/>
          <w:sz w:val="20"/>
          <w:szCs w:val="20"/>
          <w:lang w:val="es-ES_tradnl"/>
        </w:rPr>
        <w:t xml:space="preserve"> presentó 6 orificios por balas de armas de fuego</w:t>
      </w:r>
      <w:r w:rsidR="00615A5B" w:rsidRPr="00DB4A13">
        <w:rPr>
          <w:rStyle w:val="FootnoteReference"/>
          <w:rFonts w:ascii="Cambria" w:hAnsi="Cambria"/>
          <w:sz w:val="20"/>
          <w:szCs w:val="20"/>
          <w:lang w:val="es-ES_tradnl"/>
        </w:rPr>
        <w:footnoteReference w:id="34"/>
      </w:r>
      <w:r w:rsidR="00C80862" w:rsidRPr="00DB4A13">
        <w:rPr>
          <w:rFonts w:ascii="Cambria" w:hAnsi="Cambria"/>
          <w:sz w:val="20"/>
          <w:szCs w:val="20"/>
          <w:lang w:val="es-ES_tradnl"/>
        </w:rPr>
        <w:t>;</w:t>
      </w:r>
      <w:r w:rsidR="00700414" w:rsidRPr="00DB4A13">
        <w:rPr>
          <w:rFonts w:ascii="Cambria" w:hAnsi="Cambria"/>
          <w:sz w:val="20"/>
          <w:szCs w:val="20"/>
          <w:lang w:val="es-ES_tradnl"/>
        </w:rPr>
        <w:t xml:space="preserve"> una</w:t>
      </w:r>
      <w:r w:rsidR="00C80862" w:rsidRPr="00DB4A13">
        <w:rPr>
          <w:rFonts w:ascii="Cambria" w:hAnsi="Cambria"/>
          <w:sz w:val="20"/>
          <w:szCs w:val="20"/>
          <w:lang w:val="es-ES_tradnl"/>
        </w:rPr>
        <w:t xml:space="preserve"> inspección ocular </w:t>
      </w:r>
      <w:r w:rsidR="00700414" w:rsidRPr="00DB4A13">
        <w:rPr>
          <w:rFonts w:ascii="Cambria" w:hAnsi="Cambria"/>
          <w:sz w:val="20"/>
          <w:szCs w:val="20"/>
          <w:lang w:val="es-ES_tradnl"/>
        </w:rPr>
        <w:t>en donde se</w:t>
      </w:r>
      <w:r w:rsidR="00C80862" w:rsidRPr="00DB4A13">
        <w:rPr>
          <w:rFonts w:ascii="Cambria" w:hAnsi="Cambria"/>
          <w:sz w:val="20"/>
          <w:szCs w:val="20"/>
          <w:lang w:val="es-ES_tradnl"/>
        </w:rPr>
        <w:t xml:space="preserve"> encontr</w:t>
      </w:r>
      <w:r w:rsidR="00700414" w:rsidRPr="00DB4A13">
        <w:rPr>
          <w:rFonts w:ascii="Cambria" w:hAnsi="Cambria"/>
          <w:sz w:val="20"/>
          <w:szCs w:val="20"/>
          <w:lang w:val="es-ES_tradnl"/>
        </w:rPr>
        <w:t xml:space="preserve">aron </w:t>
      </w:r>
      <w:r w:rsidR="008B7614" w:rsidRPr="00DB4A13">
        <w:rPr>
          <w:rFonts w:ascii="Cambria" w:hAnsi="Cambria"/>
          <w:sz w:val="20"/>
          <w:szCs w:val="20"/>
          <w:lang w:val="es-ES_tradnl"/>
        </w:rPr>
        <w:t>9</w:t>
      </w:r>
      <w:r w:rsidR="00C80862" w:rsidRPr="00DB4A13">
        <w:rPr>
          <w:rFonts w:ascii="Cambria" w:hAnsi="Cambria"/>
          <w:sz w:val="20"/>
          <w:szCs w:val="20"/>
          <w:lang w:val="es-ES_tradnl"/>
        </w:rPr>
        <w:t xml:space="preserve"> casquillos</w:t>
      </w:r>
      <w:r w:rsidR="00615A5B" w:rsidRPr="00DB4A13">
        <w:rPr>
          <w:rStyle w:val="FootnoteReference"/>
          <w:rFonts w:ascii="Cambria" w:hAnsi="Cambria"/>
          <w:sz w:val="20"/>
          <w:szCs w:val="20"/>
          <w:lang w:val="es-ES_tradnl"/>
        </w:rPr>
        <w:footnoteReference w:id="35"/>
      </w:r>
      <w:r w:rsidR="00C80862" w:rsidRPr="00DB4A13">
        <w:rPr>
          <w:rFonts w:ascii="Cambria" w:hAnsi="Cambria"/>
          <w:sz w:val="20"/>
          <w:szCs w:val="20"/>
          <w:lang w:val="es-ES_tradnl"/>
        </w:rPr>
        <w:t xml:space="preserve">; </w:t>
      </w:r>
      <w:r w:rsidR="00700414" w:rsidRPr="00DB4A13">
        <w:rPr>
          <w:rFonts w:ascii="Cambria" w:hAnsi="Cambria"/>
          <w:sz w:val="20"/>
          <w:szCs w:val="20"/>
          <w:lang w:val="es-ES_tradnl"/>
        </w:rPr>
        <w:t xml:space="preserve">se realizó un </w:t>
      </w:r>
      <w:r w:rsidR="00C80862" w:rsidRPr="00DB4A13">
        <w:rPr>
          <w:rFonts w:ascii="Cambria" w:hAnsi="Cambria"/>
          <w:sz w:val="20"/>
          <w:szCs w:val="20"/>
          <w:lang w:val="es-ES_tradnl"/>
        </w:rPr>
        <w:t>croquis del lugar de</w:t>
      </w:r>
      <w:r w:rsidR="00700414" w:rsidRPr="00DB4A13">
        <w:rPr>
          <w:rFonts w:ascii="Cambria" w:hAnsi="Cambria"/>
          <w:sz w:val="20"/>
          <w:szCs w:val="20"/>
          <w:lang w:val="es-ES_tradnl"/>
        </w:rPr>
        <w:t xml:space="preserve"> los hechos</w:t>
      </w:r>
      <w:r w:rsidR="00615A5B" w:rsidRPr="00DB4A13">
        <w:rPr>
          <w:rStyle w:val="FootnoteReference"/>
          <w:rFonts w:ascii="Cambria" w:hAnsi="Cambria"/>
          <w:sz w:val="20"/>
          <w:szCs w:val="20"/>
          <w:lang w:val="es-ES_tradnl"/>
        </w:rPr>
        <w:footnoteReference w:id="36"/>
      </w:r>
      <w:r w:rsidR="00700414" w:rsidRPr="00DB4A13">
        <w:rPr>
          <w:rFonts w:ascii="Cambria" w:hAnsi="Cambria"/>
          <w:sz w:val="20"/>
          <w:szCs w:val="20"/>
          <w:lang w:val="es-ES_tradnl"/>
        </w:rPr>
        <w:t>; se realizaron dictámenes médicos a las personas heridas</w:t>
      </w:r>
      <w:r w:rsidR="00026333" w:rsidRPr="00DB4A13">
        <w:rPr>
          <w:rStyle w:val="FootnoteReference"/>
          <w:rFonts w:ascii="Cambria" w:hAnsi="Cambria"/>
          <w:sz w:val="20"/>
          <w:szCs w:val="20"/>
          <w:lang w:val="es-ES_tradnl"/>
        </w:rPr>
        <w:footnoteReference w:id="37"/>
      </w:r>
      <w:r w:rsidR="00700414" w:rsidRPr="00DB4A13">
        <w:rPr>
          <w:rFonts w:ascii="Cambria" w:hAnsi="Cambria"/>
          <w:sz w:val="20"/>
          <w:szCs w:val="20"/>
          <w:lang w:val="es-ES_tradnl"/>
        </w:rPr>
        <w:t xml:space="preserve"> y se realizó una inspección del cadáver</w:t>
      </w:r>
      <w:r w:rsidR="00026333" w:rsidRPr="00DB4A13">
        <w:rPr>
          <w:rStyle w:val="FootnoteReference"/>
          <w:rFonts w:ascii="Cambria" w:hAnsi="Cambria"/>
          <w:sz w:val="20"/>
          <w:szCs w:val="20"/>
          <w:lang w:val="es-ES_tradnl"/>
        </w:rPr>
        <w:footnoteReference w:id="38"/>
      </w:r>
      <w:r w:rsidR="00700414" w:rsidRPr="00DB4A13">
        <w:rPr>
          <w:rFonts w:ascii="Cambria" w:hAnsi="Cambria"/>
          <w:sz w:val="20"/>
          <w:szCs w:val="20"/>
          <w:lang w:val="es-ES_tradnl"/>
        </w:rPr>
        <w:t xml:space="preserve">. </w:t>
      </w:r>
      <w:r w:rsidR="008B7614" w:rsidRPr="00DB4A13">
        <w:rPr>
          <w:rFonts w:ascii="Cambria" w:hAnsi="Cambria"/>
          <w:sz w:val="20"/>
          <w:szCs w:val="20"/>
          <w:lang w:val="es-ES_tradnl"/>
        </w:rPr>
        <w:t>Adicionalmente</w:t>
      </w:r>
      <w:r w:rsidR="00700414" w:rsidRPr="00DB4A13">
        <w:rPr>
          <w:rFonts w:ascii="Cambria" w:hAnsi="Cambria"/>
          <w:sz w:val="20"/>
          <w:szCs w:val="20"/>
          <w:lang w:val="es-ES_tradnl"/>
        </w:rPr>
        <w:t>, se realizaron periciales balísticas y químicas de los fusiles AKA</w:t>
      </w:r>
      <w:r w:rsidR="00026333" w:rsidRPr="00DB4A13">
        <w:rPr>
          <w:rStyle w:val="FootnoteReference"/>
          <w:rFonts w:ascii="Cambria" w:hAnsi="Cambria"/>
          <w:sz w:val="20"/>
          <w:szCs w:val="20"/>
          <w:lang w:val="es-ES_tradnl"/>
        </w:rPr>
        <w:footnoteReference w:id="39"/>
      </w:r>
      <w:r w:rsidR="00700414" w:rsidRPr="00DB4A13">
        <w:rPr>
          <w:rFonts w:ascii="Cambria" w:hAnsi="Cambria"/>
          <w:sz w:val="20"/>
          <w:szCs w:val="20"/>
          <w:lang w:val="es-ES_tradnl"/>
        </w:rPr>
        <w:t xml:space="preserve"> y las huellas de disparo, mediante los cuales se estableció la conexión entre fusiles y casquillos. Finalmente, se realizó una pericial relacionada con la sangre y el pelo encontrados en la furgoneta</w:t>
      </w:r>
      <w:r w:rsidR="009A519F" w:rsidRPr="00DB4A13">
        <w:rPr>
          <w:rStyle w:val="FootnoteReference"/>
          <w:rFonts w:ascii="Cambria" w:hAnsi="Cambria"/>
          <w:sz w:val="20"/>
          <w:szCs w:val="20"/>
          <w:lang w:val="es-ES_tradnl"/>
        </w:rPr>
        <w:footnoteReference w:id="40"/>
      </w:r>
      <w:r w:rsidR="00700414" w:rsidRPr="00DB4A13">
        <w:rPr>
          <w:rFonts w:ascii="Cambria" w:hAnsi="Cambria"/>
          <w:sz w:val="20"/>
          <w:szCs w:val="20"/>
          <w:lang w:val="es-ES_tradnl"/>
        </w:rPr>
        <w:t xml:space="preserve">, que coincidieron con las personas migrantes. </w:t>
      </w:r>
    </w:p>
    <w:p w:rsidR="00303B1F" w:rsidRPr="00DB4A13" w:rsidRDefault="00303B1F" w:rsidP="00356B7C">
      <w:pPr>
        <w:pStyle w:val="Heading2"/>
        <w:numPr>
          <w:ilvl w:val="0"/>
          <w:numId w:val="60"/>
        </w:numPr>
        <w:ind w:hanging="90"/>
        <w:rPr>
          <w:b w:val="0"/>
          <w:sz w:val="20"/>
          <w:szCs w:val="20"/>
          <w:lang w:val="es-ES_tradnl"/>
        </w:rPr>
      </w:pPr>
      <w:bookmarkStart w:id="8" w:name="_Toc536087980"/>
      <w:r w:rsidRPr="00BB3AE8">
        <w:rPr>
          <w:rFonts w:asciiTheme="majorHAnsi" w:hAnsiTheme="majorHAnsi"/>
          <w:i w:val="0"/>
          <w:sz w:val="20"/>
          <w:szCs w:val="20"/>
          <w:lang w:val="es-ES_tradnl"/>
        </w:rPr>
        <w:t>Sobre la falta de participación de Patricio Roche Azaña en los procedimientos</w:t>
      </w:r>
      <w:bookmarkEnd w:id="8"/>
      <w:r w:rsidRPr="00DB4A13">
        <w:rPr>
          <w:sz w:val="20"/>
          <w:szCs w:val="20"/>
          <w:lang w:val="es-ES_tradnl"/>
        </w:rPr>
        <w:t xml:space="preserve"> </w:t>
      </w:r>
    </w:p>
    <w:p w:rsidR="00303B1F" w:rsidRPr="00DB4A13" w:rsidRDefault="00303B1F" w:rsidP="00303B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rsidR="00303B1F" w:rsidRPr="00DB4A13" w:rsidRDefault="00303B1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El Código de Instrucción Criminal señalaba que las primeras diligencias de instrucción criminal dirigidas a recabar todos los elementos de prueba que permitan dar por comprobado o no el cuerpo del delito, y declarada por demostrada o no la responsabilidad penal de los procesados, debían concluir dentro del término perentorio de 10 días desde que se dictó la resolución que daba apertura al proceso penal, de lo contrario deberían ponerse en libertad a los procesados por detención ilegal</w:t>
      </w:r>
      <w:r w:rsidRPr="00DB4A13">
        <w:rPr>
          <w:rStyle w:val="FootnoteReference"/>
          <w:rFonts w:ascii="Cambria" w:hAnsi="Cambria"/>
          <w:sz w:val="20"/>
          <w:szCs w:val="20"/>
          <w:lang w:val="es-ES_tradnl"/>
        </w:rPr>
        <w:footnoteReference w:id="41"/>
      </w:r>
      <w:r w:rsidRPr="00DB4A13">
        <w:rPr>
          <w:rFonts w:ascii="Cambria" w:hAnsi="Cambria"/>
          <w:sz w:val="20"/>
          <w:szCs w:val="20"/>
          <w:lang w:val="es-ES_tradnl"/>
        </w:rPr>
        <w:t>.</w:t>
      </w:r>
    </w:p>
    <w:p w:rsidR="00303B1F" w:rsidRPr="00DB4A13" w:rsidRDefault="00303B1F" w:rsidP="00303B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r w:rsidRPr="00DB4A13">
        <w:rPr>
          <w:rFonts w:ascii="Cambria" w:hAnsi="Cambria"/>
          <w:sz w:val="20"/>
          <w:szCs w:val="20"/>
          <w:lang w:val="es-ES_tradnl"/>
        </w:rPr>
        <w:t xml:space="preserve"> </w:t>
      </w:r>
    </w:p>
    <w:p w:rsidR="00303B1F" w:rsidRPr="00DB4A13" w:rsidRDefault="00303B1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Siguiendo con dicho criterio, de oficio se ordenó tomar declaración </w:t>
      </w:r>
      <w:r w:rsidRPr="00DB4A13">
        <w:rPr>
          <w:rFonts w:ascii="Cambria" w:hAnsi="Cambria"/>
          <w:i/>
          <w:sz w:val="20"/>
          <w:szCs w:val="20"/>
          <w:lang w:val="es-ES_tradnl"/>
        </w:rPr>
        <w:t>ad-inquerendum</w:t>
      </w:r>
      <w:r w:rsidRPr="00DB4A13">
        <w:rPr>
          <w:rFonts w:ascii="Cambria" w:hAnsi="Cambria"/>
          <w:sz w:val="20"/>
          <w:szCs w:val="20"/>
          <w:lang w:val="es-ES_tradnl"/>
        </w:rPr>
        <w:t xml:space="preserve"> a las personas hospitalizadas en el Hospital España, haciéndoles saber que tienen una intervención en el proceso. En este s</w:t>
      </w:r>
      <w:r w:rsidR="00A630F5" w:rsidRPr="00DB4A13">
        <w:rPr>
          <w:rFonts w:ascii="Cambria" w:hAnsi="Cambria"/>
          <w:sz w:val="20"/>
          <w:szCs w:val="20"/>
          <w:lang w:val="es-ES_tradnl"/>
        </w:rPr>
        <w:t>entido, Maribel Quispe y Nora Do</w:t>
      </w:r>
      <w:r w:rsidRPr="00DB4A13">
        <w:rPr>
          <w:rFonts w:ascii="Cambria" w:hAnsi="Cambria"/>
          <w:sz w:val="20"/>
          <w:szCs w:val="20"/>
          <w:lang w:val="es-ES_tradnl"/>
        </w:rPr>
        <w:t xml:space="preserve">za Samaniego se unieron al proceso rindiendo sus correspondientes declaraciones </w:t>
      </w:r>
      <w:r w:rsidRPr="00DB4A13">
        <w:rPr>
          <w:rFonts w:ascii="Cambria" w:hAnsi="Cambria"/>
          <w:i/>
          <w:sz w:val="20"/>
          <w:szCs w:val="20"/>
          <w:lang w:val="es-ES_tradnl"/>
        </w:rPr>
        <w:t>ad-inquerendum</w:t>
      </w:r>
      <w:r w:rsidRPr="00DB4A13">
        <w:rPr>
          <w:rStyle w:val="FootnoteReference"/>
          <w:rFonts w:ascii="Cambria" w:hAnsi="Cambria"/>
          <w:sz w:val="20"/>
          <w:szCs w:val="20"/>
          <w:lang w:val="es-ES_tradnl"/>
        </w:rPr>
        <w:footnoteReference w:id="42"/>
      </w:r>
      <w:r w:rsidRPr="00DB4A13">
        <w:rPr>
          <w:rFonts w:ascii="Cambria" w:hAnsi="Cambria"/>
          <w:sz w:val="20"/>
          <w:szCs w:val="20"/>
          <w:lang w:val="es-ES_tradnl"/>
        </w:rPr>
        <w:t xml:space="preserve">. </w:t>
      </w:r>
    </w:p>
    <w:p w:rsidR="00303B1F" w:rsidRPr="00DB4A13" w:rsidRDefault="00303B1F" w:rsidP="00303B1F">
      <w:pPr>
        <w:pStyle w:val="ListParagraph"/>
        <w:rPr>
          <w:sz w:val="20"/>
          <w:szCs w:val="20"/>
          <w:lang w:val="es-ES_tradnl"/>
        </w:rPr>
      </w:pPr>
    </w:p>
    <w:p w:rsidR="00303B1F" w:rsidRPr="00DB4A13" w:rsidRDefault="00303B1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 No obstante, cuando las autoridades se apersonaron al Hospital a tomar la declaración de Patricio Roche Azaña, fueron impedidas por el estado de salud en el que </w:t>
      </w:r>
      <w:r w:rsidR="00565547" w:rsidRPr="00DB4A13">
        <w:rPr>
          <w:rFonts w:ascii="Cambria" w:hAnsi="Cambria"/>
          <w:sz w:val="20"/>
          <w:szCs w:val="20"/>
          <w:lang w:val="es-ES_tradnl"/>
        </w:rPr>
        <w:t>la presunta víctima</w:t>
      </w:r>
      <w:r w:rsidRPr="00DB4A13">
        <w:rPr>
          <w:rFonts w:ascii="Cambria" w:hAnsi="Cambria"/>
          <w:sz w:val="20"/>
          <w:szCs w:val="20"/>
          <w:lang w:val="es-ES_tradnl"/>
        </w:rPr>
        <w:t xml:space="preserve"> se encontraba, </w:t>
      </w:r>
      <w:r w:rsidRPr="00DB4A13">
        <w:rPr>
          <w:rFonts w:ascii="Cambria" w:hAnsi="Cambria"/>
          <w:sz w:val="20"/>
          <w:szCs w:val="20"/>
          <w:lang w:val="es-ES_tradnl"/>
        </w:rPr>
        <w:lastRenderedPageBreak/>
        <w:t>puesto que estaba en estado de coma</w:t>
      </w:r>
      <w:r w:rsidRPr="00DB4A13">
        <w:rPr>
          <w:rStyle w:val="FootnoteReference"/>
          <w:rFonts w:ascii="Cambria" w:hAnsi="Cambria"/>
          <w:sz w:val="20"/>
          <w:szCs w:val="20"/>
          <w:lang w:val="es-ES_tradnl"/>
        </w:rPr>
        <w:footnoteReference w:id="43"/>
      </w:r>
      <w:r w:rsidRPr="00DB4A13">
        <w:rPr>
          <w:rFonts w:ascii="Cambria" w:hAnsi="Cambria"/>
          <w:sz w:val="20"/>
          <w:szCs w:val="20"/>
          <w:lang w:val="es-ES_tradnl"/>
        </w:rPr>
        <w:t>. De acuerdo con el Estado, “la ausencia del testimonio del ofendido fue justificada por el estado de salud en que se encontraba y no fue trascendental para los fines del proceso”</w:t>
      </w:r>
      <w:r w:rsidRPr="00DB4A13">
        <w:rPr>
          <w:rStyle w:val="FootnoteReference"/>
          <w:rFonts w:ascii="Cambria" w:hAnsi="Cambria"/>
          <w:sz w:val="20"/>
          <w:szCs w:val="20"/>
          <w:lang w:val="es-ES_tradnl"/>
        </w:rPr>
        <w:footnoteReference w:id="44"/>
      </w:r>
      <w:r w:rsidRPr="00DB4A13">
        <w:rPr>
          <w:rFonts w:ascii="Cambria" w:hAnsi="Cambria"/>
          <w:sz w:val="20"/>
          <w:szCs w:val="20"/>
          <w:lang w:val="es-ES_tradnl"/>
        </w:rPr>
        <w:t xml:space="preserve">. </w:t>
      </w:r>
    </w:p>
    <w:p w:rsidR="00303B1F" w:rsidRPr="00DB4A13" w:rsidRDefault="00303B1F" w:rsidP="00303B1F">
      <w:pPr>
        <w:pStyle w:val="ListParagraph"/>
        <w:rPr>
          <w:sz w:val="20"/>
          <w:szCs w:val="20"/>
          <w:lang w:val="es-ES_tradnl"/>
        </w:rPr>
      </w:pPr>
    </w:p>
    <w:p w:rsidR="00134732" w:rsidRPr="00DB4A13" w:rsidRDefault="00303B1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 Finalmente, las resoluciones que se tomaron en el caso fueron notificadas únicamente</w:t>
      </w:r>
      <w:r w:rsidR="00CE611C" w:rsidRPr="00DB4A13">
        <w:rPr>
          <w:rFonts w:ascii="Cambria" w:hAnsi="Cambria"/>
          <w:sz w:val="20"/>
          <w:szCs w:val="20"/>
          <w:lang w:val="es-ES_tradnl"/>
        </w:rPr>
        <w:t xml:space="preserve"> a</w:t>
      </w:r>
      <w:r w:rsidRPr="00DB4A13">
        <w:rPr>
          <w:rFonts w:ascii="Cambria" w:hAnsi="Cambria"/>
          <w:sz w:val="20"/>
          <w:szCs w:val="20"/>
          <w:lang w:val="es-ES_tradnl"/>
        </w:rPr>
        <w:t xml:space="preserve"> las personas que intervinieron activamente en el proceso como denunciantes o acusadores particulares, de acuerdo con la normativa interna del Estado nicaragüense. Del expediente se aprecia que </w:t>
      </w:r>
      <w:r w:rsidR="00134732" w:rsidRPr="00DB4A13">
        <w:rPr>
          <w:rFonts w:ascii="Cambria" w:hAnsi="Cambria"/>
          <w:sz w:val="20"/>
          <w:szCs w:val="20"/>
          <w:lang w:val="es-ES_tradnl"/>
        </w:rPr>
        <w:t>las notificaciones a las ofendidas Nora Doza Samaniego y a Maribel Quispe Pomahuanare</w:t>
      </w:r>
      <w:r w:rsidR="00A475CC" w:rsidRPr="00DB4A13">
        <w:rPr>
          <w:rFonts w:ascii="Cambria" w:hAnsi="Cambria"/>
          <w:sz w:val="20"/>
          <w:szCs w:val="20"/>
          <w:lang w:val="es-ES_tradnl"/>
        </w:rPr>
        <w:t>, se realizaron</w:t>
      </w:r>
      <w:r w:rsidR="00134732" w:rsidRPr="00DB4A13">
        <w:rPr>
          <w:rFonts w:ascii="Cambria" w:hAnsi="Cambria"/>
          <w:sz w:val="20"/>
          <w:szCs w:val="20"/>
          <w:lang w:val="es-ES_tradnl"/>
        </w:rPr>
        <w:t xml:space="preserve"> por medio de cédula, misma que se dejó fija en la tabla de aviso</w:t>
      </w:r>
      <w:r w:rsidR="00134732" w:rsidRPr="00DB4A13">
        <w:rPr>
          <w:rStyle w:val="FootnoteReference"/>
          <w:rFonts w:ascii="Cambria" w:hAnsi="Cambria"/>
          <w:sz w:val="20"/>
          <w:szCs w:val="20"/>
          <w:lang w:val="es-ES_tradnl"/>
        </w:rPr>
        <w:footnoteReference w:id="45"/>
      </w:r>
      <w:r w:rsidR="00134732" w:rsidRPr="00DB4A13">
        <w:rPr>
          <w:rFonts w:ascii="Cambria" w:hAnsi="Cambria"/>
          <w:sz w:val="20"/>
          <w:szCs w:val="20"/>
          <w:lang w:val="es-ES_tradnl"/>
        </w:rPr>
        <w:t>.</w:t>
      </w:r>
      <w:r w:rsidR="00A475CC" w:rsidRPr="00DB4A13">
        <w:rPr>
          <w:rFonts w:ascii="Cambria" w:hAnsi="Cambria"/>
          <w:sz w:val="20"/>
          <w:szCs w:val="20"/>
          <w:lang w:val="es-ES_tradnl"/>
        </w:rPr>
        <w:t xml:space="preserve"> Lo anterior debido a que para ese momento, ambas ya habían regresado a Perú. </w:t>
      </w:r>
      <w:r w:rsidR="00134732" w:rsidRPr="00DB4A13">
        <w:rPr>
          <w:rFonts w:ascii="Cambria" w:hAnsi="Cambria"/>
          <w:sz w:val="20"/>
          <w:szCs w:val="20"/>
          <w:lang w:val="es-ES_tradnl"/>
        </w:rPr>
        <w:t xml:space="preserve"> </w:t>
      </w:r>
    </w:p>
    <w:p w:rsidR="00303B1F" w:rsidRPr="00DB4A13" w:rsidRDefault="00303B1F" w:rsidP="00A475CC">
      <w:pPr>
        <w:rPr>
          <w:rFonts w:ascii="Cambria" w:hAnsi="Cambria"/>
          <w:sz w:val="20"/>
          <w:szCs w:val="20"/>
          <w:lang w:val="es-ES_tradnl"/>
        </w:rPr>
      </w:pPr>
    </w:p>
    <w:p w:rsidR="004D2720" w:rsidRPr="00096753" w:rsidRDefault="00303B1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Debido a lo anterior, ninguna decisión judicial dictada el caso </w:t>
      </w:r>
      <w:r w:rsidR="00AD7E70">
        <w:rPr>
          <w:rFonts w:ascii="Cambria" w:hAnsi="Cambria"/>
          <w:sz w:val="20"/>
          <w:szCs w:val="20"/>
          <w:lang w:val="es-ES_tradnl"/>
        </w:rPr>
        <w:t xml:space="preserve">le </w:t>
      </w:r>
      <w:r w:rsidRPr="00DB4A13">
        <w:rPr>
          <w:rFonts w:ascii="Cambria" w:hAnsi="Cambria"/>
          <w:sz w:val="20"/>
          <w:szCs w:val="20"/>
          <w:lang w:val="es-ES_tradnl"/>
        </w:rPr>
        <w:t xml:space="preserve">fue notificada a Patricio Roche Azaña o a sus familiares. La primera vez que se enteró sobre la resolución judicial fue en agosto de 1998, cuando su madre recibió informalmente por parte de un funcionario de la cancillería de Ecuador una copia de la sentencia dictada por el Tribunal de Jurados del Distrito del Crimen de Chinandega. </w:t>
      </w:r>
    </w:p>
    <w:p w:rsidR="00F7335F" w:rsidRPr="00096753" w:rsidRDefault="00F7335F" w:rsidP="00096753">
      <w:pPr>
        <w:pStyle w:val="Heading1"/>
        <w:ind w:hanging="90"/>
        <w:rPr>
          <w:color w:val="auto"/>
          <w:sz w:val="20"/>
          <w:szCs w:val="20"/>
          <w:lang w:val="es-ES_tradnl"/>
        </w:rPr>
      </w:pPr>
      <w:bookmarkStart w:id="9" w:name="_Toc536087981"/>
      <w:r w:rsidRPr="00096753">
        <w:rPr>
          <w:color w:val="auto"/>
          <w:sz w:val="20"/>
          <w:szCs w:val="20"/>
          <w:lang w:val="es-ES_tradnl"/>
        </w:rPr>
        <w:t>ANÁLISIS DE DERECHO</w:t>
      </w:r>
      <w:bookmarkEnd w:id="9"/>
    </w:p>
    <w:p w:rsidR="00E3162B" w:rsidRPr="00DB4A13" w:rsidRDefault="00E3162B" w:rsidP="00B265DD">
      <w:pPr>
        <w:suppressAutoHyphens/>
        <w:rPr>
          <w:rFonts w:ascii="Cambria" w:hAnsi="Cambria"/>
          <w:b/>
          <w:sz w:val="20"/>
          <w:szCs w:val="20"/>
          <w:lang w:val="es-ES_tradnl"/>
        </w:rPr>
      </w:pPr>
    </w:p>
    <w:p w:rsidR="00B265DD" w:rsidRDefault="00E3162B" w:rsidP="00356B7C">
      <w:pPr>
        <w:pStyle w:val="Heading2"/>
        <w:numPr>
          <w:ilvl w:val="0"/>
          <w:numId w:val="57"/>
        </w:numPr>
        <w:spacing w:before="0" w:after="0"/>
        <w:ind w:left="1440" w:hanging="720"/>
        <w:jc w:val="both"/>
        <w:rPr>
          <w:rFonts w:ascii="Cambria" w:hAnsi="Cambria"/>
          <w:i w:val="0"/>
          <w:sz w:val="20"/>
          <w:szCs w:val="20"/>
          <w:lang w:val="es-ES"/>
        </w:rPr>
      </w:pPr>
      <w:bookmarkStart w:id="10" w:name="_Toc536087982"/>
      <w:r w:rsidRPr="00DB4A13">
        <w:rPr>
          <w:rFonts w:ascii="Cambria" w:hAnsi="Cambria"/>
          <w:i w:val="0"/>
          <w:sz w:val="20"/>
          <w:szCs w:val="20"/>
          <w:lang w:val="es-ES"/>
        </w:rPr>
        <w:t>Derecho a la vida</w:t>
      </w:r>
      <w:r w:rsidRPr="00DB4A13">
        <w:rPr>
          <w:rStyle w:val="FootnoteReference"/>
          <w:rFonts w:ascii="Cambria" w:hAnsi="Cambria"/>
          <w:b w:val="0"/>
          <w:i w:val="0"/>
          <w:sz w:val="20"/>
          <w:szCs w:val="20"/>
        </w:rPr>
        <w:footnoteReference w:id="46"/>
      </w:r>
      <w:r w:rsidRPr="00DB4A13">
        <w:rPr>
          <w:rFonts w:ascii="Cambria" w:hAnsi="Cambria"/>
          <w:i w:val="0"/>
          <w:sz w:val="20"/>
          <w:szCs w:val="20"/>
          <w:lang w:val="es-ES"/>
        </w:rPr>
        <w:t xml:space="preserve"> (artículo 4.1) y derecho a la integridad</w:t>
      </w:r>
      <w:r w:rsidRPr="00DB4A13">
        <w:rPr>
          <w:rStyle w:val="FootnoteReference"/>
          <w:rFonts w:ascii="Cambria" w:hAnsi="Cambria"/>
          <w:b w:val="0"/>
          <w:i w:val="0"/>
          <w:sz w:val="20"/>
          <w:szCs w:val="20"/>
        </w:rPr>
        <w:footnoteReference w:id="47"/>
      </w:r>
      <w:r w:rsidRPr="00DB4A13">
        <w:rPr>
          <w:rFonts w:ascii="Cambria" w:hAnsi="Cambria"/>
          <w:i w:val="0"/>
          <w:sz w:val="20"/>
          <w:szCs w:val="20"/>
          <w:lang w:val="es-ES"/>
        </w:rPr>
        <w:t xml:space="preserve"> (artículo 5.1) en relación con el artículo 1.1 de la Convención Americana respecto de Pedro Bacilio </w:t>
      </w:r>
      <w:r w:rsidR="00965A4E">
        <w:rPr>
          <w:rFonts w:ascii="Cambria" w:hAnsi="Cambria"/>
          <w:i w:val="0"/>
          <w:sz w:val="20"/>
          <w:szCs w:val="20"/>
          <w:lang w:val="es-ES"/>
        </w:rPr>
        <w:t xml:space="preserve">y Patricio Fernando </w:t>
      </w:r>
      <w:r w:rsidRPr="00DB4A13">
        <w:rPr>
          <w:rFonts w:ascii="Cambria" w:hAnsi="Cambria"/>
          <w:i w:val="0"/>
          <w:sz w:val="20"/>
          <w:szCs w:val="20"/>
          <w:lang w:val="es-ES"/>
        </w:rPr>
        <w:t>Roche Azaña</w:t>
      </w:r>
      <w:bookmarkEnd w:id="10"/>
    </w:p>
    <w:p w:rsidR="00096753" w:rsidRPr="00096753" w:rsidRDefault="00096753" w:rsidP="00096753">
      <w:pPr>
        <w:rPr>
          <w:lang w:val="es-ES"/>
        </w:rPr>
      </w:pPr>
    </w:p>
    <w:p w:rsidR="00E3162B" w:rsidRPr="00DB4A13" w:rsidRDefault="00E3162B" w:rsidP="00356B7C">
      <w:pPr>
        <w:pStyle w:val="Heading3"/>
        <w:numPr>
          <w:ilvl w:val="0"/>
          <w:numId w:val="58"/>
        </w:numPr>
        <w:spacing w:before="0" w:after="0"/>
        <w:ind w:left="1440" w:hanging="720"/>
        <w:jc w:val="both"/>
        <w:rPr>
          <w:rFonts w:ascii="Cambria" w:hAnsi="Cambria"/>
          <w:sz w:val="20"/>
          <w:szCs w:val="20"/>
          <w:lang w:val="es-ES"/>
        </w:rPr>
      </w:pPr>
      <w:bookmarkStart w:id="11" w:name="_Toc536087983"/>
      <w:r w:rsidRPr="00DB4A13">
        <w:rPr>
          <w:rFonts w:ascii="Cambria" w:hAnsi="Cambria"/>
          <w:sz w:val="20"/>
          <w:szCs w:val="20"/>
          <w:lang w:val="es-ES"/>
        </w:rPr>
        <w:t>Consideraciones generales y carga probatoria (“explicación satisfactoria”) en casos que involucran el empleo de la fuerza y armas de fuego por parte de agentes estatales</w:t>
      </w:r>
      <w:bookmarkEnd w:id="11"/>
    </w:p>
    <w:p w:rsidR="00E3162B" w:rsidRPr="00DB4A13" w:rsidRDefault="00E3162B" w:rsidP="00B265DD">
      <w:pPr>
        <w:rPr>
          <w:rFonts w:ascii="Cambria" w:hAnsi="Cambria"/>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pacing w:val="-2"/>
          <w:sz w:val="20"/>
          <w:szCs w:val="20"/>
          <w:lang w:val="es-CR"/>
        </w:rPr>
      </w:pPr>
      <w:r w:rsidRPr="00DB4A13">
        <w:rPr>
          <w:rFonts w:ascii="Cambria" w:hAnsi="Cambria"/>
          <w:sz w:val="20"/>
          <w:szCs w:val="20"/>
          <w:lang w:val="es-ES"/>
        </w:rPr>
        <w:t xml:space="preserve">Tanto la Comisión como la Corte Interamericana han indicado que en </w:t>
      </w:r>
      <w:r w:rsidRPr="00DB4A13">
        <w:rPr>
          <w:rFonts w:ascii="Cambria" w:hAnsi="Cambria"/>
          <w:spacing w:val="-2"/>
          <w:sz w:val="20"/>
          <w:szCs w:val="20"/>
          <w:lang w:val="es-CR"/>
        </w:rPr>
        <w:t xml:space="preserve">todo caso de despliegue de la fuerza, en el que agentes estatales </w:t>
      </w:r>
      <w:r w:rsidRPr="00DB4A13">
        <w:rPr>
          <w:rFonts w:ascii="Cambria" w:hAnsi="Cambria"/>
          <w:sz w:val="20"/>
          <w:szCs w:val="20"/>
          <w:lang w:val="es-ES_tradnl"/>
        </w:rPr>
        <w:t>hayan</w:t>
      </w:r>
      <w:r w:rsidRPr="00DB4A13">
        <w:rPr>
          <w:rFonts w:ascii="Cambria" w:hAnsi="Cambria"/>
          <w:spacing w:val="-2"/>
          <w:sz w:val="20"/>
          <w:szCs w:val="20"/>
          <w:lang w:val="es-CR"/>
        </w:rPr>
        <w:t xml:space="preserve"> producido la muerte o lesiones de una persona, corresponde analizar el uso de la fuerza</w:t>
      </w:r>
      <w:r w:rsidRPr="00DB4A13">
        <w:rPr>
          <w:rStyle w:val="FootnoteReference"/>
          <w:rFonts w:ascii="Cambria" w:hAnsi="Cambria"/>
          <w:spacing w:val="-2"/>
          <w:sz w:val="20"/>
          <w:szCs w:val="20"/>
          <w:lang w:val="es-CR"/>
        </w:rPr>
        <w:footnoteReference w:id="48"/>
      </w:r>
      <w:r w:rsidRPr="00DB4A13">
        <w:rPr>
          <w:rFonts w:ascii="Cambria" w:hAnsi="Cambria"/>
          <w:spacing w:val="-2"/>
          <w:sz w:val="20"/>
          <w:szCs w:val="20"/>
          <w:lang w:val="es-CR"/>
        </w:rPr>
        <w:t>. En ese sentido, la Comisión analizará los hechos del caso tomando en cuenta lo expresado en la jurisprudencia interamericana sobre el derecho a la vida, en relación con las obligaciones de respeto y garantía y en materia de uso de la fuerza</w:t>
      </w:r>
      <w:r w:rsidRPr="00DB4A13">
        <w:rPr>
          <w:rFonts w:ascii="Cambria" w:hAnsi="Cambria"/>
          <w:bCs/>
          <w:spacing w:val="-2"/>
          <w:sz w:val="20"/>
          <w:szCs w:val="20"/>
          <w:lang w:val="es-CR"/>
        </w:rPr>
        <w:t xml:space="preserve">. Para ello la CIDH tomará en cuenta </w:t>
      </w:r>
      <w:r w:rsidRPr="00DB4A13">
        <w:rPr>
          <w:rFonts w:ascii="Cambria" w:hAnsi="Cambria"/>
          <w:spacing w:val="-2"/>
          <w:sz w:val="20"/>
          <w:szCs w:val="20"/>
          <w:lang w:val="es-CR"/>
        </w:rPr>
        <w:t xml:space="preserve">diversos instrumentos </w:t>
      </w:r>
      <w:r w:rsidRPr="00DB4A13">
        <w:rPr>
          <w:rFonts w:ascii="Cambria" w:hAnsi="Cambria"/>
          <w:sz w:val="20"/>
          <w:szCs w:val="20"/>
          <w:lang w:val="es-ES"/>
        </w:rPr>
        <w:t>internacionales</w:t>
      </w:r>
      <w:r w:rsidRPr="00DB4A13">
        <w:rPr>
          <w:rFonts w:ascii="Cambria" w:hAnsi="Cambria"/>
          <w:spacing w:val="-2"/>
          <w:sz w:val="20"/>
          <w:szCs w:val="20"/>
          <w:lang w:val="es-CR"/>
        </w:rPr>
        <w:t xml:space="preserve"> en la materia y, en particular, los Principios Básicos sobre el empleo de la fuerza y de armas de fuego por los funcionarios encargados de hacer cumplir la ley y del Código de conducta para funcionarios encargados de hacer cumplir la ley (en adelante “</w:t>
      </w:r>
      <w:r w:rsidRPr="00DB4A13">
        <w:rPr>
          <w:rFonts w:ascii="Cambria" w:hAnsi="Cambria"/>
          <w:sz w:val="20"/>
          <w:szCs w:val="20"/>
          <w:lang w:val="es-CO"/>
        </w:rPr>
        <w:t>Principios sobre empleo de la fuerza” y “Código de Conducta”</w:t>
      </w:r>
      <w:r w:rsidRPr="00DB4A13">
        <w:rPr>
          <w:rFonts w:ascii="Cambria" w:hAnsi="Cambria"/>
          <w:spacing w:val="-2"/>
          <w:sz w:val="20"/>
          <w:szCs w:val="20"/>
          <w:lang w:val="es-CR"/>
        </w:rPr>
        <w:t xml:space="preserve"> respectivamente).</w:t>
      </w:r>
    </w:p>
    <w:p w:rsidR="00E3162B" w:rsidRPr="00DB4A13" w:rsidRDefault="00E3162B" w:rsidP="00E3162B">
      <w:pPr>
        <w:tabs>
          <w:tab w:val="left" w:pos="720"/>
          <w:tab w:val="left" w:pos="1440"/>
        </w:tabs>
        <w:ind w:left="630"/>
        <w:jc w:val="both"/>
        <w:rPr>
          <w:rFonts w:ascii="Cambria" w:hAnsi="Cambria"/>
          <w:spacing w:val="-2"/>
          <w:sz w:val="20"/>
          <w:szCs w:val="20"/>
          <w:lang w:val="es-CR"/>
        </w:rPr>
      </w:pPr>
    </w:p>
    <w:p w:rsidR="00E3162B" w:rsidRPr="00B935E4"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DB4A13">
        <w:rPr>
          <w:rFonts w:ascii="Cambria" w:hAnsi="Cambria"/>
          <w:sz w:val="20"/>
          <w:szCs w:val="20"/>
          <w:lang w:val="es-CO"/>
        </w:rPr>
        <w:t xml:space="preserve">Cuando se alega que se ha producido una muerte como consecuencia del uso de la fuerza, los órganos del sistema han establecido reglas claras sobre la carga de la prueba. La Corte Interamericana ha señalado que “(…) </w:t>
      </w:r>
      <w:r w:rsidRPr="00DB4A13">
        <w:rPr>
          <w:rFonts w:ascii="Cambria" w:hAnsi="Cambria" w:cs="Verdana"/>
          <w:sz w:val="20"/>
          <w:szCs w:val="20"/>
          <w:lang w:val="es-CO"/>
        </w:rPr>
        <w:t>en todo caso de uso de fuerza [por parte de agentes estatales] que haya producido la muerte o lesiones a una o más personas corresponde al Estado la obligación de proveer una explicación satisfactoria y convincente de lo sucedido y desvirtuar las alegaciones sobre su responsabilidad, mediante elementos probatorios adecuados”</w:t>
      </w:r>
      <w:r w:rsidRPr="00DB4A13">
        <w:rPr>
          <w:rStyle w:val="FootnoteReference"/>
          <w:rFonts w:ascii="Cambria" w:hAnsi="Cambria" w:cs="Verdana"/>
          <w:sz w:val="20"/>
          <w:szCs w:val="20"/>
        </w:rPr>
        <w:footnoteReference w:id="49"/>
      </w:r>
      <w:r w:rsidRPr="00DB4A13">
        <w:rPr>
          <w:rFonts w:ascii="Cambria" w:hAnsi="Cambria" w:cs="Verdana"/>
          <w:sz w:val="20"/>
          <w:szCs w:val="20"/>
          <w:lang w:val="es-CO"/>
        </w:rPr>
        <w:t xml:space="preserve">. </w:t>
      </w: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eastAsia="ja-JP"/>
        </w:rPr>
      </w:pPr>
      <w:r w:rsidRPr="00DB4A13">
        <w:rPr>
          <w:rFonts w:ascii="Cambria" w:hAnsi="Cambria" w:cs="Verdana"/>
          <w:sz w:val="20"/>
          <w:szCs w:val="20"/>
          <w:lang w:val="es-CO"/>
        </w:rPr>
        <w:lastRenderedPageBreak/>
        <w:t xml:space="preserve">En similar sentido, el Comité de Derechos Humanos de la ONU ha indicado que en los casos donde la </w:t>
      </w:r>
      <w:r w:rsidRPr="00DB4A13">
        <w:rPr>
          <w:rFonts w:ascii="Cambria" w:hAnsi="Cambria"/>
          <w:sz w:val="20"/>
          <w:szCs w:val="20"/>
          <w:lang w:val="es-CO"/>
        </w:rPr>
        <w:t>clarificación</w:t>
      </w:r>
      <w:r w:rsidRPr="00DB4A13">
        <w:rPr>
          <w:rFonts w:ascii="Cambria" w:hAnsi="Cambria" w:cs="Verdana"/>
          <w:sz w:val="20"/>
          <w:szCs w:val="20"/>
          <w:lang w:val="es-CO"/>
        </w:rPr>
        <w:t xml:space="preserve"> de los hechos recaiga exclusivamente sobre el Estado, se pueden llegar a considerar las denuncias como probadas en la ausencia de evidencia o explicación satisfactoria que pueda refutar las pretensiones de los demandantes</w:t>
      </w:r>
      <w:r w:rsidRPr="00DB4A13">
        <w:rPr>
          <w:rStyle w:val="FootnoteReference"/>
          <w:rFonts w:ascii="Cambria" w:hAnsi="Cambria" w:cs="Verdana"/>
          <w:sz w:val="20"/>
          <w:szCs w:val="20"/>
          <w:lang w:val="es-CO"/>
        </w:rPr>
        <w:footnoteReference w:id="50"/>
      </w:r>
      <w:r w:rsidRPr="00DB4A13">
        <w:rPr>
          <w:rFonts w:ascii="Cambria" w:hAnsi="Cambria" w:cs="Verdana"/>
          <w:sz w:val="20"/>
          <w:szCs w:val="20"/>
          <w:lang w:val="es-CO"/>
        </w:rPr>
        <w:t>. Lo anterior se encuentra relacionado con lo indicado por la Corte Europea en el sentido de que en casos de muerte como consecuencia del uso letal de la fuerza, es necesario aplicar el test más estricto sobre el carácter imperioso de dicho uso de la fuerza</w:t>
      </w:r>
      <w:r w:rsidRPr="00DB4A13">
        <w:rPr>
          <w:rStyle w:val="FootnoteReference"/>
          <w:rFonts w:ascii="Cambria" w:hAnsi="Cambria" w:cs="Verdana"/>
          <w:sz w:val="20"/>
          <w:szCs w:val="20"/>
          <w:lang w:val="es-CO"/>
        </w:rPr>
        <w:footnoteReference w:id="51"/>
      </w:r>
      <w:r w:rsidRPr="00DB4A13">
        <w:rPr>
          <w:rFonts w:ascii="Cambria" w:hAnsi="Cambria" w:cs="Verdana"/>
          <w:sz w:val="20"/>
          <w:szCs w:val="20"/>
          <w:lang w:val="es-CO"/>
        </w:rPr>
        <w:t xml:space="preserve">. </w:t>
      </w:r>
    </w:p>
    <w:p w:rsidR="00E3162B" w:rsidRPr="00DB4A13" w:rsidRDefault="00E3162B" w:rsidP="00D6786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eastAsia="ja-JP"/>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
        </w:rPr>
        <w:t xml:space="preserve">En ese sentido, para que una explicación sobre el uso letal de la fuerza pueda ser considerada satisfactoria, es necesario que la misma sea el resultado de una investigación compatible con las garantías de independencia, imparcialidad y debida diligencia y, además, se refiera a los elementos que conforme a la </w:t>
      </w:r>
      <w:r w:rsidRPr="00DB4A13">
        <w:rPr>
          <w:rFonts w:ascii="Cambria" w:hAnsi="Cambria"/>
          <w:sz w:val="20"/>
          <w:szCs w:val="20"/>
          <w:lang w:val="es-CO"/>
        </w:rPr>
        <w:t>jurisprudencia</w:t>
      </w:r>
      <w:r w:rsidRPr="00DB4A13">
        <w:rPr>
          <w:rFonts w:ascii="Cambria" w:hAnsi="Cambria"/>
          <w:sz w:val="20"/>
          <w:szCs w:val="20"/>
          <w:lang w:val="es-ES"/>
        </w:rPr>
        <w:t xml:space="preserve"> interamericana deben concurrir para justificar dicho uso de la fuerza, a saber:</w:t>
      </w:r>
    </w:p>
    <w:p w:rsidR="00E3162B" w:rsidRPr="00DB4A13" w:rsidRDefault="00E3162B" w:rsidP="00E3162B">
      <w:pPr>
        <w:ind w:right="720" w:firstLine="720"/>
        <w:jc w:val="both"/>
        <w:rPr>
          <w:rFonts w:ascii="Cambria" w:hAnsi="Cambria"/>
          <w:sz w:val="20"/>
          <w:szCs w:val="20"/>
          <w:lang w:val="es-ES"/>
        </w:rPr>
      </w:pPr>
    </w:p>
    <w:p w:rsidR="00E3162B" w:rsidRPr="00DB4A13" w:rsidRDefault="00E3162B" w:rsidP="00E3162B">
      <w:pPr>
        <w:ind w:right="720" w:firstLine="720"/>
        <w:jc w:val="both"/>
        <w:rPr>
          <w:rFonts w:ascii="Cambria" w:hAnsi="Cambria"/>
          <w:sz w:val="20"/>
          <w:szCs w:val="20"/>
          <w:lang w:val="es-ES"/>
        </w:rPr>
      </w:pPr>
      <w:r w:rsidRPr="00DB4A13">
        <w:rPr>
          <w:rFonts w:ascii="Cambria" w:hAnsi="Cambria"/>
          <w:sz w:val="20"/>
          <w:szCs w:val="20"/>
          <w:lang w:val="es-ES"/>
        </w:rPr>
        <w:t>i. Finalidad legítima: el uso de la fuerza debe estar dirigido a lograr un objetivo legítimo. (…)</w:t>
      </w:r>
    </w:p>
    <w:p w:rsidR="00E3162B" w:rsidRPr="00DB4A13" w:rsidRDefault="00E3162B" w:rsidP="00E3162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E3162B" w:rsidRPr="00DB4A13" w:rsidRDefault="00E3162B" w:rsidP="00E3162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DB4A13">
        <w:rPr>
          <w:rFonts w:ascii="Cambria" w:hAnsi="Cambria"/>
          <w:sz w:val="20"/>
          <w:szCs w:val="20"/>
        </w:rPr>
        <w:t>ii. Absoluta necesidad: es preciso verificar si existen otros medios disponibles menos lesivos para tutelar la vida e integridad de la persona o situación que se pretende proteger, de conformidad con las circunstancias del caso. (…)</w:t>
      </w:r>
    </w:p>
    <w:p w:rsidR="00E3162B" w:rsidRPr="00DB4A13" w:rsidRDefault="00E3162B" w:rsidP="00E3162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E3162B" w:rsidRPr="00DB4A13" w:rsidRDefault="00E3162B" w:rsidP="00E3162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DB4A13">
        <w:rPr>
          <w:rFonts w:ascii="Cambria" w:hAnsi="Cambria"/>
          <w:sz w:val="20"/>
          <w:szCs w:val="20"/>
        </w:rPr>
        <w:t>iii. Proporcionalidad: el nivel de fuerza utilizado debe ser acorde con el nivel de resistencia ofrecido, lo cual implica un equilibrio entre la situación a la que se enfrenta el funcionario y su respuesta, considerando el daño potencial que podría ser ocasionado</w:t>
      </w:r>
      <w:r w:rsidRPr="00DB4A13">
        <w:rPr>
          <w:rStyle w:val="FootnoteReference"/>
          <w:rFonts w:ascii="Cambria" w:eastAsia="Trebuchet MS" w:hAnsi="Cambria"/>
          <w:sz w:val="20"/>
          <w:szCs w:val="20"/>
        </w:rPr>
        <w:footnoteReference w:id="52"/>
      </w:r>
      <w:r w:rsidRPr="00DB4A13">
        <w:rPr>
          <w:rFonts w:ascii="Cambria" w:hAnsi="Cambria"/>
          <w:sz w:val="20"/>
          <w:szCs w:val="20"/>
        </w:rPr>
        <w:t>.</w:t>
      </w:r>
    </w:p>
    <w:p w:rsidR="00E3162B" w:rsidRPr="00DB4A13" w:rsidRDefault="00E3162B" w:rsidP="00E3162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R"/>
        </w:rPr>
      </w:pPr>
      <w:r w:rsidRPr="00DB4A13">
        <w:rPr>
          <w:rFonts w:ascii="Cambria" w:hAnsi="Cambria" w:cs="Verdana"/>
          <w:sz w:val="20"/>
          <w:szCs w:val="20"/>
          <w:lang w:val="es-ES_tradnl"/>
        </w:rPr>
        <w:t>En la misma línea, l</w:t>
      </w:r>
      <w:r w:rsidRPr="00DB4A13">
        <w:rPr>
          <w:rFonts w:ascii="Cambria" w:hAnsi="Cambria"/>
          <w:sz w:val="20"/>
          <w:szCs w:val="20"/>
          <w:lang w:val="es-MX"/>
        </w:rPr>
        <w:t>a Comisión observa que los Principios sobre Empleo de la Fuerza</w:t>
      </w:r>
      <w:r w:rsidRPr="00DB4A13">
        <w:rPr>
          <w:rFonts w:ascii="Cambria" w:hAnsi="Cambria"/>
          <w:i/>
          <w:sz w:val="20"/>
          <w:szCs w:val="20"/>
          <w:lang w:val="es-MX"/>
        </w:rPr>
        <w:t xml:space="preserve"> </w:t>
      </w:r>
      <w:r w:rsidRPr="00DB4A13">
        <w:rPr>
          <w:rFonts w:ascii="Cambria" w:hAnsi="Cambria"/>
          <w:sz w:val="20"/>
          <w:szCs w:val="20"/>
          <w:lang w:val="es-MX"/>
        </w:rPr>
        <w:t xml:space="preserve">autorizan la posibilidad de emplear armas de fuego con “el objeto de detener a una persona que represente </w:t>
      </w:r>
      <w:r w:rsidRPr="00DB4A13">
        <w:rPr>
          <w:rFonts w:ascii="Cambria" w:hAnsi="Cambria"/>
          <w:sz w:val="20"/>
          <w:szCs w:val="20"/>
          <w:lang w:val="es-ES_tradnl"/>
        </w:rPr>
        <w:t>ese peligro y oponga resistencia a su autoridad”</w:t>
      </w:r>
      <w:r w:rsidRPr="00DB4A13">
        <w:rPr>
          <w:rStyle w:val="FootnoteReference"/>
          <w:rFonts w:ascii="Cambria" w:hAnsi="Cambria"/>
          <w:sz w:val="20"/>
          <w:szCs w:val="20"/>
        </w:rPr>
        <w:footnoteReference w:id="53"/>
      </w:r>
      <w:r w:rsidRPr="00DB4A13">
        <w:rPr>
          <w:rFonts w:ascii="Cambria" w:hAnsi="Cambria"/>
          <w:sz w:val="20"/>
          <w:szCs w:val="20"/>
          <w:lang w:val="es-ES_tradnl"/>
        </w:rPr>
        <w:t>. Sin perjuicio de ello, como parte de los requisitos para que se autorice en dicha hipótesis el uso de la fuerza, los Principios señalan que: i) sólo podría realizarse en caso de que resulten insuficientes medidas menos extremas para lograr dicho objetivo; ii) debe utilizarse “cuando sea estrictamente inevitable para proteger una vida”; iii) los funcionarios tendrían que dar una “clara alerta de su intención de emplear armas de fuego”; y iv) dicha advertencia debería realizarse con tiempo suficiente salvo que al dar dicha advertencia se pusiera en peligro a los propios funcionarios o a otras personas.</w:t>
      </w:r>
    </w:p>
    <w:p w:rsidR="00E3162B" w:rsidRPr="00DB4A13" w:rsidRDefault="00E3162B" w:rsidP="00E3162B">
      <w:pPr>
        <w:tabs>
          <w:tab w:val="left" w:pos="720"/>
          <w:tab w:val="left" w:pos="1440"/>
        </w:tabs>
        <w:ind w:left="630"/>
        <w:jc w:val="both"/>
        <w:rPr>
          <w:rFonts w:ascii="Cambria" w:hAnsi="Cambria"/>
          <w:sz w:val="20"/>
          <w:szCs w:val="20"/>
          <w:lang w:val="es-CR"/>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sidRPr="00DB4A13">
        <w:rPr>
          <w:rFonts w:ascii="Cambria" w:hAnsi="Cambria"/>
          <w:sz w:val="20"/>
          <w:szCs w:val="20"/>
          <w:lang w:val="es-MX"/>
        </w:rPr>
        <w:t xml:space="preserve">Con base en lo señalado, la finalidad legítima, absoluta necesidad y proporcionalidad del uso de la fuerza letal deben ser demostradas por el Estado a la luz de las circunstancias particulares </w:t>
      </w:r>
      <w:r w:rsidRPr="00DB4A13">
        <w:rPr>
          <w:rFonts w:ascii="Cambria" w:hAnsi="Cambria"/>
          <w:sz w:val="20"/>
          <w:szCs w:val="20"/>
          <w:lang w:val="es-ES_tradnl"/>
        </w:rPr>
        <w:t>del</w:t>
      </w:r>
      <w:r w:rsidRPr="00DB4A13">
        <w:rPr>
          <w:rFonts w:ascii="Cambria" w:hAnsi="Cambria"/>
          <w:sz w:val="20"/>
          <w:szCs w:val="20"/>
          <w:lang w:val="es-MX"/>
        </w:rPr>
        <w:t xml:space="preserve"> caso concreto. Asimismo, como consecuencia de dichos principios, la Comisión recuerda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w:t>
      </w:r>
      <w:r w:rsidRPr="00DB4A13">
        <w:rPr>
          <w:rStyle w:val="FootnoteReference"/>
          <w:rFonts w:ascii="Cambria" w:hAnsi="Cambria"/>
          <w:sz w:val="20"/>
          <w:szCs w:val="20"/>
        </w:rPr>
        <w:footnoteReference w:id="54"/>
      </w:r>
      <w:r w:rsidRPr="00DB4A13">
        <w:rPr>
          <w:rFonts w:ascii="Cambria" w:hAnsi="Cambria"/>
          <w:sz w:val="20"/>
          <w:szCs w:val="20"/>
          <w:lang w:val="es-MX"/>
        </w:rPr>
        <w:t>.</w:t>
      </w:r>
    </w:p>
    <w:p w:rsidR="00E3162B" w:rsidRPr="00DB4A13" w:rsidRDefault="00E3162B" w:rsidP="00E3162B">
      <w:pPr>
        <w:pStyle w:val="ListParagraph"/>
        <w:rPr>
          <w:sz w:val="20"/>
          <w:szCs w:val="20"/>
          <w:lang w:val="es-MX"/>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Respecto al uso de la fuerza en operativos migratorios, la Corte se ha pronunciado en el caso Nadege Dorzema sobre la necesidad de emplear medios menos lesivos de la siguiente manera:</w:t>
      </w:r>
    </w:p>
    <w:p w:rsidR="00E3162B" w:rsidRPr="00DB4A13" w:rsidRDefault="00E3162B" w:rsidP="00A801A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US"/>
        </w:rPr>
      </w:pPr>
    </w:p>
    <w:p w:rsidR="00E3162B" w:rsidRDefault="00A801A3" w:rsidP="00A801A3">
      <w:pPr>
        <w:ind w:left="720"/>
        <w:jc w:val="both"/>
        <w:rPr>
          <w:rFonts w:ascii="Cambria" w:hAnsi="Cambria"/>
          <w:sz w:val="20"/>
          <w:szCs w:val="20"/>
          <w:lang w:val="es-US"/>
        </w:rPr>
      </w:pPr>
      <w:r>
        <w:rPr>
          <w:rFonts w:ascii="Cambria" w:hAnsi="Cambria"/>
          <w:sz w:val="20"/>
          <w:szCs w:val="20"/>
          <w:lang w:val="es-US"/>
        </w:rPr>
        <w:t xml:space="preserve">(…) </w:t>
      </w:r>
      <w:r w:rsidR="00E3162B" w:rsidRPr="00DB4A13">
        <w:rPr>
          <w:rFonts w:ascii="Cambria" w:hAnsi="Cambria"/>
          <w:sz w:val="20"/>
          <w:szCs w:val="20"/>
          <w:lang w:val="es-US"/>
        </w:rPr>
        <w:t xml:space="preserve">en el presente caso se pudieron emplear medios menos lesivos para obtener el control de tránsito que se pretendía y evitar una persecución violenta; por ejemplo, mediante la instalación de controles de tránsito, a través de barricadas, reductores de velocidad, poncha llantas y/o cámaras </w:t>
      </w:r>
      <w:r w:rsidR="00E3162B" w:rsidRPr="00DB4A13">
        <w:rPr>
          <w:rFonts w:ascii="Cambria" w:hAnsi="Cambria"/>
          <w:sz w:val="20"/>
          <w:szCs w:val="20"/>
          <w:lang w:val="es-US"/>
        </w:rPr>
        <w:lastRenderedPageBreak/>
        <w:t>que permitieran el registro e identificación pacífica de los implicados y el mejor control del flujo vehicular en la zona. Principalmente, medidas acordes al factor cotidiano del tránsito de personas migrantes en la zona</w:t>
      </w:r>
      <w:r w:rsidR="00E3162B" w:rsidRPr="00DB4A13">
        <w:rPr>
          <w:rStyle w:val="FootnoteReference"/>
          <w:rFonts w:ascii="Cambria" w:hAnsi="Cambria"/>
          <w:sz w:val="20"/>
          <w:szCs w:val="20"/>
          <w:lang w:val="es-US"/>
        </w:rPr>
        <w:footnoteReference w:id="55"/>
      </w:r>
      <w:r w:rsidR="00E3162B" w:rsidRPr="00DB4A13">
        <w:rPr>
          <w:rFonts w:ascii="Cambria" w:hAnsi="Cambria"/>
          <w:sz w:val="20"/>
          <w:szCs w:val="20"/>
          <w:lang w:val="es-US"/>
        </w:rPr>
        <w:t>.</w:t>
      </w:r>
    </w:p>
    <w:p w:rsidR="00A801A3" w:rsidRPr="00DB4A13" w:rsidRDefault="00A801A3" w:rsidP="00A801A3">
      <w:pPr>
        <w:ind w:left="720"/>
        <w:jc w:val="both"/>
        <w:rPr>
          <w:rFonts w:ascii="Cambria" w:hAnsi="Cambria"/>
          <w:sz w:val="20"/>
          <w:szCs w:val="20"/>
          <w:lang w:val="es-U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En el mismo caso, la Corte precisó que l</w:t>
      </w:r>
      <w:r w:rsidRPr="00DB4A13">
        <w:rPr>
          <w:rFonts w:ascii="Cambria" w:hAnsi="Cambria"/>
          <w:sz w:val="20"/>
          <w:szCs w:val="20"/>
          <w:lang w:val="es-MX"/>
        </w:rPr>
        <w:t>as personas migrantes no representaban una amenaza real o peligro, por lo que el uso de la fuerza letal no era absolutamente necesario; y que el Estado pudo haber previsto medidas menos extremas para lograr el mismo fin y por eso no había proporcionalidad</w:t>
      </w:r>
      <w:r w:rsidRPr="00DB4A13">
        <w:rPr>
          <w:rStyle w:val="FootnoteReference"/>
          <w:rFonts w:ascii="Cambria" w:hAnsi="Cambria"/>
          <w:sz w:val="20"/>
          <w:szCs w:val="20"/>
          <w:lang w:val="es-MX"/>
        </w:rPr>
        <w:footnoteReference w:id="56"/>
      </w:r>
      <w:r w:rsidRPr="00DB4A13">
        <w:rPr>
          <w:rFonts w:ascii="Cambria" w:hAnsi="Cambria"/>
          <w:sz w:val="20"/>
          <w:szCs w:val="20"/>
          <w:lang w:val="es-MX"/>
        </w:rPr>
        <w:t>.</w:t>
      </w:r>
    </w:p>
    <w:p w:rsidR="00E3162B" w:rsidRPr="00DB4A13" w:rsidRDefault="00E3162B" w:rsidP="00E316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MX" w:eastAsia="ja-JP"/>
        </w:rPr>
      </w:pPr>
    </w:p>
    <w:p w:rsidR="00E3162B" w:rsidRPr="00DB4A13" w:rsidRDefault="00E3162B" w:rsidP="00356B7C">
      <w:pPr>
        <w:pStyle w:val="Heading3"/>
        <w:numPr>
          <w:ilvl w:val="0"/>
          <w:numId w:val="58"/>
        </w:numPr>
        <w:spacing w:before="0" w:after="0"/>
        <w:ind w:left="1440" w:hanging="720"/>
        <w:jc w:val="both"/>
        <w:rPr>
          <w:rFonts w:ascii="Cambria" w:hAnsi="Cambria"/>
          <w:sz w:val="20"/>
          <w:szCs w:val="20"/>
          <w:lang w:val="es-ES"/>
        </w:rPr>
      </w:pPr>
      <w:bookmarkStart w:id="12" w:name="_Toc536087984"/>
      <w:bookmarkStart w:id="13" w:name="_Toc520804260"/>
      <w:r w:rsidRPr="00DB4A13">
        <w:rPr>
          <w:rFonts w:ascii="Cambria" w:hAnsi="Cambria"/>
          <w:sz w:val="20"/>
          <w:szCs w:val="20"/>
          <w:lang w:val="es-ES"/>
        </w:rPr>
        <w:t>Estándares generales sobre el derecho la vida, el derecho a la integridad e</w:t>
      </w:r>
      <w:r w:rsidR="00B265DD">
        <w:rPr>
          <w:rFonts w:ascii="Cambria" w:hAnsi="Cambria"/>
          <w:sz w:val="20"/>
          <w:szCs w:val="20"/>
          <w:lang w:val="es-ES"/>
        </w:rPr>
        <w:t>n casos relacionados con alegado uso ilegítimo de la fuerza letal</w:t>
      </w:r>
      <w:bookmarkEnd w:id="12"/>
      <w:r w:rsidRPr="00DB4A13">
        <w:rPr>
          <w:rFonts w:ascii="Cambria" w:hAnsi="Cambria"/>
          <w:sz w:val="20"/>
          <w:szCs w:val="20"/>
          <w:lang w:val="es-ES"/>
        </w:rPr>
        <w:t xml:space="preserve"> </w:t>
      </w:r>
      <w:bookmarkEnd w:id="13"/>
    </w:p>
    <w:p w:rsidR="00E3162B" w:rsidRPr="00DB4A13" w:rsidRDefault="00E3162B" w:rsidP="00E3162B">
      <w:pPr>
        <w:rPr>
          <w:rFonts w:ascii="Cambria" w:hAnsi="Cambria"/>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_tradnl"/>
        </w:rPr>
        <w:t>La Comisión recuerda que el derecho a la vida es prerrequisito del disfrute de todos los demás derechos humanos y sin cuyo respeto todos los demás carecen de sentido</w:t>
      </w:r>
      <w:r w:rsidRPr="00DB4A13">
        <w:rPr>
          <w:rFonts w:ascii="Cambria" w:hAnsi="Cambria"/>
          <w:sz w:val="20"/>
          <w:szCs w:val="20"/>
          <w:vertAlign w:val="superscript"/>
          <w:lang w:val="es-ES_tradnl"/>
        </w:rPr>
        <w:footnoteReference w:id="57"/>
      </w:r>
      <w:r w:rsidRPr="00DB4A13">
        <w:rPr>
          <w:rFonts w:ascii="Cambria" w:hAnsi="Cambria"/>
          <w:sz w:val="20"/>
          <w:szCs w:val="20"/>
          <w:vertAlign w:val="superscript"/>
          <w:lang w:val="es-ES_tradnl"/>
        </w:rPr>
        <w:t>.</w:t>
      </w:r>
      <w:r w:rsidRPr="00DB4A13">
        <w:rPr>
          <w:rFonts w:ascii="Cambria" w:hAnsi="Cambria"/>
          <w:sz w:val="20"/>
          <w:szCs w:val="20"/>
          <w:lang w:val="es-ES_tradnl"/>
        </w:rPr>
        <w:t xml:space="preserve">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DB4A13">
        <w:rPr>
          <w:rFonts w:ascii="Cambria" w:hAnsi="Cambria"/>
          <w:sz w:val="20"/>
          <w:szCs w:val="20"/>
          <w:vertAlign w:val="superscript"/>
          <w:lang w:val="es-ES_tradnl"/>
        </w:rPr>
        <w:footnoteReference w:id="58"/>
      </w:r>
      <w:r w:rsidRPr="00DB4A13">
        <w:rPr>
          <w:rFonts w:ascii="Cambria" w:hAnsi="Cambria"/>
          <w:sz w:val="20"/>
          <w:szCs w:val="20"/>
          <w:lang w:val="es-ES_tradnl"/>
        </w:rPr>
        <w:t>.</w:t>
      </w:r>
    </w:p>
    <w:p w:rsidR="00E3162B" w:rsidRPr="00DB4A13" w:rsidRDefault="00E3162B" w:rsidP="00E316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
        </w:rPr>
        <w:t>En línea con lo anterior, la Comisión ha establecido que “las ejecuciones extrajudiciales o sumarias se caracterizan por ser privaciones deliberadas e ilegítimas de la vida por parte de agentes del Estado, actuando generalmente bajo órdenes o al menos con el consentimiento o aquiescencia de las autoridades. Por lo tanto, las ejecuciones extrajudiciales son acciones ilícitas cometidas por quienes precisamente están investidos del poder originalmente concebido para proteger y garantizar la seguridad y la  vida de las personas”</w:t>
      </w:r>
      <w:r w:rsidRPr="00DB4A13">
        <w:rPr>
          <w:rStyle w:val="FootnoteReference"/>
          <w:rFonts w:ascii="Cambria" w:hAnsi="Cambria"/>
          <w:sz w:val="20"/>
          <w:szCs w:val="20"/>
          <w:lang w:val="es-ES"/>
        </w:rPr>
        <w:footnoteReference w:id="59"/>
      </w:r>
      <w:r w:rsidRPr="00DB4A13">
        <w:rPr>
          <w:rFonts w:ascii="Cambria" w:hAnsi="Cambria"/>
          <w:sz w:val="20"/>
          <w:szCs w:val="20"/>
          <w:lang w:val="es-ES"/>
        </w:rPr>
        <w:t xml:space="preserve">. </w:t>
      </w:r>
    </w:p>
    <w:p w:rsidR="00E3162B" w:rsidRPr="00DB4A13" w:rsidRDefault="00E3162B" w:rsidP="00E316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
        </w:rPr>
        <w:t>Asimismo, la Comisión recuerda que en el sistema interamericano, en casos de ejecuciones extrajudiciales, dependiendo de las características de la misma, es posible desprender otras vulneraciones de derechos humanos, como del derecho a la integridad. En estos términos, la Corte Interamericana ha determinado que “es razonable presumir que, en los momentos previos a la privación de la vida [los ejecutados] sufrieron un temor profundo ante el peligro real e inminente de que el hecho culminaría con su propia muerte, tal como efectivamente ocurrió”</w:t>
      </w:r>
      <w:r w:rsidRPr="00DB4A13">
        <w:rPr>
          <w:rStyle w:val="FootnoteReference"/>
          <w:rFonts w:ascii="Cambria" w:hAnsi="Cambria"/>
          <w:sz w:val="20"/>
          <w:szCs w:val="20"/>
          <w:lang w:val="es-ES"/>
        </w:rPr>
        <w:footnoteReference w:id="60"/>
      </w:r>
      <w:r w:rsidRPr="00DB4A13">
        <w:rPr>
          <w:rFonts w:ascii="Cambria" w:hAnsi="Cambria"/>
          <w:sz w:val="20"/>
          <w:szCs w:val="20"/>
          <w:lang w:val="es-ES"/>
        </w:rPr>
        <w:t xml:space="preserve"> lo que conlleva a la vulneración del derecho a la integridad personal consagrado en el artículo 5 de la Convención Americana. </w:t>
      </w:r>
    </w:p>
    <w:p w:rsidR="00E3162B" w:rsidRPr="00DB4A13" w:rsidRDefault="00E3162B" w:rsidP="00E3162B">
      <w:pPr>
        <w:pStyle w:val="ListParagraph"/>
        <w:rPr>
          <w:rFonts w:eastAsia="Times New Roman"/>
          <w:sz w:val="20"/>
          <w:szCs w:val="20"/>
          <w:lang w:val="es-ES_tradnl"/>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_tradnl"/>
        </w:rPr>
      </w:pPr>
      <w:r w:rsidRPr="00DB4A13">
        <w:rPr>
          <w:rFonts w:ascii="Cambria" w:eastAsia="Times New Roman" w:hAnsi="Cambria"/>
          <w:sz w:val="20"/>
          <w:szCs w:val="20"/>
          <w:lang w:val="es-ES_tradnl"/>
        </w:rPr>
        <w:t>En</w:t>
      </w:r>
      <w:r w:rsidR="00A801A3">
        <w:rPr>
          <w:rFonts w:ascii="Cambria" w:eastAsia="Times New Roman" w:hAnsi="Cambria"/>
          <w:sz w:val="20"/>
          <w:szCs w:val="20"/>
          <w:lang w:val="es-ES_tradnl"/>
        </w:rPr>
        <w:t xml:space="preserve"> el caso </w:t>
      </w:r>
      <w:r w:rsidRPr="00A801A3">
        <w:rPr>
          <w:rFonts w:ascii="Cambria" w:eastAsia="Times New Roman" w:hAnsi="Cambria"/>
          <w:i/>
          <w:sz w:val="20"/>
          <w:szCs w:val="20"/>
          <w:lang w:val="es-ES_tradnl"/>
        </w:rPr>
        <w:t>Nadege Dorzema y otros vs. República Dominicana</w:t>
      </w:r>
      <w:r w:rsidRPr="00DB4A13">
        <w:rPr>
          <w:rFonts w:ascii="Cambria" w:eastAsia="Times New Roman" w:hAnsi="Cambria"/>
          <w:sz w:val="20"/>
          <w:szCs w:val="20"/>
          <w:lang w:val="es-ES_tradnl"/>
        </w:rPr>
        <w:t xml:space="preserve">, la Corte elaboró en lo respectivo al uso de la </w:t>
      </w:r>
      <w:r w:rsidR="00A246B0" w:rsidRPr="00DB4A13">
        <w:rPr>
          <w:rFonts w:ascii="Cambria" w:eastAsia="Times New Roman" w:hAnsi="Cambria"/>
          <w:sz w:val="20"/>
          <w:szCs w:val="20"/>
          <w:lang w:val="es-ES_tradnl"/>
        </w:rPr>
        <w:t xml:space="preserve">fuerza y la integridad personal estableciendo que, en caso de presentarse heridos luego del despliegue de la misma, </w:t>
      </w:r>
      <w:r w:rsidRPr="00DB4A13">
        <w:rPr>
          <w:rFonts w:ascii="Cambria" w:eastAsia="Times New Roman" w:hAnsi="Cambria"/>
          <w:sz w:val="20"/>
          <w:szCs w:val="20"/>
          <w:lang w:val="es-ES_tradnl"/>
        </w:rPr>
        <w:t>se les debe prestar y facilitar los servicios médicos correspondientes y notificar lo sucedido lo antes posible a los parientes o amigos íntimos”</w:t>
      </w:r>
      <w:r w:rsidRPr="00DB4A13">
        <w:rPr>
          <w:rStyle w:val="FootnoteReference"/>
          <w:rFonts w:ascii="Cambria" w:eastAsia="Times New Roman" w:hAnsi="Cambria"/>
          <w:sz w:val="20"/>
          <w:szCs w:val="20"/>
          <w:lang w:val="es-ES_tradnl"/>
        </w:rPr>
        <w:footnoteReference w:id="61"/>
      </w:r>
      <w:r w:rsidRPr="00DB4A13">
        <w:rPr>
          <w:rFonts w:ascii="Cambria" w:eastAsia="Times New Roman" w:hAnsi="Cambria"/>
          <w:sz w:val="20"/>
          <w:szCs w:val="20"/>
          <w:lang w:val="es-ES_tradnl"/>
        </w:rPr>
        <w:t>.</w:t>
      </w:r>
    </w:p>
    <w:p w:rsidR="00E3162B" w:rsidRPr="00DB4A13" w:rsidRDefault="00E3162B" w:rsidP="00E3162B">
      <w:pPr>
        <w:rPr>
          <w:rFonts w:ascii="Cambria" w:hAnsi="Cambria"/>
          <w:sz w:val="20"/>
          <w:szCs w:val="20"/>
          <w:lang w:val="es-ES"/>
        </w:rPr>
      </w:pPr>
    </w:p>
    <w:p w:rsidR="00E3162B" w:rsidRPr="00F35B82" w:rsidRDefault="00E3162B" w:rsidP="00356B7C">
      <w:pPr>
        <w:pStyle w:val="Heading3"/>
        <w:numPr>
          <w:ilvl w:val="0"/>
          <w:numId w:val="58"/>
        </w:numPr>
        <w:spacing w:before="0" w:after="0"/>
        <w:ind w:left="1440" w:hanging="720"/>
        <w:jc w:val="both"/>
        <w:rPr>
          <w:rFonts w:ascii="Cambria" w:hAnsi="Cambria"/>
          <w:sz w:val="20"/>
          <w:szCs w:val="20"/>
          <w:lang w:val="es-ES"/>
        </w:rPr>
      </w:pPr>
      <w:bookmarkStart w:id="14" w:name="_Toc520804261"/>
      <w:bookmarkStart w:id="15" w:name="_Toc536087985"/>
      <w:r w:rsidRPr="00F35B82">
        <w:rPr>
          <w:rFonts w:ascii="Cambria" w:hAnsi="Cambria"/>
          <w:sz w:val="20"/>
          <w:szCs w:val="20"/>
          <w:lang w:val="es-ES"/>
        </w:rPr>
        <w:t>Determinación de la legitimidad de la privación de la vida de Pedro</w:t>
      </w:r>
      <w:r w:rsidR="00FD1737" w:rsidRPr="00F35B82">
        <w:rPr>
          <w:rFonts w:ascii="Cambria" w:hAnsi="Cambria"/>
          <w:sz w:val="20"/>
          <w:szCs w:val="20"/>
          <w:lang w:val="es-ES"/>
        </w:rPr>
        <w:t xml:space="preserve"> Roche Azaña</w:t>
      </w:r>
      <w:r w:rsidRPr="00F35B82">
        <w:rPr>
          <w:rFonts w:ascii="Cambria" w:hAnsi="Cambria"/>
          <w:sz w:val="20"/>
          <w:szCs w:val="20"/>
          <w:lang w:val="es-ES"/>
        </w:rPr>
        <w:t xml:space="preserve"> </w:t>
      </w:r>
      <w:r w:rsidR="00B265DD" w:rsidRPr="00F35B82">
        <w:rPr>
          <w:rFonts w:ascii="Cambria" w:hAnsi="Cambria"/>
          <w:sz w:val="20"/>
          <w:szCs w:val="20"/>
          <w:lang w:val="es-ES"/>
        </w:rPr>
        <w:t xml:space="preserve">y las lesiones de Patricio </w:t>
      </w:r>
      <w:r w:rsidRPr="00F35B82">
        <w:rPr>
          <w:rFonts w:ascii="Cambria" w:hAnsi="Cambria"/>
          <w:sz w:val="20"/>
          <w:szCs w:val="20"/>
          <w:lang w:val="es-ES"/>
        </w:rPr>
        <w:t>Roche Azaña a través de la fuerza letal y análisis del estándar de “explicación satisfactoria” del Estad</w:t>
      </w:r>
      <w:bookmarkEnd w:id="14"/>
      <w:r w:rsidRPr="00F35B82">
        <w:rPr>
          <w:rFonts w:ascii="Cambria" w:hAnsi="Cambria"/>
          <w:sz w:val="20"/>
          <w:szCs w:val="20"/>
          <w:lang w:val="es-ES"/>
        </w:rPr>
        <w:t>o</w:t>
      </w:r>
      <w:bookmarkEnd w:id="15"/>
    </w:p>
    <w:p w:rsidR="00E3162B" w:rsidRPr="00DB4A13" w:rsidRDefault="00E3162B" w:rsidP="00E3162B">
      <w:pPr>
        <w:rPr>
          <w:rFonts w:ascii="Cambria" w:hAnsi="Cambria"/>
          <w:sz w:val="20"/>
          <w:szCs w:val="20"/>
          <w:lang w:val="es-ES"/>
        </w:rPr>
      </w:pPr>
    </w:p>
    <w:p w:rsidR="00E3162B" w:rsidRPr="007D3E3E"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
        </w:rPr>
        <w:t xml:space="preserve">No existe controversia sobre que Pedro Roche Azaña falleció </w:t>
      </w:r>
      <w:r w:rsidR="002E396D">
        <w:rPr>
          <w:rFonts w:ascii="Cambria" w:hAnsi="Cambria"/>
          <w:sz w:val="20"/>
          <w:szCs w:val="20"/>
          <w:lang w:val="es-ES"/>
        </w:rPr>
        <w:t xml:space="preserve">y Patricio Roche Azaña fue víctima de graves lesiones </w:t>
      </w:r>
      <w:r w:rsidRPr="00DB4A13">
        <w:rPr>
          <w:rFonts w:ascii="Cambria" w:hAnsi="Cambria"/>
          <w:sz w:val="20"/>
          <w:szCs w:val="20"/>
          <w:lang w:val="es-ES"/>
        </w:rPr>
        <w:t xml:space="preserve">como consecuencia del uso de la fuerza letal por parte del Estado. La controversia </w:t>
      </w:r>
      <w:r w:rsidRPr="00DB4A13">
        <w:rPr>
          <w:rFonts w:ascii="Cambria" w:hAnsi="Cambria"/>
          <w:sz w:val="20"/>
          <w:szCs w:val="20"/>
          <w:lang w:val="es-ES"/>
        </w:rPr>
        <w:lastRenderedPageBreak/>
        <w:t xml:space="preserve">gira en torno a si, como sostiene el Estado, </w:t>
      </w:r>
      <w:r w:rsidR="00651449">
        <w:rPr>
          <w:rFonts w:ascii="Cambria" w:hAnsi="Cambria"/>
          <w:sz w:val="20"/>
          <w:szCs w:val="20"/>
          <w:lang w:val="es-ES"/>
        </w:rPr>
        <w:t xml:space="preserve">la muerte y las afectaciones a la integridad personal </w:t>
      </w:r>
      <w:r w:rsidRPr="00DB4A13">
        <w:rPr>
          <w:rFonts w:ascii="Cambria" w:hAnsi="Cambria"/>
          <w:sz w:val="20"/>
          <w:szCs w:val="20"/>
          <w:lang w:val="es-ES"/>
        </w:rPr>
        <w:t>fue</w:t>
      </w:r>
      <w:r w:rsidR="00651449">
        <w:rPr>
          <w:rFonts w:ascii="Cambria" w:hAnsi="Cambria"/>
          <w:sz w:val="20"/>
          <w:szCs w:val="20"/>
          <w:lang w:val="es-ES"/>
        </w:rPr>
        <w:t>ron</w:t>
      </w:r>
      <w:r w:rsidRPr="00DB4A13">
        <w:rPr>
          <w:rFonts w:ascii="Cambria" w:hAnsi="Cambria"/>
          <w:sz w:val="20"/>
          <w:szCs w:val="20"/>
          <w:lang w:val="es-ES"/>
        </w:rPr>
        <w:t xml:space="preserve"> el resultado de una actuación legítima de los policías que se vieron forzados a realizar disparos </w:t>
      </w:r>
      <w:r w:rsidR="004E10FC">
        <w:rPr>
          <w:rFonts w:ascii="Cambria" w:hAnsi="Cambria"/>
          <w:sz w:val="20"/>
          <w:szCs w:val="20"/>
          <w:lang w:val="es-ES"/>
        </w:rPr>
        <w:t xml:space="preserve">al darse a la fuga la furgoneta, </w:t>
      </w:r>
      <w:r w:rsidRPr="00DB4A13">
        <w:rPr>
          <w:rFonts w:ascii="Cambria" w:hAnsi="Cambria"/>
          <w:sz w:val="20"/>
          <w:szCs w:val="20"/>
          <w:lang w:val="es-ES"/>
        </w:rPr>
        <w:t xml:space="preserve">o si, como lo afirma la parte peticionaria, se trató de </w:t>
      </w:r>
      <w:r w:rsidR="00651449">
        <w:rPr>
          <w:rFonts w:ascii="Cambria" w:hAnsi="Cambria"/>
          <w:sz w:val="20"/>
          <w:szCs w:val="20"/>
          <w:lang w:val="es-ES"/>
        </w:rPr>
        <w:t xml:space="preserve">un </w:t>
      </w:r>
      <w:r w:rsidRPr="00DB4A13">
        <w:rPr>
          <w:rFonts w:ascii="Cambria" w:hAnsi="Cambria"/>
          <w:sz w:val="20"/>
          <w:szCs w:val="20"/>
          <w:lang w:val="es-ES"/>
        </w:rPr>
        <w:t>uso ilegítimo de la fuerza.</w:t>
      </w:r>
      <w:r w:rsidR="007D3E3E">
        <w:rPr>
          <w:rFonts w:ascii="Cambria" w:hAnsi="Cambria"/>
          <w:sz w:val="20"/>
          <w:szCs w:val="20"/>
          <w:lang w:val="es-ES"/>
        </w:rPr>
        <w:t xml:space="preserve"> </w:t>
      </w:r>
      <w:r w:rsidRPr="007D3E3E">
        <w:rPr>
          <w:rFonts w:ascii="Cambria" w:hAnsi="Cambria"/>
          <w:sz w:val="20"/>
          <w:szCs w:val="20"/>
          <w:lang w:val="es-ES"/>
        </w:rPr>
        <w:t>De acuerdo con los estándares descritos anteriormente, corresponde a la Comisión analizar si el Estado ha explicado de modo satisfactorio que la muerte de Pedro Roche Azaña fue el resultado de un uso legítimo de la fuerza letal.</w:t>
      </w:r>
    </w:p>
    <w:p w:rsidR="00E3162B" w:rsidRPr="00DB4A13" w:rsidRDefault="00E3162B" w:rsidP="00E3162B">
      <w:pPr>
        <w:pStyle w:val="ListParagraph"/>
        <w:rPr>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 xml:space="preserve">Al momento de los hechos, aún no se encontraba vigente en Nicaragua </w:t>
      </w:r>
      <w:r w:rsidRPr="00DB4A13">
        <w:rPr>
          <w:rFonts w:ascii="Cambria" w:hAnsi="Cambria"/>
          <w:sz w:val="20"/>
          <w:szCs w:val="20"/>
          <w:lang w:val="es-MX"/>
        </w:rPr>
        <w:t xml:space="preserve">la Ley Orgánica de la Policía Nacional, que fue publicada el 28 de agosto de 1996. No obstante, mediante el Decreto ejecutivo 45-92 de 1992 en donde se definió la función y organización de la Policía Nacional, se establecía que el empleo de las armas se utilizarían únicamente en situaciones en que exista un riesgo racionalmente grave para su vida, integridad física o de terceras personas, o cuando puedan suponer un grave riesgo para el orden público. A pesar de esta provisión, </w:t>
      </w:r>
      <w:r w:rsidR="007D3E3E">
        <w:rPr>
          <w:rFonts w:ascii="Cambria" w:hAnsi="Cambria"/>
          <w:sz w:val="20"/>
          <w:szCs w:val="20"/>
          <w:lang w:val="es-MX"/>
        </w:rPr>
        <w:t xml:space="preserve">el Estado no ha demostrado que existiera </w:t>
      </w:r>
      <w:r w:rsidRPr="00DB4A13">
        <w:rPr>
          <w:rFonts w:ascii="Cambria" w:hAnsi="Cambria"/>
          <w:sz w:val="20"/>
          <w:szCs w:val="20"/>
          <w:lang w:val="es-MX"/>
        </w:rPr>
        <w:t xml:space="preserve">al momento de los hechos una reglamentación </w:t>
      </w:r>
      <w:r w:rsidRPr="00DB4A13">
        <w:rPr>
          <w:rFonts w:ascii="Cambria" w:hAnsi="Cambria"/>
          <w:sz w:val="20"/>
          <w:szCs w:val="20"/>
          <w:lang w:val="es-US"/>
        </w:rPr>
        <w:t>clara con una política de prevención para el uso de la fuerza de conformidad con</w:t>
      </w:r>
      <w:r w:rsidR="00D45CAB">
        <w:rPr>
          <w:rFonts w:ascii="Cambria" w:hAnsi="Cambria"/>
          <w:sz w:val="20"/>
          <w:szCs w:val="20"/>
          <w:lang w:val="es-US"/>
        </w:rPr>
        <w:t xml:space="preserve"> sus obligaciones internacionales en la materia. </w:t>
      </w:r>
      <w:r w:rsidRPr="00DB4A13">
        <w:rPr>
          <w:rFonts w:ascii="Cambria" w:hAnsi="Cambria"/>
          <w:sz w:val="20"/>
          <w:szCs w:val="20"/>
          <w:lang w:val="es-US"/>
        </w:rPr>
        <w:t xml:space="preserve">Asimismo, no existe información en el expediente sobre la existencia de protocolos de supervisión o de control de operativos para usar válidamente la fuerza. </w:t>
      </w:r>
    </w:p>
    <w:p w:rsidR="00E3162B" w:rsidRPr="00DB4A13" w:rsidRDefault="00E3162B" w:rsidP="00E316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ES_tradnl"/>
        </w:rPr>
        <w:t>El Estado alegó que: “las autoridades oficiales se vieron en la necesidad de hacer disparos al vehículo con la finalidad de detener la fuga, aunque aun así continuó la marcha hasta adentrarse en sectores despoblados”</w:t>
      </w:r>
      <w:r w:rsidRPr="00DB4A13">
        <w:rPr>
          <w:rStyle w:val="FootnoteReference"/>
          <w:rFonts w:ascii="Cambria" w:hAnsi="Cambria"/>
          <w:sz w:val="20"/>
          <w:szCs w:val="20"/>
          <w:lang w:val="es-ES_tradnl"/>
        </w:rPr>
        <w:footnoteReference w:id="62"/>
      </w:r>
      <w:r w:rsidRPr="00DB4A13">
        <w:rPr>
          <w:rFonts w:ascii="Cambria" w:hAnsi="Cambria"/>
          <w:sz w:val="20"/>
          <w:szCs w:val="20"/>
          <w:lang w:val="es-ES_tradnl"/>
        </w:rPr>
        <w:t xml:space="preserve">. No obstante, del expediente no existen indicios de que las personas </w:t>
      </w:r>
      <w:r w:rsidRPr="00DB4A13">
        <w:rPr>
          <w:rFonts w:ascii="Cambria" w:hAnsi="Cambria"/>
          <w:sz w:val="20"/>
          <w:szCs w:val="20"/>
          <w:lang w:val="es-US"/>
        </w:rPr>
        <w:t xml:space="preserve">migrantes o el conductor estuvieran armadas ni que hubieran realizado alguna acción de agresión que pudiese interpretarse como una amenaza para el Estado ni actos violentos que pusieran en riesgo la vida y, por lo tanto, ameritasen el uso de la fuerza armada </w:t>
      </w:r>
      <w:r w:rsidR="005109AB">
        <w:rPr>
          <w:rFonts w:ascii="Cambria" w:hAnsi="Cambria"/>
          <w:sz w:val="20"/>
          <w:szCs w:val="20"/>
          <w:lang w:val="es-US"/>
        </w:rPr>
        <w:t xml:space="preserve">letal </w:t>
      </w:r>
      <w:r w:rsidRPr="00DB4A13">
        <w:rPr>
          <w:rFonts w:ascii="Cambria" w:hAnsi="Cambria"/>
          <w:sz w:val="20"/>
          <w:szCs w:val="20"/>
          <w:lang w:val="es-US"/>
        </w:rPr>
        <w:t>como último y necesario recurso en esa situación. Al respecto, la Comisión Interamericana recuerda que el único uso legítimo de armas de fuego en casos de peligro de fuga, es cuando la vida de alguna persona esté en riesgo, situación que no se materializa en el presente caso puesto que no</w:t>
      </w:r>
      <w:r w:rsidR="00AD3D26">
        <w:rPr>
          <w:rFonts w:ascii="Cambria" w:hAnsi="Cambria"/>
          <w:sz w:val="20"/>
          <w:szCs w:val="20"/>
          <w:lang w:val="es-US"/>
        </w:rPr>
        <w:t xml:space="preserve"> existe elemento alguno que apunte a </w:t>
      </w:r>
      <w:r w:rsidRPr="00DB4A13">
        <w:rPr>
          <w:rFonts w:ascii="Cambria" w:hAnsi="Cambria"/>
          <w:sz w:val="20"/>
          <w:szCs w:val="20"/>
          <w:lang w:val="es-US"/>
        </w:rPr>
        <w:t xml:space="preserve">la existencia o indicios de un riesgo a la vida de los policías que realizaban los controles. </w:t>
      </w:r>
    </w:p>
    <w:p w:rsidR="00E3162B" w:rsidRPr="00DB4A13" w:rsidRDefault="00E3162B" w:rsidP="00E3162B">
      <w:pPr>
        <w:pStyle w:val="ListParagraph"/>
        <w:rPr>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ES"/>
        </w:rPr>
        <w:t xml:space="preserve"> </w:t>
      </w:r>
      <w:r w:rsidRPr="00DB4A13">
        <w:rPr>
          <w:rFonts w:ascii="Cambria" w:hAnsi="Cambria"/>
          <w:sz w:val="20"/>
          <w:szCs w:val="20"/>
          <w:lang w:val="es-ES_tradnl"/>
        </w:rPr>
        <w:t xml:space="preserve">De las declaraciones de los </w:t>
      </w:r>
      <w:r w:rsidR="00D13BEE">
        <w:rPr>
          <w:rFonts w:ascii="Cambria" w:hAnsi="Cambria"/>
          <w:sz w:val="20"/>
          <w:szCs w:val="20"/>
          <w:lang w:val="es-ES_tradnl"/>
        </w:rPr>
        <w:t xml:space="preserve">propios </w:t>
      </w:r>
      <w:r w:rsidRPr="00DB4A13">
        <w:rPr>
          <w:rFonts w:ascii="Cambria" w:hAnsi="Cambria"/>
          <w:sz w:val="20"/>
          <w:szCs w:val="20"/>
          <w:lang w:val="es-ES_tradnl"/>
        </w:rPr>
        <w:t xml:space="preserve">policías se desprende que las autoridades realizaron señales de alto en ambos puntos de control; en el primero, </w:t>
      </w:r>
      <w:r w:rsidR="00A246B0" w:rsidRPr="00DB4A13">
        <w:rPr>
          <w:rFonts w:ascii="Cambria" w:hAnsi="Cambria"/>
          <w:sz w:val="20"/>
          <w:szCs w:val="20"/>
          <w:lang w:val="es-ES_tradnl"/>
        </w:rPr>
        <w:t xml:space="preserve">los policías manifestaron que </w:t>
      </w:r>
      <w:r w:rsidRPr="00DB4A13">
        <w:rPr>
          <w:rFonts w:ascii="Cambria" w:hAnsi="Cambria"/>
          <w:sz w:val="20"/>
          <w:szCs w:val="20"/>
          <w:lang w:val="es-ES_tradnl"/>
        </w:rPr>
        <w:t xml:space="preserve">se hizo la señal de alto con el bastón vial y solicitando que se prendieran las luces de la patrulla; en el segundo, </w:t>
      </w:r>
      <w:r w:rsidR="00A246B0" w:rsidRPr="00DB4A13">
        <w:rPr>
          <w:rFonts w:ascii="Cambria" w:hAnsi="Cambria"/>
          <w:sz w:val="20"/>
          <w:szCs w:val="20"/>
          <w:lang w:val="es-ES_tradnl"/>
        </w:rPr>
        <w:t xml:space="preserve">manifestaron que </w:t>
      </w:r>
      <w:r w:rsidRPr="00DB4A13">
        <w:rPr>
          <w:rFonts w:ascii="Cambria" w:hAnsi="Cambria"/>
          <w:sz w:val="20"/>
          <w:szCs w:val="20"/>
          <w:lang w:val="es-ES_tradnl"/>
        </w:rPr>
        <w:t xml:space="preserve">se hicieron señales para que el vehículo parara, y posteriormente, tres policías afirmaron haber realizado disparos al aire </w:t>
      </w:r>
      <w:r w:rsidRPr="00DB4A13">
        <w:rPr>
          <w:rFonts w:ascii="Cambria" w:hAnsi="Cambria"/>
          <w:sz w:val="20"/>
          <w:szCs w:val="20"/>
          <w:lang w:val="es-MX"/>
        </w:rPr>
        <w:t xml:space="preserve">(Francisco Simón Ordoñez Nájera, Ricardo Javier Salgado Ojeda y Silvio Antonio Vanegas Blandon) y un policía, José Marcelino Ramírez Vargas de </w:t>
      </w:r>
      <w:r w:rsidR="00490B32">
        <w:rPr>
          <w:rFonts w:ascii="Cambria" w:hAnsi="Cambria"/>
          <w:sz w:val="20"/>
          <w:szCs w:val="20"/>
          <w:lang w:val="es-MX"/>
        </w:rPr>
        <w:t>tres</w:t>
      </w:r>
      <w:r w:rsidRPr="00DB4A13">
        <w:rPr>
          <w:rFonts w:ascii="Cambria" w:hAnsi="Cambria"/>
          <w:sz w:val="20"/>
          <w:szCs w:val="20"/>
          <w:lang w:val="es-MX"/>
        </w:rPr>
        <w:t xml:space="preserve"> a </w:t>
      </w:r>
      <w:r w:rsidR="00490B32">
        <w:rPr>
          <w:rFonts w:ascii="Cambria" w:hAnsi="Cambria"/>
          <w:sz w:val="20"/>
          <w:szCs w:val="20"/>
          <w:lang w:val="es-MX"/>
        </w:rPr>
        <w:t>cuatro</w:t>
      </w:r>
      <w:r w:rsidRPr="00DB4A13">
        <w:rPr>
          <w:rFonts w:ascii="Cambria" w:hAnsi="Cambria"/>
          <w:sz w:val="20"/>
          <w:szCs w:val="20"/>
          <w:lang w:val="es-MX"/>
        </w:rPr>
        <w:t xml:space="preserve"> disparos sin autorización en dirección a las llantas del extremo derecho del vehículo.</w:t>
      </w:r>
    </w:p>
    <w:p w:rsidR="00E3162B" w:rsidRPr="00DB4A13" w:rsidRDefault="00E3162B" w:rsidP="00E3162B">
      <w:pPr>
        <w:pStyle w:val="ListParagraph"/>
        <w:rPr>
          <w:sz w:val="20"/>
          <w:szCs w:val="20"/>
          <w:lang w:val="es-U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DB4A13">
        <w:rPr>
          <w:rFonts w:ascii="Cambria" w:hAnsi="Cambria"/>
          <w:sz w:val="20"/>
          <w:szCs w:val="20"/>
          <w:lang w:val="es-US"/>
        </w:rPr>
        <w:t>A pesar de haber afirmado que tod</w:t>
      </w:r>
      <w:r w:rsidR="00D13BEE">
        <w:rPr>
          <w:rFonts w:ascii="Cambria" w:hAnsi="Cambria"/>
          <w:sz w:val="20"/>
          <w:szCs w:val="20"/>
          <w:lang w:val="es-US"/>
        </w:rPr>
        <w:t xml:space="preserve">os los disparos se realizaron al aire </w:t>
      </w:r>
      <w:r w:rsidRPr="00DB4A13">
        <w:rPr>
          <w:rFonts w:ascii="Cambria" w:hAnsi="Cambria"/>
          <w:sz w:val="20"/>
          <w:szCs w:val="20"/>
          <w:lang w:val="es-US"/>
        </w:rPr>
        <w:t xml:space="preserve">o a las llantas del vehículo, de la inspección ocular que obra en el expediente se desprende que ningún disparo alcanzó las llantas del vehículo, o </w:t>
      </w:r>
      <w:r w:rsidR="009F7F1B">
        <w:rPr>
          <w:rFonts w:ascii="Cambria" w:hAnsi="Cambria"/>
          <w:sz w:val="20"/>
          <w:szCs w:val="20"/>
          <w:lang w:val="es-US"/>
        </w:rPr>
        <w:t xml:space="preserve">al </w:t>
      </w:r>
      <w:r w:rsidRPr="00DB4A13">
        <w:rPr>
          <w:rFonts w:ascii="Cambria" w:hAnsi="Cambria"/>
          <w:sz w:val="20"/>
          <w:szCs w:val="20"/>
          <w:lang w:val="es-US"/>
        </w:rPr>
        <w:t>motor del mismo para lograr detenerlo, sino que los disparos fueron dirigidos hacia la parte superior del vehículo, impactando a las personas que se enc</w:t>
      </w:r>
      <w:r w:rsidR="00B215B2">
        <w:rPr>
          <w:rFonts w:ascii="Cambria" w:hAnsi="Cambria"/>
          <w:sz w:val="20"/>
          <w:szCs w:val="20"/>
          <w:lang w:val="es-US"/>
        </w:rPr>
        <w:t>ontraban dentro de la furgoneta, como quedó efectivamente demostrado con la muerte de una de las presuntas víctimas y las graves lesiones a la otra, y otro grupo de personas.</w:t>
      </w:r>
      <w:r w:rsidRPr="00DB4A13">
        <w:rPr>
          <w:rFonts w:ascii="Cambria" w:hAnsi="Cambria"/>
          <w:sz w:val="20"/>
          <w:szCs w:val="20"/>
          <w:lang w:val="es-US"/>
        </w:rPr>
        <w:t xml:space="preserve"> </w:t>
      </w:r>
    </w:p>
    <w:p w:rsidR="00E3162B" w:rsidRPr="00DB4A13" w:rsidRDefault="00E3162B" w:rsidP="00E3162B">
      <w:pPr>
        <w:tabs>
          <w:tab w:val="left" w:pos="720"/>
          <w:tab w:val="left" w:pos="1440"/>
        </w:tabs>
        <w:ind w:left="630"/>
        <w:jc w:val="both"/>
        <w:rPr>
          <w:rFonts w:ascii="Cambria" w:hAnsi="Cambria"/>
          <w:sz w:val="20"/>
          <w:szCs w:val="20"/>
          <w:lang w:val="es-U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US"/>
        </w:rPr>
        <w:t>En</w:t>
      </w:r>
      <w:r w:rsidR="008E4A2D">
        <w:rPr>
          <w:rFonts w:ascii="Cambria" w:hAnsi="Cambria"/>
          <w:sz w:val="20"/>
          <w:szCs w:val="20"/>
          <w:lang w:val="es-US"/>
        </w:rPr>
        <w:t xml:space="preserve"> todo caso, </w:t>
      </w:r>
      <w:r w:rsidRPr="00DB4A13">
        <w:rPr>
          <w:rFonts w:ascii="Cambria" w:hAnsi="Cambria"/>
          <w:sz w:val="20"/>
          <w:szCs w:val="20"/>
          <w:lang w:val="es-US"/>
        </w:rPr>
        <w:t xml:space="preserve">aun aceptando la versión de los policías sobre el empleo de medios menos lesivos para detener la camioneta, </w:t>
      </w:r>
      <w:r w:rsidR="00CE09F8">
        <w:rPr>
          <w:rFonts w:ascii="Cambria" w:hAnsi="Cambria"/>
          <w:sz w:val="20"/>
          <w:szCs w:val="20"/>
          <w:lang w:val="es-US"/>
        </w:rPr>
        <w:t>conforme a los est</w:t>
      </w:r>
      <w:r w:rsidR="00D427B9">
        <w:rPr>
          <w:rFonts w:ascii="Cambria" w:hAnsi="Cambria"/>
          <w:sz w:val="20"/>
          <w:szCs w:val="20"/>
          <w:lang w:val="es-US"/>
        </w:rPr>
        <w:t xml:space="preserve">ándares citados, </w:t>
      </w:r>
      <w:r w:rsidRPr="00DB4A13">
        <w:rPr>
          <w:rFonts w:ascii="Cambria" w:hAnsi="Cambria"/>
          <w:sz w:val="20"/>
          <w:szCs w:val="20"/>
          <w:lang w:val="es-US"/>
        </w:rPr>
        <w:t>se debía evitar</w:t>
      </w:r>
      <w:r w:rsidR="00AD7929">
        <w:rPr>
          <w:rFonts w:ascii="Cambria" w:hAnsi="Cambria"/>
          <w:sz w:val="20"/>
          <w:szCs w:val="20"/>
          <w:lang w:val="es-US"/>
        </w:rPr>
        <w:t xml:space="preserve"> a toda costa</w:t>
      </w:r>
      <w:r w:rsidRPr="00DB4A13">
        <w:rPr>
          <w:rFonts w:ascii="Cambria" w:hAnsi="Cambria"/>
          <w:sz w:val="20"/>
          <w:szCs w:val="20"/>
          <w:lang w:val="es-US"/>
        </w:rPr>
        <w:t xml:space="preserve"> el uso de armas mediante otro tipo de acciones preventivas, especialmente considerando que en zona hay un paso constante de mercadería ilegal y de tráfico de personas.</w:t>
      </w:r>
      <w:r w:rsidR="00AD7929">
        <w:rPr>
          <w:rFonts w:ascii="Cambria" w:hAnsi="Cambria"/>
          <w:sz w:val="20"/>
          <w:szCs w:val="20"/>
          <w:lang w:val="es-US"/>
        </w:rPr>
        <w:t xml:space="preserve"> Esto resulta aún más evidente tomando en cuenta lo indicado arriba en cuanto a la </w:t>
      </w:r>
      <w:r w:rsidR="00CA6F96">
        <w:rPr>
          <w:rFonts w:ascii="Cambria" w:hAnsi="Cambria"/>
          <w:sz w:val="20"/>
          <w:szCs w:val="20"/>
          <w:lang w:val="es-US"/>
        </w:rPr>
        <w:t>ausencia de elementos que apunten que las presuntas víctimas y quienes se encontraban en la furgoneta, representaban algún peligro para la vida de l</w:t>
      </w:r>
      <w:r w:rsidR="00B2285E">
        <w:rPr>
          <w:rFonts w:ascii="Cambria" w:hAnsi="Cambria"/>
          <w:sz w:val="20"/>
          <w:szCs w:val="20"/>
          <w:lang w:val="es-US"/>
        </w:rPr>
        <w:t xml:space="preserve">os policías o terceras personas. </w:t>
      </w:r>
    </w:p>
    <w:p w:rsidR="00E3162B" w:rsidRPr="00DB4A13" w:rsidRDefault="00E3162B" w:rsidP="00E3162B">
      <w:pPr>
        <w:tabs>
          <w:tab w:val="left" w:pos="1440"/>
        </w:tabs>
        <w:ind w:left="630"/>
        <w:jc w:val="both"/>
        <w:rPr>
          <w:rFonts w:ascii="Cambria" w:hAnsi="Cambria"/>
          <w:sz w:val="20"/>
          <w:szCs w:val="20"/>
          <w:lang w:val="es-ES"/>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B4A13">
        <w:rPr>
          <w:rFonts w:ascii="Cambria" w:hAnsi="Cambria"/>
          <w:sz w:val="20"/>
          <w:szCs w:val="20"/>
          <w:lang w:val="es-ES"/>
        </w:rPr>
        <w:t xml:space="preserve">La Comisión </w:t>
      </w:r>
      <w:r w:rsidR="00BE20B3">
        <w:rPr>
          <w:rFonts w:ascii="Cambria" w:hAnsi="Cambria"/>
          <w:sz w:val="20"/>
          <w:szCs w:val="20"/>
          <w:lang w:val="es-ES"/>
        </w:rPr>
        <w:t xml:space="preserve">reitera </w:t>
      </w:r>
      <w:r w:rsidRPr="00DB4A13">
        <w:rPr>
          <w:rFonts w:ascii="Cambria" w:hAnsi="Cambria"/>
          <w:sz w:val="20"/>
          <w:szCs w:val="20"/>
          <w:lang w:val="es-ES"/>
        </w:rPr>
        <w:t>que e</w:t>
      </w:r>
      <w:r w:rsidRPr="00DB4A13">
        <w:rPr>
          <w:rFonts w:ascii="Cambria" w:hAnsi="Cambria"/>
          <w:sz w:val="20"/>
          <w:szCs w:val="20"/>
          <w:lang w:val="es-US"/>
        </w:rPr>
        <w:t xml:space="preserve">l uso de armas letales en controles policiales o migratorios siempre resultará arbitrario y contrario a los principios de legalidad, absoluta necesidad y proporcionalidad cuando un vehículo se dé a la fuga, a menos que exista agresión o indicios de que esté en peligro la vida de alguna </w:t>
      </w:r>
      <w:r w:rsidRPr="00DB4A13">
        <w:rPr>
          <w:rFonts w:ascii="Cambria" w:hAnsi="Cambria"/>
          <w:sz w:val="20"/>
          <w:szCs w:val="20"/>
          <w:lang w:val="es-US"/>
        </w:rPr>
        <w:lastRenderedPageBreak/>
        <w:t>persona. En el presente caso no se acreditó un uso de la fuerza legítimo y la grave consecuencia fue la muerte del señor Pedro Roche Azaña, y la situación de gravedad de Patricio Roche Azaña. El uso de la fuerza</w:t>
      </w:r>
      <w:r w:rsidR="007156A0">
        <w:rPr>
          <w:rFonts w:ascii="Cambria" w:hAnsi="Cambria"/>
          <w:sz w:val="20"/>
          <w:szCs w:val="20"/>
          <w:lang w:val="es-US"/>
        </w:rPr>
        <w:t xml:space="preserve"> innecesario y </w:t>
      </w:r>
      <w:r w:rsidRPr="00DB4A13">
        <w:rPr>
          <w:rFonts w:ascii="Cambria" w:hAnsi="Cambria"/>
          <w:sz w:val="20"/>
          <w:szCs w:val="20"/>
          <w:lang w:val="es-US"/>
        </w:rPr>
        <w:t>desproporcionado es atribuible al Estado nicaragüense por el actuar de los funcionarios encargados de hacer cumplir la ley</w:t>
      </w:r>
      <w:r w:rsidRPr="00DB4A13">
        <w:rPr>
          <w:rStyle w:val="FootnoteReference"/>
          <w:rFonts w:ascii="Cambria" w:hAnsi="Cambria"/>
          <w:sz w:val="20"/>
          <w:szCs w:val="20"/>
          <w:lang w:val="es-US"/>
        </w:rPr>
        <w:footnoteReference w:id="63"/>
      </w:r>
      <w:r w:rsidRPr="00DB4A13">
        <w:rPr>
          <w:rFonts w:ascii="Cambria" w:hAnsi="Cambria"/>
          <w:sz w:val="20"/>
          <w:szCs w:val="20"/>
          <w:lang w:val="es-US"/>
        </w:rPr>
        <w:t>.</w:t>
      </w:r>
      <w:r w:rsidR="00CD06DB">
        <w:rPr>
          <w:rFonts w:ascii="Cambria" w:hAnsi="Cambria"/>
          <w:sz w:val="20"/>
          <w:szCs w:val="20"/>
          <w:lang w:val="es-US"/>
        </w:rPr>
        <w:t xml:space="preserve"> Esta conclusión es suficiente para establecer la responsabilidad internacional del Estado por dicho uso de la fuerza.</w:t>
      </w:r>
      <w:r w:rsidRPr="00DB4A13">
        <w:rPr>
          <w:rFonts w:ascii="Cambria" w:hAnsi="Cambria"/>
          <w:sz w:val="20"/>
          <w:szCs w:val="20"/>
          <w:lang w:val="es-US"/>
        </w:rPr>
        <w:t xml:space="preserve"> </w:t>
      </w:r>
    </w:p>
    <w:p w:rsidR="00E3162B" w:rsidRPr="00622E55" w:rsidRDefault="00E3162B" w:rsidP="00E3162B">
      <w:pPr>
        <w:pStyle w:val="ListParagraph"/>
        <w:rPr>
          <w:rFonts w:eastAsia="Times New Roman"/>
          <w:sz w:val="20"/>
          <w:szCs w:val="20"/>
          <w:lang w:val="es-ES"/>
        </w:rPr>
      </w:pPr>
    </w:p>
    <w:p w:rsidR="00E3162B" w:rsidRPr="00DB4A13" w:rsidRDefault="00CD06D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cs="Arial"/>
          <w:sz w:val="20"/>
          <w:szCs w:val="20"/>
          <w:lang w:val="es-ES_tradnl"/>
        </w:rPr>
      </w:pPr>
      <w:r>
        <w:rPr>
          <w:rFonts w:ascii="Cambria" w:eastAsia="Times New Roman" w:hAnsi="Cambria" w:cs="Arial"/>
          <w:sz w:val="20"/>
          <w:szCs w:val="20"/>
          <w:lang w:val="es-ES_tradnl"/>
        </w:rPr>
        <w:t xml:space="preserve">Además, en cuanto al detalle de las afectaciones a la integridad personal de los dos hermanos, </w:t>
      </w:r>
      <w:r w:rsidR="00E059EE">
        <w:rPr>
          <w:rFonts w:ascii="Cambria" w:eastAsia="Times New Roman" w:hAnsi="Cambria" w:cs="Arial"/>
          <w:sz w:val="20"/>
          <w:szCs w:val="20"/>
          <w:lang w:val="es-ES_tradnl"/>
        </w:rPr>
        <w:t xml:space="preserve">la parte peticionaria </w:t>
      </w:r>
      <w:r w:rsidR="00E3162B" w:rsidRPr="00DB4A13">
        <w:rPr>
          <w:rFonts w:ascii="Cambria" w:eastAsia="Times New Roman" w:hAnsi="Cambria" w:cs="Arial"/>
          <w:sz w:val="20"/>
          <w:szCs w:val="20"/>
          <w:lang w:val="es-ES_tradnl"/>
        </w:rPr>
        <w:t>manifest</w:t>
      </w:r>
      <w:r w:rsidR="00E059EE">
        <w:rPr>
          <w:rFonts w:ascii="Cambria" w:eastAsia="Times New Roman" w:hAnsi="Cambria" w:cs="Arial"/>
          <w:sz w:val="20"/>
          <w:szCs w:val="20"/>
          <w:lang w:val="es-ES_tradnl"/>
        </w:rPr>
        <w:t>ó</w:t>
      </w:r>
      <w:r w:rsidR="00E3162B" w:rsidRPr="00DB4A13">
        <w:rPr>
          <w:rFonts w:ascii="Cambria" w:eastAsia="Times New Roman" w:hAnsi="Cambria" w:cs="Arial"/>
          <w:sz w:val="20"/>
          <w:szCs w:val="20"/>
          <w:lang w:val="es-ES_tradnl"/>
        </w:rPr>
        <w:t xml:space="preserve"> que “el ahora fallecido Pedro Bacilio Roche Azaña, quien en estado desesperante permanece en agonía hasta las 24 horas (aproximadamente) del mismo día, momento en el que fallece como fruto de la letal herida que le habría provocado el impacto de bala en su cráneo</w:t>
      </w:r>
      <w:r w:rsidR="00E3162B" w:rsidRPr="00DB4A13">
        <w:rPr>
          <w:rStyle w:val="FootnoteReference"/>
          <w:rFonts w:ascii="Cambria" w:eastAsia="Times New Roman" w:hAnsi="Cambria" w:cs="Arial"/>
          <w:sz w:val="20"/>
          <w:szCs w:val="20"/>
          <w:lang w:val="es-ES_tradnl"/>
        </w:rPr>
        <w:footnoteReference w:id="64"/>
      </w:r>
      <w:r w:rsidR="00E3162B" w:rsidRPr="00DB4A13">
        <w:rPr>
          <w:rFonts w:ascii="Cambria" w:eastAsia="Times New Roman" w:hAnsi="Cambria" w:cs="Arial"/>
          <w:sz w:val="20"/>
          <w:szCs w:val="20"/>
          <w:lang w:val="es-ES_tradnl"/>
        </w:rPr>
        <w:t xml:space="preserve">”. Asimismo, respecto de Patricio Fernando Roche Azaña, </w:t>
      </w:r>
      <w:r w:rsidR="00E940BB">
        <w:rPr>
          <w:rFonts w:ascii="Cambria" w:eastAsia="Times New Roman" w:hAnsi="Cambria" w:cs="Arial"/>
          <w:sz w:val="20"/>
          <w:szCs w:val="20"/>
          <w:lang w:val="es-ES_tradnl"/>
        </w:rPr>
        <w:t xml:space="preserve">se indicó que </w:t>
      </w:r>
      <w:r w:rsidR="00E3162B" w:rsidRPr="00DB4A13">
        <w:rPr>
          <w:rFonts w:ascii="Cambria" w:eastAsia="Times New Roman" w:hAnsi="Cambria" w:cs="Arial"/>
          <w:sz w:val="20"/>
          <w:szCs w:val="20"/>
          <w:lang w:val="es-ES_tradnl"/>
        </w:rPr>
        <w:t xml:space="preserve">recibió un impacto de bala y permaneció sin atención médica hasta el día siguiente en la mañana; como consecuencia, permaneció en estado de coma por aproximadamente quince días y posteriormente tuvo que permanecer en el hospital por otros tres meses. </w:t>
      </w:r>
      <w:r w:rsidR="00E940BB">
        <w:rPr>
          <w:rFonts w:ascii="Cambria" w:eastAsia="Times New Roman" w:hAnsi="Cambria" w:cs="Arial"/>
          <w:sz w:val="20"/>
          <w:szCs w:val="20"/>
          <w:lang w:val="es-ES_tradnl"/>
        </w:rPr>
        <w:t xml:space="preserve">Patricio Roche </w:t>
      </w:r>
      <w:r w:rsidR="00E3162B" w:rsidRPr="00DB4A13">
        <w:rPr>
          <w:rFonts w:ascii="Cambria" w:eastAsia="Times New Roman" w:hAnsi="Cambria" w:cs="Arial"/>
          <w:sz w:val="20"/>
          <w:szCs w:val="20"/>
          <w:lang w:val="es-ES_tradnl"/>
        </w:rPr>
        <w:t>ha sido sometido a tres operaciones en Nicaragua y dos más en Ecuador y “ha quedado con lesiones permanentes que lo han incapacitado para poder realizar cualquier actividad económica que le permita vivir adecuada y normalmente; y a este dolor continuo y desesperante se va sumando la amarga soledad y angustia de haber perdido a Pedro Bacilio Roche Azaña, miembro de familia</w:t>
      </w:r>
      <w:r w:rsidR="00E3162B" w:rsidRPr="00DB4A13">
        <w:rPr>
          <w:rStyle w:val="FootnoteReference"/>
          <w:rFonts w:ascii="Cambria" w:eastAsia="Times New Roman" w:hAnsi="Cambria" w:cs="Arial"/>
          <w:sz w:val="20"/>
          <w:szCs w:val="20"/>
          <w:lang w:val="es-ES_tradnl"/>
        </w:rPr>
        <w:footnoteReference w:id="65"/>
      </w:r>
      <w:r w:rsidR="00E3162B" w:rsidRPr="00DB4A13">
        <w:rPr>
          <w:rFonts w:ascii="Cambria" w:eastAsia="Times New Roman" w:hAnsi="Cambria" w:cs="Arial"/>
          <w:sz w:val="20"/>
          <w:szCs w:val="20"/>
          <w:lang w:val="es-ES_tradnl"/>
        </w:rPr>
        <w:t>”</w:t>
      </w:r>
      <w:r w:rsidR="00E940BB">
        <w:rPr>
          <w:rFonts w:ascii="Cambria" w:eastAsia="Times New Roman" w:hAnsi="Cambria" w:cs="Arial"/>
          <w:sz w:val="20"/>
          <w:szCs w:val="20"/>
          <w:lang w:val="es-ES_tradnl"/>
        </w:rPr>
        <w:t xml:space="preserve">. </w:t>
      </w:r>
    </w:p>
    <w:p w:rsidR="00E3162B" w:rsidRPr="00DB4A13" w:rsidRDefault="00E3162B" w:rsidP="00E3162B">
      <w:pPr>
        <w:pStyle w:val="ListParagraph"/>
        <w:rPr>
          <w:sz w:val="20"/>
          <w:szCs w:val="20"/>
          <w:lang w:val="es-MX"/>
        </w:rPr>
      </w:pPr>
    </w:p>
    <w:p w:rsidR="00E3162B" w:rsidRPr="00DB4A13" w:rsidRDefault="00E3162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cs="Arial"/>
          <w:sz w:val="20"/>
          <w:szCs w:val="20"/>
          <w:lang w:val="es-ES_tradnl"/>
        </w:rPr>
      </w:pPr>
      <w:r w:rsidRPr="00DB4A13">
        <w:rPr>
          <w:rFonts w:ascii="Cambria" w:hAnsi="Cambria"/>
          <w:sz w:val="20"/>
          <w:szCs w:val="20"/>
          <w:lang w:val="es-MX"/>
        </w:rPr>
        <w:t>En virtud de lo anterior, la Comisión concluye que el Estado nicaragüense es responsable por la violación de</w:t>
      </w:r>
      <w:r w:rsidR="00E940BB">
        <w:rPr>
          <w:rFonts w:ascii="Cambria" w:hAnsi="Cambria"/>
          <w:sz w:val="20"/>
          <w:szCs w:val="20"/>
          <w:lang w:val="es-MX"/>
        </w:rPr>
        <w:t xml:space="preserve"> los derechos a la </w:t>
      </w:r>
      <w:r w:rsidRPr="00DB4A13">
        <w:rPr>
          <w:rFonts w:ascii="Cambria" w:hAnsi="Cambria"/>
          <w:sz w:val="20"/>
          <w:szCs w:val="20"/>
          <w:lang w:val="es-MX"/>
        </w:rPr>
        <w:t xml:space="preserve">vida </w:t>
      </w:r>
      <w:r w:rsidR="00E940BB">
        <w:rPr>
          <w:rFonts w:ascii="Cambria" w:hAnsi="Cambria"/>
          <w:sz w:val="20"/>
          <w:szCs w:val="20"/>
          <w:lang w:val="es-MX"/>
        </w:rPr>
        <w:t xml:space="preserve">e </w:t>
      </w:r>
      <w:r w:rsidRPr="00DB4A13">
        <w:rPr>
          <w:rFonts w:ascii="Cambria" w:hAnsi="Cambria"/>
          <w:sz w:val="20"/>
          <w:szCs w:val="20"/>
          <w:lang w:val="es-MX"/>
        </w:rPr>
        <w:t>integridad</w:t>
      </w:r>
      <w:r w:rsidR="00E940BB">
        <w:rPr>
          <w:rFonts w:ascii="Cambria" w:hAnsi="Cambria"/>
          <w:sz w:val="20"/>
          <w:szCs w:val="20"/>
          <w:lang w:val="es-MX"/>
        </w:rPr>
        <w:t xml:space="preserve"> personal establecidos en los </w:t>
      </w:r>
      <w:r w:rsidRPr="00DB4A13">
        <w:rPr>
          <w:rFonts w:ascii="Cambria" w:hAnsi="Cambria"/>
          <w:sz w:val="20"/>
          <w:szCs w:val="20"/>
          <w:lang w:val="es-MX"/>
        </w:rPr>
        <w:t>artículo</w:t>
      </w:r>
      <w:r w:rsidR="00E940BB">
        <w:rPr>
          <w:rFonts w:ascii="Cambria" w:hAnsi="Cambria"/>
          <w:sz w:val="20"/>
          <w:szCs w:val="20"/>
          <w:lang w:val="es-MX"/>
        </w:rPr>
        <w:t>s 4.1 y</w:t>
      </w:r>
      <w:r w:rsidRPr="00DB4A13">
        <w:rPr>
          <w:rFonts w:ascii="Cambria" w:hAnsi="Cambria"/>
          <w:sz w:val="20"/>
          <w:szCs w:val="20"/>
          <w:lang w:val="es-MX"/>
        </w:rPr>
        <w:t xml:space="preserve"> 5.1</w:t>
      </w:r>
      <w:r w:rsidR="00E940BB">
        <w:rPr>
          <w:rFonts w:ascii="Cambria" w:hAnsi="Cambria"/>
          <w:sz w:val="20"/>
          <w:szCs w:val="20"/>
          <w:lang w:val="es-MX"/>
        </w:rPr>
        <w:t xml:space="preserve"> de la Convención Americana,</w:t>
      </w:r>
      <w:r w:rsidRPr="00DB4A13">
        <w:rPr>
          <w:rFonts w:ascii="Cambria" w:hAnsi="Cambria"/>
          <w:sz w:val="20"/>
          <w:szCs w:val="20"/>
          <w:lang w:val="es-MX"/>
        </w:rPr>
        <w:t xml:space="preserve"> en relación con las obligaciones establecidas en </w:t>
      </w:r>
      <w:r w:rsidR="00E940BB">
        <w:rPr>
          <w:rFonts w:ascii="Cambria" w:hAnsi="Cambria"/>
          <w:sz w:val="20"/>
          <w:szCs w:val="20"/>
          <w:lang w:val="es-MX"/>
        </w:rPr>
        <w:t>los</w:t>
      </w:r>
      <w:r w:rsidRPr="00DB4A13">
        <w:rPr>
          <w:rFonts w:ascii="Cambria" w:hAnsi="Cambria"/>
          <w:sz w:val="20"/>
          <w:szCs w:val="20"/>
          <w:lang w:val="es-MX"/>
        </w:rPr>
        <w:t xml:space="preserve"> artículo</w:t>
      </w:r>
      <w:r w:rsidR="00E940BB">
        <w:rPr>
          <w:rFonts w:ascii="Cambria" w:hAnsi="Cambria"/>
          <w:sz w:val="20"/>
          <w:szCs w:val="20"/>
          <w:lang w:val="es-MX"/>
        </w:rPr>
        <w:t>s</w:t>
      </w:r>
      <w:r w:rsidRPr="00DB4A13">
        <w:rPr>
          <w:rFonts w:ascii="Cambria" w:hAnsi="Cambria"/>
          <w:sz w:val="20"/>
          <w:szCs w:val="20"/>
          <w:lang w:val="es-MX"/>
        </w:rPr>
        <w:t xml:space="preserve"> 1.1</w:t>
      </w:r>
      <w:r w:rsidR="00E940BB">
        <w:rPr>
          <w:rFonts w:ascii="Cambria" w:hAnsi="Cambria"/>
          <w:sz w:val="20"/>
          <w:szCs w:val="20"/>
          <w:lang w:val="es-MX"/>
        </w:rPr>
        <w:t xml:space="preserve"> y 2</w:t>
      </w:r>
      <w:r w:rsidRPr="00DB4A13">
        <w:rPr>
          <w:rFonts w:ascii="Cambria" w:hAnsi="Cambria"/>
          <w:sz w:val="20"/>
          <w:szCs w:val="20"/>
          <w:lang w:val="es-MX"/>
        </w:rPr>
        <w:t xml:space="preserve"> del mismo instrumento, en perjuicio de Pedro Bacilio Roche Azaña. </w:t>
      </w:r>
      <w:r w:rsidR="00E940BB">
        <w:rPr>
          <w:rFonts w:ascii="Cambria" w:hAnsi="Cambria"/>
          <w:sz w:val="20"/>
          <w:szCs w:val="20"/>
          <w:lang w:val="es-MX"/>
        </w:rPr>
        <w:t xml:space="preserve">Asimismo, </w:t>
      </w:r>
      <w:r w:rsidR="00E940BB" w:rsidRPr="00DB4A13">
        <w:rPr>
          <w:rFonts w:ascii="Cambria" w:hAnsi="Cambria"/>
          <w:sz w:val="20"/>
          <w:szCs w:val="20"/>
          <w:lang w:val="es-MX"/>
        </w:rPr>
        <w:t>la Comisión concluye que el Estado nicaragüense es responsable por la violación de</w:t>
      </w:r>
      <w:r w:rsidR="00E940BB">
        <w:rPr>
          <w:rFonts w:ascii="Cambria" w:hAnsi="Cambria"/>
          <w:sz w:val="20"/>
          <w:szCs w:val="20"/>
          <w:lang w:val="es-MX"/>
        </w:rPr>
        <w:t xml:space="preserve">l derecho a la </w:t>
      </w:r>
      <w:r w:rsidR="00E940BB" w:rsidRPr="00DB4A13">
        <w:rPr>
          <w:rFonts w:ascii="Cambria" w:hAnsi="Cambria"/>
          <w:sz w:val="20"/>
          <w:szCs w:val="20"/>
          <w:lang w:val="es-MX"/>
        </w:rPr>
        <w:t>integridad</w:t>
      </w:r>
      <w:r w:rsidR="00E940BB">
        <w:rPr>
          <w:rFonts w:ascii="Cambria" w:hAnsi="Cambria"/>
          <w:sz w:val="20"/>
          <w:szCs w:val="20"/>
          <w:lang w:val="es-MX"/>
        </w:rPr>
        <w:t xml:space="preserve"> personal establecido en el </w:t>
      </w:r>
      <w:r w:rsidR="00E940BB" w:rsidRPr="00DB4A13">
        <w:rPr>
          <w:rFonts w:ascii="Cambria" w:hAnsi="Cambria"/>
          <w:sz w:val="20"/>
          <w:szCs w:val="20"/>
          <w:lang w:val="es-MX"/>
        </w:rPr>
        <w:t>artículo</w:t>
      </w:r>
      <w:r w:rsidR="00E940BB">
        <w:rPr>
          <w:rFonts w:ascii="Cambria" w:hAnsi="Cambria"/>
          <w:sz w:val="20"/>
          <w:szCs w:val="20"/>
          <w:lang w:val="es-MX"/>
        </w:rPr>
        <w:t xml:space="preserve"> </w:t>
      </w:r>
      <w:r w:rsidR="00E940BB" w:rsidRPr="00DB4A13">
        <w:rPr>
          <w:rFonts w:ascii="Cambria" w:hAnsi="Cambria"/>
          <w:sz w:val="20"/>
          <w:szCs w:val="20"/>
          <w:lang w:val="es-MX"/>
        </w:rPr>
        <w:t xml:space="preserve"> 5.1</w:t>
      </w:r>
      <w:r w:rsidR="00E940BB">
        <w:rPr>
          <w:rFonts w:ascii="Cambria" w:hAnsi="Cambria"/>
          <w:sz w:val="20"/>
          <w:szCs w:val="20"/>
          <w:lang w:val="es-MX"/>
        </w:rPr>
        <w:t xml:space="preserve"> de la Convención Americana,</w:t>
      </w:r>
      <w:r w:rsidR="00E940BB" w:rsidRPr="00DB4A13">
        <w:rPr>
          <w:rFonts w:ascii="Cambria" w:hAnsi="Cambria"/>
          <w:sz w:val="20"/>
          <w:szCs w:val="20"/>
          <w:lang w:val="es-MX"/>
        </w:rPr>
        <w:t xml:space="preserve"> en relación con las obligaciones establecidas en </w:t>
      </w:r>
      <w:r w:rsidR="00E940BB">
        <w:rPr>
          <w:rFonts w:ascii="Cambria" w:hAnsi="Cambria"/>
          <w:sz w:val="20"/>
          <w:szCs w:val="20"/>
          <w:lang w:val="es-MX"/>
        </w:rPr>
        <w:t>los</w:t>
      </w:r>
      <w:r w:rsidR="00E940BB" w:rsidRPr="00DB4A13">
        <w:rPr>
          <w:rFonts w:ascii="Cambria" w:hAnsi="Cambria"/>
          <w:sz w:val="20"/>
          <w:szCs w:val="20"/>
          <w:lang w:val="es-MX"/>
        </w:rPr>
        <w:t xml:space="preserve"> artículo</w:t>
      </w:r>
      <w:r w:rsidR="00E940BB">
        <w:rPr>
          <w:rFonts w:ascii="Cambria" w:hAnsi="Cambria"/>
          <w:sz w:val="20"/>
          <w:szCs w:val="20"/>
          <w:lang w:val="es-MX"/>
        </w:rPr>
        <w:t>s</w:t>
      </w:r>
      <w:r w:rsidR="00E940BB" w:rsidRPr="00DB4A13">
        <w:rPr>
          <w:rFonts w:ascii="Cambria" w:hAnsi="Cambria"/>
          <w:sz w:val="20"/>
          <w:szCs w:val="20"/>
          <w:lang w:val="es-MX"/>
        </w:rPr>
        <w:t xml:space="preserve"> 1.1</w:t>
      </w:r>
      <w:r w:rsidR="00E940BB">
        <w:rPr>
          <w:rFonts w:ascii="Cambria" w:hAnsi="Cambria"/>
          <w:sz w:val="20"/>
          <w:szCs w:val="20"/>
          <w:lang w:val="es-MX"/>
        </w:rPr>
        <w:t xml:space="preserve"> y 2</w:t>
      </w:r>
      <w:r w:rsidR="00E940BB" w:rsidRPr="00DB4A13">
        <w:rPr>
          <w:rFonts w:ascii="Cambria" w:hAnsi="Cambria"/>
          <w:sz w:val="20"/>
          <w:szCs w:val="20"/>
          <w:lang w:val="es-MX"/>
        </w:rPr>
        <w:t xml:space="preserve"> del mismo instrumento, en perjuicio de </w:t>
      </w:r>
      <w:r w:rsidR="00E940BB">
        <w:rPr>
          <w:rFonts w:ascii="Cambria" w:hAnsi="Cambria"/>
          <w:sz w:val="20"/>
          <w:szCs w:val="20"/>
          <w:lang w:val="es-MX"/>
        </w:rPr>
        <w:t>Patricio Fernando Roche Azaña</w:t>
      </w:r>
      <w:r w:rsidR="006223A7">
        <w:rPr>
          <w:rFonts w:ascii="Cambria" w:hAnsi="Cambria"/>
          <w:sz w:val="20"/>
          <w:szCs w:val="20"/>
          <w:lang w:val="es-MX"/>
        </w:rPr>
        <w:t>.</w:t>
      </w:r>
    </w:p>
    <w:p w:rsidR="00E3162B" w:rsidRPr="00DB4A13" w:rsidRDefault="00E3162B" w:rsidP="00E3162B">
      <w:pPr>
        <w:pStyle w:val="ListParagraph"/>
        <w:rPr>
          <w:sz w:val="20"/>
          <w:szCs w:val="20"/>
          <w:lang w:val="es-MX"/>
        </w:rPr>
      </w:pPr>
    </w:p>
    <w:p w:rsidR="007F2356" w:rsidRPr="00096753" w:rsidRDefault="003F4E4C" w:rsidP="00356B7C">
      <w:pPr>
        <w:pStyle w:val="Heading2"/>
        <w:numPr>
          <w:ilvl w:val="0"/>
          <w:numId w:val="57"/>
        </w:numPr>
        <w:spacing w:before="0" w:after="0"/>
        <w:ind w:left="1440" w:hanging="810"/>
        <w:jc w:val="both"/>
        <w:rPr>
          <w:rFonts w:ascii="Cambria" w:hAnsi="Cambria"/>
          <w:i w:val="0"/>
          <w:sz w:val="20"/>
          <w:szCs w:val="20"/>
          <w:lang w:val="es-ES"/>
        </w:rPr>
      </w:pPr>
      <w:bookmarkStart w:id="16" w:name="_Toc520804263"/>
      <w:bookmarkStart w:id="17" w:name="_Toc536087986"/>
      <w:r w:rsidRPr="00DB4A13">
        <w:rPr>
          <w:rFonts w:ascii="Cambria" w:hAnsi="Cambria"/>
          <w:i w:val="0"/>
          <w:sz w:val="20"/>
          <w:szCs w:val="20"/>
          <w:lang w:val="es-ES"/>
        </w:rPr>
        <w:t>Derecho</w:t>
      </w:r>
      <w:r w:rsidR="00EC145D">
        <w:rPr>
          <w:rFonts w:ascii="Cambria" w:hAnsi="Cambria"/>
          <w:i w:val="0"/>
          <w:sz w:val="20"/>
          <w:szCs w:val="20"/>
          <w:lang w:val="es-ES"/>
        </w:rPr>
        <w:t xml:space="preserve">s a las garantías judiciales, </w:t>
      </w:r>
      <w:r w:rsidRPr="00DB4A13">
        <w:rPr>
          <w:rFonts w:ascii="Cambria" w:hAnsi="Cambria"/>
          <w:i w:val="0"/>
          <w:sz w:val="20"/>
          <w:szCs w:val="20"/>
          <w:lang w:val="es-ES"/>
        </w:rPr>
        <w:t>protección judicial</w:t>
      </w:r>
      <w:r w:rsidR="00EC145D">
        <w:rPr>
          <w:rFonts w:ascii="Cambria" w:hAnsi="Cambria"/>
          <w:i w:val="0"/>
          <w:sz w:val="20"/>
          <w:szCs w:val="20"/>
          <w:lang w:val="es-ES"/>
        </w:rPr>
        <w:t xml:space="preserve"> e integridad personal</w:t>
      </w:r>
      <w:r w:rsidRPr="00DB4A13">
        <w:rPr>
          <w:rFonts w:ascii="Cambria" w:hAnsi="Cambria"/>
          <w:i w:val="0"/>
          <w:sz w:val="20"/>
          <w:szCs w:val="20"/>
          <w:lang w:val="es-ES"/>
        </w:rPr>
        <w:t xml:space="preserve"> (artículos 8</w:t>
      </w:r>
      <w:r w:rsidRPr="00DB4A13">
        <w:rPr>
          <w:rFonts w:ascii="Cambria" w:hAnsi="Cambria"/>
          <w:i w:val="0"/>
          <w:sz w:val="20"/>
          <w:szCs w:val="20"/>
          <w:vertAlign w:val="superscript"/>
        </w:rPr>
        <w:footnoteReference w:id="66"/>
      </w:r>
      <w:r w:rsidR="002F2BE1">
        <w:rPr>
          <w:rFonts w:ascii="Cambria" w:hAnsi="Cambria"/>
          <w:i w:val="0"/>
          <w:sz w:val="20"/>
          <w:szCs w:val="20"/>
          <w:vertAlign w:val="superscript"/>
          <w:lang w:val="es-ES"/>
        </w:rPr>
        <w:t xml:space="preserve">, </w:t>
      </w:r>
      <w:r w:rsidRPr="00DB4A13">
        <w:rPr>
          <w:rFonts w:ascii="Cambria" w:hAnsi="Cambria"/>
          <w:i w:val="0"/>
          <w:sz w:val="20"/>
          <w:szCs w:val="20"/>
          <w:lang w:val="es-ES"/>
        </w:rPr>
        <w:t>artículo 25.1</w:t>
      </w:r>
      <w:r w:rsidRPr="00DB4A13">
        <w:rPr>
          <w:rFonts w:ascii="Cambria" w:hAnsi="Cambria"/>
          <w:i w:val="0"/>
          <w:sz w:val="20"/>
          <w:szCs w:val="20"/>
          <w:vertAlign w:val="superscript"/>
        </w:rPr>
        <w:footnoteReference w:id="67"/>
      </w:r>
      <w:r w:rsidR="002F2BE1">
        <w:rPr>
          <w:rFonts w:ascii="Cambria" w:hAnsi="Cambria"/>
          <w:i w:val="0"/>
          <w:sz w:val="20"/>
          <w:szCs w:val="20"/>
          <w:lang w:val="es-ES"/>
        </w:rPr>
        <w:t xml:space="preserve"> y 5.1</w:t>
      </w:r>
      <w:r w:rsidRPr="00DB4A13">
        <w:rPr>
          <w:rFonts w:ascii="Cambria" w:hAnsi="Cambria"/>
          <w:i w:val="0"/>
          <w:sz w:val="20"/>
          <w:szCs w:val="20"/>
          <w:lang w:val="es-ES"/>
        </w:rPr>
        <w:t>) en relación con el artículo 1.1 de la Convención Americana</w:t>
      </w:r>
      <w:bookmarkEnd w:id="16"/>
      <w:bookmarkEnd w:id="17"/>
    </w:p>
    <w:p w:rsidR="007F03E7" w:rsidRPr="00096753" w:rsidRDefault="007F03E7" w:rsidP="00356B7C">
      <w:pPr>
        <w:pStyle w:val="Heading3"/>
        <w:numPr>
          <w:ilvl w:val="0"/>
          <w:numId w:val="61"/>
        </w:numPr>
        <w:ind w:hanging="90"/>
        <w:rPr>
          <w:rFonts w:asciiTheme="majorHAnsi" w:hAnsiTheme="majorHAnsi"/>
          <w:sz w:val="20"/>
          <w:szCs w:val="20"/>
          <w:lang w:val="es-ES"/>
        </w:rPr>
      </w:pPr>
      <w:bookmarkStart w:id="18" w:name="_Toc536087987"/>
      <w:r w:rsidRPr="00096753">
        <w:rPr>
          <w:rFonts w:asciiTheme="majorHAnsi" w:hAnsiTheme="majorHAnsi"/>
          <w:sz w:val="20"/>
          <w:szCs w:val="20"/>
          <w:lang w:val="es-ES"/>
        </w:rPr>
        <w:t>Consideraciones generales</w:t>
      </w:r>
      <w:bookmarkEnd w:id="18"/>
    </w:p>
    <w:p w:rsidR="003F4E4C" w:rsidRDefault="003F4E4C" w:rsidP="007F2356">
      <w:pPr>
        <w:rPr>
          <w:rFonts w:ascii="Cambria" w:hAnsi="Cambria"/>
          <w:sz w:val="20"/>
          <w:szCs w:val="20"/>
          <w:lang w:val="es-ES"/>
        </w:rPr>
      </w:pPr>
    </w:p>
    <w:p w:rsidR="004E2840" w:rsidRPr="00705019" w:rsidRDefault="004E2840"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BB2183">
        <w:rPr>
          <w:rFonts w:ascii="Cambria" w:hAnsi="Cambria"/>
          <w:spacing w:val="-2"/>
          <w:sz w:val="20"/>
          <w:szCs w:val="20"/>
          <w:lang w:val="es-CR"/>
        </w:rPr>
        <w:t xml:space="preserve">La Corte ha expresado que los Estados están obligados a proveer recursos judiciales efectivos a las víctimas de </w:t>
      </w:r>
      <w:r w:rsidRPr="00173F51">
        <w:rPr>
          <w:rFonts w:ascii="Cambria" w:eastAsia="Times New Roman" w:hAnsi="Cambria"/>
          <w:sz w:val="20"/>
          <w:szCs w:val="20"/>
          <w:lang w:val="es-ES" w:eastAsia="es-ES"/>
        </w:rPr>
        <w:t>violaciones</w:t>
      </w:r>
      <w:r w:rsidRPr="00BB2183">
        <w:rPr>
          <w:rFonts w:ascii="Cambria" w:hAnsi="Cambria"/>
          <w:spacing w:val="-2"/>
          <w:sz w:val="20"/>
          <w:szCs w:val="20"/>
          <w:lang w:val="es-CR"/>
        </w:rPr>
        <w:t xml:space="preserve">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987932">
        <w:rPr>
          <w:rFonts w:ascii="Cambria" w:hAnsi="Cambria"/>
          <w:spacing w:val="-2"/>
          <w:sz w:val="20"/>
          <w:szCs w:val="20"/>
          <w:vertAlign w:val="superscript"/>
          <w:lang w:val="es-CR"/>
        </w:rPr>
        <w:footnoteReference w:id="68"/>
      </w:r>
      <w:r w:rsidRPr="00BB2183">
        <w:rPr>
          <w:rFonts w:ascii="Cambria" w:hAnsi="Cambria"/>
          <w:spacing w:val="-2"/>
          <w:sz w:val="20"/>
          <w:szCs w:val="20"/>
          <w:lang w:val="es-CR"/>
        </w:rPr>
        <w:t>.</w:t>
      </w:r>
      <w:r w:rsidR="00705019">
        <w:rPr>
          <w:rFonts w:ascii="Cambria" w:hAnsi="Cambria"/>
          <w:spacing w:val="-2"/>
          <w:sz w:val="20"/>
          <w:szCs w:val="20"/>
          <w:lang w:val="es-CR"/>
        </w:rPr>
        <w:t xml:space="preserve"> </w:t>
      </w:r>
      <w:r w:rsidR="00705019" w:rsidRPr="00DB4A13">
        <w:rPr>
          <w:rFonts w:ascii="Cambria" w:hAnsi="Cambria"/>
          <w:sz w:val="20"/>
          <w:szCs w:val="20"/>
          <w:lang w:val="es-ES_tradnl"/>
        </w:rPr>
        <w:t>Las garantías del artículo 8.1 amparan el derecho del debido proceso del imputado y también salvaguardan los derechos de acceso a la justicia de la víctima de un delito o de sus familiares, y a conocer la verdad de los familiares</w:t>
      </w:r>
      <w:r w:rsidR="00705019" w:rsidRPr="00DB4A13">
        <w:rPr>
          <w:rStyle w:val="FootnoteReference"/>
          <w:rFonts w:ascii="Cambria" w:hAnsi="Cambria"/>
          <w:sz w:val="20"/>
          <w:szCs w:val="20"/>
          <w:lang w:val="es-ES_tradnl"/>
        </w:rPr>
        <w:footnoteReference w:id="69"/>
      </w:r>
      <w:r w:rsidR="00705019" w:rsidRPr="00DB4A13">
        <w:rPr>
          <w:rFonts w:ascii="Cambria" w:hAnsi="Cambria"/>
          <w:sz w:val="20"/>
          <w:szCs w:val="20"/>
          <w:lang w:val="es-ES_tradnl"/>
        </w:rPr>
        <w:t xml:space="preserve">. </w:t>
      </w:r>
    </w:p>
    <w:p w:rsidR="004E2840" w:rsidRDefault="004E2840" w:rsidP="004E284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rsidR="007208A8" w:rsidRPr="000312DC" w:rsidRDefault="007208A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0312DC">
        <w:rPr>
          <w:rFonts w:ascii="Cambria" w:hAnsi="Cambria"/>
          <w:sz w:val="20"/>
          <w:szCs w:val="20"/>
          <w:lang w:val="es-ES"/>
        </w:rPr>
        <w:t>Tanto la CIDH como la Corte han establecido que en casos relacionados con ejecuciones extrajudiciales</w:t>
      </w:r>
      <w:r w:rsidRPr="000312DC">
        <w:rPr>
          <w:rFonts w:ascii="Cambria" w:hAnsi="Cambria" w:cs="Verdana"/>
          <w:sz w:val="20"/>
          <w:szCs w:val="20"/>
          <w:lang w:val="es-ES"/>
        </w:rPr>
        <w:t xml:space="preserve">, el Estado tiene el deber de iniciar </w:t>
      </w:r>
      <w:r w:rsidRPr="000312DC">
        <w:rPr>
          <w:rFonts w:ascii="Cambria" w:hAnsi="Cambria" w:cs="Verdana"/>
          <w:i/>
          <w:sz w:val="20"/>
          <w:szCs w:val="20"/>
          <w:lang w:val="es-ES"/>
        </w:rPr>
        <w:t>ex officio</w:t>
      </w:r>
      <w:r w:rsidRPr="000312DC">
        <w:rPr>
          <w:rFonts w:ascii="Cambria" w:hAnsi="Cambria" w:cs="Verdana"/>
          <w:sz w:val="20"/>
          <w:szCs w:val="20"/>
          <w:lang w:val="es-ES"/>
        </w:rPr>
        <w:t xml:space="preserve"> y sin dilación, una investigación seria, imparcial y efectiva</w:t>
      </w:r>
      <w:r w:rsidRPr="000312DC">
        <w:rPr>
          <w:rStyle w:val="FootnoteReference"/>
          <w:rFonts w:ascii="Cambria" w:hAnsi="Cambria" w:cs="Verdana"/>
          <w:sz w:val="20"/>
          <w:szCs w:val="20"/>
          <w:lang w:val="es-ES"/>
        </w:rPr>
        <w:footnoteReference w:id="70"/>
      </w:r>
      <w:r w:rsidRPr="000312DC">
        <w:rPr>
          <w:rFonts w:ascii="Cambria" w:hAnsi="Cambria" w:cs="Verdana"/>
          <w:sz w:val="20"/>
          <w:szCs w:val="20"/>
          <w:lang w:val="es-ES"/>
        </w:rPr>
        <w:t>. En esta misma línea jurisprudencial, relacionada con muertes que involucran agentes del Estado, “[la]</w:t>
      </w:r>
      <w:r w:rsidRPr="000312DC">
        <w:rPr>
          <w:rFonts w:ascii="Cambria" w:hAnsi="Cambria"/>
          <w:sz w:val="20"/>
          <w:szCs w:val="20"/>
          <w:lang w:val="es-ES"/>
        </w:rPr>
        <w:t xml:space="preserve"> investigación debe ser realizada a través de todos los medios legales disponibles para la determinación de la verdad y la investigación, enjuiciamiento y castigo de todos los responsables de los hechos, especialmente cuando están o puedan estar involucrados agentes estatales”</w:t>
      </w:r>
      <w:r w:rsidRPr="000312DC">
        <w:rPr>
          <w:rStyle w:val="FootnoteReference"/>
          <w:rFonts w:ascii="Cambria" w:hAnsi="Cambria"/>
          <w:sz w:val="20"/>
          <w:szCs w:val="20"/>
          <w:lang w:val="es-ES"/>
        </w:rPr>
        <w:footnoteReference w:id="71"/>
      </w:r>
      <w:r w:rsidRPr="000312DC">
        <w:rPr>
          <w:rFonts w:ascii="Cambria" w:hAnsi="Cambria"/>
          <w:sz w:val="20"/>
          <w:szCs w:val="20"/>
          <w:lang w:val="es-ES"/>
        </w:rPr>
        <w:t>.  Así, el deber de investigar debe cumplirse con seriedad y no como una simple formalidad condenada de antemano a ser infructuosa y debe tener un sentido y ser asumida por los Estados como un deber jurídico propio y no como una simple gestión de intereses</w:t>
      </w:r>
      <w:r w:rsidRPr="000312DC">
        <w:rPr>
          <w:rStyle w:val="FootnoteReference"/>
          <w:rFonts w:ascii="Cambria" w:hAnsi="Cambria"/>
          <w:sz w:val="20"/>
          <w:szCs w:val="20"/>
          <w:lang w:val="es-ES"/>
        </w:rPr>
        <w:footnoteReference w:id="72"/>
      </w:r>
      <w:r w:rsidRPr="000312DC">
        <w:rPr>
          <w:rFonts w:ascii="Cambria" w:hAnsi="Cambria"/>
          <w:sz w:val="20"/>
          <w:szCs w:val="20"/>
          <w:lang w:val="es-ES"/>
        </w:rPr>
        <w:t>. Asimismo, la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Pr="000312DC">
        <w:rPr>
          <w:rFonts w:ascii="Cambria" w:hAnsi="Cambria"/>
          <w:sz w:val="20"/>
          <w:szCs w:val="20"/>
          <w:vertAlign w:val="superscript"/>
        </w:rPr>
        <w:footnoteReference w:id="73"/>
      </w:r>
      <w:r w:rsidRPr="000312DC">
        <w:rPr>
          <w:rFonts w:ascii="Cambria" w:hAnsi="Cambria"/>
          <w:sz w:val="20"/>
          <w:szCs w:val="20"/>
          <w:lang w:val="es-ES"/>
        </w:rPr>
        <w:t>.</w:t>
      </w:r>
    </w:p>
    <w:p w:rsidR="007208A8" w:rsidRPr="000312DC" w:rsidRDefault="007208A8" w:rsidP="007208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rsidR="007208A8" w:rsidRPr="000312DC" w:rsidRDefault="007208A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0312DC">
        <w:rPr>
          <w:rFonts w:ascii="Cambria" w:hAnsi="Cambria" w:cs="Arial"/>
          <w:sz w:val="20"/>
          <w:szCs w:val="20"/>
          <w:lang w:val="es-AR"/>
        </w:rPr>
        <w:t xml:space="preserve">La jurisprudencia también ha establecido que en casos donde existan versiones contradictorias que involucran la privación del derecho a la vida, más allá de que se practiquen determinadas diligencias probatorias, “la debida </w:t>
      </w:r>
      <w:r w:rsidRPr="000312DC">
        <w:rPr>
          <w:rFonts w:ascii="Cambria" w:hAnsi="Cambria"/>
          <w:sz w:val="20"/>
          <w:szCs w:val="20"/>
          <w:lang w:val="es-US"/>
        </w:rPr>
        <w:t>diligencia en la investigación debe evaluarse en relación con la necesidad de determinar la veracidad de las versiones consideradas en el marco del proceso sobre lo ocurrido, es decir, si permitió un esclarecimiento judicial de los hechos y una eventual calificación jurídica de los mismos acorde con lo sucedido”</w:t>
      </w:r>
      <w:r w:rsidRPr="000312DC">
        <w:rPr>
          <w:rStyle w:val="FootnoteReference"/>
          <w:rFonts w:ascii="Cambria" w:hAnsi="Cambria"/>
          <w:sz w:val="20"/>
          <w:szCs w:val="20"/>
        </w:rPr>
        <w:footnoteReference w:id="74"/>
      </w:r>
      <w:r w:rsidRPr="000312DC">
        <w:rPr>
          <w:rFonts w:ascii="Cambria" w:hAnsi="Cambria"/>
          <w:sz w:val="20"/>
          <w:szCs w:val="20"/>
          <w:lang w:val="es-US"/>
        </w:rPr>
        <w:t>.</w:t>
      </w:r>
      <w:r w:rsidRPr="000312DC">
        <w:rPr>
          <w:lang w:val="es-US"/>
        </w:rPr>
        <w:t xml:space="preserve"> </w:t>
      </w:r>
    </w:p>
    <w:p w:rsidR="007208A8" w:rsidRPr="000312DC" w:rsidRDefault="007208A8" w:rsidP="007208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7208A8" w:rsidRPr="000312DC" w:rsidRDefault="007208A8"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0312DC">
        <w:rPr>
          <w:rFonts w:ascii="Cambria" w:hAnsi="Cambria" w:cs="Verdana"/>
          <w:sz w:val="20"/>
          <w:szCs w:val="20"/>
          <w:lang w:val="es-ES"/>
        </w:rPr>
        <w:t xml:space="preserve">En esta misma línea, con la finalidad de garantizar la debida diligencia en la realización de una investigación exhaustiva e imparcial de una muerte en circunstancias sospechosas que involucra a agentes estatales, la Comisión destaca algunos estándares del Protocolo de Minnesota </w:t>
      </w:r>
      <w:r w:rsidRPr="000312DC">
        <w:rPr>
          <w:rFonts w:ascii="Cambria" w:hAnsi="Cambria" w:cs="Tahoma"/>
          <w:color w:val="000000"/>
          <w:sz w:val="20"/>
          <w:szCs w:val="20"/>
          <w:lang w:val="es-MX"/>
        </w:rPr>
        <w:t>instrumento que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0312DC">
        <w:rPr>
          <w:rStyle w:val="FootnoteReference"/>
          <w:rFonts w:ascii="Cambria" w:hAnsi="Cambria"/>
          <w:sz w:val="20"/>
          <w:szCs w:val="20"/>
        </w:rPr>
        <w:footnoteReference w:id="75"/>
      </w:r>
      <w:r w:rsidRPr="000312DC">
        <w:rPr>
          <w:rFonts w:ascii="Cambria" w:hAnsi="Cambria"/>
          <w:sz w:val="20"/>
          <w:szCs w:val="20"/>
          <w:lang w:val="es-ES"/>
        </w:rPr>
        <w:t xml:space="preserve">. De acuerdo con dichos estándares </w:t>
      </w:r>
      <w:r w:rsidRPr="000312DC">
        <w:rPr>
          <w:rFonts w:ascii="Cambria" w:hAnsi="Cambria" w:cs="Verdana"/>
          <w:sz w:val="20"/>
          <w:szCs w:val="20"/>
          <w:lang w:val="es-ES"/>
        </w:rPr>
        <w:t>“cuando fuera necesario y con el consentimiento del individuo concernido, los investigadores deben adoptar medidas para proteger a los entrevistados y otros de malos tratos o intimidación como consecuencia de la información declarada”</w:t>
      </w:r>
      <w:r w:rsidRPr="000312DC">
        <w:rPr>
          <w:rStyle w:val="FootnoteReference"/>
          <w:rFonts w:ascii="Cambria" w:hAnsi="Cambria" w:cs="Verdana"/>
          <w:sz w:val="20"/>
          <w:szCs w:val="20"/>
          <w:lang w:val="es-ES"/>
        </w:rPr>
        <w:t xml:space="preserve"> </w:t>
      </w:r>
      <w:r w:rsidRPr="000312DC">
        <w:rPr>
          <w:rStyle w:val="FootnoteReference"/>
          <w:rFonts w:ascii="Cambria" w:hAnsi="Cambria" w:cs="Verdana"/>
          <w:sz w:val="20"/>
          <w:szCs w:val="20"/>
          <w:lang w:val="es-ES"/>
        </w:rPr>
        <w:footnoteReference w:id="76"/>
      </w:r>
      <w:r w:rsidRPr="000312DC">
        <w:rPr>
          <w:rFonts w:ascii="Cambria" w:hAnsi="Cambria" w:cs="Verdana"/>
          <w:sz w:val="20"/>
          <w:szCs w:val="20"/>
          <w:lang w:val="es-ES"/>
        </w:rPr>
        <w:t xml:space="preserve">. </w:t>
      </w:r>
    </w:p>
    <w:p w:rsidR="007208A8" w:rsidRPr="000312DC" w:rsidRDefault="007208A8" w:rsidP="007208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rsidR="003F4E4C" w:rsidRPr="00603CAF" w:rsidRDefault="003F4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La Comisión se ha pronunciado respecto a que el deber de motivación es un corolario de las garantías del debido proceso, no sólo desde la legitimidad misma de la decisión y la defensa de una persona acusada, sino también desde la expectativa de acceso a la justicia que tienen las víctimas de violaciones a sus derechos. Asimismo, el deber de motivar las resoluciones es una garantía vinculada con la correcta administración de justicia, además demuestra que las partes han sido oídas</w:t>
      </w:r>
      <w:r w:rsidRPr="00DB4A13">
        <w:rPr>
          <w:rStyle w:val="FootnoteReference"/>
          <w:rFonts w:ascii="Cambria" w:hAnsi="Cambria"/>
          <w:sz w:val="20"/>
          <w:szCs w:val="20"/>
          <w:lang w:val="es-ES_tradnl"/>
        </w:rPr>
        <w:footnoteReference w:id="77"/>
      </w:r>
      <w:r w:rsidRPr="00DB4A13">
        <w:rPr>
          <w:rFonts w:ascii="Cambria" w:hAnsi="Cambria"/>
          <w:sz w:val="20"/>
          <w:szCs w:val="20"/>
          <w:lang w:val="es-ES_tradnl"/>
        </w:rPr>
        <w:t xml:space="preserve">. </w:t>
      </w:r>
      <w:r w:rsidRPr="00603CAF">
        <w:rPr>
          <w:rFonts w:ascii="Cambria" w:hAnsi="Cambria"/>
          <w:sz w:val="20"/>
          <w:szCs w:val="20"/>
          <w:lang w:val="es-ES_tradnl"/>
        </w:rPr>
        <w:t xml:space="preserve">En el mismo sentido, la Corte </w:t>
      </w:r>
      <w:r w:rsidRPr="00603CAF">
        <w:rPr>
          <w:rFonts w:ascii="Cambria" w:hAnsi="Cambria"/>
          <w:sz w:val="20"/>
          <w:szCs w:val="20"/>
          <w:lang w:val="es-ES_tradnl"/>
        </w:rPr>
        <w:lastRenderedPageBreak/>
        <w:t>Interamericana ha establecido que el deber de motivación es una de las ‘debidas garantías’ incluidas en el artículo 8.1 para salvaguardar el derecho a un debido proceso</w:t>
      </w:r>
      <w:r w:rsidRPr="00DB4A13">
        <w:rPr>
          <w:rStyle w:val="FootnoteReference"/>
          <w:rFonts w:ascii="Cambria" w:hAnsi="Cambria"/>
          <w:sz w:val="20"/>
          <w:szCs w:val="20"/>
          <w:lang w:val="es-ES_tradnl"/>
        </w:rPr>
        <w:footnoteReference w:id="78"/>
      </w:r>
      <w:r w:rsidRPr="00603CAF">
        <w:rPr>
          <w:rFonts w:ascii="Cambria" w:hAnsi="Cambria"/>
          <w:sz w:val="20"/>
          <w:szCs w:val="20"/>
          <w:lang w:val="es-ES_tradnl"/>
        </w:rPr>
        <w:t xml:space="preserve">. En este sentido, la motivación “es la exteriorización de la justificación razonada que permite llegar a una conclusión” y conlleva una exposición racional de las razones que llevan al juzgador a adoptar una decisión. </w:t>
      </w:r>
    </w:p>
    <w:p w:rsidR="003F4E4C" w:rsidRPr="009F5796" w:rsidRDefault="003F4E4C" w:rsidP="009F5796">
      <w:pPr>
        <w:rPr>
          <w:sz w:val="20"/>
          <w:szCs w:val="20"/>
          <w:lang w:val="es-MX"/>
        </w:rPr>
      </w:pPr>
    </w:p>
    <w:p w:rsidR="003F4E4C" w:rsidRPr="00DB4A13" w:rsidRDefault="003F4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La Corte ha tenido la oportunidad de pronunciarse específicamente respecto a la figura de los jurados estableciendo que si bien la íntima convicción no es un criterio arbitrario, se debe analizar si el procedimiento penal en su conjunto ofreció mecanismos de salvaguard</w:t>
      </w:r>
      <w:r w:rsidR="00780FA8">
        <w:rPr>
          <w:rFonts w:ascii="Cambria" w:hAnsi="Cambria"/>
          <w:sz w:val="20"/>
          <w:szCs w:val="20"/>
          <w:lang w:val="es-ES_tradnl"/>
        </w:rPr>
        <w:t>a</w:t>
      </w:r>
      <w:r w:rsidRPr="00DB4A13">
        <w:rPr>
          <w:rFonts w:ascii="Cambria" w:hAnsi="Cambria"/>
          <w:sz w:val="20"/>
          <w:szCs w:val="20"/>
          <w:lang w:val="es-ES_tradnl"/>
        </w:rPr>
        <w:t xml:space="preserve"> contra la arbitrariedad y que permitieran comprender las razones del veredicto, situación que no se acota al acusado, sino también a la víctima o a la parte acusadora. En este sentido “la necesidad de que el imputado y la víctima del delito o la parte acusadora comprendan las razones de la decisión de culpabilidad o inocencia, que adopta el jurado a través de su veredicto, mantiene plena vigencia, como garantía contra la arbitrariedad</w:t>
      </w:r>
      <w:r w:rsidRPr="00DB4A13">
        <w:rPr>
          <w:rFonts w:ascii="Cambria" w:hAnsi="Cambria"/>
          <w:sz w:val="20"/>
          <w:szCs w:val="20"/>
          <w:lang w:val="es-MX"/>
        </w:rPr>
        <w:t>”</w:t>
      </w:r>
      <w:r w:rsidRPr="00DB4A13">
        <w:rPr>
          <w:rStyle w:val="FootnoteReference"/>
          <w:rFonts w:ascii="Cambria" w:hAnsi="Cambria"/>
          <w:sz w:val="20"/>
          <w:szCs w:val="20"/>
          <w:lang w:val="es-MX"/>
        </w:rPr>
        <w:footnoteReference w:id="79"/>
      </w:r>
      <w:r w:rsidRPr="00DB4A13">
        <w:rPr>
          <w:rFonts w:ascii="Cambria" w:hAnsi="Cambria"/>
          <w:sz w:val="20"/>
          <w:szCs w:val="20"/>
          <w:lang w:val="es-MX"/>
        </w:rPr>
        <w:t>.</w:t>
      </w:r>
      <w:r w:rsidRPr="00DB4A13">
        <w:rPr>
          <w:rFonts w:ascii="Cambria" w:hAnsi="Cambria"/>
          <w:sz w:val="20"/>
          <w:szCs w:val="20"/>
          <w:lang w:val="es-ES_tradnl"/>
        </w:rPr>
        <w:t xml:space="preserve"> En este sentido, lo fundamental en estos casos para la Corte consiste en determinar si el procedimiento en su conjunto ofrece garantías suficientes contra la arbitrariedad, de modo que las partes pudieran comprender el resultado del proceso como una consecuencia racional de la prueba</w:t>
      </w:r>
      <w:r w:rsidRPr="00DB4A13">
        <w:rPr>
          <w:rStyle w:val="FootnoteReference"/>
          <w:rFonts w:ascii="Cambria" w:hAnsi="Cambria"/>
          <w:sz w:val="20"/>
          <w:szCs w:val="20"/>
          <w:lang w:val="es-MX"/>
        </w:rPr>
        <w:footnoteReference w:id="80"/>
      </w:r>
      <w:r w:rsidRPr="00DB4A13">
        <w:rPr>
          <w:rFonts w:ascii="Cambria" w:hAnsi="Cambria"/>
          <w:sz w:val="20"/>
          <w:szCs w:val="20"/>
          <w:lang w:val="es-MX"/>
        </w:rPr>
        <w:t>.</w:t>
      </w:r>
    </w:p>
    <w:p w:rsidR="003F4E4C" w:rsidRPr="00DB4A13" w:rsidRDefault="003F4E4C" w:rsidP="003F4E4C">
      <w:pPr>
        <w:tabs>
          <w:tab w:val="left" w:pos="1440"/>
        </w:tabs>
        <w:ind w:left="630"/>
        <w:jc w:val="both"/>
        <w:rPr>
          <w:rFonts w:ascii="Cambria" w:hAnsi="Cambria"/>
          <w:sz w:val="20"/>
          <w:szCs w:val="20"/>
          <w:lang w:val="es-ES_tradnl"/>
        </w:rPr>
      </w:pPr>
    </w:p>
    <w:p w:rsidR="003F4E4C" w:rsidRPr="00096753" w:rsidRDefault="003F4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Finalmente, la Corte Interamericana ha indicado que el derecho al debido proceso legal debe ser reconocido para las personas migrantes sin discriminación alguna, independientemente de su situación migratoria. Este derecho no debe ser únicamente formal, sino real</w:t>
      </w:r>
      <w:r w:rsidRPr="00DB4A13">
        <w:rPr>
          <w:rStyle w:val="FootnoteReference"/>
          <w:rFonts w:ascii="Cambria" w:hAnsi="Cambria"/>
          <w:sz w:val="20"/>
          <w:szCs w:val="20"/>
          <w:lang w:val="es-ES_tradnl"/>
        </w:rPr>
        <w:footnoteReference w:id="81"/>
      </w:r>
      <w:r w:rsidRPr="00DB4A13">
        <w:rPr>
          <w:rFonts w:ascii="Cambria" w:hAnsi="Cambria"/>
          <w:sz w:val="20"/>
          <w:szCs w:val="20"/>
          <w:lang w:val="es-ES_tradnl"/>
        </w:rPr>
        <w:t>. En su opinión consultiva 18/03, la Corte Interamericana estableció que las personas migrantes se encuentran en una situación de vulnerabilidad como sujetos de derechos humanos, en una condición individual de ausencia o diferencia de poder con respecto a los no-migrantes (nacionales o residentes)</w:t>
      </w:r>
      <w:r w:rsidRPr="00DB4A13">
        <w:rPr>
          <w:rStyle w:val="FootnoteReference"/>
          <w:rFonts w:ascii="Cambria" w:hAnsi="Cambria"/>
          <w:sz w:val="20"/>
          <w:szCs w:val="20"/>
          <w:lang w:val="es-ES_tradnl"/>
        </w:rPr>
        <w:footnoteReference w:id="82"/>
      </w:r>
      <w:r w:rsidRPr="00DB4A13">
        <w:rPr>
          <w:rFonts w:ascii="Cambria" w:hAnsi="Cambria"/>
          <w:sz w:val="20"/>
          <w:szCs w:val="20"/>
          <w:lang w:val="es-ES_tradnl"/>
        </w:rPr>
        <w:t>. Lo anterior implica que en algunos casos es necesario adoptar medidas positivas para revertir o cambiar situaciones discriminatorias</w:t>
      </w:r>
      <w:r w:rsidRPr="00DB4A13">
        <w:rPr>
          <w:rStyle w:val="FootnoteReference"/>
          <w:rFonts w:ascii="Cambria" w:hAnsi="Cambria"/>
          <w:sz w:val="20"/>
          <w:szCs w:val="20"/>
          <w:lang w:val="es-ES_tradnl"/>
        </w:rPr>
        <w:footnoteReference w:id="83"/>
      </w:r>
      <w:r w:rsidRPr="00DB4A13">
        <w:rPr>
          <w:rFonts w:ascii="Cambria" w:hAnsi="Cambria"/>
          <w:sz w:val="20"/>
          <w:szCs w:val="20"/>
          <w:lang w:val="es-ES_tradnl"/>
        </w:rPr>
        <w:t>.</w:t>
      </w:r>
    </w:p>
    <w:p w:rsidR="00DB4745" w:rsidRPr="00096753" w:rsidRDefault="00DB4745" w:rsidP="00356B7C">
      <w:pPr>
        <w:pStyle w:val="Heading3"/>
        <w:numPr>
          <w:ilvl w:val="0"/>
          <w:numId w:val="61"/>
        </w:numPr>
        <w:ind w:hanging="90"/>
        <w:rPr>
          <w:rFonts w:asciiTheme="majorHAnsi" w:hAnsiTheme="majorHAnsi"/>
          <w:sz w:val="20"/>
          <w:szCs w:val="20"/>
          <w:lang w:val="es-ES"/>
        </w:rPr>
      </w:pPr>
      <w:bookmarkStart w:id="19" w:name="_Toc536087988"/>
      <w:r w:rsidRPr="00096753">
        <w:rPr>
          <w:rFonts w:asciiTheme="majorHAnsi" w:hAnsiTheme="majorHAnsi"/>
          <w:sz w:val="20"/>
          <w:szCs w:val="20"/>
          <w:lang w:val="es-ES"/>
        </w:rPr>
        <w:t>Análisis del caso</w:t>
      </w:r>
      <w:bookmarkEnd w:id="19"/>
    </w:p>
    <w:p w:rsidR="00DB4745" w:rsidRDefault="00DB4745" w:rsidP="003F4E4C">
      <w:pPr>
        <w:pStyle w:val="ListParagraph"/>
        <w:rPr>
          <w:sz w:val="20"/>
          <w:szCs w:val="20"/>
          <w:lang w:val="es-ES_tradnl"/>
        </w:rPr>
      </w:pPr>
    </w:p>
    <w:p w:rsidR="004B540F" w:rsidRDefault="00E80C74"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Pr>
          <w:rFonts w:ascii="Cambria" w:hAnsi="Cambria"/>
          <w:sz w:val="20"/>
          <w:szCs w:val="20"/>
          <w:lang w:val="es-ES_tradnl"/>
        </w:rPr>
        <w:t xml:space="preserve">En el presente caso, la investigación inició tras ocurridos los hechos el 14 de abril de 1996 y culminó el 24 de febrero de 1997 con un veredicto y declaratoria de inocencia en única instancia. </w:t>
      </w:r>
      <w:r w:rsidR="004B540F">
        <w:rPr>
          <w:rFonts w:ascii="Cambria" w:hAnsi="Cambria"/>
          <w:sz w:val="20"/>
          <w:szCs w:val="20"/>
          <w:lang w:val="es-ES_tradnl"/>
        </w:rPr>
        <w:t>En la sección de hechos probados se dio cuenta de la actividad probatoria en el presente caso, respecto de la cual la CIDH no cuenta con elementos para determinar que incumplió un deber de debida diligencia.</w:t>
      </w:r>
    </w:p>
    <w:p w:rsidR="004B540F" w:rsidRDefault="004B540F" w:rsidP="004B54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E52B4E" w:rsidRDefault="004B540F"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Pr>
          <w:rFonts w:ascii="Cambria" w:hAnsi="Cambria"/>
          <w:sz w:val="20"/>
          <w:szCs w:val="20"/>
          <w:lang w:val="es-ES_tradnl"/>
        </w:rPr>
        <w:t xml:space="preserve">Sin perjuicio de lo anterior, la Comisión observa que ante la ausencia absoluta de motivación del veredicto y declaratoria de inocencia, no es posible establecer si tanto el proceso como la determinación final, estuvieron encaminadas a </w:t>
      </w:r>
      <w:r w:rsidR="005E0B62">
        <w:rPr>
          <w:rFonts w:ascii="Cambria" w:hAnsi="Cambria"/>
          <w:sz w:val="20"/>
          <w:szCs w:val="20"/>
          <w:lang w:val="es-ES_tradnl"/>
        </w:rPr>
        <w:t xml:space="preserve">establecer </w:t>
      </w:r>
      <w:r>
        <w:rPr>
          <w:rFonts w:ascii="Cambria" w:hAnsi="Cambria"/>
          <w:sz w:val="20"/>
          <w:szCs w:val="20"/>
          <w:lang w:val="es-ES_tradnl"/>
        </w:rPr>
        <w:t xml:space="preserve">si el uso letal de la fuerza fue legítimo conforme a los estándares de finalidad legítima, necesidad y proporcionalidad ya analizados. </w:t>
      </w:r>
      <w:r w:rsidR="002C4B20">
        <w:rPr>
          <w:rFonts w:ascii="Cambria" w:hAnsi="Cambria"/>
          <w:sz w:val="20"/>
          <w:szCs w:val="20"/>
          <w:lang w:val="es-ES_tradnl"/>
        </w:rPr>
        <w:t xml:space="preserve">Por el contrario, </w:t>
      </w:r>
      <w:r w:rsidR="005E0B62">
        <w:rPr>
          <w:rFonts w:ascii="Cambria" w:hAnsi="Cambria"/>
          <w:sz w:val="20"/>
          <w:szCs w:val="20"/>
          <w:lang w:val="es-ES_tradnl"/>
        </w:rPr>
        <w:t xml:space="preserve">de las conclusiones establecidas en la sección anterior, resulta con claridad que las personas que se encontraban en la furgoneta no implicaban un riesgo para la vida de los policías o terceros. Justamente, ante la ausencia de motivación, la Comisión infiere que tales valoraciones fundamentales bajo los estándares internacionales sobre uso de la fuerza, no fueron tomadas en cuenta al momento de determinar la responsabilidad penal de los procesados. </w:t>
      </w:r>
      <w:r w:rsidR="00655C0B">
        <w:rPr>
          <w:rFonts w:ascii="Cambria" w:hAnsi="Cambria"/>
          <w:sz w:val="20"/>
          <w:szCs w:val="20"/>
          <w:lang w:val="es-ES_tradnl"/>
        </w:rPr>
        <w:t xml:space="preserve">En el presente caso, </w:t>
      </w:r>
      <w:r w:rsidR="00655C0B" w:rsidRPr="00DB4A13">
        <w:rPr>
          <w:rFonts w:ascii="Cambria" w:hAnsi="Cambria"/>
          <w:sz w:val="20"/>
          <w:szCs w:val="20"/>
          <w:lang w:val="es-ES_tradnl"/>
        </w:rPr>
        <w:t>es razonable concluir que el veredicto que desestimó la culpabilidad del acusado no podía ser previsto por las víctimas, ya que no mostraba correlato con los hechos, los elementos de prueba en la acusación y la evidencia recibida en el proceso interno</w:t>
      </w:r>
      <w:r w:rsidR="00655C0B" w:rsidRPr="00DB4A13">
        <w:rPr>
          <w:rStyle w:val="FootnoteReference"/>
          <w:rFonts w:ascii="Cambria" w:hAnsi="Cambria"/>
          <w:sz w:val="20"/>
          <w:szCs w:val="20"/>
          <w:lang w:val="es-MX"/>
        </w:rPr>
        <w:footnoteReference w:id="84"/>
      </w:r>
      <w:r w:rsidR="00655C0B" w:rsidRPr="00DB4A13">
        <w:rPr>
          <w:rFonts w:ascii="Cambria" w:hAnsi="Cambria"/>
          <w:sz w:val="20"/>
          <w:szCs w:val="20"/>
          <w:lang w:val="es-ES_tradnl"/>
        </w:rPr>
        <w:t xml:space="preserve">. </w:t>
      </w:r>
    </w:p>
    <w:p w:rsidR="00E52B4E" w:rsidRDefault="00E52B4E" w:rsidP="00E52B4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E80C74" w:rsidRDefault="001F207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Pr>
          <w:rFonts w:ascii="Cambria" w:hAnsi="Cambria"/>
          <w:sz w:val="20"/>
          <w:szCs w:val="20"/>
          <w:lang w:val="es-ES_tradnl"/>
        </w:rPr>
        <w:t xml:space="preserve">De esta manera, la ausencia de motivación del veredicto no sólo implicó que el Estado no logró ofrecer una explicación satisfactoria sobre el uso letal de la fuerza, como le correspondía, sino que además se constituyó en una fuente de denegación de justicia para Patricio Roche Azaña, su madre y su padre. </w:t>
      </w:r>
    </w:p>
    <w:p w:rsidR="00E80C74" w:rsidRDefault="00E80C74" w:rsidP="00E80C7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E46554" w:rsidRPr="00DB4A13" w:rsidRDefault="00A46EE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Pr>
          <w:rFonts w:ascii="Cambria" w:hAnsi="Cambria"/>
          <w:sz w:val="20"/>
          <w:szCs w:val="20"/>
          <w:lang w:val="es-ES_tradnl"/>
        </w:rPr>
        <w:lastRenderedPageBreak/>
        <w:t xml:space="preserve">Por otra parte, en cuanto a ser oídos suficiente y adecuadamente en cabeza de las víctimas y su familiares en un proceso penal relacionado con violaciones de derechos humanos, la Comisión observa que </w:t>
      </w:r>
      <w:r w:rsidR="001D5B24">
        <w:rPr>
          <w:rFonts w:ascii="Cambria" w:hAnsi="Cambria"/>
          <w:sz w:val="20"/>
          <w:szCs w:val="20"/>
          <w:lang w:val="es-ES_tradnl"/>
        </w:rPr>
        <w:t>l</w:t>
      </w:r>
      <w:r w:rsidR="00E46554" w:rsidRPr="00DB4A13">
        <w:rPr>
          <w:rFonts w:ascii="Cambria" w:hAnsi="Cambria"/>
          <w:sz w:val="20"/>
          <w:szCs w:val="20"/>
          <w:lang w:val="es-ES_tradnl"/>
        </w:rPr>
        <w:t>a misma legislación nicaragüense establecía la imposibilidad de apelar el veredicto del Tribunal de Jurados, por lo que el procedimiento no ofreció las garantías suficientes para escrutar</w:t>
      </w:r>
      <w:r w:rsidR="00E83C90">
        <w:rPr>
          <w:rFonts w:ascii="Cambria" w:hAnsi="Cambria"/>
          <w:sz w:val="20"/>
          <w:szCs w:val="20"/>
          <w:lang w:val="es-ES_tradnl"/>
        </w:rPr>
        <w:t xml:space="preserve"> tal decisión </w:t>
      </w:r>
      <w:r w:rsidR="00E46554" w:rsidRPr="00DB4A13">
        <w:rPr>
          <w:rFonts w:ascii="Cambria" w:hAnsi="Cambria"/>
          <w:sz w:val="20"/>
          <w:szCs w:val="20"/>
          <w:lang w:val="es-ES_tradnl"/>
        </w:rPr>
        <w:t xml:space="preserve">y asegurar que la </w:t>
      </w:r>
      <w:r w:rsidR="008079A0">
        <w:rPr>
          <w:rFonts w:ascii="Cambria" w:hAnsi="Cambria"/>
          <w:sz w:val="20"/>
          <w:szCs w:val="20"/>
          <w:lang w:val="es-ES_tradnl"/>
        </w:rPr>
        <w:t xml:space="preserve">misma </w:t>
      </w:r>
      <w:r w:rsidR="00E46554" w:rsidRPr="00DB4A13">
        <w:rPr>
          <w:rFonts w:ascii="Cambria" w:hAnsi="Cambria"/>
          <w:sz w:val="20"/>
          <w:szCs w:val="20"/>
          <w:lang w:val="es-ES_tradnl"/>
        </w:rPr>
        <w:t>no fuera arbitraria</w:t>
      </w:r>
      <w:r>
        <w:rPr>
          <w:rFonts w:ascii="Cambria" w:hAnsi="Cambria"/>
          <w:sz w:val="20"/>
          <w:szCs w:val="20"/>
          <w:lang w:val="es-ES_tradnl"/>
        </w:rPr>
        <w:t xml:space="preserve"> ni violatoria de los derechos a las garantías judiciales y </w:t>
      </w:r>
      <w:r w:rsidR="005A33B0">
        <w:rPr>
          <w:rFonts w:ascii="Cambria" w:hAnsi="Cambria"/>
          <w:sz w:val="20"/>
          <w:szCs w:val="20"/>
          <w:lang w:val="es-ES_tradnl"/>
        </w:rPr>
        <w:t xml:space="preserve">a la </w:t>
      </w:r>
      <w:r>
        <w:rPr>
          <w:rFonts w:ascii="Cambria" w:hAnsi="Cambria"/>
          <w:sz w:val="20"/>
          <w:szCs w:val="20"/>
          <w:lang w:val="es-ES_tradnl"/>
        </w:rPr>
        <w:t xml:space="preserve">protección judicial dichas personas. </w:t>
      </w:r>
    </w:p>
    <w:p w:rsidR="00E46554" w:rsidRPr="00DB4A13" w:rsidRDefault="00E46554" w:rsidP="003F4E4C">
      <w:pPr>
        <w:pStyle w:val="ListParagraph"/>
        <w:rPr>
          <w:sz w:val="20"/>
          <w:szCs w:val="20"/>
          <w:lang w:val="es-ES_tradnl"/>
        </w:rPr>
      </w:pPr>
    </w:p>
    <w:p w:rsidR="003F4E4C" w:rsidRPr="00DB4A13" w:rsidRDefault="003F4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 xml:space="preserve">En </w:t>
      </w:r>
      <w:r w:rsidR="005A33B0">
        <w:rPr>
          <w:rFonts w:ascii="Cambria" w:hAnsi="Cambria"/>
          <w:sz w:val="20"/>
          <w:szCs w:val="20"/>
          <w:lang w:val="es-ES_tradnl"/>
        </w:rPr>
        <w:t xml:space="preserve">similar sentido respecto del derecho a ser oídos, </w:t>
      </w:r>
      <w:r w:rsidRPr="00DB4A13">
        <w:rPr>
          <w:rFonts w:ascii="Cambria" w:hAnsi="Cambria"/>
          <w:sz w:val="20"/>
          <w:szCs w:val="20"/>
          <w:lang w:val="es-ES_tradnl"/>
        </w:rPr>
        <w:t xml:space="preserve">si bien es cierto que no fue posible tomarle la declaración al señor </w:t>
      </w:r>
      <w:r w:rsidR="005B0B2F">
        <w:rPr>
          <w:rFonts w:ascii="Cambria" w:hAnsi="Cambria"/>
          <w:sz w:val="20"/>
          <w:szCs w:val="20"/>
          <w:lang w:val="es-ES_tradnl"/>
        </w:rPr>
        <w:t xml:space="preserve">Patricio </w:t>
      </w:r>
      <w:r w:rsidRPr="00DB4A13">
        <w:rPr>
          <w:rFonts w:ascii="Cambria" w:hAnsi="Cambria"/>
          <w:sz w:val="20"/>
          <w:szCs w:val="20"/>
          <w:lang w:val="es-ES_tradnl"/>
        </w:rPr>
        <w:t>Roche Azaña debido a su estado de salud dentro de los 10 días que establecía la legislación nicaragüense, también lo es que todavía existían posibilidades para que participara en el procedimiento más adelante, situación que no fue tomada en cuenta por los tribunales y, por el contrario, nunca le fue informada la existencia de un procedimiento, la forma en la que podía participar y las repercusiones que podía tener para él, a pesar de que pudo salir de su estado de coma y se encontraba en posibilidades de participar en el proceso.</w:t>
      </w:r>
    </w:p>
    <w:p w:rsidR="003F4E4C" w:rsidRPr="00DB4A13" w:rsidRDefault="003F4E4C" w:rsidP="003F4E4C">
      <w:pPr>
        <w:tabs>
          <w:tab w:val="left" w:pos="720"/>
          <w:tab w:val="left" w:pos="1440"/>
        </w:tabs>
        <w:ind w:left="630"/>
        <w:jc w:val="both"/>
        <w:rPr>
          <w:rFonts w:ascii="Cambria" w:hAnsi="Cambria"/>
          <w:sz w:val="20"/>
          <w:szCs w:val="20"/>
          <w:lang w:val="es-ES_tradnl"/>
        </w:rPr>
      </w:pPr>
    </w:p>
    <w:p w:rsidR="003F4E4C" w:rsidRPr="00DB4A13" w:rsidRDefault="003F4E4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DB4A13">
        <w:rPr>
          <w:rFonts w:ascii="Cambria" w:hAnsi="Cambria"/>
          <w:sz w:val="20"/>
          <w:szCs w:val="20"/>
          <w:lang w:val="es-ES_tradnl"/>
        </w:rPr>
        <w:t>En este sentido, resulta pertinente tomar en consideración que las personas migrantes se encuentran en una situación de considerable desventaja para defender sus derechos por diversas barreras al acceso a la justicia, entre las que destacan la falta de conocimiento sobre las leyes y el sistema jurídico del país en el que se encuentran. Debido a lo anterior, el derecho a</w:t>
      </w:r>
      <w:r w:rsidR="00822F62">
        <w:rPr>
          <w:rFonts w:ascii="Cambria" w:hAnsi="Cambria"/>
          <w:sz w:val="20"/>
          <w:szCs w:val="20"/>
          <w:lang w:val="es-ES_tradnl"/>
        </w:rPr>
        <w:t xml:space="preserve"> contar con </w:t>
      </w:r>
      <w:r w:rsidRPr="00DB4A13">
        <w:rPr>
          <w:rFonts w:ascii="Cambria" w:hAnsi="Cambria"/>
          <w:sz w:val="20"/>
          <w:szCs w:val="20"/>
          <w:lang w:val="es-ES_tradnl"/>
        </w:rPr>
        <w:t>información</w:t>
      </w:r>
      <w:r w:rsidR="00822F62">
        <w:rPr>
          <w:rFonts w:ascii="Cambria" w:hAnsi="Cambria"/>
          <w:sz w:val="20"/>
          <w:szCs w:val="20"/>
          <w:lang w:val="es-ES_tradnl"/>
        </w:rPr>
        <w:t xml:space="preserve"> al respecto</w:t>
      </w:r>
      <w:r w:rsidRPr="00DB4A13">
        <w:rPr>
          <w:rFonts w:ascii="Cambria" w:hAnsi="Cambria"/>
          <w:sz w:val="20"/>
          <w:szCs w:val="20"/>
          <w:lang w:val="es-ES_tradnl"/>
        </w:rPr>
        <w:t xml:space="preserve"> recobra un valor especial por el peso que puede tener en acceso a la justicia de las personas migrantes. El Estado nicaragüense no notificó en ningún momento al señor Roche Azaña sobre su derecho a </w:t>
      </w:r>
      <w:r w:rsidR="00051CDA">
        <w:rPr>
          <w:rFonts w:ascii="Cambria" w:hAnsi="Cambria"/>
          <w:sz w:val="20"/>
          <w:szCs w:val="20"/>
          <w:lang w:val="es-ES_tradnl"/>
        </w:rPr>
        <w:t xml:space="preserve">participar </w:t>
      </w:r>
      <w:r w:rsidR="004B5D84">
        <w:rPr>
          <w:rFonts w:ascii="Cambria" w:hAnsi="Cambria"/>
          <w:sz w:val="20"/>
          <w:szCs w:val="20"/>
          <w:lang w:val="es-ES_tradnl"/>
        </w:rPr>
        <w:t xml:space="preserve">durante el proceso. Esta situación afectó </w:t>
      </w:r>
      <w:r w:rsidR="00CE4B75">
        <w:rPr>
          <w:rFonts w:ascii="Cambria" w:hAnsi="Cambria"/>
          <w:sz w:val="20"/>
          <w:szCs w:val="20"/>
          <w:lang w:val="es-ES_tradnl"/>
        </w:rPr>
        <w:t>su derecho y el de su madre y su padre</w:t>
      </w:r>
      <w:r w:rsidR="004B5D84">
        <w:rPr>
          <w:rFonts w:ascii="Cambria" w:hAnsi="Cambria"/>
          <w:sz w:val="20"/>
          <w:szCs w:val="20"/>
          <w:lang w:val="es-ES_tradnl"/>
        </w:rPr>
        <w:t xml:space="preserve"> padres a ser oídos con las debidas garantías y a mantenerse informados de los avances y resultados del proceso. </w:t>
      </w:r>
    </w:p>
    <w:p w:rsidR="003F4E4C" w:rsidRPr="00DB4A13" w:rsidRDefault="003F4E4C" w:rsidP="003F4E4C">
      <w:pPr>
        <w:pStyle w:val="ListParagraph"/>
        <w:rPr>
          <w:sz w:val="20"/>
          <w:szCs w:val="20"/>
          <w:lang w:val="es-ES_tradnl"/>
        </w:rPr>
      </w:pPr>
    </w:p>
    <w:p w:rsidR="003D67C7" w:rsidRPr="00096753" w:rsidRDefault="005D01DC"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Pr>
          <w:rFonts w:ascii="Cambria" w:hAnsi="Cambria"/>
          <w:sz w:val="20"/>
          <w:szCs w:val="20"/>
          <w:lang w:val="es-ES_tradnl"/>
        </w:rPr>
        <w:t>En consecuencia, l</w:t>
      </w:r>
      <w:r w:rsidR="003F4E4C" w:rsidRPr="00DB4A13">
        <w:rPr>
          <w:rFonts w:ascii="Cambria" w:hAnsi="Cambria"/>
          <w:sz w:val="20"/>
          <w:szCs w:val="20"/>
          <w:lang w:val="es-ES_tradnl"/>
        </w:rPr>
        <w:t xml:space="preserve">a Comisión considera que el Estado violó </w:t>
      </w:r>
      <w:r w:rsidR="00B66031">
        <w:rPr>
          <w:rFonts w:ascii="Cambria" w:hAnsi="Cambria"/>
          <w:sz w:val="20"/>
          <w:szCs w:val="20"/>
          <w:lang w:val="es-ES_tradnl"/>
        </w:rPr>
        <w:t>los</w:t>
      </w:r>
      <w:r w:rsidR="003F4E4C" w:rsidRPr="00DB4A13">
        <w:rPr>
          <w:rFonts w:ascii="Cambria" w:hAnsi="Cambria"/>
          <w:sz w:val="20"/>
          <w:szCs w:val="20"/>
          <w:lang w:val="es-ES_tradnl"/>
        </w:rPr>
        <w:t xml:space="preserve"> derecho</w:t>
      </w:r>
      <w:r w:rsidR="00B66031">
        <w:rPr>
          <w:rFonts w:ascii="Cambria" w:hAnsi="Cambria"/>
          <w:sz w:val="20"/>
          <w:szCs w:val="20"/>
          <w:lang w:val="es-ES_tradnl"/>
        </w:rPr>
        <w:t>s</w:t>
      </w:r>
      <w:r w:rsidR="003F4E4C" w:rsidRPr="00DB4A13">
        <w:rPr>
          <w:rFonts w:ascii="Cambria" w:hAnsi="Cambria"/>
          <w:sz w:val="20"/>
          <w:szCs w:val="20"/>
          <w:lang w:val="es-ES_tradnl"/>
        </w:rPr>
        <w:t xml:space="preserve"> a las garantías judiciales y protección judicial, consagradas en los artículos 8.1 y 25 de la Convención Americana </w:t>
      </w:r>
      <w:r w:rsidR="00590F1C">
        <w:rPr>
          <w:rFonts w:ascii="Cambria" w:hAnsi="Cambria"/>
          <w:sz w:val="20"/>
          <w:szCs w:val="20"/>
          <w:lang w:val="es-ES_tradnl"/>
        </w:rPr>
        <w:t xml:space="preserve">en relación con las obligaciones establecidas en el artículo 1.1 del mismo instrumento, en perjuicio de Patricio Roche Azaña, su madre y su padre. </w:t>
      </w:r>
      <w:r w:rsidR="00F34927">
        <w:rPr>
          <w:rFonts w:ascii="Cambria" w:hAnsi="Cambria"/>
          <w:sz w:val="20"/>
          <w:szCs w:val="20"/>
          <w:lang w:val="es-ES_tradnl"/>
        </w:rPr>
        <w:t xml:space="preserve">Asimismo, la Comisión considera </w:t>
      </w:r>
      <w:r w:rsidR="00806C2A">
        <w:rPr>
          <w:rFonts w:ascii="Cambria" w:hAnsi="Cambria"/>
          <w:sz w:val="20"/>
          <w:szCs w:val="20"/>
          <w:lang w:val="es-ES_tradnl"/>
        </w:rPr>
        <w:t>que el Estado violó el derecho a la integridad personal establecido en el artículo 5.1 de la Convenció</w:t>
      </w:r>
      <w:r w:rsidR="003C03DB">
        <w:rPr>
          <w:rFonts w:ascii="Cambria" w:hAnsi="Cambria"/>
          <w:sz w:val="20"/>
          <w:szCs w:val="20"/>
          <w:lang w:val="es-ES_tradnl"/>
        </w:rPr>
        <w:t>n Americana en relación con las obligaciones establecidas en el artículo 1.1 del mismo instrumento</w:t>
      </w:r>
      <w:r w:rsidR="009A6507">
        <w:rPr>
          <w:rFonts w:ascii="Cambria" w:hAnsi="Cambria"/>
          <w:sz w:val="20"/>
          <w:szCs w:val="20"/>
          <w:lang w:val="es-ES_tradnl"/>
        </w:rPr>
        <w:t>,</w:t>
      </w:r>
      <w:r w:rsidR="00806C2A">
        <w:rPr>
          <w:rFonts w:ascii="Cambria" w:hAnsi="Cambria"/>
          <w:sz w:val="20"/>
          <w:szCs w:val="20"/>
          <w:lang w:val="es-ES_tradnl"/>
        </w:rPr>
        <w:t xml:space="preserve"> en perjuicio de la madre y el padre de los hermanos Roche Azaña.  </w:t>
      </w:r>
    </w:p>
    <w:p w:rsidR="00D12193" w:rsidRPr="00096753" w:rsidRDefault="00D12193" w:rsidP="00096753">
      <w:pPr>
        <w:pStyle w:val="Heading1"/>
        <w:ind w:hanging="90"/>
        <w:rPr>
          <w:color w:val="auto"/>
          <w:sz w:val="20"/>
          <w:szCs w:val="20"/>
          <w:lang w:val="es-ES_tradnl"/>
        </w:rPr>
      </w:pPr>
      <w:bookmarkStart w:id="20" w:name="_Toc536087989"/>
      <w:r w:rsidRPr="00096753">
        <w:rPr>
          <w:color w:val="auto"/>
          <w:sz w:val="20"/>
          <w:szCs w:val="20"/>
          <w:lang w:val="es-ES_tradnl"/>
        </w:rPr>
        <w:t>CONCLUSIONES Y RECOMENDACIONES</w:t>
      </w:r>
      <w:bookmarkEnd w:id="20"/>
      <w:r w:rsidRPr="00096753">
        <w:rPr>
          <w:color w:val="auto"/>
          <w:sz w:val="20"/>
          <w:szCs w:val="20"/>
          <w:lang w:val="es-ES_tradnl"/>
        </w:rPr>
        <w:t xml:space="preserve"> </w:t>
      </w:r>
    </w:p>
    <w:p w:rsidR="00D12193" w:rsidRPr="00DB4A13" w:rsidRDefault="00D12193" w:rsidP="00D12193">
      <w:pPr>
        <w:suppressAutoHyphens/>
        <w:rPr>
          <w:rFonts w:ascii="Cambria" w:hAnsi="Cambria"/>
          <w:b/>
          <w:sz w:val="20"/>
          <w:szCs w:val="20"/>
          <w:lang w:val="es-ES_tradnl"/>
        </w:rPr>
      </w:pPr>
    </w:p>
    <w:p w:rsidR="009D3F8B" w:rsidRPr="00DB4A13" w:rsidRDefault="009D3F8B" w:rsidP="00356B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B4A13">
        <w:rPr>
          <w:rFonts w:ascii="Cambria" w:hAnsi="Cambria"/>
          <w:color w:val="000000" w:themeColor="text1"/>
          <w:sz w:val="20"/>
          <w:szCs w:val="20"/>
          <w:lang w:val="es-VE"/>
        </w:rPr>
        <w:t>Con base en las determinaciones de hecho y de derecho, la Comisión Interamericana concluyó que el Estado es responsable por la violación de los artículos 4.1 (derecho a la vida), 5.1 (integridad personal), 8.1 (garantías judiciales) y 25.1 (protección judicial) de la Convención Americana, en relación con las</w:t>
      </w:r>
      <w:r w:rsidR="0073541D">
        <w:rPr>
          <w:rFonts w:ascii="Cambria" w:hAnsi="Cambria"/>
          <w:color w:val="000000" w:themeColor="text1"/>
          <w:sz w:val="20"/>
          <w:szCs w:val="20"/>
          <w:lang w:val="es-VE"/>
        </w:rPr>
        <w:t xml:space="preserve"> obligaciones establecidas en los</w:t>
      </w:r>
      <w:r w:rsidRPr="00DB4A13">
        <w:rPr>
          <w:rFonts w:ascii="Cambria" w:hAnsi="Cambria"/>
          <w:color w:val="000000" w:themeColor="text1"/>
          <w:sz w:val="20"/>
          <w:szCs w:val="20"/>
          <w:lang w:val="es-VE"/>
        </w:rPr>
        <w:t xml:space="preserve"> </w:t>
      </w:r>
      <w:r w:rsidRPr="00DB4A13">
        <w:rPr>
          <w:rFonts w:ascii="Cambria" w:hAnsi="Cambria"/>
          <w:sz w:val="20"/>
          <w:szCs w:val="20"/>
          <w:lang w:val="es-VE"/>
        </w:rPr>
        <w:t>artículo</w:t>
      </w:r>
      <w:r w:rsidR="0073541D">
        <w:rPr>
          <w:rFonts w:ascii="Cambria" w:hAnsi="Cambria"/>
          <w:sz w:val="20"/>
          <w:szCs w:val="20"/>
          <w:lang w:val="es-VE"/>
        </w:rPr>
        <w:t>s</w:t>
      </w:r>
      <w:r w:rsidRPr="00DB4A13">
        <w:rPr>
          <w:rFonts w:ascii="Cambria" w:hAnsi="Cambria"/>
          <w:sz w:val="20"/>
          <w:szCs w:val="20"/>
          <w:lang w:val="es-VE"/>
        </w:rPr>
        <w:t xml:space="preserve"> 1.1</w:t>
      </w:r>
      <w:r w:rsidR="0073541D">
        <w:rPr>
          <w:rFonts w:ascii="Cambria" w:hAnsi="Cambria"/>
          <w:sz w:val="20"/>
          <w:szCs w:val="20"/>
          <w:lang w:val="es-VE"/>
        </w:rPr>
        <w:t xml:space="preserve"> y 2</w:t>
      </w:r>
      <w:r w:rsidRPr="00DB4A13">
        <w:rPr>
          <w:rFonts w:ascii="Cambria" w:hAnsi="Cambria"/>
          <w:sz w:val="20"/>
          <w:szCs w:val="20"/>
          <w:lang w:val="es-VE"/>
        </w:rPr>
        <w:t xml:space="preserve"> del mismo </w:t>
      </w:r>
      <w:r w:rsidRPr="00DB4A13">
        <w:rPr>
          <w:rFonts w:ascii="Cambria" w:hAnsi="Cambria"/>
          <w:color w:val="000000" w:themeColor="text1"/>
          <w:sz w:val="20"/>
          <w:szCs w:val="20"/>
          <w:lang w:val="es-VE"/>
        </w:rPr>
        <w:t>instrumento</w:t>
      </w:r>
      <w:r w:rsidR="0073541D">
        <w:rPr>
          <w:rFonts w:ascii="Cambria" w:hAnsi="Cambria"/>
          <w:color w:val="000000" w:themeColor="text1"/>
          <w:sz w:val="20"/>
          <w:szCs w:val="20"/>
          <w:lang w:val="es-VE"/>
        </w:rPr>
        <w:t>, en perjuicio de las personas que se indican a lo largo del presente informe.</w:t>
      </w:r>
      <w:r w:rsidRPr="00DB4A13">
        <w:rPr>
          <w:rFonts w:ascii="Cambria" w:hAnsi="Cambria"/>
          <w:color w:val="000000" w:themeColor="text1"/>
          <w:sz w:val="20"/>
          <w:szCs w:val="20"/>
          <w:lang w:val="es-VE"/>
        </w:rPr>
        <w:t xml:space="preserve"> </w:t>
      </w:r>
    </w:p>
    <w:p w:rsidR="00006896" w:rsidRPr="00DB4A13" w:rsidRDefault="00006896" w:rsidP="00006896">
      <w:pPr>
        <w:suppressAutoHyphens/>
        <w:jc w:val="both"/>
        <w:rPr>
          <w:rFonts w:ascii="Cambria" w:hAnsi="Cambria"/>
          <w:sz w:val="20"/>
          <w:szCs w:val="20"/>
          <w:lang w:val="es-ES_tradnl"/>
        </w:rPr>
      </w:pPr>
    </w:p>
    <w:p w:rsidR="00006896" w:rsidRPr="00DB4A13" w:rsidRDefault="00006896" w:rsidP="00006896">
      <w:pPr>
        <w:ind w:firstLine="720"/>
        <w:jc w:val="both"/>
        <w:rPr>
          <w:rFonts w:ascii="Cambria" w:hAnsi="Cambria"/>
          <w:b/>
          <w:sz w:val="20"/>
          <w:szCs w:val="20"/>
          <w:lang w:val="es-ES_tradnl"/>
        </w:rPr>
      </w:pPr>
      <w:r w:rsidRPr="00DB4A13">
        <w:rPr>
          <w:rFonts w:ascii="Cambria" w:hAnsi="Cambria"/>
          <w:b/>
          <w:sz w:val="20"/>
          <w:szCs w:val="20"/>
          <w:lang w:val="es-ES_tradnl"/>
        </w:rPr>
        <w:tab/>
        <w:t xml:space="preserve">LA COMISIÓN INTERAMERICANA DE DERECHOS HUMANOS, RECOMIENDA AL ESTADO DE </w:t>
      </w:r>
      <w:r w:rsidR="00DE7E73" w:rsidRPr="00DB4A13">
        <w:rPr>
          <w:rFonts w:ascii="Cambria" w:hAnsi="Cambria"/>
          <w:b/>
          <w:sz w:val="20"/>
          <w:szCs w:val="20"/>
          <w:lang w:val="es-ES_tradnl"/>
        </w:rPr>
        <w:t>NICARAGUA:</w:t>
      </w:r>
    </w:p>
    <w:p w:rsidR="00006896" w:rsidRPr="00DB4A13" w:rsidRDefault="00006896" w:rsidP="00006896">
      <w:pPr>
        <w:ind w:firstLine="720"/>
        <w:jc w:val="both"/>
        <w:rPr>
          <w:rFonts w:ascii="Cambria" w:hAnsi="Cambria"/>
          <w:b/>
          <w:sz w:val="20"/>
          <w:szCs w:val="20"/>
          <w:lang w:val="es-ES_tradnl"/>
        </w:rPr>
      </w:pPr>
    </w:p>
    <w:p w:rsidR="005F309E" w:rsidRPr="00DB4A13" w:rsidRDefault="005F309E" w:rsidP="00DE7E7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20"/>
          <w:szCs w:val="20"/>
          <w:bdr w:val="none" w:sz="0" w:space="0" w:color="auto"/>
          <w:lang w:val="es-US"/>
        </w:rPr>
      </w:pPr>
    </w:p>
    <w:p w:rsidR="003F66A2" w:rsidRDefault="005F309E" w:rsidP="00356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DB4A13">
        <w:rPr>
          <w:rFonts w:eastAsia="Times New Roman" w:cs="Tahoma"/>
          <w:sz w:val="20"/>
          <w:szCs w:val="20"/>
          <w:bdr w:val="none" w:sz="0" w:space="0" w:color="auto"/>
          <w:lang w:val="es-ES"/>
        </w:rPr>
        <w:t>Reparar integralmente las violaciones de derechos humanos declaradas en el presente informe tanto en el aspecto material como inmaterial. El Estado deberá adoptar las medidas de compensación económica y satisfacción</w:t>
      </w:r>
      <w:r w:rsidR="001E4A90">
        <w:rPr>
          <w:rFonts w:eastAsia="Times New Roman" w:cs="Tahoma"/>
          <w:sz w:val="20"/>
          <w:szCs w:val="20"/>
          <w:bdr w:val="none" w:sz="0" w:space="0" w:color="auto"/>
          <w:lang w:val="es-ES"/>
        </w:rPr>
        <w:t xml:space="preserve"> en favor del</w:t>
      </w:r>
      <w:r w:rsidRPr="00DB4A13">
        <w:rPr>
          <w:rFonts w:eastAsia="Times New Roman" w:cs="Tahoma"/>
          <w:sz w:val="20"/>
          <w:szCs w:val="20"/>
          <w:bdr w:val="none" w:sz="0" w:space="0" w:color="auto"/>
          <w:lang w:val="es-ES"/>
        </w:rPr>
        <w:t xml:space="preserve"> </w:t>
      </w:r>
      <w:r w:rsidR="001E4A90" w:rsidRPr="00DB4A13">
        <w:rPr>
          <w:rFonts w:eastAsia="Times New Roman" w:cs="Tahoma"/>
          <w:sz w:val="20"/>
          <w:szCs w:val="20"/>
          <w:bdr w:val="none" w:sz="0" w:space="0" w:color="auto"/>
          <w:lang w:val="es-ES"/>
        </w:rPr>
        <w:t>señor Patricio Roche Azaña y de sus padres</w:t>
      </w:r>
      <w:r w:rsidR="001E4A90">
        <w:rPr>
          <w:rFonts w:eastAsia="Times New Roman" w:cs="Tahoma"/>
          <w:sz w:val="20"/>
          <w:szCs w:val="20"/>
          <w:bdr w:val="none" w:sz="0" w:space="0" w:color="auto"/>
          <w:lang w:val="es-ES"/>
        </w:rPr>
        <w:t>.</w:t>
      </w:r>
    </w:p>
    <w:p w:rsidR="003F66A2" w:rsidRDefault="003F66A2" w:rsidP="003F66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rsidR="003F66A2" w:rsidRPr="003F66A2" w:rsidRDefault="003F66A2" w:rsidP="00356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3F66A2">
        <w:rPr>
          <w:rFonts w:eastAsia="Times New Roman" w:cs="Tahoma"/>
          <w:sz w:val="20"/>
          <w:szCs w:val="20"/>
          <w:bdr w:val="none" w:sz="0" w:space="0" w:color="auto"/>
          <w:lang w:val="es-AR"/>
        </w:rPr>
        <w:t xml:space="preserve">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w:t>
      </w:r>
      <w:r w:rsidRPr="003F66A2">
        <w:rPr>
          <w:sz w:val="20"/>
          <w:szCs w:val="20"/>
          <w:lang w:val="es-US"/>
        </w:rPr>
        <w:t xml:space="preserve">Tomando en cuenta la gravedad de las violaciones declaradas y los estándares interamericanos al respecto, la Comisión destaca que </w:t>
      </w:r>
      <w:r w:rsidRPr="003F66A2">
        <w:rPr>
          <w:sz w:val="20"/>
          <w:szCs w:val="20"/>
          <w:lang w:val="es-US"/>
        </w:rPr>
        <w:lastRenderedPageBreak/>
        <w:t xml:space="preserve">el Estado no podrá oponer la garantía de </w:t>
      </w:r>
      <w:r w:rsidRPr="003F66A2">
        <w:rPr>
          <w:i/>
          <w:sz w:val="20"/>
          <w:szCs w:val="20"/>
          <w:lang w:val="es-US"/>
        </w:rPr>
        <w:t>ne bis in ídem</w:t>
      </w:r>
      <w:r w:rsidRPr="003F66A2">
        <w:rPr>
          <w:sz w:val="20"/>
          <w:szCs w:val="20"/>
          <w:lang w:val="es-US"/>
        </w:rPr>
        <w:t>, cosa juzgada o prescripción, para justificar el incumplimiento de esta recomendación.</w:t>
      </w:r>
    </w:p>
    <w:p w:rsidR="005F309E" w:rsidRPr="00DB4A13" w:rsidRDefault="005F309E" w:rsidP="005F309E">
      <w:pPr>
        <w:pStyle w:val="ListParagraph"/>
        <w:rPr>
          <w:rFonts w:eastAsia="Times New Roman" w:cs="Tahoma"/>
          <w:sz w:val="20"/>
          <w:szCs w:val="20"/>
          <w:bdr w:val="none" w:sz="0" w:space="0" w:color="auto"/>
          <w:lang w:val="es-ES"/>
        </w:rPr>
      </w:pPr>
    </w:p>
    <w:p w:rsidR="0033028D" w:rsidRPr="00DB4A13" w:rsidRDefault="005F309E" w:rsidP="00356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
        </w:rPr>
      </w:pPr>
      <w:r w:rsidRPr="00DB4A13">
        <w:rPr>
          <w:rFonts w:eastAsia="Times New Roman" w:cs="Tahoma"/>
          <w:sz w:val="20"/>
          <w:szCs w:val="20"/>
          <w:bdr w:val="none" w:sz="0" w:space="0" w:color="auto"/>
          <w:lang w:val="es-ES"/>
        </w:rPr>
        <w:t>Disponer las medidas de atención en salud física y mental necesarias para la rehabilitación</w:t>
      </w:r>
      <w:r w:rsidR="0033028D" w:rsidRPr="00DB4A13">
        <w:rPr>
          <w:rFonts w:eastAsia="Times New Roman" w:cs="Tahoma"/>
          <w:sz w:val="20"/>
          <w:szCs w:val="20"/>
          <w:bdr w:val="none" w:sz="0" w:space="0" w:color="auto"/>
          <w:lang w:val="es-ES"/>
        </w:rPr>
        <w:t xml:space="preserve"> de</w:t>
      </w:r>
      <w:r w:rsidR="00DE7E73" w:rsidRPr="00DB4A13">
        <w:rPr>
          <w:rFonts w:eastAsia="Times New Roman" w:cs="Tahoma"/>
          <w:sz w:val="20"/>
          <w:szCs w:val="20"/>
          <w:bdr w:val="none" w:sz="0" w:space="0" w:color="auto"/>
          <w:lang w:val="es-ES"/>
        </w:rPr>
        <w:t>l señor Patricio Roche Azaña y de sus padres</w:t>
      </w:r>
      <w:r w:rsidRPr="00DB4A13">
        <w:rPr>
          <w:rFonts w:eastAsia="Times New Roman" w:cs="Tahoma"/>
          <w:sz w:val="20"/>
          <w:szCs w:val="20"/>
          <w:bdr w:val="none" w:sz="0" w:space="0" w:color="auto"/>
          <w:lang w:val="es-ES"/>
        </w:rPr>
        <w:t>, de ser su voluntad y de manera concertada.</w:t>
      </w:r>
    </w:p>
    <w:p w:rsidR="0033028D" w:rsidRPr="00DB4A13" w:rsidRDefault="0033028D" w:rsidP="00DE7E73">
      <w:pPr>
        <w:rPr>
          <w:rFonts w:ascii="Cambria" w:eastAsia="Times New Roman" w:hAnsi="Cambria" w:cs="Tahoma"/>
          <w:sz w:val="20"/>
          <w:szCs w:val="20"/>
          <w:bdr w:val="none" w:sz="0" w:space="0" w:color="auto"/>
          <w:lang w:val="es-US"/>
        </w:rPr>
      </w:pPr>
    </w:p>
    <w:p w:rsidR="00006896" w:rsidRPr="00DB4A13" w:rsidRDefault="00006896" w:rsidP="00356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
        </w:rPr>
      </w:pPr>
      <w:r w:rsidRPr="00DB4A13">
        <w:rPr>
          <w:rFonts w:eastAsia="Times New Roman" w:cs="Tahoma"/>
          <w:sz w:val="20"/>
          <w:szCs w:val="20"/>
          <w:bdr w:val="none" w:sz="0" w:space="0" w:color="auto"/>
          <w:lang w:val="es-US"/>
        </w:rPr>
        <w:t>Disponer mecanismos de no repetición que incluyan</w:t>
      </w:r>
      <w:r w:rsidR="00DE7E73" w:rsidRPr="00DB4A13">
        <w:rPr>
          <w:rFonts w:eastAsia="Times New Roman" w:cs="Tahoma"/>
          <w:sz w:val="20"/>
          <w:szCs w:val="20"/>
          <w:bdr w:val="none" w:sz="0" w:space="0" w:color="auto"/>
          <w:lang w:val="es-US"/>
        </w:rPr>
        <w:t xml:space="preserve"> capacitaciones a autoridades sobre el uso de la fuerza </w:t>
      </w:r>
      <w:r w:rsidR="00565EA9">
        <w:rPr>
          <w:rFonts w:eastAsia="Times New Roman" w:cs="Tahoma"/>
          <w:sz w:val="20"/>
          <w:szCs w:val="20"/>
          <w:bdr w:val="none" w:sz="0" w:space="0" w:color="auto"/>
          <w:lang w:val="es-US"/>
        </w:rPr>
        <w:t xml:space="preserve">conforme a los estándares descritos en el presente informe de fondo, así como sobre </w:t>
      </w:r>
      <w:r w:rsidR="00DE7E73" w:rsidRPr="00DB4A13">
        <w:rPr>
          <w:rFonts w:eastAsia="Times New Roman" w:cs="Tahoma"/>
          <w:sz w:val="20"/>
          <w:szCs w:val="20"/>
          <w:bdr w:val="none" w:sz="0" w:space="0" w:color="auto"/>
          <w:lang w:val="es-US"/>
        </w:rPr>
        <w:t>los derechos humanos de las personas migrantes.</w:t>
      </w:r>
    </w:p>
    <w:p w:rsidR="00006896" w:rsidRPr="00DB4A13" w:rsidRDefault="00006896" w:rsidP="00006896">
      <w:pPr>
        <w:ind w:firstLine="720"/>
        <w:jc w:val="both"/>
        <w:rPr>
          <w:rFonts w:ascii="Cambria" w:hAnsi="Cambria"/>
          <w:b/>
          <w:sz w:val="20"/>
          <w:szCs w:val="20"/>
          <w:lang w:val="es-ES_tradnl"/>
        </w:rPr>
      </w:pPr>
    </w:p>
    <w:p w:rsidR="00646151" w:rsidRDefault="00646151" w:rsidP="00646151">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Boulder, Colorado, a los 5 días del mes de octubre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Arosemena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Francisco José Eguiguren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Antonia </w:t>
      </w:r>
      <w:proofErr w:type="spellStart"/>
      <w:r>
        <w:rPr>
          <w:rFonts w:ascii="Cambria" w:hAnsi="Cambria"/>
          <w:spacing w:val="-2"/>
          <w:sz w:val="20"/>
          <w:szCs w:val="20"/>
          <w:lang w:val="es-CL"/>
        </w:rPr>
        <w:t>Urrejola</w:t>
      </w:r>
      <w:proofErr w:type="spellEnd"/>
      <w:r>
        <w:rPr>
          <w:rFonts w:ascii="Cambria" w:hAnsi="Cambria"/>
          <w:spacing w:val="-2"/>
          <w:sz w:val="20"/>
          <w:szCs w:val="20"/>
          <w:lang w:val="es-CL"/>
        </w:rPr>
        <w:t xml:space="preserve"> y Flavia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646151" w:rsidRDefault="00646151" w:rsidP="00646151">
      <w:pPr>
        <w:ind w:firstLine="720"/>
        <w:jc w:val="both"/>
        <w:rPr>
          <w:rFonts w:ascii="Cambria" w:hAnsi="Cambria"/>
          <w:spacing w:val="-2"/>
          <w:sz w:val="20"/>
          <w:szCs w:val="20"/>
          <w:lang w:val="es-CL"/>
        </w:rPr>
      </w:pPr>
    </w:p>
    <w:p w:rsidR="00646151" w:rsidRDefault="00646151" w:rsidP="00646151">
      <w:pPr>
        <w:ind w:firstLine="720"/>
        <w:jc w:val="both"/>
        <w:rPr>
          <w:rFonts w:ascii="Cambria" w:hAnsi="Cambria"/>
          <w:sz w:val="20"/>
          <w:szCs w:val="20"/>
          <w:lang w:val="es-CL"/>
        </w:rPr>
      </w:pPr>
      <w:r>
        <w:rPr>
          <w:rFonts w:ascii="Cambria" w:hAnsi="Cambria"/>
          <w:sz w:val="20"/>
          <w:szCs w:val="20"/>
          <w:lang w:val="es-CL"/>
        </w:rPr>
        <w:t xml:space="preserve">El que suscribe, </w:t>
      </w:r>
      <w:r w:rsidRPr="00194572">
        <w:rPr>
          <w:rFonts w:ascii="Cambria" w:hAnsi="Cambria" w:cs="Arial"/>
          <w:sz w:val="20"/>
          <w:szCs w:val="20"/>
          <w:lang w:val="es-PE"/>
        </w:rPr>
        <w:t xml:space="preserve">Paulo </w:t>
      </w:r>
      <w:proofErr w:type="spellStart"/>
      <w:r w:rsidRPr="00194572">
        <w:rPr>
          <w:rFonts w:ascii="Cambria" w:hAnsi="Cambria" w:cs="Arial"/>
          <w:sz w:val="20"/>
          <w:szCs w:val="20"/>
          <w:lang w:val="es-PE"/>
        </w:rPr>
        <w:t>Abrão</w:t>
      </w:r>
      <w:proofErr w:type="spellEnd"/>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rsidR="00646151" w:rsidRPr="00194572" w:rsidRDefault="00646151" w:rsidP="00646151">
      <w:pPr>
        <w:rPr>
          <w:rFonts w:ascii="Cambria" w:hAnsi="Cambria"/>
          <w:sz w:val="20"/>
          <w:szCs w:val="20"/>
          <w:lang w:val="es-PE"/>
        </w:rPr>
      </w:pPr>
    </w:p>
    <w:p w:rsidR="00646151" w:rsidRPr="00194572" w:rsidRDefault="00646151" w:rsidP="00646151">
      <w:pPr>
        <w:rPr>
          <w:rFonts w:ascii="Cambria" w:hAnsi="Cambria"/>
          <w:sz w:val="20"/>
          <w:szCs w:val="20"/>
          <w:lang w:val="es-PE"/>
        </w:rPr>
      </w:pPr>
    </w:p>
    <w:p w:rsidR="00646151" w:rsidRPr="00194572" w:rsidRDefault="00646151" w:rsidP="00646151">
      <w:pPr>
        <w:rPr>
          <w:rFonts w:ascii="Cambria" w:hAnsi="Cambria"/>
          <w:sz w:val="20"/>
          <w:szCs w:val="20"/>
          <w:lang w:val="es-PE"/>
        </w:rPr>
      </w:pPr>
    </w:p>
    <w:p w:rsidR="00646151" w:rsidRPr="00194572" w:rsidRDefault="00646151" w:rsidP="00646151">
      <w:pPr>
        <w:rPr>
          <w:rFonts w:ascii="Cambria" w:hAnsi="Cambria"/>
          <w:sz w:val="20"/>
          <w:szCs w:val="20"/>
          <w:lang w:val="es-PE"/>
        </w:rPr>
      </w:pPr>
    </w:p>
    <w:p w:rsidR="00646151" w:rsidRPr="00194572" w:rsidRDefault="00646151" w:rsidP="00646151">
      <w:pPr>
        <w:rPr>
          <w:rFonts w:ascii="Cambria" w:hAnsi="Cambria"/>
          <w:sz w:val="20"/>
          <w:szCs w:val="20"/>
          <w:lang w:val="es-PE"/>
        </w:rPr>
      </w:pPr>
    </w:p>
    <w:p w:rsidR="00646151" w:rsidRPr="00F21419" w:rsidRDefault="00646151" w:rsidP="00646151">
      <w:pPr>
        <w:ind w:left="2160" w:firstLine="720"/>
        <w:jc w:val="center"/>
        <w:rPr>
          <w:rFonts w:ascii="Cambria" w:hAnsi="Cambria"/>
          <w:sz w:val="20"/>
          <w:szCs w:val="20"/>
        </w:rPr>
      </w:pPr>
      <w:r w:rsidRPr="00D57D47">
        <w:rPr>
          <w:rFonts w:ascii="Cambria" w:hAnsi="Cambria" w:cs="Arial"/>
          <w:sz w:val="20"/>
          <w:szCs w:val="20"/>
        </w:rPr>
        <w:t xml:space="preserve">Paulo </w:t>
      </w:r>
      <w:proofErr w:type="spellStart"/>
      <w:r w:rsidRPr="00D57D47">
        <w:rPr>
          <w:rFonts w:ascii="Cambria" w:hAnsi="Cambria" w:cs="Arial"/>
          <w:sz w:val="20"/>
          <w:szCs w:val="20"/>
        </w:rPr>
        <w:t>Abrão</w:t>
      </w:r>
      <w:proofErr w:type="spellEnd"/>
    </w:p>
    <w:p w:rsidR="00646151" w:rsidRPr="00F21419" w:rsidRDefault="00646151" w:rsidP="00646151">
      <w:pPr>
        <w:ind w:left="2160" w:firstLine="720"/>
        <w:jc w:val="center"/>
        <w:rPr>
          <w:rFonts w:ascii="Cambria" w:hAnsi="Cambria"/>
          <w:sz w:val="20"/>
          <w:szCs w:val="20"/>
        </w:rPr>
      </w:pPr>
      <w:proofErr w:type="spellStart"/>
      <w:r w:rsidRPr="00F21419">
        <w:rPr>
          <w:rFonts w:ascii="Cambria" w:hAnsi="Cambria"/>
          <w:sz w:val="20"/>
          <w:szCs w:val="20"/>
        </w:rPr>
        <w:t>Secretario</w:t>
      </w:r>
      <w:proofErr w:type="spellEnd"/>
      <w:r w:rsidRPr="00F21419">
        <w:rPr>
          <w:rFonts w:ascii="Cambria" w:hAnsi="Cambria"/>
          <w:sz w:val="20"/>
          <w:szCs w:val="20"/>
        </w:rPr>
        <w:t xml:space="preserve"> </w:t>
      </w:r>
      <w:proofErr w:type="spellStart"/>
      <w:r w:rsidRPr="00F21419">
        <w:rPr>
          <w:rFonts w:ascii="Cambria" w:hAnsi="Cambria"/>
          <w:sz w:val="20"/>
          <w:szCs w:val="20"/>
        </w:rPr>
        <w:t>Ejecutivo</w:t>
      </w:r>
      <w:proofErr w:type="spellEnd"/>
    </w:p>
    <w:p w:rsidR="00646151" w:rsidRPr="00F21419" w:rsidRDefault="00646151" w:rsidP="00646151">
      <w:pPr>
        <w:jc w:val="both"/>
        <w:rPr>
          <w:rFonts w:ascii="Cambria" w:hAnsi="Cambria"/>
          <w:sz w:val="20"/>
          <w:szCs w:val="20"/>
        </w:rPr>
      </w:pPr>
    </w:p>
    <w:p w:rsidR="00006896" w:rsidRPr="00DB4A13" w:rsidRDefault="00006896"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VE"/>
        </w:rPr>
      </w:pPr>
    </w:p>
    <w:p w:rsidR="00822AF5" w:rsidRPr="00DB4A13" w:rsidRDefault="00822AF5"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MX"/>
        </w:rPr>
      </w:pPr>
    </w:p>
    <w:sectPr w:rsidR="00822AF5" w:rsidRPr="00DB4A13" w:rsidSect="00B935E4">
      <w:type w:val="oddPage"/>
      <w:pgSz w:w="12240" w:h="15840"/>
      <w:pgMar w:top="1440" w:right="1440" w:bottom="1440" w:left="1440" w:header="720" w:footer="720" w:gutter="0"/>
      <w:pgNumType w:start="1"/>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54D54" w15:done="0"/>
  <w15:commentEx w15:paraId="73BAB8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7C" w:rsidRDefault="00356B7C">
      <w:r>
        <w:separator/>
      </w:r>
    </w:p>
  </w:endnote>
  <w:endnote w:type="continuationSeparator" w:id="0">
    <w:p w:rsidR="00356B7C" w:rsidRDefault="003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15A5B" w:rsidRPr="00934A2C" w:rsidRDefault="00615A5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762E3">
          <w:rPr>
            <w:noProof/>
            <w:sz w:val="16"/>
            <w:szCs w:val="22"/>
          </w:rPr>
          <w:t>2</w:t>
        </w:r>
        <w:r w:rsidRPr="00934A2C">
          <w:rPr>
            <w:noProof/>
            <w:sz w:val="16"/>
            <w:szCs w:val="22"/>
          </w:rPr>
          <w:fldChar w:fldCharType="end"/>
        </w:r>
      </w:p>
    </w:sdtContent>
  </w:sdt>
  <w:p w:rsidR="00615A5B" w:rsidRDefault="00615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5B" w:rsidRPr="00934A2C" w:rsidRDefault="00615A5B">
    <w:pPr>
      <w:pStyle w:val="Footer"/>
      <w:jc w:val="center"/>
      <w:rPr>
        <w:sz w:val="16"/>
        <w:szCs w:val="22"/>
      </w:rPr>
    </w:pPr>
  </w:p>
  <w:p w:rsidR="00615A5B" w:rsidRDefault="00615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7C" w:rsidRPr="000F35ED" w:rsidRDefault="00356B7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56B7C" w:rsidRPr="000F35ED" w:rsidRDefault="00356B7C" w:rsidP="000F35ED">
      <w:pPr>
        <w:rPr>
          <w:rFonts w:asciiTheme="majorHAnsi" w:hAnsiTheme="majorHAnsi"/>
          <w:sz w:val="16"/>
          <w:szCs w:val="16"/>
        </w:rPr>
      </w:pPr>
      <w:r w:rsidRPr="000F35ED">
        <w:rPr>
          <w:rFonts w:asciiTheme="majorHAnsi" w:hAnsiTheme="majorHAnsi"/>
          <w:sz w:val="16"/>
          <w:szCs w:val="16"/>
        </w:rPr>
        <w:separator/>
      </w:r>
    </w:p>
    <w:p w:rsidR="00356B7C" w:rsidRPr="000F35ED" w:rsidRDefault="00356B7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56B7C" w:rsidRPr="000F35ED" w:rsidRDefault="00356B7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615A5B" w:rsidRPr="00A01230" w:rsidRDefault="00615A5B" w:rsidP="00096753">
      <w:pPr>
        <w:pStyle w:val="FootnoteText"/>
        <w:spacing w:after="120"/>
        <w:jc w:val="both"/>
        <w:rPr>
          <w:rFonts w:asciiTheme="majorHAnsi" w:hAnsiTheme="majorHAnsi"/>
          <w:sz w:val="16"/>
          <w:szCs w:val="16"/>
          <w:lang w:val="es-US"/>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Pr="00A01230">
        <w:rPr>
          <w:rFonts w:asciiTheme="majorHAnsi" w:hAnsiTheme="majorHAnsi"/>
          <w:color w:val="auto"/>
          <w:sz w:val="16"/>
          <w:szCs w:val="16"/>
          <w:lang w:val="es-MX"/>
        </w:rPr>
        <w:t xml:space="preserve">CIDH. Informe No. 88/09. </w:t>
      </w:r>
      <w:r w:rsidRPr="00A01230">
        <w:rPr>
          <w:rFonts w:asciiTheme="majorHAnsi" w:hAnsiTheme="majorHAnsi"/>
          <w:color w:val="auto"/>
          <w:sz w:val="16"/>
          <w:szCs w:val="16"/>
          <w:lang w:val="es-US"/>
        </w:rPr>
        <w:t>Petición 405-99. Admisibilidad Patricio Fernando Roche Azaña y otro. Nicaragua. 7 de agosto de 2009. La Comisión declaró admisibles los artículos 1.1, 4.1, 5.1, 8.1 y 24 de la Convención Americana sobre Derechos Humanos; asimismo, declaró  inadmisible el artículo 22 de la Convención Americana sobre Derechos Humanos.</w:t>
      </w:r>
    </w:p>
  </w:footnote>
  <w:footnote w:id="3">
    <w:p w:rsidR="00615A5B" w:rsidRPr="00A01230" w:rsidRDefault="00615A5B">
      <w:pPr>
        <w:pStyle w:val="FootnoteText"/>
        <w:rPr>
          <w:rFonts w:asciiTheme="majorHAnsi" w:hAnsiTheme="majorHAnsi"/>
          <w:sz w:val="16"/>
          <w:szCs w:val="16"/>
          <w:lang w:val="es-US"/>
        </w:rPr>
      </w:pPr>
      <w:r w:rsidRPr="00A01230">
        <w:rPr>
          <w:rStyle w:val="FootnoteReference"/>
          <w:rFonts w:asciiTheme="majorHAnsi" w:hAnsiTheme="majorHAnsi"/>
          <w:sz w:val="16"/>
          <w:szCs w:val="16"/>
        </w:rPr>
        <w:footnoteRef/>
      </w:r>
      <w:r w:rsidRPr="00A01230">
        <w:rPr>
          <w:rFonts w:asciiTheme="majorHAnsi" w:hAnsiTheme="majorHAnsi"/>
          <w:sz w:val="16"/>
          <w:szCs w:val="16"/>
          <w:lang w:val="es-US"/>
        </w:rPr>
        <w:t xml:space="preserve"> </w:t>
      </w:r>
      <w:r w:rsidRPr="00A01230">
        <w:rPr>
          <w:rFonts w:asciiTheme="majorHAnsi" w:hAnsiTheme="majorHAnsi" w:cs="Times New Roman"/>
          <w:color w:val="auto"/>
          <w:sz w:val="16"/>
          <w:szCs w:val="16"/>
          <w:bdr w:val="none" w:sz="0" w:space="0" w:color="auto"/>
          <w:lang w:val="es-US" w:eastAsia="en-US"/>
        </w:rPr>
        <w:t xml:space="preserve">Petición </w:t>
      </w:r>
      <w:r w:rsidR="00396A13" w:rsidRPr="00A01230">
        <w:rPr>
          <w:rFonts w:asciiTheme="majorHAnsi" w:hAnsiTheme="majorHAnsi" w:cs="Times New Roman"/>
          <w:color w:val="auto"/>
          <w:sz w:val="16"/>
          <w:szCs w:val="16"/>
          <w:bdr w:val="none" w:sz="0" w:space="0" w:color="auto"/>
          <w:lang w:val="es-US" w:eastAsia="en-US"/>
        </w:rPr>
        <w:t xml:space="preserve">inicial de </w:t>
      </w:r>
      <w:r w:rsidRPr="00A01230">
        <w:rPr>
          <w:rFonts w:asciiTheme="majorHAnsi" w:hAnsiTheme="majorHAnsi" w:cs="Times New Roman"/>
          <w:color w:val="auto"/>
          <w:sz w:val="16"/>
          <w:szCs w:val="16"/>
          <w:bdr w:val="none" w:sz="0" w:space="0" w:color="auto"/>
          <w:lang w:val="es-US" w:eastAsia="en-US"/>
        </w:rPr>
        <w:t>23 de diciembre de 1998.</w:t>
      </w:r>
    </w:p>
  </w:footnote>
  <w:footnote w:id="4">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396A1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396A13" w:rsidRPr="00A01230">
        <w:rPr>
          <w:rFonts w:asciiTheme="majorHAnsi" w:hAnsiTheme="majorHAnsi"/>
          <w:sz w:val="16"/>
          <w:szCs w:val="16"/>
          <w:lang w:val="es-MX"/>
        </w:rPr>
        <w:t>. E</w:t>
      </w:r>
      <w:r w:rsidRPr="00A01230">
        <w:rPr>
          <w:rFonts w:asciiTheme="majorHAnsi" w:hAnsiTheme="majorHAnsi"/>
          <w:sz w:val="16"/>
          <w:szCs w:val="16"/>
          <w:lang w:val="es-MX"/>
        </w:rPr>
        <w:t>xpediente Judicial. Acta de Inspección Ocular en Vehículo de 18 de abril de 1996, p. 12.</w:t>
      </w:r>
    </w:p>
  </w:footnote>
  <w:footnote w:id="5">
    <w:p w:rsidR="00615A5B" w:rsidRPr="00A01230" w:rsidRDefault="00615A5B" w:rsidP="004912A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396A1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396A1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Declaración Germán Pineda Dávila, p. 109.</w:t>
      </w:r>
    </w:p>
  </w:footnote>
  <w:footnote w:id="6">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396A1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396A1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w:t>
      </w:r>
      <w:r w:rsidR="00396A13" w:rsidRPr="00A01230">
        <w:rPr>
          <w:rFonts w:asciiTheme="majorHAnsi" w:hAnsiTheme="majorHAnsi"/>
          <w:sz w:val="16"/>
          <w:szCs w:val="16"/>
          <w:lang w:val="es-MX"/>
        </w:rPr>
        <w:t xml:space="preserve">Declaración Germán Pineda Dávila, </w:t>
      </w:r>
      <w:r w:rsidRPr="00A01230">
        <w:rPr>
          <w:rFonts w:asciiTheme="majorHAnsi" w:hAnsiTheme="majorHAnsi"/>
          <w:sz w:val="16"/>
          <w:szCs w:val="16"/>
          <w:lang w:val="es-MX"/>
        </w:rPr>
        <w:t>p. 109.</w:t>
      </w:r>
    </w:p>
  </w:footnote>
  <w:footnote w:id="7">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00396A13"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396A13"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Declaración Isaac Real Reyes, p. 120</w:t>
      </w:r>
    </w:p>
  </w:footnote>
  <w:footnote w:id="8">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396A1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0B4AF5"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Declaración Fernando Antonio </w:t>
      </w:r>
      <w:proofErr w:type="spellStart"/>
      <w:r w:rsidRPr="00A01230">
        <w:rPr>
          <w:rFonts w:asciiTheme="majorHAnsi" w:hAnsiTheme="majorHAnsi"/>
          <w:sz w:val="16"/>
          <w:szCs w:val="16"/>
          <w:lang w:val="es-MX"/>
        </w:rPr>
        <w:t>Carcache</w:t>
      </w:r>
      <w:proofErr w:type="spellEnd"/>
      <w:r w:rsidRPr="00A01230">
        <w:rPr>
          <w:rFonts w:asciiTheme="majorHAnsi" w:hAnsiTheme="majorHAnsi"/>
          <w:sz w:val="16"/>
          <w:szCs w:val="16"/>
          <w:lang w:val="es-MX"/>
        </w:rPr>
        <w:t xml:space="preserve"> Pineda, p. 114.</w:t>
      </w:r>
    </w:p>
  </w:footnote>
  <w:footnote w:id="9">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0B4AF5"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0B4AF5"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 Expediente Judicial. Declaración Francisco Simón Ordoñez Nájera, p. 175.</w:t>
      </w:r>
    </w:p>
  </w:footnote>
  <w:footnote w:id="10">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B109E3">
        <w:rPr>
          <w:rFonts w:asciiTheme="majorHAnsi" w:hAnsiTheme="majorHAnsi"/>
          <w:sz w:val="16"/>
          <w:szCs w:val="16"/>
          <w:lang w:val="es-MX"/>
        </w:rPr>
        <w:t xml:space="preserve"> </w:t>
      </w:r>
      <w:r w:rsidR="000B4AF5" w:rsidRPr="00B109E3">
        <w:rPr>
          <w:rFonts w:asciiTheme="majorHAnsi" w:hAnsiTheme="majorHAnsi"/>
          <w:sz w:val="16"/>
          <w:szCs w:val="16"/>
          <w:lang w:val="es-MX"/>
        </w:rPr>
        <w:t xml:space="preserve">Anexo </w:t>
      </w:r>
      <w:r w:rsidR="00673602" w:rsidRPr="00B109E3">
        <w:rPr>
          <w:rFonts w:asciiTheme="majorHAnsi" w:hAnsiTheme="majorHAnsi"/>
          <w:sz w:val="16"/>
          <w:szCs w:val="16"/>
          <w:lang w:val="es-MX"/>
        </w:rPr>
        <w:t>1</w:t>
      </w:r>
      <w:r w:rsidR="000B4AF5" w:rsidRPr="00B109E3">
        <w:rPr>
          <w:rFonts w:asciiTheme="majorHAnsi" w:hAnsiTheme="majorHAnsi"/>
          <w:sz w:val="16"/>
          <w:szCs w:val="16"/>
          <w:lang w:val="es-MX"/>
        </w:rPr>
        <w:t xml:space="preserve">. </w:t>
      </w:r>
      <w:r w:rsidRPr="00B109E3">
        <w:rPr>
          <w:rFonts w:asciiTheme="majorHAnsi" w:hAnsiTheme="majorHAnsi"/>
          <w:sz w:val="16"/>
          <w:szCs w:val="16"/>
          <w:lang w:val="es-MX"/>
        </w:rPr>
        <w:t xml:space="preserve">Expediente Judicial. </w:t>
      </w:r>
      <w:r w:rsidRPr="00A01230">
        <w:rPr>
          <w:rFonts w:asciiTheme="majorHAnsi" w:hAnsiTheme="majorHAnsi"/>
          <w:sz w:val="16"/>
          <w:szCs w:val="16"/>
          <w:lang w:val="es-MX"/>
        </w:rPr>
        <w:t>Declaración Ricardo Javier Salgado Ojeda, p. 173.</w:t>
      </w:r>
    </w:p>
  </w:footnote>
  <w:footnote w:id="11">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000B4AF5" w:rsidRPr="00B109E3">
        <w:rPr>
          <w:rFonts w:asciiTheme="majorHAnsi" w:hAnsiTheme="majorHAnsi"/>
          <w:sz w:val="16"/>
          <w:szCs w:val="16"/>
          <w:lang w:val="es-MX"/>
        </w:rPr>
        <w:t xml:space="preserve"> Anexo </w:t>
      </w:r>
      <w:r w:rsidR="00673602" w:rsidRPr="00B109E3">
        <w:rPr>
          <w:rFonts w:asciiTheme="majorHAnsi" w:hAnsiTheme="majorHAnsi"/>
          <w:sz w:val="16"/>
          <w:szCs w:val="16"/>
          <w:lang w:val="es-MX"/>
        </w:rPr>
        <w:t>1</w:t>
      </w:r>
      <w:r w:rsidR="000B4AF5" w:rsidRPr="00B109E3">
        <w:rPr>
          <w:rFonts w:asciiTheme="majorHAnsi" w:hAnsiTheme="majorHAnsi"/>
          <w:sz w:val="16"/>
          <w:szCs w:val="16"/>
          <w:lang w:val="es-MX"/>
        </w:rPr>
        <w:t>.</w:t>
      </w:r>
      <w:r w:rsidRPr="00B109E3">
        <w:rPr>
          <w:rFonts w:asciiTheme="majorHAnsi" w:hAnsiTheme="majorHAnsi"/>
          <w:sz w:val="16"/>
          <w:szCs w:val="16"/>
          <w:lang w:val="es-MX"/>
        </w:rPr>
        <w:t xml:space="preserve"> Expediente Judicial. </w:t>
      </w:r>
      <w:r w:rsidRPr="00A01230">
        <w:rPr>
          <w:rFonts w:asciiTheme="majorHAnsi" w:hAnsiTheme="majorHAnsi"/>
          <w:sz w:val="16"/>
          <w:szCs w:val="16"/>
          <w:lang w:val="es-MX"/>
        </w:rPr>
        <w:t xml:space="preserve">Declaración Silvio Antonio Vanegas </w:t>
      </w:r>
      <w:proofErr w:type="spellStart"/>
      <w:r w:rsidRPr="00A01230">
        <w:rPr>
          <w:rFonts w:asciiTheme="majorHAnsi" w:hAnsiTheme="majorHAnsi"/>
          <w:sz w:val="16"/>
          <w:szCs w:val="16"/>
          <w:lang w:val="es-MX"/>
        </w:rPr>
        <w:t>Blandon</w:t>
      </w:r>
      <w:proofErr w:type="spellEnd"/>
      <w:r w:rsidRPr="00A01230">
        <w:rPr>
          <w:rFonts w:asciiTheme="majorHAnsi" w:hAnsiTheme="majorHAnsi"/>
          <w:sz w:val="16"/>
          <w:szCs w:val="16"/>
          <w:lang w:val="es-MX"/>
        </w:rPr>
        <w:t>, p. 171.</w:t>
      </w:r>
    </w:p>
  </w:footnote>
  <w:footnote w:id="12">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0B4AF5"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0B4AF5"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Declaración José Marcelino Ramírez Vargas, p. 179.</w:t>
      </w:r>
    </w:p>
  </w:footnote>
  <w:footnote w:id="13">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0B4AF5"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0B4AF5"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Declaración José Marcelino Ramírez Vargas, p. 179.</w:t>
      </w:r>
    </w:p>
  </w:footnote>
  <w:footnote w:id="14">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0B4AF5"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Informe de Inspección Criminal sobre el Caso de Homicidio seguido de lesiones graves y abuso de autoridad, 14 de abril de 1996, p. 207.</w:t>
      </w:r>
    </w:p>
  </w:footnote>
  <w:footnote w:id="15">
    <w:p w:rsidR="00615A5B" w:rsidRPr="00A01230" w:rsidRDefault="00615A5B">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4341E4"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4341E4"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Acta de Inspección Ocular en Vehículo, 18 de abril de 1996, p. 12.</w:t>
      </w:r>
    </w:p>
  </w:footnote>
  <w:footnote w:id="16">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4341E4"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Expediente Judicial. Declaraciones de: Segundo Juan Izquierdo, Marcos Vicente </w:t>
      </w:r>
      <w:proofErr w:type="spellStart"/>
      <w:r w:rsidRPr="00A01230">
        <w:rPr>
          <w:rFonts w:asciiTheme="majorHAnsi" w:hAnsiTheme="majorHAnsi"/>
          <w:sz w:val="16"/>
          <w:szCs w:val="16"/>
          <w:lang w:val="es-MX"/>
        </w:rPr>
        <w:t>Querevalú</w:t>
      </w:r>
      <w:proofErr w:type="spellEnd"/>
      <w:r w:rsidRPr="00A01230">
        <w:rPr>
          <w:rFonts w:asciiTheme="majorHAnsi" w:hAnsiTheme="majorHAnsi"/>
          <w:sz w:val="16"/>
          <w:szCs w:val="16"/>
          <w:lang w:val="es-MX"/>
        </w:rPr>
        <w:t xml:space="preserve"> Samaniego, Edith Dora Samaniego, Clarisa Samaniego Soria, Germán Teodoro Campos, Luis Mario </w:t>
      </w:r>
      <w:proofErr w:type="spellStart"/>
      <w:r w:rsidRPr="00A01230">
        <w:rPr>
          <w:rFonts w:asciiTheme="majorHAnsi" w:hAnsiTheme="majorHAnsi"/>
          <w:sz w:val="16"/>
          <w:szCs w:val="16"/>
          <w:lang w:val="es-MX"/>
        </w:rPr>
        <w:t>Tenecela</w:t>
      </w:r>
      <w:proofErr w:type="spellEnd"/>
      <w:r w:rsidRPr="00A01230">
        <w:rPr>
          <w:rFonts w:asciiTheme="majorHAnsi" w:hAnsiTheme="majorHAnsi"/>
          <w:sz w:val="16"/>
          <w:szCs w:val="16"/>
          <w:lang w:val="es-MX"/>
        </w:rPr>
        <w:t xml:space="preserve"> Naranjo, Edgar Raúl Arévalo </w:t>
      </w:r>
      <w:proofErr w:type="spellStart"/>
      <w:r w:rsidRPr="00A01230">
        <w:rPr>
          <w:rFonts w:asciiTheme="majorHAnsi" w:hAnsiTheme="majorHAnsi"/>
          <w:sz w:val="16"/>
          <w:szCs w:val="16"/>
          <w:lang w:val="es-MX"/>
        </w:rPr>
        <w:t>Tenecela</w:t>
      </w:r>
      <w:proofErr w:type="spellEnd"/>
      <w:r w:rsidRPr="00A01230">
        <w:rPr>
          <w:rFonts w:asciiTheme="majorHAnsi" w:hAnsiTheme="majorHAnsi"/>
          <w:sz w:val="16"/>
          <w:szCs w:val="16"/>
          <w:lang w:val="es-MX"/>
        </w:rPr>
        <w:t xml:space="preserve">, Nelly Quinto Flores, Mónica Isabel Yunga Quito, Julio Medrano Peralta Rodríguez, Roberto </w:t>
      </w:r>
      <w:proofErr w:type="spellStart"/>
      <w:r w:rsidRPr="00A01230">
        <w:rPr>
          <w:rFonts w:asciiTheme="majorHAnsi" w:hAnsiTheme="majorHAnsi"/>
          <w:sz w:val="16"/>
          <w:szCs w:val="16"/>
          <w:lang w:val="es-MX"/>
        </w:rPr>
        <w:t>Huaman</w:t>
      </w:r>
      <w:proofErr w:type="spellEnd"/>
      <w:r w:rsidRPr="00A01230">
        <w:rPr>
          <w:rFonts w:asciiTheme="majorHAnsi" w:hAnsiTheme="majorHAnsi"/>
          <w:sz w:val="16"/>
          <w:szCs w:val="16"/>
          <w:lang w:val="es-MX"/>
        </w:rPr>
        <w:t xml:space="preserve"> Poma, Edison Fernando Camacho </w:t>
      </w:r>
      <w:proofErr w:type="spellStart"/>
      <w:r w:rsidRPr="00A01230">
        <w:rPr>
          <w:rFonts w:asciiTheme="majorHAnsi" w:hAnsiTheme="majorHAnsi"/>
          <w:sz w:val="16"/>
          <w:szCs w:val="16"/>
          <w:lang w:val="es-MX"/>
        </w:rPr>
        <w:t>Pantonsín</w:t>
      </w:r>
      <w:proofErr w:type="spellEnd"/>
      <w:r w:rsidRPr="00A01230">
        <w:rPr>
          <w:rFonts w:asciiTheme="majorHAnsi" w:hAnsiTheme="majorHAnsi"/>
          <w:sz w:val="16"/>
          <w:szCs w:val="16"/>
          <w:lang w:val="es-MX"/>
        </w:rPr>
        <w:t xml:space="preserve">, Carlos Ángel Gutiérrez, Luis Alberto Palacio Donaire, María Cecilia Chimbo Ayala, Liliana Palomino Mendoza, Tito Cuero </w:t>
      </w:r>
      <w:proofErr w:type="spellStart"/>
      <w:r w:rsidRPr="00A01230">
        <w:rPr>
          <w:rFonts w:asciiTheme="majorHAnsi" w:hAnsiTheme="majorHAnsi"/>
          <w:sz w:val="16"/>
          <w:szCs w:val="16"/>
          <w:lang w:val="es-MX"/>
        </w:rPr>
        <w:t>Pertocarrero</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Miluzca</w:t>
      </w:r>
      <w:proofErr w:type="spellEnd"/>
      <w:r w:rsidRPr="00A01230">
        <w:rPr>
          <w:rFonts w:asciiTheme="majorHAnsi" w:hAnsiTheme="majorHAnsi"/>
          <w:sz w:val="16"/>
          <w:szCs w:val="16"/>
          <w:lang w:val="es-MX"/>
        </w:rPr>
        <w:t xml:space="preserve"> Pamela Chávez Parreño, Adolfo Castillo Sarmiento, Ana Lucía Villa Cuesta, Ángel María </w:t>
      </w:r>
      <w:proofErr w:type="spellStart"/>
      <w:r w:rsidRPr="00A01230">
        <w:rPr>
          <w:rFonts w:asciiTheme="majorHAnsi" w:hAnsiTheme="majorHAnsi"/>
          <w:sz w:val="16"/>
          <w:szCs w:val="16"/>
          <w:lang w:val="es-MX"/>
        </w:rPr>
        <w:t>Yupamgui</w:t>
      </w:r>
      <w:proofErr w:type="spellEnd"/>
      <w:r w:rsidRPr="00A01230">
        <w:rPr>
          <w:rFonts w:asciiTheme="majorHAnsi" w:hAnsiTheme="majorHAnsi"/>
          <w:sz w:val="16"/>
          <w:szCs w:val="16"/>
          <w:lang w:val="es-MX"/>
        </w:rPr>
        <w:t xml:space="preserve">, Daniel Henry </w:t>
      </w:r>
      <w:proofErr w:type="spellStart"/>
      <w:r w:rsidRPr="00A01230">
        <w:rPr>
          <w:rFonts w:asciiTheme="majorHAnsi" w:hAnsiTheme="majorHAnsi"/>
          <w:sz w:val="16"/>
          <w:szCs w:val="16"/>
          <w:lang w:val="es-MX"/>
        </w:rPr>
        <w:t>Samame</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Alquisal</w:t>
      </w:r>
      <w:proofErr w:type="spellEnd"/>
      <w:r w:rsidRPr="00A01230">
        <w:rPr>
          <w:rFonts w:asciiTheme="majorHAnsi" w:hAnsiTheme="majorHAnsi"/>
          <w:sz w:val="16"/>
          <w:szCs w:val="16"/>
          <w:lang w:val="es-MX"/>
        </w:rPr>
        <w:t xml:space="preserve">, José Valdez Ayala, María Rosa </w:t>
      </w:r>
      <w:proofErr w:type="spellStart"/>
      <w:r w:rsidRPr="00A01230">
        <w:rPr>
          <w:rFonts w:asciiTheme="majorHAnsi" w:hAnsiTheme="majorHAnsi"/>
          <w:sz w:val="16"/>
          <w:szCs w:val="16"/>
          <w:lang w:val="es-MX"/>
        </w:rPr>
        <w:t>Junga</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Guaman</w:t>
      </w:r>
      <w:proofErr w:type="spellEnd"/>
      <w:r w:rsidRPr="00A01230">
        <w:rPr>
          <w:rFonts w:asciiTheme="majorHAnsi" w:hAnsiTheme="majorHAnsi"/>
          <w:sz w:val="16"/>
          <w:szCs w:val="16"/>
          <w:lang w:val="es-MX"/>
        </w:rPr>
        <w:t xml:space="preserve">, Pio de </w:t>
      </w:r>
      <w:proofErr w:type="spellStart"/>
      <w:r w:rsidRPr="00A01230">
        <w:rPr>
          <w:rFonts w:asciiTheme="majorHAnsi" w:hAnsiTheme="majorHAnsi"/>
          <w:sz w:val="16"/>
          <w:szCs w:val="16"/>
          <w:lang w:val="es-MX"/>
        </w:rPr>
        <w:t>Usúa</w:t>
      </w:r>
      <w:proofErr w:type="spellEnd"/>
      <w:r w:rsidRPr="00A01230">
        <w:rPr>
          <w:rFonts w:asciiTheme="majorHAnsi" w:hAnsiTheme="majorHAnsi"/>
          <w:sz w:val="16"/>
          <w:szCs w:val="16"/>
          <w:lang w:val="es-MX"/>
        </w:rPr>
        <w:t xml:space="preserve"> Mendoza Sarmiento, Rosario Cajamarca </w:t>
      </w:r>
      <w:proofErr w:type="spellStart"/>
      <w:r w:rsidRPr="00A01230">
        <w:rPr>
          <w:rFonts w:asciiTheme="majorHAnsi" w:hAnsiTheme="majorHAnsi"/>
          <w:sz w:val="16"/>
          <w:szCs w:val="16"/>
          <w:lang w:val="es-MX"/>
        </w:rPr>
        <w:t>Ruviola</w:t>
      </w:r>
      <w:proofErr w:type="spellEnd"/>
      <w:r w:rsidRPr="00A01230">
        <w:rPr>
          <w:rFonts w:asciiTheme="majorHAnsi" w:hAnsiTheme="majorHAnsi"/>
          <w:sz w:val="16"/>
          <w:szCs w:val="16"/>
          <w:lang w:val="es-MX"/>
        </w:rPr>
        <w:t xml:space="preserve">, Ángel </w:t>
      </w:r>
      <w:proofErr w:type="spellStart"/>
      <w:r w:rsidRPr="00A01230">
        <w:rPr>
          <w:rFonts w:asciiTheme="majorHAnsi" w:hAnsiTheme="majorHAnsi"/>
          <w:sz w:val="16"/>
          <w:szCs w:val="16"/>
          <w:lang w:val="es-MX"/>
        </w:rPr>
        <w:t>Bolivar</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Tenempaguay</w:t>
      </w:r>
      <w:proofErr w:type="spellEnd"/>
      <w:r w:rsidRPr="00A01230">
        <w:rPr>
          <w:rFonts w:asciiTheme="majorHAnsi" w:hAnsiTheme="majorHAnsi"/>
          <w:sz w:val="16"/>
          <w:szCs w:val="16"/>
          <w:lang w:val="es-MX"/>
        </w:rPr>
        <w:t xml:space="preserve">, Maribel Quispe </w:t>
      </w:r>
      <w:proofErr w:type="spellStart"/>
      <w:r w:rsidRPr="00A01230">
        <w:rPr>
          <w:rFonts w:asciiTheme="majorHAnsi" w:hAnsiTheme="majorHAnsi"/>
          <w:sz w:val="16"/>
          <w:szCs w:val="16"/>
          <w:lang w:val="es-MX"/>
        </w:rPr>
        <w:t>Pomahuacra</w:t>
      </w:r>
      <w:proofErr w:type="spellEnd"/>
      <w:r w:rsidRPr="00A01230">
        <w:rPr>
          <w:rFonts w:asciiTheme="majorHAnsi" w:hAnsiTheme="majorHAnsi"/>
          <w:sz w:val="16"/>
          <w:szCs w:val="16"/>
          <w:lang w:val="es-MX"/>
        </w:rPr>
        <w:t xml:space="preserve">, Rómulo Eulogio Gutiérrez </w:t>
      </w:r>
      <w:proofErr w:type="spellStart"/>
      <w:r w:rsidRPr="00A01230">
        <w:rPr>
          <w:rFonts w:asciiTheme="majorHAnsi" w:hAnsiTheme="majorHAnsi"/>
          <w:sz w:val="16"/>
          <w:szCs w:val="16"/>
          <w:lang w:val="es-MX"/>
        </w:rPr>
        <w:t>Pezante</w:t>
      </w:r>
      <w:proofErr w:type="spellEnd"/>
      <w:r w:rsidRPr="00A01230">
        <w:rPr>
          <w:rFonts w:asciiTheme="majorHAnsi" w:hAnsiTheme="majorHAnsi"/>
          <w:sz w:val="16"/>
          <w:szCs w:val="16"/>
          <w:lang w:val="es-MX"/>
        </w:rPr>
        <w:t xml:space="preserve">, Marcelo Cajamarca, Nora </w:t>
      </w:r>
      <w:proofErr w:type="spellStart"/>
      <w:r w:rsidRPr="00A01230">
        <w:rPr>
          <w:rFonts w:asciiTheme="majorHAnsi" w:hAnsiTheme="majorHAnsi"/>
          <w:sz w:val="16"/>
          <w:szCs w:val="16"/>
          <w:lang w:val="es-MX"/>
        </w:rPr>
        <w:t>Doza</w:t>
      </w:r>
      <w:proofErr w:type="spellEnd"/>
      <w:r w:rsidRPr="00A01230">
        <w:rPr>
          <w:rFonts w:asciiTheme="majorHAnsi" w:hAnsiTheme="majorHAnsi"/>
          <w:sz w:val="16"/>
          <w:szCs w:val="16"/>
          <w:lang w:val="es-MX"/>
        </w:rPr>
        <w:t xml:space="preserve"> Samaniego,   p. 12 a 81.</w:t>
      </w:r>
    </w:p>
  </w:footnote>
  <w:footnote w:id="17">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4341E4"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4341E4"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Declaraciones de: Segundo Juan Izquierdo, Marcos Vicente </w:t>
      </w:r>
      <w:proofErr w:type="spellStart"/>
      <w:r w:rsidRPr="00A01230">
        <w:rPr>
          <w:rFonts w:asciiTheme="majorHAnsi" w:hAnsiTheme="majorHAnsi"/>
          <w:sz w:val="16"/>
          <w:szCs w:val="16"/>
          <w:lang w:val="es-MX"/>
        </w:rPr>
        <w:t>Querevalú</w:t>
      </w:r>
      <w:proofErr w:type="spellEnd"/>
      <w:r w:rsidRPr="00A01230">
        <w:rPr>
          <w:rFonts w:asciiTheme="majorHAnsi" w:hAnsiTheme="majorHAnsi"/>
          <w:sz w:val="16"/>
          <w:szCs w:val="16"/>
          <w:lang w:val="es-MX"/>
        </w:rPr>
        <w:t xml:space="preserve"> Samaniego, Edith Dora Samaniego, Clarisa Samaniego Soria, Germán Teodoro Campos, Luis Mario </w:t>
      </w:r>
      <w:proofErr w:type="spellStart"/>
      <w:r w:rsidRPr="00A01230">
        <w:rPr>
          <w:rFonts w:asciiTheme="majorHAnsi" w:hAnsiTheme="majorHAnsi"/>
          <w:sz w:val="16"/>
          <w:szCs w:val="16"/>
          <w:lang w:val="es-MX"/>
        </w:rPr>
        <w:t>Tenecela</w:t>
      </w:r>
      <w:proofErr w:type="spellEnd"/>
      <w:r w:rsidRPr="00A01230">
        <w:rPr>
          <w:rFonts w:asciiTheme="majorHAnsi" w:hAnsiTheme="majorHAnsi"/>
          <w:sz w:val="16"/>
          <w:szCs w:val="16"/>
          <w:lang w:val="es-MX"/>
        </w:rPr>
        <w:t xml:space="preserve"> Naranjo, Edgar Raúl Arévalo </w:t>
      </w:r>
      <w:proofErr w:type="spellStart"/>
      <w:r w:rsidRPr="00A01230">
        <w:rPr>
          <w:rFonts w:asciiTheme="majorHAnsi" w:hAnsiTheme="majorHAnsi"/>
          <w:sz w:val="16"/>
          <w:szCs w:val="16"/>
          <w:lang w:val="es-MX"/>
        </w:rPr>
        <w:t>Tenecela</w:t>
      </w:r>
      <w:proofErr w:type="spellEnd"/>
      <w:r w:rsidRPr="00A01230">
        <w:rPr>
          <w:rFonts w:asciiTheme="majorHAnsi" w:hAnsiTheme="majorHAnsi"/>
          <w:sz w:val="16"/>
          <w:szCs w:val="16"/>
          <w:lang w:val="es-MX"/>
        </w:rPr>
        <w:t xml:space="preserve">, Nelly Quinto Flores, Mónica Isabel Yunga Quito, Julio Medrano Peralta Rodríguez, Roberto </w:t>
      </w:r>
      <w:proofErr w:type="spellStart"/>
      <w:r w:rsidRPr="00A01230">
        <w:rPr>
          <w:rFonts w:asciiTheme="majorHAnsi" w:hAnsiTheme="majorHAnsi"/>
          <w:sz w:val="16"/>
          <w:szCs w:val="16"/>
          <w:lang w:val="es-MX"/>
        </w:rPr>
        <w:t>Huaman</w:t>
      </w:r>
      <w:proofErr w:type="spellEnd"/>
      <w:r w:rsidRPr="00A01230">
        <w:rPr>
          <w:rFonts w:asciiTheme="majorHAnsi" w:hAnsiTheme="majorHAnsi"/>
          <w:sz w:val="16"/>
          <w:szCs w:val="16"/>
          <w:lang w:val="es-MX"/>
        </w:rPr>
        <w:t xml:space="preserve"> Poma, Edison Fernando Camacho </w:t>
      </w:r>
      <w:proofErr w:type="spellStart"/>
      <w:r w:rsidRPr="00A01230">
        <w:rPr>
          <w:rFonts w:asciiTheme="majorHAnsi" w:hAnsiTheme="majorHAnsi"/>
          <w:sz w:val="16"/>
          <w:szCs w:val="16"/>
          <w:lang w:val="es-MX"/>
        </w:rPr>
        <w:t>Pantonsín</w:t>
      </w:r>
      <w:proofErr w:type="spellEnd"/>
      <w:r w:rsidRPr="00A01230">
        <w:rPr>
          <w:rFonts w:asciiTheme="majorHAnsi" w:hAnsiTheme="majorHAnsi"/>
          <w:sz w:val="16"/>
          <w:szCs w:val="16"/>
          <w:lang w:val="es-MX"/>
        </w:rPr>
        <w:t xml:space="preserve">, Carlos Ángel Gutiérrez, Luis Alberto Palacio Donaire, María Cecilia Chimbo Ayala, Liliana Palomino Mendoza, Tito Cuero </w:t>
      </w:r>
      <w:proofErr w:type="spellStart"/>
      <w:r w:rsidRPr="00A01230">
        <w:rPr>
          <w:rFonts w:asciiTheme="majorHAnsi" w:hAnsiTheme="majorHAnsi"/>
          <w:sz w:val="16"/>
          <w:szCs w:val="16"/>
          <w:lang w:val="es-MX"/>
        </w:rPr>
        <w:t>Pertocarrero</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Miluzca</w:t>
      </w:r>
      <w:proofErr w:type="spellEnd"/>
      <w:r w:rsidRPr="00A01230">
        <w:rPr>
          <w:rFonts w:asciiTheme="majorHAnsi" w:hAnsiTheme="majorHAnsi"/>
          <w:sz w:val="16"/>
          <w:szCs w:val="16"/>
          <w:lang w:val="es-MX"/>
        </w:rPr>
        <w:t xml:space="preserve"> Pamela Chávez Parreño, Adolfo Castillo Sarmiento, Ana Lucía Villa Cuesta, Ángel María </w:t>
      </w:r>
      <w:proofErr w:type="spellStart"/>
      <w:r w:rsidRPr="00A01230">
        <w:rPr>
          <w:rFonts w:asciiTheme="majorHAnsi" w:hAnsiTheme="majorHAnsi"/>
          <w:sz w:val="16"/>
          <w:szCs w:val="16"/>
          <w:lang w:val="es-MX"/>
        </w:rPr>
        <w:t>Yupamgui</w:t>
      </w:r>
      <w:proofErr w:type="spellEnd"/>
      <w:r w:rsidRPr="00A01230">
        <w:rPr>
          <w:rFonts w:asciiTheme="majorHAnsi" w:hAnsiTheme="majorHAnsi"/>
          <w:sz w:val="16"/>
          <w:szCs w:val="16"/>
          <w:lang w:val="es-MX"/>
        </w:rPr>
        <w:t xml:space="preserve">, Daniel Henry </w:t>
      </w:r>
      <w:proofErr w:type="spellStart"/>
      <w:r w:rsidRPr="00A01230">
        <w:rPr>
          <w:rFonts w:asciiTheme="majorHAnsi" w:hAnsiTheme="majorHAnsi"/>
          <w:sz w:val="16"/>
          <w:szCs w:val="16"/>
          <w:lang w:val="es-MX"/>
        </w:rPr>
        <w:t>Samame</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Alquisal</w:t>
      </w:r>
      <w:proofErr w:type="spellEnd"/>
      <w:r w:rsidRPr="00A01230">
        <w:rPr>
          <w:rFonts w:asciiTheme="majorHAnsi" w:hAnsiTheme="majorHAnsi"/>
          <w:sz w:val="16"/>
          <w:szCs w:val="16"/>
          <w:lang w:val="es-MX"/>
        </w:rPr>
        <w:t xml:space="preserve">, José Valdez Ayala, María Rosa </w:t>
      </w:r>
      <w:proofErr w:type="spellStart"/>
      <w:r w:rsidRPr="00A01230">
        <w:rPr>
          <w:rFonts w:asciiTheme="majorHAnsi" w:hAnsiTheme="majorHAnsi"/>
          <w:sz w:val="16"/>
          <w:szCs w:val="16"/>
          <w:lang w:val="es-MX"/>
        </w:rPr>
        <w:t>Junga</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Guaman</w:t>
      </w:r>
      <w:proofErr w:type="spellEnd"/>
      <w:r w:rsidRPr="00A01230">
        <w:rPr>
          <w:rFonts w:asciiTheme="majorHAnsi" w:hAnsiTheme="majorHAnsi"/>
          <w:sz w:val="16"/>
          <w:szCs w:val="16"/>
          <w:lang w:val="es-MX"/>
        </w:rPr>
        <w:t xml:space="preserve">, Pio de </w:t>
      </w:r>
      <w:proofErr w:type="spellStart"/>
      <w:r w:rsidRPr="00A01230">
        <w:rPr>
          <w:rFonts w:asciiTheme="majorHAnsi" w:hAnsiTheme="majorHAnsi"/>
          <w:sz w:val="16"/>
          <w:szCs w:val="16"/>
          <w:lang w:val="es-MX"/>
        </w:rPr>
        <w:t>Usúa</w:t>
      </w:r>
      <w:proofErr w:type="spellEnd"/>
      <w:r w:rsidRPr="00A01230">
        <w:rPr>
          <w:rFonts w:asciiTheme="majorHAnsi" w:hAnsiTheme="majorHAnsi"/>
          <w:sz w:val="16"/>
          <w:szCs w:val="16"/>
          <w:lang w:val="es-MX"/>
        </w:rPr>
        <w:t xml:space="preserve"> Mendoza Sarmiento, Rosario Cajamarca </w:t>
      </w:r>
      <w:proofErr w:type="spellStart"/>
      <w:r w:rsidRPr="00A01230">
        <w:rPr>
          <w:rFonts w:asciiTheme="majorHAnsi" w:hAnsiTheme="majorHAnsi"/>
          <w:sz w:val="16"/>
          <w:szCs w:val="16"/>
          <w:lang w:val="es-MX"/>
        </w:rPr>
        <w:t>Ruviola</w:t>
      </w:r>
      <w:proofErr w:type="spellEnd"/>
      <w:r w:rsidRPr="00A01230">
        <w:rPr>
          <w:rFonts w:asciiTheme="majorHAnsi" w:hAnsiTheme="majorHAnsi"/>
          <w:sz w:val="16"/>
          <w:szCs w:val="16"/>
          <w:lang w:val="es-MX"/>
        </w:rPr>
        <w:t xml:space="preserve">, Ángel </w:t>
      </w:r>
      <w:proofErr w:type="spellStart"/>
      <w:r w:rsidRPr="00A01230">
        <w:rPr>
          <w:rFonts w:asciiTheme="majorHAnsi" w:hAnsiTheme="majorHAnsi"/>
          <w:sz w:val="16"/>
          <w:szCs w:val="16"/>
          <w:lang w:val="es-MX"/>
        </w:rPr>
        <w:t>Bolivar</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Tenempaguay</w:t>
      </w:r>
      <w:proofErr w:type="spellEnd"/>
      <w:r w:rsidRPr="00A01230">
        <w:rPr>
          <w:rFonts w:asciiTheme="majorHAnsi" w:hAnsiTheme="majorHAnsi"/>
          <w:sz w:val="16"/>
          <w:szCs w:val="16"/>
          <w:lang w:val="es-MX"/>
        </w:rPr>
        <w:t xml:space="preserve">, Maribel Quispe </w:t>
      </w:r>
      <w:proofErr w:type="spellStart"/>
      <w:r w:rsidRPr="00A01230">
        <w:rPr>
          <w:rFonts w:asciiTheme="majorHAnsi" w:hAnsiTheme="majorHAnsi"/>
          <w:sz w:val="16"/>
          <w:szCs w:val="16"/>
          <w:lang w:val="es-MX"/>
        </w:rPr>
        <w:t>Pomahuacra</w:t>
      </w:r>
      <w:proofErr w:type="spellEnd"/>
      <w:r w:rsidRPr="00A01230">
        <w:rPr>
          <w:rFonts w:asciiTheme="majorHAnsi" w:hAnsiTheme="majorHAnsi"/>
          <w:sz w:val="16"/>
          <w:szCs w:val="16"/>
          <w:lang w:val="es-MX"/>
        </w:rPr>
        <w:t xml:space="preserve">, Rómulo Eulogio Gutiérrez </w:t>
      </w:r>
      <w:proofErr w:type="spellStart"/>
      <w:r w:rsidRPr="00A01230">
        <w:rPr>
          <w:rFonts w:asciiTheme="majorHAnsi" w:hAnsiTheme="majorHAnsi"/>
          <w:sz w:val="16"/>
          <w:szCs w:val="16"/>
          <w:lang w:val="es-MX"/>
        </w:rPr>
        <w:t>Pezante</w:t>
      </w:r>
      <w:proofErr w:type="spellEnd"/>
      <w:r w:rsidRPr="00A01230">
        <w:rPr>
          <w:rFonts w:asciiTheme="majorHAnsi" w:hAnsiTheme="majorHAnsi"/>
          <w:sz w:val="16"/>
          <w:szCs w:val="16"/>
          <w:lang w:val="es-MX"/>
        </w:rPr>
        <w:t xml:space="preserve">, Marcelo Cajamarca, Nora </w:t>
      </w:r>
      <w:proofErr w:type="spellStart"/>
      <w:r w:rsidRPr="00A01230">
        <w:rPr>
          <w:rFonts w:asciiTheme="majorHAnsi" w:hAnsiTheme="majorHAnsi"/>
          <w:sz w:val="16"/>
          <w:szCs w:val="16"/>
          <w:lang w:val="es-MX"/>
        </w:rPr>
        <w:t>Doza</w:t>
      </w:r>
      <w:proofErr w:type="spellEnd"/>
      <w:r w:rsidRPr="00A01230">
        <w:rPr>
          <w:rFonts w:asciiTheme="majorHAnsi" w:hAnsiTheme="majorHAnsi"/>
          <w:sz w:val="16"/>
          <w:szCs w:val="16"/>
          <w:lang w:val="es-MX"/>
        </w:rPr>
        <w:t xml:space="preserve"> Samaniego.</w:t>
      </w:r>
    </w:p>
  </w:footnote>
  <w:footnote w:id="18">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4341E4"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4341E4"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Dictamen Médico de Médico Forense de Chinandega, 26 de abril de 1996. </w:t>
      </w:r>
    </w:p>
  </w:footnote>
  <w:footnote w:id="19">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4341E4"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4341E4"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Procedimiento para Preparación y Preservación de cadáver, 27 de abril de 1996,  p. 551.</w:t>
      </w:r>
    </w:p>
  </w:footnote>
  <w:footnote w:id="20">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4341E4"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Expediente Judicial. Declaraciones Antonio Alejandro López Ríos, José Adrián Madrigal García, Ruperto Méndez </w:t>
      </w:r>
      <w:proofErr w:type="spellStart"/>
      <w:r w:rsidRPr="00A01230">
        <w:rPr>
          <w:rFonts w:asciiTheme="majorHAnsi" w:hAnsiTheme="majorHAnsi"/>
          <w:sz w:val="16"/>
          <w:szCs w:val="16"/>
          <w:lang w:val="es-MX"/>
        </w:rPr>
        <w:t>Méndez</w:t>
      </w:r>
      <w:proofErr w:type="spellEnd"/>
      <w:r w:rsidRPr="00A01230">
        <w:rPr>
          <w:rFonts w:asciiTheme="majorHAnsi" w:hAnsiTheme="majorHAnsi"/>
          <w:sz w:val="16"/>
          <w:szCs w:val="16"/>
          <w:lang w:val="es-MX"/>
        </w:rPr>
        <w:t>, Martina Alcira Reyes Rocha, Juan Reyes Cruz, Rigoberto Leonel Morales, p. 100 a 106</w:t>
      </w:r>
    </w:p>
  </w:footnote>
  <w:footnote w:id="21">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E4314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E4314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Dictamen Médico Patricio Roche Azaña, 27 de abril de 1996.</w:t>
      </w:r>
    </w:p>
  </w:footnote>
  <w:footnote w:id="22">
    <w:p w:rsidR="00615A5B" w:rsidRPr="00A01230" w:rsidRDefault="00615A5B">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00E43143" w:rsidRPr="00A01230">
        <w:rPr>
          <w:rFonts w:asciiTheme="majorHAnsi" w:hAnsiTheme="majorHAnsi"/>
          <w:sz w:val="16"/>
          <w:szCs w:val="16"/>
          <w:lang w:val="es-MX"/>
        </w:rPr>
        <w:t xml:space="preserve">Anexo </w:t>
      </w:r>
      <w:r w:rsidR="00673602">
        <w:rPr>
          <w:rFonts w:asciiTheme="majorHAnsi" w:hAnsiTheme="majorHAnsi"/>
          <w:sz w:val="16"/>
          <w:szCs w:val="16"/>
          <w:lang w:val="es-MX"/>
        </w:rPr>
        <w:t>1</w:t>
      </w:r>
      <w:r w:rsidR="00E4314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Dictámenes Médicos de Mari</w:t>
      </w:r>
      <w:r w:rsidR="00A630F5" w:rsidRPr="00A01230">
        <w:rPr>
          <w:rFonts w:asciiTheme="majorHAnsi" w:hAnsiTheme="majorHAnsi"/>
          <w:sz w:val="16"/>
          <w:szCs w:val="16"/>
          <w:lang w:val="es-MX"/>
        </w:rPr>
        <w:t xml:space="preserve">bel Quispe </w:t>
      </w:r>
      <w:proofErr w:type="spellStart"/>
      <w:r w:rsidR="00A630F5" w:rsidRPr="00A01230">
        <w:rPr>
          <w:rFonts w:asciiTheme="majorHAnsi" w:hAnsiTheme="majorHAnsi"/>
          <w:sz w:val="16"/>
          <w:szCs w:val="16"/>
          <w:lang w:val="es-MX"/>
        </w:rPr>
        <w:t>Pomaguanare</w:t>
      </w:r>
      <w:proofErr w:type="spellEnd"/>
      <w:r w:rsidR="00A630F5" w:rsidRPr="00A01230">
        <w:rPr>
          <w:rFonts w:asciiTheme="majorHAnsi" w:hAnsiTheme="majorHAnsi"/>
          <w:sz w:val="16"/>
          <w:szCs w:val="16"/>
          <w:lang w:val="es-MX"/>
        </w:rPr>
        <w:t xml:space="preserve"> y Nora </w:t>
      </w:r>
      <w:proofErr w:type="spellStart"/>
      <w:r w:rsidR="00A630F5" w:rsidRPr="00A01230">
        <w:rPr>
          <w:rFonts w:asciiTheme="majorHAnsi" w:hAnsiTheme="majorHAnsi"/>
          <w:sz w:val="16"/>
          <w:szCs w:val="16"/>
          <w:lang w:val="es-MX"/>
        </w:rPr>
        <w:t>Do</w:t>
      </w:r>
      <w:r w:rsidRPr="00A01230">
        <w:rPr>
          <w:rFonts w:asciiTheme="majorHAnsi" w:hAnsiTheme="majorHAnsi"/>
          <w:sz w:val="16"/>
          <w:szCs w:val="16"/>
          <w:lang w:val="es-MX"/>
        </w:rPr>
        <w:t>za</w:t>
      </w:r>
      <w:proofErr w:type="spellEnd"/>
      <w:r w:rsidRPr="00A01230">
        <w:rPr>
          <w:rFonts w:asciiTheme="majorHAnsi" w:hAnsiTheme="majorHAnsi"/>
          <w:sz w:val="16"/>
          <w:szCs w:val="16"/>
          <w:lang w:val="es-MX"/>
        </w:rPr>
        <w:t xml:space="preserve">, 17 de abril de 1996; así como de Adolfo Castillo Sarmiento y Marcelo Cajamarca </w:t>
      </w:r>
      <w:proofErr w:type="spellStart"/>
      <w:r w:rsidRPr="00A01230">
        <w:rPr>
          <w:rFonts w:asciiTheme="majorHAnsi" w:hAnsiTheme="majorHAnsi"/>
          <w:sz w:val="16"/>
          <w:szCs w:val="16"/>
          <w:lang w:val="es-MX"/>
        </w:rPr>
        <w:t>Ruviola</w:t>
      </w:r>
      <w:proofErr w:type="spellEnd"/>
      <w:r w:rsidRPr="00A01230">
        <w:rPr>
          <w:rFonts w:asciiTheme="majorHAnsi" w:hAnsiTheme="majorHAnsi"/>
          <w:sz w:val="16"/>
          <w:szCs w:val="16"/>
          <w:lang w:val="es-MX"/>
        </w:rPr>
        <w:t xml:space="preserve"> del 18 de abril de 1996. </w:t>
      </w:r>
    </w:p>
  </w:footnote>
  <w:footnote w:id="23">
    <w:p w:rsidR="00615A5B" w:rsidRPr="00A01230" w:rsidRDefault="00615A5B">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Observaciones del Estado de Nicaragua en la información aportada por el peticionario y remitida por la CIDH con fecha de 6 de diciembre de 2007.</w:t>
      </w:r>
    </w:p>
  </w:footnote>
  <w:footnote w:id="24">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E43143"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Denuncia del Procurador Auxiliar de Justicia Chinandega, 26 de abril de 1996, p. 534.</w:t>
      </w:r>
    </w:p>
  </w:footnote>
  <w:footnote w:id="25">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E43143"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Sentencia del Juzgado Primero de Distrito del Crimen. Chinandega, 6 de mayo de 1996, p. 625.</w:t>
      </w:r>
    </w:p>
  </w:footnote>
  <w:footnote w:id="26">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E4314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E4314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Sentencia del Tribunal de Apelaciones, 28 de agosto de 1996, p. 683.</w:t>
      </w:r>
    </w:p>
  </w:footnote>
  <w:footnote w:id="27">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E4314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E4314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Veredicto del Tribunal de Jurados, 24 de febrero de 1997, p. 759.</w:t>
      </w:r>
    </w:p>
  </w:footnote>
  <w:footnote w:id="28">
    <w:p w:rsidR="00615A5B" w:rsidRPr="00A01230" w:rsidRDefault="00615A5B" w:rsidP="00BF2D79">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00E43143" w:rsidRPr="00A01230">
        <w:rPr>
          <w:rFonts w:asciiTheme="majorHAnsi" w:hAnsiTheme="majorHAnsi"/>
          <w:sz w:val="16"/>
          <w:szCs w:val="16"/>
          <w:lang w:val="es-MX"/>
        </w:rPr>
        <w:t xml:space="preserve">Anexo </w:t>
      </w:r>
      <w:r w:rsidR="00673602">
        <w:rPr>
          <w:rFonts w:asciiTheme="majorHAnsi" w:hAnsiTheme="majorHAnsi"/>
          <w:sz w:val="16"/>
          <w:szCs w:val="16"/>
          <w:lang w:val="es-MX"/>
        </w:rPr>
        <w:t>1</w:t>
      </w:r>
      <w:r w:rsidR="00E43143"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Expediente Judicial.  Sentencia del Juzgado Primero de Distrito del Crimen de Chinandega, 27 de febrero de 1997, p. 765.  </w:t>
      </w:r>
    </w:p>
  </w:footnote>
  <w:footnote w:id="29">
    <w:p w:rsidR="00615A5B" w:rsidRPr="00A01230" w:rsidRDefault="00615A5B" w:rsidP="00FC4C1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Artículo 22 del Código de Instrucción Criminal. </w:t>
      </w:r>
    </w:p>
  </w:footnote>
  <w:footnote w:id="30">
    <w:p w:rsidR="00615A5B" w:rsidRPr="00A01230" w:rsidRDefault="00615A5B" w:rsidP="00FC4C1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E43143"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E43143"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Declaraciones de personas migrantes, p. 12 a 81.</w:t>
      </w:r>
    </w:p>
  </w:footnote>
  <w:footnote w:id="31">
    <w:p w:rsidR="00615A5B" w:rsidRPr="00A01230" w:rsidRDefault="00615A5B" w:rsidP="00FC4C1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F47417"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Expediente Judicial. Declaraciones de Antonio Alejandro López Ríos, José Adrián Madrigal García, Ruperto Méndez </w:t>
      </w:r>
      <w:proofErr w:type="spellStart"/>
      <w:r w:rsidRPr="00A01230">
        <w:rPr>
          <w:rFonts w:asciiTheme="majorHAnsi" w:hAnsiTheme="majorHAnsi"/>
          <w:sz w:val="16"/>
          <w:szCs w:val="16"/>
          <w:lang w:val="es-MX"/>
        </w:rPr>
        <w:t>Méndez</w:t>
      </w:r>
      <w:proofErr w:type="spellEnd"/>
      <w:r w:rsidRPr="00A01230">
        <w:rPr>
          <w:rFonts w:asciiTheme="majorHAnsi" w:hAnsiTheme="majorHAnsi"/>
          <w:sz w:val="16"/>
          <w:szCs w:val="16"/>
          <w:lang w:val="es-MX"/>
        </w:rPr>
        <w:t xml:space="preserve">, Rodolfo Guerrero Zeledón, Martina Alicia Reyes Rocha, Juan Reyes Cruz, Rigoberto Leonel Morales, Rosa </w:t>
      </w:r>
      <w:proofErr w:type="spellStart"/>
      <w:r w:rsidRPr="00A01230">
        <w:rPr>
          <w:rFonts w:asciiTheme="majorHAnsi" w:hAnsiTheme="majorHAnsi"/>
          <w:sz w:val="16"/>
          <w:szCs w:val="16"/>
          <w:lang w:val="es-MX"/>
        </w:rPr>
        <w:t>Izuguirre</w:t>
      </w:r>
      <w:proofErr w:type="spellEnd"/>
      <w:r w:rsidRPr="00A01230">
        <w:rPr>
          <w:rFonts w:asciiTheme="majorHAnsi" w:hAnsiTheme="majorHAnsi"/>
          <w:sz w:val="16"/>
          <w:szCs w:val="16"/>
          <w:lang w:val="es-MX"/>
        </w:rPr>
        <w:t>, p. 100 a 107.</w:t>
      </w:r>
    </w:p>
  </w:footnote>
  <w:footnote w:id="32">
    <w:p w:rsidR="00615A5B" w:rsidRPr="00A01230" w:rsidRDefault="00615A5B" w:rsidP="00615A5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F47417"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F47417"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Declaraciones de Germán Pineda Dávila, José Danilo Pérez </w:t>
      </w:r>
      <w:proofErr w:type="spellStart"/>
      <w:r w:rsidRPr="00A01230">
        <w:rPr>
          <w:rFonts w:asciiTheme="majorHAnsi" w:hAnsiTheme="majorHAnsi"/>
          <w:sz w:val="16"/>
          <w:szCs w:val="16"/>
          <w:lang w:val="es-MX"/>
        </w:rPr>
        <w:t>Chevez</w:t>
      </w:r>
      <w:proofErr w:type="spellEnd"/>
      <w:r w:rsidRPr="00A01230">
        <w:rPr>
          <w:rFonts w:asciiTheme="majorHAnsi" w:hAnsiTheme="majorHAnsi"/>
          <w:sz w:val="16"/>
          <w:szCs w:val="16"/>
          <w:lang w:val="es-MX"/>
        </w:rPr>
        <w:t xml:space="preserve">, Alberto José Vasquez Gómez, Fernando Antonio </w:t>
      </w:r>
      <w:proofErr w:type="spellStart"/>
      <w:r w:rsidRPr="00A01230">
        <w:rPr>
          <w:rFonts w:asciiTheme="majorHAnsi" w:hAnsiTheme="majorHAnsi"/>
          <w:sz w:val="16"/>
          <w:szCs w:val="16"/>
          <w:lang w:val="es-MX"/>
        </w:rPr>
        <w:t>Carcache</w:t>
      </w:r>
      <w:proofErr w:type="spellEnd"/>
      <w:r w:rsidRPr="00A01230">
        <w:rPr>
          <w:rFonts w:asciiTheme="majorHAnsi" w:hAnsiTheme="majorHAnsi"/>
          <w:sz w:val="16"/>
          <w:szCs w:val="16"/>
          <w:lang w:val="es-MX"/>
        </w:rPr>
        <w:t xml:space="preserve"> Pineda, Carlos Alberto Aguirre Larios, Isaac </w:t>
      </w:r>
      <w:proofErr w:type="spellStart"/>
      <w:r w:rsidRPr="00A01230">
        <w:rPr>
          <w:rFonts w:asciiTheme="majorHAnsi" w:hAnsiTheme="majorHAnsi"/>
          <w:sz w:val="16"/>
          <w:szCs w:val="16"/>
          <w:lang w:val="es-MX"/>
        </w:rPr>
        <w:t>Milsiades</w:t>
      </w:r>
      <w:proofErr w:type="spellEnd"/>
      <w:r w:rsidRPr="00A01230">
        <w:rPr>
          <w:rFonts w:asciiTheme="majorHAnsi" w:hAnsiTheme="majorHAnsi"/>
          <w:sz w:val="16"/>
          <w:szCs w:val="16"/>
          <w:lang w:val="es-MX"/>
        </w:rPr>
        <w:t xml:space="preserve"> Real, Ricardo José Vega, Mauricio Rafael Robinson Parrales, José Agustín Siles Luna, </w:t>
      </w:r>
      <w:proofErr w:type="spellStart"/>
      <w:r w:rsidRPr="00A01230">
        <w:rPr>
          <w:rFonts w:asciiTheme="majorHAnsi" w:hAnsiTheme="majorHAnsi"/>
          <w:sz w:val="16"/>
          <w:szCs w:val="16"/>
          <w:lang w:val="es-MX"/>
        </w:rPr>
        <w:t>Mackely</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Artur</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Solono</w:t>
      </w:r>
      <w:proofErr w:type="spellEnd"/>
      <w:r w:rsidRPr="00A01230">
        <w:rPr>
          <w:rFonts w:asciiTheme="majorHAnsi" w:hAnsiTheme="majorHAnsi"/>
          <w:sz w:val="16"/>
          <w:szCs w:val="16"/>
          <w:lang w:val="es-MX"/>
        </w:rPr>
        <w:t xml:space="preserve">, Sergio Oswaldo Romero Arauz, Jorge </w:t>
      </w:r>
      <w:proofErr w:type="spellStart"/>
      <w:r w:rsidRPr="00A01230">
        <w:rPr>
          <w:rFonts w:asciiTheme="majorHAnsi" w:hAnsiTheme="majorHAnsi"/>
          <w:sz w:val="16"/>
          <w:szCs w:val="16"/>
          <w:lang w:val="es-MX"/>
        </w:rPr>
        <w:t>Escorcia</w:t>
      </w:r>
      <w:proofErr w:type="spellEnd"/>
      <w:r w:rsidRPr="00A01230">
        <w:rPr>
          <w:rFonts w:asciiTheme="majorHAnsi" w:hAnsiTheme="majorHAnsi"/>
          <w:sz w:val="16"/>
          <w:szCs w:val="16"/>
          <w:lang w:val="es-MX"/>
        </w:rPr>
        <w:t xml:space="preserve"> Moreno, José Asunción </w:t>
      </w:r>
      <w:proofErr w:type="spellStart"/>
      <w:r w:rsidRPr="00A01230">
        <w:rPr>
          <w:rFonts w:asciiTheme="majorHAnsi" w:hAnsiTheme="majorHAnsi"/>
          <w:sz w:val="16"/>
          <w:szCs w:val="16"/>
          <w:lang w:val="es-MX"/>
        </w:rPr>
        <w:t>Mallano</w:t>
      </w:r>
      <w:proofErr w:type="spellEnd"/>
      <w:r w:rsidRPr="00A01230">
        <w:rPr>
          <w:rFonts w:asciiTheme="majorHAnsi" w:hAnsiTheme="majorHAnsi"/>
          <w:sz w:val="16"/>
          <w:szCs w:val="16"/>
          <w:lang w:val="es-MX"/>
        </w:rPr>
        <w:t xml:space="preserve"> Dávila, Williams Alejandro Romero Santana, José Francisco </w:t>
      </w:r>
      <w:proofErr w:type="spellStart"/>
      <w:r w:rsidRPr="00A01230">
        <w:rPr>
          <w:rFonts w:asciiTheme="majorHAnsi" w:hAnsiTheme="majorHAnsi"/>
          <w:sz w:val="16"/>
          <w:szCs w:val="16"/>
          <w:lang w:val="es-MX"/>
        </w:rPr>
        <w:t>Garmedia</w:t>
      </w:r>
      <w:proofErr w:type="spellEnd"/>
      <w:r w:rsidRPr="00A01230">
        <w:rPr>
          <w:rFonts w:asciiTheme="majorHAnsi" w:hAnsiTheme="majorHAnsi"/>
          <w:sz w:val="16"/>
          <w:szCs w:val="16"/>
          <w:lang w:val="es-MX"/>
        </w:rPr>
        <w:t xml:space="preserve"> Cruz, Ricardo Ramón González Herrera, William José Noguera Rivas, Sergio Oswaldo Romero, </w:t>
      </w:r>
      <w:proofErr w:type="spellStart"/>
      <w:r w:rsidRPr="00A01230">
        <w:rPr>
          <w:rFonts w:asciiTheme="majorHAnsi" w:hAnsiTheme="majorHAnsi"/>
          <w:sz w:val="16"/>
          <w:szCs w:val="16"/>
          <w:lang w:val="es-MX"/>
        </w:rPr>
        <w:t>Erundina</w:t>
      </w:r>
      <w:proofErr w:type="spellEnd"/>
      <w:r w:rsidRPr="00A01230">
        <w:rPr>
          <w:rFonts w:asciiTheme="majorHAnsi" w:hAnsiTheme="majorHAnsi"/>
          <w:sz w:val="16"/>
          <w:szCs w:val="16"/>
          <w:lang w:val="es-MX"/>
        </w:rPr>
        <w:t xml:space="preserve"> Hernández López, Manuel de Jesús Peralta García, Eliodoro Marcelino Vega Rojas, Andrés Real Mendoza.</w:t>
      </w:r>
    </w:p>
  </w:footnote>
  <w:footnote w:id="33">
    <w:p w:rsidR="00615A5B" w:rsidRPr="00A01230" w:rsidRDefault="00615A5B">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Declaraciones de José </w:t>
      </w:r>
      <w:proofErr w:type="spellStart"/>
      <w:r w:rsidRPr="00A01230">
        <w:rPr>
          <w:rFonts w:asciiTheme="majorHAnsi" w:hAnsiTheme="majorHAnsi"/>
          <w:sz w:val="16"/>
          <w:szCs w:val="16"/>
          <w:lang w:val="es-MX"/>
        </w:rPr>
        <w:t>Carcache</w:t>
      </w:r>
      <w:proofErr w:type="spellEnd"/>
      <w:r w:rsidRPr="00A01230">
        <w:rPr>
          <w:rFonts w:asciiTheme="majorHAnsi" w:hAnsiTheme="majorHAnsi"/>
          <w:sz w:val="16"/>
          <w:szCs w:val="16"/>
          <w:lang w:val="es-MX"/>
        </w:rPr>
        <w:t xml:space="preserve"> Pineda, Francisco Simón Ordoñez Najare, Ricardo Javier Salgado Ojeda, Silvio Antonio Vanegas </w:t>
      </w:r>
      <w:proofErr w:type="spellStart"/>
      <w:r w:rsidRPr="00A01230">
        <w:rPr>
          <w:rFonts w:asciiTheme="majorHAnsi" w:hAnsiTheme="majorHAnsi"/>
          <w:sz w:val="16"/>
          <w:szCs w:val="16"/>
          <w:lang w:val="es-MX"/>
        </w:rPr>
        <w:t>Blandon</w:t>
      </w:r>
      <w:proofErr w:type="spellEnd"/>
      <w:r w:rsidRPr="00A01230">
        <w:rPr>
          <w:rFonts w:asciiTheme="majorHAnsi" w:hAnsiTheme="majorHAnsi"/>
          <w:sz w:val="16"/>
          <w:szCs w:val="16"/>
          <w:lang w:val="es-MX"/>
        </w:rPr>
        <w:t xml:space="preserve">, José Marcelino Ramírez Vargas, José Reynaldo Pineda Silva. </w:t>
      </w:r>
    </w:p>
  </w:footnote>
  <w:footnote w:id="34">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006E71FF" w:rsidRPr="00A01230">
        <w:rPr>
          <w:rFonts w:asciiTheme="majorHAnsi" w:hAnsiTheme="majorHAnsi"/>
          <w:sz w:val="16"/>
          <w:szCs w:val="16"/>
          <w:lang w:val="es-MX"/>
        </w:rPr>
        <w:t xml:space="preserve">Anexo </w:t>
      </w:r>
      <w:r w:rsidR="00673602">
        <w:rPr>
          <w:rFonts w:asciiTheme="majorHAnsi" w:hAnsiTheme="majorHAnsi"/>
          <w:sz w:val="16"/>
          <w:szCs w:val="16"/>
          <w:lang w:val="es-MX"/>
        </w:rPr>
        <w:t>1</w:t>
      </w:r>
      <w:r w:rsidR="006E71FF"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Acta de Inspección Ocular, 18 de abril de 1996, p. 12.</w:t>
      </w:r>
    </w:p>
  </w:footnote>
  <w:footnote w:id="35">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006E71FF" w:rsidRPr="00A01230">
        <w:rPr>
          <w:rFonts w:asciiTheme="majorHAnsi" w:hAnsiTheme="majorHAnsi"/>
          <w:sz w:val="16"/>
          <w:szCs w:val="16"/>
          <w:lang w:val="es-MX"/>
        </w:rPr>
        <w:t xml:space="preserve">Anexo </w:t>
      </w:r>
      <w:r w:rsidR="00673602">
        <w:rPr>
          <w:rFonts w:asciiTheme="majorHAnsi" w:hAnsiTheme="majorHAnsi"/>
          <w:sz w:val="16"/>
          <w:szCs w:val="16"/>
          <w:lang w:val="es-MX"/>
        </w:rPr>
        <w:t>1</w:t>
      </w:r>
      <w:r w:rsidR="006E71FF"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Acta de Inspección Ocular en Vehículo de 18 de abril de 1996, p. 12.</w:t>
      </w:r>
    </w:p>
  </w:footnote>
  <w:footnote w:id="36">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006E71FF" w:rsidRPr="00A01230">
        <w:rPr>
          <w:rFonts w:asciiTheme="majorHAnsi" w:hAnsiTheme="majorHAnsi"/>
          <w:sz w:val="16"/>
          <w:szCs w:val="16"/>
          <w:lang w:val="es-MX"/>
        </w:rPr>
        <w:t xml:space="preserve">Anexo </w:t>
      </w:r>
      <w:r w:rsidR="00673602">
        <w:rPr>
          <w:rFonts w:asciiTheme="majorHAnsi" w:hAnsiTheme="majorHAnsi"/>
          <w:sz w:val="16"/>
          <w:szCs w:val="16"/>
          <w:lang w:val="es-MX"/>
        </w:rPr>
        <w:t>1</w:t>
      </w:r>
      <w:r w:rsidR="006E71FF" w:rsidRPr="00A01230">
        <w:rPr>
          <w:rFonts w:asciiTheme="majorHAnsi" w:hAnsiTheme="majorHAnsi"/>
          <w:sz w:val="16"/>
          <w:szCs w:val="16"/>
          <w:lang w:val="es-MX"/>
        </w:rPr>
        <w:t xml:space="preserve">. </w:t>
      </w:r>
      <w:r w:rsidRPr="00A01230">
        <w:rPr>
          <w:rFonts w:asciiTheme="majorHAnsi" w:hAnsiTheme="majorHAnsi"/>
          <w:sz w:val="16"/>
          <w:szCs w:val="16"/>
          <w:lang w:val="es-MX"/>
        </w:rPr>
        <w:t xml:space="preserve">Expediente Judicial. Croquis del Lugar del Suceso, p. </w:t>
      </w:r>
      <w:r w:rsidR="00026333" w:rsidRPr="00A01230">
        <w:rPr>
          <w:rFonts w:asciiTheme="majorHAnsi" w:hAnsiTheme="majorHAnsi"/>
          <w:sz w:val="16"/>
          <w:szCs w:val="16"/>
          <w:lang w:val="es-MX"/>
        </w:rPr>
        <w:t>11.</w:t>
      </w:r>
    </w:p>
  </w:footnote>
  <w:footnote w:id="37">
    <w:p w:rsidR="00026333" w:rsidRPr="00A01230" w:rsidRDefault="00026333"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Dictamen médico legal de Patricio Roche Azaña, Maribel Quispe </w:t>
      </w:r>
      <w:proofErr w:type="spellStart"/>
      <w:r w:rsidRPr="00A01230">
        <w:rPr>
          <w:rFonts w:asciiTheme="majorHAnsi" w:hAnsiTheme="majorHAnsi"/>
          <w:sz w:val="16"/>
          <w:szCs w:val="16"/>
          <w:lang w:val="es-MX"/>
        </w:rPr>
        <w:t>Pomahuacre</w:t>
      </w:r>
      <w:proofErr w:type="spellEnd"/>
      <w:r w:rsidRPr="00A01230">
        <w:rPr>
          <w:rFonts w:asciiTheme="majorHAnsi" w:hAnsiTheme="majorHAnsi"/>
          <w:sz w:val="16"/>
          <w:szCs w:val="16"/>
          <w:lang w:val="es-MX"/>
        </w:rPr>
        <w:t xml:space="preserve">, Nora </w:t>
      </w:r>
      <w:proofErr w:type="spellStart"/>
      <w:r w:rsidRPr="00A01230">
        <w:rPr>
          <w:rFonts w:asciiTheme="majorHAnsi" w:hAnsiTheme="majorHAnsi"/>
          <w:sz w:val="16"/>
          <w:szCs w:val="16"/>
          <w:lang w:val="es-MX"/>
        </w:rPr>
        <w:t>Doza</w:t>
      </w:r>
      <w:proofErr w:type="spellEnd"/>
      <w:r w:rsidRPr="00A01230">
        <w:rPr>
          <w:rFonts w:asciiTheme="majorHAnsi" w:hAnsiTheme="majorHAnsi"/>
          <w:sz w:val="16"/>
          <w:szCs w:val="16"/>
          <w:lang w:val="es-MX"/>
        </w:rPr>
        <w:t xml:space="preserve"> Samaniego, Adolfo Castillo </w:t>
      </w:r>
      <w:proofErr w:type="spellStart"/>
      <w:r w:rsidRPr="00A01230">
        <w:rPr>
          <w:rFonts w:asciiTheme="majorHAnsi" w:hAnsiTheme="majorHAnsi"/>
          <w:sz w:val="16"/>
          <w:szCs w:val="16"/>
          <w:lang w:val="es-MX"/>
        </w:rPr>
        <w:t>Sarmineto</w:t>
      </w:r>
      <w:proofErr w:type="spellEnd"/>
      <w:r w:rsidRPr="00A01230">
        <w:rPr>
          <w:rFonts w:asciiTheme="majorHAnsi" w:hAnsiTheme="majorHAnsi"/>
          <w:sz w:val="16"/>
          <w:szCs w:val="16"/>
          <w:lang w:val="es-MX"/>
        </w:rPr>
        <w:t xml:space="preserve"> y Marcelo Cajamarca </w:t>
      </w:r>
      <w:proofErr w:type="spellStart"/>
      <w:r w:rsidRPr="00A01230">
        <w:rPr>
          <w:rFonts w:asciiTheme="majorHAnsi" w:hAnsiTheme="majorHAnsi"/>
          <w:sz w:val="16"/>
          <w:szCs w:val="16"/>
          <w:lang w:val="es-MX"/>
        </w:rPr>
        <w:t>Riulova</w:t>
      </w:r>
      <w:proofErr w:type="spellEnd"/>
      <w:r w:rsidRPr="00A01230">
        <w:rPr>
          <w:rFonts w:asciiTheme="majorHAnsi" w:hAnsiTheme="majorHAnsi"/>
          <w:sz w:val="16"/>
          <w:szCs w:val="16"/>
          <w:lang w:val="es-MX"/>
        </w:rPr>
        <w:t>, p. 88 a 99.</w:t>
      </w:r>
    </w:p>
  </w:footnote>
  <w:footnote w:id="38">
    <w:p w:rsidR="00026333" w:rsidRPr="00A01230" w:rsidRDefault="00026333"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Acta de Inspección del Cadáver, Dictamen Médico Legal de Pedro Roche Azaña, p. 85 a 88.</w:t>
      </w:r>
    </w:p>
  </w:footnote>
  <w:footnote w:id="39">
    <w:p w:rsidR="00026333" w:rsidRPr="00A01230" w:rsidRDefault="00026333"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Informe Pericial relacionado con qu</w:t>
      </w:r>
      <w:r w:rsidR="009A519F" w:rsidRPr="00A01230">
        <w:rPr>
          <w:rFonts w:asciiTheme="majorHAnsi" w:hAnsiTheme="majorHAnsi"/>
          <w:sz w:val="16"/>
          <w:szCs w:val="16"/>
          <w:lang w:val="es-MX"/>
        </w:rPr>
        <w:t>ímico de huella de d</w:t>
      </w:r>
      <w:r w:rsidRPr="00A01230">
        <w:rPr>
          <w:rFonts w:asciiTheme="majorHAnsi" w:hAnsiTheme="majorHAnsi"/>
          <w:sz w:val="16"/>
          <w:szCs w:val="16"/>
          <w:lang w:val="es-MX"/>
        </w:rPr>
        <w:t>isparo; informe pericial bal</w:t>
      </w:r>
      <w:r w:rsidR="009A519F" w:rsidRPr="00A01230">
        <w:rPr>
          <w:rFonts w:asciiTheme="majorHAnsi" w:hAnsiTheme="majorHAnsi"/>
          <w:sz w:val="16"/>
          <w:szCs w:val="16"/>
          <w:lang w:val="es-MX"/>
        </w:rPr>
        <w:t xml:space="preserve">ístico de 22 fusiles </w:t>
      </w:r>
      <w:proofErr w:type="spellStart"/>
      <w:r w:rsidR="009A519F" w:rsidRPr="00A01230">
        <w:rPr>
          <w:rFonts w:asciiTheme="majorHAnsi" w:hAnsiTheme="majorHAnsi"/>
          <w:sz w:val="16"/>
          <w:szCs w:val="16"/>
          <w:lang w:val="es-MX"/>
        </w:rPr>
        <w:t>Ak</w:t>
      </w:r>
      <w:proofErr w:type="spellEnd"/>
      <w:r w:rsidR="009A519F" w:rsidRPr="00A01230">
        <w:rPr>
          <w:rFonts w:asciiTheme="majorHAnsi" w:hAnsiTheme="majorHAnsi"/>
          <w:sz w:val="16"/>
          <w:szCs w:val="16"/>
          <w:lang w:val="es-MX"/>
        </w:rPr>
        <w:t>;</w:t>
      </w:r>
      <w:r w:rsidRPr="00A01230">
        <w:rPr>
          <w:rFonts w:asciiTheme="majorHAnsi" w:hAnsiTheme="majorHAnsi"/>
          <w:sz w:val="16"/>
          <w:szCs w:val="16"/>
          <w:lang w:val="es-MX"/>
        </w:rPr>
        <w:t xml:space="preserve"> Informe pericial relacionado con qu</w:t>
      </w:r>
      <w:r w:rsidR="009A519F" w:rsidRPr="00A01230">
        <w:rPr>
          <w:rFonts w:asciiTheme="majorHAnsi" w:hAnsiTheme="majorHAnsi"/>
          <w:sz w:val="16"/>
          <w:szCs w:val="16"/>
          <w:lang w:val="es-MX"/>
        </w:rPr>
        <w:t>ímica de huel</w:t>
      </w:r>
      <w:r w:rsidRPr="00A01230">
        <w:rPr>
          <w:rFonts w:asciiTheme="majorHAnsi" w:hAnsiTheme="majorHAnsi"/>
          <w:sz w:val="16"/>
          <w:szCs w:val="16"/>
          <w:lang w:val="es-MX"/>
        </w:rPr>
        <w:t>l</w:t>
      </w:r>
      <w:r w:rsidR="009A519F" w:rsidRPr="00A01230">
        <w:rPr>
          <w:rFonts w:asciiTheme="majorHAnsi" w:hAnsiTheme="majorHAnsi"/>
          <w:sz w:val="16"/>
          <w:szCs w:val="16"/>
          <w:lang w:val="es-MX"/>
        </w:rPr>
        <w:t>a de disparo 12 fusiles AK;  I</w:t>
      </w:r>
      <w:r w:rsidRPr="00A01230">
        <w:rPr>
          <w:rFonts w:asciiTheme="majorHAnsi" w:hAnsiTheme="majorHAnsi"/>
          <w:sz w:val="16"/>
          <w:szCs w:val="16"/>
          <w:lang w:val="es-MX"/>
        </w:rPr>
        <w:t>nforme pericial relacionado con investigación qu</w:t>
      </w:r>
      <w:r w:rsidR="009A519F" w:rsidRPr="00A01230">
        <w:rPr>
          <w:rFonts w:asciiTheme="majorHAnsi" w:hAnsiTheme="majorHAnsi"/>
          <w:sz w:val="16"/>
          <w:szCs w:val="16"/>
          <w:lang w:val="es-MX"/>
        </w:rPr>
        <w:t>ímica de metal; I</w:t>
      </w:r>
      <w:r w:rsidRPr="00A01230">
        <w:rPr>
          <w:rFonts w:asciiTheme="majorHAnsi" w:hAnsiTheme="majorHAnsi"/>
          <w:sz w:val="16"/>
          <w:szCs w:val="16"/>
          <w:lang w:val="es-MX"/>
        </w:rPr>
        <w:t>nforme pericial relacionado con investigación química de pintura</w:t>
      </w:r>
      <w:r w:rsidR="009A519F" w:rsidRPr="00A01230">
        <w:rPr>
          <w:rFonts w:asciiTheme="majorHAnsi" w:hAnsiTheme="majorHAnsi"/>
          <w:sz w:val="16"/>
          <w:szCs w:val="16"/>
          <w:lang w:val="es-MX"/>
        </w:rPr>
        <w:t>; I</w:t>
      </w:r>
      <w:r w:rsidRPr="00A01230">
        <w:rPr>
          <w:rFonts w:asciiTheme="majorHAnsi" w:hAnsiTheme="majorHAnsi"/>
          <w:sz w:val="16"/>
          <w:szCs w:val="16"/>
          <w:lang w:val="es-MX"/>
        </w:rPr>
        <w:t xml:space="preserve">nforme pericial relacionado con investigación de huellas de disparos en armas de fuego (químico) de </w:t>
      </w:r>
      <w:r w:rsidR="009A519F" w:rsidRPr="00A01230">
        <w:rPr>
          <w:rFonts w:asciiTheme="majorHAnsi" w:hAnsiTheme="majorHAnsi"/>
          <w:sz w:val="16"/>
          <w:szCs w:val="16"/>
          <w:lang w:val="es-MX"/>
        </w:rPr>
        <w:t xml:space="preserve">6 fusiles; Informe pericial balístico de 6 fusiles </w:t>
      </w:r>
      <w:proofErr w:type="spellStart"/>
      <w:r w:rsidR="009A519F" w:rsidRPr="00A01230">
        <w:rPr>
          <w:rFonts w:asciiTheme="majorHAnsi" w:hAnsiTheme="majorHAnsi"/>
          <w:sz w:val="16"/>
          <w:szCs w:val="16"/>
          <w:lang w:val="es-MX"/>
        </w:rPr>
        <w:t>Ak</w:t>
      </w:r>
      <w:proofErr w:type="spellEnd"/>
      <w:r w:rsidR="009A519F" w:rsidRPr="00A01230">
        <w:rPr>
          <w:rFonts w:asciiTheme="majorHAnsi" w:hAnsiTheme="majorHAnsi"/>
          <w:sz w:val="16"/>
          <w:szCs w:val="16"/>
          <w:lang w:val="es-MX"/>
        </w:rPr>
        <w:t xml:space="preserve">,; Informe pericial relacionado con la química de huella de disparo 6 fusiles AK, Informe pericial balístico de 6 fusiles </w:t>
      </w:r>
      <w:proofErr w:type="spellStart"/>
      <w:r w:rsidR="009A519F" w:rsidRPr="00A01230">
        <w:rPr>
          <w:rFonts w:asciiTheme="majorHAnsi" w:hAnsiTheme="majorHAnsi"/>
          <w:sz w:val="16"/>
          <w:szCs w:val="16"/>
          <w:lang w:val="es-MX"/>
        </w:rPr>
        <w:t>Ak</w:t>
      </w:r>
      <w:proofErr w:type="spellEnd"/>
      <w:r w:rsidR="009A519F" w:rsidRPr="00A01230">
        <w:rPr>
          <w:rFonts w:asciiTheme="majorHAnsi" w:hAnsiTheme="majorHAnsi"/>
          <w:sz w:val="16"/>
          <w:szCs w:val="16"/>
          <w:lang w:val="es-MX"/>
        </w:rPr>
        <w:t xml:space="preserve">; Informe Pericial relacionado con química 14 fusiles </w:t>
      </w:r>
      <w:proofErr w:type="spellStart"/>
      <w:r w:rsidR="009A519F" w:rsidRPr="00A01230">
        <w:rPr>
          <w:rFonts w:asciiTheme="majorHAnsi" w:hAnsiTheme="majorHAnsi"/>
          <w:sz w:val="16"/>
          <w:szCs w:val="16"/>
          <w:lang w:val="es-MX"/>
        </w:rPr>
        <w:t>Ak</w:t>
      </w:r>
      <w:proofErr w:type="spellEnd"/>
      <w:r w:rsidR="009A519F" w:rsidRPr="00A01230">
        <w:rPr>
          <w:rFonts w:asciiTheme="majorHAnsi" w:hAnsiTheme="majorHAnsi"/>
          <w:sz w:val="16"/>
          <w:szCs w:val="16"/>
          <w:lang w:val="es-MX"/>
        </w:rPr>
        <w:t xml:space="preserve">; Informe Pericial Balístico de 14 fusiles </w:t>
      </w:r>
      <w:proofErr w:type="spellStart"/>
      <w:r w:rsidR="009A519F" w:rsidRPr="00A01230">
        <w:rPr>
          <w:rFonts w:asciiTheme="majorHAnsi" w:hAnsiTheme="majorHAnsi"/>
          <w:sz w:val="16"/>
          <w:szCs w:val="16"/>
          <w:lang w:val="es-MX"/>
        </w:rPr>
        <w:t>Ak</w:t>
      </w:r>
      <w:proofErr w:type="spellEnd"/>
      <w:r w:rsidR="009A519F" w:rsidRPr="00A01230">
        <w:rPr>
          <w:rFonts w:asciiTheme="majorHAnsi" w:hAnsiTheme="majorHAnsi"/>
          <w:sz w:val="16"/>
          <w:szCs w:val="16"/>
          <w:lang w:val="es-MX"/>
        </w:rPr>
        <w:t>, Informe Pericial 5 Casquillo, p. 210 a 249.</w:t>
      </w:r>
    </w:p>
  </w:footnote>
  <w:footnote w:id="40">
    <w:p w:rsidR="009A519F" w:rsidRPr="00A01230" w:rsidRDefault="009A519F"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Informe Pericial relacionado con Sangre y Pelo, p. 220.</w:t>
      </w:r>
    </w:p>
  </w:footnote>
  <w:footnote w:id="41">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Comunicación del Estado de 26 de octubre de 2009. </w:t>
      </w:r>
    </w:p>
  </w:footnote>
  <w:footnote w:id="42">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Declaración </w:t>
      </w:r>
      <w:proofErr w:type="spellStart"/>
      <w:r w:rsidRPr="00A01230">
        <w:rPr>
          <w:rFonts w:asciiTheme="majorHAnsi" w:hAnsiTheme="majorHAnsi"/>
          <w:sz w:val="16"/>
          <w:szCs w:val="16"/>
          <w:lang w:val="es-MX"/>
        </w:rPr>
        <w:t>Adquerendum</w:t>
      </w:r>
      <w:proofErr w:type="spellEnd"/>
      <w:r w:rsidRPr="00A01230">
        <w:rPr>
          <w:rFonts w:asciiTheme="majorHAnsi" w:hAnsiTheme="majorHAnsi"/>
          <w:sz w:val="16"/>
          <w:szCs w:val="16"/>
          <w:lang w:val="es-MX"/>
        </w:rPr>
        <w:t xml:space="preserve"> de Nora </w:t>
      </w:r>
      <w:proofErr w:type="spellStart"/>
      <w:r w:rsidRPr="00A01230">
        <w:rPr>
          <w:rFonts w:asciiTheme="majorHAnsi" w:hAnsiTheme="majorHAnsi"/>
          <w:sz w:val="16"/>
          <w:szCs w:val="16"/>
          <w:lang w:val="es-MX"/>
        </w:rPr>
        <w:t>Doza</w:t>
      </w:r>
      <w:proofErr w:type="spellEnd"/>
      <w:r w:rsidRPr="00A01230">
        <w:rPr>
          <w:rFonts w:asciiTheme="majorHAnsi" w:hAnsiTheme="majorHAnsi"/>
          <w:sz w:val="16"/>
          <w:szCs w:val="16"/>
          <w:lang w:val="es-MX"/>
        </w:rPr>
        <w:t xml:space="preserve"> Samaniego 616, Declaración </w:t>
      </w:r>
      <w:proofErr w:type="spellStart"/>
      <w:r w:rsidRPr="00A01230">
        <w:rPr>
          <w:rFonts w:asciiTheme="majorHAnsi" w:hAnsiTheme="majorHAnsi"/>
          <w:sz w:val="16"/>
          <w:szCs w:val="16"/>
          <w:lang w:val="es-MX"/>
        </w:rPr>
        <w:t>Adquerendum</w:t>
      </w:r>
      <w:proofErr w:type="spellEnd"/>
      <w:r w:rsidRPr="00A01230">
        <w:rPr>
          <w:rFonts w:asciiTheme="majorHAnsi" w:hAnsiTheme="majorHAnsi"/>
          <w:sz w:val="16"/>
          <w:szCs w:val="16"/>
          <w:lang w:val="es-MX"/>
        </w:rPr>
        <w:t xml:space="preserve"> de Maribel Quispe, p. 570.</w:t>
      </w:r>
    </w:p>
  </w:footnote>
  <w:footnote w:id="43">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w:t>
      </w:r>
      <w:r w:rsidR="006E71FF" w:rsidRPr="00A01230">
        <w:rPr>
          <w:rFonts w:asciiTheme="majorHAnsi" w:hAnsiTheme="majorHAnsi"/>
          <w:sz w:val="16"/>
          <w:szCs w:val="16"/>
          <w:lang w:val="es-MX"/>
        </w:rPr>
        <w:t xml:space="preserve"> </w:t>
      </w:r>
      <w:r w:rsidR="00673602">
        <w:rPr>
          <w:rFonts w:asciiTheme="majorHAnsi" w:hAnsiTheme="majorHAnsi"/>
          <w:sz w:val="16"/>
          <w:szCs w:val="16"/>
          <w:lang w:val="es-MX"/>
        </w:rPr>
        <w:t>1</w:t>
      </w:r>
      <w:r w:rsidR="006E71FF" w:rsidRPr="00A01230">
        <w:rPr>
          <w:rFonts w:asciiTheme="majorHAnsi" w:hAnsiTheme="majorHAnsi"/>
          <w:sz w:val="16"/>
          <w:szCs w:val="16"/>
          <w:lang w:val="es-MX"/>
        </w:rPr>
        <w:t>.</w:t>
      </w:r>
      <w:r w:rsidRPr="00A01230">
        <w:rPr>
          <w:rFonts w:asciiTheme="majorHAnsi" w:hAnsiTheme="majorHAnsi"/>
          <w:sz w:val="16"/>
          <w:szCs w:val="16"/>
          <w:lang w:val="es-MX"/>
        </w:rPr>
        <w:t xml:space="preserve"> Expediente Judicial. Sentencia del Juzgado Primero de Distrito del Crimen. Chinandega, 6 de mayo de 1996, p. 631</w:t>
      </w:r>
    </w:p>
  </w:footnote>
  <w:footnote w:id="44">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Comunicación del Estado de 26 de octubre de 2009 sobre el Fondo del asunto, párr. 16.</w:t>
      </w:r>
    </w:p>
  </w:footnote>
  <w:footnote w:id="45">
    <w:p w:rsidR="00615A5B" w:rsidRPr="00A01230" w:rsidRDefault="00615A5B" w:rsidP="009A519F">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Anexo </w:t>
      </w:r>
      <w:r w:rsidR="00673602">
        <w:rPr>
          <w:rFonts w:asciiTheme="majorHAnsi" w:hAnsiTheme="majorHAnsi"/>
          <w:sz w:val="16"/>
          <w:szCs w:val="16"/>
          <w:lang w:val="es-MX"/>
        </w:rPr>
        <w:t>1</w:t>
      </w:r>
      <w:r w:rsidR="00563BD1" w:rsidRPr="00A01230">
        <w:rPr>
          <w:rFonts w:asciiTheme="majorHAnsi" w:hAnsiTheme="majorHAnsi"/>
          <w:sz w:val="16"/>
          <w:szCs w:val="16"/>
          <w:lang w:val="es-MX"/>
        </w:rPr>
        <w:t xml:space="preserve">. </w:t>
      </w:r>
      <w:r w:rsidRPr="00A01230">
        <w:rPr>
          <w:rFonts w:asciiTheme="majorHAnsi" w:hAnsiTheme="majorHAnsi"/>
          <w:sz w:val="16"/>
          <w:szCs w:val="16"/>
          <w:lang w:val="es-MX"/>
        </w:rPr>
        <w:t>Expediente Judicial. Notificaciones de la sentencia del Juzgado Primero de Distrito del Crimen de Chinandega, p. 665; Notificaciones  p. 689.</w:t>
      </w:r>
    </w:p>
  </w:footnote>
  <w:footnote w:id="46">
    <w:p w:rsidR="00615A5B" w:rsidRPr="00A01230" w:rsidRDefault="00615A5B" w:rsidP="00E3162B">
      <w:pPr>
        <w:pStyle w:val="FootnoteText"/>
        <w:jc w:val="both"/>
        <w:rPr>
          <w:rFonts w:asciiTheme="majorHAnsi" w:hAnsiTheme="majorHAnsi"/>
          <w:sz w:val="16"/>
          <w:szCs w:val="16"/>
          <w:lang w:val="es-ES"/>
        </w:rPr>
      </w:pPr>
      <w:r w:rsidRPr="00A01230">
        <w:rPr>
          <w:rStyle w:val="FootnoteReference"/>
          <w:rFonts w:asciiTheme="majorHAnsi" w:hAnsiTheme="majorHAnsi"/>
          <w:sz w:val="16"/>
          <w:szCs w:val="16"/>
        </w:rPr>
        <w:footnoteRef/>
      </w:r>
      <w:r w:rsidRPr="00A01230">
        <w:rPr>
          <w:rFonts w:asciiTheme="majorHAnsi" w:hAnsiTheme="majorHAnsi"/>
          <w:sz w:val="16"/>
          <w:szCs w:val="16"/>
          <w:lang w:val="es-ES"/>
        </w:rPr>
        <w:t xml:space="preserve"> El artículo 4 de la Convención Americana establece en lo pertinente lo siguiente: 1. Toda persona tiene derecho a que se respete su vida. (…)  Nadie puede ser privado de la vida arbitrariamente. (…)</w:t>
      </w:r>
    </w:p>
  </w:footnote>
  <w:footnote w:id="47">
    <w:p w:rsidR="00615A5B" w:rsidRPr="00A01230" w:rsidRDefault="00615A5B" w:rsidP="00E3162B">
      <w:pPr>
        <w:pStyle w:val="FootnoteText"/>
        <w:jc w:val="both"/>
        <w:rPr>
          <w:rFonts w:asciiTheme="majorHAnsi" w:hAnsiTheme="majorHAnsi"/>
          <w:sz w:val="16"/>
          <w:szCs w:val="16"/>
          <w:lang w:val="es-ES_tradnl"/>
        </w:rPr>
      </w:pPr>
      <w:r w:rsidRPr="00A01230">
        <w:rPr>
          <w:rStyle w:val="FootnoteReference"/>
          <w:rFonts w:asciiTheme="majorHAnsi" w:hAnsiTheme="majorHAnsi"/>
          <w:sz w:val="16"/>
          <w:szCs w:val="16"/>
        </w:rPr>
        <w:footnoteRef/>
      </w:r>
      <w:r w:rsidRPr="00A01230">
        <w:rPr>
          <w:rFonts w:asciiTheme="majorHAnsi" w:hAnsiTheme="majorHAnsi"/>
          <w:sz w:val="16"/>
          <w:szCs w:val="16"/>
          <w:lang w:val="es-ES"/>
        </w:rPr>
        <w:t xml:space="preserve"> El artículo 5 de la Convención Americana establece en lo pertinente lo siguiente: </w:t>
      </w:r>
      <w:r w:rsidRPr="00A01230">
        <w:rPr>
          <w:rFonts w:asciiTheme="majorHAnsi" w:hAnsiTheme="majorHAnsi"/>
          <w:sz w:val="16"/>
          <w:szCs w:val="16"/>
          <w:lang w:val="es-ES_tradnl"/>
        </w:rPr>
        <w:t>1. Toda persona tiene derecho a que se respete su integridad física, psíquica y moral.</w:t>
      </w:r>
    </w:p>
  </w:footnote>
  <w:footnote w:id="48">
    <w:p w:rsidR="00615A5B" w:rsidRPr="00A01230" w:rsidRDefault="00615A5B" w:rsidP="00E3162B">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Fonts w:asciiTheme="majorHAnsi" w:hAnsiTheme="majorHAnsi"/>
          <w:sz w:val="16"/>
          <w:szCs w:val="16"/>
          <w:lang w:val="es-CO"/>
        </w:rPr>
        <w:t xml:space="preserve"> </w:t>
      </w:r>
      <w:r w:rsidRPr="00A01230">
        <w:rPr>
          <w:rFonts w:asciiTheme="majorHAnsi" w:hAnsiTheme="majorHAnsi" w:cs="Verdana"/>
          <w:bCs/>
          <w:sz w:val="16"/>
          <w:szCs w:val="16"/>
          <w:lang w:val="es-CO"/>
        </w:rPr>
        <w:t xml:space="preserve">Corte IDH. Caso Hermanos Landaeta Mejías y otros vs. Venezuela. Excepciones Preliminares, Fondo, Reparaciones y Costas. Sentencia de 27 de agosto de 2014. Serie C No. 281, párr. 123; </w:t>
      </w:r>
      <w:r w:rsidRPr="00A01230">
        <w:rPr>
          <w:rFonts w:asciiTheme="majorHAnsi" w:hAnsiTheme="majorHAnsi"/>
          <w:sz w:val="16"/>
          <w:szCs w:val="16"/>
          <w:lang w:val="es-VE"/>
        </w:rPr>
        <w:t>CIDH, Caso 11.442, Informe No. 90/14, Fondo, Luis Jorge Valencia Hinojosa, Ecuador, 4 de noviembre de 2014, párr. 123.</w:t>
      </w:r>
    </w:p>
  </w:footnote>
  <w:footnote w:id="49">
    <w:p w:rsidR="00615A5B" w:rsidRPr="00A01230" w:rsidRDefault="00615A5B" w:rsidP="00E3162B">
      <w:pPr>
        <w:pStyle w:val="FootnoteText"/>
        <w:jc w:val="both"/>
        <w:rPr>
          <w:rFonts w:asciiTheme="majorHAnsi" w:hAnsiTheme="majorHAnsi" w:cs="Arial"/>
          <w:sz w:val="16"/>
          <w:szCs w:val="16"/>
          <w:lang w:val="es-CO"/>
        </w:rPr>
      </w:pPr>
      <w:r w:rsidRPr="00A01230">
        <w:rPr>
          <w:rStyle w:val="FootnoteReference"/>
          <w:rFonts w:asciiTheme="majorHAnsi" w:hAnsiTheme="majorHAnsi"/>
          <w:sz w:val="16"/>
          <w:szCs w:val="16"/>
        </w:rPr>
        <w:footnoteRef/>
      </w:r>
      <w:r w:rsidRPr="00A01230">
        <w:rPr>
          <w:rFonts w:asciiTheme="majorHAnsi" w:hAnsiTheme="majorHAnsi"/>
          <w:sz w:val="16"/>
          <w:szCs w:val="16"/>
          <w:lang w:val="es-CO"/>
        </w:rPr>
        <w:t xml:space="preserve"> Corte IDH. </w:t>
      </w:r>
      <w:r w:rsidRPr="00A01230">
        <w:rPr>
          <w:rFonts w:asciiTheme="majorHAnsi" w:hAnsiTheme="majorHAnsi"/>
          <w:bCs/>
          <w:sz w:val="16"/>
          <w:szCs w:val="16"/>
          <w:lang w:val="es-CO"/>
        </w:rPr>
        <w:t xml:space="preserve">Caso Zambrano Vélez y otros Vs. Ecuador. </w:t>
      </w:r>
      <w:r w:rsidRPr="00A01230">
        <w:rPr>
          <w:rFonts w:asciiTheme="majorHAnsi" w:hAnsiTheme="majorHAnsi"/>
          <w:sz w:val="16"/>
          <w:szCs w:val="16"/>
          <w:lang w:val="es-CO"/>
        </w:rPr>
        <w:t xml:space="preserve">Fondo, Reparaciones y Costas. Sentencia de 4 de julio de 2007. Serie C No. 166. Párr. 108; </w:t>
      </w:r>
      <w:r w:rsidRPr="00A01230">
        <w:rPr>
          <w:rStyle w:val="Strong"/>
          <w:rFonts w:asciiTheme="majorHAnsi" w:hAnsiTheme="majorHAnsi"/>
          <w:b w:val="0"/>
          <w:sz w:val="16"/>
          <w:szCs w:val="16"/>
          <w:lang w:val="es-CO"/>
        </w:rPr>
        <w:t>Caso Cruz Sánchez y otros Vs. Perú. Excepciones Preliminares, Fondo, Reparaciones y Costas. Sentencia de 17 de abril de 2015. Serie C No. 292, párr. 291; y Caso Hermanos Landaeta Mejías y otros Vs. Venezuela. Excepciones Preliminares, Fondo, Reparaciones y Costas. Sentencia de 27 de agosto de 2014. Serie C No. 281. Párr. 132.</w:t>
      </w:r>
    </w:p>
  </w:footnote>
  <w:footnote w:id="50">
    <w:p w:rsidR="00615A5B" w:rsidRPr="00A01230" w:rsidRDefault="00615A5B" w:rsidP="00E3162B">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A01230">
        <w:rPr>
          <w:rFonts w:asciiTheme="majorHAnsi" w:hAnsiTheme="majorHAnsi"/>
          <w:sz w:val="16"/>
          <w:szCs w:val="16"/>
          <w:lang w:val="es-CO"/>
        </w:rPr>
        <w:t xml:space="preserve"> ONU, Comité de Derechos Humanos. </w:t>
      </w:r>
      <w:r w:rsidRPr="00A01230">
        <w:rPr>
          <w:rFonts w:asciiTheme="majorHAnsi" w:hAnsiTheme="majorHAnsi"/>
          <w:iCs/>
          <w:sz w:val="16"/>
          <w:szCs w:val="16"/>
          <w:lang w:val="es-CO"/>
        </w:rPr>
        <w:t xml:space="preserve">Caso Irene </w:t>
      </w:r>
      <w:proofErr w:type="spellStart"/>
      <w:r w:rsidRPr="00A01230">
        <w:rPr>
          <w:rFonts w:asciiTheme="majorHAnsi" w:hAnsiTheme="majorHAnsi"/>
          <w:iCs/>
          <w:sz w:val="16"/>
          <w:szCs w:val="16"/>
          <w:lang w:val="es-CO"/>
        </w:rPr>
        <w:t>Bleier</w:t>
      </w:r>
      <w:proofErr w:type="spellEnd"/>
      <w:r w:rsidRPr="00A01230">
        <w:rPr>
          <w:rFonts w:asciiTheme="majorHAnsi" w:hAnsiTheme="majorHAnsi"/>
          <w:iCs/>
          <w:sz w:val="16"/>
          <w:szCs w:val="16"/>
          <w:lang w:val="es-CO"/>
        </w:rPr>
        <w:t xml:space="preserve"> </w:t>
      </w:r>
      <w:proofErr w:type="spellStart"/>
      <w:r w:rsidRPr="00A01230">
        <w:rPr>
          <w:rFonts w:asciiTheme="majorHAnsi" w:hAnsiTheme="majorHAnsi"/>
          <w:iCs/>
          <w:sz w:val="16"/>
          <w:szCs w:val="16"/>
          <w:lang w:val="es-CO"/>
        </w:rPr>
        <w:t>Lewenhoff</w:t>
      </w:r>
      <w:proofErr w:type="spellEnd"/>
      <w:r w:rsidRPr="00A01230">
        <w:rPr>
          <w:rFonts w:asciiTheme="majorHAnsi" w:hAnsiTheme="majorHAnsi"/>
          <w:iCs/>
          <w:sz w:val="16"/>
          <w:szCs w:val="16"/>
          <w:lang w:val="es-CO"/>
        </w:rPr>
        <w:t xml:space="preserve"> and Rosa </w:t>
      </w:r>
      <w:proofErr w:type="spellStart"/>
      <w:r w:rsidRPr="00A01230">
        <w:rPr>
          <w:rFonts w:asciiTheme="majorHAnsi" w:hAnsiTheme="majorHAnsi"/>
          <w:iCs/>
          <w:sz w:val="16"/>
          <w:szCs w:val="16"/>
          <w:lang w:val="es-CO"/>
        </w:rPr>
        <w:t>Valiño</w:t>
      </w:r>
      <w:proofErr w:type="spellEnd"/>
      <w:r w:rsidRPr="00A01230">
        <w:rPr>
          <w:rFonts w:asciiTheme="majorHAnsi" w:hAnsiTheme="majorHAnsi"/>
          <w:iCs/>
          <w:sz w:val="16"/>
          <w:szCs w:val="16"/>
          <w:lang w:val="es-CO"/>
        </w:rPr>
        <w:t xml:space="preserve"> de </w:t>
      </w:r>
      <w:proofErr w:type="spellStart"/>
      <w:r w:rsidRPr="00A01230">
        <w:rPr>
          <w:rFonts w:asciiTheme="majorHAnsi" w:hAnsiTheme="majorHAnsi"/>
          <w:iCs/>
          <w:sz w:val="16"/>
          <w:szCs w:val="16"/>
          <w:lang w:val="es-CO"/>
        </w:rPr>
        <w:t>Bleier</w:t>
      </w:r>
      <w:proofErr w:type="spellEnd"/>
      <w:r w:rsidRPr="00A01230">
        <w:rPr>
          <w:rFonts w:asciiTheme="majorHAnsi" w:hAnsiTheme="majorHAnsi"/>
          <w:iCs/>
          <w:sz w:val="16"/>
          <w:szCs w:val="16"/>
          <w:lang w:val="es-CO"/>
        </w:rPr>
        <w:t xml:space="preserve"> Vs. Uruguay. </w:t>
      </w:r>
      <w:r w:rsidRPr="00A01230">
        <w:rPr>
          <w:rFonts w:asciiTheme="majorHAnsi" w:hAnsiTheme="majorHAnsi"/>
          <w:sz w:val="16"/>
          <w:szCs w:val="16"/>
          <w:lang w:val="es-CO"/>
        </w:rPr>
        <w:t xml:space="preserve">Comunicación No. 30/1978, UN Doc. CCPR/C/OP/1, de 29 de Marzo de 1982, párr. 13.3; </w:t>
      </w:r>
      <w:r w:rsidRPr="00A01230">
        <w:rPr>
          <w:rFonts w:asciiTheme="majorHAnsi" w:hAnsiTheme="majorHAnsi"/>
          <w:iCs/>
          <w:sz w:val="16"/>
          <w:szCs w:val="16"/>
          <w:lang w:val="es-CO"/>
        </w:rPr>
        <w:t xml:space="preserve">Caso Albert </w:t>
      </w:r>
      <w:proofErr w:type="spellStart"/>
      <w:r w:rsidRPr="00A01230">
        <w:rPr>
          <w:rFonts w:asciiTheme="majorHAnsi" w:hAnsiTheme="majorHAnsi"/>
          <w:iCs/>
          <w:sz w:val="16"/>
          <w:szCs w:val="16"/>
          <w:lang w:val="es-CO"/>
        </w:rPr>
        <w:t>Womah</w:t>
      </w:r>
      <w:proofErr w:type="spellEnd"/>
      <w:r w:rsidRPr="00A01230">
        <w:rPr>
          <w:rFonts w:asciiTheme="majorHAnsi" w:hAnsiTheme="majorHAnsi"/>
          <w:iCs/>
          <w:sz w:val="16"/>
          <w:szCs w:val="16"/>
          <w:lang w:val="es-CO"/>
        </w:rPr>
        <w:t xml:space="preserve"> </w:t>
      </w:r>
      <w:proofErr w:type="spellStart"/>
      <w:r w:rsidRPr="00A01230">
        <w:rPr>
          <w:rFonts w:asciiTheme="majorHAnsi" w:hAnsiTheme="majorHAnsi"/>
          <w:iCs/>
          <w:sz w:val="16"/>
          <w:szCs w:val="16"/>
          <w:lang w:val="es-CO"/>
        </w:rPr>
        <w:t>Mukong</w:t>
      </w:r>
      <w:proofErr w:type="spellEnd"/>
      <w:r w:rsidRPr="00A01230">
        <w:rPr>
          <w:rFonts w:asciiTheme="majorHAnsi" w:hAnsiTheme="majorHAnsi"/>
          <w:iCs/>
          <w:sz w:val="16"/>
          <w:szCs w:val="16"/>
          <w:lang w:val="es-CO"/>
        </w:rPr>
        <w:t xml:space="preserve"> Vs. Camerún. </w:t>
      </w:r>
      <w:r w:rsidRPr="00A01230">
        <w:rPr>
          <w:rFonts w:asciiTheme="majorHAnsi" w:hAnsiTheme="majorHAnsi"/>
          <w:sz w:val="16"/>
          <w:szCs w:val="16"/>
          <w:lang w:val="es-CO"/>
        </w:rPr>
        <w:t xml:space="preserve">Comunicación No. 458/1991, UN Doc. CCPR/C/51/D/458/1991, de 21 de julio de 1994, párr. 9.2, y </w:t>
      </w:r>
      <w:r w:rsidRPr="00A01230">
        <w:rPr>
          <w:rFonts w:asciiTheme="majorHAnsi" w:hAnsiTheme="majorHAnsi"/>
          <w:iCs/>
          <w:sz w:val="16"/>
          <w:szCs w:val="16"/>
          <w:lang w:val="es-CO"/>
        </w:rPr>
        <w:t xml:space="preserve">Caso </w:t>
      </w:r>
      <w:proofErr w:type="spellStart"/>
      <w:r w:rsidRPr="00A01230">
        <w:rPr>
          <w:rFonts w:asciiTheme="majorHAnsi" w:hAnsiTheme="majorHAnsi"/>
          <w:iCs/>
          <w:sz w:val="16"/>
          <w:szCs w:val="16"/>
          <w:lang w:val="es-CO"/>
        </w:rPr>
        <w:t>Turdukan</w:t>
      </w:r>
      <w:proofErr w:type="spellEnd"/>
      <w:r w:rsidRPr="00A01230">
        <w:rPr>
          <w:rFonts w:asciiTheme="majorHAnsi" w:hAnsiTheme="majorHAnsi"/>
          <w:iCs/>
          <w:sz w:val="16"/>
          <w:szCs w:val="16"/>
          <w:lang w:val="es-CO"/>
        </w:rPr>
        <w:t xml:space="preserve"> </w:t>
      </w:r>
      <w:proofErr w:type="spellStart"/>
      <w:r w:rsidRPr="00A01230">
        <w:rPr>
          <w:rFonts w:asciiTheme="majorHAnsi" w:hAnsiTheme="majorHAnsi"/>
          <w:iCs/>
          <w:sz w:val="16"/>
          <w:szCs w:val="16"/>
          <w:lang w:val="es-CO"/>
        </w:rPr>
        <w:t>Zhumbaeva</w:t>
      </w:r>
      <w:proofErr w:type="spellEnd"/>
      <w:r w:rsidRPr="00A01230">
        <w:rPr>
          <w:rFonts w:asciiTheme="majorHAnsi" w:hAnsiTheme="majorHAnsi"/>
          <w:iCs/>
          <w:sz w:val="16"/>
          <w:szCs w:val="16"/>
          <w:lang w:val="es-CO"/>
        </w:rPr>
        <w:t xml:space="preserve"> Vs. </w:t>
      </w:r>
      <w:proofErr w:type="spellStart"/>
      <w:r w:rsidRPr="00A01230">
        <w:rPr>
          <w:rFonts w:asciiTheme="majorHAnsi" w:hAnsiTheme="majorHAnsi"/>
          <w:iCs/>
          <w:sz w:val="16"/>
          <w:szCs w:val="16"/>
          <w:lang w:val="es-CO"/>
        </w:rPr>
        <w:t>Kyrgyzstan</w:t>
      </w:r>
      <w:proofErr w:type="spellEnd"/>
      <w:r w:rsidRPr="00A01230">
        <w:rPr>
          <w:rFonts w:asciiTheme="majorHAnsi" w:hAnsiTheme="majorHAnsi"/>
          <w:sz w:val="16"/>
          <w:szCs w:val="16"/>
          <w:lang w:val="es-CO"/>
        </w:rPr>
        <w:t xml:space="preserve">. Comunicación Nº 1756/2008, UN Doc. CCPR/C/102/D/1756/2008, de 29 de julio de 2011, párr. </w:t>
      </w:r>
      <w:r w:rsidRPr="00A01230">
        <w:rPr>
          <w:rFonts w:asciiTheme="majorHAnsi" w:hAnsiTheme="majorHAnsi"/>
          <w:sz w:val="16"/>
          <w:szCs w:val="16"/>
        </w:rPr>
        <w:t xml:space="preserve">8.7.  </w:t>
      </w:r>
    </w:p>
  </w:footnote>
  <w:footnote w:id="51">
    <w:p w:rsidR="00615A5B" w:rsidRPr="0006195E" w:rsidRDefault="00615A5B" w:rsidP="00E3162B">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Fonts w:asciiTheme="majorHAnsi" w:hAnsiTheme="majorHAnsi"/>
          <w:sz w:val="16"/>
          <w:szCs w:val="16"/>
        </w:rPr>
        <w:t xml:space="preserve"> </w:t>
      </w:r>
      <w:proofErr w:type="gramStart"/>
      <w:r w:rsidRPr="00A01230">
        <w:rPr>
          <w:rFonts w:asciiTheme="majorHAnsi" w:hAnsiTheme="majorHAnsi"/>
          <w:sz w:val="16"/>
          <w:szCs w:val="16"/>
        </w:rPr>
        <w:t>ECHR, Case McCann and others v.</w:t>
      </w:r>
      <w:proofErr w:type="gramEnd"/>
      <w:r w:rsidRPr="00A01230">
        <w:rPr>
          <w:rFonts w:asciiTheme="majorHAnsi" w:hAnsiTheme="majorHAnsi"/>
          <w:sz w:val="16"/>
          <w:szCs w:val="16"/>
        </w:rPr>
        <w:t xml:space="preserve"> </w:t>
      </w:r>
      <w:proofErr w:type="gramStart"/>
      <w:r w:rsidRPr="00A01230">
        <w:rPr>
          <w:rFonts w:asciiTheme="majorHAnsi" w:hAnsiTheme="majorHAnsi"/>
          <w:sz w:val="16"/>
          <w:szCs w:val="16"/>
        </w:rPr>
        <w:t>The United Kingdom.</w:t>
      </w:r>
      <w:proofErr w:type="gramEnd"/>
      <w:r w:rsidRPr="00A01230">
        <w:rPr>
          <w:rFonts w:asciiTheme="majorHAnsi" w:hAnsiTheme="majorHAnsi"/>
          <w:sz w:val="16"/>
          <w:szCs w:val="16"/>
        </w:rPr>
        <w:t xml:space="preserve"> </w:t>
      </w:r>
      <w:proofErr w:type="spellStart"/>
      <w:r w:rsidRPr="0006195E">
        <w:rPr>
          <w:rFonts w:asciiTheme="majorHAnsi" w:hAnsiTheme="majorHAnsi"/>
          <w:sz w:val="16"/>
          <w:szCs w:val="16"/>
          <w:lang w:val="es-CO"/>
        </w:rPr>
        <w:t>Application</w:t>
      </w:r>
      <w:proofErr w:type="spellEnd"/>
      <w:r w:rsidRPr="0006195E">
        <w:rPr>
          <w:rFonts w:asciiTheme="majorHAnsi" w:hAnsiTheme="majorHAnsi"/>
          <w:sz w:val="16"/>
          <w:szCs w:val="16"/>
          <w:lang w:val="es-CO"/>
        </w:rPr>
        <w:t xml:space="preserve"> No. 27229/95, 27 </w:t>
      </w:r>
      <w:proofErr w:type="spellStart"/>
      <w:r w:rsidRPr="0006195E">
        <w:rPr>
          <w:rFonts w:asciiTheme="majorHAnsi" w:hAnsiTheme="majorHAnsi"/>
          <w:sz w:val="16"/>
          <w:szCs w:val="16"/>
          <w:lang w:val="es-CO"/>
        </w:rPr>
        <w:t>September</w:t>
      </w:r>
      <w:proofErr w:type="spellEnd"/>
      <w:r w:rsidRPr="0006195E">
        <w:rPr>
          <w:rFonts w:asciiTheme="majorHAnsi" w:hAnsiTheme="majorHAnsi"/>
          <w:sz w:val="16"/>
          <w:szCs w:val="16"/>
          <w:lang w:val="es-CO"/>
        </w:rPr>
        <w:t xml:space="preserve"> 1995, § 149.</w:t>
      </w:r>
    </w:p>
  </w:footnote>
  <w:footnote w:id="52">
    <w:p w:rsidR="00615A5B" w:rsidRPr="00A01230" w:rsidRDefault="00615A5B" w:rsidP="00E3162B">
      <w:pPr>
        <w:pStyle w:val="FootnoteText"/>
        <w:jc w:val="both"/>
        <w:rPr>
          <w:rFonts w:asciiTheme="majorHAnsi" w:hAnsiTheme="majorHAnsi"/>
          <w:sz w:val="16"/>
          <w:szCs w:val="16"/>
          <w:lang w:val="es-ES"/>
        </w:rPr>
      </w:pPr>
      <w:r w:rsidRPr="00A01230">
        <w:rPr>
          <w:rStyle w:val="FootnoteReference"/>
          <w:rFonts w:asciiTheme="majorHAnsi" w:hAnsiTheme="majorHAnsi"/>
          <w:sz w:val="16"/>
          <w:szCs w:val="16"/>
        </w:rPr>
        <w:footnoteRef/>
      </w:r>
      <w:r w:rsidRPr="00A01230">
        <w:rPr>
          <w:rFonts w:asciiTheme="majorHAnsi" w:hAnsiTheme="majorHAnsi"/>
          <w:sz w:val="16"/>
          <w:szCs w:val="16"/>
          <w:lang w:val="es-ES"/>
        </w:rPr>
        <w:t xml:space="preserve"> </w:t>
      </w:r>
      <w:r w:rsidRPr="00A01230">
        <w:rPr>
          <w:rFonts w:asciiTheme="majorHAnsi" w:hAnsiTheme="majorHAnsi"/>
          <w:sz w:val="16"/>
          <w:szCs w:val="16"/>
          <w:shd w:val="clear" w:color="auto" w:fill="FFFFFF"/>
          <w:lang w:val="es-ES"/>
        </w:rPr>
        <w:t xml:space="preserve">Corte IDH. Caso Hermanos Landaeta Mejías y otros Vs. Venezuela. Excepciones Preliminares, Fondo, Reparaciones y Costas. Sentencia de 27 de agosto de 2014. Serie C No. 281, párr. 134. </w:t>
      </w:r>
    </w:p>
  </w:footnote>
  <w:footnote w:id="53">
    <w:p w:rsidR="00615A5B" w:rsidRPr="00A01230" w:rsidRDefault="00615A5B" w:rsidP="00E3162B">
      <w:pPr>
        <w:pStyle w:val="FootnoteText"/>
        <w:jc w:val="both"/>
        <w:rPr>
          <w:rFonts w:asciiTheme="majorHAnsi" w:hAnsiTheme="majorHAnsi"/>
          <w:sz w:val="16"/>
          <w:szCs w:val="16"/>
          <w:shd w:val="clear" w:color="auto" w:fill="FFFFFF"/>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Principios 9 y 10 de los  Principios Básicos sobre el Empleo de la Fuerza y de Armas de Fuego de la ONU</w:t>
      </w:r>
      <w:r w:rsidRPr="00A01230">
        <w:rPr>
          <w:rFonts w:asciiTheme="majorHAnsi" w:hAnsiTheme="majorHAnsi"/>
          <w:sz w:val="16"/>
          <w:szCs w:val="16"/>
          <w:shd w:val="clear" w:color="auto" w:fill="FFFFFF"/>
          <w:lang w:val="es-MX"/>
        </w:rPr>
        <w:t xml:space="preserve"> adoptados por el Octavo Congreso de las Naciones Unidas sobre Prevención del Delito y Tratamiento</w:t>
      </w:r>
      <w:r w:rsidRPr="00A01230">
        <w:rPr>
          <w:rFonts w:asciiTheme="majorHAnsi" w:hAnsiTheme="majorHAnsi"/>
          <w:sz w:val="16"/>
          <w:szCs w:val="16"/>
          <w:lang w:val="es-MX"/>
        </w:rPr>
        <w:t> </w:t>
      </w:r>
      <w:r w:rsidRPr="00A01230">
        <w:rPr>
          <w:rFonts w:asciiTheme="majorHAnsi" w:hAnsiTheme="majorHAnsi"/>
          <w:sz w:val="16"/>
          <w:szCs w:val="16"/>
          <w:shd w:val="clear" w:color="auto" w:fill="FFFFFF"/>
          <w:lang w:val="es-MX"/>
        </w:rPr>
        <w:t>del Delincuente, celebrado en La Habana (Cuba) del 27 de agosto al 7 de septiembre de 1990.</w:t>
      </w:r>
    </w:p>
  </w:footnote>
  <w:footnote w:id="54">
    <w:p w:rsidR="00615A5B" w:rsidRPr="00A01230" w:rsidRDefault="00615A5B" w:rsidP="00E3162B">
      <w:pPr>
        <w:pStyle w:val="FootnoteText"/>
        <w:jc w:val="both"/>
        <w:rPr>
          <w:rFonts w:asciiTheme="majorHAnsi" w:hAnsiTheme="majorHAnsi"/>
          <w:sz w:val="16"/>
          <w:szCs w:val="16"/>
          <w:lang w:val="es-PE"/>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w:t>
      </w:r>
      <w:proofErr w:type="spellStart"/>
      <w:r w:rsidRPr="00A01230">
        <w:rPr>
          <w:rFonts w:asciiTheme="majorHAnsi" w:hAnsiTheme="majorHAnsi"/>
          <w:sz w:val="16"/>
          <w:szCs w:val="16"/>
          <w:lang w:val="es-MX"/>
        </w:rPr>
        <w:t>Nadege</w:t>
      </w:r>
      <w:proofErr w:type="spellEnd"/>
      <w:r w:rsidRPr="00A01230">
        <w:rPr>
          <w:rFonts w:asciiTheme="majorHAnsi" w:hAnsiTheme="majorHAnsi"/>
          <w:sz w:val="16"/>
          <w:szCs w:val="16"/>
          <w:lang w:val="es-MX"/>
        </w:rPr>
        <w:t xml:space="preserve"> </w:t>
      </w:r>
      <w:proofErr w:type="spellStart"/>
      <w:r w:rsidRPr="00A01230">
        <w:rPr>
          <w:rFonts w:asciiTheme="majorHAnsi" w:hAnsiTheme="majorHAnsi"/>
          <w:sz w:val="16"/>
          <w:szCs w:val="16"/>
          <w:lang w:val="es-MX"/>
        </w:rPr>
        <w:t>Dorzema</w:t>
      </w:r>
      <w:proofErr w:type="spellEnd"/>
      <w:r w:rsidRPr="00A01230">
        <w:rPr>
          <w:rFonts w:asciiTheme="majorHAnsi" w:hAnsiTheme="majorHAnsi"/>
          <w:sz w:val="16"/>
          <w:szCs w:val="16"/>
          <w:lang w:val="es-MX"/>
        </w:rPr>
        <w:t xml:space="preserve"> y otros Vs. República Dominicana. Fondo Reparaciones y Costas. Sentencia de 24 de octubre de 2012 Serie C No. 251, párr. 85.</w:t>
      </w:r>
    </w:p>
  </w:footnote>
  <w:footnote w:id="55">
    <w:p w:rsidR="00615A5B" w:rsidRPr="00A01230" w:rsidRDefault="00615A5B" w:rsidP="00E3162B">
      <w:pPr>
        <w:pStyle w:val="FootnoteText"/>
        <w:jc w:val="both"/>
        <w:rPr>
          <w:rFonts w:asciiTheme="majorHAnsi" w:hAnsiTheme="majorHAnsi"/>
          <w:sz w:val="16"/>
          <w:szCs w:val="16"/>
          <w:lang w:val="es-US"/>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w:t>
      </w:r>
      <w:r w:rsidRPr="00A01230">
        <w:rPr>
          <w:rFonts w:asciiTheme="majorHAnsi" w:hAnsiTheme="majorHAnsi"/>
          <w:sz w:val="16"/>
          <w:szCs w:val="16"/>
          <w:lang w:val="es-US"/>
        </w:rPr>
        <w:t xml:space="preserve">Caso </w:t>
      </w:r>
      <w:proofErr w:type="spellStart"/>
      <w:r w:rsidRPr="00A01230">
        <w:rPr>
          <w:rFonts w:asciiTheme="majorHAnsi" w:hAnsiTheme="majorHAnsi"/>
          <w:sz w:val="16"/>
          <w:szCs w:val="16"/>
          <w:lang w:val="es-US"/>
        </w:rPr>
        <w:t>Nadege</w:t>
      </w:r>
      <w:proofErr w:type="spellEnd"/>
      <w:r w:rsidRPr="00A01230">
        <w:rPr>
          <w:rFonts w:asciiTheme="majorHAnsi" w:hAnsiTheme="majorHAnsi"/>
          <w:sz w:val="16"/>
          <w:szCs w:val="16"/>
          <w:lang w:val="es-US"/>
        </w:rPr>
        <w:t xml:space="preserve"> </w:t>
      </w:r>
      <w:proofErr w:type="spellStart"/>
      <w:r w:rsidRPr="00A01230">
        <w:rPr>
          <w:rFonts w:asciiTheme="majorHAnsi" w:hAnsiTheme="majorHAnsi"/>
          <w:sz w:val="16"/>
          <w:szCs w:val="16"/>
          <w:lang w:val="es-US"/>
        </w:rPr>
        <w:t>Dorzema</w:t>
      </w:r>
      <w:proofErr w:type="spellEnd"/>
      <w:r w:rsidRPr="00A01230">
        <w:rPr>
          <w:rFonts w:asciiTheme="majorHAnsi" w:hAnsiTheme="majorHAnsi"/>
          <w:sz w:val="16"/>
          <w:szCs w:val="16"/>
          <w:lang w:val="es-US"/>
        </w:rPr>
        <w:t xml:space="preserve"> y otros Vs. República Dominicana. Fondo, Reparaciones y Costas. Sentencia de 24 de octubre de 2012. Serie C No. 251, Párrafo 88.</w:t>
      </w:r>
    </w:p>
  </w:footnote>
  <w:footnote w:id="56">
    <w:p w:rsidR="00615A5B" w:rsidRPr="00A01230" w:rsidRDefault="00615A5B" w:rsidP="00E3162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Pr="00A01230">
        <w:rPr>
          <w:rFonts w:asciiTheme="majorHAnsi" w:hAnsiTheme="majorHAnsi"/>
          <w:sz w:val="16"/>
          <w:szCs w:val="16"/>
          <w:lang w:val="es-US"/>
        </w:rPr>
        <w:t xml:space="preserve">Corte IDH. </w:t>
      </w:r>
      <w:proofErr w:type="spellStart"/>
      <w:r w:rsidRPr="00A01230">
        <w:rPr>
          <w:rFonts w:asciiTheme="majorHAnsi" w:hAnsiTheme="majorHAnsi"/>
          <w:sz w:val="16"/>
          <w:szCs w:val="16"/>
          <w:lang w:val="es-US"/>
        </w:rPr>
        <w:t>Nadege</w:t>
      </w:r>
      <w:proofErr w:type="spellEnd"/>
      <w:r w:rsidRPr="00A01230">
        <w:rPr>
          <w:rFonts w:asciiTheme="majorHAnsi" w:hAnsiTheme="majorHAnsi"/>
          <w:sz w:val="16"/>
          <w:szCs w:val="16"/>
          <w:lang w:val="es-US"/>
        </w:rPr>
        <w:t xml:space="preserve"> </w:t>
      </w:r>
      <w:proofErr w:type="spellStart"/>
      <w:r w:rsidRPr="00A01230">
        <w:rPr>
          <w:rFonts w:asciiTheme="majorHAnsi" w:hAnsiTheme="majorHAnsi"/>
          <w:sz w:val="16"/>
          <w:szCs w:val="16"/>
          <w:lang w:val="es-US"/>
        </w:rPr>
        <w:t>Dorzema</w:t>
      </w:r>
      <w:proofErr w:type="spellEnd"/>
      <w:r w:rsidRPr="00A01230">
        <w:rPr>
          <w:rFonts w:asciiTheme="majorHAnsi" w:hAnsiTheme="majorHAnsi"/>
          <w:sz w:val="16"/>
          <w:szCs w:val="16"/>
          <w:lang w:val="es-US"/>
        </w:rPr>
        <w:t xml:space="preserve"> y otros Vs. República Dominicana. Fondo, Reparaciones, y Costas. Sentencia de 24 de octubre de 2012. Serie C No. 251, </w:t>
      </w:r>
      <w:proofErr w:type="spellStart"/>
      <w:r w:rsidRPr="00A01230">
        <w:rPr>
          <w:rFonts w:asciiTheme="majorHAnsi" w:hAnsiTheme="majorHAnsi"/>
          <w:sz w:val="16"/>
          <w:szCs w:val="16"/>
          <w:lang w:val="es-US"/>
        </w:rPr>
        <w:t>párrs</w:t>
      </w:r>
      <w:proofErr w:type="spellEnd"/>
      <w:r w:rsidRPr="00A01230">
        <w:rPr>
          <w:rFonts w:asciiTheme="majorHAnsi" w:hAnsiTheme="majorHAnsi"/>
          <w:sz w:val="16"/>
          <w:szCs w:val="16"/>
          <w:lang w:val="es-US"/>
        </w:rPr>
        <w:t>. 85-91.</w:t>
      </w:r>
    </w:p>
  </w:footnote>
  <w:footnote w:id="57">
    <w:p w:rsidR="00615A5B" w:rsidRPr="00A01230" w:rsidRDefault="00615A5B" w:rsidP="00E3162B">
      <w:pPr>
        <w:pStyle w:val="FootnoteText"/>
        <w:tabs>
          <w:tab w:val="left" w:pos="720"/>
          <w:tab w:val="left" w:pos="900"/>
          <w:tab w:val="left" w:pos="1080"/>
        </w:tabs>
        <w:jc w:val="both"/>
        <w:rPr>
          <w:rFonts w:asciiTheme="majorHAnsi" w:hAnsiTheme="majorHAnsi"/>
          <w:sz w:val="16"/>
          <w:szCs w:val="16"/>
          <w:lang w:val="es-ES"/>
        </w:rPr>
      </w:pPr>
      <w:r w:rsidRPr="00A01230">
        <w:rPr>
          <w:rStyle w:val="FootnoteReference"/>
          <w:rFonts w:asciiTheme="majorHAnsi" w:hAnsiTheme="majorHAnsi"/>
          <w:sz w:val="16"/>
          <w:szCs w:val="16"/>
          <w:lang w:val="es-ES"/>
        </w:rPr>
        <w:footnoteRef/>
      </w:r>
      <w:r w:rsidRPr="00A01230">
        <w:rPr>
          <w:rFonts w:asciiTheme="majorHAnsi" w:hAnsiTheme="majorHAnsi"/>
          <w:sz w:val="16"/>
          <w:szCs w:val="16"/>
          <w:lang w:val="es-ES"/>
        </w:rPr>
        <w:t xml:space="preserve"> CIDH, Caso 12.270, Informe No. 2/15, Fondo, Johan Alexis Ortiz Hernández, Venezuela, 29 de enero de 2015, párr. 185.</w:t>
      </w:r>
    </w:p>
  </w:footnote>
  <w:footnote w:id="58">
    <w:p w:rsidR="00615A5B" w:rsidRPr="00A01230" w:rsidRDefault="00615A5B" w:rsidP="00E3162B">
      <w:pPr>
        <w:pStyle w:val="FootnoteText"/>
        <w:tabs>
          <w:tab w:val="left" w:pos="720"/>
          <w:tab w:val="left" w:pos="900"/>
          <w:tab w:val="left" w:pos="1080"/>
        </w:tabs>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Fonts w:asciiTheme="majorHAnsi" w:hAnsiTheme="majorHAnsi"/>
          <w:sz w:val="16"/>
          <w:szCs w:val="16"/>
          <w:lang w:val="es-ES_tradnl"/>
        </w:rPr>
        <w:t xml:space="preserve"> </w:t>
      </w:r>
      <w:r w:rsidRPr="00A01230">
        <w:rPr>
          <w:rFonts w:asciiTheme="majorHAnsi" w:hAnsiTheme="majorHAnsi"/>
          <w:sz w:val="16"/>
          <w:szCs w:val="16"/>
          <w:lang w:val="es-ES"/>
        </w:rPr>
        <w:t xml:space="preserve">CIDH, Caso 12.270. Informe No. 2/15, Fondo, Johan Alexis Ortiz Hernández, Venezuela, 29 de enero de 2015, párr. </w:t>
      </w:r>
      <w:r w:rsidRPr="00A01230">
        <w:rPr>
          <w:rFonts w:asciiTheme="majorHAnsi" w:hAnsiTheme="majorHAnsi"/>
          <w:sz w:val="16"/>
          <w:szCs w:val="16"/>
          <w:lang w:val="es-CO"/>
        </w:rPr>
        <w:t xml:space="preserve">186; </w:t>
      </w:r>
      <w:r w:rsidRPr="00A01230">
        <w:rPr>
          <w:rFonts w:asciiTheme="majorHAnsi" w:hAnsiTheme="majorHAnsi"/>
          <w:sz w:val="16"/>
          <w:szCs w:val="16"/>
          <w:lang w:val="es-ES_tradnl"/>
        </w:rPr>
        <w:t xml:space="preserve">Corte IDH. </w:t>
      </w:r>
      <w:r w:rsidRPr="00A01230">
        <w:rPr>
          <w:rFonts w:asciiTheme="majorHAnsi" w:hAnsiTheme="majorHAnsi"/>
          <w:bCs/>
          <w:sz w:val="16"/>
          <w:szCs w:val="16"/>
          <w:lang w:val="es-ES_tradnl"/>
        </w:rPr>
        <w:t xml:space="preserve">Caso Zambrano Vélez y otros Vs. Ecuador. </w:t>
      </w:r>
      <w:r w:rsidRPr="00A01230">
        <w:rPr>
          <w:rFonts w:asciiTheme="majorHAnsi" w:hAnsiTheme="majorHAnsi"/>
          <w:sz w:val="16"/>
          <w:szCs w:val="16"/>
          <w:lang w:val="es-ES_tradnl"/>
        </w:rPr>
        <w:t xml:space="preserve">Fondo, Reparaciones y Costas. Sentencia de 4 de julio de 2007. Serie C No. 166, párr. 80. </w:t>
      </w:r>
    </w:p>
  </w:footnote>
  <w:footnote w:id="59">
    <w:p w:rsidR="00615A5B" w:rsidRPr="00A01230" w:rsidRDefault="00615A5B" w:rsidP="00E3162B">
      <w:pPr>
        <w:pStyle w:val="FootnoteText"/>
        <w:jc w:val="both"/>
        <w:rPr>
          <w:rFonts w:asciiTheme="majorHAnsi" w:hAnsiTheme="majorHAnsi"/>
          <w:sz w:val="16"/>
          <w:szCs w:val="16"/>
          <w:lang w:val="es-ES_tradnl"/>
        </w:rPr>
      </w:pPr>
      <w:r w:rsidRPr="00A01230">
        <w:rPr>
          <w:rStyle w:val="FootnoteReference"/>
          <w:rFonts w:asciiTheme="majorHAnsi" w:hAnsiTheme="majorHAnsi"/>
          <w:sz w:val="16"/>
          <w:szCs w:val="16"/>
          <w:lang w:val="es-ES"/>
        </w:rPr>
        <w:footnoteRef/>
      </w:r>
      <w:r w:rsidRPr="00A01230">
        <w:rPr>
          <w:rFonts w:asciiTheme="majorHAnsi" w:hAnsiTheme="majorHAnsi"/>
          <w:sz w:val="16"/>
          <w:szCs w:val="16"/>
          <w:lang w:val="es-ES"/>
        </w:rPr>
        <w:t xml:space="preserve"> CIDH, Informe No. 25/02, Caso 11.763, Masacre de Plan de Sánchez, Guatemala Caso 11.763, del 28 de febrero de 2002, párr. 114. </w:t>
      </w:r>
    </w:p>
  </w:footnote>
  <w:footnote w:id="60">
    <w:p w:rsidR="00615A5B" w:rsidRPr="00A01230" w:rsidRDefault="00615A5B" w:rsidP="00E3162B">
      <w:pPr>
        <w:pStyle w:val="FootnoteText"/>
        <w:jc w:val="both"/>
        <w:rPr>
          <w:rFonts w:asciiTheme="majorHAnsi" w:hAnsiTheme="majorHAnsi"/>
          <w:sz w:val="16"/>
          <w:szCs w:val="16"/>
          <w:lang w:val="es-ES_tradnl"/>
        </w:rPr>
      </w:pPr>
      <w:r w:rsidRPr="00A01230">
        <w:rPr>
          <w:rStyle w:val="FootnoteReference"/>
          <w:rFonts w:asciiTheme="majorHAnsi" w:hAnsiTheme="majorHAnsi"/>
          <w:sz w:val="16"/>
          <w:szCs w:val="16"/>
        </w:rPr>
        <w:footnoteRef/>
      </w:r>
      <w:r w:rsidRPr="00A01230">
        <w:rPr>
          <w:rFonts w:asciiTheme="majorHAnsi" w:hAnsiTheme="majorHAnsi"/>
          <w:sz w:val="16"/>
          <w:szCs w:val="16"/>
          <w:lang w:val="es-ES"/>
        </w:rPr>
        <w:t xml:space="preserve"> Corte IDH. Caso Cantoral </w:t>
      </w:r>
      <w:proofErr w:type="spellStart"/>
      <w:r w:rsidRPr="00A01230">
        <w:rPr>
          <w:rFonts w:asciiTheme="majorHAnsi" w:hAnsiTheme="majorHAnsi"/>
          <w:sz w:val="16"/>
          <w:szCs w:val="16"/>
          <w:lang w:val="es-ES"/>
        </w:rPr>
        <w:t>Huamaní</w:t>
      </w:r>
      <w:proofErr w:type="spellEnd"/>
      <w:r w:rsidRPr="00A01230">
        <w:rPr>
          <w:rFonts w:asciiTheme="majorHAnsi" w:hAnsiTheme="majorHAnsi"/>
          <w:sz w:val="16"/>
          <w:szCs w:val="16"/>
          <w:lang w:val="es-ES"/>
        </w:rPr>
        <w:t xml:space="preserve"> y García Santa Cruz. Excepción preliminar, fondo, reparaciones y costas. Sentencia de 10 de julio de 2007. </w:t>
      </w:r>
      <w:r w:rsidRPr="00A01230">
        <w:rPr>
          <w:rFonts w:asciiTheme="majorHAnsi" w:hAnsiTheme="majorHAnsi"/>
          <w:bCs/>
          <w:sz w:val="16"/>
          <w:szCs w:val="16"/>
          <w:lang w:val="es-ES_tradnl"/>
        </w:rPr>
        <w:t>Serie C No. 167.</w:t>
      </w:r>
      <w:r w:rsidRPr="00A01230">
        <w:rPr>
          <w:rFonts w:asciiTheme="majorHAnsi" w:hAnsiTheme="majorHAnsi"/>
          <w:sz w:val="16"/>
          <w:szCs w:val="16"/>
          <w:lang w:val="es-ES_tradnl"/>
        </w:rPr>
        <w:t xml:space="preserve"> Párr. 99. </w:t>
      </w:r>
    </w:p>
  </w:footnote>
  <w:footnote w:id="61">
    <w:p w:rsidR="00615A5B" w:rsidRPr="00A01230" w:rsidRDefault="00615A5B" w:rsidP="00E3162B">
      <w:pPr>
        <w:pStyle w:val="FootnoteText"/>
        <w:jc w:val="both"/>
        <w:rPr>
          <w:rFonts w:asciiTheme="majorHAnsi" w:hAnsiTheme="majorHAnsi"/>
          <w:sz w:val="16"/>
          <w:szCs w:val="16"/>
          <w:lang w:val="es-US"/>
        </w:rPr>
      </w:pPr>
      <w:r w:rsidRPr="00A01230">
        <w:rPr>
          <w:rStyle w:val="FootnoteReference"/>
          <w:rFonts w:asciiTheme="majorHAnsi" w:hAnsiTheme="majorHAnsi"/>
          <w:sz w:val="16"/>
          <w:szCs w:val="16"/>
        </w:rPr>
        <w:footnoteRef/>
      </w:r>
      <w:r w:rsidRPr="00A01230">
        <w:rPr>
          <w:rFonts w:asciiTheme="majorHAnsi" w:hAnsiTheme="majorHAnsi"/>
          <w:sz w:val="16"/>
          <w:szCs w:val="16"/>
          <w:lang w:val="es-US"/>
        </w:rPr>
        <w:t xml:space="preserve"> Corte IDH. Caso </w:t>
      </w:r>
      <w:proofErr w:type="spellStart"/>
      <w:r w:rsidRPr="00A01230">
        <w:rPr>
          <w:rFonts w:asciiTheme="majorHAnsi" w:hAnsiTheme="majorHAnsi"/>
          <w:sz w:val="16"/>
          <w:szCs w:val="16"/>
          <w:lang w:val="es-US"/>
        </w:rPr>
        <w:t>Nadege</w:t>
      </w:r>
      <w:proofErr w:type="spellEnd"/>
      <w:r w:rsidRPr="00A01230">
        <w:rPr>
          <w:rFonts w:asciiTheme="majorHAnsi" w:hAnsiTheme="majorHAnsi"/>
          <w:sz w:val="16"/>
          <w:szCs w:val="16"/>
          <w:lang w:val="es-US"/>
        </w:rPr>
        <w:t xml:space="preserve"> </w:t>
      </w:r>
      <w:proofErr w:type="spellStart"/>
      <w:r w:rsidRPr="00A01230">
        <w:rPr>
          <w:rFonts w:asciiTheme="majorHAnsi" w:hAnsiTheme="majorHAnsi"/>
          <w:sz w:val="16"/>
          <w:szCs w:val="16"/>
          <w:lang w:val="es-US"/>
        </w:rPr>
        <w:t>Dorzema</w:t>
      </w:r>
      <w:proofErr w:type="spellEnd"/>
      <w:r w:rsidRPr="00A01230">
        <w:rPr>
          <w:rFonts w:asciiTheme="majorHAnsi" w:hAnsiTheme="majorHAnsi"/>
          <w:sz w:val="16"/>
          <w:szCs w:val="16"/>
          <w:lang w:val="es-US"/>
        </w:rPr>
        <w:t xml:space="preserve"> y otros Vs. República Dominicana. Fondo, Reparaciones y Costas. Sentencia de 24 de octubre de 2012. Serie C No. 251, párr. 100.</w:t>
      </w:r>
    </w:p>
  </w:footnote>
  <w:footnote w:id="62">
    <w:p w:rsidR="00615A5B" w:rsidRPr="00A01230" w:rsidRDefault="00615A5B" w:rsidP="00E3162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Comunicación del Estado recibida el 5 de julio de 2007.</w:t>
      </w:r>
    </w:p>
  </w:footnote>
  <w:footnote w:id="63">
    <w:p w:rsidR="00615A5B" w:rsidRPr="00A01230" w:rsidRDefault="00615A5B" w:rsidP="00E3162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06195E">
        <w:rPr>
          <w:rFonts w:asciiTheme="majorHAnsi" w:hAnsiTheme="majorHAnsi"/>
          <w:sz w:val="16"/>
          <w:szCs w:val="16"/>
          <w:lang w:val="pt-BR"/>
        </w:rPr>
        <w:t xml:space="preserve"> Corte Interamericana de Derechos Humanos Nadege Dorezma Vs. </w:t>
      </w:r>
      <w:r w:rsidRPr="00A01230">
        <w:rPr>
          <w:rFonts w:asciiTheme="majorHAnsi" w:hAnsiTheme="majorHAnsi"/>
          <w:sz w:val="16"/>
          <w:szCs w:val="16"/>
          <w:lang w:val="es-US"/>
        </w:rPr>
        <w:t xml:space="preserve">República Dominicana. Fondo, Reparaciones y Costas. Sentencia de 24 de octubre de 2012. Serie C No. 251, párr. </w:t>
      </w:r>
      <w:r w:rsidRPr="00A01230">
        <w:rPr>
          <w:rFonts w:asciiTheme="majorHAnsi" w:hAnsiTheme="majorHAnsi"/>
          <w:sz w:val="16"/>
          <w:szCs w:val="16"/>
          <w:lang w:val="es-MX"/>
        </w:rPr>
        <w:t>91.</w:t>
      </w:r>
    </w:p>
  </w:footnote>
  <w:footnote w:id="64">
    <w:p w:rsidR="00615A5B" w:rsidRPr="00A01230" w:rsidRDefault="00615A5B" w:rsidP="00E3162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Pr="00A01230">
        <w:rPr>
          <w:rFonts w:asciiTheme="majorHAnsi" w:hAnsiTheme="majorHAnsi" w:cs="Times New Roman"/>
          <w:color w:val="auto"/>
          <w:sz w:val="16"/>
          <w:szCs w:val="16"/>
          <w:bdr w:val="none" w:sz="0" w:space="0" w:color="auto"/>
          <w:lang w:val="es-US" w:eastAsia="en-US"/>
        </w:rPr>
        <w:t xml:space="preserve">Petición </w:t>
      </w:r>
      <w:r w:rsidR="00036A35" w:rsidRPr="00A01230">
        <w:rPr>
          <w:rFonts w:asciiTheme="majorHAnsi" w:hAnsiTheme="majorHAnsi" w:cs="Times New Roman"/>
          <w:color w:val="auto"/>
          <w:sz w:val="16"/>
          <w:szCs w:val="16"/>
          <w:bdr w:val="none" w:sz="0" w:space="0" w:color="auto"/>
          <w:lang w:val="es-US" w:eastAsia="en-US"/>
        </w:rPr>
        <w:t xml:space="preserve">inicial, </w:t>
      </w:r>
      <w:r w:rsidRPr="00A01230">
        <w:rPr>
          <w:rFonts w:asciiTheme="majorHAnsi" w:hAnsiTheme="majorHAnsi" w:cs="Times New Roman"/>
          <w:color w:val="auto"/>
          <w:sz w:val="16"/>
          <w:szCs w:val="16"/>
          <w:bdr w:val="none" w:sz="0" w:space="0" w:color="auto"/>
          <w:lang w:val="es-US" w:eastAsia="en-US"/>
        </w:rPr>
        <w:t>Patricio Roche Azaña, 23 de diciembre de 1998.</w:t>
      </w:r>
      <w:r w:rsidRPr="00A01230">
        <w:rPr>
          <w:rFonts w:asciiTheme="majorHAnsi" w:hAnsiTheme="majorHAnsi"/>
          <w:sz w:val="16"/>
          <w:szCs w:val="16"/>
          <w:lang w:val="es-MX"/>
        </w:rPr>
        <w:t xml:space="preserve"> </w:t>
      </w:r>
    </w:p>
  </w:footnote>
  <w:footnote w:id="65">
    <w:p w:rsidR="00615A5B" w:rsidRPr="00A01230" w:rsidRDefault="00615A5B" w:rsidP="00E3162B">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w:t>
      </w:r>
      <w:r w:rsidRPr="00A01230">
        <w:rPr>
          <w:rFonts w:asciiTheme="majorHAnsi" w:hAnsiTheme="majorHAnsi" w:cs="Times New Roman"/>
          <w:color w:val="auto"/>
          <w:sz w:val="16"/>
          <w:szCs w:val="16"/>
          <w:bdr w:val="none" w:sz="0" w:space="0" w:color="auto"/>
          <w:lang w:val="es-US" w:eastAsia="en-US"/>
        </w:rPr>
        <w:t>Petición</w:t>
      </w:r>
      <w:r w:rsidR="00036A35" w:rsidRPr="00A01230">
        <w:rPr>
          <w:rFonts w:asciiTheme="majorHAnsi" w:hAnsiTheme="majorHAnsi" w:cs="Times New Roman"/>
          <w:color w:val="auto"/>
          <w:sz w:val="16"/>
          <w:szCs w:val="16"/>
          <w:bdr w:val="none" w:sz="0" w:space="0" w:color="auto"/>
          <w:lang w:val="es-US" w:eastAsia="en-US"/>
        </w:rPr>
        <w:t xml:space="preserve"> inicial,</w:t>
      </w:r>
      <w:r w:rsidRPr="00A01230">
        <w:rPr>
          <w:rFonts w:asciiTheme="majorHAnsi" w:hAnsiTheme="majorHAnsi" w:cs="Times New Roman"/>
          <w:color w:val="auto"/>
          <w:sz w:val="16"/>
          <w:szCs w:val="16"/>
          <w:bdr w:val="none" w:sz="0" w:space="0" w:color="auto"/>
          <w:lang w:val="es-US" w:eastAsia="en-US"/>
        </w:rPr>
        <w:t xml:space="preserve"> Patricio Roche Azaña, 23 de diciembre de 1998.</w:t>
      </w:r>
      <w:r w:rsidRPr="00A01230">
        <w:rPr>
          <w:rFonts w:asciiTheme="majorHAnsi" w:hAnsiTheme="majorHAnsi"/>
          <w:sz w:val="16"/>
          <w:szCs w:val="16"/>
          <w:lang w:val="es-MX"/>
        </w:rPr>
        <w:t xml:space="preserve"> </w:t>
      </w:r>
    </w:p>
  </w:footnote>
  <w:footnote w:id="66">
    <w:p w:rsidR="00615A5B" w:rsidRPr="008A138F" w:rsidRDefault="00615A5B" w:rsidP="003F4E4C">
      <w:pPr>
        <w:pStyle w:val="FootnoteText"/>
        <w:jc w:val="both"/>
        <w:rPr>
          <w:rFonts w:asciiTheme="majorHAnsi" w:hAnsiTheme="majorHAnsi"/>
          <w:sz w:val="16"/>
          <w:szCs w:val="16"/>
          <w:lang w:val="es-US"/>
        </w:rPr>
      </w:pPr>
      <w:r w:rsidRPr="00A01230">
        <w:rPr>
          <w:rStyle w:val="FootnoteReference"/>
          <w:rFonts w:asciiTheme="majorHAnsi" w:hAnsiTheme="majorHAnsi"/>
          <w:sz w:val="16"/>
          <w:szCs w:val="16"/>
        </w:rPr>
        <w:footnoteRef/>
      </w:r>
      <w:r w:rsidRPr="00A01230">
        <w:rPr>
          <w:rFonts w:asciiTheme="majorHAnsi" w:hAnsiTheme="majorHAnsi"/>
          <w:sz w:val="16"/>
          <w:szCs w:val="16"/>
          <w:lang w:val="es-US"/>
        </w:rPr>
        <w:t xml:space="preserve"> El artículo 8 de la Convención Americana consagra en lo pertinente: </w:t>
      </w:r>
      <w:r w:rsidRPr="00A01230">
        <w:rPr>
          <w:rFonts w:asciiTheme="majorHAnsi" w:hAnsiTheme="majorHAnsi"/>
          <w:sz w:val="16"/>
          <w:szCs w:val="16"/>
          <w:lang w:val="es-US" w:bidi="en-US"/>
        </w:rPr>
        <w:t xml:space="preserve">1. Toda persona tiene derecho a ser oída, con las debidas garantías </w:t>
      </w:r>
      <w:r w:rsidRPr="008A138F">
        <w:rPr>
          <w:rFonts w:asciiTheme="majorHAnsi" w:hAnsiTheme="majorHAnsi"/>
          <w:sz w:val="16"/>
          <w:szCs w:val="16"/>
          <w:lang w:val="es-US" w:bidi="en-US"/>
        </w:rPr>
        <w:t>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8A138F">
        <w:rPr>
          <w:rFonts w:asciiTheme="majorHAnsi" w:hAnsiTheme="majorHAnsi"/>
          <w:sz w:val="16"/>
          <w:szCs w:val="16"/>
          <w:lang w:val="es-US"/>
        </w:rPr>
        <w:t xml:space="preserve"> </w:t>
      </w:r>
    </w:p>
  </w:footnote>
  <w:footnote w:id="67">
    <w:p w:rsidR="00615A5B" w:rsidRPr="008A138F" w:rsidRDefault="00615A5B" w:rsidP="003F4E4C">
      <w:pPr>
        <w:pStyle w:val="FootnoteText"/>
        <w:jc w:val="both"/>
        <w:rPr>
          <w:rFonts w:asciiTheme="majorHAnsi" w:hAnsiTheme="majorHAnsi"/>
          <w:sz w:val="16"/>
          <w:szCs w:val="16"/>
          <w:lang w:val="es-ES"/>
        </w:rPr>
      </w:pPr>
      <w:r w:rsidRPr="008A138F">
        <w:rPr>
          <w:rStyle w:val="FootnoteReference"/>
          <w:rFonts w:asciiTheme="majorHAnsi" w:hAnsiTheme="majorHAnsi"/>
          <w:sz w:val="16"/>
          <w:szCs w:val="16"/>
        </w:rPr>
        <w:footnoteRef/>
      </w:r>
      <w:r w:rsidRPr="008A138F">
        <w:rPr>
          <w:rFonts w:asciiTheme="majorHAnsi" w:hAnsiTheme="majorHAnsi"/>
          <w:sz w:val="16"/>
          <w:szCs w:val="16"/>
          <w:lang w:val="es-ES"/>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8">
    <w:p w:rsidR="004E2840" w:rsidRPr="008A138F" w:rsidRDefault="004E2840" w:rsidP="004E2840">
      <w:pPr>
        <w:pStyle w:val="FootnoteText"/>
        <w:jc w:val="both"/>
        <w:rPr>
          <w:rFonts w:asciiTheme="majorHAnsi" w:hAnsiTheme="majorHAnsi"/>
          <w:sz w:val="16"/>
          <w:szCs w:val="16"/>
          <w:lang w:val="es-MX"/>
        </w:rPr>
      </w:pPr>
      <w:r w:rsidRPr="008A138F">
        <w:rPr>
          <w:rStyle w:val="FootnoteReference"/>
          <w:rFonts w:asciiTheme="majorHAnsi" w:hAnsiTheme="majorHAnsi"/>
          <w:sz w:val="16"/>
          <w:szCs w:val="16"/>
        </w:rPr>
        <w:footnoteRef/>
      </w:r>
      <w:r w:rsidRPr="008A138F">
        <w:rPr>
          <w:rFonts w:asciiTheme="majorHAnsi" w:hAnsiTheme="majorHAnsi"/>
          <w:sz w:val="16"/>
          <w:szCs w:val="16"/>
          <w:lang w:val="es-MX"/>
        </w:rPr>
        <w:t xml:space="preserve"> Corte IDH. Caso Velásquez Rodríguez Vs Honduras. Excepciones Preliminares. Sentencia de 26 de junio de 1987. Serie C No. 1, párr. 91; Caso </w:t>
      </w:r>
      <w:r w:rsidRPr="000C48BF">
        <w:rPr>
          <w:rStyle w:val="Strong"/>
          <w:rFonts w:asciiTheme="majorHAnsi" w:hAnsiTheme="majorHAnsi"/>
          <w:b w:val="0"/>
          <w:sz w:val="16"/>
          <w:szCs w:val="16"/>
          <w:lang w:val="es-MX"/>
        </w:rPr>
        <w:t>Gutiérrez y Familia Vs. Argentina. Fondo, Reparaciones y Costas. Sentencia de 25 de noviembre de 2013. Serie C No. 271,</w:t>
      </w:r>
      <w:r w:rsidRPr="008A138F">
        <w:rPr>
          <w:rStyle w:val="Strong"/>
          <w:rFonts w:asciiTheme="majorHAnsi" w:hAnsiTheme="majorHAnsi"/>
          <w:sz w:val="16"/>
          <w:szCs w:val="16"/>
          <w:lang w:val="es-MX"/>
        </w:rPr>
        <w:t xml:space="preserve"> </w:t>
      </w:r>
      <w:r w:rsidRPr="008A138F">
        <w:rPr>
          <w:rFonts w:asciiTheme="majorHAnsi" w:hAnsiTheme="majorHAnsi"/>
          <w:sz w:val="16"/>
          <w:szCs w:val="16"/>
          <w:lang w:val="es-MX"/>
        </w:rPr>
        <w:t xml:space="preserve"> párr. 97; y Caso Hermanos Landaeta Mejías y otros Vs. Venezuela. Excepciones  Preliminares, Fondo, Reparaciones y Costas. Sentencia de 27 de agosto de 2014. Serie C No. 281, párr. 215. </w:t>
      </w:r>
    </w:p>
  </w:footnote>
  <w:footnote w:id="69">
    <w:p w:rsidR="00705019" w:rsidRPr="00A01230" w:rsidRDefault="00705019" w:rsidP="00705019">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 218.</w:t>
      </w:r>
    </w:p>
  </w:footnote>
  <w:footnote w:id="70">
    <w:p w:rsidR="007208A8" w:rsidRPr="008A138F" w:rsidRDefault="007208A8" w:rsidP="007208A8">
      <w:pPr>
        <w:pStyle w:val="FootnoteText"/>
        <w:jc w:val="both"/>
        <w:rPr>
          <w:rFonts w:asciiTheme="majorHAnsi" w:hAnsiTheme="majorHAnsi"/>
          <w:sz w:val="16"/>
          <w:szCs w:val="16"/>
          <w:lang w:val="es-CO"/>
        </w:rPr>
      </w:pPr>
      <w:r w:rsidRPr="008A138F">
        <w:rPr>
          <w:rStyle w:val="FootnoteReference"/>
          <w:rFonts w:asciiTheme="majorHAnsi" w:hAnsiTheme="majorHAnsi"/>
          <w:sz w:val="16"/>
          <w:szCs w:val="16"/>
        </w:rPr>
        <w:footnoteRef/>
      </w:r>
      <w:r w:rsidRPr="008A138F">
        <w:rPr>
          <w:rStyle w:val="FootnoteReference"/>
          <w:rFonts w:asciiTheme="majorHAnsi" w:hAnsiTheme="majorHAnsi"/>
          <w:sz w:val="16"/>
          <w:szCs w:val="16"/>
          <w:lang w:val="es-US"/>
        </w:rPr>
        <w:t xml:space="preserve"> </w:t>
      </w:r>
      <w:r w:rsidRPr="008A138F">
        <w:rPr>
          <w:rFonts w:asciiTheme="majorHAnsi" w:hAnsiTheme="majorHAnsi"/>
          <w:sz w:val="16"/>
          <w:szCs w:val="16"/>
          <w:lang w:val="es-US"/>
        </w:rPr>
        <w:t xml:space="preserve">CIDH, Informe No. 41/15, Casos 12.335, 12. 336, 12. 757, 12.711. Fondo. Gustavo Giraldo Villamizar Durán y otros. Colombia. 28 de julio de 2015, párr. 195; y </w:t>
      </w:r>
      <w:r w:rsidRPr="008A138F">
        <w:rPr>
          <w:rFonts w:asciiTheme="majorHAnsi" w:hAnsiTheme="majorHAnsi"/>
          <w:sz w:val="16"/>
          <w:szCs w:val="16"/>
          <w:lang w:val="es-CO"/>
        </w:rPr>
        <w:t xml:space="preserve">Corte IDH. Caso de la Masacre de </w:t>
      </w:r>
      <w:proofErr w:type="spellStart"/>
      <w:r w:rsidRPr="008A138F">
        <w:rPr>
          <w:rFonts w:asciiTheme="majorHAnsi" w:hAnsiTheme="majorHAnsi"/>
          <w:sz w:val="16"/>
          <w:szCs w:val="16"/>
          <w:lang w:val="es-CO"/>
        </w:rPr>
        <w:t>Mapiripán</w:t>
      </w:r>
      <w:proofErr w:type="spellEnd"/>
      <w:r w:rsidRPr="008A138F">
        <w:rPr>
          <w:rFonts w:asciiTheme="majorHAnsi" w:hAnsiTheme="majorHAnsi"/>
          <w:sz w:val="16"/>
          <w:szCs w:val="16"/>
          <w:lang w:val="es-CO"/>
        </w:rPr>
        <w:t xml:space="preserve"> Vs. Colombia. Sentencia de 15 de septiembre de 2005. Serie C No. 122, párr. 219.</w:t>
      </w:r>
    </w:p>
  </w:footnote>
  <w:footnote w:id="71">
    <w:p w:rsidR="007208A8" w:rsidRPr="00A01230" w:rsidRDefault="007208A8" w:rsidP="007208A8">
      <w:pPr>
        <w:pStyle w:val="FootnoteText"/>
        <w:jc w:val="both"/>
        <w:rPr>
          <w:rFonts w:asciiTheme="majorHAnsi" w:hAnsiTheme="majorHAnsi"/>
          <w:sz w:val="16"/>
          <w:szCs w:val="16"/>
          <w:lang w:val="es-CO"/>
        </w:rPr>
      </w:pPr>
      <w:r w:rsidRPr="008A138F">
        <w:rPr>
          <w:rStyle w:val="FootnoteReference"/>
          <w:rFonts w:asciiTheme="majorHAnsi" w:hAnsiTheme="majorHAnsi"/>
          <w:sz w:val="16"/>
          <w:szCs w:val="16"/>
        </w:rPr>
        <w:footnoteRef/>
      </w:r>
      <w:r w:rsidRPr="008A138F">
        <w:rPr>
          <w:rStyle w:val="FootnoteReference"/>
          <w:rFonts w:asciiTheme="majorHAnsi" w:hAnsiTheme="majorHAnsi"/>
          <w:sz w:val="16"/>
          <w:szCs w:val="16"/>
          <w:lang w:val="es-CO"/>
        </w:rPr>
        <w:t xml:space="preserve"> </w:t>
      </w:r>
      <w:r w:rsidRPr="008A138F">
        <w:rPr>
          <w:rFonts w:asciiTheme="majorHAnsi" w:hAnsiTheme="majorHAnsi"/>
          <w:sz w:val="16"/>
          <w:szCs w:val="16"/>
          <w:lang w:val="es-CO"/>
        </w:rPr>
        <w:t>Corte IDH. Caso Mendoza y otros Vs. Argentina. Excepciones Preliminares, Fondo y Reparaciones. Sentencia de 14 de mayo de 2013. Serie C No. 260. Párr. 218. Ver también: Cfr. Caso Velásquez Rodríguez Vs. Honduras. Fondo, párr. 177, y Caso Masacre de Santo Domingo Vs. Colombia, párr. 157.</w:t>
      </w:r>
    </w:p>
  </w:footnote>
  <w:footnote w:id="72">
    <w:p w:rsidR="007208A8" w:rsidRPr="00A01230" w:rsidRDefault="007208A8" w:rsidP="007208A8">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Style w:val="FootnoteReference"/>
          <w:rFonts w:asciiTheme="majorHAnsi" w:hAnsiTheme="majorHAnsi"/>
          <w:sz w:val="16"/>
          <w:szCs w:val="16"/>
          <w:lang w:val="es-CO"/>
        </w:rPr>
        <w:t xml:space="preserve"> </w:t>
      </w:r>
      <w:r w:rsidRPr="00A01230">
        <w:rPr>
          <w:rFonts w:asciiTheme="majorHAnsi" w:hAnsiTheme="majorHAnsi"/>
          <w:sz w:val="16"/>
          <w:szCs w:val="16"/>
          <w:lang w:val="es-CO"/>
        </w:rPr>
        <w:t>Corte IDH. Velásquez Rodríguez Vs. Honduras. Fondo. Sentencia del 29 de julio de 1988. Serie C, No. 6, párr. 177.</w:t>
      </w:r>
    </w:p>
  </w:footnote>
  <w:footnote w:id="73">
    <w:p w:rsidR="007208A8" w:rsidRPr="00A01230" w:rsidRDefault="007208A8" w:rsidP="007208A8">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Style w:val="FootnoteReference"/>
          <w:rFonts w:asciiTheme="majorHAnsi" w:hAnsiTheme="majorHAnsi"/>
          <w:sz w:val="16"/>
          <w:szCs w:val="16"/>
          <w:lang w:val="es-CO"/>
        </w:rPr>
        <w:t xml:space="preserve"> </w:t>
      </w:r>
      <w:r w:rsidRPr="00A01230">
        <w:rPr>
          <w:rStyle w:val="FootnoteTextChar"/>
          <w:rFonts w:asciiTheme="majorHAnsi" w:hAnsiTheme="majorHAnsi"/>
          <w:sz w:val="16"/>
          <w:szCs w:val="16"/>
          <w:lang w:val="es-CO"/>
        </w:rPr>
        <w:t>CIDH. Informe sobre la Situación de las Defensoras y Defensores de los Derechos Humanos en las Américas OEA/</w:t>
      </w:r>
      <w:proofErr w:type="spellStart"/>
      <w:r w:rsidRPr="00A01230">
        <w:rPr>
          <w:rStyle w:val="FootnoteTextChar"/>
          <w:rFonts w:asciiTheme="majorHAnsi" w:hAnsiTheme="majorHAnsi"/>
          <w:sz w:val="16"/>
          <w:szCs w:val="16"/>
          <w:lang w:val="es-CO"/>
        </w:rPr>
        <w:t>Ser.L</w:t>
      </w:r>
      <w:proofErr w:type="spellEnd"/>
      <w:r w:rsidRPr="00A01230">
        <w:rPr>
          <w:rStyle w:val="FootnoteTextChar"/>
          <w:rFonts w:asciiTheme="majorHAnsi" w:hAnsiTheme="majorHAnsi"/>
          <w:sz w:val="16"/>
          <w:szCs w:val="16"/>
          <w:lang w:val="es-CO"/>
        </w:rPr>
        <w:t>/V/II.124. Doc. 5 rev.1, 7 de marzo de 2006, párr. 109., También: Corte IDH, Caso del Tribunal Constitucional Vs. Perú, sentencia del 29 de septiembre de 1999. Serie C Nº 71, párr. 123, Corte IDH, Caso Blake Vs. Guatemala, Reparaciones, Sentencia de 22 de enero de 1999, Serie C Nº 48, párr. 65.</w:t>
      </w:r>
    </w:p>
  </w:footnote>
  <w:footnote w:id="74">
    <w:p w:rsidR="007208A8" w:rsidRPr="00A01230" w:rsidRDefault="007208A8" w:rsidP="007208A8">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Style w:val="FootnoteReference"/>
          <w:rFonts w:asciiTheme="majorHAnsi" w:hAnsiTheme="majorHAnsi"/>
          <w:sz w:val="16"/>
          <w:szCs w:val="16"/>
          <w:lang w:val="es-CO"/>
        </w:rPr>
        <w:t xml:space="preserve"> </w:t>
      </w:r>
      <w:r w:rsidRPr="00A01230">
        <w:rPr>
          <w:rFonts w:asciiTheme="majorHAnsi" w:hAnsiTheme="majorHAnsi"/>
          <w:sz w:val="16"/>
          <w:szCs w:val="16"/>
          <w:lang w:val="es-CO"/>
        </w:rPr>
        <w:t xml:space="preserve">Corte IDH. Caso García Ibarra y otros vs. Ecuador. Excepciones preliminares, Fondo, Reparaciones y Costas. Sentencia de 17 de noviembre de 2015. Serie S No. 306, párr. 143. </w:t>
      </w:r>
    </w:p>
  </w:footnote>
  <w:footnote w:id="75">
    <w:p w:rsidR="007208A8" w:rsidRPr="00A01230" w:rsidRDefault="007208A8" w:rsidP="007208A8">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A01230">
        <w:rPr>
          <w:rFonts w:asciiTheme="majorHAnsi" w:hAnsiTheme="majorHAnsi"/>
          <w:sz w:val="16"/>
          <w:szCs w:val="16"/>
          <w:lang w:val="es-CO"/>
        </w:rPr>
        <w:t xml:space="preserve"> Corte IDH. </w:t>
      </w:r>
      <w:r w:rsidRPr="00A01230">
        <w:rPr>
          <w:rFonts w:asciiTheme="majorHAnsi" w:hAnsiTheme="majorHAnsi"/>
          <w:i/>
          <w:sz w:val="16"/>
          <w:szCs w:val="16"/>
          <w:lang w:val="es-CO"/>
        </w:rPr>
        <w:t>Caso Ortiz Hernández y otros Vs. Venezuela</w:t>
      </w:r>
      <w:r w:rsidRPr="00A01230">
        <w:rPr>
          <w:rFonts w:asciiTheme="majorHAnsi" w:hAnsiTheme="majorHAnsi"/>
          <w:sz w:val="16"/>
          <w:szCs w:val="16"/>
          <w:lang w:val="es-CO"/>
        </w:rPr>
        <w:t xml:space="preserve">. Fondo, Reparaciones y Costas. </w:t>
      </w:r>
      <w:r w:rsidRPr="005C2484">
        <w:rPr>
          <w:rFonts w:asciiTheme="majorHAnsi" w:hAnsiTheme="majorHAnsi"/>
          <w:sz w:val="16"/>
          <w:szCs w:val="16"/>
          <w:lang w:val="es-MX"/>
        </w:rPr>
        <w:t xml:space="preserve">Sentencia de 22 de agosto de 2017. </w:t>
      </w:r>
      <w:proofErr w:type="spellStart"/>
      <w:r w:rsidRPr="00A01230">
        <w:rPr>
          <w:rFonts w:asciiTheme="majorHAnsi" w:hAnsiTheme="majorHAnsi"/>
          <w:sz w:val="16"/>
          <w:szCs w:val="16"/>
        </w:rPr>
        <w:t>Serie</w:t>
      </w:r>
      <w:proofErr w:type="spellEnd"/>
      <w:r w:rsidRPr="00A01230">
        <w:rPr>
          <w:rFonts w:asciiTheme="majorHAnsi" w:hAnsiTheme="majorHAnsi"/>
          <w:sz w:val="16"/>
          <w:szCs w:val="16"/>
        </w:rPr>
        <w:t xml:space="preserve"> C No. 338. </w:t>
      </w:r>
      <w:proofErr w:type="spellStart"/>
      <w:proofErr w:type="gramStart"/>
      <w:r w:rsidRPr="00A01230">
        <w:rPr>
          <w:rFonts w:asciiTheme="majorHAnsi" w:hAnsiTheme="majorHAnsi"/>
          <w:sz w:val="16"/>
          <w:szCs w:val="16"/>
        </w:rPr>
        <w:t>Párr</w:t>
      </w:r>
      <w:proofErr w:type="spellEnd"/>
      <w:r w:rsidRPr="00A01230">
        <w:rPr>
          <w:rFonts w:asciiTheme="majorHAnsi" w:hAnsiTheme="majorHAnsi"/>
          <w:sz w:val="16"/>
          <w:szCs w:val="16"/>
        </w:rPr>
        <w:t>.</w:t>
      </w:r>
      <w:proofErr w:type="gramEnd"/>
      <w:r w:rsidRPr="00A01230">
        <w:rPr>
          <w:rFonts w:asciiTheme="majorHAnsi" w:hAnsiTheme="majorHAnsi"/>
          <w:sz w:val="16"/>
          <w:szCs w:val="16"/>
        </w:rPr>
        <w:t xml:space="preserve"> 161. </w:t>
      </w:r>
    </w:p>
  </w:footnote>
  <w:footnote w:id="76">
    <w:p w:rsidR="007208A8" w:rsidRPr="00A01230" w:rsidRDefault="007208A8" w:rsidP="007208A8">
      <w:pPr>
        <w:pStyle w:val="FootnoteText"/>
        <w:jc w:val="both"/>
        <w:rPr>
          <w:rFonts w:asciiTheme="majorHAnsi" w:hAnsiTheme="majorHAnsi"/>
          <w:sz w:val="16"/>
          <w:szCs w:val="16"/>
          <w:lang w:val="es-CO"/>
        </w:rPr>
      </w:pPr>
      <w:r w:rsidRPr="00A01230">
        <w:rPr>
          <w:rStyle w:val="FootnoteReference"/>
          <w:rFonts w:asciiTheme="majorHAnsi" w:hAnsiTheme="majorHAnsi"/>
          <w:sz w:val="16"/>
          <w:szCs w:val="16"/>
        </w:rPr>
        <w:footnoteRef/>
      </w:r>
      <w:r w:rsidRPr="00A01230">
        <w:rPr>
          <w:rStyle w:val="FootnoteReference"/>
          <w:rFonts w:asciiTheme="majorHAnsi" w:hAnsiTheme="majorHAnsi"/>
          <w:sz w:val="16"/>
          <w:szCs w:val="16"/>
        </w:rPr>
        <w:t xml:space="preserve"> </w:t>
      </w:r>
      <w:proofErr w:type="gramStart"/>
      <w:r w:rsidRPr="00A01230">
        <w:rPr>
          <w:rFonts w:asciiTheme="majorHAnsi" w:hAnsiTheme="majorHAnsi"/>
          <w:sz w:val="16"/>
          <w:szCs w:val="16"/>
        </w:rPr>
        <w:t>UN.</w:t>
      </w:r>
      <w:proofErr w:type="gramEnd"/>
      <w:r w:rsidRPr="00A01230">
        <w:rPr>
          <w:rFonts w:asciiTheme="majorHAnsi" w:hAnsiTheme="majorHAnsi"/>
          <w:sz w:val="16"/>
          <w:szCs w:val="16"/>
        </w:rPr>
        <w:t xml:space="preserve"> The Minnesota Protocol on the Investigation of Potentially Unlawful Death (2016), Office of the United Nations High Commissioner for Human Rights, New York/Geneva, 2017. </w:t>
      </w:r>
      <w:r w:rsidRPr="00A01230">
        <w:rPr>
          <w:rFonts w:asciiTheme="majorHAnsi" w:hAnsiTheme="majorHAnsi"/>
          <w:sz w:val="16"/>
          <w:szCs w:val="16"/>
          <w:lang w:val="es-CO"/>
        </w:rPr>
        <w:t>Párr. 86</w:t>
      </w:r>
    </w:p>
  </w:footnote>
  <w:footnote w:id="77">
    <w:p w:rsidR="00615A5B" w:rsidRPr="00A01230" w:rsidRDefault="00615A5B" w:rsidP="003F4E4C">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 210.</w:t>
      </w:r>
    </w:p>
  </w:footnote>
  <w:footnote w:id="78">
    <w:p w:rsidR="00615A5B" w:rsidRPr="00A01230" w:rsidRDefault="00615A5B" w:rsidP="003F4E4C">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 271.</w:t>
      </w:r>
    </w:p>
  </w:footnote>
  <w:footnote w:id="79">
    <w:p w:rsidR="00615A5B" w:rsidRPr="00A01230" w:rsidRDefault="00615A5B" w:rsidP="003F4E4C">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 263.</w:t>
      </w:r>
    </w:p>
  </w:footnote>
  <w:footnote w:id="80">
    <w:p w:rsidR="00615A5B" w:rsidRPr="00A01230" w:rsidRDefault="00615A5B" w:rsidP="003F4E4C">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 266.</w:t>
      </w:r>
    </w:p>
  </w:footnote>
  <w:footnote w:id="81">
    <w:p w:rsidR="00615A5B" w:rsidRPr="00A01230" w:rsidRDefault="00615A5B" w:rsidP="003F4E4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Interamericana de Derechos Humanos. Opinión Consultiva OC-18/03, 17 de septiembre de 2003, párr. 121.</w:t>
      </w:r>
    </w:p>
  </w:footnote>
  <w:footnote w:id="82">
    <w:p w:rsidR="00615A5B" w:rsidRPr="00A01230" w:rsidRDefault="00615A5B" w:rsidP="003F4E4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Interamericana de Derechos Humanos. Opinión Consultiva OC-18/03, 17 de septiembre de 2003, párr. 112.</w:t>
      </w:r>
    </w:p>
  </w:footnote>
  <w:footnote w:id="83">
    <w:p w:rsidR="00615A5B" w:rsidRPr="00A01230" w:rsidRDefault="00615A5B" w:rsidP="003F4E4C">
      <w:pPr>
        <w:pStyle w:val="FootnoteText"/>
        <w:jc w:val="both"/>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Interamericana de Derechos Humanos. Opinión Consultiva OC-18/03, 17 de septiembre de 2003, párr. 104.</w:t>
      </w:r>
    </w:p>
  </w:footnote>
  <w:footnote w:id="84">
    <w:p w:rsidR="00655C0B" w:rsidRPr="00A01230" w:rsidRDefault="00655C0B" w:rsidP="00655C0B">
      <w:pPr>
        <w:pStyle w:val="FootnoteText"/>
        <w:rPr>
          <w:rFonts w:asciiTheme="majorHAnsi" w:hAnsiTheme="majorHAnsi"/>
          <w:sz w:val="16"/>
          <w:szCs w:val="16"/>
          <w:lang w:val="es-MX"/>
        </w:rPr>
      </w:pPr>
      <w:r w:rsidRPr="00A01230">
        <w:rPr>
          <w:rStyle w:val="FootnoteReference"/>
          <w:rFonts w:asciiTheme="majorHAnsi" w:hAnsiTheme="majorHAnsi"/>
          <w:sz w:val="16"/>
          <w:szCs w:val="16"/>
        </w:rPr>
        <w:footnoteRef/>
      </w:r>
      <w:r w:rsidRPr="00A01230">
        <w:rPr>
          <w:rFonts w:asciiTheme="majorHAnsi" w:hAnsiTheme="majorHAnsi"/>
          <w:sz w:val="16"/>
          <w:szCs w:val="16"/>
          <w:lang w:val="es-MX"/>
        </w:rPr>
        <w:t xml:space="preserve"> Corte IDH, Caso V.R.P., V.P.C. y otros vs. Nicaragua, 8 de marzo de 2018, párr.269.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5B" w:rsidRDefault="00615A5B" w:rsidP="007628B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15A5B" w:rsidRDefault="00615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5B" w:rsidRDefault="00615A5B" w:rsidP="00A50FCF">
    <w:pPr>
      <w:pStyle w:val="Header"/>
      <w:tabs>
        <w:tab w:val="clear" w:pos="4320"/>
        <w:tab w:val="clear" w:pos="8640"/>
      </w:tabs>
      <w:jc w:val="center"/>
      <w:rPr>
        <w:sz w:val="22"/>
        <w:szCs w:val="22"/>
      </w:rPr>
    </w:pPr>
    <w:r>
      <w:rPr>
        <w:noProof/>
        <w:sz w:val="22"/>
        <w:szCs w:val="22"/>
      </w:rPr>
      <w:drawing>
        <wp:inline distT="0" distB="0" distL="0" distR="0" wp14:anchorId="74103D92" wp14:editId="2E17006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15A5B" w:rsidRPr="00EC7D62" w:rsidRDefault="00A762E3" w:rsidP="00A50FCF">
    <w:pPr>
      <w:pStyle w:val="Header"/>
      <w:tabs>
        <w:tab w:val="clear" w:pos="4320"/>
        <w:tab w:val="clear" w:pos="8640"/>
      </w:tabs>
      <w:jc w:val="center"/>
      <w:rPr>
        <w:sz w:val="22"/>
        <w:szCs w:val="22"/>
      </w:rPr>
    </w:pPr>
    <w:r>
      <w:rPr>
        <w:sz w:val="22"/>
        <w:szCs w:val="22"/>
      </w:rPr>
      <w:pict w14:anchorId="43782F23">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6422FBC"/>
    <w:multiLevelType w:val="hybridMultilevel"/>
    <w:tmpl w:val="9F283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E36549A"/>
    <w:multiLevelType w:val="hybridMultilevel"/>
    <w:tmpl w:val="0784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2A6049"/>
    <w:multiLevelType w:val="hybridMultilevel"/>
    <w:tmpl w:val="C81A0DA6"/>
    <w:lvl w:ilvl="0" w:tplc="F1C470E2">
      <w:start w:val="1"/>
      <w:numFmt w:val="upperLetter"/>
      <w:lvlText w:val="%1."/>
      <w:lvlJc w:val="left"/>
      <w:pPr>
        <w:ind w:left="720" w:hanging="360"/>
      </w:pPr>
      <w:rPr>
        <w:rFonts w:asciiTheme="majorHAnsi" w:hAnsiTheme="maj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6C17C09"/>
    <w:multiLevelType w:val="hybridMultilevel"/>
    <w:tmpl w:val="606EB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D7D4B9D"/>
    <w:multiLevelType w:val="hybridMultilevel"/>
    <w:tmpl w:val="353ED9CC"/>
    <w:lvl w:ilvl="0" w:tplc="1208235E">
      <w:start w:val="1"/>
      <w:numFmt w:val="decimal"/>
      <w:lvlText w:val="%1."/>
      <w:lvlJc w:val="left"/>
      <w:pPr>
        <w:ind w:left="135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47F7CB6"/>
    <w:multiLevelType w:val="hybridMultilevel"/>
    <w:tmpl w:val="857E9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19"/>
  </w:num>
  <w:num w:numId="5">
    <w:abstractNumId w:val="48"/>
  </w:num>
  <w:num w:numId="6">
    <w:abstractNumId w:val="25"/>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6"/>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7"/>
  </w:num>
  <w:num w:numId="42">
    <w:abstractNumId w:val="49"/>
  </w:num>
  <w:num w:numId="43">
    <w:abstractNumId w:val="50"/>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8"/>
  </w:num>
  <w:num w:numId="52">
    <w:abstractNumId w:val="40"/>
  </w:num>
  <w:num w:numId="53">
    <w:abstractNumId w:val="51"/>
  </w:num>
  <w:num w:numId="54">
    <w:abstractNumId w:val="45"/>
  </w:num>
  <w:num w:numId="55">
    <w:abstractNumId w:val="46"/>
  </w:num>
  <w:num w:numId="56">
    <w:abstractNumId w:val="43"/>
  </w:num>
  <w:num w:numId="57">
    <w:abstractNumId w:val="23"/>
  </w:num>
  <w:num w:numId="58">
    <w:abstractNumId w:val="27"/>
  </w:num>
  <w:num w:numId="59">
    <w:abstractNumId w:val="53"/>
  </w:num>
  <w:num w:numId="60">
    <w:abstractNumId w:val="28"/>
  </w:num>
  <w:num w:numId="61">
    <w:abstractNumId w:val="42"/>
  </w:num>
  <w:numIdMacAtCleanup w:val="6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41E"/>
    <w:rsid w:val="00002900"/>
    <w:rsid w:val="00005BE2"/>
    <w:rsid w:val="00006896"/>
    <w:rsid w:val="000069FF"/>
    <w:rsid w:val="00006E1F"/>
    <w:rsid w:val="000070D7"/>
    <w:rsid w:val="00010E6E"/>
    <w:rsid w:val="000158FD"/>
    <w:rsid w:val="0001788C"/>
    <w:rsid w:val="00017F2F"/>
    <w:rsid w:val="0002032B"/>
    <w:rsid w:val="00020B7D"/>
    <w:rsid w:val="00023CF9"/>
    <w:rsid w:val="00023F56"/>
    <w:rsid w:val="00026333"/>
    <w:rsid w:val="00030DF0"/>
    <w:rsid w:val="000311D9"/>
    <w:rsid w:val="00036196"/>
    <w:rsid w:val="00036A35"/>
    <w:rsid w:val="00036E60"/>
    <w:rsid w:val="00040C3A"/>
    <w:rsid w:val="00041FAE"/>
    <w:rsid w:val="000501E8"/>
    <w:rsid w:val="00051CDA"/>
    <w:rsid w:val="00054282"/>
    <w:rsid w:val="0005628E"/>
    <w:rsid w:val="00056C09"/>
    <w:rsid w:val="0006195E"/>
    <w:rsid w:val="00061F99"/>
    <w:rsid w:val="000638FC"/>
    <w:rsid w:val="00067A5D"/>
    <w:rsid w:val="000716C5"/>
    <w:rsid w:val="00075E23"/>
    <w:rsid w:val="00077ED1"/>
    <w:rsid w:val="0008768F"/>
    <w:rsid w:val="000915B2"/>
    <w:rsid w:val="00092F4E"/>
    <w:rsid w:val="0009344A"/>
    <w:rsid w:val="000943C9"/>
    <w:rsid w:val="00094DD0"/>
    <w:rsid w:val="0009586C"/>
    <w:rsid w:val="00096532"/>
    <w:rsid w:val="00096753"/>
    <w:rsid w:val="0009692E"/>
    <w:rsid w:val="000979FF"/>
    <w:rsid w:val="000A05ED"/>
    <w:rsid w:val="000A0685"/>
    <w:rsid w:val="000A202C"/>
    <w:rsid w:val="000A2279"/>
    <w:rsid w:val="000A392E"/>
    <w:rsid w:val="000A455B"/>
    <w:rsid w:val="000A575F"/>
    <w:rsid w:val="000A576A"/>
    <w:rsid w:val="000A725C"/>
    <w:rsid w:val="000B30A0"/>
    <w:rsid w:val="000B3F5C"/>
    <w:rsid w:val="000B4AF5"/>
    <w:rsid w:val="000B61BD"/>
    <w:rsid w:val="000C0D45"/>
    <w:rsid w:val="000C395C"/>
    <w:rsid w:val="000C48BF"/>
    <w:rsid w:val="000D10DB"/>
    <w:rsid w:val="000E0667"/>
    <w:rsid w:val="000E5EB5"/>
    <w:rsid w:val="000F35ED"/>
    <w:rsid w:val="001008A8"/>
    <w:rsid w:val="00100F72"/>
    <w:rsid w:val="0010118C"/>
    <w:rsid w:val="00101C0B"/>
    <w:rsid w:val="0010443B"/>
    <w:rsid w:val="00107131"/>
    <w:rsid w:val="0010736F"/>
    <w:rsid w:val="001128CC"/>
    <w:rsid w:val="00112E85"/>
    <w:rsid w:val="00113520"/>
    <w:rsid w:val="00113F73"/>
    <w:rsid w:val="00121015"/>
    <w:rsid w:val="00121AEE"/>
    <w:rsid w:val="00121CC2"/>
    <w:rsid w:val="001310A1"/>
    <w:rsid w:val="00133136"/>
    <w:rsid w:val="00133EE5"/>
    <w:rsid w:val="00133F8D"/>
    <w:rsid w:val="00134732"/>
    <w:rsid w:val="001478C0"/>
    <w:rsid w:val="00147900"/>
    <w:rsid w:val="00162341"/>
    <w:rsid w:val="00166189"/>
    <w:rsid w:val="00167A34"/>
    <w:rsid w:val="00167B14"/>
    <w:rsid w:val="001725EA"/>
    <w:rsid w:val="00173ED1"/>
    <w:rsid w:val="00181F34"/>
    <w:rsid w:val="00183096"/>
    <w:rsid w:val="00191AD7"/>
    <w:rsid w:val="00195178"/>
    <w:rsid w:val="00196F01"/>
    <w:rsid w:val="001A1558"/>
    <w:rsid w:val="001A4C13"/>
    <w:rsid w:val="001A508F"/>
    <w:rsid w:val="001A516A"/>
    <w:rsid w:val="001A57C6"/>
    <w:rsid w:val="001A7303"/>
    <w:rsid w:val="001A7870"/>
    <w:rsid w:val="001B4491"/>
    <w:rsid w:val="001B484C"/>
    <w:rsid w:val="001C103F"/>
    <w:rsid w:val="001C15B9"/>
    <w:rsid w:val="001C1B41"/>
    <w:rsid w:val="001D18C7"/>
    <w:rsid w:val="001D2C72"/>
    <w:rsid w:val="001D5B24"/>
    <w:rsid w:val="001D65EF"/>
    <w:rsid w:val="001D727A"/>
    <w:rsid w:val="001E117B"/>
    <w:rsid w:val="001E15B6"/>
    <w:rsid w:val="001E179B"/>
    <w:rsid w:val="001E4A90"/>
    <w:rsid w:val="001F0398"/>
    <w:rsid w:val="001F207C"/>
    <w:rsid w:val="001F51DA"/>
    <w:rsid w:val="002016E1"/>
    <w:rsid w:val="00201CEF"/>
    <w:rsid w:val="00201E95"/>
    <w:rsid w:val="00204B61"/>
    <w:rsid w:val="002054A8"/>
    <w:rsid w:val="00207D5A"/>
    <w:rsid w:val="00222D91"/>
    <w:rsid w:val="00223317"/>
    <w:rsid w:val="00223FEF"/>
    <w:rsid w:val="002250A3"/>
    <w:rsid w:val="00225FDA"/>
    <w:rsid w:val="00230463"/>
    <w:rsid w:val="00235217"/>
    <w:rsid w:val="0023761B"/>
    <w:rsid w:val="00243AEB"/>
    <w:rsid w:val="00244CAF"/>
    <w:rsid w:val="00246D1F"/>
    <w:rsid w:val="00247403"/>
    <w:rsid w:val="00247542"/>
    <w:rsid w:val="00253179"/>
    <w:rsid w:val="00264E2F"/>
    <w:rsid w:val="00266B61"/>
    <w:rsid w:val="0026712A"/>
    <w:rsid w:val="002704DB"/>
    <w:rsid w:val="00270AC9"/>
    <w:rsid w:val="00275B52"/>
    <w:rsid w:val="00276DF8"/>
    <w:rsid w:val="00277EF9"/>
    <w:rsid w:val="002807CC"/>
    <w:rsid w:val="002827DD"/>
    <w:rsid w:val="00283F06"/>
    <w:rsid w:val="00287CEB"/>
    <w:rsid w:val="00291194"/>
    <w:rsid w:val="00293E27"/>
    <w:rsid w:val="00297849"/>
    <w:rsid w:val="002A01EE"/>
    <w:rsid w:val="002A0AAE"/>
    <w:rsid w:val="002A5820"/>
    <w:rsid w:val="002B1BED"/>
    <w:rsid w:val="002B3F62"/>
    <w:rsid w:val="002B6B02"/>
    <w:rsid w:val="002C455F"/>
    <w:rsid w:val="002C4B20"/>
    <w:rsid w:val="002C508D"/>
    <w:rsid w:val="002D2618"/>
    <w:rsid w:val="002D267F"/>
    <w:rsid w:val="002D2B26"/>
    <w:rsid w:val="002D5C1C"/>
    <w:rsid w:val="002D618D"/>
    <w:rsid w:val="002D7EA2"/>
    <w:rsid w:val="002E187C"/>
    <w:rsid w:val="002E396D"/>
    <w:rsid w:val="002E4AEA"/>
    <w:rsid w:val="002E7CDF"/>
    <w:rsid w:val="002F2BE1"/>
    <w:rsid w:val="00300870"/>
    <w:rsid w:val="00301408"/>
    <w:rsid w:val="00302733"/>
    <w:rsid w:val="00303B1F"/>
    <w:rsid w:val="00303D52"/>
    <w:rsid w:val="00307ABC"/>
    <w:rsid w:val="00311C35"/>
    <w:rsid w:val="00313106"/>
    <w:rsid w:val="00314078"/>
    <w:rsid w:val="0031535D"/>
    <w:rsid w:val="003223C8"/>
    <w:rsid w:val="00323E46"/>
    <w:rsid w:val="0033028D"/>
    <w:rsid w:val="0033169F"/>
    <w:rsid w:val="0033349D"/>
    <w:rsid w:val="00333FE3"/>
    <w:rsid w:val="003346BC"/>
    <w:rsid w:val="00335094"/>
    <w:rsid w:val="00337CA5"/>
    <w:rsid w:val="00346C95"/>
    <w:rsid w:val="00353EC4"/>
    <w:rsid w:val="00356185"/>
    <w:rsid w:val="00356B7C"/>
    <w:rsid w:val="00360380"/>
    <w:rsid w:val="00361415"/>
    <w:rsid w:val="00365872"/>
    <w:rsid w:val="00373A87"/>
    <w:rsid w:val="0037519E"/>
    <w:rsid w:val="00376958"/>
    <w:rsid w:val="00381421"/>
    <w:rsid w:val="00382126"/>
    <w:rsid w:val="00386312"/>
    <w:rsid w:val="00386CF0"/>
    <w:rsid w:val="0039227D"/>
    <w:rsid w:val="003951F2"/>
    <w:rsid w:val="00395CEF"/>
    <w:rsid w:val="00396526"/>
    <w:rsid w:val="00396A13"/>
    <w:rsid w:val="003A01C8"/>
    <w:rsid w:val="003A01CF"/>
    <w:rsid w:val="003C03DB"/>
    <w:rsid w:val="003C06CE"/>
    <w:rsid w:val="003C09D8"/>
    <w:rsid w:val="003C0BDE"/>
    <w:rsid w:val="003C25F3"/>
    <w:rsid w:val="003C44C0"/>
    <w:rsid w:val="003C676B"/>
    <w:rsid w:val="003C73B5"/>
    <w:rsid w:val="003C760A"/>
    <w:rsid w:val="003D28FF"/>
    <w:rsid w:val="003D3BC2"/>
    <w:rsid w:val="003D67C7"/>
    <w:rsid w:val="003D68D5"/>
    <w:rsid w:val="003D7C03"/>
    <w:rsid w:val="003E432F"/>
    <w:rsid w:val="003E6CA1"/>
    <w:rsid w:val="003E7FF9"/>
    <w:rsid w:val="003F4E4C"/>
    <w:rsid w:val="003F5EF5"/>
    <w:rsid w:val="003F66A2"/>
    <w:rsid w:val="004015DA"/>
    <w:rsid w:val="0040429C"/>
    <w:rsid w:val="00407B38"/>
    <w:rsid w:val="0041189B"/>
    <w:rsid w:val="00412E01"/>
    <w:rsid w:val="004165C2"/>
    <w:rsid w:val="004254D2"/>
    <w:rsid w:val="00426114"/>
    <w:rsid w:val="00430B60"/>
    <w:rsid w:val="00431111"/>
    <w:rsid w:val="00431A53"/>
    <w:rsid w:val="004335F4"/>
    <w:rsid w:val="00433CEC"/>
    <w:rsid w:val="00433D31"/>
    <w:rsid w:val="004341E4"/>
    <w:rsid w:val="00434DA4"/>
    <w:rsid w:val="00437655"/>
    <w:rsid w:val="00437CD9"/>
    <w:rsid w:val="00441ECB"/>
    <w:rsid w:val="0044403B"/>
    <w:rsid w:val="00444548"/>
    <w:rsid w:val="00444C21"/>
    <w:rsid w:val="00450506"/>
    <w:rsid w:val="004516A9"/>
    <w:rsid w:val="00454302"/>
    <w:rsid w:val="0045488B"/>
    <w:rsid w:val="00461BF7"/>
    <w:rsid w:val="00467B7E"/>
    <w:rsid w:val="00470891"/>
    <w:rsid w:val="00477592"/>
    <w:rsid w:val="00482EC8"/>
    <w:rsid w:val="00486108"/>
    <w:rsid w:val="00486F1C"/>
    <w:rsid w:val="00487D2F"/>
    <w:rsid w:val="0049010C"/>
    <w:rsid w:val="00490B32"/>
    <w:rsid w:val="004912A9"/>
    <w:rsid w:val="00492B6D"/>
    <w:rsid w:val="0049419D"/>
    <w:rsid w:val="004A0053"/>
    <w:rsid w:val="004A0B79"/>
    <w:rsid w:val="004A0C33"/>
    <w:rsid w:val="004A3DD9"/>
    <w:rsid w:val="004A4935"/>
    <w:rsid w:val="004B0512"/>
    <w:rsid w:val="004B064B"/>
    <w:rsid w:val="004B0FF3"/>
    <w:rsid w:val="004B3EAB"/>
    <w:rsid w:val="004B540F"/>
    <w:rsid w:val="004B5D84"/>
    <w:rsid w:val="004B7591"/>
    <w:rsid w:val="004B7666"/>
    <w:rsid w:val="004C08F9"/>
    <w:rsid w:val="004C0AC9"/>
    <w:rsid w:val="004C20D2"/>
    <w:rsid w:val="004C4B62"/>
    <w:rsid w:val="004C54C9"/>
    <w:rsid w:val="004C790D"/>
    <w:rsid w:val="004D12CB"/>
    <w:rsid w:val="004D195F"/>
    <w:rsid w:val="004D2720"/>
    <w:rsid w:val="004D2D40"/>
    <w:rsid w:val="004D6025"/>
    <w:rsid w:val="004D6618"/>
    <w:rsid w:val="004D70A7"/>
    <w:rsid w:val="004E10FC"/>
    <w:rsid w:val="004E2649"/>
    <w:rsid w:val="004E2840"/>
    <w:rsid w:val="004E7341"/>
    <w:rsid w:val="004E7595"/>
    <w:rsid w:val="004F1877"/>
    <w:rsid w:val="004F2679"/>
    <w:rsid w:val="004F47A6"/>
    <w:rsid w:val="004F627D"/>
    <w:rsid w:val="00500613"/>
    <w:rsid w:val="005009AC"/>
    <w:rsid w:val="00501399"/>
    <w:rsid w:val="00504BE3"/>
    <w:rsid w:val="0050633D"/>
    <w:rsid w:val="00507605"/>
    <w:rsid w:val="00507BC4"/>
    <w:rsid w:val="005109AB"/>
    <w:rsid w:val="005128E4"/>
    <w:rsid w:val="005133DB"/>
    <w:rsid w:val="005143E2"/>
    <w:rsid w:val="005168CE"/>
    <w:rsid w:val="005209A7"/>
    <w:rsid w:val="00521699"/>
    <w:rsid w:val="00525560"/>
    <w:rsid w:val="00533682"/>
    <w:rsid w:val="00534C63"/>
    <w:rsid w:val="005354F3"/>
    <w:rsid w:val="00536923"/>
    <w:rsid w:val="00540FCE"/>
    <w:rsid w:val="005430CE"/>
    <w:rsid w:val="00544C49"/>
    <w:rsid w:val="005516A1"/>
    <w:rsid w:val="00557A45"/>
    <w:rsid w:val="00557C2D"/>
    <w:rsid w:val="005605D6"/>
    <w:rsid w:val="00563BD1"/>
    <w:rsid w:val="00565547"/>
    <w:rsid w:val="00565744"/>
    <w:rsid w:val="00565EA9"/>
    <w:rsid w:val="0057402A"/>
    <w:rsid w:val="00576F8A"/>
    <w:rsid w:val="005771D0"/>
    <w:rsid w:val="00581FAF"/>
    <w:rsid w:val="00582720"/>
    <w:rsid w:val="0058635D"/>
    <w:rsid w:val="00590F1C"/>
    <w:rsid w:val="0059191A"/>
    <w:rsid w:val="005921FF"/>
    <w:rsid w:val="005937F1"/>
    <w:rsid w:val="00594FD9"/>
    <w:rsid w:val="00595C1D"/>
    <w:rsid w:val="00596D98"/>
    <w:rsid w:val="005A104E"/>
    <w:rsid w:val="005A1321"/>
    <w:rsid w:val="005A33B0"/>
    <w:rsid w:val="005A5DC0"/>
    <w:rsid w:val="005A5E4C"/>
    <w:rsid w:val="005A6D0E"/>
    <w:rsid w:val="005B0B2F"/>
    <w:rsid w:val="005B52B0"/>
    <w:rsid w:val="005B5632"/>
    <w:rsid w:val="005B6806"/>
    <w:rsid w:val="005C2484"/>
    <w:rsid w:val="005C27F9"/>
    <w:rsid w:val="005C4225"/>
    <w:rsid w:val="005C4CA5"/>
    <w:rsid w:val="005C5032"/>
    <w:rsid w:val="005C54A0"/>
    <w:rsid w:val="005C5A16"/>
    <w:rsid w:val="005C6658"/>
    <w:rsid w:val="005D01DC"/>
    <w:rsid w:val="005D0DB1"/>
    <w:rsid w:val="005D24E0"/>
    <w:rsid w:val="005D6A3D"/>
    <w:rsid w:val="005E0B62"/>
    <w:rsid w:val="005E6A1B"/>
    <w:rsid w:val="005F0DAD"/>
    <w:rsid w:val="005F0F33"/>
    <w:rsid w:val="005F309E"/>
    <w:rsid w:val="00600DEB"/>
    <w:rsid w:val="00603CAF"/>
    <w:rsid w:val="006125C3"/>
    <w:rsid w:val="00614ABC"/>
    <w:rsid w:val="00615A5B"/>
    <w:rsid w:val="006223A7"/>
    <w:rsid w:val="00622E55"/>
    <w:rsid w:val="006230B7"/>
    <w:rsid w:val="0062433B"/>
    <w:rsid w:val="00627B65"/>
    <w:rsid w:val="00627C9F"/>
    <w:rsid w:val="0063025F"/>
    <w:rsid w:val="0063050E"/>
    <w:rsid w:val="006311E9"/>
    <w:rsid w:val="00632354"/>
    <w:rsid w:val="00632AD5"/>
    <w:rsid w:val="00632BDA"/>
    <w:rsid w:val="00635756"/>
    <w:rsid w:val="0063704C"/>
    <w:rsid w:val="00637BB7"/>
    <w:rsid w:val="00640DE9"/>
    <w:rsid w:val="006425EC"/>
    <w:rsid w:val="00642810"/>
    <w:rsid w:val="00646151"/>
    <w:rsid w:val="006476A0"/>
    <w:rsid w:val="00651449"/>
    <w:rsid w:val="00651D50"/>
    <w:rsid w:val="00652333"/>
    <w:rsid w:val="00655C0B"/>
    <w:rsid w:val="006720DB"/>
    <w:rsid w:val="00673602"/>
    <w:rsid w:val="00673830"/>
    <w:rsid w:val="006776EF"/>
    <w:rsid w:val="0068009E"/>
    <w:rsid w:val="00682703"/>
    <w:rsid w:val="0068450C"/>
    <w:rsid w:val="00685991"/>
    <w:rsid w:val="00687D05"/>
    <w:rsid w:val="00690A77"/>
    <w:rsid w:val="00692219"/>
    <w:rsid w:val="006924FD"/>
    <w:rsid w:val="0069548C"/>
    <w:rsid w:val="00696CA0"/>
    <w:rsid w:val="006A17D2"/>
    <w:rsid w:val="006A4B39"/>
    <w:rsid w:val="006A73E6"/>
    <w:rsid w:val="006B0F71"/>
    <w:rsid w:val="006B28A1"/>
    <w:rsid w:val="006B2D5C"/>
    <w:rsid w:val="006B4D40"/>
    <w:rsid w:val="006B6031"/>
    <w:rsid w:val="006C1A20"/>
    <w:rsid w:val="006C4BB6"/>
    <w:rsid w:val="006C4EB1"/>
    <w:rsid w:val="006C510B"/>
    <w:rsid w:val="006C696D"/>
    <w:rsid w:val="006C6A32"/>
    <w:rsid w:val="006D0F36"/>
    <w:rsid w:val="006D2B3E"/>
    <w:rsid w:val="006D3C75"/>
    <w:rsid w:val="006D5674"/>
    <w:rsid w:val="006D7696"/>
    <w:rsid w:val="006E0166"/>
    <w:rsid w:val="006E4436"/>
    <w:rsid w:val="006E6DF7"/>
    <w:rsid w:val="006E71FF"/>
    <w:rsid w:val="006E7B34"/>
    <w:rsid w:val="006F04D5"/>
    <w:rsid w:val="00700414"/>
    <w:rsid w:val="007030DF"/>
    <w:rsid w:val="00703EEE"/>
    <w:rsid w:val="00704A66"/>
    <w:rsid w:val="00705019"/>
    <w:rsid w:val="0070697F"/>
    <w:rsid w:val="007156A0"/>
    <w:rsid w:val="007161B6"/>
    <w:rsid w:val="007208A8"/>
    <w:rsid w:val="0072199C"/>
    <w:rsid w:val="00722282"/>
    <w:rsid w:val="00722C9F"/>
    <w:rsid w:val="00724EA0"/>
    <w:rsid w:val="007253B8"/>
    <w:rsid w:val="00727D48"/>
    <w:rsid w:val="00730198"/>
    <w:rsid w:val="00730C45"/>
    <w:rsid w:val="007326FF"/>
    <w:rsid w:val="00732C0D"/>
    <w:rsid w:val="007333A2"/>
    <w:rsid w:val="0073541D"/>
    <w:rsid w:val="00736242"/>
    <w:rsid w:val="0073631B"/>
    <w:rsid w:val="0073741F"/>
    <w:rsid w:val="00737D55"/>
    <w:rsid w:val="0074214F"/>
    <w:rsid w:val="00746CD3"/>
    <w:rsid w:val="007628B8"/>
    <w:rsid w:val="00764BC3"/>
    <w:rsid w:val="00765612"/>
    <w:rsid w:val="0076643F"/>
    <w:rsid w:val="007721B2"/>
    <w:rsid w:val="00772A52"/>
    <w:rsid w:val="00777F63"/>
    <w:rsid w:val="00780FA8"/>
    <w:rsid w:val="00781BEA"/>
    <w:rsid w:val="007820E7"/>
    <w:rsid w:val="00783457"/>
    <w:rsid w:val="00784464"/>
    <w:rsid w:val="00784AF6"/>
    <w:rsid w:val="00786E0F"/>
    <w:rsid w:val="00790195"/>
    <w:rsid w:val="00793348"/>
    <w:rsid w:val="007A1C58"/>
    <w:rsid w:val="007A393E"/>
    <w:rsid w:val="007A4AB4"/>
    <w:rsid w:val="007A5817"/>
    <w:rsid w:val="007B5FD6"/>
    <w:rsid w:val="007B60E9"/>
    <w:rsid w:val="007B6CC3"/>
    <w:rsid w:val="007C1876"/>
    <w:rsid w:val="007C3334"/>
    <w:rsid w:val="007C3F77"/>
    <w:rsid w:val="007C756A"/>
    <w:rsid w:val="007C7617"/>
    <w:rsid w:val="007D0332"/>
    <w:rsid w:val="007D2B98"/>
    <w:rsid w:val="007D3E3E"/>
    <w:rsid w:val="007D4D6B"/>
    <w:rsid w:val="007D7E7C"/>
    <w:rsid w:val="007E21BC"/>
    <w:rsid w:val="007E2D4F"/>
    <w:rsid w:val="007E354D"/>
    <w:rsid w:val="007F03E7"/>
    <w:rsid w:val="007F0775"/>
    <w:rsid w:val="007F0D78"/>
    <w:rsid w:val="007F2356"/>
    <w:rsid w:val="007F2820"/>
    <w:rsid w:val="007F4039"/>
    <w:rsid w:val="007F70BF"/>
    <w:rsid w:val="007F7E9A"/>
    <w:rsid w:val="008038AC"/>
    <w:rsid w:val="00803F1C"/>
    <w:rsid w:val="008051F6"/>
    <w:rsid w:val="0080600E"/>
    <w:rsid w:val="00806A39"/>
    <w:rsid w:val="00806C2A"/>
    <w:rsid w:val="008079A0"/>
    <w:rsid w:val="00814D7A"/>
    <w:rsid w:val="00815021"/>
    <w:rsid w:val="00817612"/>
    <w:rsid w:val="008217E6"/>
    <w:rsid w:val="00822AF5"/>
    <w:rsid w:val="00822F62"/>
    <w:rsid w:val="008266A7"/>
    <w:rsid w:val="00830C8A"/>
    <w:rsid w:val="008338A4"/>
    <w:rsid w:val="008350B1"/>
    <w:rsid w:val="00837C45"/>
    <w:rsid w:val="00837F4C"/>
    <w:rsid w:val="00843427"/>
    <w:rsid w:val="00844730"/>
    <w:rsid w:val="00844E95"/>
    <w:rsid w:val="008457C2"/>
    <w:rsid w:val="00846ED4"/>
    <w:rsid w:val="00851EB0"/>
    <w:rsid w:val="00854D66"/>
    <w:rsid w:val="0085641B"/>
    <w:rsid w:val="00857A82"/>
    <w:rsid w:val="008676ED"/>
    <w:rsid w:val="008731FF"/>
    <w:rsid w:val="0087326B"/>
    <w:rsid w:val="00873596"/>
    <w:rsid w:val="00873836"/>
    <w:rsid w:val="00874379"/>
    <w:rsid w:val="00884A9C"/>
    <w:rsid w:val="00884EC7"/>
    <w:rsid w:val="00885737"/>
    <w:rsid w:val="0088741D"/>
    <w:rsid w:val="00890650"/>
    <w:rsid w:val="0089102F"/>
    <w:rsid w:val="008910FD"/>
    <w:rsid w:val="008928CE"/>
    <w:rsid w:val="00894A90"/>
    <w:rsid w:val="00897148"/>
    <w:rsid w:val="00897E12"/>
    <w:rsid w:val="008A138F"/>
    <w:rsid w:val="008A2CFA"/>
    <w:rsid w:val="008A61CD"/>
    <w:rsid w:val="008A7E0F"/>
    <w:rsid w:val="008B12F5"/>
    <w:rsid w:val="008B247E"/>
    <w:rsid w:val="008B6413"/>
    <w:rsid w:val="008B7614"/>
    <w:rsid w:val="008C1675"/>
    <w:rsid w:val="008C1A93"/>
    <w:rsid w:val="008C3098"/>
    <w:rsid w:val="008C3321"/>
    <w:rsid w:val="008C4F2A"/>
    <w:rsid w:val="008C6965"/>
    <w:rsid w:val="008D060A"/>
    <w:rsid w:val="008D1700"/>
    <w:rsid w:val="008D2570"/>
    <w:rsid w:val="008D5B72"/>
    <w:rsid w:val="008D768D"/>
    <w:rsid w:val="008E3759"/>
    <w:rsid w:val="008E4A2D"/>
    <w:rsid w:val="008E58B8"/>
    <w:rsid w:val="008E750F"/>
    <w:rsid w:val="008F1912"/>
    <w:rsid w:val="008F1B28"/>
    <w:rsid w:val="008F604B"/>
    <w:rsid w:val="008F6505"/>
    <w:rsid w:val="008F6A59"/>
    <w:rsid w:val="008F6AF3"/>
    <w:rsid w:val="008F7A4B"/>
    <w:rsid w:val="009014A4"/>
    <w:rsid w:val="0090270B"/>
    <w:rsid w:val="009041DC"/>
    <w:rsid w:val="00906439"/>
    <w:rsid w:val="00916977"/>
    <w:rsid w:val="00917B5A"/>
    <w:rsid w:val="00920A58"/>
    <w:rsid w:val="00920A8C"/>
    <w:rsid w:val="0092111F"/>
    <w:rsid w:val="0092312C"/>
    <w:rsid w:val="00924C74"/>
    <w:rsid w:val="00930A3E"/>
    <w:rsid w:val="00934A2C"/>
    <w:rsid w:val="00934C5B"/>
    <w:rsid w:val="0093655D"/>
    <w:rsid w:val="0094282C"/>
    <w:rsid w:val="00943E95"/>
    <w:rsid w:val="00944D04"/>
    <w:rsid w:val="00946ACC"/>
    <w:rsid w:val="00950E4C"/>
    <w:rsid w:val="00951CBC"/>
    <w:rsid w:val="009521C2"/>
    <w:rsid w:val="00955CF3"/>
    <w:rsid w:val="00955FE6"/>
    <w:rsid w:val="00964E67"/>
    <w:rsid w:val="00965A4E"/>
    <w:rsid w:val="0096706E"/>
    <w:rsid w:val="009671AB"/>
    <w:rsid w:val="0097082E"/>
    <w:rsid w:val="00970A3A"/>
    <w:rsid w:val="00972158"/>
    <w:rsid w:val="00974008"/>
    <w:rsid w:val="00975C4E"/>
    <w:rsid w:val="00980D37"/>
    <w:rsid w:val="0098158E"/>
    <w:rsid w:val="00981FBA"/>
    <w:rsid w:val="009824F8"/>
    <w:rsid w:val="009875CB"/>
    <w:rsid w:val="0099646B"/>
    <w:rsid w:val="00997BC5"/>
    <w:rsid w:val="009A0BE3"/>
    <w:rsid w:val="009A4F41"/>
    <w:rsid w:val="009A519F"/>
    <w:rsid w:val="009A6507"/>
    <w:rsid w:val="009A6A8A"/>
    <w:rsid w:val="009B0487"/>
    <w:rsid w:val="009B381B"/>
    <w:rsid w:val="009B5C33"/>
    <w:rsid w:val="009B6796"/>
    <w:rsid w:val="009C4504"/>
    <w:rsid w:val="009C4EAA"/>
    <w:rsid w:val="009C6EBE"/>
    <w:rsid w:val="009D1753"/>
    <w:rsid w:val="009D2695"/>
    <w:rsid w:val="009D3F8B"/>
    <w:rsid w:val="009D4467"/>
    <w:rsid w:val="009D7611"/>
    <w:rsid w:val="009E03A5"/>
    <w:rsid w:val="009E0B61"/>
    <w:rsid w:val="009E22B1"/>
    <w:rsid w:val="009E53B7"/>
    <w:rsid w:val="009E53DE"/>
    <w:rsid w:val="009E70DB"/>
    <w:rsid w:val="009F00DC"/>
    <w:rsid w:val="009F2EF4"/>
    <w:rsid w:val="009F5796"/>
    <w:rsid w:val="009F673C"/>
    <w:rsid w:val="009F7F1B"/>
    <w:rsid w:val="00A00E01"/>
    <w:rsid w:val="00A01230"/>
    <w:rsid w:val="00A01DC2"/>
    <w:rsid w:val="00A02105"/>
    <w:rsid w:val="00A0307C"/>
    <w:rsid w:val="00A03F85"/>
    <w:rsid w:val="00A06C13"/>
    <w:rsid w:val="00A07079"/>
    <w:rsid w:val="00A1067E"/>
    <w:rsid w:val="00A13B16"/>
    <w:rsid w:val="00A246B0"/>
    <w:rsid w:val="00A25983"/>
    <w:rsid w:val="00A2598E"/>
    <w:rsid w:val="00A262FD"/>
    <w:rsid w:val="00A27B38"/>
    <w:rsid w:val="00A328B3"/>
    <w:rsid w:val="00A33B1E"/>
    <w:rsid w:val="00A347FE"/>
    <w:rsid w:val="00A34B28"/>
    <w:rsid w:val="00A34BD7"/>
    <w:rsid w:val="00A40025"/>
    <w:rsid w:val="00A458F3"/>
    <w:rsid w:val="00A46EEB"/>
    <w:rsid w:val="00A475CC"/>
    <w:rsid w:val="00A50FCF"/>
    <w:rsid w:val="00A514CF"/>
    <w:rsid w:val="00A528D1"/>
    <w:rsid w:val="00A610CD"/>
    <w:rsid w:val="00A630F5"/>
    <w:rsid w:val="00A67CB1"/>
    <w:rsid w:val="00A722F4"/>
    <w:rsid w:val="00A725DB"/>
    <w:rsid w:val="00A75B0A"/>
    <w:rsid w:val="00A75E63"/>
    <w:rsid w:val="00A762E3"/>
    <w:rsid w:val="00A801A3"/>
    <w:rsid w:val="00A80781"/>
    <w:rsid w:val="00A80D05"/>
    <w:rsid w:val="00A814FA"/>
    <w:rsid w:val="00A83A97"/>
    <w:rsid w:val="00A861AB"/>
    <w:rsid w:val="00A86AF5"/>
    <w:rsid w:val="00A8709E"/>
    <w:rsid w:val="00A87B70"/>
    <w:rsid w:val="00AA07B3"/>
    <w:rsid w:val="00AA09A2"/>
    <w:rsid w:val="00AA6049"/>
    <w:rsid w:val="00AA6056"/>
    <w:rsid w:val="00AA6FD4"/>
    <w:rsid w:val="00AA7996"/>
    <w:rsid w:val="00AB09B7"/>
    <w:rsid w:val="00AB28EA"/>
    <w:rsid w:val="00AB54A0"/>
    <w:rsid w:val="00AB704D"/>
    <w:rsid w:val="00AB7254"/>
    <w:rsid w:val="00AC19CB"/>
    <w:rsid w:val="00AC21F3"/>
    <w:rsid w:val="00AC27DB"/>
    <w:rsid w:val="00AC2B55"/>
    <w:rsid w:val="00AC36EF"/>
    <w:rsid w:val="00AC4701"/>
    <w:rsid w:val="00AC55D4"/>
    <w:rsid w:val="00AD2704"/>
    <w:rsid w:val="00AD3D26"/>
    <w:rsid w:val="00AD7929"/>
    <w:rsid w:val="00AD7E70"/>
    <w:rsid w:val="00AE5488"/>
    <w:rsid w:val="00AE5748"/>
    <w:rsid w:val="00AE6F91"/>
    <w:rsid w:val="00AF00B9"/>
    <w:rsid w:val="00AF277B"/>
    <w:rsid w:val="00AF3973"/>
    <w:rsid w:val="00AF5571"/>
    <w:rsid w:val="00AF7988"/>
    <w:rsid w:val="00B05EE2"/>
    <w:rsid w:val="00B0631C"/>
    <w:rsid w:val="00B07184"/>
    <w:rsid w:val="00B07341"/>
    <w:rsid w:val="00B079CA"/>
    <w:rsid w:val="00B109E3"/>
    <w:rsid w:val="00B11F4A"/>
    <w:rsid w:val="00B128B0"/>
    <w:rsid w:val="00B135B4"/>
    <w:rsid w:val="00B14445"/>
    <w:rsid w:val="00B14A3E"/>
    <w:rsid w:val="00B177BE"/>
    <w:rsid w:val="00B215B2"/>
    <w:rsid w:val="00B2285E"/>
    <w:rsid w:val="00B23BB0"/>
    <w:rsid w:val="00B2443E"/>
    <w:rsid w:val="00B265DD"/>
    <w:rsid w:val="00B30539"/>
    <w:rsid w:val="00B30EFD"/>
    <w:rsid w:val="00B314DB"/>
    <w:rsid w:val="00B34CE7"/>
    <w:rsid w:val="00B361F2"/>
    <w:rsid w:val="00B3718B"/>
    <w:rsid w:val="00B37828"/>
    <w:rsid w:val="00B405AB"/>
    <w:rsid w:val="00B4117F"/>
    <w:rsid w:val="00B41F33"/>
    <w:rsid w:val="00B42097"/>
    <w:rsid w:val="00B45E55"/>
    <w:rsid w:val="00B4632A"/>
    <w:rsid w:val="00B464C7"/>
    <w:rsid w:val="00B513B1"/>
    <w:rsid w:val="00B530F1"/>
    <w:rsid w:val="00B54A0C"/>
    <w:rsid w:val="00B55BAD"/>
    <w:rsid w:val="00B57485"/>
    <w:rsid w:val="00B61582"/>
    <w:rsid w:val="00B632D6"/>
    <w:rsid w:val="00B64E13"/>
    <w:rsid w:val="00B66031"/>
    <w:rsid w:val="00B71268"/>
    <w:rsid w:val="00B7136C"/>
    <w:rsid w:val="00B7146D"/>
    <w:rsid w:val="00B72F9C"/>
    <w:rsid w:val="00B77435"/>
    <w:rsid w:val="00B81877"/>
    <w:rsid w:val="00B87CF9"/>
    <w:rsid w:val="00B935E4"/>
    <w:rsid w:val="00B95278"/>
    <w:rsid w:val="00BA276C"/>
    <w:rsid w:val="00BA461E"/>
    <w:rsid w:val="00BA5117"/>
    <w:rsid w:val="00BA55F9"/>
    <w:rsid w:val="00BA57DA"/>
    <w:rsid w:val="00BA6760"/>
    <w:rsid w:val="00BB2AD3"/>
    <w:rsid w:val="00BB2B39"/>
    <w:rsid w:val="00BB306F"/>
    <w:rsid w:val="00BB3AE8"/>
    <w:rsid w:val="00BB4997"/>
    <w:rsid w:val="00BB5CD9"/>
    <w:rsid w:val="00BB717C"/>
    <w:rsid w:val="00BC1180"/>
    <w:rsid w:val="00BC3284"/>
    <w:rsid w:val="00BC6344"/>
    <w:rsid w:val="00BC7E61"/>
    <w:rsid w:val="00BD4B89"/>
    <w:rsid w:val="00BD7779"/>
    <w:rsid w:val="00BE0023"/>
    <w:rsid w:val="00BE20B3"/>
    <w:rsid w:val="00BE2C00"/>
    <w:rsid w:val="00BE70A5"/>
    <w:rsid w:val="00BF02CB"/>
    <w:rsid w:val="00BF11D3"/>
    <w:rsid w:val="00BF17D9"/>
    <w:rsid w:val="00BF18DC"/>
    <w:rsid w:val="00BF22A7"/>
    <w:rsid w:val="00BF2D79"/>
    <w:rsid w:val="00BF6FD8"/>
    <w:rsid w:val="00C003E3"/>
    <w:rsid w:val="00C02D95"/>
    <w:rsid w:val="00C03680"/>
    <w:rsid w:val="00C0417C"/>
    <w:rsid w:val="00C04634"/>
    <w:rsid w:val="00C054DF"/>
    <w:rsid w:val="00C068A4"/>
    <w:rsid w:val="00C114BC"/>
    <w:rsid w:val="00C1398F"/>
    <w:rsid w:val="00C167B0"/>
    <w:rsid w:val="00C16CB5"/>
    <w:rsid w:val="00C16E1D"/>
    <w:rsid w:val="00C171E2"/>
    <w:rsid w:val="00C17B88"/>
    <w:rsid w:val="00C21762"/>
    <w:rsid w:val="00C23210"/>
    <w:rsid w:val="00C24543"/>
    <w:rsid w:val="00C256A2"/>
    <w:rsid w:val="00C30121"/>
    <w:rsid w:val="00C30939"/>
    <w:rsid w:val="00C31824"/>
    <w:rsid w:val="00C40789"/>
    <w:rsid w:val="00C412AF"/>
    <w:rsid w:val="00C46234"/>
    <w:rsid w:val="00C46EE5"/>
    <w:rsid w:val="00C50D25"/>
    <w:rsid w:val="00C51515"/>
    <w:rsid w:val="00C5660B"/>
    <w:rsid w:val="00C61E7A"/>
    <w:rsid w:val="00C62A75"/>
    <w:rsid w:val="00C6346C"/>
    <w:rsid w:val="00C66B72"/>
    <w:rsid w:val="00C67769"/>
    <w:rsid w:val="00C73840"/>
    <w:rsid w:val="00C74432"/>
    <w:rsid w:val="00C74CB4"/>
    <w:rsid w:val="00C763EA"/>
    <w:rsid w:val="00C76601"/>
    <w:rsid w:val="00C80862"/>
    <w:rsid w:val="00C810D8"/>
    <w:rsid w:val="00C820C7"/>
    <w:rsid w:val="00C900A0"/>
    <w:rsid w:val="00C917F0"/>
    <w:rsid w:val="00C92873"/>
    <w:rsid w:val="00C93B73"/>
    <w:rsid w:val="00C9567A"/>
    <w:rsid w:val="00C9582C"/>
    <w:rsid w:val="00C95924"/>
    <w:rsid w:val="00C961F0"/>
    <w:rsid w:val="00C96C28"/>
    <w:rsid w:val="00C97129"/>
    <w:rsid w:val="00C97339"/>
    <w:rsid w:val="00CA6F96"/>
    <w:rsid w:val="00CB212D"/>
    <w:rsid w:val="00CB2583"/>
    <w:rsid w:val="00CB2660"/>
    <w:rsid w:val="00CB3B0F"/>
    <w:rsid w:val="00CB5A69"/>
    <w:rsid w:val="00CC4F93"/>
    <w:rsid w:val="00CC571D"/>
    <w:rsid w:val="00CC5E90"/>
    <w:rsid w:val="00CC63CF"/>
    <w:rsid w:val="00CD046C"/>
    <w:rsid w:val="00CD06DB"/>
    <w:rsid w:val="00CD7885"/>
    <w:rsid w:val="00CD7A0B"/>
    <w:rsid w:val="00CE0297"/>
    <w:rsid w:val="00CE076C"/>
    <w:rsid w:val="00CE09F8"/>
    <w:rsid w:val="00CE4527"/>
    <w:rsid w:val="00CE4B75"/>
    <w:rsid w:val="00CE5199"/>
    <w:rsid w:val="00CE5F50"/>
    <w:rsid w:val="00CE611C"/>
    <w:rsid w:val="00CE66D5"/>
    <w:rsid w:val="00CF186E"/>
    <w:rsid w:val="00CF2B1C"/>
    <w:rsid w:val="00CF473D"/>
    <w:rsid w:val="00CF637A"/>
    <w:rsid w:val="00CF6C5B"/>
    <w:rsid w:val="00D01253"/>
    <w:rsid w:val="00D02059"/>
    <w:rsid w:val="00D023AD"/>
    <w:rsid w:val="00D02C2D"/>
    <w:rsid w:val="00D05529"/>
    <w:rsid w:val="00D059DE"/>
    <w:rsid w:val="00D064A7"/>
    <w:rsid w:val="00D12193"/>
    <w:rsid w:val="00D12475"/>
    <w:rsid w:val="00D12B28"/>
    <w:rsid w:val="00D13213"/>
    <w:rsid w:val="00D13BEE"/>
    <w:rsid w:val="00D13FCE"/>
    <w:rsid w:val="00D14F51"/>
    <w:rsid w:val="00D206BB"/>
    <w:rsid w:val="00D20D55"/>
    <w:rsid w:val="00D2457A"/>
    <w:rsid w:val="00D306D1"/>
    <w:rsid w:val="00D30DCA"/>
    <w:rsid w:val="00D31262"/>
    <w:rsid w:val="00D32AC4"/>
    <w:rsid w:val="00D34786"/>
    <w:rsid w:val="00D37BFC"/>
    <w:rsid w:val="00D427B9"/>
    <w:rsid w:val="00D43763"/>
    <w:rsid w:val="00D45CAB"/>
    <w:rsid w:val="00D47A8E"/>
    <w:rsid w:val="00D52B37"/>
    <w:rsid w:val="00D52D14"/>
    <w:rsid w:val="00D54D22"/>
    <w:rsid w:val="00D5578A"/>
    <w:rsid w:val="00D65734"/>
    <w:rsid w:val="00D67861"/>
    <w:rsid w:val="00D712D3"/>
    <w:rsid w:val="00D71422"/>
    <w:rsid w:val="00D72DC6"/>
    <w:rsid w:val="00D73049"/>
    <w:rsid w:val="00D7558D"/>
    <w:rsid w:val="00D81D92"/>
    <w:rsid w:val="00D83D73"/>
    <w:rsid w:val="00D84330"/>
    <w:rsid w:val="00D8496A"/>
    <w:rsid w:val="00D850B4"/>
    <w:rsid w:val="00D86EA3"/>
    <w:rsid w:val="00D93B8F"/>
    <w:rsid w:val="00D96E66"/>
    <w:rsid w:val="00DA1AB6"/>
    <w:rsid w:val="00DA2ED1"/>
    <w:rsid w:val="00DA5F1A"/>
    <w:rsid w:val="00DA7B5F"/>
    <w:rsid w:val="00DB1970"/>
    <w:rsid w:val="00DB4745"/>
    <w:rsid w:val="00DB4A13"/>
    <w:rsid w:val="00DB7072"/>
    <w:rsid w:val="00DB7999"/>
    <w:rsid w:val="00DC11E7"/>
    <w:rsid w:val="00DC22C4"/>
    <w:rsid w:val="00DC5C45"/>
    <w:rsid w:val="00DC7023"/>
    <w:rsid w:val="00DC769A"/>
    <w:rsid w:val="00DD1F37"/>
    <w:rsid w:val="00DD3D86"/>
    <w:rsid w:val="00DD4821"/>
    <w:rsid w:val="00DD6D1A"/>
    <w:rsid w:val="00DE16DB"/>
    <w:rsid w:val="00DE1751"/>
    <w:rsid w:val="00DE7E73"/>
    <w:rsid w:val="00DF0F89"/>
    <w:rsid w:val="00DF1EC4"/>
    <w:rsid w:val="00DF20FB"/>
    <w:rsid w:val="00DF2415"/>
    <w:rsid w:val="00DF7A9E"/>
    <w:rsid w:val="00DF7ADC"/>
    <w:rsid w:val="00E0340B"/>
    <w:rsid w:val="00E03CE8"/>
    <w:rsid w:val="00E048FD"/>
    <w:rsid w:val="00E04A90"/>
    <w:rsid w:val="00E059EE"/>
    <w:rsid w:val="00E06B21"/>
    <w:rsid w:val="00E14AFB"/>
    <w:rsid w:val="00E219C7"/>
    <w:rsid w:val="00E22D7C"/>
    <w:rsid w:val="00E24CF3"/>
    <w:rsid w:val="00E30333"/>
    <w:rsid w:val="00E3162B"/>
    <w:rsid w:val="00E31FAC"/>
    <w:rsid w:val="00E339CA"/>
    <w:rsid w:val="00E34646"/>
    <w:rsid w:val="00E35C37"/>
    <w:rsid w:val="00E369DE"/>
    <w:rsid w:val="00E4003B"/>
    <w:rsid w:val="00E419A8"/>
    <w:rsid w:val="00E42644"/>
    <w:rsid w:val="00E43143"/>
    <w:rsid w:val="00E43157"/>
    <w:rsid w:val="00E461CE"/>
    <w:rsid w:val="00E46554"/>
    <w:rsid w:val="00E52B4E"/>
    <w:rsid w:val="00E62122"/>
    <w:rsid w:val="00E65360"/>
    <w:rsid w:val="00E70B09"/>
    <w:rsid w:val="00E720CA"/>
    <w:rsid w:val="00E75D30"/>
    <w:rsid w:val="00E772A9"/>
    <w:rsid w:val="00E80C74"/>
    <w:rsid w:val="00E80DA2"/>
    <w:rsid w:val="00E810C3"/>
    <w:rsid w:val="00E83005"/>
    <w:rsid w:val="00E83C90"/>
    <w:rsid w:val="00E844F5"/>
    <w:rsid w:val="00E84EB5"/>
    <w:rsid w:val="00E85073"/>
    <w:rsid w:val="00E85662"/>
    <w:rsid w:val="00E86132"/>
    <w:rsid w:val="00E8789F"/>
    <w:rsid w:val="00E87D06"/>
    <w:rsid w:val="00E909AA"/>
    <w:rsid w:val="00E914F9"/>
    <w:rsid w:val="00E940BB"/>
    <w:rsid w:val="00E9513E"/>
    <w:rsid w:val="00E95905"/>
    <w:rsid w:val="00E964AD"/>
    <w:rsid w:val="00E97B71"/>
    <w:rsid w:val="00EA008A"/>
    <w:rsid w:val="00EA19BA"/>
    <w:rsid w:val="00EA2A56"/>
    <w:rsid w:val="00EA3D34"/>
    <w:rsid w:val="00EB4114"/>
    <w:rsid w:val="00EB454D"/>
    <w:rsid w:val="00EB5C5C"/>
    <w:rsid w:val="00EB5CCF"/>
    <w:rsid w:val="00EC10AE"/>
    <w:rsid w:val="00EC145D"/>
    <w:rsid w:val="00EC1CCF"/>
    <w:rsid w:val="00EC3D46"/>
    <w:rsid w:val="00ED76BE"/>
    <w:rsid w:val="00EE3009"/>
    <w:rsid w:val="00EE50B7"/>
    <w:rsid w:val="00EF175E"/>
    <w:rsid w:val="00EF4E97"/>
    <w:rsid w:val="00EF619B"/>
    <w:rsid w:val="00EF6AA7"/>
    <w:rsid w:val="00F002BB"/>
    <w:rsid w:val="00F00B55"/>
    <w:rsid w:val="00F0124F"/>
    <w:rsid w:val="00F02AD1"/>
    <w:rsid w:val="00F036FB"/>
    <w:rsid w:val="00F04DBC"/>
    <w:rsid w:val="00F104E1"/>
    <w:rsid w:val="00F11A8B"/>
    <w:rsid w:val="00F134AF"/>
    <w:rsid w:val="00F16C43"/>
    <w:rsid w:val="00F17AAF"/>
    <w:rsid w:val="00F22148"/>
    <w:rsid w:val="00F248C8"/>
    <w:rsid w:val="00F253CC"/>
    <w:rsid w:val="00F3158F"/>
    <w:rsid w:val="00F31982"/>
    <w:rsid w:val="00F34927"/>
    <w:rsid w:val="00F354A2"/>
    <w:rsid w:val="00F35B82"/>
    <w:rsid w:val="00F37106"/>
    <w:rsid w:val="00F4183B"/>
    <w:rsid w:val="00F47417"/>
    <w:rsid w:val="00F519CF"/>
    <w:rsid w:val="00F52779"/>
    <w:rsid w:val="00F5409E"/>
    <w:rsid w:val="00F56BA5"/>
    <w:rsid w:val="00F56F58"/>
    <w:rsid w:val="00F57F5F"/>
    <w:rsid w:val="00F60E22"/>
    <w:rsid w:val="00F73104"/>
    <w:rsid w:val="00F7335F"/>
    <w:rsid w:val="00F75295"/>
    <w:rsid w:val="00F75A43"/>
    <w:rsid w:val="00F77D0C"/>
    <w:rsid w:val="00F805FB"/>
    <w:rsid w:val="00F81395"/>
    <w:rsid w:val="00F8358D"/>
    <w:rsid w:val="00F84236"/>
    <w:rsid w:val="00F849B5"/>
    <w:rsid w:val="00F902EB"/>
    <w:rsid w:val="00F917D1"/>
    <w:rsid w:val="00F921F4"/>
    <w:rsid w:val="00F949F1"/>
    <w:rsid w:val="00F95362"/>
    <w:rsid w:val="00F9653B"/>
    <w:rsid w:val="00F965FB"/>
    <w:rsid w:val="00FA7A0C"/>
    <w:rsid w:val="00FB12D8"/>
    <w:rsid w:val="00FB62CF"/>
    <w:rsid w:val="00FC4C1C"/>
    <w:rsid w:val="00FC5606"/>
    <w:rsid w:val="00FD1737"/>
    <w:rsid w:val="00FD3268"/>
    <w:rsid w:val="00FD3C3B"/>
    <w:rsid w:val="00FD42E0"/>
    <w:rsid w:val="00FD5A99"/>
    <w:rsid w:val="00FE07DD"/>
    <w:rsid w:val="00FE5C69"/>
    <w:rsid w:val="00FE6B45"/>
    <w:rsid w:val="00FE7317"/>
    <w:rsid w:val="00FF2C18"/>
    <w:rsid w:val="00FF439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paragraph" w:styleId="NoSpacing">
    <w:name w:val="No Spacing"/>
    <w:uiPriority w:val="1"/>
    <w:qFormat/>
    <w:rsid w:val="00BA67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CommentReference">
    <w:name w:val="annotation reference"/>
    <w:basedOn w:val="DefaultParagraphFont"/>
    <w:uiPriority w:val="99"/>
    <w:semiHidden/>
    <w:unhideWhenUsed/>
    <w:rsid w:val="00906439"/>
    <w:rPr>
      <w:sz w:val="18"/>
      <w:szCs w:val="18"/>
    </w:rPr>
  </w:style>
  <w:style w:type="paragraph" w:styleId="CommentText">
    <w:name w:val="annotation text"/>
    <w:basedOn w:val="Normal"/>
    <w:link w:val="CommentTextChar"/>
    <w:uiPriority w:val="99"/>
    <w:semiHidden/>
    <w:unhideWhenUsed/>
    <w:rsid w:val="00906439"/>
  </w:style>
  <w:style w:type="character" w:customStyle="1" w:styleId="CommentTextChar">
    <w:name w:val="Comment Text Char"/>
    <w:basedOn w:val="DefaultParagraphFont"/>
    <w:link w:val="CommentText"/>
    <w:uiPriority w:val="99"/>
    <w:semiHidden/>
    <w:rsid w:val="0090643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25983"/>
    <w:rPr>
      <w:b/>
      <w:bCs/>
      <w:sz w:val="20"/>
      <w:szCs w:val="20"/>
    </w:rPr>
  </w:style>
  <w:style w:type="character" w:customStyle="1" w:styleId="CommentSubjectChar">
    <w:name w:val="Comment Subject Char"/>
    <w:basedOn w:val="CommentTextChar"/>
    <w:link w:val="CommentSubject"/>
    <w:uiPriority w:val="99"/>
    <w:semiHidden/>
    <w:rsid w:val="00A25983"/>
    <w:rPr>
      <w:b/>
      <w:bCs/>
      <w:sz w:val="24"/>
      <w:szCs w:val="24"/>
      <w:lang w:val="en-US" w:eastAsia="en-US"/>
    </w:rPr>
  </w:style>
  <w:style w:type="character" w:styleId="PlaceholderText">
    <w:name w:val="Placeholder Text"/>
    <w:basedOn w:val="DefaultParagraphFont"/>
    <w:uiPriority w:val="99"/>
    <w:semiHidden/>
    <w:rsid w:val="00BC6344"/>
    <w:rPr>
      <w:color w:val="808080"/>
    </w:rPr>
  </w:style>
  <w:style w:type="character" w:styleId="Strong">
    <w:name w:val="Strong"/>
    <w:uiPriority w:val="22"/>
    <w:qFormat/>
    <w:rsid w:val="00521699"/>
    <w:rPr>
      <w:b/>
      <w:bCs/>
    </w:rPr>
  </w:style>
  <w:style w:type="paragraph" w:styleId="TOCHeading">
    <w:name w:val="TOC Heading"/>
    <w:basedOn w:val="Heading1"/>
    <w:next w:val="Normal"/>
    <w:uiPriority w:val="39"/>
    <w:semiHidden/>
    <w:unhideWhenUsed/>
    <w:qFormat/>
    <w:rsid w:val="00B935E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paragraph" w:styleId="NoSpacing">
    <w:name w:val="No Spacing"/>
    <w:uiPriority w:val="1"/>
    <w:qFormat/>
    <w:rsid w:val="00BA67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CommentReference">
    <w:name w:val="annotation reference"/>
    <w:basedOn w:val="DefaultParagraphFont"/>
    <w:uiPriority w:val="99"/>
    <w:semiHidden/>
    <w:unhideWhenUsed/>
    <w:rsid w:val="00906439"/>
    <w:rPr>
      <w:sz w:val="18"/>
      <w:szCs w:val="18"/>
    </w:rPr>
  </w:style>
  <w:style w:type="paragraph" w:styleId="CommentText">
    <w:name w:val="annotation text"/>
    <w:basedOn w:val="Normal"/>
    <w:link w:val="CommentTextChar"/>
    <w:uiPriority w:val="99"/>
    <w:semiHidden/>
    <w:unhideWhenUsed/>
    <w:rsid w:val="00906439"/>
  </w:style>
  <w:style w:type="character" w:customStyle="1" w:styleId="CommentTextChar">
    <w:name w:val="Comment Text Char"/>
    <w:basedOn w:val="DefaultParagraphFont"/>
    <w:link w:val="CommentText"/>
    <w:uiPriority w:val="99"/>
    <w:semiHidden/>
    <w:rsid w:val="0090643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25983"/>
    <w:rPr>
      <w:b/>
      <w:bCs/>
      <w:sz w:val="20"/>
      <w:szCs w:val="20"/>
    </w:rPr>
  </w:style>
  <w:style w:type="character" w:customStyle="1" w:styleId="CommentSubjectChar">
    <w:name w:val="Comment Subject Char"/>
    <w:basedOn w:val="CommentTextChar"/>
    <w:link w:val="CommentSubject"/>
    <w:uiPriority w:val="99"/>
    <w:semiHidden/>
    <w:rsid w:val="00A25983"/>
    <w:rPr>
      <w:b/>
      <w:bCs/>
      <w:sz w:val="24"/>
      <w:szCs w:val="24"/>
      <w:lang w:val="en-US" w:eastAsia="en-US"/>
    </w:rPr>
  </w:style>
  <w:style w:type="character" w:styleId="PlaceholderText">
    <w:name w:val="Placeholder Text"/>
    <w:basedOn w:val="DefaultParagraphFont"/>
    <w:uiPriority w:val="99"/>
    <w:semiHidden/>
    <w:rsid w:val="00BC6344"/>
    <w:rPr>
      <w:color w:val="808080"/>
    </w:rPr>
  </w:style>
  <w:style w:type="character" w:styleId="Strong">
    <w:name w:val="Strong"/>
    <w:uiPriority w:val="22"/>
    <w:qFormat/>
    <w:rsid w:val="00521699"/>
    <w:rPr>
      <w:b/>
      <w:bCs/>
    </w:rPr>
  </w:style>
  <w:style w:type="paragraph" w:styleId="TOCHeading">
    <w:name w:val="TOC Heading"/>
    <w:basedOn w:val="Heading1"/>
    <w:next w:val="Normal"/>
    <w:uiPriority w:val="39"/>
    <w:semiHidden/>
    <w:unhideWhenUsed/>
    <w:qFormat/>
    <w:rsid w:val="00B935E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6814">
      <w:bodyDiv w:val="1"/>
      <w:marLeft w:val="0"/>
      <w:marRight w:val="0"/>
      <w:marTop w:val="0"/>
      <w:marBottom w:val="0"/>
      <w:divBdr>
        <w:top w:val="none" w:sz="0" w:space="0" w:color="auto"/>
        <w:left w:val="none" w:sz="0" w:space="0" w:color="auto"/>
        <w:bottom w:val="none" w:sz="0" w:space="0" w:color="auto"/>
        <w:right w:val="none" w:sz="0" w:space="0" w:color="auto"/>
      </w:divBdr>
    </w:div>
    <w:div w:id="886185896">
      <w:bodyDiv w:val="1"/>
      <w:marLeft w:val="0"/>
      <w:marRight w:val="0"/>
      <w:marTop w:val="0"/>
      <w:marBottom w:val="0"/>
      <w:divBdr>
        <w:top w:val="none" w:sz="0" w:space="0" w:color="auto"/>
        <w:left w:val="none" w:sz="0" w:space="0" w:color="auto"/>
        <w:bottom w:val="none" w:sz="0" w:space="0" w:color="auto"/>
        <w:right w:val="none" w:sz="0" w:space="0" w:color="auto"/>
      </w:divBdr>
    </w:div>
    <w:div w:id="139546938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1B6C-BE8A-4425-8756-C61E4E4B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8386</Words>
  <Characters>47802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2019-01-24T15:25:00Z</cp:lastPrinted>
  <dcterms:created xsi:type="dcterms:W3CDTF">2019-01-24T15:31:00Z</dcterms:created>
  <dcterms:modified xsi:type="dcterms:W3CDTF">2019-01-24T16:02:00Z</dcterms:modified>
</cp:coreProperties>
</file>