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FD7742" w:rsidRDefault="00D42955" w:rsidP="00627C9F">
      <w:pPr>
        <w:jc w:val="both"/>
        <w:rPr>
          <w:rFonts w:ascii="Cambria" w:hAnsi="Cambria" w:cs="Univers"/>
          <w:b/>
          <w:bCs/>
          <w:sz w:val="20"/>
          <w:szCs w:val="20"/>
          <w:lang w:val="es-ES_tradnl"/>
        </w:rPr>
      </w:pPr>
      <w:r w:rsidRPr="00FD7742">
        <w:rPr>
          <w:rFonts w:ascii="Cambria" w:hAnsi="Cambria"/>
          <w:noProof/>
          <w:sz w:val="20"/>
          <w:szCs w:val="20"/>
          <w:lang w:val="es-ES" w:eastAsia="es-ES"/>
        </w:rPr>
        <mc:AlternateContent>
          <mc:Choice Requires="wps">
            <w:drawing>
              <wp:anchor distT="0" distB="0" distL="114300" distR="114300" simplePos="0" relativeHeight="251654144" behindDoc="0" locked="0" layoutInCell="1" allowOverlap="1">
                <wp:simplePos x="0" y="0"/>
                <wp:positionH relativeFrom="column">
                  <wp:posOffset>-415290</wp:posOffset>
                </wp:positionH>
                <wp:positionV relativeFrom="paragraph">
                  <wp:posOffset>-438785</wp:posOffset>
                </wp:positionV>
                <wp:extent cx="1543050" cy="9096375"/>
                <wp:effectExtent l="0" t="0" r="0" b="952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395C59" id="Rectangle 1" o:spid="_x0000_s1026" style="position:absolute;margin-left:-32.7pt;margin-top:-34.55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" fillcolor="#4a7194" stroked="f" strokeweight="2pt">
                <v:path arrowok="t"/>
              </v:rect>
            </w:pict>
          </mc:Fallback>
        </mc:AlternateContent>
      </w:r>
      <w:r w:rsidRPr="00FD7742">
        <w:rPr>
          <w:rFonts w:ascii="Cambria" w:hAnsi="Cambria"/>
          <w:noProof/>
          <w:sz w:val="20"/>
          <w:szCs w:val="20"/>
          <w:lang w:val="es-ES" w:eastAsia="es-ES"/>
        </w:rPr>
        <mc:AlternateContent>
          <mc:Choice Requires="wps">
            <w:drawing>
              <wp:anchor distT="0" distB="0" distL="114300" distR="114300" simplePos="0" relativeHeight="251658240" behindDoc="0" locked="0" layoutInCell="1" allowOverlap="1">
                <wp:simplePos x="0" y="0"/>
                <wp:positionH relativeFrom="column">
                  <wp:posOffset>1282065</wp:posOffset>
                </wp:positionH>
                <wp:positionV relativeFrom="paragraph">
                  <wp:posOffset>-423545</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rsidR="00BB0B93" w:rsidRDefault="00BB0B93" w:rsidP="00AE5488">
                            <w:r w:rsidRPr="007372D2">
                              <w:rPr>
                                <w:noProof/>
                                <w:lang w:val="es-ES" w:eastAsia="es-ES"/>
                              </w:rPr>
                              <w:drawing>
                                <wp:inline distT="0" distB="0" distL="0" distR="0">
                                  <wp:extent cx="2647950" cy="504825"/>
                                  <wp:effectExtent l="0" t="0" r="0" b="9525"/>
                                  <wp:docPr id="3" name="Picture 1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50482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35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" filled="f" stroked="f" strokeweight=".5pt">
                <v:path arrowok="t"/>
                <v:textbox>
                  <w:txbxContent>
                    <w:p w:rsidR="00BB0B93" w:rsidRDefault="00BB0B93" w:rsidP="00AE5488">
                      <w:r w:rsidRPr="007372D2">
                        <w:rPr>
                          <w:noProof/>
                          <w:lang w:val="es-ES" w:eastAsia="es-ES"/>
                        </w:rPr>
                        <w:drawing>
                          <wp:inline distT="0" distB="0" distL="0" distR="0">
                            <wp:extent cx="2647950" cy="504825"/>
                            <wp:effectExtent l="0" t="0" r="0" b="9525"/>
                            <wp:docPr id="3" name="Picture 1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504825"/>
                                    </a:xfrm>
                                    <a:prstGeom prst="rect">
                                      <a:avLst/>
                                    </a:prstGeom>
                                    <a:noFill/>
                                    <a:ln>
                                      <a:noFill/>
                                    </a:ln>
                                  </pic:spPr>
                                </pic:pic>
                              </a:graphicData>
                            </a:graphic>
                          </wp:inline>
                        </w:drawing>
                      </w:r>
                      <w:r>
                        <w:tab/>
                        <w:t xml:space="preserve">                              </w:t>
                      </w:r>
                    </w:p>
                  </w:txbxContent>
                </v:textbox>
              </v:shape>
            </w:pict>
          </mc:Fallback>
        </mc:AlternateContent>
      </w:r>
    </w:p>
    <w:p w:rsidR="00040C3A" w:rsidRPr="00FD7742" w:rsidRDefault="00040C3A" w:rsidP="00040C3A">
      <w:pPr>
        <w:tabs>
          <w:tab w:val="center" w:pos="5400"/>
        </w:tabs>
        <w:suppressAutoHyphens/>
        <w:jc w:val="both"/>
        <w:rPr>
          <w:rFonts w:ascii="Cambria" w:hAnsi="Cambria"/>
          <w:sz w:val="20"/>
          <w:szCs w:val="20"/>
          <w:lang w:val="es-ES_tradnl"/>
        </w:rPr>
      </w:pPr>
    </w:p>
    <w:p w:rsidR="00040C3A" w:rsidRPr="00FD7742" w:rsidRDefault="00040C3A" w:rsidP="00040C3A">
      <w:pPr>
        <w:tabs>
          <w:tab w:val="center" w:pos="5400"/>
        </w:tabs>
        <w:suppressAutoHyphens/>
        <w:jc w:val="both"/>
        <w:rPr>
          <w:rFonts w:ascii="Cambria" w:hAnsi="Cambria"/>
          <w:sz w:val="20"/>
          <w:szCs w:val="20"/>
          <w:lang w:val="es-ES_tradnl"/>
        </w:rPr>
      </w:pPr>
    </w:p>
    <w:p w:rsidR="005128E4" w:rsidRPr="00FD7742" w:rsidRDefault="005128E4" w:rsidP="00040C3A">
      <w:pPr>
        <w:tabs>
          <w:tab w:val="center" w:pos="5400"/>
        </w:tabs>
        <w:suppressAutoHyphens/>
        <w:rPr>
          <w:rFonts w:ascii="Cambria" w:hAnsi="Cambria"/>
          <w:sz w:val="20"/>
          <w:szCs w:val="20"/>
          <w:lang w:val="es-ES_tradnl"/>
        </w:rPr>
      </w:pPr>
    </w:p>
    <w:p w:rsidR="005128E4" w:rsidRPr="00FD7742" w:rsidRDefault="005128E4" w:rsidP="00040C3A">
      <w:pPr>
        <w:tabs>
          <w:tab w:val="center" w:pos="5400"/>
        </w:tabs>
        <w:suppressAutoHyphens/>
        <w:rPr>
          <w:rFonts w:ascii="Cambria" w:hAnsi="Cambria"/>
          <w:sz w:val="20"/>
          <w:szCs w:val="20"/>
          <w:lang w:val="es-ES_tradnl"/>
        </w:rPr>
      </w:pPr>
    </w:p>
    <w:p w:rsidR="005128E4" w:rsidRPr="00FD7742" w:rsidRDefault="005128E4" w:rsidP="00040C3A">
      <w:pPr>
        <w:tabs>
          <w:tab w:val="center" w:pos="5400"/>
        </w:tabs>
        <w:suppressAutoHyphens/>
        <w:rPr>
          <w:rFonts w:ascii="Cambria" w:hAnsi="Cambria"/>
          <w:sz w:val="20"/>
          <w:szCs w:val="20"/>
          <w:lang w:val="es-ES_tradnl"/>
        </w:rPr>
      </w:pPr>
    </w:p>
    <w:p w:rsidR="00040C3A" w:rsidRPr="00FD7742" w:rsidRDefault="00040C3A" w:rsidP="005128E4">
      <w:pPr>
        <w:tabs>
          <w:tab w:val="center" w:pos="5400"/>
        </w:tabs>
        <w:suppressAutoHyphens/>
        <w:jc w:val="center"/>
        <w:rPr>
          <w:rFonts w:ascii="Cambria" w:hAnsi="Cambria"/>
          <w:sz w:val="20"/>
          <w:szCs w:val="20"/>
          <w:lang w:val="es-ES_tradnl"/>
        </w:rPr>
      </w:pPr>
    </w:p>
    <w:p w:rsidR="00040C3A" w:rsidRPr="00FD7742" w:rsidRDefault="00040C3A" w:rsidP="005128E4">
      <w:pPr>
        <w:tabs>
          <w:tab w:val="center" w:pos="5400"/>
        </w:tabs>
        <w:suppressAutoHyphens/>
        <w:jc w:val="center"/>
        <w:rPr>
          <w:rFonts w:ascii="Cambria" w:hAnsi="Cambria"/>
          <w:sz w:val="20"/>
          <w:szCs w:val="20"/>
          <w:lang w:val="es-ES_tradnl"/>
        </w:rPr>
      </w:pPr>
    </w:p>
    <w:p w:rsidR="005B52B0" w:rsidRPr="00FD7742" w:rsidRDefault="005B52B0" w:rsidP="005128E4">
      <w:pPr>
        <w:tabs>
          <w:tab w:val="center" w:pos="5400"/>
        </w:tabs>
        <w:suppressAutoHyphens/>
        <w:jc w:val="center"/>
        <w:rPr>
          <w:rFonts w:ascii="Cambria" w:hAnsi="Cambria"/>
          <w:sz w:val="20"/>
          <w:szCs w:val="20"/>
          <w:lang w:val="es-ES_tradnl"/>
        </w:rPr>
      </w:pPr>
    </w:p>
    <w:p w:rsidR="005B52B0" w:rsidRPr="00FD7742" w:rsidRDefault="005B52B0" w:rsidP="005128E4">
      <w:pPr>
        <w:tabs>
          <w:tab w:val="center" w:pos="5400"/>
        </w:tabs>
        <w:suppressAutoHyphens/>
        <w:jc w:val="center"/>
        <w:rPr>
          <w:rFonts w:ascii="Cambria" w:hAnsi="Cambria"/>
          <w:sz w:val="20"/>
          <w:szCs w:val="20"/>
          <w:lang w:val="es-ES_tradnl"/>
        </w:rPr>
      </w:pPr>
    </w:p>
    <w:p w:rsidR="005B52B0" w:rsidRPr="00FD7742" w:rsidRDefault="005B52B0" w:rsidP="005128E4">
      <w:pPr>
        <w:tabs>
          <w:tab w:val="center" w:pos="5400"/>
        </w:tabs>
        <w:suppressAutoHyphens/>
        <w:jc w:val="center"/>
        <w:rPr>
          <w:rFonts w:ascii="Cambria" w:hAnsi="Cambria"/>
          <w:sz w:val="20"/>
          <w:szCs w:val="20"/>
          <w:lang w:val="es-ES_tradnl"/>
        </w:rPr>
      </w:pPr>
    </w:p>
    <w:p w:rsidR="00040C3A" w:rsidRPr="00FD7742" w:rsidRDefault="00040C3A" w:rsidP="00040C3A">
      <w:pPr>
        <w:tabs>
          <w:tab w:val="center" w:pos="5400"/>
        </w:tabs>
        <w:suppressAutoHyphens/>
        <w:jc w:val="center"/>
        <w:rPr>
          <w:rFonts w:ascii="Cambria" w:hAnsi="Cambria"/>
          <w:sz w:val="20"/>
          <w:szCs w:val="20"/>
          <w:lang w:val="es-ES_tradnl"/>
        </w:rPr>
      </w:pPr>
    </w:p>
    <w:p w:rsidR="00040C3A" w:rsidRPr="00FD7742" w:rsidRDefault="00040C3A" w:rsidP="00040C3A">
      <w:pPr>
        <w:tabs>
          <w:tab w:val="center" w:pos="5400"/>
        </w:tabs>
        <w:suppressAutoHyphens/>
        <w:jc w:val="center"/>
        <w:rPr>
          <w:rFonts w:ascii="Cambria" w:hAnsi="Cambria"/>
          <w:sz w:val="20"/>
          <w:szCs w:val="20"/>
          <w:lang w:val="es-ES_tradnl"/>
        </w:rPr>
      </w:pPr>
    </w:p>
    <w:p w:rsidR="00040C3A" w:rsidRPr="00FD7742" w:rsidRDefault="00D42955" w:rsidP="00040C3A">
      <w:pPr>
        <w:tabs>
          <w:tab w:val="center" w:pos="5400"/>
        </w:tabs>
        <w:suppressAutoHyphens/>
        <w:jc w:val="center"/>
        <w:rPr>
          <w:rFonts w:ascii="Cambria" w:hAnsi="Cambria"/>
          <w:sz w:val="20"/>
          <w:szCs w:val="20"/>
          <w:lang w:val="es-ES_tradnl"/>
        </w:rPr>
      </w:pPr>
      <w:r w:rsidRPr="00FD7742">
        <w:rPr>
          <w:rFonts w:ascii="Cambria" w:hAnsi="Cambria"/>
          <w:noProof/>
          <w:sz w:val="20"/>
          <w:szCs w:val="20"/>
          <w:lang w:val="es-ES" w:eastAsia="es-ES"/>
        </w:rPr>
        <mc:AlternateContent>
          <mc:Choice Requires="wps">
            <w:drawing>
              <wp:anchor distT="0" distB="0" distL="114300" distR="114300" simplePos="0" relativeHeight="251655168" behindDoc="0" locked="0" layoutInCell="1" allowOverlap="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rsidR="00BB0B93" w:rsidRPr="00673E50" w:rsidRDefault="00BB0B93" w:rsidP="00997BC5">
                            <w:pPr>
                              <w:spacing w:line="276" w:lineRule="auto"/>
                              <w:rPr>
                                <w:rFonts w:ascii="Cambria" w:hAnsi="Cambria" w:cs="Arial"/>
                                <w:b/>
                                <w:bCs/>
                                <w:color w:val="0D0D0D"/>
                                <w:sz w:val="36"/>
                                <w:szCs w:val="22"/>
                                <w:lang w:val="es-ES"/>
                              </w:rPr>
                            </w:pPr>
                            <w:r w:rsidRPr="00673E50">
                              <w:rPr>
                                <w:rFonts w:ascii="Cambria" w:hAnsi="Cambria" w:cs="Arial"/>
                                <w:b/>
                                <w:bCs/>
                                <w:color w:val="0D0D0D"/>
                                <w:sz w:val="36"/>
                                <w:szCs w:val="22"/>
                                <w:lang w:val="es-ES"/>
                              </w:rPr>
                              <w:t xml:space="preserve">INFORME </w:t>
                            </w:r>
                            <w:r w:rsidRPr="00673E50">
                              <w:rPr>
                                <w:rFonts w:ascii="Cambria" w:hAnsi="Cambria" w:cs="Arial"/>
                                <w:b/>
                                <w:bCs/>
                                <w:color w:val="0D0D0D"/>
                                <w:sz w:val="36"/>
                                <w:szCs w:val="40"/>
                                <w:lang w:val="es-ES"/>
                              </w:rPr>
                              <w:t>No.</w:t>
                            </w:r>
                            <w:r w:rsidRPr="00673E50">
                              <w:rPr>
                                <w:rFonts w:ascii="Cambria" w:hAnsi="Cambria" w:cs="Arial"/>
                                <w:b/>
                                <w:bCs/>
                                <w:color w:val="0D0D0D"/>
                                <w:sz w:val="36"/>
                                <w:szCs w:val="22"/>
                                <w:lang w:val="es-ES"/>
                              </w:rPr>
                              <w:t xml:space="preserve"> </w:t>
                            </w:r>
                            <w:r>
                              <w:rPr>
                                <w:rFonts w:ascii="Cambria" w:hAnsi="Cambria" w:cs="Arial"/>
                                <w:b/>
                                <w:bCs/>
                                <w:color w:val="0D0D0D"/>
                                <w:sz w:val="36"/>
                                <w:szCs w:val="22"/>
                                <w:lang w:val="es-ES"/>
                              </w:rPr>
                              <w:t>111</w:t>
                            </w:r>
                            <w:r w:rsidRPr="00673E50">
                              <w:rPr>
                                <w:rFonts w:ascii="Cambria" w:hAnsi="Cambria" w:cs="Arial"/>
                                <w:b/>
                                <w:bCs/>
                                <w:color w:val="0D0D0D"/>
                                <w:sz w:val="36"/>
                                <w:szCs w:val="22"/>
                                <w:lang w:val="es-ES"/>
                              </w:rPr>
                              <w:t>/1</w:t>
                            </w:r>
                            <w:r>
                              <w:rPr>
                                <w:rFonts w:ascii="Cambria" w:hAnsi="Cambria" w:cs="Arial"/>
                                <w:b/>
                                <w:bCs/>
                                <w:color w:val="0D0D0D"/>
                                <w:sz w:val="36"/>
                                <w:szCs w:val="22"/>
                                <w:lang w:val="es-ES"/>
                              </w:rPr>
                              <w:t>8</w:t>
                            </w:r>
                          </w:p>
                          <w:p w:rsidR="00BB0B93" w:rsidRPr="00673E50" w:rsidRDefault="00BB0B93" w:rsidP="00997BC5">
                            <w:pPr>
                              <w:spacing w:line="276" w:lineRule="auto"/>
                              <w:rPr>
                                <w:rFonts w:ascii="Cambria" w:hAnsi="Cambria" w:cs="Arial"/>
                                <w:b/>
                                <w:color w:val="0D0D0D"/>
                                <w:sz w:val="36"/>
                                <w:szCs w:val="22"/>
                                <w:lang w:val="es-ES"/>
                              </w:rPr>
                            </w:pPr>
                            <w:r w:rsidRPr="00673E50">
                              <w:rPr>
                                <w:rFonts w:ascii="Cambria" w:hAnsi="Cambria" w:cs="Arial"/>
                                <w:b/>
                                <w:color w:val="0D0D0D"/>
                                <w:sz w:val="36"/>
                                <w:szCs w:val="22"/>
                                <w:lang w:val="es-ES"/>
                              </w:rPr>
                              <w:t xml:space="preserve">CASO </w:t>
                            </w:r>
                            <w:r>
                              <w:rPr>
                                <w:rFonts w:ascii="Cambria" w:hAnsi="Cambria" w:cs="Arial"/>
                                <w:b/>
                                <w:color w:val="0D0D0D"/>
                                <w:sz w:val="36"/>
                                <w:szCs w:val="22"/>
                                <w:lang w:val="es-ES"/>
                              </w:rPr>
                              <w:t>12.786</w:t>
                            </w:r>
                          </w:p>
                          <w:p w:rsidR="00BB0B93" w:rsidRPr="007372D2" w:rsidRDefault="00BB0B93" w:rsidP="00161414">
                            <w:pPr>
                              <w:spacing w:line="276" w:lineRule="auto"/>
                              <w:rPr>
                                <w:rFonts w:ascii="Cambria" w:hAnsi="Cambria" w:cs="Arial"/>
                                <w:color w:val="0D0D0D"/>
                                <w:szCs w:val="22"/>
                                <w:lang w:val="es-ES_tradnl"/>
                              </w:rPr>
                            </w:pPr>
                            <w:r w:rsidRPr="007372D2">
                              <w:rPr>
                                <w:rFonts w:ascii="Cambria" w:hAnsi="Cambria" w:cs="Arial"/>
                                <w:color w:val="0D0D0D"/>
                                <w:szCs w:val="22"/>
                                <w:lang w:val="es-ES_tradnl"/>
                              </w:rPr>
                              <w:t>INFORME DE FONDO</w:t>
                            </w:r>
                          </w:p>
                          <w:p w:rsidR="00BB0B93" w:rsidRPr="007372D2" w:rsidRDefault="00BB0B93" w:rsidP="00997BC5">
                            <w:pPr>
                              <w:spacing w:line="276" w:lineRule="auto"/>
                              <w:rPr>
                                <w:rFonts w:ascii="Cambria" w:hAnsi="Cambria" w:cs="Arial"/>
                                <w:color w:val="0D0D0D"/>
                                <w:szCs w:val="22"/>
                                <w:lang w:val="es-ES_tradnl"/>
                              </w:rPr>
                            </w:pPr>
                            <w:bookmarkStart w:id="0" w:name="_ftnref1"/>
                          </w:p>
                          <w:p w:rsidR="00BB0B93" w:rsidRPr="007372D2" w:rsidRDefault="00BB0B93" w:rsidP="00997BC5">
                            <w:pPr>
                              <w:spacing w:line="276" w:lineRule="auto"/>
                              <w:rPr>
                                <w:rFonts w:ascii="Cambria" w:hAnsi="Cambria" w:cs="Arial"/>
                                <w:color w:val="0D0D0D"/>
                                <w:szCs w:val="22"/>
                                <w:lang w:val="es-ES"/>
                              </w:rPr>
                            </w:pPr>
                            <w:r>
                              <w:rPr>
                                <w:rFonts w:ascii="Cambria" w:hAnsi="Cambria" w:cs="Arial"/>
                                <w:color w:val="0D0D0D"/>
                                <w:szCs w:val="22"/>
                                <w:lang w:val="es-ES_tradnl"/>
                              </w:rPr>
                              <w:t>LUIS EDUARDO GUACHA</w:t>
                            </w:r>
                            <w:r w:rsidRPr="00765C18">
                              <w:rPr>
                                <w:rFonts w:ascii="Cambria" w:hAnsi="Cambria" w:cs="Arial"/>
                                <w:color w:val="0D0D0D"/>
                                <w:lang w:val="es-ES_tradnl"/>
                              </w:rPr>
                              <w:t>L</w:t>
                            </w:r>
                            <w:r w:rsidRPr="00765C18">
                              <w:rPr>
                                <w:rFonts w:ascii="Cambria" w:hAnsi="Cambria"/>
                                <w:lang w:val="es-ES_tradnl"/>
                              </w:rPr>
                              <w:t>Á</w:t>
                            </w:r>
                            <w:r>
                              <w:rPr>
                                <w:rFonts w:ascii="Cambria" w:hAnsi="Cambria" w:cs="Arial"/>
                                <w:color w:val="0D0D0D"/>
                                <w:szCs w:val="22"/>
                                <w:lang w:val="es-ES_tradnl"/>
                              </w:rPr>
                              <w:t xml:space="preserve"> </w:t>
                            </w:r>
                            <w:r w:rsidRPr="00765C18">
                              <w:rPr>
                                <w:rFonts w:ascii="Cambria" w:hAnsi="Cambria"/>
                                <w:lang w:val="es-ES_tradnl"/>
                              </w:rPr>
                              <w:t>CHIMBÓ</w:t>
                            </w:r>
                            <w:r>
                              <w:rPr>
                                <w:rFonts w:ascii="Cambria" w:hAnsi="Cambria" w:cs="Arial"/>
                                <w:color w:val="0D0D0D"/>
                                <w:szCs w:val="22"/>
                                <w:lang w:val="es-ES_tradnl"/>
                              </w:rPr>
                              <w:t xml:space="preserve"> Y FAMILIA</w:t>
                            </w:r>
                          </w:p>
                          <w:bookmarkEnd w:id="0"/>
                          <w:p w:rsidR="00BB0B93" w:rsidRPr="007372D2" w:rsidRDefault="00BB0B93" w:rsidP="00997BC5">
                            <w:pPr>
                              <w:spacing w:line="276" w:lineRule="auto"/>
                              <w:rPr>
                                <w:rFonts w:ascii="Cambria" w:hAnsi="Cambria" w:cs="Arial"/>
                                <w:color w:val="0D0D0D"/>
                                <w:szCs w:val="22"/>
                                <w:lang w:val="es-ES"/>
                              </w:rPr>
                            </w:pPr>
                            <w:r>
                              <w:rPr>
                                <w:rFonts w:ascii="Cambria" w:hAnsi="Cambria" w:cs="Arial"/>
                                <w:color w:val="0D0D0D"/>
                                <w:szCs w:val="22"/>
                                <w:lang w:val="es-ES_tradnl"/>
                              </w:rPr>
                              <w:t>ECUADOR</w:t>
                            </w:r>
                          </w:p>
                          <w:p w:rsidR="00BB0B93" w:rsidRPr="007372D2" w:rsidRDefault="00BB0B93" w:rsidP="007A5817">
                            <w:pP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" filled="f" stroked="f" strokeweight=".5pt">
                <v:path arrowok="t"/>
                <v:textbox>
                  <w:txbxContent>
                    <w:p w:rsidR="00BB0B93" w:rsidRPr="00673E50" w:rsidRDefault="00BB0B93" w:rsidP="00997BC5">
                      <w:pPr>
                        <w:spacing w:line="276" w:lineRule="auto"/>
                        <w:rPr>
                          <w:rFonts w:ascii="Cambria" w:hAnsi="Cambria" w:cs="Arial"/>
                          <w:b/>
                          <w:bCs/>
                          <w:color w:val="0D0D0D"/>
                          <w:sz w:val="36"/>
                          <w:szCs w:val="22"/>
                          <w:lang w:val="es-ES"/>
                        </w:rPr>
                      </w:pPr>
                      <w:r w:rsidRPr="00673E50">
                        <w:rPr>
                          <w:rFonts w:ascii="Cambria" w:hAnsi="Cambria" w:cs="Arial"/>
                          <w:b/>
                          <w:bCs/>
                          <w:color w:val="0D0D0D"/>
                          <w:sz w:val="36"/>
                          <w:szCs w:val="22"/>
                          <w:lang w:val="es-ES"/>
                        </w:rPr>
                        <w:t xml:space="preserve">INFORME </w:t>
                      </w:r>
                      <w:r w:rsidRPr="00673E50">
                        <w:rPr>
                          <w:rFonts w:ascii="Cambria" w:hAnsi="Cambria" w:cs="Arial"/>
                          <w:b/>
                          <w:bCs/>
                          <w:color w:val="0D0D0D"/>
                          <w:sz w:val="36"/>
                          <w:szCs w:val="40"/>
                          <w:lang w:val="es-ES"/>
                        </w:rPr>
                        <w:t>No.</w:t>
                      </w:r>
                      <w:r w:rsidRPr="00673E50">
                        <w:rPr>
                          <w:rFonts w:ascii="Cambria" w:hAnsi="Cambria" w:cs="Arial"/>
                          <w:b/>
                          <w:bCs/>
                          <w:color w:val="0D0D0D"/>
                          <w:sz w:val="36"/>
                          <w:szCs w:val="22"/>
                          <w:lang w:val="es-ES"/>
                        </w:rPr>
                        <w:t xml:space="preserve"> </w:t>
                      </w:r>
                      <w:r>
                        <w:rPr>
                          <w:rFonts w:ascii="Cambria" w:hAnsi="Cambria" w:cs="Arial"/>
                          <w:b/>
                          <w:bCs/>
                          <w:color w:val="0D0D0D"/>
                          <w:sz w:val="36"/>
                          <w:szCs w:val="22"/>
                          <w:lang w:val="es-ES"/>
                        </w:rPr>
                        <w:t>111</w:t>
                      </w:r>
                      <w:r w:rsidRPr="00673E50">
                        <w:rPr>
                          <w:rFonts w:ascii="Cambria" w:hAnsi="Cambria" w:cs="Arial"/>
                          <w:b/>
                          <w:bCs/>
                          <w:color w:val="0D0D0D"/>
                          <w:sz w:val="36"/>
                          <w:szCs w:val="22"/>
                          <w:lang w:val="es-ES"/>
                        </w:rPr>
                        <w:t>/1</w:t>
                      </w:r>
                      <w:r>
                        <w:rPr>
                          <w:rFonts w:ascii="Cambria" w:hAnsi="Cambria" w:cs="Arial"/>
                          <w:b/>
                          <w:bCs/>
                          <w:color w:val="0D0D0D"/>
                          <w:sz w:val="36"/>
                          <w:szCs w:val="22"/>
                          <w:lang w:val="es-ES"/>
                        </w:rPr>
                        <w:t>8</w:t>
                      </w:r>
                    </w:p>
                    <w:p w:rsidR="00BB0B93" w:rsidRPr="00673E50" w:rsidRDefault="00BB0B93" w:rsidP="00997BC5">
                      <w:pPr>
                        <w:spacing w:line="276" w:lineRule="auto"/>
                        <w:rPr>
                          <w:rFonts w:ascii="Cambria" w:hAnsi="Cambria" w:cs="Arial"/>
                          <w:b/>
                          <w:color w:val="0D0D0D"/>
                          <w:sz w:val="36"/>
                          <w:szCs w:val="22"/>
                          <w:lang w:val="es-ES"/>
                        </w:rPr>
                      </w:pPr>
                      <w:r w:rsidRPr="00673E50">
                        <w:rPr>
                          <w:rFonts w:ascii="Cambria" w:hAnsi="Cambria" w:cs="Arial"/>
                          <w:b/>
                          <w:color w:val="0D0D0D"/>
                          <w:sz w:val="36"/>
                          <w:szCs w:val="22"/>
                          <w:lang w:val="es-ES"/>
                        </w:rPr>
                        <w:t xml:space="preserve">CASO </w:t>
                      </w:r>
                      <w:r>
                        <w:rPr>
                          <w:rFonts w:ascii="Cambria" w:hAnsi="Cambria" w:cs="Arial"/>
                          <w:b/>
                          <w:color w:val="0D0D0D"/>
                          <w:sz w:val="36"/>
                          <w:szCs w:val="22"/>
                          <w:lang w:val="es-ES"/>
                        </w:rPr>
                        <w:t>12.786</w:t>
                      </w:r>
                    </w:p>
                    <w:p w:rsidR="00BB0B93" w:rsidRPr="007372D2" w:rsidRDefault="00BB0B93" w:rsidP="00161414">
                      <w:pPr>
                        <w:spacing w:line="276" w:lineRule="auto"/>
                        <w:rPr>
                          <w:rFonts w:ascii="Cambria" w:hAnsi="Cambria" w:cs="Arial"/>
                          <w:color w:val="0D0D0D"/>
                          <w:szCs w:val="22"/>
                          <w:lang w:val="es-ES_tradnl"/>
                        </w:rPr>
                      </w:pPr>
                      <w:r w:rsidRPr="007372D2">
                        <w:rPr>
                          <w:rFonts w:ascii="Cambria" w:hAnsi="Cambria" w:cs="Arial"/>
                          <w:color w:val="0D0D0D"/>
                          <w:szCs w:val="22"/>
                          <w:lang w:val="es-ES_tradnl"/>
                        </w:rPr>
                        <w:t>INFORME DE FONDO</w:t>
                      </w:r>
                    </w:p>
                    <w:p w:rsidR="00BB0B93" w:rsidRPr="007372D2" w:rsidRDefault="00BB0B93" w:rsidP="00997BC5">
                      <w:pPr>
                        <w:spacing w:line="276" w:lineRule="auto"/>
                        <w:rPr>
                          <w:rFonts w:ascii="Cambria" w:hAnsi="Cambria" w:cs="Arial"/>
                          <w:color w:val="0D0D0D"/>
                          <w:szCs w:val="22"/>
                          <w:lang w:val="es-ES_tradnl"/>
                        </w:rPr>
                      </w:pPr>
                      <w:bookmarkStart w:id="1" w:name="_ftnref1"/>
                    </w:p>
                    <w:p w:rsidR="00BB0B93" w:rsidRPr="007372D2" w:rsidRDefault="00BB0B93" w:rsidP="00997BC5">
                      <w:pPr>
                        <w:spacing w:line="276" w:lineRule="auto"/>
                        <w:rPr>
                          <w:rFonts w:ascii="Cambria" w:hAnsi="Cambria" w:cs="Arial"/>
                          <w:color w:val="0D0D0D"/>
                          <w:szCs w:val="22"/>
                          <w:lang w:val="es-ES"/>
                        </w:rPr>
                      </w:pPr>
                      <w:r>
                        <w:rPr>
                          <w:rFonts w:ascii="Cambria" w:hAnsi="Cambria" w:cs="Arial"/>
                          <w:color w:val="0D0D0D"/>
                          <w:szCs w:val="22"/>
                          <w:lang w:val="es-ES_tradnl"/>
                        </w:rPr>
                        <w:t>LUIS EDUARDO GUACHA</w:t>
                      </w:r>
                      <w:r w:rsidRPr="00765C18">
                        <w:rPr>
                          <w:rFonts w:ascii="Cambria" w:hAnsi="Cambria" w:cs="Arial"/>
                          <w:color w:val="0D0D0D"/>
                          <w:lang w:val="es-ES_tradnl"/>
                        </w:rPr>
                        <w:t>L</w:t>
                      </w:r>
                      <w:r w:rsidRPr="00765C18">
                        <w:rPr>
                          <w:rFonts w:ascii="Cambria" w:hAnsi="Cambria"/>
                          <w:lang w:val="es-ES_tradnl"/>
                        </w:rPr>
                        <w:t>Á</w:t>
                      </w:r>
                      <w:r>
                        <w:rPr>
                          <w:rFonts w:ascii="Cambria" w:hAnsi="Cambria" w:cs="Arial"/>
                          <w:color w:val="0D0D0D"/>
                          <w:szCs w:val="22"/>
                          <w:lang w:val="es-ES_tradnl"/>
                        </w:rPr>
                        <w:t xml:space="preserve"> </w:t>
                      </w:r>
                      <w:r w:rsidRPr="00765C18">
                        <w:rPr>
                          <w:rFonts w:ascii="Cambria" w:hAnsi="Cambria"/>
                          <w:lang w:val="es-ES_tradnl"/>
                        </w:rPr>
                        <w:t>CHIMBÓ</w:t>
                      </w:r>
                      <w:r>
                        <w:rPr>
                          <w:rFonts w:ascii="Cambria" w:hAnsi="Cambria" w:cs="Arial"/>
                          <w:color w:val="0D0D0D"/>
                          <w:szCs w:val="22"/>
                          <w:lang w:val="es-ES_tradnl"/>
                        </w:rPr>
                        <w:t xml:space="preserve"> Y FAMILIA</w:t>
                      </w:r>
                    </w:p>
                    <w:bookmarkEnd w:id="1"/>
                    <w:p w:rsidR="00BB0B93" w:rsidRPr="007372D2" w:rsidRDefault="00BB0B93" w:rsidP="00997BC5">
                      <w:pPr>
                        <w:spacing w:line="276" w:lineRule="auto"/>
                        <w:rPr>
                          <w:rFonts w:ascii="Cambria" w:hAnsi="Cambria" w:cs="Arial"/>
                          <w:color w:val="0D0D0D"/>
                          <w:szCs w:val="22"/>
                          <w:lang w:val="es-ES"/>
                        </w:rPr>
                      </w:pPr>
                      <w:r>
                        <w:rPr>
                          <w:rFonts w:ascii="Cambria" w:hAnsi="Cambria" w:cs="Arial"/>
                          <w:color w:val="0D0D0D"/>
                          <w:szCs w:val="22"/>
                          <w:lang w:val="es-ES_tradnl"/>
                        </w:rPr>
                        <w:t>ECUADOR</w:t>
                      </w:r>
                    </w:p>
                    <w:p w:rsidR="00BB0B93" w:rsidRPr="007372D2" w:rsidRDefault="00BB0B93" w:rsidP="007A5817">
                      <w:pPr>
                        <w:rPr>
                          <w:color w:val="0D0D0D"/>
                          <w:lang w:val="es-ES_tradnl"/>
                        </w:rPr>
                      </w:pPr>
                    </w:p>
                  </w:txbxContent>
                </v:textbox>
              </v:shape>
            </w:pict>
          </mc:Fallback>
        </mc:AlternateContent>
      </w:r>
    </w:p>
    <w:p w:rsidR="00040C3A" w:rsidRPr="00FD7742" w:rsidRDefault="00CA29EB" w:rsidP="00040C3A">
      <w:pPr>
        <w:tabs>
          <w:tab w:val="center" w:pos="5400"/>
        </w:tabs>
        <w:suppressAutoHyphens/>
        <w:jc w:val="center"/>
        <w:rPr>
          <w:rFonts w:ascii="Cambria" w:hAnsi="Cambria"/>
          <w:sz w:val="20"/>
          <w:szCs w:val="20"/>
          <w:lang w:val="es-ES_tradnl"/>
        </w:rPr>
      </w:pPr>
      <w:r w:rsidRPr="00FD7742">
        <w:rPr>
          <w:rFonts w:ascii="Cambria" w:hAnsi="Cambria"/>
          <w:noProof/>
          <w:sz w:val="20"/>
          <w:szCs w:val="20"/>
          <w:lang w:val="es-ES" w:eastAsia="es-ES"/>
        </w:rPr>
        <mc:AlternateContent>
          <mc:Choice Requires="wps">
            <w:drawing>
              <wp:anchor distT="0" distB="0" distL="114300" distR="114300" simplePos="0" relativeHeight="251657216" behindDoc="0" locked="0" layoutInCell="1" allowOverlap="1" wp14:anchorId="42A0D3D4" wp14:editId="2EEB4DE0">
                <wp:simplePos x="0" y="0"/>
                <wp:positionH relativeFrom="column">
                  <wp:posOffset>-417195</wp:posOffset>
                </wp:positionH>
                <wp:positionV relativeFrom="paragraph">
                  <wp:posOffset>14605</wp:posOffset>
                </wp:positionV>
                <wp:extent cx="146367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3675" cy="1377315"/>
                        </a:xfrm>
                        <a:prstGeom prst="rect">
                          <a:avLst/>
                        </a:prstGeom>
                        <a:noFill/>
                        <a:ln w="6350">
                          <a:noFill/>
                        </a:ln>
                        <a:effectLst/>
                      </wps:spPr>
                      <wps:txbx>
                        <w:txbxContent>
                          <w:p w:rsidR="00BB0B93" w:rsidRPr="007372D2" w:rsidRDefault="00BB0B93" w:rsidP="007A5817">
                            <w:pPr>
                              <w:spacing w:line="276" w:lineRule="auto"/>
                              <w:jc w:val="right"/>
                              <w:rPr>
                                <w:rFonts w:ascii="Calibri" w:hAnsi="Calibri"/>
                                <w:color w:val="FFFFFF"/>
                                <w:sz w:val="22"/>
                                <w:lang w:val="pt-BR"/>
                              </w:rPr>
                            </w:pPr>
                            <w:r w:rsidRPr="007372D2">
                              <w:rPr>
                                <w:rFonts w:ascii="Calibri" w:hAnsi="Calibri"/>
                                <w:color w:val="FFFFFF"/>
                                <w:sz w:val="22"/>
                                <w:lang w:val="pt-BR"/>
                              </w:rPr>
                              <w:t>OEA/Ser.L/V/II.1</w:t>
                            </w:r>
                            <w:r>
                              <w:rPr>
                                <w:rFonts w:ascii="Calibri" w:hAnsi="Calibri"/>
                                <w:color w:val="FFFFFF"/>
                                <w:sz w:val="22"/>
                                <w:lang w:val="pt-BR"/>
                              </w:rPr>
                              <w:t>69</w:t>
                            </w:r>
                          </w:p>
                          <w:p w:rsidR="00BB0B93" w:rsidRPr="007372D2" w:rsidRDefault="00BB0B93" w:rsidP="007A5817">
                            <w:pPr>
                              <w:spacing w:line="276" w:lineRule="auto"/>
                              <w:jc w:val="right"/>
                              <w:rPr>
                                <w:rFonts w:ascii="Calibri" w:hAnsi="Calibri"/>
                                <w:color w:val="FFFFFF"/>
                                <w:sz w:val="22"/>
                                <w:lang w:val="pt-BR"/>
                              </w:rPr>
                            </w:pPr>
                            <w:r w:rsidRPr="007372D2">
                              <w:rPr>
                                <w:rFonts w:ascii="Calibri" w:hAnsi="Calibri"/>
                                <w:color w:val="FFFFFF"/>
                                <w:sz w:val="22"/>
                                <w:lang w:val="pt-BR"/>
                              </w:rPr>
                              <w:t xml:space="preserve">Doc. </w:t>
                            </w:r>
                            <w:r>
                              <w:rPr>
                                <w:rFonts w:ascii="Calibri" w:hAnsi="Calibri"/>
                                <w:color w:val="FFFFFF"/>
                                <w:sz w:val="22"/>
                                <w:lang w:val="pt-BR"/>
                              </w:rPr>
                              <w:t>128</w:t>
                            </w:r>
                          </w:p>
                          <w:p w:rsidR="00BB0B93" w:rsidRPr="00703939" w:rsidRDefault="00BB0B93" w:rsidP="007A5817">
                            <w:pPr>
                              <w:spacing w:line="276" w:lineRule="auto"/>
                              <w:jc w:val="right"/>
                              <w:rPr>
                                <w:rFonts w:ascii="Calibri" w:hAnsi="Calibri"/>
                                <w:color w:val="FFFFFF"/>
                                <w:sz w:val="22"/>
                                <w:lang w:val="es-ES"/>
                              </w:rPr>
                            </w:pPr>
                            <w:r>
                              <w:rPr>
                                <w:rFonts w:ascii="Calibri" w:hAnsi="Calibri"/>
                                <w:color w:val="FFFFFF"/>
                                <w:sz w:val="22"/>
                                <w:lang w:val="es-ES"/>
                              </w:rPr>
                              <w:t>5 de octubre</w:t>
                            </w:r>
                            <w:r w:rsidRPr="00703939">
                              <w:rPr>
                                <w:rFonts w:ascii="Calibri" w:hAnsi="Calibri"/>
                                <w:color w:val="FFFFFF"/>
                                <w:sz w:val="22"/>
                                <w:lang w:val="es-ES"/>
                              </w:rPr>
                              <w:t xml:space="preserve"> de 201</w:t>
                            </w:r>
                            <w:r>
                              <w:rPr>
                                <w:rFonts w:ascii="Calibri" w:hAnsi="Calibri"/>
                                <w:color w:val="FFFFFF"/>
                                <w:sz w:val="22"/>
                                <w:lang w:val="es-ES"/>
                              </w:rPr>
                              <w:t>8</w:t>
                            </w:r>
                          </w:p>
                          <w:p w:rsidR="00BB0B93" w:rsidRPr="00703939" w:rsidRDefault="00BB0B93" w:rsidP="007A5817">
                            <w:pPr>
                              <w:spacing w:line="276" w:lineRule="auto"/>
                              <w:jc w:val="right"/>
                              <w:rPr>
                                <w:rFonts w:ascii="Calibri" w:hAnsi="Calibri"/>
                                <w:color w:val="FFFFFF"/>
                                <w:sz w:val="22"/>
                                <w:lang w:val="es-ES"/>
                              </w:rPr>
                            </w:pPr>
                            <w:r w:rsidRPr="00703939">
                              <w:rPr>
                                <w:rFonts w:ascii="Calibri" w:hAnsi="Calibri"/>
                                <w:color w:val="FFFFFF"/>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32.85pt;margin-top:1.15pt;width:115.2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" filled="f" stroked="f" strokeweight=".5pt">
                <v:path arrowok="t"/>
                <v:textbox>
                  <w:txbxContent>
                    <w:p w:rsidR="00BB0B93" w:rsidRPr="007372D2" w:rsidRDefault="00BB0B93" w:rsidP="007A5817">
                      <w:pPr>
                        <w:spacing w:line="276" w:lineRule="auto"/>
                        <w:jc w:val="right"/>
                        <w:rPr>
                          <w:rFonts w:ascii="Calibri" w:hAnsi="Calibri"/>
                          <w:color w:val="FFFFFF"/>
                          <w:sz w:val="22"/>
                          <w:lang w:val="pt-BR"/>
                        </w:rPr>
                      </w:pPr>
                      <w:r w:rsidRPr="007372D2">
                        <w:rPr>
                          <w:rFonts w:ascii="Calibri" w:hAnsi="Calibri"/>
                          <w:color w:val="FFFFFF"/>
                          <w:sz w:val="22"/>
                          <w:lang w:val="pt-BR"/>
                        </w:rPr>
                        <w:t>OEA/Ser.L/V/II.1</w:t>
                      </w:r>
                      <w:r>
                        <w:rPr>
                          <w:rFonts w:ascii="Calibri" w:hAnsi="Calibri"/>
                          <w:color w:val="FFFFFF"/>
                          <w:sz w:val="22"/>
                          <w:lang w:val="pt-BR"/>
                        </w:rPr>
                        <w:t>69</w:t>
                      </w:r>
                    </w:p>
                    <w:p w:rsidR="00BB0B93" w:rsidRPr="007372D2" w:rsidRDefault="00BB0B93" w:rsidP="007A5817">
                      <w:pPr>
                        <w:spacing w:line="276" w:lineRule="auto"/>
                        <w:jc w:val="right"/>
                        <w:rPr>
                          <w:rFonts w:ascii="Calibri" w:hAnsi="Calibri"/>
                          <w:color w:val="FFFFFF"/>
                          <w:sz w:val="22"/>
                          <w:lang w:val="pt-BR"/>
                        </w:rPr>
                      </w:pPr>
                      <w:r w:rsidRPr="007372D2">
                        <w:rPr>
                          <w:rFonts w:ascii="Calibri" w:hAnsi="Calibri"/>
                          <w:color w:val="FFFFFF"/>
                          <w:sz w:val="22"/>
                          <w:lang w:val="pt-BR"/>
                        </w:rPr>
                        <w:t xml:space="preserve">Doc. </w:t>
                      </w:r>
                      <w:r>
                        <w:rPr>
                          <w:rFonts w:ascii="Calibri" w:hAnsi="Calibri"/>
                          <w:color w:val="FFFFFF"/>
                          <w:sz w:val="22"/>
                          <w:lang w:val="pt-BR"/>
                        </w:rPr>
                        <w:t>128</w:t>
                      </w:r>
                    </w:p>
                    <w:p w:rsidR="00BB0B93" w:rsidRPr="00703939" w:rsidRDefault="00BB0B93" w:rsidP="007A5817">
                      <w:pPr>
                        <w:spacing w:line="276" w:lineRule="auto"/>
                        <w:jc w:val="right"/>
                        <w:rPr>
                          <w:rFonts w:ascii="Calibri" w:hAnsi="Calibri"/>
                          <w:color w:val="FFFFFF"/>
                          <w:sz w:val="22"/>
                          <w:lang w:val="es-ES"/>
                        </w:rPr>
                      </w:pPr>
                      <w:r>
                        <w:rPr>
                          <w:rFonts w:ascii="Calibri" w:hAnsi="Calibri"/>
                          <w:color w:val="FFFFFF"/>
                          <w:sz w:val="22"/>
                          <w:lang w:val="es-ES"/>
                        </w:rPr>
                        <w:t>5 de octubre</w:t>
                      </w:r>
                      <w:r w:rsidRPr="00703939">
                        <w:rPr>
                          <w:rFonts w:ascii="Calibri" w:hAnsi="Calibri"/>
                          <w:color w:val="FFFFFF"/>
                          <w:sz w:val="22"/>
                          <w:lang w:val="es-ES"/>
                        </w:rPr>
                        <w:t xml:space="preserve"> de 201</w:t>
                      </w:r>
                      <w:r>
                        <w:rPr>
                          <w:rFonts w:ascii="Calibri" w:hAnsi="Calibri"/>
                          <w:color w:val="FFFFFF"/>
                          <w:sz w:val="22"/>
                          <w:lang w:val="es-ES"/>
                        </w:rPr>
                        <w:t>8</w:t>
                      </w:r>
                    </w:p>
                    <w:p w:rsidR="00BB0B93" w:rsidRPr="00703939" w:rsidRDefault="00BB0B93" w:rsidP="007A5817">
                      <w:pPr>
                        <w:spacing w:line="276" w:lineRule="auto"/>
                        <w:jc w:val="right"/>
                        <w:rPr>
                          <w:rFonts w:ascii="Calibri" w:hAnsi="Calibri"/>
                          <w:color w:val="FFFFFF"/>
                          <w:sz w:val="22"/>
                          <w:lang w:val="es-ES"/>
                        </w:rPr>
                      </w:pPr>
                      <w:r w:rsidRPr="00703939">
                        <w:rPr>
                          <w:rFonts w:ascii="Calibri" w:hAnsi="Calibri"/>
                          <w:color w:val="FFFFFF"/>
                          <w:sz w:val="22"/>
                          <w:lang w:val="es-ES"/>
                        </w:rPr>
                        <w:t>Original: español</w:t>
                      </w:r>
                    </w:p>
                  </w:txbxContent>
                </v:textbox>
              </v:shape>
            </w:pict>
          </mc:Fallback>
        </mc:AlternateContent>
      </w:r>
    </w:p>
    <w:p w:rsidR="00040C3A" w:rsidRPr="00FD7742" w:rsidRDefault="00040C3A" w:rsidP="00040C3A">
      <w:pPr>
        <w:tabs>
          <w:tab w:val="center" w:pos="5400"/>
        </w:tabs>
        <w:suppressAutoHyphens/>
        <w:jc w:val="center"/>
        <w:rPr>
          <w:rFonts w:ascii="Cambria" w:hAnsi="Cambria"/>
          <w:sz w:val="20"/>
          <w:szCs w:val="20"/>
          <w:lang w:val="es-ES_tradnl"/>
        </w:rPr>
      </w:pPr>
    </w:p>
    <w:p w:rsidR="00040C3A" w:rsidRPr="00FD7742" w:rsidRDefault="00040C3A" w:rsidP="00040C3A">
      <w:pPr>
        <w:tabs>
          <w:tab w:val="center" w:pos="5400"/>
        </w:tabs>
        <w:suppressAutoHyphens/>
        <w:jc w:val="center"/>
        <w:rPr>
          <w:rFonts w:ascii="Cambria" w:hAnsi="Cambria" w:cs="Arial"/>
          <w:sz w:val="20"/>
          <w:szCs w:val="20"/>
          <w:lang w:val="es-ES_tradnl"/>
        </w:rPr>
      </w:pPr>
    </w:p>
    <w:p w:rsidR="00040C3A" w:rsidRPr="00FD7742" w:rsidRDefault="00040C3A" w:rsidP="00040C3A">
      <w:pPr>
        <w:tabs>
          <w:tab w:val="center" w:pos="5400"/>
        </w:tabs>
        <w:suppressAutoHyphens/>
        <w:jc w:val="center"/>
        <w:rPr>
          <w:rFonts w:ascii="Cambria" w:hAnsi="Cambria"/>
          <w:sz w:val="20"/>
          <w:szCs w:val="20"/>
          <w:lang w:val="es-ES_tradnl"/>
        </w:rPr>
      </w:pPr>
    </w:p>
    <w:p w:rsidR="00040C3A" w:rsidRPr="00FD7742" w:rsidRDefault="00040C3A" w:rsidP="00040C3A">
      <w:pPr>
        <w:tabs>
          <w:tab w:val="center" w:pos="5400"/>
        </w:tabs>
        <w:suppressAutoHyphens/>
        <w:jc w:val="center"/>
        <w:rPr>
          <w:rFonts w:ascii="Cambria" w:hAnsi="Cambria"/>
          <w:sz w:val="20"/>
          <w:szCs w:val="20"/>
          <w:lang w:val="es-ES_tradnl"/>
        </w:rPr>
      </w:pPr>
    </w:p>
    <w:p w:rsidR="00040C3A" w:rsidRPr="00FD7742" w:rsidRDefault="00040C3A" w:rsidP="00040C3A">
      <w:pPr>
        <w:tabs>
          <w:tab w:val="center" w:pos="5400"/>
        </w:tabs>
        <w:suppressAutoHyphens/>
        <w:jc w:val="center"/>
        <w:rPr>
          <w:rFonts w:ascii="Cambria" w:hAnsi="Cambria"/>
          <w:sz w:val="20"/>
          <w:szCs w:val="20"/>
          <w:lang w:val="es-ES_tradnl"/>
        </w:rPr>
      </w:pPr>
    </w:p>
    <w:p w:rsidR="00040C3A" w:rsidRPr="00FD7742" w:rsidRDefault="00040C3A" w:rsidP="00040C3A">
      <w:pPr>
        <w:tabs>
          <w:tab w:val="center" w:pos="5400"/>
        </w:tabs>
        <w:suppressAutoHyphens/>
        <w:jc w:val="center"/>
        <w:rPr>
          <w:rFonts w:ascii="Cambria" w:hAnsi="Cambria"/>
          <w:sz w:val="20"/>
          <w:szCs w:val="20"/>
          <w:lang w:val="es-ES_tradnl"/>
        </w:rPr>
      </w:pPr>
    </w:p>
    <w:p w:rsidR="005128E4" w:rsidRPr="00FD7742" w:rsidRDefault="005128E4" w:rsidP="00040C3A">
      <w:pPr>
        <w:tabs>
          <w:tab w:val="center" w:pos="5400"/>
        </w:tabs>
        <w:suppressAutoHyphens/>
        <w:jc w:val="center"/>
        <w:rPr>
          <w:rFonts w:ascii="Cambria" w:hAnsi="Cambria"/>
          <w:sz w:val="20"/>
          <w:szCs w:val="20"/>
          <w:lang w:val="es-ES_tradnl"/>
        </w:rPr>
      </w:pPr>
    </w:p>
    <w:p w:rsidR="00040C3A" w:rsidRPr="00FD7742" w:rsidRDefault="00040C3A" w:rsidP="00040C3A">
      <w:pPr>
        <w:tabs>
          <w:tab w:val="center" w:pos="5400"/>
        </w:tabs>
        <w:suppressAutoHyphens/>
        <w:jc w:val="center"/>
        <w:rPr>
          <w:rFonts w:ascii="Cambria" w:hAnsi="Cambria"/>
          <w:sz w:val="20"/>
          <w:szCs w:val="20"/>
          <w:lang w:val="es-ES_tradnl"/>
        </w:rPr>
      </w:pPr>
    </w:p>
    <w:p w:rsidR="005128E4" w:rsidRPr="00FD7742" w:rsidRDefault="005128E4" w:rsidP="00040C3A">
      <w:pPr>
        <w:tabs>
          <w:tab w:val="center" w:pos="5400"/>
        </w:tabs>
        <w:suppressAutoHyphens/>
        <w:jc w:val="center"/>
        <w:rPr>
          <w:rFonts w:ascii="Cambria" w:hAnsi="Cambria"/>
          <w:sz w:val="20"/>
          <w:szCs w:val="20"/>
          <w:lang w:val="es-ES_tradnl"/>
        </w:rPr>
      </w:pPr>
    </w:p>
    <w:p w:rsidR="005128E4" w:rsidRPr="00FD7742" w:rsidRDefault="005128E4" w:rsidP="00040C3A">
      <w:pPr>
        <w:tabs>
          <w:tab w:val="center" w:pos="5400"/>
        </w:tabs>
        <w:suppressAutoHyphens/>
        <w:jc w:val="center"/>
        <w:rPr>
          <w:rFonts w:ascii="Cambria" w:hAnsi="Cambria"/>
          <w:sz w:val="20"/>
          <w:szCs w:val="20"/>
          <w:lang w:val="es-ES_tradnl"/>
        </w:rPr>
      </w:pPr>
    </w:p>
    <w:p w:rsidR="005128E4" w:rsidRPr="00FD7742" w:rsidRDefault="005128E4" w:rsidP="00040C3A">
      <w:pPr>
        <w:tabs>
          <w:tab w:val="center" w:pos="5400"/>
        </w:tabs>
        <w:suppressAutoHyphens/>
        <w:jc w:val="center"/>
        <w:rPr>
          <w:rFonts w:ascii="Cambria" w:hAnsi="Cambria"/>
          <w:sz w:val="20"/>
          <w:szCs w:val="20"/>
          <w:lang w:val="es-ES_tradnl"/>
        </w:rPr>
      </w:pPr>
    </w:p>
    <w:p w:rsidR="00040C3A" w:rsidRPr="00FD7742" w:rsidRDefault="00040C3A" w:rsidP="00040C3A">
      <w:pPr>
        <w:tabs>
          <w:tab w:val="center" w:pos="5400"/>
        </w:tabs>
        <w:suppressAutoHyphens/>
        <w:jc w:val="center"/>
        <w:rPr>
          <w:rFonts w:ascii="Cambria" w:hAnsi="Cambria"/>
          <w:sz w:val="20"/>
          <w:szCs w:val="20"/>
          <w:lang w:val="es-ES_tradnl"/>
        </w:rPr>
      </w:pPr>
    </w:p>
    <w:p w:rsidR="00040C3A" w:rsidRPr="00FD7742" w:rsidRDefault="00040C3A" w:rsidP="00040C3A">
      <w:pPr>
        <w:tabs>
          <w:tab w:val="center" w:pos="5400"/>
        </w:tabs>
        <w:suppressAutoHyphens/>
        <w:jc w:val="center"/>
        <w:rPr>
          <w:rFonts w:ascii="Cambria" w:hAnsi="Cambria"/>
          <w:sz w:val="20"/>
          <w:szCs w:val="20"/>
          <w:lang w:val="es-ES_tradnl"/>
        </w:rPr>
      </w:pPr>
    </w:p>
    <w:p w:rsidR="00A50FCF" w:rsidRPr="00FD7742" w:rsidRDefault="00A50FCF" w:rsidP="00040C3A">
      <w:pPr>
        <w:tabs>
          <w:tab w:val="center" w:pos="5400"/>
        </w:tabs>
        <w:suppressAutoHyphens/>
        <w:jc w:val="center"/>
        <w:rPr>
          <w:rFonts w:ascii="Cambria" w:hAnsi="Cambria"/>
          <w:sz w:val="20"/>
          <w:szCs w:val="20"/>
          <w:lang w:val="es-ES_tradnl"/>
        </w:rPr>
      </w:pPr>
    </w:p>
    <w:p w:rsidR="00A50FCF" w:rsidRPr="00FD7742" w:rsidRDefault="00A50FCF" w:rsidP="00040C3A">
      <w:pPr>
        <w:tabs>
          <w:tab w:val="center" w:pos="5400"/>
        </w:tabs>
        <w:suppressAutoHyphens/>
        <w:jc w:val="center"/>
        <w:rPr>
          <w:rFonts w:ascii="Cambria" w:hAnsi="Cambria"/>
          <w:sz w:val="20"/>
          <w:szCs w:val="20"/>
          <w:lang w:val="es-ES_tradnl"/>
        </w:rPr>
      </w:pPr>
    </w:p>
    <w:p w:rsidR="00A50FCF" w:rsidRPr="00FD7742" w:rsidRDefault="00A50FCF" w:rsidP="00040C3A">
      <w:pPr>
        <w:tabs>
          <w:tab w:val="center" w:pos="5400"/>
        </w:tabs>
        <w:suppressAutoHyphens/>
        <w:jc w:val="center"/>
        <w:rPr>
          <w:rFonts w:ascii="Cambria" w:hAnsi="Cambria"/>
          <w:sz w:val="20"/>
          <w:szCs w:val="20"/>
          <w:lang w:val="es-ES_tradnl"/>
        </w:rPr>
      </w:pPr>
    </w:p>
    <w:p w:rsidR="00A50FCF" w:rsidRPr="00FD7742" w:rsidRDefault="00A50FCF" w:rsidP="00040C3A">
      <w:pPr>
        <w:tabs>
          <w:tab w:val="center" w:pos="5400"/>
        </w:tabs>
        <w:suppressAutoHyphens/>
        <w:jc w:val="center"/>
        <w:rPr>
          <w:rFonts w:ascii="Cambria" w:hAnsi="Cambria"/>
          <w:sz w:val="20"/>
          <w:szCs w:val="20"/>
          <w:lang w:val="es-ES_tradnl"/>
        </w:rPr>
      </w:pPr>
    </w:p>
    <w:p w:rsidR="00A50FCF" w:rsidRPr="00FD7742" w:rsidRDefault="00A50FCF" w:rsidP="00040C3A">
      <w:pPr>
        <w:tabs>
          <w:tab w:val="center" w:pos="5400"/>
        </w:tabs>
        <w:suppressAutoHyphens/>
        <w:jc w:val="center"/>
        <w:rPr>
          <w:rFonts w:ascii="Cambria" w:hAnsi="Cambria"/>
          <w:sz w:val="20"/>
          <w:szCs w:val="20"/>
          <w:lang w:val="es-ES_tradnl"/>
        </w:rPr>
      </w:pPr>
    </w:p>
    <w:p w:rsidR="00A50FCF" w:rsidRPr="00FD7742" w:rsidRDefault="00A50FCF" w:rsidP="00040C3A">
      <w:pPr>
        <w:tabs>
          <w:tab w:val="center" w:pos="5400"/>
        </w:tabs>
        <w:suppressAutoHyphens/>
        <w:jc w:val="center"/>
        <w:rPr>
          <w:rFonts w:ascii="Cambria" w:hAnsi="Cambria"/>
          <w:sz w:val="20"/>
          <w:szCs w:val="20"/>
          <w:lang w:val="es-ES_tradnl"/>
        </w:rPr>
      </w:pPr>
    </w:p>
    <w:p w:rsidR="00A50FCF" w:rsidRPr="00FD7742" w:rsidRDefault="00A50FCF" w:rsidP="00040C3A">
      <w:pPr>
        <w:tabs>
          <w:tab w:val="center" w:pos="5400"/>
        </w:tabs>
        <w:suppressAutoHyphens/>
        <w:jc w:val="center"/>
        <w:rPr>
          <w:rFonts w:ascii="Cambria" w:hAnsi="Cambria"/>
          <w:sz w:val="20"/>
          <w:szCs w:val="20"/>
          <w:lang w:val="es-ES_tradnl"/>
        </w:rPr>
      </w:pPr>
    </w:p>
    <w:p w:rsidR="00A50FCF" w:rsidRPr="00FD7742" w:rsidRDefault="00A50FCF" w:rsidP="00040C3A">
      <w:pPr>
        <w:tabs>
          <w:tab w:val="center" w:pos="5400"/>
        </w:tabs>
        <w:suppressAutoHyphens/>
        <w:jc w:val="center"/>
        <w:rPr>
          <w:rFonts w:ascii="Cambria" w:hAnsi="Cambria"/>
          <w:sz w:val="20"/>
          <w:szCs w:val="20"/>
          <w:lang w:val="es-ES_tradnl"/>
        </w:rPr>
      </w:pPr>
    </w:p>
    <w:p w:rsidR="00A50FCF" w:rsidRPr="00FD7742" w:rsidRDefault="00A50FCF" w:rsidP="00040C3A">
      <w:pPr>
        <w:tabs>
          <w:tab w:val="center" w:pos="5400"/>
        </w:tabs>
        <w:suppressAutoHyphens/>
        <w:jc w:val="center"/>
        <w:rPr>
          <w:rFonts w:ascii="Cambria" w:hAnsi="Cambria"/>
          <w:sz w:val="20"/>
          <w:szCs w:val="20"/>
          <w:lang w:val="es-ES_tradnl"/>
        </w:rPr>
      </w:pPr>
    </w:p>
    <w:p w:rsidR="00A50FCF" w:rsidRPr="00FD7742" w:rsidRDefault="00A50FCF" w:rsidP="00040C3A">
      <w:pPr>
        <w:tabs>
          <w:tab w:val="center" w:pos="5400"/>
        </w:tabs>
        <w:suppressAutoHyphens/>
        <w:jc w:val="center"/>
        <w:rPr>
          <w:rFonts w:ascii="Cambria" w:hAnsi="Cambria"/>
          <w:sz w:val="20"/>
          <w:szCs w:val="20"/>
          <w:lang w:val="es-ES_tradnl"/>
        </w:rPr>
      </w:pPr>
    </w:p>
    <w:p w:rsidR="00A50FCF" w:rsidRPr="00FD7742" w:rsidRDefault="00A50FCF" w:rsidP="00040C3A">
      <w:pPr>
        <w:tabs>
          <w:tab w:val="center" w:pos="5400"/>
        </w:tabs>
        <w:suppressAutoHyphens/>
        <w:jc w:val="center"/>
        <w:rPr>
          <w:rFonts w:ascii="Cambria" w:hAnsi="Cambria"/>
          <w:sz w:val="20"/>
          <w:szCs w:val="20"/>
          <w:lang w:val="es-ES_tradnl"/>
        </w:rPr>
      </w:pPr>
    </w:p>
    <w:p w:rsidR="00A50FCF" w:rsidRPr="00FD7742" w:rsidRDefault="00A50FCF" w:rsidP="00040C3A">
      <w:pPr>
        <w:tabs>
          <w:tab w:val="center" w:pos="5400"/>
        </w:tabs>
        <w:suppressAutoHyphens/>
        <w:jc w:val="center"/>
        <w:rPr>
          <w:rFonts w:ascii="Cambria" w:hAnsi="Cambria"/>
          <w:sz w:val="20"/>
          <w:szCs w:val="20"/>
          <w:lang w:val="es-ES_tradnl"/>
        </w:rPr>
      </w:pPr>
    </w:p>
    <w:p w:rsidR="00A50FCF" w:rsidRPr="00FD7742" w:rsidRDefault="00A50FCF" w:rsidP="00040C3A">
      <w:pPr>
        <w:tabs>
          <w:tab w:val="center" w:pos="5400"/>
        </w:tabs>
        <w:suppressAutoHyphens/>
        <w:jc w:val="center"/>
        <w:rPr>
          <w:rFonts w:ascii="Cambria" w:hAnsi="Cambria"/>
          <w:sz w:val="20"/>
          <w:szCs w:val="20"/>
          <w:lang w:val="es-ES_tradnl"/>
        </w:rPr>
      </w:pPr>
    </w:p>
    <w:p w:rsidR="00A50FCF" w:rsidRPr="00FD7742" w:rsidRDefault="00A50FCF" w:rsidP="00040C3A">
      <w:pPr>
        <w:tabs>
          <w:tab w:val="center" w:pos="5400"/>
        </w:tabs>
        <w:suppressAutoHyphens/>
        <w:jc w:val="center"/>
        <w:rPr>
          <w:rFonts w:ascii="Cambria" w:hAnsi="Cambria"/>
          <w:sz w:val="20"/>
          <w:szCs w:val="20"/>
          <w:lang w:val="es-ES_tradnl"/>
        </w:rPr>
      </w:pPr>
    </w:p>
    <w:p w:rsidR="00A50FCF" w:rsidRPr="00FD7742" w:rsidRDefault="00D42955" w:rsidP="00040C3A">
      <w:pPr>
        <w:tabs>
          <w:tab w:val="center" w:pos="5400"/>
        </w:tabs>
        <w:suppressAutoHyphens/>
        <w:jc w:val="center"/>
        <w:rPr>
          <w:rFonts w:ascii="Cambria" w:hAnsi="Cambria"/>
          <w:sz w:val="20"/>
          <w:szCs w:val="20"/>
          <w:lang w:val="es-ES_tradnl"/>
        </w:rPr>
      </w:pPr>
      <w:r w:rsidRPr="00FD7742">
        <w:rPr>
          <w:rFonts w:ascii="Cambria" w:hAnsi="Cambria"/>
          <w:noProof/>
          <w:sz w:val="20"/>
          <w:szCs w:val="20"/>
          <w:lang w:val="es-ES" w:eastAsia="es-ES"/>
        </w:rPr>
        <mc:AlternateContent>
          <mc:Choice Requires="wps">
            <w:drawing>
              <wp:anchor distT="0" distB="0" distL="114300" distR="114300" simplePos="0" relativeHeight="251656192" behindDoc="0" locked="0" layoutInCell="1" allowOverlap="1">
                <wp:simplePos x="0" y="0"/>
                <wp:positionH relativeFrom="column">
                  <wp:posOffset>1371600</wp:posOffset>
                </wp:positionH>
                <wp:positionV relativeFrom="paragraph">
                  <wp:posOffset>53340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rsidR="00BB0B93" w:rsidRPr="007372D2" w:rsidRDefault="00BB0B93" w:rsidP="00247403">
                            <w:pPr>
                              <w:tabs>
                                <w:tab w:val="center" w:pos="5400"/>
                              </w:tabs>
                              <w:suppressAutoHyphens/>
                              <w:spacing w:before="60"/>
                              <w:rPr>
                                <w:rFonts w:ascii="Cambria" w:hAnsi="Cambria" w:cs="Univers"/>
                                <w:color w:val="0D0D0D"/>
                                <w:sz w:val="18"/>
                                <w:szCs w:val="20"/>
                                <w:lang w:val="es-ES_tradnl"/>
                              </w:rPr>
                            </w:pPr>
                            <w:r w:rsidRPr="007372D2">
                              <w:rPr>
                                <w:rFonts w:ascii="Cambria" w:hAnsi="Cambria"/>
                                <w:color w:val="0D0D0D"/>
                                <w:sz w:val="18"/>
                                <w:szCs w:val="20"/>
                                <w:lang w:val="es-ES"/>
                              </w:rPr>
                              <w:t xml:space="preserve">Aprobado por la Comisión en su </w:t>
                            </w:r>
                            <w:r>
                              <w:rPr>
                                <w:rFonts w:ascii="Cambria" w:hAnsi="Cambria"/>
                                <w:color w:val="0D0D0D"/>
                                <w:sz w:val="18"/>
                                <w:szCs w:val="20"/>
                                <w:lang w:val="es-ES"/>
                              </w:rPr>
                              <w:t>S</w:t>
                            </w:r>
                            <w:r w:rsidRPr="007372D2">
                              <w:rPr>
                                <w:rFonts w:ascii="Cambria" w:hAnsi="Cambria"/>
                                <w:color w:val="0D0D0D"/>
                                <w:sz w:val="18"/>
                                <w:szCs w:val="20"/>
                                <w:lang w:val="es-ES"/>
                              </w:rPr>
                              <w:t xml:space="preserve">esión No. </w:t>
                            </w:r>
                            <w:r>
                              <w:rPr>
                                <w:rFonts w:ascii="Cambria" w:hAnsi="Cambria"/>
                                <w:color w:val="0D0D0D"/>
                                <w:sz w:val="18"/>
                                <w:szCs w:val="20"/>
                                <w:lang w:val="es-ES"/>
                              </w:rPr>
                              <w:t>2137</w:t>
                            </w:r>
                            <w:r w:rsidRPr="007372D2">
                              <w:rPr>
                                <w:rFonts w:ascii="Cambria" w:hAnsi="Cambria"/>
                                <w:color w:val="0D0D0D"/>
                                <w:sz w:val="18"/>
                                <w:szCs w:val="20"/>
                                <w:lang w:val="es-ES"/>
                              </w:rPr>
                              <w:t xml:space="preserve"> celebrada el </w:t>
                            </w:r>
                            <w:r>
                              <w:rPr>
                                <w:rFonts w:ascii="Cambria" w:hAnsi="Cambria"/>
                                <w:color w:val="0D0D0D"/>
                                <w:sz w:val="18"/>
                                <w:szCs w:val="20"/>
                                <w:lang w:val="es-ES"/>
                              </w:rPr>
                              <w:t>5 de octubre de 2018</w:t>
                            </w:r>
                            <w:r w:rsidRPr="007372D2">
                              <w:rPr>
                                <w:rFonts w:ascii="Cambria" w:hAnsi="Cambria"/>
                                <w:color w:val="0D0D0D"/>
                                <w:sz w:val="18"/>
                                <w:szCs w:val="20"/>
                                <w:lang w:val="es-ES"/>
                              </w:rPr>
                              <w:br/>
                            </w:r>
                            <w:r w:rsidRPr="007372D2">
                              <w:rPr>
                                <w:rFonts w:ascii="Cambria" w:hAnsi="Cambria" w:cs="Univers"/>
                                <w:color w:val="0D0D0D"/>
                                <w:sz w:val="18"/>
                                <w:szCs w:val="20"/>
                                <w:lang w:val="es-ES_tradnl"/>
                              </w:rPr>
                              <w:t>1</w:t>
                            </w:r>
                            <w:r>
                              <w:rPr>
                                <w:rFonts w:ascii="Cambria" w:hAnsi="Cambria" w:cs="Univers"/>
                                <w:color w:val="0D0D0D"/>
                                <w:sz w:val="18"/>
                                <w:szCs w:val="20"/>
                                <w:lang w:val="es-ES_tradnl"/>
                              </w:rPr>
                              <w:t>69 Período Ordinario de S</w:t>
                            </w:r>
                            <w:r w:rsidRPr="007372D2">
                              <w:rPr>
                                <w:rFonts w:ascii="Cambria" w:hAnsi="Cambria" w:cs="Univers"/>
                                <w:color w:val="0D0D0D"/>
                                <w:sz w:val="18"/>
                                <w:szCs w:val="20"/>
                                <w:lang w:val="es-ES_tradnl"/>
                              </w:rPr>
                              <w:t>esiones</w:t>
                            </w:r>
                          </w:p>
                          <w:p w:rsidR="00BB0B93" w:rsidRPr="007372D2" w:rsidRDefault="00BB0B93" w:rsidP="00247403">
                            <w:pPr>
                              <w:tabs>
                                <w:tab w:val="center" w:pos="5400"/>
                              </w:tabs>
                              <w:suppressAutoHyphens/>
                              <w:spacing w:before="60"/>
                              <w:rPr>
                                <w:rFonts w:ascii="Calibri" w:hAnsi="Calibri" w:cs="Univers"/>
                                <w:color w:val="0D0D0D"/>
                                <w:sz w:val="20"/>
                                <w:szCs w:val="20"/>
                                <w:lang w:val="es-ES"/>
                              </w:rPr>
                            </w:pPr>
                          </w:p>
                          <w:p w:rsidR="00BB0B93" w:rsidRPr="007372D2" w:rsidRDefault="00BB0B93" w:rsidP="0059191A">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8pt;margin-top:4.2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" filled="f" stroked="f" strokeweight=".5pt">
                <v:path arrowok="t"/>
                <v:textbox>
                  <w:txbxContent>
                    <w:p w:rsidR="00BB0B93" w:rsidRPr="007372D2" w:rsidRDefault="00BB0B93" w:rsidP="00247403">
                      <w:pPr>
                        <w:tabs>
                          <w:tab w:val="center" w:pos="5400"/>
                        </w:tabs>
                        <w:suppressAutoHyphens/>
                        <w:spacing w:before="60"/>
                        <w:rPr>
                          <w:rFonts w:ascii="Cambria" w:hAnsi="Cambria" w:cs="Univers"/>
                          <w:color w:val="0D0D0D"/>
                          <w:sz w:val="18"/>
                          <w:szCs w:val="20"/>
                          <w:lang w:val="es-ES_tradnl"/>
                        </w:rPr>
                      </w:pPr>
                      <w:r w:rsidRPr="007372D2">
                        <w:rPr>
                          <w:rFonts w:ascii="Cambria" w:hAnsi="Cambria"/>
                          <w:color w:val="0D0D0D"/>
                          <w:sz w:val="18"/>
                          <w:szCs w:val="20"/>
                          <w:lang w:val="es-ES"/>
                        </w:rPr>
                        <w:t xml:space="preserve">Aprobado por la Comisión en su </w:t>
                      </w:r>
                      <w:r>
                        <w:rPr>
                          <w:rFonts w:ascii="Cambria" w:hAnsi="Cambria"/>
                          <w:color w:val="0D0D0D"/>
                          <w:sz w:val="18"/>
                          <w:szCs w:val="20"/>
                          <w:lang w:val="es-ES"/>
                        </w:rPr>
                        <w:t>S</w:t>
                      </w:r>
                      <w:r w:rsidRPr="007372D2">
                        <w:rPr>
                          <w:rFonts w:ascii="Cambria" w:hAnsi="Cambria"/>
                          <w:color w:val="0D0D0D"/>
                          <w:sz w:val="18"/>
                          <w:szCs w:val="20"/>
                          <w:lang w:val="es-ES"/>
                        </w:rPr>
                        <w:t xml:space="preserve">esión No. </w:t>
                      </w:r>
                      <w:r>
                        <w:rPr>
                          <w:rFonts w:ascii="Cambria" w:hAnsi="Cambria"/>
                          <w:color w:val="0D0D0D"/>
                          <w:sz w:val="18"/>
                          <w:szCs w:val="20"/>
                          <w:lang w:val="es-ES"/>
                        </w:rPr>
                        <w:t>2137</w:t>
                      </w:r>
                      <w:r w:rsidRPr="007372D2">
                        <w:rPr>
                          <w:rFonts w:ascii="Cambria" w:hAnsi="Cambria"/>
                          <w:color w:val="0D0D0D"/>
                          <w:sz w:val="18"/>
                          <w:szCs w:val="20"/>
                          <w:lang w:val="es-ES"/>
                        </w:rPr>
                        <w:t xml:space="preserve"> celebrada el </w:t>
                      </w:r>
                      <w:r>
                        <w:rPr>
                          <w:rFonts w:ascii="Cambria" w:hAnsi="Cambria"/>
                          <w:color w:val="0D0D0D"/>
                          <w:sz w:val="18"/>
                          <w:szCs w:val="20"/>
                          <w:lang w:val="es-ES"/>
                        </w:rPr>
                        <w:t>5 de octubre de 2018</w:t>
                      </w:r>
                      <w:r w:rsidRPr="007372D2">
                        <w:rPr>
                          <w:rFonts w:ascii="Cambria" w:hAnsi="Cambria"/>
                          <w:color w:val="0D0D0D"/>
                          <w:sz w:val="18"/>
                          <w:szCs w:val="20"/>
                          <w:lang w:val="es-ES"/>
                        </w:rPr>
                        <w:br/>
                      </w:r>
                      <w:r w:rsidRPr="007372D2">
                        <w:rPr>
                          <w:rFonts w:ascii="Cambria" w:hAnsi="Cambria" w:cs="Univers"/>
                          <w:color w:val="0D0D0D"/>
                          <w:sz w:val="18"/>
                          <w:szCs w:val="20"/>
                          <w:lang w:val="es-ES_tradnl"/>
                        </w:rPr>
                        <w:t>1</w:t>
                      </w:r>
                      <w:r>
                        <w:rPr>
                          <w:rFonts w:ascii="Cambria" w:hAnsi="Cambria" w:cs="Univers"/>
                          <w:color w:val="0D0D0D"/>
                          <w:sz w:val="18"/>
                          <w:szCs w:val="20"/>
                          <w:lang w:val="es-ES_tradnl"/>
                        </w:rPr>
                        <w:t>69 Período Ordinario de S</w:t>
                      </w:r>
                      <w:r w:rsidRPr="007372D2">
                        <w:rPr>
                          <w:rFonts w:ascii="Cambria" w:hAnsi="Cambria" w:cs="Univers"/>
                          <w:color w:val="0D0D0D"/>
                          <w:sz w:val="18"/>
                          <w:szCs w:val="20"/>
                          <w:lang w:val="es-ES_tradnl"/>
                        </w:rPr>
                        <w:t>esiones</w:t>
                      </w:r>
                    </w:p>
                    <w:p w:rsidR="00BB0B93" w:rsidRPr="007372D2" w:rsidRDefault="00BB0B93" w:rsidP="00247403">
                      <w:pPr>
                        <w:tabs>
                          <w:tab w:val="center" w:pos="5400"/>
                        </w:tabs>
                        <w:suppressAutoHyphens/>
                        <w:spacing w:before="60"/>
                        <w:rPr>
                          <w:rFonts w:ascii="Calibri" w:hAnsi="Calibri" w:cs="Univers"/>
                          <w:color w:val="0D0D0D"/>
                          <w:sz w:val="20"/>
                          <w:szCs w:val="20"/>
                          <w:lang w:val="es-ES"/>
                        </w:rPr>
                      </w:pPr>
                    </w:p>
                    <w:p w:rsidR="00BB0B93" w:rsidRPr="007372D2" w:rsidRDefault="00BB0B93" w:rsidP="0059191A">
                      <w:pPr>
                        <w:tabs>
                          <w:tab w:val="center" w:pos="5400"/>
                        </w:tabs>
                        <w:suppressAutoHyphens/>
                        <w:spacing w:before="60"/>
                        <w:rPr>
                          <w:rFonts w:ascii="Calibri" w:hAnsi="Calibri"/>
                          <w:color w:val="FFFFFF"/>
                          <w:spacing w:val="-2"/>
                          <w:sz w:val="16"/>
                          <w:lang w:val="es-ES"/>
                        </w:rPr>
                      </w:pPr>
                    </w:p>
                  </w:txbxContent>
                </v:textbox>
              </v:shape>
            </w:pict>
          </mc:Fallback>
        </mc:AlternateContent>
      </w:r>
    </w:p>
    <w:p w:rsidR="00A50FCF" w:rsidRPr="00FD7742" w:rsidRDefault="00A50FCF" w:rsidP="00040C3A">
      <w:pPr>
        <w:tabs>
          <w:tab w:val="center" w:pos="5400"/>
        </w:tabs>
        <w:suppressAutoHyphens/>
        <w:jc w:val="center"/>
        <w:rPr>
          <w:rFonts w:ascii="Cambria" w:hAnsi="Cambria"/>
          <w:sz w:val="20"/>
          <w:szCs w:val="20"/>
          <w:lang w:val="es-ES_tradnl"/>
        </w:rPr>
      </w:pPr>
    </w:p>
    <w:p w:rsidR="00A50FCF" w:rsidRPr="00FD7742" w:rsidRDefault="00A50FCF" w:rsidP="00040C3A">
      <w:pPr>
        <w:tabs>
          <w:tab w:val="center" w:pos="5400"/>
        </w:tabs>
        <w:suppressAutoHyphens/>
        <w:jc w:val="center"/>
        <w:rPr>
          <w:rFonts w:ascii="Cambria" w:hAnsi="Cambria"/>
          <w:sz w:val="20"/>
          <w:szCs w:val="20"/>
          <w:lang w:val="es-ES_tradnl"/>
        </w:rPr>
      </w:pPr>
    </w:p>
    <w:p w:rsidR="00A50FCF" w:rsidRPr="00FD7742" w:rsidRDefault="00A50FCF" w:rsidP="00040C3A">
      <w:pPr>
        <w:tabs>
          <w:tab w:val="center" w:pos="5400"/>
        </w:tabs>
        <w:suppressAutoHyphens/>
        <w:jc w:val="center"/>
        <w:rPr>
          <w:rFonts w:ascii="Cambria" w:hAnsi="Cambria"/>
          <w:sz w:val="20"/>
          <w:szCs w:val="20"/>
          <w:lang w:val="es-ES_tradnl"/>
        </w:rPr>
      </w:pPr>
    </w:p>
    <w:p w:rsidR="00A50FCF" w:rsidRPr="00FD7742" w:rsidRDefault="00A50FCF" w:rsidP="00040C3A">
      <w:pPr>
        <w:tabs>
          <w:tab w:val="center" w:pos="5400"/>
        </w:tabs>
        <w:suppressAutoHyphens/>
        <w:jc w:val="center"/>
        <w:rPr>
          <w:rFonts w:ascii="Cambria" w:hAnsi="Cambria"/>
          <w:sz w:val="20"/>
          <w:szCs w:val="20"/>
          <w:lang w:val="es-ES_tradnl"/>
        </w:rPr>
      </w:pPr>
    </w:p>
    <w:p w:rsidR="00A50FCF" w:rsidRPr="00FD7742" w:rsidRDefault="00D42955" w:rsidP="00040C3A">
      <w:pPr>
        <w:tabs>
          <w:tab w:val="center" w:pos="5400"/>
        </w:tabs>
        <w:suppressAutoHyphens/>
        <w:jc w:val="center"/>
        <w:rPr>
          <w:rFonts w:ascii="Cambria" w:hAnsi="Cambria"/>
          <w:sz w:val="20"/>
          <w:szCs w:val="20"/>
          <w:lang w:val="es-ES_tradnl"/>
        </w:rPr>
      </w:pPr>
      <w:r w:rsidRPr="00FD7742">
        <w:rPr>
          <w:rFonts w:ascii="Cambria" w:hAnsi="Cambria"/>
          <w:noProof/>
          <w:sz w:val="20"/>
          <w:szCs w:val="20"/>
          <w:lang w:val="es-ES" w:eastAsia="es-ES"/>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5715</wp:posOffset>
                </wp:positionV>
                <wp:extent cx="4669790"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9790" cy="657225"/>
                        </a:xfrm>
                        <a:prstGeom prst="rect">
                          <a:avLst/>
                        </a:prstGeom>
                        <a:noFill/>
                        <a:ln w="6350">
                          <a:noFill/>
                        </a:ln>
                        <a:effectLst/>
                      </wps:spPr>
                      <wps:txbx>
                        <w:txbxContent>
                          <w:p w:rsidR="00BB0B93" w:rsidRPr="00BA591A" w:rsidRDefault="00BB0B93" w:rsidP="00FB2A16">
                            <w:pPr>
                              <w:spacing w:line="276" w:lineRule="auto"/>
                              <w:jc w:val="both"/>
                              <w:rPr>
                                <w:rFonts w:ascii="Cambria" w:hAnsi="Cambria"/>
                                <w:color w:val="595959"/>
                                <w:sz w:val="18"/>
                                <w:szCs w:val="18"/>
                                <w:lang w:val="es-ES"/>
                              </w:rPr>
                            </w:pPr>
                            <w:r w:rsidRPr="007372D2">
                              <w:rPr>
                                <w:rFonts w:ascii="Cambria" w:hAnsi="Cambria"/>
                                <w:b/>
                                <w:color w:val="595959"/>
                                <w:sz w:val="18"/>
                                <w:szCs w:val="18"/>
                                <w:lang w:val="pt-BR"/>
                              </w:rPr>
                              <w:t>Citar como:</w:t>
                            </w:r>
                            <w:r>
                              <w:rPr>
                                <w:rFonts w:ascii="Cambria" w:hAnsi="Cambria"/>
                                <w:color w:val="595959"/>
                                <w:sz w:val="18"/>
                                <w:szCs w:val="18"/>
                                <w:lang w:val="pt-BR"/>
                              </w:rPr>
                              <w:t xml:space="preserve"> CIDH.</w:t>
                            </w:r>
                            <w:r w:rsidRPr="007372D2">
                              <w:rPr>
                                <w:rFonts w:ascii="Cambria" w:hAnsi="Cambria"/>
                                <w:color w:val="595959"/>
                                <w:sz w:val="18"/>
                                <w:szCs w:val="18"/>
                                <w:lang w:val="pt-BR"/>
                              </w:rPr>
                              <w:t xml:space="preserve"> Informe No</w:t>
                            </w:r>
                            <w:r>
                              <w:rPr>
                                <w:rFonts w:ascii="Cambria" w:hAnsi="Cambria"/>
                                <w:color w:val="595959"/>
                                <w:sz w:val="18"/>
                                <w:szCs w:val="18"/>
                                <w:lang w:val="pt-BR"/>
                              </w:rPr>
                              <w:t>. 111/18.</w:t>
                            </w:r>
                            <w:r w:rsidRPr="00CA29EB">
                              <w:rPr>
                                <w:rFonts w:ascii="Cambria" w:hAnsi="Cambria"/>
                                <w:color w:val="595959"/>
                                <w:sz w:val="18"/>
                                <w:szCs w:val="18"/>
                                <w:lang w:val="pt-BR"/>
                              </w:rPr>
                              <w:t xml:space="preserve"> </w:t>
                            </w:r>
                            <w:r w:rsidRPr="00765C18">
                              <w:rPr>
                                <w:rFonts w:ascii="Cambria" w:hAnsi="Cambria"/>
                                <w:color w:val="595959"/>
                                <w:sz w:val="18"/>
                                <w:szCs w:val="18"/>
                                <w:lang w:val="es-PE"/>
                              </w:rPr>
                              <w:t xml:space="preserve">Caso 12.786. </w:t>
                            </w:r>
                            <w:r>
                              <w:rPr>
                                <w:rFonts w:ascii="Cambria" w:hAnsi="Cambria"/>
                                <w:color w:val="595959"/>
                                <w:sz w:val="18"/>
                                <w:szCs w:val="18"/>
                                <w:lang w:val="es-ES_tradnl"/>
                              </w:rPr>
                              <w:t xml:space="preserve">Fondo. Luis Eduardo Guachalá Chimbó y familia. Ecuador. 5 de octubre de 2018.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67.7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" filled="f" stroked="f" strokeweight=".5pt">
                <v:path arrowok="t"/>
                <v:textbox>
                  <w:txbxContent>
                    <w:p w:rsidR="00BB0B93" w:rsidRPr="00BA591A" w:rsidRDefault="00BB0B93" w:rsidP="00FB2A16">
                      <w:pPr>
                        <w:spacing w:line="276" w:lineRule="auto"/>
                        <w:jc w:val="both"/>
                        <w:rPr>
                          <w:rFonts w:ascii="Cambria" w:hAnsi="Cambria"/>
                          <w:color w:val="595959"/>
                          <w:sz w:val="18"/>
                          <w:szCs w:val="18"/>
                          <w:lang w:val="es-ES"/>
                        </w:rPr>
                      </w:pPr>
                      <w:r w:rsidRPr="007372D2">
                        <w:rPr>
                          <w:rFonts w:ascii="Cambria" w:hAnsi="Cambria"/>
                          <w:b/>
                          <w:color w:val="595959"/>
                          <w:sz w:val="18"/>
                          <w:szCs w:val="18"/>
                          <w:lang w:val="pt-BR"/>
                        </w:rPr>
                        <w:t>Citar como:</w:t>
                      </w:r>
                      <w:r>
                        <w:rPr>
                          <w:rFonts w:ascii="Cambria" w:hAnsi="Cambria"/>
                          <w:color w:val="595959"/>
                          <w:sz w:val="18"/>
                          <w:szCs w:val="18"/>
                          <w:lang w:val="pt-BR"/>
                        </w:rPr>
                        <w:t xml:space="preserve"> CIDH.</w:t>
                      </w:r>
                      <w:r w:rsidRPr="007372D2">
                        <w:rPr>
                          <w:rFonts w:ascii="Cambria" w:hAnsi="Cambria"/>
                          <w:color w:val="595959"/>
                          <w:sz w:val="18"/>
                          <w:szCs w:val="18"/>
                          <w:lang w:val="pt-BR"/>
                        </w:rPr>
                        <w:t xml:space="preserve"> Informe No</w:t>
                      </w:r>
                      <w:r>
                        <w:rPr>
                          <w:rFonts w:ascii="Cambria" w:hAnsi="Cambria"/>
                          <w:color w:val="595959"/>
                          <w:sz w:val="18"/>
                          <w:szCs w:val="18"/>
                          <w:lang w:val="pt-BR"/>
                        </w:rPr>
                        <w:t>. 111/18.</w:t>
                      </w:r>
                      <w:r w:rsidRPr="00CA29EB">
                        <w:rPr>
                          <w:rFonts w:ascii="Cambria" w:hAnsi="Cambria"/>
                          <w:color w:val="595959"/>
                          <w:sz w:val="18"/>
                          <w:szCs w:val="18"/>
                          <w:lang w:val="pt-BR"/>
                        </w:rPr>
                        <w:t xml:space="preserve"> </w:t>
                      </w:r>
                      <w:r w:rsidRPr="00765C18">
                        <w:rPr>
                          <w:rFonts w:ascii="Cambria" w:hAnsi="Cambria"/>
                          <w:color w:val="595959"/>
                          <w:sz w:val="18"/>
                          <w:szCs w:val="18"/>
                          <w:lang w:val="es-PE"/>
                        </w:rPr>
                        <w:t xml:space="preserve">Caso 12.786. </w:t>
                      </w:r>
                      <w:r>
                        <w:rPr>
                          <w:rFonts w:ascii="Cambria" w:hAnsi="Cambria"/>
                          <w:color w:val="595959"/>
                          <w:sz w:val="18"/>
                          <w:szCs w:val="18"/>
                          <w:lang w:val="es-ES_tradnl"/>
                        </w:rPr>
                        <w:t xml:space="preserve">Fondo. Luis Eduardo Guachalá Chimbó y familia. Ecuador. 5 de octubre de 2018. </w:t>
                      </w:r>
                    </w:p>
                  </w:txbxContent>
                </v:textbox>
              </v:shape>
            </w:pict>
          </mc:Fallback>
        </mc:AlternateContent>
      </w:r>
    </w:p>
    <w:p w:rsidR="00A50FCF" w:rsidRPr="00FD7742" w:rsidRDefault="00A50FCF" w:rsidP="00040C3A">
      <w:pPr>
        <w:tabs>
          <w:tab w:val="center" w:pos="5400"/>
        </w:tabs>
        <w:suppressAutoHyphens/>
        <w:jc w:val="center"/>
        <w:rPr>
          <w:rFonts w:ascii="Cambria" w:hAnsi="Cambria"/>
          <w:sz w:val="20"/>
          <w:szCs w:val="20"/>
          <w:lang w:val="es-ES_tradnl"/>
        </w:rPr>
      </w:pPr>
    </w:p>
    <w:p w:rsidR="0090270B" w:rsidRPr="00FD7742" w:rsidRDefault="00D42955" w:rsidP="005516A1">
      <w:pPr>
        <w:tabs>
          <w:tab w:val="center" w:pos="5400"/>
        </w:tabs>
        <w:suppressAutoHyphens/>
        <w:jc w:val="center"/>
        <w:rPr>
          <w:rFonts w:ascii="Cambria" w:hAnsi="Cambria"/>
          <w:b/>
          <w:sz w:val="20"/>
          <w:szCs w:val="20"/>
          <w:lang w:val="es-ES_tradnl"/>
        </w:rPr>
      </w:pPr>
      <w:r w:rsidRPr="00FD7742">
        <w:rPr>
          <w:rFonts w:ascii="Cambria" w:hAnsi="Cambria"/>
          <w:noProof/>
          <w:sz w:val="20"/>
          <w:szCs w:val="20"/>
          <w:lang w:val="es-ES" w:eastAsia="es-ES"/>
        </w:rPr>
        <mc:AlternateContent>
          <mc:Choice Requires="wps">
            <w:drawing>
              <wp:anchor distT="0" distB="0" distL="114300" distR="114300" simplePos="0" relativeHeight="251660288" behindDoc="0" locked="0" layoutInCell="1" allowOverlap="1">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ysClr val="window" lastClr="FFFFFF"/>
                        </a:solidFill>
                        <a:ln w="6350">
                          <a:noFill/>
                        </a:ln>
                        <a:effectLst/>
                      </wps:spPr>
                      <wps:txbx>
                        <w:txbxContent>
                          <w:p w:rsidR="00BB0B93" w:rsidRPr="007372D2" w:rsidRDefault="00BB0B93" w:rsidP="00F02AD1">
                            <w:pPr>
                              <w:rPr>
                                <w:color w:val="FFFFFF"/>
                              </w:rPr>
                            </w:pPr>
                            <w:r w:rsidRPr="007372D2">
                              <w:rPr>
                                <w:noProof/>
                                <w:color w:val="FFFFFF"/>
                                <w:lang w:val="es-ES" w:eastAsia="es-ES"/>
                              </w:rPr>
                              <w:drawing>
                                <wp:inline distT="0" distB="0" distL="0" distR="0">
                                  <wp:extent cx="1343025" cy="390525"/>
                                  <wp:effectExtent l="0" t="0" r="9525" b="9525"/>
                                  <wp:docPr id="4" name="Picture 15" descr="Description: 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3025" cy="390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" fillcolor="window" stroked="f" strokeweight=".5pt">
                <v:path arrowok="t"/>
                <v:textbox>
                  <w:txbxContent>
                    <w:p w:rsidR="00BB0B93" w:rsidRPr="007372D2" w:rsidRDefault="00BB0B93" w:rsidP="00F02AD1">
                      <w:pPr>
                        <w:rPr>
                          <w:color w:val="FFFFFF"/>
                        </w:rPr>
                      </w:pPr>
                      <w:r w:rsidRPr="007372D2">
                        <w:rPr>
                          <w:noProof/>
                          <w:color w:val="FFFFFF"/>
                          <w:lang w:val="es-ES" w:eastAsia="es-ES"/>
                        </w:rPr>
                        <w:drawing>
                          <wp:inline distT="0" distB="0" distL="0" distR="0">
                            <wp:extent cx="1343025" cy="390525"/>
                            <wp:effectExtent l="0" t="0" r="9525" b="9525"/>
                            <wp:docPr id="4" name="Picture 15" descr="Description: 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3025" cy="390525"/>
                                    </a:xfrm>
                                    <a:prstGeom prst="rect">
                                      <a:avLst/>
                                    </a:prstGeom>
                                    <a:noFill/>
                                    <a:ln>
                                      <a:noFill/>
                                    </a:ln>
                                  </pic:spPr>
                                </pic:pic>
                              </a:graphicData>
                            </a:graphic>
                          </wp:inline>
                        </w:drawing>
                      </w:r>
                    </w:p>
                  </w:txbxContent>
                </v:textbox>
              </v:shape>
            </w:pict>
          </mc:Fallback>
        </mc:AlternateContent>
      </w:r>
      <w:r w:rsidRPr="00FD7742">
        <w:rPr>
          <w:rFonts w:ascii="Cambria" w:hAnsi="Cambria"/>
          <w:noProof/>
          <w:sz w:val="20"/>
          <w:szCs w:val="20"/>
          <w:lang w:val="es-ES" w:eastAsia="es-ES"/>
        </w:rPr>
        <mc:AlternateContent>
          <mc:Choice Requires="wps">
            <w:drawing>
              <wp:anchor distT="0" distB="0" distL="114300" distR="114300" simplePos="0" relativeHeight="251661312" behindDoc="0" locked="0" layoutInCell="1" allowOverlap="1">
                <wp:simplePos x="0" y="0"/>
                <wp:positionH relativeFrom="column">
                  <wp:posOffset>-271780</wp:posOffset>
                </wp:positionH>
                <wp:positionV relativeFrom="paragraph">
                  <wp:posOffset>915035</wp:posOffset>
                </wp:positionV>
                <wp:extent cx="1181100" cy="33274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rsidR="00BB0B93" w:rsidRPr="007372D2" w:rsidRDefault="00BB0B93" w:rsidP="00D306D1">
                            <w:pPr>
                              <w:jc w:val="center"/>
                              <w:rPr>
                                <w:rFonts w:ascii="Calibri" w:hAnsi="Calibri"/>
                                <w:b/>
                                <w:color w:val="FFFFFF"/>
                              </w:rPr>
                            </w:pPr>
                            <w:r w:rsidRPr="007372D2">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" filled="f" stroked="f" strokeweight=".5pt">
                <v:path arrowok="t"/>
                <v:textbox>
                  <w:txbxContent>
                    <w:p w:rsidR="00BB0B93" w:rsidRPr="007372D2" w:rsidRDefault="00BB0B93" w:rsidP="00D306D1">
                      <w:pPr>
                        <w:jc w:val="center"/>
                        <w:rPr>
                          <w:rFonts w:ascii="Calibri" w:hAnsi="Calibri"/>
                          <w:b/>
                          <w:color w:val="FFFFFF"/>
                        </w:rPr>
                      </w:pPr>
                      <w:r w:rsidRPr="007372D2">
                        <w:rPr>
                          <w:rFonts w:ascii="Calibri" w:hAnsi="Calibri"/>
                          <w:b/>
                          <w:color w:val="FFFFFF"/>
                          <w:lang w:val="pt-BR"/>
                        </w:rPr>
                        <w:t>www.cidh.org</w:t>
                      </w:r>
                    </w:p>
                  </w:txbxContent>
                </v:textbox>
              </v:shape>
            </w:pict>
          </mc:Fallback>
        </mc:AlternateContent>
      </w:r>
    </w:p>
    <w:p w:rsidR="0070697F" w:rsidRPr="00FD7742" w:rsidRDefault="0070697F" w:rsidP="005516A1">
      <w:pPr>
        <w:tabs>
          <w:tab w:val="center" w:pos="5400"/>
        </w:tabs>
        <w:suppressAutoHyphens/>
        <w:jc w:val="center"/>
        <w:rPr>
          <w:rFonts w:ascii="Cambria" w:hAnsi="Cambria"/>
          <w:b/>
          <w:sz w:val="20"/>
          <w:szCs w:val="20"/>
          <w:lang w:val="es-ES_tradnl"/>
        </w:rPr>
        <w:sectPr w:rsidR="0070697F" w:rsidRPr="00FD7742"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722C9F" w:rsidRPr="00D1219D" w:rsidRDefault="00722C9F" w:rsidP="00722C9F">
      <w:pPr>
        <w:tabs>
          <w:tab w:val="center" w:pos="5400"/>
        </w:tabs>
        <w:suppressAutoHyphens/>
        <w:spacing w:line="276" w:lineRule="auto"/>
        <w:jc w:val="center"/>
        <w:rPr>
          <w:rFonts w:ascii="Cambria" w:hAnsi="Cambria"/>
          <w:b/>
          <w:sz w:val="18"/>
          <w:szCs w:val="18"/>
          <w:lang w:val="es-ES_tradnl"/>
        </w:rPr>
      </w:pPr>
      <w:r w:rsidRPr="00D1219D">
        <w:rPr>
          <w:rFonts w:ascii="Cambria" w:hAnsi="Cambria"/>
          <w:b/>
          <w:sz w:val="18"/>
          <w:szCs w:val="18"/>
          <w:lang w:val="es-ES_tradnl"/>
        </w:rPr>
        <w:lastRenderedPageBreak/>
        <w:t xml:space="preserve">INFORME No. </w:t>
      </w:r>
      <w:r w:rsidR="00CA29EB">
        <w:rPr>
          <w:rFonts w:ascii="Cambria" w:hAnsi="Cambria"/>
          <w:b/>
          <w:sz w:val="18"/>
          <w:szCs w:val="18"/>
          <w:lang w:val="es-ES_tradnl"/>
        </w:rPr>
        <w:t>111</w:t>
      </w:r>
      <w:r w:rsidRPr="00D1219D">
        <w:rPr>
          <w:rFonts w:ascii="Cambria" w:hAnsi="Cambria"/>
          <w:b/>
          <w:sz w:val="18"/>
          <w:szCs w:val="18"/>
          <w:lang w:val="es-ES_tradnl"/>
        </w:rPr>
        <w:t>/1</w:t>
      </w:r>
      <w:r w:rsidR="001E7FAD" w:rsidRPr="00D1219D">
        <w:rPr>
          <w:rFonts w:ascii="Cambria" w:hAnsi="Cambria"/>
          <w:b/>
          <w:sz w:val="18"/>
          <w:szCs w:val="18"/>
          <w:lang w:val="es-ES_tradnl"/>
        </w:rPr>
        <w:t>8</w:t>
      </w:r>
    </w:p>
    <w:p w:rsidR="00722C9F" w:rsidRPr="00D1219D" w:rsidRDefault="00722C9F" w:rsidP="00722C9F">
      <w:pPr>
        <w:tabs>
          <w:tab w:val="center" w:pos="5400"/>
        </w:tabs>
        <w:suppressAutoHyphens/>
        <w:spacing w:line="276" w:lineRule="auto"/>
        <w:jc w:val="center"/>
        <w:rPr>
          <w:rFonts w:ascii="Cambria" w:hAnsi="Cambria"/>
          <w:b/>
          <w:sz w:val="18"/>
          <w:szCs w:val="18"/>
          <w:lang w:val="es-ES_tradnl"/>
        </w:rPr>
      </w:pPr>
      <w:r w:rsidRPr="00D1219D">
        <w:rPr>
          <w:rFonts w:ascii="Cambria" w:hAnsi="Cambria"/>
          <w:b/>
          <w:sz w:val="18"/>
          <w:szCs w:val="18"/>
          <w:lang w:val="es-ES_tradnl"/>
        </w:rPr>
        <w:t xml:space="preserve">CASO </w:t>
      </w:r>
      <w:r w:rsidR="00BA591A" w:rsidRPr="00D1219D">
        <w:rPr>
          <w:rFonts w:ascii="Cambria" w:hAnsi="Cambria"/>
          <w:b/>
          <w:sz w:val="18"/>
          <w:szCs w:val="18"/>
          <w:lang w:val="es-ES_tradnl"/>
        </w:rPr>
        <w:t>12.786</w:t>
      </w:r>
    </w:p>
    <w:p w:rsidR="00722C9F" w:rsidRPr="00D1219D" w:rsidRDefault="00161414" w:rsidP="00161414">
      <w:pPr>
        <w:tabs>
          <w:tab w:val="center" w:pos="5400"/>
        </w:tabs>
        <w:suppressAutoHyphens/>
        <w:spacing w:line="276" w:lineRule="auto"/>
        <w:jc w:val="center"/>
        <w:rPr>
          <w:rFonts w:ascii="Cambria" w:hAnsi="Cambria"/>
          <w:sz w:val="18"/>
          <w:szCs w:val="18"/>
          <w:lang w:val="es-ES_tradnl"/>
        </w:rPr>
      </w:pPr>
      <w:r w:rsidRPr="00D1219D">
        <w:rPr>
          <w:rFonts w:ascii="Cambria" w:hAnsi="Cambria"/>
          <w:sz w:val="18"/>
          <w:szCs w:val="18"/>
          <w:lang w:val="es-ES_tradnl"/>
        </w:rPr>
        <w:t>FONDO</w:t>
      </w:r>
    </w:p>
    <w:p w:rsidR="00722C9F" w:rsidRPr="00D1219D" w:rsidRDefault="00BA591A" w:rsidP="00722C9F">
      <w:pPr>
        <w:tabs>
          <w:tab w:val="center" w:pos="5400"/>
        </w:tabs>
        <w:suppressAutoHyphens/>
        <w:spacing w:line="276" w:lineRule="auto"/>
        <w:jc w:val="center"/>
        <w:rPr>
          <w:rFonts w:ascii="Cambria" w:hAnsi="Cambria"/>
          <w:sz w:val="18"/>
          <w:szCs w:val="18"/>
          <w:lang w:val="es-ES_tradnl"/>
        </w:rPr>
      </w:pPr>
      <w:r w:rsidRPr="00D1219D">
        <w:rPr>
          <w:rFonts w:ascii="Cambria" w:hAnsi="Cambria"/>
          <w:sz w:val="18"/>
          <w:szCs w:val="18"/>
          <w:lang w:val="es-ES_tradnl"/>
        </w:rPr>
        <w:t>LUIS EDUARDO GUACHALÁ CHIMBÓ</w:t>
      </w:r>
      <w:r w:rsidR="002D0077" w:rsidRPr="00D1219D">
        <w:rPr>
          <w:rFonts w:ascii="Cambria" w:hAnsi="Cambria"/>
          <w:sz w:val="18"/>
          <w:szCs w:val="18"/>
          <w:lang w:val="es-ES_tradnl"/>
        </w:rPr>
        <w:t xml:space="preserve"> Y FAMILIA</w:t>
      </w:r>
    </w:p>
    <w:p w:rsidR="0070697F" w:rsidRPr="00D1219D" w:rsidRDefault="00BA591A" w:rsidP="00722C9F">
      <w:pPr>
        <w:tabs>
          <w:tab w:val="center" w:pos="5400"/>
        </w:tabs>
        <w:suppressAutoHyphens/>
        <w:spacing w:line="276" w:lineRule="auto"/>
        <w:jc w:val="center"/>
        <w:rPr>
          <w:rFonts w:ascii="Cambria" w:hAnsi="Cambria"/>
          <w:sz w:val="18"/>
          <w:szCs w:val="18"/>
          <w:lang w:val="es-ES_tradnl"/>
        </w:rPr>
      </w:pPr>
      <w:r w:rsidRPr="00D1219D">
        <w:rPr>
          <w:rFonts w:ascii="Cambria" w:hAnsi="Cambria"/>
          <w:sz w:val="18"/>
          <w:szCs w:val="18"/>
          <w:lang w:val="es-ES_tradnl"/>
        </w:rPr>
        <w:t>ECUADOR</w:t>
      </w:r>
    </w:p>
    <w:p w:rsidR="00722C9F" w:rsidRPr="00D1219D" w:rsidRDefault="00CA29EB" w:rsidP="00722C9F">
      <w:pPr>
        <w:tabs>
          <w:tab w:val="center" w:pos="5400"/>
        </w:tabs>
        <w:suppressAutoHyphens/>
        <w:spacing w:line="276" w:lineRule="auto"/>
        <w:jc w:val="center"/>
        <w:rPr>
          <w:rFonts w:ascii="Cambria" w:hAnsi="Cambria"/>
          <w:sz w:val="18"/>
          <w:szCs w:val="18"/>
          <w:lang w:val="es-ES_tradnl"/>
        </w:rPr>
      </w:pPr>
      <w:r>
        <w:rPr>
          <w:rFonts w:ascii="Cambria" w:hAnsi="Cambria"/>
          <w:sz w:val="18"/>
          <w:szCs w:val="18"/>
          <w:lang w:val="es-ES_tradnl"/>
        </w:rPr>
        <w:t>5 DE OCTUBRE DE 2018</w:t>
      </w:r>
    </w:p>
    <w:p w:rsidR="00722C9F" w:rsidRPr="00D1219D" w:rsidRDefault="00722C9F" w:rsidP="00722C9F">
      <w:pPr>
        <w:tabs>
          <w:tab w:val="center" w:pos="5400"/>
        </w:tabs>
        <w:suppressAutoHyphens/>
        <w:spacing w:line="276" w:lineRule="auto"/>
        <w:jc w:val="center"/>
        <w:rPr>
          <w:rFonts w:ascii="Cambria" w:hAnsi="Cambria"/>
          <w:sz w:val="20"/>
          <w:szCs w:val="20"/>
          <w:lang w:val="es-ES_tradnl"/>
        </w:rPr>
      </w:pPr>
    </w:p>
    <w:p w:rsidR="00722C9F" w:rsidRPr="00D1219D" w:rsidRDefault="00722C9F" w:rsidP="00722C9F">
      <w:pPr>
        <w:tabs>
          <w:tab w:val="center" w:pos="5400"/>
        </w:tabs>
        <w:suppressAutoHyphens/>
        <w:spacing w:line="276" w:lineRule="auto"/>
        <w:jc w:val="center"/>
        <w:rPr>
          <w:rFonts w:ascii="Cambria" w:hAnsi="Cambria"/>
          <w:b/>
          <w:sz w:val="20"/>
          <w:szCs w:val="20"/>
          <w:lang w:val="es-ES_tradnl"/>
        </w:rPr>
      </w:pPr>
      <w:r w:rsidRPr="00D1219D">
        <w:rPr>
          <w:rFonts w:ascii="Cambria" w:hAnsi="Cambria"/>
          <w:b/>
          <w:sz w:val="20"/>
          <w:szCs w:val="20"/>
          <w:lang w:val="es-ES_tradnl"/>
        </w:rPr>
        <w:t>ÍNDICE</w:t>
      </w:r>
    </w:p>
    <w:p w:rsidR="0070697F" w:rsidRPr="00D1219D" w:rsidRDefault="0070697F" w:rsidP="00FC72CE">
      <w:pPr>
        <w:tabs>
          <w:tab w:val="left" w:pos="720"/>
          <w:tab w:val="center" w:pos="5400"/>
        </w:tabs>
        <w:suppressAutoHyphens/>
        <w:spacing w:line="276" w:lineRule="auto"/>
        <w:rPr>
          <w:rFonts w:ascii="Cambria" w:hAnsi="Cambria"/>
          <w:sz w:val="20"/>
          <w:szCs w:val="20"/>
          <w:lang w:val="es-ES_tradnl"/>
        </w:rPr>
      </w:pPr>
    </w:p>
    <w:p w:rsidR="00471FC6" w:rsidRPr="00D1219D" w:rsidRDefault="00471FC6" w:rsidP="00471FC6">
      <w:pPr>
        <w:pStyle w:val="TOC1"/>
        <w:tabs>
          <w:tab w:val="left" w:pos="630"/>
          <w:tab w:val="right" w:leader="dot" w:pos="9350"/>
        </w:tabs>
        <w:rPr>
          <w:rFonts w:ascii="Cambria" w:eastAsia="Times New Roman" w:hAnsi="Cambria"/>
          <w:noProof/>
          <w:sz w:val="20"/>
          <w:szCs w:val="20"/>
          <w:bdr w:val="none" w:sz="0" w:space="0" w:color="auto"/>
          <w:lang w:val="es-ES" w:eastAsia="es-ES"/>
        </w:rPr>
      </w:pPr>
      <w:r w:rsidRPr="00D1219D">
        <w:rPr>
          <w:rFonts w:ascii="Cambria" w:hAnsi="Cambria"/>
          <w:sz w:val="20"/>
          <w:szCs w:val="20"/>
          <w:lang w:val="es-ES_tradnl"/>
        </w:rPr>
        <w:fldChar w:fldCharType="begin"/>
      </w:r>
      <w:r w:rsidRPr="00D1219D">
        <w:rPr>
          <w:rFonts w:ascii="Cambria" w:hAnsi="Cambria"/>
          <w:sz w:val="20"/>
          <w:szCs w:val="20"/>
          <w:lang w:val="es-ES_tradnl"/>
        </w:rPr>
        <w:instrText xml:space="preserve"> TOC \o "1-3" \h \z \u </w:instrText>
      </w:r>
      <w:r w:rsidRPr="00D1219D">
        <w:rPr>
          <w:rFonts w:ascii="Cambria" w:hAnsi="Cambria"/>
          <w:sz w:val="20"/>
          <w:szCs w:val="20"/>
          <w:lang w:val="es-ES_tradnl"/>
        </w:rPr>
        <w:fldChar w:fldCharType="separate"/>
      </w:r>
      <w:hyperlink w:anchor="_Toc525547496" w:history="1">
        <w:r w:rsidRPr="00D1219D">
          <w:rPr>
            <w:rStyle w:val="Hyperlink"/>
            <w:rFonts w:ascii="Cambria" w:hAnsi="Cambria"/>
            <w:noProof/>
            <w:sz w:val="20"/>
            <w:szCs w:val="20"/>
            <w:lang w:val="es-ES_tradnl"/>
          </w:rPr>
          <w:t>I.</w:t>
        </w:r>
        <w:r w:rsidRPr="00D1219D">
          <w:rPr>
            <w:rFonts w:ascii="Cambria" w:eastAsia="Times New Roman" w:hAnsi="Cambria"/>
            <w:noProof/>
            <w:sz w:val="20"/>
            <w:szCs w:val="20"/>
            <w:bdr w:val="none" w:sz="0" w:space="0" w:color="auto"/>
            <w:lang w:val="es-ES" w:eastAsia="es-ES"/>
          </w:rPr>
          <w:tab/>
        </w:r>
        <w:r w:rsidRPr="00D1219D">
          <w:rPr>
            <w:rStyle w:val="Hyperlink"/>
            <w:rFonts w:ascii="Cambria" w:hAnsi="Cambria"/>
            <w:noProof/>
            <w:sz w:val="20"/>
            <w:szCs w:val="20"/>
            <w:lang w:val="es-ES_tradnl"/>
          </w:rPr>
          <w:t>RESUMEN</w:t>
        </w:r>
        <w:r w:rsidRPr="00D1219D">
          <w:rPr>
            <w:rFonts w:ascii="Cambria" w:hAnsi="Cambria"/>
            <w:noProof/>
            <w:webHidden/>
            <w:sz w:val="20"/>
            <w:szCs w:val="20"/>
          </w:rPr>
          <w:tab/>
        </w:r>
        <w:r w:rsidRPr="00D1219D">
          <w:rPr>
            <w:rFonts w:ascii="Cambria" w:hAnsi="Cambria"/>
            <w:noProof/>
            <w:webHidden/>
            <w:sz w:val="20"/>
            <w:szCs w:val="20"/>
          </w:rPr>
          <w:fldChar w:fldCharType="begin"/>
        </w:r>
        <w:r w:rsidRPr="00D1219D">
          <w:rPr>
            <w:rFonts w:ascii="Cambria" w:hAnsi="Cambria"/>
            <w:noProof/>
            <w:webHidden/>
            <w:sz w:val="20"/>
            <w:szCs w:val="20"/>
          </w:rPr>
          <w:instrText xml:space="preserve"> PAGEREF _Toc525547496 \h </w:instrText>
        </w:r>
        <w:r w:rsidRPr="00D1219D">
          <w:rPr>
            <w:rFonts w:ascii="Cambria" w:hAnsi="Cambria"/>
            <w:noProof/>
            <w:webHidden/>
            <w:sz w:val="20"/>
            <w:szCs w:val="20"/>
          </w:rPr>
        </w:r>
        <w:r w:rsidRPr="00D1219D">
          <w:rPr>
            <w:rFonts w:ascii="Cambria" w:hAnsi="Cambria"/>
            <w:noProof/>
            <w:webHidden/>
            <w:sz w:val="20"/>
            <w:szCs w:val="20"/>
          </w:rPr>
          <w:fldChar w:fldCharType="separate"/>
        </w:r>
        <w:r w:rsidR="00671C11">
          <w:rPr>
            <w:rFonts w:ascii="Cambria" w:hAnsi="Cambria"/>
            <w:noProof/>
            <w:webHidden/>
            <w:sz w:val="20"/>
            <w:szCs w:val="20"/>
          </w:rPr>
          <w:t>2</w:t>
        </w:r>
        <w:r w:rsidRPr="00D1219D">
          <w:rPr>
            <w:rFonts w:ascii="Cambria" w:hAnsi="Cambria"/>
            <w:noProof/>
            <w:webHidden/>
            <w:sz w:val="20"/>
            <w:szCs w:val="20"/>
          </w:rPr>
          <w:fldChar w:fldCharType="end"/>
        </w:r>
      </w:hyperlink>
    </w:p>
    <w:p w:rsidR="00471FC6" w:rsidRPr="00D1219D" w:rsidRDefault="00BB0B93" w:rsidP="00471FC6">
      <w:pPr>
        <w:pStyle w:val="TOC1"/>
        <w:tabs>
          <w:tab w:val="left" w:pos="630"/>
          <w:tab w:val="right" w:leader="dot" w:pos="9350"/>
        </w:tabs>
        <w:rPr>
          <w:rFonts w:ascii="Cambria" w:eastAsia="Times New Roman" w:hAnsi="Cambria"/>
          <w:noProof/>
          <w:sz w:val="20"/>
          <w:szCs w:val="20"/>
          <w:bdr w:val="none" w:sz="0" w:space="0" w:color="auto"/>
          <w:lang w:val="es-ES" w:eastAsia="es-ES"/>
        </w:rPr>
      </w:pPr>
      <w:hyperlink w:anchor="_Toc525547497" w:history="1">
        <w:r w:rsidR="00471FC6" w:rsidRPr="00D1219D">
          <w:rPr>
            <w:rStyle w:val="Hyperlink"/>
            <w:rFonts w:ascii="Cambria" w:hAnsi="Cambria"/>
            <w:noProof/>
            <w:sz w:val="20"/>
            <w:szCs w:val="20"/>
            <w:lang w:val="es-ES_tradnl"/>
          </w:rPr>
          <w:t>II.</w:t>
        </w:r>
        <w:r w:rsidR="00471FC6" w:rsidRPr="00D1219D">
          <w:rPr>
            <w:rFonts w:ascii="Cambria" w:eastAsia="Times New Roman" w:hAnsi="Cambria"/>
            <w:noProof/>
            <w:sz w:val="20"/>
            <w:szCs w:val="20"/>
            <w:bdr w:val="none" w:sz="0" w:space="0" w:color="auto"/>
            <w:lang w:val="es-ES" w:eastAsia="es-ES"/>
          </w:rPr>
          <w:tab/>
        </w:r>
        <w:r w:rsidR="00471FC6" w:rsidRPr="00D1219D">
          <w:rPr>
            <w:rStyle w:val="Hyperlink"/>
            <w:rFonts w:ascii="Cambria" w:hAnsi="Cambria"/>
            <w:noProof/>
            <w:sz w:val="20"/>
            <w:szCs w:val="20"/>
            <w:lang w:val="es-ES_tradnl"/>
          </w:rPr>
          <w:t>TRÁMITE ANTE LA COMISIÓN</w:t>
        </w:r>
        <w:r w:rsidR="00471FC6" w:rsidRPr="00D1219D">
          <w:rPr>
            <w:rFonts w:ascii="Cambria" w:hAnsi="Cambria"/>
            <w:noProof/>
            <w:webHidden/>
            <w:sz w:val="20"/>
            <w:szCs w:val="20"/>
          </w:rPr>
          <w:tab/>
        </w:r>
        <w:r w:rsidR="00471FC6" w:rsidRPr="00D1219D">
          <w:rPr>
            <w:rFonts w:ascii="Cambria" w:hAnsi="Cambria"/>
            <w:noProof/>
            <w:webHidden/>
            <w:sz w:val="20"/>
            <w:szCs w:val="20"/>
          </w:rPr>
          <w:fldChar w:fldCharType="begin"/>
        </w:r>
        <w:r w:rsidR="00471FC6" w:rsidRPr="00D1219D">
          <w:rPr>
            <w:rFonts w:ascii="Cambria" w:hAnsi="Cambria"/>
            <w:noProof/>
            <w:webHidden/>
            <w:sz w:val="20"/>
            <w:szCs w:val="20"/>
          </w:rPr>
          <w:instrText xml:space="preserve"> PAGEREF _Toc525547497 \h </w:instrText>
        </w:r>
        <w:r w:rsidR="00471FC6" w:rsidRPr="00D1219D">
          <w:rPr>
            <w:rFonts w:ascii="Cambria" w:hAnsi="Cambria"/>
            <w:noProof/>
            <w:webHidden/>
            <w:sz w:val="20"/>
            <w:szCs w:val="20"/>
          </w:rPr>
        </w:r>
        <w:r w:rsidR="00471FC6" w:rsidRPr="00D1219D">
          <w:rPr>
            <w:rFonts w:ascii="Cambria" w:hAnsi="Cambria"/>
            <w:noProof/>
            <w:webHidden/>
            <w:sz w:val="20"/>
            <w:szCs w:val="20"/>
          </w:rPr>
          <w:fldChar w:fldCharType="separate"/>
        </w:r>
        <w:r w:rsidR="00671C11">
          <w:rPr>
            <w:rFonts w:ascii="Cambria" w:hAnsi="Cambria"/>
            <w:noProof/>
            <w:webHidden/>
            <w:sz w:val="20"/>
            <w:szCs w:val="20"/>
          </w:rPr>
          <w:t>2</w:t>
        </w:r>
        <w:r w:rsidR="00471FC6" w:rsidRPr="00D1219D">
          <w:rPr>
            <w:rFonts w:ascii="Cambria" w:hAnsi="Cambria"/>
            <w:noProof/>
            <w:webHidden/>
            <w:sz w:val="20"/>
            <w:szCs w:val="20"/>
          </w:rPr>
          <w:fldChar w:fldCharType="end"/>
        </w:r>
      </w:hyperlink>
    </w:p>
    <w:p w:rsidR="00471FC6" w:rsidRPr="00D1219D" w:rsidRDefault="00BB0B93" w:rsidP="00471FC6">
      <w:pPr>
        <w:pStyle w:val="TOC1"/>
        <w:tabs>
          <w:tab w:val="left" w:pos="630"/>
          <w:tab w:val="right" w:leader="dot" w:pos="9350"/>
        </w:tabs>
        <w:rPr>
          <w:rFonts w:ascii="Cambria" w:eastAsia="Times New Roman" w:hAnsi="Cambria"/>
          <w:noProof/>
          <w:sz w:val="20"/>
          <w:szCs w:val="20"/>
          <w:bdr w:val="none" w:sz="0" w:space="0" w:color="auto"/>
          <w:lang w:val="es-ES" w:eastAsia="es-ES"/>
        </w:rPr>
      </w:pPr>
      <w:hyperlink w:anchor="_Toc525547498" w:history="1">
        <w:r w:rsidR="00471FC6" w:rsidRPr="00D1219D">
          <w:rPr>
            <w:rStyle w:val="Hyperlink"/>
            <w:rFonts w:ascii="Cambria" w:hAnsi="Cambria"/>
            <w:noProof/>
            <w:sz w:val="20"/>
            <w:szCs w:val="20"/>
            <w:lang w:val="es-ES_tradnl"/>
          </w:rPr>
          <w:t>III.</w:t>
        </w:r>
        <w:r w:rsidR="00471FC6" w:rsidRPr="00D1219D">
          <w:rPr>
            <w:rFonts w:ascii="Cambria" w:eastAsia="Times New Roman" w:hAnsi="Cambria"/>
            <w:noProof/>
            <w:sz w:val="20"/>
            <w:szCs w:val="20"/>
            <w:bdr w:val="none" w:sz="0" w:space="0" w:color="auto"/>
            <w:lang w:val="es-ES" w:eastAsia="es-ES"/>
          </w:rPr>
          <w:tab/>
        </w:r>
        <w:r w:rsidR="00471FC6" w:rsidRPr="00D1219D">
          <w:rPr>
            <w:rStyle w:val="Hyperlink"/>
            <w:rFonts w:ascii="Cambria" w:hAnsi="Cambria"/>
            <w:noProof/>
            <w:sz w:val="20"/>
            <w:szCs w:val="20"/>
            <w:lang w:val="es-ES_tradnl"/>
          </w:rPr>
          <w:t>POSICIÓN DE LAS PARTES</w:t>
        </w:r>
        <w:r w:rsidR="00471FC6" w:rsidRPr="00D1219D">
          <w:rPr>
            <w:rFonts w:ascii="Cambria" w:hAnsi="Cambria"/>
            <w:noProof/>
            <w:webHidden/>
            <w:sz w:val="20"/>
            <w:szCs w:val="20"/>
          </w:rPr>
          <w:tab/>
        </w:r>
        <w:r w:rsidR="00471FC6" w:rsidRPr="00D1219D">
          <w:rPr>
            <w:rFonts w:ascii="Cambria" w:hAnsi="Cambria"/>
            <w:noProof/>
            <w:webHidden/>
            <w:sz w:val="20"/>
            <w:szCs w:val="20"/>
          </w:rPr>
          <w:fldChar w:fldCharType="begin"/>
        </w:r>
        <w:r w:rsidR="00471FC6" w:rsidRPr="00D1219D">
          <w:rPr>
            <w:rFonts w:ascii="Cambria" w:hAnsi="Cambria"/>
            <w:noProof/>
            <w:webHidden/>
            <w:sz w:val="20"/>
            <w:szCs w:val="20"/>
          </w:rPr>
          <w:instrText xml:space="preserve"> PAGEREF _Toc525547498 \h </w:instrText>
        </w:r>
        <w:r w:rsidR="00471FC6" w:rsidRPr="00D1219D">
          <w:rPr>
            <w:rFonts w:ascii="Cambria" w:hAnsi="Cambria"/>
            <w:noProof/>
            <w:webHidden/>
            <w:sz w:val="20"/>
            <w:szCs w:val="20"/>
          </w:rPr>
        </w:r>
        <w:r w:rsidR="00471FC6" w:rsidRPr="00D1219D">
          <w:rPr>
            <w:rFonts w:ascii="Cambria" w:hAnsi="Cambria"/>
            <w:noProof/>
            <w:webHidden/>
            <w:sz w:val="20"/>
            <w:szCs w:val="20"/>
          </w:rPr>
          <w:fldChar w:fldCharType="separate"/>
        </w:r>
        <w:r w:rsidR="00671C11">
          <w:rPr>
            <w:rFonts w:ascii="Cambria" w:hAnsi="Cambria"/>
            <w:noProof/>
            <w:webHidden/>
            <w:sz w:val="20"/>
            <w:szCs w:val="20"/>
          </w:rPr>
          <w:t>2</w:t>
        </w:r>
        <w:r w:rsidR="00471FC6" w:rsidRPr="00D1219D">
          <w:rPr>
            <w:rFonts w:ascii="Cambria" w:hAnsi="Cambria"/>
            <w:noProof/>
            <w:webHidden/>
            <w:sz w:val="20"/>
            <w:szCs w:val="20"/>
          </w:rPr>
          <w:fldChar w:fldCharType="end"/>
        </w:r>
      </w:hyperlink>
    </w:p>
    <w:p w:rsidR="00471FC6" w:rsidRPr="00D1219D" w:rsidRDefault="00BB0B93" w:rsidP="00471FC6">
      <w:pPr>
        <w:pStyle w:val="TOC2"/>
        <w:tabs>
          <w:tab w:val="clear" w:pos="1440"/>
          <w:tab w:val="left" w:pos="630"/>
        </w:tabs>
        <w:rPr>
          <w:rFonts w:ascii="Cambria" w:eastAsia="Times New Roman" w:hAnsi="Cambria"/>
          <w:noProof/>
          <w:sz w:val="20"/>
          <w:szCs w:val="20"/>
          <w:bdr w:val="none" w:sz="0" w:space="0" w:color="auto"/>
          <w:lang w:val="es-ES" w:eastAsia="es-ES"/>
        </w:rPr>
      </w:pPr>
      <w:hyperlink w:anchor="_Toc525547499" w:history="1">
        <w:r w:rsidR="00471FC6" w:rsidRPr="00D1219D">
          <w:rPr>
            <w:rStyle w:val="Hyperlink"/>
            <w:rFonts w:ascii="Cambria" w:hAnsi="Cambria"/>
            <w:noProof/>
            <w:sz w:val="20"/>
            <w:szCs w:val="20"/>
            <w:lang w:val="es-ES_tradnl"/>
          </w:rPr>
          <w:t>A.</w:t>
        </w:r>
        <w:r w:rsidR="00471FC6" w:rsidRPr="00D1219D">
          <w:rPr>
            <w:rFonts w:ascii="Cambria" w:eastAsia="Times New Roman" w:hAnsi="Cambria"/>
            <w:noProof/>
            <w:sz w:val="20"/>
            <w:szCs w:val="20"/>
            <w:bdr w:val="none" w:sz="0" w:space="0" w:color="auto"/>
            <w:lang w:val="es-ES" w:eastAsia="es-ES"/>
          </w:rPr>
          <w:tab/>
        </w:r>
        <w:r w:rsidR="00471FC6" w:rsidRPr="00D1219D">
          <w:rPr>
            <w:rStyle w:val="Hyperlink"/>
            <w:rFonts w:ascii="Cambria" w:hAnsi="Cambria"/>
            <w:noProof/>
            <w:sz w:val="20"/>
            <w:szCs w:val="20"/>
            <w:lang w:val="es-ES_tradnl"/>
          </w:rPr>
          <w:t>Posición de los peticionarios</w:t>
        </w:r>
        <w:r w:rsidR="00471FC6" w:rsidRPr="00D1219D">
          <w:rPr>
            <w:rFonts w:ascii="Cambria" w:hAnsi="Cambria"/>
            <w:noProof/>
            <w:webHidden/>
            <w:sz w:val="20"/>
            <w:szCs w:val="20"/>
          </w:rPr>
          <w:tab/>
        </w:r>
        <w:r w:rsidR="00471FC6" w:rsidRPr="00D1219D">
          <w:rPr>
            <w:rFonts w:ascii="Cambria" w:hAnsi="Cambria"/>
            <w:noProof/>
            <w:webHidden/>
            <w:sz w:val="20"/>
            <w:szCs w:val="20"/>
          </w:rPr>
          <w:fldChar w:fldCharType="begin"/>
        </w:r>
        <w:r w:rsidR="00471FC6" w:rsidRPr="00D1219D">
          <w:rPr>
            <w:rFonts w:ascii="Cambria" w:hAnsi="Cambria"/>
            <w:noProof/>
            <w:webHidden/>
            <w:sz w:val="20"/>
            <w:szCs w:val="20"/>
          </w:rPr>
          <w:instrText xml:space="preserve"> PAGEREF _Toc525547499 \h </w:instrText>
        </w:r>
        <w:r w:rsidR="00471FC6" w:rsidRPr="00D1219D">
          <w:rPr>
            <w:rFonts w:ascii="Cambria" w:hAnsi="Cambria"/>
            <w:noProof/>
            <w:webHidden/>
            <w:sz w:val="20"/>
            <w:szCs w:val="20"/>
          </w:rPr>
        </w:r>
        <w:r w:rsidR="00471FC6" w:rsidRPr="00D1219D">
          <w:rPr>
            <w:rFonts w:ascii="Cambria" w:hAnsi="Cambria"/>
            <w:noProof/>
            <w:webHidden/>
            <w:sz w:val="20"/>
            <w:szCs w:val="20"/>
          </w:rPr>
          <w:fldChar w:fldCharType="separate"/>
        </w:r>
        <w:r w:rsidR="00671C11">
          <w:rPr>
            <w:rFonts w:ascii="Cambria" w:hAnsi="Cambria"/>
            <w:noProof/>
            <w:webHidden/>
            <w:sz w:val="20"/>
            <w:szCs w:val="20"/>
          </w:rPr>
          <w:t>3</w:t>
        </w:r>
        <w:r w:rsidR="00471FC6" w:rsidRPr="00D1219D">
          <w:rPr>
            <w:rFonts w:ascii="Cambria" w:hAnsi="Cambria"/>
            <w:noProof/>
            <w:webHidden/>
            <w:sz w:val="20"/>
            <w:szCs w:val="20"/>
          </w:rPr>
          <w:fldChar w:fldCharType="end"/>
        </w:r>
      </w:hyperlink>
    </w:p>
    <w:p w:rsidR="00471FC6" w:rsidRPr="00D1219D" w:rsidRDefault="00BB0B93" w:rsidP="00471FC6">
      <w:pPr>
        <w:pStyle w:val="TOC2"/>
        <w:tabs>
          <w:tab w:val="clear" w:pos="1440"/>
          <w:tab w:val="left" w:pos="630"/>
        </w:tabs>
        <w:rPr>
          <w:rFonts w:ascii="Cambria" w:eastAsia="Times New Roman" w:hAnsi="Cambria"/>
          <w:noProof/>
          <w:sz w:val="20"/>
          <w:szCs w:val="20"/>
          <w:bdr w:val="none" w:sz="0" w:space="0" w:color="auto"/>
          <w:lang w:val="es-ES" w:eastAsia="es-ES"/>
        </w:rPr>
      </w:pPr>
      <w:hyperlink w:anchor="_Toc525547500" w:history="1">
        <w:r w:rsidR="00471FC6" w:rsidRPr="00D1219D">
          <w:rPr>
            <w:rStyle w:val="Hyperlink"/>
            <w:rFonts w:ascii="Cambria" w:hAnsi="Cambria"/>
            <w:noProof/>
            <w:sz w:val="20"/>
            <w:szCs w:val="20"/>
            <w:lang w:val="es-ES_tradnl"/>
          </w:rPr>
          <w:t>B.</w:t>
        </w:r>
        <w:r w:rsidR="00471FC6" w:rsidRPr="00D1219D">
          <w:rPr>
            <w:rFonts w:ascii="Cambria" w:eastAsia="Times New Roman" w:hAnsi="Cambria"/>
            <w:noProof/>
            <w:sz w:val="20"/>
            <w:szCs w:val="20"/>
            <w:bdr w:val="none" w:sz="0" w:space="0" w:color="auto"/>
            <w:lang w:val="es-ES" w:eastAsia="es-ES"/>
          </w:rPr>
          <w:tab/>
        </w:r>
        <w:r w:rsidR="00471FC6" w:rsidRPr="00D1219D">
          <w:rPr>
            <w:rStyle w:val="Hyperlink"/>
            <w:rFonts w:ascii="Cambria" w:hAnsi="Cambria"/>
            <w:noProof/>
            <w:sz w:val="20"/>
            <w:szCs w:val="20"/>
            <w:lang w:val="es-ES_tradnl"/>
          </w:rPr>
          <w:t>Posición del Estado</w:t>
        </w:r>
        <w:r w:rsidR="00471FC6" w:rsidRPr="00D1219D">
          <w:rPr>
            <w:rFonts w:ascii="Cambria" w:hAnsi="Cambria"/>
            <w:noProof/>
            <w:webHidden/>
            <w:sz w:val="20"/>
            <w:szCs w:val="20"/>
          </w:rPr>
          <w:tab/>
        </w:r>
        <w:r w:rsidR="00471FC6" w:rsidRPr="00D1219D">
          <w:rPr>
            <w:rFonts w:ascii="Cambria" w:hAnsi="Cambria"/>
            <w:noProof/>
            <w:webHidden/>
            <w:sz w:val="20"/>
            <w:szCs w:val="20"/>
          </w:rPr>
          <w:fldChar w:fldCharType="begin"/>
        </w:r>
        <w:r w:rsidR="00471FC6" w:rsidRPr="00D1219D">
          <w:rPr>
            <w:rFonts w:ascii="Cambria" w:hAnsi="Cambria"/>
            <w:noProof/>
            <w:webHidden/>
            <w:sz w:val="20"/>
            <w:szCs w:val="20"/>
          </w:rPr>
          <w:instrText xml:space="preserve"> PAGEREF _Toc525547500 \h </w:instrText>
        </w:r>
        <w:r w:rsidR="00471FC6" w:rsidRPr="00D1219D">
          <w:rPr>
            <w:rFonts w:ascii="Cambria" w:hAnsi="Cambria"/>
            <w:noProof/>
            <w:webHidden/>
            <w:sz w:val="20"/>
            <w:szCs w:val="20"/>
          </w:rPr>
        </w:r>
        <w:r w:rsidR="00471FC6" w:rsidRPr="00D1219D">
          <w:rPr>
            <w:rFonts w:ascii="Cambria" w:hAnsi="Cambria"/>
            <w:noProof/>
            <w:webHidden/>
            <w:sz w:val="20"/>
            <w:szCs w:val="20"/>
          </w:rPr>
          <w:fldChar w:fldCharType="separate"/>
        </w:r>
        <w:r w:rsidR="00671C11">
          <w:rPr>
            <w:rFonts w:ascii="Cambria" w:hAnsi="Cambria"/>
            <w:noProof/>
            <w:webHidden/>
            <w:sz w:val="20"/>
            <w:szCs w:val="20"/>
          </w:rPr>
          <w:t>4</w:t>
        </w:r>
        <w:r w:rsidR="00471FC6" w:rsidRPr="00D1219D">
          <w:rPr>
            <w:rFonts w:ascii="Cambria" w:hAnsi="Cambria"/>
            <w:noProof/>
            <w:webHidden/>
            <w:sz w:val="20"/>
            <w:szCs w:val="20"/>
          </w:rPr>
          <w:fldChar w:fldCharType="end"/>
        </w:r>
      </w:hyperlink>
    </w:p>
    <w:p w:rsidR="00471FC6" w:rsidRPr="00D1219D" w:rsidRDefault="00BB0B93" w:rsidP="00471FC6">
      <w:pPr>
        <w:pStyle w:val="TOC1"/>
        <w:tabs>
          <w:tab w:val="left" w:pos="630"/>
          <w:tab w:val="right" w:leader="dot" w:pos="9350"/>
        </w:tabs>
        <w:rPr>
          <w:rFonts w:ascii="Cambria" w:eastAsia="Times New Roman" w:hAnsi="Cambria"/>
          <w:noProof/>
          <w:sz w:val="20"/>
          <w:szCs w:val="20"/>
          <w:bdr w:val="none" w:sz="0" w:space="0" w:color="auto"/>
          <w:lang w:val="es-ES" w:eastAsia="es-ES"/>
        </w:rPr>
      </w:pPr>
      <w:hyperlink w:anchor="_Toc525547501" w:history="1">
        <w:r w:rsidR="00471FC6" w:rsidRPr="00D1219D">
          <w:rPr>
            <w:rStyle w:val="Hyperlink"/>
            <w:rFonts w:ascii="Cambria" w:hAnsi="Cambria"/>
            <w:noProof/>
            <w:sz w:val="20"/>
            <w:szCs w:val="20"/>
            <w:lang w:val="es-ES_tradnl"/>
          </w:rPr>
          <w:t>IV.</w:t>
        </w:r>
        <w:r w:rsidR="00471FC6" w:rsidRPr="00D1219D">
          <w:rPr>
            <w:rFonts w:ascii="Cambria" w:eastAsia="Times New Roman" w:hAnsi="Cambria"/>
            <w:noProof/>
            <w:sz w:val="20"/>
            <w:szCs w:val="20"/>
            <w:bdr w:val="none" w:sz="0" w:space="0" w:color="auto"/>
            <w:lang w:val="es-ES" w:eastAsia="es-ES"/>
          </w:rPr>
          <w:tab/>
        </w:r>
        <w:r w:rsidR="00471FC6" w:rsidRPr="00D1219D">
          <w:rPr>
            <w:rStyle w:val="Hyperlink"/>
            <w:rFonts w:ascii="Cambria" w:hAnsi="Cambria"/>
            <w:noProof/>
            <w:sz w:val="20"/>
            <w:szCs w:val="20"/>
            <w:lang w:val="es-ES_tradnl"/>
          </w:rPr>
          <w:t>HECHOS PROBADOS</w:t>
        </w:r>
        <w:r w:rsidR="00471FC6" w:rsidRPr="00D1219D">
          <w:rPr>
            <w:rFonts w:ascii="Cambria" w:hAnsi="Cambria"/>
            <w:noProof/>
            <w:webHidden/>
            <w:sz w:val="20"/>
            <w:szCs w:val="20"/>
          </w:rPr>
          <w:tab/>
        </w:r>
        <w:r w:rsidR="00471FC6" w:rsidRPr="00D1219D">
          <w:rPr>
            <w:rFonts w:ascii="Cambria" w:hAnsi="Cambria"/>
            <w:noProof/>
            <w:webHidden/>
            <w:sz w:val="20"/>
            <w:szCs w:val="20"/>
          </w:rPr>
          <w:fldChar w:fldCharType="begin"/>
        </w:r>
        <w:r w:rsidR="00471FC6" w:rsidRPr="00D1219D">
          <w:rPr>
            <w:rFonts w:ascii="Cambria" w:hAnsi="Cambria"/>
            <w:noProof/>
            <w:webHidden/>
            <w:sz w:val="20"/>
            <w:szCs w:val="20"/>
          </w:rPr>
          <w:instrText xml:space="preserve"> PAGEREF _Toc525547501 \h </w:instrText>
        </w:r>
        <w:r w:rsidR="00471FC6" w:rsidRPr="00D1219D">
          <w:rPr>
            <w:rFonts w:ascii="Cambria" w:hAnsi="Cambria"/>
            <w:noProof/>
            <w:webHidden/>
            <w:sz w:val="20"/>
            <w:szCs w:val="20"/>
          </w:rPr>
        </w:r>
        <w:r w:rsidR="00471FC6" w:rsidRPr="00D1219D">
          <w:rPr>
            <w:rFonts w:ascii="Cambria" w:hAnsi="Cambria"/>
            <w:noProof/>
            <w:webHidden/>
            <w:sz w:val="20"/>
            <w:szCs w:val="20"/>
          </w:rPr>
          <w:fldChar w:fldCharType="separate"/>
        </w:r>
        <w:r w:rsidR="00671C11">
          <w:rPr>
            <w:rFonts w:ascii="Cambria" w:hAnsi="Cambria"/>
            <w:noProof/>
            <w:webHidden/>
            <w:sz w:val="20"/>
            <w:szCs w:val="20"/>
          </w:rPr>
          <w:t>5</w:t>
        </w:r>
        <w:r w:rsidR="00471FC6" w:rsidRPr="00D1219D">
          <w:rPr>
            <w:rFonts w:ascii="Cambria" w:hAnsi="Cambria"/>
            <w:noProof/>
            <w:webHidden/>
            <w:sz w:val="20"/>
            <w:szCs w:val="20"/>
          </w:rPr>
          <w:fldChar w:fldCharType="end"/>
        </w:r>
      </w:hyperlink>
    </w:p>
    <w:p w:rsidR="00471FC6" w:rsidRPr="00D1219D" w:rsidRDefault="00BB0B93" w:rsidP="00471FC6">
      <w:pPr>
        <w:pStyle w:val="TOC2"/>
        <w:tabs>
          <w:tab w:val="clear" w:pos="1440"/>
          <w:tab w:val="left" w:pos="630"/>
        </w:tabs>
        <w:rPr>
          <w:rFonts w:ascii="Cambria" w:eastAsia="Times New Roman" w:hAnsi="Cambria"/>
          <w:noProof/>
          <w:sz w:val="20"/>
          <w:szCs w:val="20"/>
          <w:bdr w:val="none" w:sz="0" w:space="0" w:color="auto"/>
          <w:lang w:val="es-ES" w:eastAsia="es-ES"/>
        </w:rPr>
      </w:pPr>
      <w:hyperlink w:anchor="_Toc525547502" w:history="1">
        <w:r w:rsidR="00471FC6" w:rsidRPr="00D1219D">
          <w:rPr>
            <w:rStyle w:val="Hyperlink"/>
            <w:rFonts w:ascii="Cambria" w:hAnsi="Cambria"/>
            <w:noProof/>
            <w:sz w:val="20"/>
            <w:szCs w:val="20"/>
            <w:lang w:val="es-ES"/>
          </w:rPr>
          <w:t>A.</w:t>
        </w:r>
        <w:r w:rsidR="00471FC6" w:rsidRPr="00D1219D">
          <w:rPr>
            <w:rFonts w:ascii="Cambria" w:eastAsia="Times New Roman" w:hAnsi="Cambria"/>
            <w:noProof/>
            <w:sz w:val="20"/>
            <w:szCs w:val="20"/>
            <w:bdr w:val="none" w:sz="0" w:space="0" w:color="auto"/>
            <w:lang w:val="es-ES" w:eastAsia="es-ES"/>
          </w:rPr>
          <w:tab/>
        </w:r>
        <w:r w:rsidR="00471FC6" w:rsidRPr="00D1219D">
          <w:rPr>
            <w:rStyle w:val="Hyperlink"/>
            <w:rFonts w:ascii="Cambria" w:hAnsi="Cambria"/>
            <w:noProof/>
            <w:sz w:val="20"/>
            <w:szCs w:val="20"/>
            <w:lang w:val="es-ES"/>
          </w:rPr>
          <w:t>Sobre la situación de Luis Eduardo Guachalá Chimbó antes de su ingreso al Hospital Psiquiátrico Julio Endara</w:t>
        </w:r>
        <w:r w:rsidR="00471FC6" w:rsidRPr="00D1219D">
          <w:rPr>
            <w:rFonts w:ascii="Cambria" w:hAnsi="Cambria"/>
            <w:noProof/>
            <w:webHidden/>
            <w:sz w:val="20"/>
            <w:szCs w:val="20"/>
          </w:rPr>
          <w:tab/>
        </w:r>
        <w:r w:rsidR="00471FC6" w:rsidRPr="00D1219D">
          <w:rPr>
            <w:rFonts w:ascii="Cambria" w:hAnsi="Cambria"/>
            <w:noProof/>
            <w:webHidden/>
            <w:sz w:val="20"/>
            <w:szCs w:val="20"/>
          </w:rPr>
          <w:fldChar w:fldCharType="begin"/>
        </w:r>
        <w:r w:rsidR="00471FC6" w:rsidRPr="00D1219D">
          <w:rPr>
            <w:rFonts w:ascii="Cambria" w:hAnsi="Cambria"/>
            <w:noProof/>
            <w:webHidden/>
            <w:sz w:val="20"/>
            <w:szCs w:val="20"/>
          </w:rPr>
          <w:instrText xml:space="preserve"> PAGEREF _Toc525547502 \h </w:instrText>
        </w:r>
        <w:r w:rsidR="00471FC6" w:rsidRPr="00D1219D">
          <w:rPr>
            <w:rFonts w:ascii="Cambria" w:hAnsi="Cambria"/>
            <w:noProof/>
            <w:webHidden/>
            <w:sz w:val="20"/>
            <w:szCs w:val="20"/>
          </w:rPr>
        </w:r>
        <w:r w:rsidR="00471FC6" w:rsidRPr="00D1219D">
          <w:rPr>
            <w:rFonts w:ascii="Cambria" w:hAnsi="Cambria"/>
            <w:noProof/>
            <w:webHidden/>
            <w:sz w:val="20"/>
            <w:szCs w:val="20"/>
          </w:rPr>
          <w:fldChar w:fldCharType="separate"/>
        </w:r>
        <w:r w:rsidR="00671C11">
          <w:rPr>
            <w:rFonts w:ascii="Cambria" w:hAnsi="Cambria"/>
            <w:noProof/>
            <w:webHidden/>
            <w:sz w:val="20"/>
            <w:szCs w:val="20"/>
          </w:rPr>
          <w:t>5</w:t>
        </w:r>
        <w:r w:rsidR="00471FC6" w:rsidRPr="00D1219D">
          <w:rPr>
            <w:rFonts w:ascii="Cambria" w:hAnsi="Cambria"/>
            <w:noProof/>
            <w:webHidden/>
            <w:sz w:val="20"/>
            <w:szCs w:val="20"/>
          </w:rPr>
          <w:fldChar w:fldCharType="end"/>
        </w:r>
      </w:hyperlink>
    </w:p>
    <w:p w:rsidR="00471FC6" w:rsidRPr="00D1219D" w:rsidRDefault="00BB0B93" w:rsidP="00471FC6">
      <w:pPr>
        <w:pStyle w:val="TOC2"/>
        <w:tabs>
          <w:tab w:val="clear" w:pos="1440"/>
          <w:tab w:val="left" w:pos="630"/>
        </w:tabs>
        <w:rPr>
          <w:rFonts w:ascii="Cambria" w:eastAsia="Times New Roman" w:hAnsi="Cambria"/>
          <w:noProof/>
          <w:sz w:val="20"/>
          <w:szCs w:val="20"/>
          <w:bdr w:val="none" w:sz="0" w:space="0" w:color="auto"/>
          <w:lang w:val="es-ES" w:eastAsia="es-ES"/>
        </w:rPr>
      </w:pPr>
      <w:hyperlink w:anchor="_Toc525547503" w:history="1">
        <w:r w:rsidR="00471FC6" w:rsidRPr="00D1219D">
          <w:rPr>
            <w:rStyle w:val="Hyperlink"/>
            <w:rFonts w:ascii="Cambria" w:hAnsi="Cambria"/>
            <w:noProof/>
            <w:sz w:val="20"/>
            <w:szCs w:val="20"/>
            <w:lang w:val="es-ES"/>
          </w:rPr>
          <w:t>B.</w:t>
        </w:r>
        <w:r w:rsidR="00471FC6" w:rsidRPr="00D1219D">
          <w:rPr>
            <w:rFonts w:ascii="Cambria" w:eastAsia="Times New Roman" w:hAnsi="Cambria"/>
            <w:noProof/>
            <w:sz w:val="20"/>
            <w:szCs w:val="20"/>
            <w:bdr w:val="none" w:sz="0" w:space="0" w:color="auto"/>
            <w:lang w:val="es-ES" w:eastAsia="es-ES"/>
          </w:rPr>
          <w:tab/>
        </w:r>
        <w:r w:rsidR="00471FC6" w:rsidRPr="00D1219D">
          <w:rPr>
            <w:rStyle w:val="Hyperlink"/>
            <w:rFonts w:ascii="Cambria" w:hAnsi="Cambria"/>
            <w:noProof/>
            <w:sz w:val="20"/>
            <w:szCs w:val="20"/>
            <w:lang w:val="es-ES"/>
          </w:rPr>
          <w:t>Sobre el ingreso de Luis Guachalá al Hospital Psiquiátrico Julio Endara en mayo de 2003</w:t>
        </w:r>
        <w:r w:rsidR="00471FC6" w:rsidRPr="00D1219D">
          <w:rPr>
            <w:rFonts w:ascii="Cambria" w:hAnsi="Cambria"/>
            <w:noProof/>
            <w:webHidden/>
            <w:sz w:val="20"/>
            <w:szCs w:val="20"/>
          </w:rPr>
          <w:tab/>
        </w:r>
        <w:r w:rsidR="00471FC6" w:rsidRPr="00D1219D">
          <w:rPr>
            <w:rFonts w:ascii="Cambria" w:hAnsi="Cambria"/>
            <w:noProof/>
            <w:webHidden/>
            <w:sz w:val="20"/>
            <w:szCs w:val="20"/>
          </w:rPr>
          <w:fldChar w:fldCharType="begin"/>
        </w:r>
        <w:r w:rsidR="00471FC6" w:rsidRPr="00D1219D">
          <w:rPr>
            <w:rFonts w:ascii="Cambria" w:hAnsi="Cambria"/>
            <w:noProof/>
            <w:webHidden/>
            <w:sz w:val="20"/>
            <w:szCs w:val="20"/>
          </w:rPr>
          <w:instrText xml:space="preserve"> PAGEREF _Toc525547503 \h </w:instrText>
        </w:r>
        <w:r w:rsidR="00471FC6" w:rsidRPr="00D1219D">
          <w:rPr>
            <w:rFonts w:ascii="Cambria" w:hAnsi="Cambria"/>
            <w:noProof/>
            <w:webHidden/>
            <w:sz w:val="20"/>
            <w:szCs w:val="20"/>
          </w:rPr>
        </w:r>
        <w:r w:rsidR="00471FC6" w:rsidRPr="00D1219D">
          <w:rPr>
            <w:rFonts w:ascii="Cambria" w:hAnsi="Cambria"/>
            <w:noProof/>
            <w:webHidden/>
            <w:sz w:val="20"/>
            <w:szCs w:val="20"/>
          </w:rPr>
          <w:fldChar w:fldCharType="separate"/>
        </w:r>
        <w:r w:rsidR="00671C11">
          <w:rPr>
            <w:rFonts w:ascii="Cambria" w:hAnsi="Cambria"/>
            <w:noProof/>
            <w:webHidden/>
            <w:sz w:val="20"/>
            <w:szCs w:val="20"/>
          </w:rPr>
          <w:t>6</w:t>
        </w:r>
        <w:r w:rsidR="00471FC6" w:rsidRPr="00D1219D">
          <w:rPr>
            <w:rFonts w:ascii="Cambria" w:hAnsi="Cambria"/>
            <w:noProof/>
            <w:webHidden/>
            <w:sz w:val="20"/>
            <w:szCs w:val="20"/>
          </w:rPr>
          <w:fldChar w:fldCharType="end"/>
        </w:r>
      </w:hyperlink>
    </w:p>
    <w:p w:rsidR="00471FC6" w:rsidRPr="00D1219D" w:rsidRDefault="00BB0B93" w:rsidP="00471FC6">
      <w:pPr>
        <w:pStyle w:val="TOC2"/>
        <w:tabs>
          <w:tab w:val="clear" w:pos="1440"/>
          <w:tab w:val="left" w:pos="630"/>
        </w:tabs>
        <w:rPr>
          <w:rFonts w:ascii="Cambria" w:eastAsia="Times New Roman" w:hAnsi="Cambria"/>
          <w:noProof/>
          <w:sz w:val="20"/>
          <w:szCs w:val="20"/>
          <w:bdr w:val="none" w:sz="0" w:space="0" w:color="auto"/>
          <w:lang w:val="es-ES" w:eastAsia="es-ES"/>
        </w:rPr>
      </w:pPr>
      <w:hyperlink w:anchor="_Toc525547504" w:history="1">
        <w:r w:rsidR="00471FC6" w:rsidRPr="00D1219D">
          <w:rPr>
            <w:rStyle w:val="Hyperlink"/>
            <w:rFonts w:ascii="Cambria" w:hAnsi="Cambria"/>
            <w:noProof/>
            <w:sz w:val="20"/>
            <w:szCs w:val="20"/>
            <w:lang w:val="es-ES"/>
          </w:rPr>
          <w:t>C.</w:t>
        </w:r>
        <w:r w:rsidR="00471FC6" w:rsidRPr="00D1219D">
          <w:rPr>
            <w:rFonts w:ascii="Cambria" w:eastAsia="Times New Roman" w:hAnsi="Cambria"/>
            <w:noProof/>
            <w:sz w:val="20"/>
            <w:szCs w:val="20"/>
            <w:bdr w:val="none" w:sz="0" w:space="0" w:color="auto"/>
            <w:lang w:val="es-ES" w:eastAsia="es-ES"/>
          </w:rPr>
          <w:tab/>
        </w:r>
        <w:r w:rsidR="00471FC6" w:rsidRPr="00D1219D">
          <w:rPr>
            <w:rStyle w:val="Hyperlink"/>
            <w:rFonts w:ascii="Cambria" w:hAnsi="Cambria"/>
            <w:noProof/>
            <w:sz w:val="20"/>
            <w:szCs w:val="20"/>
            <w:lang w:val="es-ES"/>
          </w:rPr>
          <w:t>Sobre el ingreso de Luis Guachalá al Hospital Psiquiátrico Julio Endara en enero de 2004</w:t>
        </w:r>
        <w:r w:rsidR="00471FC6" w:rsidRPr="00D1219D">
          <w:rPr>
            <w:rFonts w:ascii="Cambria" w:hAnsi="Cambria"/>
            <w:noProof/>
            <w:webHidden/>
            <w:sz w:val="20"/>
            <w:szCs w:val="20"/>
          </w:rPr>
          <w:tab/>
        </w:r>
        <w:r w:rsidR="00471FC6" w:rsidRPr="00D1219D">
          <w:rPr>
            <w:rFonts w:ascii="Cambria" w:hAnsi="Cambria"/>
            <w:noProof/>
            <w:webHidden/>
            <w:sz w:val="20"/>
            <w:szCs w:val="20"/>
          </w:rPr>
          <w:fldChar w:fldCharType="begin"/>
        </w:r>
        <w:r w:rsidR="00471FC6" w:rsidRPr="00D1219D">
          <w:rPr>
            <w:rFonts w:ascii="Cambria" w:hAnsi="Cambria"/>
            <w:noProof/>
            <w:webHidden/>
            <w:sz w:val="20"/>
            <w:szCs w:val="20"/>
          </w:rPr>
          <w:instrText xml:space="preserve"> PAGEREF _Toc525547504 \h </w:instrText>
        </w:r>
        <w:r w:rsidR="00471FC6" w:rsidRPr="00D1219D">
          <w:rPr>
            <w:rFonts w:ascii="Cambria" w:hAnsi="Cambria"/>
            <w:noProof/>
            <w:webHidden/>
            <w:sz w:val="20"/>
            <w:szCs w:val="20"/>
          </w:rPr>
        </w:r>
        <w:r w:rsidR="00471FC6" w:rsidRPr="00D1219D">
          <w:rPr>
            <w:rFonts w:ascii="Cambria" w:hAnsi="Cambria"/>
            <w:noProof/>
            <w:webHidden/>
            <w:sz w:val="20"/>
            <w:szCs w:val="20"/>
          </w:rPr>
          <w:fldChar w:fldCharType="separate"/>
        </w:r>
        <w:r w:rsidR="00671C11">
          <w:rPr>
            <w:rFonts w:ascii="Cambria" w:hAnsi="Cambria"/>
            <w:noProof/>
            <w:webHidden/>
            <w:sz w:val="20"/>
            <w:szCs w:val="20"/>
          </w:rPr>
          <w:t>7</w:t>
        </w:r>
        <w:r w:rsidR="00471FC6" w:rsidRPr="00D1219D">
          <w:rPr>
            <w:rFonts w:ascii="Cambria" w:hAnsi="Cambria"/>
            <w:noProof/>
            <w:webHidden/>
            <w:sz w:val="20"/>
            <w:szCs w:val="20"/>
          </w:rPr>
          <w:fldChar w:fldCharType="end"/>
        </w:r>
      </w:hyperlink>
    </w:p>
    <w:p w:rsidR="00471FC6" w:rsidRPr="00D1219D" w:rsidRDefault="00BB0B93" w:rsidP="00471FC6">
      <w:pPr>
        <w:pStyle w:val="TOC2"/>
        <w:tabs>
          <w:tab w:val="clear" w:pos="1440"/>
          <w:tab w:val="left" w:pos="630"/>
        </w:tabs>
        <w:rPr>
          <w:rFonts w:ascii="Cambria" w:eastAsia="Times New Roman" w:hAnsi="Cambria"/>
          <w:noProof/>
          <w:sz w:val="20"/>
          <w:szCs w:val="20"/>
          <w:bdr w:val="none" w:sz="0" w:space="0" w:color="auto"/>
          <w:lang w:val="es-ES" w:eastAsia="es-ES"/>
        </w:rPr>
      </w:pPr>
      <w:hyperlink w:anchor="_Toc525547505" w:history="1">
        <w:r w:rsidR="00471FC6" w:rsidRPr="00D1219D">
          <w:rPr>
            <w:rStyle w:val="Hyperlink"/>
            <w:rFonts w:ascii="Cambria" w:hAnsi="Cambria"/>
            <w:noProof/>
            <w:sz w:val="20"/>
            <w:szCs w:val="20"/>
            <w:lang w:val="es-ES"/>
          </w:rPr>
          <w:t>D.</w:t>
        </w:r>
        <w:r w:rsidR="00471FC6" w:rsidRPr="00D1219D">
          <w:rPr>
            <w:rFonts w:ascii="Cambria" w:eastAsia="Times New Roman" w:hAnsi="Cambria"/>
            <w:noProof/>
            <w:sz w:val="20"/>
            <w:szCs w:val="20"/>
            <w:bdr w:val="none" w:sz="0" w:space="0" w:color="auto"/>
            <w:lang w:val="es-ES" w:eastAsia="es-ES"/>
          </w:rPr>
          <w:tab/>
        </w:r>
        <w:r w:rsidR="00471FC6" w:rsidRPr="00D1219D">
          <w:rPr>
            <w:rStyle w:val="Hyperlink"/>
            <w:rFonts w:ascii="Cambria" w:hAnsi="Cambria"/>
            <w:noProof/>
            <w:sz w:val="20"/>
            <w:szCs w:val="20"/>
            <w:lang w:val="es-ES"/>
          </w:rPr>
          <w:t>Sobre lo sucedido en el hospital entre el 11 y 16 de enero</w:t>
        </w:r>
        <w:r w:rsidR="00471FC6" w:rsidRPr="00D1219D">
          <w:rPr>
            <w:rFonts w:ascii="Cambria" w:hAnsi="Cambria"/>
            <w:noProof/>
            <w:webHidden/>
            <w:sz w:val="20"/>
            <w:szCs w:val="20"/>
          </w:rPr>
          <w:tab/>
        </w:r>
        <w:r w:rsidR="00471FC6" w:rsidRPr="00D1219D">
          <w:rPr>
            <w:rFonts w:ascii="Cambria" w:hAnsi="Cambria"/>
            <w:noProof/>
            <w:webHidden/>
            <w:sz w:val="20"/>
            <w:szCs w:val="20"/>
          </w:rPr>
          <w:fldChar w:fldCharType="begin"/>
        </w:r>
        <w:r w:rsidR="00471FC6" w:rsidRPr="00D1219D">
          <w:rPr>
            <w:rFonts w:ascii="Cambria" w:hAnsi="Cambria"/>
            <w:noProof/>
            <w:webHidden/>
            <w:sz w:val="20"/>
            <w:szCs w:val="20"/>
          </w:rPr>
          <w:instrText xml:space="preserve"> PAGEREF _Toc525547505 \h </w:instrText>
        </w:r>
        <w:r w:rsidR="00471FC6" w:rsidRPr="00D1219D">
          <w:rPr>
            <w:rFonts w:ascii="Cambria" w:hAnsi="Cambria"/>
            <w:noProof/>
            <w:webHidden/>
            <w:sz w:val="20"/>
            <w:szCs w:val="20"/>
          </w:rPr>
        </w:r>
        <w:r w:rsidR="00471FC6" w:rsidRPr="00D1219D">
          <w:rPr>
            <w:rFonts w:ascii="Cambria" w:hAnsi="Cambria"/>
            <w:noProof/>
            <w:webHidden/>
            <w:sz w:val="20"/>
            <w:szCs w:val="20"/>
          </w:rPr>
          <w:fldChar w:fldCharType="separate"/>
        </w:r>
        <w:r w:rsidR="00671C11">
          <w:rPr>
            <w:rFonts w:ascii="Cambria" w:hAnsi="Cambria"/>
            <w:noProof/>
            <w:webHidden/>
            <w:sz w:val="20"/>
            <w:szCs w:val="20"/>
          </w:rPr>
          <w:t>8</w:t>
        </w:r>
        <w:r w:rsidR="00471FC6" w:rsidRPr="00D1219D">
          <w:rPr>
            <w:rFonts w:ascii="Cambria" w:hAnsi="Cambria"/>
            <w:noProof/>
            <w:webHidden/>
            <w:sz w:val="20"/>
            <w:szCs w:val="20"/>
          </w:rPr>
          <w:fldChar w:fldCharType="end"/>
        </w:r>
      </w:hyperlink>
    </w:p>
    <w:p w:rsidR="00471FC6" w:rsidRPr="00D1219D" w:rsidRDefault="00BB0B93" w:rsidP="00471FC6">
      <w:pPr>
        <w:pStyle w:val="TOC2"/>
        <w:tabs>
          <w:tab w:val="clear" w:pos="1440"/>
          <w:tab w:val="left" w:pos="630"/>
        </w:tabs>
        <w:rPr>
          <w:rFonts w:ascii="Cambria" w:eastAsia="Times New Roman" w:hAnsi="Cambria"/>
          <w:noProof/>
          <w:sz w:val="20"/>
          <w:szCs w:val="20"/>
          <w:bdr w:val="none" w:sz="0" w:space="0" w:color="auto"/>
          <w:lang w:val="es-ES" w:eastAsia="es-ES"/>
        </w:rPr>
      </w:pPr>
      <w:hyperlink w:anchor="_Toc525547506" w:history="1">
        <w:r w:rsidR="00471FC6" w:rsidRPr="00D1219D">
          <w:rPr>
            <w:rStyle w:val="Hyperlink"/>
            <w:rFonts w:ascii="Cambria" w:hAnsi="Cambria"/>
            <w:noProof/>
            <w:sz w:val="20"/>
            <w:szCs w:val="20"/>
            <w:lang w:val="es-ES"/>
          </w:rPr>
          <w:t>E.</w:t>
        </w:r>
        <w:r w:rsidR="00471FC6" w:rsidRPr="00D1219D">
          <w:rPr>
            <w:rFonts w:ascii="Cambria" w:eastAsia="Times New Roman" w:hAnsi="Cambria"/>
            <w:noProof/>
            <w:sz w:val="20"/>
            <w:szCs w:val="20"/>
            <w:bdr w:val="none" w:sz="0" w:space="0" w:color="auto"/>
            <w:lang w:val="es-ES" w:eastAsia="es-ES"/>
          </w:rPr>
          <w:tab/>
        </w:r>
        <w:r w:rsidR="00471FC6" w:rsidRPr="00D1219D">
          <w:rPr>
            <w:rStyle w:val="Hyperlink"/>
            <w:rFonts w:ascii="Cambria" w:hAnsi="Cambria"/>
            <w:noProof/>
            <w:sz w:val="20"/>
            <w:szCs w:val="20"/>
            <w:lang w:val="es-ES"/>
          </w:rPr>
          <w:t>Sobre lo sucedido el 17 de enero de 2004</w:t>
        </w:r>
        <w:r w:rsidR="00471FC6" w:rsidRPr="00D1219D">
          <w:rPr>
            <w:rFonts w:ascii="Cambria" w:hAnsi="Cambria"/>
            <w:noProof/>
            <w:webHidden/>
            <w:sz w:val="20"/>
            <w:szCs w:val="20"/>
          </w:rPr>
          <w:tab/>
        </w:r>
        <w:r w:rsidR="00471FC6" w:rsidRPr="00D1219D">
          <w:rPr>
            <w:rFonts w:ascii="Cambria" w:hAnsi="Cambria"/>
            <w:noProof/>
            <w:webHidden/>
            <w:sz w:val="20"/>
            <w:szCs w:val="20"/>
          </w:rPr>
          <w:fldChar w:fldCharType="begin"/>
        </w:r>
        <w:r w:rsidR="00471FC6" w:rsidRPr="00D1219D">
          <w:rPr>
            <w:rFonts w:ascii="Cambria" w:hAnsi="Cambria"/>
            <w:noProof/>
            <w:webHidden/>
            <w:sz w:val="20"/>
            <w:szCs w:val="20"/>
          </w:rPr>
          <w:instrText xml:space="preserve"> PAGEREF _Toc525547506 \h </w:instrText>
        </w:r>
        <w:r w:rsidR="00471FC6" w:rsidRPr="00D1219D">
          <w:rPr>
            <w:rFonts w:ascii="Cambria" w:hAnsi="Cambria"/>
            <w:noProof/>
            <w:webHidden/>
            <w:sz w:val="20"/>
            <w:szCs w:val="20"/>
          </w:rPr>
        </w:r>
        <w:r w:rsidR="00471FC6" w:rsidRPr="00D1219D">
          <w:rPr>
            <w:rFonts w:ascii="Cambria" w:hAnsi="Cambria"/>
            <w:noProof/>
            <w:webHidden/>
            <w:sz w:val="20"/>
            <w:szCs w:val="20"/>
          </w:rPr>
          <w:fldChar w:fldCharType="separate"/>
        </w:r>
        <w:r w:rsidR="00671C11">
          <w:rPr>
            <w:rFonts w:ascii="Cambria" w:hAnsi="Cambria"/>
            <w:noProof/>
            <w:webHidden/>
            <w:sz w:val="20"/>
            <w:szCs w:val="20"/>
          </w:rPr>
          <w:t>10</w:t>
        </w:r>
        <w:r w:rsidR="00471FC6" w:rsidRPr="00D1219D">
          <w:rPr>
            <w:rFonts w:ascii="Cambria" w:hAnsi="Cambria"/>
            <w:noProof/>
            <w:webHidden/>
            <w:sz w:val="20"/>
            <w:szCs w:val="20"/>
          </w:rPr>
          <w:fldChar w:fldCharType="end"/>
        </w:r>
      </w:hyperlink>
    </w:p>
    <w:p w:rsidR="00471FC6" w:rsidRPr="00D1219D" w:rsidRDefault="00BB0B93" w:rsidP="00471FC6">
      <w:pPr>
        <w:pStyle w:val="TOC2"/>
        <w:tabs>
          <w:tab w:val="clear" w:pos="1440"/>
          <w:tab w:val="left" w:pos="630"/>
        </w:tabs>
        <w:rPr>
          <w:rFonts w:ascii="Cambria" w:eastAsia="Times New Roman" w:hAnsi="Cambria"/>
          <w:noProof/>
          <w:sz w:val="20"/>
          <w:szCs w:val="20"/>
          <w:bdr w:val="none" w:sz="0" w:space="0" w:color="auto"/>
          <w:lang w:val="es-ES" w:eastAsia="es-ES"/>
        </w:rPr>
      </w:pPr>
      <w:hyperlink w:anchor="_Toc525547507" w:history="1">
        <w:r w:rsidR="00471FC6" w:rsidRPr="00D1219D">
          <w:rPr>
            <w:rStyle w:val="Hyperlink"/>
            <w:rFonts w:ascii="Cambria" w:hAnsi="Cambria"/>
            <w:noProof/>
            <w:sz w:val="20"/>
            <w:szCs w:val="20"/>
            <w:lang w:val="es-ES"/>
          </w:rPr>
          <w:t>F.</w:t>
        </w:r>
        <w:r w:rsidR="00471FC6" w:rsidRPr="00D1219D">
          <w:rPr>
            <w:rFonts w:ascii="Cambria" w:eastAsia="Times New Roman" w:hAnsi="Cambria"/>
            <w:noProof/>
            <w:sz w:val="20"/>
            <w:szCs w:val="20"/>
            <w:bdr w:val="none" w:sz="0" w:space="0" w:color="auto"/>
            <w:lang w:val="es-ES" w:eastAsia="es-ES"/>
          </w:rPr>
          <w:tab/>
        </w:r>
        <w:r w:rsidR="00471FC6" w:rsidRPr="00D1219D">
          <w:rPr>
            <w:rStyle w:val="Hyperlink"/>
            <w:rFonts w:ascii="Cambria" w:hAnsi="Cambria"/>
            <w:noProof/>
            <w:sz w:val="20"/>
            <w:szCs w:val="20"/>
            <w:lang w:val="es-ES"/>
          </w:rPr>
          <w:t>Sobre lo sucedido a partir del 18 de enero de 2004</w:t>
        </w:r>
        <w:r w:rsidR="00471FC6" w:rsidRPr="00D1219D">
          <w:rPr>
            <w:rFonts w:ascii="Cambria" w:hAnsi="Cambria"/>
            <w:noProof/>
            <w:webHidden/>
            <w:sz w:val="20"/>
            <w:szCs w:val="20"/>
          </w:rPr>
          <w:tab/>
        </w:r>
        <w:r w:rsidR="00471FC6" w:rsidRPr="00D1219D">
          <w:rPr>
            <w:rFonts w:ascii="Cambria" w:hAnsi="Cambria"/>
            <w:noProof/>
            <w:webHidden/>
            <w:sz w:val="20"/>
            <w:szCs w:val="20"/>
          </w:rPr>
          <w:fldChar w:fldCharType="begin"/>
        </w:r>
        <w:r w:rsidR="00471FC6" w:rsidRPr="00D1219D">
          <w:rPr>
            <w:rFonts w:ascii="Cambria" w:hAnsi="Cambria"/>
            <w:noProof/>
            <w:webHidden/>
            <w:sz w:val="20"/>
            <w:szCs w:val="20"/>
          </w:rPr>
          <w:instrText xml:space="preserve"> PAGEREF _Toc525547507 \h </w:instrText>
        </w:r>
        <w:r w:rsidR="00471FC6" w:rsidRPr="00D1219D">
          <w:rPr>
            <w:rFonts w:ascii="Cambria" w:hAnsi="Cambria"/>
            <w:noProof/>
            <w:webHidden/>
            <w:sz w:val="20"/>
            <w:szCs w:val="20"/>
          </w:rPr>
        </w:r>
        <w:r w:rsidR="00471FC6" w:rsidRPr="00D1219D">
          <w:rPr>
            <w:rFonts w:ascii="Cambria" w:hAnsi="Cambria"/>
            <w:noProof/>
            <w:webHidden/>
            <w:sz w:val="20"/>
            <w:szCs w:val="20"/>
          </w:rPr>
          <w:fldChar w:fldCharType="separate"/>
        </w:r>
        <w:r w:rsidR="00671C11">
          <w:rPr>
            <w:rFonts w:ascii="Cambria" w:hAnsi="Cambria"/>
            <w:noProof/>
            <w:webHidden/>
            <w:sz w:val="20"/>
            <w:szCs w:val="20"/>
          </w:rPr>
          <w:t>10</w:t>
        </w:r>
        <w:r w:rsidR="00471FC6" w:rsidRPr="00D1219D">
          <w:rPr>
            <w:rFonts w:ascii="Cambria" w:hAnsi="Cambria"/>
            <w:noProof/>
            <w:webHidden/>
            <w:sz w:val="20"/>
            <w:szCs w:val="20"/>
          </w:rPr>
          <w:fldChar w:fldCharType="end"/>
        </w:r>
      </w:hyperlink>
    </w:p>
    <w:p w:rsidR="00471FC6" w:rsidRPr="00D1219D" w:rsidRDefault="00BB0B93" w:rsidP="00471FC6">
      <w:pPr>
        <w:pStyle w:val="TOC2"/>
        <w:tabs>
          <w:tab w:val="clear" w:pos="1440"/>
          <w:tab w:val="left" w:pos="630"/>
        </w:tabs>
        <w:rPr>
          <w:rFonts w:ascii="Cambria" w:eastAsia="Times New Roman" w:hAnsi="Cambria"/>
          <w:noProof/>
          <w:sz w:val="20"/>
          <w:szCs w:val="20"/>
          <w:bdr w:val="none" w:sz="0" w:space="0" w:color="auto"/>
          <w:lang w:val="es-ES" w:eastAsia="es-ES"/>
        </w:rPr>
      </w:pPr>
      <w:hyperlink w:anchor="_Toc525547508" w:history="1">
        <w:r w:rsidR="00471FC6" w:rsidRPr="00D1219D">
          <w:rPr>
            <w:rStyle w:val="Hyperlink"/>
            <w:rFonts w:ascii="Cambria" w:hAnsi="Cambria"/>
            <w:noProof/>
            <w:sz w:val="20"/>
            <w:szCs w:val="20"/>
            <w:lang w:val="es-ES"/>
          </w:rPr>
          <w:t>G.</w:t>
        </w:r>
        <w:r w:rsidR="00471FC6" w:rsidRPr="00D1219D">
          <w:rPr>
            <w:rFonts w:ascii="Cambria" w:eastAsia="Times New Roman" w:hAnsi="Cambria"/>
            <w:noProof/>
            <w:sz w:val="20"/>
            <w:szCs w:val="20"/>
            <w:bdr w:val="none" w:sz="0" w:space="0" w:color="auto"/>
            <w:lang w:val="es-ES" w:eastAsia="es-ES"/>
          </w:rPr>
          <w:tab/>
        </w:r>
        <w:r w:rsidR="00471FC6" w:rsidRPr="00D1219D">
          <w:rPr>
            <w:rStyle w:val="Hyperlink"/>
            <w:rFonts w:ascii="Cambria" w:hAnsi="Cambria"/>
            <w:noProof/>
            <w:sz w:val="20"/>
            <w:szCs w:val="20"/>
            <w:lang w:val="es-ES"/>
          </w:rPr>
          <w:t>Sobre los recursos presentados</w:t>
        </w:r>
        <w:r w:rsidR="00471FC6" w:rsidRPr="00D1219D">
          <w:rPr>
            <w:rFonts w:ascii="Cambria" w:hAnsi="Cambria"/>
            <w:noProof/>
            <w:webHidden/>
            <w:sz w:val="20"/>
            <w:szCs w:val="20"/>
          </w:rPr>
          <w:tab/>
        </w:r>
        <w:r w:rsidR="00471FC6" w:rsidRPr="00D1219D">
          <w:rPr>
            <w:rFonts w:ascii="Cambria" w:hAnsi="Cambria"/>
            <w:noProof/>
            <w:webHidden/>
            <w:sz w:val="20"/>
            <w:szCs w:val="20"/>
          </w:rPr>
          <w:fldChar w:fldCharType="begin"/>
        </w:r>
        <w:r w:rsidR="00471FC6" w:rsidRPr="00D1219D">
          <w:rPr>
            <w:rFonts w:ascii="Cambria" w:hAnsi="Cambria"/>
            <w:noProof/>
            <w:webHidden/>
            <w:sz w:val="20"/>
            <w:szCs w:val="20"/>
          </w:rPr>
          <w:instrText xml:space="preserve"> PAGEREF _Toc525547508 \h </w:instrText>
        </w:r>
        <w:r w:rsidR="00471FC6" w:rsidRPr="00D1219D">
          <w:rPr>
            <w:rFonts w:ascii="Cambria" w:hAnsi="Cambria"/>
            <w:noProof/>
            <w:webHidden/>
            <w:sz w:val="20"/>
            <w:szCs w:val="20"/>
          </w:rPr>
        </w:r>
        <w:r w:rsidR="00471FC6" w:rsidRPr="00D1219D">
          <w:rPr>
            <w:rFonts w:ascii="Cambria" w:hAnsi="Cambria"/>
            <w:noProof/>
            <w:webHidden/>
            <w:sz w:val="20"/>
            <w:szCs w:val="20"/>
          </w:rPr>
          <w:fldChar w:fldCharType="separate"/>
        </w:r>
        <w:r w:rsidR="00671C11">
          <w:rPr>
            <w:rFonts w:ascii="Cambria" w:hAnsi="Cambria"/>
            <w:noProof/>
            <w:webHidden/>
            <w:sz w:val="20"/>
            <w:szCs w:val="20"/>
          </w:rPr>
          <w:t>13</w:t>
        </w:r>
        <w:r w:rsidR="00471FC6" w:rsidRPr="00D1219D">
          <w:rPr>
            <w:rFonts w:ascii="Cambria" w:hAnsi="Cambria"/>
            <w:noProof/>
            <w:webHidden/>
            <w:sz w:val="20"/>
            <w:szCs w:val="20"/>
          </w:rPr>
          <w:fldChar w:fldCharType="end"/>
        </w:r>
      </w:hyperlink>
    </w:p>
    <w:p w:rsidR="00471FC6" w:rsidRPr="00D1219D" w:rsidRDefault="00BB0B93" w:rsidP="00471FC6">
      <w:pPr>
        <w:pStyle w:val="TOC1"/>
        <w:tabs>
          <w:tab w:val="left" w:pos="630"/>
          <w:tab w:val="right" w:leader="dot" w:pos="9350"/>
        </w:tabs>
        <w:rPr>
          <w:rFonts w:ascii="Cambria" w:eastAsia="Times New Roman" w:hAnsi="Cambria"/>
          <w:noProof/>
          <w:sz w:val="20"/>
          <w:szCs w:val="20"/>
          <w:bdr w:val="none" w:sz="0" w:space="0" w:color="auto"/>
          <w:lang w:val="es-ES" w:eastAsia="es-ES"/>
        </w:rPr>
      </w:pPr>
      <w:hyperlink w:anchor="_Toc525547509" w:history="1">
        <w:r w:rsidR="00471FC6" w:rsidRPr="00D1219D">
          <w:rPr>
            <w:rStyle w:val="Hyperlink"/>
            <w:rFonts w:ascii="Cambria" w:hAnsi="Cambria"/>
            <w:noProof/>
            <w:sz w:val="20"/>
            <w:szCs w:val="20"/>
            <w:lang w:val="es-ES_tradnl"/>
          </w:rPr>
          <w:t>V.</w:t>
        </w:r>
        <w:r w:rsidR="00471FC6" w:rsidRPr="00D1219D">
          <w:rPr>
            <w:rFonts w:ascii="Cambria" w:eastAsia="Times New Roman" w:hAnsi="Cambria"/>
            <w:noProof/>
            <w:sz w:val="20"/>
            <w:szCs w:val="20"/>
            <w:bdr w:val="none" w:sz="0" w:space="0" w:color="auto"/>
            <w:lang w:val="es-ES" w:eastAsia="es-ES"/>
          </w:rPr>
          <w:tab/>
        </w:r>
        <w:r w:rsidR="00471FC6" w:rsidRPr="00D1219D">
          <w:rPr>
            <w:rStyle w:val="Hyperlink"/>
            <w:rFonts w:ascii="Cambria" w:hAnsi="Cambria"/>
            <w:noProof/>
            <w:sz w:val="20"/>
            <w:szCs w:val="20"/>
            <w:lang w:val="es-ES"/>
          </w:rPr>
          <w:t>ANÁLISIS DE DERECHO</w:t>
        </w:r>
        <w:r w:rsidR="00471FC6" w:rsidRPr="00D1219D">
          <w:rPr>
            <w:rFonts w:ascii="Cambria" w:hAnsi="Cambria"/>
            <w:noProof/>
            <w:webHidden/>
            <w:sz w:val="20"/>
            <w:szCs w:val="20"/>
          </w:rPr>
          <w:tab/>
        </w:r>
        <w:r w:rsidR="00471FC6" w:rsidRPr="00D1219D">
          <w:rPr>
            <w:rFonts w:ascii="Cambria" w:hAnsi="Cambria"/>
            <w:noProof/>
            <w:webHidden/>
            <w:sz w:val="20"/>
            <w:szCs w:val="20"/>
          </w:rPr>
          <w:fldChar w:fldCharType="begin"/>
        </w:r>
        <w:r w:rsidR="00471FC6" w:rsidRPr="00D1219D">
          <w:rPr>
            <w:rFonts w:ascii="Cambria" w:hAnsi="Cambria"/>
            <w:noProof/>
            <w:webHidden/>
            <w:sz w:val="20"/>
            <w:szCs w:val="20"/>
          </w:rPr>
          <w:instrText xml:space="preserve"> PAGEREF _Toc525547509 \h </w:instrText>
        </w:r>
        <w:r w:rsidR="00471FC6" w:rsidRPr="00D1219D">
          <w:rPr>
            <w:rFonts w:ascii="Cambria" w:hAnsi="Cambria"/>
            <w:noProof/>
            <w:webHidden/>
            <w:sz w:val="20"/>
            <w:szCs w:val="20"/>
          </w:rPr>
        </w:r>
        <w:r w:rsidR="00471FC6" w:rsidRPr="00D1219D">
          <w:rPr>
            <w:rFonts w:ascii="Cambria" w:hAnsi="Cambria"/>
            <w:noProof/>
            <w:webHidden/>
            <w:sz w:val="20"/>
            <w:szCs w:val="20"/>
          </w:rPr>
          <w:fldChar w:fldCharType="separate"/>
        </w:r>
        <w:r w:rsidR="00671C11">
          <w:rPr>
            <w:rFonts w:ascii="Cambria" w:hAnsi="Cambria"/>
            <w:noProof/>
            <w:webHidden/>
            <w:sz w:val="20"/>
            <w:szCs w:val="20"/>
          </w:rPr>
          <w:t>20</w:t>
        </w:r>
        <w:r w:rsidR="00471FC6" w:rsidRPr="00D1219D">
          <w:rPr>
            <w:rFonts w:ascii="Cambria" w:hAnsi="Cambria"/>
            <w:noProof/>
            <w:webHidden/>
            <w:sz w:val="20"/>
            <w:szCs w:val="20"/>
          </w:rPr>
          <w:fldChar w:fldCharType="end"/>
        </w:r>
      </w:hyperlink>
    </w:p>
    <w:p w:rsidR="00471FC6" w:rsidRPr="00D1219D" w:rsidRDefault="00BB0B93" w:rsidP="00471FC6">
      <w:pPr>
        <w:pStyle w:val="TOC2"/>
        <w:tabs>
          <w:tab w:val="clear" w:pos="1440"/>
          <w:tab w:val="left" w:pos="630"/>
        </w:tabs>
        <w:rPr>
          <w:rFonts w:ascii="Cambria" w:eastAsia="Times New Roman" w:hAnsi="Cambria"/>
          <w:noProof/>
          <w:sz w:val="20"/>
          <w:szCs w:val="20"/>
          <w:bdr w:val="none" w:sz="0" w:space="0" w:color="auto"/>
          <w:lang w:val="es-ES" w:eastAsia="es-ES"/>
        </w:rPr>
      </w:pPr>
      <w:hyperlink w:anchor="_Toc525547510" w:history="1">
        <w:r w:rsidR="00471FC6" w:rsidRPr="00D1219D">
          <w:rPr>
            <w:rStyle w:val="Hyperlink"/>
            <w:rFonts w:ascii="Cambria" w:hAnsi="Cambria"/>
            <w:noProof/>
            <w:sz w:val="20"/>
            <w:szCs w:val="20"/>
            <w:lang w:val="es-CO"/>
          </w:rPr>
          <w:t>A.</w:t>
        </w:r>
        <w:r w:rsidR="00471FC6" w:rsidRPr="00D1219D">
          <w:rPr>
            <w:rFonts w:ascii="Cambria" w:eastAsia="Times New Roman" w:hAnsi="Cambria"/>
            <w:noProof/>
            <w:sz w:val="20"/>
            <w:szCs w:val="20"/>
            <w:bdr w:val="none" w:sz="0" w:space="0" w:color="auto"/>
            <w:lang w:val="es-ES" w:eastAsia="es-ES"/>
          </w:rPr>
          <w:tab/>
        </w:r>
        <w:r w:rsidR="00471FC6" w:rsidRPr="00D1219D">
          <w:rPr>
            <w:rStyle w:val="Hyperlink"/>
            <w:rFonts w:ascii="Cambria" w:hAnsi="Cambria"/>
            <w:noProof/>
            <w:sz w:val="20"/>
            <w:szCs w:val="20"/>
            <w:lang w:val="es-ES"/>
          </w:rPr>
          <w:t>Cuesti</w:t>
        </w:r>
        <w:r w:rsidR="00471FC6" w:rsidRPr="00D1219D">
          <w:rPr>
            <w:rStyle w:val="Hyperlink"/>
            <w:rFonts w:ascii="Cambria" w:hAnsi="Cambria"/>
            <w:noProof/>
            <w:sz w:val="20"/>
            <w:szCs w:val="20"/>
            <w:lang w:val="es-CO"/>
          </w:rPr>
          <w:t>ón previa</w:t>
        </w:r>
        <w:r w:rsidR="00471FC6" w:rsidRPr="00D1219D">
          <w:rPr>
            <w:rFonts w:ascii="Cambria" w:hAnsi="Cambria"/>
            <w:noProof/>
            <w:webHidden/>
            <w:sz w:val="20"/>
            <w:szCs w:val="20"/>
          </w:rPr>
          <w:tab/>
        </w:r>
        <w:r w:rsidR="00471FC6" w:rsidRPr="00D1219D">
          <w:rPr>
            <w:rFonts w:ascii="Cambria" w:hAnsi="Cambria"/>
            <w:noProof/>
            <w:webHidden/>
            <w:sz w:val="20"/>
            <w:szCs w:val="20"/>
          </w:rPr>
          <w:fldChar w:fldCharType="begin"/>
        </w:r>
        <w:r w:rsidR="00471FC6" w:rsidRPr="00D1219D">
          <w:rPr>
            <w:rFonts w:ascii="Cambria" w:hAnsi="Cambria"/>
            <w:noProof/>
            <w:webHidden/>
            <w:sz w:val="20"/>
            <w:szCs w:val="20"/>
          </w:rPr>
          <w:instrText xml:space="preserve"> PAGEREF _Toc525547510 \h </w:instrText>
        </w:r>
        <w:r w:rsidR="00471FC6" w:rsidRPr="00D1219D">
          <w:rPr>
            <w:rFonts w:ascii="Cambria" w:hAnsi="Cambria"/>
            <w:noProof/>
            <w:webHidden/>
            <w:sz w:val="20"/>
            <w:szCs w:val="20"/>
          </w:rPr>
        </w:r>
        <w:r w:rsidR="00471FC6" w:rsidRPr="00D1219D">
          <w:rPr>
            <w:rFonts w:ascii="Cambria" w:hAnsi="Cambria"/>
            <w:noProof/>
            <w:webHidden/>
            <w:sz w:val="20"/>
            <w:szCs w:val="20"/>
          </w:rPr>
          <w:fldChar w:fldCharType="separate"/>
        </w:r>
        <w:r w:rsidR="00671C11">
          <w:rPr>
            <w:rFonts w:ascii="Cambria" w:hAnsi="Cambria"/>
            <w:noProof/>
            <w:webHidden/>
            <w:sz w:val="20"/>
            <w:szCs w:val="20"/>
          </w:rPr>
          <w:t>20</w:t>
        </w:r>
        <w:r w:rsidR="00471FC6" w:rsidRPr="00D1219D">
          <w:rPr>
            <w:rFonts w:ascii="Cambria" w:hAnsi="Cambria"/>
            <w:noProof/>
            <w:webHidden/>
            <w:sz w:val="20"/>
            <w:szCs w:val="20"/>
          </w:rPr>
          <w:fldChar w:fldCharType="end"/>
        </w:r>
      </w:hyperlink>
    </w:p>
    <w:p w:rsidR="00471FC6" w:rsidRPr="00D1219D" w:rsidRDefault="00BB0B93" w:rsidP="00471FC6">
      <w:pPr>
        <w:pStyle w:val="TOC2"/>
        <w:tabs>
          <w:tab w:val="clear" w:pos="1440"/>
          <w:tab w:val="left" w:pos="630"/>
        </w:tabs>
        <w:rPr>
          <w:rFonts w:ascii="Cambria" w:eastAsia="Times New Roman" w:hAnsi="Cambria"/>
          <w:noProof/>
          <w:sz w:val="20"/>
          <w:szCs w:val="20"/>
          <w:bdr w:val="none" w:sz="0" w:space="0" w:color="auto"/>
          <w:lang w:val="es-ES" w:eastAsia="es-ES"/>
        </w:rPr>
      </w:pPr>
      <w:hyperlink w:anchor="_Toc525547511" w:history="1">
        <w:r w:rsidR="00471FC6" w:rsidRPr="00D1219D">
          <w:rPr>
            <w:rStyle w:val="Hyperlink"/>
            <w:rFonts w:ascii="Cambria" w:hAnsi="Cambria"/>
            <w:noProof/>
            <w:sz w:val="20"/>
            <w:szCs w:val="20"/>
            <w:lang w:val="es-ES"/>
          </w:rPr>
          <w:t>B.</w:t>
        </w:r>
        <w:r w:rsidR="00471FC6" w:rsidRPr="00D1219D">
          <w:rPr>
            <w:rFonts w:ascii="Cambria" w:eastAsia="Times New Roman" w:hAnsi="Cambria"/>
            <w:noProof/>
            <w:sz w:val="20"/>
            <w:szCs w:val="20"/>
            <w:bdr w:val="none" w:sz="0" w:space="0" w:color="auto"/>
            <w:lang w:val="es-ES" w:eastAsia="es-ES"/>
          </w:rPr>
          <w:tab/>
        </w:r>
        <w:r w:rsidR="00471FC6" w:rsidRPr="00D1219D">
          <w:rPr>
            <w:rStyle w:val="Hyperlink"/>
            <w:rFonts w:ascii="Cambria" w:hAnsi="Cambria"/>
            <w:noProof/>
            <w:sz w:val="20"/>
            <w:szCs w:val="20"/>
            <w:lang w:val="es-ES"/>
          </w:rPr>
          <w:t>Derechos al reconocimiento de la personalidad jur</w:t>
        </w:r>
        <w:r w:rsidR="00471FC6" w:rsidRPr="00D1219D">
          <w:rPr>
            <w:rStyle w:val="Hyperlink"/>
            <w:rFonts w:ascii="Cambria" w:hAnsi="Cambria"/>
            <w:noProof/>
            <w:sz w:val="20"/>
            <w:szCs w:val="20"/>
            <w:lang w:val="es-CO"/>
          </w:rPr>
          <w:t>ídica, a la vida, a la libertad personal, a la integr</w:t>
        </w:r>
        <w:r w:rsidR="00471FC6" w:rsidRPr="00D1219D">
          <w:rPr>
            <w:rStyle w:val="Hyperlink"/>
            <w:rFonts w:ascii="Cambria" w:hAnsi="Cambria"/>
            <w:noProof/>
            <w:sz w:val="20"/>
            <w:szCs w:val="20"/>
            <w:lang w:val="es-CO"/>
          </w:rPr>
          <w:t>i</w:t>
        </w:r>
        <w:r w:rsidR="00471FC6" w:rsidRPr="00D1219D">
          <w:rPr>
            <w:rStyle w:val="Hyperlink"/>
            <w:rFonts w:ascii="Cambria" w:hAnsi="Cambria"/>
            <w:noProof/>
            <w:sz w:val="20"/>
            <w:szCs w:val="20"/>
            <w:lang w:val="es-CO"/>
          </w:rPr>
          <w:t>dad personal, a la salud, al acceso a la información (artículos 3, 4, 5.1, 7.1, 7.3, 13.1 y 26 de la Convención Americana</w:t>
        </w:r>
        <w:r w:rsidR="00471FC6" w:rsidRPr="00D1219D">
          <w:rPr>
            <w:rFonts w:ascii="Cambria" w:hAnsi="Cambria"/>
            <w:noProof/>
            <w:webHidden/>
            <w:sz w:val="20"/>
            <w:szCs w:val="20"/>
          </w:rPr>
          <w:tab/>
        </w:r>
        <w:r w:rsidR="00471FC6" w:rsidRPr="00D1219D">
          <w:rPr>
            <w:rFonts w:ascii="Cambria" w:hAnsi="Cambria"/>
            <w:noProof/>
            <w:webHidden/>
            <w:sz w:val="20"/>
            <w:szCs w:val="20"/>
          </w:rPr>
          <w:fldChar w:fldCharType="begin"/>
        </w:r>
        <w:r w:rsidR="00471FC6" w:rsidRPr="00D1219D">
          <w:rPr>
            <w:rFonts w:ascii="Cambria" w:hAnsi="Cambria"/>
            <w:noProof/>
            <w:webHidden/>
            <w:sz w:val="20"/>
            <w:szCs w:val="20"/>
          </w:rPr>
          <w:instrText xml:space="preserve"> PAGEREF _Toc525547511 \h </w:instrText>
        </w:r>
        <w:r w:rsidR="00471FC6" w:rsidRPr="00D1219D">
          <w:rPr>
            <w:rFonts w:ascii="Cambria" w:hAnsi="Cambria"/>
            <w:noProof/>
            <w:webHidden/>
            <w:sz w:val="20"/>
            <w:szCs w:val="20"/>
          </w:rPr>
        </w:r>
        <w:r w:rsidR="00471FC6" w:rsidRPr="00D1219D">
          <w:rPr>
            <w:rFonts w:ascii="Cambria" w:hAnsi="Cambria"/>
            <w:noProof/>
            <w:webHidden/>
            <w:sz w:val="20"/>
            <w:szCs w:val="20"/>
          </w:rPr>
          <w:fldChar w:fldCharType="separate"/>
        </w:r>
        <w:r w:rsidR="00671C11">
          <w:rPr>
            <w:rFonts w:ascii="Cambria" w:hAnsi="Cambria"/>
            <w:noProof/>
            <w:webHidden/>
            <w:sz w:val="20"/>
            <w:szCs w:val="20"/>
          </w:rPr>
          <w:t>20</w:t>
        </w:r>
        <w:r w:rsidR="00471FC6" w:rsidRPr="00D1219D">
          <w:rPr>
            <w:rFonts w:ascii="Cambria" w:hAnsi="Cambria"/>
            <w:noProof/>
            <w:webHidden/>
            <w:sz w:val="20"/>
            <w:szCs w:val="20"/>
          </w:rPr>
          <w:fldChar w:fldCharType="end"/>
        </w:r>
      </w:hyperlink>
    </w:p>
    <w:p w:rsidR="00471FC6" w:rsidRPr="00D1219D" w:rsidRDefault="00BB0B93" w:rsidP="00471FC6">
      <w:pPr>
        <w:pStyle w:val="TOC2"/>
        <w:tabs>
          <w:tab w:val="clear" w:pos="1440"/>
          <w:tab w:val="left" w:pos="630"/>
        </w:tabs>
        <w:rPr>
          <w:rFonts w:ascii="Cambria" w:eastAsia="Times New Roman" w:hAnsi="Cambria"/>
          <w:noProof/>
          <w:sz w:val="20"/>
          <w:szCs w:val="20"/>
          <w:bdr w:val="none" w:sz="0" w:space="0" w:color="auto"/>
          <w:lang w:val="es-ES" w:eastAsia="es-ES"/>
        </w:rPr>
      </w:pPr>
      <w:hyperlink w:anchor="_Toc525547515" w:history="1">
        <w:r w:rsidR="00471FC6" w:rsidRPr="00D1219D">
          <w:rPr>
            <w:rStyle w:val="Hyperlink"/>
            <w:rFonts w:ascii="Cambria" w:hAnsi="Cambria"/>
            <w:noProof/>
            <w:sz w:val="20"/>
            <w:szCs w:val="20"/>
            <w:lang w:val="es-ES"/>
          </w:rPr>
          <w:t>C.</w:t>
        </w:r>
        <w:r w:rsidR="00471FC6" w:rsidRPr="00D1219D">
          <w:rPr>
            <w:rFonts w:ascii="Cambria" w:eastAsia="Times New Roman" w:hAnsi="Cambria"/>
            <w:noProof/>
            <w:sz w:val="20"/>
            <w:szCs w:val="20"/>
            <w:bdr w:val="none" w:sz="0" w:space="0" w:color="auto"/>
            <w:lang w:val="es-ES" w:eastAsia="es-ES"/>
          </w:rPr>
          <w:tab/>
        </w:r>
        <w:r w:rsidR="00471FC6" w:rsidRPr="00D1219D">
          <w:rPr>
            <w:rStyle w:val="Hyperlink"/>
            <w:rFonts w:ascii="Cambria" w:hAnsi="Cambria"/>
            <w:noProof/>
            <w:sz w:val="20"/>
            <w:szCs w:val="20"/>
            <w:lang w:val="es-ES"/>
          </w:rPr>
          <w:t>Sobre los derechos a las garantías judiciales y protección judicial (artículos 8.1 y 25.1 de la Convenci</w:t>
        </w:r>
        <w:r w:rsidR="00471FC6" w:rsidRPr="00D1219D">
          <w:rPr>
            <w:rStyle w:val="Hyperlink"/>
            <w:rFonts w:ascii="Cambria" w:hAnsi="Cambria"/>
            <w:noProof/>
            <w:sz w:val="20"/>
            <w:szCs w:val="20"/>
            <w:lang w:val="es-ES"/>
          </w:rPr>
          <w:t>ó</w:t>
        </w:r>
        <w:r w:rsidR="00471FC6" w:rsidRPr="00D1219D">
          <w:rPr>
            <w:rStyle w:val="Hyperlink"/>
            <w:rFonts w:ascii="Cambria" w:hAnsi="Cambria"/>
            <w:noProof/>
            <w:sz w:val="20"/>
            <w:szCs w:val="20"/>
            <w:lang w:val="es-ES"/>
          </w:rPr>
          <w:t>n Americana en relación con el artículo 1.1 del mismo instrumento</w:t>
        </w:r>
        <w:r w:rsidR="00471FC6" w:rsidRPr="00D1219D">
          <w:rPr>
            <w:rFonts w:ascii="Cambria" w:hAnsi="Cambria"/>
            <w:noProof/>
            <w:webHidden/>
            <w:sz w:val="20"/>
            <w:szCs w:val="20"/>
          </w:rPr>
          <w:tab/>
        </w:r>
        <w:r w:rsidR="00471FC6" w:rsidRPr="00D1219D">
          <w:rPr>
            <w:rFonts w:ascii="Cambria" w:hAnsi="Cambria"/>
            <w:noProof/>
            <w:webHidden/>
            <w:sz w:val="20"/>
            <w:szCs w:val="20"/>
          </w:rPr>
          <w:fldChar w:fldCharType="begin"/>
        </w:r>
        <w:r w:rsidR="00471FC6" w:rsidRPr="00D1219D">
          <w:rPr>
            <w:rFonts w:ascii="Cambria" w:hAnsi="Cambria"/>
            <w:noProof/>
            <w:webHidden/>
            <w:sz w:val="20"/>
            <w:szCs w:val="20"/>
          </w:rPr>
          <w:instrText xml:space="preserve"> PAGEREF _Toc525547515 \h </w:instrText>
        </w:r>
        <w:r w:rsidR="00471FC6" w:rsidRPr="00D1219D">
          <w:rPr>
            <w:rFonts w:ascii="Cambria" w:hAnsi="Cambria"/>
            <w:noProof/>
            <w:webHidden/>
            <w:sz w:val="20"/>
            <w:szCs w:val="20"/>
          </w:rPr>
        </w:r>
        <w:r w:rsidR="00471FC6" w:rsidRPr="00D1219D">
          <w:rPr>
            <w:rFonts w:ascii="Cambria" w:hAnsi="Cambria"/>
            <w:noProof/>
            <w:webHidden/>
            <w:sz w:val="20"/>
            <w:szCs w:val="20"/>
          </w:rPr>
          <w:fldChar w:fldCharType="separate"/>
        </w:r>
        <w:r w:rsidR="00671C11">
          <w:rPr>
            <w:rFonts w:ascii="Cambria" w:hAnsi="Cambria"/>
            <w:noProof/>
            <w:webHidden/>
            <w:sz w:val="20"/>
            <w:szCs w:val="20"/>
          </w:rPr>
          <w:t>38</w:t>
        </w:r>
        <w:r w:rsidR="00471FC6" w:rsidRPr="00D1219D">
          <w:rPr>
            <w:rFonts w:ascii="Cambria" w:hAnsi="Cambria"/>
            <w:noProof/>
            <w:webHidden/>
            <w:sz w:val="20"/>
            <w:szCs w:val="20"/>
          </w:rPr>
          <w:fldChar w:fldCharType="end"/>
        </w:r>
      </w:hyperlink>
    </w:p>
    <w:p w:rsidR="00471FC6" w:rsidRPr="00D1219D" w:rsidRDefault="00BB0B93" w:rsidP="00471FC6">
      <w:pPr>
        <w:pStyle w:val="TOC2"/>
        <w:tabs>
          <w:tab w:val="clear" w:pos="1440"/>
          <w:tab w:val="left" w:pos="630"/>
        </w:tabs>
        <w:rPr>
          <w:rFonts w:ascii="Cambria" w:eastAsia="Times New Roman" w:hAnsi="Cambria"/>
          <w:noProof/>
          <w:sz w:val="20"/>
          <w:szCs w:val="20"/>
          <w:bdr w:val="none" w:sz="0" w:space="0" w:color="auto"/>
          <w:lang w:val="es-ES" w:eastAsia="es-ES"/>
        </w:rPr>
      </w:pPr>
      <w:hyperlink w:anchor="_Toc525547516" w:history="1">
        <w:r w:rsidR="00471FC6" w:rsidRPr="00D1219D">
          <w:rPr>
            <w:rStyle w:val="Hyperlink"/>
            <w:rFonts w:ascii="Cambria" w:hAnsi="Cambria"/>
            <w:noProof/>
            <w:sz w:val="20"/>
            <w:szCs w:val="20"/>
            <w:lang w:val="es-ES"/>
          </w:rPr>
          <w:t>D.</w:t>
        </w:r>
        <w:r w:rsidR="00471FC6" w:rsidRPr="00D1219D">
          <w:rPr>
            <w:rFonts w:ascii="Cambria" w:eastAsia="Times New Roman" w:hAnsi="Cambria"/>
            <w:noProof/>
            <w:sz w:val="20"/>
            <w:szCs w:val="20"/>
            <w:bdr w:val="none" w:sz="0" w:space="0" w:color="auto"/>
            <w:lang w:val="es-ES" w:eastAsia="es-ES"/>
          </w:rPr>
          <w:tab/>
        </w:r>
        <w:r w:rsidR="00471FC6" w:rsidRPr="00D1219D">
          <w:rPr>
            <w:rStyle w:val="Hyperlink"/>
            <w:rFonts w:ascii="Cambria" w:hAnsi="Cambria"/>
            <w:noProof/>
            <w:sz w:val="20"/>
            <w:szCs w:val="20"/>
            <w:lang w:val="es-ES"/>
          </w:rPr>
          <w:t>Derecho a la integridad personal de los familiares (artículo 5.1 de la Convención Americana en relación con el artículo 1.1 del mismo instrumento)</w:t>
        </w:r>
        <w:r w:rsidR="00471FC6" w:rsidRPr="00D1219D">
          <w:rPr>
            <w:rFonts w:ascii="Cambria" w:hAnsi="Cambria"/>
            <w:noProof/>
            <w:webHidden/>
            <w:sz w:val="20"/>
            <w:szCs w:val="20"/>
          </w:rPr>
          <w:tab/>
        </w:r>
        <w:r w:rsidR="00471FC6" w:rsidRPr="00D1219D">
          <w:rPr>
            <w:rFonts w:ascii="Cambria" w:hAnsi="Cambria"/>
            <w:noProof/>
            <w:webHidden/>
            <w:sz w:val="20"/>
            <w:szCs w:val="20"/>
          </w:rPr>
          <w:fldChar w:fldCharType="begin"/>
        </w:r>
        <w:r w:rsidR="00471FC6" w:rsidRPr="00D1219D">
          <w:rPr>
            <w:rFonts w:ascii="Cambria" w:hAnsi="Cambria"/>
            <w:noProof/>
            <w:webHidden/>
            <w:sz w:val="20"/>
            <w:szCs w:val="20"/>
          </w:rPr>
          <w:instrText xml:space="preserve"> PAGEREF _Toc525547516 \h </w:instrText>
        </w:r>
        <w:r w:rsidR="00471FC6" w:rsidRPr="00D1219D">
          <w:rPr>
            <w:rFonts w:ascii="Cambria" w:hAnsi="Cambria"/>
            <w:noProof/>
            <w:webHidden/>
            <w:sz w:val="20"/>
            <w:szCs w:val="20"/>
          </w:rPr>
        </w:r>
        <w:r w:rsidR="00471FC6" w:rsidRPr="00D1219D">
          <w:rPr>
            <w:rFonts w:ascii="Cambria" w:hAnsi="Cambria"/>
            <w:noProof/>
            <w:webHidden/>
            <w:sz w:val="20"/>
            <w:szCs w:val="20"/>
          </w:rPr>
          <w:fldChar w:fldCharType="separate"/>
        </w:r>
        <w:r w:rsidR="00671C11">
          <w:rPr>
            <w:rFonts w:ascii="Cambria" w:hAnsi="Cambria"/>
            <w:noProof/>
            <w:webHidden/>
            <w:sz w:val="20"/>
            <w:szCs w:val="20"/>
          </w:rPr>
          <w:t>43</w:t>
        </w:r>
        <w:r w:rsidR="00471FC6" w:rsidRPr="00D1219D">
          <w:rPr>
            <w:rFonts w:ascii="Cambria" w:hAnsi="Cambria"/>
            <w:noProof/>
            <w:webHidden/>
            <w:sz w:val="20"/>
            <w:szCs w:val="20"/>
          </w:rPr>
          <w:fldChar w:fldCharType="end"/>
        </w:r>
      </w:hyperlink>
    </w:p>
    <w:p w:rsidR="00471FC6" w:rsidRPr="00D1219D" w:rsidRDefault="00BB0B93" w:rsidP="00471FC6">
      <w:pPr>
        <w:pStyle w:val="TOC1"/>
        <w:tabs>
          <w:tab w:val="left" w:pos="630"/>
          <w:tab w:val="right" w:leader="dot" w:pos="9350"/>
        </w:tabs>
        <w:rPr>
          <w:rFonts w:ascii="Cambria" w:eastAsia="Times New Roman" w:hAnsi="Cambria"/>
          <w:noProof/>
          <w:sz w:val="20"/>
          <w:szCs w:val="20"/>
          <w:bdr w:val="none" w:sz="0" w:space="0" w:color="auto"/>
          <w:lang w:val="es-ES" w:eastAsia="es-ES"/>
        </w:rPr>
      </w:pPr>
      <w:hyperlink w:anchor="_Toc525547517" w:history="1">
        <w:r w:rsidR="00471FC6" w:rsidRPr="00D1219D">
          <w:rPr>
            <w:rStyle w:val="Hyperlink"/>
            <w:rFonts w:ascii="Cambria" w:hAnsi="Cambria"/>
            <w:noProof/>
            <w:sz w:val="20"/>
            <w:szCs w:val="20"/>
            <w:lang w:val="es-ES"/>
          </w:rPr>
          <w:t>VI.</w:t>
        </w:r>
        <w:r w:rsidR="00471FC6" w:rsidRPr="00D1219D">
          <w:rPr>
            <w:rFonts w:ascii="Cambria" w:eastAsia="Times New Roman" w:hAnsi="Cambria"/>
            <w:noProof/>
            <w:sz w:val="20"/>
            <w:szCs w:val="20"/>
            <w:bdr w:val="none" w:sz="0" w:space="0" w:color="auto"/>
            <w:lang w:val="es-ES" w:eastAsia="es-ES"/>
          </w:rPr>
          <w:tab/>
        </w:r>
        <w:r w:rsidR="00471FC6" w:rsidRPr="00D1219D">
          <w:rPr>
            <w:rStyle w:val="Hyperlink"/>
            <w:rFonts w:ascii="Cambria" w:hAnsi="Cambria"/>
            <w:noProof/>
            <w:sz w:val="20"/>
            <w:szCs w:val="20"/>
            <w:lang w:val="es-ES"/>
          </w:rPr>
          <w:t>CONCLUSIONES</w:t>
        </w:r>
        <w:r w:rsidR="00471FC6" w:rsidRPr="00D1219D">
          <w:rPr>
            <w:rFonts w:ascii="Cambria" w:hAnsi="Cambria"/>
            <w:noProof/>
            <w:webHidden/>
            <w:sz w:val="20"/>
            <w:szCs w:val="20"/>
          </w:rPr>
          <w:tab/>
        </w:r>
        <w:r w:rsidR="00471FC6" w:rsidRPr="00D1219D">
          <w:rPr>
            <w:rFonts w:ascii="Cambria" w:hAnsi="Cambria"/>
            <w:noProof/>
            <w:webHidden/>
            <w:sz w:val="20"/>
            <w:szCs w:val="20"/>
          </w:rPr>
          <w:fldChar w:fldCharType="begin"/>
        </w:r>
        <w:r w:rsidR="00471FC6" w:rsidRPr="00D1219D">
          <w:rPr>
            <w:rFonts w:ascii="Cambria" w:hAnsi="Cambria"/>
            <w:noProof/>
            <w:webHidden/>
            <w:sz w:val="20"/>
            <w:szCs w:val="20"/>
          </w:rPr>
          <w:instrText xml:space="preserve"> PAGEREF _Toc525547517 \h </w:instrText>
        </w:r>
        <w:r w:rsidR="00471FC6" w:rsidRPr="00D1219D">
          <w:rPr>
            <w:rFonts w:ascii="Cambria" w:hAnsi="Cambria"/>
            <w:noProof/>
            <w:webHidden/>
            <w:sz w:val="20"/>
            <w:szCs w:val="20"/>
          </w:rPr>
        </w:r>
        <w:r w:rsidR="00471FC6" w:rsidRPr="00D1219D">
          <w:rPr>
            <w:rFonts w:ascii="Cambria" w:hAnsi="Cambria"/>
            <w:noProof/>
            <w:webHidden/>
            <w:sz w:val="20"/>
            <w:szCs w:val="20"/>
          </w:rPr>
          <w:fldChar w:fldCharType="separate"/>
        </w:r>
        <w:r w:rsidR="00671C11">
          <w:rPr>
            <w:rFonts w:ascii="Cambria" w:hAnsi="Cambria"/>
            <w:noProof/>
            <w:webHidden/>
            <w:sz w:val="20"/>
            <w:szCs w:val="20"/>
          </w:rPr>
          <w:t>43</w:t>
        </w:r>
        <w:r w:rsidR="00471FC6" w:rsidRPr="00D1219D">
          <w:rPr>
            <w:rFonts w:ascii="Cambria" w:hAnsi="Cambria"/>
            <w:noProof/>
            <w:webHidden/>
            <w:sz w:val="20"/>
            <w:szCs w:val="20"/>
          </w:rPr>
          <w:fldChar w:fldCharType="end"/>
        </w:r>
      </w:hyperlink>
    </w:p>
    <w:p w:rsidR="00471FC6" w:rsidRPr="00D1219D" w:rsidRDefault="00BB0B93" w:rsidP="00471FC6">
      <w:pPr>
        <w:pStyle w:val="TOC1"/>
        <w:tabs>
          <w:tab w:val="left" w:pos="630"/>
          <w:tab w:val="right" w:leader="dot" w:pos="9350"/>
        </w:tabs>
        <w:rPr>
          <w:rFonts w:ascii="Cambria" w:eastAsia="Times New Roman" w:hAnsi="Cambria"/>
          <w:noProof/>
          <w:sz w:val="20"/>
          <w:szCs w:val="20"/>
          <w:bdr w:val="none" w:sz="0" w:space="0" w:color="auto"/>
          <w:lang w:val="es-ES" w:eastAsia="es-ES"/>
        </w:rPr>
      </w:pPr>
      <w:hyperlink w:anchor="_Toc525547518" w:history="1">
        <w:r w:rsidR="00471FC6" w:rsidRPr="00D1219D">
          <w:rPr>
            <w:rStyle w:val="Hyperlink"/>
            <w:rFonts w:ascii="Cambria" w:hAnsi="Cambria"/>
            <w:noProof/>
            <w:sz w:val="20"/>
            <w:szCs w:val="20"/>
          </w:rPr>
          <w:t>VII.</w:t>
        </w:r>
        <w:r w:rsidR="00471FC6" w:rsidRPr="00D1219D">
          <w:rPr>
            <w:rFonts w:ascii="Cambria" w:eastAsia="Times New Roman" w:hAnsi="Cambria"/>
            <w:noProof/>
            <w:sz w:val="20"/>
            <w:szCs w:val="20"/>
            <w:bdr w:val="none" w:sz="0" w:space="0" w:color="auto"/>
            <w:lang w:val="es-ES" w:eastAsia="es-ES"/>
          </w:rPr>
          <w:tab/>
        </w:r>
        <w:r w:rsidR="00471FC6" w:rsidRPr="00D1219D">
          <w:rPr>
            <w:rStyle w:val="Hyperlink"/>
            <w:rFonts w:ascii="Cambria" w:hAnsi="Cambria"/>
            <w:noProof/>
            <w:sz w:val="20"/>
            <w:szCs w:val="20"/>
          </w:rPr>
          <w:t>RECOMENDACIONES</w:t>
        </w:r>
        <w:r w:rsidR="00471FC6" w:rsidRPr="00D1219D">
          <w:rPr>
            <w:rFonts w:ascii="Cambria" w:hAnsi="Cambria"/>
            <w:noProof/>
            <w:webHidden/>
            <w:sz w:val="20"/>
            <w:szCs w:val="20"/>
          </w:rPr>
          <w:tab/>
        </w:r>
        <w:r w:rsidR="00471FC6" w:rsidRPr="00D1219D">
          <w:rPr>
            <w:rFonts w:ascii="Cambria" w:hAnsi="Cambria"/>
            <w:noProof/>
            <w:webHidden/>
            <w:sz w:val="20"/>
            <w:szCs w:val="20"/>
          </w:rPr>
          <w:fldChar w:fldCharType="begin"/>
        </w:r>
        <w:r w:rsidR="00471FC6" w:rsidRPr="00D1219D">
          <w:rPr>
            <w:rFonts w:ascii="Cambria" w:hAnsi="Cambria"/>
            <w:noProof/>
            <w:webHidden/>
            <w:sz w:val="20"/>
            <w:szCs w:val="20"/>
          </w:rPr>
          <w:instrText xml:space="preserve"> PAGEREF _Toc525547518 \h </w:instrText>
        </w:r>
        <w:r w:rsidR="00471FC6" w:rsidRPr="00D1219D">
          <w:rPr>
            <w:rFonts w:ascii="Cambria" w:hAnsi="Cambria"/>
            <w:noProof/>
            <w:webHidden/>
            <w:sz w:val="20"/>
            <w:szCs w:val="20"/>
          </w:rPr>
        </w:r>
        <w:r w:rsidR="00471FC6" w:rsidRPr="00D1219D">
          <w:rPr>
            <w:rFonts w:ascii="Cambria" w:hAnsi="Cambria"/>
            <w:noProof/>
            <w:webHidden/>
            <w:sz w:val="20"/>
            <w:szCs w:val="20"/>
          </w:rPr>
          <w:fldChar w:fldCharType="separate"/>
        </w:r>
        <w:r w:rsidR="00671C11">
          <w:rPr>
            <w:rFonts w:ascii="Cambria" w:hAnsi="Cambria"/>
            <w:noProof/>
            <w:webHidden/>
            <w:sz w:val="20"/>
            <w:szCs w:val="20"/>
          </w:rPr>
          <w:t>43</w:t>
        </w:r>
        <w:r w:rsidR="00471FC6" w:rsidRPr="00D1219D">
          <w:rPr>
            <w:rFonts w:ascii="Cambria" w:hAnsi="Cambria"/>
            <w:noProof/>
            <w:webHidden/>
            <w:sz w:val="20"/>
            <w:szCs w:val="20"/>
          </w:rPr>
          <w:fldChar w:fldCharType="end"/>
        </w:r>
      </w:hyperlink>
    </w:p>
    <w:p w:rsidR="00CA29EB" w:rsidRPr="00D1219D" w:rsidRDefault="00471FC6" w:rsidP="00CA29EB">
      <w:pPr>
        <w:tabs>
          <w:tab w:val="center" w:pos="5400"/>
        </w:tabs>
        <w:suppressAutoHyphens/>
        <w:spacing w:line="276" w:lineRule="auto"/>
        <w:jc w:val="center"/>
        <w:rPr>
          <w:rFonts w:ascii="Cambria" w:hAnsi="Cambria"/>
          <w:b/>
          <w:sz w:val="18"/>
          <w:szCs w:val="18"/>
          <w:lang w:val="es-ES_tradnl"/>
        </w:rPr>
      </w:pPr>
      <w:r w:rsidRPr="00D1219D">
        <w:rPr>
          <w:rFonts w:ascii="Cambria" w:hAnsi="Cambria"/>
          <w:sz w:val="20"/>
          <w:szCs w:val="20"/>
          <w:lang w:val="es-ES_tradnl"/>
        </w:rPr>
        <w:fldChar w:fldCharType="end"/>
      </w:r>
      <w:r w:rsidR="00161414" w:rsidRPr="00FD7742">
        <w:rPr>
          <w:rFonts w:ascii="Cambria" w:hAnsi="Cambria"/>
          <w:sz w:val="20"/>
          <w:szCs w:val="20"/>
          <w:lang w:val="es-ES_tradnl"/>
        </w:rPr>
        <w:br w:type="page"/>
      </w:r>
      <w:r w:rsidR="00CA29EB" w:rsidRPr="00D1219D">
        <w:rPr>
          <w:rFonts w:ascii="Cambria" w:hAnsi="Cambria"/>
          <w:b/>
          <w:sz w:val="18"/>
          <w:szCs w:val="18"/>
          <w:lang w:val="es-ES_tradnl"/>
        </w:rPr>
        <w:lastRenderedPageBreak/>
        <w:t xml:space="preserve">INFORME No. </w:t>
      </w:r>
      <w:r w:rsidR="00CA29EB">
        <w:rPr>
          <w:rFonts w:ascii="Cambria" w:hAnsi="Cambria"/>
          <w:b/>
          <w:sz w:val="18"/>
          <w:szCs w:val="18"/>
          <w:lang w:val="es-ES_tradnl"/>
        </w:rPr>
        <w:t>111</w:t>
      </w:r>
      <w:r w:rsidR="00CA29EB" w:rsidRPr="00D1219D">
        <w:rPr>
          <w:rFonts w:ascii="Cambria" w:hAnsi="Cambria"/>
          <w:b/>
          <w:sz w:val="18"/>
          <w:szCs w:val="18"/>
          <w:lang w:val="es-ES_tradnl"/>
        </w:rPr>
        <w:t>/18</w:t>
      </w:r>
    </w:p>
    <w:p w:rsidR="00CA29EB" w:rsidRPr="00D1219D" w:rsidRDefault="00CA29EB" w:rsidP="00CA29EB">
      <w:pPr>
        <w:tabs>
          <w:tab w:val="center" w:pos="5400"/>
        </w:tabs>
        <w:suppressAutoHyphens/>
        <w:spacing w:line="276" w:lineRule="auto"/>
        <w:jc w:val="center"/>
        <w:rPr>
          <w:rFonts w:ascii="Cambria" w:hAnsi="Cambria"/>
          <w:b/>
          <w:sz w:val="18"/>
          <w:szCs w:val="18"/>
          <w:lang w:val="es-ES_tradnl"/>
        </w:rPr>
      </w:pPr>
      <w:r w:rsidRPr="00D1219D">
        <w:rPr>
          <w:rFonts w:ascii="Cambria" w:hAnsi="Cambria"/>
          <w:b/>
          <w:sz w:val="18"/>
          <w:szCs w:val="18"/>
          <w:lang w:val="es-ES_tradnl"/>
        </w:rPr>
        <w:t>CASO 12.786</w:t>
      </w:r>
    </w:p>
    <w:p w:rsidR="00CA29EB" w:rsidRPr="00D1219D" w:rsidRDefault="00CA29EB" w:rsidP="00CA29EB">
      <w:pPr>
        <w:tabs>
          <w:tab w:val="center" w:pos="5400"/>
        </w:tabs>
        <w:suppressAutoHyphens/>
        <w:spacing w:line="276" w:lineRule="auto"/>
        <w:jc w:val="center"/>
        <w:rPr>
          <w:rFonts w:ascii="Cambria" w:hAnsi="Cambria"/>
          <w:sz w:val="18"/>
          <w:szCs w:val="18"/>
          <w:lang w:val="es-ES_tradnl"/>
        </w:rPr>
      </w:pPr>
      <w:r w:rsidRPr="00D1219D">
        <w:rPr>
          <w:rFonts w:ascii="Cambria" w:hAnsi="Cambria"/>
          <w:sz w:val="18"/>
          <w:szCs w:val="18"/>
          <w:lang w:val="es-ES_tradnl"/>
        </w:rPr>
        <w:t>FONDO</w:t>
      </w:r>
    </w:p>
    <w:p w:rsidR="00CA29EB" w:rsidRPr="00D1219D" w:rsidRDefault="00CA29EB" w:rsidP="00CA29EB">
      <w:pPr>
        <w:tabs>
          <w:tab w:val="center" w:pos="5400"/>
        </w:tabs>
        <w:suppressAutoHyphens/>
        <w:spacing w:line="276" w:lineRule="auto"/>
        <w:jc w:val="center"/>
        <w:rPr>
          <w:rFonts w:ascii="Cambria" w:hAnsi="Cambria"/>
          <w:sz w:val="18"/>
          <w:szCs w:val="18"/>
          <w:lang w:val="es-ES_tradnl"/>
        </w:rPr>
      </w:pPr>
      <w:r w:rsidRPr="00D1219D">
        <w:rPr>
          <w:rFonts w:ascii="Cambria" w:hAnsi="Cambria"/>
          <w:sz w:val="18"/>
          <w:szCs w:val="18"/>
          <w:lang w:val="es-ES_tradnl"/>
        </w:rPr>
        <w:t>LUIS EDUARDO GUACHALÁ CHIMBÓ Y FAMILIA</w:t>
      </w:r>
    </w:p>
    <w:p w:rsidR="00CA29EB" w:rsidRPr="00D1219D" w:rsidRDefault="00CA29EB" w:rsidP="00CA29EB">
      <w:pPr>
        <w:tabs>
          <w:tab w:val="center" w:pos="5400"/>
        </w:tabs>
        <w:suppressAutoHyphens/>
        <w:spacing w:line="276" w:lineRule="auto"/>
        <w:jc w:val="center"/>
        <w:rPr>
          <w:rFonts w:ascii="Cambria" w:hAnsi="Cambria"/>
          <w:sz w:val="18"/>
          <w:szCs w:val="18"/>
          <w:lang w:val="es-ES_tradnl"/>
        </w:rPr>
      </w:pPr>
      <w:r w:rsidRPr="00D1219D">
        <w:rPr>
          <w:rFonts w:ascii="Cambria" w:hAnsi="Cambria"/>
          <w:sz w:val="18"/>
          <w:szCs w:val="18"/>
          <w:lang w:val="es-ES_tradnl"/>
        </w:rPr>
        <w:t>ECUADOR</w:t>
      </w:r>
    </w:p>
    <w:p w:rsidR="00CA29EB" w:rsidRPr="00D1219D" w:rsidRDefault="00CA29EB" w:rsidP="00CA29EB">
      <w:pPr>
        <w:tabs>
          <w:tab w:val="center" w:pos="5400"/>
        </w:tabs>
        <w:suppressAutoHyphens/>
        <w:spacing w:line="276" w:lineRule="auto"/>
        <w:jc w:val="center"/>
        <w:rPr>
          <w:rFonts w:ascii="Cambria" w:hAnsi="Cambria"/>
          <w:sz w:val="18"/>
          <w:szCs w:val="18"/>
          <w:lang w:val="es-ES_tradnl"/>
        </w:rPr>
      </w:pPr>
      <w:r>
        <w:rPr>
          <w:rFonts w:ascii="Cambria" w:hAnsi="Cambria"/>
          <w:sz w:val="18"/>
          <w:szCs w:val="18"/>
          <w:lang w:val="es-ES_tradnl"/>
        </w:rPr>
        <w:t>5 DE OCTUBRE DE 2018</w:t>
      </w:r>
    </w:p>
    <w:p w:rsidR="000F494B" w:rsidRPr="00FD7742" w:rsidRDefault="000F494B" w:rsidP="00CA29EB">
      <w:pPr>
        <w:tabs>
          <w:tab w:val="left" w:pos="630"/>
          <w:tab w:val="left" w:pos="720"/>
        </w:tabs>
        <w:jc w:val="center"/>
        <w:rPr>
          <w:rFonts w:ascii="Cambria" w:hAnsi="Cambria"/>
          <w:sz w:val="20"/>
          <w:szCs w:val="20"/>
          <w:lang w:val="es-ES_tradnl"/>
        </w:rPr>
      </w:pPr>
    </w:p>
    <w:p w:rsidR="000F494B" w:rsidRPr="008A084A" w:rsidRDefault="000F494B" w:rsidP="000F494B">
      <w:pPr>
        <w:pStyle w:val="Heading1"/>
        <w:tabs>
          <w:tab w:val="left" w:pos="1440"/>
        </w:tabs>
        <w:spacing w:before="0"/>
        <w:ind w:left="0" w:firstLine="720"/>
        <w:jc w:val="both"/>
        <w:rPr>
          <w:color w:val="auto"/>
          <w:sz w:val="20"/>
          <w:szCs w:val="20"/>
          <w:lang w:val="es-ES_tradnl"/>
        </w:rPr>
      </w:pPr>
      <w:bookmarkStart w:id="2" w:name="_Toc370830569"/>
      <w:bookmarkStart w:id="3" w:name="_Toc370831280"/>
      <w:bookmarkStart w:id="4" w:name="_Toc412635569"/>
      <w:bookmarkStart w:id="5" w:name="_Toc416685625"/>
      <w:bookmarkStart w:id="6" w:name="_Toc525547496"/>
      <w:r w:rsidRPr="008A084A">
        <w:rPr>
          <w:color w:val="auto"/>
          <w:sz w:val="20"/>
          <w:szCs w:val="20"/>
          <w:lang w:val="es-ES_tradnl"/>
        </w:rPr>
        <w:t>RESUMEN</w:t>
      </w:r>
      <w:bookmarkEnd w:id="2"/>
      <w:bookmarkEnd w:id="3"/>
      <w:bookmarkEnd w:id="4"/>
      <w:bookmarkEnd w:id="5"/>
      <w:bookmarkEnd w:id="6"/>
    </w:p>
    <w:p w:rsidR="000F494B" w:rsidRPr="008A084A" w:rsidRDefault="000F494B" w:rsidP="000F494B">
      <w:pPr>
        <w:ind w:firstLine="567"/>
        <w:jc w:val="both"/>
        <w:rPr>
          <w:rFonts w:ascii="Cambria" w:hAnsi="Cambria" w:cs="Arial"/>
          <w:sz w:val="20"/>
          <w:szCs w:val="20"/>
          <w:lang w:val="es-ES_tradnl"/>
        </w:rPr>
      </w:pPr>
    </w:p>
    <w:p w:rsidR="000F494B" w:rsidRPr="008A084A" w:rsidRDefault="000F494B" w:rsidP="00BA591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rPr>
      </w:pPr>
      <w:r w:rsidRPr="008A084A">
        <w:rPr>
          <w:rFonts w:ascii="Cambria" w:hAnsi="Cambria"/>
          <w:color w:val="auto"/>
          <w:sz w:val="20"/>
          <w:szCs w:val="20"/>
        </w:rPr>
        <w:t xml:space="preserve">El </w:t>
      </w:r>
      <w:r w:rsidR="00BA591A" w:rsidRPr="008A084A">
        <w:rPr>
          <w:rFonts w:ascii="Cambria" w:hAnsi="Cambria"/>
          <w:color w:val="auto"/>
          <w:sz w:val="20"/>
          <w:szCs w:val="20"/>
        </w:rPr>
        <w:t>1 de marzo de 2007</w:t>
      </w:r>
      <w:r w:rsidRPr="008A084A">
        <w:rPr>
          <w:rFonts w:ascii="Cambria" w:hAnsi="Cambria"/>
          <w:color w:val="auto"/>
          <w:sz w:val="20"/>
          <w:szCs w:val="20"/>
        </w:rPr>
        <w:t xml:space="preserve"> la Comisión Interamericana de Derechos Humanos (en adelante “la Comisión”, “la Comisión Interamericana” o “la CIDH”) recibió una petición presentada por </w:t>
      </w:r>
      <w:r w:rsidR="00152D31" w:rsidRPr="008A084A">
        <w:rPr>
          <w:rFonts w:ascii="Cambria" w:hAnsi="Cambria"/>
          <w:color w:val="auto"/>
          <w:sz w:val="20"/>
          <w:szCs w:val="20"/>
        </w:rPr>
        <w:t xml:space="preserve">la </w:t>
      </w:r>
      <w:r w:rsidR="00BA591A" w:rsidRPr="008A084A">
        <w:rPr>
          <w:rFonts w:ascii="Cambria" w:hAnsi="Cambria"/>
          <w:color w:val="auto"/>
          <w:sz w:val="20"/>
          <w:szCs w:val="20"/>
        </w:rPr>
        <w:t xml:space="preserve">Clínica de Derechos Humanos de la Pontificia Universidad Católica del Ecuador, la Fundación Regional de Asesoría en Derechos Humanos y la Comisión Ecuménica de Derechos Humanos </w:t>
      </w:r>
      <w:r w:rsidR="0089339B" w:rsidRPr="008A084A">
        <w:rPr>
          <w:rFonts w:ascii="Cambria" w:hAnsi="Cambria"/>
          <w:color w:val="auto"/>
          <w:sz w:val="20"/>
          <w:szCs w:val="20"/>
        </w:rPr>
        <w:t>(en adelante “los peticionarios”</w:t>
      </w:r>
      <w:r w:rsidR="009D501A" w:rsidRPr="008A084A">
        <w:rPr>
          <w:rFonts w:ascii="Cambria" w:hAnsi="Cambria"/>
          <w:color w:val="auto"/>
          <w:sz w:val="20"/>
          <w:szCs w:val="20"/>
        </w:rPr>
        <w:t>)</w:t>
      </w:r>
      <w:r w:rsidR="00152D31" w:rsidRPr="008A084A">
        <w:rPr>
          <w:rFonts w:ascii="Cambria" w:hAnsi="Cambria"/>
          <w:color w:val="auto"/>
          <w:sz w:val="20"/>
          <w:szCs w:val="20"/>
        </w:rPr>
        <w:t>. Los peticionarios alegaron</w:t>
      </w:r>
      <w:r w:rsidRPr="008A084A">
        <w:rPr>
          <w:rFonts w:ascii="Cambria" w:hAnsi="Cambria"/>
          <w:color w:val="auto"/>
          <w:sz w:val="20"/>
          <w:szCs w:val="20"/>
        </w:rPr>
        <w:t xml:space="preserve"> la responsabilidad internacional de la República de </w:t>
      </w:r>
      <w:r w:rsidR="00BA591A" w:rsidRPr="008A084A">
        <w:rPr>
          <w:rFonts w:ascii="Cambria" w:hAnsi="Cambria"/>
          <w:color w:val="auto"/>
          <w:sz w:val="20"/>
          <w:szCs w:val="20"/>
        </w:rPr>
        <w:t>Ecuador</w:t>
      </w:r>
      <w:r w:rsidRPr="008A084A">
        <w:rPr>
          <w:rFonts w:ascii="Cambria" w:hAnsi="Cambria"/>
          <w:color w:val="auto"/>
          <w:sz w:val="20"/>
          <w:szCs w:val="20"/>
        </w:rPr>
        <w:t xml:space="preserve"> (en adelante “el Estado”, “el Estado </w:t>
      </w:r>
      <w:r w:rsidR="00A5414A" w:rsidRPr="008A084A">
        <w:rPr>
          <w:rFonts w:ascii="Cambria" w:hAnsi="Cambria"/>
          <w:color w:val="auto"/>
          <w:sz w:val="20"/>
          <w:szCs w:val="20"/>
        </w:rPr>
        <w:t>ecuatoriano</w:t>
      </w:r>
      <w:r w:rsidRPr="008A084A">
        <w:rPr>
          <w:rFonts w:ascii="Cambria" w:hAnsi="Cambria"/>
          <w:color w:val="auto"/>
          <w:sz w:val="20"/>
          <w:szCs w:val="20"/>
        </w:rPr>
        <w:t>” o “</w:t>
      </w:r>
      <w:r w:rsidR="00A5414A" w:rsidRPr="008A084A">
        <w:rPr>
          <w:rFonts w:ascii="Cambria" w:hAnsi="Cambria"/>
          <w:color w:val="auto"/>
          <w:sz w:val="20"/>
          <w:szCs w:val="20"/>
        </w:rPr>
        <w:t>Ecuador</w:t>
      </w:r>
      <w:r w:rsidRPr="008A084A">
        <w:rPr>
          <w:rFonts w:ascii="Cambria" w:hAnsi="Cambria"/>
          <w:color w:val="auto"/>
          <w:sz w:val="20"/>
          <w:szCs w:val="20"/>
        </w:rPr>
        <w:t xml:space="preserve">”) por </w:t>
      </w:r>
      <w:r w:rsidR="00152D31" w:rsidRPr="008A084A">
        <w:rPr>
          <w:rFonts w:ascii="Cambria" w:hAnsi="Cambria"/>
          <w:color w:val="auto"/>
          <w:sz w:val="20"/>
          <w:szCs w:val="20"/>
        </w:rPr>
        <w:t xml:space="preserve">la </w:t>
      </w:r>
      <w:r w:rsidR="00BA591A" w:rsidRPr="008A084A">
        <w:rPr>
          <w:rFonts w:ascii="Cambria" w:hAnsi="Cambria"/>
          <w:color w:val="auto"/>
          <w:sz w:val="20"/>
          <w:szCs w:val="20"/>
        </w:rPr>
        <w:t>desaparición de Luis Eduardo Guach</w:t>
      </w:r>
      <w:r w:rsidR="00953850" w:rsidRPr="008A084A">
        <w:rPr>
          <w:rFonts w:ascii="Cambria" w:hAnsi="Cambria"/>
          <w:color w:val="auto"/>
          <w:sz w:val="20"/>
          <w:szCs w:val="20"/>
        </w:rPr>
        <w:t>alá</w:t>
      </w:r>
      <w:r w:rsidR="00BA591A" w:rsidRPr="008A084A">
        <w:rPr>
          <w:rFonts w:ascii="Cambria" w:hAnsi="Cambria"/>
          <w:color w:val="auto"/>
          <w:sz w:val="20"/>
          <w:szCs w:val="20"/>
        </w:rPr>
        <w:t xml:space="preserve"> Chimbó </w:t>
      </w:r>
      <w:r w:rsidR="00953850" w:rsidRPr="008A084A">
        <w:rPr>
          <w:rFonts w:ascii="Cambria" w:hAnsi="Cambria"/>
          <w:color w:val="auto"/>
          <w:sz w:val="20"/>
          <w:szCs w:val="20"/>
        </w:rPr>
        <w:t xml:space="preserve">en enero de 2004 </w:t>
      </w:r>
      <w:r w:rsidR="00BA591A" w:rsidRPr="008A084A">
        <w:rPr>
          <w:rFonts w:ascii="Cambria" w:hAnsi="Cambria"/>
          <w:color w:val="auto"/>
          <w:sz w:val="20"/>
          <w:szCs w:val="20"/>
        </w:rPr>
        <w:t>mientras se encontraba en un hospital público</w:t>
      </w:r>
      <w:r w:rsidR="00953850" w:rsidRPr="008A084A">
        <w:rPr>
          <w:rFonts w:ascii="Cambria" w:hAnsi="Cambria"/>
          <w:color w:val="auto"/>
          <w:sz w:val="20"/>
          <w:szCs w:val="20"/>
        </w:rPr>
        <w:t xml:space="preserve"> psiquiátrico</w:t>
      </w:r>
      <w:r w:rsidR="00BA591A" w:rsidRPr="008A084A">
        <w:rPr>
          <w:rFonts w:ascii="Cambria" w:hAnsi="Cambria"/>
          <w:color w:val="auto"/>
          <w:sz w:val="20"/>
          <w:szCs w:val="20"/>
        </w:rPr>
        <w:t xml:space="preserve"> en la ciudad de Quito</w:t>
      </w:r>
      <w:r w:rsidR="00152D31" w:rsidRPr="008A084A">
        <w:rPr>
          <w:rFonts w:ascii="Cambria" w:hAnsi="Cambria"/>
          <w:color w:val="auto"/>
          <w:sz w:val="20"/>
          <w:szCs w:val="20"/>
        </w:rPr>
        <w:t>.</w:t>
      </w:r>
      <w:r w:rsidR="0048196B" w:rsidRPr="008A084A">
        <w:rPr>
          <w:rFonts w:ascii="Cambria" w:hAnsi="Cambria"/>
          <w:color w:val="auto"/>
          <w:sz w:val="20"/>
          <w:szCs w:val="20"/>
        </w:rPr>
        <w:t xml:space="preserve"> </w:t>
      </w:r>
      <w:r w:rsidR="00E516C7" w:rsidRPr="008A084A">
        <w:rPr>
          <w:rFonts w:ascii="Cambria" w:hAnsi="Cambria"/>
          <w:color w:val="auto"/>
          <w:sz w:val="20"/>
          <w:szCs w:val="20"/>
        </w:rPr>
        <w:t xml:space="preserve">Indicaron </w:t>
      </w:r>
      <w:r w:rsidR="0048196B" w:rsidRPr="008A084A">
        <w:rPr>
          <w:rFonts w:ascii="Cambria" w:hAnsi="Cambria"/>
          <w:color w:val="auto"/>
          <w:sz w:val="20"/>
          <w:szCs w:val="20"/>
        </w:rPr>
        <w:t xml:space="preserve">que a la fecha el Estado no ha esclarecido lo sucedido </w:t>
      </w:r>
      <w:r w:rsidR="00366D69" w:rsidRPr="008A084A">
        <w:rPr>
          <w:rFonts w:ascii="Cambria" w:hAnsi="Cambria"/>
          <w:color w:val="auto"/>
          <w:sz w:val="20"/>
          <w:szCs w:val="20"/>
        </w:rPr>
        <w:t xml:space="preserve">al </w:t>
      </w:r>
      <w:r w:rsidR="0048196B" w:rsidRPr="008A084A">
        <w:rPr>
          <w:rFonts w:ascii="Cambria" w:hAnsi="Cambria"/>
          <w:color w:val="auto"/>
          <w:sz w:val="20"/>
          <w:szCs w:val="20"/>
        </w:rPr>
        <w:t>señor Guachalá ni se ha determinado su paradero.</w:t>
      </w:r>
    </w:p>
    <w:p w:rsidR="000F494B" w:rsidRPr="008A084A" w:rsidRDefault="000F494B" w:rsidP="00C5048D">
      <w:pPr>
        <w:pStyle w:val="BodyTextIndent"/>
        <w:ind w:left="0" w:firstLine="0"/>
        <w:rPr>
          <w:rFonts w:ascii="Cambria" w:hAnsi="Cambria"/>
          <w:color w:val="auto"/>
          <w:sz w:val="20"/>
          <w:szCs w:val="20"/>
        </w:rPr>
      </w:pPr>
    </w:p>
    <w:p w:rsidR="00866579" w:rsidRPr="008A084A" w:rsidRDefault="00C5048D" w:rsidP="005A2F9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rPr>
      </w:pPr>
      <w:r w:rsidRPr="008A084A">
        <w:rPr>
          <w:rFonts w:ascii="Cambria" w:hAnsi="Cambria"/>
          <w:color w:val="auto"/>
          <w:sz w:val="20"/>
          <w:szCs w:val="20"/>
        </w:rPr>
        <w:t>Por su parte, e</w:t>
      </w:r>
      <w:r w:rsidR="000F494B" w:rsidRPr="008A084A">
        <w:rPr>
          <w:rFonts w:ascii="Cambria" w:hAnsi="Cambria"/>
          <w:color w:val="auto"/>
          <w:sz w:val="20"/>
          <w:szCs w:val="20"/>
        </w:rPr>
        <w:t>l Estado</w:t>
      </w:r>
      <w:r w:rsidR="0094505F" w:rsidRPr="008A084A">
        <w:rPr>
          <w:rFonts w:ascii="Cambria" w:hAnsi="Cambria"/>
          <w:color w:val="auto"/>
          <w:sz w:val="20"/>
          <w:szCs w:val="20"/>
        </w:rPr>
        <w:t xml:space="preserve"> de </w:t>
      </w:r>
      <w:r w:rsidR="00953850" w:rsidRPr="008A084A">
        <w:rPr>
          <w:rFonts w:ascii="Cambria" w:hAnsi="Cambria"/>
          <w:color w:val="auto"/>
          <w:sz w:val="20"/>
          <w:szCs w:val="20"/>
        </w:rPr>
        <w:t>Ecuador alegó que el señor Guachalá se habría escapado de la institución por lo que no tendría responsabilidad por su desaparición. Sostuvo que se inició una investigación a efectos de esclarecer lo sucedido y determinar eventuales responsabilidades.</w:t>
      </w:r>
      <w:r w:rsidR="00D67CF6" w:rsidRPr="008A084A">
        <w:rPr>
          <w:rFonts w:ascii="Cambria" w:hAnsi="Cambria"/>
          <w:color w:val="auto"/>
          <w:sz w:val="20"/>
          <w:szCs w:val="20"/>
        </w:rPr>
        <w:t xml:space="preserve"> </w:t>
      </w:r>
    </w:p>
    <w:p w:rsidR="000F494B" w:rsidRPr="008A084A" w:rsidRDefault="000F494B" w:rsidP="000F494B">
      <w:pPr>
        <w:pStyle w:val="BodyTextIndent"/>
        <w:ind w:left="0" w:firstLine="567"/>
        <w:rPr>
          <w:rFonts w:ascii="Cambria" w:hAnsi="Cambria"/>
          <w:color w:val="auto"/>
          <w:sz w:val="20"/>
          <w:szCs w:val="20"/>
        </w:rPr>
      </w:pPr>
    </w:p>
    <w:p w:rsidR="000F494B" w:rsidRPr="008A084A" w:rsidRDefault="000F494B" w:rsidP="005A2F9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rPr>
      </w:pPr>
      <w:r w:rsidRPr="008A084A">
        <w:rPr>
          <w:rFonts w:ascii="Cambria" w:hAnsi="Cambria"/>
          <w:color w:val="auto"/>
          <w:sz w:val="20"/>
          <w:szCs w:val="20"/>
        </w:rPr>
        <w:t>Tras analizar la información disponible, la Comisión concluyó que el Estado es responsable por la violación de los derechos a</w:t>
      </w:r>
      <w:r w:rsidR="0048196B" w:rsidRPr="008A084A">
        <w:rPr>
          <w:rFonts w:ascii="Cambria" w:hAnsi="Cambria"/>
          <w:color w:val="auto"/>
          <w:sz w:val="20"/>
          <w:szCs w:val="20"/>
        </w:rPr>
        <w:t>l reconocimiento a la personalidad jurídica,</w:t>
      </w:r>
      <w:r w:rsidRPr="008A084A">
        <w:rPr>
          <w:rFonts w:ascii="Cambria" w:hAnsi="Cambria"/>
          <w:color w:val="auto"/>
          <w:sz w:val="20"/>
          <w:szCs w:val="20"/>
        </w:rPr>
        <w:t xml:space="preserve"> </w:t>
      </w:r>
      <w:r w:rsidR="008D051B" w:rsidRPr="008A084A">
        <w:rPr>
          <w:rFonts w:ascii="Cambria" w:hAnsi="Cambria"/>
          <w:color w:val="auto"/>
          <w:sz w:val="20"/>
          <w:szCs w:val="20"/>
        </w:rPr>
        <w:t>vida, integridad personal</w:t>
      </w:r>
      <w:r w:rsidRPr="008A084A">
        <w:rPr>
          <w:rFonts w:ascii="Cambria" w:hAnsi="Cambria"/>
          <w:color w:val="auto"/>
          <w:sz w:val="20"/>
          <w:szCs w:val="20"/>
        </w:rPr>
        <w:t>,</w:t>
      </w:r>
      <w:r w:rsidR="008D051B" w:rsidRPr="008A084A">
        <w:rPr>
          <w:rFonts w:ascii="Cambria" w:hAnsi="Cambria"/>
          <w:color w:val="auto"/>
          <w:sz w:val="20"/>
          <w:szCs w:val="20"/>
        </w:rPr>
        <w:t xml:space="preserve"> libertad personal, garantías judiciales</w:t>
      </w:r>
      <w:r w:rsidR="00502011" w:rsidRPr="008A084A">
        <w:rPr>
          <w:rFonts w:ascii="Cambria" w:hAnsi="Cambria"/>
          <w:color w:val="auto"/>
          <w:sz w:val="20"/>
          <w:szCs w:val="20"/>
        </w:rPr>
        <w:t>,</w:t>
      </w:r>
      <w:r w:rsidR="008D051B" w:rsidRPr="008A084A">
        <w:rPr>
          <w:rFonts w:ascii="Cambria" w:hAnsi="Cambria"/>
          <w:color w:val="auto"/>
          <w:sz w:val="20"/>
          <w:szCs w:val="20"/>
        </w:rPr>
        <w:t xml:space="preserve"> </w:t>
      </w:r>
      <w:r w:rsidR="00471FC6" w:rsidRPr="008A084A">
        <w:rPr>
          <w:rFonts w:ascii="Cambria" w:hAnsi="Cambria"/>
          <w:color w:val="auto"/>
          <w:sz w:val="20"/>
          <w:szCs w:val="20"/>
        </w:rPr>
        <w:t xml:space="preserve">acceso a la información, </w:t>
      </w:r>
      <w:r w:rsidR="00383748" w:rsidRPr="008A084A">
        <w:rPr>
          <w:rFonts w:ascii="Cambria" w:hAnsi="Cambria"/>
          <w:color w:val="auto"/>
          <w:sz w:val="20"/>
          <w:szCs w:val="20"/>
        </w:rPr>
        <w:t>igualdad y no discriminación</w:t>
      </w:r>
      <w:r w:rsidR="005F7E6D" w:rsidRPr="008A084A">
        <w:rPr>
          <w:rFonts w:ascii="Cambria" w:hAnsi="Cambria"/>
          <w:color w:val="auto"/>
          <w:sz w:val="20"/>
          <w:szCs w:val="20"/>
        </w:rPr>
        <w:t xml:space="preserve">, </w:t>
      </w:r>
      <w:r w:rsidR="00B836D5" w:rsidRPr="008A084A">
        <w:rPr>
          <w:rFonts w:ascii="Cambria" w:hAnsi="Cambria"/>
          <w:color w:val="auto"/>
          <w:sz w:val="20"/>
          <w:szCs w:val="20"/>
        </w:rPr>
        <w:t>p</w:t>
      </w:r>
      <w:r w:rsidR="005F7E6D" w:rsidRPr="008A084A">
        <w:rPr>
          <w:rFonts w:ascii="Cambria" w:hAnsi="Cambria"/>
          <w:color w:val="auto"/>
          <w:sz w:val="20"/>
          <w:szCs w:val="20"/>
        </w:rPr>
        <w:t>rotección judicial</w:t>
      </w:r>
      <w:r w:rsidR="00383748" w:rsidRPr="008A084A">
        <w:rPr>
          <w:rFonts w:ascii="Cambria" w:hAnsi="Cambria"/>
          <w:color w:val="auto"/>
          <w:sz w:val="20"/>
          <w:szCs w:val="20"/>
        </w:rPr>
        <w:t xml:space="preserve"> </w:t>
      </w:r>
      <w:r w:rsidR="00502011" w:rsidRPr="008A084A">
        <w:rPr>
          <w:rFonts w:ascii="Cambria" w:hAnsi="Cambria"/>
          <w:color w:val="auto"/>
          <w:sz w:val="20"/>
          <w:szCs w:val="20"/>
        </w:rPr>
        <w:t xml:space="preserve">y salud </w:t>
      </w:r>
      <w:r w:rsidRPr="008A084A">
        <w:rPr>
          <w:rFonts w:ascii="Cambria" w:hAnsi="Cambria"/>
          <w:color w:val="auto"/>
          <w:sz w:val="20"/>
          <w:szCs w:val="20"/>
        </w:rPr>
        <w:t xml:space="preserve">establecidos en los artículos </w:t>
      </w:r>
      <w:r w:rsidR="0048196B" w:rsidRPr="008A084A">
        <w:rPr>
          <w:rFonts w:ascii="Cambria" w:hAnsi="Cambria"/>
          <w:color w:val="auto"/>
          <w:sz w:val="20"/>
          <w:szCs w:val="20"/>
        </w:rPr>
        <w:t xml:space="preserve">3, </w:t>
      </w:r>
      <w:r w:rsidR="008D051B" w:rsidRPr="008A084A">
        <w:rPr>
          <w:rFonts w:ascii="Cambria" w:hAnsi="Cambria"/>
          <w:color w:val="auto"/>
          <w:sz w:val="20"/>
          <w:szCs w:val="20"/>
        </w:rPr>
        <w:t xml:space="preserve">4.1, </w:t>
      </w:r>
      <w:r w:rsidR="00340677" w:rsidRPr="008A084A">
        <w:rPr>
          <w:rFonts w:ascii="Cambria" w:hAnsi="Cambria"/>
          <w:color w:val="auto"/>
          <w:sz w:val="20"/>
          <w:szCs w:val="20"/>
        </w:rPr>
        <w:t xml:space="preserve">5.1, </w:t>
      </w:r>
      <w:r w:rsidR="008D051B" w:rsidRPr="008A084A">
        <w:rPr>
          <w:rFonts w:ascii="Cambria" w:hAnsi="Cambria"/>
          <w:color w:val="auto"/>
          <w:sz w:val="20"/>
          <w:szCs w:val="20"/>
        </w:rPr>
        <w:t>7</w:t>
      </w:r>
      <w:r w:rsidR="00D521EE" w:rsidRPr="008A084A">
        <w:rPr>
          <w:rFonts w:ascii="Cambria" w:hAnsi="Cambria"/>
          <w:color w:val="auto"/>
          <w:sz w:val="20"/>
          <w:szCs w:val="20"/>
        </w:rPr>
        <w:t>.1</w:t>
      </w:r>
      <w:r w:rsidR="008D051B" w:rsidRPr="008A084A">
        <w:rPr>
          <w:rFonts w:ascii="Cambria" w:hAnsi="Cambria"/>
          <w:color w:val="auto"/>
          <w:sz w:val="20"/>
          <w:szCs w:val="20"/>
        </w:rPr>
        <w:t>,</w:t>
      </w:r>
      <w:r w:rsidR="00CC50D2" w:rsidRPr="008A084A">
        <w:rPr>
          <w:rFonts w:ascii="Cambria" w:hAnsi="Cambria"/>
          <w:color w:val="auto"/>
          <w:sz w:val="20"/>
          <w:szCs w:val="20"/>
        </w:rPr>
        <w:t xml:space="preserve"> 7.3,</w:t>
      </w:r>
      <w:r w:rsidR="008D051B" w:rsidRPr="008A084A">
        <w:rPr>
          <w:rFonts w:ascii="Cambria" w:hAnsi="Cambria"/>
          <w:color w:val="auto"/>
          <w:sz w:val="20"/>
          <w:szCs w:val="20"/>
        </w:rPr>
        <w:t xml:space="preserve"> </w:t>
      </w:r>
      <w:r w:rsidR="000842C9" w:rsidRPr="008A084A">
        <w:rPr>
          <w:rFonts w:ascii="Cambria" w:hAnsi="Cambria"/>
          <w:color w:val="auto"/>
          <w:sz w:val="20"/>
          <w:szCs w:val="20"/>
        </w:rPr>
        <w:t>8</w:t>
      </w:r>
      <w:r w:rsidR="00D91D6C" w:rsidRPr="008A084A">
        <w:rPr>
          <w:rFonts w:ascii="Cambria" w:hAnsi="Cambria"/>
          <w:color w:val="auto"/>
          <w:sz w:val="20"/>
          <w:szCs w:val="20"/>
        </w:rPr>
        <w:t>.1</w:t>
      </w:r>
      <w:r w:rsidR="005D4D8C" w:rsidRPr="008A084A">
        <w:rPr>
          <w:rFonts w:ascii="Cambria" w:hAnsi="Cambria"/>
          <w:color w:val="auto"/>
          <w:sz w:val="20"/>
          <w:szCs w:val="20"/>
        </w:rPr>
        <w:t>,</w:t>
      </w:r>
      <w:r w:rsidR="008B1A55" w:rsidRPr="008A084A">
        <w:rPr>
          <w:rFonts w:ascii="Cambria" w:hAnsi="Cambria"/>
          <w:color w:val="auto"/>
          <w:sz w:val="20"/>
          <w:szCs w:val="20"/>
        </w:rPr>
        <w:t xml:space="preserve"> 13.1,</w:t>
      </w:r>
      <w:r w:rsidRPr="008A084A">
        <w:rPr>
          <w:rFonts w:ascii="Cambria" w:hAnsi="Cambria"/>
          <w:color w:val="auto"/>
          <w:sz w:val="20"/>
          <w:szCs w:val="20"/>
        </w:rPr>
        <w:t xml:space="preserve"> </w:t>
      </w:r>
      <w:r w:rsidR="00383748" w:rsidRPr="008A084A">
        <w:rPr>
          <w:rFonts w:ascii="Cambria" w:hAnsi="Cambria"/>
          <w:color w:val="auto"/>
          <w:sz w:val="20"/>
          <w:szCs w:val="20"/>
        </w:rPr>
        <w:t xml:space="preserve">24, </w:t>
      </w:r>
      <w:r w:rsidRPr="008A084A">
        <w:rPr>
          <w:rFonts w:ascii="Cambria" w:hAnsi="Cambria"/>
          <w:color w:val="auto"/>
          <w:sz w:val="20"/>
          <w:szCs w:val="20"/>
        </w:rPr>
        <w:t>25</w:t>
      </w:r>
      <w:r w:rsidR="00D91D6C" w:rsidRPr="008A084A">
        <w:rPr>
          <w:rFonts w:ascii="Cambria" w:hAnsi="Cambria"/>
          <w:color w:val="auto"/>
          <w:sz w:val="20"/>
          <w:szCs w:val="20"/>
        </w:rPr>
        <w:t>.1</w:t>
      </w:r>
      <w:r w:rsidRPr="008A084A">
        <w:rPr>
          <w:rFonts w:ascii="Cambria" w:hAnsi="Cambria"/>
          <w:color w:val="auto"/>
          <w:sz w:val="20"/>
          <w:szCs w:val="20"/>
        </w:rPr>
        <w:t xml:space="preserve"> </w:t>
      </w:r>
      <w:r w:rsidR="005D4D8C" w:rsidRPr="008A084A">
        <w:rPr>
          <w:rFonts w:ascii="Cambria" w:hAnsi="Cambria"/>
          <w:color w:val="auto"/>
          <w:sz w:val="20"/>
          <w:szCs w:val="20"/>
        </w:rPr>
        <w:t xml:space="preserve">y 26 </w:t>
      </w:r>
      <w:r w:rsidRPr="008A084A">
        <w:rPr>
          <w:rFonts w:ascii="Cambria" w:hAnsi="Cambria"/>
          <w:color w:val="auto"/>
          <w:sz w:val="20"/>
          <w:szCs w:val="20"/>
        </w:rPr>
        <w:t>de la Convención Americana</w:t>
      </w:r>
      <w:r w:rsidR="001C36AB" w:rsidRPr="008A084A">
        <w:rPr>
          <w:rFonts w:ascii="Cambria" w:hAnsi="Cambria"/>
          <w:color w:val="auto"/>
          <w:sz w:val="20"/>
          <w:szCs w:val="20"/>
        </w:rPr>
        <w:t xml:space="preserve"> sobre Derechos Humanos (en adelante “la Convención Americana”)</w:t>
      </w:r>
      <w:r w:rsidRPr="008A084A">
        <w:rPr>
          <w:rFonts w:ascii="Cambria" w:hAnsi="Cambria"/>
          <w:color w:val="auto"/>
          <w:sz w:val="20"/>
          <w:szCs w:val="20"/>
        </w:rPr>
        <w:t xml:space="preserve"> en relación con las obligaciones establecidas en </w:t>
      </w:r>
      <w:r w:rsidR="001F611B" w:rsidRPr="008A084A">
        <w:rPr>
          <w:rFonts w:ascii="Cambria" w:hAnsi="Cambria"/>
          <w:color w:val="auto"/>
          <w:sz w:val="20"/>
          <w:szCs w:val="20"/>
        </w:rPr>
        <w:t xml:space="preserve">los </w:t>
      </w:r>
      <w:r w:rsidRPr="008A084A">
        <w:rPr>
          <w:rFonts w:ascii="Cambria" w:hAnsi="Cambria"/>
          <w:color w:val="auto"/>
          <w:sz w:val="20"/>
          <w:szCs w:val="20"/>
        </w:rPr>
        <w:t>artículo</w:t>
      </w:r>
      <w:r w:rsidR="001F611B" w:rsidRPr="008A084A">
        <w:rPr>
          <w:rFonts w:ascii="Cambria" w:hAnsi="Cambria"/>
          <w:color w:val="auto"/>
          <w:sz w:val="20"/>
          <w:szCs w:val="20"/>
        </w:rPr>
        <w:t>s</w:t>
      </w:r>
      <w:r w:rsidRPr="008A084A">
        <w:rPr>
          <w:rFonts w:ascii="Cambria" w:hAnsi="Cambria"/>
          <w:color w:val="auto"/>
          <w:sz w:val="20"/>
          <w:szCs w:val="20"/>
        </w:rPr>
        <w:t xml:space="preserve"> 1.1</w:t>
      </w:r>
      <w:r w:rsidR="001F611B" w:rsidRPr="008A084A">
        <w:rPr>
          <w:rFonts w:ascii="Cambria" w:hAnsi="Cambria"/>
          <w:color w:val="auto"/>
          <w:sz w:val="20"/>
          <w:szCs w:val="20"/>
        </w:rPr>
        <w:t xml:space="preserve"> y 2</w:t>
      </w:r>
      <w:r w:rsidRPr="008A084A">
        <w:rPr>
          <w:rFonts w:ascii="Cambria" w:hAnsi="Cambria"/>
          <w:color w:val="auto"/>
          <w:sz w:val="20"/>
          <w:szCs w:val="20"/>
        </w:rPr>
        <w:t xml:space="preserve"> del mismo </w:t>
      </w:r>
      <w:r w:rsidR="000842C9" w:rsidRPr="008A084A">
        <w:rPr>
          <w:rFonts w:ascii="Cambria" w:hAnsi="Cambria"/>
          <w:color w:val="auto"/>
          <w:sz w:val="20"/>
          <w:szCs w:val="20"/>
        </w:rPr>
        <w:t xml:space="preserve">instrumento, en perjuicio de </w:t>
      </w:r>
      <w:r w:rsidR="001F611B" w:rsidRPr="008A084A">
        <w:rPr>
          <w:rFonts w:ascii="Cambria" w:hAnsi="Cambria"/>
          <w:color w:val="auto"/>
          <w:sz w:val="20"/>
          <w:szCs w:val="20"/>
        </w:rPr>
        <w:t>Luis Eduardo Guachalá Chimbó</w:t>
      </w:r>
      <w:r w:rsidR="00BB0AE9" w:rsidRPr="008A084A">
        <w:rPr>
          <w:rFonts w:ascii="Cambria" w:hAnsi="Cambria"/>
          <w:color w:val="auto"/>
          <w:sz w:val="20"/>
          <w:szCs w:val="20"/>
        </w:rPr>
        <w:t>.</w:t>
      </w:r>
      <w:r w:rsidR="00366D69" w:rsidRPr="008A084A">
        <w:rPr>
          <w:rFonts w:ascii="Cambria" w:hAnsi="Cambria"/>
          <w:color w:val="auto"/>
          <w:sz w:val="20"/>
          <w:szCs w:val="20"/>
        </w:rPr>
        <w:t xml:space="preserve"> Asimismo, la Comisión concluyó que el Estado es responsable por la violación de los derechos a la integridad personal, a las garantías judicial</w:t>
      </w:r>
      <w:r w:rsidR="00596E37" w:rsidRPr="008A084A">
        <w:rPr>
          <w:rFonts w:ascii="Cambria" w:hAnsi="Cambria"/>
          <w:color w:val="auto"/>
          <w:sz w:val="20"/>
          <w:szCs w:val="20"/>
        </w:rPr>
        <w:t>es</w:t>
      </w:r>
      <w:r w:rsidR="00366D69" w:rsidRPr="008A084A">
        <w:rPr>
          <w:rFonts w:ascii="Cambria" w:hAnsi="Cambria"/>
          <w:color w:val="auto"/>
          <w:sz w:val="20"/>
          <w:szCs w:val="20"/>
        </w:rPr>
        <w:t xml:space="preserve"> y a la protección judicial de los familiares. </w:t>
      </w:r>
    </w:p>
    <w:p w:rsidR="000F494B" w:rsidRPr="008A084A" w:rsidRDefault="000F494B" w:rsidP="000F494B">
      <w:pPr>
        <w:pStyle w:val="NormalWeb"/>
        <w:spacing w:before="0" w:beforeAutospacing="0" w:after="0" w:afterAutospacing="0"/>
        <w:ind w:firstLine="567"/>
        <w:jc w:val="both"/>
        <w:rPr>
          <w:rFonts w:ascii="Cambria" w:hAnsi="Cambria" w:cs="Arial"/>
          <w:sz w:val="20"/>
          <w:szCs w:val="20"/>
          <w:lang w:val="es-ES_tradnl"/>
        </w:rPr>
      </w:pPr>
    </w:p>
    <w:p w:rsidR="000F494B" w:rsidRPr="008A084A" w:rsidRDefault="000F494B" w:rsidP="00F51010">
      <w:pPr>
        <w:pStyle w:val="Heading1"/>
        <w:tabs>
          <w:tab w:val="left" w:pos="1440"/>
        </w:tabs>
        <w:spacing w:before="0"/>
        <w:ind w:left="0" w:firstLine="720"/>
        <w:jc w:val="both"/>
        <w:rPr>
          <w:color w:val="auto"/>
          <w:sz w:val="20"/>
          <w:szCs w:val="20"/>
          <w:lang w:val="es-ES_tradnl"/>
        </w:rPr>
      </w:pPr>
      <w:bookmarkStart w:id="7" w:name="_Toc370830570"/>
      <w:bookmarkStart w:id="8" w:name="_Toc370831281"/>
      <w:bookmarkStart w:id="9" w:name="_Toc412635570"/>
      <w:bookmarkStart w:id="10" w:name="_Toc416685626"/>
      <w:bookmarkStart w:id="11" w:name="_Toc525547497"/>
      <w:r w:rsidRPr="008A084A">
        <w:rPr>
          <w:color w:val="auto"/>
          <w:sz w:val="20"/>
          <w:szCs w:val="20"/>
          <w:lang w:val="es-ES_tradnl"/>
        </w:rPr>
        <w:t>TRÁMITE ANTE LA COMISIÓN</w:t>
      </w:r>
      <w:bookmarkEnd w:id="7"/>
      <w:bookmarkEnd w:id="8"/>
      <w:bookmarkEnd w:id="9"/>
      <w:bookmarkEnd w:id="10"/>
      <w:bookmarkEnd w:id="11"/>
      <w:r w:rsidRPr="008A084A">
        <w:rPr>
          <w:color w:val="auto"/>
          <w:sz w:val="20"/>
          <w:szCs w:val="20"/>
          <w:lang w:val="es-ES_tradnl"/>
        </w:rPr>
        <w:t xml:space="preserve"> </w:t>
      </w:r>
    </w:p>
    <w:p w:rsidR="00FA6A10" w:rsidRPr="008A084A" w:rsidRDefault="00FA6A10" w:rsidP="00F51010">
      <w:pPr>
        <w:tabs>
          <w:tab w:val="center" w:pos="5400"/>
        </w:tabs>
        <w:suppressAutoHyphens/>
        <w:spacing w:line="276" w:lineRule="auto"/>
        <w:rPr>
          <w:rFonts w:ascii="Cambria" w:hAnsi="Cambria"/>
          <w:sz w:val="20"/>
          <w:szCs w:val="20"/>
          <w:lang w:val="es-ES_tradnl"/>
        </w:rPr>
      </w:pPr>
    </w:p>
    <w:p w:rsidR="001D0061" w:rsidRPr="008A084A" w:rsidRDefault="00D245FA" w:rsidP="005A2F9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color w:val="auto"/>
          <w:sz w:val="20"/>
          <w:szCs w:val="20"/>
        </w:rPr>
      </w:pPr>
      <w:r w:rsidRPr="008A084A">
        <w:rPr>
          <w:rFonts w:ascii="Cambria" w:hAnsi="Cambria"/>
          <w:color w:val="auto"/>
          <w:sz w:val="20"/>
          <w:szCs w:val="20"/>
        </w:rPr>
        <w:t xml:space="preserve">El </w:t>
      </w:r>
      <w:r w:rsidR="009B0CB9" w:rsidRPr="008A084A">
        <w:rPr>
          <w:rFonts w:ascii="Cambria" w:hAnsi="Cambria"/>
          <w:color w:val="auto"/>
          <w:sz w:val="20"/>
          <w:szCs w:val="20"/>
        </w:rPr>
        <w:t xml:space="preserve">1 de marzo de </w:t>
      </w:r>
      <w:r w:rsidR="00896AD8" w:rsidRPr="008A084A">
        <w:rPr>
          <w:rFonts w:ascii="Cambria" w:hAnsi="Cambria"/>
          <w:color w:val="auto"/>
          <w:sz w:val="20"/>
          <w:szCs w:val="20"/>
        </w:rPr>
        <w:t>2007</w:t>
      </w:r>
      <w:r w:rsidR="001D0061" w:rsidRPr="008A084A">
        <w:rPr>
          <w:rFonts w:ascii="Cambria" w:hAnsi="Cambria"/>
          <w:color w:val="auto"/>
          <w:sz w:val="20"/>
          <w:szCs w:val="20"/>
        </w:rPr>
        <w:t xml:space="preserve"> </w:t>
      </w:r>
      <w:r w:rsidR="000F43A8" w:rsidRPr="008A084A">
        <w:rPr>
          <w:rFonts w:ascii="Cambria" w:hAnsi="Cambria"/>
          <w:color w:val="auto"/>
          <w:sz w:val="20"/>
          <w:szCs w:val="20"/>
        </w:rPr>
        <w:t xml:space="preserve">la </w:t>
      </w:r>
      <w:r w:rsidR="009B0CB9" w:rsidRPr="008A084A">
        <w:rPr>
          <w:rFonts w:ascii="Cambria" w:hAnsi="Cambria"/>
          <w:color w:val="auto"/>
          <w:sz w:val="20"/>
          <w:szCs w:val="20"/>
        </w:rPr>
        <w:t>CIDH recibió la petición inicial. El detalle del trámite ante la Comisión hasta la decisión de admisibilidad del caso se encuentra en el informe de admisibilidad No. 141/10 de 1 de noviembre de 2010</w:t>
      </w:r>
      <w:r w:rsidR="009B0CB9" w:rsidRPr="008A084A">
        <w:rPr>
          <w:rStyle w:val="FootnoteReference"/>
          <w:rFonts w:ascii="Cambria" w:hAnsi="Cambria"/>
          <w:color w:val="auto"/>
          <w:sz w:val="20"/>
          <w:szCs w:val="20"/>
        </w:rPr>
        <w:footnoteReference w:id="2"/>
      </w:r>
      <w:r w:rsidR="009B0CB9" w:rsidRPr="008A084A">
        <w:rPr>
          <w:rFonts w:ascii="Cambria" w:hAnsi="Cambria"/>
          <w:color w:val="auto"/>
          <w:sz w:val="20"/>
          <w:szCs w:val="20"/>
        </w:rPr>
        <w:t xml:space="preserve">. </w:t>
      </w:r>
    </w:p>
    <w:p w:rsidR="001D0061" w:rsidRPr="008A084A" w:rsidRDefault="001D0061" w:rsidP="001D0061">
      <w:pPr>
        <w:ind w:firstLine="567"/>
        <w:jc w:val="both"/>
        <w:rPr>
          <w:rFonts w:ascii="Cambria" w:hAnsi="Cambria" w:cs="Arial"/>
          <w:sz w:val="20"/>
          <w:szCs w:val="20"/>
          <w:lang w:val="es-ES_tradnl"/>
        </w:rPr>
      </w:pPr>
    </w:p>
    <w:p w:rsidR="00D1065D" w:rsidRPr="008A084A" w:rsidRDefault="00D1065D" w:rsidP="005A2F9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rPr>
      </w:pPr>
      <w:r w:rsidRPr="008A084A">
        <w:rPr>
          <w:rFonts w:ascii="Cambria" w:hAnsi="Cambria"/>
          <w:color w:val="auto"/>
          <w:sz w:val="20"/>
          <w:szCs w:val="20"/>
        </w:rPr>
        <w:t>El 10 de noviembre de 2010 la CIDH notificó a las partes el informe de admisibilidad. En dicha comunicación la Comisión se puso a disposición de las partes a fin de llegar a una solución amistosa.</w:t>
      </w:r>
      <w:r w:rsidR="00D560E5" w:rsidRPr="008A084A">
        <w:rPr>
          <w:rFonts w:ascii="Cambria" w:hAnsi="Cambria"/>
          <w:color w:val="auto"/>
          <w:sz w:val="20"/>
          <w:szCs w:val="20"/>
        </w:rPr>
        <w:t xml:space="preserve"> El 25 de mayo de 2011 los peticionarios presentaron una comunicación </w:t>
      </w:r>
      <w:r w:rsidR="00B447EE" w:rsidRPr="008A084A">
        <w:rPr>
          <w:rFonts w:ascii="Cambria" w:hAnsi="Cambria"/>
          <w:color w:val="auto"/>
          <w:sz w:val="20"/>
          <w:szCs w:val="20"/>
        </w:rPr>
        <w:t xml:space="preserve">mediante la cual </w:t>
      </w:r>
      <w:r w:rsidR="00D560E5" w:rsidRPr="008A084A">
        <w:rPr>
          <w:rFonts w:ascii="Cambria" w:hAnsi="Cambria"/>
          <w:color w:val="auto"/>
          <w:sz w:val="20"/>
          <w:szCs w:val="20"/>
        </w:rPr>
        <w:t xml:space="preserve">señalaron que no deseaban iniciar una solución amistosa. </w:t>
      </w:r>
      <w:r w:rsidR="007F4BA4" w:rsidRPr="008A084A">
        <w:rPr>
          <w:rFonts w:ascii="Cambria" w:hAnsi="Cambria"/>
          <w:color w:val="auto"/>
          <w:sz w:val="20"/>
          <w:szCs w:val="20"/>
        </w:rPr>
        <w:t>En dicho escrito también</w:t>
      </w:r>
      <w:r w:rsidR="00D560E5" w:rsidRPr="008A084A">
        <w:rPr>
          <w:rFonts w:ascii="Cambria" w:hAnsi="Cambria"/>
          <w:color w:val="auto"/>
          <w:sz w:val="20"/>
          <w:szCs w:val="20"/>
        </w:rPr>
        <w:t xml:space="preserve"> presentaron sus observaciones de fondo.</w:t>
      </w:r>
      <w:r w:rsidR="00D15BDE" w:rsidRPr="008A084A">
        <w:rPr>
          <w:rFonts w:ascii="Cambria" w:hAnsi="Cambria"/>
          <w:color w:val="auto"/>
          <w:sz w:val="20"/>
          <w:szCs w:val="20"/>
        </w:rPr>
        <w:t xml:space="preserve"> E</w:t>
      </w:r>
      <w:r w:rsidR="00D560E5" w:rsidRPr="008A084A">
        <w:rPr>
          <w:rFonts w:ascii="Cambria" w:hAnsi="Cambria"/>
          <w:color w:val="auto"/>
          <w:sz w:val="20"/>
          <w:szCs w:val="20"/>
        </w:rPr>
        <w:t>l 23 de diciembre de 20</w:t>
      </w:r>
      <w:r w:rsidR="00511A2C" w:rsidRPr="008A084A">
        <w:rPr>
          <w:rFonts w:ascii="Cambria" w:hAnsi="Cambria"/>
          <w:color w:val="auto"/>
          <w:sz w:val="20"/>
          <w:szCs w:val="20"/>
        </w:rPr>
        <w:t>1</w:t>
      </w:r>
      <w:r w:rsidR="00D560E5" w:rsidRPr="008A084A">
        <w:rPr>
          <w:rFonts w:ascii="Cambria" w:hAnsi="Cambria"/>
          <w:color w:val="auto"/>
          <w:sz w:val="20"/>
          <w:szCs w:val="20"/>
        </w:rPr>
        <w:t>1 el Estado presentó sus observaciones de fondo.</w:t>
      </w:r>
    </w:p>
    <w:p w:rsidR="00D1065D" w:rsidRPr="008A084A" w:rsidRDefault="00D1065D" w:rsidP="00D1065D">
      <w:pPr>
        <w:pStyle w:val="MediumGrid1-Accent21"/>
        <w:rPr>
          <w:rFonts w:ascii="Cambria" w:hAnsi="Cambria" w:cs="Arial"/>
          <w:sz w:val="20"/>
          <w:szCs w:val="20"/>
          <w:lang w:val="es-ES"/>
        </w:rPr>
      </w:pPr>
    </w:p>
    <w:p w:rsidR="009B1199" w:rsidRPr="008A084A" w:rsidRDefault="00D560E5" w:rsidP="005A2F9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rPr>
      </w:pPr>
      <w:r w:rsidRPr="008A084A">
        <w:rPr>
          <w:rFonts w:ascii="Cambria" w:hAnsi="Cambria" w:cs="Arial"/>
          <w:color w:val="auto"/>
          <w:sz w:val="20"/>
          <w:szCs w:val="20"/>
        </w:rPr>
        <w:t xml:space="preserve">Posteriormente la Comisión recibió comunicaciones de ambas partes, las cuales fueron debidamente trasladadas. Adicionalmente, el 4 de abril de 2016, en el marco de su 157 Período de Sesiones, la CIDH realizó una audiencia pública del caso en </w:t>
      </w:r>
      <w:r w:rsidR="00D15BDE" w:rsidRPr="008A084A">
        <w:rPr>
          <w:rFonts w:ascii="Cambria" w:hAnsi="Cambria" w:cs="Arial"/>
          <w:color w:val="auto"/>
          <w:sz w:val="20"/>
          <w:szCs w:val="20"/>
        </w:rPr>
        <w:t xml:space="preserve">la cual </w:t>
      </w:r>
      <w:r w:rsidRPr="008A084A">
        <w:rPr>
          <w:rFonts w:ascii="Cambria" w:hAnsi="Cambria" w:cs="Arial"/>
          <w:color w:val="auto"/>
          <w:sz w:val="20"/>
          <w:szCs w:val="20"/>
        </w:rPr>
        <w:t>participaron ambas partes</w:t>
      </w:r>
      <w:r w:rsidRPr="008A084A">
        <w:rPr>
          <w:rStyle w:val="FootnoteReference"/>
          <w:rFonts w:ascii="Cambria" w:hAnsi="Cambria" w:cs="Arial"/>
          <w:color w:val="auto"/>
          <w:sz w:val="20"/>
          <w:szCs w:val="20"/>
        </w:rPr>
        <w:footnoteReference w:id="3"/>
      </w:r>
      <w:r w:rsidRPr="008A084A">
        <w:rPr>
          <w:rFonts w:ascii="Cambria" w:hAnsi="Cambria" w:cs="Arial"/>
          <w:color w:val="auto"/>
          <w:sz w:val="20"/>
          <w:szCs w:val="20"/>
        </w:rPr>
        <w:t>.</w:t>
      </w:r>
    </w:p>
    <w:p w:rsidR="00866579" w:rsidRDefault="00866579" w:rsidP="0086657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rPr>
      </w:pPr>
    </w:p>
    <w:p w:rsidR="00671C11" w:rsidRDefault="00671C11" w:rsidP="0086657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rPr>
      </w:pPr>
    </w:p>
    <w:p w:rsidR="00671C11" w:rsidRDefault="00671C11" w:rsidP="0086657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rPr>
      </w:pPr>
    </w:p>
    <w:p w:rsidR="00671C11" w:rsidRDefault="00671C11" w:rsidP="0086657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rPr>
      </w:pPr>
    </w:p>
    <w:p w:rsidR="000F494B" w:rsidRPr="008A084A" w:rsidRDefault="000F494B" w:rsidP="00866579">
      <w:pPr>
        <w:pStyle w:val="Heading1"/>
        <w:tabs>
          <w:tab w:val="left" w:pos="1440"/>
        </w:tabs>
        <w:spacing w:before="0"/>
        <w:ind w:left="0" w:firstLine="720"/>
        <w:jc w:val="both"/>
        <w:rPr>
          <w:color w:val="auto"/>
          <w:sz w:val="20"/>
          <w:szCs w:val="20"/>
          <w:lang w:val="es-ES_tradnl"/>
        </w:rPr>
      </w:pPr>
      <w:bookmarkStart w:id="12" w:name="_Toc412635571"/>
      <w:bookmarkStart w:id="13" w:name="_Toc416685627"/>
      <w:bookmarkStart w:id="14" w:name="_Toc525547498"/>
      <w:r w:rsidRPr="008A084A">
        <w:rPr>
          <w:color w:val="auto"/>
          <w:sz w:val="20"/>
          <w:szCs w:val="20"/>
          <w:lang w:val="es-ES_tradnl"/>
        </w:rPr>
        <w:lastRenderedPageBreak/>
        <w:t>POSICIÓN DE LAS PARTES</w:t>
      </w:r>
      <w:bookmarkEnd w:id="12"/>
      <w:bookmarkEnd w:id="13"/>
      <w:bookmarkEnd w:id="14"/>
    </w:p>
    <w:p w:rsidR="000F494B" w:rsidRPr="008A084A" w:rsidRDefault="000F494B" w:rsidP="00866579">
      <w:pPr>
        <w:ind w:firstLine="567"/>
        <w:rPr>
          <w:rFonts w:ascii="Cambria" w:hAnsi="Cambria"/>
          <w:sz w:val="20"/>
          <w:szCs w:val="20"/>
          <w:lang w:val="es-ES_tradnl"/>
        </w:rPr>
      </w:pPr>
    </w:p>
    <w:p w:rsidR="000F494B" w:rsidRPr="008A084A" w:rsidRDefault="000F494B" w:rsidP="005A2F94">
      <w:pPr>
        <w:pStyle w:val="Heading2"/>
        <w:numPr>
          <w:ilvl w:val="0"/>
          <w:numId w:val="56"/>
        </w:numPr>
        <w:spacing w:before="0" w:after="0"/>
        <w:rPr>
          <w:rFonts w:ascii="Cambria" w:hAnsi="Cambria"/>
          <w:i w:val="0"/>
          <w:sz w:val="20"/>
          <w:szCs w:val="20"/>
          <w:lang w:val="es-ES_tradnl"/>
        </w:rPr>
      </w:pPr>
      <w:bookmarkStart w:id="15" w:name="_Toc370831283"/>
      <w:bookmarkStart w:id="16" w:name="_Toc412635572"/>
      <w:bookmarkStart w:id="17" w:name="_Toc416685628"/>
      <w:bookmarkStart w:id="18" w:name="_Toc525547499"/>
      <w:r w:rsidRPr="008A084A">
        <w:rPr>
          <w:rFonts w:ascii="Cambria" w:hAnsi="Cambria"/>
          <w:i w:val="0"/>
          <w:sz w:val="20"/>
          <w:szCs w:val="20"/>
          <w:lang w:val="es-ES_tradnl"/>
        </w:rPr>
        <w:t>Posición de los peticionarios</w:t>
      </w:r>
      <w:bookmarkEnd w:id="15"/>
      <w:bookmarkEnd w:id="16"/>
      <w:bookmarkEnd w:id="17"/>
      <w:bookmarkEnd w:id="18"/>
    </w:p>
    <w:p w:rsidR="009B1199" w:rsidRPr="008A084A" w:rsidRDefault="009B1199" w:rsidP="00007D4C">
      <w:pPr>
        <w:pStyle w:val="LightList-Accent51"/>
        <w:ind w:left="1440"/>
        <w:jc w:val="both"/>
        <w:rPr>
          <w:color w:val="auto"/>
          <w:sz w:val="20"/>
          <w:szCs w:val="20"/>
          <w:lang w:val="es-ES_tradnl"/>
        </w:rPr>
      </w:pPr>
    </w:p>
    <w:p w:rsidR="00051CE0" w:rsidRPr="008A084A" w:rsidRDefault="00051CE0" w:rsidP="00F5101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rPr>
      </w:pPr>
      <w:r w:rsidRPr="008A084A">
        <w:rPr>
          <w:rFonts w:ascii="Cambria" w:hAnsi="Cambria"/>
          <w:color w:val="auto"/>
          <w:sz w:val="20"/>
          <w:szCs w:val="20"/>
        </w:rPr>
        <w:t xml:space="preserve">Los peticionarios </w:t>
      </w:r>
      <w:r w:rsidR="00EF7DDB" w:rsidRPr="008A084A">
        <w:rPr>
          <w:rFonts w:ascii="Cambria" w:hAnsi="Cambria"/>
          <w:color w:val="auto"/>
          <w:sz w:val="20"/>
          <w:szCs w:val="20"/>
        </w:rPr>
        <w:t xml:space="preserve">indicaron que el Estado es responsable por </w:t>
      </w:r>
      <w:r w:rsidR="004F5531" w:rsidRPr="008A084A">
        <w:rPr>
          <w:rFonts w:ascii="Cambria" w:hAnsi="Cambria"/>
          <w:color w:val="auto"/>
          <w:sz w:val="20"/>
          <w:szCs w:val="20"/>
        </w:rPr>
        <w:t>la desaparición del señor Guachalá</w:t>
      </w:r>
      <w:r w:rsidR="008D051B" w:rsidRPr="008A084A">
        <w:rPr>
          <w:rFonts w:ascii="Cambria" w:hAnsi="Cambria"/>
          <w:color w:val="auto"/>
          <w:sz w:val="20"/>
          <w:szCs w:val="20"/>
        </w:rPr>
        <w:t xml:space="preserve">. </w:t>
      </w:r>
      <w:r w:rsidR="00007D4C" w:rsidRPr="008A084A">
        <w:rPr>
          <w:rFonts w:ascii="Cambria" w:hAnsi="Cambria"/>
          <w:color w:val="auto"/>
          <w:sz w:val="20"/>
          <w:szCs w:val="20"/>
        </w:rPr>
        <w:t xml:space="preserve"> </w:t>
      </w:r>
      <w:r w:rsidR="004F5531" w:rsidRPr="008A084A">
        <w:rPr>
          <w:rFonts w:ascii="Cambria" w:hAnsi="Cambria"/>
          <w:color w:val="auto"/>
          <w:sz w:val="20"/>
          <w:szCs w:val="20"/>
        </w:rPr>
        <w:t>Señalaron que</w:t>
      </w:r>
      <w:r w:rsidR="00E64D1B" w:rsidRPr="008A084A">
        <w:rPr>
          <w:rFonts w:ascii="Cambria" w:hAnsi="Cambria"/>
          <w:color w:val="auto"/>
          <w:sz w:val="20"/>
          <w:szCs w:val="20"/>
        </w:rPr>
        <w:t xml:space="preserve"> la presunta víctima, </w:t>
      </w:r>
      <w:r w:rsidR="004F5531" w:rsidRPr="008A084A">
        <w:rPr>
          <w:rFonts w:ascii="Cambria" w:hAnsi="Cambria"/>
          <w:color w:val="auto"/>
          <w:sz w:val="20"/>
          <w:szCs w:val="20"/>
        </w:rPr>
        <w:t xml:space="preserve">quien </w:t>
      </w:r>
      <w:r w:rsidR="00A5414A" w:rsidRPr="008A084A">
        <w:rPr>
          <w:rFonts w:ascii="Cambria" w:hAnsi="Cambria"/>
          <w:color w:val="auto"/>
          <w:sz w:val="20"/>
          <w:szCs w:val="20"/>
        </w:rPr>
        <w:t xml:space="preserve">es </w:t>
      </w:r>
      <w:r w:rsidR="004F5531" w:rsidRPr="008A084A">
        <w:rPr>
          <w:rFonts w:ascii="Cambria" w:hAnsi="Cambria"/>
          <w:color w:val="auto"/>
          <w:sz w:val="20"/>
          <w:szCs w:val="20"/>
        </w:rPr>
        <w:t>una persona con discapacidad mental, desapareció en enero de 2004 mientras se encontraba institucionalizado en un hospital público</w:t>
      </w:r>
      <w:r w:rsidR="0023586D" w:rsidRPr="008A084A">
        <w:rPr>
          <w:rFonts w:ascii="Cambria" w:hAnsi="Cambria"/>
          <w:color w:val="auto"/>
          <w:sz w:val="20"/>
          <w:szCs w:val="20"/>
        </w:rPr>
        <w:t xml:space="preserve"> al cual ingresó el 10 de enero de dicho año.</w:t>
      </w:r>
      <w:r w:rsidR="004F5531" w:rsidRPr="008A084A">
        <w:rPr>
          <w:rFonts w:ascii="Cambria" w:hAnsi="Cambria"/>
          <w:color w:val="auto"/>
          <w:sz w:val="20"/>
          <w:szCs w:val="20"/>
        </w:rPr>
        <w:t xml:space="preserve"> </w:t>
      </w:r>
      <w:r w:rsidR="0023586D" w:rsidRPr="008A084A">
        <w:rPr>
          <w:rFonts w:ascii="Cambria" w:hAnsi="Cambria"/>
          <w:color w:val="auto"/>
          <w:sz w:val="20"/>
          <w:szCs w:val="20"/>
        </w:rPr>
        <w:t>Señalaron que una semana después el personal de dicho hospital le informó a la madre del señor Guachalá que éste habría desaparecido.</w:t>
      </w:r>
      <w:r w:rsidR="00FC1217" w:rsidRPr="008A084A">
        <w:rPr>
          <w:rFonts w:ascii="Cambria" w:hAnsi="Cambria"/>
          <w:color w:val="auto"/>
          <w:sz w:val="20"/>
          <w:szCs w:val="20"/>
        </w:rPr>
        <w:t xml:space="preserve"> </w:t>
      </w:r>
      <w:r w:rsidR="004F5531" w:rsidRPr="008A084A">
        <w:rPr>
          <w:rFonts w:ascii="Cambria" w:hAnsi="Cambria"/>
          <w:color w:val="auto"/>
          <w:sz w:val="20"/>
          <w:szCs w:val="20"/>
        </w:rPr>
        <w:t xml:space="preserve">Indicaron que a pesar de los recursos presentados a la fecha no se ha logrado determinar el paradero del señor Guachalá. </w:t>
      </w:r>
      <w:r w:rsidR="00EF7DDB" w:rsidRPr="008A084A">
        <w:rPr>
          <w:rFonts w:ascii="Cambria" w:hAnsi="Cambria"/>
          <w:color w:val="auto"/>
          <w:sz w:val="20"/>
          <w:szCs w:val="20"/>
          <w:lang w:val="es-CO"/>
        </w:rPr>
        <w:t>El detalle de los hechos y los procesos internos será referido en el análisis fáctico de la Comisión, basado en la inform</w:t>
      </w:r>
      <w:r w:rsidR="00BA3D36" w:rsidRPr="008A084A">
        <w:rPr>
          <w:rFonts w:ascii="Cambria" w:hAnsi="Cambria"/>
          <w:color w:val="auto"/>
          <w:sz w:val="20"/>
          <w:szCs w:val="20"/>
          <w:lang w:val="es-CO"/>
        </w:rPr>
        <w:t>ación aportada por ambas partes.</w:t>
      </w:r>
    </w:p>
    <w:p w:rsidR="006B027D" w:rsidRPr="008A084A" w:rsidRDefault="006B027D" w:rsidP="006B027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F15868" w:rsidRPr="008A084A" w:rsidRDefault="006B027D" w:rsidP="00F1586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rPr>
      </w:pPr>
      <w:r w:rsidRPr="008A084A">
        <w:rPr>
          <w:rFonts w:ascii="Cambria" w:hAnsi="Cambria"/>
          <w:color w:val="auto"/>
          <w:sz w:val="20"/>
          <w:szCs w:val="20"/>
        </w:rPr>
        <w:t>Los peticionarios alegaron que lo sucedido al señor Guachalá cons</w:t>
      </w:r>
      <w:r w:rsidR="00F15868" w:rsidRPr="008A084A">
        <w:rPr>
          <w:rFonts w:ascii="Cambria" w:hAnsi="Cambria"/>
          <w:color w:val="auto"/>
          <w:sz w:val="20"/>
          <w:szCs w:val="20"/>
        </w:rPr>
        <w:t>tituye una desaparición forzada debido a que se presentan los tres elementos concurrentes que la configuran:</w:t>
      </w:r>
      <w:r w:rsidRPr="008A084A">
        <w:rPr>
          <w:rFonts w:ascii="Cambria" w:hAnsi="Cambria"/>
          <w:color w:val="auto"/>
          <w:sz w:val="20"/>
          <w:szCs w:val="20"/>
        </w:rPr>
        <w:t xml:space="preserve"> </w:t>
      </w:r>
      <w:r w:rsidR="00F15868" w:rsidRPr="008A084A">
        <w:rPr>
          <w:rFonts w:ascii="Cambria" w:hAnsi="Cambria"/>
          <w:color w:val="auto"/>
          <w:sz w:val="20"/>
          <w:szCs w:val="20"/>
        </w:rPr>
        <w:t xml:space="preserve">i) la privación de la libertad; ii) la intervención directa de agentes estatales o la aquiescencia de éstos; y iii) la negativa de reconocer la detención y de revelar la suerte o el paradero de la persona interesada. En consecuencia, indicaron que el Estado vulneró sus derechos al reconocimiento de la personalidad jurídica, vida, integridad personal y libertad personal. </w:t>
      </w:r>
    </w:p>
    <w:p w:rsidR="00676B40" w:rsidRPr="008A084A" w:rsidRDefault="00676B40" w:rsidP="00676B4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F15868" w:rsidRPr="008A084A" w:rsidRDefault="00F15868" w:rsidP="00F1586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rPr>
      </w:pPr>
      <w:r w:rsidRPr="008A084A">
        <w:rPr>
          <w:rFonts w:ascii="Cambria" w:hAnsi="Cambria"/>
          <w:color w:val="auto"/>
          <w:sz w:val="20"/>
          <w:szCs w:val="20"/>
        </w:rPr>
        <w:t xml:space="preserve">Respecto del </w:t>
      </w:r>
      <w:r w:rsidRPr="008A084A">
        <w:rPr>
          <w:rFonts w:ascii="Cambria" w:hAnsi="Cambria"/>
          <w:b/>
          <w:color w:val="auto"/>
          <w:sz w:val="20"/>
          <w:szCs w:val="20"/>
        </w:rPr>
        <w:t>derecho a la libertad personal</w:t>
      </w:r>
      <w:r w:rsidRPr="008A084A">
        <w:rPr>
          <w:rFonts w:ascii="Cambria" w:hAnsi="Cambria"/>
          <w:color w:val="auto"/>
          <w:sz w:val="20"/>
          <w:szCs w:val="20"/>
        </w:rPr>
        <w:t xml:space="preserve">, los peticionarios indicaron que </w:t>
      </w:r>
      <w:r w:rsidR="004A5A21" w:rsidRPr="008A084A">
        <w:rPr>
          <w:rFonts w:ascii="Cambria" w:hAnsi="Cambria"/>
          <w:color w:val="auto"/>
          <w:sz w:val="20"/>
          <w:szCs w:val="20"/>
        </w:rPr>
        <w:t xml:space="preserve">la reclusión en un hospital psiquiátrico es una restricción a dicho derecho. Señalaron que </w:t>
      </w:r>
      <w:r w:rsidRPr="008A084A">
        <w:rPr>
          <w:rFonts w:ascii="Cambria" w:hAnsi="Cambria"/>
          <w:color w:val="auto"/>
          <w:sz w:val="20"/>
          <w:szCs w:val="20"/>
        </w:rPr>
        <w:t xml:space="preserve">si bien en un principio se consintió el internamiento del señor Guachalá, existió una sistemática negación de su paradero a su madre y, en consecuencia, </w:t>
      </w:r>
      <w:r w:rsidR="000246B3" w:rsidRPr="008A084A">
        <w:rPr>
          <w:rFonts w:ascii="Cambria" w:hAnsi="Cambria"/>
          <w:color w:val="auto"/>
          <w:sz w:val="20"/>
          <w:szCs w:val="20"/>
        </w:rPr>
        <w:t xml:space="preserve">devino en </w:t>
      </w:r>
      <w:r w:rsidRPr="008A084A">
        <w:rPr>
          <w:rFonts w:ascii="Cambria" w:hAnsi="Cambria"/>
          <w:color w:val="auto"/>
          <w:sz w:val="20"/>
          <w:szCs w:val="20"/>
        </w:rPr>
        <w:t xml:space="preserve">una privación no consentida e ilegítima de su libertad. </w:t>
      </w:r>
    </w:p>
    <w:p w:rsidR="00F15868" w:rsidRPr="008A084A" w:rsidRDefault="00F15868" w:rsidP="00F15868">
      <w:pPr>
        <w:pStyle w:val="ColorfulList-Accent11"/>
        <w:ind w:left="0"/>
        <w:rPr>
          <w:rFonts w:ascii="Cambria" w:hAnsi="Cambria"/>
          <w:sz w:val="20"/>
          <w:szCs w:val="20"/>
          <w:lang w:val="es-ES"/>
        </w:rPr>
      </w:pPr>
    </w:p>
    <w:p w:rsidR="00676B40" w:rsidRPr="008A084A" w:rsidRDefault="00676B40" w:rsidP="0048196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rPr>
      </w:pPr>
      <w:r w:rsidRPr="008A084A">
        <w:rPr>
          <w:rFonts w:ascii="Cambria" w:hAnsi="Cambria"/>
          <w:color w:val="auto"/>
          <w:sz w:val="20"/>
          <w:szCs w:val="20"/>
        </w:rPr>
        <w:t xml:space="preserve">En relación </w:t>
      </w:r>
      <w:r w:rsidR="00634ECA" w:rsidRPr="008A084A">
        <w:rPr>
          <w:rFonts w:ascii="Cambria" w:hAnsi="Cambria"/>
          <w:color w:val="auto"/>
          <w:sz w:val="20"/>
          <w:szCs w:val="20"/>
        </w:rPr>
        <w:t xml:space="preserve">con la alegada violación del </w:t>
      </w:r>
      <w:r w:rsidR="00634ECA" w:rsidRPr="008A084A">
        <w:rPr>
          <w:rFonts w:ascii="Cambria" w:hAnsi="Cambria"/>
          <w:b/>
          <w:color w:val="auto"/>
          <w:sz w:val="20"/>
          <w:szCs w:val="20"/>
        </w:rPr>
        <w:t>derecho al reconocimiento a la personalidad</w:t>
      </w:r>
      <w:r w:rsidR="00634ECA" w:rsidRPr="008A084A">
        <w:rPr>
          <w:rFonts w:ascii="Cambria" w:hAnsi="Cambria"/>
          <w:color w:val="auto"/>
          <w:sz w:val="20"/>
          <w:szCs w:val="20"/>
        </w:rPr>
        <w:t xml:space="preserve"> </w:t>
      </w:r>
      <w:r w:rsidR="00634ECA" w:rsidRPr="008A084A">
        <w:rPr>
          <w:rFonts w:ascii="Cambria" w:hAnsi="Cambria"/>
          <w:b/>
          <w:color w:val="auto"/>
          <w:sz w:val="20"/>
          <w:szCs w:val="20"/>
        </w:rPr>
        <w:t>jurídica,</w:t>
      </w:r>
      <w:r w:rsidR="00634ECA" w:rsidRPr="008A084A">
        <w:rPr>
          <w:rFonts w:ascii="Cambria" w:hAnsi="Cambria"/>
          <w:color w:val="auto"/>
          <w:sz w:val="20"/>
          <w:szCs w:val="20"/>
        </w:rPr>
        <w:t xml:space="preserve"> </w:t>
      </w:r>
      <w:r w:rsidR="0012504A" w:rsidRPr="008A084A">
        <w:rPr>
          <w:rFonts w:ascii="Cambria" w:hAnsi="Cambria"/>
          <w:color w:val="auto"/>
          <w:sz w:val="20"/>
          <w:szCs w:val="20"/>
        </w:rPr>
        <w:t xml:space="preserve">los peticionarios alegaron que la desaparición forzada del señor Guachalá resultó “en un limbo jurídico” sobre su estado legal. </w:t>
      </w:r>
      <w:r w:rsidR="00BD2A17" w:rsidRPr="008A084A">
        <w:rPr>
          <w:rFonts w:ascii="Cambria" w:hAnsi="Cambria"/>
          <w:color w:val="auto"/>
          <w:sz w:val="20"/>
          <w:szCs w:val="20"/>
        </w:rPr>
        <w:t>Sostuvieron que la desaparición del señor Guachalá le privó de su capacidad de ejercer sus derechos y tener una personalidad jurídica ante el Estado y la sociedad.</w:t>
      </w:r>
    </w:p>
    <w:p w:rsidR="008D051B" w:rsidRPr="008A084A" w:rsidRDefault="008D051B" w:rsidP="00E76B54">
      <w:pPr>
        <w:pStyle w:val="MediumGrid1-Accent21"/>
        <w:ind w:left="0"/>
        <w:rPr>
          <w:rFonts w:ascii="Cambria" w:eastAsia="Times New Roman" w:hAnsi="Cambria"/>
          <w:sz w:val="20"/>
          <w:szCs w:val="20"/>
          <w:u w:color="000000"/>
          <w:lang w:val="es-ES_tradnl" w:eastAsia="es-ES"/>
        </w:rPr>
      </w:pPr>
    </w:p>
    <w:p w:rsidR="008D051B" w:rsidRPr="008A084A" w:rsidRDefault="008D051B" w:rsidP="00007D4C">
      <w:pPr>
        <w:numPr>
          <w:ilvl w:val="0"/>
          <w:numId w:val="55"/>
        </w:numPr>
        <w:jc w:val="both"/>
        <w:rPr>
          <w:rFonts w:ascii="Cambria" w:eastAsia="Times New Roman" w:hAnsi="Cambria"/>
          <w:sz w:val="20"/>
          <w:szCs w:val="20"/>
          <w:u w:color="000000"/>
          <w:lang w:val="es-ES_tradnl" w:eastAsia="es-ES"/>
        </w:rPr>
      </w:pPr>
      <w:r w:rsidRPr="008A084A">
        <w:rPr>
          <w:rFonts w:ascii="Cambria" w:eastAsia="Times New Roman" w:hAnsi="Cambria"/>
          <w:sz w:val="20"/>
          <w:szCs w:val="20"/>
          <w:u w:color="000000"/>
          <w:lang w:val="es-ES_tradnl" w:eastAsia="es-ES"/>
        </w:rPr>
        <w:t>Respecto de la alegada violación de</w:t>
      </w:r>
      <w:r w:rsidR="00E76B54" w:rsidRPr="008A084A">
        <w:rPr>
          <w:rFonts w:ascii="Cambria" w:eastAsia="Times New Roman" w:hAnsi="Cambria"/>
          <w:sz w:val="20"/>
          <w:szCs w:val="20"/>
          <w:u w:color="000000"/>
          <w:lang w:val="es-ES_tradnl" w:eastAsia="es-ES"/>
        </w:rPr>
        <w:t xml:space="preserve"> </w:t>
      </w:r>
      <w:r w:rsidRPr="008A084A">
        <w:rPr>
          <w:rFonts w:ascii="Cambria" w:eastAsia="Times New Roman" w:hAnsi="Cambria"/>
          <w:sz w:val="20"/>
          <w:szCs w:val="20"/>
          <w:u w:color="000000"/>
          <w:lang w:val="es-ES_tradnl" w:eastAsia="es-ES"/>
        </w:rPr>
        <w:t>l</w:t>
      </w:r>
      <w:r w:rsidR="00E76B54" w:rsidRPr="008A084A">
        <w:rPr>
          <w:rFonts w:ascii="Cambria" w:eastAsia="Times New Roman" w:hAnsi="Cambria"/>
          <w:sz w:val="20"/>
          <w:szCs w:val="20"/>
          <w:u w:color="000000"/>
          <w:lang w:val="es-ES_tradnl" w:eastAsia="es-ES"/>
        </w:rPr>
        <w:t>os</w:t>
      </w:r>
      <w:r w:rsidRPr="008A084A">
        <w:rPr>
          <w:rFonts w:ascii="Cambria" w:eastAsia="Times New Roman" w:hAnsi="Cambria"/>
          <w:sz w:val="20"/>
          <w:szCs w:val="20"/>
          <w:u w:color="000000"/>
          <w:lang w:val="es-ES_tradnl" w:eastAsia="es-ES"/>
        </w:rPr>
        <w:t xml:space="preserve"> </w:t>
      </w:r>
      <w:r w:rsidRPr="008A084A">
        <w:rPr>
          <w:rFonts w:ascii="Cambria" w:eastAsia="Times New Roman" w:hAnsi="Cambria"/>
          <w:b/>
          <w:sz w:val="20"/>
          <w:szCs w:val="20"/>
          <w:u w:color="000000"/>
          <w:lang w:val="es-ES_tradnl" w:eastAsia="es-ES"/>
        </w:rPr>
        <w:t>derecho</w:t>
      </w:r>
      <w:r w:rsidR="00E76B54" w:rsidRPr="008A084A">
        <w:rPr>
          <w:rFonts w:ascii="Cambria" w:eastAsia="Times New Roman" w:hAnsi="Cambria"/>
          <w:b/>
          <w:sz w:val="20"/>
          <w:szCs w:val="20"/>
          <w:u w:color="000000"/>
          <w:lang w:val="es-ES_tradnl" w:eastAsia="es-ES"/>
        </w:rPr>
        <w:t>s</w:t>
      </w:r>
      <w:r w:rsidRPr="008A084A">
        <w:rPr>
          <w:rFonts w:ascii="Cambria" w:eastAsia="Times New Roman" w:hAnsi="Cambria"/>
          <w:b/>
          <w:sz w:val="20"/>
          <w:szCs w:val="20"/>
          <w:u w:color="000000"/>
          <w:lang w:val="es-ES_tradnl" w:eastAsia="es-ES"/>
        </w:rPr>
        <w:t xml:space="preserve"> a la</w:t>
      </w:r>
      <w:r w:rsidR="00F15868" w:rsidRPr="008A084A">
        <w:rPr>
          <w:rFonts w:ascii="Cambria" w:eastAsia="Times New Roman" w:hAnsi="Cambria"/>
          <w:b/>
          <w:sz w:val="20"/>
          <w:szCs w:val="20"/>
          <w:u w:color="000000"/>
          <w:lang w:val="es-ES_tradnl" w:eastAsia="es-ES"/>
        </w:rPr>
        <w:t xml:space="preserve"> vida e</w:t>
      </w:r>
      <w:r w:rsidR="008D25CE" w:rsidRPr="008A084A">
        <w:rPr>
          <w:rFonts w:ascii="Cambria" w:eastAsia="Times New Roman" w:hAnsi="Cambria"/>
          <w:b/>
          <w:sz w:val="20"/>
          <w:szCs w:val="20"/>
          <w:u w:color="000000"/>
          <w:lang w:val="es-ES_tradnl" w:eastAsia="es-ES"/>
        </w:rPr>
        <w:t xml:space="preserve"> </w:t>
      </w:r>
      <w:r w:rsidRPr="008A084A">
        <w:rPr>
          <w:rFonts w:ascii="Cambria" w:eastAsia="Times New Roman" w:hAnsi="Cambria"/>
          <w:b/>
          <w:sz w:val="20"/>
          <w:szCs w:val="20"/>
          <w:u w:color="000000"/>
          <w:lang w:val="es-ES_tradnl" w:eastAsia="es-ES"/>
        </w:rPr>
        <w:t>integridad personal</w:t>
      </w:r>
      <w:r w:rsidRPr="008A084A">
        <w:rPr>
          <w:rFonts w:ascii="Cambria" w:eastAsia="Times New Roman" w:hAnsi="Cambria"/>
          <w:sz w:val="20"/>
          <w:szCs w:val="20"/>
          <w:u w:color="000000"/>
          <w:lang w:val="es-ES_tradnl" w:eastAsia="es-ES"/>
        </w:rPr>
        <w:t>, los peticionarios indicaron</w:t>
      </w:r>
      <w:r w:rsidR="00931872" w:rsidRPr="008A084A">
        <w:rPr>
          <w:rFonts w:ascii="Cambria" w:eastAsia="Times New Roman" w:hAnsi="Cambria"/>
          <w:sz w:val="20"/>
          <w:szCs w:val="20"/>
          <w:u w:color="000000"/>
          <w:lang w:val="es-ES_tradnl" w:eastAsia="es-ES"/>
        </w:rPr>
        <w:t xml:space="preserve"> que el Estado </w:t>
      </w:r>
      <w:r w:rsidR="008D25CE" w:rsidRPr="008A084A">
        <w:rPr>
          <w:rFonts w:ascii="Cambria" w:eastAsia="Times New Roman" w:hAnsi="Cambria"/>
          <w:sz w:val="20"/>
          <w:szCs w:val="20"/>
          <w:u w:color="000000"/>
          <w:lang w:val="es-ES_tradnl" w:eastAsia="es-ES"/>
        </w:rPr>
        <w:t>no realizó ninguna acción tendiente a esclarecer lo sucedido al señor Guachalá. Indicaron que de esa manera no</w:t>
      </w:r>
      <w:r w:rsidR="00FD65F6" w:rsidRPr="008A084A">
        <w:rPr>
          <w:rFonts w:ascii="Cambria" w:eastAsia="Times New Roman" w:hAnsi="Cambria"/>
          <w:sz w:val="20"/>
          <w:szCs w:val="20"/>
          <w:u w:color="000000"/>
          <w:lang w:val="es-ES_tradnl" w:eastAsia="es-ES"/>
        </w:rPr>
        <w:t xml:space="preserve"> se</w:t>
      </w:r>
      <w:r w:rsidR="008D25CE" w:rsidRPr="008A084A">
        <w:rPr>
          <w:rFonts w:ascii="Cambria" w:eastAsia="Times New Roman" w:hAnsi="Cambria"/>
          <w:sz w:val="20"/>
          <w:szCs w:val="20"/>
          <w:u w:color="000000"/>
          <w:lang w:val="es-ES_tradnl" w:eastAsia="es-ES"/>
        </w:rPr>
        <w:t xml:space="preserve"> protegieron sus derechos a la vida e integridad personal.</w:t>
      </w:r>
      <w:r w:rsidR="008F20DC" w:rsidRPr="008A084A">
        <w:rPr>
          <w:rFonts w:ascii="Cambria" w:eastAsia="Times New Roman" w:hAnsi="Cambria"/>
          <w:sz w:val="20"/>
          <w:szCs w:val="20"/>
          <w:u w:color="000000"/>
          <w:lang w:val="es-ES_tradnl" w:eastAsia="es-ES"/>
        </w:rPr>
        <w:t xml:space="preserve"> Asimismo, señalaron que dicha omisión estatal, así como la presunta fuga del señor Guachalá, constituye un incumplimiento al deber específico y reforzado de cuidado a personas con discapacidad institucionalizadas. </w:t>
      </w:r>
      <w:r w:rsidR="00A813CA" w:rsidRPr="008A084A">
        <w:rPr>
          <w:rFonts w:ascii="Cambria" w:eastAsia="Times New Roman" w:hAnsi="Cambria"/>
          <w:sz w:val="20"/>
          <w:szCs w:val="20"/>
          <w:u w:color="000000"/>
          <w:lang w:val="es-ES_tradnl" w:eastAsia="es-ES"/>
        </w:rPr>
        <w:t xml:space="preserve">Alegaron </w:t>
      </w:r>
      <w:r w:rsidR="008F20DC" w:rsidRPr="008A084A">
        <w:rPr>
          <w:rFonts w:ascii="Cambria" w:eastAsia="Times New Roman" w:hAnsi="Cambria"/>
          <w:sz w:val="20"/>
          <w:szCs w:val="20"/>
          <w:u w:color="000000"/>
          <w:lang w:val="es-ES_tradnl" w:eastAsia="es-ES"/>
        </w:rPr>
        <w:t>que</w:t>
      </w:r>
      <w:r w:rsidR="00D7301F" w:rsidRPr="008A084A">
        <w:rPr>
          <w:rFonts w:ascii="Cambria" w:eastAsia="Times New Roman" w:hAnsi="Cambria"/>
          <w:sz w:val="20"/>
          <w:szCs w:val="20"/>
          <w:u w:color="000000"/>
          <w:lang w:val="es-ES_tradnl" w:eastAsia="es-ES"/>
        </w:rPr>
        <w:t xml:space="preserve"> por el estado de salud del señor Guachalá el personal médico tenía la obligación de vigilancia. </w:t>
      </w:r>
    </w:p>
    <w:p w:rsidR="008D051B" w:rsidRPr="008A084A" w:rsidRDefault="008D051B" w:rsidP="00BD2A17">
      <w:pPr>
        <w:pStyle w:val="MediumGrid1-Accent21"/>
        <w:ind w:left="0"/>
        <w:rPr>
          <w:rFonts w:ascii="Cambria" w:eastAsia="Times New Roman" w:hAnsi="Cambria"/>
          <w:sz w:val="20"/>
          <w:szCs w:val="20"/>
          <w:u w:color="000000"/>
          <w:lang w:val="es-ES_tradnl" w:eastAsia="es-ES"/>
        </w:rPr>
      </w:pPr>
    </w:p>
    <w:p w:rsidR="00D7301F" w:rsidRPr="008A084A" w:rsidRDefault="008D051B" w:rsidP="00007D4C">
      <w:pPr>
        <w:numPr>
          <w:ilvl w:val="0"/>
          <w:numId w:val="55"/>
        </w:numPr>
        <w:jc w:val="both"/>
        <w:rPr>
          <w:rFonts w:ascii="Cambria" w:eastAsia="Times New Roman" w:hAnsi="Cambria"/>
          <w:sz w:val="20"/>
          <w:szCs w:val="20"/>
          <w:u w:color="000000"/>
          <w:lang w:val="es-ES_tradnl" w:eastAsia="es-ES"/>
        </w:rPr>
      </w:pPr>
      <w:r w:rsidRPr="008A084A">
        <w:rPr>
          <w:rFonts w:ascii="Cambria" w:eastAsia="Times New Roman" w:hAnsi="Cambria"/>
          <w:sz w:val="20"/>
          <w:szCs w:val="20"/>
          <w:u w:color="000000"/>
          <w:lang w:val="es-ES_tradnl" w:eastAsia="es-ES"/>
        </w:rPr>
        <w:t xml:space="preserve">Respecto de la alegada violación de los </w:t>
      </w:r>
      <w:r w:rsidRPr="008A084A">
        <w:rPr>
          <w:rFonts w:ascii="Cambria" w:eastAsia="Times New Roman" w:hAnsi="Cambria"/>
          <w:b/>
          <w:sz w:val="20"/>
          <w:szCs w:val="20"/>
          <w:u w:color="000000"/>
          <w:lang w:val="es-ES_tradnl" w:eastAsia="es-ES"/>
        </w:rPr>
        <w:t>derechos a las garantías judiciales y protección judicial</w:t>
      </w:r>
      <w:r w:rsidRPr="008A084A">
        <w:rPr>
          <w:rFonts w:ascii="Cambria" w:eastAsia="Times New Roman" w:hAnsi="Cambria"/>
          <w:sz w:val="20"/>
          <w:szCs w:val="20"/>
          <w:u w:color="000000"/>
          <w:lang w:val="es-ES_tradnl" w:eastAsia="es-ES"/>
        </w:rPr>
        <w:t xml:space="preserve">, </w:t>
      </w:r>
      <w:r w:rsidR="00AF2AD4" w:rsidRPr="008A084A">
        <w:rPr>
          <w:rFonts w:ascii="Cambria" w:eastAsia="Times New Roman" w:hAnsi="Cambria"/>
          <w:sz w:val="20"/>
          <w:szCs w:val="20"/>
          <w:u w:color="000000"/>
          <w:lang w:val="es-ES_tradnl" w:eastAsia="es-ES"/>
        </w:rPr>
        <w:t xml:space="preserve">los peticionarios explicaron que a pesar de que </w:t>
      </w:r>
      <w:r w:rsidR="004C6FF2" w:rsidRPr="008A084A">
        <w:rPr>
          <w:rFonts w:ascii="Cambria" w:eastAsia="Times New Roman" w:hAnsi="Cambria"/>
          <w:sz w:val="20"/>
          <w:szCs w:val="20"/>
          <w:u w:color="000000"/>
          <w:lang w:val="es-ES_tradnl" w:eastAsia="es-ES"/>
        </w:rPr>
        <w:t xml:space="preserve">conforme a la versión del </w:t>
      </w:r>
      <w:r w:rsidR="00AF2AD4" w:rsidRPr="008A084A">
        <w:rPr>
          <w:rFonts w:ascii="Cambria" w:eastAsia="Times New Roman" w:hAnsi="Cambria"/>
          <w:sz w:val="20"/>
          <w:szCs w:val="20"/>
          <w:u w:color="000000"/>
          <w:lang w:val="es-ES_tradnl" w:eastAsia="es-ES"/>
        </w:rPr>
        <w:t>Estado el señor Guachalá se escapó del hospital el 17 de enero de 2004, recién dos días después informaron de lo sucedido a la policía. L</w:t>
      </w:r>
      <w:r w:rsidRPr="008A084A">
        <w:rPr>
          <w:rFonts w:ascii="Cambria" w:eastAsia="Times New Roman" w:hAnsi="Cambria"/>
          <w:sz w:val="20"/>
          <w:szCs w:val="20"/>
          <w:u w:color="000000"/>
          <w:lang w:val="es-ES_tradnl" w:eastAsia="es-ES"/>
        </w:rPr>
        <w:t>os peticionarios manifestaron</w:t>
      </w:r>
      <w:r w:rsidR="00E95184" w:rsidRPr="008A084A">
        <w:rPr>
          <w:rFonts w:ascii="Cambria" w:eastAsia="Times New Roman" w:hAnsi="Cambria"/>
          <w:sz w:val="20"/>
          <w:szCs w:val="20"/>
          <w:u w:color="000000"/>
          <w:lang w:val="es-ES_tradnl" w:eastAsia="es-ES"/>
        </w:rPr>
        <w:t xml:space="preserve"> que ninguno de los recursos presentados </w:t>
      </w:r>
      <w:r w:rsidR="00AF2AD4" w:rsidRPr="008A084A">
        <w:rPr>
          <w:rFonts w:ascii="Cambria" w:eastAsia="Times New Roman" w:hAnsi="Cambria"/>
          <w:sz w:val="20"/>
          <w:szCs w:val="20"/>
          <w:u w:color="000000"/>
          <w:lang w:val="es-ES_tradnl" w:eastAsia="es-ES"/>
        </w:rPr>
        <w:t xml:space="preserve">(una denuncia penal, una denuncia ante la Defensoría del Pueblo y una acción de hábeas corpus) </w:t>
      </w:r>
      <w:r w:rsidR="00E95184" w:rsidRPr="008A084A">
        <w:rPr>
          <w:rFonts w:ascii="Cambria" w:eastAsia="Times New Roman" w:hAnsi="Cambria"/>
          <w:sz w:val="20"/>
          <w:szCs w:val="20"/>
          <w:u w:color="000000"/>
          <w:lang w:val="es-ES_tradnl" w:eastAsia="es-ES"/>
        </w:rPr>
        <w:t>esclareció lo sucedido con el señor Guachalá ni determinó su paradero. Señalaron que las diversas autoridades no adoptaron mayores diligencias para localizar al señor Gu</w:t>
      </w:r>
      <w:r w:rsidR="00411CA3" w:rsidRPr="008A084A">
        <w:rPr>
          <w:rFonts w:ascii="Cambria" w:eastAsia="Times New Roman" w:hAnsi="Cambria"/>
          <w:sz w:val="20"/>
          <w:szCs w:val="20"/>
          <w:u w:color="000000"/>
          <w:lang w:val="es-ES_tradnl" w:eastAsia="es-ES"/>
        </w:rPr>
        <w:t>a</w:t>
      </w:r>
      <w:r w:rsidR="00E95184" w:rsidRPr="008A084A">
        <w:rPr>
          <w:rFonts w:ascii="Cambria" w:eastAsia="Times New Roman" w:hAnsi="Cambria"/>
          <w:sz w:val="20"/>
          <w:szCs w:val="20"/>
          <w:u w:color="000000"/>
          <w:lang w:val="es-ES_tradnl" w:eastAsia="es-ES"/>
        </w:rPr>
        <w:t>chalá, por lo que los recursos no resultaron adecuados ni efectivos.</w:t>
      </w:r>
      <w:r w:rsidR="00D7301F" w:rsidRPr="008A084A">
        <w:rPr>
          <w:rFonts w:ascii="Cambria" w:eastAsia="Times New Roman" w:hAnsi="Cambria"/>
          <w:sz w:val="20"/>
          <w:szCs w:val="20"/>
          <w:u w:color="000000"/>
          <w:lang w:val="es-ES_tradnl" w:eastAsia="es-ES"/>
        </w:rPr>
        <w:t xml:space="preserve"> </w:t>
      </w:r>
    </w:p>
    <w:p w:rsidR="00D7301F" w:rsidRPr="008A084A" w:rsidRDefault="00D7301F" w:rsidP="00D7301F">
      <w:pPr>
        <w:pStyle w:val="ColorfulList-Accent11"/>
        <w:rPr>
          <w:rFonts w:ascii="Cambria" w:eastAsia="Times New Roman" w:hAnsi="Cambria"/>
          <w:sz w:val="20"/>
          <w:szCs w:val="20"/>
          <w:u w:color="000000"/>
          <w:lang w:val="es-ES_tradnl" w:eastAsia="es-ES"/>
        </w:rPr>
      </w:pPr>
    </w:p>
    <w:p w:rsidR="008D051B" w:rsidRPr="008A084A" w:rsidRDefault="00D7301F" w:rsidP="001C731C">
      <w:pPr>
        <w:numPr>
          <w:ilvl w:val="0"/>
          <w:numId w:val="55"/>
        </w:numPr>
        <w:jc w:val="both"/>
        <w:rPr>
          <w:rFonts w:ascii="Cambria" w:eastAsia="Times New Roman" w:hAnsi="Cambria"/>
          <w:sz w:val="20"/>
          <w:szCs w:val="20"/>
          <w:u w:color="000000"/>
          <w:lang w:val="es-ES_tradnl" w:eastAsia="es-ES"/>
        </w:rPr>
      </w:pPr>
      <w:r w:rsidRPr="008A084A">
        <w:rPr>
          <w:rFonts w:ascii="Cambria" w:eastAsia="Times New Roman" w:hAnsi="Cambria"/>
          <w:sz w:val="20"/>
          <w:szCs w:val="20"/>
          <w:u w:color="000000"/>
          <w:lang w:val="es-ES_tradnl" w:eastAsia="es-ES"/>
        </w:rPr>
        <w:t>Agregaron que a la fecha no se ha iniciado</w:t>
      </w:r>
      <w:r w:rsidR="00BC3BA1" w:rsidRPr="008A084A">
        <w:rPr>
          <w:rFonts w:ascii="Cambria" w:eastAsia="Times New Roman" w:hAnsi="Cambria"/>
          <w:sz w:val="20"/>
          <w:szCs w:val="20"/>
          <w:u w:color="000000"/>
          <w:lang w:val="es-ES_tradnl" w:eastAsia="es-ES"/>
        </w:rPr>
        <w:t xml:space="preserve"> una investigación </w:t>
      </w:r>
      <w:r w:rsidRPr="008A084A">
        <w:rPr>
          <w:rFonts w:ascii="Cambria" w:eastAsia="Times New Roman" w:hAnsi="Cambria"/>
          <w:sz w:val="20"/>
          <w:szCs w:val="20"/>
          <w:u w:color="000000"/>
          <w:lang w:val="es-ES_tradnl" w:eastAsia="es-ES"/>
        </w:rPr>
        <w:t>bajo el delito de desaparición forzada. Indicaron que ello conlleva a la falta de esclarecimiento de la verdad histórica respecto a los hechos que permitan identificar a los funcionarios responsables de su cuidado.</w:t>
      </w:r>
      <w:r w:rsidR="001C731C" w:rsidRPr="008A084A">
        <w:rPr>
          <w:rFonts w:ascii="Cambria" w:eastAsia="Times New Roman" w:hAnsi="Cambria"/>
          <w:sz w:val="20"/>
          <w:szCs w:val="20"/>
          <w:u w:color="000000"/>
          <w:lang w:val="es-ES_tradnl" w:eastAsia="es-ES"/>
        </w:rPr>
        <w:t xml:space="preserve"> Sostuvieron que actualmente el Estado investiga todos los casos de desaparición</w:t>
      </w:r>
      <w:r w:rsidR="006623F4" w:rsidRPr="008A084A">
        <w:rPr>
          <w:rFonts w:ascii="Cambria" w:eastAsia="Times New Roman" w:hAnsi="Cambria"/>
          <w:sz w:val="20"/>
          <w:szCs w:val="20"/>
          <w:u w:color="000000"/>
          <w:lang w:val="es-ES_tradnl" w:eastAsia="es-ES"/>
        </w:rPr>
        <w:t xml:space="preserve"> de personas</w:t>
      </w:r>
      <w:r w:rsidR="001C731C" w:rsidRPr="008A084A">
        <w:rPr>
          <w:rFonts w:ascii="Cambria" w:eastAsia="Times New Roman" w:hAnsi="Cambria"/>
          <w:sz w:val="20"/>
          <w:szCs w:val="20"/>
          <w:u w:color="000000"/>
          <w:lang w:val="es-ES_tradnl" w:eastAsia="es-ES"/>
        </w:rPr>
        <w:t>, incluyendo el del señor Guachalá bajo un proce</w:t>
      </w:r>
      <w:r w:rsidR="006623F4" w:rsidRPr="008A084A">
        <w:rPr>
          <w:rFonts w:ascii="Cambria" w:eastAsia="Times New Roman" w:hAnsi="Cambria"/>
          <w:sz w:val="20"/>
          <w:szCs w:val="20"/>
          <w:u w:color="000000"/>
          <w:lang w:val="es-ES_tradnl" w:eastAsia="es-ES"/>
        </w:rPr>
        <w:t>dimiento</w:t>
      </w:r>
      <w:r w:rsidR="001C731C" w:rsidRPr="008A084A">
        <w:rPr>
          <w:rFonts w:ascii="Cambria" w:eastAsia="Times New Roman" w:hAnsi="Cambria"/>
          <w:sz w:val="20"/>
          <w:szCs w:val="20"/>
          <w:u w:color="000000"/>
          <w:lang w:val="es-ES_tradnl" w:eastAsia="es-ES"/>
        </w:rPr>
        <w:t xml:space="preserve"> administrativo</w:t>
      </w:r>
      <w:r w:rsidR="006623F4" w:rsidRPr="008A084A">
        <w:rPr>
          <w:rFonts w:ascii="Cambria" w:eastAsia="Times New Roman" w:hAnsi="Cambria"/>
          <w:sz w:val="20"/>
          <w:szCs w:val="20"/>
          <w:u w:color="000000"/>
          <w:lang w:val="es-ES_tradnl" w:eastAsia="es-ES"/>
        </w:rPr>
        <w:t>. Indicaron que el procedimiento administrativo de búsqueda del paradero del señor Guachalá</w:t>
      </w:r>
      <w:r w:rsidR="001C731C" w:rsidRPr="008A084A">
        <w:rPr>
          <w:rFonts w:ascii="Cambria" w:eastAsia="Times New Roman" w:hAnsi="Cambria"/>
          <w:sz w:val="20"/>
          <w:szCs w:val="20"/>
          <w:u w:color="000000"/>
          <w:lang w:val="es-ES_tradnl" w:eastAsia="es-ES"/>
        </w:rPr>
        <w:t xml:space="preserve"> se mantiene abierto a la fecha. Sostuvieron que dicho procedimiento no puede ser considerado como un recurso idóneo en tanto en el presente caso se está frente a una situación específica de desaparición de una persona que se encontraba bajo la protección y custodia del Estado.</w:t>
      </w:r>
    </w:p>
    <w:p w:rsidR="00DA5A2B" w:rsidRDefault="00DA5A2B" w:rsidP="00DA5A2B">
      <w:pPr>
        <w:jc w:val="both"/>
        <w:rPr>
          <w:rFonts w:ascii="Cambria" w:eastAsia="Times New Roman" w:hAnsi="Cambria"/>
          <w:sz w:val="20"/>
          <w:szCs w:val="20"/>
          <w:u w:color="000000"/>
          <w:lang w:val="es-ES_tradnl" w:eastAsia="es-ES"/>
        </w:rPr>
      </w:pPr>
    </w:p>
    <w:p w:rsidR="00671C11" w:rsidRDefault="00671C11" w:rsidP="00DA5A2B">
      <w:pPr>
        <w:jc w:val="both"/>
        <w:rPr>
          <w:rFonts w:ascii="Cambria" w:eastAsia="Times New Roman" w:hAnsi="Cambria"/>
          <w:sz w:val="20"/>
          <w:szCs w:val="20"/>
          <w:u w:color="000000"/>
          <w:lang w:val="es-ES_tradnl" w:eastAsia="es-ES"/>
        </w:rPr>
      </w:pPr>
    </w:p>
    <w:p w:rsidR="00DA5A2B" w:rsidRPr="008A084A" w:rsidRDefault="00DA5A2B" w:rsidP="00007D4C">
      <w:pPr>
        <w:numPr>
          <w:ilvl w:val="0"/>
          <w:numId w:val="55"/>
        </w:numPr>
        <w:jc w:val="both"/>
        <w:rPr>
          <w:rFonts w:ascii="Cambria" w:eastAsia="Times New Roman" w:hAnsi="Cambria"/>
          <w:sz w:val="20"/>
          <w:szCs w:val="20"/>
          <w:u w:color="000000"/>
          <w:lang w:val="es-ES_tradnl" w:eastAsia="es-ES"/>
        </w:rPr>
      </w:pPr>
      <w:r w:rsidRPr="008A084A">
        <w:rPr>
          <w:rFonts w:ascii="Cambria" w:eastAsia="Times New Roman" w:hAnsi="Cambria"/>
          <w:sz w:val="20"/>
          <w:szCs w:val="20"/>
          <w:u w:color="000000"/>
          <w:lang w:val="es-ES_tradnl" w:eastAsia="es-ES"/>
        </w:rPr>
        <w:lastRenderedPageBreak/>
        <w:t xml:space="preserve">Los peticionarios también alegaron que el Estado incumplió su </w:t>
      </w:r>
      <w:r w:rsidRPr="008A084A">
        <w:rPr>
          <w:rFonts w:ascii="Cambria" w:eastAsia="Times New Roman" w:hAnsi="Cambria"/>
          <w:b/>
          <w:sz w:val="20"/>
          <w:szCs w:val="20"/>
          <w:u w:color="000000"/>
          <w:lang w:val="es-ES_tradnl" w:eastAsia="es-ES"/>
        </w:rPr>
        <w:t>deber de adoptar disposiciones de derecho interno</w:t>
      </w:r>
      <w:r w:rsidRPr="008A084A">
        <w:rPr>
          <w:rFonts w:ascii="Cambria" w:eastAsia="Times New Roman" w:hAnsi="Cambria"/>
          <w:sz w:val="20"/>
          <w:szCs w:val="20"/>
          <w:u w:color="000000"/>
          <w:lang w:val="es-ES_tradnl" w:eastAsia="es-ES"/>
        </w:rPr>
        <w:t xml:space="preserve">. </w:t>
      </w:r>
      <w:r w:rsidR="00261335" w:rsidRPr="008A084A">
        <w:rPr>
          <w:rFonts w:ascii="Cambria" w:eastAsia="Times New Roman" w:hAnsi="Cambria"/>
          <w:sz w:val="20"/>
          <w:szCs w:val="20"/>
          <w:u w:color="000000"/>
          <w:lang w:val="es-ES_tradnl" w:eastAsia="es-ES"/>
        </w:rPr>
        <w:t>Ello debido a la inexistencia de una norma que permita exigir el cumplimiento de la resolución del Tribunal Constitucional en el marco del recur</w:t>
      </w:r>
      <w:r w:rsidR="00B649B7" w:rsidRPr="008A084A">
        <w:rPr>
          <w:rFonts w:ascii="Cambria" w:eastAsia="Times New Roman" w:hAnsi="Cambria"/>
          <w:sz w:val="20"/>
          <w:szCs w:val="20"/>
          <w:u w:color="000000"/>
          <w:lang w:val="es-ES_tradnl" w:eastAsia="es-ES"/>
        </w:rPr>
        <w:t xml:space="preserve">so de hábeas corpus presentado. Señalaron que </w:t>
      </w:r>
      <w:r w:rsidR="001A746B" w:rsidRPr="008A084A">
        <w:rPr>
          <w:rFonts w:ascii="Cambria" w:eastAsia="Times New Roman" w:hAnsi="Cambria"/>
          <w:sz w:val="20"/>
          <w:szCs w:val="20"/>
          <w:u w:color="000000"/>
          <w:lang w:val="es-ES_tradnl" w:eastAsia="es-ES"/>
        </w:rPr>
        <w:t xml:space="preserve">la acción por incumplimiento de las sentencias y dictámenes constitucionales establecida en la Ley de Garantías Jurisdiccionales y Control Constitucional no es adecuada ni efectiva. Ello debido a que “iniciar una acción ante el mismo organismo que emitió la sentencia sería darle una carga desproporcionada a la víctima”. </w:t>
      </w:r>
    </w:p>
    <w:p w:rsidR="00261335" w:rsidRPr="008A084A" w:rsidRDefault="00261335" w:rsidP="00261335">
      <w:pPr>
        <w:jc w:val="both"/>
        <w:rPr>
          <w:rFonts w:ascii="Cambria" w:eastAsia="Times New Roman" w:hAnsi="Cambria"/>
          <w:sz w:val="20"/>
          <w:szCs w:val="20"/>
          <w:u w:color="000000"/>
          <w:lang w:val="es-ES_tradnl" w:eastAsia="es-ES"/>
        </w:rPr>
      </w:pPr>
    </w:p>
    <w:p w:rsidR="00261335" w:rsidRPr="008A084A" w:rsidRDefault="00261335" w:rsidP="00007D4C">
      <w:pPr>
        <w:numPr>
          <w:ilvl w:val="0"/>
          <w:numId w:val="55"/>
        </w:numPr>
        <w:jc w:val="both"/>
        <w:rPr>
          <w:rFonts w:ascii="Cambria" w:eastAsia="Times New Roman" w:hAnsi="Cambria"/>
          <w:sz w:val="20"/>
          <w:szCs w:val="20"/>
          <w:u w:color="000000"/>
          <w:lang w:val="es-ES_tradnl" w:eastAsia="es-ES"/>
        </w:rPr>
      </w:pPr>
      <w:r w:rsidRPr="008A084A">
        <w:rPr>
          <w:rFonts w:ascii="Cambria" w:eastAsia="Times New Roman" w:hAnsi="Cambria"/>
          <w:sz w:val="20"/>
          <w:szCs w:val="20"/>
          <w:u w:color="000000"/>
          <w:lang w:val="es-ES_tradnl" w:eastAsia="es-ES"/>
        </w:rPr>
        <w:t xml:space="preserve">Finalmente, los peticionarios alegaron la violación del </w:t>
      </w:r>
      <w:r w:rsidRPr="008A084A">
        <w:rPr>
          <w:rFonts w:ascii="Cambria" w:eastAsia="Times New Roman" w:hAnsi="Cambria"/>
          <w:b/>
          <w:sz w:val="20"/>
          <w:szCs w:val="20"/>
          <w:u w:color="000000"/>
          <w:lang w:val="es-ES_tradnl" w:eastAsia="es-ES"/>
        </w:rPr>
        <w:t>derecho a la integridad personal</w:t>
      </w:r>
      <w:r w:rsidRPr="008A084A">
        <w:rPr>
          <w:rFonts w:ascii="Cambria" w:eastAsia="Times New Roman" w:hAnsi="Cambria"/>
          <w:sz w:val="20"/>
          <w:szCs w:val="20"/>
          <w:u w:color="000000"/>
          <w:lang w:val="es-ES_tradnl" w:eastAsia="es-ES"/>
        </w:rPr>
        <w:t xml:space="preserve"> en perjuicio de l</w:t>
      </w:r>
      <w:r w:rsidR="002D0077" w:rsidRPr="008A084A">
        <w:rPr>
          <w:rFonts w:ascii="Cambria" w:eastAsia="Times New Roman" w:hAnsi="Cambria"/>
          <w:sz w:val="20"/>
          <w:szCs w:val="20"/>
          <w:u w:color="000000"/>
          <w:lang w:val="es-ES_tradnl" w:eastAsia="es-ES"/>
        </w:rPr>
        <w:t xml:space="preserve">os familiares del señor Guachalá: </w:t>
      </w:r>
      <w:r w:rsidR="002D0077" w:rsidRPr="008A084A">
        <w:rPr>
          <w:rFonts w:ascii="Cambria" w:hAnsi="Cambria"/>
          <w:sz w:val="20"/>
          <w:szCs w:val="20"/>
          <w:lang w:val="es-ES"/>
        </w:rPr>
        <w:t>su madre, Zoila Rosario Chimbó Jarro, sus tres hermanas, Martha, Nancy y Alexandra, y su hermano Ángel.</w:t>
      </w:r>
      <w:r w:rsidRPr="008A084A">
        <w:rPr>
          <w:rFonts w:ascii="Cambria" w:eastAsia="Times New Roman" w:hAnsi="Cambria"/>
          <w:sz w:val="20"/>
          <w:szCs w:val="20"/>
          <w:u w:color="000000"/>
          <w:lang w:val="es-ES_tradnl" w:eastAsia="es-ES"/>
        </w:rPr>
        <w:t xml:space="preserve"> </w:t>
      </w:r>
      <w:r w:rsidR="00E63317" w:rsidRPr="008A084A">
        <w:rPr>
          <w:rFonts w:ascii="Cambria" w:eastAsia="Times New Roman" w:hAnsi="Cambria"/>
          <w:sz w:val="20"/>
          <w:szCs w:val="20"/>
          <w:u w:color="000000"/>
          <w:lang w:val="es-ES_tradnl" w:eastAsia="es-ES"/>
        </w:rPr>
        <w:t>Ello como consecuencia de las afectaciones producidas por la desaparición forzada de su hijo, así como por la falta de esclarecimiento de lo sucedido.</w:t>
      </w:r>
    </w:p>
    <w:p w:rsidR="00063B94" w:rsidRPr="008A084A" w:rsidRDefault="00063B94" w:rsidP="00853731">
      <w:pPr>
        <w:pStyle w:val="LightList-Accent51"/>
        <w:ind w:left="0"/>
        <w:rPr>
          <w:color w:val="auto"/>
          <w:sz w:val="20"/>
          <w:szCs w:val="20"/>
          <w:lang w:val="es-ES_tradnl"/>
        </w:rPr>
      </w:pPr>
    </w:p>
    <w:p w:rsidR="009B1199" w:rsidRPr="008A084A" w:rsidRDefault="009B1199" w:rsidP="005A2F94">
      <w:pPr>
        <w:pStyle w:val="Heading2"/>
        <w:numPr>
          <w:ilvl w:val="0"/>
          <w:numId w:val="56"/>
        </w:numPr>
        <w:spacing w:before="0" w:after="0"/>
        <w:rPr>
          <w:rFonts w:ascii="Cambria" w:hAnsi="Cambria"/>
          <w:i w:val="0"/>
          <w:sz w:val="20"/>
          <w:szCs w:val="20"/>
          <w:lang w:val="es-ES_tradnl"/>
        </w:rPr>
      </w:pPr>
      <w:bookmarkStart w:id="19" w:name="_Toc525547500"/>
      <w:r w:rsidRPr="008A084A">
        <w:rPr>
          <w:rFonts w:ascii="Cambria" w:hAnsi="Cambria"/>
          <w:i w:val="0"/>
          <w:sz w:val="20"/>
          <w:szCs w:val="20"/>
          <w:lang w:val="es-ES_tradnl"/>
        </w:rPr>
        <w:t>Posición del Estado</w:t>
      </w:r>
      <w:bookmarkEnd w:id="19"/>
    </w:p>
    <w:p w:rsidR="009B1199" w:rsidRPr="008A084A" w:rsidRDefault="009B1199" w:rsidP="00495600">
      <w:pPr>
        <w:pStyle w:val="LightList-Accent51"/>
        <w:ind w:left="0"/>
        <w:rPr>
          <w:color w:val="auto"/>
          <w:sz w:val="20"/>
          <w:szCs w:val="20"/>
          <w:lang w:val="es-ES_tradnl"/>
        </w:rPr>
      </w:pPr>
    </w:p>
    <w:p w:rsidR="00B927A6" w:rsidRPr="008A084A" w:rsidRDefault="008D051B" w:rsidP="00003382">
      <w:pPr>
        <w:numPr>
          <w:ilvl w:val="0"/>
          <w:numId w:val="55"/>
        </w:numPr>
        <w:jc w:val="both"/>
        <w:rPr>
          <w:rFonts w:ascii="Cambria" w:hAnsi="Cambria"/>
          <w:sz w:val="20"/>
          <w:szCs w:val="20"/>
          <w:lang w:val="es-ES"/>
        </w:rPr>
      </w:pPr>
      <w:r w:rsidRPr="008A084A">
        <w:rPr>
          <w:rFonts w:ascii="Cambria" w:eastAsia="Times New Roman" w:hAnsi="Cambria"/>
          <w:sz w:val="20"/>
          <w:szCs w:val="20"/>
          <w:u w:color="000000"/>
          <w:lang w:val="es-ES_tradnl" w:eastAsia="es-ES"/>
        </w:rPr>
        <w:t>E</w:t>
      </w:r>
      <w:r w:rsidR="007569F0" w:rsidRPr="008A084A">
        <w:rPr>
          <w:rFonts w:ascii="Cambria" w:eastAsia="Times New Roman" w:hAnsi="Cambria"/>
          <w:sz w:val="20"/>
          <w:szCs w:val="20"/>
          <w:u w:color="000000"/>
          <w:lang w:val="es-ES_tradnl" w:eastAsia="es-ES"/>
        </w:rPr>
        <w:t>l</w:t>
      </w:r>
      <w:r w:rsidR="007569F0" w:rsidRPr="008A084A">
        <w:rPr>
          <w:rFonts w:ascii="Cambria" w:hAnsi="Cambria"/>
          <w:sz w:val="20"/>
          <w:szCs w:val="20"/>
          <w:lang w:val="es-ES_tradnl"/>
        </w:rPr>
        <w:t xml:space="preserve"> Estado </w:t>
      </w:r>
      <w:r w:rsidRPr="008A084A">
        <w:rPr>
          <w:rFonts w:ascii="Cambria" w:hAnsi="Cambria"/>
          <w:sz w:val="20"/>
          <w:szCs w:val="20"/>
          <w:lang w:val="es-ES_tradnl"/>
        </w:rPr>
        <w:t xml:space="preserve">alegó que no es responsable de la </w:t>
      </w:r>
      <w:r w:rsidR="00003382" w:rsidRPr="008A084A">
        <w:rPr>
          <w:rFonts w:ascii="Cambria" w:hAnsi="Cambria"/>
          <w:sz w:val="20"/>
          <w:szCs w:val="20"/>
          <w:lang w:val="es-ES_tradnl"/>
        </w:rPr>
        <w:t>desaparición del señor Guachalá</w:t>
      </w:r>
      <w:r w:rsidR="00FC598E" w:rsidRPr="008A084A">
        <w:rPr>
          <w:rFonts w:ascii="Cambria" w:hAnsi="Cambria"/>
          <w:sz w:val="20"/>
          <w:szCs w:val="20"/>
          <w:lang w:val="es-ES_tradnl"/>
        </w:rPr>
        <w:t xml:space="preserve"> del </w:t>
      </w:r>
      <w:r w:rsidR="00FC598E" w:rsidRPr="008A084A">
        <w:rPr>
          <w:rFonts w:ascii="Cambria" w:hAnsi="Cambria"/>
          <w:sz w:val="20"/>
          <w:szCs w:val="20"/>
          <w:lang w:val="es-ES"/>
        </w:rPr>
        <w:t>Hospital Psiquiátrico Julio Endara</w:t>
      </w:r>
      <w:r w:rsidR="00003382" w:rsidRPr="008A084A">
        <w:rPr>
          <w:rFonts w:ascii="Cambria" w:hAnsi="Cambria"/>
          <w:sz w:val="20"/>
          <w:szCs w:val="20"/>
          <w:lang w:val="es-ES_tradnl"/>
        </w:rPr>
        <w:t xml:space="preserve">. </w:t>
      </w:r>
      <w:r w:rsidR="00B9598D" w:rsidRPr="008A084A">
        <w:rPr>
          <w:rFonts w:ascii="Cambria" w:hAnsi="Cambria"/>
          <w:sz w:val="20"/>
          <w:szCs w:val="20"/>
          <w:lang w:val="es-ES_tradnl"/>
        </w:rPr>
        <w:t xml:space="preserve">Explicó </w:t>
      </w:r>
      <w:r w:rsidR="00003382" w:rsidRPr="008A084A">
        <w:rPr>
          <w:rFonts w:ascii="Cambria" w:hAnsi="Cambria"/>
          <w:sz w:val="20"/>
          <w:szCs w:val="20"/>
          <w:lang w:val="es-ES_tradnl"/>
        </w:rPr>
        <w:t xml:space="preserve">que cuando el señor Guachalá ingresó al </w:t>
      </w:r>
      <w:r w:rsidR="00FC598E" w:rsidRPr="008A084A">
        <w:rPr>
          <w:rFonts w:ascii="Cambria" w:hAnsi="Cambria"/>
          <w:sz w:val="20"/>
          <w:szCs w:val="20"/>
          <w:lang w:val="es-ES"/>
        </w:rPr>
        <w:t>h</w:t>
      </w:r>
      <w:r w:rsidR="00003382" w:rsidRPr="008A084A">
        <w:rPr>
          <w:rFonts w:ascii="Cambria" w:hAnsi="Cambria"/>
          <w:sz w:val="20"/>
          <w:szCs w:val="20"/>
          <w:lang w:val="es-ES"/>
        </w:rPr>
        <w:t>ospital, su madre</w:t>
      </w:r>
      <w:r w:rsidR="00B927A6" w:rsidRPr="008A084A">
        <w:rPr>
          <w:rFonts w:ascii="Cambria" w:hAnsi="Cambria"/>
          <w:sz w:val="20"/>
          <w:szCs w:val="20"/>
          <w:lang w:val="es-ES"/>
        </w:rPr>
        <w:t xml:space="preserve"> Zoila </w:t>
      </w:r>
      <w:r w:rsidR="002125A0" w:rsidRPr="008A084A">
        <w:rPr>
          <w:rFonts w:ascii="Cambria" w:hAnsi="Cambria"/>
          <w:sz w:val="20"/>
          <w:szCs w:val="20"/>
          <w:lang w:val="es-ES"/>
        </w:rPr>
        <w:t>Chimbó</w:t>
      </w:r>
      <w:r w:rsidR="00003382" w:rsidRPr="008A084A">
        <w:rPr>
          <w:rFonts w:ascii="Cambria" w:hAnsi="Cambria"/>
          <w:sz w:val="20"/>
          <w:szCs w:val="20"/>
          <w:lang w:val="es-ES"/>
        </w:rPr>
        <w:t xml:space="preserve"> firmó un documento donde se indicó que en caso de “fuga (.</w:t>
      </w:r>
      <w:r w:rsidR="00A5414A" w:rsidRPr="008A084A">
        <w:rPr>
          <w:rFonts w:ascii="Cambria" w:hAnsi="Cambria"/>
          <w:sz w:val="20"/>
          <w:szCs w:val="20"/>
          <w:lang w:val="es-ES"/>
        </w:rPr>
        <w:t>.</w:t>
      </w:r>
      <w:r w:rsidR="00003382" w:rsidRPr="008A084A">
        <w:rPr>
          <w:rFonts w:ascii="Cambria" w:hAnsi="Cambria"/>
          <w:sz w:val="20"/>
          <w:szCs w:val="20"/>
          <w:lang w:val="es-ES"/>
        </w:rPr>
        <w:t>.) no se hace responsable de las consecuencias”.</w:t>
      </w:r>
    </w:p>
    <w:p w:rsidR="00B927A6" w:rsidRPr="008A084A" w:rsidRDefault="00B927A6" w:rsidP="001B07CF">
      <w:pPr>
        <w:ind w:left="720"/>
        <w:jc w:val="both"/>
        <w:rPr>
          <w:rFonts w:ascii="Cambria" w:hAnsi="Cambria"/>
          <w:sz w:val="20"/>
          <w:szCs w:val="20"/>
          <w:lang w:val="es-ES"/>
        </w:rPr>
      </w:pPr>
    </w:p>
    <w:p w:rsidR="00B927A6" w:rsidRPr="008A084A" w:rsidRDefault="00003382" w:rsidP="00003382">
      <w:pPr>
        <w:numPr>
          <w:ilvl w:val="0"/>
          <w:numId w:val="55"/>
        </w:numPr>
        <w:jc w:val="both"/>
        <w:rPr>
          <w:rFonts w:ascii="Cambria" w:hAnsi="Cambria"/>
          <w:sz w:val="20"/>
          <w:szCs w:val="20"/>
          <w:lang w:val="es-ES"/>
        </w:rPr>
      </w:pPr>
      <w:r w:rsidRPr="008A084A">
        <w:rPr>
          <w:rFonts w:ascii="Cambria" w:hAnsi="Cambria"/>
          <w:sz w:val="20"/>
          <w:szCs w:val="20"/>
          <w:lang w:val="es-ES"/>
        </w:rPr>
        <w:t xml:space="preserve">Asimismo, el Estado </w:t>
      </w:r>
      <w:r w:rsidR="00B927A6" w:rsidRPr="008A084A">
        <w:rPr>
          <w:rFonts w:ascii="Cambria" w:hAnsi="Cambria"/>
          <w:sz w:val="20"/>
          <w:szCs w:val="20"/>
          <w:lang w:val="es-ES"/>
        </w:rPr>
        <w:t>sostuvo que las dos veces que ingresó al hospital se</w:t>
      </w:r>
      <w:r w:rsidR="004D3251" w:rsidRPr="008A084A">
        <w:rPr>
          <w:rFonts w:ascii="Cambria" w:hAnsi="Cambria"/>
          <w:sz w:val="20"/>
          <w:szCs w:val="20"/>
          <w:lang w:val="es-ES"/>
        </w:rPr>
        <w:t xml:space="preserve"> le</w:t>
      </w:r>
      <w:r w:rsidR="00B927A6" w:rsidRPr="008A084A">
        <w:rPr>
          <w:rFonts w:ascii="Cambria" w:hAnsi="Cambria"/>
          <w:sz w:val="20"/>
          <w:szCs w:val="20"/>
          <w:lang w:val="es-ES"/>
        </w:rPr>
        <w:t xml:space="preserve"> brindó al señor Guachalá todos los servicios de salud correspondientes. </w:t>
      </w:r>
      <w:r w:rsidR="00BD7B2D" w:rsidRPr="008A084A">
        <w:rPr>
          <w:rFonts w:ascii="Cambria" w:hAnsi="Cambria"/>
          <w:sz w:val="20"/>
          <w:szCs w:val="20"/>
          <w:lang w:val="es-ES"/>
        </w:rPr>
        <w:t xml:space="preserve">Sostuvo que la hospitalización del señor Guachalá </w:t>
      </w:r>
      <w:r w:rsidR="006864AD" w:rsidRPr="008A084A">
        <w:rPr>
          <w:rFonts w:ascii="Cambria" w:hAnsi="Cambria"/>
          <w:sz w:val="20"/>
          <w:szCs w:val="20"/>
          <w:lang w:val="es-ES"/>
        </w:rPr>
        <w:t>cumplió con los estándares establecidos en los “Principios y buenas prácticas de las personas privadas de libertad en las Américas” adoptado</w:t>
      </w:r>
      <w:r w:rsidR="00D72DE5" w:rsidRPr="008A084A">
        <w:rPr>
          <w:rFonts w:ascii="Cambria" w:hAnsi="Cambria"/>
          <w:sz w:val="20"/>
          <w:szCs w:val="20"/>
          <w:lang w:val="es-ES"/>
        </w:rPr>
        <w:t>s</w:t>
      </w:r>
      <w:r w:rsidR="006864AD" w:rsidRPr="008A084A">
        <w:rPr>
          <w:rFonts w:ascii="Cambria" w:hAnsi="Cambria"/>
          <w:sz w:val="20"/>
          <w:szCs w:val="20"/>
          <w:lang w:val="es-ES"/>
        </w:rPr>
        <w:t xml:space="preserve"> por la CIDH. Ello debido a que el internamiento del señor Guachalá se dio luego de un minucioso análisis de su estado de salud</w:t>
      </w:r>
      <w:r w:rsidR="00C72412" w:rsidRPr="008A084A">
        <w:rPr>
          <w:rFonts w:ascii="Cambria" w:hAnsi="Cambria"/>
          <w:sz w:val="20"/>
          <w:szCs w:val="20"/>
          <w:lang w:val="es-ES"/>
        </w:rPr>
        <w:t>, así como de los riesgos que tal estado generaba para él mismo y para terceras personas</w:t>
      </w:r>
      <w:r w:rsidR="006864AD" w:rsidRPr="008A084A">
        <w:rPr>
          <w:rFonts w:ascii="Cambria" w:hAnsi="Cambria"/>
          <w:sz w:val="20"/>
          <w:szCs w:val="20"/>
          <w:lang w:val="es-ES"/>
        </w:rPr>
        <w:t xml:space="preserve">. </w:t>
      </w:r>
      <w:r w:rsidR="00FC598E" w:rsidRPr="008A084A">
        <w:rPr>
          <w:rFonts w:ascii="Cambria" w:hAnsi="Cambria"/>
          <w:sz w:val="20"/>
          <w:szCs w:val="20"/>
          <w:lang w:val="es-ES"/>
        </w:rPr>
        <w:t xml:space="preserve">Sostuvo que en su segundo ingreso, el señor Guachalá estuvo sedado “para poder controlar su estado de salud, motivo por el cual su madre (…) firmó la autorización médica como su representante legal”. </w:t>
      </w:r>
      <w:r w:rsidR="00BD7B2D" w:rsidRPr="008A084A">
        <w:rPr>
          <w:rFonts w:ascii="Cambria" w:hAnsi="Cambria"/>
          <w:sz w:val="20"/>
          <w:szCs w:val="20"/>
          <w:lang w:val="es-ES"/>
        </w:rPr>
        <w:t>Agregó</w:t>
      </w:r>
      <w:r w:rsidR="00B927A6" w:rsidRPr="008A084A">
        <w:rPr>
          <w:rFonts w:ascii="Cambria" w:hAnsi="Cambria"/>
          <w:sz w:val="20"/>
          <w:szCs w:val="20"/>
          <w:lang w:val="es-ES"/>
        </w:rPr>
        <w:t xml:space="preserve"> que se informó periódicamente a la señora </w:t>
      </w:r>
      <w:r w:rsidR="002125A0" w:rsidRPr="008A084A">
        <w:rPr>
          <w:rFonts w:ascii="Cambria" w:hAnsi="Cambria"/>
          <w:sz w:val="20"/>
          <w:szCs w:val="20"/>
          <w:lang w:val="es-ES"/>
        </w:rPr>
        <w:t>Chimbó</w:t>
      </w:r>
      <w:r w:rsidR="00B927A6" w:rsidRPr="008A084A">
        <w:rPr>
          <w:rFonts w:ascii="Cambria" w:hAnsi="Cambria"/>
          <w:sz w:val="20"/>
          <w:szCs w:val="20"/>
          <w:lang w:val="es-ES"/>
        </w:rPr>
        <w:t xml:space="preserve"> sobre el estado de su hijo. </w:t>
      </w:r>
    </w:p>
    <w:p w:rsidR="00B927A6" w:rsidRPr="008A084A" w:rsidRDefault="00B927A6" w:rsidP="00B927A6">
      <w:pPr>
        <w:pStyle w:val="ColorfulList-Accent11"/>
        <w:rPr>
          <w:rFonts w:ascii="Cambria" w:hAnsi="Cambria"/>
          <w:sz w:val="20"/>
          <w:szCs w:val="20"/>
          <w:lang w:val="es-ES"/>
        </w:rPr>
      </w:pPr>
    </w:p>
    <w:p w:rsidR="00926A10" w:rsidRPr="008A084A" w:rsidRDefault="00B927A6" w:rsidP="005C76C4">
      <w:pPr>
        <w:numPr>
          <w:ilvl w:val="0"/>
          <w:numId w:val="55"/>
        </w:numPr>
        <w:jc w:val="both"/>
        <w:rPr>
          <w:rFonts w:ascii="Cambria" w:hAnsi="Cambria"/>
          <w:sz w:val="20"/>
          <w:szCs w:val="20"/>
          <w:lang w:val="es-ES"/>
        </w:rPr>
      </w:pPr>
      <w:r w:rsidRPr="008A084A">
        <w:rPr>
          <w:rFonts w:ascii="Cambria" w:hAnsi="Cambria"/>
          <w:sz w:val="20"/>
          <w:szCs w:val="20"/>
          <w:lang w:val="es-ES"/>
        </w:rPr>
        <w:t xml:space="preserve">El Estado </w:t>
      </w:r>
      <w:r w:rsidR="009A23E6" w:rsidRPr="008A084A">
        <w:rPr>
          <w:rFonts w:ascii="Cambria" w:hAnsi="Cambria"/>
          <w:sz w:val="20"/>
          <w:szCs w:val="20"/>
          <w:lang w:val="es-ES"/>
        </w:rPr>
        <w:t xml:space="preserve">indicó que </w:t>
      </w:r>
      <w:r w:rsidRPr="008A084A">
        <w:rPr>
          <w:rFonts w:ascii="Cambria" w:hAnsi="Cambria"/>
          <w:sz w:val="20"/>
          <w:szCs w:val="20"/>
          <w:lang w:val="es-ES"/>
        </w:rPr>
        <w:t>el 17 de enero de 2004 el señor Guachalá “</w:t>
      </w:r>
      <w:r w:rsidR="005032AA" w:rsidRPr="008A084A">
        <w:rPr>
          <w:rFonts w:ascii="Cambria" w:hAnsi="Cambria"/>
          <w:sz w:val="20"/>
          <w:szCs w:val="20"/>
          <w:lang w:val="es-ES"/>
        </w:rPr>
        <w:t>se escapó del centro psiquiátrico mientras el auxiliar de enfermería atendía a otro paciente</w:t>
      </w:r>
      <w:r w:rsidRPr="008A084A">
        <w:rPr>
          <w:rFonts w:ascii="Cambria" w:hAnsi="Cambria"/>
          <w:sz w:val="20"/>
          <w:szCs w:val="20"/>
          <w:lang w:val="es-ES"/>
        </w:rPr>
        <w:t>”. Al respecto, sostuvo que</w:t>
      </w:r>
      <w:r w:rsidR="00AB7645" w:rsidRPr="008A084A">
        <w:rPr>
          <w:rFonts w:ascii="Cambria" w:hAnsi="Cambria"/>
          <w:sz w:val="20"/>
          <w:szCs w:val="20"/>
          <w:lang w:val="es-ES"/>
        </w:rPr>
        <w:t>, a pesar de contar con guardias de seguridad,</w:t>
      </w:r>
      <w:r w:rsidRPr="008A084A">
        <w:rPr>
          <w:rFonts w:ascii="Cambria" w:hAnsi="Cambria"/>
          <w:sz w:val="20"/>
          <w:szCs w:val="20"/>
          <w:lang w:val="es-ES"/>
        </w:rPr>
        <w:t xml:space="preserve"> dicho centro “es diseñado de manera tal que los internos no sientan encierro por lo que poseía espacios abiertos”. </w:t>
      </w:r>
      <w:r w:rsidR="00926A10" w:rsidRPr="008A084A">
        <w:rPr>
          <w:rFonts w:ascii="Cambria" w:hAnsi="Cambria"/>
          <w:sz w:val="20"/>
          <w:szCs w:val="20"/>
          <w:lang w:val="es-ES"/>
        </w:rPr>
        <w:t xml:space="preserve">El Estado indicó que la “fuga de </w:t>
      </w:r>
      <w:r w:rsidR="00B13304" w:rsidRPr="008A084A">
        <w:rPr>
          <w:rFonts w:ascii="Cambria" w:hAnsi="Cambria"/>
          <w:sz w:val="20"/>
          <w:szCs w:val="20"/>
          <w:lang w:val="es-ES"/>
        </w:rPr>
        <w:t>pacientes en centros psiquiátricos constituyen un reto mayor de salud pública en varios países del mundo</w:t>
      </w:r>
      <w:r w:rsidR="00926A10" w:rsidRPr="008A084A">
        <w:rPr>
          <w:rFonts w:ascii="Cambria" w:hAnsi="Cambria"/>
          <w:sz w:val="20"/>
          <w:szCs w:val="20"/>
          <w:lang w:val="es-ES"/>
        </w:rPr>
        <w:t>”</w:t>
      </w:r>
      <w:r w:rsidR="00B13304" w:rsidRPr="008A084A">
        <w:rPr>
          <w:rFonts w:ascii="Cambria" w:hAnsi="Cambria"/>
          <w:sz w:val="20"/>
          <w:szCs w:val="20"/>
          <w:lang w:val="es-ES"/>
        </w:rPr>
        <w:t>. Sostuvo que en consecuencia, “personas con factores psiquiátricos, internadas en instituciones especializadas son propensas a fugarse (…) por lo que resulta imposible evitar por completo el riesgo de fuga, debido a las condiciones de este tipo de pacientes”.</w:t>
      </w:r>
    </w:p>
    <w:p w:rsidR="00926A10" w:rsidRPr="008A084A" w:rsidRDefault="00926A10" w:rsidP="00926A10">
      <w:pPr>
        <w:pStyle w:val="ColorfulList-Accent11"/>
        <w:rPr>
          <w:rFonts w:ascii="Cambria" w:hAnsi="Cambria"/>
          <w:sz w:val="20"/>
          <w:szCs w:val="20"/>
          <w:lang w:val="es-ES"/>
        </w:rPr>
      </w:pPr>
    </w:p>
    <w:p w:rsidR="00341512" w:rsidRPr="008A084A" w:rsidRDefault="00B927A6" w:rsidP="005C76C4">
      <w:pPr>
        <w:numPr>
          <w:ilvl w:val="0"/>
          <w:numId w:val="55"/>
        </w:numPr>
        <w:jc w:val="both"/>
        <w:rPr>
          <w:rFonts w:ascii="Cambria" w:hAnsi="Cambria"/>
          <w:sz w:val="20"/>
          <w:szCs w:val="20"/>
          <w:lang w:val="es-ES"/>
        </w:rPr>
      </w:pPr>
      <w:r w:rsidRPr="008A084A">
        <w:rPr>
          <w:rFonts w:ascii="Cambria" w:hAnsi="Cambria"/>
          <w:sz w:val="20"/>
          <w:szCs w:val="20"/>
          <w:lang w:val="es-ES"/>
        </w:rPr>
        <w:t xml:space="preserve">Sostuvo que sin perjuicio de ello, el personal del hospital adoptó diversas medidas de búsqueda a efectos de localizar al señor Guachalá. Indicó que a pesar de dichas acciones, no </w:t>
      </w:r>
      <w:r w:rsidR="00F42A5E" w:rsidRPr="008A084A">
        <w:rPr>
          <w:rFonts w:ascii="Cambria" w:hAnsi="Cambria"/>
          <w:sz w:val="20"/>
          <w:szCs w:val="20"/>
          <w:lang w:val="es-ES"/>
        </w:rPr>
        <w:t xml:space="preserve">fue posible </w:t>
      </w:r>
      <w:r w:rsidRPr="008A084A">
        <w:rPr>
          <w:rFonts w:ascii="Cambria" w:hAnsi="Cambria"/>
          <w:sz w:val="20"/>
          <w:szCs w:val="20"/>
          <w:lang w:val="es-ES"/>
        </w:rPr>
        <w:t xml:space="preserve"> encontrar</w:t>
      </w:r>
      <w:r w:rsidR="001953D1" w:rsidRPr="008A084A">
        <w:rPr>
          <w:rFonts w:ascii="Cambria" w:hAnsi="Cambria"/>
          <w:sz w:val="20"/>
          <w:szCs w:val="20"/>
          <w:lang w:val="es-ES"/>
        </w:rPr>
        <w:t>lo</w:t>
      </w:r>
      <w:r w:rsidRPr="008A084A">
        <w:rPr>
          <w:rFonts w:ascii="Cambria" w:hAnsi="Cambria"/>
          <w:sz w:val="20"/>
          <w:szCs w:val="20"/>
          <w:lang w:val="es-ES"/>
        </w:rPr>
        <w:t xml:space="preserve">. </w:t>
      </w:r>
    </w:p>
    <w:p w:rsidR="00341512" w:rsidRPr="008A084A" w:rsidRDefault="00341512" w:rsidP="00341512">
      <w:pPr>
        <w:pStyle w:val="ColorfulList-Accent11"/>
        <w:rPr>
          <w:rFonts w:ascii="Cambria" w:hAnsi="Cambria"/>
          <w:sz w:val="20"/>
          <w:szCs w:val="20"/>
          <w:lang w:val="es-ES"/>
        </w:rPr>
      </w:pPr>
    </w:p>
    <w:p w:rsidR="005C76C4" w:rsidRPr="008A084A" w:rsidRDefault="005C76C4" w:rsidP="005C76C4">
      <w:pPr>
        <w:numPr>
          <w:ilvl w:val="0"/>
          <w:numId w:val="55"/>
        </w:numPr>
        <w:jc w:val="both"/>
        <w:rPr>
          <w:rFonts w:ascii="Cambria" w:hAnsi="Cambria"/>
          <w:sz w:val="20"/>
          <w:szCs w:val="20"/>
          <w:lang w:val="es-ES"/>
        </w:rPr>
      </w:pPr>
      <w:r w:rsidRPr="008A084A">
        <w:rPr>
          <w:rFonts w:ascii="Cambria" w:hAnsi="Cambria"/>
          <w:sz w:val="20"/>
          <w:szCs w:val="20"/>
          <w:lang w:val="es-ES"/>
        </w:rPr>
        <w:t xml:space="preserve">El Estado también señaló que luego de recibida la denuncia por parte de la señora </w:t>
      </w:r>
      <w:r w:rsidR="002125A0" w:rsidRPr="008A084A">
        <w:rPr>
          <w:rFonts w:ascii="Cambria" w:hAnsi="Cambria"/>
          <w:sz w:val="20"/>
          <w:szCs w:val="20"/>
          <w:lang w:val="es-ES"/>
        </w:rPr>
        <w:t>Chimbó</w:t>
      </w:r>
      <w:r w:rsidRPr="008A084A">
        <w:rPr>
          <w:rFonts w:ascii="Cambria" w:hAnsi="Cambria"/>
          <w:sz w:val="20"/>
          <w:szCs w:val="20"/>
          <w:lang w:val="es-ES"/>
        </w:rPr>
        <w:t xml:space="preserve">, la Fiscalía General realizó diversas diligencias a efectos de localizar al señor Guachalá, tales como la toma de declaraciones, el reconocimiento del lugar de los hechos, solicitud de movimientos migratorios, entre otros. </w:t>
      </w:r>
      <w:r w:rsidR="00341512" w:rsidRPr="008A084A">
        <w:rPr>
          <w:rFonts w:ascii="Cambria" w:hAnsi="Cambria"/>
          <w:sz w:val="20"/>
          <w:szCs w:val="20"/>
          <w:lang w:val="es-ES"/>
        </w:rPr>
        <w:t xml:space="preserve">Respecto del hábeas corpus presentado, el Estado indicó que se cumplió con la resolución </w:t>
      </w:r>
      <w:r w:rsidR="00A72CF8" w:rsidRPr="008A084A">
        <w:rPr>
          <w:rFonts w:ascii="Cambria" w:hAnsi="Cambria"/>
          <w:sz w:val="20"/>
          <w:szCs w:val="20"/>
          <w:lang w:val="es-ES"/>
        </w:rPr>
        <w:t>de la Corte</w:t>
      </w:r>
      <w:r w:rsidR="00341512" w:rsidRPr="008A084A">
        <w:rPr>
          <w:rFonts w:ascii="Cambria" w:hAnsi="Cambria"/>
          <w:sz w:val="20"/>
          <w:szCs w:val="20"/>
          <w:lang w:val="es-ES"/>
        </w:rPr>
        <w:t xml:space="preserve"> Constitucional en tanto se decidió continuar con las investigaciones.</w:t>
      </w:r>
      <w:r w:rsidR="00A72CF8" w:rsidRPr="008A084A">
        <w:rPr>
          <w:rFonts w:ascii="Cambria" w:hAnsi="Cambria"/>
          <w:sz w:val="20"/>
          <w:szCs w:val="20"/>
          <w:lang w:val="es-ES"/>
        </w:rPr>
        <w:t xml:space="preserve"> El Estado también indicó que desde el 2012</w:t>
      </w:r>
      <w:r w:rsidR="00044A35" w:rsidRPr="008A084A">
        <w:rPr>
          <w:rFonts w:ascii="Cambria" w:hAnsi="Cambria"/>
          <w:sz w:val="20"/>
          <w:szCs w:val="20"/>
          <w:lang w:val="es-ES"/>
        </w:rPr>
        <w:t xml:space="preserve"> </w:t>
      </w:r>
      <w:r w:rsidR="00A72CF8" w:rsidRPr="008A084A">
        <w:rPr>
          <w:rFonts w:ascii="Cambria" w:hAnsi="Cambria"/>
          <w:sz w:val="20"/>
          <w:szCs w:val="20"/>
          <w:lang w:val="es-ES"/>
        </w:rPr>
        <w:t xml:space="preserve">cuenta con un “Protocolo de actuación para la búsqueda, investigación y localización de personas desaparecidas, </w:t>
      </w:r>
      <w:proofErr w:type="spellStart"/>
      <w:r w:rsidR="00A72CF8" w:rsidRPr="008A084A">
        <w:rPr>
          <w:rFonts w:ascii="Cambria" w:hAnsi="Cambria"/>
          <w:sz w:val="20"/>
          <w:szCs w:val="20"/>
          <w:lang w:val="es-ES"/>
        </w:rPr>
        <w:t>perdidas</w:t>
      </w:r>
      <w:proofErr w:type="spellEnd"/>
      <w:r w:rsidR="00A72CF8" w:rsidRPr="008A084A">
        <w:rPr>
          <w:rFonts w:ascii="Cambria" w:hAnsi="Cambria"/>
          <w:sz w:val="20"/>
          <w:szCs w:val="20"/>
          <w:lang w:val="es-ES"/>
        </w:rPr>
        <w:t xml:space="preserve"> o extraviadas”</w:t>
      </w:r>
      <w:r w:rsidR="00E15AFE" w:rsidRPr="008A084A">
        <w:rPr>
          <w:rFonts w:ascii="Cambria" w:hAnsi="Cambria"/>
          <w:sz w:val="20"/>
          <w:szCs w:val="20"/>
          <w:lang w:val="es-ES"/>
        </w:rPr>
        <w:t xml:space="preserve"> y que en el 2015 el Ministerio de Salud Pública expidió el “Reglamento </w:t>
      </w:r>
      <w:r w:rsidR="00A5414A" w:rsidRPr="008A084A">
        <w:rPr>
          <w:rFonts w:ascii="Cambria" w:hAnsi="Cambria"/>
          <w:sz w:val="20"/>
          <w:szCs w:val="20"/>
          <w:lang w:val="es-ES"/>
        </w:rPr>
        <w:t>para brindar atención integral en s</w:t>
      </w:r>
      <w:r w:rsidR="00E15AFE" w:rsidRPr="008A084A">
        <w:rPr>
          <w:rFonts w:ascii="Cambria" w:hAnsi="Cambria"/>
          <w:sz w:val="20"/>
          <w:szCs w:val="20"/>
          <w:lang w:val="es-ES"/>
        </w:rPr>
        <w:t>alud a víctimas de desaparición, sus familiares y personas en condición de no referir su identidad”.</w:t>
      </w:r>
    </w:p>
    <w:p w:rsidR="005C76C4" w:rsidRPr="008A084A" w:rsidRDefault="005C76C4" w:rsidP="005C76C4">
      <w:pPr>
        <w:pStyle w:val="ColorfulList-Accent11"/>
        <w:rPr>
          <w:rFonts w:ascii="Cambria" w:hAnsi="Cambria"/>
          <w:sz w:val="20"/>
          <w:szCs w:val="20"/>
          <w:lang w:val="es-ES"/>
        </w:rPr>
      </w:pPr>
    </w:p>
    <w:p w:rsidR="005C76C4" w:rsidRPr="008A084A" w:rsidRDefault="005C76C4" w:rsidP="005C76C4">
      <w:pPr>
        <w:numPr>
          <w:ilvl w:val="0"/>
          <w:numId w:val="55"/>
        </w:numPr>
        <w:jc w:val="both"/>
        <w:rPr>
          <w:rFonts w:ascii="Cambria" w:hAnsi="Cambria"/>
          <w:sz w:val="20"/>
          <w:szCs w:val="20"/>
          <w:lang w:val="es-ES"/>
        </w:rPr>
      </w:pPr>
      <w:r w:rsidRPr="008A084A">
        <w:rPr>
          <w:rFonts w:ascii="Cambria" w:hAnsi="Cambria"/>
          <w:sz w:val="20"/>
          <w:szCs w:val="20"/>
          <w:lang w:val="es-ES"/>
        </w:rPr>
        <w:t xml:space="preserve">El Estado sostuvo que el deber de investigar es una obligación de medios y no de resultado. </w:t>
      </w:r>
      <w:r w:rsidR="00555CA5" w:rsidRPr="008A084A">
        <w:rPr>
          <w:rFonts w:ascii="Cambria" w:hAnsi="Cambria"/>
          <w:sz w:val="20"/>
          <w:szCs w:val="20"/>
          <w:lang w:val="es-ES"/>
        </w:rPr>
        <w:t xml:space="preserve">Indicó </w:t>
      </w:r>
      <w:r w:rsidRPr="008A084A">
        <w:rPr>
          <w:rFonts w:ascii="Cambria" w:hAnsi="Cambria"/>
          <w:sz w:val="20"/>
          <w:szCs w:val="20"/>
          <w:lang w:val="es-ES"/>
        </w:rPr>
        <w:t xml:space="preserve">que, en consecuencia, no se le puede atribuir responsabilidad internacional en tanto adoptó todas las medidas a su alcance para ubicar al señor Guachalá. </w:t>
      </w:r>
    </w:p>
    <w:p w:rsidR="005C76C4" w:rsidRPr="008A084A" w:rsidRDefault="005C76C4" w:rsidP="005C76C4">
      <w:pPr>
        <w:numPr>
          <w:ilvl w:val="0"/>
          <w:numId w:val="55"/>
        </w:numPr>
        <w:jc w:val="both"/>
        <w:rPr>
          <w:rFonts w:ascii="Cambria" w:hAnsi="Cambria"/>
          <w:sz w:val="20"/>
          <w:szCs w:val="20"/>
          <w:lang w:val="es-ES"/>
        </w:rPr>
      </w:pPr>
      <w:r w:rsidRPr="008A084A">
        <w:rPr>
          <w:rFonts w:ascii="Cambria" w:hAnsi="Cambria"/>
          <w:sz w:val="20"/>
          <w:szCs w:val="20"/>
          <w:lang w:val="es-ES"/>
        </w:rPr>
        <w:lastRenderedPageBreak/>
        <w:t>Adicionalmente, el Estado alegó que lo sucedido con el señor Guachalá no puede caracterizarse como una desaparición forzada</w:t>
      </w:r>
      <w:r w:rsidR="00822990" w:rsidRPr="008A084A">
        <w:rPr>
          <w:rFonts w:ascii="Cambria" w:hAnsi="Cambria"/>
          <w:sz w:val="20"/>
          <w:szCs w:val="20"/>
          <w:lang w:val="es-ES"/>
        </w:rPr>
        <w:t xml:space="preserve"> puesto que:</w:t>
      </w:r>
      <w:r w:rsidR="0072744E" w:rsidRPr="008A084A">
        <w:rPr>
          <w:rFonts w:ascii="Cambria" w:hAnsi="Cambria"/>
          <w:sz w:val="20"/>
          <w:szCs w:val="20"/>
          <w:lang w:val="es-ES"/>
        </w:rPr>
        <w:t xml:space="preserve"> i) no existió detención en su contra por parte del Estado o persona bajo apoyo estatal; ii) si bien el señor Guachalá estaba internado en el hospital, </w:t>
      </w:r>
      <w:r w:rsidR="0058519E" w:rsidRPr="008A084A">
        <w:rPr>
          <w:rFonts w:ascii="Cambria" w:hAnsi="Cambria"/>
          <w:sz w:val="20"/>
          <w:szCs w:val="20"/>
          <w:lang w:val="es-ES"/>
        </w:rPr>
        <w:t>fue una restricción legal de su libertad debido a las condiciones físicas y mentales en las que se encontraba cuando fue institucionalizado, conforme al artículo 82 del entonces vigente Código de la Salud</w:t>
      </w:r>
      <w:r w:rsidR="0072744E" w:rsidRPr="008A084A">
        <w:rPr>
          <w:rFonts w:ascii="Cambria" w:hAnsi="Cambria"/>
          <w:sz w:val="20"/>
          <w:szCs w:val="20"/>
          <w:lang w:val="es-ES"/>
        </w:rPr>
        <w:t xml:space="preserve">; iii) no existió negativa de dar información sobre la situación del señor Guachalá luego de escaparse del hospital; y iv) la señora </w:t>
      </w:r>
      <w:r w:rsidR="002125A0" w:rsidRPr="008A084A">
        <w:rPr>
          <w:rFonts w:ascii="Cambria" w:hAnsi="Cambria"/>
          <w:sz w:val="20"/>
          <w:szCs w:val="20"/>
          <w:lang w:val="es-ES"/>
        </w:rPr>
        <w:t>Chimbó</w:t>
      </w:r>
      <w:r w:rsidR="0072744E" w:rsidRPr="008A084A">
        <w:rPr>
          <w:rFonts w:ascii="Cambria" w:hAnsi="Cambria"/>
          <w:sz w:val="20"/>
          <w:szCs w:val="20"/>
          <w:lang w:val="es-ES"/>
        </w:rPr>
        <w:t xml:space="preserve"> tuvo acceso para presentar un recurso de hábeas corpus.  </w:t>
      </w:r>
    </w:p>
    <w:p w:rsidR="007372D2" w:rsidRPr="008A084A" w:rsidRDefault="007372D2" w:rsidP="000F494B">
      <w:pPr>
        <w:tabs>
          <w:tab w:val="center" w:pos="4680"/>
          <w:tab w:val="left" w:pos="6511"/>
        </w:tabs>
        <w:rPr>
          <w:rFonts w:ascii="Cambria" w:hAnsi="Cambria" w:cs="Calibri"/>
          <w:sz w:val="20"/>
          <w:szCs w:val="20"/>
          <w:lang w:val="es-ES_tradnl"/>
        </w:rPr>
      </w:pPr>
    </w:p>
    <w:p w:rsidR="0089339B" w:rsidRPr="008A084A" w:rsidRDefault="002840D4" w:rsidP="002840D4">
      <w:pPr>
        <w:pStyle w:val="Heading1"/>
        <w:tabs>
          <w:tab w:val="left" w:pos="720"/>
          <w:tab w:val="left" w:pos="1440"/>
        </w:tabs>
        <w:spacing w:before="0"/>
        <w:ind w:left="0" w:firstLine="720"/>
        <w:jc w:val="both"/>
        <w:rPr>
          <w:color w:val="auto"/>
          <w:sz w:val="20"/>
          <w:szCs w:val="20"/>
          <w:lang w:val="es-ES_tradnl"/>
        </w:rPr>
      </w:pPr>
      <w:bookmarkStart w:id="20" w:name="_Toc525547501"/>
      <w:r w:rsidRPr="008A084A">
        <w:rPr>
          <w:color w:val="auto"/>
          <w:sz w:val="20"/>
          <w:szCs w:val="20"/>
          <w:lang w:val="es-ES_tradnl"/>
        </w:rPr>
        <w:t>HECHOS PROBADOS</w:t>
      </w:r>
      <w:bookmarkEnd w:id="20"/>
    </w:p>
    <w:p w:rsidR="008935F3" w:rsidRPr="008A084A" w:rsidRDefault="008935F3"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3E096E" w:rsidRPr="008A084A" w:rsidRDefault="003E096E" w:rsidP="00B329C1">
      <w:pPr>
        <w:pStyle w:val="Heading2"/>
        <w:numPr>
          <w:ilvl w:val="0"/>
          <w:numId w:val="59"/>
        </w:numPr>
        <w:spacing w:before="0" w:after="0"/>
        <w:ind w:left="1440" w:hanging="720"/>
        <w:jc w:val="both"/>
        <w:rPr>
          <w:rFonts w:ascii="Cambria" w:hAnsi="Cambria"/>
          <w:i w:val="0"/>
          <w:sz w:val="20"/>
          <w:szCs w:val="20"/>
          <w:lang w:val="es-ES"/>
        </w:rPr>
      </w:pPr>
      <w:bookmarkStart w:id="21" w:name="_Toc525547502"/>
      <w:r w:rsidRPr="008A084A">
        <w:rPr>
          <w:rFonts w:ascii="Cambria" w:hAnsi="Cambria"/>
          <w:i w:val="0"/>
          <w:sz w:val="20"/>
          <w:szCs w:val="20"/>
          <w:lang w:val="es-ES"/>
        </w:rPr>
        <w:t>Sobre la situación de Luis Eduardo Guachalá</w:t>
      </w:r>
      <w:r w:rsidR="006F0E5B" w:rsidRPr="008A084A">
        <w:rPr>
          <w:rFonts w:ascii="Cambria" w:hAnsi="Cambria"/>
          <w:i w:val="0"/>
          <w:sz w:val="20"/>
          <w:szCs w:val="20"/>
          <w:lang w:val="es-ES"/>
        </w:rPr>
        <w:t xml:space="preserve"> Chimbó</w:t>
      </w:r>
      <w:r w:rsidRPr="008A084A">
        <w:rPr>
          <w:rFonts w:ascii="Cambria" w:hAnsi="Cambria"/>
          <w:i w:val="0"/>
          <w:sz w:val="20"/>
          <w:szCs w:val="20"/>
          <w:lang w:val="es-ES"/>
        </w:rPr>
        <w:t xml:space="preserve"> antes de su ingreso al Hospital Psiquiátrico Julio Endara</w:t>
      </w:r>
      <w:bookmarkEnd w:id="21"/>
    </w:p>
    <w:p w:rsidR="003E096E" w:rsidRPr="008A084A" w:rsidRDefault="003E096E"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9A697D" w:rsidRPr="008A084A" w:rsidRDefault="009A697D" w:rsidP="003E096E">
      <w:pPr>
        <w:numPr>
          <w:ilvl w:val="0"/>
          <w:numId w:val="55"/>
        </w:numPr>
        <w:jc w:val="both"/>
        <w:rPr>
          <w:rFonts w:ascii="Cambria" w:hAnsi="Cambria"/>
          <w:sz w:val="20"/>
          <w:szCs w:val="20"/>
          <w:lang w:val="es-ES"/>
        </w:rPr>
      </w:pPr>
      <w:r w:rsidRPr="008A084A">
        <w:rPr>
          <w:rFonts w:ascii="Cambria" w:hAnsi="Cambria"/>
          <w:sz w:val="20"/>
          <w:szCs w:val="20"/>
          <w:lang w:val="es-ES"/>
        </w:rPr>
        <w:t xml:space="preserve">Luis Eduardo Guachalá </w:t>
      </w:r>
      <w:r w:rsidR="002125A0" w:rsidRPr="008A084A">
        <w:rPr>
          <w:rFonts w:ascii="Cambria" w:hAnsi="Cambria"/>
          <w:sz w:val="20"/>
          <w:szCs w:val="20"/>
          <w:lang w:val="es-ES"/>
        </w:rPr>
        <w:t>Chimbó</w:t>
      </w:r>
      <w:r w:rsidRPr="008A084A">
        <w:rPr>
          <w:rFonts w:ascii="Cambria" w:hAnsi="Cambria"/>
          <w:sz w:val="20"/>
          <w:szCs w:val="20"/>
          <w:lang w:val="es-ES"/>
        </w:rPr>
        <w:t xml:space="preserve"> </w:t>
      </w:r>
      <w:r w:rsidR="007B7478" w:rsidRPr="008A084A">
        <w:rPr>
          <w:rFonts w:ascii="Cambria" w:hAnsi="Cambria"/>
          <w:sz w:val="20"/>
          <w:szCs w:val="20"/>
          <w:lang w:val="es-ES"/>
        </w:rPr>
        <w:t>nació el 27 de febrero de 1980</w:t>
      </w:r>
      <w:r w:rsidR="007B7478" w:rsidRPr="008A084A">
        <w:rPr>
          <w:rStyle w:val="FootnoteReference"/>
          <w:rFonts w:ascii="Cambria" w:hAnsi="Cambria"/>
          <w:sz w:val="20"/>
          <w:szCs w:val="20"/>
          <w:lang w:val="es-ES"/>
        </w:rPr>
        <w:footnoteReference w:id="4"/>
      </w:r>
      <w:r w:rsidR="007B7478" w:rsidRPr="008A084A">
        <w:rPr>
          <w:rFonts w:ascii="Cambria" w:hAnsi="Cambria"/>
          <w:sz w:val="20"/>
          <w:szCs w:val="20"/>
          <w:lang w:val="es-ES"/>
        </w:rPr>
        <w:t>. T</w:t>
      </w:r>
      <w:r w:rsidRPr="008A084A">
        <w:rPr>
          <w:rFonts w:ascii="Cambria" w:hAnsi="Cambria"/>
          <w:sz w:val="20"/>
          <w:szCs w:val="20"/>
          <w:lang w:val="es-ES"/>
        </w:rPr>
        <w:t>enía 2</w:t>
      </w:r>
      <w:r w:rsidR="007B7478" w:rsidRPr="008A084A">
        <w:rPr>
          <w:rFonts w:ascii="Cambria" w:hAnsi="Cambria"/>
          <w:sz w:val="20"/>
          <w:szCs w:val="20"/>
          <w:lang w:val="es-ES"/>
        </w:rPr>
        <w:t>3</w:t>
      </w:r>
      <w:r w:rsidRPr="008A084A">
        <w:rPr>
          <w:rFonts w:ascii="Cambria" w:hAnsi="Cambria"/>
          <w:sz w:val="20"/>
          <w:szCs w:val="20"/>
          <w:lang w:val="es-ES"/>
        </w:rPr>
        <w:t xml:space="preserve"> años al momento de ocurridos los hechos. </w:t>
      </w:r>
      <w:r w:rsidR="003E096E" w:rsidRPr="008A084A">
        <w:rPr>
          <w:rFonts w:ascii="Cambria" w:hAnsi="Cambria"/>
          <w:sz w:val="20"/>
          <w:szCs w:val="20"/>
          <w:lang w:val="es-ES"/>
        </w:rPr>
        <w:t xml:space="preserve">Asimismo, </w:t>
      </w:r>
      <w:r w:rsidR="000371C7" w:rsidRPr="008A084A">
        <w:rPr>
          <w:rFonts w:ascii="Cambria" w:hAnsi="Cambria"/>
          <w:sz w:val="20"/>
          <w:szCs w:val="20"/>
          <w:lang w:val="es-ES"/>
        </w:rPr>
        <w:t>su familia está compuesta por su</w:t>
      </w:r>
      <w:r w:rsidRPr="008A084A">
        <w:rPr>
          <w:rFonts w:ascii="Cambria" w:hAnsi="Cambria"/>
          <w:sz w:val="20"/>
          <w:szCs w:val="20"/>
          <w:lang w:val="es-ES"/>
        </w:rPr>
        <w:t xml:space="preserve"> madre, Zoila Rosario </w:t>
      </w:r>
      <w:r w:rsidR="002125A0" w:rsidRPr="008A084A">
        <w:rPr>
          <w:rFonts w:ascii="Cambria" w:hAnsi="Cambria"/>
          <w:sz w:val="20"/>
          <w:szCs w:val="20"/>
          <w:lang w:val="es-ES"/>
        </w:rPr>
        <w:t>Chimbó</w:t>
      </w:r>
      <w:r w:rsidRPr="008A084A">
        <w:rPr>
          <w:rFonts w:ascii="Cambria" w:hAnsi="Cambria"/>
          <w:sz w:val="20"/>
          <w:szCs w:val="20"/>
          <w:lang w:val="es-ES"/>
        </w:rPr>
        <w:t xml:space="preserve"> Jarro</w:t>
      </w:r>
      <w:r w:rsidR="00B95DDC" w:rsidRPr="008A084A">
        <w:rPr>
          <w:rFonts w:ascii="Cambria" w:hAnsi="Cambria"/>
          <w:sz w:val="20"/>
          <w:szCs w:val="20"/>
          <w:lang w:val="es-ES"/>
        </w:rPr>
        <w:t>, sus tres herman</w:t>
      </w:r>
      <w:r w:rsidR="00E15AFE" w:rsidRPr="008A084A">
        <w:rPr>
          <w:rFonts w:ascii="Cambria" w:hAnsi="Cambria"/>
          <w:sz w:val="20"/>
          <w:szCs w:val="20"/>
          <w:lang w:val="es-ES"/>
        </w:rPr>
        <w:t>as, Martha, Nancy y Alexandra</w:t>
      </w:r>
      <w:r w:rsidR="00133619" w:rsidRPr="008A084A">
        <w:rPr>
          <w:rFonts w:ascii="Cambria" w:hAnsi="Cambria"/>
          <w:sz w:val="20"/>
          <w:szCs w:val="20"/>
          <w:lang w:val="es-ES"/>
        </w:rPr>
        <w:t>, y su hermano Ángel</w:t>
      </w:r>
      <w:r w:rsidR="00590C8C" w:rsidRPr="008A084A">
        <w:rPr>
          <w:rStyle w:val="FootnoteReference"/>
          <w:rFonts w:ascii="Cambria" w:hAnsi="Cambria"/>
          <w:sz w:val="20"/>
          <w:szCs w:val="20"/>
        </w:rPr>
        <w:footnoteReference w:id="5"/>
      </w:r>
      <w:r w:rsidRPr="008A084A">
        <w:rPr>
          <w:rFonts w:ascii="Cambria" w:hAnsi="Cambria"/>
          <w:sz w:val="20"/>
          <w:szCs w:val="20"/>
          <w:lang w:val="es-ES"/>
        </w:rPr>
        <w:t xml:space="preserve">. </w:t>
      </w:r>
      <w:r w:rsidR="00915822" w:rsidRPr="008A084A">
        <w:rPr>
          <w:rFonts w:ascii="Cambria" w:hAnsi="Cambria"/>
          <w:sz w:val="20"/>
          <w:szCs w:val="20"/>
          <w:lang w:val="es-ES"/>
        </w:rPr>
        <w:t>Conforme a un informe médico de 21 de enero de 2004, el señor Guachalá fue diagnosticado con “trastorno mental y del comportamiento por disfunción cerebral, epilepsia”</w:t>
      </w:r>
      <w:r w:rsidR="00915822" w:rsidRPr="008A084A">
        <w:rPr>
          <w:rStyle w:val="FootnoteReference"/>
          <w:rFonts w:ascii="Cambria" w:hAnsi="Cambria"/>
          <w:sz w:val="20"/>
          <w:szCs w:val="20"/>
        </w:rPr>
        <w:footnoteReference w:id="6"/>
      </w:r>
      <w:r w:rsidR="00915822" w:rsidRPr="008A084A">
        <w:rPr>
          <w:rFonts w:ascii="Cambria" w:hAnsi="Cambria"/>
          <w:sz w:val="20"/>
          <w:szCs w:val="20"/>
          <w:lang w:val="es-ES"/>
        </w:rPr>
        <w:t xml:space="preserve">. </w:t>
      </w:r>
      <w:r w:rsidR="002B48C0" w:rsidRPr="008A084A">
        <w:rPr>
          <w:rFonts w:ascii="Cambria" w:hAnsi="Cambria"/>
          <w:sz w:val="20"/>
          <w:szCs w:val="20"/>
          <w:lang w:val="es-ES"/>
        </w:rPr>
        <w:t>De acuerdo a la Dirección Nacional de Discapacidades el señor Guachalá no estaba registrado como “persona con discapacidad” en su cédula de ciudadanía</w:t>
      </w:r>
      <w:r w:rsidR="002B48C0" w:rsidRPr="008A084A">
        <w:rPr>
          <w:rStyle w:val="FootnoteReference"/>
          <w:rFonts w:ascii="Cambria" w:hAnsi="Cambria"/>
          <w:sz w:val="20"/>
          <w:szCs w:val="20"/>
          <w:lang w:val="es-ES"/>
        </w:rPr>
        <w:footnoteReference w:id="7"/>
      </w:r>
      <w:r w:rsidR="002B48C0" w:rsidRPr="008A084A">
        <w:rPr>
          <w:rFonts w:ascii="Cambria" w:hAnsi="Cambria"/>
          <w:sz w:val="20"/>
          <w:szCs w:val="20"/>
          <w:lang w:val="es-ES"/>
        </w:rPr>
        <w:t>.</w:t>
      </w:r>
    </w:p>
    <w:p w:rsidR="009A697D" w:rsidRPr="008A084A" w:rsidRDefault="009A697D"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0C140C" w:rsidRPr="008A084A" w:rsidRDefault="003D14B0" w:rsidP="003E096E">
      <w:pPr>
        <w:numPr>
          <w:ilvl w:val="0"/>
          <w:numId w:val="55"/>
        </w:numPr>
        <w:jc w:val="both"/>
        <w:rPr>
          <w:rFonts w:ascii="Cambria" w:hAnsi="Cambria"/>
          <w:sz w:val="20"/>
          <w:szCs w:val="20"/>
          <w:lang w:val="es-ES"/>
        </w:rPr>
      </w:pPr>
      <w:r w:rsidRPr="008A084A">
        <w:rPr>
          <w:rFonts w:ascii="Cambria" w:hAnsi="Cambria"/>
          <w:sz w:val="20"/>
          <w:szCs w:val="20"/>
          <w:lang w:val="es-ES"/>
        </w:rPr>
        <w:t>La información disponible indica que la familia se encontraba en situación de pobreza</w:t>
      </w:r>
      <w:r w:rsidR="00D478E6" w:rsidRPr="008A084A">
        <w:rPr>
          <w:rFonts w:ascii="Cambria" w:hAnsi="Cambria"/>
          <w:sz w:val="20"/>
          <w:szCs w:val="20"/>
          <w:lang w:val="es-ES"/>
        </w:rPr>
        <w:t>, l</w:t>
      </w:r>
      <w:r w:rsidR="00B95DDC" w:rsidRPr="008A084A">
        <w:rPr>
          <w:rFonts w:ascii="Cambria" w:hAnsi="Cambria"/>
          <w:sz w:val="20"/>
          <w:szCs w:val="20"/>
          <w:lang w:val="es-ES"/>
        </w:rPr>
        <w:t xml:space="preserve">a señora </w:t>
      </w:r>
      <w:r w:rsidR="002125A0" w:rsidRPr="008A084A">
        <w:rPr>
          <w:rFonts w:ascii="Cambria" w:hAnsi="Cambria"/>
          <w:sz w:val="20"/>
          <w:szCs w:val="20"/>
          <w:lang w:val="es-ES"/>
        </w:rPr>
        <w:t>Chimbó</w:t>
      </w:r>
      <w:r w:rsidR="00B95DDC" w:rsidRPr="008A084A">
        <w:rPr>
          <w:rFonts w:ascii="Cambria" w:hAnsi="Cambria"/>
          <w:sz w:val="20"/>
          <w:szCs w:val="20"/>
          <w:lang w:val="es-ES"/>
        </w:rPr>
        <w:t xml:space="preserve"> </w:t>
      </w:r>
      <w:r w:rsidR="009B2758" w:rsidRPr="008A084A">
        <w:rPr>
          <w:rFonts w:ascii="Cambria" w:hAnsi="Cambria"/>
          <w:sz w:val="20"/>
          <w:szCs w:val="20"/>
          <w:lang w:val="es-ES"/>
        </w:rPr>
        <w:t>manifestó</w:t>
      </w:r>
      <w:r w:rsidR="00B95DDC" w:rsidRPr="008A084A">
        <w:rPr>
          <w:rFonts w:ascii="Cambria" w:hAnsi="Cambria"/>
          <w:sz w:val="20"/>
          <w:szCs w:val="20"/>
          <w:lang w:val="es-ES"/>
        </w:rPr>
        <w:t xml:space="preserve"> que el </w:t>
      </w:r>
      <w:r w:rsidR="000C140C" w:rsidRPr="008A084A">
        <w:rPr>
          <w:rFonts w:ascii="Cambria" w:hAnsi="Cambria"/>
          <w:sz w:val="20"/>
          <w:szCs w:val="20"/>
          <w:lang w:val="es-ES"/>
        </w:rPr>
        <w:t xml:space="preserve">padre del señor Guachalá abandonó a su familia </w:t>
      </w:r>
      <w:r w:rsidR="00B95DDC" w:rsidRPr="008A084A">
        <w:rPr>
          <w:rFonts w:ascii="Cambria" w:hAnsi="Cambria"/>
          <w:sz w:val="20"/>
          <w:szCs w:val="20"/>
          <w:lang w:val="es-ES"/>
        </w:rPr>
        <w:t>cuando sus hijos eran muy pequeños</w:t>
      </w:r>
      <w:r w:rsidR="000C140C" w:rsidRPr="008A084A">
        <w:rPr>
          <w:rStyle w:val="FootnoteReference"/>
          <w:rFonts w:ascii="Cambria" w:hAnsi="Cambria"/>
          <w:sz w:val="20"/>
          <w:szCs w:val="20"/>
        </w:rPr>
        <w:footnoteReference w:id="8"/>
      </w:r>
      <w:r w:rsidR="000C140C" w:rsidRPr="008A084A">
        <w:rPr>
          <w:rFonts w:ascii="Cambria" w:hAnsi="Cambria"/>
          <w:sz w:val="20"/>
          <w:szCs w:val="20"/>
          <w:lang w:val="es-ES"/>
        </w:rPr>
        <w:t>. Señaló que ella se dedicaba al “oficio de lavandería en casas particulares”</w:t>
      </w:r>
      <w:r w:rsidR="005E3193" w:rsidRPr="008A084A">
        <w:rPr>
          <w:rFonts w:ascii="Cambria" w:hAnsi="Cambria"/>
          <w:sz w:val="20"/>
          <w:szCs w:val="20"/>
          <w:lang w:val="es-ES"/>
        </w:rPr>
        <w:t xml:space="preserve"> durante el día y a la venta ambulante de rosas en la calle durante la noche</w:t>
      </w:r>
      <w:r w:rsidR="000C140C" w:rsidRPr="008A084A">
        <w:rPr>
          <w:rStyle w:val="FootnoteReference"/>
          <w:rFonts w:ascii="Cambria" w:hAnsi="Cambria"/>
          <w:sz w:val="20"/>
          <w:szCs w:val="20"/>
        </w:rPr>
        <w:footnoteReference w:id="9"/>
      </w:r>
      <w:r w:rsidR="000C140C" w:rsidRPr="008A084A">
        <w:rPr>
          <w:rFonts w:ascii="Cambria" w:hAnsi="Cambria"/>
          <w:sz w:val="20"/>
          <w:szCs w:val="20"/>
          <w:lang w:val="es-ES"/>
        </w:rPr>
        <w:t>.</w:t>
      </w:r>
    </w:p>
    <w:p w:rsidR="000C140C" w:rsidRPr="008A084A" w:rsidRDefault="000C140C"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C461FA" w:rsidRPr="008A084A" w:rsidRDefault="00240112" w:rsidP="003E096E">
      <w:pPr>
        <w:numPr>
          <w:ilvl w:val="0"/>
          <w:numId w:val="55"/>
        </w:numPr>
        <w:jc w:val="both"/>
        <w:rPr>
          <w:rFonts w:ascii="Cambria" w:hAnsi="Cambria"/>
          <w:sz w:val="20"/>
          <w:szCs w:val="20"/>
          <w:lang w:val="es-ES"/>
        </w:rPr>
      </w:pPr>
      <w:r w:rsidRPr="008A084A">
        <w:rPr>
          <w:rFonts w:ascii="Cambria" w:hAnsi="Cambria"/>
          <w:sz w:val="20"/>
          <w:szCs w:val="20"/>
          <w:lang w:val="es-ES"/>
        </w:rPr>
        <w:t xml:space="preserve">El </w:t>
      </w:r>
      <w:r w:rsidRPr="008A084A">
        <w:rPr>
          <w:rFonts w:ascii="Cambria" w:hAnsi="Cambria"/>
          <w:sz w:val="20"/>
          <w:szCs w:val="20"/>
          <w:lang w:val="es-ES_tradnl"/>
        </w:rPr>
        <w:t>señor</w:t>
      </w:r>
      <w:r w:rsidRPr="008A084A">
        <w:rPr>
          <w:rFonts w:ascii="Cambria" w:hAnsi="Cambria"/>
          <w:sz w:val="20"/>
          <w:szCs w:val="20"/>
          <w:lang w:val="es-ES"/>
        </w:rPr>
        <w:t xml:space="preserve"> Guachalá completó la educación primaria</w:t>
      </w:r>
      <w:r w:rsidR="00590C8C" w:rsidRPr="008A084A">
        <w:rPr>
          <w:rStyle w:val="FootnoteReference"/>
          <w:rFonts w:ascii="Cambria" w:hAnsi="Cambria"/>
          <w:sz w:val="20"/>
          <w:szCs w:val="20"/>
        </w:rPr>
        <w:footnoteReference w:id="10"/>
      </w:r>
      <w:r w:rsidRPr="008A084A">
        <w:rPr>
          <w:rFonts w:ascii="Cambria" w:hAnsi="Cambria"/>
          <w:sz w:val="20"/>
          <w:szCs w:val="20"/>
          <w:lang w:val="es-ES"/>
        </w:rPr>
        <w:t>.</w:t>
      </w:r>
      <w:r w:rsidR="00A5414A" w:rsidRPr="008A084A">
        <w:rPr>
          <w:rFonts w:ascii="Cambria" w:hAnsi="Cambria"/>
          <w:sz w:val="20"/>
          <w:szCs w:val="20"/>
          <w:lang w:val="es-ES"/>
        </w:rPr>
        <w:t xml:space="preserve"> Su madre señaló que no pu</w:t>
      </w:r>
      <w:r w:rsidR="00FB61F6" w:rsidRPr="008A084A">
        <w:rPr>
          <w:rFonts w:ascii="Cambria" w:hAnsi="Cambria"/>
          <w:sz w:val="20"/>
          <w:szCs w:val="20"/>
          <w:lang w:val="es-ES"/>
        </w:rPr>
        <w:t>do completar sus estudios secundarios puesto que “presentó una enfermedad de epilepsia” que no le permitía concentrarse para estudiar</w:t>
      </w:r>
      <w:r w:rsidR="00590C8C" w:rsidRPr="008A084A">
        <w:rPr>
          <w:rStyle w:val="FootnoteReference"/>
          <w:rFonts w:ascii="Cambria" w:hAnsi="Cambria"/>
          <w:sz w:val="20"/>
          <w:szCs w:val="20"/>
        </w:rPr>
        <w:footnoteReference w:id="11"/>
      </w:r>
      <w:r w:rsidR="00FB61F6" w:rsidRPr="008A084A">
        <w:rPr>
          <w:rFonts w:ascii="Cambria" w:hAnsi="Cambria"/>
          <w:sz w:val="20"/>
          <w:szCs w:val="20"/>
          <w:lang w:val="es-ES"/>
        </w:rPr>
        <w:t xml:space="preserve">. La señora </w:t>
      </w:r>
      <w:r w:rsidR="002125A0" w:rsidRPr="008A084A">
        <w:rPr>
          <w:rFonts w:ascii="Cambria" w:hAnsi="Cambria"/>
          <w:sz w:val="20"/>
          <w:szCs w:val="20"/>
          <w:lang w:val="es-ES"/>
        </w:rPr>
        <w:t>Chimbó</w:t>
      </w:r>
      <w:r w:rsidR="00FB61F6" w:rsidRPr="008A084A">
        <w:rPr>
          <w:rFonts w:ascii="Cambria" w:hAnsi="Cambria"/>
          <w:sz w:val="20"/>
          <w:szCs w:val="20"/>
          <w:lang w:val="es-ES"/>
        </w:rPr>
        <w:t xml:space="preserve"> también sostuvo que no contaba con los recursos financieros para comprarle los libros de estudio y los útiles escolares</w:t>
      </w:r>
      <w:r w:rsidR="00590C8C" w:rsidRPr="008A084A">
        <w:rPr>
          <w:rStyle w:val="FootnoteReference"/>
          <w:rFonts w:ascii="Cambria" w:hAnsi="Cambria"/>
          <w:sz w:val="20"/>
          <w:szCs w:val="20"/>
        </w:rPr>
        <w:footnoteReference w:id="12"/>
      </w:r>
      <w:r w:rsidR="00FB61F6" w:rsidRPr="008A084A">
        <w:rPr>
          <w:rFonts w:ascii="Cambria" w:hAnsi="Cambria"/>
          <w:sz w:val="20"/>
          <w:szCs w:val="20"/>
          <w:lang w:val="es-ES"/>
        </w:rPr>
        <w:t>.</w:t>
      </w:r>
      <w:r w:rsidR="002D08E4" w:rsidRPr="008A084A">
        <w:rPr>
          <w:rFonts w:ascii="Cambria" w:hAnsi="Cambria"/>
          <w:sz w:val="20"/>
          <w:szCs w:val="20"/>
          <w:lang w:val="es-ES"/>
        </w:rPr>
        <w:t xml:space="preserve"> </w:t>
      </w:r>
    </w:p>
    <w:p w:rsidR="002D08E4" w:rsidRPr="008A084A" w:rsidRDefault="002D08E4"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2D08E4" w:rsidRPr="008A084A" w:rsidRDefault="002D08E4" w:rsidP="003E096E">
      <w:pPr>
        <w:numPr>
          <w:ilvl w:val="0"/>
          <w:numId w:val="55"/>
        </w:numPr>
        <w:jc w:val="both"/>
        <w:rPr>
          <w:rFonts w:ascii="Cambria" w:hAnsi="Cambria"/>
          <w:sz w:val="20"/>
          <w:szCs w:val="20"/>
          <w:lang w:val="es-ES"/>
        </w:rPr>
      </w:pPr>
      <w:r w:rsidRPr="008A084A">
        <w:rPr>
          <w:rFonts w:ascii="Cambria" w:hAnsi="Cambria"/>
          <w:sz w:val="20"/>
          <w:szCs w:val="20"/>
          <w:lang w:val="es-ES"/>
        </w:rPr>
        <w:t xml:space="preserve">La señora </w:t>
      </w:r>
      <w:r w:rsidR="002125A0" w:rsidRPr="008A084A">
        <w:rPr>
          <w:rFonts w:ascii="Cambria" w:hAnsi="Cambria"/>
          <w:sz w:val="20"/>
          <w:szCs w:val="20"/>
          <w:lang w:val="es-ES"/>
        </w:rPr>
        <w:t>Chimbó</w:t>
      </w:r>
      <w:r w:rsidRPr="008A084A">
        <w:rPr>
          <w:rFonts w:ascii="Cambria" w:hAnsi="Cambria"/>
          <w:sz w:val="20"/>
          <w:szCs w:val="20"/>
          <w:lang w:val="es-ES"/>
        </w:rPr>
        <w:t xml:space="preserve"> </w:t>
      </w:r>
      <w:r w:rsidR="00B95DDC" w:rsidRPr="008A084A">
        <w:rPr>
          <w:rFonts w:ascii="Cambria" w:hAnsi="Cambria"/>
          <w:sz w:val="20"/>
          <w:szCs w:val="20"/>
          <w:lang w:val="es-ES"/>
        </w:rPr>
        <w:t>explicó</w:t>
      </w:r>
      <w:r w:rsidRPr="008A084A">
        <w:rPr>
          <w:rFonts w:ascii="Cambria" w:hAnsi="Cambria"/>
          <w:sz w:val="20"/>
          <w:szCs w:val="20"/>
          <w:lang w:val="es-ES"/>
        </w:rPr>
        <w:t xml:space="preserve"> que desde los trece años</w:t>
      </w:r>
      <w:r w:rsidR="00D478E6" w:rsidRPr="008A084A">
        <w:rPr>
          <w:rFonts w:ascii="Cambria" w:hAnsi="Cambria"/>
          <w:sz w:val="20"/>
          <w:szCs w:val="20"/>
          <w:lang w:val="es-ES"/>
        </w:rPr>
        <w:t xml:space="preserve"> su hijo </w:t>
      </w:r>
      <w:r w:rsidRPr="008A084A">
        <w:rPr>
          <w:rFonts w:ascii="Cambria" w:hAnsi="Cambria"/>
          <w:sz w:val="20"/>
          <w:szCs w:val="20"/>
          <w:lang w:val="es-ES"/>
        </w:rPr>
        <w:t>empezó a sufrir de ataques de epilepsia</w:t>
      </w:r>
      <w:r w:rsidR="00590C8C" w:rsidRPr="008A084A">
        <w:rPr>
          <w:rStyle w:val="FootnoteReference"/>
          <w:rFonts w:ascii="Cambria" w:hAnsi="Cambria"/>
          <w:sz w:val="20"/>
          <w:szCs w:val="20"/>
        </w:rPr>
        <w:footnoteReference w:id="13"/>
      </w:r>
      <w:r w:rsidR="002D2459" w:rsidRPr="008A084A">
        <w:rPr>
          <w:rFonts w:ascii="Cambria" w:hAnsi="Cambria"/>
          <w:sz w:val="20"/>
          <w:szCs w:val="20"/>
          <w:lang w:val="es-ES"/>
        </w:rPr>
        <w:t>.</w:t>
      </w:r>
      <w:r w:rsidR="00590C8C" w:rsidRPr="008A084A">
        <w:rPr>
          <w:rFonts w:ascii="Cambria" w:hAnsi="Cambria"/>
          <w:sz w:val="20"/>
          <w:szCs w:val="20"/>
          <w:lang w:val="es-ES"/>
        </w:rPr>
        <w:t xml:space="preserve"> Indicó que lo llevaba a diversos hospit</w:t>
      </w:r>
      <w:r w:rsidR="00702255" w:rsidRPr="008A084A">
        <w:rPr>
          <w:rFonts w:ascii="Cambria" w:hAnsi="Cambria"/>
          <w:sz w:val="20"/>
          <w:szCs w:val="20"/>
          <w:lang w:val="es-ES"/>
        </w:rPr>
        <w:t>ales, donde le daban medicamento</w:t>
      </w:r>
      <w:r w:rsidR="00590C8C" w:rsidRPr="008A084A">
        <w:rPr>
          <w:rFonts w:ascii="Cambria" w:hAnsi="Cambria"/>
          <w:sz w:val="20"/>
          <w:szCs w:val="20"/>
          <w:lang w:val="es-ES"/>
        </w:rPr>
        <w:t xml:space="preserve">s para evitar </w:t>
      </w:r>
      <w:r w:rsidR="00D17B73" w:rsidRPr="008A084A">
        <w:rPr>
          <w:rFonts w:ascii="Cambria" w:hAnsi="Cambria"/>
          <w:sz w:val="20"/>
          <w:szCs w:val="20"/>
          <w:lang w:val="es-ES"/>
        </w:rPr>
        <w:t>dichos</w:t>
      </w:r>
      <w:r w:rsidR="00590C8C" w:rsidRPr="008A084A">
        <w:rPr>
          <w:rFonts w:ascii="Cambria" w:hAnsi="Cambria"/>
          <w:sz w:val="20"/>
          <w:szCs w:val="20"/>
          <w:lang w:val="es-ES"/>
        </w:rPr>
        <w:t xml:space="preserve"> ataques</w:t>
      </w:r>
      <w:r w:rsidR="00590C8C" w:rsidRPr="008A084A">
        <w:rPr>
          <w:rStyle w:val="FootnoteReference"/>
          <w:rFonts w:ascii="Cambria" w:hAnsi="Cambria"/>
          <w:sz w:val="20"/>
          <w:szCs w:val="20"/>
        </w:rPr>
        <w:footnoteReference w:id="14"/>
      </w:r>
      <w:r w:rsidR="00590C8C" w:rsidRPr="008A084A">
        <w:rPr>
          <w:rFonts w:ascii="Cambria" w:hAnsi="Cambria"/>
          <w:sz w:val="20"/>
          <w:szCs w:val="20"/>
          <w:lang w:val="es-ES"/>
        </w:rPr>
        <w:t>.</w:t>
      </w:r>
      <w:r w:rsidR="00702255" w:rsidRPr="008A084A">
        <w:rPr>
          <w:rFonts w:ascii="Cambria" w:hAnsi="Cambria"/>
          <w:sz w:val="20"/>
          <w:szCs w:val="20"/>
          <w:lang w:val="es-ES"/>
        </w:rPr>
        <w:t xml:space="preserve"> La señora </w:t>
      </w:r>
      <w:r w:rsidR="002125A0" w:rsidRPr="008A084A">
        <w:rPr>
          <w:rFonts w:ascii="Cambria" w:hAnsi="Cambria"/>
          <w:sz w:val="20"/>
          <w:szCs w:val="20"/>
          <w:lang w:val="es-ES"/>
        </w:rPr>
        <w:t>Chimbó</w:t>
      </w:r>
      <w:r w:rsidR="00702255" w:rsidRPr="008A084A">
        <w:rPr>
          <w:rFonts w:ascii="Cambria" w:hAnsi="Cambria"/>
          <w:sz w:val="20"/>
          <w:szCs w:val="20"/>
          <w:lang w:val="es-ES"/>
        </w:rPr>
        <w:t xml:space="preserve"> sostuvo que cada cierto tiempo su hijo volvía a sufrir ataques de epilepsia por lo que le tenían que cambiar de medicamentos</w:t>
      </w:r>
      <w:r w:rsidR="00702255" w:rsidRPr="008A084A">
        <w:rPr>
          <w:rStyle w:val="FootnoteReference"/>
          <w:rFonts w:ascii="Cambria" w:hAnsi="Cambria"/>
          <w:sz w:val="20"/>
          <w:szCs w:val="20"/>
        </w:rPr>
        <w:footnoteReference w:id="15"/>
      </w:r>
      <w:r w:rsidR="00702255" w:rsidRPr="008A084A">
        <w:rPr>
          <w:rFonts w:ascii="Cambria" w:hAnsi="Cambria"/>
          <w:sz w:val="20"/>
          <w:szCs w:val="20"/>
          <w:lang w:val="es-ES"/>
        </w:rPr>
        <w:t>.</w:t>
      </w:r>
      <w:r w:rsidR="000C140C" w:rsidRPr="008A084A">
        <w:rPr>
          <w:rFonts w:ascii="Cambria" w:hAnsi="Cambria"/>
          <w:sz w:val="20"/>
          <w:szCs w:val="20"/>
          <w:lang w:val="es-ES"/>
        </w:rPr>
        <w:t xml:space="preserve"> Sostuvo que las pastillas que le recetaban a su hijo </w:t>
      </w:r>
      <w:r w:rsidR="00A5414A" w:rsidRPr="008A084A">
        <w:rPr>
          <w:rFonts w:ascii="Cambria" w:hAnsi="Cambria"/>
          <w:sz w:val="20"/>
          <w:szCs w:val="20"/>
          <w:lang w:val="es-ES"/>
        </w:rPr>
        <w:t>costaban mucho</w:t>
      </w:r>
      <w:r w:rsidR="000C140C" w:rsidRPr="008A084A">
        <w:rPr>
          <w:rFonts w:ascii="Cambria" w:hAnsi="Cambria"/>
          <w:sz w:val="20"/>
          <w:szCs w:val="20"/>
          <w:lang w:val="es-ES"/>
        </w:rPr>
        <w:t xml:space="preserve"> por lo que a veces no podía comprarlas</w:t>
      </w:r>
      <w:r w:rsidR="000C140C" w:rsidRPr="008A084A">
        <w:rPr>
          <w:rStyle w:val="FootnoteReference"/>
          <w:rFonts w:ascii="Cambria" w:hAnsi="Cambria"/>
          <w:sz w:val="20"/>
          <w:szCs w:val="20"/>
        </w:rPr>
        <w:footnoteReference w:id="16"/>
      </w:r>
      <w:r w:rsidR="000C140C" w:rsidRPr="008A084A">
        <w:rPr>
          <w:rFonts w:ascii="Cambria" w:hAnsi="Cambria"/>
          <w:sz w:val="20"/>
          <w:szCs w:val="20"/>
          <w:lang w:val="es-ES"/>
        </w:rPr>
        <w:t>.</w:t>
      </w:r>
      <w:r w:rsidR="003C2FB8" w:rsidRPr="008A084A">
        <w:rPr>
          <w:rFonts w:ascii="Cambria" w:hAnsi="Cambria"/>
          <w:sz w:val="20"/>
          <w:szCs w:val="20"/>
          <w:lang w:val="es-ES"/>
        </w:rPr>
        <w:t xml:space="preserve"> Indicó que debido a ello le daba remedios caseros basados en hierbas medicinales</w:t>
      </w:r>
      <w:r w:rsidR="003C2FB8" w:rsidRPr="008A084A">
        <w:rPr>
          <w:rStyle w:val="FootnoteReference"/>
          <w:rFonts w:ascii="Cambria" w:hAnsi="Cambria"/>
          <w:sz w:val="20"/>
          <w:szCs w:val="20"/>
        </w:rPr>
        <w:footnoteReference w:id="17"/>
      </w:r>
      <w:r w:rsidR="003C2FB8" w:rsidRPr="008A084A">
        <w:rPr>
          <w:rFonts w:ascii="Cambria" w:hAnsi="Cambria"/>
          <w:sz w:val="20"/>
          <w:szCs w:val="20"/>
          <w:lang w:val="es-ES"/>
        </w:rPr>
        <w:t>. Sostuvo que la falta de un tratamiento médico continuo y adecuado generó que los ataques que sufría se mantuvieran</w:t>
      </w:r>
      <w:r w:rsidR="003C2FB8" w:rsidRPr="008A084A">
        <w:rPr>
          <w:rStyle w:val="FootnoteReference"/>
          <w:rFonts w:ascii="Cambria" w:hAnsi="Cambria"/>
          <w:sz w:val="20"/>
          <w:szCs w:val="20"/>
        </w:rPr>
        <w:footnoteReference w:id="18"/>
      </w:r>
      <w:r w:rsidR="003C2FB8" w:rsidRPr="008A084A">
        <w:rPr>
          <w:rFonts w:ascii="Cambria" w:hAnsi="Cambria"/>
          <w:sz w:val="20"/>
          <w:szCs w:val="20"/>
          <w:lang w:val="es-ES"/>
        </w:rPr>
        <w:t>.</w:t>
      </w:r>
    </w:p>
    <w:p w:rsidR="00C461FA" w:rsidRDefault="00C461FA"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671C11" w:rsidRDefault="00671C11"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C461FA" w:rsidRPr="008A084A" w:rsidRDefault="005A6288" w:rsidP="003E096E">
      <w:pPr>
        <w:numPr>
          <w:ilvl w:val="0"/>
          <w:numId w:val="55"/>
        </w:numPr>
        <w:jc w:val="both"/>
        <w:rPr>
          <w:rFonts w:ascii="Cambria" w:hAnsi="Cambria"/>
          <w:sz w:val="20"/>
          <w:szCs w:val="20"/>
          <w:lang w:val="es-ES"/>
        </w:rPr>
      </w:pPr>
      <w:r w:rsidRPr="008A084A">
        <w:rPr>
          <w:rFonts w:ascii="Cambria" w:hAnsi="Cambria"/>
          <w:sz w:val="20"/>
          <w:szCs w:val="20"/>
          <w:lang w:val="es-ES"/>
        </w:rPr>
        <w:lastRenderedPageBreak/>
        <w:t xml:space="preserve">Indicó </w:t>
      </w:r>
      <w:r w:rsidR="00C461FA" w:rsidRPr="008A084A">
        <w:rPr>
          <w:rFonts w:ascii="Cambria" w:hAnsi="Cambria"/>
          <w:sz w:val="20"/>
          <w:szCs w:val="20"/>
          <w:lang w:val="es-ES"/>
        </w:rPr>
        <w:t>que debido a su situación de pobreza, su hijo Luis Guachalá empezó a trabajar como albañil</w:t>
      </w:r>
      <w:r w:rsidR="00C461FA" w:rsidRPr="008A084A">
        <w:rPr>
          <w:rStyle w:val="FootnoteReference"/>
          <w:rFonts w:ascii="Cambria" w:hAnsi="Cambria"/>
          <w:sz w:val="20"/>
          <w:szCs w:val="20"/>
        </w:rPr>
        <w:footnoteReference w:id="19"/>
      </w:r>
      <w:r w:rsidR="00C461FA" w:rsidRPr="008A084A">
        <w:rPr>
          <w:rFonts w:ascii="Cambria" w:hAnsi="Cambria"/>
          <w:sz w:val="20"/>
          <w:szCs w:val="20"/>
          <w:lang w:val="es-ES"/>
        </w:rPr>
        <w:t xml:space="preserve">. Señaló que ganaba muy poco, “sólo para su subsistencia diaria y a veces le alcanzaba para </w:t>
      </w:r>
      <w:proofErr w:type="gramStart"/>
      <w:r w:rsidR="00C461FA" w:rsidRPr="008A084A">
        <w:rPr>
          <w:rFonts w:ascii="Cambria" w:hAnsi="Cambria"/>
          <w:sz w:val="20"/>
          <w:szCs w:val="20"/>
          <w:lang w:val="es-ES"/>
        </w:rPr>
        <w:t>ayudar(</w:t>
      </w:r>
      <w:proofErr w:type="gramEnd"/>
      <w:r w:rsidR="00C461FA" w:rsidRPr="008A084A">
        <w:rPr>
          <w:rFonts w:ascii="Cambria" w:hAnsi="Cambria"/>
          <w:sz w:val="20"/>
          <w:szCs w:val="20"/>
          <w:lang w:val="es-ES"/>
        </w:rPr>
        <w:t>la) algo en la casa”</w:t>
      </w:r>
      <w:r w:rsidR="00C461FA" w:rsidRPr="008A084A">
        <w:rPr>
          <w:rStyle w:val="FootnoteReference"/>
          <w:rFonts w:ascii="Cambria" w:hAnsi="Cambria"/>
          <w:sz w:val="20"/>
          <w:szCs w:val="20"/>
        </w:rPr>
        <w:footnoteReference w:id="20"/>
      </w:r>
      <w:r w:rsidR="00C461FA" w:rsidRPr="008A084A">
        <w:rPr>
          <w:rFonts w:ascii="Cambria" w:hAnsi="Cambria"/>
          <w:sz w:val="20"/>
          <w:szCs w:val="20"/>
          <w:lang w:val="es-ES"/>
        </w:rPr>
        <w:t>. La señora Chimbó manifestó que en ocasiones la llamaban para decirle que su hijo había sufrido un</w:t>
      </w:r>
      <w:r w:rsidR="00767CDB" w:rsidRPr="008A084A">
        <w:rPr>
          <w:rFonts w:ascii="Cambria" w:hAnsi="Cambria"/>
          <w:sz w:val="20"/>
          <w:szCs w:val="20"/>
          <w:lang w:val="es-ES"/>
        </w:rPr>
        <w:t xml:space="preserve">a crisis </w:t>
      </w:r>
      <w:r w:rsidR="00C461FA" w:rsidRPr="008A084A">
        <w:rPr>
          <w:rFonts w:ascii="Cambria" w:hAnsi="Cambria"/>
          <w:sz w:val="20"/>
          <w:szCs w:val="20"/>
          <w:lang w:val="es-ES"/>
        </w:rPr>
        <w:t xml:space="preserve">mientras trabajaba, por lo que tenía que ir a donde él se encontraba, </w:t>
      </w:r>
      <w:r w:rsidR="0073036B">
        <w:rPr>
          <w:rFonts w:ascii="Cambria" w:hAnsi="Cambria"/>
          <w:sz w:val="20"/>
          <w:szCs w:val="20"/>
          <w:lang w:val="es-ES"/>
        </w:rPr>
        <w:t xml:space="preserve">y tenía que </w:t>
      </w:r>
      <w:r w:rsidR="00C461FA" w:rsidRPr="008A084A">
        <w:rPr>
          <w:rFonts w:ascii="Cambria" w:hAnsi="Cambria"/>
          <w:sz w:val="20"/>
          <w:szCs w:val="20"/>
          <w:lang w:val="es-ES"/>
        </w:rPr>
        <w:t>“</w:t>
      </w:r>
      <w:proofErr w:type="gramStart"/>
      <w:r w:rsidR="00C461FA" w:rsidRPr="008A084A">
        <w:rPr>
          <w:rFonts w:ascii="Cambria" w:hAnsi="Cambria"/>
          <w:sz w:val="20"/>
          <w:szCs w:val="20"/>
          <w:lang w:val="es-ES"/>
        </w:rPr>
        <w:t>acomoda(</w:t>
      </w:r>
      <w:proofErr w:type="spellStart"/>
      <w:proofErr w:type="gramEnd"/>
      <w:r w:rsidR="00C461FA" w:rsidRPr="008A084A">
        <w:rPr>
          <w:rFonts w:ascii="Cambria" w:hAnsi="Cambria"/>
          <w:sz w:val="20"/>
          <w:szCs w:val="20"/>
          <w:lang w:val="es-ES"/>
        </w:rPr>
        <w:t>rlo</w:t>
      </w:r>
      <w:proofErr w:type="spellEnd"/>
      <w:r w:rsidR="00C461FA" w:rsidRPr="008A084A">
        <w:rPr>
          <w:rFonts w:ascii="Cambria" w:hAnsi="Cambria"/>
          <w:sz w:val="20"/>
          <w:szCs w:val="20"/>
          <w:lang w:val="es-ES"/>
        </w:rPr>
        <w:t>) con almohaditas (...) en el suelo, para que se duerma y le pase todo eso hasta que despierte”</w:t>
      </w:r>
      <w:r w:rsidR="00C461FA" w:rsidRPr="008A084A">
        <w:rPr>
          <w:rStyle w:val="FootnoteReference"/>
          <w:rFonts w:ascii="Cambria" w:hAnsi="Cambria"/>
          <w:sz w:val="20"/>
          <w:szCs w:val="20"/>
        </w:rPr>
        <w:footnoteReference w:id="21"/>
      </w:r>
      <w:r w:rsidR="00C461FA" w:rsidRPr="008A084A">
        <w:rPr>
          <w:rFonts w:ascii="Cambria" w:hAnsi="Cambria"/>
          <w:sz w:val="20"/>
          <w:szCs w:val="20"/>
          <w:lang w:val="es-ES"/>
        </w:rPr>
        <w:t>.</w:t>
      </w:r>
      <w:r w:rsidR="003C2FB8" w:rsidRPr="008A084A">
        <w:rPr>
          <w:rFonts w:ascii="Cambria" w:hAnsi="Cambria"/>
          <w:sz w:val="20"/>
          <w:szCs w:val="20"/>
          <w:lang w:val="es-ES"/>
        </w:rPr>
        <w:t xml:space="preserve"> La señora Guachalá señaló que “cuando él estaba solito, se caía donde quiera, a veces en los carros de transporte público”</w:t>
      </w:r>
      <w:r w:rsidR="003C2FB8" w:rsidRPr="008A084A">
        <w:rPr>
          <w:rStyle w:val="FootnoteReference"/>
          <w:rFonts w:ascii="Cambria" w:hAnsi="Cambria"/>
          <w:sz w:val="20"/>
          <w:szCs w:val="20"/>
        </w:rPr>
        <w:footnoteReference w:id="22"/>
      </w:r>
      <w:r w:rsidR="003C2FB8" w:rsidRPr="008A084A">
        <w:rPr>
          <w:rFonts w:ascii="Cambria" w:hAnsi="Cambria"/>
          <w:sz w:val="20"/>
          <w:szCs w:val="20"/>
          <w:lang w:val="es-ES"/>
        </w:rPr>
        <w:t>.</w:t>
      </w:r>
    </w:p>
    <w:p w:rsidR="003C2FB8" w:rsidRPr="008A084A" w:rsidRDefault="003C2FB8" w:rsidP="00C461F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3C2FB8" w:rsidRPr="008A084A" w:rsidRDefault="008963E4" w:rsidP="00B329C1">
      <w:pPr>
        <w:pStyle w:val="Heading2"/>
        <w:numPr>
          <w:ilvl w:val="0"/>
          <w:numId w:val="59"/>
        </w:numPr>
        <w:spacing w:before="0" w:after="0"/>
        <w:ind w:left="1440" w:hanging="720"/>
        <w:jc w:val="both"/>
        <w:rPr>
          <w:rFonts w:ascii="Cambria" w:hAnsi="Cambria"/>
          <w:i w:val="0"/>
          <w:sz w:val="20"/>
          <w:szCs w:val="20"/>
          <w:lang w:val="es-ES"/>
        </w:rPr>
      </w:pPr>
      <w:bookmarkStart w:id="22" w:name="_Toc525547503"/>
      <w:r w:rsidRPr="008A084A">
        <w:rPr>
          <w:rFonts w:ascii="Cambria" w:hAnsi="Cambria"/>
          <w:i w:val="0"/>
          <w:sz w:val="20"/>
          <w:szCs w:val="20"/>
          <w:lang w:val="es-ES"/>
        </w:rPr>
        <w:t xml:space="preserve">Sobre </w:t>
      </w:r>
      <w:r w:rsidR="004D32FF" w:rsidRPr="008A084A">
        <w:rPr>
          <w:rFonts w:ascii="Cambria" w:hAnsi="Cambria"/>
          <w:i w:val="0"/>
          <w:sz w:val="20"/>
          <w:szCs w:val="20"/>
          <w:lang w:val="es-ES"/>
        </w:rPr>
        <w:t>el</w:t>
      </w:r>
      <w:r w:rsidRPr="008A084A">
        <w:rPr>
          <w:rFonts w:ascii="Cambria" w:hAnsi="Cambria"/>
          <w:i w:val="0"/>
          <w:sz w:val="20"/>
          <w:szCs w:val="20"/>
          <w:lang w:val="es-ES"/>
        </w:rPr>
        <w:t xml:space="preserve"> ingreso </w:t>
      </w:r>
      <w:r w:rsidR="004D32FF" w:rsidRPr="008A084A">
        <w:rPr>
          <w:rFonts w:ascii="Cambria" w:hAnsi="Cambria"/>
          <w:i w:val="0"/>
          <w:sz w:val="20"/>
          <w:szCs w:val="20"/>
          <w:lang w:val="es-ES"/>
        </w:rPr>
        <w:t xml:space="preserve">de Luis Guachalá </w:t>
      </w:r>
      <w:r w:rsidRPr="008A084A">
        <w:rPr>
          <w:rFonts w:ascii="Cambria" w:hAnsi="Cambria"/>
          <w:i w:val="0"/>
          <w:sz w:val="20"/>
          <w:szCs w:val="20"/>
          <w:lang w:val="es-ES"/>
        </w:rPr>
        <w:t>al Hospital Psiquiátrico Julio Endara en mayo de 2003</w:t>
      </w:r>
      <w:bookmarkEnd w:id="22"/>
    </w:p>
    <w:p w:rsidR="00C461FA" w:rsidRPr="008A084A" w:rsidRDefault="00C461FA"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7C263D" w:rsidRPr="008A084A" w:rsidRDefault="008963E4" w:rsidP="007C263D">
      <w:pPr>
        <w:numPr>
          <w:ilvl w:val="0"/>
          <w:numId w:val="55"/>
        </w:numPr>
        <w:jc w:val="both"/>
        <w:rPr>
          <w:rFonts w:ascii="Cambria" w:hAnsi="Cambria"/>
          <w:sz w:val="20"/>
          <w:szCs w:val="20"/>
          <w:lang w:val="es-ES"/>
        </w:rPr>
      </w:pPr>
      <w:r w:rsidRPr="008A084A">
        <w:rPr>
          <w:rFonts w:ascii="Cambria" w:hAnsi="Cambria"/>
          <w:sz w:val="20"/>
          <w:szCs w:val="20"/>
          <w:lang w:val="es-ES"/>
        </w:rPr>
        <w:t>La señora Chimbó declaró que en mayo de 2003 llevó a su hijo al Hospital Psiquiátrico Julio Endara</w:t>
      </w:r>
      <w:r w:rsidRPr="008A084A">
        <w:rPr>
          <w:rStyle w:val="FootnoteReference"/>
          <w:rFonts w:ascii="Cambria" w:hAnsi="Cambria"/>
          <w:sz w:val="20"/>
          <w:szCs w:val="20"/>
        </w:rPr>
        <w:footnoteReference w:id="23"/>
      </w:r>
      <w:r w:rsidRPr="008A084A">
        <w:rPr>
          <w:rFonts w:ascii="Cambria" w:hAnsi="Cambria"/>
          <w:sz w:val="20"/>
          <w:szCs w:val="20"/>
          <w:lang w:val="es-ES"/>
        </w:rPr>
        <w:t xml:space="preserve">. </w:t>
      </w:r>
      <w:r w:rsidR="00B63D9A" w:rsidRPr="008A084A">
        <w:rPr>
          <w:rFonts w:ascii="Cambria" w:hAnsi="Cambria"/>
          <w:sz w:val="20"/>
          <w:szCs w:val="20"/>
          <w:lang w:val="es-ES"/>
        </w:rPr>
        <w:t>D</w:t>
      </w:r>
      <w:r w:rsidR="00B95DDC" w:rsidRPr="008A084A">
        <w:rPr>
          <w:rFonts w:ascii="Cambria" w:hAnsi="Cambria"/>
          <w:sz w:val="20"/>
          <w:szCs w:val="20"/>
          <w:lang w:val="es-ES"/>
        </w:rPr>
        <w:t>icho hospital es una dependencia del Ministerio de Salud Pública del Ecuador</w:t>
      </w:r>
      <w:r w:rsidR="00B95DDC" w:rsidRPr="008A084A">
        <w:rPr>
          <w:rStyle w:val="FootnoteReference"/>
          <w:rFonts w:ascii="Cambria" w:hAnsi="Cambria"/>
          <w:sz w:val="20"/>
          <w:szCs w:val="20"/>
        </w:rPr>
        <w:footnoteReference w:id="24"/>
      </w:r>
      <w:r w:rsidR="00B95DDC" w:rsidRPr="008A084A">
        <w:rPr>
          <w:rFonts w:ascii="Cambria" w:hAnsi="Cambria"/>
          <w:sz w:val="20"/>
          <w:szCs w:val="20"/>
          <w:lang w:val="es-ES"/>
        </w:rPr>
        <w:t>.</w:t>
      </w:r>
      <w:r w:rsidR="007C263D" w:rsidRPr="008A084A">
        <w:rPr>
          <w:rFonts w:ascii="Cambria" w:hAnsi="Cambria"/>
          <w:sz w:val="20"/>
          <w:szCs w:val="20"/>
          <w:lang w:val="es-ES"/>
        </w:rPr>
        <w:t xml:space="preserve"> El Estado detalló que dicho hospital constituye una institución pública de Tercer Nivel de Atención Especializada en Salud Mental</w:t>
      </w:r>
      <w:r w:rsidR="007C263D" w:rsidRPr="008A084A">
        <w:rPr>
          <w:rStyle w:val="FootnoteReference"/>
          <w:rFonts w:ascii="Cambria" w:hAnsi="Cambria"/>
          <w:sz w:val="20"/>
          <w:szCs w:val="20"/>
        </w:rPr>
        <w:footnoteReference w:id="25"/>
      </w:r>
      <w:r w:rsidR="007C263D" w:rsidRPr="008A084A">
        <w:rPr>
          <w:rFonts w:ascii="Cambria" w:hAnsi="Cambria"/>
          <w:sz w:val="20"/>
          <w:szCs w:val="20"/>
          <w:lang w:val="es-ES"/>
        </w:rPr>
        <w:t>.</w:t>
      </w:r>
      <w:r w:rsidR="009455B1" w:rsidRPr="008A084A">
        <w:rPr>
          <w:rFonts w:ascii="Cambria" w:hAnsi="Cambria"/>
          <w:sz w:val="20"/>
          <w:szCs w:val="20"/>
          <w:lang w:val="es-ES"/>
        </w:rPr>
        <w:t xml:space="preserve"> </w:t>
      </w:r>
      <w:r w:rsidR="00CB2425" w:rsidRPr="008A084A">
        <w:rPr>
          <w:rFonts w:ascii="Cambria" w:hAnsi="Cambria"/>
          <w:sz w:val="20"/>
          <w:szCs w:val="20"/>
          <w:lang w:val="es-ES"/>
        </w:rPr>
        <w:t>De acuerdo a un oficio de dicho hospital, tiene un área de 303,897 metros cuadrados  “con extensos jardines y áreas verdes”</w:t>
      </w:r>
      <w:r w:rsidR="00CB2425" w:rsidRPr="008A084A">
        <w:rPr>
          <w:rStyle w:val="FootnoteReference"/>
          <w:rFonts w:ascii="Cambria" w:hAnsi="Cambria"/>
          <w:sz w:val="20"/>
          <w:szCs w:val="20"/>
          <w:lang w:val="es-ES"/>
        </w:rPr>
        <w:footnoteReference w:id="26"/>
      </w:r>
      <w:r w:rsidR="00CB2425" w:rsidRPr="008A084A">
        <w:rPr>
          <w:rFonts w:ascii="Cambria" w:hAnsi="Cambria"/>
          <w:sz w:val="20"/>
          <w:szCs w:val="20"/>
          <w:lang w:val="es-ES"/>
        </w:rPr>
        <w:t xml:space="preserve">. </w:t>
      </w:r>
      <w:r w:rsidR="00D83944" w:rsidRPr="008A084A">
        <w:rPr>
          <w:rFonts w:ascii="Cambria" w:hAnsi="Cambria"/>
          <w:sz w:val="20"/>
          <w:szCs w:val="20"/>
          <w:lang w:val="es-ES"/>
        </w:rPr>
        <w:t>Asimismo, se indica que el hospital tiene como objetivo “dar una mejor asistencia a los pacientes que padecen enfermedades mentales”</w:t>
      </w:r>
      <w:r w:rsidR="00D83944" w:rsidRPr="008A084A">
        <w:rPr>
          <w:rStyle w:val="FootnoteReference"/>
          <w:rFonts w:ascii="Cambria" w:hAnsi="Cambria"/>
          <w:sz w:val="20"/>
          <w:szCs w:val="20"/>
          <w:lang w:val="es-ES"/>
        </w:rPr>
        <w:footnoteReference w:id="27"/>
      </w:r>
      <w:r w:rsidR="00D83944" w:rsidRPr="008A084A">
        <w:rPr>
          <w:rFonts w:ascii="Cambria" w:hAnsi="Cambria"/>
          <w:sz w:val="20"/>
          <w:szCs w:val="20"/>
          <w:lang w:val="es-ES"/>
        </w:rPr>
        <w:t>.</w:t>
      </w:r>
    </w:p>
    <w:p w:rsidR="00B95DDC" w:rsidRPr="008A084A" w:rsidRDefault="00B95DDC" w:rsidP="007C263D">
      <w:pPr>
        <w:jc w:val="both"/>
        <w:rPr>
          <w:rFonts w:ascii="Cambria" w:hAnsi="Cambria"/>
          <w:sz w:val="20"/>
          <w:szCs w:val="20"/>
          <w:lang w:val="es-ES"/>
        </w:rPr>
      </w:pPr>
    </w:p>
    <w:p w:rsidR="00441CFA" w:rsidRPr="008A084A" w:rsidRDefault="00486BA1" w:rsidP="0057697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r w:rsidRPr="008A084A">
        <w:rPr>
          <w:rFonts w:ascii="Cambria" w:hAnsi="Cambria"/>
          <w:color w:val="auto"/>
          <w:sz w:val="20"/>
          <w:szCs w:val="20"/>
          <w:lang w:val="es-ES"/>
        </w:rPr>
        <w:t>Los detalles que se describen a continuación sobre este primer ingreso al hospital y lo sucedido posteriormente, resultan de la declaración jurada de la</w:t>
      </w:r>
      <w:r w:rsidR="00441CFA" w:rsidRPr="008A084A">
        <w:rPr>
          <w:rFonts w:ascii="Cambria" w:hAnsi="Cambria"/>
          <w:color w:val="auto"/>
          <w:sz w:val="20"/>
          <w:szCs w:val="20"/>
          <w:lang w:val="es-ES"/>
        </w:rPr>
        <w:t xml:space="preserve"> madre del señor Luis Guachalá</w:t>
      </w:r>
      <w:r w:rsidRPr="008A084A">
        <w:rPr>
          <w:rStyle w:val="FootnoteReference"/>
          <w:rFonts w:ascii="Cambria" w:hAnsi="Cambria"/>
          <w:color w:val="auto"/>
          <w:sz w:val="20"/>
          <w:szCs w:val="20"/>
        </w:rPr>
        <w:footnoteReference w:id="28"/>
      </w:r>
      <w:r w:rsidRPr="008A084A">
        <w:rPr>
          <w:rFonts w:ascii="Cambria" w:hAnsi="Cambria"/>
          <w:color w:val="auto"/>
          <w:sz w:val="20"/>
          <w:szCs w:val="20"/>
          <w:lang w:val="es-ES"/>
        </w:rPr>
        <w:t xml:space="preserve">. </w:t>
      </w:r>
    </w:p>
    <w:p w:rsidR="00C56A2E" w:rsidRPr="008A084A" w:rsidRDefault="00C56A2E" w:rsidP="00576977">
      <w:pPr>
        <w:jc w:val="both"/>
        <w:rPr>
          <w:rFonts w:ascii="Cambria" w:hAnsi="Cambria"/>
          <w:sz w:val="20"/>
          <w:szCs w:val="20"/>
          <w:lang w:val="es-ES"/>
        </w:rPr>
      </w:pPr>
    </w:p>
    <w:p w:rsidR="00590E0F" w:rsidRPr="008A084A" w:rsidRDefault="00B95DDC" w:rsidP="00B95DDC">
      <w:pPr>
        <w:numPr>
          <w:ilvl w:val="0"/>
          <w:numId w:val="55"/>
        </w:numPr>
        <w:jc w:val="both"/>
        <w:rPr>
          <w:rFonts w:ascii="Cambria" w:hAnsi="Cambria"/>
          <w:sz w:val="20"/>
          <w:szCs w:val="20"/>
          <w:lang w:val="es-ES"/>
        </w:rPr>
      </w:pPr>
      <w:r w:rsidRPr="008A084A">
        <w:rPr>
          <w:rFonts w:ascii="Cambria" w:hAnsi="Cambria"/>
          <w:sz w:val="20"/>
          <w:szCs w:val="20"/>
          <w:lang w:val="es-ES"/>
        </w:rPr>
        <w:t>La señora Chimbó i</w:t>
      </w:r>
      <w:r w:rsidR="008963E4" w:rsidRPr="008A084A">
        <w:rPr>
          <w:rFonts w:ascii="Cambria" w:hAnsi="Cambria"/>
          <w:sz w:val="20"/>
          <w:szCs w:val="20"/>
          <w:lang w:val="es-ES"/>
        </w:rPr>
        <w:t xml:space="preserve">ndicó que un vecino le recomendó dicho hospital puesto que él mismo estuvo en esa institución durante un tiempo, y que ahí “podía(n) curar a (su) hijo”. </w:t>
      </w:r>
      <w:r w:rsidR="00315CC9" w:rsidRPr="008A084A">
        <w:rPr>
          <w:rFonts w:ascii="Cambria" w:hAnsi="Cambria"/>
          <w:sz w:val="20"/>
          <w:szCs w:val="20"/>
          <w:lang w:val="es-ES"/>
        </w:rPr>
        <w:t>S</w:t>
      </w:r>
      <w:r w:rsidR="008963E4" w:rsidRPr="008A084A">
        <w:rPr>
          <w:rFonts w:ascii="Cambria" w:hAnsi="Cambria"/>
          <w:sz w:val="20"/>
          <w:szCs w:val="20"/>
          <w:lang w:val="es-ES"/>
        </w:rPr>
        <w:t>ostuvo que decidió llevarlo al hospital en tanto su hijo “se puso ya malito, ya se puso agresivo”.</w:t>
      </w:r>
      <w:r w:rsidR="00DD10AB" w:rsidRPr="008A084A">
        <w:rPr>
          <w:rFonts w:ascii="Cambria" w:hAnsi="Cambria"/>
          <w:sz w:val="20"/>
          <w:szCs w:val="20"/>
          <w:lang w:val="es-ES"/>
        </w:rPr>
        <w:t xml:space="preserve"> Indicó que al llegar, Luis Guachalá fue examinado por un médico del hospital, quien le dijo que su hijo “debía quedar internado” y que comprara medicamentos para él. La señora Chimbó manifestó que firmó </w:t>
      </w:r>
      <w:r w:rsidRPr="008A084A">
        <w:rPr>
          <w:rFonts w:ascii="Cambria" w:hAnsi="Cambria"/>
          <w:sz w:val="20"/>
          <w:szCs w:val="20"/>
          <w:lang w:val="es-ES"/>
        </w:rPr>
        <w:t xml:space="preserve">algunos </w:t>
      </w:r>
      <w:r w:rsidR="00DD10AB" w:rsidRPr="008A084A">
        <w:rPr>
          <w:rFonts w:ascii="Cambria" w:hAnsi="Cambria"/>
          <w:sz w:val="20"/>
          <w:szCs w:val="20"/>
          <w:lang w:val="es-ES"/>
        </w:rPr>
        <w:t>documentos a efectos de autorizar que su hijo</w:t>
      </w:r>
      <w:r w:rsidR="00572BF9" w:rsidRPr="008A084A">
        <w:rPr>
          <w:rFonts w:ascii="Cambria" w:hAnsi="Cambria"/>
          <w:sz w:val="20"/>
          <w:szCs w:val="20"/>
          <w:lang w:val="es-ES"/>
        </w:rPr>
        <w:t xml:space="preserve"> se quede en el hospital por un mes. </w:t>
      </w:r>
    </w:p>
    <w:p w:rsidR="00590E0F" w:rsidRPr="008A084A" w:rsidRDefault="00590E0F"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8963E4" w:rsidRPr="008A084A" w:rsidRDefault="00572BF9" w:rsidP="00B95DDC">
      <w:pPr>
        <w:numPr>
          <w:ilvl w:val="0"/>
          <w:numId w:val="55"/>
        </w:numPr>
        <w:jc w:val="both"/>
        <w:rPr>
          <w:rFonts w:ascii="Cambria" w:hAnsi="Cambria"/>
          <w:sz w:val="20"/>
          <w:szCs w:val="20"/>
          <w:lang w:val="es-ES"/>
        </w:rPr>
      </w:pPr>
      <w:r w:rsidRPr="008A084A">
        <w:rPr>
          <w:rFonts w:ascii="Cambria" w:hAnsi="Cambria"/>
          <w:sz w:val="20"/>
          <w:szCs w:val="20"/>
          <w:lang w:val="es-ES"/>
        </w:rPr>
        <w:t xml:space="preserve">Sostuvo que Luis Guachalá se quedó durante todo el mes de mayo </w:t>
      </w:r>
      <w:r w:rsidR="00315CC9" w:rsidRPr="008A084A">
        <w:rPr>
          <w:rFonts w:ascii="Cambria" w:hAnsi="Cambria"/>
          <w:sz w:val="20"/>
          <w:szCs w:val="20"/>
          <w:lang w:val="es-ES"/>
        </w:rPr>
        <w:t xml:space="preserve">de 2003 </w:t>
      </w:r>
      <w:r w:rsidRPr="008A084A">
        <w:rPr>
          <w:rFonts w:ascii="Cambria" w:hAnsi="Cambria"/>
          <w:sz w:val="20"/>
          <w:szCs w:val="20"/>
          <w:lang w:val="es-ES"/>
        </w:rPr>
        <w:t>en el hospital. Indicó que lo visitaba una vez cada dos días</w:t>
      </w:r>
      <w:r w:rsidR="00590E0F" w:rsidRPr="008A084A">
        <w:rPr>
          <w:rFonts w:ascii="Cambria" w:hAnsi="Cambria"/>
          <w:sz w:val="20"/>
          <w:szCs w:val="20"/>
          <w:lang w:val="es-ES"/>
        </w:rPr>
        <w:t xml:space="preserve"> durante tres horas aproximadamente</w:t>
      </w:r>
      <w:r w:rsidR="00315CC9" w:rsidRPr="008A084A">
        <w:rPr>
          <w:rFonts w:ascii="Cambria" w:hAnsi="Cambria"/>
          <w:sz w:val="20"/>
          <w:szCs w:val="20"/>
          <w:lang w:val="es-ES"/>
        </w:rPr>
        <w:t xml:space="preserve"> y </w:t>
      </w:r>
      <w:r w:rsidR="008255D2" w:rsidRPr="008A084A">
        <w:rPr>
          <w:rFonts w:ascii="Cambria" w:hAnsi="Cambria"/>
          <w:sz w:val="20"/>
          <w:szCs w:val="20"/>
          <w:lang w:val="es-ES"/>
        </w:rPr>
        <w:t>que nunca tuvo ningún problema para ingresar y conversar con su hijo. También</w:t>
      </w:r>
      <w:r w:rsidR="003723A2" w:rsidRPr="008A084A">
        <w:rPr>
          <w:rFonts w:ascii="Cambria" w:hAnsi="Cambria"/>
          <w:sz w:val="20"/>
          <w:szCs w:val="20"/>
          <w:lang w:val="es-ES"/>
        </w:rPr>
        <w:t xml:space="preserve"> señaló </w:t>
      </w:r>
      <w:r w:rsidR="008255D2" w:rsidRPr="008A084A">
        <w:rPr>
          <w:rFonts w:ascii="Cambria" w:hAnsi="Cambria"/>
          <w:sz w:val="20"/>
          <w:szCs w:val="20"/>
          <w:lang w:val="es-ES"/>
        </w:rPr>
        <w:t>que conversaba regularmente con el personal médico del hospital, quienes le indicaban cómo se encontraba el estado de salud</w:t>
      </w:r>
      <w:r w:rsidR="009326EF" w:rsidRPr="008A084A">
        <w:rPr>
          <w:rFonts w:ascii="Cambria" w:hAnsi="Cambria"/>
          <w:sz w:val="20"/>
          <w:szCs w:val="20"/>
          <w:lang w:val="es-ES"/>
        </w:rPr>
        <w:t xml:space="preserve"> de su hijo.</w:t>
      </w:r>
    </w:p>
    <w:p w:rsidR="009326EF" w:rsidRPr="008A084A" w:rsidRDefault="009326EF"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611C09" w:rsidRPr="008A084A" w:rsidRDefault="009326EF" w:rsidP="001B07CF">
      <w:pPr>
        <w:numPr>
          <w:ilvl w:val="0"/>
          <w:numId w:val="55"/>
        </w:numPr>
        <w:jc w:val="both"/>
        <w:rPr>
          <w:rFonts w:ascii="Cambria" w:hAnsi="Cambria"/>
          <w:sz w:val="20"/>
          <w:szCs w:val="20"/>
          <w:lang w:val="es-ES"/>
        </w:rPr>
      </w:pPr>
      <w:r w:rsidRPr="008A084A">
        <w:rPr>
          <w:rFonts w:ascii="Cambria" w:hAnsi="Cambria"/>
          <w:sz w:val="20"/>
          <w:szCs w:val="20"/>
          <w:lang w:val="es-ES"/>
        </w:rPr>
        <w:t>Indicó que en la primera conversación que tuvo con su hijo, éste le preguntó por qué lo había dejado en el hospital. Ella manifestó que le dijo que era para que se cure. Sostuvo que una semana después de haber sido internado, su hijo Luis le indicó que “</w:t>
      </w:r>
      <w:proofErr w:type="spellStart"/>
      <w:proofErr w:type="gramStart"/>
      <w:r w:rsidRPr="008A084A">
        <w:rPr>
          <w:rFonts w:ascii="Cambria" w:hAnsi="Cambria"/>
          <w:sz w:val="20"/>
          <w:szCs w:val="20"/>
          <w:lang w:val="es-ES"/>
        </w:rPr>
        <w:t>qu</w:t>
      </w:r>
      <w:proofErr w:type="spellEnd"/>
      <w:r w:rsidRPr="008A084A">
        <w:rPr>
          <w:rFonts w:ascii="Cambria" w:hAnsi="Cambria"/>
          <w:sz w:val="20"/>
          <w:szCs w:val="20"/>
          <w:lang w:val="es-ES"/>
        </w:rPr>
        <w:t>(</w:t>
      </w:r>
      <w:proofErr w:type="gramEnd"/>
      <w:r w:rsidRPr="008A084A">
        <w:rPr>
          <w:rFonts w:ascii="Cambria" w:hAnsi="Cambria"/>
          <w:sz w:val="20"/>
          <w:szCs w:val="20"/>
          <w:lang w:val="es-ES"/>
        </w:rPr>
        <w:t xml:space="preserve">ería) ir a la casa”. Manifestó que le dijo que “no, que debía salir sanito de allí”. </w:t>
      </w:r>
      <w:r w:rsidR="00B95DDC" w:rsidRPr="008A084A">
        <w:rPr>
          <w:rFonts w:ascii="Cambria" w:hAnsi="Cambria"/>
          <w:sz w:val="20"/>
          <w:szCs w:val="20"/>
          <w:lang w:val="es-ES"/>
        </w:rPr>
        <w:t>Sostuvo</w:t>
      </w:r>
      <w:r w:rsidRPr="008A084A">
        <w:rPr>
          <w:rFonts w:ascii="Cambria" w:hAnsi="Cambria"/>
          <w:sz w:val="20"/>
          <w:szCs w:val="20"/>
          <w:lang w:val="es-ES"/>
        </w:rPr>
        <w:t xml:space="preserve"> que después de ello “él se quedó tranquilo”. </w:t>
      </w:r>
    </w:p>
    <w:p w:rsidR="00611C09" w:rsidRPr="008A084A" w:rsidRDefault="00611C09"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9326EF" w:rsidRPr="008A084A" w:rsidRDefault="00FE3C3E" w:rsidP="00CB5425">
      <w:pPr>
        <w:numPr>
          <w:ilvl w:val="0"/>
          <w:numId w:val="55"/>
        </w:numPr>
        <w:jc w:val="both"/>
        <w:rPr>
          <w:rFonts w:ascii="Cambria" w:hAnsi="Cambria"/>
          <w:sz w:val="20"/>
          <w:szCs w:val="20"/>
          <w:lang w:val="es-ES"/>
        </w:rPr>
      </w:pPr>
      <w:r w:rsidRPr="008A084A">
        <w:rPr>
          <w:rFonts w:ascii="Cambria" w:hAnsi="Cambria"/>
          <w:sz w:val="20"/>
          <w:szCs w:val="20"/>
          <w:lang w:val="es-ES"/>
        </w:rPr>
        <w:t>La señora Chimbó sostuvo que en una ocasión su hijo le manifestó preocupado que en el hospital le pegaban a “los enfermos que están (...) más malitos”.</w:t>
      </w:r>
      <w:r w:rsidR="00611C09" w:rsidRPr="008A084A">
        <w:rPr>
          <w:rFonts w:ascii="Cambria" w:hAnsi="Cambria"/>
          <w:sz w:val="20"/>
          <w:szCs w:val="20"/>
          <w:lang w:val="es-ES"/>
        </w:rPr>
        <w:t xml:space="preserve"> Indicó que a él no lo habían golpeado.</w:t>
      </w:r>
      <w:r w:rsidR="00CB5425" w:rsidRPr="008A084A">
        <w:rPr>
          <w:rFonts w:ascii="Cambria" w:hAnsi="Cambria"/>
          <w:sz w:val="20"/>
          <w:szCs w:val="20"/>
          <w:lang w:val="es-ES"/>
        </w:rPr>
        <w:t xml:space="preserve"> </w:t>
      </w:r>
      <w:r w:rsidR="00DC582F" w:rsidRPr="008A084A">
        <w:rPr>
          <w:rFonts w:ascii="Cambria" w:hAnsi="Cambria"/>
          <w:sz w:val="20"/>
          <w:szCs w:val="20"/>
          <w:lang w:val="es-ES"/>
        </w:rPr>
        <w:t>También señaló que su hijo le indicó que “uno de los enfermos era grosero (...), le quitaba las manzanas</w:t>
      </w:r>
      <w:r w:rsidR="007D74B2" w:rsidRPr="008A084A">
        <w:rPr>
          <w:rFonts w:ascii="Cambria" w:hAnsi="Cambria"/>
          <w:sz w:val="20"/>
          <w:szCs w:val="20"/>
          <w:lang w:val="es-ES"/>
        </w:rPr>
        <w:t>, las mandarinas que (...) le dejaba</w:t>
      </w:r>
      <w:r w:rsidR="00DC582F" w:rsidRPr="008A084A">
        <w:rPr>
          <w:rFonts w:ascii="Cambria" w:hAnsi="Cambria"/>
          <w:sz w:val="20"/>
          <w:szCs w:val="20"/>
          <w:lang w:val="es-ES"/>
        </w:rPr>
        <w:t>”</w:t>
      </w:r>
      <w:r w:rsidR="007D74B2" w:rsidRPr="008A084A">
        <w:rPr>
          <w:rFonts w:ascii="Cambria" w:hAnsi="Cambria"/>
          <w:sz w:val="20"/>
          <w:szCs w:val="20"/>
          <w:lang w:val="es-ES"/>
        </w:rPr>
        <w:t>.</w:t>
      </w:r>
    </w:p>
    <w:p w:rsidR="007D74B2" w:rsidRDefault="007D74B2"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671C11" w:rsidRDefault="00671C11"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7F1975" w:rsidRPr="008A084A" w:rsidRDefault="007D74B2" w:rsidP="00CB5425">
      <w:pPr>
        <w:numPr>
          <w:ilvl w:val="0"/>
          <w:numId w:val="55"/>
        </w:numPr>
        <w:jc w:val="both"/>
        <w:rPr>
          <w:rFonts w:ascii="Cambria" w:hAnsi="Cambria"/>
          <w:sz w:val="20"/>
          <w:szCs w:val="20"/>
          <w:lang w:val="es-ES"/>
        </w:rPr>
      </w:pPr>
      <w:r w:rsidRPr="008A084A">
        <w:rPr>
          <w:rFonts w:ascii="Cambria" w:hAnsi="Cambria"/>
          <w:sz w:val="20"/>
          <w:szCs w:val="20"/>
          <w:lang w:val="es-ES"/>
        </w:rPr>
        <w:lastRenderedPageBreak/>
        <w:t xml:space="preserve">La señora Chimbó indicó que </w:t>
      </w:r>
      <w:r w:rsidR="00FC5749" w:rsidRPr="008A084A">
        <w:rPr>
          <w:rFonts w:ascii="Cambria" w:hAnsi="Cambria"/>
          <w:sz w:val="20"/>
          <w:szCs w:val="20"/>
          <w:lang w:val="es-ES"/>
        </w:rPr>
        <w:t xml:space="preserve">a fines de mayo, la doctora del hospital, Erika </w:t>
      </w:r>
      <w:proofErr w:type="spellStart"/>
      <w:r w:rsidR="00FC5749" w:rsidRPr="008A084A">
        <w:rPr>
          <w:rFonts w:ascii="Cambria" w:hAnsi="Cambria"/>
          <w:sz w:val="20"/>
          <w:szCs w:val="20"/>
          <w:lang w:val="es-ES"/>
        </w:rPr>
        <w:t>Quimbuilco</w:t>
      </w:r>
      <w:proofErr w:type="spellEnd"/>
      <w:r w:rsidR="00FC5749" w:rsidRPr="008A084A">
        <w:rPr>
          <w:rFonts w:ascii="Cambria" w:hAnsi="Cambria"/>
          <w:sz w:val="20"/>
          <w:szCs w:val="20"/>
          <w:lang w:val="es-ES"/>
        </w:rPr>
        <w:t xml:space="preserve">, le dijo que Luis sería dado de alta. </w:t>
      </w:r>
      <w:r w:rsidR="00486BA1" w:rsidRPr="008A084A">
        <w:rPr>
          <w:rFonts w:ascii="Cambria" w:hAnsi="Cambria"/>
          <w:sz w:val="20"/>
          <w:szCs w:val="20"/>
          <w:lang w:val="es-ES"/>
        </w:rPr>
        <w:t xml:space="preserve">Señaló </w:t>
      </w:r>
      <w:r w:rsidR="00FC5749" w:rsidRPr="008A084A">
        <w:rPr>
          <w:rFonts w:ascii="Cambria" w:hAnsi="Cambria"/>
          <w:sz w:val="20"/>
          <w:szCs w:val="20"/>
          <w:lang w:val="es-ES"/>
        </w:rPr>
        <w:t>que debía llevar a su hijo en junio de ese mismo año para que le hagan un nuevo examen</w:t>
      </w:r>
      <w:r w:rsidR="00486BA1" w:rsidRPr="008A084A">
        <w:rPr>
          <w:rFonts w:ascii="Cambria" w:hAnsi="Cambria"/>
          <w:sz w:val="20"/>
          <w:szCs w:val="20"/>
          <w:lang w:val="es-ES"/>
        </w:rPr>
        <w:t xml:space="preserve"> pero que no pudo llevarlo por falta de dinero. Indicó</w:t>
      </w:r>
      <w:r w:rsidR="007F1975" w:rsidRPr="008A084A">
        <w:rPr>
          <w:rFonts w:ascii="Cambria" w:hAnsi="Cambria"/>
          <w:sz w:val="20"/>
          <w:szCs w:val="20"/>
          <w:lang w:val="es-ES"/>
        </w:rPr>
        <w:t xml:space="preserve"> que no hubo seguimiento por parte del personal médico ni de trabajo social del hospital.</w:t>
      </w:r>
    </w:p>
    <w:p w:rsidR="007F1975" w:rsidRPr="008A084A" w:rsidRDefault="007F1975"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4C60F1" w:rsidRPr="008A084A" w:rsidRDefault="007F1975" w:rsidP="00CB5425">
      <w:pPr>
        <w:numPr>
          <w:ilvl w:val="0"/>
          <w:numId w:val="55"/>
        </w:numPr>
        <w:jc w:val="both"/>
        <w:rPr>
          <w:rFonts w:ascii="Cambria" w:hAnsi="Cambria"/>
          <w:sz w:val="20"/>
          <w:szCs w:val="20"/>
          <w:lang w:val="es-ES"/>
        </w:rPr>
      </w:pPr>
      <w:r w:rsidRPr="008A084A">
        <w:rPr>
          <w:rFonts w:ascii="Cambria" w:hAnsi="Cambria"/>
          <w:sz w:val="20"/>
          <w:szCs w:val="20"/>
          <w:lang w:val="es-ES"/>
        </w:rPr>
        <w:t>La señora Chimbó manifestó que para diciembre de 2003 las crisis de su hijo regresaron y se agravaron. Sostuvo que a inicios de enero de 2004</w:t>
      </w:r>
      <w:r w:rsidR="004C60F1" w:rsidRPr="008A084A">
        <w:rPr>
          <w:rFonts w:ascii="Cambria" w:hAnsi="Cambria"/>
          <w:sz w:val="20"/>
          <w:szCs w:val="20"/>
          <w:lang w:val="es-ES"/>
        </w:rPr>
        <w:t xml:space="preserve"> sucedió lo siguiente con su hijo</w:t>
      </w:r>
      <w:r w:rsidRPr="008A084A">
        <w:rPr>
          <w:rFonts w:ascii="Cambria" w:hAnsi="Cambria"/>
          <w:sz w:val="20"/>
          <w:szCs w:val="20"/>
          <w:lang w:val="es-ES"/>
        </w:rPr>
        <w:t xml:space="preserve"> Luis</w:t>
      </w:r>
      <w:r w:rsidR="004C60F1" w:rsidRPr="008A084A">
        <w:rPr>
          <w:rFonts w:ascii="Cambria" w:hAnsi="Cambria"/>
          <w:sz w:val="20"/>
          <w:szCs w:val="20"/>
          <w:lang w:val="es-ES"/>
        </w:rPr>
        <w:t>:</w:t>
      </w:r>
    </w:p>
    <w:p w:rsidR="004C60F1" w:rsidRPr="008A084A" w:rsidRDefault="004C60F1"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7D74B2" w:rsidRPr="008A084A" w:rsidRDefault="004C60F1" w:rsidP="0077746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olor w:val="auto"/>
          <w:sz w:val="20"/>
          <w:szCs w:val="20"/>
        </w:rPr>
      </w:pPr>
      <w:r w:rsidRPr="008A084A">
        <w:rPr>
          <w:rFonts w:ascii="Cambria" w:hAnsi="Cambria"/>
          <w:color w:val="auto"/>
          <w:sz w:val="20"/>
          <w:szCs w:val="20"/>
        </w:rPr>
        <w:t xml:space="preserve">(...) </w:t>
      </w:r>
      <w:r w:rsidR="007F1975" w:rsidRPr="008A084A">
        <w:rPr>
          <w:rFonts w:ascii="Cambria" w:hAnsi="Cambria"/>
          <w:color w:val="auto"/>
          <w:sz w:val="20"/>
          <w:szCs w:val="20"/>
        </w:rPr>
        <w:t>empezó a reírse solo, a mirar al techo</w:t>
      </w:r>
      <w:r w:rsidRPr="008A084A">
        <w:rPr>
          <w:rFonts w:ascii="Cambria" w:hAnsi="Cambria"/>
          <w:color w:val="auto"/>
          <w:sz w:val="20"/>
          <w:szCs w:val="20"/>
        </w:rPr>
        <w:t>, cogía las cosas y se les quedaba mirando, como ido, como ausente, no se daba cuenta de que estaba con otras personas, se hacía sus necesidades en el pantalón, no avisaba, yo debía bañarle (...). Se puso agresivo también y desde el siete de enero ya no comía nada más (...). Las crisis epilépticas le daban cada media hora desde el ocho de enero (...). El nueve de enero amaneció más mal, ya no reconocía a nadie, las crisis continuaban, estaba agresivo, en un momento que me empujó a mí, parece que se dio</w:t>
      </w:r>
      <w:r w:rsidR="0077746B" w:rsidRPr="008A084A">
        <w:rPr>
          <w:rFonts w:ascii="Cambria" w:hAnsi="Cambria"/>
          <w:color w:val="auto"/>
          <w:sz w:val="20"/>
          <w:szCs w:val="20"/>
        </w:rPr>
        <w:t xml:space="preserve"> cuent</w:t>
      </w:r>
      <w:r w:rsidR="004D32FF" w:rsidRPr="008A084A">
        <w:rPr>
          <w:rFonts w:ascii="Cambria" w:hAnsi="Cambria"/>
          <w:color w:val="auto"/>
          <w:sz w:val="20"/>
          <w:szCs w:val="20"/>
        </w:rPr>
        <w:t>a, se quedó quieto y le salieron lágrimas, no comió nada.</w:t>
      </w:r>
    </w:p>
    <w:p w:rsidR="0097393D" w:rsidRPr="008A084A" w:rsidRDefault="0097393D"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A17F16" w:rsidRPr="008A084A" w:rsidRDefault="00A17F16" w:rsidP="00B329C1">
      <w:pPr>
        <w:pStyle w:val="Heading2"/>
        <w:numPr>
          <w:ilvl w:val="0"/>
          <w:numId w:val="59"/>
        </w:numPr>
        <w:spacing w:before="0" w:after="0"/>
        <w:ind w:left="1440" w:hanging="720"/>
        <w:jc w:val="both"/>
        <w:rPr>
          <w:rFonts w:ascii="Cambria" w:hAnsi="Cambria"/>
          <w:i w:val="0"/>
          <w:sz w:val="20"/>
          <w:szCs w:val="20"/>
          <w:lang w:val="es-ES"/>
        </w:rPr>
      </w:pPr>
      <w:bookmarkStart w:id="23" w:name="_Toc525547504"/>
      <w:r w:rsidRPr="008A084A">
        <w:rPr>
          <w:rFonts w:ascii="Cambria" w:hAnsi="Cambria"/>
          <w:i w:val="0"/>
          <w:sz w:val="20"/>
          <w:szCs w:val="20"/>
          <w:lang w:val="es-ES"/>
        </w:rPr>
        <w:t>Sobre el ingreso de Luis Guachalá</w:t>
      </w:r>
      <w:r w:rsidR="004D32FF" w:rsidRPr="008A084A">
        <w:rPr>
          <w:rFonts w:ascii="Cambria" w:hAnsi="Cambria"/>
          <w:i w:val="0"/>
          <w:sz w:val="20"/>
          <w:szCs w:val="20"/>
          <w:lang w:val="es-ES"/>
        </w:rPr>
        <w:t xml:space="preserve"> al Hospital Psiquiátrico Julio Endara en enero de 2004</w:t>
      </w:r>
      <w:bookmarkEnd w:id="23"/>
    </w:p>
    <w:p w:rsidR="00C56A2E" w:rsidRPr="008A084A" w:rsidRDefault="00C56A2E"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9A697D" w:rsidRPr="008A084A" w:rsidRDefault="00FC1D50" w:rsidP="0077693C">
      <w:pPr>
        <w:numPr>
          <w:ilvl w:val="0"/>
          <w:numId w:val="55"/>
        </w:numPr>
        <w:jc w:val="both"/>
        <w:rPr>
          <w:rFonts w:ascii="Cambria" w:hAnsi="Cambria"/>
          <w:sz w:val="20"/>
          <w:szCs w:val="20"/>
          <w:lang w:val="es-ES"/>
        </w:rPr>
      </w:pPr>
      <w:r w:rsidRPr="008A084A">
        <w:rPr>
          <w:rFonts w:ascii="Cambria" w:hAnsi="Cambria"/>
          <w:sz w:val="20"/>
          <w:szCs w:val="20"/>
          <w:lang w:val="es-ES"/>
        </w:rPr>
        <w:t>El 10 de enero de 2004 la señora Chimbó</w:t>
      </w:r>
      <w:r w:rsidR="00B809F6" w:rsidRPr="008A084A">
        <w:rPr>
          <w:rFonts w:ascii="Cambria" w:hAnsi="Cambria"/>
          <w:sz w:val="20"/>
          <w:szCs w:val="20"/>
          <w:lang w:val="es-ES"/>
        </w:rPr>
        <w:t xml:space="preserve"> </w:t>
      </w:r>
      <w:r w:rsidR="008C01A8" w:rsidRPr="008A084A">
        <w:rPr>
          <w:rFonts w:ascii="Cambria" w:hAnsi="Cambria"/>
          <w:sz w:val="20"/>
          <w:szCs w:val="20"/>
          <w:lang w:val="es-ES"/>
        </w:rPr>
        <w:t xml:space="preserve">llevó </w:t>
      </w:r>
      <w:r w:rsidR="00CB5425" w:rsidRPr="008A084A">
        <w:rPr>
          <w:rFonts w:ascii="Cambria" w:hAnsi="Cambria"/>
          <w:sz w:val="20"/>
          <w:szCs w:val="20"/>
          <w:lang w:val="es-ES"/>
        </w:rPr>
        <w:t xml:space="preserve">nuevamente </w:t>
      </w:r>
      <w:r w:rsidR="008C01A8" w:rsidRPr="008A084A">
        <w:rPr>
          <w:rFonts w:ascii="Cambria" w:hAnsi="Cambria"/>
          <w:sz w:val="20"/>
          <w:szCs w:val="20"/>
          <w:lang w:val="es-ES"/>
        </w:rPr>
        <w:t>a su hijo</w:t>
      </w:r>
      <w:r w:rsidR="00B809F6" w:rsidRPr="008A084A">
        <w:rPr>
          <w:rFonts w:ascii="Cambria" w:hAnsi="Cambria"/>
          <w:sz w:val="20"/>
          <w:szCs w:val="20"/>
          <w:lang w:val="es-ES"/>
        </w:rPr>
        <w:t xml:space="preserve"> al Hospital Psiquiátrico Julio Endara</w:t>
      </w:r>
      <w:r w:rsidR="00B809F6" w:rsidRPr="008A084A">
        <w:rPr>
          <w:rStyle w:val="FootnoteReference"/>
          <w:rFonts w:ascii="Cambria" w:hAnsi="Cambria"/>
          <w:sz w:val="20"/>
          <w:szCs w:val="20"/>
        </w:rPr>
        <w:footnoteReference w:id="29"/>
      </w:r>
      <w:r w:rsidR="00B809F6" w:rsidRPr="008A084A">
        <w:rPr>
          <w:rFonts w:ascii="Cambria" w:hAnsi="Cambria"/>
          <w:sz w:val="20"/>
          <w:szCs w:val="20"/>
          <w:lang w:val="es-ES"/>
        </w:rPr>
        <w:t>.</w:t>
      </w:r>
      <w:r w:rsidR="005B246E" w:rsidRPr="008A084A">
        <w:rPr>
          <w:rFonts w:ascii="Cambria" w:hAnsi="Cambria"/>
          <w:sz w:val="20"/>
          <w:szCs w:val="20"/>
          <w:lang w:val="es-ES"/>
        </w:rPr>
        <w:t xml:space="preserve"> </w:t>
      </w:r>
      <w:r w:rsidR="008E20B3" w:rsidRPr="008A084A">
        <w:rPr>
          <w:rFonts w:ascii="Cambria" w:hAnsi="Cambria"/>
          <w:sz w:val="20"/>
          <w:szCs w:val="20"/>
          <w:lang w:val="es-ES"/>
        </w:rPr>
        <w:t>El señor Guachalá fue recibido por el médico residente de turno y personal de enfermería</w:t>
      </w:r>
      <w:r w:rsidR="008E20B3" w:rsidRPr="008A084A">
        <w:rPr>
          <w:rStyle w:val="FootnoteReference"/>
          <w:rFonts w:ascii="Cambria" w:hAnsi="Cambria"/>
          <w:sz w:val="20"/>
          <w:szCs w:val="20"/>
        </w:rPr>
        <w:footnoteReference w:id="30"/>
      </w:r>
      <w:r w:rsidR="008E20B3" w:rsidRPr="008A084A">
        <w:rPr>
          <w:rFonts w:ascii="Cambria" w:hAnsi="Cambria"/>
          <w:sz w:val="20"/>
          <w:szCs w:val="20"/>
          <w:lang w:val="es-ES"/>
        </w:rPr>
        <w:t>. De acuerdo al informe de la institución, el motivo de su ingreso se debió a los siguientes factores: “agresividad física y verbal, impulsividad, conducta discordante, insomnio, mutismo, actitudes alucinatorias, crisis convulsivas (...) generalizadas”</w:t>
      </w:r>
      <w:r w:rsidR="008E20B3" w:rsidRPr="008A084A">
        <w:rPr>
          <w:rStyle w:val="FootnoteReference"/>
          <w:rFonts w:ascii="Cambria" w:hAnsi="Cambria"/>
          <w:sz w:val="20"/>
          <w:szCs w:val="20"/>
        </w:rPr>
        <w:footnoteReference w:id="31"/>
      </w:r>
      <w:r w:rsidR="008E20B3" w:rsidRPr="008A084A">
        <w:rPr>
          <w:rFonts w:ascii="Cambria" w:hAnsi="Cambria"/>
          <w:sz w:val="20"/>
          <w:szCs w:val="20"/>
          <w:lang w:val="es-ES"/>
        </w:rPr>
        <w:t>.</w:t>
      </w:r>
      <w:r w:rsidR="00FF59B9" w:rsidRPr="008A084A">
        <w:rPr>
          <w:rFonts w:ascii="Cambria" w:hAnsi="Cambria"/>
          <w:sz w:val="20"/>
          <w:szCs w:val="20"/>
          <w:lang w:val="es-ES"/>
        </w:rPr>
        <w:t xml:space="preserve"> Se indicó que desde hac</w:t>
      </w:r>
      <w:r w:rsidR="00EE3F98" w:rsidRPr="008A084A">
        <w:rPr>
          <w:rFonts w:ascii="Cambria" w:hAnsi="Cambria"/>
          <w:sz w:val="20"/>
          <w:szCs w:val="20"/>
          <w:lang w:val="es-ES"/>
        </w:rPr>
        <w:t>ía</w:t>
      </w:r>
      <w:r w:rsidR="00FF59B9" w:rsidRPr="008A084A">
        <w:rPr>
          <w:rFonts w:ascii="Cambria" w:hAnsi="Cambria"/>
          <w:sz w:val="20"/>
          <w:szCs w:val="20"/>
          <w:lang w:val="es-ES"/>
        </w:rPr>
        <w:t xml:space="preserve"> una semana el señor Guachalá suspendió la toma de los medicamentos prescritos por lo que hubo una “reaparición del cuadro psicopatológico”</w:t>
      </w:r>
      <w:r w:rsidR="00FF59B9" w:rsidRPr="008A084A">
        <w:rPr>
          <w:rStyle w:val="FootnoteReference"/>
          <w:rFonts w:ascii="Cambria" w:hAnsi="Cambria"/>
          <w:sz w:val="20"/>
          <w:szCs w:val="20"/>
        </w:rPr>
        <w:footnoteReference w:id="32"/>
      </w:r>
      <w:r w:rsidR="00FF59B9" w:rsidRPr="008A084A">
        <w:rPr>
          <w:rFonts w:ascii="Cambria" w:hAnsi="Cambria"/>
          <w:sz w:val="20"/>
          <w:szCs w:val="20"/>
          <w:lang w:val="es-ES"/>
        </w:rPr>
        <w:t>.</w:t>
      </w:r>
    </w:p>
    <w:p w:rsidR="00720920" w:rsidRPr="008A084A" w:rsidRDefault="00720920"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E712C7" w:rsidRPr="008A084A" w:rsidRDefault="00720920" w:rsidP="00CB5425">
      <w:pPr>
        <w:numPr>
          <w:ilvl w:val="0"/>
          <w:numId w:val="55"/>
        </w:numPr>
        <w:jc w:val="both"/>
        <w:rPr>
          <w:rFonts w:ascii="Cambria" w:hAnsi="Cambria"/>
          <w:sz w:val="20"/>
          <w:szCs w:val="20"/>
          <w:lang w:val="es-ES"/>
        </w:rPr>
      </w:pPr>
      <w:r w:rsidRPr="008A084A">
        <w:rPr>
          <w:rFonts w:ascii="Cambria" w:hAnsi="Cambria"/>
          <w:sz w:val="20"/>
          <w:szCs w:val="20"/>
          <w:lang w:val="es-ES"/>
        </w:rPr>
        <w:t>La señ</w:t>
      </w:r>
      <w:r w:rsidR="00E712C7" w:rsidRPr="008A084A">
        <w:rPr>
          <w:rFonts w:ascii="Cambria" w:hAnsi="Cambria"/>
          <w:sz w:val="20"/>
          <w:szCs w:val="20"/>
          <w:lang w:val="es-ES"/>
        </w:rPr>
        <w:t>ora Chimbó indicó que firmó un documento</w:t>
      </w:r>
      <w:r w:rsidRPr="008A084A">
        <w:rPr>
          <w:rFonts w:ascii="Cambria" w:hAnsi="Cambria"/>
          <w:sz w:val="20"/>
          <w:szCs w:val="20"/>
          <w:lang w:val="es-ES"/>
        </w:rPr>
        <w:t xml:space="preserve"> a efectos de responsabilizarse en la compra de medicamentos</w:t>
      </w:r>
      <w:r w:rsidRPr="008A084A">
        <w:rPr>
          <w:rStyle w:val="FootnoteReference"/>
          <w:rFonts w:ascii="Cambria" w:hAnsi="Cambria"/>
          <w:sz w:val="20"/>
          <w:szCs w:val="20"/>
        </w:rPr>
        <w:footnoteReference w:id="33"/>
      </w:r>
      <w:r w:rsidRPr="008A084A">
        <w:rPr>
          <w:rFonts w:ascii="Cambria" w:hAnsi="Cambria"/>
          <w:sz w:val="20"/>
          <w:szCs w:val="20"/>
          <w:lang w:val="es-ES"/>
        </w:rPr>
        <w:t>.</w:t>
      </w:r>
      <w:r w:rsidR="004E18C9" w:rsidRPr="008A084A">
        <w:rPr>
          <w:rFonts w:ascii="Cambria" w:hAnsi="Cambria"/>
          <w:sz w:val="20"/>
          <w:szCs w:val="20"/>
          <w:lang w:val="es-ES"/>
        </w:rPr>
        <w:t xml:space="preserve"> </w:t>
      </w:r>
      <w:r w:rsidR="00D64776" w:rsidRPr="008A084A">
        <w:rPr>
          <w:rFonts w:ascii="Cambria" w:hAnsi="Cambria"/>
          <w:sz w:val="20"/>
          <w:szCs w:val="20"/>
          <w:lang w:val="es-ES"/>
        </w:rPr>
        <w:t>También sostuvo que pagó la suma de $10</w:t>
      </w:r>
      <w:r w:rsidR="00CB5425" w:rsidRPr="008A084A">
        <w:rPr>
          <w:rFonts w:ascii="Cambria" w:hAnsi="Cambria"/>
          <w:sz w:val="20"/>
          <w:szCs w:val="20"/>
          <w:lang w:val="es-ES"/>
        </w:rPr>
        <w:t>.00</w:t>
      </w:r>
      <w:r w:rsidR="00D64776" w:rsidRPr="008A084A">
        <w:rPr>
          <w:rStyle w:val="FootnoteReference"/>
          <w:rFonts w:ascii="Cambria" w:hAnsi="Cambria"/>
          <w:sz w:val="20"/>
          <w:szCs w:val="20"/>
        </w:rPr>
        <w:footnoteReference w:id="34"/>
      </w:r>
      <w:r w:rsidR="00D64776" w:rsidRPr="008A084A">
        <w:rPr>
          <w:rFonts w:ascii="Cambria" w:hAnsi="Cambria"/>
          <w:sz w:val="20"/>
          <w:szCs w:val="20"/>
          <w:lang w:val="es-ES"/>
        </w:rPr>
        <w:t xml:space="preserve">. </w:t>
      </w:r>
      <w:r w:rsidR="00E712C7" w:rsidRPr="008A084A">
        <w:rPr>
          <w:rFonts w:ascii="Cambria" w:hAnsi="Cambria"/>
          <w:sz w:val="20"/>
          <w:szCs w:val="20"/>
          <w:lang w:val="es-ES"/>
        </w:rPr>
        <w:t>El documento firmado por la señora Chimbó señala lo siguiente:</w:t>
      </w:r>
    </w:p>
    <w:p w:rsidR="002125A0" w:rsidRPr="008A084A" w:rsidRDefault="002125A0" w:rsidP="00FA52DE">
      <w:pPr>
        <w:pStyle w:val="ColorfulList-Accent11"/>
        <w:ind w:right="1440"/>
        <w:jc w:val="both"/>
        <w:rPr>
          <w:rFonts w:ascii="Cambria" w:hAnsi="Cambria"/>
          <w:sz w:val="20"/>
          <w:szCs w:val="20"/>
          <w:lang w:val="es-ES"/>
        </w:rPr>
      </w:pPr>
    </w:p>
    <w:p w:rsidR="00E712C7" w:rsidRPr="008A084A" w:rsidRDefault="00E712C7" w:rsidP="00576977">
      <w:pPr>
        <w:pStyle w:val="ColorfulList-Accent11"/>
        <w:ind w:right="720"/>
        <w:jc w:val="both"/>
        <w:rPr>
          <w:rFonts w:ascii="Cambria" w:hAnsi="Cambria"/>
          <w:sz w:val="20"/>
          <w:szCs w:val="20"/>
          <w:lang w:val="es-ES"/>
        </w:rPr>
      </w:pPr>
      <w:r w:rsidRPr="008A084A">
        <w:rPr>
          <w:rFonts w:ascii="Cambria" w:hAnsi="Cambria"/>
          <w:sz w:val="20"/>
          <w:szCs w:val="20"/>
          <w:lang w:val="es-ES"/>
        </w:rPr>
        <w:t xml:space="preserve">Los suscritos (…) Rosario Chimbó (…) autorizamos a los médicos del hospital realizar los tratamientos que creyeren convenientes en la persona de Luis Eduardo Guachalá </w:t>
      </w:r>
      <w:r w:rsidR="002125A0" w:rsidRPr="008A084A">
        <w:rPr>
          <w:rFonts w:ascii="Cambria" w:hAnsi="Cambria"/>
          <w:sz w:val="20"/>
          <w:szCs w:val="20"/>
          <w:lang w:val="es-ES"/>
        </w:rPr>
        <w:t>Chimbó</w:t>
      </w:r>
      <w:r w:rsidRPr="008A084A">
        <w:rPr>
          <w:rFonts w:ascii="Cambria" w:hAnsi="Cambria"/>
          <w:sz w:val="20"/>
          <w:szCs w:val="20"/>
          <w:lang w:val="es-ES"/>
        </w:rPr>
        <w:t xml:space="preserve"> de cuyos riesgos estamos enterados. </w:t>
      </w:r>
    </w:p>
    <w:p w:rsidR="00E712C7" w:rsidRPr="008A084A" w:rsidRDefault="00E712C7" w:rsidP="00576977">
      <w:pPr>
        <w:pStyle w:val="ColorfulList-Accent11"/>
        <w:ind w:right="720"/>
        <w:jc w:val="both"/>
        <w:rPr>
          <w:rFonts w:ascii="Cambria" w:hAnsi="Cambria"/>
          <w:sz w:val="20"/>
          <w:szCs w:val="20"/>
          <w:lang w:val="es-ES"/>
        </w:rPr>
      </w:pPr>
      <w:r w:rsidRPr="008A084A">
        <w:rPr>
          <w:rFonts w:ascii="Cambria" w:hAnsi="Cambria"/>
          <w:sz w:val="20"/>
          <w:szCs w:val="20"/>
          <w:lang w:val="es-ES"/>
        </w:rPr>
        <w:t xml:space="preserve">Nos comprometemos a colaborar con los medicamentos </w:t>
      </w:r>
      <w:r w:rsidR="00FA52DE" w:rsidRPr="008A084A">
        <w:rPr>
          <w:rFonts w:ascii="Cambria" w:hAnsi="Cambria"/>
          <w:sz w:val="20"/>
          <w:szCs w:val="20"/>
          <w:lang w:val="es-ES"/>
        </w:rPr>
        <w:t>que fueren necesarios, además velaremos por el paciente durante el tiempo de permanencia en esta casa de salud, visitándolo de acuerdo a la frecuencia que aconsejen los médicos tratantes y dotándole de los elementos indispensables para su vestuario y cuidado personal.</w:t>
      </w:r>
    </w:p>
    <w:p w:rsidR="00FA52DE" w:rsidRPr="008A084A" w:rsidRDefault="00FA52DE" w:rsidP="00576977">
      <w:pPr>
        <w:pStyle w:val="ColorfulList-Accent11"/>
        <w:ind w:right="720"/>
        <w:jc w:val="both"/>
        <w:rPr>
          <w:rFonts w:ascii="Cambria" w:hAnsi="Cambria"/>
          <w:sz w:val="20"/>
          <w:szCs w:val="20"/>
          <w:lang w:val="es-ES"/>
        </w:rPr>
      </w:pPr>
      <w:r w:rsidRPr="008A084A">
        <w:rPr>
          <w:rFonts w:ascii="Cambria" w:hAnsi="Cambria"/>
          <w:sz w:val="20"/>
          <w:szCs w:val="20"/>
          <w:lang w:val="es-ES"/>
        </w:rPr>
        <w:t xml:space="preserve">Conocemos que el hospital </w:t>
      </w:r>
      <w:proofErr w:type="spellStart"/>
      <w:r w:rsidRPr="008A084A">
        <w:rPr>
          <w:rFonts w:ascii="Cambria" w:hAnsi="Cambria"/>
          <w:sz w:val="20"/>
          <w:szCs w:val="20"/>
          <w:lang w:val="es-ES"/>
        </w:rPr>
        <w:t>prevee</w:t>
      </w:r>
      <w:proofErr w:type="spellEnd"/>
      <w:r w:rsidR="00AE1572" w:rsidRPr="008A084A">
        <w:rPr>
          <w:rFonts w:ascii="Cambria" w:hAnsi="Cambria"/>
          <w:sz w:val="20"/>
          <w:szCs w:val="20"/>
          <w:lang w:val="es-ES"/>
        </w:rPr>
        <w:t xml:space="preserve"> (sic)</w:t>
      </w:r>
      <w:r w:rsidRPr="008A084A">
        <w:rPr>
          <w:rFonts w:ascii="Cambria" w:hAnsi="Cambria"/>
          <w:sz w:val="20"/>
          <w:szCs w:val="20"/>
          <w:lang w:val="es-ES"/>
        </w:rPr>
        <w:t xml:space="preserve"> toda la posibilidad de fuga y accidente, pero que en caso de llegarse a suceder no se hace responsable de las consecuencias</w:t>
      </w:r>
      <w:r w:rsidRPr="008A084A">
        <w:rPr>
          <w:rStyle w:val="FootnoteReference"/>
          <w:rFonts w:ascii="Cambria" w:hAnsi="Cambria"/>
          <w:sz w:val="20"/>
          <w:szCs w:val="20"/>
          <w:lang w:val="es-ES"/>
        </w:rPr>
        <w:footnoteReference w:id="35"/>
      </w:r>
      <w:r w:rsidRPr="008A084A">
        <w:rPr>
          <w:rFonts w:ascii="Cambria" w:hAnsi="Cambria"/>
          <w:sz w:val="20"/>
          <w:szCs w:val="20"/>
          <w:lang w:val="es-ES"/>
        </w:rPr>
        <w:t xml:space="preserve">. </w:t>
      </w:r>
    </w:p>
    <w:p w:rsidR="00E712C7" w:rsidRPr="008A084A" w:rsidRDefault="00E712C7" w:rsidP="00FA52DE">
      <w:pPr>
        <w:pStyle w:val="ColorfulList-Accent11"/>
        <w:ind w:left="0"/>
        <w:rPr>
          <w:rFonts w:ascii="Cambria" w:hAnsi="Cambria"/>
          <w:sz w:val="20"/>
          <w:szCs w:val="20"/>
          <w:lang w:val="es-ES"/>
        </w:rPr>
      </w:pPr>
    </w:p>
    <w:p w:rsidR="00720920" w:rsidRPr="008A084A" w:rsidRDefault="00FA52DE" w:rsidP="00CB5425">
      <w:pPr>
        <w:numPr>
          <w:ilvl w:val="0"/>
          <w:numId w:val="55"/>
        </w:numPr>
        <w:jc w:val="both"/>
        <w:rPr>
          <w:rFonts w:ascii="Cambria" w:hAnsi="Cambria"/>
          <w:sz w:val="20"/>
          <w:szCs w:val="20"/>
          <w:lang w:val="es-ES"/>
        </w:rPr>
      </w:pPr>
      <w:r w:rsidRPr="008A084A">
        <w:rPr>
          <w:rFonts w:ascii="Cambria" w:hAnsi="Cambria"/>
          <w:sz w:val="20"/>
          <w:szCs w:val="20"/>
          <w:lang w:val="es-ES"/>
        </w:rPr>
        <w:t xml:space="preserve">La señora </w:t>
      </w:r>
      <w:r w:rsidR="002125A0" w:rsidRPr="008A084A">
        <w:rPr>
          <w:rFonts w:ascii="Cambria" w:hAnsi="Cambria"/>
          <w:sz w:val="20"/>
          <w:szCs w:val="20"/>
          <w:lang w:val="es-ES"/>
        </w:rPr>
        <w:t>Chimbó</w:t>
      </w:r>
      <w:r w:rsidRPr="008A084A">
        <w:rPr>
          <w:rFonts w:ascii="Cambria" w:hAnsi="Cambria"/>
          <w:sz w:val="20"/>
          <w:szCs w:val="20"/>
          <w:lang w:val="es-ES"/>
        </w:rPr>
        <w:t xml:space="preserve"> i</w:t>
      </w:r>
      <w:r w:rsidR="003955D7" w:rsidRPr="008A084A">
        <w:rPr>
          <w:rFonts w:ascii="Cambria" w:hAnsi="Cambria"/>
          <w:sz w:val="20"/>
          <w:szCs w:val="20"/>
          <w:lang w:val="es-ES"/>
        </w:rPr>
        <w:t>ndicó que ella acompañó a su hijo a una sala donde había seis camas</w:t>
      </w:r>
      <w:r w:rsidR="003955D7" w:rsidRPr="008A084A">
        <w:rPr>
          <w:rStyle w:val="FootnoteReference"/>
          <w:rFonts w:ascii="Cambria" w:hAnsi="Cambria"/>
          <w:sz w:val="20"/>
          <w:szCs w:val="20"/>
        </w:rPr>
        <w:footnoteReference w:id="36"/>
      </w:r>
      <w:r w:rsidR="003955D7" w:rsidRPr="008A084A">
        <w:rPr>
          <w:rFonts w:ascii="Cambria" w:hAnsi="Cambria"/>
          <w:sz w:val="20"/>
          <w:szCs w:val="20"/>
          <w:lang w:val="es-ES"/>
        </w:rPr>
        <w:t>. Manifestó que sólo una estaba ocupada por una persona “que estaba como muertito”</w:t>
      </w:r>
      <w:r w:rsidR="003955D7" w:rsidRPr="008A084A">
        <w:rPr>
          <w:rStyle w:val="FootnoteReference"/>
          <w:rFonts w:ascii="Cambria" w:hAnsi="Cambria"/>
          <w:sz w:val="20"/>
          <w:szCs w:val="20"/>
        </w:rPr>
        <w:footnoteReference w:id="37"/>
      </w:r>
      <w:r w:rsidR="003955D7" w:rsidRPr="008A084A">
        <w:rPr>
          <w:rFonts w:ascii="Cambria" w:hAnsi="Cambria"/>
          <w:sz w:val="20"/>
          <w:szCs w:val="20"/>
          <w:lang w:val="es-ES"/>
        </w:rPr>
        <w:t>.</w:t>
      </w:r>
      <w:r w:rsidR="002272F6" w:rsidRPr="008A084A">
        <w:rPr>
          <w:rFonts w:ascii="Cambria" w:hAnsi="Cambria"/>
          <w:sz w:val="20"/>
          <w:szCs w:val="20"/>
          <w:lang w:val="es-ES"/>
        </w:rPr>
        <w:t xml:space="preserve"> Sostuvo que el médico le ordenó a un enfermero que inyecte un calmante al señor Guachalá</w:t>
      </w:r>
      <w:r w:rsidR="002272F6" w:rsidRPr="008A084A">
        <w:rPr>
          <w:rStyle w:val="FootnoteReference"/>
          <w:rFonts w:ascii="Cambria" w:hAnsi="Cambria"/>
          <w:sz w:val="20"/>
          <w:szCs w:val="20"/>
        </w:rPr>
        <w:footnoteReference w:id="38"/>
      </w:r>
      <w:r w:rsidR="002272F6" w:rsidRPr="008A084A">
        <w:rPr>
          <w:rFonts w:ascii="Cambria" w:hAnsi="Cambria"/>
          <w:sz w:val="20"/>
          <w:szCs w:val="20"/>
          <w:lang w:val="es-ES"/>
        </w:rPr>
        <w:t>. Agregó que el enfermero que estaba en la sala tenía olor “como que había tomado alcohol recién”</w:t>
      </w:r>
      <w:r w:rsidR="002272F6" w:rsidRPr="008A084A">
        <w:rPr>
          <w:rStyle w:val="FootnoteReference"/>
          <w:rFonts w:ascii="Cambria" w:hAnsi="Cambria"/>
          <w:sz w:val="20"/>
          <w:szCs w:val="20"/>
        </w:rPr>
        <w:footnoteReference w:id="39"/>
      </w:r>
      <w:r w:rsidR="002272F6" w:rsidRPr="008A084A">
        <w:rPr>
          <w:rFonts w:ascii="Cambria" w:hAnsi="Cambria"/>
          <w:sz w:val="20"/>
          <w:szCs w:val="20"/>
          <w:lang w:val="es-ES"/>
        </w:rPr>
        <w:t xml:space="preserve">. Sostuvo que dicho enfermero estaba </w:t>
      </w:r>
      <w:r w:rsidR="002272F6" w:rsidRPr="008A084A">
        <w:rPr>
          <w:rFonts w:ascii="Cambria" w:hAnsi="Cambria"/>
          <w:sz w:val="20"/>
          <w:szCs w:val="20"/>
          <w:lang w:val="es-ES"/>
        </w:rPr>
        <w:lastRenderedPageBreak/>
        <w:t>temblando y “pinchó (a su hijo) m</w:t>
      </w:r>
      <w:r w:rsidR="007B0F47" w:rsidRPr="008A084A">
        <w:rPr>
          <w:rFonts w:ascii="Cambria" w:hAnsi="Cambria"/>
          <w:sz w:val="20"/>
          <w:szCs w:val="20"/>
          <w:lang w:val="es-ES"/>
        </w:rPr>
        <w:t>ás de seis veces en un brazo (...) (porque) no encontraba la vena</w:t>
      </w:r>
      <w:r w:rsidR="002272F6" w:rsidRPr="008A084A">
        <w:rPr>
          <w:rFonts w:ascii="Cambria" w:hAnsi="Cambria"/>
          <w:sz w:val="20"/>
          <w:szCs w:val="20"/>
          <w:lang w:val="es-ES"/>
        </w:rPr>
        <w:t>”</w:t>
      </w:r>
      <w:r w:rsidR="007B0F47" w:rsidRPr="008A084A">
        <w:rPr>
          <w:rStyle w:val="FootnoteReference"/>
          <w:rFonts w:ascii="Cambria" w:hAnsi="Cambria"/>
          <w:sz w:val="20"/>
          <w:szCs w:val="20"/>
        </w:rPr>
        <w:footnoteReference w:id="40"/>
      </w:r>
      <w:r w:rsidR="007B0F47" w:rsidRPr="008A084A">
        <w:rPr>
          <w:rFonts w:ascii="Cambria" w:hAnsi="Cambria"/>
          <w:sz w:val="20"/>
          <w:szCs w:val="20"/>
          <w:lang w:val="es-ES"/>
        </w:rPr>
        <w:t>.</w:t>
      </w:r>
      <w:r w:rsidR="00CE3A26" w:rsidRPr="008A084A">
        <w:rPr>
          <w:rFonts w:ascii="Cambria" w:hAnsi="Cambria"/>
          <w:sz w:val="20"/>
          <w:szCs w:val="20"/>
          <w:lang w:val="es-ES"/>
        </w:rPr>
        <w:t xml:space="preserve"> Sostuvo que una vez que lo inyectó correctamente su hijo Luis “se quedó ya como muertito, no como en la primera vez que le llevé en mayo cuando le pusieron la inyección”</w:t>
      </w:r>
      <w:r w:rsidR="00CE3A26" w:rsidRPr="008A084A">
        <w:rPr>
          <w:rStyle w:val="FootnoteReference"/>
          <w:rFonts w:ascii="Cambria" w:hAnsi="Cambria"/>
          <w:sz w:val="20"/>
          <w:szCs w:val="20"/>
        </w:rPr>
        <w:footnoteReference w:id="41"/>
      </w:r>
      <w:r w:rsidR="00CE3A26" w:rsidRPr="008A084A">
        <w:rPr>
          <w:rFonts w:ascii="Cambria" w:hAnsi="Cambria"/>
          <w:sz w:val="20"/>
          <w:szCs w:val="20"/>
          <w:lang w:val="es-ES"/>
        </w:rPr>
        <w:t>.</w:t>
      </w:r>
    </w:p>
    <w:p w:rsidR="00CE3A26" w:rsidRPr="008A084A" w:rsidRDefault="00CE3A26"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CE3A26" w:rsidRPr="008A084A" w:rsidRDefault="00CE3A26" w:rsidP="00CB5425">
      <w:pPr>
        <w:numPr>
          <w:ilvl w:val="0"/>
          <w:numId w:val="55"/>
        </w:numPr>
        <w:jc w:val="both"/>
        <w:rPr>
          <w:rFonts w:ascii="Cambria" w:hAnsi="Cambria"/>
          <w:sz w:val="20"/>
          <w:szCs w:val="20"/>
          <w:lang w:val="es-ES"/>
        </w:rPr>
      </w:pPr>
      <w:r w:rsidRPr="008A084A">
        <w:rPr>
          <w:rFonts w:ascii="Cambria" w:hAnsi="Cambria"/>
          <w:sz w:val="20"/>
          <w:szCs w:val="20"/>
          <w:lang w:val="es-ES"/>
        </w:rPr>
        <w:t>La señora Chimbó recibió una lista de</w:t>
      </w:r>
      <w:r w:rsidR="0066428B" w:rsidRPr="008A084A">
        <w:rPr>
          <w:rFonts w:ascii="Cambria" w:hAnsi="Cambria"/>
          <w:sz w:val="20"/>
          <w:szCs w:val="20"/>
          <w:lang w:val="es-ES"/>
        </w:rPr>
        <w:t xml:space="preserve"> objetos de aseo para comp</w:t>
      </w:r>
      <w:r w:rsidR="0060108F" w:rsidRPr="008A084A">
        <w:rPr>
          <w:rFonts w:ascii="Cambria" w:hAnsi="Cambria"/>
          <w:sz w:val="20"/>
          <w:szCs w:val="20"/>
          <w:lang w:val="es-ES"/>
        </w:rPr>
        <w:t>r</w:t>
      </w:r>
      <w:r w:rsidR="0066428B" w:rsidRPr="008A084A">
        <w:rPr>
          <w:rFonts w:ascii="Cambria" w:hAnsi="Cambria"/>
          <w:sz w:val="20"/>
          <w:szCs w:val="20"/>
          <w:lang w:val="es-ES"/>
        </w:rPr>
        <w:t>ar: papel higiénico, jabón, peinilla, cepillo de dientes y pasta dental</w:t>
      </w:r>
      <w:r w:rsidR="0066428B" w:rsidRPr="008A084A">
        <w:rPr>
          <w:rStyle w:val="FootnoteReference"/>
          <w:rFonts w:ascii="Cambria" w:hAnsi="Cambria"/>
          <w:sz w:val="20"/>
          <w:szCs w:val="20"/>
        </w:rPr>
        <w:footnoteReference w:id="42"/>
      </w:r>
      <w:r w:rsidR="0066428B" w:rsidRPr="008A084A">
        <w:rPr>
          <w:rFonts w:ascii="Cambria" w:hAnsi="Cambria"/>
          <w:sz w:val="20"/>
          <w:szCs w:val="20"/>
          <w:lang w:val="es-ES"/>
        </w:rPr>
        <w:t>. Indicó que</w:t>
      </w:r>
      <w:r w:rsidR="0060108F" w:rsidRPr="008A084A">
        <w:rPr>
          <w:rFonts w:ascii="Cambria" w:hAnsi="Cambria"/>
          <w:sz w:val="20"/>
          <w:szCs w:val="20"/>
          <w:lang w:val="es-ES"/>
        </w:rPr>
        <w:t xml:space="preserve"> pusieron al señor Guachalá una ropa usada, la cual según el enfermero “era donada de otras personas y (...) se les ponía a los enfermos”</w:t>
      </w:r>
      <w:r w:rsidR="0060108F" w:rsidRPr="008A084A">
        <w:rPr>
          <w:rStyle w:val="FootnoteReference"/>
          <w:rFonts w:ascii="Cambria" w:hAnsi="Cambria"/>
          <w:sz w:val="20"/>
          <w:szCs w:val="20"/>
        </w:rPr>
        <w:footnoteReference w:id="43"/>
      </w:r>
      <w:r w:rsidR="0060108F" w:rsidRPr="008A084A">
        <w:rPr>
          <w:rFonts w:ascii="Cambria" w:hAnsi="Cambria"/>
          <w:sz w:val="20"/>
          <w:szCs w:val="20"/>
          <w:lang w:val="es-ES"/>
        </w:rPr>
        <w:t>.</w:t>
      </w:r>
    </w:p>
    <w:p w:rsidR="0071023D" w:rsidRPr="008A084A" w:rsidRDefault="0071023D"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232AB2" w:rsidRPr="008A084A" w:rsidRDefault="0071023D" w:rsidP="00A5414A">
      <w:pPr>
        <w:numPr>
          <w:ilvl w:val="0"/>
          <w:numId w:val="55"/>
        </w:numPr>
        <w:jc w:val="both"/>
        <w:rPr>
          <w:rFonts w:ascii="Cambria" w:hAnsi="Cambria"/>
          <w:sz w:val="20"/>
          <w:szCs w:val="20"/>
          <w:lang w:val="es-ES"/>
        </w:rPr>
      </w:pPr>
      <w:r w:rsidRPr="008A084A">
        <w:rPr>
          <w:rFonts w:ascii="Cambria" w:hAnsi="Cambria"/>
          <w:sz w:val="20"/>
          <w:szCs w:val="20"/>
          <w:lang w:val="es-ES"/>
        </w:rPr>
        <w:t>La señora Chimbó preguntó al doctor si era posible que visitara a su hijo al día siguiente</w:t>
      </w:r>
      <w:r w:rsidRPr="008A084A">
        <w:rPr>
          <w:rStyle w:val="FootnoteReference"/>
          <w:rFonts w:ascii="Cambria" w:hAnsi="Cambria"/>
          <w:sz w:val="20"/>
          <w:szCs w:val="20"/>
        </w:rPr>
        <w:footnoteReference w:id="44"/>
      </w:r>
      <w:r w:rsidRPr="008A084A">
        <w:rPr>
          <w:rFonts w:ascii="Cambria" w:hAnsi="Cambria"/>
          <w:sz w:val="20"/>
          <w:szCs w:val="20"/>
          <w:lang w:val="es-ES"/>
        </w:rPr>
        <w:t>. Éste le indicó que mejor regresara el lunes puesto que su hijo “iba a estar do</w:t>
      </w:r>
      <w:r w:rsidR="00EC7F15" w:rsidRPr="008A084A">
        <w:rPr>
          <w:rFonts w:ascii="Cambria" w:hAnsi="Cambria"/>
          <w:sz w:val="20"/>
          <w:szCs w:val="20"/>
          <w:lang w:val="es-ES"/>
        </w:rPr>
        <w:t>r</w:t>
      </w:r>
      <w:r w:rsidRPr="008A084A">
        <w:rPr>
          <w:rFonts w:ascii="Cambria" w:hAnsi="Cambria"/>
          <w:sz w:val="20"/>
          <w:szCs w:val="20"/>
          <w:lang w:val="es-ES"/>
        </w:rPr>
        <w:t>mido el sábado y domingo”</w:t>
      </w:r>
      <w:r w:rsidR="00EC7F15" w:rsidRPr="008A084A">
        <w:rPr>
          <w:rStyle w:val="FootnoteReference"/>
          <w:rFonts w:ascii="Cambria" w:hAnsi="Cambria"/>
          <w:sz w:val="20"/>
          <w:szCs w:val="20"/>
        </w:rPr>
        <w:footnoteReference w:id="45"/>
      </w:r>
      <w:r w:rsidR="00EC7F15" w:rsidRPr="008A084A">
        <w:rPr>
          <w:rFonts w:ascii="Cambria" w:hAnsi="Cambria"/>
          <w:sz w:val="20"/>
          <w:szCs w:val="20"/>
          <w:lang w:val="es-ES"/>
        </w:rPr>
        <w:t>.</w:t>
      </w:r>
      <w:r w:rsidR="00FC44CC" w:rsidRPr="008A084A">
        <w:rPr>
          <w:rFonts w:ascii="Cambria" w:hAnsi="Cambria"/>
          <w:sz w:val="20"/>
          <w:szCs w:val="20"/>
          <w:lang w:val="es-ES"/>
        </w:rPr>
        <w:t xml:space="preserve"> </w:t>
      </w:r>
    </w:p>
    <w:p w:rsidR="00CB5425" w:rsidRPr="008A084A" w:rsidRDefault="00CB5425" w:rsidP="00CB542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A17F16" w:rsidRPr="008A084A" w:rsidRDefault="00A17F16" w:rsidP="00B329C1">
      <w:pPr>
        <w:pStyle w:val="Heading2"/>
        <w:numPr>
          <w:ilvl w:val="0"/>
          <w:numId w:val="59"/>
        </w:numPr>
        <w:spacing w:before="0" w:after="0"/>
        <w:ind w:left="1440" w:hanging="720"/>
        <w:jc w:val="both"/>
        <w:rPr>
          <w:rFonts w:ascii="Cambria" w:hAnsi="Cambria"/>
          <w:i w:val="0"/>
          <w:sz w:val="20"/>
          <w:szCs w:val="20"/>
          <w:lang w:val="es-ES"/>
        </w:rPr>
      </w:pPr>
      <w:bookmarkStart w:id="24" w:name="_Toc525547505"/>
      <w:r w:rsidRPr="008A084A">
        <w:rPr>
          <w:rFonts w:ascii="Cambria" w:hAnsi="Cambria"/>
          <w:i w:val="0"/>
          <w:sz w:val="20"/>
          <w:szCs w:val="20"/>
          <w:lang w:val="es-ES"/>
        </w:rPr>
        <w:t>Sobre lo sucedido en el hospital</w:t>
      </w:r>
      <w:r w:rsidR="00FC44CC" w:rsidRPr="008A084A">
        <w:rPr>
          <w:rFonts w:ascii="Cambria" w:hAnsi="Cambria"/>
          <w:i w:val="0"/>
          <w:sz w:val="20"/>
          <w:szCs w:val="20"/>
          <w:lang w:val="es-ES"/>
        </w:rPr>
        <w:t xml:space="preserve"> entre el 1</w:t>
      </w:r>
      <w:r w:rsidR="00CB5425" w:rsidRPr="008A084A">
        <w:rPr>
          <w:rFonts w:ascii="Cambria" w:hAnsi="Cambria"/>
          <w:i w:val="0"/>
          <w:sz w:val="20"/>
          <w:szCs w:val="20"/>
          <w:lang w:val="es-ES"/>
        </w:rPr>
        <w:t>1</w:t>
      </w:r>
      <w:r w:rsidR="00FC44CC" w:rsidRPr="008A084A">
        <w:rPr>
          <w:rFonts w:ascii="Cambria" w:hAnsi="Cambria"/>
          <w:i w:val="0"/>
          <w:sz w:val="20"/>
          <w:szCs w:val="20"/>
          <w:lang w:val="es-ES"/>
        </w:rPr>
        <w:t xml:space="preserve"> y 16 de enero</w:t>
      </w:r>
      <w:bookmarkEnd w:id="24"/>
    </w:p>
    <w:p w:rsidR="00A17F16" w:rsidRPr="008A084A" w:rsidRDefault="00A17F16"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CB5425" w:rsidRPr="008A084A" w:rsidRDefault="00CB5425" w:rsidP="00CB5425">
      <w:pPr>
        <w:numPr>
          <w:ilvl w:val="0"/>
          <w:numId w:val="55"/>
        </w:numPr>
        <w:jc w:val="both"/>
        <w:rPr>
          <w:rFonts w:ascii="Cambria" w:hAnsi="Cambria"/>
          <w:sz w:val="20"/>
          <w:szCs w:val="20"/>
          <w:lang w:val="es-ES"/>
        </w:rPr>
      </w:pPr>
      <w:r w:rsidRPr="008A084A">
        <w:rPr>
          <w:rFonts w:ascii="Cambria" w:hAnsi="Cambria"/>
          <w:sz w:val="20"/>
          <w:szCs w:val="20"/>
          <w:lang w:val="es-ES"/>
        </w:rPr>
        <w:t>La señora Chimbó manifestó que el domingo 11 de enero se comunicó telefónicamente con una enfermera del hospital quien le indicó que su hijo “seguía dormido y estaba sedado”</w:t>
      </w:r>
      <w:r w:rsidRPr="008A084A">
        <w:rPr>
          <w:rStyle w:val="FootnoteReference"/>
          <w:rFonts w:ascii="Cambria" w:hAnsi="Cambria"/>
          <w:sz w:val="20"/>
          <w:szCs w:val="20"/>
        </w:rPr>
        <w:footnoteReference w:id="46"/>
      </w:r>
      <w:r w:rsidRPr="008A084A">
        <w:rPr>
          <w:rFonts w:ascii="Cambria" w:hAnsi="Cambria"/>
          <w:sz w:val="20"/>
          <w:szCs w:val="20"/>
          <w:lang w:val="es-ES"/>
        </w:rPr>
        <w:t>.</w:t>
      </w:r>
    </w:p>
    <w:p w:rsidR="00CB5425" w:rsidRPr="008A084A" w:rsidRDefault="00CB5425" w:rsidP="00CB5425">
      <w:pPr>
        <w:ind w:left="720"/>
        <w:jc w:val="both"/>
        <w:rPr>
          <w:rFonts w:ascii="Cambria" w:hAnsi="Cambria"/>
          <w:sz w:val="20"/>
          <w:szCs w:val="20"/>
          <w:lang w:val="es-ES"/>
        </w:rPr>
      </w:pPr>
    </w:p>
    <w:p w:rsidR="00CB5425" w:rsidRPr="008A084A" w:rsidRDefault="00232AB2" w:rsidP="00CB5425">
      <w:pPr>
        <w:numPr>
          <w:ilvl w:val="0"/>
          <w:numId w:val="55"/>
        </w:numPr>
        <w:jc w:val="both"/>
        <w:rPr>
          <w:rFonts w:ascii="Cambria" w:hAnsi="Cambria"/>
          <w:sz w:val="20"/>
          <w:szCs w:val="20"/>
          <w:lang w:val="es-ES"/>
        </w:rPr>
      </w:pPr>
      <w:r w:rsidRPr="008A084A">
        <w:rPr>
          <w:rFonts w:ascii="Cambria" w:hAnsi="Cambria"/>
          <w:sz w:val="20"/>
          <w:szCs w:val="20"/>
          <w:lang w:val="es-ES"/>
        </w:rPr>
        <w:t xml:space="preserve">El lunes 12 de enero </w:t>
      </w:r>
      <w:r w:rsidR="005E4A8D" w:rsidRPr="008A084A">
        <w:rPr>
          <w:rFonts w:ascii="Cambria" w:hAnsi="Cambria"/>
          <w:sz w:val="20"/>
          <w:szCs w:val="20"/>
          <w:lang w:val="es-ES"/>
        </w:rPr>
        <w:t xml:space="preserve">de 2004 </w:t>
      </w:r>
      <w:r w:rsidRPr="008A084A">
        <w:rPr>
          <w:rFonts w:ascii="Cambria" w:hAnsi="Cambria"/>
          <w:sz w:val="20"/>
          <w:szCs w:val="20"/>
          <w:lang w:val="es-ES"/>
        </w:rPr>
        <w:t>se realizó una reunión entre el personal médico del hospital</w:t>
      </w:r>
      <w:r w:rsidRPr="008A084A">
        <w:rPr>
          <w:rStyle w:val="FootnoteReference"/>
          <w:rFonts w:ascii="Cambria" w:hAnsi="Cambria"/>
          <w:sz w:val="20"/>
          <w:szCs w:val="20"/>
        </w:rPr>
        <w:footnoteReference w:id="47"/>
      </w:r>
      <w:r w:rsidRPr="008A084A">
        <w:rPr>
          <w:rFonts w:ascii="Cambria" w:hAnsi="Cambria"/>
          <w:sz w:val="20"/>
          <w:szCs w:val="20"/>
          <w:lang w:val="es-ES"/>
        </w:rPr>
        <w:t xml:space="preserve">. La doctora Erika Quimbiulco sostuvo que en dicha reunión se le asignó la atención </w:t>
      </w:r>
      <w:r w:rsidR="00471FCE" w:rsidRPr="008A084A">
        <w:rPr>
          <w:rFonts w:ascii="Cambria" w:hAnsi="Cambria"/>
          <w:sz w:val="20"/>
          <w:szCs w:val="20"/>
          <w:lang w:val="es-ES"/>
        </w:rPr>
        <w:t>del</w:t>
      </w:r>
      <w:r w:rsidRPr="008A084A">
        <w:rPr>
          <w:rFonts w:ascii="Cambria" w:hAnsi="Cambria"/>
          <w:sz w:val="20"/>
          <w:szCs w:val="20"/>
          <w:lang w:val="es-ES"/>
        </w:rPr>
        <w:t xml:space="preserve"> señor Guachalá</w:t>
      </w:r>
      <w:r w:rsidRPr="008A084A">
        <w:rPr>
          <w:rStyle w:val="FootnoteReference"/>
          <w:rFonts w:ascii="Cambria" w:hAnsi="Cambria"/>
          <w:sz w:val="20"/>
          <w:szCs w:val="20"/>
        </w:rPr>
        <w:footnoteReference w:id="48"/>
      </w:r>
      <w:r w:rsidRPr="008A084A">
        <w:rPr>
          <w:rFonts w:ascii="Cambria" w:hAnsi="Cambria"/>
          <w:sz w:val="20"/>
          <w:szCs w:val="20"/>
          <w:lang w:val="es-ES"/>
        </w:rPr>
        <w:t xml:space="preserve">. Indicó que </w:t>
      </w:r>
      <w:r w:rsidR="0094367A" w:rsidRPr="008A084A">
        <w:rPr>
          <w:rFonts w:ascii="Cambria" w:hAnsi="Cambria"/>
          <w:sz w:val="20"/>
          <w:szCs w:val="20"/>
          <w:lang w:val="es-ES"/>
        </w:rPr>
        <w:t xml:space="preserve">cuando se dirigió a hacerle una evaluación completa, lo encontró “sedado por efectos de tratamiento instaurado por lo que únicamente </w:t>
      </w:r>
      <w:proofErr w:type="spellStart"/>
      <w:proofErr w:type="gramStart"/>
      <w:r w:rsidR="0094367A" w:rsidRPr="008A084A">
        <w:rPr>
          <w:rFonts w:ascii="Cambria" w:hAnsi="Cambria"/>
          <w:sz w:val="20"/>
          <w:szCs w:val="20"/>
          <w:lang w:val="es-ES"/>
        </w:rPr>
        <w:t>realiz</w:t>
      </w:r>
      <w:proofErr w:type="spellEnd"/>
      <w:r w:rsidR="0094367A" w:rsidRPr="008A084A">
        <w:rPr>
          <w:rFonts w:ascii="Cambria" w:hAnsi="Cambria"/>
          <w:sz w:val="20"/>
          <w:szCs w:val="20"/>
          <w:lang w:val="es-ES"/>
        </w:rPr>
        <w:t>(</w:t>
      </w:r>
      <w:proofErr w:type="gramEnd"/>
      <w:r w:rsidR="0094367A" w:rsidRPr="008A084A">
        <w:rPr>
          <w:rFonts w:ascii="Cambria" w:hAnsi="Cambria"/>
          <w:sz w:val="20"/>
          <w:szCs w:val="20"/>
          <w:lang w:val="es-ES"/>
        </w:rPr>
        <w:t>ó) el examen físico”</w:t>
      </w:r>
      <w:r w:rsidR="0094367A" w:rsidRPr="008A084A">
        <w:rPr>
          <w:rStyle w:val="FootnoteReference"/>
          <w:rFonts w:ascii="Cambria" w:hAnsi="Cambria"/>
          <w:sz w:val="20"/>
          <w:szCs w:val="20"/>
        </w:rPr>
        <w:footnoteReference w:id="49"/>
      </w:r>
      <w:r w:rsidR="0094367A" w:rsidRPr="008A084A">
        <w:rPr>
          <w:rFonts w:ascii="Cambria" w:hAnsi="Cambria"/>
          <w:sz w:val="20"/>
          <w:szCs w:val="20"/>
          <w:lang w:val="es-ES"/>
        </w:rPr>
        <w:t xml:space="preserve">. </w:t>
      </w:r>
      <w:r w:rsidR="00934443" w:rsidRPr="008A084A">
        <w:rPr>
          <w:rFonts w:ascii="Cambria" w:hAnsi="Cambria"/>
          <w:sz w:val="20"/>
          <w:szCs w:val="20"/>
          <w:lang w:val="es-ES"/>
        </w:rPr>
        <w:t>Manifestó que dicho examen físico resultó “normal”</w:t>
      </w:r>
      <w:r w:rsidR="00934443" w:rsidRPr="008A084A">
        <w:rPr>
          <w:rStyle w:val="FootnoteReference"/>
          <w:rFonts w:ascii="Cambria" w:hAnsi="Cambria"/>
          <w:sz w:val="20"/>
          <w:szCs w:val="20"/>
        </w:rPr>
        <w:footnoteReference w:id="50"/>
      </w:r>
      <w:r w:rsidR="00934443" w:rsidRPr="008A084A">
        <w:rPr>
          <w:rFonts w:ascii="Cambria" w:hAnsi="Cambria"/>
          <w:sz w:val="20"/>
          <w:szCs w:val="20"/>
          <w:lang w:val="es-ES"/>
        </w:rPr>
        <w:t>. Asimismo, indicó que le prescribió determinados medicamentos “por razones necesarias si convulsiona” y solicitó vigilancia al señor Guachalá</w:t>
      </w:r>
      <w:r w:rsidR="002D4023" w:rsidRPr="008A084A">
        <w:rPr>
          <w:rStyle w:val="FootnoteReference"/>
          <w:rFonts w:ascii="Cambria" w:hAnsi="Cambria"/>
          <w:sz w:val="20"/>
          <w:szCs w:val="20"/>
        </w:rPr>
        <w:footnoteReference w:id="51"/>
      </w:r>
      <w:r w:rsidR="00934443" w:rsidRPr="008A084A">
        <w:rPr>
          <w:rFonts w:ascii="Cambria" w:hAnsi="Cambria"/>
          <w:sz w:val="20"/>
          <w:szCs w:val="20"/>
          <w:lang w:val="es-ES"/>
        </w:rPr>
        <w:t>.</w:t>
      </w:r>
    </w:p>
    <w:p w:rsidR="00CB5425" w:rsidRPr="008A084A" w:rsidRDefault="00CB5425" w:rsidP="00CB5425">
      <w:pPr>
        <w:pStyle w:val="ColorfulList-Accent11"/>
        <w:rPr>
          <w:rFonts w:ascii="Cambria" w:hAnsi="Cambria"/>
          <w:sz w:val="20"/>
          <w:szCs w:val="20"/>
          <w:lang w:val="es-ES"/>
        </w:rPr>
      </w:pPr>
    </w:p>
    <w:p w:rsidR="00CB5425" w:rsidRPr="008A084A" w:rsidRDefault="002D4023" w:rsidP="00CB5425">
      <w:pPr>
        <w:numPr>
          <w:ilvl w:val="0"/>
          <w:numId w:val="55"/>
        </w:numPr>
        <w:jc w:val="both"/>
        <w:rPr>
          <w:rFonts w:ascii="Cambria" w:hAnsi="Cambria"/>
          <w:sz w:val="20"/>
          <w:szCs w:val="20"/>
          <w:lang w:val="es-ES"/>
        </w:rPr>
      </w:pPr>
      <w:r w:rsidRPr="008A084A">
        <w:rPr>
          <w:rFonts w:ascii="Cambria" w:hAnsi="Cambria"/>
          <w:sz w:val="20"/>
          <w:szCs w:val="20"/>
          <w:lang w:val="es-ES"/>
        </w:rPr>
        <w:t>El mismo</w:t>
      </w:r>
      <w:r w:rsidR="00232AB2" w:rsidRPr="008A084A">
        <w:rPr>
          <w:rFonts w:ascii="Cambria" w:hAnsi="Cambria"/>
          <w:sz w:val="20"/>
          <w:szCs w:val="20"/>
          <w:lang w:val="es-ES"/>
        </w:rPr>
        <w:t xml:space="preserve"> </w:t>
      </w:r>
      <w:r w:rsidRPr="008A084A">
        <w:rPr>
          <w:rFonts w:ascii="Cambria" w:hAnsi="Cambria"/>
          <w:sz w:val="20"/>
          <w:szCs w:val="20"/>
          <w:lang w:val="es-ES"/>
        </w:rPr>
        <w:t>día</w:t>
      </w:r>
      <w:r w:rsidR="00095D01" w:rsidRPr="008A084A">
        <w:rPr>
          <w:rFonts w:ascii="Cambria" w:hAnsi="Cambria"/>
          <w:sz w:val="20"/>
          <w:szCs w:val="20"/>
          <w:lang w:val="es-ES"/>
        </w:rPr>
        <w:t xml:space="preserve"> en la mañana</w:t>
      </w:r>
      <w:r w:rsidRPr="008A084A">
        <w:rPr>
          <w:rFonts w:ascii="Cambria" w:hAnsi="Cambria"/>
          <w:sz w:val="20"/>
          <w:szCs w:val="20"/>
          <w:lang w:val="es-ES"/>
        </w:rPr>
        <w:t xml:space="preserve"> la </w:t>
      </w:r>
      <w:r w:rsidR="00AC555D" w:rsidRPr="008A084A">
        <w:rPr>
          <w:rFonts w:ascii="Cambria" w:hAnsi="Cambria"/>
          <w:sz w:val="20"/>
          <w:szCs w:val="20"/>
          <w:lang w:val="es-ES"/>
        </w:rPr>
        <w:t xml:space="preserve">señora </w:t>
      </w:r>
      <w:r w:rsidR="007A721E" w:rsidRPr="008A084A">
        <w:rPr>
          <w:rFonts w:ascii="Cambria" w:hAnsi="Cambria"/>
          <w:sz w:val="20"/>
          <w:szCs w:val="20"/>
          <w:lang w:val="es-ES"/>
        </w:rPr>
        <w:t>Chimbó</w:t>
      </w:r>
      <w:r w:rsidRPr="008A084A">
        <w:rPr>
          <w:rFonts w:ascii="Cambria" w:hAnsi="Cambria"/>
          <w:sz w:val="20"/>
          <w:szCs w:val="20"/>
          <w:lang w:val="es-ES"/>
        </w:rPr>
        <w:t>, acudió al Hospital</w:t>
      </w:r>
      <w:r w:rsidRPr="008A084A">
        <w:rPr>
          <w:rStyle w:val="FootnoteReference"/>
          <w:rFonts w:ascii="Cambria" w:hAnsi="Cambria"/>
          <w:sz w:val="20"/>
          <w:szCs w:val="20"/>
        </w:rPr>
        <w:footnoteReference w:id="52"/>
      </w:r>
      <w:r w:rsidR="00F8002E" w:rsidRPr="008A084A">
        <w:rPr>
          <w:rFonts w:ascii="Cambria" w:hAnsi="Cambria"/>
          <w:sz w:val="20"/>
          <w:szCs w:val="20"/>
          <w:lang w:val="es-ES"/>
        </w:rPr>
        <w:t xml:space="preserve"> e indicó que </w:t>
      </w:r>
      <w:r w:rsidR="003C0BE8" w:rsidRPr="008A084A">
        <w:rPr>
          <w:rFonts w:ascii="Cambria" w:hAnsi="Cambria"/>
          <w:sz w:val="20"/>
          <w:szCs w:val="20"/>
          <w:lang w:val="es-ES"/>
        </w:rPr>
        <w:t xml:space="preserve">cuando ingresó se dirigió al cuarto de </w:t>
      </w:r>
      <w:r w:rsidR="00C471F8" w:rsidRPr="008A084A">
        <w:rPr>
          <w:rFonts w:ascii="Cambria" w:hAnsi="Cambria"/>
          <w:sz w:val="20"/>
          <w:szCs w:val="20"/>
          <w:lang w:val="es-ES"/>
        </w:rPr>
        <w:t xml:space="preserve">su hijo </w:t>
      </w:r>
      <w:r w:rsidR="003C0BE8" w:rsidRPr="008A084A">
        <w:rPr>
          <w:rFonts w:ascii="Cambria" w:hAnsi="Cambria"/>
          <w:sz w:val="20"/>
          <w:szCs w:val="20"/>
          <w:lang w:val="es-ES"/>
        </w:rPr>
        <w:t>pero no lo encontró ahí</w:t>
      </w:r>
      <w:r w:rsidR="003C0BE8" w:rsidRPr="008A084A">
        <w:rPr>
          <w:rStyle w:val="FootnoteReference"/>
          <w:rFonts w:ascii="Cambria" w:hAnsi="Cambria"/>
          <w:sz w:val="20"/>
          <w:szCs w:val="20"/>
        </w:rPr>
        <w:footnoteReference w:id="53"/>
      </w:r>
      <w:r w:rsidR="003C0BE8" w:rsidRPr="008A084A">
        <w:rPr>
          <w:rFonts w:ascii="Cambria" w:hAnsi="Cambria"/>
          <w:sz w:val="20"/>
          <w:szCs w:val="20"/>
          <w:lang w:val="es-ES"/>
        </w:rPr>
        <w:t xml:space="preserve">. </w:t>
      </w:r>
      <w:r w:rsidR="00031275" w:rsidRPr="008A084A">
        <w:rPr>
          <w:rFonts w:ascii="Cambria" w:hAnsi="Cambria"/>
          <w:sz w:val="20"/>
          <w:szCs w:val="20"/>
          <w:lang w:val="es-ES"/>
        </w:rPr>
        <w:t xml:space="preserve">Posteriormente, la señora </w:t>
      </w:r>
      <w:r w:rsidR="002125A0" w:rsidRPr="008A084A">
        <w:rPr>
          <w:rFonts w:ascii="Cambria" w:hAnsi="Cambria"/>
          <w:sz w:val="20"/>
          <w:szCs w:val="20"/>
          <w:lang w:val="es-ES"/>
        </w:rPr>
        <w:t>Chimbó</w:t>
      </w:r>
      <w:r w:rsidR="00031275" w:rsidRPr="008A084A">
        <w:rPr>
          <w:rFonts w:ascii="Cambria" w:hAnsi="Cambria"/>
          <w:sz w:val="20"/>
          <w:szCs w:val="20"/>
          <w:lang w:val="es-ES"/>
        </w:rPr>
        <w:t xml:space="preserve"> </w:t>
      </w:r>
      <w:r w:rsidR="003C0BE8" w:rsidRPr="008A084A">
        <w:rPr>
          <w:rFonts w:ascii="Cambria" w:hAnsi="Cambria"/>
          <w:sz w:val="20"/>
          <w:szCs w:val="20"/>
          <w:lang w:val="es-ES"/>
        </w:rPr>
        <w:t>se dirigió a preguntarle a</w:t>
      </w:r>
      <w:r w:rsidR="00955D75" w:rsidRPr="008A084A">
        <w:rPr>
          <w:rFonts w:ascii="Cambria" w:hAnsi="Cambria"/>
          <w:sz w:val="20"/>
          <w:szCs w:val="20"/>
          <w:lang w:val="es-ES"/>
        </w:rPr>
        <w:t xml:space="preserve"> la doctora Quimbiulco</w:t>
      </w:r>
      <w:r w:rsidR="003C0BE8" w:rsidRPr="008A084A">
        <w:rPr>
          <w:rFonts w:ascii="Cambria" w:hAnsi="Cambria"/>
          <w:sz w:val="20"/>
          <w:szCs w:val="20"/>
          <w:lang w:val="es-ES"/>
        </w:rPr>
        <w:t xml:space="preserve"> dónde se encontraba su hijo</w:t>
      </w:r>
      <w:r w:rsidR="003C0BE8" w:rsidRPr="008A084A">
        <w:rPr>
          <w:rStyle w:val="FootnoteReference"/>
          <w:rFonts w:ascii="Cambria" w:hAnsi="Cambria"/>
          <w:sz w:val="20"/>
          <w:szCs w:val="20"/>
        </w:rPr>
        <w:footnoteReference w:id="54"/>
      </w:r>
      <w:r w:rsidR="009B3A5B" w:rsidRPr="008A084A">
        <w:rPr>
          <w:rFonts w:ascii="Cambria" w:hAnsi="Cambria"/>
          <w:sz w:val="20"/>
          <w:szCs w:val="20"/>
          <w:lang w:val="es-ES"/>
        </w:rPr>
        <w:t xml:space="preserve"> y dicha doctora </w:t>
      </w:r>
      <w:r w:rsidR="003C0BE8" w:rsidRPr="008A084A">
        <w:rPr>
          <w:rFonts w:ascii="Cambria" w:hAnsi="Cambria"/>
          <w:sz w:val="20"/>
          <w:szCs w:val="20"/>
          <w:lang w:val="es-ES"/>
        </w:rPr>
        <w:t xml:space="preserve"> le </w:t>
      </w:r>
      <w:r w:rsidR="005D62BC" w:rsidRPr="008A084A">
        <w:rPr>
          <w:rFonts w:ascii="Cambria" w:hAnsi="Cambria"/>
          <w:sz w:val="20"/>
          <w:szCs w:val="20"/>
          <w:lang w:val="es-ES"/>
        </w:rPr>
        <w:t>informó que su hijo se encontraba sedado</w:t>
      </w:r>
      <w:r w:rsidR="005D62BC" w:rsidRPr="008A084A">
        <w:rPr>
          <w:rStyle w:val="FootnoteReference"/>
          <w:rFonts w:ascii="Cambria" w:hAnsi="Cambria"/>
          <w:sz w:val="20"/>
          <w:szCs w:val="20"/>
        </w:rPr>
        <w:footnoteReference w:id="55"/>
      </w:r>
      <w:r w:rsidR="005D62BC" w:rsidRPr="008A084A">
        <w:rPr>
          <w:rFonts w:ascii="Cambria" w:hAnsi="Cambria"/>
          <w:sz w:val="20"/>
          <w:szCs w:val="20"/>
          <w:lang w:val="es-ES"/>
        </w:rPr>
        <w:t xml:space="preserve">. </w:t>
      </w:r>
      <w:r w:rsidR="00680EA8" w:rsidRPr="008A084A">
        <w:rPr>
          <w:rFonts w:ascii="Cambria" w:hAnsi="Cambria"/>
          <w:sz w:val="20"/>
          <w:szCs w:val="20"/>
          <w:lang w:val="es-ES"/>
        </w:rPr>
        <w:t>La doctora Quimbiulco sostuvo que</w:t>
      </w:r>
      <w:r w:rsidR="009B3A5B" w:rsidRPr="008A084A">
        <w:rPr>
          <w:rFonts w:ascii="Cambria" w:hAnsi="Cambria"/>
          <w:sz w:val="20"/>
          <w:szCs w:val="20"/>
          <w:lang w:val="es-ES"/>
        </w:rPr>
        <w:t xml:space="preserve"> le</w:t>
      </w:r>
      <w:r w:rsidR="00680EA8" w:rsidRPr="008A084A">
        <w:rPr>
          <w:rFonts w:ascii="Cambria" w:hAnsi="Cambria"/>
          <w:sz w:val="20"/>
          <w:szCs w:val="20"/>
          <w:lang w:val="es-ES"/>
        </w:rPr>
        <w:t xml:space="preserve"> entregó a la señora </w:t>
      </w:r>
      <w:r w:rsidR="002125A0" w:rsidRPr="008A084A">
        <w:rPr>
          <w:rFonts w:ascii="Cambria" w:hAnsi="Cambria"/>
          <w:sz w:val="20"/>
          <w:szCs w:val="20"/>
          <w:lang w:val="es-ES"/>
        </w:rPr>
        <w:t>Chimbó</w:t>
      </w:r>
      <w:r w:rsidR="00680EA8" w:rsidRPr="008A084A">
        <w:rPr>
          <w:rFonts w:ascii="Cambria" w:hAnsi="Cambria"/>
          <w:sz w:val="20"/>
          <w:szCs w:val="20"/>
          <w:lang w:val="es-ES"/>
        </w:rPr>
        <w:t xml:space="preserve"> la lista de medicamentos que prescribió a su hijo</w:t>
      </w:r>
      <w:r w:rsidR="00680EA8" w:rsidRPr="008A084A">
        <w:rPr>
          <w:rStyle w:val="FootnoteReference"/>
          <w:rFonts w:ascii="Cambria" w:hAnsi="Cambria"/>
          <w:sz w:val="20"/>
          <w:szCs w:val="20"/>
        </w:rPr>
        <w:footnoteReference w:id="56"/>
      </w:r>
      <w:r w:rsidR="00680EA8" w:rsidRPr="008A084A">
        <w:rPr>
          <w:rFonts w:ascii="Cambria" w:hAnsi="Cambria"/>
          <w:sz w:val="20"/>
          <w:szCs w:val="20"/>
          <w:lang w:val="es-ES"/>
        </w:rPr>
        <w:t>.</w:t>
      </w:r>
    </w:p>
    <w:p w:rsidR="00CB5425" w:rsidRPr="008A084A" w:rsidRDefault="00CB5425" w:rsidP="00CB5425">
      <w:pPr>
        <w:pStyle w:val="ColorfulList-Accent11"/>
        <w:rPr>
          <w:rFonts w:ascii="Cambria" w:hAnsi="Cambria"/>
          <w:sz w:val="20"/>
          <w:szCs w:val="20"/>
          <w:lang w:val="es-ES"/>
        </w:rPr>
      </w:pPr>
    </w:p>
    <w:p w:rsidR="00CB5425" w:rsidRPr="008A084A" w:rsidRDefault="00095D01" w:rsidP="00CB5425">
      <w:pPr>
        <w:numPr>
          <w:ilvl w:val="0"/>
          <w:numId w:val="55"/>
        </w:numPr>
        <w:jc w:val="both"/>
        <w:rPr>
          <w:rFonts w:ascii="Cambria" w:hAnsi="Cambria"/>
          <w:sz w:val="20"/>
          <w:szCs w:val="20"/>
          <w:lang w:val="es-ES"/>
        </w:rPr>
      </w:pPr>
      <w:r w:rsidRPr="008A084A">
        <w:rPr>
          <w:rFonts w:ascii="Cambria" w:hAnsi="Cambria"/>
          <w:sz w:val="20"/>
          <w:szCs w:val="20"/>
          <w:lang w:val="es-ES"/>
        </w:rPr>
        <w:t xml:space="preserve">La doctora Quimbiulco sostuvo que en la tarde del mismo día, mientras estaba atendiendo a otras personas internadas en el hospital, se encontró nuevamente con la señora </w:t>
      </w:r>
      <w:r w:rsidR="002125A0" w:rsidRPr="008A084A">
        <w:rPr>
          <w:rFonts w:ascii="Cambria" w:hAnsi="Cambria"/>
          <w:sz w:val="20"/>
          <w:szCs w:val="20"/>
          <w:lang w:val="es-ES"/>
        </w:rPr>
        <w:t>Chimbó</w:t>
      </w:r>
      <w:r w:rsidRPr="008A084A">
        <w:rPr>
          <w:rStyle w:val="FootnoteReference"/>
          <w:rFonts w:ascii="Cambria" w:hAnsi="Cambria"/>
          <w:sz w:val="20"/>
          <w:szCs w:val="20"/>
        </w:rPr>
        <w:footnoteReference w:id="57"/>
      </w:r>
      <w:r w:rsidRPr="008A084A">
        <w:rPr>
          <w:rFonts w:ascii="Cambria" w:hAnsi="Cambria"/>
          <w:sz w:val="20"/>
          <w:szCs w:val="20"/>
          <w:lang w:val="es-ES"/>
        </w:rPr>
        <w:t xml:space="preserve">. Manifestó que la señora </w:t>
      </w:r>
      <w:r w:rsidR="002125A0" w:rsidRPr="008A084A">
        <w:rPr>
          <w:rFonts w:ascii="Cambria" w:hAnsi="Cambria"/>
          <w:sz w:val="20"/>
          <w:szCs w:val="20"/>
          <w:lang w:val="es-ES"/>
        </w:rPr>
        <w:t>Chimbó</w:t>
      </w:r>
      <w:r w:rsidRPr="008A084A">
        <w:rPr>
          <w:rFonts w:ascii="Cambria" w:hAnsi="Cambria"/>
          <w:sz w:val="20"/>
          <w:szCs w:val="20"/>
          <w:lang w:val="es-ES"/>
        </w:rPr>
        <w:t xml:space="preserve"> le </w:t>
      </w:r>
      <w:r w:rsidR="007A721E" w:rsidRPr="008A084A">
        <w:rPr>
          <w:rFonts w:ascii="Cambria" w:hAnsi="Cambria"/>
          <w:sz w:val="20"/>
          <w:szCs w:val="20"/>
          <w:lang w:val="es-ES"/>
        </w:rPr>
        <w:t>volvió a preguntar</w:t>
      </w:r>
      <w:r w:rsidRPr="008A084A">
        <w:rPr>
          <w:rFonts w:ascii="Cambria" w:hAnsi="Cambria"/>
          <w:sz w:val="20"/>
          <w:szCs w:val="20"/>
          <w:lang w:val="es-ES"/>
        </w:rPr>
        <w:t xml:space="preserve"> dónde se encontraba su hijo</w:t>
      </w:r>
      <w:r w:rsidR="00C61E87" w:rsidRPr="008A084A">
        <w:rPr>
          <w:rFonts w:ascii="Cambria" w:hAnsi="Cambria"/>
          <w:sz w:val="20"/>
          <w:szCs w:val="20"/>
          <w:lang w:val="es-ES"/>
        </w:rPr>
        <w:t xml:space="preserve">, a lo que le respondió que </w:t>
      </w:r>
      <w:r w:rsidR="00991679" w:rsidRPr="008A084A">
        <w:rPr>
          <w:rFonts w:ascii="Cambria" w:hAnsi="Cambria"/>
          <w:sz w:val="20"/>
          <w:szCs w:val="20"/>
          <w:lang w:val="es-ES"/>
        </w:rPr>
        <w:t>“podría encontrarse en la peluquería o en terapia ocupacional con el resto de pacientes”</w:t>
      </w:r>
      <w:r w:rsidR="00991679" w:rsidRPr="008A084A">
        <w:rPr>
          <w:rStyle w:val="FootnoteReference"/>
          <w:rFonts w:ascii="Cambria" w:hAnsi="Cambria"/>
          <w:sz w:val="20"/>
          <w:szCs w:val="20"/>
        </w:rPr>
        <w:footnoteReference w:id="58"/>
      </w:r>
      <w:r w:rsidR="00991679" w:rsidRPr="008A084A">
        <w:rPr>
          <w:rFonts w:ascii="Cambria" w:hAnsi="Cambria"/>
          <w:sz w:val="20"/>
          <w:szCs w:val="20"/>
          <w:lang w:val="es-ES"/>
        </w:rPr>
        <w:t>. Agregó que “</w:t>
      </w:r>
      <w:r w:rsidR="005E4A8D" w:rsidRPr="008A084A">
        <w:rPr>
          <w:rFonts w:ascii="Cambria" w:hAnsi="Cambria"/>
          <w:sz w:val="20"/>
          <w:szCs w:val="20"/>
          <w:lang w:val="es-ES"/>
        </w:rPr>
        <w:t xml:space="preserve">en realidad (...) no sabía en ese momento exactamente dónde se encontraba ya que (...) no </w:t>
      </w:r>
      <w:proofErr w:type="gramStart"/>
      <w:r w:rsidR="005E4A8D" w:rsidRPr="008A084A">
        <w:rPr>
          <w:rFonts w:ascii="Cambria" w:hAnsi="Cambria"/>
          <w:sz w:val="20"/>
          <w:szCs w:val="20"/>
          <w:lang w:val="es-ES"/>
        </w:rPr>
        <w:t>t(</w:t>
      </w:r>
      <w:proofErr w:type="spellStart"/>
      <w:proofErr w:type="gramEnd"/>
      <w:r w:rsidR="005E4A8D" w:rsidRPr="008A084A">
        <w:rPr>
          <w:rFonts w:ascii="Cambria" w:hAnsi="Cambria"/>
          <w:sz w:val="20"/>
          <w:szCs w:val="20"/>
          <w:lang w:val="es-ES"/>
        </w:rPr>
        <w:t>iene</w:t>
      </w:r>
      <w:proofErr w:type="spellEnd"/>
      <w:r w:rsidR="005E4A8D" w:rsidRPr="008A084A">
        <w:rPr>
          <w:rFonts w:ascii="Cambria" w:hAnsi="Cambria"/>
          <w:sz w:val="20"/>
          <w:szCs w:val="20"/>
          <w:lang w:val="es-ES"/>
        </w:rPr>
        <w:t>) la responsabilidad directa de cuidar a los pacientes, función que corresponde al personal auxiliar de enfermería</w:t>
      </w:r>
      <w:r w:rsidR="00991679" w:rsidRPr="008A084A">
        <w:rPr>
          <w:rFonts w:ascii="Cambria" w:hAnsi="Cambria"/>
          <w:sz w:val="20"/>
          <w:szCs w:val="20"/>
          <w:lang w:val="es-ES"/>
        </w:rPr>
        <w:t>”</w:t>
      </w:r>
      <w:r w:rsidR="005E4A8D" w:rsidRPr="008A084A">
        <w:rPr>
          <w:rStyle w:val="FootnoteReference"/>
          <w:rFonts w:ascii="Cambria" w:hAnsi="Cambria"/>
          <w:sz w:val="20"/>
          <w:szCs w:val="20"/>
        </w:rPr>
        <w:footnoteReference w:id="59"/>
      </w:r>
      <w:r w:rsidR="005E4A8D" w:rsidRPr="008A084A">
        <w:rPr>
          <w:rFonts w:ascii="Cambria" w:hAnsi="Cambria"/>
          <w:sz w:val="20"/>
          <w:szCs w:val="20"/>
          <w:lang w:val="es-ES"/>
        </w:rPr>
        <w:t>.</w:t>
      </w:r>
    </w:p>
    <w:p w:rsidR="00CB5425" w:rsidRPr="008A084A" w:rsidRDefault="007A721E" w:rsidP="00CB5425">
      <w:pPr>
        <w:numPr>
          <w:ilvl w:val="0"/>
          <w:numId w:val="55"/>
        </w:numPr>
        <w:jc w:val="both"/>
        <w:rPr>
          <w:rFonts w:ascii="Cambria" w:hAnsi="Cambria"/>
          <w:sz w:val="20"/>
          <w:szCs w:val="20"/>
          <w:lang w:val="es-ES"/>
        </w:rPr>
      </w:pPr>
      <w:r w:rsidRPr="008A084A">
        <w:rPr>
          <w:rFonts w:ascii="Cambria" w:hAnsi="Cambria"/>
          <w:sz w:val="20"/>
          <w:szCs w:val="20"/>
          <w:lang w:val="es-ES"/>
        </w:rPr>
        <w:lastRenderedPageBreak/>
        <w:t>La señora Chimbó</w:t>
      </w:r>
      <w:r w:rsidR="003E2A93" w:rsidRPr="008A084A">
        <w:rPr>
          <w:rFonts w:ascii="Cambria" w:hAnsi="Cambria"/>
          <w:sz w:val="20"/>
          <w:szCs w:val="20"/>
          <w:lang w:val="es-ES"/>
        </w:rPr>
        <w:t xml:space="preserve"> indicó que fue a la peluquería del hospital pero que no encontró a su hijo en dicho lugar</w:t>
      </w:r>
      <w:r w:rsidR="003E2A93" w:rsidRPr="008A084A">
        <w:rPr>
          <w:rStyle w:val="FootnoteReference"/>
          <w:rFonts w:ascii="Cambria" w:hAnsi="Cambria"/>
          <w:sz w:val="20"/>
          <w:szCs w:val="20"/>
        </w:rPr>
        <w:footnoteReference w:id="60"/>
      </w:r>
      <w:r w:rsidR="003E2A93" w:rsidRPr="008A084A">
        <w:rPr>
          <w:rFonts w:ascii="Cambria" w:hAnsi="Cambria"/>
          <w:sz w:val="20"/>
          <w:szCs w:val="20"/>
          <w:lang w:val="es-ES"/>
        </w:rPr>
        <w:t>.</w:t>
      </w:r>
      <w:r w:rsidR="009C31E6" w:rsidRPr="008A084A">
        <w:rPr>
          <w:rFonts w:ascii="Cambria" w:hAnsi="Cambria"/>
          <w:sz w:val="20"/>
          <w:szCs w:val="20"/>
          <w:lang w:val="es-ES"/>
        </w:rPr>
        <w:t xml:space="preserve"> Manifestó que la doctora Quimbiulco le indicó que “buscara entre los pacientes, que por ahí ha de estar con los enfermos, que podía estar en rehabilitación, que es el lugar donde los enfermos desgranan maíz”</w:t>
      </w:r>
      <w:r w:rsidR="009C31E6" w:rsidRPr="008A084A">
        <w:rPr>
          <w:rStyle w:val="FootnoteReference"/>
          <w:rFonts w:ascii="Cambria" w:hAnsi="Cambria"/>
          <w:sz w:val="20"/>
          <w:szCs w:val="20"/>
        </w:rPr>
        <w:footnoteReference w:id="61"/>
      </w:r>
      <w:r w:rsidR="009C31E6" w:rsidRPr="008A084A">
        <w:rPr>
          <w:rFonts w:ascii="Cambria" w:hAnsi="Cambria"/>
          <w:sz w:val="20"/>
          <w:szCs w:val="20"/>
          <w:lang w:val="es-ES"/>
        </w:rPr>
        <w:t>. La señora Chimbó sostuvo que increpó a la doctora Quimbiulco por no saber dónde se encontraba su hijo, quien además est</w:t>
      </w:r>
      <w:r w:rsidR="00087E19" w:rsidRPr="008A084A">
        <w:rPr>
          <w:rFonts w:ascii="Cambria" w:hAnsi="Cambria"/>
          <w:sz w:val="20"/>
          <w:szCs w:val="20"/>
          <w:lang w:val="es-ES"/>
        </w:rPr>
        <w:t xml:space="preserve">aría </w:t>
      </w:r>
      <w:r w:rsidR="009C31E6" w:rsidRPr="008A084A">
        <w:rPr>
          <w:rFonts w:ascii="Cambria" w:hAnsi="Cambria"/>
          <w:sz w:val="20"/>
          <w:szCs w:val="20"/>
          <w:lang w:val="es-ES"/>
        </w:rPr>
        <w:t>sedado</w:t>
      </w:r>
      <w:r w:rsidR="009C31E6" w:rsidRPr="008A084A">
        <w:rPr>
          <w:rStyle w:val="FootnoteReference"/>
          <w:rFonts w:ascii="Cambria" w:hAnsi="Cambria"/>
          <w:sz w:val="20"/>
          <w:szCs w:val="20"/>
        </w:rPr>
        <w:footnoteReference w:id="62"/>
      </w:r>
      <w:r w:rsidR="009C31E6" w:rsidRPr="008A084A">
        <w:rPr>
          <w:rFonts w:ascii="Cambria" w:hAnsi="Cambria"/>
          <w:sz w:val="20"/>
          <w:szCs w:val="20"/>
          <w:lang w:val="es-ES"/>
        </w:rPr>
        <w:t xml:space="preserve">. </w:t>
      </w:r>
      <w:proofErr w:type="spellStart"/>
      <w:r w:rsidR="009C31E6" w:rsidRPr="008A084A">
        <w:rPr>
          <w:rFonts w:ascii="Cambria" w:hAnsi="Cambria"/>
          <w:sz w:val="20"/>
          <w:szCs w:val="20"/>
        </w:rPr>
        <w:t>Señaló</w:t>
      </w:r>
      <w:proofErr w:type="spellEnd"/>
      <w:r w:rsidR="009C31E6" w:rsidRPr="008A084A">
        <w:rPr>
          <w:rFonts w:ascii="Cambria" w:hAnsi="Cambria"/>
          <w:sz w:val="20"/>
          <w:szCs w:val="20"/>
        </w:rPr>
        <w:t xml:space="preserve"> que la </w:t>
      </w:r>
      <w:proofErr w:type="spellStart"/>
      <w:r w:rsidR="009C31E6" w:rsidRPr="008A084A">
        <w:rPr>
          <w:rFonts w:ascii="Cambria" w:hAnsi="Cambria"/>
          <w:sz w:val="20"/>
          <w:szCs w:val="20"/>
        </w:rPr>
        <w:t>doctora</w:t>
      </w:r>
      <w:proofErr w:type="spellEnd"/>
      <w:r w:rsidR="009C31E6" w:rsidRPr="008A084A">
        <w:rPr>
          <w:rFonts w:ascii="Cambria" w:hAnsi="Cambria"/>
          <w:sz w:val="20"/>
          <w:szCs w:val="20"/>
        </w:rPr>
        <w:t xml:space="preserve"> Quimbiulco no le </w:t>
      </w:r>
      <w:proofErr w:type="spellStart"/>
      <w:r w:rsidR="009C31E6" w:rsidRPr="008A084A">
        <w:rPr>
          <w:rFonts w:ascii="Cambria" w:hAnsi="Cambria"/>
          <w:sz w:val="20"/>
          <w:szCs w:val="20"/>
        </w:rPr>
        <w:t>respondió</w:t>
      </w:r>
      <w:proofErr w:type="spellEnd"/>
      <w:r w:rsidR="009C31E6" w:rsidRPr="008A084A">
        <w:rPr>
          <w:rStyle w:val="FootnoteReference"/>
          <w:rFonts w:ascii="Cambria" w:hAnsi="Cambria"/>
          <w:sz w:val="20"/>
          <w:szCs w:val="20"/>
        </w:rPr>
        <w:footnoteReference w:id="63"/>
      </w:r>
      <w:r w:rsidR="009C31E6" w:rsidRPr="008A084A">
        <w:rPr>
          <w:rFonts w:ascii="Cambria" w:hAnsi="Cambria"/>
          <w:sz w:val="20"/>
          <w:szCs w:val="20"/>
        </w:rPr>
        <w:t>.</w:t>
      </w:r>
    </w:p>
    <w:p w:rsidR="00CB5425" w:rsidRPr="008A084A" w:rsidRDefault="00CB5425" w:rsidP="001B07CF">
      <w:pPr>
        <w:pStyle w:val="ColorfulList-Accent11"/>
        <w:rPr>
          <w:rFonts w:ascii="Cambria" w:hAnsi="Cambria"/>
          <w:sz w:val="20"/>
          <w:szCs w:val="20"/>
        </w:rPr>
      </w:pPr>
    </w:p>
    <w:p w:rsidR="00CB5425" w:rsidRPr="008A084A" w:rsidRDefault="00FD4BBA" w:rsidP="00CB5425">
      <w:pPr>
        <w:numPr>
          <w:ilvl w:val="0"/>
          <w:numId w:val="55"/>
        </w:numPr>
        <w:jc w:val="both"/>
        <w:rPr>
          <w:rFonts w:ascii="Cambria" w:hAnsi="Cambria"/>
          <w:sz w:val="20"/>
          <w:szCs w:val="20"/>
          <w:lang w:val="es-ES"/>
        </w:rPr>
      </w:pPr>
      <w:r w:rsidRPr="008A084A">
        <w:rPr>
          <w:rFonts w:ascii="Cambria" w:hAnsi="Cambria"/>
          <w:sz w:val="20"/>
          <w:szCs w:val="20"/>
          <w:lang w:val="es-ES"/>
        </w:rPr>
        <w:t xml:space="preserve">La señora Chimbó manifestó que salió del hospital a comprar los medicamentos que le indicaron </w:t>
      </w:r>
      <w:r w:rsidR="00CB5425" w:rsidRPr="008A084A">
        <w:rPr>
          <w:rFonts w:ascii="Cambria" w:hAnsi="Cambria"/>
          <w:sz w:val="20"/>
          <w:szCs w:val="20"/>
          <w:lang w:val="es-ES"/>
        </w:rPr>
        <w:t>y que, al regresar, preguntó a</w:t>
      </w:r>
      <w:r w:rsidRPr="008A084A">
        <w:rPr>
          <w:rFonts w:ascii="Cambria" w:hAnsi="Cambria"/>
          <w:sz w:val="20"/>
          <w:szCs w:val="20"/>
          <w:lang w:val="es-ES"/>
        </w:rPr>
        <w:t>l personal del centro dónde se encontraba su hijo</w:t>
      </w:r>
      <w:r w:rsidRPr="008A084A">
        <w:rPr>
          <w:rStyle w:val="FootnoteReference"/>
          <w:rFonts w:ascii="Cambria" w:hAnsi="Cambria"/>
          <w:sz w:val="20"/>
          <w:szCs w:val="20"/>
        </w:rPr>
        <w:footnoteReference w:id="64"/>
      </w:r>
      <w:r w:rsidRPr="008A084A">
        <w:rPr>
          <w:rFonts w:ascii="Cambria" w:hAnsi="Cambria"/>
          <w:sz w:val="20"/>
          <w:szCs w:val="20"/>
          <w:lang w:val="es-ES"/>
        </w:rPr>
        <w:t xml:space="preserve">. Indicó que </w:t>
      </w:r>
      <w:r w:rsidR="00680EA8" w:rsidRPr="008A084A">
        <w:rPr>
          <w:rFonts w:ascii="Cambria" w:hAnsi="Cambria"/>
          <w:sz w:val="20"/>
          <w:szCs w:val="20"/>
          <w:lang w:val="es-ES"/>
        </w:rPr>
        <w:t>nadie le pudo indicar dónde se encontraba</w:t>
      </w:r>
      <w:r w:rsidR="00680EA8" w:rsidRPr="008A084A">
        <w:rPr>
          <w:rStyle w:val="FootnoteReference"/>
          <w:rFonts w:ascii="Cambria" w:hAnsi="Cambria"/>
          <w:sz w:val="20"/>
          <w:szCs w:val="20"/>
        </w:rPr>
        <w:footnoteReference w:id="65"/>
      </w:r>
      <w:r w:rsidR="00680EA8" w:rsidRPr="008A084A">
        <w:rPr>
          <w:rFonts w:ascii="Cambria" w:hAnsi="Cambria"/>
          <w:sz w:val="20"/>
          <w:szCs w:val="20"/>
          <w:lang w:val="es-ES"/>
        </w:rPr>
        <w:t>. Manifestó que entregó los medicamentos a la doctora Quimbiulco y le indicó que seguía sin encontrar a su hijo, a lo cual ella respondió que “por ahí ha de estar”</w:t>
      </w:r>
      <w:r w:rsidR="00680EA8" w:rsidRPr="008A084A">
        <w:rPr>
          <w:rStyle w:val="FootnoteReference"/>
          <w:rFonts w:ascii="Cambria" w:hAnsi="Cambria"/>
          <w:sz w:val="20"/>
          <w:szCs w:val="20"/>
        </w:rPr>
        <w:footnoteReference w:id="66"/>
      </w:r>
      <w:r w:rsidR="00680EA8" w:rsidRPr="008A084A">
        <w:rPr>
          <w:rFonts w:ascii="Cambria" w:hAnsi="Cambria"/>
          <w:sz w:val="20"/>
          <w:szCs w:val="20"/>
          <w:lang w:val="es-ES"/>
        </w:rPr>
        <w:t>.</w:t>
      </w:r>
    </w:p>
    <w:p w:rsidR="00CB5425" w:rsidRPr="008A084A" w:rsidRDefault="00CB5425" w:rsidP="00CB5425">
      <w:pPr>
        <w:pStyle w:val="ColorfulList-Accent11"/>
        <w:rPr>
          <w:rFonts w:ascii="Cambria" w:hAnsi="Cambria"/>
          <w:sz w:val="20"/>
          <w:szCs w:val="20"/>
          <w:lang w:val="es-ES"/>
        </w:rPr>
      </w:pPr>
    </w:p>
    <w:p w:rsidR="00680EA8" w:rsidRPr="008A084A" w:rsidRDefault="00680EA8" w:rsidP="00CB5425">
      <w:pPr>
        <w:numPr>
          <w:ilvl w:val="0"/>
          <w:numId w:val="55"/>
        </w:numPr>
        <w:jc w:val="both"/>
        <w:rPr>
          <w:rFonts w:ascii="Cambria" w:hAnsi="Cambria"/>
          <w:sz w:val="20"/>
          <w:szCs w:val="20"/>
          <w:lang w:val="es-ES"/>
        </w:rPr>
      </w:pPr>
      <w:r w:rsidRPr="008A084A">
        <w:rPr>
          <w:rFonts w:ascii="Cambria" w:hAnsi="Cambria"/>
          <w:sz w:val="20"/>
          <w:szCs w:val="20"/>
          <w:lang w:val="es-ES"/>
        </w:rPr>
        <w:t xml:space="preserve">La doctora Quimbiulco indicó que </w:t>
      </w:r>
      <w:r w:rsidR="00A3084C" w:rsidRPr="008A084A">
        <w:rPr>
          <w:rFonts w:ascii="Cambria" w:hAnsi="Cambria"/>
          <w:sz w:val="20"/>
          <w:szCs w:val="20"/>
          <w:lang w:val="es-ES"/>
        </w:rPr>
        <w:t xml:space="preserve">seguidamente </w:t>
      </w:r>
      <w:r w:rsidRPr="008A084A">
        <w:rPr>
          <w:rFonts w:ascii="Cambria" w:hAnsi="Cambria"/>
          <w:sz w:val="20"/>
          <w:szCs w:val="20"/>
          <w:lang w:val="es-ES"/>
        </w:rPr>
        <w:t xml:space="preserve">le dijo a la señora Chimbó que </w:t>
      </w:r>
      <w:r w:rsidR="0049205B" w:rsidRPr="008A084A">
        <w:rPr>
          <w:rFonts w:ascii="Cambria" w:hAnsi="Cambria"/>
          <w:sz w:val="20"/>
          <w:szCs w:val="20"/>
          <w:lang w:val="es-ES"/>
        </w:rPr>
        <w:t>era</w:t>
      </w:r>
      <w:r w:rsidRPr="008A084A">
        <w:rPr>
          <w:rFonts w:ascii="Cambria" w:hAnsi="Cambria"/>
          <w:sz w:val="20"/>
          <w:szCs w:val="20"/>
          <w:lang w:val="es-ES"/>
        </w:rPr>
        <w:t xml:space="preserve"> “conveniente terapéuticamente” que no vea a su hijo</w:t>
      </w:r>
      <w:r w:rsidRPr="008A084A">
        <w:rPr>
          <w:rStyle w:val="FootnoteReference"/>
          <w:rFonts w:ascii="Cambria" w:hAnsi="Cambria"/>
          <w:sz w:val="20"/>
          <w:szCs w:val="20"/>
        </w:rPr>
        <w:footnoteReference w:id="67"/>
      </w:r>
      <w:r w:rsidRPr="008A084A">
        <w:rPr>
          <w:rFonts w:ascii="Cambria" w:hAnsi="Cambria"/>
          <w:sz w:val="20"/>
          <w:szCs w:val="20"/>
          <w:lang w:val="es-ES"/>
        </w:rPr>
        <w:t>. Ello debido a que “los pacientes al recibir a sus familiares en muchas de las ocasiones se agitan y quieren irse con ellos”</w:t>
      </w:r>
      <w:r w:rsidRPr="008A084A">
        <w:rPr>
          <w:rStyle w:val="FootnoteReference"/>
          <w:rFonts w:ascii="Cambria" w:hAnsi="Cambria"/>
          <w:sz w:val="20"/>
          <w:szCs w:val="20"/>
        </w:rPr>
        <w:footnoteReference w:id="68"/>
      </w:r>
      <w:r w:rsidRPr="008A084A">
        <w:rPr>
          <w:rFonts w:ascii="Cambria" w:hAnsi="Cambria"/>
          <w:sz w:val="20"/>
          <w:szCs w:val="20"/>
          <w:lang w:val="es-ES"/>
        </w:rPr>
        <w:t xml:space="preserve">. También manifestó que acordó con la señora </w:t>
      </w:r>
      <w:r w:rsidR="002125A0" w:rsidRPr="008A084A">
        <w:rPr>
          <w:rFonts w:ascii="Cambria" w:hAnsi="Cambria"/>
          <w:sz w:val="20"/>
          <w:szCs w:val="20"/>
          <w:lang w:val="es-ES"/>
        </w:rPr>
        <w:t>Chimbó</w:t>
      </w:r>
      <w:r w:rsidRPr="008A084A">
        <w:rPr>
          <w:rFonts w:ascii="Cambria" w:hAnsi="Cambria"/>
          <w:sz w:val="20"/>
          <w:szCs w:val="20"/>
          <w:lang w:val="es-ES"/>
        </w:rPr>
        <w:t xml:space="preserve"> llamarla diariamente para informarle sobre el estado de salud de Luis Guachalá y acordar un día en el que pueda visitarlo</w:t>
      </w:r>
      <w:r w:rsidRPr="008A084A">
        <w:rPr>
          <w:rStyle w:val="FootnoteReference"/>
          <w:rFonts w:ascii="Cambria" w:hAnsi="Cambria"/>
          <w:sz w:val="20"/>
          <w:szCs w:val="20"/>
        </w:rPr>
        <w:footnoteReference w:id="69"/>
      </w:r>
      <w:r w:rsidRPr="008A084A">
        <w:rPr>
          <w:rFonts w:ascii="Cambria" w:hAnsi="Cambria"/>
          <w:sz w:val="20"/>
          <w:szCs w:val="20"/>
          <w:lang w:val="es-ES"/>
        </w:rPr>
        <w:t>.</w:t>
      </w:r>
    </w:p>
    <w:p w:rsidR="005E4A8D" w:rsidRPr="008A084A" w:rsidRDefault="005E4A8D"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49205B" w:rsidRPr="008A084A" w:rsidRDefault="009D5590" w:rsidP="00CB5425">
      <w:pPr>
        <w:numPr>
          <w:ilvl w:val="0"/>
          <w:numId w:val="55"/>
        </w:numPr>
        <w:jc w:val="both"/>
        <w:rPr>
          <w:rFonts w:ascii="Cambria" w:hAnsi="Cambria"/>
          <w:sz w:val="20"/>
          <w:szCs w:val="20"/>
          <w:lang w:val="es-ES"/>
        </w:rPr>
      </w:pPr>
      <w:r w:rsidRPr="008A084A">
        <w:rPr>
          <w:rFonts w:ascii="Cambria" w:hAnsi="Cambria"/>
          <w:sz w:val="20"/>
          <w:szCs w:val="20"/>
          <w:lang w:val="es-ES"/>
        </w:rPr>
        <w:t xml:space="preserve">Conforme al informe médico del hospital, </w:t>
      </w:r>
      <w:r w:rsidR="005E4A8D" w:rsidRPr="008A084A">
        <w:rPr>
          <w:rFonts w:ascii="Cambria" w:hAnsi="Cambria"/>
          <w:sz w:val="20"/>
          <w:szCs w:val="20"/>
          <w:lang w:val="es-ES"/>
        </w:rPr>
        <w:t xml:space="preserve">la doctora Quimbiulco sostuvo </w:t>
      </w:r>
      <w:r w:rsidRPr="008A084A">
        <w:rPr>
          <w:rFonts w:ascii="Cambria" w:hAnsi="Cambria"/>
          <w:sz w:val="20"/>
          <w:szCs w:val="20"/>
          <w:lang w:val="es-ES"/>
        </w:rPr>
        <w:t xml:space="preserve">que el martes 13 de enero de 2004 le </w:t>
      </w:r>
      <w:r w:rsidR="005E4A8D" w:rsidRPr="008A084A">
        <w:rPr>
          <w:rFonts w:ascii="Cambria" w:hAnsi="Cambria"/>
          <w:sz w:val="20"/>
          <w:szCs w:val="20"/>
          <w:lang w:val="es-ES"/>
        </w:rPr>
        <w:t>realizó un nuevo examen al señor Guachalá</w:t>
      </w:r>
      <w:r w:rsidR="005E4A8D" w:rsidRPr="008A084A">
        <w:rPr>
          <w:rStyle w:val="FootnoteReference"/>
          <w:rFonts w:ascii="Cambria" w:hAnsi="Cambria"/>
          <w:sz w:val="20"/>
          <w:szCs w:val="20"/>
        </w:rPr>
        <w:footnoteReference w:id="70"/>
      </w:r>
      <w:r w:rsidR="005E4A8D" w:rsidRPr="008A084A">
        <w:rPr>
          <w:rFonts w:ascii="Cambria" w:hAnsi="Cambria"/>
          <w:sz w:val="20"/>
          <w:szCs w:val="20"/>
          <w:lang w:val="es-ES"/>
        </w:rPr>
        <w:t xml:space="preserve">. Manifestó que se encontraba “poco comunicativo, </w:t>
      </w:r>
      <w:proofErr w:type="spellStart"/>
      <w:r w:rsidR="005E4A8D" w:rsidRPr="008A084A">
        <w:rPr>
          <w:rFonts w:ascii="Cambria" w:hAnsi="Cambria"/>
          <w:sz w:val="20"/>
          <w:szCs w:val="20"/>
          <w:lang w:val="es-ES"/>
        </w:rPr>
        <w:t>hipoprosexico</w:t>
      </w:r>
      <w:proofErr w:type="spellEnd"/>
      <w:r w:rsidR="005E4A8D" w:rsidRPr="008A084A">
        <w:rPr>
          <w:rFonts w:ascii="Cambria" w:hAnsi="Cambria"/>
          <w:sz w:val="20"/>
          <w:szCs w:val="20"/>
          <w:lang w:val="es-ES"/>
        </w:rPr>
        <w:t xml:space="preserve">, pensamiento </w:t>
      </w:r>
      <w:proofErr w:type="spellStart"/>
      <w:r w:rsidR="005E4A8D" w:rsidRPr="008A084A">
        <w:rPr>
          <w:rFonts w:ascii="Cambria" w:hAnsi="Cambria"/>
          <w:sz w:val="20"/>
          <w:szCs w:val="20"/>
          <w:lang w:val="es-ES"/>
        </w:rPr>
        <w:t>bradipsiquico</w:t>
      </w:r>
      <w:proofErr w:type="spellEnd"/>
      <w:r w:rsidR="005E4A8D" w:rsidRPr="008A084A">
        <w:rPr>
          <w:rFonts w:ascii="Cambria" w:hAnsi="Cambria"/>
          <w:sz w:val="20"/>
          <w:szCs w:val="20"/>
          <w:lang w:val="es-ES"/>
        </w:rPr>
        <w:t>, contenido pobre, (...) memoria, cálculo, juicio y raciocinio deteriorados”</w:t>
      </w:r>
      <w:r w:rsidR="005E4A8D" w:rsidRPr="008A084A">
        <w:rPr>
          <w:rStyle w:val="FootnoteReference"/>
          <w:rFonts w:ascii="Cambria" w:hAnsi="Cambria"/>
          <w:sz w:val="20"/>
          <w:szCs w:val="20"/>
        </w:rPr>
        <w:footnoteReference w:id="71"/>
      </w:r>
      <w:r w:rsidR="005E4A8D" w:rsidRPr="008A084A">
        <w:rPr>
          <w:rFonts w:ascii="Cambria" w:hAnsi="Cambria"/>
          <w:sz w:val="20"/>
          <w:szCs w:val="20"/>
          <w:lang w:val="es-ES"/>
        </w:rPr>
        <w:t>. Agregó que el señor Guachalá no hab</w:t>
      </w:r>
      <w:r w:rsidR="00884CCC" w:rsidRPr="008A084A">
        <w:rPr>
          <w:rFonts w:ascii="Cambria" w:hAnsi="Cambria"/>
          <w:sz w:val="20"/>
          <w:szCs w:val="20"/>
          <w:lang w:val="es-ES"/>
        </w:rPr>
        <w:t>ía sufrido crisis con</w:t>
      </w:r>
      <w:r w:rsidR="00E037EC" w:rsidRPr="008A084A">
        <w:rPr>
          <w:rFonts w:ascii="Cambria" w:hAnsi="Cambria"/>
          <w:sz w:val="20"/>
          <w:szCs w:val="20"/>
          <w:lang w:val="es-ES"/>
        </w:rPr>
        <w:t>vulsivas, y que se alimentaba y dormía en forma adecuada</w:t>
      </w:r>
      <w:r w:rsidR="00E037EC" w:rsidRPr="008A084A">
        <w:rPr>
          <w:rStyle w:val="FootnoteReference"/>
          <w:rFonts w:ascii="Cambria" w:hAnsi="Cambria"/>
          <w:sz w:val="20"/>
          <w:szCs w:val="20"/>
        </w:rPr>
        <w:footnoteReference w:id="72"/>
      </w:r>
      <w:r w:rsidR="00E037EC" w:rsidRPr="008A084A">
        <w:rPr>
          <w:rFonts w:ascii="Cambria" w:hAnsi="Cambria"/>
          <w:sz w:val="20"/>
          <w:szCs w:val="20"/>
          <w:lang w:val="es-ES"/>
        </w:rPr>
        <w:t>.</w:t>
      </w:r>
      <w:r w:rsidR="00D1361F" w:rsidRPr="008A084A">
        <w:rPr>
          <w:rFonts w:ascii="Cambria" w:hAnsi="Cambria"/>
          <w:sz w:val="20"/>
          <w:szCs w:val="20"/>
          <w:lang w:val="es-ES"/>
        </w:rPr>
        <w:t xml:space="preserve"> Indicó que debido a su mejoría, decidió cambiar los medicament</w:t>
      </w:r>
      <w:r w:rsidR="002730AE" w:rsidRPr="008A084A">
        <w:rPr>
          <w:rFonts w:ascii="Cambria" w:hAnsi="Cambria"/>
          <w:sz w:val="20"/>
          <w:szCs w:val="20"/>
          <w:lang w:val="es-ES"/>
        </w:rPr>
        <w:t>os</w:t>
      </w:r>
      <w:r w:rsidR="00D1361F" w:rsidRPr="008A084A">
        <w:rPr>
          <w:rFonts w:ascii="Cambria" w:hAnsi="Cambria"/>
          <w:sz w:val="20"/>
          <w:szCs w:val="20"/>
          <w:lang w:val="es-ES"/>
        </w:rPr>
        <w:t xml:space="preserve"> prescritos</w:t>
      </w:r>
      <w:r w:rsidR="00D1361F" w:rsidRPr="008A084A">
        <w:rPr>
          <w:rStyle w:val="FootnoteReference"/>
          <w:rFonts w:ascii="Cambria" w:hAnsi="Cambria"/>
          <w:sz w:val="20"/>
          <w:szCs w:val="20"/>
        </w:rPr>
        <w:footnoteReference w:id="73"/>
      </w:r>
      <w:r w:rsidR="00D1361F" w:rsidRPr="008A084A">
        <w:rPr>
          <w:rFonts w:ascii="Cambria" w:hAnsi="Cambria"/>
          <w:sz w:val="20"/>
          <w:szCs w:val="20"/>
          <w:lang w:val="es-ES"/>
        </w:rPr>
        <w:t>.</w:t>
      </w:r>
      <w:r w:rsidR="0049205B" w:rsidRPr="008A084A">
        <w:rPr>
          <w:rFonts w:ascii="Cambria" w:hAnsi="Cambria"/>
          <w:sz w:val="20"/>
          <w:szCs w:val="20"/>
          <w:lang w:val="es-ES"/>
        </w:rPr>
        <w:t xml:space="preserve"> La señora Chimbó indicó que ese día llamó a la doctora Quimbiulco, quien le manifestó que su hijo “estaba bien”</w:t>
      </w:r>
      <w:r w:rsidR="0049205B" w:rsidRPr="008A084A">
        <w:rPr>
          <w:rStyle w:val="FootnoteReference"/>
          <w:rFonts w:ascii="Cambria" w:hAnsi="Cambria"/>
          <w:sz w:val="20"/>
          <w:szCs w:val="20"/>
        </w:rPr>
        <w:footnoteReference w:id="74"/>
      </w:r>
      <w:r w:rsidR="0049205B" w:rsidRPr="008A084A">
        <w:rPr>
          <w:rFonts w:ascii="Cambria" w:hAnsi="Cambria"/>
          <w:sz w:val="20"/>
          <w:szCs w:val="20"/>
          <w:lang w:val="es-ES"/>
        </w:rPr>
        <w:t>.</w:t>
      </w:r>
    </w:p>
    <w:p w:rsidR="00E51468" w:rsidRPr="008A084A" w:rsidRDefault="00E51468"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CB5425" w:rsidRPr="008A084A" w:rsidRDefault="00454534" w:rsidP="00CB5425">
      <w:pPr>
        <w:numPr>
          <w:ilvl w:val="0"/>
          <w:numId w:val="55"/>
        </w:numPr>
        <w:jc w:val="both"/>
        <w:rPr>
          <w:rFonts w:ascii="Cambria" w:hAnsi="Cambria"/>
          <w:sz w:val="20"/>
          <w:szCs w:val="20"/>
          <w:lang w:val="es-ES"/>
        </w:rPr>
      </w:pPr>
      <w:r w:rsidRPr="008A084A">
        <w:rPr>
          <w:rFonts w:ascii="Cambria" w:hAnsi="Cambria"/>
          <w:sz w:val="20"/>
          <w:szCs w:val="20"/>
          <w:lang w:val="es-ES"/>
        </w:rPr>
        <w:t>L</w:t>
      </w:r>
      <w:r w:rsidR="00E51468" w:rsidRPr="008A084A">
        <w:rPr>
          <w:rFonts w:ascii="Cambria" w:hAnsi="Cambria"/>
          <w:sz w:val="20"/>
          <w:szCs w:val="20"/>
          <w:lang w:val="es-ES"/>
        </w:rPr>
        <w:t>a doctora Quimbiulco sostuvo que</w:t>
      </w:r>
      <w:r w:rsidRPr="008A084A">
        <w:rPr>
          <w:rFonts w:ascii="Cambria" w:hAnsi="Cambria"/>
          <w:sz w:val="20"/>
          <w:szCs w:val="20"/>
          <w:lang w:val="es-ES"/>
        </w:rPr>
        <w:t xml:space="preserve"> el jueves 15 de enero de 2004</w:t>
      </w:r>
      <w:r w:rsidR="00E51468" w:rsidRPr="008A084A">
        <w:rPr>
          <w:rFonts w:ascii="Cambria" w:hAnsi="Cambria"/>
          <w:sz w:val="20"/>
          <w:szCs w:val="20"/>
          <w:lang w:val="es-ES"/>
        </w:rPr>
        <w:t xml:space="preserve"> cuando llegó al hospital, le informaron que el señor Guachalá sufrió una caída en el baño el día anterior</w:t>
      </w:r>
      <w:r w:rsidR="00E51468" w:rsidRPr="008A084A">
        <w:rPr>
          <w:rStyle w:val="FootnoteReference"/>
          <w:rFonts w:ascii="Cambria" w:hAnsi="Cambria"/>
          <w:sz w:val="20"/>
          <w:szCs w:val="20"/>
        </w:rPr>
        <w:footnoteReference w:id="75"/>
      </w:r>
      <w:r w:rsidR="00E51468" w:rsidRPr="008A084A">
        <w:rPr>
          <w:rFonts w:ascii="Cambria" w:hAnsi="Cambria"/>
          <w:sz w:val="20"/>
          <w:szCs w:val="20"/>
          <w:lang w:val="es-ES"/>
        </w:rPr>
        <w:t xml:space="preserve">. Indicó que </w:t>
      </w:r>
      <w:r w:rsidR="00565AE6" w:rsidRPr="008A084A">
        <w:rPr>
          <w:rFonts w:ascii="Cambria" w:hAnsi="Cambria"/>
          <w:sz w:val="20"/>
          <w:szCs w:val="20"/>
          <w:lang w:val="es-ES"/>
        </w:rPr>
        <w:t>procedió a suturarle la herida producida en la región ciliar izquierda</w:t>
      </w:r>
      <w:r w:rsidR="00565AE6" w:rsidRPr="008A084A">
        <w:rPr>
          <w:rStyle w:val="FootnoteReference"/>
          <w:rFonts w:ascii="Cambria" w:hAnsi="Cambria"/>
          <w:sz w:val="20"/>
          <w:szCs w:val="20"/>
        </w:rPr>
        <w:footnoteReference w:id="76"/>
      </w:r>
      <w:r w:rsidR="00565AE6" w:rsidRPr="008A084A">
        <w:rPr>
          <w:rFonts w:ascii="Cambria" w:hAnsi="Cambria"/>
          <w:sz w:val="20"/>
          <w:szCs w:val="20"/>
          <w:lang w:val="es-ES"/>
        </w:rPr>
        <w:t>.</w:t>
      </w:r>
      <w:r w:rsidR="00884CCC" w:rsidRPr="008A084A">
        <w:rPr>
          <w:rFonts w:ascii="Cambria" w:hAnsi="Cambria"/>
          <w:sz w:val="20"/>
          <w:szCs w:val="20"/>
          <w:lang w:val="es-ES"/>
        </w:rPr>
        <w:t xml:space="preserve"> La doctora Quimbiulco manifestó que conversó telefónicamente con la señora </w:t>
      </w:r>
      <w:r w:rsidR="002125A0" w:rsidRPr="008A084A">
        <w:rPr>
          <w:rFonts w:ascii="Cambria" w:hAnsi="Cambria"/>
          <w:sz w:val="20"/>
          <w:szCs w:val="20"/>
          <w:lang w:val="es-ES"/>
        </w:rPr>
        <w:t>Chimbó</w:t>
      </w:r>
      <w:r w:rsidR="00884CCC" w:rsidRPr="008A084A">
        <w:rPr>
          <w:rFonts w:ascii="Cambria" w:hAnsi="Cambria"/>
          <w:sz w:val="20"/>
          <w:szCs w:val="20"/>
          <w:lang w:val="es-ES"/>
        </w:rPr>
        <w:t xml:space="preserve"> y le indicó que ese mismo día podía visitar a su hijo en tanto “se encontraba mejor”</w:t>
      </w:r>
      <w:r w:rsidR="00884CCC" w:rsidRPr="008A084A">
        <w:rPr>
          <w:rStyle w:val="FootnoteReference"/>
          <w:rFonts w:ascii="Cambria" w:hAnsi="Cambria"/>
          <w:sz w:val="20"/>
          <w:szCs w:val="20"/>
        </w:rPr>
        <w:footnoteReference w:id="77"/>
      </w:r>
      <w:r w:rsidR="00884CCC" w:rsidRPr="008A084A">
        <w:rPr>
          <w:rFonts w:ascii="Cambria" w:hAnsi="Cambria"/>
          <w:sz w:val="20"/>
          <w:szCs w:val="20"/>
          <w:lang w:val="es-ES"/>
        </w:rPr>
        <w:t xml:space="preserve">. Sostuvo que la señora </w:t>
      </w:r>
      <w:r w:rsidR="002125A0" w:rsidRPr="008A084A">
        <w:rPr>
          <w:rFonts w:ascii="Cambria" w:hAnsi="Cambria"/>
          <w:sz w:val="20"/>
          <w:szCs w:val="20"/>
          <w:lang w:val="es-ES"/>
        </w:rPr>
        <w:t>Chimbó</w:t>
      </w:r>
      <w:r w:rsidR="00884CCC" w:rsidRPr="008A084A">
        <w:rPr>
          <w:rFonts w:ascii="Cambria" w:hAnsi="Cambria"/>
          <w:sz w:val="20"/>
          <w:szCs w:val="20"/>
          <w:lang w:val="es-ES"/>
        </w:rPr>
        <w:t xml:space="preserve"> le dijo que “no iba a venir entre semana por su trabajo y que lo visitaría el fin de semana”</w:t>
      </w:r>
      <w:r w:rsidR="00884CCC" w:rsidRPr="008A084A">
        <w:rPr>
          <w:rStyle w:val="FootnoteReference"/>
          <w:rFonts w:ascii="Cambria" w:hAnsi="Cambria"/>
          <w:sz w:val="20"/>
          <w:szCs w:val="20"/>
        </w:rPr>
        <w:footnoteReference w:id="78"/>
      </w:r>
      <w:r w:rsidR="00884CCC" w:rsidRPr="008A084A">
        <w:rPr>
          <w:rFonts w:ascii="Cambria" w:hAnsi="Cambria"/>
          <w:sz w:val="20"/>
          <w:szCs w:val="20"/>
          <w:lang w:val="es-ES"/>
        </w:rPr>
        <w:t>.</w:t>
      </w:r>
      <w:r w:rsidR="00A724B3" w:rsidRPr="008A084A">
        <w:rPr>
          <w:rFonts w:ascii="Cambria" w:hAnsi="Cambria"/>
          <w:sz w:val="20"/>
          <w:szCs w:val="20"/>
          <w:lang w:val="es-ES"/>
        </w:rPr>
        <w:t xml:space="preserve"> </w:t>
      </w:r>
    </w:p>
    <w:p w:rsidR="00CB5425" w:rsidRPr="008A084A" w:rsidRDefault="00CB5425" w:rsidP="00CB5425">
      <w:pPr>
        <w:pStyle w:val="ColorfulList-Accent11"/>
        <w:rPr>
          <w:rFonts w:ascii="Cambria" w:hAnsi="Cambria"/>
          <w:sz w:val="20"/>
          <w:szCs w:val="20"/>
          <w:lang w:val="es-ES"/>
        </w:rPr>
      </w:pPr>
    </w:p>
    <w:p w:rsidR="00D1361F" w:rsidRPr="008A084A" w:rsidRDefault="00454534" w:rsidP="00CB5425">
      <w:pPr>
        <w:numPr>
          <w:ilvl w:val="0"/>
          <w:numId w:val="55"/>
        </w:numPr>
        <w:jc w:val="both"/>
        <w:rPr>
          <w:rFonts w:ascii="Cambria" w:hAnsi="Cambria"/>
          <w:sz w:val="20"/>
          <w:szCs w:val="20"/>
          <w:lang w:val="es-ES"/>
        </w:rPr>
      </w:pPr>
      <w:r w:rsidRPr="008A084A">
        <w:rPr>
          <w:rFonts w:ascii="Cambria" w:hAnsi="Cambria"/>
          <w:sz w:val="20"/>
          <w:szCs w:val="20"/>
          <w:lang w:val="es-ES"/>
        </w:rPr>
        <w:t>Según el informe médico del Hospital, e</w:t>
      </w:r>
      <w:r w:rsidR="00565AE6" w:rsidRPr="008A084A">
        <w:rPr>
          <w:rFonts w:ascii="Cambria" w:hAnsi="Cambria"/>
          <w:sz w:val="20"/>
          <w:szCs w:val="20"/>
          <w:lang w:val="es-ES"/>
        </w:rPr>
        <w:t>l viernes 16 de enero de 2004 la doctora Quimbiulco realizó un nuev</w:t>
      </w:r>
      <w:r w:rsidRPr="008A084A">
        <w:rPr>
          <w:rFonts w:ascii="Cambria" w:hAnsi="Cambria"/>
          <w:sz w:val="20"/>
          <w:szCs w:val="20"/>
          <w:lang w:val="es-ES"/>
        </w:rPr>
        <w:t>o</w:t>
      </w:r>
      <w:r w:rsidR="00565AE6" w:rsidRPr="008A084A">
        <w:rPr>
          <w:rFonts w:ascii="Cambria" w:hAnsi="Cambria"/>
          <w:sz w:val="20"/>
          <w:szCs w:val="20"/>
          <w:lang w:val="es-ES"/>
        </w:rPr>
        <w:t xml:space="preserve"> examen al señor Guachalá</w:t>
      </w:r>
      <w:r w:rsidR="00565AE6" w:rsidRPr="008A084A">
        <w:rPr>
          <w:rStyle w:val="FootnoteReference"/>
          <w:rFonts w:ascii="Cambria" w:hAnsi="Cambria"/>
          <w:sz w:val="20"/>
          <w:szCs w:val="20"/>
        </w:rPr>
        <w:footnoteReference w:id="79"/>
      </w:r>
      <w:r w:rsidR="00565AE6" w:rsidRPr="008A084A">
        <w:rPr>
          <w:rFonts w:ascii="Cambria" w:hAnsi="Cambria"/>
          <w:sz w:val="20"/>
          <w:szCs w:val="20"/>
          <w:lang w:val="es-ES"/>
        </w:rPr>
        <w:t xml:space="preserve">. </w:t>
      </w:r>
      <w:r w:rsidR="00884CCC" w:rsidRPr="008A084A">
        <w:rPr>
          <w:rFonts w:ascii="Cambria" w:hAnsi="Cambria"/>
          <w:sz w:val="20"/>
          <w:szCs w:val="20"/>
          <w:lang w:val="es-ES"/>
        </w:rPr>
        <w:t>Sostuvo que el señor Guachalá no ha</w:t>
      </w:r>
      <w:r w:rsidR="007F0FB0" w:rsidRPr="008A084A">
        <w:rPr>
          <w:rFonts w:ascii="Cambria" w:hAnsi="Cambria"/>
          <w:sz w:val="20"/>
          <w:szCs w:val="20"/>
          <w:lang w:val="es-ES"/>
        </w:rPr>
        <w:t>bía</w:t>
      </w:r>
      <w:r w:rsidR="00884CCC" w:rsidRPr="008A084A">
        <w:rPr>
          <w:rFonts w:ascii="Cambria" w:hAnsi="Cambria"/>
          <w:sz w:val="20"/>
          <w:szCs w:val="20"/>
          <w:lang w:val="es-ES"/>
        </w:rPr>
        <w:t xml:space="preserve"> presentado crisis convulsivas y que se alimentaba y dormía en forma adecuada</w:t>
      </w:r>
      <w:r w:rsidR="00884CCC" w:rsidRPr="008A084A">
        <w:rPr>
          <w:rStyle w:val="FootnoteReference"/>
          <w:rFonts w:ascii="Cambria" w:hAnsi="Cambria"/>
          <w:sz w:val="20"/>
          <w:szCs w:val="20"/>
        </w:rPr>
        <w:footnoteReference w:id="80"/>
      </w:r>
      <w:r w:rsidR="00884CCC" w:rsidRPr="008A084A">
        <w:rPr>
          <w:rFonts w:ascii="Cambria" w:hAnsi="Cambria"/>
          <w:sz w:val="20"/>
          <w:szCs w:val="20"/>
          <w:lang w:val="es-ES"/>
        </w:rPr>
        <w:t>.</w:t>
      </w:r>
      <w:r w:rsidR="00805A81" w:rsidRPr="008A084A">
        <w:rPr>
          <w:rFonts w:ascii="Cambria" w:hAnsi="Cambria"/>
          <w:sz w:val="20"/>
          <w:szCs w:val="20"/>
          <w:lang w:val="es-ES"/>
        </w:rPr>
        <w:t xml:space="preserve"> </w:t>
      </w:r>
      <w:r w:rsidR="00664FF8" w:rsidRPr="008A084A">
        <w:rPr>
          <w:rFonts w:ascii="Cambria" w:hAnsi="Cambria"/>
          <w:sz w:val="20"/>
          <w:szCs w:val="20"/>
          <w:lang w:val="es-ES"/>
        </w:rPr>
        <w:t>La señora Chimbó</w:t>
      </w:r>
      <w:r w:rsidR="006B4281" w:rsidRPr="008A084A">
        <w:rPr>
          <w:rFonts w:ascii="Cambria" w:hAnsi="Cambria"/>
          <w:sz w:val="20"/>
          <w:szCs w:val="20"/>
          <w:lang w:val="es-ES"/>
        </w:rPr>
        <w:t xml:space="preserve"> indicó que se comunicó telefónicamente con la doctora Quimbiulco, quien le manifestó que su hijo “estaba reclamando por (ella), que </w:t>
      </w:r>
      <w:r w:rsidR="006B4281" w:rsidRPr="008A084A">
        <w:rPr>
          <w:rFonts w:ascii="Cambria" w:hAnsi="Cambria"/>
          <w:sz w:val="20"/>
          <w:szCs w:val="20"/>
          <w:lang w:val="es-ES"/>
        </w:rPr>
        <w:lastRenderedPageBreak/>
        <w:t xml:space="preserve">quería </w:t>
      </w:r>
      <w:proofErr w:type="gramStart"/>
      <w:r w:rsidR="006B4281" w:rsidRPr="008A084A">
        <w:rPr>
          <w:rFonts w:ascii="Cambria" w:hAnsi="Cambria"/>
          <w:sz w:val="20"/>
          <w:szCs w:val="20"/>
          <w:lang w:val="es-ES"/>
        </w:rPr>
        <w:t>ver(</w:t>
      </w:r>
      <w:proofErr w:type="gramEnd"/>
      <w:r w:rsidR="006B4281" w:rsidRPr="008A084A">
        <w:rPr>
          <w:rFonts w:ascii="Cambria" w:hAnsi="Cambria"/>
          <w:sz w:val="20"/>
          <w:szCs w:val="20"/>
          <w:lang w:val="es-ES"/>
        </w:rPr>
        <w:t>la)”</w:t>
      </w:r>
      <w:r w:rsidR="006B4281" w:rsidRPr="008A084A">
        <w:rPr>
          <w:rStyle w:val="FootnoteReference"/>
          <w:rFonts w:ascii="Cambria" w:hAnsi="Cambria"/>
          <w:sz w:val="20"/>
          <w:szCs w:val="20"/>
        </w:rPr>
        <w:footnoteReference w:id="81"/>
      </w:r>
      <w:r w:rsidR="006B4281" w:rsidRPr="008A084A">
        <w:rPr>
          <w:rFonts w:ascii="Cambria" w:hAnsi="Cambria"/>
          <w:sz w:val="20"/>
          <w:szCs w:val="20"/>
          <w:lang w:val="es-ES"/>
        </w:rPr>
        <w:t xml:space="preserve">. </w:t>
      </w:r>
      <w:r w:rsidR="00A724B3" w:rsidRPr="008A084A">
        <w:rPr>
          <w:rFonts w:ascii="Cambria" w:hAnsi="Cambria"/>
          <w:sz w:val="20"/>
          <w:szCs w:val="20"/>
          <w:lang w:val="es-ES"/>
        </w:rPr>
        <w:t>La doctora Quimbiulco i</w:t>
      </w:r>
      <w:r w:rsidR="00805A81" w:rsidRPr="008A084A">
        <w:rPr>
          <w:rFonts w:ascii="Cambria" w:hAnsi="Cambria"/>
          <w:sz w:val="20"/>
          <w:szCs w:val="20"/>
          <w:lang w:val="es-ES"/>
        </w:rPr>
        <w:t>ndicó que al retirarse del hospital</w:t>
      </w:r>
      <w:r w:rsidR="007F0FB0" w:rsidRPr="008A084A">
        <w:rPr>
          <w:rFonts w:ascii="Cambria" w:hAnsi="Cambria"/>
          <w:sz w:val="20"/>
          <w:szCs w:val="20"/>
          <w:lang w:val="es-ES"/>
        </w:rPr>
        <w:t xml:space="preserve"> ese día</w:t>
      </w:r>
      <w:r w:rsidR="005B04F3" w:rsidRPr="008A084A">
        <w:rPr>
          <w:rFonts w:ascii="Cambria" w:hAnsi="Cambria"/>
          <w:sz w:val="20"/>
          <w:szCs w:val="20"/>
          <w:lang w:val="es-ES"/>
        </w:rPr>
        <w:t>,</w:t>
      </w:r>
      <w:r w:rsidR="00805A81" w:rsidRPr="008A084A">
        <w:rPr>
          <w:rFonts w:ascii="Cambria" w:hAnsi="Cambria"/>
          <w:sz w:val="20"/>
          <w:szCs w:val="20"/>
          <w:lang w:val="es-ES"/>
        </w:rPr>
        <w:t xml:space="preserve"> el señor Guachalá se encontraba “estable”</w:t>
      </w:r>
      <w:r w:rsidR="00805A81" w:rsidRPr="008A084A">
        <w:rPr>
          <w:rStyle w:val="FootnoteReference"/>
          <w:rFonts w:ascii="Cambria" w:hAnsi="Cambria"/>
          <w:sz w:val="20"/>
          <w:szCs w:val="20"/>
        </w:rPr>
        <w:footnoteReference w:id="82"/>
      </w:r>
      <w:r w:rsidR="00805A81" w:rsidRPr="008A084A">
        <w:rPr>
          <w:rFonts w:ascii="Cambria" w:hAnsi="Cambria"/>
          <w:sz w:val="20"/>
          <w:szCs w:val="20"/>
          <w:lang w:val="es-ES"/>
        </w:rPr>
        <w:t>.</w:t>
      </w:r>
      <w:r w:rsidR="006B4281" w:rsidRPr="008A084A">
        <w:rPr>
          <w:rFonts w:ascii="Cambria" w:hAnsi="Cambria"/>
          <w:sz w:val="20"/>
          <w:szCs w:val="20"/>
          <w:lang w:val="es-ES"/>
        </w:rPr>
        <w:t xml:space="preserve"> </w:t>
      </w:r>
    </w:p>
    <w:p w:rsidR="00805A81" w:rsidRPr="008A084A" w:rsidRDefault="00805A81"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341914" w:rsidRPr="008A084A" w:rsidRDefault="00341914" w:rsidP="00B329C1">
      <w:pPr>
        <w:pStyle w:val="Heading2"/>
        <w:numPr>
          <w:ilvl w:val="0"/>
          <w:numId w:val="59"/>
        </w:numPr>
        <w:spacing w:before="0" w:after="0"/>
        <w:ind w:left="1440" w:hanging="720"/>
        <w:jc w:val="both"/>
        <w:rPr>
          <w:rFonts w:ascii="Cambria" w:hAnsi="Cambria"/>
          <w:i w:val="0"/>
          <w:sz w:val="20"/>
          <w:szCs w:val="20"/>
          <w:lang w:val="es-ES"/>
        </w:rPr>
      </w:pPr>
      <w:bookmarkStart w:id="25" w:name="_Toc525547506"/>
      <w:r w:rsidRPr="008A084A">
        <w:rPr>
          <w:rFonts w:ascii="Cambria" w:hAnsi="Cambria"/>
          <w:i w:val="0"/>
          <w:sz w:val="20"/>
          <w:szCs w:val="20"/>
          <w:lang w:val="es-ES"/>
        </w:rPr>
        <w:t>Sobre lo sucedido el 17 de enero de 2004</w:t>
      </w:r>
      <w:bookmarkEnd w:id="25"/>
    </w:p>
    <w:p w:rsidR="00341914" w:rsidRPr="008A084A" w:rsidRDefault="00341914"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341914" w:rsidRPr="008A084A" w:rsidRDefault="0041189F" w:rsidP="00CB5425">
      <w:pPr>
        <w:numPr>
          <w:ilvl w:val="0"/>
          <w:numId w:val="55"/>
        </w:numPr>
        <w:jc w:val="both"/>
        <w:rPr>
          <w:rFonts w:ascii="Cambria" w:hAnsi="Cambria"/>
          <w:sz w:val="20"/>
          <w:szCs w:val="20"/>
          <w:lang w:val="es-ES"/>
        </w:rPr>
      </w:pPr>
      <w:r w:rsidRPr="008A084A">
        <w:rPr>
          <w:rFonts w:ascii="Cambria" w:hAnsi="Cambria"/>
          <w:sz w:val="20"/>
          <w:szCs w:val="20"/>
          <w:lang w:val="es-ES"/>
        </w:rPr>
        <w:t>La Comisión observa que la ficha médica del señor Guachalá en el Hospital Psiquiá</w:t>
      </w:r>
      <w:r w:rsidR="00472F62" w:rsidRPr="008A084A">
        <w:rPr>
          <w:rFonts w:ascii="Cambria" w:hAnsi="Cambria"/>
          <w:sz w:val="20"/>
          <w:szCs w:val="20"/>
          <w:lang w:val="es-ES"/>
        </w:rPr>
        <w:t>trico Julio Endara contiene sus “notas de evolución” y “prescripciones médicas” desde el 10 de enero de 2004</w:t>
      </w:r>
      <w:r w:rsidR="00CB5425" w:rsidRPr="008A084A">
        <w:rPr>
          <w:rFonts w:ascii="Cambria" w:hAnsi="Cambria"/>
          <w:sz w:val="20"/>
          <w:szCs w:val="20"/>
          <w:lang w:val="es-ES"/>
        </w:rPr>
        <w:t>, fecha de su ingreso al centro médico,</w:t>
      </w:r>
      <w:r w:rsidR="00472F62" w:rsidRPr="008A084A">
        <w:rPr>
          <w:rFonts w:ascii="Cambria" w:hAnsi="Cambria"/>
          <w:sz w:val="20"/>
          <w:szCs w:val="20"/>
          <w:lang w:val="es-ES"/>
        </w:rPr>
        <w:t xml:space="preserve"> hasta el 16 del mismo mes</w:t>
      </w:r>
      <w:r w:rsidR="00472F62" w:rsidRPr="008A084A">
        <w:rPr>
          <w:rStyle w:val="FootnoteReference"/>
          <w:rFonts w:ascii="Cambria" w:hAnsi="Cambria"/>
          <w:sz w:val="20"/>
          <w:szCs w:val="20"/>
        </w:rPr>
        <w:footnoteReference w:id="83"/>
      </w:r>
      <w:r w:rsidR="00472F62" w:rsidRPr="008A084A">
        <w:rPr>
          <w:rFonts w:ascii="Cambria" w:hAnsi="Cambria"/>
          <w:sz w:val="20"/>
          <w:szCs w:val="20"/>
          <w:lang w:val="es-ES"/>
        </w:rPr>
        <w:t xml:space="preserve">. En dicha ficha no hay anotaciones en </w:t>
      </w:r>
      <w:r w:rsidR="001C1DBD" w:rsidRPr="008A084A">
        <w:rPr>
          <w:rFonts w:ascii="Cambria" w:hAnsi="Cambria"/>
          <w:sz w:val="20"/>
          <w:szCs w:val="20"/>
          <w:lang w:val="es-ES"/>
        </w:rPr>
        <w:t>el día</w:t>
      </w:r>
      <w:r w:rsidR="00472F62" w:rsidRPr="008A084A">
        <w:rPr>
          <w:rFonts w:ascii="Cambria" w:hAnsi="Cambria"/>
          <w:sz w:val="20"/>
          <w:szCs w:val="20"/>
          <w:lang w:val="es-ES"/>
        </w:rPr>
        <w:t xml:space="preserve"> 17 de enero de 2004</w:t>
      </w:r>
      <w:r w:rsidR="00695D81" w:rsidRPr="008A084A">
        <w:rPr>
          <w:rStyle w:val="FootnoteReference"/>
          <w:rFonts w:ascii="Cambria" w:hAnsi="Cambria"/>
          <w:sz w:val="20"/>
          <w:szCs w:val="20"/>
        </w:rPr>
        <w:footnoteReference w:id="84"/>
      </w:r>
      <w:r w:rsidR="00472F62" w:rsidRPr="008A084A">
        <w:rPr>
          <w:rFonts w:ascii="Cambria" w:hAnsi="Cambria"/>
          <w:sz w:val="20"/>
          <w:szCs w:val="20"/>
          <w:lang w:val="es-ES"/>
        </w:rPr>
        <w:t>.</w:t>
      </w:r>
      <w:r w:rsidR="00344A14" w:rsidRPr="008A084A">
        <w:rPr>
          <w:rFonts w:ascii="Cambria" w:hAnsi="Cambria"/>
          <w:sz w:val="20"/>
          <w:szCs w:val="20"/>
          <w:lang w:val="es-ES"/>
        </w:rPr>
        <w:t xml:space="preserve"> </w:t>
      </w:r>
      <w:r w:rsidR="00063A43" w:rsidRPr="008A084A">
        <w:rPr>
          <w:rFonts w:ascii="Cambria" w:hAnsi="Cambria"/>
          <w:sz w:val="20"/>
          <w:szCs w:val="20"/>
          <w:lang w:val="es-ES"/>
        </w:rPr>
        <w:t xml:space="preserve">En el </w:t>
      </w:r>
      <w:r w:rsidR="00344A14" w:rsidRPr="008A084A">
        <w:rPr>
          <w:rFonts w:ascii="Cambria" w:hAnsi="Cambria"/>
          <w:sz w:val="20"/>
          <w:szCs w:val="20"/>
          <w:lang w:val="es-ES"/>
        </w:rPr>
        <w:t xml:space="preserve">informe de cambio de turno del hospital de </w:t>
      </w:r>
      <w:r w:rsidR="001C1DBD" w:rsidRPr="008A084A">
        <w:rPr>
          <w:rFonts w:ascii="Cambria" w:hAnsi="Cambria"/>
          <w:sz w:val="20"/>
          <w:szCs w:val="20"/>
          <w:lang w:val="es-ES"/>
        </w:rPr>
        <w:t>dicha fecha</w:t>
      </w:r>
      <w:r w:rsidR="00344A14" w:rsidRPr="008A084A">
        <w:rPr>
          <w:rFonts w:ascii="Cambria" w:hAnsi="Cambria"/>
          <w:sz w:val="20"/>
          <w:szCs w:val="20"/>
          <w:lang w:val="es-ES"/>
        </w:rPr>
        <w:t xml:space="preserve">, </w:t>
      </w:r>
      <w:r w:rsidR="0061014C" w:rsidRPr="008A084A">
        <w:rPr>
          <w:rFonts w:ascii="Cambria" w:hAnsi="Cambria"/>
          <w:sz w:val="20"/>
          <w:szCs w:val="20"/>
          <w:lang w:val="es-ES"/>
        </w:rPr>
        <w:t>se indica el nombre del personal que estuvo en dicha institución durante la mañana y la noche</w:t>
      </w:r>
      <w:r w:rsidR="00344A14" w:rsidRPr="008A084A">
        <w:rPr>
          <w:rStyle w:val="FootnoteReference"/>
          <w:rFonts w:ascii="Cambria" w:hAnsi="Cambria"/>
          <w:sz w:val="20"/>
          <w:szCs w:val="20"/>
        </w:rPr>
        <w:footnoteReference w:id="85"/>
      </w:r>
      <w:r w:rsidR="00344A14" w:rsidRPr="008A084A">
        <w:rPr>
          <w:rFonts w:ascii="Cambria" w:hAnsi="Cambria"/>
          <w:sz w:val="20"/>
          <w:szCs w:val="20"/>
          <w:lang w:val="es-ES"/>
        </w:rPr>
        <w:t>.</w:t>
      </w:r>
      <w:r w:rsidR="0061014C" w:rsidRPr="008A084A">
        <w:rPr>
          <w:rFonts w:ascii="Cambria" w:hAnsi="Cambria"/>
          <w:sz w:val="20"/>
          <w:szCs w:val="20"/>
          <w:lang w:val="es-ES"/>
        </w:rPr>
        <w:t xml:space="preserve"> En dicho informe consta una anotación en donde se indica que “el paciente Luis Guachalá abandona el hospital, se le busca, no se le encuentra”</w:t>
      </w:r>
      <w:r w:rsidR="0061014C" w:rsidRPr="008A084A">
        <w:rPr>
          <w:rStyle w:val="FootnoteReference"/>
          <w:rFonts w:ascii="Cambria" w:hAnsi="Cambria"/>
          <w:sz w:val="20"/>
          <w:szCs w:val="20"/>
        </w:rPr>
        <w:footnoteReference w:id="86"/>
      </w:r>
      <w:r w:rsidR="0061014C" w:rsidRPr="008A084A">
        <w:rPr>
          <w:rFonts w:ascii="Cambria" w:hAnsi="Cambria"/>
          <w:sz w:val="20"/>
          <w:szCs w:val="20"/>
          <w:lang w:val="es-ES"/>
        </w:rPr>
        <w:t>.</w:t>
      </w:r>
    </w:p>
    <w:p w:rsidR="00D71E6C" w:rsidRPr="008A084A" w:rsidRDefault="00D71E6C"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D71E6C" w:rsidRPr="008A084A" w:rsidRDefault="00D71E6C" w:rsidP="001C1DBD">
      <w:pPr>
        <w:numPr>
          <w:ilvl w:val="0"/>
          <w:numId w:val="55"/>
        </w:numPr>
        <w:jc w:val="both"/>
        <w:rPr>
          <w:rFonts w:ascii="Cambria" w:hAnsi="Cambria"/>
          <w:sz w:val="20"/>
          <w:szCs w:val="20"/>
          <w:lang w:val="es-ES"/>
        </w:rPr>
      </w:pPr>
      <w:r w:rsidRPr="008A084A">
        <w:rPr>
          <w:rFonts w:ascii="Cambria" w:hAnsi="Cambria"/>
          <w:sz w:val="20"/>
          <w:szCs w:val="20"/>
          <w:lang w:val="es-ES"/>
        </w:rPr>
        <w:t xml:space="preserve">El enfermero Luis Borja envió una comunicación al director del hospital, Rommel </w:t>
      </w:r>
      <w:proofErr w:type="spellStart"/>
      <w:r w:rsidRPr="008A084A">
        <w:rPr>
          <w:rFonts w:ascii="Cambria" w:hAnsi="Cambria"/>
          <w:sz w:val="20"/>
          <w:szCs w:val="20"/>
          <w:lang w:val="es-ES"/>
        </w:rPr>
        <w:t>Artieda</w:t>
      </w:r>
      <w:proofErr w:type="spellEnd"/>
      <w:r w:rsidRPr="008A084A">
        <w:rPr>
          <w:rFonts w:ascii="Cambria" w:hAnsi="Cambria"/>
          <w:sz w:val="20"/>
          <w:szCs w:val="20"/>
          <w:lang w:val="es-ES"/>
        </w:rPr>
        <w:t>, indicando que en la tarde del 17 de enero</w:t>
      </w:r>
      <w:r w:rsidR="002D0AFB" w:rsidRPr="008A084A">
        <w:rPr>
          <w:rFonts w:ascii="Cambria" w:hAnsi="Cambria"/>
          <w:sz w:val="20"/>
          <w:szCs w:val="20"/>
          <w:lang w:val="es-ES"/>
        </w:rPr>
        <w:t xml:space="preserve"> el señor Guachalá estaba en el patio de la institución “junto a todos los otros pacientes, la mayoría de ellos de cuidado”</w:t>
      </w:r>
      <w:r w:rsidR="002D0AFB" w:rsidRPr="008A084A">
        <w:rPr>
          <w:rStyle w:val="FootnoteReference"/>
          <w:rFonts w:ascii="Cambria" w:hAnsi="Cambria"/>
          <w:sz w:val="20"/>
          <w:szCs w:val="20"/>
        </w:rPr>
        <w:footnoteReference w:id="87"/>
      </w:r>
      <w:r w:rsidR="002D0AFB" w:rsidRPr="008A084A">
        <w:rPr>
          <w:rFonts w:ascii="Cambria" w:hAnsi="Cambria"/>
          <w:sz w:val="20"/>
          <w:szCs w:val="20"/>
          <w:lang w:val="es-ES"/>
        </w:rPr>
        <w:t>.</w:t>
      </w:r>
      <w:r w:rsidR="00B40E2F" w:rsidRPr="008A084A">
        <w:rPr>
          <w:rFonts w:ascii="Cambria" w:hAnsi="Cambria"/>
          <w:sz w:val="20"/>
          <w:szCs w:val="20"/>
          <w:lang w:val="es-ES"/>
        </w:rPr>
        <w:t xml:space="preserve"> Sostuvo que posteriormente llevó al señor Guachalá a la sala de televisión en donde se quedó sentado</w:t>
      </w:r>
      <w:r w:rsidR="00B40E2F" w:rsidRPr="008A084A">
        <w:rPr>
          <w:rStyle w:val="FootnoteReference"/>
          <w:rFonts w:ascii="Cambria" w:hAnsi="Cambria"/>
          <w:sz w:val="20"/>
          <w:szCs w:val="20"/>
        </w:rPr>
        <w:footnoteReference w:id="88"/>
      </w:r>
      <w:r w:rsidR="00B40E2F" w:rsidRPr="008A084A">
        <w:rPr>
          <w:rFonts w:ascii="Cambria" w:hAnsi="Cambria"/>
          <w:sz w:val="20"/>
          <w:szCs w:val="20"/>
          <w:lang w:val="es-ES"/>
        </w:rPr>
        <w:t>. Indicó que fue a ver a “otro paciente (...) que amenazaba por irse del hospital ya que se encontraba muy inquieto”</w:t>
      </w:r>
      <w:r w:rsidR="00B40E2F" w:rsidRPr="008A084A">
        <w:rPr>
          <w:rStyle w:val="FootnoteReference"/>
          <w:rFonts w:ascii="Cambria" w:hAnsi="Cambria"/>
          <w:sz w:val="20"/>
          <w:szCs w:val="20"/>
        </w:rPr>
        <w:footnoteReference w:id="89"/>
      </w:r>
      <w:r w:rsidR="00B40E2F" w:rsidRPr="008A084A">
        <w:rPr>
          <w:rFonts w:ascii="Cambria" w:hAnsi="Cambria"/>
          <w:sz w:val="20"/>
          <w:szCs w:val="20"/>
          <w:lang w:val="es-ES"/>
        </w:rPr>
        <w:t xml:space="preserve">. </w:t>
      </w:r>
      <w:r w:rsidR="00063A43" w:rsidRPr="008A084A">
        <w:rPr>
          <w:rFonts w:ascii="Cambria" w:hAnsi="Cambria"/>
          <w:sz w:val="20"/>
          <w:szCs w:val="20"/>
          <w:lang w:val="es-ES"/>
        </w:rPr>
        <w:t>E</w:t>
      </w:r>
      <w:r w:rsidR="00CF654A" w:rsidRPr="008A084A">
        <w:rPr>
          <w:rFonts w:ascii="Cambria" w:hAnsi="Cambria"/>
          <w:sz w:val="20"/>
          <w:szCs w:val="20"/>
          <w:lang w:val="es-ES"/>
        </w:rPr>
        <w:t>l Estado señaló que ello ocurrió alrededor de las 3:30</w:t>
      </w:r>
      <w:r w:rsidR="00063A43" w:rsidRPr="008A084A">
        <w:rPr>
          <w:rFonts w:ascii="Cambria" w:hAnsi="Cambria"/>
          <w:sz w:val="20"/>
          <w:szCs w:val="20"/>
          <w:lang w:val="es-ES"/>
        </w:rPr>
        <w:t xml:space="preserve"> </w:t>
      </w:r>
      <w:r w:rsidR="00CF654A" w:rsidRPr="008A084A">
        <w:rPr>
          <w:rFonts w:ascii="Cambria" w:hAnsi="Cambria"/>
          <w:sz w:val="20"/>
          <w:szCs w:val="20"/>
          <w:lang w:val="es-ES"/>
        </w:rPr>
        <w:t>pm</w:t>
      </w:r>
      <w:r w:rsidR="00CF654A" w:rsidRPr="008A084A">
        <w:rPr>
          <w:rStyle w:val="FootnoteReference"/>
          <w:rFonts w:ascii="Cambria" w:hAnsi="Cambria"/>
          <w:sz w:val="20"/>
          <w:szCs w:val="20"/>
        </w:rPr>
        <w:footnoteReference w:id="90"/>
      </w:r>
      <w:r w:rsidR="00CF654A" w:rsidRPr="008A084A">
        <w:rPr>
          <w:rFonts w:ascii="Cambria" w:hAnsi="Cambria"/>
          <w:sz w:val="20"/>
          <w:szCs w:val="20"/>
          <w:lang w:val="es-ES"/>
        </w:rPr>
        <w:t>.</w:t>
      </w:r>
    </w:p>
    <w:p w:rsidR="00B40E2F" w:rsidRPr="008A084A" w:rsidRDefault="00B40E2F"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B40E2F" w:rsidRPr="008A084A" w:rsidRDefault="00B40E2F" w:rsidP="001C1DBD">
      <w:pPr>
        <w:numPr>
          <w:ilvl w:val="0"/>
          <w:numId w:val="55"/>
        </w:numPr>
        <w:jc w:val="both"/>
        <w:rPr>
          <w:rFonts w:ascii="Cambria" w:hAnsi="Cambria"/>
          <w:sz w:val="20"/>
          <w:szCs w:val="20"/>
          <w:lang w:val="es-ES"/>
        </w:rPr>
      </w:pPr>
      <w:r w:rsidRPr="008A084A">
        <w:rPr>
          <w:rFonts w:ascii="Cambria" w:hAnsi="Cambria"/>
          <w:sz w:val="20"/>
          <w:szCs w:val="20"/>
          <w:lang w:val="es-ES"/>
        </w:rPr>
        <w:t>El enfermero Borja manifestó que tardó entre quince a veinte minutos</w:t>
      </w:r>
      <w:r w:rsidR="00D53243" w:rsidRPr="008A084A">
        <w:rPr>
          <w:rFonts w:ascii="Cambria" w:hAnsi="Cambria"/>
          <w:sz w:val="20"/>
          <w:szCs w:val="20"/>
          <w:lang w:val="es-ES"/>
        </w:rPr>
        <w:t xml:space="preserve"> en regresar a la sala de televisión y ya no encontró al señor Guachalá</w:t>
      </w:r>
      <w:r w:rsidR="00D53243" w:rsidRPr="008A084A">
        <w:rPr>
          <w:rStyle w:val="FootnoteReference"/>
          <w:rFonts w:ascii="Cambria" w:hAnsi="Cambria"/>
          <w:sz w:val="20"/>
          <w:szCs w:val="20"/>
        </w:rPr>
        <w:footnoteReference w:id="91"/>
      </w:r>
      <w:r w:rsidR="00D53243" w:rsidRPr="008A084A">
        <w:rPr>
          <w:rFonts w:ascii="Cambria" w:hAnsi="Cambria"/>
          <w:sz w:val="20"/>
          <w:szCs w:val="20"/>
          <w:lang w:val="es-ES"/>
        </w:rPr>
        <w:t>. Sostuvo que inmediatamente empezó a buscarlo en las diversas salas y habitaciones del hospital pero no lo pudo encontrar</w:t>
      </w:r>
      <w:r w:rsidR="00D53243" w:rsidRPr="008A084A">
        <w:rPr>
          <w:rStyle w:val="FootnoteReference"/>
          <w:rFonts w:ascii="Cambria" w:hAnsi="Cambria"/>
          <w:sz w:val="20"/>
          <w:szCs w:val="20"/>
        </w:rPr>
        <w:footnoteReference w:id="92"/>
      </w:r>
      <w:r w:rsidR="00D53243" w:rsidRPr="008A084A">
        <w:rPr>
          <w:rFonts w:ascii="Cambria" w:hAnsi="Cambria"/>
          <w:sz w:val="20"/>
          <w:szCs w:val="20"/>
          <w:lang w:val="es-ES"/>
        </w:rPr>
        <w:t>. Indicó que al momento de ocurrido el hecho el médico de turno no se encontraba en el hospital</w:t>
      </w:r>
      <w:r w:rsidR="00D53243" w:rsidRPr="008A084A">
        <w:rPr>
          <w:rStyle w:val="FootnoteReference"/>
          <w:rFonts w:ascii="Cambria" w:hAnsi="Cambria"/>
          <w:sz w:val="20"/>
          <w:szCs w:val="20"/>
        </w:rPr>
        <w:footnoteReference w:id="93"/>
      </w:r>
      <w:r w:rsidR="00D53243" w:rsidRPr="008A084A">
        <w:rPr>
          <w:rFonts w:ascii="Cambria" w:hAnsi="Cambria"/>
          <w:sz w:val="20"/>
          <w:szCs w:val="20"/>
          <w:lang w:val="es-ES"/>
        </w:rPr>
        <w:t xml:space="preserve">. </w:t>
      </w:r>
    </w:p>
    <w:p w:rsidR="00341914" w:rsidRPr="008A084A" w:rsidRDefault="00341914"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341914" w:rsidRPr="008A084A" w:rsidRDefault="00341914" w:rsidP="00B329C1">
      <w:pPr>
        <w:pStyle w:val="Heading2"/>
        <w:numPr>
          <w:ilvl w:val="0"/>
          <w:numId w:val="59"/>
        </w:numPr>
        <w:spacing w:before="0" w:after="0"/>
        <w:ind w:left="1440" w:hanging="720"/>
        <w:jc w:val="both"/>
        <w:rPr>
          <w:rFonts w:ascii="Cambria" w:hAnsi="Cambria"/>
          <w:i w:val="0"/>
          <w:sz w:val="20"/>
          <w:szCs w:val="20"/>
          <w:lang w:val="es-ES"/>
        </w:rPr>
      </w:pPr>
      <w:bookmarkStart w:id="26" w:name="_Toc525547507"/>
      <w:r w:rsidRPr="008A084A">
        <w:rPr>
          <w:rFonts w:ascii="Cambria" w:hAnsi="Cambria"/>
          <w:i w:val="0"/>
          <w:sz w:val="20"/>
          <w:szCs w:val="20"/>
          <w:lang w:val="es-ES"/>
        </w:rPr>
        <w:t>Sobre lo sucedido a partir del 1</w:t>
      </w:r>
      <w:r w:rsidR="001C1DBD" w:rsidRPr="008A084A">
        <w:rPr>
          <w:rFonts w:ascii="Cambria" w:hAnsi="Cambria"/>
          <w:i w:val="0"/>
          <w:sz w:val="20"/>
          <w:szCs w:val="20"/>
          <w:lang w:val="es-ES"/>
        </w:rPr>
        <w:t>8</w:t>
      </w:r>
      <w:r w:rsidRPr="008A084A">
        <w:rPr>
          <w:rFonts w:ascii="Cambria" w:hAnsi="Cambria"/>
          <w:i w:val="0"/>
          <w:sz w:val="20"/>
          <w:szCs w:val="20"/>
          <w:lang w:val="es-ES"/>
        </w:rPr>
        <w:t xml:space="preserve"> de enero de 2004</w:t>
      </w:r>
      <w:bookmarkEnd w:id="26"/>
    </w:p>
    <w:p w:rsidR="00341914" w:rsidRPr="008A084A" w:rsidRDefault="00341914"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1C1DBD" w:rsidRPr="008A084A" w:rsidRDefault="001C1DBD" w:rsidP="001C1DBD">
      <w:pPr>
        <w:numPr>
          <w:ilvl w:val="0"/>
          <w:numId w:val="55"/>
        </w:numPr>
        <w:jc w:val="both"/>
        <w:rPr>
          <w:rFonts w:ascii="Cambria" w:hAnsi="Cambria"/>
          <w:sz w:val="20"/>
          <w:szCs w:val="20"/>
          <w:lang w:val="es-ES"/>
        </w:rPr>
      </w:pPr>
      <w:r w:rsidRPr="008A084A">
        <w:rPr>
          <w:rFonts w:ascii="Cambria" w:hAnsi="Cambria"/>
          <w:sz w:val="20"/>
          <w:szCs w:val="20"/>
          <w:lang w:val="es-ES"/>
        </w:rPr>
        <w:t>La señora Chimbó manifestó que el domingo 18 de enero de 2004 acudió al hospital para ver a su hijo</w:t>
      </w:r>
      <w:r w:rsidR="000F48D5" w:rsidRPr="008A084A">
        <w:rPr>
          <w:rFonts w:ascii="Cambria" w:hAnsi="Cambria"/>
          <w:sz w:val="20"/>
          <w:szCs w:val="20"/>
          <w:lang w:val="es-ES"/>
        </w:rPr>
        <w:t xml:space="preserve"> y que </w:t>
      </w:r>
      <w:r w:rsidRPr="008A084A">
        <w:rPr>
          <w:rFonts w:ascii="Cambria" w:hAnsi="Cambria"/>
          <w:sz w:val="20"/>
          <w:szCs w:val="20"/>
          <w:lang w:val="es-ES"/>
        </w:rPr>
        <w:t xml:space="preserve"> habló con el enfermero que</w:t>
      </w:r>
      <w:r w:rsidR="00717195" w:rsidRPr="008A084A">
        <w:rPr>
          <w:rFonts w:ascii="Cambria" w:hAnsi="Cambria"/>
          <w:sz w:val="20"/>
          <w:szCs w:val="20"/>
          <w:lang w:val="es-ES"/>
        </w:rPr>
        <w:t xml:space="preserve"> le había puesto </w:t>
      </w:r>
      <w:r w:rsidRPr="008A084A">
        <w:rPr>
          <w:rFonts w:ascii="Cambria" w:hAnsi="Cambria"/>
          <w:sz w:val="20"/>
          <w:szCs w:val="20"/>
          <w:lang w:val="es-ES"/>
        </w:rPr>
        <w:t xml:space="preserve">la inyección a su hijo </w:t>
      </w:r>
      <w:r w:rsidR="000F48D5" w:rsidRPr="008A084A">
        <w:rPr>
          <w:rFonts w:ascii="Cambria" w:hAnsi="Cambria"/>
          <w:sz w:val="20"/>
          <w:szCs w:val="20"/>
          <w:lang w:val="es-ES"/>
        </w:rPr>
        <w:t>al momento del ingreso</w:t>
      </w:r>
      <w:r w:rsidRPr="008A084A">
        <w:rPr>
          <w:rFonts w:ascii="Cambria" w:hAnsi="Cambria"/>
          <w:sz w:val="20"/>
          <w:szCs w:val="20"/>
          <w:lang w:val="es-ES"/>
        </w:rPr>
        <w:t xml:space="preserve"> </w:t>
      </w:r>
      <w:r w:rsidR="000F48D5" w:rsidRPr="008A084A">
        <w:rPr>
          <w:rFonts w:ascii="Cambria" w:hAnsi="Cambria"/>
          <w:sz w:val="20"/>
          <w:szCs w:val="20"/>
          <w:lang w:val="es-ES"/>
        </w:rPr>
        <w:t xml:space="preserve">quien le dijo </w:t>
      </w:r>
      <w:r w:rsidRPr="008A084A">
        <w:rPr>
          <w:rFonts w:ascii="Cambria" w:hAnsi="Cambria"/>
          <w:sz w:val="20"/>
          <w:szCs w:val="20"/>
          <w:lang w:val="es-ES"/>
        </w:rPr>
        <w:t>que “se había escapado del hospital el sábado diecisiete de febrero”</w:t>
      </w:r>
      <w:r w:rsidRPr="008A084A">
        <w:rPr>
          <w:rStyle w:val="FootnoteReference"/>
          <w:rFonts w:ascii="Cambria" w:hAnsi="Cambria"/>
          <w:sz w:val="20"/>
          <w:szCs w:val="20"/>
        </w:rPr>
        <w:footnoteReference w:id="94"/>
      </w:r>
      <w:r w:rsidRPr="008A084A">
        <w:rPr>
          <w:rFonts w:ascii="Cambria" w:hAnsi="Cambria"/>
          <w:sz w:val="20"/>
          <w:szCs w:val="20"/>
          <w:lang w:val="es-ES"/>
        </w:rPr>
        <w:t>. Sostuvo que el enfermero le preguntó si su hijo había llegado a su casa</w:t>
      </w:r>
      <w:r w:rsidR="000F48D5" w:rsidRPr="008A084A">
        <w:rPr>
          <w:rFonts w:ascii="Cambria" w:hAnsi="Cambria"/>
          <w:sz w:val="20"/>
          <w:szCs w:val="20"/>
          <w:lang w:val="es-ES"/>
        </w:rPr>
        <w:t xml:space="preserve">, a lo que le respondió </w:t>
      </w:r>
      <w:r w:rsidRPr="008A084A">
        <w:rPr>
          <w:rFonts w:ascii="Cambria" w:hAnsi="Cambria"/>
          <w:sz w:val="20"/>
          <w:szCs w:val="20"/>
          <w:lang w:val="es-ES"/>
        </w:rPr>
        <w:t xml:space="preserve"> que no había visto a su hijo Luis desde que lo dejó en el hospital</w:t>
      </w:r>
      <w:r w:rsidRPr="008A084A">
        <w:rPr>
          <w:rStyle w:val="FootnoteReference"/>
          <w:rFonts w:ascii="Cambria" w:hAnsi="Cambria"/>
          <w:sz w:val="20"/>
          <w:szCs w:val="20"/>
        </w:rPr>
        <w:footnoteReference w:id="95"/>
      </w:r>
      <w:r w:rsidRPr="008A084A">
        <w:rPr>
          <w:rFonts w:ascii="Cambria" w:hAnsi="Cambria"/>
          <w:sz w:val="20"/>
          <w:szCs w:val="20"/>
          <w:lang w:val="es-ES"/>
        </w:rPr>
        <w:t>. Indicó que el enfermero le dijo que “eso era (su) problema, (...) que habían buscado por todo el sector y que no le habían encontrado”</w:t>
      </w:r>
      <w:r w:rsidRPr="008A084A">
        <w:rPr>
          <w:rStyle w:val="FootnoteReference"/>
          <w:rFonts w:ascii="Cambria" w:hAnsi="Cambria"/>
          <w:sz w:val="20"/>
          <w:szCs w:val="20"/>
        </w:rPr>
        <w:footnoteReference w:id="96"/>
      </w:r>
      <w:r w:rsidRPr="008A084A">
        <w:rPr>
          <w:rFonts w:ascii="Cambria" w:hAnsi="Cambria"/>
          <w:sz w:val="20"/>
          <w:szCs w:val="20"/>
          <w:lang w:val="es-ES"/>
        </w:rPr>
        <w:t>.</w:t>
      </w:r>
    </w:p>
    <w:p w:rsidR="001C1DBD" w:rsidRPr="008A084A" w:rsidRDefault="001C1DBD" w:rsidP="001C1DB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1C1DBD" w:rsidRPr="008A084A" w:rsidRDefault="001C1DBD" w:rsidP="001C1DBD">
      <w:pPr>
        <w:numPr>
          <w:ilvl w:val="0"/>
          <w:numId w:val="55"/>
        </w:numPr>
        <w:jc w:val="both"/>
        <w:rPr>
          <w:rFonts w:ascii="Cambria" w:hAnsi="Cambria"/>
          <w:sz w:val="20"/>
          <w:szCs w:val="20"/>
          <w:lang w:val="es-ES"/>
        </w:rPr>
      </w:pPr>
      <w:r w:rsidRPr="008A084A">
        <w:rPr>
          <w:rFonts w:ascii="Cambria" w:hAnsi="Cambria"/>
          <w:sz w:val="20"/>
          <w:szCs w:val="20"/>
          <w:lang w:val="es-ES"/>
        </w:rPr>
        <w:t xml:space="preserve">La señora Chimbó señaló que el enfermero no la quería dejar entrar a la habitación </w:t>
      </w:r>
      <w:r w:rsidR="00FB542E" w:rsidRPr="008A084A">
        <w:rPr>
          <w:rFonts w:ascii="Cambria" w:hAnsi="Cambria"/>
          <w:sz w:val="20"/>
          <w:szCs w:val="20"/>
          <w:lang w:val="es-ES"/>
        </w:rPr>
        <w:t xml:space="preserve">a la cual </w:t>
      </w:r>
      <w:r w:rsidRPr="008A084A">
        <w:rPr>
          <w:rFonts w:ascii="Cambria" w:hAnsi="Cambria"/>
          <w:sz w:val="20"/>
          <w:szCs w:val="20"/>
          <w:lang w:val="es-ES"/>
        </w:rPr>
        <w:t>había sido asignado su hijo</w:t>
      </w:r>
      <w:r w:rsidR="00E1013D" w:rsidRPr="008A084A">
        <w:rPr>
          <w:rFonts w:ascii="Cambria" w:hAnsi="Cambria"/>
          <w:sz w:val="20"/>
          <w:szCs w:val="20"/>
          <w:lang w:val="es-ES"/>
        </w:rPr>
        <w:t xml:space="preserve">, pero que </w:t>
      </w:r>
      <w:r w:rsidR="00076B7D" w:rsidRPr="008A084A">
        <w:rPr>
          <w:rFonts w:ascii="Cambria" w:hAnsi="Cambria"/>
          <w:sz w:val="20"/>
          <w:szCs w:val="20"/>
          <w:lang w:val="es-ES"/>
        </w:rPr>
        <w:t>una e</w:t>
      </w:r>
      <w:r w:rsidRPr="008A084A">
        <w:rPr>
          <w:rFonts w:ascii="Cambria" w:hAnsi="Cambria"/>
          <w:sz w:val="20"/>
          <w:szCs w:val="20"/>
          <w:lang w:val="es-ES"/>
        </w:rPr>
        <w:t>nfermera abrió la puerta de dicha habitación, por lo que ella pudo ingresar</w:t>
      </w:r>
      <w:r w:rsidRPr="008A084A">
        <w:rPr>
          <w:rStyle w:val="FootnoteReference"/>
          <w:rFonts w:ascii="Cambria" w:hAnsi="Cambria"/>
          <w:sz w:val="20"/>
          <w:szCs w:val="20"/>
        </w:rPr>
        <w:footnoteReference w:id="97"/>
      </w:r>
      <w:r w:rsidRPr="008A084A">
        <w:rPr>
          <w:rFonts w:ascii="Cambria" w:hAnsi="Cambria"/>
          <w:sz w:val="20"/>
          <w:szCs w:val="20"/>
          <w:lang w:val="es-ES"/>
        </w:rPr>
        <w:t>. Agregó que “ya estaba otro paciente” en la cama que le fue asignada a Luis</w:t>
      </w:r>
      <w:r w:rsidR="00D8754B" w:rsidRPr="008A084A">
        <w:rPr>
          <w:rFonts w:ascii="Cambria" w:hAnsi="Cambria"/>
          <w:sz w:val="20"/>
          <w:szCs w:val="20"/>
          <w:lang w:val="es-ES"/>
        </w:rPr>
        <w:t xml:space="preserve">, </w:t>
      </w:r>
      <w:r w:rsidRPr="008A084A">
        <w:rPr>
          <w:rFonts w:ascii="Cambria" w:hAnsi="Cambria"/>
          <w:sz w:val="20"/>
          <w:szCs w:val="20"/>
          <w:lang w:val="es-ES"/>
        </w:rPr>
        <w:t>que no encontró a la doctora Quimbiulco y que conversó con una enfermera de turno, quien le recomendó que busque a su hijo “en casa de otros familiares”</w:t>
      </w:r>
      <w:r w:rsidR="00444E09" w:rsidRPr="008A084A">
        <w:rPr>
          <w:rFonts w:ascii="Cambria" w:hAnsi="Cambria"/>
          <w:sz w:val="20"/>
          <w:szCs w:val="20"/>
          <w:lang w:val="es-ES"/>
        </w:rPr>
        <w:t xml:space="preserve">, por lo que </w:t>
      </w:r>
      <w:r w:rsidRPr="008A084A">
        <w:rPr>
          <w:rFonts w:ascii="Cambria" w:hAnsi="Cambria"/>
          <w:sz w:val="20"/>
          <w:szCs w:val="20"/>
          <w:lang w:val="es-ES"/>
        </w:rPr>
        <w:t>salió llorando del hospital</w:t>
      </w:r>
      <w:r w:rsidRPr="008A084A">
        <w:rPr>
          <w:rStyle w:val="FootnoteReference"/>
          <w:rFonts w:ascii="Cambria" w:hAnsi="Cambria"/>
          <w:sz w:val="20"/>
          <w:szCs w:val="20"/>
        </w:rPr>
        <w:footnoteReference w:id="98"/>
      </w:r>
      <w:r w:rsidRPr="008A084A">
        <w:rPr>
          <w:rFonts w:ascii="Cambria" w:hAnsi="Cambria"/>
          <w:sz w:val="20"/>
          <w:szCs w:val="20"/>
          <w:lang w:val="es-ES"/>
        </w:rPr>
        <w:t>.</w:t>
      </w:r>
    </w:p>
    <w:p w:rsidR="00805A81" w:rsidRPr="008A084A" w:rsidRDefault="00925535" w:rsidP="001C1DBD">
      <w:pPr>
        <w:numPr>
          <w:ilvl w:val="0"/>
          <w:numId w:val="55"/>
        </w:numPr>
        <w:jc w:val="both"/>
        <w:rPr>
          <w:rFonts w:ascii="Cambria" w:hAnsi="Cambria"/>
          <w:sz w:val="20"/>
          <w:szCs w:val="20"/>
          <w:lang w:val="es-ES"/>
        </w:rPr>
      </w:pPr>
      <w:r w:rsidRPr="008A084A">
        <w:rPr>
          <w:rFonts w:ascii="Cambria" w:hAnsi="Cambria"/>
          <w:sz w:val="20"/>
          <w:szCs w:val="20"/>
          <w:lang w:val="es-ES"/>
        </w:rPr>
        <w:lastRenderedPageBreak/>
        <w:t>La doctora Quimbiulco manifestó que el lunes 19 de enero de 2004, al llegar al hospital, le informaron que el señor Guachalá “había abandonado la institución el fin de semana”</w:t>
      </w:r>
      <w:r w:rsidRPr="008A084A">
        <w:rPr>
          <w:rStyle w:val="FootnoteReference"/>
          <w:rFonts w:ascii="Cambria" w:hAnsi="Cambria"/>
          <w:sz w:val="20"/>
          <w:szCs w:val="20"/>
        </w:rPr>
        <w:footnoteReference w:id="99"/>
      </w:r>
      <w:r w:rsidR="000C476F" w:rsidRPr="008A084A">
        <w:rPr>
          <w:rFonts w:ascii="Cambria" w:hAnsi="Cambria"/>
          <w:sz w:val="20"/>
          <w:szCs w:val="20"/>
          <w:lang w:val="es-ES"/>
        </w:rPr>
        <w:t xml:space="preserve">, por lo que </w:t>
      </w:r>
      <w:r w:rsidRPr="008A084A">
        <w:rPr>
          <w:rFonts w:ascii="Cambria" w:hAnsi="Cambria"/>
          <w:sz w:val="20"/>
          <w:szCs w:val="20"/>
          <w:lang w:val="es-ES"/>
        </w:rPr>
        <w:t>ordenó a la trabajadora social Jenny Beltrán “</w:t>
      </w:r>
      <w:proofErr w:type="spellStart"/>
      <w:r w:rsidRPr="008A084A">
        <w:rPr>
          <w:rFonts w:ascii="Cambria" w:hAnsi="Cambria"/>
          <w:sz w:val="20"/>
          <w:szCs w:val="20"/>
          <w:lang w:val="es-ES"/>
        </w:rPr>
        <w:t>reali</w:t>
      </w:r>
      <w:proofErr w:type="spellEnd"/>
      <w:r w:rsidRPr="008A084A">
        <w:rPr>
          <w:rFonts w:ascii="Cambria" w:hAnsi="Cambria"/>
          <w:sz w:val="20"/>
          <w:szCs w:val="20"/>
          <w:lang w:val="es-ES"/>
        </w:rPr>
        <w:t>(zar) los trámites respectivos para localizar al paciente”</w:t>
      </w:r>
      <w:r w:rsidRPr="008A084A">
        <w:rPr>
          <w:rStyle w:val="FootnoteReference"/>
          <w:rFonts w:ascii="Cambria" w:hAnsi="Cambria"/>
          <w:sz w:val="20"/>
          <w:szCs w:val="20"/>
        </w:rPr>
        <w:footnoteReference w:id="100"/>
      </w:r>
      <w:r w:rsidRPr="008A084A">
        <w:rPr>
          <w:rFonts w:ascii="Cambria" w:hAnsi="Cambria"/>
          <w:sz w:val="20"/>
          <w:szCs w:val="20"/>
          <w:lang w:val="es-ES"/>
        </w:rPr>
        <w:t>.</w:t>
      </w:r>
    </w:p>
    <w:p w:rsidR="0059251A" w:rsidRPr="008A084A" w:rsidRDefault="0059251A"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59251A" w:rsidRPr="008A084A" w:rsidRDefault="006E7E15" w:rsidP="001C1DBD">
      <w:pPr>
        <w:numPr>
          <w:ilvl w:val="0"/>
          <w:numId w:val="55"/>
        </w:numPr>
        <w:jc w:val="both"/>
        <w:rPr>
          <w:rFonts w:ascii="Cambria" w:hAnsi="Cambria"/>
          <w:sz w:val="20"/>
          <w:szCs w:val="20"/>
          <w:lang w:val="es-ES"/>
        </w:rPr>
      </w:pPr>
      <w:r w:rsidRPr="008A084A">
        <w:rPr>
          <w:rFonts w:ascii="Cambria" w:hAnsi="Cambria"/>
          <w:sz w:val="20"/>
          <w:szCs w:val="20"/>
          <w:lang w:val="es-ES"/>
        </w:rPr>
        <w:t xml:space="preserve">El mismo día la señora </w:t>
      </w:r>
      <w:r w:rsidR="002125A0" w:rsidRPr="008A084A">
        <w:rPr>
          <w:rFonts w:ascii="Cambria" w:hAnsi="Cambria"/>
          <w:sz w:val="20"/>
          <w:szCs w:val="20"/>
          <w:lang w:val="es-ES"/>
        </w:rPr>
        <w:t>Chimbó</w:t>
      </w:r>
      <w:r w:rsidRPr="008A084A">
        <w:rPr>
          <w:rFonts w:ascii="Cambria" w:hAnsi="Cambria"/>
          <w:sz w:val="20"/>
          <w:szCs w:val="20"/>
          <w:lang w:val="es-ES"/>
        </w:rPr>
        <w:t xml:space="preserve"> acudió al hospital y se entrevistó con el director de la institución. </w:t>
      </w:r>
      <w:r w:rsidR="004D3FA4" w:rsidRPr="008A084A">
        <w:rPr>
          <w:rFonts w:ascii="Cambria" w:hAnsi="Cambria"/>
          <w:sz w:val="20"/>
          <w:szCs w:val="20"/>
          <w:lang w:val="es-ES"/>
        </w:rPr>
        <w:t xml:space="preserve">El director le informó a la señora </w:t>
      </w:r>
      <w:r w:rsidR="002125A0" w:rsidRPr="008A084A">
        <w:rPr>
          <w:rFonts w:ascii="Cambria" w:hAnsi="Cambria"/>
          <w:sz w:val="20"/>
          <w:szCs w:val="20"/>
          <w:lang w:val="es-ES"/>
        </w:rPr>
        <w:t>Chimbó</w:t>
      </w:r>
      <w:r w:rsidR="004D3FA4" w:rsidRPr="008A084A">
        <w:rPr>
          <w:rFonts w:ascii="Cambria" w:hAnsi="Cambria"/>
          <w:sz w:val="20"/>
          <w:szCs w:val="20"/>
          <w:lang w:val="es-ES"/>
        </w:rPr>
        <w:t xml:space="preserve"> lo siguiente:</w:t>
      </w:r>
    </w:p>
    <w:p w:rsidR="004D3FA4" w:rsidRPr="008A084A" w:rsidRDefault="004D3FA4"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4D3FA4" w:rsidRPr="008A084A" w:rsidRDefault="004D3FA4" w:rsidP="004D3FA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olor w:val="auto"/>
          <w:sz w:val="20"/>
          <w:szCs w:val="20"/>
        </w:rPr>
      </w:pPr>
      <w:r w:rsidRPr="008A084A">
        <w:rPr>
          <w:rFonts w:ascii="Cambria" w:hAnsi="Cambria"/>
          <w:color w:val="auto"/>
          <w:sz w:val="20"/>
          <w:szCs w:val="20"/>
        </w:rPr>
        <w:t>(...) los pacientes se ponen inquietos cuando los familiares no van a visitarlos, y que lamentablemente el hospital no tiene paredes altas por lo que es muy fácil para ellos salirse; el personal los cuida</w:t>
      </w:r>
      <w:r w:rsidR="008B550B" w:rsidRPr="008A084A">
        <w:rPr>
          <w:rFonts w:ascii="Cambria" w:hAnsi="Cambria"/>
          <w:color w:val="auto"/>
          <w:sz w:val="20"/>
          <w:szCs w:val="20"/>
        </w:rPr>
        <w:t xml:space="preserve"> pero no son suficientes para estar tras los pacientes que quieren fugarse y </w:t>
      </w:r>
      <w:proofErr w:type="spellStart"/>
      <w:r w:rsidR="008B550B" w:rsidRPr="008A084A">
        <w:rPr>
          <w:rFonts w:ascii="Cambria" w:hAnsi="Cambria"/>
          <w:color w:val="auto"/>
          <w:sz w:val="20"/>
          <w:szCs w:val="20"/>
        </w:rPr>
        <w:t>aún</w:t>
      </w:r>
      <w:proofErr w:type="spellEnd"/>
      <w:r w:rsidR="008B550B" w:rsidRPr="008A084A">
        <w:rPr>
          <w:rFonts w:ascii="Cambria" w:hAnsi="Cambria"/>
          <w:color w:val="auto"/>
          <w:sz w:val="20"/>
          <w:szCs w:val="20"/>
        </w:rPr>
        <w:t xml:space="preserve"> así por lo general están tras ellos</w:t>
      </w:r>
      <w:r w:rsidR="008B550B" w:rsidRPr="008A084A">
        <w:rPr>
          <w:rStyle w:val="FootnoteReference"/>
          <w:rFonts w:ascii="Cambria" w:hAnsi="Cambria"/>
          <w:color w:val="auto"/>
          <w:sz w:val="20"/>
          <w:szCs w:val="20"/>
        </w:rPr>
        <w:footnoteReference w:id="101"/>
      </w:r>
      <w:r w:rsidR="008B550B" w:rsidRPr="008A084A">
        <w:rPr>
          <w:rFonts w:ascii="Cambria" w:hAnsi="Cambria"/>
          <w:color w:val="auto"/>
          <w:sz w:val="20"/>
          <w:szCs w:val="20"/>
        </w:rPr>
        <w:t xml:space="preserve">. </w:t>
      </w:r>
    </w:p>
    <w:p w:rsidR="008B550B" w:rsidRPr="008A084A" w:rsidRDefault="008B550B" w:rsidP="008B550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right="720" w:firstLine="0"/>
        <w:jc w:val="both"/>
        <w:rPr>
          <w:rFonts w:ascii="Cambria" w:hAnsi="Cambria"/>
          <w:color w:val="auto"/>
          <w:sz w:val="20"/>
          <w:szCs w:val="20"/>
        </w:rPr>
      </w:pPr>
    </w:p>
    <w:p w:rsidR="00EB5245" w:rsidRPr="008A084A" w:rsidRDefault="00EB5245" w:rsidP="00B15356">
      <w:pPr>
        <w:numPr>
          <w:ilvl w:val="0"/>
          <w:numId w:val="55"/>
        </w:numPr>
        <w:jc w:val="both"/>
        <w:rPr>
          <w:rFonts w:ascii="Cambria" w:hAnsi="Cambria"/>
          <w:sz w:val="20"/>
          <w:szCs w:val="20"/>
          <w:lang w:val="es-ES"/>
        </w:rPr>
      </w:pPr>
      <w:r w:rsidRPr="008A084A">
        <w:rPr>
          <w:rFonts w:ascii="Cambria" w:hAnsi="Cambria"/>
          <w:sz w:val="20"/>
          <w:szCs w:val="20"/>
          <w:lang w:val="es-ES"/>
        </w:rPr>
        <w:t>De</w:t>
      </w:r>
      <w:r w:rsidR="003A3C1C" w:rsidRPr="008A084A">
        <w:rPr>
          <w:rFonts w:ascii="Cambria" w:hAnsi="Cambria"/>
          <w:sz w:val="20"/>
          <w:szCs w:val="20"/>
          <w:lang w:val="es-ES"/>
        </w:rPr>
        <w:t xml:space="preserve"> acuerdo al informe del hospital, ese día se realizaron</w:t>
      </w:r>
      <w:r w:rsidRPr="008A084A">
        <w:rPr>
          <w:rFonts w:ascii="Cambria" w:hAnsi="Cambria"/>
          <w:sz w:val="20"/>
          <w:szCs w:val="20"/>
          <w:lang w:val="es-ES"/>
        </w:rPr>
        <w:t xml:space="preserve"> llamadas telefónicas al Albergue Sa</w:t>
      </w:r>
      <w:r w:rsidR="00C33557" w:rsidRPr="008A084A">
        <w:rPr>
          <w:rFonts w:ascii="Cambria" w:hAnsi="Cambria"/>
          <w:sz w:val="20"/>
          <w:szCs w:val="20"/>
          <w:lang w:val="es-ES"/>
        </w:rPr>
        <w:t xml:space="preserve">n Juan de Dios, al </w:t>
      </w:r>
      <w:r w:rsidRPr="008A084A">
        <w:rPr>
          <w:rFonts w:ascii="Cambria" w:hAnsi="Cambria"/>
          <w:sz w:val="20"/>
          <w:szCs w:val="20"/>
          <w:lang w:val="es-ES"/>
        </w:rPr>
        <w:t>Hospital San Lázaro</w:t>
      </w:r>
      <w:r w:rsidR="00C33557" w:rsidRPr="008A084A">
        <w:rPr>
          <w:rFonts w:ascii="Cambria" w:hAnsi="Cambria"/>
          <w:sz w:val="20"/>
          <w:szCs w:val="20"/>
          <w:lang w:val="es-ES"/>
        </w:rPr>
        <w:t xml:space="preserve"> y a la morgue</w:t>
      </w:r>
      <w:r w:rsidRPr="008A084A">
        <w:rPr>
          <w:rFonts w:ascii="Cambria" w:hAnsi="Cambria"/>
          <w:sz w:val="20"/>
          <w:szCs w:val="20"/>
          <w:lang w:val="es-ES"/>
        </w:rPr>
        <w:t xml:space="preserve">, en donde se les informó que </w:t>
      </w:r>
      <w:r w:rsidR="00C33557" w:rsidRPr="008A084A">
        <w:rPr>
          <w:rFonts w:ascii="Cambria" w:hAnsi="Cambria"/>
          <w:sz w:val="20"/>
          <w:szCs w:val="20"/>
          <w:lang w:val="es-ES"/>
        </w:rPr>
        <w:t>ninguna persona con las características del señor Guachalá se encontraba ahí</w:t>
      </w:r>
      <w:r w:rsidR="00C33557" w:rsidRPr="008A084A">
        <w:rPr>
          <w:rStyle w:val="FootnoteReference"/>
          <w:rFonts w:ascii="Cambria" w:hAnsi="Cambria"/>
          <w:sz w:val="20"/>
          <w:szCs w:val="20"/>
        </w:rPr>
        <w:footnoteReference w:id="102"/>
      </w:r>
      <w:r w:rsidR="00C33557" w:rsidRPr="008A084A">
        <w:rPr>
          <w:rFonts w:ascii="Cambria" w:hAnsi="Cambria"/>
          <w:sz w:val="20"/>
          <w:szCs w:val="20"/>
          <w:lang w:val="es-ES"/>
        </w:rPr>
        <w:t>.</w:t>
      </w:r>
      <w:r w:rsidR="00BF284C" w:rsidRPr="008A084A">
        <w:rPr>
          <w:rFonts w:ascii="Cambria" w:hAnsi="Cambria"/>
          <w:sz w:val="20"/>
          <w:szCs w:val="20"/>
          <w:lang w:val="es-ES"/>
        </w:rPr>
        <w:t xml:space="preserve"> Asimismo, </w:t>
      </w:r>
      <w:r w:rsidR="005B6631" w:rsidRPr="008A084A">
        <w:rPr>
          <w:rFonts w:ascii="Cambria" w:hAnsi="Cambria"/>
          <w:sz w:val="20"/>
          <w:szCs w:val="20"/>
          <w:lang w:val="es-ES"/>
        </w:rPr>
        <w:t>la trabajadora social Jenny Beltrán se comunicó con la Policía Nacional a efectos de informar la desaparición del señor Guachalá</w:t>
      </w:r>
      <w:r w:rsidR="005B6631" w:rsidRPr="008A084A">
        <w:rPr>
          <w:rStyle w:val="FootnoteReference"/>
          <w:rFonts w:ascii="Cambria" w:hAnsi="Cambria"/>
          <w:sz w:val="20"/>
          <w:szCs w:val="20"/>
        </w:rPr>
        <w:footnoteReference w:id="103"/>
      </w:r>
      <w:r w:rsidR="005B6631" w:rsidRPr="008A084A">
        <w:rPr>
          <w:rFonts w:ascii="Cambria" w:hAnsi="Cambria"/>
          <w:sz w:val="20"/>
          <w:szCs w:val="20"/>
          <w:lang w:val="es-ES"/>
        </w:rPr>
        <w:t xml:space="preserve">. </w:t>
      </w:r>
      <w:r w:rsidR="003A3C1C" w:rsidRPr="008A084A">
        <w:rPr>
          <w:rFonts w:ascii="Cambria" w:hAnsi="Cambria"/>
          <w:sz w:val="20"/>
          <w:szCs w:val="20"/>
          <w:lang w:val="es-ES"/>
        </w:rPr>
        <w:t>Conforme al informe del hospital e</w:t>
      </w:r>
      <w:r w:rsidR="00BF284C" w:rsidRPr="008A084A">
        <w:rPr>
          <w:rFonts w:ascii="Cambria" w:hAnsi="Cambria"/>
          <w:sz w:val="20"/>
          <w:szCs w:val="20"/>
          <w:lang w:val="es-ES"/>
        </w:rPr>
        <w:t xml:space="preserve">l mismo día acudió el sargento Max </w:t>
      </w:r>
      <w:proofErr w:type="spellStart"/>
      <w:r w:rsidR="00BF284C" w:rsidRPr="008A084A">
        <w:rPr>
          <w:rFonts w:ascii="Cambria" w:hAnsi="Cambria"/>
          <w:sz w:val="20"/>
          <w:szCs w:val="20"/>
          <w:lang w:val="es-ES"/>
        </w:rPr>
        <w:t>Alua</w:t>
      </w:r>
      <w:proofErr w:type="spellEnd"/>
      <w:r w:rsidR="00BF284C" w:rsidRPr="008A084A">
        <w:rPr>
          <w:rFonts w:ascii="Cambria" w:hAnsi="Cambria"/>
          <w:sz w:val="20"/>
          <w:szCs w:val="20"/>
          <w:lang w:val="es-ES"/>
        </w:rPr>
        <w:t xml:space="preserve"> “para obtener los datos de rutina”</w:t>
      </w:r>
      <w:r w:rsidR="00BF284C" w:rsidRPr="008A084A">
        <w:rPr>
          <w:rStyle w:val="FootnoteReference"/>
          <w:rFonts w:ascii="Cambria" w:hAnsi="Cambria"/>
          <w:sz w:val="20"/>
          <w:szCs w:val="20"/>
        </w:rPr>
        <w:footnoteReference w:id="104"/>
      </w:r>
      <w:r w:rsidR="00BF284C" w:rsidRPr="008A084A">
        <w:rPr>
          <w:rFonts w:ascii="Cambria" w:hAnsi="Cambria"/>
          <w:sz w:val="20"/>
          <w:szCs w:val="20"/>
          <w:lang w:val="es-ES"/>
        </w:rPr>
        <w:t>.</w:t>
      </w:r>
      <w:r w:rsidR="003A3C1C" w:rsidRPr="008A084A">
        <w:rPr>
          <w:rFonts w:ascii="Cambria" w:hAnsi="Cambria"/>
          <w:sz w:val="20"/>
          <w:szCs w:val="20"/>
          <w:lang w:val="es-ES"/>
        </w:rPr>
        <w:t xml:space="preserve"> Por su parte, la señora Chimbó manifestó que</w:t>
      </w:r>
      <w:r w:rsidR="00262013" w:rsidRPr="008A084A">
        <w:rPr>
          <w:rFonts w:ascii="Cambria" w:hAnsi="Cambria"/>
          <w:sz w:val="20"/>
          <w:szCs w:val="20"/>
          <w:lang w:val="es-ES"/>
        </w:rPr>
        <w:t xml:space="preserve"> estuvo con su hija buscando a Luis en los alrededores del hospital.</w:t>
      </w:r>
      <w:r w:rsidR="003A3C1C" w:rsidRPr="008A084A">
        <w:rPr>
          <w:rFonts w:ascii="Cambria" w:hAnsi="Cambria"/>
          <w:sz w:val="20"/>
          <w:szCs w:val="20"/>
          <w:lang w:val="es-ES"/>
        </w:rPr>
        <w:t xml:space="preserve"> </w:t>
      </w:r>
      <w:r w:rsidR="00262013" w:rsidRPr="008A084A">
        <w:rPr>
          <w:rFonts w:ascii="Cambria" w:hAnsi="Cambria"/>
          <w:sz w:val="20"/>
          <w:szCs w:val="20"/>
          <w:lang w:val="es-ES"/>
        </w:rPr>
        <w:t xml:space="preserve">Agregó que </w:t>
      </w:r>
      <w:r w:rsidR="003A3C1C" w:rsidRPr="008A084A">
        <w:rPr>
          <w:rFonts w:ascii="Cambria" w:hAnsi="Cambria"/>
          <w:sz w:val="20"/>
          <w:szCs w:val="20"/>
          <w:lang w:val="es-ES"/>
        </w:rPr>
        <w:t>“del hospital nos dijeron que habían avisado a la policí</w:t>
      </w:r>
      <w:r w:rsidR="00262013" w:rsidRPr="008A084A">
        <w:rPr>
          <w:rFonts w:ascii="Cambria" w:hAnsi="Cambria"/>
          <w:sz w:val="20"/>
          <w:szCs w:val="20"/>
          <w:lang w:val="es-ES"/>
        </w:rPr>
        <w:t>a, bomberos, cruz</w:t>
      </w:r>
      <w:r w:rsidR="003A3C1C" w:rsidRPr="008A084A">
        <w:rPr>
          <w:rFonts w:ascii="Cambria" w:hAnsi="Cambria"/>
          <w:sz w:val="20"/>
          <w:szCs w:val="20"/>
          <w:lang w:val="es-ES"/>
        </w:rPr>
        <w:t xml:space="preserve"> roja, pero nadie llegó”</w:t>
      </w:r>
      <w:r w:rsidR="003A3C1C" w:rsidRPr="008A084A">
        <w:rPr>
          <w:rStyle w:val="FootnoteReference"/>
          <w:rFonts w:ascii="Cambria" w:hAnsi="Cambria"/>
          <w:sz w:val="20"/>
          <w:szCs w:val="20"/>
        </w:rPr>
        <w:footnoteReference w:id="105"/>
      </w:r>
      <w:r w:rsidR="003A3C1C" w:rsidRPr="008A084A">
        <w:rPr>
          <w:rFonts w:ascii="Cambria" w:hAnsi="Cambria"/>
          <w:sz w:val="20"/>
          <w:szCs w:val="20"/>
          <w:lang w:val="es-ES"/>
        </w:rPr>
        <w:t>.</w:t>
      </w:r>
    </w:p>
    <w:p w:rsidR="00BF284C" w:rsidRPr="008A084A" w:rsidRDefault="00BF284C" w:rsidP="001665A3">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9360"/>
        </w:tabs>
        <w:ind w:left="0" w:firstLine="0"/>
        <w:jc w:val="both"/>
        <w:rPr>
          <w:rFonts w:ascii="Cambria" w:hAnsi="Cambria"/>
          <w:color w:val="auto"/>
          <w:sz w:val="20"/>
          <w:szCs w:val="20"/>
        </w:rPr>
      </w:pPr>
    </w:p>
    <w:p w:rsidR="00BF284C" w:rsidRPr="008A084A" w:rsidRDefault="00C61314" w:rsidP="00B15356">
      <w:pPr>
        <w:numPr>
          <w:ilvl w:val="0"/>
          <w:numId w:val="55"/>
        </w:numPr>
        <w:jc w:val="both"/>
        <w:rPr>
          <w:rFonts w:ascii="Cambria" w:hAnsi="Cambria"/>
          <w:sz w:val="20"/>
          <w:szCs w:val="20"/>
          <w:lang w:val="es-ES"/>
        </w:rPr>
      </w:pPr>
      <w:r w:rsidRPr="008A084A">
        <w:rPr>
          <w:rFonts w:ascii="Cambria" w:hAnsi="Cambria"/>
          <w:sz w:val="20"/>
          <w:szCs w:val="20"/>
          <w:lang w:val="es-ES"/>
        </w:rPr>
        <w:t>El 20 de enero el hospital llamó a la señora Chi</w:t>
      </w:r>
      <w:r w:rsidR="00262013" w:rsidRPr="008A084A">
        <w:rPr>
          <w:rFonts w:ascii="Cambria" w:hAnsi="Cambria"/>
          <w:sz w:val="20"/>
          <w:szCs w:val="20"/>
          <w:lang w:val="es-ES"/>
        </w:rPr>
        <w:t>mbó</w:t>
      </w:r>
      <w:r w:rsidRPr="008A084A">
        <w:rPr>
          <w:rFonts w:ascii="Cambria" w:hAnsi="Cambria"/>
          <w:sz w:val="20"/>
          <w:szCs w:val="20"/>
          <w:lang w:val="es-ES"/>
        </w:rPr>
        <w:t xml:space="preserve"> para saber si tenía alguna información de su hijo</w:t>
      </w:r>
      <w:r w:rsidRPr="008A084A">
        <w:rPr>
          <w:rStyle w:val="FootnoteReference"/>
          <w:rFonts w:ascii="Cambria" w:hAnsi="Cambria"/>
          <w:sz w:val="20"/>
          <w:szCs w:val="20"/>
        </w:rPr>
        <w:footnoteReference w:id="106"/>
      </w:r>
      <w:r w:rsidRPr="008A084A">
        <w:rPr>
          <w:rFonts w:ascii="Cambria" w:hAnsi="Cambria"/>
          <w:sz w:val="20"/>
          <w:szCs w:val="20"/>
          <w:lang w:val="es-ES"/>
        </w:rPr>
        <w:t>. Conforme al registro del hospital, nadie contestó dicha llamada</w:t>
      </w:r>
      <w:r w:rsidRPr="008A084A">
        <w:rPr>
          <w:rStyle w:val="FootnoteReference"/>
          <w:rFonts w:ascii="Cambria" w:hAnsi="Cambria"/>
          <w:sz w:val="20"/>
          <w:szCs w:val="20"/>
        </w:rPr>
        <w:footnoteReference w:id="107"/>
      </w:r>
      <w:r w:rsidRPr="008A084A">
        <w:rPr>
          <w:rFonts w:ascii="Cambria" w:hAnsi="Cambria"/>
          <w:sz w:val="20"/>
          <w:szCs w:val="20"/>
          <w:lang w:val="es-ES"/>
        </w:rPr>
        <w:t>.</w:t>
      </w:r>
      <w:r w:rsidR="00262013" w:rsidRPr="008A084A">
        <w:rPr>
          <w:rFonts w:ascii="Cambria" w:hAnsi="Cambria"/>
          <w:sz w:val="20"/>
          <w:szCs w:val="20"/>
          <w:lang w:val="es-ES"/>
        </w:rPr>
        <w:t xml:space="preserve"> </w:t>
      </w:r>
      <w:r w:rsidR="00F12E51" w:rsidRPr="008A084A">
        <w:rPr>
          <w:rFonts w:ascii="Cambria" w:hAnsi="Cambria"/>
          <w:sz w:val="20"/>
          <w:szCs w:val="20"/>
          <w:lang w:val="es-ES"/>
        </w:rPr>
        <w:t>Por su parte, l</w:t>
      </w:r>
      <w:r w:rsidR="00262013" w:rsidRPr="008A084A">
        <w:rPr>
          <w:rFonts w:ascii="Cambria" w:hAnsi="Cambria"/>
          <w:sz w:val="20"/>
          <w:szCs w:val="20"/>
          <w:lang w:val="es-ES"/>
        </w:rPr>
        <w:t xml:space="preserve">a señora Chimbó manifestó que ese día se dirigió al retén policial ubicado en </w:t>
      </w:r>
      <w:proofErr w:type="spellStart"/>
      <w:r w:rsidR="00262013" w:rsidRPr="008A084A">
        <w:rPr>
          <w:rFonts w:ascii="Cambria" w:hAnsi="Cambria"/>
          <w:sz w:val="20"/>
          <w:szCs w:val="20"/>
          <w:lang w:val="es-ES"/>
        </w:rPr>
        <w:t>Guangopolo</w:t>
      </w:r>
      <w:proofErr w:type="spellEnd"/>
      <w:r w:rsidR="00D53C69" w:rsidRPr="008A084A">
        <w:rPr>
          <w:rFonts w:ascii="Cambria" w:hAnsi="Cambria"/>
          <w:sz w:val="20"/>
          <w:szCs w:val="20"/>
          <w:lang w:val="es-ES"/>
        </w:rPr>
        <w:t xml:space="preserve"> donde</w:t>
      </w:r>
      <w:r w:rsidR="00262013" w:rsidRPr="008A084A">
        <w:rPr>
          <w:rFonts w:ascii="Cambria" w:hAnsi="Cambria"/>
          <w:sz w:val="20"/>
          <w:szCs w:val="20"/>
          <w:lang w:val="es-ES"/>
        </w:rPr>
        <w:t xml:space="preserve"> </w:t>
      </w:r>
      <w:r w:rsidR="00C9434F" w:rsidRPr="008A084A">
        <w:rPr>
          <w:rFonts w:ascii="Cambria" w:hAnsi="Cambria"/>
          <w:sz w:val="20"/>
          <w:szCs w:val="20"/>
          <w:lang w:val="es-ES"/>
        </w:rPr>
        <w:t>el jefe del retén le indicó que “no era la primera vez que se perdía un paciente del hospital”</w:t>
      </w:r>
      <w:r w:rsidR="00F77CFD" w:rsidRPr="008A084A">
        <w:rPr>
          <w:rFonts w:ascii="Cambria" w:hAnsi="Cambria"/>
          <w:sz w:val="20"/>
          <w:szCs w:val="20"/>
          <w:lang w:val="es-ES"/>
        </w:rPr>
        <w:t xml:space="preserve">, por lo que </w:t>
      </w:r>
      <w:r w:rsidR="00C9434F" w:rsidRPr="008A084A">
        <w:rPr>
          <w:rFonts w:ascii="Cambria" w:hAnsi="Cambria"/>
          <w:sz w:val="20"/>
          <w:szCs w:val="20"/>
          <w:lang w:val="es-ES"/>
        </w:rPr>
        <w:t xml:space="preserve"> el jefe del retén le recomendó que interpusiera una denuncia en la Policía Judicial</w:t>
      </w:r>
      <w:r w:rsidR="00C9434F" w:rsidRPr="008A084A">
        <w:rPr>
          <w:rStyle w:val="FootnoteReference"/>
          <w:rFonts w:ascii="Cambria" w:hAnsi="Cambria"/>
          <w:sz w:val="20"/>
          <w:szCs w:val="20"/>
        </w:rPr>
        <w:footnoteReference w:id="108"/>
      </w:r>
      <w:r w:rsidR="00C9434F" w:rsidRPr="008A084A">
        <w:rPr>
          <w:rFonts w:ascii="Cambria" w:hAnsi="Cambria"/>
          <w:sz w:val="20"/>
          <w:szCs w:val="20"/>
          <w:lang w:val="es-ES"/>
        </w:rPr>
        <w:t>.</w:t>
      </w:r>
      <w:r w:rsidR="00CE378C" w:rsidRPr="008A084A">
        <w:rPr>
          <w:rFonts w:ascii="Cambria" w:hAnsi="Cambria"/>
          <w:sz w:val="20"/>
          <w:szCs w:val="20"/>
          <w:lang w:val="es-ES"/>
        </w:rPr>
        <w:t xml:space="preserve"> </w:t>
      </w:r>
    </w:p>
    <w:p w:rsidR="00F672E6" w:rsidRPr="008A084A" w:rsidRDefault="00F672E6" w:rsidP="001665A3">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9360"/>
        </w:tabs>
        <w:ind w:left="0" w:firstLine="0"/>
        <w:jc w:val="both"/>
        <w:rPr>
          <w:rFonts w:ascii="Cambria" w:hAnsi="Cambria"/>
          <w:color w:val="auto"/>
          <w:sz w:val="20"/>
          <w:szCs w:val="20"/>
        </w:rPr>
      </w:pPr>
    </w:p>
    <w:p w:rsidR="00F672E6" w:rsidRPr="008A084A" w:rsidRDefault="00F672E6" w:rsidP="00B15356">
      <w:pPr>
        <w:numPr>
          <w:ilvl w:val="0"/>
          <w:numId w:val="55"/>
        </w:numPr>
        <w:jc w:val="both"/>
        <w:rPr>
          <w:rFonts w:ascii="Cambria" w:hAnsi="Cambria"/>
          <w:sz w:val="20"/>
          <w:szCs w:val="20"/>
          <w:lang w:val="es-ES"/>
        </w:rPr>
      </w:pPr>
      <w:r w:rsidRPr="008A084A">
        <w:rPr>
          <w:rFonts w:ascii="Cambria" w:hAnsi="Cambria"/>
          <w:sz w:val="20"/>
          <w:szCs w:val="20"/>
          <w:lang w:val="es-ES"/>
        </w:rPr>
        <w:t>La señora Chimbó manifestó que una de las personas internadas en el hospital le dijo que Luis estaba muerto</w:t>
      </w:r>
      <w:r w:rsidRPr="008A084A">
        <w:rPr>
          <w:rStyle w:val="FootnoteReference"/>
          <w:rFonts w:ascii="Cambria" w:hAnsi="Cambria"/>
          <w:sz w:val="20"/>
          <w:szCs w:val="20"/>
        </w:rPr>
        <w:footnoteReference w:id="109"/>
      </w:r>
      <w:r w:rsidRPr="008A084A">
        <w:rPr>
          <w:rFonts w:ascii="Cambria" w:hAnsi="Cambria"/>
          <w:sz w:val="20"/>
          <w:szCs w:val="20"/>
          <w:lang w:val="es-ES"/>
        </w:rPr>
        <w:t>. Indicó que ella le dijo que a</w:t>
      </w:r>
      <w:r w:rsidR="00E16697" w:rsidRPr="008A084A">
        <w:rPr>
          <w:rFonts w:ascii="Cambria" w:hAnsi="Cambria"/>
          <w:sz w:val="20"/>
          <w:szCs w:val="20"/>
          <w:lang w:val="es-ES"/>
        </w:rPr>
        <w:t xml:space="preserve"> su hijo </w:t>
      </w:r>
      <w:r w:rsidRPr="008A084A">
        <w:rPr>
          <w:rFonts w:ascii="Cambria" w:hAnsi="Cambria"/>
          <w:sz w:val="20"/>
          <w:szCs w:val="20"/>
          <w:lang w:val="es-ES"/>
        </w:rPr>
        <w:t>“le había dado un paro d</w:t>
      </w:r>
      <w:r w:rsidR="00502E96" w:rsidRPr="008A084A">
        <w:rPr>
          <w:rFonts w:ascii="Cambria" w:hAnsi="Cambria"/>
          <w:sz w:val="20"/>
          <w:szCs w:val="20"/>
          <w:lang w:val="es-ES"/>
        </w:rPr>
        <w:t>urante la mis</w:t>
      </w:r>
      <w:r w:rsidRPr="008A084A">
        <w:rPr>
          <w:rFonts w:ascii="Cambria" w:hAnsi="Cambria"/>
          <w:sz w:val="20"/>
          <w:szCs w:val="20"/>
          <w:lang w:val="es-ES"/>
        </w:rPr>
        <w:t>a” y que incluso él le pidió que solicite ayuda a la policía</w:t>
      </w:r>
      <w:r w:rsidRPr="008A084A">
        <w:rPr>
          <w:rStyle w:val="FootnoteReference"/>
          <w:rFonts w:ascii="Cambria" w:hAnsi="Cambria"/>
          <w:sz w:val="20"/>
          <w:szCs w:val="20"/>
        </w:rPr>
        <w:footnoteReference w:id="110"/>
      </w:r>
      <w:r w:rsidRPr="008A084A">
        <w:rPr>
          <w:rFonts w:ascii="Cambria" w:hAnsi="Cambria"/>
          <w:sz w:val="20"/>
          <w:szCs w:val="20"/>
          <w:lang w:val="es-ES"/>
        </w:rPr>
        <w:t>.</w:t>
      </w:r>
    </w:p>
    <w:p w:rsidR="001C619D" w:rsidRPr="008A084A" w:rsidRDefault="001C619D" w:rsidP="001665A3">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9360"/>
        </w:tabs>
        <w:ind w:left="0" w:firstLine="0"/>
        <w:jc w:val="both"/>
        <w:rPr>
          <w:rFonts w:ascii="Cambria" w:hAnsi="Cambria"/>
          <w:color w:val="auto"/>
          <w:sz w:val="20"/>
          <w:szCs w:val="20"/>
        </w:rPr>
      </w:pPr>
    </w:p>
    <w:p w:rsidR="002C2953" w:rsidRPr="008A084A" w:rsidRDefault="001C619D" w:rsidP="00B15356">
      <w:pPr>
        <w:numPr>
          <w:ilvl w:val="0"/>
          <w:numId w:val="55"/>
        </w:numPr>
        <w:jc w:val="both"/>
        <w:rPr>
          <w:rFonts w:ascii="Cambria" w:hAnsi="Cambria"/>
          <w:sz w:val="20"/>
          <w:szCs w:val="20"/>
          <w:lang w:val="es-ES"/>
        </w:rPr>
      </w:pPr>
      <w:r w:rsidRPr="008A084A">
        <w:rPr>
          <w:rFonts w:ascii="Cambria" w:hAnsi="Cambria"/>
          <w:sz w:val="20"/>
          <w:szCs w:val="20"/>
          <w:lang w:val="es-ES"/>
        </w:rPr>
        <w:t>El 21 de enero de 200</w:t>
      </w:r>
      <w:r w:rsidR="00D53C69" w:rsidRPr="008A084A">
        <w:rPr>
          <w:rFonts w:ascii="Cambria" w:hAnsi="Cambria"/>
          <w:sz w:val="20"/>
          <w:szCs w:val="20"/>
          <w:lang w:val="es-ES"/>
        </w:rPr>
        <w:t>4</w:t>
      </w:r>
      <w:r w:rsidRPr="008A084A">
        <w:rPr>
          <w:rFonts w:ascii="Cambria" w:hAnsi="Cambria"/>
          <w:sz w:val="20"/>
          <w:szCs w:val="20"/>
          <w:lang w:val="es-ES"/>
        </w:rPr>
        <w:t xml:space="preserve"> el hospital expidió una hoja de egreso de Luis Guachalá</w:t>
      </w:r>
      <w:r w:rsidRPr="008A084A">
        <w:rPr>
          <w:rStyle w:val="FootnoteReference"/>
          <w:rFonts w:ascii="Cambria" w:hAnsi="Cambria"/>
          <w:sz w:val="20"/>
          <w:szCs w:val="20"/>
        </w:rPr>
        <w:footnoteReference w:id="111"/>
      </w:r>
      <w:r w:rsidRPr="008A084A">
        <w:rPr>
          <w:rFonts w:ascii="Cambria" w:hAnsi="Cambria"/>
          <w:sz w:val="20"/>
          <w:szCs w:val="20"/>
          <w:lang w:val="es-ES"/>
        </w:rPr>
        <w:t xml:space="preserve">. Se indicó que </w:t>
      </w:r>
      <w:r w:rsidR="002C2953" w:rsidRPr="008A084A">
        <w:rPr>
          <w:rFonts w:ascii="Cambria" w:hAnsi="Cambria"/>
          <w:sz w:val="20"/>
          <w:szCs w:val="20"/>
          <w:lang w:val="es-ES"/>
        </w:rPr>
        <w:t>“el paciente abandonó el hospital (...); se ha tratado de ubicarlo (...) pero no se ha logrado hacerlo por lo cual se procede a dar el alta por abandono del hospital”</w:t>
      </w:r>
      <w:r w:rsidR="002C2953" w:rsidRPr="008A084A">
        <w:rPr>
          <w:rStyle w:val="FootnoteReference"/>
          <w:rFonts w:ascii="Cambria" w:hAnsi="Cambria"/>
          <w:sz w:val="20"/>
          <w:szCs w:val="20"/>
        </w:rPr>
        <w:footnoteReference w:id="112"/>
      </w:r>
      <w:r w:rsidR="002C2953" w:rsidRPr="008A084A">
        <w:rPr>
          <w:rFonts w:ascii="Cambria" w:hAnsi="Cambria"/>
          <w:sz w:val="20"/>
          <w:szCs w:val="20"/>
          <w:lang w:val="es-ES"/>
        </w:rPr>
        <w:t>.</w:t>
      </w:r>
    </w:p>
    <w:p w:rsidR="00021E67" w:rsidRPr="008A084A" w:rsidRDefault="00021E67" w:rsidP="001665A3">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9360"/>
        </w:tabs>
        <w:ind w:left="0" w:firstLine="0"/>
        <w:jc w:val="both"/>
        <w:rPr>
          <w:rFonts w:ascii="Cambria" w:hAnsi="Cambria"/>
          <w:color w:val="auto"/>
          <w:sz w:val="20"/>
          <w:szCs w:val="20"/>
        </w:rPr>
      </w:pPr>
    </w:p>
    <w:p w:rsidR="00095822" w:rsidRPr="008A084A" w:rsidRDefault="00021E67" w:rsidP="00095822">
      <w:pPr>
        <w:numPr>
          <w:ilvl w:val="0"/>
          <w:numId w:val="55"/>
        </w:numPr>
        <w:jc w:val="both"/>
        <w:rPr>
          <w:rFonts w:ascii="Cambria" w:hAnsi="Cambria"/>
          <w:sz w:val="20"/>
          <w:szCs w:val="20"/>
          <w:lang w:val="es-ES"/>
        </w:rPr>
      </w:pPr>
      <w:r w:rsidRPr="008A084A">
        <w:rPr>
          <w:rFonts w:ascii="Cambria" w:hAnsi="Cambria"/>
          <w:sz w:val="20"/>
          <w:szCs w:val="20"/>
          <w:lang w:val="es-ES"/>
        </w:rPr>
        <w:t>El 26 de enero una trabajadora social del hospital acudió a la morgue en tanto recibió una llamada de dicho lugar donde se le informó que se tenían dos cadáveres no identificados</w:t>
      </w:r>
      <w:r w:rsidR="00CC2FA5" w:rsidRPr="008A084A">
        <w:rPr>
          <w:rFonts w:ascii="Cambria" w:hAnsi="Cambria"/>
          <w:sz w:val="20"/>
          <w:szCs w:val="20"/>
          <w:lang w:val="es-ES"/>
        </w:rPr>
        <w:t xml:space="preserve">, pero ninguno </w:t>
      </w:r>
      <w:r w:rsidRPr="008A084A">
        <w:rPr>
          <w:rFonts w:ascii="Cambria" w:hAnsi="Cambria"/>
          <w:sz w:val="20"/>
          <w:szCs w:val="20"/>
          <w:lang w:val="es-ES"/>
        </w:rPr>
        <w:t>correspondía al señor Guachalá</w:t>
      </w:r>
      <w:r w:rsidRPr="008A084A">
        <w:rPr>
          <w:rStyle w:val="FootnoteReference"/>
          <w:rFonts w:ascii="Cambria" w:hAnsi="Cambria"/>
          <w:sz w:val="20"/>
          <w:szCs w:val="20"/>
        </w:rPr>
        <w:footnoteReference w:id="113"/>
      </w:r>
      <w:r w:rsidRPr="008A084A">
        <w:rPr>
          <w:rFonts w:ascii="Cambria" w:hAnsi="Cambria"/>
          <w:sz w:val="20"/>
          <w:szCs w:val="20"/>
          <w:lang w:val="es-ES"/>
        </w:rPr>
        <w:t>.</w:t>
      </w:r>
    </w:p>
    <w:p w:rsidR="00095822" w:rsidRPr="008A084A" w:rsidRDefault="003D3C8E" w:rsidP="00095822">
      <w:pPr>
        <w:numPr>
          <w:ilvl w:val="0"/>
          <w:numId w:val="55"/>
        </w:numPr>
        <w:jc w:val="both"/>
        <w:rPr>
          <w:rFonts w:ascii="Cambria" w:hAnsi="Cambria"/>
          <w:sz w:val="20"/>
          <w:szCs w:val="20"/>
          <w:lang w:val="es-ES"/>
        </w:rPr>
      </w:pPr>
      <w:r w:rsidRPr="008A084A">
        <w:rPr>
          <w:rFonts w:ascii="Cambria" w:hAnsi="Cambria"/>
          <w:sz w:val="20"/>
          <w:szCs w:val="20"/>
          <w:lang w:val="es-ES"/>
        </w:rPr>
        <w:t>Al día siguiente se realizó una reunión en el hospital y se acordó crear un grupo de búsqueda del señor Guachalá</w:t>
      </w:r>
      <w:r w:rsidRPr="008A084A">
        <w:rPr>
          <w:rStyle w:val="FootnoteReference"/>
          <w:rFonts w:ascii="Cambria" w:hAnsi="Cambria"/>
          <w:sz w:val="20"/>
          <w:szCs w:val="20"/>
        </w:rPr>
        <w:footnoteReference w:id="114"/>
      </w:r>
      <w:r w:rsidRPr="008A084A">
        <w:rPr>
          <w:rFonts w:ascii="Cambria" w:hAnsi="Cambria"/>
          <w:sz w:val="20"/>
          <w:szCs w:val="20"/>
          <w:lang w:val="es-ES"/>
        </w:rPr>
        <w:t>. También se acordó imprimir volantes y pegarlos en sectores aledaños a la institución</w:t>
      </w:r>
      <w:r w:rsidRPr="008A084A">
        <w:rPr>
          <w:rStyle w:val="FootnoteReference"/>
          <w:rFonts w:ascii="Cambria" w:hAnsi="Cambria"/>
          <w:sz w:val="20"/>
          <w:szCs w:val="20"/>
        </w:rPr>
        <w:footnoteReference w:id="115"/>
      </w:r>
      <w:r w:rsidRPr="008A084A">
        <w:rPr>
          <w:rFonts w:ascii="Cambria" w:hAnsi="Cambria"/>
          <w:sz w:val="20"/>
          <w:szCs w:val="20"/>
          <w:lang w:val="es-ES"/>
        </w:rPr>
        <w:t>.</w:t>
      </w:r>
      <w:r w:rsidR="00790E41" w:rsidRPr="008A084A">
        <w:rPr>
          <w:rFonts w:ascii="Cambria" w:hAnsi="Cambria"/>
          <w:sz w:val="20"/>
          <w:szCs w:val="20"/>
          <w:lang w:val="es-ES"/>
        </w:rPr>
        <w:t xml:space="preserve"> </w:t>
      </w:r>
      <w:r w:rsidR="00085A2B" w:rsidRPr="008A084A">
        <w:rPr>
          <w:rFonts w:ascii="Cambria" w:hAnsi="Cambria"/>
          <w:sz w:val="20"/>
          <w:szCs w:val="20"/>
          <w:lang w:val="es-ES"/>
        </w:rPr>
        <w:t xml:space="preserve">La CIDH no cuenta con información sobre la </w:t>
      </w:r>
      <w:r w:rsidR="000F1BBE" w:rsidRPr="008A084A">
        <w:rPr>
          <w:rFonts w:ascii="Cambria" w:hAnsi="Cambria"/>
          <w:sz w:val="20"/>
          <w:szCs w:val="20"/>
          <w:lang w:val="es-ES"/>
        </w:rPr>
        <w:t xml:space="preserve">efectiva </w:t>
      </w:r>
      <w:r w:rsidR="00085A2B" w:rsidRPr="008A084A">
        <w:rPr>
          <w:rFonts w:ascii="Cambria" w:hAnsi="Cambria"/>
          <w:sz w:val="20"/>
          <w:szCs w:val="20"/>
          <w:lang w:val="es-ES"/>
        </w:rPr>
        <w:t xml:space="preserve">realización de dichas acciones. </w:t>
      </w:r>
      <w:r w:rsidR="00790E41" w:rsidRPr="008A084A">
        <w:rPr>
          <w:rFonts w:ascii="Cambria" w:hAnsi="Cambria"/>
          <w:sz w:val="20"/>
          <w:szCs w:val="20"/>
          <w:lang w:val="es-ES"/>
        </w:rPr>
        <w:lastRenderedPageBreak/>
        <w:t>Adicionalmente, se</w:t>
      </w:r>
      <w:r w:rsidR="00085A2B" w:rsidRPr="008A084A">
        <w:rPr>
          <w:rFonts w:ascii="Cambria" w:hAnsi="Cambria"/>
          <w:sz w:val="20"/>
          <w:szCs w:val="20"/>
          <w:lang w:val="es-ES"/>
        </w:rPr>
        <w:t xml:space="preserve"> indicó que el hospital</w:t>
      </w:r>
      <w:r w:rsidR="00790E41" w:rsidRPr="008A084A">
        <w:rPr>
          <w:rFonts w:ascii="Cambria" w:hAnsi="Cambria"/>
          <w:sz w:val="20"/>
          <w:szCs w:val="20"/>
          <w:lang w:val="es-ES"/>
        </w:rPr>
        <w:t xml:space="preserve"> llamó a un canal de televisión para que sa</w:t>
      </w:r>
      <w:r w:rsidR="000F1BBE" w:rsidRPr="008A084A">
        <w:rPr>
          <w:rFonts w:ascii="Cambria" w:hAnsi="Cambria"/>
          <w:sz w:val="20"/>
          <w:szCs w:val="20"/>
          <w:lang w:val="es-ES"/>
        </w:rPr>
        <w:t>caran</w:t>
      </w:r>
      <w:r w:rsidR="00790E41" w:rsidRPr="008A084A">
        <w:rPr>
          <w:rFonts w:ascii="Cambria" w:hAnsi="Cambria"/>
          <w:sz w:val="20"/>
          <w:szCs w:val="20"/>
          <w:lang w:val="es-ES"/>
        </w:rPr>
        <w:t xml:space="preserve"> al aire un anuncio dando a conocer la desaparición del señor</w:t>
      </w:r>
      <w:r w:rsidR="006A4A10" w:rsidRPr="008A084A">
        <w:rPr>
          <w:rFonts w:ascii="Cambria" w:hAnsi="Cambria"/>
          <w:sz w:val="20"/>
          <w:szCs w:val="20"/>
          <w:lang w:val="es-ES"/>
        </w:rPr>
        <w:t xml:space="preserve"> Guachalá</w:t>
      </w:r>
      <w:r w:rsidR="006A4A10" w:rsidRPr="008A084A">
        <w:rPr>
          <w:rStyle w:val="FootnoteReference"/>
          <w:rFonts w:ascii="Cambria" w:hAnsi="Cambria"/>
          <w:sz w:val="20"/>
          <w:szCs w:val="20"/>
        </w:rPr>
        <w:footnoteReference w:id="116"/>
      </w:r>
      <w:r w:rsidR="006A4A10" w:rsidRPr="008A084A">
        <w:rPr>
          <w:rFonts w:ascii="Cambria" w:hAnsi="Cambria"/>
          <w:sz w:val="20"/>
          <w:szCs w:val="20"/>
          <w:lang w:val="es-ES"/>
        </w:rPr>
        <w:t>.</w:t>
      </w:r>
      <w:r w:rsidR="000E7C05" w:rsidRPr="008A084A">
        <w:rPr>
          <w:rFonts w:ascii="Cambria" w:hAnsi="Cambria"/>
          <w:sz w:val="20"/>
          <w:szCs w:val="20"/>
          <w:lang w:val="es-ES"/>
        </w:rPr>
        <w:t xml:space="preserve"> De acuerdo al hospital el personal del canal de televisión les informó que la señora </w:t>
      </w:r>
      <w:r w:rsidR="002125A0" w:rsidRPr="008A084A">
        <w:rPr>
          <w:rFonts w:ascii="Cambria" w:hAnsi="Cambria"/>
          <w:sz w:val="20"/>
          <w:szCs w:val="20"/>
          <w:lang w:val="es-ES"/>
        </w:rPr>
        <w:t>Chimbó</w:t>
      </w:r>
      <w:r w:rsidR="000E7C05" w:rsidRPr="008A084A">
        <w:rPr>
          <w:rFonts w:ascii="Cambria" w:hAnsi="Cambria"/>
          <w:sz w:val="20"/>
          <w:szCs w:val="20"/>
          <w:lang w:val="es-ES"/>
        </w:rPr>
        <w:t xml:space="preserve"> ya había realizado dicha solicitud</w:t>
      </w:r>
      <w:r w:rsidR="000E7C05" w:rsidRPr="008A084A">
        <w:rPr>
          <w:rStyle w:val="FootnoteReference"/>
          <w:rFonts w:ascii="Cambria" w:hAnsi="Cambria"/>
          <w:sz w:val="20"/>
          <w:szCs w:val="20"/>
        </w:rPr>
        <w:footnoteReference w:id="117"/>
      </w:r>
      <w:r w:rsidR="000E7C05" w:rsidRPr="008A084A">
        <w:rPr>
          <w:rFonts w:ascii="Cambria" w:hAnsi="Cambria"/>
          <w:sz w:val="20"/>
          <w:szCs w:val="20"/>
          <w:lang w:val="es-ES"/>
        </w:rPr>
        <w:t>.</w:t>
      </w:r>
    </w:p>
    <w:p w:rsidR="00095822" w:rsidRPr="008A084A" w:rsidRDefault="00095822" w:rsidP="00095822">
      <w:pPr>
        <w:pStyle w:val="ColorfulList-Accent11"/>
        <w:rPr>
          <w:rFonts w:ascii="Cambria" w:hAnsi="Cambria"/>
          <w:sz w:val="20"/>
          <w:szCs w:val="20"/>
          <w:lang w:val="es-ES"/>
        </w:rPr>
      </w:pPr>
    </w:p>
    <w:p w:rsidR="00095822" w:rsidRPr="008A084A" w:rsidRDefault="009B6C20" w:rsidP="00095822">
      <w:pPr>
        <w:numPr>
          <w:ilvl w:val="0"/>
          <w:numId w:val="55"/>
        </w:numPr>
        <w:jc w:val="both"/>
        <w:rPr>
          <w:rFonts w:ascii="Cambria" w:hAnsi="Cambria"/>
          <w:sz w:val="20"/>
          <w:szCs w:val="20"/>
          <w:lang w:val="es-ES"/>
        </w:rPr>
      </w:pPr>
      <w:r w:rsidRPr="008A084A">
        <w:rPr>
          <w:rFonts w:ascii="Cambria" w:hAnsi="Cambria"/>
          <w:sz w:val="20"/>
          <w:szCs w:val="20"/>
          <w:lang w:val="es-ES"/>
        </w:rPr>
        <w:t>El 5 de febrero 2004 una trabajadora social del hospital se contactó telefónicamente con la hermana del señor Guachalá</w:t>
      </w:r>
      <w:r w:rsidR="000F1BBE" w:rsidRPr="008A084A">
        <w:rPr>
          <w:rFonts w:ascii="Cambria" w:hAnsi="Cambria"/>
          <w:sz w:val="20"/>
          <w:szCs w:val="20"/>
          <w:lang w:val="es-ES"/>
        </w:rPr>
        <w:t xml:space="preserve"> quien </w:t>
      </w:r>
      <w:r w:rsidR="00F24C42" w:rsidRPr="008A084A">
        <w:rPr>
          <w:rFonts w:ascii="Cambria" w:hAnsi="Cambria"/>
          <w:sz w:val="20"/>
          <w:szCs w:val="20"/>
          <w:lang w:val="es-ES"/>
        </w:rPr>
        <w:t>le indicó</w:t>
      </w:r>
      <w:r w:rsidR="004B1589" w:rsidRPr="008A084A">
        <w:rPr>
          <w:rFonts w:ascii="Cambria" w:hAnsi="Cambria"/>
          <w:sz w:val="20"/>
          <w:szCs w:val="20"/>
          <w:lang w:val="es-ES"/>
        </w:rPr>
        <w:t xml:space="preserve"> que en la noche irían con la policía a un lugar donde se encuentran indigentes</w:t>
      </w:r>
      <w:r w:rsidR="00095822" w:rsidRPr="008A084A">
        <w:rPr>
          <w:rFonts w:ascii="Cambria" w:hAnsi="Cambria"/>
          <w:sz w:val="20"/>
          <w:szCs w:val="20"/>
          <w:lang w:val="es-ES"/>
        </w:rPr>
        <w:t xml:space="preserve"> a efectos de intentar localizarlo</w:t>
      </w:r>
      <w:r w:rsidR="004B1589" w:rsidRPr="008A084A">
        <w:rPr>
          <w:rStyle w:val="FootnoteReference"/>
          <w:rFonts w:ascii="Cambria" w:hAnsi="Cambria"/>
          <w:sz w:val="20"/>
          <w:szCs w:val="20"/>
        </w:rPr>
        <w:footnoteReference w:id="118"/>
      </w:r>
      <w:r w:rsidR="004B1589" w:rsidRPr="008A084A">
        <w:rPr>
          <w:rFonts w:ascii="Cambria" w:hAnsi="Cambria"/>
          <w:sz w:val="20"/>
          <w:szCs w:val="20"/>
          <w:lang w:val="es-ES"/>
        </w:rPr>
        <w:t>.</w:t>
      </w:r>
    </w:p>
    <w:p w:rsidR="00095822" w:rsidRPr="008A084A" w:rsidRDefault="00095822" w:rsidP="00095822">
      <w:pPr>
        <w:pStyle w:val="ColorfulList-Accent11"/>
        <w:rPr>
          <w:rFonts w:ascii="Cambria" w:hAnsi="Cambria"/>
          <w:sz w:val="20"/>
          <w:szCs w:val="20"/>
          <w:lang w:val="es-ES"/>
        </w:rPr>
      </w:pPr>
    </w:p>
    <w:p w:rsidR="00095822" w:rsidRPr="008A084A" w:rsidRDefault="004B1589" w:rsidP="00095822">
      <w:pPr>
        <w:numPr>
          <w:ilvl w:val="0"/>
          <w:numId w:val="55"/>
        </w:numPr>
        <w:jc w:val="both"/>
        <w:rPr>
          <w:rFonts w:ascii="Cambria" w:hAnsi="Cambria"/>
          <w:sz w:val="20"/>
          <w:szCs w:val="20"/>
          <w:lang w:val="es-ES"/>
        </w:rPr>
      </w:pPr>
      <w:r w:rsidRPr="008A084A">
        <w:rPr>
          <w:rFonts w:ascii="Cambria" w:hAnsi="Cambria"/>
          <w:sz w:val="20"/>
          <w:szCs w:val="20"/>
          <w:lang w:val="es-ES"/>
        </w:rPr>
        <w:t xml:space="preserve">El 10 de febrero de 2004 la señora </w:t>
      </w:r>
      <w:r w:rsidR="002125A0" w:rsidRPr="008A084A">
        <w:rPr>
          <w:rFonts w:ascii="Cambria" w:hAnsi="Cambria"/>
          <w:sz w:val="20"/>
          <w:szCs w:val="20"/>
          <w:lang w:val="es-ES"/>
        </w:rPr>
        <w:t>Chimbó</w:t>
      </w:r>
      <w:r w:rsidRPr="008A084A">
        <w:rPr>
          <w:rFonts w:ascii="Cambria" w:hAnsi="Cambria"/>
          <w:sz w:val="20"/>
          <w:szCs w:val="20"/>
          <w:lang w:val="es-ES"/>
        </w:rPr>
        <w:t xml:space="preserve"> acudió al hospital para preguntar qué medidas se habían adoptado en la búsqueda de su hijo</w:t>
      </w:r>
      <w:r w:rsidRPr="008A084A">
        <w:rPr>
          <w:rStyle w:val="FootnoteReference"/>
          <w:rFonts w:ascii="Cambria" w:hAnsi="Cambria"/>
          <w:sz w:val="20"/>
          <w:szCs w:val="20"/>
        </w:rPr>
        <w:footnoteReference w:id="119"/>
      </w:r>
      <w:r w:rsidRPr="008A084A">
        <w:rPr>
          <w:rFonts w:ascii="Cambria" w:hAnsi="Cambria"/>
          <w:sz w:val="20"/>
          <w:szCs w:val="20"/>
          <w:lang w:val="es-ES"/>
        </w:rPr>
        <w:t xml:space="preserve">. </w:t>
      </w:r>
      <w:r w:rsidR="00CE39DA" w:rsidRPr="008A084A">
        <w:rPr>
          <w:rFonts w:ascii="Cambria" w:hAnsi="Cambria"/>
          <w:sz w:val="20"/>
          <w:szCs w:val="20"/>
          <w:lang w:val="es-ES"/>
        </w:rPr>
        <w:t>Uno de los médicos del hospital se comunicó telefónicamente con el Cuartel de la River</w:t>
      </w:r>
      <w:r w:rsidR="00157A5A" w:rsidRPr="008A084A">
        <w:rPr>
          <w:rFonts w:ascii="Cambria" w:hAnsi="Cambria"/>
          <w:sz w:val="20"/>
          <w:szCs w:val="20"/>
          <w:lang w:val="es-ES"/>
        </w:rPr>
        <w:t>a, quienes se ofrecieron a brindar una patrulla</w:t>
      </w:r>
      <w:r w:rsidR="00DF7139" w:rsidRPr="008A084A">
        <w:rPr>
          <w:rFonts w:ascii="Cambria" w:hAnsi="Cambria"/>
          <w:sz w:val="20"/>
          <w:szCs w:val="20"/>
          <w:lang w:val="es-ES"/>
        </w:rPr>
        <w:t xml:space="preserve"> para buscar al señor Guachalá</w:t>
      </w:r>
      <w:r w:rsidR="00DF7139" w:rsidRPr="008A084A">
        <w:rPr>
          <w:rStyle w:val="FootnoteReference"/>
          <w:rFonts w:ascii="Cambria" w:hAnsi="Cambria"/>
          <w:sz w:val="20"/>
          <w:szCs w:val="20"/>
        </w:rPr>
        <w:footnoteReference w:id="120"/>
      </w:r>
      <w:r w:rsidR="00DF7139" w:rsidRPr="008A084A">
        <w:rPr>
          <w:rFonts w:ascii="Cambria" w:hAnsi="Cambria"/>
          <w:sz w:val="20"/>
          <w:szCs w:val="20"/>
          <w:lang w:val="es-ES"/>
        </w:rPr>
        <w:t>. Un grupo de oficiales llegaron en horas de la tarde al hospital y, tras conversar con la señor</w:t>
      </w:r>
      <w:r w:rsidR="00373870" w:rsidRPr="008A084A">
        <w:rPr>
          <w:rFonts w:ascii="Cambria" w:hAnsi="Cambria"/>
          <w:sz w:val="20"/>
          <w:szCs w:val="20"/>
          <w:lang w:val="es-ES"/>
        </w:rPr>
        <w:t>a</w:t>
      </w:r>
      <w:r w:rsidR="00DF7139" w:rsidRPr="008A084A">
        <w:rPr>
          <w:rFonts w:ascii="Cambria" w:hAnsi="Cambria"/>
          <w:sz w:val="20"/>
          <w:szCs w:val="20"/>
          <w:lang w:val="es-ES"/>
        </w:rPr>
        <w:t xml:space="preserve"> </w:t>
      </w:r>
      <w:r w:rsidR="002125A0" w:rsidRPr="008A084A">
        <w:rPr>
          <w:rFonts w:ascii="Cambria" w:hAnsi="Cambria"/>
          <w:sz w:val="20"/>
          <w:szCs w:val="20"/>
          <w:lang w:val="es-ES"/>
        </w:rPr>
        <w:t>Chimbó</w:t>
      </w:r>
      <w:r w:rsidR="00DF7139" w:rsidRPr="008A084A">
        <w:rPr>
          <w:rFonts w:ascii="Cambria" w:hAnsi="Cambria"/>
          <w:sz w:val="20"/>
          <w:szCs w:val="20"/>
          <w:lang w:val="es-ES"/>
        </w:rPr>
        <w:t xml:space="preserve"> y recibir una fotografía de su hijo, salieron a  buscarlo</w:t>
      </w:r>
      <w:r w:rsidR="00DF7139" w:rsidRPr="008A084A">
        <w:rPr>
          <w:rStyle w:val="FootnoteReference"/>
          <w:rFonts w:ascii="Cambria" w:hAnsi="Cambria"/>
          <w:sz w:val="20"/>
          <w:szCs w:val="20"/>
        </w:rPr>
        <w:footnoteReference w:id="121"/>
      </w:r>
      <w:r w:rsidR="00DF7139" w:rsidRPr="008A084A">
        <w:rPr>
          <w:rFonts w:ascii="Cambria" w:hAnsi="Cambria"/>
          <w:sz w:val="20"/>
          <w:szCs w:val="20"/>
          <w:lang w:val="es-ES"/>
        </w:rPr>
        <w:t>.</w:t>
      </w:r>
      <w:r w:rsidR="00BC2F2B" w:rsidRPr="008A084A">
        <w:rPr>
          <w:rFonts w:ascii="Cambria" w:hAnsi="Cambria"/>
          <w:sz w:val="20"/>
          <w:szCs w:val="20"/>
          <w:lang w:val="es-ES"/>
        </w:rPr>
        <w:t xml:space="preserve"> </w:t>
      </w:r>
    </w:p>
    <w:p w:rsidR="00095822" w:rsidRPr="008A084A" w:rsidRDefault="00095822" w:rsidP="00095822">
      <w:pPr>
        <w:pStyle w:val="ColorfulList-Accent11"/>
        <w:rPr>
          <w:rFonts w:ascii="Cambria" w:hAnsi="Cambria"/>
          <w:sz w:val="20"/>
          <w:szCs w:val="20"/>
          <w:lang w:val="es-ES"/>
        </w:rPr>
      </w:pPr>
    </w:p>
    <w:p w:rsidR="00095822" w:rsidRPr="008A084A" w:rsidRDefault="00BC2F2B" w:rsidP="00095822">
      <w:pPr>
        <w:numPr>
          <w:ilvl w:val="0"/>
          <w:numId w:val="55"/>
        </w:numPr>
        <w:jc w:val="both"/>
        <w:rPr>
          <w:rFonts w:ascii="Cambria" w:hAnsi="Cambria"/>
          <w:sz w:val="20"/>
          <w:szCs w:val="20"/>
          <w:lang w:val="es-ES"/>
        </w:rPr>
      </w:pPr>
      <w:r w:rsidRPr="008A084A">
        <w:rPr>
          <w:rFonts w:ascii="Cambria" w:hAnsi="Cambria"/>
          <w:sz w:val="20"/>
          <w:szCs w:val="20"/>
          <w:lang w:val="es-ES"/>
        </w:rPr>
        <w:t xml:space="preserve">Al día siguiente la señora </w:t>
      </w:r>
      <w:r w:rsidR="002125A0" w:rsidRPr="008A084A">
        <w:rPr>
          <w:rFonts w:ascii="Cambria" w:hAnsi="Cambria"/>
          <w:sz w:val="20"/>
          <w:szCs w:val="20"/>
          <w:lang w:val="es-ES"/>
        </w:rPr>
        <w:t>Chimbó</w:t>
      </w:r>
      <w:r w:rsidRPr="008A084A">
        <w:rPr>
          <w:rFonts w:ascii="Cambria" w:hAnsi="Cambria"/>
          <w:sz w:val="20"/>
          <w:szCs w:val="20"/>
          <w:lang w:val="es-ES"/>
        </w:rPr>
        <w:t xml:space="preserve"> y una trabajadora social del hospital acudieron al cuartel a efectos de saber si se tenía información sobre el paradero del señor Guachalá</w:t>
      </w:r>
      <w:r w:rsidRPr="008A084A">
        <w:rPr>
          <w:rStyle w:val="FootnoteReference"/>
          <w:rFonts w:ascii="Cambria" w:hAnsi="Cambria"/>
          <w:sz w:val="20"/>
          <w:szCs w:val="20"/>
        </w:rPr>
        <w:footnoteReference w:id="122"/>
      </w:r>
      <w:r w:rsidRPr="008A084A">
        <w:rPr>
          <w:rFonts w:ascii="Cambria" w:hAnsi="Cambria"/>
          <w:sz w:val="20"/>
          <w:szCs w:val="20"/>
          <w:lang w:val="es-ES"/>
        </w:rPr>
        <w:t>. Un sargento les informó que no lo había localizado y que “</w:t>
      </w:r>
      <w:r w:rsidR="003D5ABF" w:rsidRPr="008A084A">
        <w:rPr>
          <w:rFonts w:ascii="Cambria" w:hAnsi="Cambria"/>
          <w:sz w:val="20"/>
          <w:szCs w:val="20"/>
          <w:lang w:val="es-ES"/>
        </w:rPr>
        <w:t>más bien se le debe presionar a la</w:t>
      </w:r>
      <w:r w:rsidRPr="008A084A">
        <w:rPr>
          <w:rFonts w:ascii="Cambria" w:hAnsi="Cambria"/>
          <w:sz w:val="20"/>
          <w:szCs w:val="20"/>
          <w:lang w:val="es-ES"/>
        </w:rPr>
        <w:t xml:space="preserve"> PJ (Po</w:t>
      </w:r>
      <w:r w:rsidR="003D5ABF" w:rsidRPr="008A084A">
        <w:rPr>
          <w:rFonts w:ascii="Cambria" w:hAnsi="Cambria"/>
          <w:sz w:val="20"/>
          <w:szCs w:val="20"/>
          <w:lang w:val="es-ES"/>
        </w:rPr>
        <w:t>licía</w:t>
      </w:r>
      <w:r w:rsidRPr="008A084A">
        <w:rPr>
          <w:rFonts w:ascii="Cambria" w:hAnsi="Cambria"/>
          <w:sz w:val="20"/>
          <w:szCs w:val="20"/>
          <w:lang w:val="es-ES"/>
        </w:rPr>
        <w:t xml:space="preserve"> Judicial) para que acudan y realicen las investigaciones previas en el hospital”</w:t>
      </w:r>
      <w:r w:rsidRPr="008A084A">
        <w:rPr>
          <w:rStyle w:val="FootnoteReference"/>
          <w:rFonts w:ascii="Cambria" w:hAnsi="Cambria"/>
          <w:sz w:val="20"/>
          <w:szCs w:val="20"/>
        </w:rPr>
        <w:footnoteReference w:id="123"/>
      </w:r>
      <w:r w:rsidRPr="008A084A">
        <w:rPr>
          <w:rFonts w:ascii="Cambria" w:hAnsi="Cambria"/>
          <w:sz w:val="20"/>
          <w:szCs w:val="20"/>
          <w:lang w:val="es-ES"/>
        </w:rPr>
        <w:t>.</w:t>
      </w:r>
    </w:p>
    <w:p w:rsidR="00095822" w:rsidRPr="008A084A" w:rsidRDefault="00095822" w:rsidP="00095822">
      <w:pPr>
        <w:pStyle w:val="ColorfulList-Accent11"/>
        <w:rPr>
          <w:rFonts w:ascii="Cambria" w:hAnsi="Cambria"/>
          <w:sz w:val="20"/>
          <w:szCs w:val="20"/>
          <w:lang w:val="es-ES"/>
        </w:rPr>
      </w:pPr>
    </w:p>
    <w:p w:rsidR="003D5ABF" w:rsidRPr="008A084A" w:rsidRDefault="003D5ABF" w:rsidP="00095822">
      <w:pPr>
        <w:numPr>
          <w:ilvl w:val="0"/>
          <w:numId w:val="55"/>
        </w:numPr>
        <w:jc w:val="both"/>
        <w:rPr>
          <w:rFonts w:ascii="Cambria" w:hAnsi="Cambria"/>
          <w:sz w:val="20"/>
          <w:szCs w:val="20"/>
          <w:lang w:val="es-ES"/>
        </w:rPr>
      </w:pPr>
      <w:r w:rsidRPr="008A084A">
        <w:rPr>
          <w:rFonts w:ascii="Cambria" w:hAnsi="Cambria"/>
          <w:sz w:val="20"/>
          <w:szCs w:val="20"/>
          <w:lang w:val="es-ES"/>
        </w:rPr>
        <w:t>El 12 de febrero de 2004</w:t>
      </w:r>
      <w:r w:rsidR="00237CE6" w:rsidRPr="008A084A">
        <w:rPr>
          <w:rFonts w:ascii="Cambria" w:hAnsi="Cambria"/>
          <w:sz w:val="20"/>
          <w:szCs w:val="20"/>
          <w:lang w:val="es-ES"/>
        </w:rPr>
        <w:t xml:space="preserve"> una trabajadora social del hospital acudió a la Policía Judicial</w:t>
      </w:r>
      <w:r w:rsidR="00237CE6" w:rsidRPr="008A084A">
        <w:rPr>
          <w:rStyle w:val="FootnoteReference"/>
          <w:rFonts w:ascii="Cambria" w:hAnsi="Cambria"/>
          <w:sz w:val="20"/>
          <w:szCs w:val="20"/>
        </w:rPr>
        <w:footnoteReference w:id="124"/>
      </w:r>
      <w:r w:rsidR="00237CE6" w:rsidRPr="008A084A">
        <w:rPr>
          <w:rFonts w:ascii="Cambria" w:hAnsi="Cambria"/>
          <w:sz w:val="20"/>
          <w:szCs w:val="20"/>
          <w:lang w:val="es-ES"/>
        </w:rPr>
        <w:t>. Indicó que conversó con el sargento a cargo del caso, quien le manifestó lo siguiente:</w:t>
      </w:r>
    </w:p>
    <w:p w:rsidR="00237CE6" w:rsidRPr="008A084A" w:rsidRDefault="00237CE6" w:rsidP="001665A3">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9360"/>
        </w:tabs>
        <w:ind w:left="0" w:firstLine="0"/>
        <w:jc w:val="both"/>
        <w:rPr>
          <w:rFonts w:ascii="Cambria" w:hAnsi="Cambria"/>
          <w:color w:val="auto"/>
          <w:sz w:val="20"/>
          <w:szCs w:val="20"/>
        </w:rPr>
      </w:pPr>
    </w:p>
    <w:p w:rsidR="00790E41" w:rsidRPr="008A084A" w:rsidRDefault="00237CE6" w:rsidP="00D14F4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8640"/>
        </w:tabs>
        <w:ind w:left="720" w:right="720" w:firstLine="0"/>
        <w:jc w:val="both"/>
        <w:rPr>
          <w:rFonts w:ascii="Cambria" w:hAnsi="Cambria"/>
          <w:color w:val="auto"/>
          <w:sz w:val="20"/>
          <w:szCs w:val="20"/>
        </w:rPr>
      </w:pPr>
      <w:r w:rsidRPr="008A084A">
        <w:rPr>
          <w:rFonts w:ascii="Cambria" w:hAnsi="Cambria"/>
          <w:color w:val="auto"/>
          <w:sz w:val="20"/>
          <w:szCs w:val="20"/>
        </w:rPr>
        <w:t>(...) la denuncia emitida por la madre</w:t>
      </w:r>
      <w:r w:rsidR="0013664D" w:rsidRPr="008A084A">
        <w:rPr>
          <w:rFonts w:ascii="Cambria" w:hAnsi="Cambria"/>
          <w:color w:val="auto"/>
          <w:sz w:val="20"/>
          <w:szCs w:val="20"/>
        </w:rPr>
        <w:t xml:space="preserve"> del paciente se basa en tal vez</w:t>
      </w:r>
      <w:r w:rsidR="00537156" w:rsidRPr="008A084A">
        <w:rPr>
          <w:rFonts w:ascii="Cambria" w:hAnsi="Cambria"/>
          <w:color w:val="auto"/>
          <w:sz w:val="20"/>
          <w:szCs w:val="20"/>
        </w:rPr>
        <w:t xml:space="preserve"> (sic)</w:t>
      </w:r>
      <w:r w:rsidR="0013664D" w:rsidRPr="008A084A">
        <w:rPr>
          <w:rFonts w:ascii="Cambria" w:hAnsi="Cambria"/>
          <w:color w:val="auto"/>
          <w:sz w:val="20"/>
          <w:szCs w:val="20"/>
        </w:rPr>
        <w:t xml:space="preserve"> algo pasó en el hospital y no (l</w:t>
      </w:r>
      <w:proofErr w:type="gramStart"/>
      <w:r w:rsidR="0013664D" w:rsidRPr="008A084A">
        <w:rPr>
          <w:rFonts w:ascii="Cambria" w:hAnsi="Cambria"/>
          <w:color w:val="auto"/>
          <w:sz w:val="20"/>
          <w:szCs w:val="20"/>
        </w:rPr>
        <w:t>)e</w:t>
      </w:r>
      <w:proofErr w:type="gramEnd"/>
      <w:r w:rsidR="0013664D" w:rsidRPr="008A084A">
        <w:rPr>
          <w:rFonts w:ascii="Cambria" w:hAnsi="Cambria"/>
          <w:color w:val="auto"/>
          <w:sz w:val="20"/>
          <w:szCs w:val="20"/>
        </w:rPr>
        <w:t xml:space="preserve"> quieren avisar y que por lo tanto el hospital hace caso omiso en encontrar a su hijo</w:t>
      </w:r>
      <w:r w:rsidR="00A42B29" w:rsidRPr="008A084A">
        <w:rPr>
          <w:rStyle w:val="FootnoteReference"/>
          <w:rFonts w:ascii="Cambria" w:hAnsi="Cambria"/>
          <w:color w:val="auto"/>
          <w:sz w:val="20"/>
          <w:szCs w:val="20"/>
        </w:rPr>
        <w:footnoteReference w:id="125"/>
      </w:r>
      <w:r w:rsidR="0013664D" w:rsidRPr="008A084A">
        <w:rPr>
          <w:rFonts w:ascii="Cambria" w:hAnsi="Cambria"/>
          <w:color w:val="auto"/>
          <w:sz w:val="20"/>
          <w:szCs w:val="20"/>
        </w:rPr>
        <w:t>.</w:t>
      </w:r>
    </w:p>
    <w:p w:rsidR="0022054D" w:rsidRPr="008A084A" w:rsidRDefault="0022054D"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EB3B1E" w:rsidRPr="008A084A" w:rsidRDefault="00EB3B1E" w:rsidP="00440C66">
      <w:pPr>
        <w:numPr>
          <w:ilvl w:val="0"/>
          <w:numId w:val="55"/>
        </w:numPr>
        <w:jc w:val="both"/>
        <w:rPr>
          <w:rFonts w:ascii="Cambria" w:hAnsi="Cambria"/>
          <w:sz w:val="20"/>
          <w:szCs w:val="20"/>
          <w:lang w:val="es-ES"/>
        </w:rPr>
      </w:pPr>
      <w:r w:rsidRPr="008A084A">
        <w:rPr>
          <w:rFonts w:ascii="Cambria" w:hAnsi="Cambria"/>
          <w:sz w:val="20"/>
          <w:szCs w:val="20"/>
          <w:lang w:val="es-ES"/>
        </w:rPr>
        <w:t>De acuerdo a un oficio del Cuerpo de Bomberos del Distrito Metropolitano de Quito</w:t>
      </w:r>
      <w:r w:rsidR="000B32AA" w:rsidRPr="008A084A">
        <w:rPr>
          <w:rFonts w:ascii="Cambria" w:hAnsi="Cambria"/>
          <w:sz w:val="20"/>
          <w:szCs w:val="20"/>
          <w:lang w:val="es-ES"/>
        </w:rPr>
        <w:t>, entre el 12 y 15 de febrero de 2004 se realizó una búsqueda del señor Guachalá, sin</w:t>
      </w:r>
      <w:r w:rsidR="00537156" w:rsidRPr="008A084A">
        <w:rPr>
          <w:rFonts w:ascii="Cambria" w:hAnsi="Cambria"/>
          <w:sz w:val="20"/>
          <w:szCs w:val="20"/>
          <w:lang w:val="es-ES"/>
        </w:rPr>
        <w:t xml:space="preserve"> resultados</w:t>
      </w:r>
      <w:r w:rsidR="000B32AA" w:rsidRPr="008A084A">
        <w:rPr>
          <w:rFonts w:ascii="Cambria" w:hAnsi="Cambria"/>
          <w:sz w:val="20"/>
          <w:szCs w:val="20"/>
          <w:lang w:val="es-ES"/>
        </w:rPr>
        <w:t>. Se indicó que dicho rastreo fue realizado a petición de una trabajadora social del hospital</w:t>
      </w:r>
      <w:r w:rsidR="004D2D6F" w:rsidRPr="008A084A">
        <w:rPr>
          <w:rStyle w:val="FootnoteReference"/>
          <w:rFonts w:ascii="Cambria" w:hAnsi="Cambria"/>
          <w:sz w:val="20"/>
          <w:szCs w:val="20"/>
          <w:lang w:val="es-ES"/>
        </w:rPr>
        <w:footnoteReference w:id="126"/>
      </w:r>
      <w:r w:rsidR="000B32AA" w:rsidRPr="008A084A">
        <w:rPr>
          <w:rFonts w:ascii="Cambria" w:hAnsi="Cambria"/>
          <w:sz w:val="20"/>
          <w:szCs w:val="20"/>
          <w:lang w:val="es-ES"/>
        </w:rPr>
        <w:t>.</w:t>
      </w:r>
    </w:p>
    <w:p w:rsidR="00EB3B1E" w:rsidRPr="008A084A" w:rsidRDefault="00EB3B1E" w:rsidP="00EB3B1E">
      <w:pPr>
        <w:ind w:left="720"/>
        <w:jc w:val="both"/>
        <w:rPr>
          <w:rFonts w:ascii="Cambria" w:hAnsi="Cambria"/>
          <w:sz w:val="20"/>
          <w:szCs w:val="20"/>
          <w:lang w:val="es-ES"/>
        </w:rPr>
      </w:pPr>
    </w:p>
    <w:p w:rsidR="00B519E2" w:rsidRPr="008A084A" w:rsidRDefault="00981D4D" w:rsidP="00440C66">
      <w:pPr>
        <w:numPr>
          <w:ilvl w:val="0"/>
          <w:numId w:val="55"/>
        </w:numPr>
        <w:jc w:val="both"/>
        <w:rPr>
          <w:rFonts w:ascii="Cambria" w:hAnsi="Cambria"/>
          <w:sz w:val="20"/>
          <w:szCs w:val="20"/>
          <w:lang w:val="es-ES"/>
        </w:rPr>
      </w:pPr>
      <w:r w:rsidRPr="008A084A">
        <w:rPr>
          <w:rFonts w:ascii="Cambria" w:hAnsi="Cambria"/>
          <w:sz w:val="20"/>
          <w:szCs w:val="20"/>
          <w:lang w:val="es-ES"/>
        </w:rPr>
        <w:t xml:space="preserve">El 10 de junio de 2004 </w:t>
      </w:r>
      <w:r w:rsidRPr="008A084A">
        <w:rPr>
          <w:rFonts w:ascii="Cambria" w:eastAsia="Times New Roman" w:hAnsi="Cambria" w:cs="Arial"/>
          <w:sz w:val="20"/>
          <w:szCs w:val="20"/>
          <w:shd w:val="clear" w:color="auto" w:fill="FFFFFF"/>
          <w:lang w:val="es-ES"/>
        </w:rPr>
        <w:t xml:space="preserve">la Dirección Nacional de Defensa de los Derechos de la Tercera Edad y Discapacitados (DINATED) </w:t>
      </w:r>
      <w:r w:rsidR="0092378F" w:rsidRPr="008A084A">
        <w:rPr>
          <w:rFonts w:ascii="Cambria" w:hAnsi="Cambria"/>
          <w:sz w:val="20"/>
          <w:szCs w:val="20"/>
          <w:lang w:val="es-ES"/>
        </w:rPr>
        <w:t>envió una comunicación al Hospital Psiquiátrico Julio Endara</w:t>
      </w:r>
      <w:r w:rsidR="0092378F" w:rsidRPr="008A084A">
        <w:rPr>
          <w:rStyle w:val="FootnoteReference"/>
          <w:rFonts w:ascii="Cambria" w:hAnsi="Cambria"/>
          <w:sz w:val="20"/>
          <w:szCs w:val="20"/>
        </w:rPr>
        <w:footnoteReference w:id="127"/>
      </w:r>
      <w:r w:rsidR="0092378F" w:rsidRPr="008A084A">
        <w:rPr>
          <w:rFonts w:ascii="Cambria" w:hAnsi="Cambria"/>
          <w:sz w:val="20"/>
          <w:szCs w:val="20"/>
          <w:lang w:val="es-ES"/>
        </w:rPr>
        <w:t xml:space="preserve">. El </w:t>
      </w:r>
      <w:r w:rsidR="00B519E2" w:rsidRPr="008A084A">
        <w:rPr>
          <w:rFonts w:ascii="Cambria" w:hAnsi="Cambria"/>
          <w:sz w:val="20"/>
          <w:szCs w:val="20"/>
          <w:lang w:val="es-ES"/>
        </w:rPr>
        <w:t xml:space="preserve">DINATED mostró su preocupación sobre la falta de información acerca de la desaparición </w:t>
      </w:r>
      <w:r w:rsidR="00765C1F" w:rsidRPr="008A084A">
        <w:rPr>
          <w:rFonts w:ascii="Cambria" w:hAnsi="Cambria"/>
          <w:sz w:val="20"/>
          <w:szCs w:val="20"/>
          <w:lang w:val="es-ES"/>
        </w:rPr>
        <w:t xml:space="preserve">ocurrida </w:t>
      </w:r>
      <w:r w:rsidR="00B519E2" w:rsidRPr="008A084A">
        <w:rPr>
          <w:rFonts w:ascii="Cambria" w:hAnsi="Cambria"/>
          <w:sz w:val="20"/>
          <w:szCs w:val="20"/>
          <w:lang w:val="es-ES"/>
        </w:rPr>
        <w:t>entre el 17 y 18 de enero de 2004</w:t>
      </w:r>
      <w:r w:rsidR="00B519E2" w:rsidRPr="008A084A">
        <w:rPr>
          <w:rStyle w:val="FootnoteReference"/>
          <w:rFonts w:ascii="Cambria" w:hAnsi="Cambria"/>
          <w:sz w:val="20"/>
          <w:szCs w:val="20"/>
        </w:rPr>
        <w:footnoteReference w:id="128"/>
      </w:r>
      <w:r w:rsidR="00B519E2" w:rsidRPr="008A084A">
        <w:rPr>
          <w:rFonts w:ascii="Cambria" w:hAnsi="Cambria"/>
          <w:sz w:val="20"/>
          <w:szCs w:val="20"/>
          <w:lang w:val="es-ES"/>
        </w:rPr>
        <w:t xml:space="preserve">. </w:t>
      </w:r>
    </w:p>
    <w:p w:rsidR="00671C11" w:rsidRDefault="00671C11" w:rsidP="00B519E2">
      <w:pPr>
        <w:jc w:val="both"/>
        <w:rPr>
          <w:rFonts w:ascii="Cambria" w:hAnsi="Cambria"/>
          <w:sz w:val="20"/>
          <w:szCs w:val="20"/>
          <w:lang w:val="es-ES"/>
        </w:rPr>
      </w:pPr>
    </w:p>
    <w:p w:rsidR="00B519E2" w:rsidRPr="008A084A" w:rsidRDefault="00B519E2" w:rsidP="00440C66">
      <w:pPr>
        <w:numPr>
          <w:ilvl w:val="0"/>
          <w:numId w:val="55"/>
        </w:numPr>
        <w:jc w:val="both"/>
        <w:rPr>
          <w:rFonts w:ascii="Cambria" w:hAnsi="Cambria"/>
          <w:sz w:val="20"/>
          <w:szCs w:val="20"/>
          <w:lang w:val="es-ES"/>
        </w:rPr>
      </w:pPr>
      <w:r w:rsidRPr="008A084A">
        <w:rPr>
          <w:rFonts w:ascii="Cambria" w:hAnsi="Cambria"/>
          <w:sz w:val="20"/>
          <w:szCs w:val="20"/>
          <w:lang w:val="es-ES"/>
        </w:rPr>
        <w:t>El 30 de junio de 2004 Jenny Beltrán, trabajadora social del Hospital Psiquiátrico Julio Endara, respondió a la comunicación del DINATED</w:t>
      </w:r>
      <w:r w:rsidRPr="008A084A">
        <w:rPr>
          <w:rStyle w:val="FootnoteReference"/>
          <w:rFonts w:ascii="Cambria" w:hAnsi="Cambria"/>
          <w:sz w:val="20"/>
          <w:szCs w:val="20"/>
        </w:rPr>
        <w:footnoteReference w:id="129"/>
      </w:r>
      <w:r w:rsidRPr="008A084A">
        <w:rPr>
          <w:rFonts w:ascii="Cambria" w:hAnsi="Cambria"/>
          <w:sz w:val="20"/>
          <w:szCs w:val="20"/>
          <w:lang w:val="es-ES"/>
        </w:rPr>
        <w:t>.</w:t>
      </w:r>
      <w:r w:rsidR="000D41F2" w:rsidRPr="008A084A">
        <w:rPr>
          <w:rFonts w:ascii="Cambria" w:hAnsi="Cambria"/>
          <w:sz w:val="20"/>
          <w:szCs w:val="20"/>
          <w:lang w:val="es-ES"/>
        </w:rPr>
        <w:t xml:space="preserve"> </w:t>
      </w:r>
      <w:r w:rsidR="005F7295" w:rsidRPr="008A084A">
        <w:rPr>
          <w:rFonts w:ascii="Cambria" w:hAnsi="Cambria"/>
          <w:sz w:val="20"/>
          <w:szCs w:val="20"/>
          <w:lang w:val="es-ES"/>
        </w:rPr>
        <w:t xml:space="preserve"> La señora Beltrán sostuvo que el 17 y 18 de enero de 2004 corresponde a un fin de semana “por lo que no </w:t>
      </w:r>
      <w:proofErr w:type="spellStart"/>
      <w:r w:rsidR="005F7295" w:rsidRPr="008A084A">
        <w:rPr>
          <w:rFonts w:ascii="Cambria" w:hAnsi="Cambria"/>
          <w:sz w:val="20"/>
          <w:szCs w:val="20"/>
          <w:lang w:val="es-ES"/>
        </w:rPr>
        <w:t>sup</w:t>
      </w:r>
      <w:proofErr w:type="spellEnd"/>
      <w:r w:rsidR="005F7295" w:rsidRPr="008A084A">
        <w:rPr>
          <w:rFonts w:ascii="Cambria" w:hAnsi="Cambria"/>
          <w:sz w:val="20"/>
          <w:szCs w:val="20"/>
          <w:lang w:val="es-ES"/>
        </w:rPr>
        <w:t>(o) del particular sino hasta el día lunes 19 de enero en la reunión de trabajo que se realiza todas las mañanas de los días laborables”</w:t>
      </w:r>
      <w:r w:rsidR="005F7295" w:rsidRPr="008A084A">
        <w:rPr>
          <w:rStyle w:val="FootnoteReference"/>
          <w:rFonts w:ascii="Cambria" w:hAnsi="Cambria"/>
          <w:sz w:val="20"/>
          <w:szCs w:val="20"/>
        </w:rPr>
        <w:footnoteReference w:id="130"/>
      </w:r>
      <w:r w:rsidR="005F7295" w:rsidRPr="008A084A">
        <w:rPr>
          <w:rFonts w:ascii="Cambria" w:hAnsi="Cambria"/>
          <w:sz w:val="20"/>
          <w:szCs w:val="20"/>
          <w:lang w:val="es-ES"/>
        </w:rPr>
        <w:t xml:space="preserve">. Añadió que una vez que se </w:t>
      </w:r>
      <w:r w:rsidR="005F7295" w:rsidRPr="008A084A">
        <w:rPr>
          <w:rFonts w:ascii="Cambria" w:hAnsi="Cambria"/>
          <w:sz w:val="20"/>
          <w:szCs w:val="20"/>
          <w:lang w:val="es-ES"/>
        </w:rPr>
        <w:lastRenderedPageBreak/>
        <w:t>tomó conocimiento de la desaparición del señor Guachalá, “se procedió a realizar las gestiones correspondientes que el caso amerita”</w:t>
      </w:r>
      <w:r w:rsidR="005F7295" w:rsidRPr="008A084A">
        <w:rPr>
          <w:rStyle w:val="FootnoteReference"/>
          <w:rFonts w:ascii="Cambria" w:hAnsi="Cambria"/>
          <w:sz w:val="20"/>
          <w:szCs w:val="20"/>
        </w:rPr>
        <w:footnoteReference w:id="131"/>
      </w:r>
      <w:r w:rsidR="005F7295" w:rsidRPr="008A084A">
        <w:rPr>
          <w:rFonts w:ascii="Cambria" w:hAnsi="Cambria"/>
          <w:sz w:val="20"/>
          <w:szCs w:val="20"/>
          <w:lang w:val="es-ES"/>
        </w:rPr>
        <w:t>.</w:t>
      </w:r>
    </w:p>
    <w:p w:rsidR="00003ABD" w:rsidRPr="008A084A" w:rsidRDefault="00003ABD" w:rsidP="00003ABD">
      <w:pPr>
        <w:pStyle w:val="ColorfulList-Accent11"/>
        <w:rPr>
          <w:rFonts w:ascii="Cambria" w:hAnsi="Cambria"/>
          <w:sz w:val="20"/>
          <w:szCs w:val="20"/>
          <w:lang w:val="es-ES"/>
        </w:rPr>
      </w:pPr>
    </w:p>
    <w:p w:rsidR="00003ABD" w:rsidRPr="008A084A" w:rsidRDefault="00003ABD" w:rsidP="00003AB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360"/>
        </w:tabs>
        <w:ind w:left="0"/>
        <w:jc w:val="both"/>
        <w:rPr>
          <w:rFonts w:ascii="Cambria" w:hAnsi="Cambria"/>
          <w:color w:val="auto"/>
          <w:sz w:val="20"/>
          <w:szCs w:val="20"/>
        </w:rPr>
      </w:pPr>
      <w:r w:rsidRPr="008A084A">
        <w:rPr>
          <w:rFonts w:ascii="Cambria" w:hAnsi="Cambria"/>
          <w:color w:val="auto"/>
          <w:sz w:val="20"/>
          <w:szCs w:val="20"/>
        </w:rPr>
        <w:t>El 7 de abril de 2005 la doctora del hospital, Sonia Sánchez, informó al director de dicho centro que se practicaron exámenes odontológicos forenses a dos cadáveres no identificados encontrados el 13 de agosto y 18 de septiembre de 2004</w:t>
      </w:r>
      <w:r w:rsidRPr="008A084A">
        <w:rPr>
          <w:rStyle w:val="FootnoteReference"/>
          <w:rFonts w:ascii="Cambria" w:hAnsi="Cambria"/>
          <w:color w:val="auto"/>
          <w:sz w:val="20"/>
          <w:szCs w:val="20"/>
        </w:rPr>
        <w:footnoteReference w:id="132"/>
      </w:r>
      <w:r w:rsidRPr="008A084A">
        <w:rPr>
          <w:rFonts w:ascii="Cambria" w:hAnsi="Cambria"/>
          <w:color w:val="auto"/>
          <w:sz w:val="20"/>
          <w:szCs w:val="20"/>
        </w:rPr>
        <w:t>. Sostuvo que los resultados no concuerdan con el del señor Guachalá</w:t>
      </w:r>
      <w:r w:rsidRPr="008A084A">
        <w:rPr>
          <w:rStyle w:val="FootnoteReference"/>
          <w:rFonts w:ascii="Cambria" w:hAnsi="Cambria"/>
          <w:color w:val="auto"/>
          <w:sz w:val="20"/>
          <w:szCs w:val="20"/>
        </w:rPr>
        <w:footnoteReference w:id="133"/>
      </w:r>
      <w:r w:rsidRPr="008A084A">
        <w:rPr>
          <w:rFonts w:ascii="Cambria" w:hAnsi="Cambria"/>
          <w:color w:val="auto"/>
          <w:sz w:val="20"/>
          <w:szCs w:val="20"/>
        </w:rPr>
        <w:t>.</w:t>
      </w:r>
    </w:p>
    <w:p w:rsidR="00B519E2" w:rsidRPr="008A084A" w:rsidRDefault="00B519E2" w:rsidP="00B519E2">
      <w:pPr>
        <w:jc w:val="both"/>
        <w:rPr>
          <w:rFonts w:ascii="Cambria" w:hAnsi="Cambria"/>
          <w:sz w:val="20"/>
          <w:szCs w:val="20"/>
          <w:lang w:val="es-ES"/>
        </w:rPr>
      </w:pPr>
    </w:p>
    <w:p w:rsidR="00793E90" w:rsidRPr="008A084A" w:rsidRDefault="00793E90" w:rsidP="00B329C1">
      <w:pPr>
        <w:pStyle w:val="Heading2"/>
        <w:numPr>
          <w:ilvl w:val="0"/>
          <w:numId w:val="59"/>
        </w:numPr>
        <w:spacing w:before="0" w:after="0"/>
        <w:ind w:left="1440" w:hanging="720"/>
        <w:jc w:val="both"/>
        <w:rPr>
          <w:rFonts w:ascii="Cambria" w:hAnsi="Cambria"/>
          <w:i w:val="0"/>
          <w:sz w:val="20"/>
          <w:szCs w:val="20"/>
          <w:lang w:val="es-ES"/>
        </w:rPr>
      </w:pPr>
      <w:bookmarkStart w:id="27" w:name="_Toc525547508"/>
      <w:r w:rsidRPr="008A084A">
        <w:rPr>
          <w:rFonts w:ascii="Cambria" w:hAnsi="Cambria"/>
          <w:i w:val="0"/>
          <w:sz w:val="20"/>
          <w:szCs w:val="20"/>
          <w:lang w:val="es-ES"/>
        </w:rPr>
        <w:t>Sobre los recursos presentados</w:t>
      </w:r>
      <w:bookmarkEnd w:id="27"/>
    </w:p>
    <w:p w:rsidR="00793E90" w:rsidRPr="008A084A" w:rsidRDefault="00793E90" w:rsidP="00B519E2">
      <w:pPr>
        <w:jc w:val="both"/>
        <w:rPr>
          <w:rFonts w:ascii="Cambria" w:hAnsi="Cambria"/>
          <w:sz w:val="20"/>
          <w:szCs w:val="20"/>
          <w:lang w:val="es-ES"/>
        </w:rPr>
      </w:pPr>
    </w:p>
    <w:p w:rsidR="0022054D" w:rsidRPr="008A084A" w:rsidRDefault="00793E90" w:rsidP="00793E90">
      <w:pPr>
        <w:numPr>
          <w:ilvl w:val="3"/>
          <w:numId w:val="55"/>
        </w:numPr>
        <w:tabs>
          <w:tab w:val="clear" w:pos="2880"/>
          <w:tab w:val="num" w:pos="1440"/>
        </w:tabs>
        <w:ind w:hanging="2160"/>
        <w:jc w:val="both"/>
        <w:rPr>
          <w:rFonts w:ascii="Cambria" w:hAnsi="Cambria"/>
          <w:b/>
          <w:sz w:val="20"/>
          <w:szCs w:val="20"/>
          <w:lang w:val="es-ES"/>
        </w:rPr>
      </w:pPr>
      <w:r w:rsidRPr="008A084A">
        <w:rPr>
          <w:rFonts w:ascii="Cambria" w:hAnsi="Cambria"/>
          <w:b/>
          <w:sz w:val="20"/>
          <w:szCs w:val="20"/>
          <w:lang w:val="es-ES"/>
        </w:rPr>
        <w:t>D</w:t>
      </w:r>
      <w:r w:rsidR="006A0F60" w:rsidRPr="008A084A">
        <w:rPr>
          <w:rFonts w:ascii="Cambria" w:hAnsi="Cambria"/>
          <w:b/>
          <w:sz w:val="20"/>
          <w:szCs w:val="20"/>
          <w:lang w:val="es-ES"/>
        </w:rPr>
        <w:t>enuncia ante la Policía Judicial</w:t>
      </w:r>
    </w:p>
    <w:p w:rsidR="002C39B8" w:rsidRPr="008A084A" w:rsidRDefault="002C39B8" w:rsidP="00B519E2">
      <w:pPr>
        <w:jc w:val="both"/>
        <w:rPr>
          <w:rFonts w:ascii="Cambria" w:hAnsi="Cambria"/>
          <w:sz w:val="20"/>
          <w:szCs w:val="20"/>
          <w:lang w:val="es-ES"/>
        </w:rPr>
      </w:pPr>
    </w:p>
    <w:p w:rsidR="0047536B" w:rsidRPr="008A084A" w:rsidRDefault="002C39B8" w:rsidP="00003ABD">
      <w:pPr>
        <w:numPr>
          <w:ilvl w:val="0"/>
          <w:numId w:val="55"/>
        </w:numPr>
        <w:jc w:val="both"/>
        <w:rPr>
          <w:rFonts w:ascii="Cambria" w:hAnsi="Cambria"/>
          <w:sz w:val="20"/>
          <w:szCs w:val="20"/>
          <w:lang w:val="es-ES"/>
        </w:rPr>
      </w:pPr>
      <w:r w:rsidRPr="008A084A">
        <w:rPr>
          <w:rFonts w:ascii="Cambria" w:hAnsi="Cambria"/>
          <w:sz w:val="20"/>
          <w:szCs w:val="20"/>
          <w:lang w:val="es-ES"/>
        </w:rPr>
        <w:t xml:space="preserve">El 21 de enero de 2004 la señora Chimbó presentó </w:t>
      </w:r>
      <w:r w:rsidR="00003ABD" w:rsidRPr="008A084A">
        <w:rPr>
          <w:rFonts w:ascii="Cambria" w:hAnsi="Cambria"/>
          <w:sz w:val="20"/>
          <w:szCs w:val="20"/>
          <w:lang w:val="es-ES"/>
        </w:rPr>
        <w:t>una</w:t>
      </w:r>
      <w:r w:rsidRPr="008A084A">
        <w:rPr>
          <w:rFonts w:ascii="Cambria" w:hAnsi="Cambria"/>
          <w:sz w:val="20"/>
          <w:szCs w:val="20"/>
          <w:lang w:val="es-ES"/>
        </w:rPr>
        <w:t xml:space="preserve"> denuncia ante la Policía Judicial </w:t>
      </w:r>
      <w:r w:rsidR="00D64776" w:rsidRPr="008A084A">
        <w:rPr>
          <w:rFonts w:ascii="Cambria" w:hAnsi="Cambria"/>
          <w:sz w:val="20"/>
          <w:szCs w:val="20"/>
          <w:lang w:val="es-ES"/>
        </w:rPr>
        <w:t xml:space="preserve">de Pichincha </w:t>
      </w:r>
      <w:r w:rsidRPr="008A084A">
        <w:rPr>
          <w:rFonts w:ascii="Cambria" w:hAnsi="Cambria"/>
          <w:sz w:val="20"/>
          <w:szCs w:val="20"/>
          <w:lang w:val="es-ES"/>
        </w:rPr>
        <w:t>por la desaparición de su hijo</w:t>
      </w:r>
      <w:r w:rsidRPr="008A084A">
        <w:rPr>
          <w:rStyle w:val="FootnoteReference"/>
          <w:rFonts w:ascii="Cambria" w:hAnsi="Cambria"/>
          <w:sz w:val="20"/>
          <w:szCs w:val="20"/>
        </w:rPr>
        <w:footnoteReference w:id="134"/>
      </w:r>
      <w:r w:rsidRPr="008A084A">
        <w:rPr>
          <w:rFonts w:ascii="Cambria" w:hAnsi="Cambria"/>
          <w:sz w:val="20"/>
          <w:szCs w:val="20"/>
          <w:lang w:val="es-ES"/>
        </w:rPr>
        <w:t xml:space="preserve">. </w:t>
      </w:r>
      <w:r w:rsidR="003200FC" w:rsidRPr="008A084A">
        <w:rPr>
          <w:rFonts w:ascii="Cambria" w:hAnsi="Cambria"/>
          <w:sz w:val="20"/>
          <w:szCs w:val="20"/>
          <w:lang w:val="es-ES"/>
        </w:rPr>
        <w:t xml:space="preserve">El Estado indicó que </w:t>
      </w:r>
      <w:r w:rsidR="00C72412" w:rsidRPr="008A084A">
        <w:rPr>
          <w:rFonts w:ascii="Cambria" w:hAnsi="Cambria"/>
          <w:sz w:val="20"/>
          <w:szCs w:val="20"/>
          <w:lang w:val="es-ES"/>
        </w:rPr>
        <w:t>la Fiscalía Distrital de Pichincha inició la indagación previa</w:t>
      </w:r>
      <w:r w:rsidR="00C72412" w:rsidRPr="008A084A">
        <w:rPr>
          <w:rStyle w:val="FootnoteReference"/>
          <w:rFonts w:ascii="Cambria" w:hAnsi="Cambria"/>
          <w:sz w:val="20"/>
          <w:szCs w:val="20"/>
          <w:lang w:val="es-ES"/>
        </w:rPr>
        <w:footnoteReference w:id="135"/>
      </w:r>
      <w:r w:rsidR="00C72412" w:rsidRPr="008A084A">
        <w:rPr>
          <w:rFonts w:ascii="Cambria" w:hAnsi="Cambria"/>
          <w:sz w:val="20"/>
          <w:szCs w:val="20"/>
          <w:lang w:val="es-ES"/>
        </w:rPr>
        <w:t>.</w:t>
      </w:r>
      <w:r w:rsidR="00AF7F5C" w:rsidRPr="008A084A">
        <w:rPr>
          <w:rFonts w:ascii="Cambria" w:hAnsi="Cambria"/>
          <w:sz w:val="20"/>
          <w:szCs w:val="20"/>
          <w:lang w:val="es-ES"/>
        </w:rPr>
        <w:t xml:space="preserve"> El mismo día el agente fiscal de la Unidad de Delitos contra la Vida de Pichincha requirió i) la declaración de la señora Chimbó; y ii) el reconocimiento del lugar de los hechos</w:t>
      </w:r>
      <w:r w:rsidR="00AF7F5C" w:rsidRPr="008A084A">
        <w:rPr>
          <w:rStyle w:val="FootnoteReference"/>
          <w:rFonts w:ascii="Cambria" w:hAnsi="Cambria"/>
          <w:sz w:val="20"/>
          <w:szCs w:val="20"/>
          <w:lang w:val="es-ES"/>
        </w:rPr>
        <w:footnoteReference w:id="136"/>
      </w:r>
      <w:r w:rsidR="00AF7F5C" w:rsidRPr="008A084A">
        <w:rPr>
          <w:rFonts w:ascii="Cambria" w:hAnsi="Cambria"/>
          <w:sz w:val="20"/>
          <w:szCs w:val="20"/>
          <w:lang w:val="es-ES"/>
        </w:rPr>
        <w:t>.</w:t>
      </w:r>
    </w:p>
    <w:p w:rsidR="00F672E6" w:rsidRPr="008A084A" w:rsidRDefault="00F672E6" w:rsidP="002C39B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9360"/>
        </w:tabs>
        <w:ind w:left="0" w:firstLine="0"/>
        <w:jc w:val="both"/>
        <w:rPr>
          <w:rFonts w:ascii="Cambria" w:hAnsi="Cambria"/>
          <w:color w:val="auto"/>
          <w:sz w:val="20"/>
          <w:szCs w:val="20"/>
        </w:rPr>
      </w:pPr>
    </w:p>
    <w:p w:rsidR="00C715CB" w:rsidRPr="008A084A" w:rsidRDefault="00F672E6" w:rsidP="00003ABD">
      <w:pPr>
        <w:numPr>
          <w:ilvl w:val="0"/>
          <w:numId w:val="55"/>
        </w:numPr>
        <w:jc w:val="both"/>
        <w:rPr>
          <w:rFonts w:ascii="Cambria" w:hAnsi="Cambria"/>
          <w:sz w:val="20"/>
          <w:szCs w:val="20"/>
          <w:lang w:val="es-ES"/>
        </w:rPr>
      </w:pPr>
      <w:r w:rsidRPr="008A084A">
        <w:rPr>
          <w:rFonts w:ascii="Cambria" w:hAnsi="Cambria"/>
          <w:sz w:val="20"/>
          <w:szCs w:val="20"/>
          <w:lang w:val="es-ES"/>
        </w:rPr>
        <w:t>El 3 de febrero de 2004 la señora Chimbó rindió su declaración</w:t>
      </w:r>
      <w:r w:rsidR="00C72412" w:rsidRPr="008A084A">
        <w:rPr>
          <w:rFonts w:ascii="Cambria" w:hAnsi="Cambria"/>
          <w:sz w:val="20"/>
          <w:szCs w:val="20"/>
          <w:lang w:val="es-ES"/>
        </w:rPr>
        <w:t xml:space="preserve"> judicial</w:t>
      </w:r>
      <w:r w:rsidRPr="008A084A">
        <w:rPr>
          <w:rStyle w:val="FootnoteReference"/>
          <w:rFonts w:ascii="Cambria" w:hAnsi="Cambria"/>
          <w:sz w:val="20"/>
          <w:szCs w:val="20"/>
        </w:rPr>
        <w:footnoteReference w:id="137"/>
      </w:r>
      <w:r w:rsidRPr="008A084A">
        <w:rPr>
          <w:rFonts w:ascii="Cambria" w:hAnsi="Cambria"/>
          <w:sz w:val="20"/>
          <w:szCs w:val="20"/>
          <w:lang w:val="es-ES"/>
        </w:rPr>
        <w:t>.</w:t>
      </w:r>
      <w:r w:rsidR="00003ABD" w:rsidRPr="008A084A">
        <w:rPr>
          <w:rFonts w:ascii="Cambria" w:hAnsi="Cambria"/>
          <w:sz w:val="20"/>
          <w:szCs w:val="20"/>
          <w:lang w:val="es-ES"/>
        </w:rPr>
        <w:t xml:space="preserve"> Asimismo, e</w:t>
      </w:r>
      <w:r w:rsidR="00C715CB" w:rsidRPr="008A084A">
        <w:rPr>
          <w:rFonts w:ascii="Cambria" w:hAnsi="Cambria"/>
          <w:sz w:val="20"/>
          <w:szCs w:val="20"/>
          <w:lang w:val="es-ES"/>
        </w:rPr>
        <w:t>l enfermero Luis Borja indicó que rindió su declaración ante la Policía Judicial</w:t>
      </w:r>
      <w:r w:rsidR="00003ABD" w:rsidRPr="008A084A">
        <w:rPr>
          <w:rFonts w:ascii="Cambria" w:hAnsi="Cambria"/>
          <w:sz w:val="20"/>
          <w:szCs w:val="20"/>
          <w:lang w:val="es-ES"/>
        </w:rPr>
        <w:t xml:space="preserve"> y manifestó lo siguiente:</w:t>
      </w:r>
      <w:r w:rsidR="00C715CB" w:rsidRPr="008A084A">
        <w:rPr>
          <w:rFonts w:ascii="Cambria" w:hAnsi="Cambria"/>
          <w:sz w:val="20"/>
          <w:szCs w:val="20"/>
          <w:lang w:val="es-ES"/>
        </w:rPr>
        <w:t xml:space="preserve"> </w:t>
      </w:r>
    </w:p>
    <w:p w:rsidR="00C715CB" w:rsidRPr="008A084A" w:rsidRDefault="00C715CB" w:rsidP="002C39B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9360"/>
        </w:tabs>
        <w:ind w:left="0" w:firstLine="0"/>
        <w:jc w:val="both"/>
        <w:rPr>
          <w:rFonts w:ascii="Cambria" w:hAnsi="Cambria"/>
          <w:color w:val="auto"/>
          <w:sz w:val="20"/>
          <w:szCs w:val="20"/>
        </w:rPr>
      </w:pPr>
    </w:p>
    <w:p w:rsidR="00C715CB" w:rsidRPr="008A084A" w:rsidRDefault="00C715CB" w:rsidP="00C715CB">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8640"/>
        </w:tabs>
        <w:ind w:left="720" w:right="720" w:firstLine="0"/>
        <w:jc w:val="both"/>
        <w:rPr>
          <w:rFonts w:ascii="Cambria" w:hAnsi="Cambria"/>
          <w:color w:val="auto"/>
          <w:sz w:val="20"/>
          <w:szCs w:val="20"/>
        </w:rPr>
      </w:pPr>
      <w:r w:rsidRPr="008A084A">
        <w:rPr>
          <w:rFonts w:ascii="Cambria" w:hAnsi="Cambria"/>
          <w:color w:val="auto"/>
          <w:sz w:val="20"/>
          <w:szCs w:val="20"/>
        </w:rPr>
        <w:t>(...) el hospital no es un hospital cerrado y que siempre hay la posibilidad de salida de los pacientes ya que se estaba realizando en esos días la tala de árboles que circundan al hospital, lo cual dañó en parte dicho cerramiento. (...) cuando un paciente ingresa al hospital los familiares firman una hoja en donde no se responsabiliza al hospital en estos casos por el estado  crítico de los pacientes, a pesar de los cuidados que aquí se prestan, de lo cual fueron debidamente informados</w:t>
      </w:r>
      <w:r w:rsidRPr="008A084A">
        <w:rPr>
          <w:rStyle w:val="FootnoteReference"/>
          <w:rFonts w:ascii="Cambria" w:hAnsi="Cambria"/>
          <w:color w:val="auto"/>
          <w:sz w:val="20"/>
          <w:szCs w:val="20"/>
        </w:rPr>
        <w:footnoteReference w:id="138"/>
      </w:r>
      <w:r w:rsidRPr="008A084A">
        <w:rPr>
          <w:rFonts w:ascii="Cambria" w:hAnsi="Cambria"/>
          <w:color w:val="auto"/>
          <w:sz w:val="20"/>
          <w:szCs w:val="20"/>
        </w:rPr>
        <w:t>.</w:t>
      </w:r>
    </w:p>
    <w:p w:rsidR="00637852" w:rsidRPr="008A084A" w:rsidRDefault="00637852" w:rsidP="002C39B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9360"/>
        </w:tabs>
        <w:ind w:left="0" w:firstLine="0"/>
        <w:jc w:val="both"/>
        <w:rPr>
          <w:rFonts w:ascii="Cambria" w:hAnsi="Cambria"/>
          <w:color w:val="auto"/>
          <w:sz w:val="20"/>
          <w:szCs w:val="20"/>
        </w:rPr>
      </w:pPr>
    </w:p>
    <w:p w:rsidR="00F052FA" w:rsidRPr="008A084A" w:rsidRDefault="00AF7F5C" w:rsidP="00003ABD">
      <w:pPr>
        <w:numPr>
          <w:ilvl w:val="0"/>
          <w:numId w:val="55"/>
        </w:numPr>
        <w:jc w:val="both"/>
        <w:rPr>
          <w:rFonts w:ascii="Cambria" w:hAnsi="Cambria"/>
          <w:sz w:val="20"/>
          <w:szCs w:val="20"/>
          <w:lang w:val="es-ES"/>
        </w:rPr>
      </w:pPr>
      <w:r w:rsidRPr="008A084A">
        <w:rPr>
          <w:rFonts w:ascii="Cambria" w:hAnsi="Cambria"/>
          <w:sz w:val="20"/>
          <w:szCs w:val="20"/>
          <w:lang w:val="es-ES"/>
        </w:rPr>
        <w:t>E</w:t>
      </w:r>
      <w:r w:rsidR="00F052FA" w:rsidRPr="008A084A">
        <w:rPr>
          <w:rFonts w:ascii="Cambria" w:hAnsi="Cambria"/>
          <w:sz w:val="20"/>
          <w:szCs w:val="20"/>
          <w:lang w:val="es-ES"/>
        </w:rPr>
        <w:t>l 22 de marzo de 2004 el Jefe Provincial de la Policía Judicial presentó a la Fiscalía un informe sobre diligencias realizadas</w:t>
      </w:r>
      <w:r w:rsidRPr="008A084A">
        <w:rPr>
          <w:rStyle w:val="FootnoteReference"/>
          <w:rFonts w:ascii="Cambria" w:hAnsi="Cambria"/>
          <w:sz w:val="20"/>
          <w:szCs w:val="20"/>
          <w:lang w:val="es-ES"/>
        </w:rPr>
        <w:footnoteReference w:id="139"/>
      </w:r>
      <w:r w:rsidR="00F052FA" w:rsidRPr="008A084A">
        <w:rPr>
          <w:rFonts w:ascii="Cambria" w:hAnsi="Cambria"/>
          <w:sz w:val="20"/>
          <w:szCs w:val="20"/>
          <w:lang w:val="es-ES"/>
        </w:rPr>
        <w:t xml:space="preserve">. </w:t>
      </w:r>
      <w:r w:rsidR="006A5D68" w:rsidRPr="008A084A">
        <w:rPr>
          <w:rFonts w:ascii="Cambria" w:hAnsi="Cambria"/>
          <w:sz w:val="20"/>
          <w:szCs w:val="20"/>
          <w:lang w:val="es-ES"/>
        </w:rPr>
        <w:t>En d</w:t>
      </w:r>
      <w:r w:rsidR="00F052FA" w:rsidRPr="008A084A">
        <w:rPr>
          <w:rFonts w:ascii="Cambria" w:hAnsi="Cambria"/>
          <w:sz w:val="20"/>
          <w:szCs w:val="20"/>
          <w:lang w:val="es-ES"/>
        </w:rPr>
        <w:t>icho informe</w:t>
      </w:r>
      <w:r w:rsidR="006A5D68" w:rsidRPr="008A084A">
        <w:rPr>
          <w:rFonts w:ascii="Cambria" w:hAnsi="Cambria"/>
          <w:sz w:val="20"/>
          <w:szCs w:val="20"/>
          <w:lang w:val="es-ES"/>
        </w:rPr>
        <w:t xml:space="preserve"> se</w:t>
      </w:r>
      <w:r w:rsidR="00F052FA" w:rsidRPr="008A084A">
        <w:rPr>
          <w:rFonts w:ascii="Cambria" w:hAnsi="Cambria"/>
          <w:sz w:val="20"/>
          <w:szCs w:val="20"/>
          <w:lang w:val="es-ES"/>
        </w:rPr>
        <w:t xml:space="preserve"> señaló que se tomó la declaración de algunos funcionarios del hospital</w:t>
      </w:r>
      <w:r w:rsidRPr="008A084A">
        <w:rPr>
          <w:rStyle w:val="FootnoteReference"/>
          <w:rFonts w:ascii="Cambria" w:hAnsi="Cambria"/>
          <w:sz w:val="20"/>
          <w:szCs w:val="20"/>
          <w:lang w:val="es-ES"/>
        </w:rPr>
        <w:footnoteReference w:id="140"/>
      </w:r>
      <w:r w:rsidRPr="008A084A">
        <w:rPr>
          <w:rFonts w:ascii="Cambria" w:hAnsi="Cambria"/>
          <w:sz w:val="20"/>
          <w:szCs w:val="20"/>
          <w:lang w:val="es-ES"/>
        </w:rPr>
        <w:t>. La CIDH no cuenta con dichas declaraciones</w:t>
      </w:r>
      <w:r w:rsidR="00B71C5E" w:rsidRPr="008A084A">
        <w:rPr>
          <w:rFonts w:ascii="Cambria" w:hAnsi="Cambria"/>
          <w:sz w:val="20"/>
          <w:szCs w:val="20"/>
          <w:lang w:val="es-ES"/>
        </w:rPr>
        <w:t>.</w:t>
      </w:r>
    </w:p>
    <w:p w:rsidR="00AF7F5C" w:rsidRPr="008A084A" w:rsidRDefault="00AF7F5C" w:rsidP="00AF7F5C">
      <w:pPr>
        <w:jc w:val="both"/>
        <w:rPr>
          <w:rFonts w:ascii="Cambria" w:hAnsi="Cambria"/>
          <w:sz w:val="20"/>
          <w:szCs w:val="20"/>
          <w:lang w:val="es-ES"/>
        </w:rPr>
      </w:pPr>
    </w:p>
    <w:p w:rsidR="00C66D21" w:rsidRPr="008A084A" w:rsidRDefault="00C66D21" w:rsidP="00003ABD">
      <w:pPr>
        <w:numPr>
          <w:ilvl w:val="0"/>
          <w:numId w:val="55"/>
        </w:numPr>
        <w:jc w:val="both"/>
        <w:rPr>
          <w:rFonts w:ascii="Cambria" w:hAnsi="Cambria"/>
          <w:sz w:val="20"/>
          <w:szCs w:val="20"/>
          <w:lang w:val="es-ES"/>
        </w:rPr>
      </w:pPr>
      <w:r w:rsidRPr="008A084A">
        <w:rPr>
          <w:rFonts w:ascii="Cambria" w:hAnsi="Cambria"/>
          <w:sz w:val="20"/>
          <w:szCs w:val="20"/>
          <w:lang w:val="es-ES"/>
        </w:rPr>
        <w:t>Los peticionarios señalaron que se realizaron autopsias de dos cadáveres encontrados el 13 de agosto y 18 de septiembre de 2004, respectivamente, los cuales no correspondieron al señor Guachalá</w:t>
      </w:r>
      <w:r w:rsidR="00CB6937" w:rsidRPr="008A084A">
        <w:rPr>
          <w:rStyle w:val="FootnoteReference"/>
          <w:rFonts w:ascii="Cambria" w:hAnsi="Cambria"/>
          <w:sz w:val="20"/>
          <w:szCs w:val="20"/>
        </w:rPr>
        <w:footnoteReference w:id="141"/>
      </w:r>
      <w:r w:rsidRPr="008A084A">
        <w:rPr>
          <w:rFonts w:ascii="Cambria" w:hAnsi="Cambria"/>
          <w:sz w:val="20"/>
          <w:szCs w:val="20"/>
          <w:lang w:val="es-ES"/>
        </w:rPr>
        <w:t>.</w:t>
      </w:r>
      <w:r w:rsidR="00CB6937" w:rsidRPr="008A084A">
        <w:rPr>
          <w:rFonts w:ascii="Cambria" w:hAnsi="Cambria"/>
          <w:sz w:val="20"/>
          <w:szCs w:val="20"/>
          <w:lang w:val="es-ES"/>
        </w:rPr>
        <w:t xml:space="preserve"> Por su parte, el Estado señaló que el 18 de octubre de 2004 el perito acreditado por el Ministerio Público remitió a la Fiscalía su informe pericial de reconocimiento de lugar de los hechos</w:t>
      </w:r>
      <w:r w:rsidR="00CB6937" w:rsidRPr="008A084A">
        <w:rPr>
          <w:rStyle w:val="FootnoteReference"/>
          <w:rFonts w:ascii="Cambria" w:hAnsi="Cambria"/>
          <w:sz w:val="20"/>
          <w:szCs w:val="20"/>
          <w:lang w:val="es-ES"/>
        </w:rPr>
        <w:footnoteReference w:id="142"/>
      </w:r>
      <w:r w:rsidR="00CB6937" w:rsidRPr="008A084A">
        <w:rPr>
          <w:rFonts w:ascii="Cambria" w:hAnsi="Cambria"/>
          <w:sz w:val="20"/>
          <w:szCs w:val="20"/>
          <w:lang w:val="es-ES"/>
        </w:rPr>
        <w:t>. El Estado no indicó sobre la forma en que se realizó dicho reconocimiento ni los resultados obtenidos.</w:t>
      </w:r>
    </w:p>
    <w:p w:rsidR="000B73DF" w:rsidRPr="008A084A" w:rsidRDefault="000B73DF" w:rsidP="00CB6937">
      <w:pPr>
        <w:jc w:val="both"/>
        <w:rPr>
          <w:rFonts w:ascii="Cambria" w:hAnsi="Cambria"/>
          <w:sz w:val="20"/>
          <w:szCs w:val="20"/>
          <w:lang w:val="es-ES"/>
        </w:rPr>
      </w:pPr>
    </w:p>
    <w:p w:rsidR="000B73DF" w:rsidRPr="008A084A" w:rsidRDefault="00CB6937" w:rsidP="00003ABD">
      <w:pPr>
        <w:numPr>
          <w:ilvl w:val="0"/>
          <w:numId w:val="55"/>
        </w:numPr>
        <w:jc w:val="both"/>
        <w:rPr>
          <w:rFonts w:ascii="Cambria" w:hAnsi="Cambria"/>
          <w:sz w:val="20"/>
          <w:szCs w:val="20"/>
          <w:lang w:val="es-ES"/>
        </w:rPr>
      </w:pPr>
      <w:r w:rsidRPr="008A084A">
        <w:rPr>
          <w:rFonts w:ascii="Cambria" w:hAnsi="Cambria"/>
          <w:sz w:val="20"/>
          <w:szCs w:val="20"/>
          <w:lang w:val="es-ES"/>
        </w:rPr>
        <w:t>L</w:t>
      </w:r>
      <w:r w:rsidR="000B73DF" w:rsidRPr="008A084A">
        <w:rPr>
          <w:rFonts w:ascii="Cambria" w:hAnsi="Cambria"/>
          <w:sz w:val="20"/>
          <w:szCs w:val="20"/>
          <w:lang w:val="es-ES"/>
        </w:rPr>
        <w:t>a señora Chimbó presentó comunicaciones a la Fiscalía el 26 de noviembre de 2004, y el 28 de enero, 3 de marzo y 4 de julio de 2005</w:t>
      </w:r>
      <w:r w:rsidR="002B20A8" w:rsidRPr="008A084A">
        <w:rPr>
          <w:rFonts w:ascii="Cambria" w:hAnsi="Cambria"/>
          <w:sz w:val="20"/>
          <w:szCs w:val="20"/>
          <w:lang w:val="es-ES"/>
        </w:rPr>
        <w:t xml:space="preserve">, solicitando </w:t>
      </w:r>
      <w:r w:rsidR="000B73DF" w:rsidRPr="008A084A">
        <w:rPr>
          <w:rFonts w:ascii="Cambria" w:hAnsi="Cambria"/>
          <w:sz w:val="20"/>
          <w:szCs w:val="20"/>
          <w:lang w:val="es-ES"/>
        </w:rPr>
        <w:t>la práctica de varias diligencias</w:t>
      </w:r>
      <w:r w:rsidRPr="008A084A">
        <w:rPr>
          <w:rStyle w:val="FootnoteReference"/>
          <w:rFonts w:ascii="Cambria" w:hAnsi="Cambria"/>
          <w:sz w:val="20"/>
          <w:szCs w:val="20"/>
          <w:lang w:val="es-ES"/>
        </w:rPr>
        <w:footnoteReference w:id="143"/>
      </w:r>
      <w:r w:rsidR="000B73DF" w:rsidRPr="008A084A">
        <w:rPr>
          <w:rFonts w:ascii="Cambria" w:hAnsi="Cambria"/>
          <w:sz w:val="20"/>
          <w:szCs w:val="20"/>
          <w:lang w:val="es-ES"/>
        </w:rPr>
        <w:t xml:space="preserve">. El </w:t>
      </w:r>
      <w:r w:rsidRPr="008A084A">
        <w:rPr>
          <w:rFonts w:ascii="Cambria" w:hAnsi="Cambria"/>
          <w:sz w:val="20"/>
          <w:szCs w:val="20"/>
          <w:lang w:val="es-ES"/>
        </w:rPr>
        <w:t xml:space="preserve">Estado sostuvo que el </w:t>
      </w:r>
      <w:r w:rsidR="000B73DF" w:rsidRPr="008A084A">
        <w:rPr>
          <w:rFonts w:ascii="Cambria" w:hAnsi="Cambria"/>
          <w:sz w:val="20"/>
          <w:szCs w:val="20"/>
          <w:lang w:val="es-ES"/>
        </w:rPr>
        <w:t>fiscal a cargo de la investigación</w:t>
      </w:r>
      <w:r w:rsidR="00D97F4C" w:rsidRPr="008A084A">
        <w:rPr>
          <w:rFonts w:ascii="Cambria" w:hAnsi="Cambria"/>
          <w:sz w:val="20"/>
          <w:szCs w:val="20"/>
          <w:lang w:val="es-ES"/>
        </w:rPr>
        <w:t xml:space="preserve"> le</w:t>
      </w:r>
      <w:r w:rsidR="000B73DF" w:rsidRPr="008A084A">
        <w:rPr>
          <w:rFonts w:ascii="Cambria" w:hAnsi="Cambria"/>
          <w:sz w:val="20"/>
          <w:szCs w:val="20"/>
          <w:lang w:val="es-ES"/>
        </w:rPr>
        <w:t xml:space="preserve"> informó </w:t>
      </w:r>
      <w:r w:rsidRPr="008A084A">
        <w:rPr>
          <w:rFonts w:ascii="Cambria" w:hAnsi="Cambria"/>
          <w:sz w:val="20"/>
          <w:szCs w:val="20"/>
          <w:lang w:val="es-ES"/>
        </w:rPr>
        <w:t xml:space="preserve">a la señora Chimbó </w:t>
      </w:r>
      <w:r w:rsidR="000B73DF" w:rsidRPr="008A084A">
        <w:rPr>
          <w:rFonts w:ascii="Cambria" w:hAnsi="Cambria"/>
          <w:sz w:val="20"/>
          <w:szCs w:val="20"/>
          <w:lang w:val="es-ES"/>
        </w:rPr>
        <w:t xml:space="preserve">que varias de las diligencias solicitadas </w:t>
      </w:r>
      <w:r w:rsidR="000B73DF" w:rsidRPr="008A084A">
        <w:rPr>
          <w:rFonts w:ascii="Cambria" w:hAnsi="Cambria"/>
          <w:sz w:val="20"/>
          <w:szCs w:val="20"/>
          <w:lang w:val="es-ES"/>
        </w:rPr>
        <w:lastRenderedPageBreak/>
        <w:t>ya habían sido practicad</w:t>
      </w:r>
      <w:r w:rsidR="00B04B87" w:rsidRPr="008A084A">
        <w:rPr>
          <w:rFonts w:ascii="Cambria" w:hAnsi="Cambria"/>
          <w:sz w:val="20"/>
          <w:szCs w:val="20"/>
          <w:lang w:val="es-ES"/>
        </w:rPr>
        <w:t>a</w:t>
      </w:r>
      <w:r w:rsidR="000B73DF" w:rsidRPr="008A084A">
        <w:rPr>
          <w:rFonts w:ascii="Cambria" w:hAnsi="Cambria"/>
          <w:sz w:val="20"/>
          <w:szCs w:val="20"/>
          <w:lang w:val="es-ES"/>
        </w:rPr>
        <w:t>s y que respecto de las otras, “se realizarían en el momento que se considere oportuno”</w:t>
      </w:r>
      <w:r w:rsidR="000B73DF" w:rsidRPr="008A084A">
        <w:rPr>
          <w:rStyle w:val="FootnoteReference"/>
          <w:rFonts w:ascii="Cambria" w:hAnsi="Cambria"/>
          <w:sz w:val="20"/>
          <w:szCs w:val="20"/>
          <w:lang w:val="es-ES"/>
        </w:rPr>
        <w:footnoteReference w:id="144"/>
      </w:r>
      <w:r w:rsidR="000B73DF" w:rsidRPr="008A084A">
        <w:rPr>
          <w:rFonts w:ascii="Cambria" w:hAnsi="Cambria"/>
          <w:sz w:val="20"/>
          <w:szCs w:val="20"/>
          <w:lang w:val="es-ES"/>
        </w:rPr>
        <w:t>.</w:t>
      </w:r>
      <w:r w:rsidR="00AF7F5C" w:rsidRPr="008A084A">
        <w:rPr>
          <w:rFonts w:ascii="Cambria" w:hAnsi="Cambria"/>
          <w:sz w:val="20"/>
          <w:szCs w:val="20"/>
          <w:lang w:val="es-ES"/>
        </w:rPr>
        <w:t xml:space="preserve"> </w:t>
      </w:r>
    </w:p>
    <w:p w:rsidR="00F052FA" w:rsidRPr="008A084A" w:rsidRDefault="00F052FA" w:rsidP="00F052FA">
      <w:pPr>
        <w:ind w:left="720"/>
        <w:jc w:val="both"/>
        <w:rPr>
          <w:rFonts w:ascii="Cambria" w:hAnsi="Cambria"/>
          <w:sz w:val="20"/>
          <w:szCs w:val="20"/>
          <w:lang w:val="es-ES"/>
        </w:rPr>
      </w:pPr>
    </w:p>
    <w:p w:rsidR="00F73817" w:rsidRPr="008A084A" w:rsidRDefault="00102BA9" w:rsidP="00003ABD">
      <w:pPr>
        <w:numPr>
          <w:ilvl w:val="0"/>
          <w:numId w:val="55"/>
        </w:numPr>
        <w:jc w:val="both"/>
        <w:rPr>
          <w:rFonts w:ascii="Cambria" w:hAnsi="Cambria"/>
          <w:sz w:val="20"/>
          <w:szCs w:val="20"/>
          <w:lang w:val="es-CO"/>
        </w:rPr>
      </w:pPr>
      <w:r w:rsidRPr="008A084A">
        <w:rPr>
          <w:rFonts w:ascii="Cambria" w:hAnsi="Cambria"/>
          <w:sz w:val="20"/>
          <w:szCs w:val="20"/>
          <w:lang w:val="es-ES"/>
        </w:rPr>
        <w:t xml:space="preserve">El 12 de julio de 2005 el director del hospital, Rommel </w:t>
      </w:r>
      <w:proofErr w:type="spellStart"/>
      <w:r w:rsidRPr="008A084A">
        <w:rPr>
          <w:rFonts w:ascii="Cambria" w:hAnsi="Cambria"/>
          <w:sz w:val="20"/>
          <w:szCs w:val="20"/>
          <w:lang w:val="es-ES"/>
        </w:rPr>
        <w:t>Artieda</w:t>
      </w:r>
      <w:proofErr w:type="spellEnd"/>
      <w:r w:rsidRPr="008A084A">
        <w:rPr>
          <w:rFonts w:ascii="Cambria" w:hAnsi="Cambria"/>
          <w:sz w:val="20"/>
          <w:szCs w:val="20"/>
          <w:lang w:val="es-ES"/>
        </w:rPr>
        <w:t xml:space="preserve">, </w:t>
      </w:r>
      <w:r w:rsidR="00D2746C" w:rsidRPr="008A084A">
        <w:rPr>
          <w:rFonts w:ascii="Cambria" w:hAnsi="Cambria"/>
          <w:sz w:val="20"/>
          <w:szCs w:val="20"/>
          <w:lang w:val="es-ES"/>
        </w:rPr>
        <w:t>rindió su declaración ante el Juez Vigésimo Primero de lo Civil de Pichincha</w:t>
      </w:r>
      <w:r w:rsidR="00D2746C" w:rsidRPr="008A084A">
        <w:rPr>
          <w:rStyle w:val="FootnoteReference"/>
          <w:rFonts w:ascii="Cambria" w:hAnsi="Cambria"/>
          <w:sz w:val="20"/>
          <w:szCs w:val="20"/>
        </w:rPr>
        <w:footnoteReference w:id="145"/>
      </w:r>
      <w:r w:rsidR="00D2746C" w:rsidRPr="008A084A">
        <w:rPr>
          <w:rFonts w:ascii="Cambria" w:hAnsi="Cambria"/>
          <w:sz w:val="20"/>
          <w:szCs w:val="20"/>
          <w:lang w:val="es-ES"/>
        </w:rPr>
        <w:t>.</w:t>
      </w:r>
      <w:r w:rsidR="00F70C3A" w:rsidRPr="008A084A">
        <w:rPr>
          <w:rFonts w:ascii="Cambria" w:hAnsi="Cambria"/>
          <w:sz w:val="20"/>
          <w:szCs w:val="20"/>
          <w:lang w:val="es-ES"/>
        </w:rPr>
        <w:t xml:space="preserve"> El señor </w:t>
      </w:r>
      <w:proofErr w:type="spellStart"/>
      <w:r w:rsidR="00F70C3A" w:rsidRPr="008A084A">
        <w:rPr>
          <w:rFonts w:ascii="Cambria" w:hAnsi="Cambria"/>
          <w:sz w:val="20"/>
          <w:szCs w:val="20"/>
          <w:lang w:val="es-ES"/>
        </w:rPr>
        <w:t>Artieda</w:t>
      </w:r>
      <w:proofErr w:type="spellEnd"/>
      <w:r w:rsidR="00F70C3A" w:rsidRPr="008A084A">
        <w:rPr>
          <w:rFonts w:ascii="Cambria" w:hAnsi="Cambria"/>
          <w:sz w:val="20"/>
          <w:szCs w:val="20"/>
          <w:lang w:val="es-ES"/>
        </w:rPr>
        <w:t xml:space="preserve"> sostuvo que la condición médica del señor Guachalá era “inestable, ante lo cual el persona</w:t>
      </w:r>
      <w:r w:rsidR="005D55C3" w:rsidRPr="008A084A">
        <w:rPr>
          <w:rFonts w:ascii="Cambria" w:hAnsi="Cambria"/>
          <w:sz w:val="20"/>
          <w:szCs w:val="20"/>
          <w:lang w:val="es-ES"/>
        </w:rPr>
        <w:t>l</w:t>
      </w:r>
      <w:r w:rsidR="00F70C3A" w:rsidRPr="008A084A">
        <w:rPr>
          <w:rFonts w:ascii="Cambria" w:hAnsi="Cambria"/>
          <w:sz w:val="20"/>
          <w:szCs w:val="20"/>
          <w:lang w:val="es-ES"/>
        </w:rPr>
        <w:t xml:space="preserve"> médico del hospital le ha brindado toda la atención prioritaria, preferente, especializada y los cuidados necesarios”</w:t>
      </w:r>
      <w:r w:rsidR="00F70C3A" w:rsidRPr="008A084A">
        <w:rPr>
          <w:rStyle w:val="FootnoteReference"/>
          <w:rFonts w:ascii="Cambria" w:hAnsi="Cambria"/>
          <w:sz w:val="20"/>
          <w:szCs w:val="20"/>
        </w:rPr>
        <w:footnoteReference w:id="146"/>
      </w:r>
      <w:r w:rsidR="00F70C3A" w:rsidRPr="008A084A">
        <w:rPr>
          <w:rFonts w:ascii="Cambria" w:hAnsi="Cambria"/>
          <w:sz w:val="20"/>
          <w:szCs w:val="20"/>
          <w:lang w:val="es-ES"/>
        </w:rPr>
        <w:t>.</w:t>
      </w:r>
      <w:r w:rsidR="00A64B4F" w:rsidRPr="008A084A">
        <w:rPr>
          <w:rFonts w:ascii="Cambria" w:hAnsi="Cambria"/>
          <w:sz w:val="20"/>
          <w:szCs w:val="20"/>
          <w:lang w:val="es-ES"/>
        </w:rPr>
        <w:t xml:space="preserve"> </w:t>
      </w:r>
      <w:r w:rsidR="007C58C2" w:rsidRPr="008A084A">
        <w:rPr>
          <w:rFonts w:ascii="Cambria" w:hAnsi="Cambria"/>
          <w:sz w:val="20"/>
          <w:szCs w:val="20"/>
          <w:lang w:val="es-CO"/>
        </w:rPr>
        <w:t>Agregó que:</w:t>
      </w:r>
    </w:p>
    <w:p w:rsidR="00D65E17" w:rsidRPr="008A084A" w:rsidRDefault="00D65E17" w:rsidP="002C39B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9360"/>
        </w:tabs>
        <w:ind w:left="0" w:firstLine="0"/>
        <w:jc w:val="both"/>
        <w:rPr>
          <w:rFonts w:ascii="Cambria" w:hAnsi="Cambria"/>
          <w:color w:val="auto"/>
          <w:sz w:val="20"/>
          <w:szCs w:val="20"/>
        </w:rPr>
      </w:pPr>
    </w:p>
    <w:p w:rsidR="00D65E17" w:rsidRPr="008A084A" w:rsidRDefault="00D65E17" w:rsidP="00D65E17">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9270"/>
        </w:tabs>
        <w:ind w:left="720" w:right="720" w:firstLine="0"/>
        <w:jc w:val="both"/>
        <w:rPr>
          <w:rFonts w:ascii="Cambria" w:hAnsi="Cambria"/>
          <w:color w:val="auto"/>
          <w:sz w:val="20"/>
          <w:szCs w:val="20"/>
        </w:rPr>
      </w:pPr>
      <w:r w:rsidRPr="008A084A">
        <w:rPr>
          <w:rFonts w:ascii="Cambria" w:hAnsi="Cambria"/>
          <w:color w:val="auto"/>
          <w:sz w:val="20"/>
          <w:szCs w:val="20"/>
        </w:rPr>
        <w:t>(...) como se trata de un hospital psiquiátrico, tiene una gran extensión, en donde los pacientes se movilizan con libertad y tranquilidad, el cerramiento tiene una altura mediana y los pacientes al no ver a sus familiares en su desesperación tratan de salir del establecimiento, como ha sucedido con el señor Luis Guachalá</w:t>
      </w:r>
      <w:r w:rsidRPr="008A084A">
        <w:rPr>
          <w:rStyle w:val="FootnoteReference"/>
          <w:rFonts w:ascii="Cambria" w:hAnsi="Cambria"/>
          <w:color w:val="auto"/>
          <w:sz w:val="20"/>
          <w:szCs w:val="20"/>
        </w:rPr>
        <w:footnoteReference w:id="147"/>
      </w:r>
      <w:r w:rsidRPr="008A084A">
        <w:rPr>
          <w:rFonts w:ascii="Cambria" w:hAnsi="Cambria"/>
          <w:color w:val="auto"/>
          <w:sz w:val="20"/>
          <w:szCs w:val="20"/>
        </w:rPr>
        <w:t>.</w:t>
      </w:r>
    </w:p>
    <w:p w:rsidR="0011248A" w:rsidRPr="008A084A" w:rsidRDefault="0011248A" w:rsidP="002C39B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9360"/>
        </w:tabs>
        <w:ind w:left="0" w:firstLine="0"/>
        <w:jc w:val="both"/>
        <w:rPr>
          <w:rFonts w:ascii="Cambria" w:hAnsi="Cambria"/>
          <w:color w:val="auto"/>
          <w:sz w:val="20"/>
          <w:szCs w:val="20"/>
        </w:rPr>
      </w:pPr>
    </w:p>
    <w:p w:rsidR="00EB6E5F" w:rsidRPr="008A084A" w:rsidRDefault="002D3818" w:rsidP="00A97EBC">
      <w:pPr>
        <w:numPr>
          <w:ilvl w:val="0"/>
          <w:numId w:val="55"/>
        </w:numPr>
        <w:jc w:val="both"/>
        <w:rPr>
          <w:rFonts w:ascii="Cambria" w:hAnsi="Cambria"/>
          <w:sz w:val="20"/>
          <w:szCs w:val="20"/>
          <w:lang w:val="es-ES"/>
        </w:rPr>
      </w:pPr>
      <w:r w:rsidRPr="008A084A">
        <w:rPr>
          <w:rFonts w:ascii="Cambria" w:hAnsi="Cambria"/>
          <w:sz w:val="20"/>
          <w:szCs w:val="20"/>
          <w:lang w:val="es-ES"/>
        </w:rPr>
        <w:t>El Estado informó que el 13 de julio de 2005 la odontóloga forense asignada envió a la Fiscalía un informe</w:t>
      </w:r>
      <w:r w:rsidR="009C0184" w:rsidRPr="008A084A">
        <w:rPr>
          <w:rFonts w:ascii="Cambria" w:hAnsi="Cambria"/>
          <w:sz w:val="20"/>
          <w:szCs w:val="20"/>
          <w:lang w:val="es-ES"/>
        </w:rPr>
        <w:t xml:space="preserve"> en el cual </w:t>
      </w:r>
      <w:r w:rsidRPr="008A084A">
        <w:rPr>
          <w:rFonts w:ascii="Cambria" w:hAnsi="Cambria"/>
          <w:sz w:val="20"/>
          <w:szCs w:val="20"/>
          <w:lang w:val="es-ES"/>
        </w:rPr>
        <w:t>indicó que se hizo un estudio de las piezas dentales del señor Guachalá y dos cadáveres no identificados</w:t>
      </w:r>
      <w:r w:rsidR="00BE0A3E" w:rsidRPr="008A084A">
        <w:rPr>
          <w:rFonts w:ascii="Cambria" w:hAnsi="Cambria"/>
          <w:sz w:val="20"/>
          <w:szCs w:val="20"/>
          <w:lang w:val="es-ES"/>
        </w:rPr>
        <w:t>, con resultados negativo</w:t>
      </w:r>
      <w:r w:rsidRPr="008A084A">
        <w:rPr>
          <w:rStyle w:val="FootnoteReference"/>
          <w:rFonts w:ascii="Cambria" w:hAnsi="Cambria"/>
          <w:sz w:val="20"/>
          <w:szCs w:val="20"/>
          <w:lang w:val="es-ES"/>
        </w:rPr>
        <w:footnoteReference w:id="148"/>
      </w:r>
      <w:r w:rsidRPr="008A084A">
        <w:rPr>
          <w:rFonts w:ascii="Cambria" w:hAnsi="Cambria"/>
          <w:sz w:val="20"/>
          <w:szCs w:val="20"/>
          <w:lang w:val="es-ES"/>
        </w:rPr>
        <w:t>.</w:t>
      </w:r>
    </w:p>
    <w:p w:rsidR="00EB6E5F" w:rsidRPr="008A084A" w:rsidRDefault="00EB6E5F" w:rsidP="00EB6E5F">
      <w:pPr>
        <w:ind w:left="720"/>
        <w:jc w:val="both"/>
        <w:rPr>
          <w:rFonts w:ascii="Cambria" w:hAnsi="Cambria"/>
          <w:sz w:val="20"/>
          <w:szCs w:val="20"/>
          <w:lang w:val="es-ES"/>
        </w:rPr>
      </w:pPr>
    </w:p>
    <w:p w:rsidR="00A97EBC" w:rsidRPr="008A084A" w:rsidRDefault="00003ABD" w:rsidP="00A97EBC">
      <w:pPr>
        <w:numPr>
          <w:ilvl w:val="0"/>
          <w:numId w:val="55"/>
        </w:numPr>
        <w:jc w:val="both"/>
        <w:rPr>
          <w:rFonts w:ascii="Cambria" w:hAnsi="Cambria"/>
          <w:sz w:val="20"/>
          <w:szCs w:val="20"/>
          <w:lang w:val="es-ES"/>
        </w:rPr>
      </w:pPr>
      <w:r w:rsidRPr="008A084A">
        <w:rPr>
          <w:rFonts w:ascii="Cambria" w:hAnsi="Cambria"/>
          <w:sz w:val="20"/>
          <w:szCs w:val="20"/>
          <w:lang w:val="es-ES"/>
        </w:rPr>
        <w:t>La señora Chimbó indicó que desde que interpuso su denuncia hasta mediados del año 2005, ella misma tuvo que pagar la movilización de los agentes de la Policía Judicial al hospital</w:t>
      </w:r>
      <w:r w:rsidRPr="008A084A">
        <w:rPr>
          <w:rStyle w:val="FootnoteReference"/>
          <w:rFonts w:ascii="Cambria" w:hAnsi="Cambria"/>
          <w:sz w:val="20"/>
          <w:szCs w:val="20"/>
        </w:rPr>
        <w:footnoteReference w:id="149"/>
      </w:r>
      <w:r w:rsidRPr="008A084A">
        <w:rPr>
          <w:rFonts w:ascii="Cambria" w:hAnsi="Cambria"/>
          <w:sz w:val="20"/>
          <w:szCs w:val="20"/>
          <w:lang w:val="es-ES"/>
        </w:rPr>
        <w:t xml:space="preserve">. Sostuvo que a pesar de sus solicitudes, no </w:t>
      </w:r>
      <w:r w:rsidR="00A97EBC" w:rsidRPr="008A084A">
        <w:rPr>
          <w:rFonts w:ascii="Cambria" w:hAnsi="Cambria"/>
          <w:sz w:val="20"/>
          <w:szCs w:val="20"/>
          <w:lang w:val="es-ES"/>
        </w:rPr>
        <w:t xml:space="preserve">se </w:t>
      </w:r>
      <w:r w:rsidRPr="008A084A">
        <w:rPr>
          <w:rFonts w:ascii="Cambria" w:hAnsi="Cambria"/>
          <w:sz w:val="20"/>
          <w:szCs w:val="20"/>
          <w:lang w:val="es-ES"/>
        </w:rPr>
        <w:t xml:space="preserve">realizaron mayores diligencias, incluyendo la falta de registro </w:t>
      </w:r>
      <w:r w:rsidR="00A97EBC" w:rsidRPr="008A084A">
        <w:rPr>
          <w:rFonts w:ascii="Cambria" w:hAnsi="Cambria"/>
          <w:sz w:val="20"/>
          <w:szCs w:val="20"/>
          <w:lang w:val="es-ES"/>
        </w:rPr>
        <w:t>de la información de</w:t>
      </w:r>
      <w:r w:rsidRPr="008A084A">
        <w:rPr>
          <w:rFonts w:ascii="Cambria" w:hAnsi="Cambria"/>
          <w:sz w:val="20"/>
          <w:szCs w:val="20"/>
          <w:lang w:val="es-ES"/>
        </w:rPr>
        <w:t xml:space="preserve"> una de las internas respecto del posible fallecimiento del señor Guachalá.</w:t>
      </w:r>
    </w:p>
    <w:p w:rsidR="00A97EBC" w:rsidRPr="008A084A" w:rsidRDefault="00A97EBC" w:rsidP="00A97EBC">
      <w:pPr>
        <w:ind w:left="720"/>
        <w:jc w:val="both"/>
        <w:rPr>
          <w:rFonts w:ascii="Cambria" w:hAnsi="Cambria"/>
          <w:sz w:val="20"/>
          <w:szCs w:val="20"/>
          <w:lang w:val="es-ES"/>
        </w:rPr>
      </w:pPr>
    </w:p>
    <w:p w:rsidR="0097114D" w:rsidRPr="008A084A" w:rsidRDefault="002D3818" w:rsidP="00A97EBC">
      <w:pPr>
        <w:numPr>
          <w:ilvl w:val="0"/>
          <w:numId w:val="55"/>
        </w:numPr>
        <w:jc w:val="both"/>
        <w:rPr>
          <w:rFonts w:ascii="Cambria" w:hAnsi="Cambria"/>
          <w:sz w:val="20"/>
          <w:szCs w:val="20"/>
          <w:lang w:val="es-ES"/>
        </w:rPr>
      </w:pPr>
      <w:r w:rsidRPr="008A084A">
        <w:rPr>
          <w:rFonts w:ascii="Cambria" w:hAnsi="Cambria"/>
          <w:sz w:val="20"/>
          <w:szCs w:val="20"/>
          <w:lang w:val="es-ES"/>
        </w:rPr>
        <w:t>E</w:t>
      </w:r>
      <w:r w:rsidR="00D7524E" w:rsidRPr="008A084A">
        <w:rPr>
          <w:rFonts w:ascii="Cambria" w:hAnsi="Cambria"/>
          <w:sz w:val="20"/>
          <w:szCs w:val="20"/>
          <w:lang w:val="es-ES"/>
        </w:rPr>
        <w:t xml:space="preserve">l 29 de agosto </w:t>
      </w:r>
      <w:r w:rsidR="002F3885" w:rsidRPr="008A084A">
        <w:rPr>
          <w:rFonts w:ascii="Cambria" w:hAnsi="Cambria"/>
          <w:sz w:val="20"/>
          <w:szCs w:val="20"/>
          <w:lang w:val="es-ES"/>
        </w:rPr>
        <w:t>de 2005 la Fiscalía de Pichicha solicitó al Juzgado Décimo Octavo de lo Penal de Pichincha la desestimación de la denuncia</w:t>
      </w:r>
      <w:r w:rsidR="00574B68" w:rsidRPr="008A084A">
        <w:rPr>
          <w:rFonts w:ascii="Cambria" w:hAnsi="Cambria"/>
          <w:sz w:val="20"/>
          <w:szCs w:val="20"/>
          <w:lang w:val="es-ES"/>
        </w:rPr>
        <w:t xml:space="preserve"> y el archivo de la misma </w:t>
      </w:r>
      <w:r w:rsidR="008343E5" w:rsidRPr="008A084A">
        <w:rPr>
          <w:rFonts w:ascii="Cambria" w:hAnsi="Cambria"/>
          <w:sz w:val="20"/>
          <w:szCs w:val="20"/>
          <w:lang w:val="es-ES"/>
        </w:rPr>
        <w:t xml:space="preserve">con </w:t>
      </w:r>
      <w:r w:rsidR="00574B68" w:rsidRPr="008A084A">
        <w:rPr>
          <w:rFonts w:ascii="Cambria" w:hAnsi="Cambria"/>
          <w:sz w:val="20"/>
          <w:szCs w:val="20"/>
          <w:lang w:val="es-ES"/>
        </w:rPr>
        <w:t xml:space="preserve">base </w:t>
      </w:r>
      <w:r w:rsidR="008343E5" w:rsidRPr="008A084A">
        <w:rPr>
          <w:rFonts w:ascii="Cambria" w:hAnsi="Cambria"/>
          <w:sz w:val="20"/>
          <w:szCs w:val="20"/>
          <w:lang w:val="es-ES"/>
        </w:rPr>
        <w:t>en e</w:t>
      </w:r>
      <w:r w:rsidR="00574B68" w:rsidRPr="008A084A">
        <w:rPr>
          <w:rFonts w:ascii="Cambria" w:hAnsi="Cambria"/>
          <w:sz w:val="20"/>
          <w:szCs w:val="20"/>
          <w:lang w:val="es-ES"/>
        </w:rPr>
        <w:t>l artículo 38 del Código de Procedimiento Penal</w:t>
      </w:r>
      <w:r w:rsidR="002F3885" w:rsidRPr="008A084A">
        <w:rPr>
          <w:rStyle w:val="FootnoteReference"/>
          <w:rFonts w:ascii="Cambria" w:hAnsi="Cambria"/>
          <w:sz w:val="20"/>
          <w:szCs w:val="20"/>
        </w:rPr>
        <w:footnoteReference w:id="150"/>
      </w:r>
      <w:r w:rsidR="002F3885" w:rsidRPr="008A084A">
        <w:rPr>
          <w:rFonts w:ascii="Cambria" w:hAnsi="Cambria"/>
          <w:sz w:val="20"/>
          <w:szCs w:val="20"/>
          <w:lang w:val="es-ES"/>
        </w:rPr>
        <w:t>.</w:t>
      </w:r>
      <w:r w:rsidR="00574B68" w:rsidRPr="008A084A">
        <w:rPr>
          <w:rFonts w:ascii="Cambria" w:hAnsi="Cambria"/>
          <w:sz w:val="20"/>
          <w:szCs w:val="20"/>
          <w:lang w:val="es-ES"/>
        </w:rPr>
        <w:t xml:space="preserve"> Ello debido a que a pesar “haberse efectuado todas las diligencias e investigaciones en torno al caso, se hizo imposible dar con el paradero del señor Guachalá”</w:t>
      </w:r>
      <w:r w:rsidR="00574B68" w:rsidRPr="008A084A">
        <w:rPr>
          <w:rStyle w:val="FootnoteReference"/>
          <w:rFonts w:ascii="Cambria" w:hAnsi="Cambria"/>
          <w:sz w:val="20"/>
          <w:szCs w:val="20"/>
        </w:rPr>
        <w:footnoteReference w:id="151"/>
      </w:r>
      <w:r w:rsidR="00574B68" w:rsidRPr="008A084A">
        <w:rPr>
          <w:rFonts w:ascii="Cambria" w:hAnsi="Cambria"/>
          <w:sz w:val="20"/>
          <w:szCs w:val="20"/>
          <w:lang w:val="es-ES"/>
        </w:rPr>
        <w:t>.</w:t>
      </w:r>
      <w:r w:rsidR="00A65C92" w:rsidRPr="008A084A">
        <w:rPr>
          <w:rFonts w:ascii="Cambria" w:hAnsi="Cambria"/>
          <w:sz w:val="20"/>
          <w:szCs w:val="20"/>
          <w:lang w:val="es-ES"/>
        </w:rPr>
        <w:t xml:space="preserve"> El Estado informó que la señora Chimbó solicitó que no se desestime la denuncia</w:t>
      </w:r>
      <w:r w:rsidR="00A65C92" w:rsidRPr="008A084A">
        <w:rPr>
          <w:rStyle w:val="FootnoteReference"/>
          <w:rFonts w:ascii="Cambria" w:hAnsi="Cambria"/>
          <w:sz w:val="20"/>
          <w:szCs w:val="20"/>
        </w:rPr>
        <w:footnoteReference w:id="152"/>
      </w:r>
      <w:r w:rsidR="00A65C92" w:rsidRPr="008A084A">
        <w:rPr>
          <w:rFonts w:ascii="Cambria" w:hAnsi="Cambria"/>
          <w:sz w:val="20"/>
          <w:szCs w:val="20"/>
          <w:lang w:val="es-ES"/>
        </w:rPr>
        <w:t xml:space="preserve">. </w:t>
      </w:r>
    </w:p>
    <w:p w:rsidR="0097114D" w:rsidRPr="008A084A" w:rsidRDefault="0097114D" w:rsidP="0097114D">
      <w:pPr>
        <w:pStyle w:val="ColorfulList-Accent11"/>
        <w:rPr>
          <w:rFonts w:ascii="Cambria" w:hAnsi="Cambria"/>
          <w:sz w:val="20"/>
          <w:szCs w:val="20"/>
          <w:lang w:val="es-ES"/>
        </w:rPr>
      </w:pPr>
    </w:p>
    <w:p w:rsidR="0097114D" w:rsidRPr="008A084A" w:rsidRDefault="00C91893" w:rsidP="00C66D21">
      <w:pPr>
        <w:numPr>
          <w:ilvl w:val="0"/>
          <w:numId w:val="55"/>
        </w:numPr>
        <w:jc w:val="both"/>
        <w:rPr>
          <w:rFonts w:ascii="Cambria" w:hAnsi="Cambria"/>
          <w:sz w:val="20"/>
          <w:szCs w:val="20"/>
          <w:lang w:val="es-ES"/>
        </w:rPr>
      </w:pPr>
      <w:r w:rsidRPr="008A084A">
        <w:rPr>
          <w:rFonts w:ascii="Cambria" w:hAnsi="Cambria"/>
          <w:sz w:val="20"/>
          <w:szCs w:val="20"/>
          <w:lang w:val="es-ES"/>
        </w:rPr>
        <w:t>E</w:t>
      </w:r>
      <w:r w:rsidR="00A65C92" w:rsidRPr="008A084A">
        <w:rPr>
          <w:rFonts w:ascii="Cambria" w:hAnsi="Cambria"/>
          <w:sz w:val="20"/>
          <w:szCs w:val="20"/>
          <w:lang w:val="es-ES"/>
        </w:rPr>
        <w:t>l 27 de septiembre de 2005 la jueza a cargo ordenó remitir el expediente al Ministro Fiscal Superior, en consulta, a fin de que revoque o ratifique la desestimación solicitada</w:t>
      </w:r>
      <w:r w:rsidRPr="008A084A">
        <w:rPr>
          <w:rStyle w:val="FootnoteReference"/>
          <w:rFonts w:ascii="Cambria" w:hAnsi="Cambria"/>
          <w:sz w:val="20"/>
          <w:szCs w:val="20"/>
          <w:lang w:val="es-ES"/>
        </w:rPr>
        <w:footnoteReference w:id="153"/>
      </w:r>
      <w:r w:rsidR="00A65C92" w:rsidRPr="008A084A">
        <w:rPr>
          <w:rFonts w:ascii="Cambria" w:hAnsi="Cambria"/>
          <w:sz w:val="20"/>
          <w:szCs w:val="20"/>
          <w:lang w:val="es-ES"/>
        </w:rPr>
        <w:t>.</w:t>
      </w:r>
      <w:r w:rsidR="0097114D" w:rsidRPr="008A084A">
        <w:rPr>
          <w:rFonts w:ascii="Cambria" w:hAnsi="Cambria"/>
          <w:sz w:val="20"/>
          <w:szCs w:val="20"/>
          <w:lang w:val="es-ES"/>
        </w:rPr>
        <w:t xml:space="preserve"> E</w:t>
      </w:r>
      <w:r w:rsidR="00337F4A" w:rsidRPr="008A084A">
        <w:rPr>
          <w:rFonts w:ascii="Cambria" w:hAnsi="Cambria"/>
          <w:sz w:val="20"/>
          <w:szCs w:val="20"/>
          <w:lang w:val="es-ES"/>
        </w:rPr>
        <w:t>l 13 de julio de 2006 el Ministro Fiscal Provincial de Pichincha ratificó el requerimiento de archivo de la investigación</w:t>
      </w:r>
      <w:r w:rsidR="0097114D" w:rsidRPr="008A084A">
        <w:rPr>
          <w:rStyle w:val="FootnoteReference"/>
          <w:rFonts w:ascii="Cambria" w:hAnsi="Cambria"/>
          <w:sz w:val="20"/>
          <w:szCs w:val="20"/>
          <w:lang w:val="es-ES"/>
        </w:rPr>
        <w:footnoteReference w:id="154"/>
      </w:r>
      <w:r w:rsidR="00337F4A" w:rsidRPr="008A084A">
        <w:rPr>
          <w:rFonts w:ascii="Cambria" w:hAnsi="Cambria"/>
          <w:sz w:val="20"/>
          <w:szCs w:val="20"/>
          <w:lang w:val="es-ES"/>
        </w:rPr>
        <w:t xml:space="preserve">. </w:t>
      </w:r>
      <w:r w:rsidR="0097114D" w:rsidRPr="008A084A">
        <w:rPr>
          <w:rFonts w:ascii="Cambria" w:hAnsi="Cambria"/>
          <w:sz w:val="20"/>
          <w:szCs w:val="20"/>
          <w:lang w:val="es-ES"/>
        </w:rPr>
        <w:t>En su resolución señaló lo siguiente:</w:t>
      </w:r>
    </w:p>
    <w:p w:rsidR="0097114D" w:rsidRPr="008A084A" w:rsidRDefault="0097114D" w:rsidP="0097114D">
      <w:pPr>
        <w:jc w:val="both"/>
        <w:rPr>
          <w:rFonts w:ascii="Cambria" w:hAnsi="Cambria"/>
          <w:sz w:val="20"/>
          <w:szCs w:val="20"/>
          <w:lang w:val="es-ES"/>
        </w:rPr>
      </w:pPr>
    </w:p>
    <w:p w:rsidR="0097114D" w:rsidRPr="008A084A" w:rsidRDefault="0097114D" w:rsidP="0097114D">
      <w:pPr>
        <w:ind w:left="720" w:right="720"/>
        <w:jc w:val="both"/>
        <w:rPr>
          <w:rFonts w:ascii="Cambria" w:hAnsi="Cambria"/>
          <w:sz w:val="20"/>
          <w:szCs w:val="20"/>
          <w:lang w:val="es-ES"/>
        </w:rPr>
      </w:pPr>
      <w:r w:rsidRPr="008A084A">
        <w:rPr>
          <w:rFonts w:ascii="Cambria" w:hAnsi="Cambria"/>
          <w:sz w:val="20"/>
          <w:szCs w:val="20"/>
          <w:lang w:val="es-ES"/>
        </w:rPr>
        <w:t>(…) esta Fiscalía considera que no se ha determinado la existencia de delito alguno, por cuya razón el suscrito Ministro Fiscal Distrital de Pichincha, ratifica el requerimiento de archivo subido en grado</w:t>
      </w:r>
      <w:r w:rsidRPr="008A084A">
        <w:rPr>
          <w:rStyle w:val="FootnoteReference"/>
          <w:rFonts w:ascii="Cambria" w:hAnsi="Cambria"/>
          <w:sz w:val="20"/>
          <w:szCs w:val="20"/>
          <w:lang w:val="es-ES"/>
        </w:rPr>
        <w:footnoteReference w:id="155"/>
      </w:r>
      <w:r w:rsidRPr="008A084A">
        <w:rPr>
          <w:rFonts w:ascii="Cambria" w:hAnsi="Cambria"/>
          <w:sz w:val="20"/>
          <w:szCs w:val="20"/>
          <w:lang w:val="es-ES"/>
        </w:rPr>
        <w:t>.</w:t>
      </w:r>
    </w:p>
    <w:p w:rsidR="00337F4A" w:rsidRPr="008A084A" w:rsidRDefault="00C66D21" w:rsidP="00A97EBC">
      <w:pPr>
        <w:numPr>
          <w:ilvl w:val="0"/>
          <w:numId w:val="55"/>
        </w:numPr>
        <w:jc w:val="both"/>
        <w:rPr>
          <w:rFonts w:ascii="Cambria" w:hAnsi="Cambria"/>
          <w:sz w:val="20"/>
          <w:szCs w:val="20"/>
          <w:lang w:val="es-ES"/>
        </w:rPr>
      </w:pPr>
      <w:r w:rsidRPr="008A084A">
        <w:rPr>
          <w:rFonts w:ascii="Cambria" w:hAnsi="Cambria"/>
          <w:sz w:val="20"/>
          <w:szCs w:val="20"/>
          <w:lang w:val="es-ES"/>
        </w:rPr>
        <w:t>El 19 de julio de 2006 la Jueza del Décimo Octavo de lo Penal de Pichincha</w:t>
      </w:r>
      <w:r w:rsidR="00337F4A" w:rsidRPr="008A084A">
        <w:rPr>
          <w:rFonts w:ascii="Cambria" w:hAnsi="Cambria"/>
          <w:sz w:val="20"/>
          <w:szCs w:val="20"/>
          <w:lang w:val="es-ES"/>
        </w:rPr>
        <w:t xml:space="preserve"> ordenó el archivo de la causa</w:t>
      </w:r>
      <w:r w:rsidR="00337F4A" w:rsidRPr="008A084A">
        <w:rPr>
          <w:rStyle w:val="FootnoteReference"/>
          <w:rFonts w:ascii="Cambria" w:hAnsi="Cambria"/>
          <w:sz w:val="20"/>
          <w:szCs w:val="20"/>
        </w:rPr>
        <w:footnoteReference w:id="156"/>
      </w:r>
      <w:r w:rsidR="00337F4A" w:rsidRPr="008A084A">
        <w:rPr>
          <w:rFonts w:ascii="Cambria" w:hAnsi="Cambria"/>
          <w:sz w:val="20"/>
          <w:szCs w:val="20"/>
          <w:lang w:val="es-ES"/>
        </w:rPr>
        <w:t>.</w:t>
      </w:r>
    </w:p>
    <w:p w:rsidR="007B7478" w:rsidRPr="008A084A" w:rsidRDefault="007B7478" w:rsidP="0097114D">
      <w:pPr>
        <w:pStyle w:val="ColorfulList-Accent11"/>
        <w:ind w:left="0"/>
        <w:rPr>
          <w:rFonts w:ascii="Cambria" w:hAnsi="Cambria"/>
          <w:sz w:val="20"/>
          <w:szCs w:val="20"/>
          <w:lang w:val="es-ES"/>
        </w:rPr>
      </w:pPr>
    </w:p>
    <w:p w:rsidR="007B7478" w:rsidRPr="008A084A" w:rsidRDefault="00793E90" w:rsidP="00FC72CE">
      <w:pPr>
        <w:ind w:firstLine="720"/>
        <w:jc w:val="both"/>
        <w:rPr>
          <w:rFonts w:ascii="Cambria" w:hAnsi="Cambria"/>
          <w:b/>
          <w:sz w:val="20"/>
          <w:szCs w:val="20"/>
          <w:lang w:val="es-ES"/>
        </w:rPr>
      </w:pPr>
      <w:r w:rsidRPr="008A084A">
        <w:rPr>
          <w:rFonts w:ascii="Cambria" w:hAnsi="Cambria"/>
          <w:b/>
          <w:sz w:val="20"/>
          <w:szCs w:val="20"/>
          <w:lang w:val="es-ES"/>
        </w:rPr>
        <w:t xml:space="preserve">2. </w:t>
      </w:r>
      <w:r w:rsidR="00FC72CE" w:rsidRPr="008A084A">
        <w:rPr>
          <w:rFonts w:ascii="Cambria" w:hAnsi="Cambria"/>
          <w:b/>
          <w:sz w:val="20"/>
          <w:szCs w:val="20"/>
          <w:lang w:val="es-ES"/>
        </w:rPr>
        <w:tab/>
      </w:r>
      <w:r w:rsidR="002506D8" w:rsidRPr="008A084A">
        <w:rPr>
          <w:rFonts w:ascii="Cambria" w:hAnsi="Cambria"/>
          <w:b/>
          <w:sz w:val="20"/>
          <w:szCs w:val="20"/>
          <w:lang w:val="es-ES"/>
        </w:rPr>
        <w:t>Expediente administrativo</w:t>
      </w:r>
    </w:p>
    <w:p w:rsidR="00ED7E7D" w:rsidRPr="008A084A" w:rsidRDefault="00ED7E7D" w:rsidP="00ED7E7D">
      <w:pPr>
        <w:pStyle w:val="ColorfulList-Accent11"/>
        <w:rPr>
          <w:rFonts w:ascii="Cambria" w:hAnsi="Cambria"/>
          <w:sz w:val="20"/>
          <w:szCs w:val="20"/>
          <w:lang w:val="es-ES"/>
        </w:rPr>
      </w:pPr>
    </w:p>
    <w:p w:rsidR="002506D8" w:rsidRPr="008A084A" w:rsidRDefault="002506D8" w:rsidP="00B27E01">
      <w:pPr>
        <w:numPr>
          <w:ilvl w:val="0"/>
          <w:numId w:val="55"/>
        </w:numPr>
        <w:jc w:val="both"/>
        <w:rPr>
          <w:rFonts w:ascii="Cambria" w:hAnsi="Cambria"/>
          <w:sz w:val="20"/>
          <w:szCs w:val="20"/>
          <w:lang w:val="es-ES"/>
        </w:rPr>
      </w:pPr>
      <w:r w:rsidRPr="008A084A">
        <w:rPr>
          <w:rFonts w:ascii="Cambria" w:hAnsi="Cambria"/>
          <w:sz w:val="20"/>
          <w:szCs w:val="20"/>
          <w:lang w:val="es-ES"/>
        </w:rPr>
        <w:t xml:space="preserve">El 23 de mayo de 2013 un oficial investigador de la Policía Judicial presentó al Fiscal Provincial un informe donde se indicaba que se realizó una reunión de trabajo a efectos de complementar </w:t>
      </w:r>
      <w:r w:rsidRPr="008A084A">
        <w:rPr>
          <w:rFonts w:ascii="Cambria" w:hAnsi="Cambria"/>
          <w:sz w:val="20"/>
          <w:szCs w:val="20"/>
          <w:lang w:val="es-ES"/>
        </w:rPr>
        <w:lastRenderedPageBreak/>
        <w:t>actividades de investigación en el presente caso</w:t>
      </w:r>
      <w:r w:rsidR="007F753C" w:rsidRPr="008A084A">
        <w:rPr>
          <w:rStyle w:val="FootnoteReference"/>
          <w:rFonts w:ascii="Cambria" w:hAnsi="Cambria"/>
          <w:sz w:val="20"/>
          <w:szCs w:val="20"/>
          <w:lang w:val="es-ES"/>
        </w:rPr>
        <w:footnoteReference w:id="157"/>
      </w:r>
      <w:r w:rsidRPr="008A084A">
        <w:rPr>
          <w:rFonts w:ascii="Cambria" w:hAnsi="Cambria"/>
          <w:sz w:val="20"/>
          <w:szCs w:val="20"/>
          <w:lang w:val="es-ES"/>
        </w:rPr>
        <w:t>. El fiscal remitió dicho informe a la Unidad de Atención Integral al Público a fin de que se direccione a la Unidad de Actuaciones Administrativas</w:t>
      </w:r>
      <w:r w:rsidR="007F753C" w:rsidRPr="008A084A">
        <w:rPr>
          <w:rStyle w:val="FootnoteReference"/>
          <w:rFonts w:ascii="Cambria" w:hAnsi="Cambria"/>
          <w:sz w:val="20"/>
          <w:szCs w:val="20"/>
          <w:lang w:val="es-ES"/>
        </w:rPr>
        <w:footnoteReference w:id="158"/>
      </w:r>
      <w:r w:rsidRPr="008A084A">
        <w:rPr>
          <w:rFonts w:ascii="Cambria" w:hAnsi="Cambria"/>
          <w:sz w:val="20"/>
          <w:szCs w:val="20"/>
          <w:lang w:val="es-ES"/>
        </w:rPr>
        <w:t>.</w:t>
      </w:r>
    </w:p>
    <w:p w:rsidR="002506D8" w:rsidRPr="008A084A" w:rsidRDefault="002506D8" w:rsidP="002506D8">
      <w:pPr>
        <w:ind w:left="720"/>
        <w:jc w:val="both"/>
        <w:rPr>
          <w:rFonts w:ascii="Cambria" w:hAnsi="Cambria"/>
          <w:sz w:val="20"/>
          <w:szCs w:val="20"/>
          <w:lang w:val="es-ES"/>
        </w:rPr>
      </w:pPr>
    </w:p>
    <w:p w:rsidR="00ED7E7D" w:rsidRPr="008A084A" w:rsidRDefault="00ED7E7D" w:rsidP="00B27E01">
      <w:pPr>
        <w:numPr>
          <w:ilvl w:val="0"/>
          <w:numId w:val="55"/>
        </w:numPr>
        <w:jc w:val="both"/>
        <w:rPr>
          <w:rFonts w:ascii="Cambria" w:hAnsi="Cambria"/>
          <w:sz w:val="20"/>
          <w:szCs w:val="20"/>
          <w:lang w:val="es-ES"/>
        </w:rPr>
      </w:pPr>
      <w:r w:rsidRPr="008A084A">
        <w:rPr>
          <w:rFonts w:ascii="Cambria" w:hAnsi="Cambria"/>
          <w:sz w:val="20"/>
          <w:szCs w:val="20"/>
          <w:lang w:val="es-ES"/>
        </w:rPr>
        <w:t>De acuerdo a un oficio del Fiscal 4 de la Unidad de Actuaciones Administrativas de Pichincha</w:t>
      </w:r>
      <w:r w:rsidR="00003382" w:rsidRPr="008A084A">
        <w:rPr>
          <w:rFonts w:ascii="Cambria" w:hAnsi="Cambria"/>
          <w:sz w:val="20"/>
          <w:szCs w:val="20"/>
          <w:lang w:val="es-ES"/>
        </w:rPr>
        <w:t xml:space="preserve"> de 4 de noviembre de 2013</w:t>
      </w:r>
      <w:r w:rsidRPr="008A084A">
        <w:rPr>
          <w:rFonts w:ascii="Cambria" w:hAnsi="Cambria"/>
          <w:sz w:val="20"/>
          <w:szCs w:val="20"/>
          <w:lang w:val="es-ES"/>
        </w:rPr>
        <w:t>, el 19 de agosto de 2013 se avocó a conocimiento del expediente sobre la desaparición del señor Guachalá</w:t>
      </w:r>
      <w:r w:rsidRPr="008A084A">
        <w:rPr>
          <w:rStyle w:val="FootnoteReference"/>
          <w:rFonts w:ascii="Cambria" w:hAnsi="Cambria"/>
          <w:sz w:val="20"/>
          <w:szCs w:val="20"/>
          <w:lang w:val="es-ES"/>
        </w:rPr>
        <w:footnoteReference w:id="159"/>
      </w:r>
      <w:r w:rsidRPr="008A084A">
        <w:rPr>
          <w:rFonts w:ascii="Cambria" w:hAnsi="Cambria"/>
          <w:sz w:val="20"/>
          <w:szCs w:val="20"/>
          <w:lang w:val="es-ES"/>
        </w:rPr>
        <w:t>.</w:t>
      </w:r>
      <w:r w:rsidR="00EF553F" w:rsidRPr="008A084A">
        <w:rPr>
          <w:rFonts w:ascii="Cambria" w:hAnsi="Cambria"/>
          <w:sz w:val="20"/>
          <w:szCs w:val="20"/>
          <w:lang w:val="es-ES"/>
        </w:rPr>
        <w:t xml:space="preserve"> El Fiscal indicó que solicitó a la Policía Nacional “realizar las investigaciones correspondientes” y enviar un informe sobre las diligencias realizadas en el plazo de 30 días</w:t>
      </w:r>
      <w:r w:rsidR="00EF553F" w:rsidRPr="008A084A">
        <w:rPr>
          <w:rStyle w:val="FootnoteReference"/>
          <w:rFonts w:ascii="Cambria" w:hAnsi="Cambria"/>
          <w:sz w:val="20"/>
          <w:szCs w:val="20"/>
          <w:lang w:val="es-ES"/>
        </w:rPr>
        <w:footnoteReference w:id="160"/>
      </w:r>
      <w:r w:rsidR="00EF553F" w:rsidRPr="008A084A">
        <w:rPr>
          <w:rFonts w:ascii="Cambria" w:hAnsi="Cambria"/>
          <w:sz w:val="20"/>
          <w:szCs w:val="20"/>
          <w:lang w:val="es-ES"/>
        </w:rPr>
        <w:t>. Asimismo, ordenó</w:t>
      </w:r>
      <w:r w:rsidR="00F14952" w:rsidRPr="008A084A">
        <w:rPr>
          <w:rFonts w:ascii="Cambria" w:hAnsi="Cambria"/>
          <w:sz w:val="20"/>
          <w:szCs w:val="20"/>
          <w:lang w:val="es-ES"/>
        </w:rPr>
        <w:t xml:space="preserve"> enviar oficios a </w:t>
      </w:r>
      <w:r w:rsidR="00943DC0" w:rsidRPr="008A084A">
        <w:rPr>
          <w:rFonts w:ascii="Cambria" w:hAnsi="Cambria"/>
          <w:sz w:val="20"/>
          <w:szCs w:val="20"/>
          <w:lang w:val="es-ES"/>
        </w:rPr>
        <w:t>diversas</w:t>
      </w:r>
      <w:r w:rsidR="00F14952" w:rsidRPr="008A084A">
        <w:rPr>
          <w:rFonts w:ascii="Cambria" w:hAnsi="Cambria"/>
          <w:sz w:val="20"/>
          <w:szCs w:val="20"/>
          <w:lang w:val="es-ES"/>
        </w:rPr>
        <w:t xml:space="preserve"> instituciones</w:t>
      </w:r>
      <w:r w:rsidR="00943DC0" w:rsidRPr="008A084A">
        <w:rPr>
          <w:rFonts w:ascii="Cambria" w:hAnsi="Cambria"/>
          <w:sz w:val="20"/>
          <w:szCs w:val="20"/>
          <w:lang w:val="es-ES"/>
        </w:rPr>
        <w:t>, entre las cuales se destacan</w:t>
      </w:r>
      <w:r w:rsidR="00F14952" w:rsidRPr="008A084A">
        <w:rPr>
          <w:rFonts w:ascii="Cambria" w:hAnsi="Cambria"/>
          <w:sz w:val="20"/>
          <w:szCs w:val="20"/>
          <w:lang w:val="es-ES"/>
        </w:rPr>
        <w:t xml:space="preserve">: i) </w:t>
      </w:r>
      <w:r w:rsidR="00943DC0" w:rsidRPr="008A084A">
        <w:rPr>
          <w:rFonts w:ascii="Cambria" w:hAnsi="Cambria"/>
          <w:sz w:val="20"/>
          <w:szCs w:val="20"/>
          <w:lang w:val="es-ES"/>
        </w:rPr>
        <w:t xml:space="preserve">la </w:t>
      </w:r>
      <w:r w:rsidR="00F14952" w:rsidRPr="008A084A">
        <w:rPr>
          <w:rFonts w:ascii="Cambria" w:hAnsi="Cambria"/>
          <w:sz w:val="20"/>
          <w:szCs w:val="20"/>
          <w:lang w:val="es-ES"/>
        </w:rPr>
        <w:t xml:space="preserve">OCNI-INTERPOL a fin de que emitan la “difusión amarilla de persona desaparecida” del señor Guachalá”; ii) </w:t>
      </w:r>
      <w:r w:rsidR="00943DC0" w:rsidRPr="008A084A">
        <w:rPr>
          <w:rFonts w:ascii="Cambria" w:hAnsi="Cambria"/>
          <w:sz w:val="20"/>
          <w:szCs w:val="20"/>
          <w:lang w:val="es-ES"/>
        </w:rPr>
        <w:t xml:space="preserve">la </w:t>
      </w:r>
      <w:r w:rsidR="00F14952" w:rsidRPr="008A084A">
        <w:rPr>
          <w:rFonts w:ascii="Cambria" w:hAnsi="Cambria"/>
          <w:sz w:val="20"/>
          <w:szCs w:val="20"/>
          <w:lang w:val="es-ES"/>
        </w:rPr>
        <w:t>Dirección Nacional de la Policía Judicial e Investigaciones a fin de que certificar si en algún lugar del país se encuentran cadáveres no identificados con características del señor Guachalá; iii)</w:t>
      </w:r>
      <w:r w:rsidR="00943DC0" w:rsidRPr="008A084A">
        <w:rPr>
          <w:rFonts w:ascii="Cambria" w:hAnsi="Cambria"/>
          <w:sz w:val="20"/>
          <w:szCs w:val="20"/>
          <w:lang w:val="es-ES"/>
        </w:rPr>
        <w:t xml:space="preserve"> el</w:t>
      </w:r>
      <w:r w:rsidR="00F14952" w:rsidRPr="008A084A">
        <w:rPr>
          <w:rFonts w:ascii="Cambria" w:hAnsi="Cambria"/>
          <w:sz w:val="20"/>
          <w:szCs w:val="20"/>
          <w:lang w:val="es-ES"/>
        </w:rPr>
        <w:t xml:space="preserve"> Ministerio de Salud Pública a fin de informar si en algún hospital psiquiátrico o albergue ha sido atendido o internado el señor Guachalá con posterioridad a enero de 2004</w:t>
      </w:r>
      <w:r w:rsidR="00943DC0" w:rsidRPr="008A084A">
        <w:rPr>
          <w:rStyle w:val="FootnoteReference"/>
          <w:rFonts w:ascii="Cambria" w:hAnsi="Cambria"/>
          <w:sz w:val="20"/>
          <w:szCs w:val="20"/>
          <w:lang w:val="es-ES"/>
        </w:rPr>
        <w:footnoteReference w:id="161"/>
      </w:r>
      <w:r w:rsidR="00F14952" w:rsidRPr="008A084A">
        <w:rPr>
          <w:rFonts w:ascii="Cambria" w:hAnsi="Cambria"/>
          <w:sz w:val="20"/>
          <w:szCs w:val="20"/>
          <w:lang w:val="es-ES"/>
        </w:rPr>
        <w:t>.</w:t>
      </w:r>
      <w:r w:rsidR="00003382" w:rsidRPr="008A084A">
        <w:rPr>
          <w:rFonts w:ascii="Cambria" w:hAnsi="Cambria"/>
          <w:sz w:val="20"/>
          <w:szCs w:val="20"/>
          <w:lang w:val="es-ES"/>
        </w:rPr>
        <w:t xml:space="preserve"> En dicho oficio el Fiscal sostuvo que está a la espera de la documentación requerida. </w:t>
      </w:r>
    </w:p>
    <w:p w:rsidR="005D289A" w:rsidRPr="008A084A" w:rsidRDefault="005D289A" w:rsidP="00003382">
      <w:pPr>
        <w:pStyle w:val="ColorfulList-Accent11"/>
        <w:ind w:left="0"/>
        <w:rPr>
          <w:rFonts w:ascii="Cambria" w:hAnsi="Cambria"/>
          <w:sz w:val="20"/>
          <w:szCs w:val="20"/>
          <w:lang w:val="es-ES"/>
        </w:rPr>
      </w:pPr>
    </w:p>
    <w:p w:rsidR="00943DC0" w:rsidRPr="008A084A" w:rsidRDefault="00943DC0" w:rsidP="00A97EBC">
      <w:pPr>
        <w:numPr>
          <w:ilvl w:val="0"/>
          <w:numId w:val="55"/>
        </w:numPr>
        <w:jc w:val="both"/>
        <w:rPr>
          <w:rFonts w:ascii="Cambria" w:hAnsi="Cambria"/>
          <w:sz w:val="20"/>
          <w:szCs w:val="20"/>
          <w:lang w:val="es-ES"/>
        </w:rPr>
      </w:pPr>
      <w:r w:rsidRPr="008A084A">
        <w:rPr>
          <w:rFonts w:ascii="Cambria" w:hAnsi="Cambria"/>
          <w:sz w:val="20"/>
          <w:szCs w:val="20"/>
          <w:lang w:val="es-ES"/>
        </w:rPr>
        <w:t xml:space="preserve">El </w:t>
      </w:r>
      <w:r w:rsidR="000836B5" w:rsidRPr="008A084A">
        <w:rPr>
          <w:rFonts w:ascii="Cambria" w:hAnsi="Cambria"/>
          <w:sz w:val="20"/>
          <w:szCs w:val="20"/>
          <w:lang w:val="es-ES"/>
        </w:rPr>
        <w:t>30 de octubre de 2013 el Fiscal envió una comunicación al Jefe de la Policía Judicial de Pichincha indicando que</w:t>
      </w:r>
      <w:r w:rsidR="005D289A" w:rsidRPr="008A084A">
        <w:rPr>
          <w:rFonts w:ascii="Cambria" w:hAnsi="Cambria"/>
          <w:sz w:val="20"/>
          <w:szCs w:val="20"/>
          <w:lang w:val="es-ES"/>
        </w:rPr>
        <w:t xml:space="preserve"> tomó conocimiento</w:t>
      </w:r>
      <w:r w:rsidR="002570D9" w:rsidRPr="008A084A">
        <w:rPr>
          <w:rFonts w:ascii="Cambria" w:hAnsi="Cambria"/>
          <w:sz w:val="20"/>
          <w:szCs w:val="20"/>
          <w:lang w:val="es-ES"/>
        </w:rPr>
        <w:t xml:space="preserve"> de</w:t>
      </w:r>
      <w:r w:rsidR="005D289A" w:rsidRPr="008A084A">
        <w:rPr>
          <w:rFonts w:ascii="Cambria" w:hAnsi="Cambria"/>
          <w:sz w:val="20"/>
          <w:szCs w:val="20"/>
          <w:lang w:val="es-ES"/>
        </w:rPr>
        <w:t xml:space="preserve"> que el investigador a cargo de este caso fue trasladado de unidad</w:t>
      </w:r>
      <w:r w:rsidR="004E5F84" w:rsidRPr="008A084A">
        <w:rPr>
          <w:rFonts w:ascii="Cambria" w:hAnsi="Cambria"/>
          <w:sz w:val="20"/>
          <w:szCs w:val="20"/>
          <w:lang w:val="es-ES"/>
        </w:rPr>
        <w:t xml:space="preserve">, por lo que </w:t>
      </w:r>
      <w:r w:rsidR="005D289A" w:rsidRPr="008A084A">
        <w:rPr>
          <w:rFonts w:ascii="Cambria" w:hAnsi="Cambria"/>
          <w:sz w:val="20"/>
          <w:szCs w:val="20"/>
          <w:lang w:val="es-ES"/>
        </w:rPr>
        <w:t>resultaba necesario designar a otro policía para continuar con la investigación</w:t>
      </w:r>
      <w:r w:rsidR="005D289A" w:rsidRPr="008A084A">
        <w:rPr>
          <w:rStyle w:val="FootnoteReference"/>
          <w:rFonts w:ascii="Cambria" w:hAnsi="Cambria"/>
          <w:sz w:val="20"/>
          <w:szCs w:val="20"/>
          <w:lang w:val="es-ES"/>
        </w:rPr>
        <w:footnoteReference w:id="162"/>
      </w:r>
      <w:r w:rsidR="005D289A" w:rsidRPr="008A084A">
        <w:rPr>
          <w:rFonts w:ascii="Cambria" w:hAnsi="Cambria"/>
          <w:sz w:val="20"/>
          <w:szCs w:val="20"/>
          <w:lang w:val="es-ES"/>
        </w:rPr>
        <w:t>.</w:t>
      </w:r>
    </w:p>
    <w:p w:rsidR="00B27E01" w:rsidRPr="008A084A" w:rsidRDefault="00B27E01" w:rsidP="00B27E01">
      <w:pPr>
        <w:pStyle w:val="ColorfulList-Accent11"/>
        <w:rPr>
          <w:rFonts w:ascii="Cambria" w:hAnsi="Cambria"/>
          <w:sz w:val="20"/>
          <w:szCs w:val="20"/>
          <w:lang w:val="es-ES"/>
        </w:rPr>
      </w:pPr>
    </w:p>
    <w:p w:rsidR="007F753C" w:rsidRPr="008A084A" w:rsidRDefault="002B38EE" w:rsidP="00A97EBC">
      <w:pPr>
        <w:numPr>
          <w:ilvl w:val="0"/>
          <w:numId w:val="55"/>
        </w:numPr>
        <w:jc w:val="both"/>
        <w:rPr>
          <w:rFonts w:ascii="Cambria" w:hAnsi="Cambria"/>
          <w:sz w:val="20"/>
          <w:szCs w:val="20"/>
          <w:lang w:val="es-ES"/>
        </w:rPr>
      </w:pPr>
      <w:r w:rsidRPr="008A084A">
        <w:rPr>
          <w:rFonts w:ascii="Cambria" w:hAnsi="Cambria"/>
          <w:sz w:val="20"/>
          <w:szCs w:val="20"/>
          <w:lang w:val="es-ES"/>
        </w:rPr>
        <w:t>En enero de 201</w:t>
      </w:r>
      <w:r w:rsidR="007F753C" w:rsidRPr="008A084A">
        <w:rPr>
          <w:rFonts w:ascii="Cambria" w:hAnsi="Cambria"/>
          <w:sz w:val="20"/>
          <w:szCs w:val="20"/>
          <w:lang w:val="es-ES"/>
        </w:rPr>
        <w:t>4 el Fiscal solicitó</w:t>
      </w:r>
      <w:r w:rsidR="00143EB5" w:rsidRPr="008A084A">
        <w:rPr>
          <w:rFonts w:ascii="Cambria" w:hAnsi="Cambria"/>
          <w:sz w:val="20"/>
          <w:szCs w:val="20"/>
          <w:lang w:val="es-ES"/>
        </w:rPr>
        <w:t xml:space="preserve"> la realización de </w:t>
      </w:r>
      <w:r w:rsidR="007F753C" w:rsidRPr="008A084A">
        <w:rPr>
          <w:rFonts w:ascii="Cambria" w:hAnsi="Cambria"/>
          <w:sz w:val="20"/>
          <w:szCs w:val="20"/>
          <w:lang w:val="es-ES"/>
        </w:rPr>
        <w:t xml:space="preserve">diversas diligencias, tales como i) la toma de declaraciones de personal del hospital; ii) la comparecencia de la señora Chimbó; </w:t>
      </w:r>
      <w:r w:rsidR="001D0FC6" w:rsidRPr="008A084A">
        <w:rPr>
          <w:rFonts w:ascii="Cambria" w:hAnsi="Cambria"/>
          <w:sz w:val="20"/>
          <w:szCs w:val="20"/>
          <w:lang w:val="es-ES"/>
        </w:rPr>
        <w:t xml:space="preserve">y </w:t>
      </w:r>
      <w:r w:rsidR="007F753C" w:rsidRPr="008A084A">
        <w:rPr>
          <w:rFonts w:ascii="Cambria" w:hAnsi="Cambria"/>
          <w:sz w:val="20"/>
          <w:szCs w:val="20"/>
          <w:lang w:val="es-ES"/>
        </w:rPr>
        <w:t>iii) el cotejo de ADN de la señora Chimbó con la de cadáveres no identificados en Pichincha</w:t>
      </w:r>
      <w:r w:rsidR="007F753C" w:rsidRPr="008A084A">
        <w:rPr>
          <w:rStyle w:val="FootnoteReference"/>
          <w:rFonts w:ascii="Cambria" w:hAnsi="Cambria"/>
          <w:sz w:val="20"/>
          <w:szCs w:val="20"/>
          <w:lang w:val="es-ES"/>
        </w:rPr>
        <w:footnoteReference w:id="163"/>
      </w:r>
      <w:r w:rsidR="007F753C" w:rsidRPr="008A084A">
        <w:rPr>
          <w:rFonts w:ascii="Cambria" w:hAnsi="Cambria"/>
          <w:sz w:val="20"/>
          <w:szCs w:val="20"/>
          <w:lang w:val="es-ES"/>
        </w:rPr>
        <w:t>.</w:t>
      </w:r>
    </w:p>
    <w:p w:rsidR="001D0FC6" w:rsidRPr="008A084A" w:rsidRDefault="001D0FC6" w:rsidP="001D0FC6">
      <w:pPr>
        <w:pStyle w:val="ColorfulList-Accent11"/>
        <w:rPr>
          <w:rFonts w:ascii="Cambria" w:hAnsi="Cambria"/>
          <w:sz w:val="20"/>
          <w:szCs w:val="20"/>
          <w:lang w:val="es-ES"/>
        </w:rPr>
      </w:pPr>
    </w:p>
    <w:p w:rsidR="001D0FC6" w:rsidRPr="008A084A" w:rsidRDefault="002B38EE" w:rsidP="001D0FC6">
      <w:pPr>
        <w:numPr>
          <w:ilvl w:val="0"/>
          <w:numId w:val="55"/>
        </w:numPr>
        <w:jc w:val="both"/>
        <w:rPr>
          <w:rFonts w:ascii="Cambria" w:hAnsi="Cambria"/>
          <w:sz w:val="20"/>
          <w:szCs w:val="20"/>
          <w:lang w:val="es-ES"/>
        </w:rPr>
      </w:pPr>
      <w:r w:rsidRPr="008A084A">
        <w:rPr>
          <w:rFonts w:ascii="Cambria" w:hAnsi="Cambria"/>
          <w:sz w:val="20"/>
          <w:szCs w:val="20"/>
          <w:lang w:val="es-ES"/>
        </w:rPr>
        <w:t>El 21 de enero de 201</w:t>
      </w:r>
      <w:r w:rsidR="001D0FC6" w:rsidRPr="008A084A">
        <w:rPr>
          <w:rFonts w:ascii="Cambria" w:hAnsi="Cambria"/>
          <w:sz w:val="20"/>
          <w:szCs w:val="20"/>
          <w:lang w:val="es-ES"/>
        </w:rPr>
        <w:t>4 el jefe de la OCNI-INTERPOL remitió al fiscal la notificación de difusión amarilla del señor Guachalá</w:t>
      </w:r>
      <w:r w:rsidR="00B96D9D" w:rsidRPr="008A084A">
        <w:rPr>
          <w:rFonts w:ascii="Cambria" w:hAnsi="Cambria"/>
          <w:sz w:val="20"/>
          <w:szCs w:val="20"/>
          <w:lang w:val="es-ES"/>
        </w:rPr>
        <w:t xml:space="preserve">, a fin de </w:t>
      </w:r>
      <w:r w:rsidR="002D3E9F" w:rsidRPr="008A084A">
        <w:rPr>
          <w:rFonts w:ascii="Cambria" w:hAnsi="Cambria"/>
          <w:sz w:val="20"/>
          <w:szCs w:val="20"/>
          <w:lang w:val="es-ES"/>
        </w:rPr>
        <w:t>difundir la desaparición de una persona a nivel internacional</w:t>
      </w:r>
      <w:r w:rsidR="002D3E9F" w:rsidRPr="008A084A">
        <w:rPr>
          <w:rStyle w:val="FootnoteReference"/>
          <w:rFonts w:ascii="Cambria" w:hAnsi="Cambria"/>
          <w:sz w:val="20"/>
          <w:szCs w:val="20"/>
          <w:lang w:val="es-ES"/>
        </w:rPr>
        <w:footnoteReference w:id="164"/>
      </w:r>
      <w:r w:rsidR="002D3E9F" w:rsidRPr="008A084A">
        <w:rPr>
          <w:rFonts w:ascii="Cambria" w:hAnsi="Cambria"/>
          <w:sz w:val="20"/>
          <w:szCs w:val="20"/>
          <w:lang w:val="es-ES"/>
        </w:rPr>
        <w:t>.</w:t>
      </w:r>
    </w:p>
    <w:p w:rsidR="002D3E9F" w:rsidRPr="008A084A" w:rsidRDefault="002D3E9F" w:rsidP="002D3E9F">
      <w:pPr>
        <w:pStyle w:val="ColorfulList-Accent11"/>
        <w:rPr>
          <w:rFonts w:ascii="Cambria" w:hAnsi="Cambria"/>
          <w:sz w:val="20"/>
          <w:szCs w:val="20"/>
          <w:lang w:val="es-ES"/>
        </w:rPr>
      </w:pPr>
    </w:p>
    <w:p w:rsidR="002D3E9F" w:rsidRPr="008A084A" w:rsidRDefault="00C40420" w:rsidP="001D0FC6">
      <w:pPr>
        <w:numPr>
          <w:ilvl w:val="0"/>
          <w:numId w:val="55"/>
        </w:numPr>
        <w:jc w:val="both"/>
        <w:rPr>
          <w:rFonts w:ascii="Cambria" w:hAnsi="Cambria"/>
          <w:sz w:val="20"/>
          <w:szCs w:val="20"/>
          <w:lang w:val="es-ES"/>
        </w:rPr>
      </w:pPr>
      <w:r w:rsidRPr="008A084A">
        <w:rPr>
          <w:rFonts w:ascii="Cambria" w:hAnsi="Cambria"/>
          <w:sz w:val="20"/>
          <w:szCs w:val="20"/>
          <w:lang w:val="es-ES"/>
        </w:rPr>
        <w:t>Se cuenta con información en cuanto a que e</w:t>
      </w:r>
      <w:r w:rsidR="002B38EE" w:rsidRPr="008A084A">
        <w:rPr>
          <w:rFonts w:ascii="Cambria" w:hAnsi="Cambria"/>
          <w:sz w:val="20"/>
          <w:szCs w:val="20"/>
          <w:lang w:val="es-ES"/>
        </w:rPr>
        <w:t>ntre abril y mayo de 201</w:t>
      </w:r>
      <w:r w:rsidR="002D3E9F" w:rsidRPr="008A084A">
        <w:rPr>
          <w:rFonts w:ascii="Cambria" w:hAnsi="Cambria"/>
          <w:sz w:val="20"/>
          <w:szCs w:val="20"/>
          <w:lang w:val="es-ES"/>
        </w:rPr>
        <w:t>4 que se realizaron búsquedas a albergues, y pega de afiches</w:t>
      </w:r>
      <w:r w:rsidR="002D3E9F" w:rsidRPr="008A084A">
        <w:rPr>
          <w:rStyle w:val="FootnoteReference"/>
          <w:rFonts w:ascii="Cambria" w:hAnsi="Cambria"/>
          <w:sz w:val="20"/>
          <w:szCs w:val="20"/>
          <w:lang w:val="es-ES"/>
        </w:rPr>
        <w:footnoteReference w:id="165"/>
      </w:r>
      <w:r w:rsidR="002D3E9F" w:rsidRPr="008A084A">
        <w:rPr>
          <w:rFonts w:ascii="Cambria" w:hAnsi="Cambria"/>
          <w:sz w:val="20"/>
          <w:szCs w:val="20"/>
          <w:lang w:val="es-ES"/>
        </w:rPr>
        <w:t>. En junio de 20</w:t>
      </w:r>
      <w:r w:rsidR="00F26708" w:rsidRPr="008A084A">
        <w:rPr>
          <w:rFonts w:ascii="Cambria" w:hAnsi="Cambria"/>
          <w:sz w:val="20"/>
          <w:szCs w:val="20"/>
          <w:lang w:val="es-ES"/>
        </w:rPr>
        <w:t>1</w:t>
      </w:r>
      <w:r w:rsidR="002D3E9F" w:rsidRPr="008A084A">
        <w:rPr>
          <w:rFonts w:ascii="Cambria" w:hAnsi="Cambria"/>
          <w:sz w:val="20"/>
          <w:szCs w:val="20"/>
          <w:lang w:val="es-ES"/>
        </w:rPr>
        <w:t>4 la fiscal de la Unidad Especializada en Investigación de Personas Desaparecidas realizó</w:t>
      </w:r>
      <w:r w:rsidR="00B65B57" w:rsidRPr="008A084A">
        <w:rPr>
          <w:rFonts w:ascii="Cambria" w:hAnsi="Cambria"/>
          <w:sz w:val="20"/>
          <w:szCs w:val="20"/>
          <w:lang w:val="es-ES"/>
        </w:rPr>
        <w:t xml:space="preserve"> un allanamiento en el hospital a efectos de recabar documentación relevante con el presente caso</w:t>
      </w:r>
      <w:r w:rsidR="00B65B57" w:rsidRPr="008A084A">
        <w:rPr>
          <w:rStyle w:val="FootnoteReference"/>
          <w:rFonts w:ascii="Cambria" w:hAnsi="Cambria"/>
          <w:sz w:val="20"/>
          <w:szCs w:val="20"/>
          <w:lang w:val="es-ES"/>
        </w:rPr>
        <w:footnoteReference w:id="166"/>
      </w:r>
      <w:r w:rsidR="002B38EE" w:rsidRPr="008A084A">
        <w:rPr>
          <w:rFonts w:ascii="Cambria" w:hAnsi="Cambria"/>
          <w:sz w:val="20"/>
          <w:szCs w:val="20"/>
          <w:lang w:val="es-ES"/>
        </w:rPr>
        <w:t>. En julio de 201</w:t>
      </w:r>
      <w:r w:rsidR="00B65B57" w:rsidRPr="008A084A">
        <w:rPr>
          <w:rFonts w:ascii="Cambria" w:hAnsi="Cambria"/>
          <w:sz w:val="20"/>
          <w:szCs w:val="20"/>
          <w:lang w:val="es-ES"/>
        </w:rPr>
        <w:t>4 la fiscal ordenó la realización de diligencias tales como i) determinar si existen compras de boleto de transporte terrestre a nombre del señor Guachalá; ii) cotejar las huellas dactilares registradas del señor Guachalá con cadáveres no identificados en enero de 2004; entre otras</w:t>
      </w:r>
      <w:r w:rsidR="00B65B57" w:rsidRPr="008A084A">
        <w:rPr>
          <w:rStyle w:val="FootnoteReference"/>
          <w:rFonts w:ascii="Cambria" w:hAnsi="Cambria"/>
          <w:sz w:val="20"/>
          <w:szCs w:val="20"/>
          <w:lang w:val="es-ES"/>
        </w:rPr>
        <w:footnoteReference w:id="167"/>
      </w:r>
      <w:r w:rsidR="00B65B57" w:rsidRPr="008A084A">
        <w:rPr>
          <w:rFonts w:ascii="Cambria" w:hAnsi="Cambria"/>
          <w:sz w:val="20"/>
          <w:szCs w:val="20"/>
          <w:lang w:val="es-ES"/>
        </w:rPr>
        <w:t xml:space="preserve">. </w:t>
      </w:r>
    </w:p>
    <w:p w:rsidR="00B358FB" w:rsidRPr="008A084A" w:rsidRDefault="00B358FB" w:rsidP="00B358FB">
      <w:pPr>
        <w:pStyle w:val="ColorfulList-Accent11"/>
        <w:rPr>
          <w:rFonts w:ascii="Cambria" w:hAnsi="Cambria"/>
          <w:sz w:val="20"/>
          <w:szCs w:val="20"/>
          <w:lang w:val="es-ES"/>
        </w:rPr>
      </w:pPr>
    </w:p>
    <w:p w:rsidR="0016477E" w:rsidRPr="008A084A" w:rsidRDefault="002B38EE" w:rsidP="0016477E">
      <w:pPr>
        <w:numPr>
          <w:ilvl w:val="0"/>
          <w:numId w:val="55"/>
        </w:numPr>
        <w:jc w:val="both"/>
        <w:rPr>
          <w:rFonts w:ascii="Cambria" w:hAnsi="Cambria"/>
          <w:sz w:val="20"/>
          <w:szCs w:val="20"/>
          <w:lang w:val="es-ES"/>
        </w:rPr>
      </w:pPr>
      <w:r w:rsidRPr="008A084A">
        <w:rPr>
          <w:rFonts w:ascii="Cambria" w:hAnsi="Cambria"/>
          <w:sz w:val="20"/>
          <w:szCs w:val="20"/>
          <w:lang w:val="es-ES"/>
        </w:rPr>
        <w:t>En septiembre de 201</w:t>
      </w:r>
      <w:r w:rsidR="00B358FB" w:rsidRPr="008A084A">
        <w:rPr>
          <w:rFonts w:ascii="Cambria" w:hAnsi="Cambria"/>
          <w:sz w:val="20"/>
          <w:szCs w:val="20"/>
          <w:lang w:val="es-ES"/>
        </w:rPr>
        <w:t xml:space="preserve">4 la fiscal solicitó i) oficiar a la trabajadora social de la Fiscalía General del Estado la realización de un examen de “valoración de entorno social y familiar”; y ii) </w:t>
      </w:r>
      <w:proofErr w:type="spellStart"/>
      <w:r w:rsidR="00B358FB" w:rsidRPr="008A084A">
        <w:rPr>
          <w:rFonts w:ascii="Cambria" w:hAnsi="Cambria"/>
          <w:sz w:val="20"/>
          <w:szCs w:val="20"/>
          <w:lang w:val="es-ES"/>
        </w:rPr>
        <w:t>recepcionar</w:t>
      </w:r>
      <w:proofErr w:type="spellEnd"/>
      <w:r w:rsidR="00B358FB" w:rsidRPr="008A084A">
        <w:rPr>
          <w:rFonts w:ascii="Cambria" w:hAnsi="Cambria"/>
          <w:sz w:val="20"/>
          <w:szCs w:val="20"/>
          <w:lang w:val="es-ES"/>
        </w:rPr>
        <w:t xml:space="preserve"> declaraciones de los médicos del hospital, entre otras diligencias</w:t>
      </w:r>
      <w:r w:rsidR="00B358FB" w:rsidRPr="008A084A">
        <w:rPr>
          <w:rStyle w:val="FootnoteReference"/>
          <w:rFonts w:ascii="Cambria" w:hAnsi="Cambria"/>
          <w:sz w:val="20"/>
          <w:szCs w:val="20"/>
          <w:lang w:val="es-ES"/>
        </w:rPr>
        <w:footnoteReference w:id="168"/>
      </w:r>
      <w:r w:rsidR="00B358FB" w:rsidRPr="008A084A">
        <w:rPr>
          <w:rFonts w:ascii="Cambria" w:hAnsi="Cambria"/>
          <w:sz w:val="20"/>
          <w:szCs w:val="20"/>
          <w:lang w:val="es-ES"/>
        </w:rPr>
        <w:t>.</w:t>
      </w:r>
      <w:r w:rsidR="002F616C" w:rsidRPr="008A084A">
        <w:rPr>
          <w:rFonts w:ascii="Cambria" w:hAnsi="Cambria"/>
          <w:sz w:val="20"/>
          <w:szCs w:val="20"/>
          <w:lang w:val="es-ES"/>
        </w:rPr>
        <w:t xml:space="preserve"> En enero de 2015 la fiscal solicitó </w:t>
      </w:r>
      <w:proofErr w:type="spellStart"/>
      <w:r w:rsidR="002F616C" w:rsidRPr="008A084A">
        <w:rPr>
          <w:rFonts w:ascii="Cambria" w:hAnsi="Cambria"/>
          <w:sz w:val="20"/>
          <w:szCs w:val="20"/>
          <w:lang w:val="es-ES"/>
        </w:rPr>
        <w:t>recepcionar</w:t>
      </w:r>
      <w:proofErr w:type="spellEnd"/>
      <w:r w:rsidR="002F616C" w:rsidRPr="008A084A">
        <w:rPr>
          <w:rFonts w:ascii="Cambria" w:hAnsi="Cambria"/>
          <w:sz w:val="20"/>
          <w:szCs w:val="20"/>
          <w:lang w:val="es-ES"/>
        </w:rPr>
        <w:t xml:space="preserve"> declaraciones de las auxiliares de enfermería del hospital</w:t>
      </w:r>
      <w:r w:rsidR="002F616C" w:rsidRPr="008A084A">
        <w:rPr>
          <w:rStyle w:val="FootnoteReference"/>
          <w:rFonts w:ascii="Cambria" w:hAnsi="Cambria"/>
          <w:sz w:val="20"/>
          <w:szCs w:val="20"/>
          <w:lang w:val="es-ES"/>
        </w:rPr>
        <w:footnoteReference w:id="169"/>
      </w:r>
      <w:r w:rsidR="002F616C" w:rsidRPr="008A084A">
        <w:rPr>
          <w:rFonts w:ascii="Cambria" w:hAnsi="Cambria"/>
          <w:sz w:val="20"/>
          <w:szCs w:val="20"/>
          <w:lang w:val="es-ES"/>
        </w:rPr>
        <w:t xml:space="preserve">. En febrero de 2015 la fiscal requirió a la Dirección Nacional de Delitos Contra la Vida, Muertes Violentas, Desapariciones, Extorsión y Secuestros (DINASED) revisar en el Departamento de Medicina Legal de Pichincha los libros de levantamiento de </w:t>
      </w:r>
      <w:r w:rsidR="002F616C" w:rsidRPr="008A084A">
        <w:rPr>
          <w:rFonts w:ascii="Cambria" w:hAnsi="Cambria"/>
          <w:sz w:val="20"/>
          <w:szCs w:val="20"/>
          <w:lang w:val="es-ES"/>
        </w:rPr>
        <w:lastRenderedPageBreak/>
        <w:t>cadáveres desde el 2004 y verificar si existen similitudes entre los cuerpos no identificados y el señor Guachalá</w:t>
      </w:r>
      <w:r w:rsidR="002F616C" w:rsidRPr="008A084A">
        <w:rPr>
          <w:rStyle w:val="FootnoteReference"/>
          <w:rFonts w:ascii="Cambria" w:hAnsi="Cambria"/>
          <w:sz w:val="20"/>
          <w:szCs w:val="20"/>
          <w:lang w:val="es-ES"/>
        </w:rPr>
        <w:footnoteReference w:id="170"/>
      </w:r>
      <w:r w:rsidR="002F616C" w:rsidRPr="008A084A">
        <w:rPr>
          <w:rFonts w:ascii="Cambria" w:hAnsi="Cambria"/>
          <w:sz w:val="20"/>
          <w:szCs w:val="20"/>
          <w:lang w:val="es-ES"/>
        </w:rPr>
        <w:t>.</w:t>
      </w:r>
    </w:p>
    <w:p w:rsidR="0016477E" w:rsidRPr="008A084A" w:rsidRDefault="0016477E" w:rsidP="0016477E">
      <w:pPr>
        <w:pStyle w:val="ColorfulList-Accent11"/>
        <w:rPr>
          <w:rFonts w:ascii="Cambria" w:hAnsi="Cambria"/>
          <w:sz w:val="20"/>
          <w:szCs w:val="20"/>
          <w:lang w:val="es-ES"/>
        </w:rPr>
      </w:pPr>
    </w:p>
    <w:p w:rsidR="009B0B37" w:rsidRPr="008A084A" w:rsidRDefault="0016477E" w:rsidP="0016477E">
      <w:pPr>
        <w:numPr>
          <w:ilvl w:val="0"/>
          <w:numId w:val="55"/>
        </w:numPr>
        <w:jc w:val="both"/>
        <w:rPr>
          <w:rFonts w:ascii="Cambria" w:hAnsi="Cambria"/>
          <w:sz w:val="20"/>
          <w:szCs w:val="20"/>
          <w:lang w:val="es-ES"/>
        </w:rPr>
      </w:pPr>
      <w:r w:rsidRPr="008A084A">
        <w:rPr>
          <w:rFonts w:ascii="Cambria" w:hAnsi="Cambria"/>
          <w:sz w:val="20"/>
          <w:szCs w:val="20"/>
          <w:lang w:val="es-ES"/>
        </w:rPr>
        <w:t>En junio de 2015 la fiscal requiri</w:t>
      </w:r>
      <w:r w:rsidR="00133619" w:rsidRPr="008A084A">
        <w:rPr>
          <w:rFonts w:ascii="Cambria" w:hAnsi="Cambria"/>
          <w:sz w:val="20"/>
          <w:szCs w:val="20"/>
          <w:lang w:val="es-ES"/>
        </w:rPr>
        <w:t>ó a los comandantes de la Policía de diversos distritos realizar un censo de personas indigentes, mendigos, alcohólicos y “demás personas que deambulan por las calles”</w:t>
      </w:r>
      <w:r w:rsidR="00133619" w:rsidRPr="008A084A">
        <w:rPr>
          <w:rStyle w:val="FootnoteReference"/>
          <w:rFonts w:ascii="Cambria" w:hAnsi="Cambria"/>
          <w:sz w:val="20"/>
          <w:szCs w:val="20"/>
          <w:lang w:val="es-ES"/>
        </w:rPr>
        <w:footnoteReference w:id="171"/>
      </w:r>
      <w:r w:rsidR="00133619" w:rsidRPr="008A084A">
        <w:rPr>
          <w:rFonts w:ascii="Cambria" w:hAnsi="Cambria"/>
          <w:sz w:val="20"/>
          <w:szCs w:val="20"/>
          <w:lang w:val="es-ES"/>
        </w:rPr>
        <w:t>.</w:t>
      </w:r>
      <w:r w:rsidRPr="008A084A">
        <w:rPr>
          <w:rFonts w:ascii="Cambria" w:hAnsi="Cambria"/>
          <w:sz w:val="20"/>
          <w:szCs w:val="20"/>
          <w:lang w:val="es-ES"/>
        </w:rPr>
        <w:t xml:space="preserve"> </w:t>
      </w:r>
      <w:r w:rsidR="009B0B37" w:rsidRPr="008A084A">
        <w:rPr>
          <w:rFonts w:ascii="Cambria" w:hAnsi="Cambria"/>
          <w:sz w:val="20"/>
          <w:szCs w:val="20"/>
          <w:lang w:val="es-ES"/>
        </w:rPr>
        <w:t>Uno de los comandantes indicó que “no se puede atender el pedido (</w:t>
      </w:r>
      <w:proofErr w:type="gramStart"/>
      <w:r w:rsidR="009B0B37" w:rsidRPr="008A084A">
        <w:rPr>
          <w:rFonts w:ascii="Cambria" w:hAnsi="Cambria"/>
          <w:sz w:val="20"/>
          <w:szCs w:val="20"/>
          <w:lang w:val="es-ES"/>
        </w:rPr>
        <w:t>..)</w:t>
      </w:r>
      <w:proofErr w:type="gramEnd"/>
      <w:r w:rsidR="009B0B37" w:rsidRPr="008A084A">
        <w:rPr>
          <w:rFonts w:ascii="Cambria" w:hAnsi="Cambria"/>
          <w:sz w:val="20"/>
          <w:szCs w:val="20"/>
          <w:lang w:val="es-ES"/>
        </w:rPr>
        <w:t xml:space="preserve"> toda vez que los vehículos no se encuentran disponibles por encontrarse 3 vehículos con daños”</w:t>
      </w:r>
      <w:r w:rsidR="009B0B37" w:rsidRPr="008A084A">
        <w:rPr>
          <w:rStyle w:val="FootnoteReference"/>
          <w:rFonts w:ascii="Cambria" w:hAnsi="Cambria"/>
          <w:sz w:val="20"/>
          <w:szCs w:val="20"/>
          <w:lang w:val="es-ES"/>
        </w:rPr>
        <w:footnoteReference w:id="172"/>
      </w:r>
      <w:r w:rsidR="009B0B37" w:rsidRPr="008A084A">
        <w:rPr>
          <w:rFonts w:ascii="Cambria" w:hAnsi="Cambria"/>
          <w:sz w:val="20"/>
          <w:szCs w:val="20"/>
          <w:lang w:val="es-ES"/>
        </w:rPr>
        <w:t>.</w:t>
      </w:r>
    </w:p>
    <w:p w:rsidR="009B0B37" w:rsidRPr="008A084A" w:rsidRDefault="009B0B37" w:rsidP="009B0B37">
      <w:pPr>
        <w:pStyle w:val="ColorfulList-Accent11"/>
        <w:rPr>
          <w:rFonts w:ascii="Cambria" w:hAnsi="Cambria"/>
          <w:sz w:val="20"/>
          <w:szCs w:val="20"/>
          <w:lang w:val="es-ES"/>
        </w:rPr>
      </w:pPr>
    </w:p>
    <w:p w:rsidR="0016477E" w:rsidRPr="008A084A" w:rsidRDefault="000371C7" w:rsidP="0016477E">
      <w:pPr>
        <w:numPr>
          <w:ilvl w:val="0"/>
          <w:numId w:val="55"/>
        </w:numPr>
        <w:jc w:val="both"/>
        <w:rPr>
          <w:rFonts w:ascii="Cambria" w:hAnsi="Cambria"/>
          <w:sz w:val="20"/>
          <w:szCs w:val="20"/>
          <w:lang w:val="es-ES"/>
        </w:rPr>
      </w:pPr>
      <w:r w:rsidRPr="008A084A">
        <w:rPr>
          <w:rFonts w:ascii="Cambria" w:hAnsi="Cambria"/>
          <w:sz w:val="20"/>
          <w:szCs w:val="20"/>
          <w:lang w:val="es-ES"/>
        </w:rPr>
        <w:t xml:space="preserve">El 16 de julio de 2015 la fiscal recibió un oficio del jefe de la Unidad de Desaparición de Personas </w:t>
      </w:r>
      <w:r w:rsidR="00B235A4" w:rsidRPr="008A084A">
        <w:rPr>
          <w:rFonts w:ascii="Cambria" w:hAnsi="Cambria"/>
          <w:sz w:val="20"/>
          <w:szCs w:val="20"/>
          <w:lang w:val="es-ES"/>
        </w:rPr>
        <w:t xml:space="preserve">respecto de la toma de </w:t>
      </w:r>
      <w:r w:rsidRPr="008A084A">
        <w:rPr>
          <w:rFonts w:ascii="Cambria" w:hAnsi="Cambria"/>
          <w:sz w:val="20"/>
          <w:szCs w:val="20"/>
          <w:lang w:val="es-ES"/>
        </w:rPr>
        <w:t>declaración de</w:t>
      </w:r>
      <w:r w:rsidR="00B235A4" w:rsidRPr="008A084A">
        <w:rPr>
          <w:rFonts w:ascii="Cambria" w:hAnsi="Cambria"/>
          <w:sz w:val="20"/>
          <w:szCs w:val="20"/>
          <w:lang w:val="es-ES"/>
        </w:rPr>
        <w:t xml:space="preserve"> Andrés, </w:t>
      </w:r>
      <w:r w:rsidRPr="008A084A">
        <w:rPr>
          <w:rFonts w:ascii="Cambria" w:hAnsi="Cambria"/>
          <w:sz w:val="20"/>
          <w:szCs w:val="20"/>
          <w:lang w:val="es-ES"/>
        </w:rPr>
        <w:t>hermano del señor Guachalá, quien indicó lo siguiente:</w:t>
      </w:r>
    </w:p>
    <w:p w:rsidR="000371C7" w:rsidRPr="008A084A" w:rsidRDefault="000371C7" w:rsidP="00FD7742">
      <w:pPr>
        <w:pStyle w:val="ColorfulList-Accent11"/>
        <w:rPr>
          <w:rFonts w:ascii="Cambria" w:hAnsi="Cambria"/>
          <w:sz w:val="20"/>
          <w:szCs w:val="20"/>
          <w:lang w:val="es-ES"/>
        </w:rPr>
      </w:pPr>
    </w:p>
    <w:p w:rsidR="000371C7" w:rsidRPr="008A084A" w:rsidRDefault="00250C17" w:rsidP="000371C7">
      <w:pPr>
        <w:ind w:left="720" w:right="720"/>
        <w:jc w:val="both"/>
        <w:rPr>
          <w:rFonts w:ascii="Cambria" w:hAnsi="Cambria"/>
          <w:sz w:val="20"/>
          <w:szCs w:val="20"/>
          <w:lang w:val="es-ES"/>
        </w:rPr>
      </w:pPr>
      <w:r w:rsidRPr="008A084A">
        <w:rPr>
          <w:rFonts w:ascii="Cambria" w:hAnsi="Cambria"/>
          <w:sz w:val="20"/>
          <w:szCs w:val="20"/>
          <w:lang w:val="es-ES"/>
        </w:rPr>
        <w:t>(…) manifestó que un sujet</w:t>
      </w:r>
      <w:r w:rsidR="000371C7" w:rsidRPr="008A084A">
        <w:rPr>
          <w:rFonts w:ascii="Cambria" w:hAnsi="Cambria"/>
          <w:sz w:val="20"/>
          <w:szCs w:val="20"/>
          <w:lang w:val="es-ES"/>
        </w:rPr>
        <w:t>o alias “Guatas” le había visto hace algunos años atrás</w:t>
      </w:r>
      <w:r w:rsidR="008D5E06" w:rsidRPr="008A084A">
        <w:rPr>
          <w:rFonts w:ascii="Cambria" w:hAnsi="Cambria"/>
          <w:sz w:val="20"/>
          <w:szCs w:val="20"/>
          <w:lang w:val="es-ES"/>
        </w:rPr>
        <w:t xml:space="preserve"> (2012)</w:t>
      </w:r>
      <w:r w:rsidR="000371C7" w:rsidRPr="008A084A">
        <w:rPr>
          <w:rFonts w:ascii="Cambria" w:hAnsi="Cambria"/>
          <w:sz w:val="20"/>
          <w:szCs w:val="20"/>
          <w:lang w:val="es-ES"/>
        </w:rPr>
        <w:t xml:space="preserve"> a Luis Guachalá y que dicha información le habría proporcionado a su madre la señora Zoila Chimbó Jarro, quien estaba a cargo de la investigación por la presunta desaparición de Luis</w:t>
      </w:r>
      <w:r w:rsidR="009B0B37" w:rsidRPr="008A084A">
        <w:rPr>
          <w:rStyle w:val="FootnoteReference"/>
          <w:rFonts w:ascii="Cambria" w:hAnsi="Cambria"/>
          <w:sz w:val="20"/>
          <w:szCs w:val="20"/>
          <w:lang w:val="es-ES"/>
        </w:rPr>
        <w:footnoteReference w:id="173"/>
      </w:r>
      <w:r w:rsidR="000371C7" w:rsidRPr="008A084A">
        <w:rPr>
          <w:rFonts w:ascii="Cambria" w:hAnsi="Cambria"/>
          <w:sz w:val="20"/>
          <w:szCs w:val="20"/>
          <w:lang w:val="es-ES"/>
        </w:rPr>
        <w:t>.</w:t>
      </w:r>
    </w:p>
    <w:p w:rsidR="00DB26F8" w:rsidRPr="008A084A" w:rsidRDefault="00DB26F8" w:rsidP="002F616C">
      <w:pPr>
        <w:pStyle w:val="ColorfulList-Accent11"/>
        <w:ind w:left="0"/>
        <w:rPr>
          <w:rFonts w:ascii="Cambria" w:hAnsi="Cambria"/>
          <w:sz w:val="20"/>
          <w:szCs w:val="20"/>
          <w:lang w:val="es-ES"/>
        </w:rPr>
      </w:pPr>
    </w:p>
    <w:p w:rsidR="008D5E06" w:rsidRPr="008A084A" w:rsidRDefault="008D5E06" w:rsidP="00A97EBC">
      <w:pPr>
        <w:numPr>
          <w:ilvl w:val="0"/>
          <w:numId w:val="55"/>
        </w:numPr>
        <w:jc w:val="both"/>
        <w:rPr>
          <w:rFonts w:ascii="Cambria" w:hAnsi="Cambria"/>
          <w:sz w:val="20"/>
          <w:szCs w:val="20"/>
          <w:lang w:val="es-ES"/>
        </w:rPr>
      </w:pPr>
      <w:r w:rsidRPr="008A084A">
        <w:rPr>
          <w:rFonts w:ascii="Cambria" w:hAnsi="Cambria"/>
          <w:sz w:val="20"/>
          <w:szCs w:val="20"/>
          <w:lang w:val="es-ES"/>
        </w:rPr>
        <w:t xml:space="preserve">Andrés Guachalá también manifestó que en la actualidad alias “Guatas” le indicó que “no </w:t>
      </w:r>
      <w:proofErr w:type="spellStart"/>
      <w:proofErr w:type="gramStart"/>
      <w:r w:rsidRPr="008A084A">
        <w:rPr>
          <w:rFonts w:ascii="Cambria" w:hAnsi="Cambria"/>
          <w:sz w:val="20"/>
          <w:szCs w:val="20"/>
          <w:lang w:val="es-ES"/>
        </w:rPr>
        <w:t>est</w:t>
      </w:r>
      <w:proofErr w:type="spellEnd"/>
      <w:r w:rsidRPr="008A084A">
        <w:rPr>
          <w:rFonts w:ascii="Cambria" w:hAnsi="Cambria"/>
          <w:sz w:val="20"/>
          <w:szCs w:val="20"/>
          <w:lang w:val="es-ES"/>
        </w:rPr>
        <w:t>(</w:t>
      </w:r>
      <w:proofErr w:type="gramEnd"/>
      <w:r w:rsidRPr="008A084A">
        <w:rPr>
          <w:rFonts w:ascii="Cambria" w:hAnsi="Cambria"/>
          <w:sz w:val="20"/>
          <w:szCs w:val="20"/>
          <w:lang w:val="es-ES"/>
        </w:rPr>
        <w:t>aba) ciento por ciento seguro que se tratara de Luis Guachalá”</w:t>
      </w:r>
      <w:r w:rsidRPr="008A084A">
        <w:rPr>
          <w:rStyle w:val="FootnoteReference"/>
          <w:rFonts w:ascii="Cambria" w:hAnsi="Cambria"/>
          <w:sz w:val="20"/>
          <w:szCs w:val="20"/>
          <w:lang w:val="es-ES"/>
        </w:rPr>
        <w:footnoteReference w:id="174"/>
      </w:r>
      <w:r w:rsidRPr="008A084A">
        <w:rPr>
          <w:rFonts w:ascii="Cambria" w:hAnsi="Cambria"/>
          <w:sz w:val="20"/>
          <w:szCs w:val="20"/>
          <w:lang w:val="es-ES"/>
        </w:rPr>
        <w:t>.</w:t>
      </w:r>
    </w:p>
    <w:p w:rsidR="00B00ECF" w:rsidRPr="008A084A" w:rsidRDefault="00B00ECF" w:rsidP="00B00ECF">
      <w:pPr>
        <w:pStyle w:val="ColorfulList-Accent11"/>
        <w:ind w:left="0"/>
        <w:rPr>
          <w:rFonts w:ascii="Cambria" w:hAnsi="Cambria"/>
          <w:sz w:val="20"/>
          <w:szCs w:val="20"/>
          <w:lang w:val="es-ES"/>
        </w:rPr>
      </w:pPr>
    </w:p>
    <w:p w:rsidR="00B00ECF" w:rsidRPr="008A084A" w:rsidRDefault="00B00ECF" w:rsidP="00A97EBC">
      <w:pPr>
        <w:numPr>
          <w:ilvl w:val="0"/>
          <w:numId w:val="55"/>
        </w:numPr>
        <w:jc w:val="both"/>
        <w:rPr>
          <w:rFonts w:ascii="Cambria" w:hAnsi="Cambria"/>
          <w:sz w:val="20"/>
          <w:szCs w:val="20"/>
          <w:lang w:val="es-ES"/>
        </w:rPr>
      </w:pPr>
      <w:r w:rsidRPr="008A084A">
        <w:rPr>
          <w:rFonts w:ascii="Cambria" w:hAnsi="Cambria"/>
          <w:sz w:val="20"/>
          <w:szCs w:val="20"/>
          <w:lang w:val="es-ES"/>
        </w:rPr>
        <w:t>El 1 de octubre de 2015 la señora Chimbó solicitó que se reali</w:t>
      </w:r>
      <w:r w:rsidR="00F34321" w:rsidRPr="008A084A">
        <w:rPr>
          <w:rFonts w:ascii="Cambria" w:hAnsi="Cambria"/>
          <w:sz w:val="20"/>
          <w:szCs w:val="20"/>
          <w:lang w:val="es-ES"/>
        </w:rPr>
        <w:t>ce</w:t>
      </w:r>
      <w:r w:rsidRPr="008A084A">
        <w:rPr>
          <w:rFonts w:ascii="Cambria" w:hAnsi="Cambria"/>
          <w:sz w:val="20"/>
          <w:szCs w:val="20"/>
          <w:lang w:val="es-ES"/>
        </w:rPr>
        <w:t xml:space="preserve"> un rastreo dentro del hospital</w:t>
      </w:r>
      <w:r w:rsidR="00745243" w:rsidRPr="008A084A">
        <w:rPr>
          <w:rFonts w:ascii="Cambria" w:hAnsi="Cambria"/>
          <w:sz w:val="20"/>
          <w:szCs w:val="20"/>
          <w:lang w:val="es-ES"/>
        </w:rPr>
        <w:t>,</w:t>
      </w:r>
      <w:r w:rsidRPr="008A084A">
        <w:rPr>
          <w:rFonts w:ascii="Cambria" w:hAnsi="Cambria"/>
          <w:sz w:val="20"/>
          <w:szCs w:val="20"/>
          <w:lang w:val="es-ES"/>
        </w:rPr>
        <w:t xml:space="preserve"> “</w:t>
      </w:r>
      <w:r w:rsidR="00745243" w:rsidRPr="008A084A">
        <w:rPr>
          <w:rFonts w:ascii="Cambria" w:hAnsi="Cambria"/>
          <w:sz w:val="20"/>
          <w:szCs w:val="20"/>
          <w:lang w:val="es-ES"/>
        </w:rPr>
        <w:t xml:space="preserve">en el sector de las antiguas instalaciones </w:t>
      </w:r>
      <w:r w:rsidRPr="008A084A">
        <w:rPr>
          <w:rFonts w:ascii="Cambria" w:hAnsi="Cambria"/>
          <w:sz w:val="20"/>
          <w:szCs w:val="20"/>
          <w:lang w:val="es-ES"/>
        </w:rPr>
        <w:t>con canes amaestrados en búsqueda de osamentas”</w:t>
      </w:r>
      <w:r w:rsidRPr="008A084A">
        <w:rPr>
          <w:rStyle w:val="FootnoteReference"/>
          <w:rFonts w:ascii="Cambria" w:hAnsi="Cambria"/>
          <w:sz w:val="20"/>
          <w:szCs w:val="20"/>
          <w:lang w:val="es-ES"/>
        </w:rPr>
        <w:footnoteReference w:id="175"/>
      </w:r>
      <w:r w:rsidRPr="008A084A">
        <w:rPr>
          <w:rFonts w:ascii="Cambria" w:hAnsi="Cambria"/>
          <w:sz w:val="20"/>
          <w:szCs w:val="20"/>
          <w:lang w:val="es-ES"/>
        </w:rPr>
        <w:t>. Dicha diligencia se programó para el 11 de noviembre de 2015</w:t>
      </w:r>
      <w:r w:rsidRPr="008A084A">
        <w:rPr>
          <w:rStyle w:val="FootnoteReference"/>
          <w:rFonts w:ascii="Cambria" w:hAnsi="Cambria"/>
          <w:sz w:val="20"/>
          <w:szCs w:val="20"/>
          <w:lang w:val="es-ES"/>
        </w:rPr>
        <w:footnoteReference w:id="176"/>
      </w:r>
      <w:r w:rsidRPr="008A084A">
        <w:rPr>
          <w:rFonts w:ascii="Cambria" w:hAnsi="Cambria"/>
          <w:sz w:val="20"/>
          <w:szCs w:val="20"/>
          <w:lang w:val="es-ES"/>
        </w:rPr>
        <w:t>. No obstante, fue suspendida debido a que la Unidad de Mantenimiento del Orden informó que existía “falta de persona para esta búsqueda”</w:t>
      </w:r>
      <w:r w:rsidRPr="008A084A">
        <w:rPr>
          <w:rStyle w:val="FootnoteReference"/>
          <w:rFonts w:ascii="Cambria" w:hAnsi="Cambria"/>
          <w:sz w:val="20"/>
          <w:szCs w:val="20"/>
          <w:lang w:val="es-ES"/>
        </w:rPr>
        <w:footnoteReference w:id="177"/>
      </w:r>
      <w:r w:rsidRPr="008A084A">
        <w:rPr>
          <w:rFonts w:ascii="Cambria" w:hAnsi="Cambria"/>
          <w:sz w:val="20"/>
          <w:szCs w:val="20"/>
          <w:lang w:val="es-ES"/>
        </w:rPr>
        <w:t>.</w:t>
      </w:r>
      <w:r w:rsidR="00745243" w:rsidRPr="008A084A">
        <w:rPr>
          <w:rFonts w:ascii="Cambria" w:hAnsi="Cambria"/>
          <w:sz w:val="20"/>
          <w:szCs w:val="20"/>
          <w:lang w:val="es-ES"/>
        </w:rPr>
        <w:t xml:space="preserve"> La diligencia se realizó el 27 de noviembre de 2015 </w:t>
      </w:r>
      <w:r w:rsidR="003C0ECB" w:rsidRPr="008A084A">
        <w:rPr>
          <w:rFonts w:ascii="Cambria" w:hAnsi="Cambria"/>
          <w:sz w:val="20"/>
          <w:szCs w:val="20"/>
          <w:lang w:val="es-ES"/>
        </w:rPr>
        <w:t xml:space="preserve">sin </w:t>
      </w:r>
      <w:r w:rsidR="00745243" w:rsidRPr="008A084A">
        <w:rPr>
          <w:rFonts w:ascii="Cambria" w:hAnsi="Cambria"/>
          <w:sz w:val="20"/>
          <w:szCs w:val="20"/>
          <w:lang w:val="es-ES"/>
        </w:rPr>
        <w:t>resultados positivos</w:t>
      </w:r>
      <w:r w:rsidR="00745243" w:rsidRPr="008A084A">
        <w:rPr>
          <w:rStyle w:val="FootnoteReference"/>
          <w:rFonts w:ascii="Cambria" w:hAnsi="Cambria"/>
          <w:sz w:val="20"/>
          <w:szCs w:val="20"/>
          <w:lang w:val="es-ES"/>
        </w:rPr>
        <w:footnoteReference w:id="178"/>
      </w:r>
      <w:r w:rsidR="00745243" w:rsidRPr="008A084A">
        <w:rPr>
          <w:rFonts w:ascii="Cambria" w:hAnsi="Cambria"/>
          <w:sz w:val="20"/>
          <w:szCs w:val="20"/>
          <w:lang w:val="es-ES"/>
        </w:rPr>
        <w:t>.</w:t>
      </w:r>
    </w:p>
    <w:p w:rsidR="00B00ECF" w:rsidRPr="008A084A" w:rsidRDefault="00B00ECF" w:rsidP="00B00ECF">
      <w:pPr>
        <w:pStyle w:val="ColorfulList-Accent11"/>
        <w:rPr>
          <w:rFonts w:ascii="Cambria" w:hAnsi="Cambria"/>
          <w:sz w:val="20"/>
          <w:szCs w:val="20"/>
          <w:lang w:val="es-ES"/>
        </w:rPr>
      </w:pPr>
    </w:p>
    <w:p w:rsidR="009B0B37" w:rsidRPr="008A084A" w:rsidRDefault="009B0B37" w:rsidP="00A97EBC">
      <w:pPr>
        <w:numPr>
          <w:ilvl w:val="0"/>
          <w:numId w:val="55"/>
        </w:numPr>
        <w:jc w:val="both"/>
        <w:rPr>
          <w:rFonts w:ascii="Cambria" w:hAnsi="Cambria"/>
          <w:sz w:val="20"/>
          <w:szCs w:val="20"/>
          <w:lang w:val="es-ES"/>
        </w:rPr>
      </w:pPr>
      <w:r w:rsidRPr="008A084A">
        <w:rPr>
          <w:rFonts w:ascii="Cambria" w:hAnsi="Cambria"/>
          <w:sz w:val="20"/>
          <w:szCs w:val="20"/>
          <w:lang w:val="es-ES"/>
        </w:rPr>
        <w:t>En enero de 2016 la fiscal requirió nuevamente a la DINASED la revisión de los libros en el Departamento de Medicina Legal de Pichincha</w:t>
      </w:r>
      <w:r w:rsidRPr="008A084A">
        <w:rPr>
          <w:rStyle w:val="FootnoteReference"/>
          <w:rFonts w:ascii="Cambria" w:hAnsi="Cambria"/>
          <w:sz w:val="20"/>
          <w:szCs w:val="20"/>
          <w:lang w:val="es-ES"/>
        </w:rPr>
        <w:footnoteReference w:id="179"/>
      </w:r>
      <w:r w:rsidRPr="008A084A">
        <w:rPr>
          <w:rFonts w:ascii="Cambria" w:hAnsi="Cambria"/>
          <w:sz w:val="20"/>
          <w:szCs w:val="20"/>
          <w:lang w:val="es-ES"/>
        </w:rPr>
        <w:t>. Ello debido a que sólo se revisaron los documentos del año 2001 al 2014</w:t>
      </w:r>
      <w:r w:rsidRPr="008A084A">
        <w:rPr>
          <w:rStyle w:val="FootnoteReference"/>
          <w:rFonts w:ascii="Cambria" w:hAnsi="Cambria"/>
          <w:sz w:val="20"/>
          <w:szCs w:val="20"/>
          <w:lang w:val="es-ES"/>
        </w:rPr>
        <w:footnoteReference w:id="180"/>
      </w:r>
      <w:r w:rsidRPr="008A084A">
        <w:rPr>
          <w:rFonts w:ascii="Cambria" w:hAnsi="Cambria"/>
          <w:sz w:val="20"/>
          <w:szCs w:val="20"/>
          <w:lang w:val="es-ES"/>
        </w:rPr>
        <w:t>. E</w:t>
      </w:r>
      <w:r w:rsidR="00CD1404" w:rsidRPr="008A084A">
        <w:rPr>
          <w:rFonts w:ascii="Cambria" w:hAnsi="Cambria"/>
          <w:sz w:val="20"/>
          <w:szCs w:val="20"/>
          <w:lang w:val="es-ES"/>
        </w:rPr>
        <w:t>n febrero de 2016 la fiscal requirió a seis canales de televisión y a cuatro diarios a difundir la imagen y datos del señor Guachalá</w:t>
      </w:r>
      <w:r w:rsidR="00CD1404" w:rsidRPr="008A084A">
        <w:rPr>
          <w:rStyle w:val="FootnoteReference"/>
          <w:rFonts w:ascii="Cambria" w:hAnsi="Cambria"/>
          <w:sz w:val="20"/>
          <w:szCs w:val="20"/>
          <w:lang w:val="es-ES"/>
        </w:rPr>
        <w:footnoteReference w:id="181"/>
      </w:r>
      <w:r w:rsidR="00CD1404" w:rsidRPr="008A084A">
        <w:rPr>
          <w:rFonts w:ascii="Cambria" w:hAnsi="Cambria"/>
          <w:sz w:val="20"/>
          <w:szCs w:val="20"/>
          <w:lang w:val="es-ES"/>
        </w:rPr>
        <w:t>.</w:t>
      </w:r>
    </w:p>
    <w:p w:rsidR="00CD1404" w:rsidRPr="008A084A" w:rsidRDefault="00CD1404" w:rsidP="00CD1404">
      <w:pPr>
        <w:ind w:left="720"/>
        <w:jc w:val="both"/>
        <w:rPr>
          <w:rFonts w:ascii="Cambria" w:hAnsi="Cambria"/>
          <w:sz w:val="20"/>
          <w:szCs w:val="20"/>
          <w:lang w:val="es-ES"/>
        </w:rPr>
      </w:pPr>
    </w:p>
    <w:p w:rsidR="00CD1404" w:rsidRPr="008A084A" w:rsidRDefault="00CD1404" w:rsidP="00A97EBC">
      <w:pPr>
        <w:numPr>
          <w:ilvl w:val="0"/>
          <w:numId w:val="55"/>
        </w:numPr>
        <w:jc w:val="both"/>
        <w:rPr>
          <w:rFonts w:ascii="Cambria" w:hAnsi="Cambria"/>
          <w:sz w:val="20"/>
          <w:szCs w:val="20"/>
          <w:lang w:val="es-ES"/>
        </w:rPr>
      </w:pPr>
      <w:r w:rsidRPr="008A084A">
        <w:rPr>
          <w:rFonts w:ascii="Cambria" w:hAnsi="Cambria"/>
          <w:sz w:val="20"/>
          <w:szCs w:val="20"/>
          <w:lang w:val="es-ES"/>
        </w:rPr>
        <w:t>El 15 de marzo de 2016 la fiscal solicitó a la Unidad de Archivo de la Fiscalía</w:t>
      </w:r>
      <w:r w:rsidR="00250C17" w:rsidRPr="008A084A">
        <w:rPr>
          <w:rFonts w:ascii="Cambria" w:hAnsi="Cambria"/>
          <w:sz w:val="20"/>
          <w:szCs w:val="20"/>
          <w:lang w:val="es-ES"/>
        </w:rPr>
        <w:t xml:space="preserve"> “todo el expediente original (…) que tiene relación a la denuncia propuesta por la señora Chimbó (…) sobre la desaparición del señor Luis Eduardo Guachalá”</w:t>
      </w:r>
      <w:r w:rsidR="00250C17" w:rsidRPr="008A084A">
        <w:rPr>
          <w:rStyle w:val="FootnoteReference"/>
          <w:rFonts w:ascii="Cambria" w:hAnsi="Cambria"/>
          <w:sz w:val="20"/>
          <w:szCs w:val="20"/>
          <w:lang w:val="es-ES"/>
        </w:rPr>
        <w:footnoteReference w:id="182"/>
      </w:r>
      <w:r w:rsidR="00250C17" w:rsidRPr="008A084A">
        <w:rPr>
          <w:rFonts w:ascii="Cambria" w:hAnsi="Cambria"/>
          <w:sz w:val="20"/>
          <w:szCs w:val="20"/>
          <w:lang w:val="es-ES"/>
        </w:rPr>
        <w:t>.</w:t>
      </w:r>
      <w:r w:rsidR="00701862" w:rsidRPr="008A084A">
        <w:rPr>
          <w:rFonts w:ascii="Cambria" w:hAnsi="Cambria"/>
          <w:sz w:val="20"/>
          <w:szCs w:val="20"/>
          <w:lang w:val="es-ES"/>
        </w:rPr>
        <w:t xml:space="preserve"> El mismo día la fiscal recibió el expediente solicitado</w:t>
      </w:r>
      <w:r w:rsidR="00701862" w:rsidRPr="008A084A">
        <w:rPr>
          <w:rStyle w:val="FootnoteReference"/>
          <w:rFonts w:ascii="Cambria" w:hAnsi="Cambria"/>
          <w:sz w:val="20"/>
          <w:szCs w:val="20"/>
          <w:lang w:val="es-ES"/>
        </w:rPr>
        <w:footnoteReference w:id="183"/>
      </w:r>
      <w:r w:rsidR="00701862" w:rsidRPr="008A084A">
        <w:rPr>
          <w:rFonts w:ascii="Cambria" w:hAnsi="Cambria"/>
          <w:sz w:val="20"/>
          <w:szCs w:val="20"/>
          <w:lang w:val="es-ES"/>
        </w:rPr>
        <w:t>.</w:t>
      </w:r>
    </w:p>
    <w:p w:rsidR="009B0B37" w:rsidRPr="008A084A" w:rsidRDefault="009B0B37" w:rsidP="009B0B37">
      <w:pPr>
        <w:ind w:left="720"/>
        <w:jc w:val="both"/>
        <w:rPr>
          <w:rFonts w:ascii="Cambria" w:hAnsi="Cambria"/>
          <w:sz w:val="20"/>
          <w:szCs w:val="20"/>
          <w:lang w:val="es-ES"/>
        </w:rPr>
      </w:pPr>
    </w:p>
    <w:p w:rsidR="00B27E01" w:rsidRPr="008A084A" w:rsidRDefault="00BC585D" w:rsidP="00A97EBC">
      <w:pPr>
        <w:numPr>
          <w:ilvl w:val="0"/>
          <w:numId w:val="55"/>
        </w:numPr>
        <w:jc w:val="both"/>
        <w:rPr>
          <w:rFonts w:ascii="Cambria" w:hAnsi="Cambria"/>
          <w:sz w:val="20"/>
          <w:szCs w:val="20"/>
          <w:lang w:val="es-ES"/>
        </w:rPr>
      </w:pPr>
      <w:r w:rsidRPr="008A084A">
        <w:rPr>
          <w:rFonts w:ascii="Cambria" w:hAnsi="Cambria"/>
          <w:sz w:val="20"/>
          <w:szCs w:val="20"/>
          <w:lang w:val="es-ES"/>
        </w:rPr>
        <w:t>En su comunicación de mayo de 2016 el</w:t>
      </w:r>
      <w:r w:rsidR="00AD3047" w:rsidRPr="008A084A">
        <w:rPr>
          <w:rFonts w:ascii="Cambria" w:hAnsi="Cambria"/>
          <w:sz w:val="20"/>
          <w:szCs w:val="20"/>
          <w:lang w:val="es-ES"/>
        </w:rPr>
        <w:t xml:space="preserve"> Estado sostuvo que la causa se encuentra en etapa de investigación previa a cargo de un fiscal</w:t>
      </w:r>
      <w:r w:rsidR="00DA7E9C" w:rsidRPr="008A084A">
        <w:rPr>
          <w:rStyle w:val="FootnoteReference"/>
          <w:rFonts w:ascii="Cambria" w:hAnsi="Cambria"/>
          <w:sz w:val="20"/>
          <w:szCs w:val="20"/>
        </w:rPr>
        <w:footnoteReference w:id="184"/>
      </w:r>
      <w:r w:rsidR="00AD3047" w:rsidRPr="008A084A">
        <w:rPr>
          <w:rFonts w:ascii="Cambria" w:hAnsi="Cambria"/>
          <w:sz w:val="20"/>
          <w:szCs w:val="20"/>
          <w:lang w:val="es-ES"/>
        </w:rPr>
        <w:t xml:space="preserve">. </w:t>
      </w:r>
      <w:r w:rsidRPr="008A084A">
        <w:rPr>
          <w:rFonts w:ascii="Cambria" w:hAnsi="Cambria"/>
          <w:sz w:val="20"/>
          <w:szCs w:val="20"/>
          <w:lang w:val="es-ES"/>
        </w:rPr>
        <w:t>En julio de 2016 los peticionarios informaron que el expediente se encontraba abierto</w:t>
      </w:r>
      <w:r w:rsidRPr="008A084A">
        <w:rPr>
          <w:rStyle w:val="FootnoteReference"/>
          <w:rFonts w:ascii="Cambria" w:hAnsi="Cambria"/>
          <w:sz w:val="20"/>
          <w:szCs w:val="20"/>
          <w:lang w:val="es-ES"/>
        </w:rPr>
        <w:footnoteReference w:id="185"/>
      </w:r>
      <w:r w:rsidRPr="008A084A">
        <w:rPr>
          <w:rFonts w:ascii="Cambria" w:hAnsi="Cambria"/>
          <w:sz w:val="20"/>
          <w:szCs w:val="20"/>
          <w:lang w:val="es-ES"/>
        </w:rPr>
        <w:t>.</w:t>
      </w:r>
    </w:p>
    <w:p w:rsidR="00BC585D" w:rsidRPr="008A084A" w:rsidRDefault="00BC585D" w:rsidP="00BC585D">
      <w:pPr>
        <w:numPr>
          <w:ilvl w:val="0"/>
          <w:numId w:val="55"/>
        </w:numPr>
        <w:jc w:val="both"/>
        <w:rPr>
          <w:rFonts w:ascii="Cambria" w:hAnsi="Cambria"/>
          <w:sz w:val="20"/>
          <w:szCs w:val="20"/>
          <w:lang w:val="es-ES"/>
        </w:rPr>
      </w:pPr>
      <w:r w:rsidRPr="008A084A">
        <w:rPr>
          <w:rFonts w:ascii="Cambria" w:hAnsi="Cambria"/>
          <w:sz w:val="20"/>
          <w:szCs w:val="20"/>
          <w:lang w:val="es-ES"/>
        </w:rPr>
        <w:lastRenderedPageBreak/>
        <w:t xml:space="preserve">El Estado señaló que en agosto de 2016 el personal de la Dirección de Atención a la Ciudadanía acompañó a la señora Chimbó al sector de </w:t>
      </w:r>
      <w:proofErr w:type="spellStart"/>
      <w:r w:rsidRPr="008A084A">
        <w:rPr>
          <w:rFonts w:ascii="Cambria" w:hAnsi="Cambria"/>
          <w:sz w:val="20"/>
          <w:szCs w:val="20"/>
          <w:lang w:val="es-ES"/>
        </w:rPr>
        <w:t>Conocoto</w:t>
      </w:r>
      <w:proofErr w:type="spellEnd"/>
      <w:r w:rsidRPr="008A084A">
        <w:rPr>
          <w:rFonts w:ascii="Cambria" w:hAnsi="Cambria"/>
          <w:sz w:val="20"/>
          <w:szCs w:val="20"/>
          <w:lang w:val="es-ES"/>
        </w:rPr>
        <w:t>, en Quito, “para presenciar una diligencia de rastreo y búsqueda de su hijo”</w:t>
      </w:r>
      <w:r w:rsidRPr="008A084A">
        <w:rPr>
          <w:rStyle w:val="FootnoteReference"/>
          <w:rFonts w:ascii="Cambria" w:hAnsi="Cambria"/>
          <w:sz w:val="20"/>
          <w:szCs w:val="20"/>
        </w:rPr>
        <w:footnoteReference w:id="186"/>
      </w:r>
      <w:r w:rsidRPr="008A084A">
        <w:rPr>
          <w:rFonts w:ascii="Cambria" w:hAnsi="Cambria"/>
          <w:sz w:val="20"/>
          <w:szCs w:val="20"/>
          <w:lang w:val="es-ES"/>
        </w:rPr>
        <w:t>. El Estado ecuatoriano sostuvo que dicha diligencia fue realizada por el equipo de la Dirección Nacional de Delitos contra la Vida, Muertes Violentas, Desapariciones, Extorsión y Secuestros, y que se contó con la presencia del fiscal a cargo del caso</w:t>
      </w:r>
      <w:r w:rsidRPr="008A084A">
        <w:rPr>
          <w:rStyle w:val="FootnoteReference"/>
          <w:rFonts w:ascii="Cambria" w:hAnsi="Cambria"/>
          <w:sz w:val="20"/>
          <w:szCs w:val="20"/>
        </w:rPr>
        <w:footnoteReference w:id="187"/>
      </w:r>
      <w:r w:rsidRPr="008A084A">
        <w:rPr>
          <w:rFonts w:ascii="Cambria" w:hAnsi="Cambria"/>
          <w:sz w:val="20"/>
          <w:szCs w:val="20"/>
          <w:lang w:val="es-ES"/>
        </w:rPr>
        <w:t>.</w:t>
      </w:r>
    </w:p>
    <w:p w:rsidR="00EC7ECC" w:rsidRPr="008A084A" w:rsidRDefault="00EC7ECC" w:rsidP="00EC7ECC">
      <w:pPr>
        <w:pStyle w:val="ColorfulList-Accent11"/>
        <w:rPr>
          <w:rFonts w:ascii="Cambria" w:hAnsi="Cambria"/>
          <w:sz w:val="20"/>
          <w:szCs w:val="20"/>
          <w:lang w:val="es-ES"/>
        </w:rPr>
      </w:pPr>
    </w:p>
    <w:p w:rsidR="00EC7ECC" w:rsidRPr="008A084A" w:rsidRDefault="00EC7ECC" w:rsidP="00BC585D">
      <w:pPr>
        <w:numPr>
          <w:ilvl w:val="0"/>
          <w:numId w:val="55"/>
        </w:numPr>
        <w:jc w:val="both"/>
        <w:rPr>
          <w:rFonts w:ascii="Cambria" w:hAnsi="Cambria"/>
          <w:sz w:val="20"/>
          <w:szCs w:val="20"/>
          <w:lang w:val="es-ES"/>
        </w:rPr>
      </w:pPr>
      <w:r w:rsidRPr="008A084A">
        <w:rPr>
          <w:rFonts w:ascii="Cambria" w:hAnsi="Cambria"/>
          <w:sz w:val="20"/>
          <w:szCs w:val="20"/>
          <w:lang w:val="es-ES"/>
        </w:rPr>
        <w:t>En su escrito de 2016 el Estado sostuvo que a pesar de las diligencias realizadas por la Fiscalía General del Estado, “no ha sido posible dar con el paradero de la presunta víctima”</w:t>
      </w:r>
      <w:r w:rsidRPr="008A084A">
        <w:rPr>
          <w:rStyle w:val="FootnoteReference"/>
          <w:rFonts w:ascii="Cambria" w:hAnsi="Cambria"/>
          <w:sz w:val="20"/>
          <w:szCs w:val="20"/>
          <w:lang w:val="es-ES"/>
        </w:rPr>
        <w:footnoteReference w:id="188"/>
      </w:r>
      <w:r w:rsidRPr="008A084A">
        <w:rPr>
          <w:rFonts w:ascii="Cambria" w:hAnsi="Cambria"/>
          <w:sz w:val="20"/>
          <w:szCs w:val="20"/>
          <w:lang w:val="es-ES"/>
        </w:rPr>
        <w:t xml:space="preserve">. </w:t>
      </w:r>
    </w:p>
    <w:p w:rsidR="00D7524E" w:rsidRPr="008A084A" w:rsidRDefault="00D7524E" w:rsidP="002C39B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9360"/>
        </w:tabs>
        <w:ind w:left="0" w:firstLine="0"/>
        <w:jc w:val="both"/>
        <w:rPr>
          <w:rFonts w:ascii="Cambria" w:hAnsi="Cambria"/>
          <w:color w:val="auto"/>
          <w:sz w:val="20"/>
          <w:szCs w:val="20"/>
        </w:rPr>
      </w:pPr>
    </w:p>
    <w:p w:rsidR="006A0F60" w:rsidRPr="008A084A" w:rsidRDefault="00FC72CE" w:rsidP="00A97EBC">
      <w:pPr>
        <w:ind w:firstLine="720"/>
        <w:jc w:val="both"/>
        <w:rPr>
          <w:rFonts w:ascii="Cambria" w:hAnsi="Cambria"/>
          <w:b/>
          <w:sz w:val="20"/>
          <w:szCs w:val="20"/>
          <w:lang w:val="es-ES"/>
        </w:rPr>
      </w:pPr>
      <w:r w:rsidRPr="008A084A">
        <w:rPr>
          <w:rFonts w:ascii="Cambria" w:hAnsi="Cambria"/>
          <w:b/>
          <w:sz w:val="20"/>
          <w:szCs w:val="20"/>
          <w:lang w:val="es-ES"/>
        </w:rPr>
        <w:t xml:space="preserve">3. </w:t>
      </w:r>
      <w:r w:rsidRPr="008A084A">
        <w:rPr>
          <w:rFonts w:ascii="Cambria" w:hAnsi="Cambria"/>
          <w:b/>
          <w:sz w:val="20"/>
          <w:szCs w:val="20"/>
          <w:lang w:val="es-ES"/>
        </w:rPr>
        <w:tab/>
        <w:t>Q</w:t>
      </w:r>
      <w:r w:rsidR="00F91ED2" w:rsidRPr="008A084A">
        <w:rPr>
          <w:rFonts w:ascii="Cambria" w:hAnsi="Cambria"/>
          <w:b/>
          <w:sz w:val="20"/>
          <w:szCs w:val="20"/>
          <w:lang w:val="es-ES"/>
        </w:rPr>
        <w:t xml:space="preserve">ueja </w:t>
      </w:r>
      <w:r w:rsidR="006A0F60" w:rsidRPr="008A084A">
        <w:rPr>
          <w:rFonts w:ascii="Cambria" w:hAnsi="Cambria"/>
          <w:b/>
          <w:sz w:val="20"/>
          <w:szCs w:val="20"/>
          <w:lang w:val="es-ES"/>
        </w:rPr>
        <w:t>ante la Defensoría del Pueblo</w:t>
      </w:r>
    </w:p>
    <w:p w:rsidR="006A0F60" w:rsidRPr="008A084A" w:rsidRDefault="006A0F60" w:rsidP="002C39B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9360"/>
        </w:tabs>
        <w:ind w:left="0" w:firstLine="0"/>
        <w:jc w:val="both"/>
        <w:rPr>
          <w:rFonts w:ascii="Cambria" w:hAnsi="Cambria"/>
          <w:color w:val="auto"/>
          <w:sz w:val="20"/>
          <w:szCs w:val="20"/>
        </w:rPr>
      </w:pPr>
    </w:p>
    <w:p w:rsidR="00D45A5D" w:rsidRPr="008A084A" w:rsidRDefault="00F91ED2" w:rsidP="00A97EBC">
      <w:pPr>
        <w:numPr>
          <w:ilvl w:val="0"/>
          <w:numId w:val="55"/>
        </w:numPr>
        <w:jc w:val="both"/>
        <w:rPr>
          <w:rFonts w:ascii="Cambria" w:hAnsi="Cambria"/>
          <w:sz w:val="20"/>
          <w:szCs w:val="20"/>
          <w:lang w:val="es-ES"/>
        </w:rPr>
      </w:pPr>
      <w:r w:rsidRPr="008A084A">
        <w:rPr>
          <w:rFonts w:ascii="Cambria" w:hAnsi="Cambria"/>
          <w:sz w:val="20"/>
          <w:szCs w:val="20"/>
          <w:lang w:val="es-ES"/>
        </w:rPr>
        <w:t>El 2 de abril</w:t>
      </w:r>
      <w:r w:rsidR="006A0F60" w:rsidRPr="008A084A">
        <w:rPr>
          <w:rFonts w:ascii="Cambria" w:hAnsi="Cambria"/>
          <w:sz w:val="20"/>
          <w:szCs w:val="20"/>
          <w:lang w:val="es-ES"/>
        </w:rPr>
        <w:t xml:space="preserve"> de 2004 l</w:t>
      </w:r>
      <w:r w:rsidR="0011248A" w:rsidRPr="008A084A">
        <w:rPr>
          <w:rFonts w:ascii="Cambria" w:hAnsi="Cambria"/>
          <w:sz w:val="20"/>
          <w:szCs w:val="20"/>
          <w:lang w:val="es-ES"/>
        </w:rPr>
        <w:t xml:space="preserve">a INREDH presentó una </w:t>
      </w:r>
      <w:r w:rsidRPr="008A084A">
        <w:rPr>
          <w:rFonts w:ascii="Cambria" w:hAnsi="Cambria"/>
          <w:sz w:val="20"/>
          <w:szCs w:val="20"/>
          <w:lang w:val="es-ES"/>
        </w:rPr>
        <w:t>solicitud de queja</w:t>
      </w:r>
      <w:r w:rsidR="0011248A" w:rsidRPr="008A084A">
        <w:rPr>
          <w:rFonts w:ascii="Cambria" w:hAnsi="Cambria"/>
          <w:sz w:val="20"/>
          <w:szCs w:val="20"/>
          <w:lang w:val="es-ES"/>
        </w:rPr>
        <w:t xml:space="preserve"> ante la Defensoría del Pueblo por la desaparición del señor Guachalá</w:t>
      </w:r>
      <w:r w:rsidR="0011248A" w:rsidRPr="008A084A">
        <w:rPr>
          <w:rStyle w:val="FootnoteReference"/>
          <w:rFonts w:ascii="Cambria" w:hAnsi="Cambria"/>
          <w:sz w:val="20"/>
          <w:szCs w:val="20"/>
        </w:rPr>
        <w:footnoteReference w:id="189"/>
      </w:r>
      <w:r w:rsidR="0011248A" w:rsidRPr="008A084A">
        <w:rPr>
          <w:rFonts w:ascii="Cambria" w:hAnsi="Cambria"/>
          <w:sz w:val="20"/>
          <w:szCs w:val="20"/>
          <w:lang w:val="es-ES"/>
        </w:rPr>
        <w:t xml:space="preserve">. </w:t>
      </w:r>
      <w:r w:rsidRPr="008A084A">
        <w:rPr>
          <w:rFonts w:ascii="Cambria" w:hAnsi="Cambria"/>
          <w:sz w:val="20"/>
          <w:szCs w:val="20"/>
          <w:lang w:val="es-ES"/>
        </w:rPr>
        <w:t>Dicha solicitud fue dirigida a la Dirección Nacional de la Tercera Edad y Discapacitados (DINATED)</w:t>
      </w:r>
      <w:r w:rsidRPr="008A084A">
        <w:rPr>
          <w:rStyle w:val="FootnoteReference"/>
          <w:rFonts w:ascii="Cambria" w:hAnsi="Cambria"/>
          <w:sz w:val="20"/>
          <w:szCs w:val="20"/>
        </w:rPr>
        <w:footnoteReference w:id="190"/>
      </w:r>
      <w:r w:rsidRPr="008A084A">
        <w:rPr>
          <w:rFonts w:ascii="Cambria" w:hAnsi="Cambria"/>
          <w:sz w:val="20"/>
          <w:szCs w:val="20"/>
          <w:lang w:val="es-ES"/>
        </w:rPr>
        <w:t>.</w:t>
      </w:r>
      <w:r w:rsidR="004D00EA" w:rsidRPr="008A084A">
        <w:rPr>
          <w:rFonts w:ascii="Cambria" w:hAnsi="Cambria"/>
          <w:sz w:val="20"/>
          <w:szCs w:val="20"/>
          <w:lang w:val="es-ES"/>
        </w:rPr>
        <w:t xml:space="preserve"> </w:t>
      </w:r>
      <w:r w:rsidR="00933AF6" w:rsidRPr="008A084A">
        <w:rPr>
          <w:rFonts w:ascii="Cambria" w:hAnsi="Cambria"/>
          <w:sz w:val="20"/>
          <w:szCs w:val="20"/>
          <w:lang w:val="es-ES"/>
        </w:rPr>
        <w:t>El 5</w:t>
      </w:r>
      <w:r w:rsidR="002A2FE6" w:rsidRPr="008A084A">
        <w:rPr>
          <w:rFonts w:ascii="Cambria" w:hAnsi="Cambria"/>
          <w:sz w:val="20"/>
          <w:szCs w:val="20"/>
          <w:lang w:val="es-ES"/>
        </w:rPr>
        <w:t xml:space="preserve"> de octubre de 2004 l</w:t>
      </w:r>
      <w:r w:rsidR="003562A0" w:rsidRPr="008A084A">
        <w:rPr>
          <w:rFonts w:ascii="Cambria" w:hAnsi="Cambria"/>
          <w:sz w:val="20"/>
          <w:szCs w:val="20"/>
          <w:lang w:val="es-ES"/>
        </w:rPr>
        <w:t xml:space="preserve">a </w:t>
      </w:r>
      <w:r w:rsidR="00206E7F" w:rsidRPr="008A084A">
        <w:rPr>
          <w:rFonts w:ascii="Cambria" w:hAnsi="Cambria"/>
          <w:sz w:val="20"/>
          <w:szCs w:val="20"/>
          <w:lang w:val="es-ES"/>
        </w:rPr>
        <w:t>DINATED</w:t>
      </w:r>
      <w:r w:rsidR="003562A0" w:rsidRPr="008A084A">
        <w:rPr>
          <w:rFonts w:ascii="Cambria" w:hAnsi="Cambria"/>
          <w:sz w:val="20"/>
          <w:szCs w:val="20"/>
          <w:lang w:val="es-ES"/>
        </w:rPr>
        <w:t xml:space="preserve"> </w:t>
      </w:r>
      <w:r w:rsidR="00933AF6" w:rsidRPr="008A084A">
        <w:rPr>
          <w:rFonts w:ascii="Cambria" w:hAnsi="Cambria"/>
          <w:sz w:val="20"/>
          <w:szCs w:val="20"/>
          <w:lang w:val="es-ES"/>
        </w:rPr>
        <w:t>convocó a una audiencia en</w:t>
      </w:r>
      <w:r w:rsidR="00606BD2" w:rsidRPr="008A084A">
        <w:rPr>
          <w:rFonts w:ascii="Cambria" w:hAnsi="Cambria"/>
          <w:sz w:val="20"/>
          <w:szCs w:val="20"/>
          <w:lang w:val="es-ES"/>
        </w:rPr>
        <w:t xml:space="preserve"> la cual </w:t>
      </w:r>
      <w:r w:rsidR="00933AF6" w:rsidRPr="008A084A">
        <w:rPr>
          <w:rFonts w:ascii="Cambria" w:hAnsi="Cambria"/>
          <w:sz w:val="20"/>
          <w:szCs w:val="20"/>
          <w:lang w:val="es-ES"/>
        </w:rPr>
        <w:t xml:space="preserve">participó la señora </w:t>
      </w:r>
      <w:r w:rsidR="002125A0" w:rsidRPr="008A084A">
        <w:rPr>
          <w:rFonts w:ascii="Cambria" w:hAnsi="Cambria"/>
          <w:sz w:val="20"/>
          <w:szCs w:val="20"/>
          <w:lang w:val="es-ES"/>
        </w:rPr>
        <w:t>Chimbó</w:t>
      </w:r>
      <w:r w:rsidR="003562A0" w:rsidRPr="008A084A">
        <w:rPr>
          <w:rStyle w:val="FootnoteReference"/>
          <w:rFonts w:ascii="Cambria" w:hAnsi="Cambria"/>
          <w:sz w:val="20"/>
          <w:szCs w:val="20"/>
        </w:rPr>
        <w:footnoteReference w:id="191"/>
      </w:r>
      <w:r w:rsidR="003562A0" w:rsidRPr="008A084A">
        <w:rPr>
          <w:rFonts w:ascii="Cambria" w:hAnsi="Cambria"/>
          <w:sz w:val="20"/>
          <w:szCs w:val="20"/>
          <w:lang w:val="es-ES"/>
        </w:rPr>
        <w:t xml:space="preserve">. </w:t>
      </w:r>
      <w:r w:rsidR="00D45A5D" w:rsidRPr="008A084A">
        <w:rPr>
          <w:rFonts w:ascii="Cambria" w:hAnsi="Cambria"/>
          <w:sz w:val="20"/>
          <w:szCs w:val="20"/>
          <w:lang w:val="es-ES"/>
        </w:rPr>
        <w:t xml:space="preserve"> En dicha diligencia la señora </w:t>
      </w:r>
      <w:r w:rsidR="002125A0" w:rsidRPr="008A084A">
        <w:rPr>
          <w:rFonts w:ascii="Cambria" w:hAnsi="Cambria"/>
          <w:sz w:val="20"/>
          <w:szCs w:val="20"/>
          <w:lang w:val="es-ES"/>
        </w:rPr>
        <w:t>Chimbó</w:t>
      </w:r>
      <w:r w:rsidR="00D45A5D" w:rsidRPr="008A084A">
        <w:rPr>
          <w:rFonts w:ascii="Cambria" w:hAnsi="Cambria"/>
          <w:sz w:val="20"/>
          <w:szCs w:val="20"/>
          <w:lang w:val="es-ES"/>
        </w:rPr>
        <w:t xml:space="preserve"> expresó su preocupación por la falta de esclarecimiento de la desaparición de su hijo</w:t>
      </w:r>
      <w:r w:rsidR="00D45A5D" w:rsidRPr="008A084A">
        <w:rPr>
          <w:rStyle w:val="FootnoteReference"/>
          <w:rFonts w:ascii="Cambria" w:hAnsi="Cambria"/>
          <w:sz w:val="20"/>
          <w:szCs w:val="20"/>
        </w:rPr>
        <w:footnoteReference w:id="192"/>
      </w:r>
      <w:r w:rsidR="00D45A5D" w:rsidRPr="008A084A">
        <w:rPr>
          <w:rFonts w:ascii="Cambria" w:hAnsi="Cambria"/>
          <w:sz w:val="20"/>
          <w:szCs w:val="20"/>
          <w:lang w:val="es-ES"/>
        </w:rPr>
        <w:t xml:space="preserve">. Por su parte, los representantes de la señora </w:t>
      </w:r>
      <w:r w:rsidR="002125A0" w:rsidRPr="008A084A">
        <w:rPr>
          <w:rFonts w:ascii="Cambria" w:hAnsi="Cambria"/>
          <w:sz w:val="20"/>
          <w:szCs w:val="20"/>
          <w:lang w:val="es-ES"/>
        </w:rPr>
        <w:t>Chimbó</w:t>
      </w:r>
      <w:r w:rsidR="00D45A5D" w:rsidRPr="008A084A">
        <w:rPr>
          <w:rFonts w:ascii="Cambria" w:hAnsi="Cambria"/>
          <w:sz w:val="20"/>
          <w:szCs w:val="20"/>
          <w:lang w:val="es-ES"/>
        </w:rPr>
        <w:t xml:space="preserve"> alegaron que el hospital comunicó a las autoridades estatales sobre la desaparición del señor Guachalá dos días después de ocurridos los hechos</w:t>
      </w:r>
      <w:r w:rsidR="00D45A5D" w:rsidRPr="008A084A">
        <w:rPr>
          <w:rStyle w:val="FootnoteReference"/>
          <w:rFonts w:ascii="Cambria" w:hAnsi="Cambria"/>
          <w:sz w:val="20"/>
          <w:szCs w:val="20"/>
        </w:rPr>
        <w:footnoteReference w:id="193"/>
      </w:r>
      <w:r w:rsidR="00D45A5D" w:rsidRPr="008A084A">
        <w:rPr>
          <w:rFonts w:ascii="Cambria" w:hAnsi="Cambria"/>
          <w:sz w:val="20"/>
          <w:szCs w:val="20"/>
          <w:lang w:val="es-ES"/>
        </w:rPr>
        <w:t>. También solicitaron que la DINATED realice diversas diligencias tales como i) la recepción de</w:t>
      </w:r>
      <w:r w:rsidR="00502E96" w:rsidRPr="008A084A">
        <w:rPr>
          <w:rFonts w:ascii="Cambria" w:hAnsi="Cambria"/>
          <w:sz w:val="20"/>
          <w:szCs w:val="20"/>
          <w:lang w:val="es-ES"/>
        </w:rPr>
        <w:t xml:space="preserve"> </w:t>
      </w:r>
      <w:r w:rsidR="00D45A5D" w:rsidRPr="008A084A">
        <w:rPr>
          <w:rFonts w:ascii="Cambria" w:hAnsi="Cambria"/>
          <w:sz w:val="20"/>
          <w:szCs w:val="20"/>
          <w:lang w:val="es-ES"/>
        </w:rPr>
        <w:t>l</w:t>
      </w:r>
      <w:r w:rsidR="00502E96" w:rsidRPr="008A084A">
        <w:rPr>
          <w:rFonts w:ascii="Cambria" w:hAnsi="Cambria"/>
          <w:sz w:val="20"/>
          <w:szCs w:val="20"/>
          <w:lang w:val="es-ES"/>
        </w:rPr>
        <w:t>a declaración del</w:t>
      </w:r>
      <w:r w:rsidR="00D45A5D" w:rsidRPr="008A084A">
        <w:rPr>
          <w:rFonts w:ascii="Cambria" w:hAnsi="Cambria"/>
          <w:sz w:val="20"/>
          <w:szCs w:val="20"/>
          <w:lang w:val="es-ES"/>
        </w:rPr>
        <w:t xml:space="preserve"> enfermero que presuntamente estaba con el señor Guachalá antes de su desaparición; ii) contactar a todo el personal de médico tratantes, de turno y de enfermería;</w:t>
      </w:r>
      <w:r w:rsidR="00032910" w:rsidRPr="008A084A">
        <w:rPr>
          <w:rFonts w:ascii="Cambria" w:hAnsi="Cambria"/>
          <w:sz w:val="20"/>
          <w:szCs w:val="20"/>
          <w:lang w:val="es-ES"/>
        </w:rPr>
        <w:t xml:space="preserve"> y</w:t>
      </w:r>
      <w:r w:rsidR="00D45A5D" w:rsidRPr="008A084A">
        <w:rPr>
          <w:rFonts w:ascii="Cambria" w:hAnsi="Cambria"/>
          <w:sz w:val="20"/>
          <w:szCs w:val="20"/>
          <w:lang w:val="es-ES"/>
        </w:rPr>
        <w:t xml:space="preserve"> iii) recab</w:t>
      </w:r>
      <w:r w:rsidR="00032910" w:rsidRPr="008A084A">
        <w:rPr>
          <w:rFonts w:ascii="Cambria" w:hAnsi="Cambria"/>
          <w:sz w:val="20"/>
          <w:szCs w:val="20"/>
          <w:lang w:val="es-ES"/>
        </w:rPr>
        <w:t>ar</w:t>
      </w:r>
      <w:r w:rsidR="00D45A5D" w:rsidRPr="008A084A">
        <w:rPr>
          <w:rFonts w:ascii="Cambria" w:hAnsi="Cambria"/>
          <w:sz w:val="20"/>
          <w:szCs w:val="20"/>
          <w:lang w:val="es-ES"/>
        </w:rPr>
        <w:t xml:space="preserve"> de la Policía Judicial y del Ministerio Público información sobre las acc</w:t>
      </w:r>
      <w:r w:rsidR="002B161B" w:rsidRPr="008A084A">
        <w:rPr>
          <w:rFonts w:ascii="Cambria" w:hAnsi="Cambria"/>
          <w:sz w:val="20"/>
          <w:szCs w:val="20"/>
          <w:lang w:val="es-ES"/>
        </w:rPr>
        <w:t>iones investigativas en el caso</w:t>
      </w:r>
      <w:r w:rsidR="002B161B" w:rsidRPr="008A084A">
        <w:rPr>
          <w:rStyle w:val="FootnoteReference"/>
          <w:rFonts w:ascii="Cambria" w:hAnsi="Cambria"/>
          <w:sz w:val="20"/>
          <w:szCs w:val="20"/>
        </w:rPr>
        <w:footnoteReference w:id="194"/>
      </w:r>
      <w:r w:rsidR="002B161B" w:rsidRPr="008A084A">
        <w:rPr>
          <w:rFonts w:ascii="Cambria" w:hAnsi="Cambria"/>
          <w:sz w:val="20"/>
          <w:szCs w:val="20"/>
          <w:lang w:val="es-ES"/>
        </w:rPr>
        <w:t>.</w:t>
      </w:r>
    </w:p>
    <w:p w:rsidR="006025FE" w:rsidRPr="008A084A" w:rsidRDefault="006025FE" w:rsidP="002C39B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9360"/>
        </w:tabs>
        <w:ind w:left="0" w:firstLine="0"/>
        <w:jc w:val="both"/>
        <w:rPr>
          <w:rFonts w:ascii="Cambria" w:hAnsi="Cambria"/>
          <w:color w:val="auto"/>
          <w:sz w:val="20"/>
          <w:szCs w:val="20"/>
        </w:rPr>
      </w:pPr>
    </w:p>
    <w:p w:rsidR="006025FE" w:rsidRPr="008A084A" w:rsidRDefault="006025FE" w:rsidP="00A97EBC">
      <w:pPr>
        <w:numPr>
          <w:ilvl w:val="0"/>
          <w:numId w:val="55"/>
        </w:numPr>
        <w:jc w:val="both"/>
        <w:rPr>
          <w:rFonts w:ascii="Cambria" w:hAnsi="Cambria"/>
          <w:sz w:val="20"/>
          <w:szCs w:val="20"/>
          <w:lang w:val="es-ES"/>
        </w:rPr>
      </w:pPr>
      <w:r w:rsidRPr="008A084A">
        <w:rPr>
          <w:rFonts w:ascii="Cambria" w:hAnsi="Cambria"/>
          <w:sz w:val="20"/>
          <w:szCs w:val="20"/>
          <w:lang w:val="es-ES"/>
        </w:rPr>
        <w:t>El 7 de octubre de 2004 el director de DINATED emitió una resolución indicando que se avoca conocimiento de la queja en tanto reúne los requisitos legales</w:t>
      </w:r>
      <w:r w:rsidRPr="008A084A">
        <w:rPr>
          <w:rStyle w:val="FootnoteReference"/>
          <w:rFonts w:ascii="Cambria" w:hAnsi="Cambria"/>
          <w:sz w:val="20"/>
          <w:szCs w:val="20"/>
        </w:rPr>
        <w:footnoteReference w:id="195"/>
      </w:r>
      <w:r w:rsidRPr="008A084A">
        <w:rPr>
          <w:rFonts w:ascii="Cambria" w:hAnsi="Cambria"/>
          <w:sz w:val="20"/>
          <w:szCs w:val="20"/>
          <w:lang w:val="es-ES"/>
        </w:rPr>
        <w:t>.</w:t>
      </w:r>
    </w:p>
    <w:p w:rsidR="004D00EA" w:rsidRPr="008A084A" w:rsidRDefault="004D00EA" w:rsidP="002C39B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9360"/>
        </w:tabs>
        <w:ind w:left="0" w:firstLine="0"/>
        <w:jc w:val="both"/>
        <w:rPr>
          <w:rFonts w:ascii="Cambria" w:hAnsi="Cambria"/>
          <w:color w:val="auto"/>
          <w:sz w:val="20"/>
          <w:szCs w:val="20"/>
        </w:rPr>
      </w:pPr>
    </w:p>
    <w:p w:rsidR="00A97EBC" w:rsidRPr="008A084A" w:rsidRDefault="004D00EA" w:rsidP="00A97EBC">
      <w:pPr>
        <w:numPr>
          <w:ilvl w:val="0"/>
          <w:numId w:val="55"/>
        </w:numPr>
        <w:jc w:val="both"/>
        <w:rPr>
          <w:rFonts w:ascii="Cambria" w:hAnsi="Cambria"/>
          <w:sz w:val="20"/>
          <w:szCs w:val="20"/>
          <w:lang w:val="es-ES"/>
        </w:rPr>
      </w:pPr>
      <w:r w:rsidRPr="008A084A">
        <w:rPr>
          <w:rFonts w:ascii="Cambria" w:hAnsi="Cambria"/>
          <w:sz w:val="20"/>
          <w:szCs w:val="20"/>
          <w:lang w:val="es-ES"/>
        </w:rPr>
        <w:t>El 17 de febrero de 2005 el director de la DINATED envió una comunicación al Ministro de Salud</w:t>
      </w:r>
      <w:r w:rsidRPr="008A084A">
        <w:rPr>
          <w:rStyle w:val="FootnoteReference"/>
          <w:rFonts w:ascii="Cambria" w:hAnsi="Cambria"/>
          <w:sz w:val="20"/>
          <w:szCs w:val="20"/>
        </w:rPr>
        <w:footnoteReference w:id="196"/>
      </w:r>
      <w:r w:rsidRPr="008A084A">
        <w:rPr>
          <w:rFonts w:ascii="Cambria" w:hAnsi="Cambria"/>
          <w:sz w:val="20"/>
          <w:szCs w:val="20"/>
          <w:lang w:val="es-ES"/>
        </w:rPr>
        <w:t>. Se le indicó que reali</w:t>
      </w:r>
      <w:r w:rsidR="00502E96" w:rsidRPr="008A084A">
        <w:rPr>
          <w:rFonts w:ascii="Cambria" w:hAnsi="Cambria"/>
          <w:sz w:val="20"/>
          <w:szCs w:val="20"/>
          <w:lang w:val="es-ES"/>
        </w:rPr>
        <w:t>ce</w:t>
      </w:r>
      <w:r w:rsidRPr="008A084A">
        <w:rPr>
          <w:rFonts w:ascii="Cambria" w:hAnsi="Cambria"/>
          <w:sz w:val="20"/>
          <w:szCs w:val="20"/>
          <w:lang w:val="es-ES"/>
        </w:rPr>
        <w:t xml:space="preserve"> las gestiones pertinentes para realizar un examen de ADN a un cadáver que perman</w:t>
      </w:r>
      <w:r w:rsidR="00A97EBC" w:rsidRPr="008A084A">
        <w:rPr>
          <w:rFonts w:ascii="Cambria" w:hAnsi="Cambria"/>
          <w:sz w:val="20"/>
          <w:szCs w:val="20"/>
          <w:lang w:val="es-ES"/>
        </w:rPr>
        <w:t>e</w:t>
      </w:r>
      <w:r w:rsidRPr="008A084A">
        <w:rPr>
          <w:rFonts w:ascii="Cambria" w:hAnsi="Cambria"/>
          <w:sz w:val="20"/>
          <w:szCs w:val="20"/>
          <w:lang w:val="es-ES"/>
        </w:rPr>
        <w:t>ce en la morgue de la Policía, cuyo costo debería ser asumido por el Hospital Julio Endara</w:t>
      </w:r>
      <w:r w:rsidRPr="008A084A">
        <w:rPr>
          <w:rStyle w:val="FootnoteReference"/>
          <w:rFonts w:ascii="Cambria" w:hAnsi="Cambria"/>
          <w:sz w:val="20"/>
          <w:szCs w:val="20"/>
        </w:rPr>
        <w:footnoteReference w:id="197"/>
      </w:r>
      <w:r w:rsidRPr="008A084A">
        <w:rPr>
          <w:rFonts w:ascii="Cambria" w:hAnsi="Cambria"/>
          <w:sz w:val="20"/>
          <w:szCs w:val="20"/>
          <w:lang w:val="es-ES"/>
        </w:rPr>
        <w:t>. Ello debido a la “total responsabilidad que tiene (el hosp</w:t>
      </w:r>
      <w:r w:rsidR="00910B87" w:rsidRPr="008A084A">
        <w:rPr>
          <w:rFonts w:ascii="Cambria" w:hAnsi="Cambria"/>
          <w:sz w:val="20"/>
          <w:szCs w:val="20"/>
          <w:lang w:val="es-ES"/>
        </w:rPr>
        <w:t xml:space="preserve">ital) sobre este nefasto suceso; que ya lleva un año sin solución ya que la señora Zoila </w:t>
      </w:r>
      <w:r w:rsidR="002125A0" w:rsidRPr="008A084A">
        <w:rPr>
          <w:rFonts w:ascii="Cambria" w:hAnsi="Cambria"/>
          <w:sz w:val="20"/>
          <w:szCs w:val="20"/>
          <w:lang w:val="es-ES"/>
        </w:rPr>
        <w:t>Chimbó</w:t>
      </w:r>
      <w:r w:rsidR="00910B87" w:rsidRPr="008A084A">
        <w:rPr>
          <w:rFonts w:ascii="Cambria" w:hAnsi="Cambria"/>
          <w:sz w:val="20"/>
          <w:szCs w:val="20"/>
          <w:lang w:val="es-ES"/>
        </w:rPr>
        <w:t xml:space="preserve"> Jarro (...) es de muy escasos recursos económicos”</w:t>
      </w:r>
      <w:r w:rsidRPr="008A084A">
        <w:rPr>
          <w:rStyle w:val="FootnoteReference"/>
          <w:rFonts w:ascii="Cambria" w:hAnsi="Cambria"/>
          <w:sz w:val="20"/>
          <w:szCs w:val="20"/>
        </w:rPr>
        <w:footnoteReference w:id="198"/>
      </w:r>
      <w:r w:rsidRPr="008A084A">
        <w:rPr>
          <w:rFonts w:ascii="Cambria" w:hAnsi="Cambria"/>
          <w:sz w:val="20"/>
          <w:szCs w:val="20"/>
          <w:lang w:val="es-ES"/>
        </w:rPr>
        <w:t>.</w:t>
      </w:r>
      <w:r w:rsidR="00910B87" w:rsidRPr="008A084A">
        <w:rPr>
          <w:rFonts w:ascii="Cambria" w:hAnsi="Cambria"/>
          <w:sz w:val="20"/>
          <w:szCs w:val="20"/>
          <w:lang w:val="es-ES"/>
        </w:rPr>
        <w:t xml:space="preserve"> Asimismo, le solicitó que “se sirva impartir las disposiciones pertinentes para que se investigue adecuadamente este caso”</w:t>
      </w:r>
      <w:r w:rsidR="00910B87" w:rsidRPr="008A084A">
        <w:rPr>
          <w:rStyle w:val="FootnoteReference"/>
          <w:rFonts w:ascii="Cambria" w:hAnsi="Cambria"/>
          <w:sz w:val="20"/>
          <w:szCs w:val="20"/>
        </w:rPr>
        <w:footnoteReference w:id="199"/>
      </w:r>
      <w:r w:rsidR="00910B87" w:rsidRPr="008A084A">
        <w:rPr>
          <w:rFonts w:ascii="Cambria" w:hAnsi="Cambria"/>
          <w:sz w:val="20"/>
          <w:szCs w:val="20"/>
          <w:lang w:val="es-ES"/>
        </w:rPr>
        <w:t>.</w:t>
      </w:r>
    </w:p>
    <w:p w:rsidR="00A97EBC" w:rsidRPr="008A084A" w:rsidRDefault="00A97EBC" w:rsidP="00A97EBC">
      <w:pPr>
        <w:pStyle w:val="ColorfulList-Accent11"/>
        <w:rPr>
          <w:rFonts w:ascii="Cambria" w:hAnsi="Cambria"/>
          <w:sz w:val="20"/>
          <w:szCs w:val="20"/>
          <w:lang w:val="es-ES"/>
        </w:rPr>
      </w:pPr>
    </w:p>
    <w:p w:rsidR="0011248A" w:rsidRPr="008A084A" w:rsidRDefault="003562A0" w:rsidP="00A97EBC">
      <w:pPr>
        <w:numPr>
          <w:ilvl w:val="0"/>
          <w:numId w:val="55"/>
        </w:numPr>
        <w:jc w:val="both"/>
        <w:rPr>
          <w:rFonts w:ascii="Cambria" w:hAnsi="Cambria"/>
          <w:sz w:val="20"/>
          <w:szCs w:val="20"/>
          <w:lang w:val="es-ES"/>
        </w:rPr>
      </w:pPr>
      <w:r w:rsidRPr="008A084A">
        <w:rPr>
          <w:rFonts w:ascii="Cambria" w:hAnsi="Cambria"/>
          <w:sz w:val="20"/>
          <w:szCs w:val="20"/>
          <w:lang w:val="es-ES"/>
        </w:rPr>
        <w:lastRenderedPageBreak/>
        <w:t>La CIDH no cuenta con información sobr</w:t>
      </w:r>
      <w:r w:rsidR="0078141F" w:rsidRPr="008A084A">
        <w:rPr>
          <w:rFonts w:ascii="Cambria" w:hAnsi="Cambria"/>
          <w:sz w:val="20"/>
          <w:szCs w:val="20"/>
          <w:lang w:val="es-ES"/>
        </w:rPr>
        <w:t>e</w:t>
      </w:r>
      <w:r w:rsidRPr="008A084A">
        <w:rPr>
          <w:rFonts w:ascii="Cambria" w:hAnsi="Cambria"/>
          <w:sz w:val="20"/>
          <w:szCs w:val="20"/>
          <w:lang w:val="es-ES"/>
        </w:rPr>
        <w:t xml:space="preserve"> diligencias</w:t>
      </w:r>
      <w:r w:rsidR="0078141F" w:rsidRPr="008A084A">
        <w:rPr>
          <w:rFonts w:ascii="Cambria" w:hAnsi="Cambria"/>
          <w:sz w:val="20"/>
          <w:szCs w:val="20"/>
          <w:lang w:val="es-ES"/>
        </w:rPr>
        <w:t xml:space="preserve"> adicionales</w:t>
      </w:r>
      <w:r w:rsidRPr="008A084A">
        <w:rPr>
          <w:rFonts w:ascii="Cambria" w:hAnsi="Cambria"/>
          <w:sz w:val="20"/>
          <w:szCs w:val="20"/>
          <w:lang w:val="es-ES"/>
        </w:rPr>
        <w:t xml:space="preserve"> adoptadas en el marco de esta investigación.</w:t>
      </w:r>
    </w:p>
    <w:p w:rsidR="00F73817" w:rsidRPr="008A084A" w:rsidRDefault="00F73817" w:rsidP="002C39B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9360"/>
        </w:tabs>
        <w:ind w:left="0" w:firstLine="0"/>
        <w:jc w:val="both"/>
        <w:rPr>
          <w:rFonts w:ascii="Cambria" w:hAnsi="Cambria"/>
          <w:color w:val="auto"/>
          <w:sz w:val="20"/>
          <w:szCs w:val="20"/>
        </w:rPr>
      </w:pPr>
    </w:p>
    <w:p w:rsidR="006A0F60" w:rsidRPr="008A084A" w:rsidRDefault="00FC72CE" w:rsidP="00A97EBC">
      <w:pPr>
        <w:ind w:firstLine="720"/>
        <w:jc w:val="both"/>
        <w:rPr>
          <w:rFonts w:ascii="Cambria" w:hAnsi="Cambria"/>
          <w:b/>
          <w:sz w:val="20"/>
          <w:szCs w:val="20"/>
        </w:rPr>
      </w:pPr>
      <w:r w:rsidRPr="008A084A">
        <w:rPr>
          <w:rFonts w:ascii="Cambria" w:hAnsi="Cambria"/>
          <w:b/>
          <w:sz w:val="20"/>
          <w:szCs w:val="20"/>
          <w:lang w:val="es-ES"/>
        </w:rPr>
        <w:t xml:space="preserve">4. </w:t>
      </w:r>
      <w:r w:rsidRPr="008A084A">
        <w:rPr>
          <w:rFonts w:ascii="Cambria" w:hAnsi="Cambria"/>
          <w:b/>
          <w:sz w:val="20"/>
          <w:szCs w:val="20"/>
          <w:lang w:val="es-ES"/>
        </w:rPr>
        <w:tab/>
        <w:t>R</w:t>
      </w:r>
      <w:proofErr w:type="spellStart"/>
      <w:r w:rsidR="006A0F60" w:rsidRPr="008A084A">
        <w:rPr>
          <w:rFonts w:ascii="Cambria" w:hAnsi="Cambria"/>
          <w:b/>
          <w:sz w:val="20"/>
          <w:szCs w:val="20"/>
        </w:rPr>
        <w:t>ecurso</w:t>
      </w:r>
      <w:proofErr w:type="spellEnd"/>
      <w:r w:rsidR="006A0F60" w:rsidRPr="008A084A">
        <w:rPr>
          <w:rFonts w:ascii="Cambria" w:hAnsi="Cambria"/>
          <w:b/>
          <w:sz w:val="20"/>
          <w:szCs w:val="20"/>
        </w:rPr>
        <w:t xml:space="preserve"> de </w:t>
      </w:r>
      <w:proofErr w:type="spellStart"/>
      <w:r w:rsidR="006A0F60" w:rsidRPr="008A084A">
        <w:rPr>
          <w:rFonts w:ascii="Cambria" w:hAnsi="Cambria"/>
          <w:b/>
          <w:sz w:val="20"/>
          <w:szCs w:val="20"/>
        </w:rPr>
        <w:t>hábeas</w:t>
      </w:r>
      <w:proofErr w:type="spellEnd"/>
      <w:r w:rsidR="006A0F60" w:rsidRPr="008A084A">
        <w:rPr>
          <w:rFonts w:ascii="Cambria" w:hAnsi="Cambria"/>
          <w:b/>
          <w:sz w:val="20"/>
          <w:szCs w:val="20"/>
        </w:rPr>
        <w:t xml:space="preserve"> corpus</w:t>
      </w:r>
    </w:p>
    <w:p w:rsidR="006A0F60" w:rsidRPr="008A084A" w:rsidRDefault="006A0F60" w:rsidP="002C39B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9360"/>
        </w:tabs>
        <w:ind w:left="0" w:firstLine="0"/>
        <w:jc w:val="both"/>
        <w:rPr>
          <w:rFonts w:ascii="Cambria" w:hAnsi="Cambria"/>
          <w:color w:val="auto"/>
          <w:sz w:val="20"/>
          <w:szCs w:val="20"/>
        </w:rPr>
      </w:pPr>
    </w:p>
    <w:p w:rsidR="00333FA2" w:rsidRPr="008A084A" w:rsidRDefault="00B12795" w:rsidP="00A97EBC">
      <w:pPr>
        <w:numPr>
          <w:ilvl w:val="0"/>
          <w:numId w:val="55"/>
        </w:numPr>
        <w:jc w:val="both"/>
        <w:rPr>
          <w:rFonts w:ascii="Cambria" w:hAnsi="Cambria"/>
          <w:sz w:val="20"/>
          <w:szCs w:val="20"/>
          <w:lang w:val="es-ES"/>
        </w:rPr>
      </w:pPr>
      <w:r w:rsidRPr="008A084A">
        <w:rPr>
          <w:rFonts w:ascii="Cambria" w:hAnsi="Cambria"/>
          <w:sz w:val="20"/>
          <w:szCs w:val="20"/>
          <w:lang w:val="es-ES"/>
        </w:rPr>
        <w:t>El 29 de noviembre de 2004 la INREDH</w:t>
      </w:r>
      <w:r w:rsidR="00E435E7" w:rsidRPr="008A084A">
        <w:rPr>
          <w:rFonts w:ascii="Cambria" w:hAnsi="Cambria"/>
          <w:sz w:val="20"/>
          <w:szCs w:val="20"/>
          <w:lang w:val="es-ES"/>
        </w:rPr>
        <w:t xml:space="preserve"> presentó un hábeas corpus ante el alcalde de Quito a favor del señor Guachalá</w:t>
      </w:r>
      <w:r w:rsidR="00E435E7" w:rsidRPr="008A084A">
        <w:rPr>
          <w:rStyle w:val="FootnoteReference"/>
          <w:rFonts w:ascii="Cambria" w:hAnsi="Cambria"/>
          <w:sz w:val="20"/>
          <w:szCs w:val="20"/>
        </w:rPr>
        <w:footnoteReference w:id="200"/>
      </w:r>
      <w:r w:rsidR="00E435E7" w:rsidRPr="008A084A">
        <w:rPr>
          <w:rFonts w:ascii="Cambria" w:hAnsi="Cambria"/>
          <w:sz w:val="20"/>
          <w:szCs w:val="20"/>
          <w:lang w:val="es-ES"/>
        </w:rPr>
        <w:t>.</w:t>
      </w:r>
      <w:r w:rsidR="00F73817" w:rsidRPr="008A084A">
        <w:rPr>
          <w:rFonts w:ascii="Cambria" w:hAnsi="Cambria"/>
          <w:sz w:val="20"/>
          <w:szCs w:val="20"/>
          <w:lang w:val="es-ES"/>
        </w:rPr>
        <w:t xml:space="preserve"> En su solicitud se indicó que a la fecha el hospital no ha dado información sobre las circunstancias en las cuales el señor Guachalá pudo haber salido de dicha institución</w:t>
      </w:r>
      <w:r w:rsidR="00F73817" w:rsidRPr="008A084A">
        <w:rPr>
          <w:rStyle w:val="FootnoteReference"/>
          <w:rFonts w:ascii="Cambria" w:hAnsi="Cambria"/>
          <w:sz w:val="20"/>
          <w:szCs w:val="20"/>
        </w:rPr>
        <w:footnoteReference w:id="201"/>
      </w:r>
      <w:r w:rsidR="00F73817" w:rsidRPr="008A084A">
        <w:rPr>
          <w:rFonts w:ascii="Cambria" w:hAnsi="Cambria"/>
          <w:sz w:val="20"/>
          <w:szCs w:val="20"/>
          <w:lang w:val="es-ES"/>
        </w:rPr>
        <w:t>. Se indicó que ello constituye una negligencia inadmisible del personal de atención de dicho hospital, el cual es una dependencia del Ministerio de Salud Pública del Ecuador</w:t>
      </w:r>
      <w:r w:rsidR="00F73817" w:rsidRPr="008A084A">
        <w:rPr>
          <w:rStyle w:val="FootnoteReference"/>
          <w:rFonts w:ascii="Cambria" w:hAnsi="Cambria"/>
          <w:sz w:val="20"/>
          <w:szCs w:val="20"/>
        </w:rPr>
        <w:footnoteReference w:id="202"/>
      </w:r>
      <w:r w:rsidR="00F73817" w:rsidRPr="008A084A">
        <w:rPr>
          <w:rFonts w:ascii="Cambria" w:hAnsi="Cambria"/>
          <w:sz w:val="20"/>
          <w:szCs w:val="20"/>
          <w:lang w:val="es-ES"/>
        </w:rPr>
        <w:t>.</w:t>
      </w:r>
      <w:r w:rsidR="003C1841" w:rsidRPr="008A084A">
        <w:rPr>
          <w:rFonts w:ascii="Cambria" w:hAnsi="Cambria"/>
          <w:sz w:val="20"/>
          <w:szCs w:val="20"/>
          <w:lang w:val="es-ES"/>
        </w:rPr>
        <w:t xml:space="preserve"> </w:t>
      </w:r>
      <w:r w:rsidR="00B00408" w:rsidRPr="008A084A">
        <w:rPr>
          <w:rFonts w:ascii="Cambria" w:hAnsi="Cambria"/>
          <w:sz w:val="20"/>
          <w:szCs w:val="20"/>
          <w:lang w:val="es-ES"/>
        </w:rPr>
        <w:t>Asimismo, s</w:t>
      </w:r>
      <w:r w:rsidR="00333FA2" w:rsidRPr="008A084A">
        <w:rPr>
          <w:rFonts w:ascii="Cambria" w:hAnsi="Cambria"/>
          <w:sz w:val="20"/>
          <w:szCs w:val="20"/>
          <w:lang w:val="es-ES"/>
        </w:rPr>
        <w:t>e señaló que la Fiscalía de Pichincha no ha logrado establecer el paradero del señor Guachalá</w:t>
      </w:r>
      <w:r w:rsidR="00333FA2" w:rsidRPr="008A084A">
        <w:rPr>
          <w:rStyle w:val="FootnoteReference"/>
          <w:rFonts w:ascii="Cambria" w:hAnsi="Cambria"/>
          <w:sz w:val="20"/>
          <w:szCs w:val="20"/>
        </w:rPr>
        <w:footnoteReference w:id="203"/>
      </w:r>
      <w:r w:rsidR="00333FA2" w:rsidRPr="008A084A">
        <w:rPr>
          <w:rFonts w:ascii="Cambria" w:hAnsi="Cambria"/>
          <w:sz w:val="20"/>
          <w:szCs w:val="20"/>
          <w:lang w:val="es-ES"/>
        </w:rPr>
        <w:t>.</w:t>
      </w:r>
    </w:p>
    <w:p w:rsidR="003C1841" w:rsidRPr="008A084A" w:rsidRDefault="003C1841" w:rsidP="002C39B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9360"/>
        </w:tabs>
        <w:ind w:left="0" w:firstLine="0"/>
        <w:jc w:val="both"/>
        <w:rPr>
          <w:rFonts w:ascii="Cambria" w:hAnsi="Cambria"/>
          <w:color w:val="auto"/>
          <w:sz w:val="20"/>
          <w:szCs w:val="20"/>
        </w:rPr>
      </w:pPr>
    </w:p>
    <w:p w:rsidR="003C1841" w:rsidRPr="008A084A" w:rsidRDefault="003C1841" w:rsidP="00A97EBC">
      <w:pPr>
        <w:numPr>
          <w:ilvl w:val="0"/>
          <w:numId w:val="55"/>
        </w:numPr>
        <w:jc w:val="both"/>
        <w:rPr>
          <w:rFonts w:ascii="Cambria" w:hAnsi="Cambria"/>
          <w:sz w:val="20"/>
          <w:szCs w:val="20"/>
          <w:lang w:val="es-ES"/>
        </w:rPr>
      </w:pPr>
      <w:r w:rsidRPr="008A084A">
        <w:rPr>
          <w:rFonts w:ascii="Cambria" w:hAnsi="Cambria"/>
          <w:sz w:val="20"/>
          <w:szCs w:val="20"/>
          <w:lang w:val="es-ES"/>
        </w:rPr>
        <w:t>El 14 de diciembre de 20</w:t>
      </w:r>
      <w:r w:rsidR="00F65FA6" w:rsidRPr="008A084A">
        <w:rPr>
          <w:rFonts w:ascii="Cambria" w:hAnsi="Cambria"/>
          <w:sz w:val="20"/>
          <w:szCs w:val="20"/>
          <w:lang w:val="es-ES"/>
        </w:rPr>
        <w:t>04</w:t>
      </w:r>
      <w:r w:rsidRPr="008A084A">
        <w:rPr>
          <w:rFonts w:ascii="Cambria" w:hAnsi="Cambria"/>
          <w:sz w:val="20"/>
          <w:szCs w:val="20"/>
          <w:lang w:val="es-ES"/>
        </w:rPr>
        <w:t xml:space="preserve"> la alcaldía del distrito metropolitano de Quito dispuso que el señor Guachalá sea “conducido a su presencia el 15 de diciembre de 2004, con la correspondiente orden de privación de libertad”</w:t>
      </w:r>
      <w:r w:rsidRPr="008A084A">
        <w:rPr>
          <w:rStyle w:val="FootnoteReference"/>
          <w:rFonts w:ascii="Cambria" w:hAnsi="Cambria"/>
          <w:sz w:val="20"/>
          <w:szCs w:val="20"/>
        </w:rPr>
        <w:footnoteReference w:id="204"/>
      </w:r>
      <w:r w:rsidRPr="008A084A">
        <w:rPr>
          <w:rFonts w:ascii="Cambria" w:hAnsi="Cambria"/>
          <w:sz w:val="20"/>
          <w:szCs w:val="20"/>
          <w:lang w:val="es-ES"/>
        </w:rPr>
        <w:t>.</w:t>
      </w:r>
    </w:p>
    <w:p w:rsidR="003C1841" w:rsidRPr="008A084A" w:rsidRDefault="003C1841" w:rsidP="002C39B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9360"/>
        </w:tabs>
        <w:ind w:left="0" w:firstLine="0"/>
        <w:jc w:val="both"/>
        <w:rPr>
          <w:rFonts w:ascii="Cambria" w:hAnsi="Cambria"/>
          <w:color w:val="auto"/>
          <w:sz w:val="20"/>
          <w:szCs w:val="20"/>
        </w:rPr>
      </w:pPr>
    </w:p>
    <w:p w:rsidR="003C1841" w:rsidRPr="008A084A" w:rsidRDefault="003C1841" w:rsidP="00A97EBC">
      <w:pPr>
        <w:numPr>
          <w:ilvl w:val="0"/>
          <w:numId w:val="55"/>
        </w:numPr>
        <w:jc w:val="both"/>
        <w:rPr>
          <w:rFonts w:ascii="Cambria" w:hAnsi="Cambria"/>
          <w:sz w:val="20"/>
          <w:szCs w:val="20"/>
          <w:lang w:val="es-ES"/>
        </w:rPr>
      </w:pPr>
      <w:r w:rsidRPr="008A084A">
        <w:rPr>
          <w:rFonts w:ascii="Cambria" w:hAnsi="Cambria"/>
          <w:sz w:val="20"/>
          <w:szCs w:val="20"/>
          <w:lang w:val="es-ES"/>
        </w:rPr>
        <w:t xml:space="preserve">Al día siguiente el director del </w:t>
      </w:r>
      <w:r w:rsidR="00A5414A" w:rsidRPr="008A084A">
        <w:rPr>
          <w:rFonts w:ascii="Cambria" w:hAnsi="Cambria"/>
          <w:sz w:val="20"/>
          <w:szCs w:val="20"/>
          <w:lang w:val="es-ES"/>
        </w:rPr>
        <w:t>h</w:t>
      </w:r>
      <w:r w:rsidRPr="008A084A">
        <w:rPr>
          <w:rFonts w:ascii="Cambria" w:hAnsi="Cambria"/>
          <w:sz w:val="20"/>
          <w:szCs w:val="20"/>
          <w:lang w:val="es-ES"/>
        </w:rPr>
        <w:t>ospital envió una comunicación indicando que el señor Guachalá “fue paciente de esa casa de salud hasta el 17 de enero de 2004, fecha en la que abandonó la institución”</w:t>
      </w:r>
      <w:r w:rsidRPr="008A084A">
        <w:rPr>
          <w:rStyle w:val="FootnoteReference"/>
          <w:rFonts w:ascii="Cambria" w:hAnsi="Cambria"/>
          <w:sz w:val="20"/>
          <w:szCs w:val="20"/>
        </w:rPr>
        <w:footnoteReference w:id="205"/>
      </w:r>
      <w:r w:rsidRPr="008A084A">
        <w:rPr>
          <w:rFonts w:ascii="Cambria" w:hAnsi="Cambria"/>
          <w:sz w:val="20"/>
          <w:szCs w:val="20"/>
          <w:lang w:val="es-ES"/>
        </w:rPr>
        <w:t xml:space="preserve">. Indicó que </w:t>
      </w:r>
      <w:r w:rsidR="00560036" w:rsidRPr="008A084A">
        <w:rPr>
          <w:rFonts w:ascii="Cambria" w:hAnsi="Cambria"/>
          <w:sz w:val="20"/>
          <w:szCs w:val="20"/>
          <w:lang w:val="es-ES"/>
        </w:rPr>
        <w:t>se ha</w:t>
      </w:r>
      <w:r w:rsidRPr="008A084A">
        <w:rPr>
          <w:rFonts w:ascii="Cambria" w:hAnsi="Cambria"/>
          <w:sz w:val="20"/>
          <w:szCs w:val="20"/>
          <w:lang w:val="es-ES"/>
        </w:rPr>
        <w:t xml:space="preserve"> intentado localizarlo “pero que siempre está previsto como un riesgo de los pacientes con enfermedades psiquiátricas que son internados</w:t>
      </w:r>
      <w:r w:rsidR="00B90B97" w:rsidRPr="008A084A">
        <w:rPr>
          <w:rFonts w:ascii="Cambria" w:hAnsi="Cambria"/>
          <w:sz w:val="20"/>
          <w:szCs w:val="20"/>
          <w:lang w:val="es-ES"/>
        </w:rPr>
        <w:t>, de lo cual son</w:t>
      </w:r>
      <w:r w:rsidR="009E2800" w:rsidRPr="008A084A">
        <w:rPr>
          <w:rFonts w:ascii="Cambria" w:hAnsi="Cambria"/>
          <w:sz w:val="20"/>
          <w:szCs w:val="20"/>
          <w:lang w:val="es-ES"/>
        </w:rPr>
        <w:t xml:space="preserve"> </w:t>
      </w:r>
      <w:proofErr w:type="spellStart"/>
      <w:r w:rsidR="009E2800" w:rsidRPr="008A084A">
        <w:rPr>
          <w:rFonts w:ascii="Cambria" w:hAnsi="Cambria"/>
          <w:sz w:val="20"/>
          <w:szCs w:val="20"/>
          <w:lang w:val="es-ES"/>
        </w:rPr>
        <w:t>concientes</w:t>
      </w:r>
      <w:proofErr w:type="spellEnd"/>
      <w:r w:rsidR="009E2800" w:rsidRPr="008A084A">
        <w:rPr>
          <w:rFonts w:ascii="Cambria" w:hAnsi="Cambria"/>
          <w:sz w:val="20"/>
          <w:szCs w:val="20"/>
          <w:lang w:val="es-ES"/>
        </w:rPr>
        <w:t xml:space="preserve"> (sic) y conocedores los familiares quienes aceptan las condiciones de internamiento y sus riesgos</w:t>
      </w:r>
      <w:r w:rsidRPr="008A084A">
        <w:rPr>
          <w:rFonts w:ascii="Cambria" w:hAnsi="Cambria"/>
          <w:sz w:val="20"/>
          <w:szCs w:val="20"/>
          <w:lang w:val="es-ES"/>
        </w:rPr>
        <w:t>”</w:t>
      </w:r>
      <w:r w:rsidR="009E2800" w:rsidRPr="008A084A">
        <w:rPr>
          <w:rStyle w:val="FootnoteReference"/>
          <w:rFonts w:ascii="Cambria" w:hAnsi="Cambria"/>
          <w:sz w:val="20"/>
          <w:szCs w:val="20"/>
        </w:rPr>
        <w:footnoteReference w:id="206"/>
      </w:r>
      <w:r w:rsidR="009E2800" w:rsidRPr="008A084A">
        <w:rPr>
          <w:rFonts w:ascii="Cambria" w:hAnsi="Cambria"/>
          <w:sz w:val="20"/>
          <w:szCs w:val="20"/>
          <w:lang w:val="es-ES"/>
        </w:rPr>
        <w:t>.</w:t>
      </w:r>
    </w:p>
    <w:p w:rsidR="009E2800" w:rsidRPr="008A084A" w:rsidRDefault="009E2800" w:rsidP="002C39B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9360"/>
        </w:tabs>
        <w:ind w:left="0" w:firstLine="0"/>
        <w:jc w:val="both"/>
        <w:rPr>
          <w:rFonts w:ascii="Cambria" w:hAnsi="Cambria"/>
          <w:color w:val="auto"/>
          <w:sz w:val="20"/>
          <w:szCs w:val="20"/>
        </w:rPr>
      </w:pPr>
    </w:p>
    <w:p w:rsidR="009E2800" w:rsidRPr="008A084A" w:rsidRDefault="009E2800" w:rsidP="009B2758">
      <w:pPr>
        <w:numPr>
          <w:ilvl w:val="0"/>
          <w:numId w:val="55"/>
        </w:numPr>
        <w:jc w:val="both"/>
        <w:rPr>
          <w:rFonts w:ascii="Cambria" w:hAnsi="Cambria"/>
          <w:sz w:val="20"/>
          <w:szCs w:val="20"/>
          <w:lang w:val="es-ES"/>
        </w:rPr>
      </w:pPr>
      <w:r w:rsidRPr="008A084A">
        <w:rPr>
          <w:rFonts w:ascii="Cambria" w:hAnsi="Cambria"/>
          <w:sz w:val="20"/>
          <w:szCs w:val="20"/>
          <w:lang w:val="es-ES"/>
        </w:rPr>
        <w:t xml:space="preserve">El 16 de diciembre de 2004 la INREDH presentó un </w:t>
      </w:r>
      <w:r w:rsidR="000342A0" w:rsidRPr="008A084A">
        <w:rPr>
          <w:rFonts w:ascii="Cambria" w:hAnsi="Cambria"/>
          <w:sz w:val="20"/>
          <w:szCs w:val="20"/>
          <w:lang w:val="es-ES"/>
        </w:rPr>
        <w:t xml:space="preserve">escrito al alcalde del distrito metropolitano de Quito en donde dejaron constancia </w:t>
      </w:r>
      <w:r w:rsidR="0078141F" w:rsidRPr="008A084A">
        <w:rPr>
          <w:rFonts w:ascii="Cambria" w:hAnsi="Cambria"/>
          <w:sz w:val="20"/>
          <w:szCs w:val="20"/>
          <w:lang w:val="es-ES"/>
        </w:rPr>
        <w:t xml:space="preserve">de haber sido </w:t>
      </w:r>
      <w:r w:rsidR="000342A0" w:rsidRPr="008A084A">
        <w:rPr>
          <w:rFonts w:ascii="Cambria" w:hAnsi="Cambria"/>
          <w:sz w:val="20"/>
          <w:szCs w:val="20"/>
          <w:lang w:val="es-ES"/>
        </w:rPr>
        <w:t>informados de que no habría una audiencia de hábeas corpus</w:t>
      </w:r>
      <w:r w:rsidR="000342A0" w:rsidRPr="008A084A">
        <w:rPr>
          <w:rStyle w:val="FootnoteReference"/>
          <w:rFonts w:ascii="Cambria" w:hAnsi="Cambria"/>
          <w:sz w:val="20"/>
          <w:szCs w:val="20"/>
        </w:rPr>
        <w:footnoteReference w:id="207"/>
      </w:r>
      <w:r w:rsidR="000342A0" w:rsidRPr="008A084A">
        <w:rPr>
          <w:rFonts w:ascii="Cambria" w:hAnsi="Cambria"/>
          <w:sz w:val="20"/>
          <w:szCs w:val="20"/>
          <w:lang w:val="es-ES"/>
        </w:rPr>
        <w:t>. Ello debido a que el señor Guachalá “no iba a ser presentado, ya que no se encontraba en el hospital (...), según la información que se había recabado de esa casa de salud, en base a lo cual se iba a resolver”</w:t>
      </w:r>
      <w:r w:rsidR="000342A0" w:rsidRPr="008A084A">
        <w:rPr>
          <w:rStyle w:val="FootnoteReference"/>
          <w:rFonts w:ascii="Cambria" w:hAnsi="Cambria"/>
          <w:sz w:val="20"/>
          <w:szCs w:val="20"/>
        </w:rPr>
        <w:footnoteReference w:id="208"/>
      </w:r>
      <w:r w:rsidR="000342A0" w:rsidRPr="008A084A">
        <w:rPr>
          <w:rFonts w:ascii="Cambria" w:hAnsi="Cambria"/>
          <w:sz w:val="20"/>
          <w:szCs w:val="20"/>
          <w:lang w:val="es-ES"/>
        </w:rPr>
        <w:t>. Solicitaron al alcalde que considere al momento de resolver que la acción de hábeas corpus es la garantía idónea para hallar a una persona desaparecida</w:t>
      </w:r>
      <w:r w:rsidR="000342A0" w:rsidRPr="008A084A">
        <w:rPr>
          <w:rStyle w:val="FootnoteReference"/>
          <w:rFonts w:ascii="Cambria" w:hAnsi="Cambria"/>
          <w:sz w:val="20"/>
          <w:szCs w:val="20"/>
        </w:rPr>
        <w:footnoteReference w:id="209"/>
      </w:r>
      <w:r w:rsidR="000342A0" w:rsidRPr="008A084A">
        <w:rPr>
          <w:rFonts w:ascii="Cambria" w:hAnsi="Cambria"/>
          <w:sz w:val="20"/>
          <w:szCs w:val="20"/>
          <w:lang w:val="es-ES"/>
        </w:rPr>
        <w:t>.</w:t>
      </w:r>
    </w:p>
    <w:p w:rsidR="000B53FA" w:rsidRPr="008A084A" w:rsidRDefault="000B53FA" w:rsidP="002C39B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9360"/>
        </w:tabs>
        <w:ind w:left="0" w:firstLine="0"/>
        <w:jc w:val="both"/>
        <w:rPr>
          <w:rFonts w:ascii="Cambria" w:hAnsi="Cambria"/>
          <w:color w:val="auto"/>
          <w:sz w:val="20"/>
          <w:szCs w:val="20"/>
        </w:rPr>
      </w:pPr>
    </w:p>
    <w:p w:rsidR="000B53FA" w:rsidRPr="008A084A" w:rsidRDefault="000B53FA" w:rsidP="009B2758">
      <w:pPr>
        <w:numPr>
          <w:ilvl w:val="0"/>
          <w:numId w:val="55"/>
        </w:numPr>
        <w:jc w:val="both"/>
        <w:rPr>
          <w:rFonts w:ascii="Cambria" w:hAnsi="Cambria"/>
          <w:sz w:val="20"/>
          <w:szCs w:val="20"/>
          <w:lang w:val="es-ES"/>
        </w:rPr>
      </w:pPr>
      <w:r w:rsidRPr="008A084A">
        <w:rPr>
          <w:rFonts w:ascii="Cambria" w:hAnsi="Cambria"/>
          <w:sz w:val="20"/>
          <w:szCs w:val="20"/>
          <w:lang w:val="es-ES"/>
        </w:rPr>
        <w:t>El 27 de abril de 2005 la INREDH presentó un escrito al Tribunal Constitucional indicando que no ha</w:t>
      </w:r>
      <w:r w:rsidR="00B111D9" w:rsidRPr="008A084A">
        <w:rPr>
          <w:rFonts w:ascii="Cambria" w:hAnsi="Cambria"/>
          <w:sz w:val="20"/>
          <w:szCs w:val="20"/>
          <w:lang w:val="es-ES"/>
        </w:rPr>
        <w:t>bían ob</w:t>
      </w:r>
      <w:r w:rsidRPr="008A084A">
        <w:rPr>
          <w:rFonts w:ascii="Cambria" w:hAnsi="Cambria"/>
          <w:sz w:val="20"/>
          <w:szCs w:val="20"/>
          <w:lang w:val="es-ES"/>
        </w:rPr>
        <w:t>tenido respuesta del oficio enviado el 16 de diciembre de 2004</w:t>
      </w:r>
      <w:r w:rsidRPr="008A084A">
        <w:rPr>
          <w:rStyle w:val="FootnoteReference"/>
          <w:rFonts w:ascii="Cambria" w:hAnsi="Cambria"/>
          <w:sz w:val="20"/>
          <w:szCs w:val="20"/>
        </w:rPr>
        <w:footnoteReference w:id="210"/>
      </w:r>
      <w:r w:rsidRPr="008A084A">
        <w:rPr>
          <w:rFonts w:ascii="Cambria" w:hAnsi="Cambria"/>
          <w:sz w:val="20"/>
          <w:szCs w:val="20"/>
          <w:lang w:val="es-ES"/>
        </w:rPr>
        <w:t>. Indicaron que el recurso de hábeas corpus no ha sido resuelto a pesar de que han acudido personalmente a la municipalidad para solicitar la tramitación del mismo</w:t>
      </w:r>
      <w:r w:rsidRPr="008A084A">
        <w:rPr>
          <w:rStyle w:val="FootnoteReference"/>
          <w:rFonts w:ascii="Cambria" w:hAnsi="Cambria"/>
          <w:sz w:val="20"/>
          <w:szCs w:val="20"/>
        </w:rPr>
        <w:footnoteReference w:id="211"/>
      </w:r>
      <w:r w:rsidRPr="008A084A">
        <w:rPr>
          <w:rFonts w:ascii="Cambria" w:hAnsi="Cambria"/>
          <w:sz w:val="20"/>
          <w:szCs w:val="20"/>
          <w:lang w:val="es-ES"/>
        </w:rPr>
        <w:t>. Explicaron que en la municipalidad les informaron que el expediente había sido archivado y “que no se emitiría ninguna resolución”</w:t>
      </w:r>
      <w:r w:rsidRPr="008A084A">
        <w:rPr>
          <w:rStyle w:val="FootnoteReference"/>
          <w:rFonts w:ascii="Cambria" w:hAnsi="Cambria"/>
          <w:sz w:val="20"/>
          <w:szCs w:val="20"/>
        </w:rPr>
        <w:footnoteReference w:id="212"/>
      </w:r>
      <w:r w:rsidRPr="008A084A">
        <w:rPr>
          <w:rFonts w:ascii="Cambria" w:hAnsi="Cambria"/>
          <w:sz w:val="20"/>
          <w:szCs w:val="20"/>
          <w:lang w:val="es-ES"/>
        </w:rPr>
        <w:t>.</w:t>
      </w:r>
      <w:r w:rsidR="00A612B5" w:rsidRPr="008A084A">
        <w:rPr>
          <w:rFonts w:ascii="Cambria" w:hAnsi="Cambria"/>
          <w:sz w:val="20"/>
          <w:szCs w:val="20"/>
          <w:lang w:val="es-ES"/>
        </w:rPr>
        <w:t xml:space="preserve"> Señalaron que consideran que ello implicaría que el recurso de hábeas corpus fue denegado por lo que solicitaron al Tribunal Constitucional que se pro</w:t>
      </w:r>
      <w:r w:rsidR="009B2758" w:rsidRPr="008A084A">
        <w:rPr>
          <w:rFonts w:ascii="Cambria" w:hAnsi="Cambria"/>
          <w:sz w:val="20"/>
          <w:szCs w:val="20"/>
          <w:lang w:val="es-ES"/>
        </w:rPr>
        <w:t xml:space="preserve">nuncie sobre </w:t>
      </w:r>
      <w:r w:rsidR="00A612B5" w:rsidRPr="008A084A">
        <w:rPr>
          <w:rFonts w:ascii="Cambria" w:hAnsi="Cambria"/>
          <w:sz w:val="20"/>
          <w:szCs w:val="20"/>
          <w:lang w:val="es-ES"/>
        </w:rPr>
        <w:t>dicha acción</w:t>
      </w:r>
      <w:r w:rsidR="00A612B5" w:rsidRPr="008A084A">
        <w:rPr>
          <w:rStyle w:val="FootnoteReference"/>
          <w:rFonts w:ascii="Cambria" w:hAnsi="Cambria"/>
          <w:sz w:val="20"/>
          <w:szCs w:val="20"/>
        </w:rPr>
        <w:footnoteReference w:id="213"/>
      </w:r>
      <w:r w:rsidR="00A612B5" w:rsidRPr="008A084A">
        <w:rPr>
          <w:rFonts w:ascii="Cambria" w:hAnsi="Cambria"/>
          <w:sz w:val="20"/>
          <w:szCs w:val="20"/>
          <w:lang w:val="es-ES"/>
        </w:rPr>
        <w:t>.</w:t>
      </w:r>
    </w:p>
    <w:p w:rsidR="00A612B5" w:rsidRPr="008A084A" w:rsidRDefault="00A612B5" w:rsidP="002C39B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9360"/>
        </w:tabs>
        <w:ind w:left="0" w:firstLine="0"/>
        <w:jc w:val="both"/>
        <w:rPr>
          <w:rFonts w:ascii="Cambria" w:hAnsi="Cambria"/>
          <w:color w:val="auto"/>
          <w:sz w:val="20"/>
          <w:szCs w:val="20"/>
        </w:rPr>
      </w:pPr>
    </w:p>
    <w:p w:rsidR="000B42EC" w:rsidRPr="008A084A" w:rsidRDefault="00A612B5" w:rsidP="009B2758">
      <w:pPr>
        <w:numPr>
          <w:ilvl w:val="0"/>
          <w:numId w:val="55"/>
        </w:numPr>
        <w:jc w:val="both"/>
        <w:rPr>
          <w:rFonts w:ascii="Cambria" w:hAnsi="Cambria"/>
          <w:sz w:val="20"/>
          <w:szCs w:val="20"/>
          <w:lang w:val="es-ES"/>
        </w:rPr>
      </w:pPr>
      <w:r w:rsidRPr="008A084A">
        <w:rPr>
          <w:rFonts w:ascii="Cambria" w:hAnsi="Cambria"/>
          <w:sz w:val="20"/>
          <w:szCs w:val="20"/>
          <w:lang w:val="es-ES"/>
        </w:rPr>
        <w:t>El 11 de abril de 2006 la Tercera Sala del Tribunal Constitucional avocó conocimiento de la causa</w:t>
      </w:r>
      <w:r w:rsidRPr="008A084A">
        <w:rPr>
          <w:rStyle w:val="FootnoteReference"/>
          <w:rFonts w:ascii="Cambria" w:hAnsi="Cambria"/>
          <w:sz w:val="20"/>
          <w:szCs w:val="20"/>
        </w:rPr>
        <w:footnoteReference w:id="214"/>
      </w:r>
      <w:r w:rsidRPr="008A084A">
        <w:rPr>
          <w:rFonts w:ascii="Cambria" w:hAnsi="Cambria"/>
          <w:sz w:val="20"/>
          <w:szCs w:val="20"/>
          <w:lang w:val="es-ES"/>
        </w:rPr>
        <w:t>. Posteriormente, e</w:t>
      </w:r>
      <w:r w:rsidR="009919E0" w:rsidRPr="008A084A">
        <w:rPr>
          <w:rFonts w:ascii="Cambria" w:hAnsi="Cambria"/>
          <w:sz w:val="20"/>
          <w:szCs w:val="20"/>
          <w:lang w:val="es-ES"/>
        </w:rPr>
        <w:t xml:space="preserve">l 6 de julio de 2006 el Tribunal Constitucional </w:t>
      </w:r>
      <w:r w:rsidR="009B2758" w:rsidRPr="008A084A">
        <w:rPr>
          <w:rFonts w:ascii="Cambria" w:hAnsi="Cambria"/>
          <w:sz w:val="20"/>
          <w:szCs w:val="20"/>
          <w:lang w:val="es-ES"/>
        </w:rPr>
        <w:t xml:space="preserve">emitió una resolución donde </w:t>
      </w:r>
      <w:r w:rsidR="00FB1307" w:rsidRPr="008A084A">
        <w:rPr>
          <w:rFonts w:ascii="Cambria" w:hAnsi="Cambria"/>
          <w:sz w:val="20"/>
          <w:szCs w:val="20"/>
          <w:lang w:val="es-ES"/>
        </w:rPr>
        <w:t xml:space="preserve">se </w:t>
      </w:r>
      <w:r w:rsidR="00FB1307" w:rsidRPr="008A084A">
        <w:rPr>
          <w:rFonts w:ascii="Cambria" w:hAnsi="Cambria"/>
          <w:sz w:val="20"/>
          <w:szCs w:val="20"/>
          <w:lang w:val="es-ES"/>
        </w:rPr>
        <w:lastRenderedPageBreak/>
        <w:t>pronunció sobre el hábeas corpus</w:t>
      </w:r>
      <w:r w:rsidR="00FB1307" w:rsidRPr="008A084A">
        <w:rPr>
          <w:rStyle w:val="FootnoteReference"/>
          <w:rFonts w:ascii="Cambria" w:hAnsi="Cambria"/>
          <w:sz w:val="20"/>
          <w:szCs w:val="20"/>
        </w:rPr>
        <w:footnoteReference w:id="215"/>
      </w:r>
      <w:r w:rsidR="00FB1307" w:rsidRPr="008A084A">
        <w:rPr>
          <w:rFonts w:ascii="Cambria" w:hAnsi="Cambria"/>
          <w:sz w:val="20"/>
          <w:szCs w:val="20"/>
          <w:lang w:val="es-ES"/>
        </w:rPr>
        <w:t>.</w:t>
      </w:r>
      <w:r w:rsidRPr="008A084A">
        <w:rPr>
          <w:rFonts w:ascii="Cambria" w:hAnsi="Cambria"/>
          <w:sz w:val="20"/>
          <w:szCs w:val="20"/>
          <w:lang w:val="es-ES"/>
        </w:rPr>
        <w:t xml:space="preserve"> </w:t>
      </w:r>
      <w:r w:rsidR="006E2EE2" w:rsidRPr="008A084A">
        <w:rPr>
          <w:rFonts w:ascii="Cambria" w:hAnsi="Cambria"/>
          <w:sz w:val="20"/>
          <w:szCs w:val="20"/>
          <w:lang w:val="es-ES"/>
        </w:rPr>
        <w:t xml:space="preserve">En relación con el trámite del recurso ante el alcalde, </w:t>
      </w:r>
      <w:r w:rsidR="00B111D9" w:rsidRPr="008A084A">
        <w:rPr>
          <w:rFonts w:ascii="Cambria" w:hAnsi="Cambria"/>
          <w:sz w:val="20"/>
          <w:szCs w:val="20"/>
          <w:lang w:val="es-ES"/>
        </w:rPr>
        <w:t>e</w:t>
      </w:r>
      <w:r w:rsidRPr="008A084A">
        <w:rPr>
          <w:rFonts w:ascii="Cambria" w:hAnsi="Cambria"/>
          <w:sz w:val="20"/>
          <w:szCs w:val="20"/>
          <w:lang w:val="es-ES"/>
        </w:rPr>
        <w:t>l Tribunal Constitucional sostuvo lo siguiente:</w:t>
      </w:r>
    </w:p>
    <w:p w:rsidR="00A612B5" w:rsidRPr="008A084A" w:rsidRDefault="00A612B5" w:rsidP="002C39B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9360"/>
        </w:tabs>
        <w:ind w:left="0" w:firstLine="0"/>
        <w:jc w:val="both"/>
        <w:rPr>
          <w:rFonts w:ascii="Cambria" w:hAnsi="Cambria"/>
          <w:color w:val="auto"/>
          <w:sz w:val="20"/>
          <w:szCs w:val="20"/>
        </w:rPr>
      </w:pPr>
    </w:p>
    <w:p w:rsidR="00A612B5" w:rsidRPr="008A084A" w:rsidRDefault="006E2EE2" w:rsidP="006E2EE2">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8640"/>
        </w:tabs>
        <w:ind w:left="720" w:right="720" w:firstLine="0"/>
        <w:jc w:val="both"/>
        <w:rPr>
          <w:rFonts w:ascii="Cambria" w:hAnsi="Cambria"/>
          <w:color w:val="auto"/>
          <w:sz w:val="20"/>
          <w:szCs w:val="20"/>
        </w:rPr>
      </w:pPr>
      <w:r w:rsidRPr="008A084A">
        <w:rPr>
          <w:rFonts w:ascii="Cambria" w:hAnsi="Cambria"/>
          <w:color w:val="auto"/>
          <w:sz w:val="20"/>
          <w:szCs w:val="20"/>
        </w:rPr>
        <w:t>(...) el alcalde en su calidad de juez constitucional para conocer la garantía del hábeas corpus se encontraba en la obligación de velar por el cumplimiento de la disposición citada, y al no dictar resolución en la causa que se le propuso, ha dejado a la parte en estado de indefensión, situación que debe ser subsanada por el Tribunal Constitucional</w:t>
      </w:r>
      <w:r w:rsidRPr="008A084A">
        <w:rPr>
          <w:rStyle w:val="FootnoteReference"/>
          <w:rFonts w:ascii="Cambria" w:hAnsi="Cambria"/>
          <w:color w:val="auto"/>
          <w:sz w:val="20"/>
          <w:szCs w:val="20"/>
        </w:rPr>
        <w:footnoteReference w:id="216"/>
      </w:r>
      <w:r w:rsidRPr="008A084A">
        <w:rPr>
          <w:rFonts w:ascii="Cambria" w:hAnsi="Cambria"/>
          <w:color w:val="auto"/>
          <w:sz w:val="20"/>
          <w:szCs w:val="20"/>
        </w:rPr>
        <w:t>.</w:t>
      </w:r>
    </w:p>
    <w:p w:rsidR="002C39B8" w:rsidRPr="008A084A" w:rsidRDefault="002C39B8" w:rsidP="00B519E2">
      <w:pPr>
        <w:jc w:val="both"/>
        <w:rPr>
          <w:rFonts w:ascii="Cambria" w:eastAsia="Times New Roman" w:hAnsi="Cambria"/>
          <w:sz w:val="20"/>
          <w:szCs w:val="20"/>
          <w:lang w:val="es-ES"/>
        </w:rPr>
      </w:pPr>
    </w:p>
    <w:p w:rsidR="006E2EE2" w:rsidRPr="008A084A" w:rsidRDefault="00A11F95" w:rsidP="009B2758">
      <w:pPr>
        <w:numPr>
          <w:ilvl w:val="0"/>
          <w:numId w:val="55"/>
        </w:numPr>
        <w:jc w:val="both"/>
        <w:rPr>
          <w:rFonts w:ascii="Cambria" w:eastAsia="Times New Roman" w:hAnsi="Cambria"/>
          <w:sz w:val="20"/>
          <w:szCs w:val="20"/>
          <w:lang w:val="es-ES"/>
        </w:rPr>
      </w:pPr>
      <w:r w:rsidRPr="008A084A">
        <w:rPr>
          <w:rFonts w:ascii="Cambria" w:hAnsi="Cambria"/>
          <w:sz w:val="20"/>
          <w:szCs w:val="20"/>
          <w:lang w:val="es-ES"/>
        </w:rPr>
        <w:t>Respecto</w:t>
      </w:r>
      <w:r w:rsidR="009B2758" w:rsidRPr="008A084A">
        <w:rPr>
          <w:rFonts w:ascii="Cambria" w:eastAsia="Times New Roman" w:hAnsi="Cambria"/>
          <w:sz w:val="20"/>
          <w:szCs w:val="20"/>
          <w:lang w:val="es-ES"/>
        </w:rPr>
        <w:t xml:space="preserve"> de la viabili</w:t>
      </w:r>
      <w:r w:rsidRPr="008A084A">
        <w:rPr>
          <w:rFonts w:ascii="Cambria" w:eastAsia="Times New Roman" w:hAnsi="Cambria"/>
          <w:sz w:val="20"/>
          <w:szCs w:val="20"/>
          <w:lang w:val="es-ES"/>
        </w:rPr>
        <w:t>d</w:t>
      </w:r>
      <w:r w:rsidR="009B2758" w:rsidRPr="008A084A">
        <w:rPr>
          <w:rFonts w:ascii="Cambria" w:eastAsia="Times New Roman" w:hAnsi="Cambria"/>
          <w:sz w:val="20"/>
          <w:szCs w:val="20"/>
          <w:lang w:val="es-ES"/>
        </w:rPr>
        <w:t>ad</w:t>
      </w:r>
      <w:r w:rsidRPr="008A084A">
        <w:rPr>
          <w:rFonts w:ascii="Cambria" w:eastAsia="Times New Roman" w:hAnsi="Cambria"/>
          <w:sz w:val="20"/>
          <w:szCs w:val="20"/>
          <w:lang w:val="es-ES"/>
        </w:rPr>
        <w:t xml:space="preserve"> del hábeas corpus frente a personas con discapacidad institucionalizadas en hospitales, el Tribunal Constitucional señaló lo siguiente:</w:t>
      </w:r>
    </w:p>
    <w:p w:rsidR="00A11F95" w:rsidRPr="008A084A" w:rsidRDefault="00A11F95" w:rsidP="00B519E2">
      <w:pPr>
        <w:jc w:val="both"/>
        <w:rPr>
          <w:rFonts w:ascii="Cambria" w:eastAsia="Times New Roman" w:hAnsi="Cambria"/>
          <w:sz w:val="20"/>
          <w:szCs w:val="20"/>
          <w:lang w:val="es-ES"/>
        </w:rPr>
      </w:pPr>
    </w:p>
    <w:p w:rsidR="00A11F95" w:rsidRPr="008A084A" w:rsidRDefault="00A11F95" w:rsidP="005B3F3D">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8640"/>
        </w:tabs>
        <w:ind w:left="720" w:right="720" w:firstLine="0"/>
        <w:jc w:val="both"/>
        <w:rPr>
          <w:rFonts w:ascii="Cambria" w:hAnsi="Cambria"/>
          <w:color w:val="auto"/>
          <w:sz w:val="20"/>
          <w:szCs w:val="20"/>
        </w:rPr>
      </w:pPr>
      <w:r w:rsidRPr="008A084A">
        <w:rPr>
          <w:rFonts w:ascii="Cambria" w:hAnsi="Cambria"/>
          <w:color w:val="auto"/>
          <w:sz w:val="20"/>
          <w:szCs w:val="20"/>
        </w:rPr>
        <w:t>(...)</w:t>
      </w:r>
      <w:r w:rsidR="00506E03" w:rsidRPr="008A084A">
        <w:rPr>
          <w:rFonts w:ascii="Cambria" w:hAnsi="Cambria"/>
          <w:color w:val="auto"/>
          <w:sz w:val="20"/>
          <w:szCs w:val="20"/>
        </w:rPr>
        <w:t xml:space="preserve"> es factible la interposición del hábeas corpus</w:t>
      </w:r>
      <w:r w:rsidR="00541570" w:rsidRPr="008A084A">
        <w:rPr>
          <w:rFonts w:ascii="Cambria" w:hAnsi="Cambria"/>
          <w:color w:val="auto"/>
          <w:sz w:val="20"/>
          <w:szCs w:val="20"/>
        </w:rPr>
        <w:t xml:space="preserve"> contra cualquier forma de privación ilegal de libertad cometida por cualquier institución del Estado (...) en especial (...) contra centros médicos hospitalarios, puesto que existen situaciones en que el internamiento de una persona en uno de ellos podría ser una privación ilegal de la libertad personal, pues no todo internamiento de una persona con discapacidad</w:t>
      </w:r>
      <w:r w:rsidR="006E74ED" w:rsidRPr="008A084A">
        <w:rPr>
          <w:rFonts w:ascii="Cambria" w:hAnsi="Cambria"/>
          <w:color w:val="auto"/>
          <w:sz w:val="20"/>
          <w:szCs w:val="20"/>
        </w:rPr>
        <w:t xml:space="preserve"> mental, como de man</w:t>
      </w:r>
      <w:r w:rsidR="009B2758" w:rsidRPr="008A084A">
        <w:rPr>
          <w:rFonts w:ascii="Cambria" w:hAnsi="Cambria"/>
          <w:color w:val="auto"/>
          <w:sz w:val="20"/>
          <w:szCs w:val="20"/>
        </w:rPr>
        <w:t>era general pero equivocadamente</w:t>
      </w:r>
      <w:r w:rsidR="006E74ED" w:rsidRPr="008A084A">
        <w:rPr>
          <w:rFonts w:ascii="Cambria" w:hAnsi="Cambria"/>
          <w:color w:val="auto"/>
          <w:sz w:val="20"/>
          <w:szCs w:val="20"/>
        </w:rPr>
        <w:t xml:space="preserve"> se cree, está exento del pronunciamiento de su propia voluntad, y existen principios que deben ser respetados para realizar tal internamiento, que en caso de ser violados ocasiona una vulneración directa de la dignidad del perjudicado</w:t>
      </w:r>
      <w:r w:rsidR="006E74ED" w:rsidRPr="008A084A">
        <w:rPr>
          <w:rStyle w:val="FootnoteReference"/>
          <w:rFonts w:ascii="Cambria" w:hAnsi="Cambria"/>
          <w:color w:val="auto"/>
          <w:sz w:val="20"/>
          <w:szCs w:val="20"/>
        </w:rPr>
        <w:footnoteReference w:id="217"/>
      </w:r>
      <w:r w:rsidR="006E74ED" w:rsidRPr="008A084A">
        <w:rPr>
          <w:rFonts w:ascii="Cambria" w:hAnsi="Cambria"/>
          <w:color w:val="auto"/>
          <w:sz w:val="20"/>
          <w:szCs w:val="20"/>
        </w:rPr>
        <w:t>.</w:t>
      </w:r>
    </w:p>
    <w:p w:rsidR="0022054D" w:rsidRPr="008A084A" w:rsidRDefault="0022054D"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5B3F3D" w:rsidRPr="008A084A" w:rsidRDefault="005B3F3D" w:rsidP="009B2758">
      <w:pPr>
        <w:numPr>
          <w:ilvl w:val="0"/>
          <w:numId w:val="55"/>
        </w:numPr>
        <w:jc w:val="both"/>
        <w:rPr>
          <w:rFonts w:ascii="Cambria" w:hAnsi="Cambria"/>
          <w:sz w:val="20"/>
          <w:szCs w:val="20"/>
        </w:rPr>
      </w:pPr>
      <w:r w:rsidRPr="008A084A">
        <w:rPr>
          <w:rFonts w:ascii="Cambria" w:hAnsi="Cambria"/>
          <w:sz w:val="20"/>
          <w:szCs w:val="20"/>
          <w:lang w:val="es-ES"/>
        </w:rPr>
        <w:t>El Tribunal Constitucional resaltó que en el presente asunto, los familiares del señor Guachalá interpusieron otras acciones ante la Defensoría del Pueblo y ante el Ministerio Público, sin resultados favorables.</w:t>
      </w:r>
      <w:r w:rsidR="00AB7A94" w:rsidRPr="008A084A">
        <w:rPr>
          <w:rFonts w:ascii="Cambria" w:hAnsi="Cambria"/>
          <w:sz w:val="20"/>
          <w:szCs w:val="20"/>
          <w:lang w:val="es-ES"/>
        </w:rPr>
        <w:t xml:space="preserve"> </w:t>
      </w:r>
      <w:r w:rsidR="00196BE9" w:rsidRPr="008A084A">
        <w:rPr>
          <w:rFonts w:ascii="Cambria" w:hAnsi="Cambria"/>
          <w:sz w:val="20"/>
          <w:szCs w:val="20"/>
        </w:rPr>
        <w:t>Finalmente, concluyó lo siguiente:</w:t>
      </w:r>
    </w:p>
    <w:p w:rsidR="00AB7A94" w:rsidRPr="008A084A" w:rsidRDefault="00AB7A94"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AB7A94" w:rsidRPr="008A084A" w:rsidRDefault="00AB7A94" w:rsidP="00AB7A9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8640"/>
        </w:tabs>
        <w:ind w:left="720" w:right="720" w:firstLine="0"/>
        <w:jc w:val="both"/>
        <w:rPr>
          <w:rFonts w:ascii="Cambria" w:hAnsi="Cambria"/>
          <w:color w:val="auto"/>
          <w:sz w:val="20"/>
          <w:szCs w:val="20"/>
        </w:rPr>
      </w:pPr>
      <w:r w:rsidRPr="008A084A">
        <w:rPr>
          <w:rFonts w:ascii="Cambria" w:hAnsi="Cambria"/>
          <w:color w:val="auto"/>
          <w:sz w:val="20"/>
          <w:szCs w:val="20"/>
        </w:rPr>
        <w:t>(...) no es admisible en un Estado (...) que una persona permanezca desaparecida por más de dos años, y menos admisible es que sus órganos no coordinen las acciones adecuadas para dar con el paradero de la persona.</w:t>
      </w:r>
      <w:r w:rsidR="00196BE9" w:rsidRPr="008A084A">
        <w:rPr>
          <w:rFonts w:ascii="Cambria" w:hAnsi="Cambria"/>
          <w:color w:val="auto"/>
          <w:sz w:val="20"/>
          <w:szCs w:val="20"/>
        </w:rPr>
        <w:t xml:space="preserve"> (...)</w:t>
      </w:r>
    </w:p>
    <w:p w:rsidR="00F55DE7" w:rsidRPr="008A084A" w:rsidRDefault="00196BE9" w:rsidP="00931872">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8640"/>
        </w:tabs>
        <w:ind w:left="720" w:right="720" w:firstLine="0"/>
        <w:jc w:val="both"/>
        <w:rPr>
          <w:rFonts w:ascii="Cambria" w:hAnsi="Cambria"/>
          <w:color w:val="auto"/>
          <w:sz w:val="20"/>
          <w:szCs w:val="20"/>
        </w:rPr>
      </w:pPr>
      <w:r w:rsidRPr="008A084A">
        <w:rPr>
          <w:rFonts w:ascii="Cambria" w:hAnsi="Cambria"/>
          <w:color w:val="auto"/>
          <w:sz w:val="20"/>
          <w:szCs w:val="20"/>
        </w:rPr>
        <w:t xml:space="preserve">En definitiva, se trata de dejar una puerta abierta, para que los familiares del desaparecido intenten por esta vía, </w:t>
      </w:r>
      <w:r w:rsidR="00F55DE7" w:rsidRPr="008A084A">
        <w:rPr>
          <w:rFonts w:ascii="Cambria" w:hAnsi="Cambria"/>
          <w:color w:val="auto"/>
          <w:sz w:val="20"/>
          <w:szCs w:val="20"/>
        </w:rPr>
        <w:t>cuando lo consideren oportuno, solucionar definitivamente el problema. De esta forma, la concesión del hábeas corpus, se la puede ubicar no como de efectos inmediatos, por su imposibilidad de producirlos, sino permanentes, indistintamente de su duración en el tiempo, por la justicia que representa poder contar con una instancia estatal más hasta la resolución definitiva de la causa, momento entonces, en que podrá dársela por cerrada</w:t>
      </w:r>
      <w:r w:rsidR="00F55DE7" w:rsidRPr="008A084A">
        <w:rPr>
          <w:rStyle w:val="FootnoteReference"/>
          <w:rFonts w:ascii="Cambria" w:hAnsi="Cambria"/>
          <w:color w:val="auto"/>
          <w:sz w:val="20"/>
          <w:szCs w:val="20"/>
        </w:rPr>
        <w:footnoteReference w:id="218"/>
      </w:r>
      <w:r w:rsidR="00F55DE7" w:rsidRPr="008A084A">
        <w:rPr>
          <w:rFonts w:ascii="Cambria" w:hAnsi="Cambria"/>
          <w:color w:val="auto"/>
          <w:sz w:val="20"/>
          <w:szCs w:val="20"/>
        </w:rPr>
        <w:t>.</w:t>
      </w:r>
    </w:p>
    <w:p w:rsidR="004C7891" w:rsidRPr="008A084A" w:rsidRDefault="004C7891" w:rsidP="00931872">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8640"/>
        </w:tabs>
        <w:ind w:left="0" w:right="720" w:firstLine="0"/>
        <w:jc w:val="both"/>
        <w:rPr>
          <w:rFonts w:ascii="Cambria" w:hAnsi="Cambria"/>
          <w:color w:val="auto"/>
          <w:sz w:val="20"/>
          <w:szCs w:val="20"/>
        </w:rPr>
      </w:pPr>
    </w:p>
    <w:p w:rsidR="00AF78E3" w:rsidRPr="008A084A" w:rsidRDefault="00931872" w:rsidP="009B2758">
      <w:pPr>
        <w:numPr>
          <w:ilvl w:val="0"/>
          <w:numId w:val="55"/>
        </w:numPr>
        <w:jc w:val="both"/>
        <w:rPr>
          <w:rFonts w:ascii="Cambria" w:hAnsi="Cambria"/>
          <w:sz w:val="20"/>
          <w:szCs w:val="20"/>
          <w:lang w:val="es-ES"/>
        </w:rPr>
      </w:pPr>
      <w:r w:rsidRPr="008A084A">
        <w:rPr>
          <w:rFonts w:ascii="Cambria" w:hAnsi="Cambria"/>
          <w:sz w:val="20"/>
          <w:szCs w:val="20"/>
          <w:lang w:val="es-ES"/>
        </w:rPr>
        <w:t>Los peticionarios informaron que a pesar de esta resolución la Fiscalía no adoptó ninguna medida para localizar el paradero del señor Guachalá</w:t>
      </w:r>
      <w:r w:rsidRPr="008A084A">
        <w:rPr>
          <w:rStyle w:val="FootnoteReference"/>
          <w:rFonts w:ascii="Cambria" w:hAnsi="Cambria"/>
          <w:sz w:val="20"/>
          <w:szCs w:val="20"/>
        </w:rPr>
        <w:footnoteReference w:id="219"/>
      </w:r>
      <w:r w:rsidRPr="008A084A">
        <w:rPr>
          <w:rFonts w:ascii="Cambria" w:hAnsi="Cambria"/>
          <w:sz w:val="20"/>
          <w:szCs w:val="20"/>
          <w:lang w:val="es-ES"/>
        </w:rPr>
        <w:t>.</w:t>
      </w:r>
      <w:r w:rsidR="006C6ACB" w:rsidRPr="008A084A">
        <w:rPr>
          <w:rFonts w:ascii="Cambria" w:hAnsi="Cambria"/>
          <w:sz w:val="20"/>
          <w:szCs w:val="20"/>
          <w:lang w:val="es-ES"/>
        </w:rPr>
        <w:t xml:space="preserve"> </w:t>
      </w:r>
    </w:p>
    <w:p w:rsidR="00AF78E3" w:rsidRDefault="00AF78E3" w:rsidP="00576977">
      <w:pPr>
        <w:ind w:left="720"/>
        <w:jc w:val="both"/>
        <w:rPr>
          <w:rFonts w:ascii="Cambria" w:hAnsi="Cambria"/>
          <w:sz w:val="20"/>
          <w:szCs w:val="20"/>
          <w:lang w:val="es-ES"/>
        </w:rPr>
      </w:pPr>
    </w:p>
    <w:p w:rsidR="00F55DE7" w:rsidRPr="008A084A" w:rsidRDefault="00C22B87" w:rsidP="009B2758">
      <w:pPr>
        <w:numPr>
          <w:ilvl w:val="0"/>
          <w:numId w:val="55"/>
        </w:numPr>
        <w:jc w:val="both"/>
        <w:rPr>
          <w:rFonts w:ascii="Cambria" w:hAnsi="Cambria"/>
          <w:sz w:val="20"/>
          <w:szCs w:val="20"/>
          <w:lang w:val="es-ES"/>
        </w:rPr>
      </w:pPr>
      <w:r w:rsidRPr="008A084A">
        <w:rPr>
          <w:rFonts w:ascii="Cambria" w:hAnsi="Cambria"/>
          <w:sz w:val="20"/>
          <w:szCs w:val="20"/>
          <w:lang w:val="es-ES"/>
        </w:rPr>
        <w:t>Los peticionarios señalaron que después de lo sucedido con el señor Guachalá, otros internos han desaparecido de dicho hospital</w:t>
      </w:r>
      <w:r w:rsidRPr="008A084A">
        <w:rPr>
          <w:rStyle w:val="FootnoteReference"/>
          <w:rFonts w:ascii="Cambria" w:hAnsi="Cambria"/>
          <w:sz w:val="20"/>
          <w:szCs w:val="20"/>
          <w:lang w:val="es-ES"/>
        </w:rPr>
        <w:footnoteReference w:id="220"/>
      </w:r>
      <w:r w:rsidRPr="008A084A">
        <w:rPr>
          <w:rFonts w:ascii="Cambria" w:hAnsi="Cambria"/>
          <w:sz w:val="20"/>
          <w:szCs w:val="20"/>
          <w:lang w:val="es-ES"/>
        </w:rPr>
        <w:t xml:space="preserve">. La CIDH toma nota de un </w:t>
      </w:r>
      <w:r w:rsidR="00085A2B" w:rsidRPr="008A084A">
        <w:rPr>
          <w:rFonts w:ascii="Cambria" w:hAnsi="Cambria"/>
          <w:sz w:val="20"/>
          <w:szCs w:val="20"/>
          <w:lang w:val="es-ES"/>
        </w:rPr>
        <w:t>volante</w:t>
      </w:r>
      <w:r w:rsidRPr="008A084A">
        <w:rPr>
          <w:rFonts w:ascii="Cambria" w:hAnsi="Cambria"/>
          <w:sz w:val="20"/>
          <w:szCs w:val="20"/>
          <w:lang w:val="es-ES"/>
        </w:rPr>
        <w:t xml:space="preserve"> del Ministerio del Interior donde se indica que un interno del hospital, Álvaro Nazareno, desapareció de dicha institución el 14 de marzo de 2011</w:t>
      </w:r>
      <w:r w:rsidRPr="008A084A">
        <w:rPr>
          <w:rStyle w:val="FootnoteReference"/>
          <w:rFonts w:ascii="Cambria" w:hAnsi="Cambria"/>
          <w:sz w:val="20"/>
          <w:szCs w:val="20"/>
          <w:lang w:val="es-ES"/>
        </w:rPr>
        <w:footnoteReference w:id="221"/>
      </w:r>
      <w:r w:rsidRPr="008A084A">
        <w:rPr>
          <w:rFonts w:ascii="Cambria" w:hAnsi="Cambria"/>
          <w:sz w:val="20"/>
          <w:szCs w:val="20"/>
          <w:lang w:val="es-ES"/>
        </w:rPr>
        <w:t>.</w:t>
      </w:r>
    </w:p>
    <w:p w:rsidR="00BD2A19" w:rsidRPr="008A084A" w:rsidRDefault="00BD2A19" w:rsidP="00F666E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516470" w:rsidRPr="008A084A" w:rsidRDefault="00516470" w:rsidP="00330414">
      <w:pPr>
        <w:pStyle w:val="Heading1"/>
        <w:tabs>
          <w:tab w:val="left" w:pos="720"/>
          <w:tab w:val="left" w:pos="1440"/>
        </w:tabs>
        <w:spacing w:before="0"/>
        <w:ind w:left="0" w:firstLine="720"/>
        <w:jc w:val="both"/>
        <w:rPr>
          <w:color w:val="auto"/>
          <w:sz w:val="20"/>
          <w:szCs w:val="20"/>
          <w:lang w:val="es-ES_tradnl"/>
        </w:rPr>
      </w:pPr>
      <w:bookmarkStart w:id="28" w:name="_Toc525547509"/>
      <w:r w:rsidRPr="008A084A">
        <w:rPr>
          <w:color w:val="auto"/>
          <w:sz w:val="20"/>
          <w:szCs w:val="20"/>
          <w:lang w:val="es-ES"/>
        </w:rPr>
        <w:lastRenderedPageBreak/>
        <w:t>ANÁLISIS DE DERECHO</w:t>
      </w:r>
      <w:bookmarkEnd w:id="28"/>
    </w:p>
    <w:p w:rsidR="002371AF" w:rsidRPr="008A084A" w:rsidRDefault="002371AF" w:rsidP="00A16BA4">
      <w:pPr>
        <w:pStyle w:val="Heading2"/>
        <w:spacing w:before="0" w:after="0"/>
        <w:jc w:val="both"/>
        <w:rPr>
          <w:rFonts w:ascii="Cambria" w:hAnsi="Cambria"/>
          <w:i w:val="0"/>
          <w:sz w:val="20"/>
          <w:szCs w:val="20"/>
          <w:lang w:val="es-ES_tradnl"/>
        </w:rPr>
      </w:pPr>
    </w:p>
    <w:p w:rsidR="001518D0" w:rsidRPr="008A084A" w:rsidRDefault="001518D0" w:rsidP="00B329C1">
      <w:pPr>
        <w:pStyle w:val="Heading2"/>
        <w:numPr>
          <w:ilvl w:val="0"/>
          <w:numId w:val="58"/>
        </w:numPr>
        <w:spacing w:before="0" w:after="0"/>
        <w:ind w:left="1440" w:hanging="720"/>
        <w:jc w:val="both"/>
        <w:rPr>
          <w:rFonts w:ascii="Cambria" w:hAnsi="Cambria"/>
          <w:i w:val="0"/>
          <w:sz w:val="20"/>
          <w:szCs w:val="20"/>
          <w:lang w:val="es-CO"/>
        </w:rPr>
      </w:pPr>
      <w:bookmarkStart w:id="29" w:name="_Toc525547510"/>
      <w:r w:rsidRPr="008A084A">
        <w:rPr>
          <w:rFonts w:ascii="Cambria" w:hAnsi="Cambria"/>
          <w:i w:val="0"/>
          <w:sz w:val="20"/>
          <w:szCs w:val="20"/>
          <w:lang w:val="es-ES"/>
        </w:rPr>
        <w:t>Cuesti</w:t>
      </w:r>
      <w:r w:rsidRPr="008A084A">
        <w:rPr>
          <w:rFonts w:ascii="Cambria" w:hAnsi="Cambria"/>
          <w:i w:val="0"/>
          <w:sz w:val="20"/>
          <w:szCs w:val="20"/>
          <w:lang w:val="es-CO"/>
        </w:rPr>
        <w:t>ón previa</w:t>
      </w:r>
      <w:bookmarkEnd w:id="29"/>
    </w:p>
    <w:p w:rsidR="001518D0" w:rsidRPr="008A084A" w:rsidRDefault="001518D0" w:rsidP="001518D0">
      <w:pPr>
        <w:pStyle w:val="Heading2"/>
        <w:spacing w:before="0" w:after="0"/>
        <w:jc w:val="both"/>
        <w:rPr>
          <w:rFonts w:ascii="Cambria" w:hAnsi="Cambria"/>
          <w:i w:val="0"/>
          <w:sz w:val="20"/>
          <w:szCs w:val="20"/>
          <w:lang w:val="es-ES_tradnl"/>
        </w:rPr>
      </w:pPr>
    </w:p>
    <w:p w:rsidR="001518D0" w:rsidRPr="008A084A" w:rsidRDefault="001518D0" w:rsidP="001518D0">
      <w:pPr>
        <w:numPr>
          <w:ilvl w:val="0"/>
          <w:numId w:val="55"/>
        </w:numPr>
        <w:jc w:val="both"/>
        <w:rPr>
          <w:rFonts w:ascii="Cambria" w:hAnsi="Cambria"/>
          <w:sz w:val="20"/>
          <w:szCs w:val="20"/>
          <w:lang w:val="es-ES_tradnl"/>
        </w:rPr>
      </w:pPr>
      <w:r w:rsidRPr="008A084A">
        <w:rPr>
          <w:rFonts w:ascii="Cambria" w:hAnsi="Cambria"/>
          <w:sz w:val="20"/>
          <w:szCs w:val="20"/>
          <w:lang w:val="es-ES"/>
        </w:rPr>
        <w:t>Preliminarmente, la Comisión nota que en su informe de admisibilidad no incluyó expresamente los artículos 13</w:t>
      </w:r>
      <w:r w:rsidR="004905B3" w:rsidRPr="008A084A">
        <w:rPr>
          <w:rFonts w:ascii="Cambria" w:hAnsi="Cambria"/>
          <w:sz w:val="20"/>
          <w:szCs w:val="20"/>
          <w:lang w:val="es-ES"/>
        </w:rPr>
        <w:t>,</w:t>
      </w:r>
      <w:r w:rsidRPr="008A084A">
        <w:rPr>
          <w:rFonts w:ascii="Cambria" w:hAnsi="Cambria"/>
          <w:sz w:val="20"/>
          <w:szCs w:val="20"/>
          <w:lang w:val="es-ES"/>
        </w:rPr>
        <w:t xml:space="preserve"> </w:t>
      </w:r>
      <w:r w:rsidR="004905B3" w:rsidRPr="008A084A">
        <w:rPr>
          <w:rFonts w:ascii="Cambria" w:hAnsi="Cambria"/>
          <w:sz w:val="20"/>
          <w:szCs w:val="20"/>
          <w:lang w:val="es-ES"/>
        </w:rPr>
        <w:t xml:space="preserve">24 </w:t>
      </w:r>
      <w:r w:rsidRPr="008A084A">
        <w:rPr>
          <w:rFonts w:ascii="Cambria" w:hAnsi="Cambria"/>
          <w:sz w:val="20"/>
          <w:szCs w:val="20"/>
          <w:lang w:val="es-ES"/>
        </w:rPr>
        <w:t xml:space="preserve">y 26 de la </w:t>
      </w:r>
      <w:r w:rsidRPr="008A084A">
        <w:rPr>
          <w:rFonts w:ascii="Cambria" w:eastAsia="Times New Roman" w:hAnsi="Cambria" w:cs="Cambria"/>
          <w:sz w:val="20"/>
          <w:szCs w:val="20"/>
          <w:u w:color="000000"/>
          <w:lang w:val="es-ES" w:eastAsia="es-ES"/>
        </w:rPr>
        <w:t>Convención</w:t>
      </w:r>
      <w:r w:rsidRPr="008A084A">
        <w:rPr>
          <w:rFonts w:ascii="Cambria" w:hAnsi="Cambria"/>
          <w:sz w:val="20"/>
          <w:szCs w:val="20"/>
          <w:lang w:val="es-ES"/>
        </w:rPr>
        <w:t xml:space="preserve"> Americana dentro de los derechos que podrían considerarse en la etapa de fondo. Sin embargo, de la totalidad de alegatos y prueba disponible en la etapa de fondo, la CIDH considera pertinente analizar los hechos establecidos también a la luz de los derechos contenidos en dichas disposiciones. La Comisión destaca que tanto</w:t>
      </w:r>
      <w:r w:rsidR="00062177" w:rsidRPr="008A084A">
        <w:rPr>
          <w:rFonts w:ascii="Cambria" w:hAnsi="Cambria"/>
          <w:sz w:val="20"/>
          <w:szCs w:val="20"/>
          <w:lang w:val="es-ES"/>
        </w:rPr>
        <w:t xml:space="preserve"> en el </w:t>
      </w:r>
      <w:r w:rsidRPr="008A084A">
        <w:rPr>
          <w:rFonts w:ascii="Cambria" w:hAnsi="Cambria"/>
          <w:sz w:val="20"/>
          <w:szCs w:val="20"/>
          <w:lang w:val="es-ES"/>
        </w:rPr>
        <w:t xml:space="preserve">procedimiento de admisibilidad como </w:t>
      </w:r>
      <w:r w:rsidR="00062177" w:rsidRPr="008A084A">
        <w:rPr>
          <w:rFonts w:ascii="Cambria" w:hAnsi="Cambria"/>
          <w:sz w:val="20"/>
          <w:szCs w:val="20"/>
          <w:lang w:val="es-ES"/>
        </w:rPr>
        <w:t xml:space="preserve">en </w:t>
      </w:r>
      <w:r w:rsidRPr="008A084A">
        <w:rPr>
          <w:rFonts w:ascii="Cambria" w:hAnsi="Cambria"/>
          <w:sz w:val="20"/>
          <w:szCs w:val="20"/>
          <w:lang w:val="es-ES"/>
        </w:rPr>
        <w:t xml:space="preserve">el de fondo, el Estado conoció los hechos en los cuales se basa la totalidad del análisis que se realiza a continuación. En virtud de lo anterior y en aplicación del principio </w:t>
      </w:r>
      <w:r w:rsidRPr="008A084A">
        <w:rPr>
          <w:rFonts w:ascii="Cambria" w:hAnsi="Cambria"/>
          <w:i/>
          <w:sz w:val="20"/>
          <w:szCs w:val="20"/>
          <w:lang w:val="es-ES"/>
        </w:rPr>
        <w:t>iura novit curia</w:t>
      </w:r>
      <w:r w:rsidRPr="008A084A">
        <w:rPr>
          <w:rFonts w:ascii="Cambria" w:hAnsi="Cambria"/>
          <w:sz w:val="20"/>
          <w:szCs w:val="20"/>
          <w:lang w:val="es-ES"/>
        </w:rPr>
        <w:t>, la Comisión analizará si en el presente caso el Estado incurrió en violación de los artículos 13</w:t>
      </w:r>
      <w:r w:rsidR="00383748" w:rsidRPr="008A084A">
        <w:rPr>
          <w:rFonts w:ascii="Cambria" w:hAnsi="Cambria"/>
          <w:sz w:val="20"/>
          <w:szCs w:val="20"/>
          <w:lang w:val="es-ES"/>
        </w:rPr>
        <w:t>, 24</w:t>
      </w:r>
      <w:r w:rsidRPr="008A084A">
        <w:rPr>
          <w:rFonts w:ascii="Cambria" w:hAnsi="Cambria"/>
          <w:sz w:val="20"/>
          <w:szCs w:val="20"/>
          <w:lang w:val="es-ES"/>
        </w:rPr>
        <w:t xml:space="preserve"> y 26 de la Convención Americana</w:t>
      </w:r>
      <w:r w:rsidRPr="008A084A">
        <w:rPr>
          <w:rStyle w:val="FootnoteReference"/>
          <w:rFonts w:ascii="Cambria" w:hAnsi="Cambria"/>
          <w:sz w:val="20"/>
          <w:szCs w:val="20"/>
          <w:lang w:val="es-ES"/>
        </w:rPr>
        <w:footnoteReference w:id="222"/>
      </w:r>
      <w:r w:rsidRPr="008A084A">
        <w:rPr>
          <w:rFonts w:ascii="Cambria" w:hAnsi="Cambria"/>
          <w:sz w:val="20"/>
          <w:szCs w:val="20"/>
          <w:lang w:val="es-ES"/>
        </w:rPr>
        <w:t>, respecto del consentimiento informado en materia de salud</w:t>
      </w:r>
      <w:r w:rsidR="004905B3" w:rsidRPr="008A084A">
        <w:rPr>
          <w:rFonts w:ascii="Cambria" w:hAnsi="Cambria"/>
          <w:sz w:val="20"/>
          <w:szCs w:val="20"/>
          <w:lang w:val="es-ES"/>
        </w:rPr>
        <w:t>, el principio de igualdad y no discriminación</w:t>
      </w:r>
      <w:r w:rsidRPr="008A084A">
        <w:rPr>
          <w:rFonts w:ascii="Cambria" w:hAnsi="Cambria"/>
          <w:sz w:val="20"/>
          <w:szCs w:val="20"/>
          <w:lang w:val="es-ES"/>
        </w:rPr>
        <w:t xml:space="preserve"> y el derecho a la salud.  </w:t>
      </w:r>
    </w:p>
    <w:p w:rsidR="001518D0" w:rsidRPr="008A084A" w:rsidRDefault="001518D0" w:rsidP="001518D0">
      <w:pPr>
        <w:rPr>
          <w:rFonts w:ascii="Cambria" w:hAnsi="Cambria"/>
          <w:sz w:val="20"/>
          <w:szCs w:val="20"/>
          <w:lang w:val="es-ES_tradnl"/>
        </w:rPr>
      </w:pPr>
    </w:p>
    <w:p w:rsidR="001518D0" w:rsidRPr="008A084A" w:rsidRDefault="00747996" w:rsidP="00B329C1">
      <w:pPr>
        <w:pStyle w:val="Heading2"/>
        <w:numPr>
          <w:ilvl w:val="0"/>
          <w:numId w:val="58"/>
        </w:numPr>
        <w:spacing w:before="0" w:after="0"/>
        <w:ind w:left="1440" w:hanging="720"/>
        <w:jc w:val="both"/>
        <w:rPr>
          <w:rFonts w:ascii="Cambria" w:hAnsi="Cambria"/>
          <w:i w:val="0"/>
          <w:sz w:val="20"/>
          <w:szCs w:val="20"/>
          <w:lang w:val="es-ES"/>
        </w:rPr>
      </w:pPr>
      <w:bookmarkStart w:id="30" w:name="_Toc525547511"/>
      <w:r w:rsidRPr="008A084A">
        <w:rPr>
          <w:rFonts w:ascii="Cambria" w:hAnsi="Cambria"/>
          <w:i w:val="0"/>
          <w:sz w:val="20"/>
          <w:szCs w:val="20"/>
          <w:lang w:val="es-ES"/>
        </w:rPr>
        <w:t>Derechos al reconocimiento de la personalidad jur</w:t>
      </w:r>
      <w:r w:rsidRPr="008A084A">
        <w:rPr>
          <w:rFonts w:ascii="Cambria" w:hAnsi="Cambria"/>
          <w:i w:val="0"/>
          <w:sz w:val="20"/>
          <w:szCs w:val="20"/>
          <w:lang w:val="es-CO"/>
        </w:rPr>
        <w:t>ídica</w:t>
      </w:r>
      <w:r w:rsidR="007813E6" w:rsidRPr="008A084A">
        <w:rPr>
          <w:rStyle w:val="FootnoteReference"/>
          <w:rFonts w:ascii="Cambria" w:hAnsi="Cambria"/>
          <w:i w:val="0"/>
          <w:sz w:val="20"/>
          <w:szCs w:val="20"/>
          <w:lang w:val="es-ES"/>
        </w:rPr>
        <w:footnoteReference w:id="223"/>
      </w:r>
      <w:r w:rsidRPr="008A084A">
        <w:rPr>
          <w:rFonts w:ascii="Cambria" w:hAnsi="Cambria"/>
          <w:i w:val="0"/>
          <w:sz w:val="20"/>
          <w:szCs w:val="20"/>
          <w:lang w:val="es-CO"/>
        </w:rPr>
        <w:t>,</w:t>
      </w:r>
      <w:r w:rsidR="00441C84" w:rsidRPr="008A084A">
        <w:rPr>
          <w:rFonts w:ascii="Cambria" w:hAnsi="Cambria"/>
          <w:i w:val="0"/>
          <w:sz w:val="20"/>
          <w:szCs w:val="20"/>
          <w:lang w:val="es-CO"/>
        </w:rPr>
        <w:t xml:space="preserve"> a la vida</w:t>
      </w:r>
      <w:r w:rsidR="008A084A" w:rsidRPr="008A084A">
        <w:rPr>
          <w:rStyle w:val="FootnoteReference"/>
          <w:rFonts w:ascii="Cambria" w:hAnsi="Cambria"/>
          <w:i w:val="0"/>
          <w:sz w:val="20"/>
          <w:szCs w:val="20"/>
          <w:lang w:val="es-ES"/>
        </w:rPr>
        <w:footnoteReference w:id="224"/>
      </w:r>
      <w:r w:rsidR="00441C84" w:rsidRPr="008A084A">
        <w:rPr>
          <w:rFonts w:ascii="Cambria" w:hAnsi="Cambria"/>
          <w:i w:val="0"/>
          <w:sz w:val="20"/>
          <w:szCs w:val="20"/>
          <w:lang w:val="es-CO"/>
        </w:rPr>
        <w:t>,</w:t>
      </w:r>
      <w:r w:rsidRPr="008A084A">
        <w:rPr>
          <w:rFonts w:ascii="Cambria" w:hAnsi="Cambria"/>
          <w:i w:val="0"/>
          <w:sz w:val="20"/>
          <w:szCs w:val="20"/>
          <w:lang w:val="es-CO"/>
        </w:rPr>
        <w:t xml:space="preserve"> </w:t>
      </w:r>
      <w:r w:rsidR="00BB31CE" w:rsidRPr="008A084A">
        <w:rPr>
          <w:rFonts w:ascii="Cambria" w:hAnsi="Cambria"/>
          <w:i w:val="0"/>
          <w:sz w:val="20"/>
          <w:szCs w:val="20"/>
          <w:lang w:val="es-CO"/>
        </w:rPr>
        <w:t>a la libertad personal</w:t>
      </w:r>
      <w:r w:rsidR="009F3B5F" w:rsidRPr="008A084A">
        <w:rPr>
          <w:rStyle w:val="FootnoteReference"/>
          <w:rFonts w:ascii="Cambria" w:hAnsi="Cambria"/>
          <w:i w:val="0"/>
          <w:sz w:val="20"/>
          <w:szCs w:val="20"/>
          <w:lang w:val="es-ES"/>
        </w:rPr>
        <w:footnoteReference w:id="225"/>
      </w:r>
      <w:r w:rsidR="00BB31CE" w:rsidRPr="008A084A">
        <w:rPr>
          <w:rFonts w:ascii="Cambria" w:hAnsi="Cambria"/>
          <w:i w:val="0"/>
          <w:sz w:val="20"/>
          <w:szCs w:val="20"/>
          <w:lang w:val="es-CO"/>
        </w:rPr>
        <w:t>, a la integridad persona</w:t>
      </w:r>
      <w:r w:rsidR="003F13D8" w:rsidRPr="008A084A">
        <w:rPr>
          <w:rFonts w:ascii="Cambria" w:hAnsi="Cambria"/>
          <w:i w:val="0"/>
          <w:sz w:val="20"/>
          <w:szCs w:val="20"/>
          <w:lang w:val="es-CO"/>
        </w:rPr>
        <w:t>l</w:t>
      </w:r>
      <w:r w:rsidR="003F13D8" w:rsidRPr="008A084A">
        <w:rPr>
          <w:rStyle w:val="FootnoteReference"/>
          <w:rFonts w:ascii="Cambria" w:hAnsi="Cambria"/>
          <w:i w:val="0"/>
          <w:sz w:val="20"/>
          <w:szCs w:val="20"/>
          <w:lang w:val="es-ES"/>
        </w:rPr>
        <w:footnoteReference w:id="226"/>
      </w:r>
      <w:r w:rsidR="00EF5C96" w:rsidRPr="008A084A">
        <w:rPr>
          <w:rFonts w:ascii="Cambria" w:hAnsi="Cambria"/>
          <w:i w:val="0"/>
          <w:sz w:val="20"/>
          <w:szCs w:val="20"/>
          <w:lang w:val="es-CO"/>
        </w:rPr>
        <w:t>,</w:t>
      </w:r>
      <w:r w:rsidR="00BB31CE" w:rsidRPr="008A084A">
        <w:rPr>
          <w:rFonts w:ascii="Cambria" w:hAnsi="Cambria"/>
          <w:i w:val="0"/>
          <w:sz w:val="20"/>
          <w:szCs w:val="20"/>
          <w:lang w:val="es-CO"/>
        </w:rPr>
        <w:t xml:space="preserve"> a la salud</w:t>
      </w:r>
      <w:r w:rsidR="009B1798" w:rsidRPr="008A084A">
        <w:rPr>
          <w:rStyle w:val="FootnoteReference"/>
          <w:rFonts w:ascii="Cambria" w:hAnsi="Cambria"/>
          <w:i w:val="0"/>
          <w:sz w:val="20"/>
          <w:szCs w:val="20"/>
          <w:lang w:val="es-ES"/>
        </w:rPr>
        <w:footnoteReference w:id="227"/>
      </w:r>
      <w:r w:rsidR="009B383B" w:rsidRPr="008A084A">
        <w:rPr>
          <w:rFonts w:ascii="Cambria" w:hAnsi="Cambria"/>
          <w:i w:val="0"/>
          <w:sz w:val="20"/>
          <w:szCs w:val="20"/>
          <w:lang w:val="es-CO"/>
        </w:rPr>
        <w:t xml:space="preserve">, </w:t>
      </w:r>
      <w:r w:rsidR="00EF5C96" w:rsidRPr="008A084A">
        <w:rPr>
          <w:rFonts w:ascii="Cambria" w:hAnsi="Cambria"/>
          <w:i w:val="0"/>
          <w:sz w:val="20"/>
          <w:szCs w:val="20"/>
          <w:lang w:val="es-CO"/>
        </w:rPr>
        <w:t>al acceso a la información</w:t>
      </w:r>
      <w:r w:rsidR="00F02801" w:rsidRPr="008A084A">
        <w:rPr>
          <w:rStyle w:val="FootnoteReference"/>
          <w:rFonts w:ascii="Cambria" w:hAnsi="Cambria"/>
          <w:i w:val="0"/>
          <w:sz w:val="20"/>
          <w:szCs w:val="20"/>
          <w:lang w:val="es-CO"/>
        </w:rPr>
        <w:footnoteReference w:id="228"/>
      </w:r>
      <w:r w:rsidR="005C005B" w:rsidRPr="008A084A">
        <w:rPr>
          <w:rFonts w:ascii="Cambria" w:hAnsi="Cambria"/>
          <w:i w:val="0"/>
          <w:sz w:val="20"/>
          <w:szCs w:val="20"/>
          <w:lang w:val="es-CO"/>
        </w:rPr>
        <w:t>, a la igualdad y no discriminación</w:t>
      </w:r>
      <w:r w:rsidR="000D6D00" w:rsidRPr="008A084A">
        <w:rPr>
          <w:rStyle w:val="FootnoteReference"/>
          <w:rFonts w:ascii="Cambria" w:hAnsi="Cambria"/>
          <w:i w:val="0"/>
          <w:sz w:val="20"/>
          <w:szCs w:val="20"/>
          <w:lang w:val="es-CO"/>
        </w:rPr>
        <w:footnoteReference w:id="229"/>
      </w:r>
      <w:r w:rsidR="009B383B" w:rsidRPr="008A084A">
        <w:rPr>
          <w:rFonts w:ascii="Cambria" w:hAnsi="Cambria"/>
          <w:i w:val="0"/>
          <w:sz w:val="20"/>
          <w:szCs w:val="20"/>
          <w:lang w:val="es-CO"/>
        </w:rPr>
        <w:t xml:space="preserve"> (artículos 3, 4, 5.1, 7.1, 7.3,</w:t>
      </w:r>
      <w:r w:rsidR="00BB31CE" w:rsidRPr="008A084A">
        <w:rPr>
          <w:rFonts w:ascii="Cambria" w:hAnsi="Cambria"/>
          <w:i w:val="0"/>
          <w:sz w:val="20"/>
          <w:szCs w:val="20"/>
          <w:lang w:val="es-CO"/>
        </w:rPr>
        <w:t xml:space="preserve"> </w:t>
      </w:r>
      <w:r w:rsidR="009B383B" w:rsidRPr="008A084A">
        <w:rPr>
          <w:rFonts w:ascii="Cambria" w:hAnsi="Cambria"/>
          <w:i w:val="0"/>
          <w:sz w:val="20"/>
          <w:szCs w:val="20"/>
          <w:lang w:val="es-CO"/>
        </w:rPr>
        <w:t>13.1</w:t>
      </w:r>
      <w:r w:rsidR="005C005B" w:rsidRPr="008A084A">
        <w:rPr>
          <w:rFonts w:ascii="Cambria" w:hAnsi="Cambria"/>
          <w:i w:val="0"/>
          <w:sz w:val="20"/>
          <w:szCs w:val="20"/>
          <w:lang w:val="es-CO"/>
        </w:rPr>
        <w:t>, 24</w:t>
      </w:r>
      <w:r w:rsidR="009B383B" w:rsidRPr="008A084A">
        <w:rPr>
          <w:rFonts w:ascii="Cambria" w:hAnsi="Cambria"/>
          <w:i w:val="0"/>
          <w:sz w:val="20"/>
          <w:szCs w:val="20"/>
          <w:lang w:val="es-CO"/>
        </w:rPr>
        <w:t xml:space="preserve"> y 26 de la Convención Americana)</w:t>
      </w:r>
      <w:bookmarkEnd w:id="30"/>
      <w:r w:rsidR="009B383B" w:rsidRPr="008A084A">
        <w:rPr>
          <w:rFonts w:ascii="Cambria" w:hAnsi="Cambria"/>
          <w:i w:val="0"/>
          <w:sz w:val="20"/>
          <w:szCs w:val="20"/>
          <w:lang w:val="es-CO"/>
        </w:rPr>
        <w:t xml:space="preserve"> </w:t>
      </w:r>
    </w:p>
    <w:p w:rsidR="001518D0" w:rsidRPr="008A084A" w:rsidRDefault="001518D0" w:rsidP="001518D0">
      <w:pPr>
        <w:rPr>
          <w:rFonts w:ascii="Cambria" w:hAnsi="Cambria"/>
          <w:sz w:val="20"/>
          <w:szCs w:val="20"/>
          <w:lang w:val="es-ES"/>
        </w:rPr>
      </w:pPr>
    </w:p>
    <w:p w:rsidR="009B0B10" w:rsidRPr="008A084A" w:rsidRDefault="00FB7A7E" w:rsidP="00FB7A7E">
      <w:pPr>
        <w:pStyle w:val="Heading2"/>
        <w:numPr>
          <w:ilvl w:val="3"/>
          <w:numId w:val="55"/>
        </w:numPr>
        <w:tabs>
          <w:tab w:val="clear" w:pos="2880"/>
          <w:tab w:val="num" w:pos="1440"/>
          <w:tab w:val="left" w:pos="2520"/>
          <w:tab w:val="left" w:pos="2970"/>
        </w:tabs>
        <w:spacing w:before="0" w:after="0"/>
        <w:ind w:left="1440" w:hanging="720"/>
        <w:jc w:val="both"/>
        <w:rPr>
          <w:rFonts w:ascii="Cambria" w:hAnsi="Cambria"/>
          <w:i w:val="0"/>
          <w:sz w:val="20"/>
          <w:szCs w:val="20"/>
          <w:lang w:val="es-ES"/>
        </w:rPr>
      </w:pPr>
      <w:bookmarkStart w:id="31" w:name="_Toc525547512"/>
      <w:r w:rsidRPr="008A084A">
        <w:rPr>
          <w:rFonts w:ascii="Cambria" w:hAnsi="Cambria"/>
          <w:i w:val="0"/>
          <w:sz w:val="20"/>
          <w:szCs w:val="20"/>
          <w:lang w:val="es-ES"/>
        </w:rPr>
        <w:t>Consideraciones generales sobre las obligaciones internacionales de los Estados respecto de las personas con discapacidad</w:t>
      </w:r>
      <w:bookmarkEnd w:id="31"/>
      <w:r w:rsidR="009637D6" w:rsidRPr="008A084A">
        <w:rPr>
          <w:rFonts w:ascii="Cambria" w:hAnsi="Cambria"/>
          <w:i w:val="0"/>
          <w:sz w:val="20"/>
          <w:szCs w:val="20"/>
          <w:lang w:val="es-ES"/>
        </w:rPr>
        <w:t xml:space="preserve"> y el principio de igualdad y no discriminación</w:t>
      </w:r>
    </w:p>
    <w:p w:rsidR="00671C11" w:rsidRDefault="00671C11" w:rsidP="0033041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s-ES"/>
        </w:rPr>
      </w:pPr>
    </w:p>
    <w:p w:rsidR="008036B2" w:rsidRPr="008A084A" w:rsidRDefault="00E67945" w:rsidP="00330414">
      <w:pPr>
        <w:numPr>
          <w:ilvl w:val="0"/>
          <w:numId w:val="55"/>
        </w:numPr>
        <w:jc w:val="both"/>
        <w:rPr>
          <w:rFonts w:ascii="Cambria" w:hAnsi="Cambria"/>
          <w:sz w:val="20"/>
          <w:szCs w:val="20"/>
          <w:lang w:val="es-ES"/>
        </w:rPr>
      </w:pPr>
      <w:r w:rsidRPr="008A084A">
        <w:rPr>
          <w:rFonts w:ascii="Cambria" w:hAnsi="Cambria"/>
          <w:sz w:val="20"/>
          <w:szCs w:val="20"/>
          <w:lang w:val="es-ES"/>
        </w:rPr>
        <w:t>Tanto la CIDH como l</w:t>
      </w:r>
      <w:r w:rsidR="004008F4" w:rsidRPr="008A084A">
        <w:rPr>
          <w:rFonts w:ascii="Cambria" w:hAnsi="Cambria"/>
          <w:sz w:val="20"/>
          <w:szCs w:val="20"/>
          <w:lang w:val="es-ES"/>
        </w:rPr>
        <w:t>a Corte Interamericana ha</w:t>
      </w:r>
      <w:r w:rsidR="00A5414A" w:rsidRPr="008A084A">
        <w:rPr>
          <w:rFonts w:ascii="Cambria" w:hAnsi="Cambria"/>
          <w:sz w:val="20"/>
          <w:szCs w:val="20"/>
          <w:lang w:val="es-ES"/>
        </w:rPr>
        <w:t>n</w:t>
      </w:r>
      <w:r w:rsidR="004008F4" w:rsidRPr="008A084A">
        <w:rPr>
          <w:rFonts w:ascii="Cambria" w:hAnsi="Cambria"/>
          <w:sz w:val="20"/>
          <w:szCs w:val="20"/>
          <w:lang w:val="es-ES"/>
        </w:rPr>
        <w:t xml:space="preserve"> destacado que des</w:t>
      </w:r>
      <w:r w:rsidR="008036B2" w:rsidRPr="008A084A">
        <w:rPr>
          <w:rFonts w:ascii="Cambria" w:hAnsi="Cambria"/>
          <w:sz w:val="20"/>
          <w:szCs w:val="20"/>
          <w:lang w:val="es-ES"/>
        </w:rPr>
        <w:t>de los inicios y evolución del sistema i</w:t>
      </w:r>
      <w:r w:rsidR="004008F4" w:rsidRPr="008A084A">
        <w:rPr>
          <w:rFonts w:ascii="Cambria" w:hAnsi="Cambria"/>
          <w:sz w:val="20"/>
          <w:szCs w:val="20"/>
          <w:lang w:val="es-ES"/>
        </w:rPr>
        <w:t>nteramericano</w:t>
      </w:r>
      <w:r w:rsidR="009F2D67" w:rsidRPr="008A084A">
        <w:rPr>
          <w:rFonts w:ascii="Cambria" w:hAnsi="Cambria"/>
          <w:sz w:val="20"/>
          <w:szCs w:val="20"/>
          <w:lang w:val="es-ES"/>
        </w:rPr>
        <w:t>,</w:t>
      </w:r>
      <w:r w:rsidR="004008F4" w:rsidRPr="008A084A">
        <w:rPr>
          <w:rFonts w:ascii="Cambria" w:hAnsi="Cambria"/>
          <w:sz w:val="20"/>
          <w:szCs w:val="20"/>
          <w:lang w:val="es-ES"/>
        </w:rPr>
        <w:t xml:space="preserve"> se han reivindicado los derechos de las personas con discapacidades</w:t>
      </w:r>
      <w:r w:rsidR="004008F4" w:rsidRPr="008A084A">
        <w:rPr>
          <w:rStyle w:val="FootnoteReference"/>
          <w:rFonts w:ascii="Cambria" w:hAnsi="Cambria"/>
          <w:sz w:val="20"/>
          <w:szCs w:val="20"/>
          <w:lang w:val="es-ES"/>
        </w:rPr>
        <w:footnoteReference w:id="230"/>
      </w:r>
      <w:r w:rsidR="004008F4" w:rsidRPr="008A084A">
        <w:rPr>
          <w:rFonts w:ascii="Cambria" w:hAnsi="Cambria"/>
          <w:sz w:val="20"/>
          <w:szCs w:val="20"/>
          <w:lang w:val="es-ES"/>
        </w:rPr>
        <w:t>.</w:t>
      </w:r>
      <w:r w:rsidR="008036B2" w:rsidRPr="008A084A">
        <w:rPr>
          <w:rFonts w:ascii="Cambria" w:hAnsi="Cambria"/>
          <w:sz w:val="20"/>
          <w:szCs w:val="20"/>
          <w:lang w:val="es-ES"/>
        </w:rPr>
        <w:t xml:space="preserve"> </w:t>
      </w:r>
      <w:r w:rsidR="008036B2" w:rsidRPr="008A084A">
        <w:rPr>
          <w:rFonts w:ascii="Cambria" w:hAnsi="Cambria"/>
          <w:sz w:val="20"/>
          <w:szCs w:val="20"/>
          <w:lang w:val="es-MX"/>
        </w:rPr>
        <w:t>Así, l</w:t>
      </w:r>
      <w:r w:rsidR="000C187A" w:rsidRPr="008A084A">
        <w:rPr>
          <w:rFonts w:ascii="Cambria" w:hAnsi="Cambria"/>
          <w:sz w:val="20"/>
          <w:szCs w:val="20"/>
          <w:lang w:val="es-MX"/>
        </w:rPr>
        <w:t>a CIDH ha indicado que toda persona que se encuentre en una situación de vulnerabilidad</w:t>
      </w:r>
      <w:r w:rsidR="008036B2" w:rsidRPr="008A084A">
        <w:rPr>
          <w:rFonts w:ascii="Cambria" w:hAnsi="Cambria"/>
          <w:sz w:val="20"/>
          <w:szCs w:val="20"/>
          <w:lang w:val="es-MX"/>
        </w:rPr>
        <w:t>, como las personas con discapacidad</w:t>
      </w:r>
      <w:r w:rsidR="00AB00C7" w:rsidRPr="008A084A">
        <w:rPr>
          <w:rFonts w:ascii="Cambria" w:hAnsi="Cambria"/>
          <w:sz w:val="20"/>
          <w:szCs w:val="20"/>
          <w:lang w:val="es-MX"/>
        </w:rPr>
        <w:t>,</w:t>
      </w:r>
      <w:r w:rsidR="000C187A" w:rsidRPr="008A084A">
        <w:rPr>
          <w:rFonts w:ascii="Cambria" w:hAnsi="Cambria"/>
          <w:sz w:val="20"/>
          <w:szCs w:val="20"/>
          <w:lang w:val="es-MX"/>
        </w:rPr>
        <w:t xml:space="preserve"> es titular de una protección especial</w:t>
      </w:r>
      <w:r w:rsidR="008036B2" w:rsidRPr="008A084A">
        <w:rPr>
          <w:rStyle w:val="FootnoteReference"/>
          <w:rFonts w:ascii="Cambria" w:hAnsi="Cambria"/>
          <w:sz w:val="20"/>
          <w:szCs w:val="20"/>
          <w:lang w:val="es-ES"/>
        </w:rPr>
        <w:footnoteReference w:id="231"/>
      </w:r>
      <w:r w:rsidR="008036B2" w:rsidRPr="008A084A">
        <w:rPr>
          <w:rFonts w:ascii="Cambria" w:hAnsi="Cambria"/>
          <w:sz w:val="20"/>
          <w:szCs w:val="20"/>
          <w:lang w:val="es-MX"/>
        </w:rPr>
        <w:t>. Ello</w:t>
      </w:r>
      <w:r w:rsidR="000C187A" w:rsidRPr="008A084A">
        <w:rPr>
          <w:rFonts w:ascii="Cambria" w:hAnsi="Cambria"/>
          <w:sz w:val="20"/>
          <w:szCs w:val="20"/>
          <w:lang w:val="es-MX"/>
        </w:rPr>
        <w:t xml:space="preserve"> en razón de los deberes especiales cuyo cumplimiento por parte del Estado es </w:t>
      </w:r>
      <w:r w:rsidR="000C187A" w:rsidRPr="008A084A">
        <w:rPr>
          <w:rFonts w:ascii="Cambria" w:hAnsi="Cambria"/>
          <w:sz w:val="20"/>
          <w:szCs w:val="20"/>
          <w:lang w:val="es-ES"/>
        </w:rPr>
        <w:t>necesario</w:t>
      </w:r>
      <w:r w:rsidR="000C187A" w:rsidRPr="008A084A">
        <w:rPr>
          <w:rFonts w:ascii="Cambria" w:hAnsi="Cambria"/>
          <w:sz w:val="20"/>
          <w:szCs w:val="20"/>
          <w:lang w:val="es-MX"/>
        </w:rPr>
        <w:t xml:space="preserve"> para satisfacer las obligaciones generales de respeto y garantía de los derechos humanos</w:t>
      </w:r>
      <w:r w:rsidR="000C187A" w:rsidRPr="008A084A">
        <w:rPr>
          <w:rStyle w:val="FootnoteReference"/>
          <w:rFonts w:ascii="Cambria" w:hAnsi="Cambria"/>
          <w:sz w:val="20"/>
          <w:szCs w:val="20"/>
          <w:lang w:val="es-ES"/>
        </w:rPr>
        <w:footnoteReference w:id="232"/>
      </w:r>
      <w:r w:rsidR="000C187A" w:rsidRPr="008A084A">
        <w:rPr>
          <w:rFonts w:ascii="Cambria" w:hAnsi="Cambria"/>
          <w:sz w:val="20"/>
          <w:szCs w:val="20"/>
          <w:lang w:val="es-MX"/>
        </w:rPr>
        <w:t xml:space="preserve">. </w:t>
      </w:r>
    </w:p>
    <w:p w:rsidR="008036B2" w:rsidRPr="008A084A" w:rsidRDefault="008036B2" w:rsidP="00FF1817">
      <w:pPr>
        <w:pStyle w:val="ColorfulList-Accent11"/>
        <w:rPr>
          <w:rFonts w:ascii="Cambria" w:hAnsi="Cambria"/>
          <w:sz w:val="20"/>
          <w:szCs w:val="20"/>
          <w:lang w:val="es-MX"/>
        </w:rPr>
      </w:pPr>
    </w:p>
    <w:p w:rsidR="000C187A" w:rsidRPr="008A084A" w:rsidRDefault="000C187A" w:rsidP="00FF1817">
      <w:pPr>
        <w:numPr>
          <w:ilvl w:val="0"/>
          <w:numId w:val="55"/>
        </w:numPr>
        <w:jc w:val="both"/>
        <w:rPr>
          <w:rFonts w:ascii="Cambria" w:hAnsi="Cambria"/>
          <w:sz w:val="20"/>
          <w:szCs w:val="20"/>
          <w:lang w:val="es-MX"/>
        </w:rPr>
      </w:pPr>
      <w:r w:rsidRPr="008A084A">
        <w:rPr>
          <w:rFonts w:ascii="Cambria" w:hAnsi="Cambria"/>
          <w:sz w:val="20"/>
          <w:szCs w:val="20"/>
          <w:lang w:val="es-MX"/>
        </w:rPr>
        <w:t>Por su parte, la Corte ha indicado que “no basta con que los Estados se abstengan de violar los derechos, sino que es imperativa la adopción de medidas positivas, determinables en función de las particulares necesidades de protección del sujeto de derecho, ya sea por su condición personal o por la situación específica en que se encuentre, como la discapacidad”</w:t>
      </w:r>
      <w:r w:rsidRPr="008A084A">
        <w:rPr>
          <w:rStyle w:val="FootnoteReference"/>
          <w:rFonts w:ascii="Cambria" w:hAnsi="Cambria"/>
          <w:sz w:val="20"/>
          <w:szCs w:val="20"/>
          <w:lang w:val="es-MX"/>
        </w:rPr>
        <w:footnoteReference w:id="233"/>
      </w:r>
      <w:r w:rsidRPr="008A084A">
        <w:rPr>
          <w:rFonts w:ascii="Cambria" w:hAnsi="Cambria"/>
          <w:sz w:val="20"/>
          <w:szCs w:val="20"/>
          <w:lang w:val="es-MX"/>
        </w:rPr>
        <w:t>.</w:t>
      </w:r>
    </w:p>
    <w:p w:rsidR="000C187A" w:rsidRPr="008A084A" w:rsidRDefault="000C187A" w:rsidP="00FF1817">
      <w:pPr>
        <w:pStyle w:val="ColorfulList-Accent11"/>
        <w:rPr>
          <w:rFonts w:ascii="Cambria" w:hAnsi="Cambria"/>
          <w:sz w:val="20"/>
          <w:szCs w:val="20"/>
          <w:lang w:val="es-MX"/>
        </w:rPr>
      </w:pPr>
    </w:p>
    <w:p w:rsidR="000C187A" w:rsidRPr="008A084A" w:rsidRDefault="000C187A" w:rsidP="00FF1817">
      <w:pPr>
        <w:numPr>
          <w:ilvl w:val="0"/>
          <w:numId w:val="55"/>
        </w:numPr>
        <w:jc w:val="both"/>
        <w:rPr>
          <w:rFonts w:ascii="Cambria" w:hAnsi="Cambria"/>
          <w:sz w:val="20"/>
          <w:szCs w:val="20"/>
          <w:lang w:val="es-ES"/>
        </w:rPr>
      </w:pPr>
      <w:r w:rsidRPr="008A084A">
        <w:rPr>
          <w:rFonts w:ascii="Cambria" w:hAnsi="Cambria"/>
          <w:sz w:val="20"/>
          <w:szCs w:val="20"/>
          <w:lang w:val="es-ES"/>
        </w:rPr>
        <w:t>En este sentido, es obligación de los Estados propender por la inclusión de las personas con discapacidad por medio de la igualdad de condiciones, oportunidades y participación en tod</w:t>
      </w:r>
      <w:r w:rsidR="00F17D0D" w:rsidRPr="008A084A">
        <w:rPr>
          <w:rFonts w:ascii="Cambria" w:hAnsi="Cambria"/>
          <w:sz w:val="20"/>
          <w:szCs w:val="20"/>
          <w:lang w:val="es-ES"/>
        </w:rPr>
        <w:t>as las esferas de la sociedad</w:t>
      </w:r>
      <w:r w:rsidR="00F17D0D" w:rsidRPr="008A084A">
        <w:rPr>
          <w:rStyle w:val="FootnoteReference"/>
          <w:rFonts w:ascii="Cambria" w:hAnsi="Cambria"/>
          <w:sz w:val="20"/>
          <w:szCs w:val="20"/>
          <w:lang w:val="es-ES"/>
        </w:rPr>
        <w:footnoteReference w:id="234"/>
      </w:r>
      <w:r w:rsidR="00F17D0D" w:rsidRPr="008A084A">
        <w:rPr>
          <w:rFonts w:ascii="Cambria" w:hAnsi="Cambria"/>
          <w:sz w:val="20"/>
          <w:szCs w:val="20"/>
          <w:lang w:val="es-ES"/>
        </w:rPr>
        <w:t xml:space="preserve">. Ello a efectos de </w:t>
      </w:r>
      <w:r w:rsidRPr="008A084A">
        <w:rPr>
          <w:rFonts w:ascii="Cambria" w:hAnsi="Cambria"/>
          <w:sz w:val="20"/>
          <w:szCs w:val="20"/>
          <w:lang w:val="es-ES"/>
        </w:rPr>
        <w:t>garantizar que las limitaciones normativas o de facto</w:t>
      </w:r>
      <w:r w:rsidR="00AB00C7" w:rsidRPr="008A084A">
        <w:rPr>
          <w:rFonts w:ascii="Cambria" w:hAnsi="Cambria"/>
          <w:sz w:val="20"/>
          <w:szCs w:val="20"/>
          <w:lang w:val="es-ES"/>
        </w:rPr>
        <w:t xml:space="preserve"> que perpetúan o profundizan dicha vulnerabilidad y exclusión, </w:t>
      </w:r>
      <w:r w:rsidRPr="008A084A">
        <w:rPr>
          <w:rFonts w:ascii="Cambria" w:hAnsi="Cambria"/>
          <w:sz w:val="20"/>
          <w:szCs w:val="20"/>
          <w:lang w:val="es-ES"/>
        </w:rPr>
        <w:t>sean desmantelada</w:t>
      </w:r>
      <w:r w:rsidR="00F17D0D" w:rsidRPr="008A084A">
        <w:rPr>
          <w:rFonts w:ascii="Cambria" w:hAnsi="Cambria"/>
          <w:sz w:val="20"/>
          <w:szCs w:val="20"/>
          <w:lang w:val="es-ES"/>
        </w:rPr>
        <w:t>s</w:t>
      </w:r>
      <w:r w:rsidR="00F17D0D" w:rsidRPr="008A084A">
        <w:rPr>
          <w:rStyle w:val="FootnoteReference"/>
          <w:rFonts w:ascii="Cambria" w:hAnsi="Cambria"/>
          <w:sz w:val="20"/>
          <w:szCs w:val="20"/>
          <w:lang w:val="es-ES"/>
        </w:rPr>
        <w:footnoteReference w:id="235"/>
      </w:r>
      <w:r w:rsidRPr="008A084A">
        <w:rPr>
          <w:rFonts w:ascii="Cambria" w:hAnsi="Cambria"/>
          <w:sz w:val="20"/>
          <w:szCs w:val="20"/>
          <w:lang w:val="es-ES"/>
        </w:rPr>
        <w:t xml:space="preserve">. Por tanto, </w:t>
      </w:r>
      <w:r w:rsidR="0092272F" w:rsidRPr="008A084A">
        <w:rPr>
          <w:rFonts w:ascii="Cambria" w:hAnsi="Cambria"/>
          <w:sz w:val="20"/>
          <w:szCs w:val="20"/>
          <w:lang w:val="es-ES"/>
        </w:rPr>
        <w:t>e</w:t>
      </w:r>
      <w:r w:rsidRPr="008A084A">
        <w:rPr>
          <w:rFonts w:ascii="Cambria" w:hAnsi="Cambria"/>
          <w:sz w:val="20"/>
          <w:szCs w:val="20"/>
          <w:lang w:val="es-ES"/>
        </w:rPr>
        <w:t>s necesario que los Estados promuevan prácticas de inclusión social y adopten medidas de diferenciación positiva para remover dichas barreras</w:t>
      </w:r>
      <w:r w:rsidR="00F17D0D" w:rsidRPr="008A084A">
        <w:rPr>
          <w:rStyle w:val="FootnoteReference"/>
          <w:rFonts w:ascii="Cambria" w:hAnsi="Cambria"/>
          <w:sz w:val="20"/>
          <w:szCs w:val="20"/>
          <w:lang w:val="es-ES"/>
        </w:rPr>
        <w:footnoteReference w:id="236"/>
      </w:r>
      <w:r w:rsidRPr="008A084A">
        <w:rPr>
          <w:rFonts w:ascii="Cambria" w:hAnsi="Cambria"/>
          <w:sz w:val="20"/>
          <w:szCs w:val="20"/>
          <w:lang w:val="es-ES"/>
        </w:rPr>
        <w:t>.</w:t>
      </w:r>
    </w:p>
    <w:p w:rsidR="000C187A" w:rsidRPr="008A084A" w:rsidRDefault="000C187A" w:rsidP="00FF1817">
      <w:pPr>
        <w:jc w:val="both"/>
        <w:rPr>
          <w:rFonts w:ascii="Cambria" w:hAnsi="Cambria"/>
          <w:sz w:val="20"/>
          <w:szCs w:val="20"/>
          <w:lang w:val="es-ES"/>
        </w:rPr>
      </w:pPr>
    </w:p>
    <w:p w:rsidR="00BD6114" w:rsidRPr="008A084A" w:rsidRDefault="00BD6114" w:rsidP="00FF1817">
      <w:pPr>
        <w:numPr>
          <w:ilvl w:val="0"/>
          <w:numId w:val="55"/>
        </w:numPr>
        <w:jc w:val="both"/>
        <w:rPr>
          <w:rFonts w:ascii="Cambria" w:hAnsi="Cambria"/>
          <w:sz w:val="20"/>
          <w:szCs w:val="20"/>
          <w:lang w:val="es-ES"/>
        </w:rPr>
      </w:pPr>
      <w:r w:rsidRPr="008A084A">
        <w:rPr>
          <w:rFonts w:ascii="Cambria" w:hAnsi="Cambria"/>
          <w:sz w:val="20"/>
          <w:szCs w:val="20"/>
          <w:lang w:val="es-ES"/>
        </w:rPr>
        <w:t>La Convención Interamericana para la Eliminación de todas las Formas de Discriminación contra las Personas con Discapacidad (en adelante “</w:t>
      </w:r>
      <w:r w:rsidR="001D2CDD" w:rsidRPr="008A084A">
        <w:rPr>
          <w:rFonts w:ascii="Cambria" w:hAnsi="Cambria"/>
          <w:sz w:val="20"/>
          <w:szCs w:val="20"/>
          <w:lang w:val="es-ES"/>
        </w:rPr>
        <w:t xml:space="preserve">la </w:t>
      </w:r>
      <w:r w:rsidRPr="008A084A">
        <w:rPr>
          <w:rFonts w:ascii="Cambria" w:hAnsi="Cambria"/>
          <w:sz w:val="20"/>
          <w:szCs w:val="20"/>
          <w:lang w:val="es-ES"/>
        </w:rPr>
        <w:t>CIADDIS”) es el primer instrumento internacional de derechos humanos específicamente dedicado a personas con discapacidad</w:t>
      </w:r>
      <w:r w:rsidR="0092272F" w:rsidRPr="008A084A">
        <w:rPr>
          <w:rFonts w:ascii="Cambria" w:hAnsi="Cambria"/>
          <w:sz w:val="20"/>
          <w:szCs w:val="20"/>
          <w:lang w:val="es-ES"/>
        </w:rPr>
        <w:t xml:space="preserve">. La CIDH toma nota de que </w:t>
      </w:r>
      <w:r w:rsidR="009A0B31" w:rsidRPr="008A084A">
        <w:rPr>
          <w:rFonts w:ascii="Cambria" w:hAnsi="Cambria"/>
          <w:sz w:val="20"/>
          <w:szCs w:val="20"/>
          <w:lang w:val="es-ES"/>
        </w:rPr>
        <w:t>Ecuador ratificó dicho tratado el 18 de marzo de 2004</w:t>
      </w:r>
      <w:r w:rsidR="009A0B31" w:rsidRPr="008A084A">
        <w:rPr>
          <w:rStyle w:val="FootnoteReference"/>
          <w:rFonts w:ascii="Cambria" w:hAnsi="Cambria"/>
          <w:sz w:val="20"/>
          <w:szCs w:val="20"/>
          <w:lang w:val="es-ES"/>
        </w:rPr>
        <w:footnoteReference w:id="237"/>
      </w:r>
      <w:r w:rsidR="009A0B31" w:rsidRPr="008A084A">
        <w:rPr>
          <w:rFonts w:ascii="Cambria" w:hAnsi="Cambria"/>
          <w:sz w:val="20"/>
          <w:szCs w:val="20"/>
          <w:lang w:val="es-ES"/>
        </w:rPr>
        <w:t>.</w:t>
      </w:r>
    </w:p>
    <w:p w:rsidR="009A0B31" w:rsidRPr="008A084A" w:rsidRDefault="009A0B31" w:rsidP="00FF1817">
      <w:pPr>
        <w:pStyle w:val="ColorfulList-Accent11"/>
        <w:rPr>
          <w:rFonts w:ascii="Cambria" w:hAnsi="Cambria"/>
          <w:sz w:val="20"/>
          <w:szCs w:val="20"/>
          <w:lang w:val="es-ES"/>
        </w:rPr>
      </w:pPr>
    </w:p>
    <w:p w:rsidR="004905B3" w:rsidRPr="008A084A" w:rsidRDefault="009A0B31" w:rsidP="004905B3">
      <w:pPr>
        <w:numPr>
          <w:ilvl w:val="0"/>
          <w:numId w:val="55"/>
        </w:numPr>
        <w:jc w:val="both"/>
        <w:rPr>
          <w:rFonts w:ascii="Cambria" w:hAnsi="Cambria"/>
          <w:sz w:val="20"/>
          <w:szCs w:val="20"/>
          <w:lang w:val="es-ES"/>
        </w:rPr>
      </w:pPr>
      <w:r w:rsidRPr="008A084A">
        <w:rPr>
          <w:rFonts w:ascii="Cambria" w:hAnsi="Cambria"/>
          <w:sz w:val="20"/>
          <w:szCs w:val="20"/>
          <w:lang w:val="es-ES"/>
        </w:rPr>
        <w:t>Por otra parte, el 3 de mayo de 2008 entró en vigor, en el sistema universal, la Convención sobre los Derechos de las Personas con Dis</w:t>
      </w:r>
      <w:r w:rsidR="00900D13" w:rsidRPr="008A084A">
        <w:rPr>
          <w:rFonts w:ascii="Cambria" w:hAnsi="Cambria"/>
          <w:sz w:val="20"/>
          <w:szCs w:val="20"/>
          <w:lang w:val="es-ES"/>
        </w:rPr>
        <w:t>capacidad (en adelante “</w:t>
      </w:r>
      <w:r w:rsidR="00283C1A" w:rsidRPr="008A084A">
        <w:rPr>
          <w:rFonts w:ascii="Cambria" w:hAnsi="Cambria"/>
          <w:sz w:val="20"/>
          <w:szCs w:val="20"/>
          <w:lang w:val="es-ES"/>
        </w:rPr>
        <w:t xml:space="preserve">la </w:t>
      </w:r>
      <w:r w:rsidR="00900D13" w:rsidRPr="008A084A">
        <w:rPr>
          <w:rFonts w:ascii="Cambria" w:hAnsi="Cambria"/>
          <w:sz w:val="20"/>
          <w:szCs w:val="20"/>
          <w:lang w:val="es-ES"/>
        </w:rPr>
        <w:t xml:space="preserve">CDPD”), </w:t>
      </w:r>
      <w:r w:rsidRPr="008A084A">
        <w:rPr>
          <w:rFonts w:ascii="Cambria" w:hAnsi="Cambria"/>
          <w:sz w:val="20"/>
          <w:szCs w:val="20"/>
          <w:lang w:val="es-ES"/>
        </w:rPr>
        <w:t>que establece los siguientes principios rectores en la materia : i) el respeto de la dignidad inherente, la autonomía individual, incluida la libertad de tomar las propias decisiones, y la independencia de las personas; ii) la no discriminación; iii) la participación e inclusión plenas y efectivas en la sociedad; iv) el respeto por la diferencia y la aceptación de las personas con discapacidad como parte de la diversidad y la condición humanas; v) la igualdad de oportunidades; vi) la accesibilidad; vii) la igualdad entre el hombre y la mujer</w:t>
      </w:r>
      <w:r w:rsidR="00283C1A" w:rsidRPr="008A084A">
        <w:rPr>
          <w:rFonts w:ascii="Cambria" w:hAnsi="Cambria"/>
          <w:sz w:val="20"/>
          <w:szCs w:val="20"/>
          <w:lang w:val="es-ES"/>
        </w:rPr>
        <w:t>;</w:t>
      </w:r>
      <w:r w:rsidRPr="008A084A">
        <w:rPr>
          <w:rFonts w:ascii="Cambria" w:hAnsi="Cambria"/>
          <w:sz w:val="20"/>
          <w:szCs w:val="20"/>
          <w:lang w:val="es-ES"/>
        </w:rPr>
        <w:t xml:space="preserve"> y viii) el respeto a la evolución de las facultades de los niños y las niñas con discapacidad y de su derecho a preservar su identidad. </w:t>
      </w:r>
      <w:r w:rsidR="0092272F" w:rsidRPr="008A084A">
        <w:rPr>
          <w:rFonts w:ascii="Cambria" w:hAnsi="Cambria"/>
          <w:sz w:val="20"/>
          <w:szCs w:val="20"/>
          <w:lang w:val="es-ES"/>
        </w:rPr>
        <w:t xml:space="preserve">La Comisión toma nota de que </w:t>
      </w:r>
      <w:r w:rsidRPr="008A084A">
        <w:rPr>
          <w:rFonts w:ascii="Cambria" w:hAnsi="Cambria"/>
          <w:sz w:val="20"/>
          <w:szCs w:val="20"/>
          <w:lang w:val="es-ES"/>
        </w:rPr>
        <w:t>Ecuador ratificó esta Convención el 3 de abril de 2008</w:t>
      </w:r>
      <w:r w:rsidR="00794EF6" w:rsidRPr="008A084A">
        <w:rPr>
          <w:rStyle w:val="FootnoteReference"/>
          <w:rFonts w:ascii="Cambria" w:hAnsi="Cambria"/>
          <w:sz w:val="20"/>
          <w:szCs w:val="20"/>
        </w:rPr>
        <w:footnoteReference w:id="238"/>
      </w:r>
      <w:r w:rsidRPr="008A084A">
        <w:rPr>
          <w:rFonts w:ascii="Cambria" w:hAnsi="Cambria"/>
          <w:sz w:val="20"/>
          <w:szCs w:val="20"/>
          <w:lang w:val="es-ES"/>
        </w:rPr>
        <w:t>.</w:t>
      </w:r>
    </w:p>
    <w:p w:rsidR="004905B3" w:rsidRPr="008A084A" w:rsidRDefault="004905B3" w:rsidP="004905B3">
      <w:pPr>
        <w:pStyle w:val="ListParagraph"/>
        <w:rPr>
          <w:rFonts w:ascii="Cambria" w:hAnsi="Cambria"/>
          <w:sz w:val="20"/>
          <w:szCs w:val="20"/>
          <w:lang w:val="es-ES"/>
        </w:rPr>
      </w:pPr>
    </w:p>
    <w:p w:rsidR="00900D13" w:rsidRPr="008A084A" w:rsidRDefault="00900D13" w:rsidP="004905B3">
      <w:pPr>
        <w:numPr>
          <w:ilvl w:val="0"/>
          <w:numId w:val="55"/>
        </w:numPr>
        <w:jc w:val="both"/>
        <w:rPr>
          <w:rFonts w:ascii="Cambria" w:hAnsi="Cambria"/>
          <w:sz w:val="20"/>
          <w:szCs w:val="20"/>
          <w:lang w:val="es-ES"/>
        </w:rPr>
      </w:pPr>
      <w:r w:rsidRPr="008A084A">
        <w:rPr>
          <w:rFonts w:ascii="Cambria" w:hAnsi="Cambria"/>
          <w:sz w:val="20"/>
          <w:szCs w:val="20"/>
          <w:lang w:val="es-ES"/>
        </w:rPr>
        <w:t xml:space="preserve">La CIDH remarca que la CDPD </w:t>
      </w:r>
      <w:r w:rsidR="00602747" w:rsidRPr="008A084A">
        <w:rPr>
          <w:rFonts w:ascii="Cambria" w:hAnsi="Cambria"/>
          <w:sz w:val="20"/>
          <w:szCs w:val="20"/>
          <w:lang w:val="es-ES"/>
        </w:rPr>
        <w:t>implic</w:t>
      </w:r>
      <w:r w:rsidR="00602747" w:rsidRPr="008A084A">
        <w:rPr>
          <w:rFonts w:ascii="Cambria" w:hAnsi="Cambria"/>
          <w:sz w:val="20"/>
          <w:szCs w:val="20"/>
          <w:lang w:val="es-CO"/>
        </w:rPr>
        <w:t xml:space="preserve">ó un cambio de paradigma fundamental para la adecuada comprensión de los derechos de las personas con discapacidad, en cuando a su entendimiento como sujetos de derechos y no como objetos de protección. Además, resulta de crucial relevancia pues </w:t>
      </w:r>
      <w:r w:rsidRPr="008A084A">
        <w:rPr>
          <w:rFonts w:ascii="Cambria" w:hAnsi="Cambria"/>
          <w:sz w:val="20"/>
          <w:szCs w:val="20"/>
          <w:lang w:val="es-ES"/>
        </w:rPr>
        <w:t>adopta un enfoque social para abordar la discapacidad. Ello implica que la discapacidad no se define exclusivamente por la presencia de una deficiencia física, mental, intelectual o sensorial, sino que se interrelaciona con las barreras o limitaciones que socialmente existen para que las personas puedan ejercer sus derechos de manera efectiva</w:t>
      </w:r>
      <w:r w:rsidRPr="008A084A">
        <w:rPr>
          <w:rStyle w:val="FootnoteReference"/>
          <w:rFonts w:ascii="Cambria" w:hAnsi="Cambria"/>
          <w:sz w:val="20"/>
          <w:szCs w:val="20"/>
        </w:rPr>
        <w:footnoteReference w:id="239"/>
      </w:r>
      <w:r w:rsidRPr="008A084A">
        <w:rPr>
          <w:rFonts w:ascii="Cambria" w:hAnsi="Cambria"/>
          <w:sz w:val="20"/>
          <w:szCs w:val="20"/>
          <w:lang w:val="es-ES"/>
        </w:rPr>
        <w:t>. Los tipos de límites o barreras que comúnmente encuentran las personas con diversidad funcional en la sociedad son, entre otras, barreras físicas o arquitectónicas, comunicativas, actitudinales o socioeconómicas</w:t>
      </w:r>
      <w:r w:rsidRPr="008A084A">
        <w:rPr>
          <w:rStyle w:val="FootnoteReference"/>
          <w:rFonts w:ascii="Cambria" w:hAnsi="Cambria"/>
          <w:sz w:val="20"/>
          <w:szCs w:val="20"/>
          <w:lang w:val="es-ES"/>
        </w:rPr>
        <w:footnoteReference w:id="240"/>
      </w:r>
      <w:r w:rsidRPr="008A084A">
        <w:rPr>
          <w:rFonts w:ascii="Cambria" w:hAnsi="Cambria"/>
          <w:sz w:val="20"/>
          <w:szCs w:val="20"/>
          <w:lang w:val="es-ES"/>
        </w:rPr>
        <w:t>.</w:t>
      </w:r>
      <w:r w:rsidR="00225513" w:rsidRPr="008A084A">
        <w:rPr>
          <w:rFonts w:ascii="Cambria" w:hAnsi="Cambria"/>
          <w:sz w:val="20"/>
          <w:szCs w:val="20"/>
          <w:lang w:val="es-ES"/>
        </w:rPr>
        <w:t xml:space="preserve"> </w:t>
      </w:r>
    </w:p>
    <w:p w:rsidR="005C005B" w:rsidRPr="008A084A" w:rsidRDefault="005C005B" w:rsidP="00A16BA4">
      <w:pPr>
        <w:pStyle w:val="ListParagraph"/>
        <w:rPr>
          <w:rFonts w:ascii="Cambria" w:hAnsi="Cambria"/>
          <w:sz w:val="20"/>
          <w:szCs w:val="20"/>
          <w:lang w:val="es-ES"/>
        </w:rPr>
      </w:pPr>
    </w:p>
    <w:p w:rsidR="003B0498" w:rsidRPr="008A084A" w:rsidRDefault="009D0824" w:rsidP="00A16BA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jc w:val="both"/>
        <w:rPr>
          <w:rFonts w:ascii="Cambria" w:hAnsi="Cambria"/>
          <w:color w:val="auto"/>
          <w:sz w:val="20"/>
          <w:szCs w:val="20"/>
        </w:rPr>
      </w:pPr>
      <w:r w:rsidRPr="008A084A">
        <w:rPr>
          <w:rFonts w:ascii="Cambria" w:hAnsi="Cambria"/>
          <w:color w:val="auto"/>
          <w:sz w:val="20"/>
          <w:szCs w:val="20"/>
          <w:lang w:val="es-ES"/>
        </w:rPr>
        <w:t>Finalmente</w:t>
      </w:r>
      <w:r w:rsidR="009637D6" w:rsidRPr="008A084A">
        <w:rPr>
          <w:rFonts w:ascii="Cambria" w:hAnsi="Cambria"/>
          <w:color w:val="auto"/>
          <w:sz w:val="20"/>
          <w:szCs w:val="20"/>
          <w:lang w:val="es-ES"/>
        </w:rPr>
        <w:t>,</w:t>
      </w:r>
      <w:r w:rsidRPr="008A084A">
        <w:rPr>
          <w:rFonts w:ascii="Cambria" w:hAnsi="Cambria"/>
          <w:color w:val="auto"/>
          <w:sz w:val="20"/>
          <w:szCs w:val="20"/>
          <w:lang w:val="es-ES"/>
        </w:rPr>
        <w:t xml:space="preserve"> en relación al principio de igualdad y no discriminación el sistema interamericano no sólo recoge una noción formal de igualdad, limitada a exigir criterios de distinción objetivos y razonables y, por lo tanto, a prohibir diferencias de trato irrazonables, caprichosas o arbitrarias, sino que avanza hacia un concepto de igualdad material o estructural que parte del reconocimiento de que ciertos sectores de la población requieren la adopción de medidas afirmativas de equiparación. Ello implica la </w:t>
      </w:r>
      <w:r w:rsidRPr="008A084A">
        <w:rPr>
          <w:rFonts w:ascii="Cambria" w:hAnsi="Cambria"/>
          <w:color w:val="auto"/>
          <w:sz w:val="20"/>
          <w:szCs w:val="20"/>
          <w:lang w:val="es-ES"/>
        </w:rPr>
        <w:lastRenderedPageBreak/>
        <w:t>necesidad de trato diferenciado cuando, debido a las circunstancias que afectan a un grupo desventajado, la igualdad de trato suponga suspender o limitar el acceso a un servicio, bien o el ejercicio de un derecho</w:t>
      </w:r>
      <w:r w:rsidR="009637D6" w:rsidRPr="008A084A">
        <w:rPr>
          <w:rStyle w:val="FootnoteReference"/>
          <w:rFonts w:ascii="Cambria" w:hAnsi="Cambria"/>
          <w:color w:val="auto"/>
          <w:sz w:val="20"/>
          <w:szCs w:val="20"/>
          <w:lang w:val="es-ES"/>
        </w:rPr>
        <w:footnoteReference w:id="241"/>
      </w:r>
      <w:r w:rsidR="009637D6" w:rsidRPr="008A084A">
        <w:rPr>
          <w:rFonts w:ascii="Cambria" w:hAnsi="Cambria"/>
          <w:color w:val="auto"/>
          <w:sz w:val="20"/>
          <w:szCs w:val="20"/>
          <w:lang w:val="es-ES"/>
        </w:rPr>
        <w:t xml:space="preserve">. </w:t>
      </w:r>
      <w:r w:rsidR="0026749B" w:rsidRPr="008A084A">
        <w:rPr>
          <w:rFonts w:ascii="Cambria" w:hAnsi="Cambria"/>
          <w:color w:val="auto"/>
          <w:sz w:val="20"/>
          <w:szCs w:val="20"/>
          <w:lang w:val="es-ES"/>
        </w:rPr>
        <w:t xml:space="preserve"> </w:t>
      </w:r>
      <w:r w:rsidR="003B0498" w:rsidRPr="008A084A">
        <w:rPr>
          <w:rFonts w:ascii="Cambria" w:hAnsi="Cambria"/>
          <w:color w:val="auto"/>
          <w:sz w:val="20"/>
          <w:szCs w:val="20"/>
          <w:lang w:val="es-ES"/>
        </w:rPr>
        <w:t xml:space="preserve">De la misma forma, </w:t>
      </w:r>
      <w:r w:rsidR="00C95B66" w:rsidRPr="008A084A">
        <w:rPr>
          <w:rFonts w:ascii="Cambria" w:hAnsi="Cambria"/>
          <w:color w:val="auto"/>
          <w:sz w:val="20"/>
          <w:szCs w:val="20"/>
          <w:lang w:val="es-ES"/>
        </w:rPr>
        <w:t xml:space="preserve">teniendo en cuenta la situación de pobreza del señor Guachalá y su familia, </w:t>
      </w:r>
      <w:r w:rsidR="003B0498" w:rsidRPr="008A084A">
        <w:rPr>
          <w:rFonts w:ascii="Cambria" w:hAnsi="Cambria"/>
          <w:color w:val="auto"/>
          <w:sz w:val="20"/>
          <w:szCs w:val="20"/>
          <w:lang w:val="es-ES"/>
        </w:rPr>
        <w:t xml:space="preserve">la CIDH </w:t>
      </w:r>
      <w:r w:rsidR="00C95B66" w:rsidRPr="008A084A">
        <w:rPr>
          <w:rFonts w:ascii="Cambria" w:hAnsi="Cambria"/>
          <w:color w:val="auto"/>
          <w:sz w:val="20"/>
          <w:szCs w:val="20"/>
          <w:lang w:val="es-ES"/>
        </w:rPr>
        <w:t xml:space="preserve">recuerda </w:t>
      </w:r>
      <w:r w:rsidR="003B0498" w:rsidRPr="008A084A">
        <w:rPr>
          <w:rFonts w:ascii="Cambria" w:hAnsi="Cambria"/>
          <w:color w:val="auto"/>
          <w:sz w:val="20"/>
          <w:szCs w:val="20"/>
          <w:lang w:val="es-ES"/>
        </w:rPr>
        <w:t>que tener una discapacidad aumenta la probabilidad de estar en situación de pobreza, debido a que la discriminación que se deriva de vivir con esta condición puede conllevar a la exclusión social, la marginación, la falta de estudios</w:t>
      </w:r>
      <w:r w:rsidR="00C95B66" w:rsidRPr="008A084A">
        <w:rPr>
          <w:rFonts w:ascii="Cambria" w:hAnsi="Cambria"/>
          <w:color w:val="auto"/>
          <w:sz w:val="20"/>
          <w:szCs w:val="20"/>
          <w:lang w:val="es-ES"/>
        </w:rPr>
        <w:t xml:space="preserve"> y</w:t>
      </w:r>
      <w:r w:rsidR="003B0498" w:rsidRPr="008A084A">
        <w:rPr>
          <w:rFonts w:ascii="Cambria" w:hAnsi="Cambria"/>
          <w:color w:val="auto"/>
          <w:sz w:val="20"/>
          <w:szCs w:val="20"/>
          <w:lang w:val="es-ES"/>
        </w:rPr>
        <w:t xml:space="preserve"> el desempleo</w:t>
      </w:r>
      <w:r w:rsidR="003B0498" w:rsidRPr="008A084A">
        <w:rPr>
          <w:rStyle w:val="FootnoteReference"/>
          <w:rFonts w:ascii="Cambria" w:hAnsi="Cambria"/>
          <w:color w:val="auto"/>
          <w:sz w:val="20"/>
          <w:szCs w:val="20"/>
          <w:lang w:val="es-ES"/>
        </w:rPr>
        <w:footnoteReference w:id="242"/>
      </w:r>
      <w:r w:rsidR="003B0498" w:rsidRPr="008A084A">
        <w:rPr>
          <w:rFonts w:ascii="Cambria" w:hAnsi="Cambria"/>
          <w:color w:val="auto"/>
          <w:sz w:val="20"/>
          <w:szCs w:val="20"/>
          <w:lang w:val="es-ES"/>
        </w:rPr>
        <w:t>.</w:t>
      </w:r>
    </w:p>
    <w:p w:rsidR="003B0498" w:rsidRPr="008A084A" w:rsidRDefault="003B0498" w:rsidP="00A16BA4">
      <w:pPr>
        <w:pStyle w:val="ListParagraph"/>
        <w:rPr>
          <w:rFonts w:ascii="Cambria" w:hAnsi="Cambria"/>
          <w:sz w:val="20"/>
          <w:szCs w:val="20"/>
          <w:lang w:val="es-ES"/>
        </w:rPr>
      </w:pPr>
    </w:p>
    <w:p w:rsidR="005C005B" w:rsidRPr="008A084A" w:rsidRDefault="00C95B66" w:rsidP="00A16BA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jc w:val="both"/>
        <w:rPr>
          <w:rFonts w:ascii="Cambria" w:hAnsi="Cambria"/>
          <w:color w:val="auto"/>
          <w:sz w:val="20"/>
          <w:szCs w:val="20"/>
        </w:rPr>
      </w:pPr>
      <w:r w:rsidRPr="008A084A">
        <w:rPr>
          <w:rFonts w:ascii="Cambria" w:hAnsi="Cambria"/>
          <w:color w:val="auto"/>
          <w:sz w:val="20"/>
          <w:szCs w:val="20"/>
          <w:lang w:val="es-ES"/>
        </w:rPr>
        <w:t>De este modo, l</w:t>
      </w:r>
      <w:r w:rsidR="004905B3" w:rsidRPr="008A084A">
        <w:rPr>
          <w:rFonts w:ascii="Cambria" w:hAnsi="Cambria"/>
          <w:color w:val="auto"/>
          <w:sz w:val="20"/>
          <w:szCs w:val="20"/>
          <w:lang w:val="es-ES"/>
        </w:rPr>
        <w:t xml:space="preserve">os órganos del sistema interamericano han hecho hincapié en el deber de los Estados de adoptar medidas para asegurar la igualdad real entre las personas y combatir la discriminación histórica </w:t>
      </w:r>
      <w:r w:rsidR="00383748" w:rsidRPr="008A084A">
        <w:rPr>
          <w:rFonts w:ascii="Cambria" w:hAnsi="Cambria"/>
          <w:color w:val="auto"/>
          <w:sz w:val="20"/>
          <w:szCs w:val="20"/>
          <w:lang w:val="es-ES"/>
        </w:rPr>
        <w:t xml:space="preserve">o </w:t>
      </w:r>
      <w:r w:rsidR="00383748" w:rsidRPr="008A084A">
        <w:rPr>
          <w:rFonts w:ascii="Cambria" w:hAnsi="Cambria"/>
          <w:i/>
          <w:color w:val="auto"/>
          <w:sz w:val="20"/>
          <w:szCs w:val="20"/>
          <w:lang w:val="es-ES"/>
        </w:rPr>
        <w:t>de facto</w:t>
      </w:r>
      <w:r w:rsidR="00383748" w:rsidRPr="008A084A">
        <w:rPr>
          <w:rFonts w:ascii="Cambria" w:hAnsi="Cambria"/>
          <w:color w:val="auto"/>
          <w:sz w:val="20"/>
          <w:szCs w:val="20"/>
          <w:lang w:val="es-ES"/>
        </w:rPr>
        <w:t xml:space="preserve"> </w:t>
      </w:r>
      <w:r w:rsidR="004905B3" w:rsidRPr="008A084A">
        <w:rPr>
          <w:rFonts w:ascii="Cambria" w:hAnsi="Cambria"/>
          <w:color w:val="auto"/>
          <w:sz w:val="20"/>
          <w:szCs w:val="20"/>
          <w:lang w:val="es-ES"/>
        </w:rPr>
        <w:t>ejercida en contra de una variedad de grupos sociales</w:t>
      </w:r>
      <w:r w:rsidR="00383748" w:rsidRPr="008A084A">
        <w:rPr>
          <w:rFonts w:ascii="Cambria" w:hAnsi="Cambria"/>
          <w:color w:val="auto"/>
          <w:sz w:val="20"/>
          <w:szCs w:val="20"/>
          <w:lang w:val="es-ES"/>
        </w:rPr>
        <w:t xml:space="preserve">. </w:t>
      </w:r>
      <w:r w:rsidRPr="008A084A">
        <w:rPr>
          <w:rFonts w:ascii="Cambria" w:hAnsi="Cambria"/>
          <w:color w:val="auto"/>
          <w:sz w:val="20"/>
          <w:szCs w:val="20"/>
          <w:lang w:val="es-ES"/>
        </w:rPr>
        <w:t>La Comisión ha señalado que la implementación de medidas positivas son necesarias para garantizar el ejercicio de los derechos de personas vinculadas a grupos que sufren desigualdades estructurales o han sido víctima de procesos históricos de exclusión</w:t>
      </w:r>
      <w:r w:rsidRPr="008A084A">
        <w:rPr>
          <w:rStyle w:val="FootnoteReference"/>
          <w:rFonts w:ascii="Cambria" w:hAnsi="Cambria"/>
          <w:color w:val="auto"/>
          <w:sz w:val="20"/>
          <w:szCs w:val="20"/>
        </w:rPr>
        <w:footnoteReference w:id="243"/>
      </w:r>
      <w:r w:rsidRPr="008A084A">
        <w:rPr>
          <w:rFonts w:ascii="Cambria" w:hAnsi="Cambria"/>
          <w:color w:val="auto"/>
          <w:sz w:val="20"/>
          <w:szCs w:val="20"/>
          <w:lang w:val="es-ES"/>
        </w:rPr>
        <w:t>, como son las personas con alguna discapacidad mental</w:t>
      </w:r>
      <w:r w:rsidRPr="008A084A">
        <w:rPr>
          <w:rFonts w:ascii="Cambria" w:hAnsi="Cambria"/>
          <w:color w:val="auto"/>
          <w:sz w:val="20"/>
          <w:szCs w:val="20"/>
        </w:rPr>
        <w:t xml:space="preserve">. En la misma línea, la </w:t>
      </w:r>
      <w:r w:rsidRPr="008A084A">
        <w:rPr>
          <w:rFonts w:ascii="Cambria" w:hAnsi="Cambria"/>
          <w:color w:val="auto"/>
          <w:sz w:val="20"/>
          <w:szCs w:val="20"/>
          <w:lang w:val="es-AR"/>
        </w:rPr>
        <w:t xml:space="preserve">Corte ha establecido que los Estados están obligados a adoptar medidas positivas para revertir o </w:t>
      </w:r>
      <w:r w:rsidRPr="008A084A">
        <w:rPr>
          <w:rFonts w:ascii="Cambria" w:hAnsi="Cambria"/>
          <w:color w:val="auto"/>
          <w:sz w:val="20"/>
          <w:szCs w:val="20"/>
          <w:lang w:val="es-ES"/>
        </w:rPr>
        <w:t>cambiar</w:t>
      </w:r>
      <w:r w:rsidRPr="008A084A">
        <w:rPr>
          <w:rFonts w:ascii="Cambria" w:hAnsi="Cambria"/>
          <w:color w:val="auto"/>
          <w:sz w:val="20"/>
          <w:szCs w:val="20"/>
          <w:lang w:val="es-AR"/>
        </w:rPr>
        <w:t xml:space="preserve"> situaciones discriminatorias existentes en sus sociedades, en perjuicio de determinado grupo de personas. Esto implica el deber especial de protección que el Estado debe ejercer con respecto a actuaciones y prácticas de terceros que, bajo su tolerancia o aquiescencia, creen, mantengan o favorezcan las situaciones discriminatorias</w:t>
      </w:r>
      <w:r w:rsidRPr="008A084A">
        <w:rPr>
          <w:rStyle w:val="FootnoteReference"/>
          <w:rFonts w:ascii="Cambria" w:hAnsi="Cambria"/>
          <w:color w:val="auto"/>
          <w:sz w:val="20"/>
          <w:szCs w:val="20"/>
          <w:lang w:val="es-AR"/>
        </w:rPr>
        <w:footnoteReference w:id="244"/>
      </w:r>
      <w:r w:rsidRPr="008A084A">
        <w:rPr>
          <w:rFonts w:ascii="Cambria" w:hAnsi="Cambria"/>
          <w:color w:val="auto"/>
          <w:sz w:val="20"/>
          <w:szCs w:val="20"/>
          <w:lang w:val="es-AR"/>
        </w:rPr>
        <w:t>.</w:t>
      </w:r>
    </w:p>
    <w:p w:rsidR="00900D13" w:rsidRPr="008A084A" w:rsidRDefault="00900D13" w:rsidP="00FF1817">
      <w:pPr>
        <w:pStyle w:val="ColorfulList-Accent11"/>
        <w:ind w:left="0"/>
        <w:rPr>
          <w:rFonts w:ascii="Cambria" w:hAnsi="Cambria"/>
          <w:sz w:val="20"/>
          <w:szCs w:val="20"/>
          <w:lang w:val="es-ES"/>
        </w:rPr>
      </w:pPr>
    </w:p>
    <w:p w:rsidR="002254CC" w:rsidRPr="008A084A" w:rsidRDefault="008230B7" w:rsidP="00FF1817">
      <w:pPr>
        <w:numPr>
          <w:ilvl w:val="0"/>
          <w:numId w:val="55"/>
        </w:numPr>
        <w:jc w:val="both"/>
        <w:rPr>
          <w:rFonts w:ascii="Cambria" w:hAnsi="Cambria"/>
          <w:sz w:val="20"/>
          <w:szCs w:val="20"/>
          <w:lang w:val="es-ES"/>
        </w:rPr>
      </w:pPr>
      <w:r w:rsidRPr="008A084A">
        <w:rPr>
          <w:rFonts w:ascii="Cambria" w:hAnsi="Cambria"/>
          <w:sz w:val="20"/>
          <w:szCs w:val="20"/>
          <w:lang w:val="es-ES"/>
        </w:rPr>
        <w:t>L</w:t>
      </w:r>
      <w:r w:rsidR="00900D13" w:rsidRPr="008A084A">
        <w:rPr>
          <w:rFonts w:ascii="Cambria" w:hAnsi="Cambria"/>
          <w:sz w:val="20"/>
          <w:szCs w:val="20"/>
          <w:lang w:val="es-ES"/>
        </w:rPr>
        <w:t>a</w:t>
      </w:r>
      <w:r w:rsidR="00862A67" w:rsidRPr="008A084A">
        <w:rPr>
          <w:rFonts w:ascii="Cambria" w:hAnsi="Cambria"/>
          <w:sz w:val="20"/>
          <w:szCs w:val="20"/>
          <w:lang w:val="es-ES"/>
        </w:rPr>
        <w:t xml:space="preserve"> Comisión resalta la importancia de la CDPD como instrumento</w:t>
      </w:r>
      <w:r w:rsidRPr="008A084A">
        <w:rPr>
          <w:rFonts w:ascii="Cambria" w:hAnsi="Cambria"/>
          <w:sz w:val="20"/>
          <w:szCs w:val="20"/>
          <w:lang w:val="es-ES"/>
        </w:rPr>
        <w:t xml:space="preserve"> específico que contribuye a la adecuada</w:t>
      </w:r>
      <w:r w:rsidR="008929D8" w:rsidRPr="008A084A">
        <w:rPr>
          <w:rFonts w:ascii="Cambria" w:hAnsi="Cambria"/>
          <w:sz w:val="20"/>
          <w:szCs w:val="20"/>
          <w:lang w:val="es-ES"/>
        </w:rPr>
        <w:t xml:space="preserve"> y más amplia</w:t>
      </w:r>
      <w:r w:rsidRPr="008A084A">
        <w:rPr>
          <w:rFonts w:ascii="Cambria" w:hAnsi="Cambria"/>
          <w:sz w:val="20"/>
          <w:szCs w:val="20"/>
          <w:lang w:val="es-ES"/>
        </w:rPr>
        <w:t xml:space="preserve"> interpretación de la </w:t>
      </w:r>
      <w:r w:rsidR="00862A67" w:rsidRPr="008A084A">
        <w:rPr>
          <w:rFonts w:ascii="Cambria" w:hAnsi="Cambria"/>
          <w:sz w:val="20"/>
          <w:szCs w:val="20"/>
          <w:lang w:val="es-ES"/>
        </w:rPr>
        <w:t>Convención Americana</w:t>
      </w:r>
      <w:r w:rsidRPr="008A084A">
        <w:rPr>
          <w:rFonts w:ascii="Cambria" w:hAnsi="Cambria"/>
          <w:sz w:val="20"/>
          <w:szCs w:val="20"/>
          <w:lang w:val="es-ES"/>
        </w:rPr>
        <w:t xml:space="preserve"> en casos de personas con discapacidad</w:t>
      </w:r>
      <w:r w:rsidR="00862A67" w:rsidRPr="008A084A">
        <w:rPr>
          <w:rFonts w:ascii="Cambria" w:hAnsi="Cambria"/>
          <w:sz w:val="20"/>
          <w:szCs w:val="20"/>
          <w:lang w:val="es-ES"/>
        </w:rPr>
        <w:t xml:space="preserve">. </w:t>
      </w:r>
      <w:r w:rsidR="00F664CD" w:rsidRPr="008A084A">
        <w:rPr>
          <w:rFonts w:ascii="Cambria" w:hAnsi="Cambria"/>
          <w:sz w:val="20"/>
          <w:szCs w:val="20"/>
          <w:lang w:val="es-ES"/>
        </w:rPr>
        <w:t>Tal como señaló el Alto Comisionado de Naciones Unidas para los Derechos Humanos, la CDPD clarifica las obligaciones de respetar y asegurar el disfrute de derechos por parte de las personas con discapacidad</w:t>
      </w:r>
      <w:r w:rsidR="00F664CD" w:rsidRPr="008A084A">
        <w:rPr>
          <w:rStyle w:val="FootnoteReference"/>
          <w:rFonts w:ascii="Cambria" w:hAnsi="Cambria"/>
          <w:sz w:val="20"/>
          <w:szCs w:val="20"/>
          <w:lang w:val="es-ES"/>
        </w:rPr>
        <w:footnoteReference w:id="245"/>
      </w:r>
      <w:r w:rsidR="00F664CD" w:rsidRPr="008A084A">
        <w:rPr>
          <w:rFonts w:ascii="Cambria" w:hAnsi="Cambria"/>
          <w:sz w:val="20"/>
          <w:szCs w:val="20"/>
          <w:lang w:val="es-ES"/>
        </w:rPr>
        <w:t>.</w:t>
      </w:r>
      <w:r w:rsidR="00E807F0" w:rsidRPr="008A084A">
        <w:rPr>
          <w:rFonts w:ascii="Cambria" w:hAnsi="Cambria"/>
          <w:sz w:val="20"/>
          <w:szCs w:val="20"/>
          <w:lang w:val="es-ES"/>
        </w:rPr>
        <w:t xml:space="preserve"> </w:t>
      </w:r>
    </w:p>
    <w:p w:rsidR="00862A67" w:rsidRPr="008A084A" w:rsidRDefault="00862A67" w:rsidP="00FF1817">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num" w:pos="2340"/>
        </w:tabs>
        <w:autoSpaceDE w:val="0"/>
        <w:autoSpaceDN w:val="0"/>
        <w:adjustRightInd w:val="0"/>
        <w:ind w:left="0" w:firstLine="0"/>
        <w:jc w:val="both"/>
        <w:rPr>
          <w:rFonts w:ascii="Cambria" w:hAnsi="Cambria"/>
          <w:color w:val="auto"/>
          <w:sz w:val="20"/>
          <w:szCs w:val="20"/>
          <w:lang w:val="es-ES"/>
        </w:rPr>
      </w:pPr>
    </w:p>
    <w:p w:rsidR="002254CC" w:rsidRPr="008A084A" w:rsidRDefault="00E9277B" w:rsidP="00BB377F">
      <w:pPr>
        <w:pStyle w:val="Heading2"/>
        <w:tabs>
          <w:tab w:val="left" w:pos="720"/>
          <w:tab w:val="left" w:pos="1440"/>
        </w:tabs>
        <w:spacing w:before="0" w:after="0"/>
        <w:jc w:val="both"/>
        <w:rPr>
          <w:rFonts w:ascii="Cambria" w:hAnsi="Cambria"/>
          <w:i w:val="0"/>
          <w:sz w:val="20"/>
          <w:szCs w:val="20"/>
          <w:lang w:val="es-ES"/>
        </w:rPr>
      </w:pPr>
      <w:r w:rsidRPr="008A084A">
        <w:rPr>
          <w:rFonts w:ascii="Cambria" w:hAnsi="Cambria"/>
          <w:i w:val="0"/>
          <w:sz w:val="20"/>
          <w:szCs w:val="20"/>
          <w:lang w:val="es-ES"/>
        </w:rPr>
        <w:tab/>
      </w:r>
      <w:bookmarkStart w:id="32" w:name="_Toc525547513"/>
      <w:r w:rsidRPr="008A084A">
        <w:rPr>
          <w:rFonts w:ascii="Cambria" w:hAnsi="Cambria"/>
          <w:i w:val="0"/>
          <w:sz w:val="20"/>
          <w:szCs w:val="20"/>
          <w:lang w:val="es-ES"/>
        </w:rPr>
        <w:t>2.</w:t>
      </w:r>
      <w:r w:rsidRPr="008A084A">
        <w:rPr>
          <w:rFonts w:ascii="Cambria" w:hAnsi="Cambria"/>
          <w:i w:val="0"/>
          <w:sz w:val="20"/>
          <w:szCs w:val="20"/>
          <w:lang w:val="es-ES"/>
        </w:rPr>
        <w:tab/>
      </w:r>
      <w:r w:rsidR="00BB377F" w:rsidRPr="008A084A">
        <w:rPr>
          <w:rFonts w:ascii="Cambria" w:hAnsi="Cambria"/>
          <w:i w:val="0"/>
          <w:sz w:val="20"/>
          <w:szCs w:val="20"/>
          <w:lang w:val="es-ES"/>
        </w:rPr>
        <w:t>Sobre la institucionalización de personas en centros de salud mental</w:t>
      </w:r>
      <w:bookmarkEnd w:id="32"/>
    </w:p>
    <w:p w:rsidR="00BB377F" w:rsidRPr="008A084A" w:rsidRDefault="00BB377F" w:rsidP="00BB377F">
      <w:pPr>
        <w:rPr>
          <w:rFonts w:ascii="Cambria" w:hAnsi="Cambria"/>
          <w:sz w:val="20"/>
          <w:szCs w:val="20"/>
          <w:lang w:val="es-ES"/>
        </w:rPr>
      </w:pPr>
    </w:p>
    <w:p w:rsidR="00FF1817" w:rsidRPr="008A084A" w:rsidRDefault="0021540E" w:rsidP="00FF1817">
      <w:pPr>
        <w:numPr>
          <w:ilvl w:val="0"/>
          <w:numId w:val="55"/>
        </w:numPr>
        <w:jc w:val="both"/>
        <w:rPr>
          <w:rFonts w:ascii="Cambria" w:hAnsi="Cambria"/>
          <w:sz w:val="20"/>
          <w:szCs w:val="20"/>
          <w:lang w:val="es-ES"/>
        </w:rPr>
      </w:pPr>
      <w:r w:rsidRPr="008A084A">
        <w:rPr>
          <w:rFonts w:ascii="Cambria" w:hAnsi="Cambria"/>
          <w:sz w:val="20"/>
          <w:szCs w:val="20"/>
          <w:lang w:val="es-ES"/>
        </w:rPr>
        <w:t xml:space="preserve">La Comisión </w:t>
      </w:r>
      <w:r w:rsidR="00FF1817" w:rsidRPr="008A084A">
        <w:rPr>
          <w:rFonts w:ascii="Cambria" w:hAnsi="Cambria"/>
          <w:sz w:val="20"/>
          <w:szCs w:val="20"/>
          <w:lang w:val="es-ES"/>
        </w:rPr>
        <w:t>resalta</w:t>
      </w:r>
      <w:r w:rsidRPr="008A084A">
        <w:rPr>
          <w:rFonts w:ascii="Cambria" w:hAnsi="Cambria"/>
          <w:sz w:val="20"/>
          <w:szCs w:val="20"/>
          <w:lang w:val="es-ES"/>
        </w:rPr>
        <w:t xml:space="preserve"> que l</w:t>
      </w:r>
      <w:r w:rsidR="002C4ABE" w:rsidRPr="008A084A">
        <w:rPr>
          <w:rFonts w:ascii="Cambria" w:hAnsi="Cambria"/>
          <w:sz w:val="20"/>
          <w:szCs w:val="20"/>
          <w:lang w:val="es-ES"/>
        </w:rPr>
        <w:t xml:space="preserve">a institucionalización de </w:t>
      </w:r>
      <w:r w:rsidR="00575466" w:rsidRPr="008A084A">
        <w:rPr>
          <w:rFonts w:ascii="Cambria" w:hAnsi="Cambria"/>
          <w:sz w:val="20"/>
          <w:szCs w:val="20"/>
          <w:lang w:val="es-ES"/>
        </w:rPr>
        <w:t xml:space="preserve">personas en centros de salud mental </w:t>
      </w:r>
      <w:r w:rsidR="00FF1817" w:rsidRPr="008A084A">
        <w:rPr>
          <w:rFonts w:ascii="Cambria" w:hAnsi="Cambria"/>
          <w:sz w:val="20"/>
          <w:szCs w:val="20"/>
          <w:lang w:val="es-ES"/>
        </w:rPr>
        <w:t xml:space="preserve">es una problemática </w:t>
      </w:r>
      <w:r w:rsidR="007C76B9" w:rsidRPr="008A084A">
        <w:rPr>
          <w:rFonts w:ascii="Cambria" w:hAnsi="Cambria"/>
          <w:sz w:val="20"/>
          <w:szCs w:val="20"/>
          <w:lang w:val="es-ES"/>
        </w:rPr>
        <w:t>tanto regional como universal</w:t>
      </w:r>
      <w:r w:rsidR="00FF1817" w:rsidRPr="008A084A">
        <w:rPr>
          <w:rFonts w:ascii="Cambria" w:hAnsi="Cambria"/>
          <w:sz w:val="20"/>
          <w:szCs w:val="20"/>
          <w:lang w:val="es-ES"/>
        </w:rPr>
        <w:t xml:space="preserve">. Dicha situación ha sido analizada </w:t>
      </w:r>
      <w:r w:rsidR="00122727" w:rsidRPr="008A084A">
        <w:rPr>
          <w:rFonts w:ascii="Cambria" w:hAnsi="Cambria"/>
          <w:sz w:val="20"/>
          <w:szCs w:val="20"/>
          <w:lang w:val="es-ES"/>
        </w:rPr>
        <w:t xml:space="preserve">constantemente </w:t>
      </w:r>
      <w:r w:rsidR="00FF1817" w:rsidRPr="008A084A">
        <w:rPr>
          <w:rFonts w:ascii="Cambria" w:hAnsi="Cambria"/>
          <w:sz w:val="20"/>
          <w:szCs w:val="20"/>
          <w:lang w:val="es-ES"/>
        </w:rPr>
        <w:t xml:space="preserve">por el Comité de Naciones Unidas de los </w:t>
      </w:r>
      <w:r w:rsidR="00C519AE" w:rsidRPr="008A084A">
        <w:rPr>
          <w:rFonts w:ascii="Cambria" w:hAnsi="Cambria"/>
          <w:sz w:val="20"/>
          <w:szCs w:val="20"/>
          <w:lang w:val="es-ES"/>
        </w:rPr>
        <w:t>D</w:t>
      </w:r>
      <w:r w:rsidR="00FF1817" w:rsidRPr="008A084A">
        <w:rPr>
          <w:rFonts w:ascii="Cambria" w:hAnsi="Cambria"/>
          <w:sz w:val="20"/>
          <w:szCs w:val="20"/>
          <w:lang w:val="es-ES"/>
        </w:rPr>
        <w:t xml:space="preserve">erechos de las </w:t>
      </w:r>
      <w:r w:rsidR="00C519AE" w:rsidRPr="008A084A">
        <w:rPr>
          <w:rFonts w:ascii="Cambria" w:hAnsi="Cambria"/>
          <w:sz w:val="20"/>
          <w:szCs w:val="20"/>
          <w:lang w:val="es-ES"/>
        </w:rPr>
        <w:t>P</w:t>
      </w:r>
      <w:r w:rsidR="00FF1817" w:rsidRPr="008A084A">
        <w:rPr>
          <w:rFonts w:ascii="Cambria" w:hAnsi="Cambria"/>
          <w:sz w:val="20"/>
          <w:szCs w:val="20"/>
          <w:lang w:val="es-ES"/>
        </w:rPr>
        <w:t xml:space="preserve">ersonas con </w:t>
      </w:r>
      <w:r w:rsidR="00C519AE" w:rsidRPr="008A084A">
        <w:rPr>
          <w:rFonts w:ascii="Cambria" w:hAnsi="Cambria"/>
          <w:sz w:val="20"/>
          <w:szCs w:val="20"/>
          <w:lang w:val="es-ES"/>
        </w:rPr>
        <w:t>D</w:t>
      </w:r>
      <w:r w:rsidR="00FF1817" w:rsidRPr="008A084A">
        <w:rPr>
          <w:rFonts w:ascii="Cambria" w:hAnsi="Cambria"/>
          <w:sz w:val="20"/>
          <w:szCs w:val="20"/>
          <w:lang w:val="es-ES"/>
        </w:rPr>
        <w:t xml:space="preserve">iscapacidad (en adelante </w:t>
      </w:r>
      <w:r w:rsidR="004302FF" w:rsidRPr="008A084A">
        <w:rPr>
          <w:rFonts w:ascii="Cambria" w:hAnsi="Cambria"/>
          <w:sz w:val="20"/>
          <w:szCs w:val="20"/>
          <w:lang w:val="es-ES"/>
        </w:rPr>
        <w:t xml:space="preserve">“el </w:t>
      </w:r>
      <w:r w:rsidR="00FF1817" w:rsidRPr="008A084A">
        <w:rPr>
          <w:rFonts w:ascii="Cambria" w:hAnsi="Cambria"/>
          <w:sz w:val="20"/>
          <w:szCs w:val="20"/>
          <w:lang w:val="es-ES"/>
        </w:rPr>
        <w:t>Comité CDPD</w:t>
      </w:r>
      <w:r w:rsidR="004302FF" w:rsidRPr="008A084A">
        <w:rPr>
          <w:rFonts w:ascii="Cambria" w:hAnsi="Cambria"/>
          <w:sz w:val="20"/>
          <w:szCs w:val="20"/>
          <w:lang w:val="es-ES"/>
        </w:rPr>
        <w:t>”</w:t>
      </w:r>
      <w:r w:rsidR="00FF1817" w:rsidRPr="008A084A">
        <w:rPr>
          <w:rFonts w:ascii="Cambria" w:hAnsi="Cambria"/>
          <w:sz w:val="20"/>
          <w:szCs w:val="20"/>
          <w:lang w:val="es-ES"/>
        </w:rPr>
        <w:t>)</w:t>
      </w:r>
      <w:r w:rsidR="00201C3C" w:rsidRPr="008A084A">
        <w:rPr>
          <w:rFonts w:ascii="Cambria" w:hAnsi="Cambria"/>
          <w:sz w:val="20"/>
          <w:szCs w:val="20"/>
          <w:lang w:val="es-ES"/>
        </w:rPr>
        <w:t xml:space="preserve"> al considerar que la institucionalización afecta diversos derechos de las personas con discapacidad. </w:t>
      </w:r>
      <w:r w:rsidR="008E67AD" w:rsidRPr="008A084A">
        <w:rPr>
          <w:rFonts w:ascii="Cambria" w:hAnsi="Cambria"/>
          <w:sz w:val="20"/>
          <w:szCs w:val="20"/>
          <w:lang w:val="es-ES"/>
        </w:rPr>
        <w:t xml:space="preserve">En lo relevante para el análisis del presente caso, la Comisión formulará consideraciones sobre los derechos al reconocimiento de la personalidad jurídica, a la libertad personal, a la integridad personal y a la salud. </w:t>
      </w:r>
    </w:p>
    <w:p w:rsidR="00671C11" w:rsidRDefault="00671C11" w:rsidP="00BB0B93">
      <w:pPr>
        <w:jc w:val="both"/>
        <w:rPr>
          <w:rFonts w:ascii="Cambria" w:hAnsi="Cambria"/>
          <w:sz w:val="20"/>
          <w:szCs w:val="20"/>
          <w:lang w:val="es-ES"/>
        </w:rPr>
      </w:pPr>
    </w:p>
    <w:p w:rsidR="00BB377F" w:rsidRPr="008A084A" w:rsidRDefault="008C07D1" w:rsidP="00B329C1">
      <w:pPr>
        <w:numPr>
          <w:ilvl w:val="1"/>
          <w:numId w:val="60"/>
        </w:numPr>
        <w:tabs>
          <w:tab w:val="left" w:pos="1440"/>
        </w:tabs>
        <w:ind w:left="1440" w:hanging="720"/>
        <w:jc w:val="both"/>
        <w:rPr>
          <w:rFonts w:ascii="Cambria" w:hAnsi="Cambria"/>
          <w:b/>
          <w:sz w:val="20"/>
          <w:szCs w:val="20"/>
          <w:lang w:val="es-ES"/>
        </w:rPr>
      </w:pPr>
      <w:r w:rsidRPr="008A084A">
        <w:rPr>
          <w:rFonts w:ascii="Cambria" w:hAnsi="Cambria"/>
          <w:b/>
          <w:sz w:val="20"/>
          <w:szCs w:val="20"/>
          <w:lang w:val="es-ES"/>
        </w:rPr>
        <w:t>Consideraciones sobre el d</w:t>
      </w:r>
      <w:r w:rsidR="00BF391C" w:rsidRPr="008A084A">
        <w:rPr>
          <w:rFonts w:ascii="Cambria" w:hAnsi="Cambria"/>
          <w:b/>
          <w:sz w:val="20"/>
          <w:szCs w:val="20"/>
          <w:lang w:val="es-ES"/>
        </w:rPr>
        <w:t>erecho al r</w:t>
      </w:r>
      <w:r w:rsidR="00201C3C" w:rsidRPr="008A084A">
        <w:rPr>
          <w:rFonts w:ascii="Cambria" w:hAnsi="Cambria"/>
          <w:b/>
          <w:sz w:val="20"/>
          <w:szCs w:val="20"/>
          <w:lang w:val="es-ES"/>
        </w:rPr>
        <w:t>econocimiento de la personalidad jurídica y la capacidad jurídica</w:t>
      </w:r>
    </w:p>
    <w:p w:rsidR="00201C3C" w:rsidRPr="008A084A" w:rsidRDefault="00201C3C" w:rsidP="00201C3C">
      <w:pPr>
        <w:jc w:val="both"/>
        <w:rPr>
          <w:rFonts w:ascii="Cambria" w:hAnsi="Cambria"/>
          <w:b/>
          <w:sz w:val="20"/>
          <w:szCs w:val="20"/>
          <w:lang w:val="es-ES"/>
        </w:rPr>
      </w:pPr>
    </w:p>
    <w:p w:rsidR="00201C3C" w:rsidRPr="008A084A" w:rsidRDefault="00201C3C" w:rsidP="00FF1817">
      <w:pPr>
        <w:numPr>
          <w:ilvl w:val="0"/>
          <w:numId w:val="55"/>
        </w:numPr>
        <w:jc w:val="both"/>
        <w:rPr>
          <w:rFonts w:ascii="Cambria" w:hAnsi="Cambria"/>
          <w:sz w:val="20"/>
          <w:szCs w:val="20"/>
          <w:lang w:val="es-ES"/>
        </w:rPr>
      </w:pPr>
      <w:r w:rsidRPr="008A084A">
        <w:rPr>
          <w:rFonts w:ascii="Cambria" w:hAnsi="Cambria"/>
          <w:sz w:val="20"/>
          <w:szCs w:val="20"/>
          <w:lang w:val="es-ES"/>
        </w:rPr>
        <w:t xml:space="preserve">La Corte </w:t>
      </w:r>
      <w:r w:rsidR="00B368E3" w:rsidRPr="008A084A">
        <w:rPr>
          <w:rFonts w:ascii="Cambria" w:hAnsi="Cambria"/>
          <w:sz w:val="20"/>
          <w:szCs w:val="20"/>
          <w:lang w:val="es-ES"/>
        </w:rPr>
        <w:t>ha</w:t>
      </w:r>
      <w:r w:rsidRPr="008A084A">
        <w:rPr>
          <w:rFonts w:ascii="Cambria" w:hAnsi="Cambria"/>
          <w:sz w:val="20"/>
          <w:szCs w:val="20"/>
          <w:lang w:val="es-ES"/>
        </w:rPr>
        <w:t xml:space="preserve"> sostenido que el derecho al reconocimiento de la personalidad jurídica implica la capacidad de ser titular de derechos (capacidad de goce) y de deberes</w:t>
      </w:r>
      <w:r w:rsidRPr="008A084A">
        <w:rPr>
          <w:rStyle w:val="FootnoteReference"/>
          <w:rFonts w:ascii="Cambria" w:hAnsi="Cambria"/>
          <w:sz w:val="20"/>
          <w:szCs w:val="20"/>
          <w:lang w:val="es-ES"/>
        </w:rPr>
        <w:footnoteReference w:id="246"/>
      </w:r>
      <w:r w:rsidRPr="008A084A">
        <w:rPr>
          <w:rFonts w:ascii="Cambria" w:hAnsi="Cambria"/>
          <w:sz w:val="20"/>
          <w:szCs w:val="20"/>
          <w:lang w:val="es-ES"/>
        </w:rPr>
        <w:t>. Asimismo, la Corte explicó que la titularidad de derechos implica lo siguiente:</w:t>
      </w:r>
    </w:p>
    <w:p w:rsidR="00201C3C" w:rsidRPr="008A084A" w:rsidRDefault="00201C3C" w:rsidP="00201C3C">
      <w:pPr>
        <w:ind w:left="720"/>
        <w:jc w:val="both"/>
        <w:rPr>
          <w:rFonts w:ascii="Cambria" w:hAnsi="Cambria"/>
          <w:sz w:val="20"/>
          <w:szCs w:val="20"/>
          <w:lang w:val="es-ES"/>
        </w:rPr>
      </w:pPr>
    </w:p>
    <w:p w:rsidR="00201C3C" w:rsidRPr="008A084A" w:rsidRDefault="00BF391C" w:rsidP="00201C3C">
      <w:pPr>
        <w:ind w:left="720" w:right="720"/>
        <w:jc w:val="both"/>
        <w:rPr>
          <w:rFonts w:ascii="Cambria" w:hAnsi="Cambria"/>
          <w:sz w:val="20"/>
          <w:szCs w:val="20"/>
          <w:lang w:val="es-ES"/>
        </w:rPr>
      </w:pPr>
      <w:r w:rsidRPr="008A084A">
        <w:rPr>
          <w:rFonts w:ascii="Cambria" w:hAnsi="Cambria"/>
          <w:sz w:val="20"/>
          <w:szCs w:val="20"/>
          <w:lang w:val="es-ES"/>
        </w:rPr>
        <w:t>(…)</w:t>
      </w:r>
      <w:r w:rsidR="00201C3C" w:rsidRPr="008A084A">
        <w:rPr>
          <w:rFonts w:ascii="Cambria" w:hAnsi="Cambria"/>
          <w:sz w:val="20"/>
          <w:szCs w:val="20"/>
          <w:lang w:val="es-ES"/>
        </w:rPr>
        <w:t xml:space="preserve"> la persona</w:t>
      </w:r>
      <w:r w:rsidRPr="008A084A">
        <w:rPr>
          <w:rFonts w:ascii="Cambria" w:hAnsi="Cambria"/>
          <w:sz w:val="20"/>
          <w:szCs w:val="20"/>
          <w:lang w:val="es-ES"/>
        </w:rPr>
        <w:t xml:space="preserve"> [cuando llega a la mayoría de edad]</w:t>
      </w:r>
      <w:r w:rsidR="00201C3C" w:rsidRPr="008A084A">
        <w:rPr>
          <w:rFonts w:ascii="Cambria" w:hAnsi="Cambria"/>
          <w:sz w:val="20"/>
          <w:szCs w:val="20"/>
          <w:lang w:val="es-ES"/>
        </w:rPr>
        <w:t xml:space="preserve"> puede ejercitar en forma personal y directa sus derechos subjetivos, así como asumir plenamente obligaciones jurídicas y realizar otros actos de na</w:t>
      </w:r>
      <w:r w:rsidRPr="008A084A">
        <w:rPr>
          <w:rFonts w:ascii="Cambria" w:hAnsi="Cambria"/>
          <w:sz w:val="20"/>
          <w:szCs w:val="20"/>
          <w:lang w:val="es-ES"/>
        </w:rPr>
        <w:t>turaleza personal o patrimonial</w:t>
      </w:r>
      <w:r w:rsidR="00201C3C" w:rsidRPr="008A084A">
        <w:rPr>
          <w:rStyle w:val="FootnoteReference"/>
          <w:rFonts w:ascii="Cambria" w:hAnsi="Cambria"/>
          <w:sz w:val="20"/>
          <w:szCs w:val="20"/>
          <w:lang w:val="es-ES"/>
        </w:rPr>
        <w:footnoteReference w:id="247"/>
      </w:r>
      <w:r w:rsidR="00201C3C" w:rsidRPr="008A084A">
        <w:rPr>
          <w:rFonts w:ascii="Cambria" w:hAnsi="Cambria"/>
          <w:sz w:val="20"/>
          <w:szCs w:val="20"/>
          <w:lang w:val="es-ES"/>
        </w:rPr>
        <w:t>.</w:t>
      </w:r>
    </w:p>
    <w:p w:rsidR="00201C3C" w:rsidRPr="008A084A" w:rsidRDefault="00201C3C" w:rsidP="00201C3C">
      <w:pPr>
        <w:ind w:left="720"/>
        <w:jc w:val="both"/>
        <w:rPr>
          <w:rFonts w:ascii="Cambria" w:hAnsi="Cambria"/>
          <w:sz w:val="20"/>
          <w:szCs w:val="20"/>
          <w:lang w:val="es-ES"/>
        </w:rPr>
      </w:pPr>
    </w:p>
    <w:p w:rsidR="00B368E3" w:rsidRPr="008A084A" w:rsidRDefault="00BF391C" w:rsidP="001170AA">
      <w:pPr>
        <w:numPr>
          <w:ilvl w:val="0"/>
          <w:numId w:val="55"/>
        </w:numPr>
        <w:jc w:val="both"/>
        <w:rPr>
          <w:rFonts w:ascii="Cambria" w:hAnsi="Cambria"/>
          <w:sz w:val="20"/>
          <w:szCs w:val="20"/>
          <w:lang w:val="es-ES"/>
        </w:rPr>
      </w:pPr>
      <w:r w:rsidRPr="008A084A">
        <w:rPr>
          <w:rFonts w:ascii="Cambria" w:hAnsi="Cambria"/>
          <w:sz w:val="20"/>
          <w:szCs w:val="20"/>
          <w:lang w:val="es-ES"/>
        </w:rPr>
        <w:lastRenderedPageBreak/>
        <w:t>De esta forma, la Comisión considera que el derecho al reconocimiento de la personalidad jurídica</w:t>
      </w:r>
      <w:r w:rsidR="001170AA" w:rsidRPr="008A084A">
        <w:rPr>
          <w:rFonts w:ascii="Cambria" w:hAnsi="Cambria"/>
          <w:sz w:val="20"/>
          <w:szCs w:val="20"/>
          <w:lang w:val="es-ES"/>
        </w:rPr>
        <w:t xml:space="preserve"> </w:t>
      </w:r>
      <w:r w:rsidR="00B368E3" w:rsidRPr="008A084A">
        <w:rPr>
          <w:rFonts w:ascii="Cambria" w:hAnsi="Cambria"/>
          <w:sz w:val="20"/>
          <w:szCs w:val="20"/>
          <w:lang w:val="es-ES"/>
        </w:rPr>
        <w:t xml:space="preserve">tiene como uno de sus componentes a </w:t>
      </w:r>
      <w:r w:rsidR="001170AA" w:rsidRPr="008A084A">
        <w:rPr>
          <w:rFonts w:ascii="Cambria" w:hAnsi="Cambria"/>
          <w:sz w:val="20"/>
          <w:szCs w:val="20"/>
          <w:lang w:val="es-ES"/>
        </w:rPr>
        <w:t>la capacidad jurídica</w:t>
      </w:r>
      <w:r w:rsidR="00B368E3" w:rsidRPr="008A084A">
        <w:rPr>
          <w:rFonts w:ascii="Cambria" w:hAnsi="Cambria"/>
          <w:sz w:val="20"/>
          <w:szCs w:val="20"/>
          <w:lang w:val="es-ES"/>
        </w:rPr>
        <w:t>, es decir, el derecho de cada persona para tomar decisiones y crear, modificar o extinguir relaciones jurídicas</w:t>
      </w:r>
      <w:r w:rsidR="001170AA" w:rsidRPr="008A084A">
        <w:rPr>
          <w:rFonts w:ascii="Cambria" w:hAnsi="Cambria"/>
          <w:sz w:val="20"/>
          <w:szCs w:val="20"/>
          <w:lang w:val="es-ES"/>
        </w:rPr>
        <w:t xml:space="preserve">. </w:t>
      </w:r>
      <w:r w:rsidR="00B368E3" w:rsidRPr="008A084A">
        <w:rPr>
          <w:rFonts w:ascii="Cambria" w:hAnsi="Cambria"/>
          <w:sz w:val="20"/>
          <w:szCs w:val="20"/>
          <w:lang w:val="es-ES"/>
        </w:rPr>
        <w:t>El propio Comité CDPD ha sostenido que el derecho a la capacidad jurídica, establecido en el artículo 12 de la CDPD, se encuentra recogido en el artículo 3 de la Convención Americana</w:t>
      </w:r>
      <w:r w:rsidR="00B368E3" w:rsidRPr="008A084A">
        <w:rPr>
          <w:rStyle w:val="FootnoteReference"/>
          <w:rFonts w:ascii="Cambria" w:hAnsi="Cambria"/>
          <w:sz w:val="20"/>
          <w:szCs w:val="20"/>
        </w:rPr>
        <w:footnoteReference w:id="248"/>
      </w:r>
      <w:r w:rsidR="00B368E3" w:rsidRPr="008A084A">
        <w:rPr>
          <w:rFonts w:ascii="Cambria" w:hAnsi="Cambria"/>
          <w:sz w:val="20"/>
          <w:szCs w:val="20"/>
          <w:lang w:val="es-ES"/>
        </w:rPr>
        <w:t>.</w:t>
      </w:r>
    </w:p>
    <w:p w:rsidR="00B368E3" w:rsidRPr="008A084A" w:rsidRDefault="00B368E3" w:rsidP="00B368E3">
      <w:pPr>
        <w:ind w:left="720"/>
        <w:jc w:val="both"/>
        <w:rPr>
          <w:rFonts w:ascii="Cambria" w:hAnsi="Cambria"/>
          <w:sz w:val="20"/>
          <w:szCs w:val="20"/>
          <w:lang w:val="es-ES"/>
        </w:rPr>
      </w:pPr>
    </w:p>
    <w:p w:rsidR="00E41247" w:rsidRPr="008A084A" w:rsidRDefault="00B368E3" w:rsidP="00916994">
      <w:pPr>
        <w:numPr>
          <w:ilvl w:val="0"/>
          <w:numId w:val="55"/>
        </w:numPr>
        <w:jc w:val="both"/>
        <w:rPr>
          <w:rFonts w:ascii="Cambria" w:hAnsi="Cambria"/>
          <w:sz w:val="20"/>
          <w:szCs w:val="20"/>
          <w:lang w:val="es-ES"/>
        </w:rPr>
      </w:pPr>
      <w:r w:rsidRPr="008A084A">
        <w:rPr>
          <w:rFonts w:ascii="Cambria" w:hAnsi="Cambria"/>
          <w:sz w:val="20"/>
          <w:szCs w:val="20"/>
          <w:lang w:val="es-ES"/>
        </w:rPr>
        <w:t>En relación con el contenido del derecho a</w:t>
      </w:r>
      <w:r w:rsidR="001170AA" w:rsidRPr="008A084A">
        <w:rPr>
          <w:rFonts w:ascii="Cambria" w:hAnsi="Cambria"/>
          <w:sz w:val="20"/>
          <w:szCs w:val="20"/>
          <w:lang w:val="es-ES"/>
        </w:rPr>
        <w:t xml:space="preserve"> la capacidad jurídica,</w:t>
      </w:r>
      <w:r w:rsidRPr="008A084A">
        <w:rPr>
          <w:rFonts w:ascii="Cambria" w:hAnsi="Cambria"/>
          <w:sz w:val="20"/>
          <w:szCs w:val="20"/>
          <w:lang w:val="es-ES"/>
        </w:rPr>
        <w:t xml:space="preserve"> el Comité CDPD ha señalado que</w:t>
      </w:r>
      <w:r w:rsidR="001170AA" w:rsidRPr="008A084A">
        <w:rPr>
          <w:rFonts w:ascii="Cambria" w:hAnsi="Cambria"/>
          <w:sz w:val="20"/>
          <w:szCs w:val="20"/>
          <w:lang w:val="es-ES"/>
        </w:rPr>
        <w:t xml:space="preserve"> </w:t>
      </w:r>
      <w:r w:rsidRPr="008A084A">
        <w:rPr>
          <w:rFonts w:ascii="Cambria" w:hAnsi="Cambria"/>
          <w:sz w:val="20"/>
          <w:szCs w:val="20"/>
          <w:lang w:val="es-ES"/>
        </w:rPr>
        <w:t>es</w:t>
      </w:r>
      <w:r w:rsidR="001170AA" w:rsidRPr="008A084A">
        <w:rPr>
          <w:rFonts w:ascii="Cambria" w:hAnsi="Cambria"/>
          <w:sz w:val="20"/>
          <w:szCs w:val="20"/>
          <w:lang w:val="es-ES"/>
        </w:rPr>
        <w:t xml:space="preserve"> </w:t>
      </w:r>
      <w:r w:rsidR="00A11620" w:rsidRPr="008A084A">
        <w:rPr>
          <w:rFonts w:ascii="Cambria" w:hAnsi="Cambria"/>
          <w:sz w:val="20"/>
          <w:szCs w:val="20"/>
          <w:lang w:val="es-ES"/>
        </w:rPr>
        <w:t>un atributo universal inherente a todas las personas en razón de su condición humana y debe mantenerse para las personas con discapacidad en igualdad de condiciones con las demás</w:t>
      </w:r>
      <w:r w:rsidR="00A11620" w:rsidRPr="008A084A">
        <w:rPr>
          <w:rStyle w:val="FootnoteReference"/>
          <w:rFonts w:ascii="Cambria" w:hAnsi="Cambria"/>
          <w:sz w:val="20"/>
          <w:szCs w:val="20"/>
        </w:rPr>
        <w:footnoteReference w:id="249"/>
      </w:r>
      <w:r w:rsidR="00A11620" w:rsidRPr="008A084A">
        <w:rPr>
          <w:rFonts w:ascii="Cambria" w:hAnsi="Cambria"/>
          <w:sz w:val="20"/>
          <w:szCs w:val="20"/>
          <w:lang w:val="es-ES"/>
        </w:rPr>
        <w:t>. Al respecto, e</w:t>
      </w:r>
      <w:r w:rsidR="002254CC" w:rsidRPr="008A084A">
        <w:rPr>
          <w:rFonts w:ascii="Cambria" w:hAnsi="Cambria"/>
          <w:sz w:val="20"/>
          <w:szCs w:val="20"/>
          <w:lang w:val="es-ES"/>
        </w:rPr>
        <w:t>l Comité CDPD</w:t>
      </w:r>
      <w:r w:rsidR="000F0053" w:rsidRPr="008A084A">
        <w:rPr>
          <w:rFonts w:ascii="Cambria" w:hAnsi="Cambria"/>
          <w:sz w:val="20"/>
          <w:szCs w:val="20"/>
          <w:lang w:val="es-ES"/>
        </w:rPr>
        <w:t xml:space="preserve"> ha señalado que con arreglo al derecho internacional de los derechos humanos no hay ninguna circunstancia que permita privar a una persona del derecho al reconocimiento como tal ante la ley, o que permita limitar ese derecho</w:t>
      </w:r>
      <w:r w:rsidR="00E807F0" w:rsidRPr="008A084A">
        <w:rPr>
          <w:rStyle w:val="FootnoteReference"/>
          <w:rFonts w:ascii="Cambria" w:hAnsi="Cambria"/>
          <w:sz w:val="20"/>
          <w:szCs w:val="20"/>
        </w:rPr>
        <w:footnoteReference w:id="250"/>
      </w:r>
      <w:r w:rsidR="00E807F0" w:rsidRPr="008A084A">
        <w:rPr>
          <w:rFonts w:ascii="Cambria" w:hAnsi="Cambria"/>
          <w:sz w:val="20"/>
          <w:szCs w:val="20"/>
          <w:lang w:val="es-ES"/>
        </w:rPr>
        <w:t xml:space="preserve">. </w:t>
      </w:r>
    </w:p>
    <w:p w:rsidR="00E41247" w:rsidRPr="008A084A" w:rsidRDefault="00E41247" w:rsidP="00E41247">
      <w:pPr>
        <w:pStyle w:val="ColorfulList-Accent11"/>
        <w:rPr>
          <w:rFonts w:ascii="Cambria" w:hAnsi="Cambria"/>
          <w:sz w:val="20"/>
          <w:szCs w:val="20"/>
          <w:lang w:val="es-ES"/>
        </w:rPr>
      </w:pPr>
    </w:p>
    <w:p w:rsidR="00E41247" w:rsidRPr="008A084A" w:rsidRDefault="00916994" w:rsidP="00E41247">
      <w:pPr>
        <w:numPr>
          <w:ilvl w:val="0"/>
          <w:numId w:val="55"/>
        </w:numPr>
        <w:jc w:val="both"/>
        <w:rPr>
          <w:rFonts w:ascii="Cambria" w:hAnsi="Cambria"/>
          <w:sz w:val="20"/>
          <w:szCs w:val="20"/>
          <w:lang w:val="es-ES"/>
        </w:rPr>
      </w:pPr>
      <w:r w:rsidRPr="008A084A">
        <w:rPr>
          <w:rFonts w:ascii="Cambria" w:hAnsi="Cambria"/>
          <w:sz w:val="20"/>
          <w:szCs w:val="20"/>
          <w:lang w:val="es-ES"/>
        </w:rPr>
        <w:t>En ese sentido, “el hecho de que una persona tenga una discapacidad o una deficiencia no debe ser nunca motivo para negarle la capacidad jurídica”</w:t>
      </w:r>
      <w:r w:rsidRPr="008A084A">
        <w:rPr>
          <w:rStyle w:val="FootnoteReference"/>
          <w:rFonts w:ascii="Cambria" w:hAnsi="Cambria"/>
          <w:sz w:val="20"/>
          <w:szCs w:val="20"/>
        </w:rPr>
        <w:footnoteReference w:id="251"/>
      </w:r>
      <w:r w:rsidRPr="008A084A">
        <w:rPr>
          <w:rFonts w:ascii="Cambria" w:hAnsi="Cambria"/>
          <w:sz w:val="20"/>
          <w:szCs w:val="20"/>
          <w:lang w:val="es-ES"/>
        </w:rPr>
        <w:t>.</w:t>
      </w:r>
      <w:r w:rsidR="00E41247" w:rsidRPr="008A084A">
        <w:rPr>
          <w:rFonts w:ascii="Cambria" w:hAnsi="Cambria"/>
          <w:sz w:val="20"/>
          <w:szCs w:val="20"/>
          <w:lang w:val="es-ES"/>
        </w:rPr>
        <w:t xml:space="preserve"> El Comité CDPD ha sostenido que la CDPD “deja en claro que el ‘desequilibrio mental’ y otras denominaciones discriminatorias no son razones legítimas para denegar la capacidad jurídica (ni la capacidad legal ni la legitimación para actuar)”</w:t>
      </w:r>
      <w:r w:rsidR="00E41247" w:rsidRPr="008A084A">
        <w:rPr>
          <w:rStyle w:val="FootnoteReference"/>
          <w:rFonts w:ascii="Cambria" w:hAnsi="Cambria"/>
          <w:sz w:val="20"/>
          <w:szCs w:val="20"/>
        </w:rPr>
        <w:footnoteReference w:id="252"/>
      </w:r>
      <w:r w:rsidR="00E41247" w:rsidRPr="008A084A">
        <w:rPr>
          <w:rFonts w:ascii="Cambria" w:hAnsi="Cambria"/>
          <w:sz w:val="20"/>
          <w:szCs w:val="20"/>
          <w:lang w:val="es-ES"/>
        </w:rPr>
        <w:t>.</w:t>
      </w:r>
    </w:p>
    <w:p w:rsidR="00A11620" w:rsidRPr="008A084A" w:rsidRDefault="00A11620" w:rsidP="00916994">
      <w:pPr>
        <w:pStyle w:val="ColorfulList-Accent11"/>
        <w:ind w:left="0"/>
        <w:rPr>
          <w:rFonts w:ascii="Cambria" w:hAnsi="Cambria"/>
          <w:sz w:val="20"/>
          <w:szCs w:val="20"/>
          <w:lang w:val="es-ES"/>
        </w:rPr>
      </w:pPr>
    </w:p>
    <w:p w:rsidR="00E807F0" w:rsidRPr="008A084A" w:rsidRDefault="001170AA" w:rsidP="001170AA">
      <w:pPr>
        <w:numPr>
          <w:ilvl w:val="0"/>
          <w:numId w:val="55"/>
        </w:numPr>
        <w:jc w:val="both"/>
        <w:rPr>
          <w:rFonts w:ascii="Cambria" w:hAnsi="Cambria"/>
          <w:sz w:val="20"/>
          <w:szCs w:val="20"/>
          <w:lang w:val="es-ES"/>
        </w:rPr>
      </w:pPr>
      <w:r w:rsidRPr="008A084A">
        <w:rPr>
          <w:rFonts w:ascii="Cambria" w:hAnsi="Cambria"/>
          <w:sz w:val="20"/>
          <w:szCs w:val="20"/>
          <w:lang w:val="es-ES"/>
        </w:rPr>
        <w:t xml:space="preserve">Ello implica para los Estados la obligación de </w:t>
      </w:r>
      <w:r w:rsidR="00E807F0" w:rsidRPr="008A084A">
        <w:rPr>
          <w:rFonts w:ascii="Cambria" w:hAnsi="Cambria"/>
          <w:sz w:val="20"/>
          <w:szCs w:val="20"/>
          <w:lang w:val="es-ES"/>
        </w:rPr>
        <w:t>asegurar que el derecho a la capacidad jurídica de las personas con discapacidad no esté limitado de modo distinto al de las demás personas</w:t>
      </w:r>
      <w:r w:rsidR="00E807F0" w:rsidRPr="008A084A">
        <w:rPr>
          <w:rStyle w:val="FootnoteReference"/>
          <w:rFonts w:ascii="Cambria" w:hAnsi="Cambria"/>
          <w:sz w:val="20"/>
          <w:szCs w:val="20"/>
        </w:rPr>
        <w:footnoteReference w:id="253"/>
      </w:r>
      <w:r w:rsidR="00E807F0" w:rsidRPr="008A084A">
        <w:rPr>
          <w:rFonts w:ascii="Cambria" w:hAnsi="Cambria"/>
          <w:sz w:val="20"/>
          <w:szCs w:val="20"/>
          <w:lang w:val="es-ES"/>
        </w:rPr>
        <w:t xml:space="preserve">. </w:t>
      </w:r>
      <w:r w:rsidR="00916994" w:rsidRPr="008A084A">
        <w:rPr>
          <w:rFonts w:ascii="Cambria" w:hAnsi="Cambria"/>
          <w:sz w:val="20"/>
          <w:szCs w:val="20"/>
          <w:lang w:val="es-ES"/>
        </w:rPr>
        <w:t>Es así como</w:t>
      </w:r>
      <w:r w:rsidR="00E807F0" w:rsidRPr="008A084A">
        <w:rPr>
          <w:rFonts w:ascii="Cambria" w:hAnsi="Cambria"/>
          <w:sz w:val="20"/>
          <w:szCs w:val="20"/>
          <w:lang w:val="es-ES"/>
        </w:rPr>
        <w:t xml:space="preserve"> los regímenes a nivel interno basados en la sustitución en la adopción de decisiones, como la tutela, la curaduría o las leyes sobre la salud mental que permiten el tratamiento forzoso, deben ser abolidos</w:t>
      </w:r>
      <w:r w:rsidR="00E807F0" w:rsidRPr="008A084A">
        <w:rPr>
          <w:rStyle w:val="FootnoteReference"/>
          <w:rFonts w:ascii="Cambria" w:hAnsi="Cambria"/>
          <w:sz w:val="20"/>
          <w:szCs w:val="20"/>
        </w:rPr>
        <w:footnoteReference w:id="254"/>
      </w:r>
      <w:r w:rsidR="00E807F0" w:rsidRPr="008A084A">
        <w:rPr>
          <w:rFonts w:ascii="Cambria" w:hAnsi="Cambria"/>
          <w:sz w:val="20"/>
          <w:szCs w:val="20"/>
          <w:lang w:val="es-ES"/>
        </w:rPr>
        <w:t xml:space="preserve">. </w:t>
      </w:r>
    </w:p>
    <w:p w:rsidR="00916994" w:rsidRPr="008A084A" w:rsidRDefault="00916994" w:rsidP="00916994">
      <w:pPr>
        <w:pStyle w:val="ColorfulList-Accent11"/>
        <w:rPr>
          <w:rFonts w:ascii="Cambria" w:hAnsi="Cambria"/>
          <w:sz w:val="20"/>
          <w:szCs w:val="20"/>
          <w:lang w:val="es-ES"/>
        </w:rPr>
      </w:pPr>
    </w:p>
    <w:p w:rsidR="00E81057" w:rsidRPr="008A084A" w:rsidRDefault="00916994" w:rsidP="00916994">
      <w:pPr>
        <w:numPr>
          <w:ilvl w:val="0"/>
          <w:numId w:val="55"/>
        </w:numPr>
        <w:jc w:val="both"/>
        <w:rPr>
          <w:rFonts w:ascii="Cambria" w:hAnsi="Cambria"/>
          <w:sz w:val="20"/>
          <w:szCs w:val="20"/>
          <w:lang w:val="es-ES"/>
        </w:rPr>
      </w:pPr>
      <w:r w:rsidRPr="008A084A">
        <w:rPr>
          <w:rFonts w:ascii="Cambria" w:hAnsi="Cambria"/>
          <w:sz w:val="20"/>
          <w:szCs w:val="20"/>
          <w:lang w:val="es-ES"/>
        </w:rPr>
        <w:t>El Comité CDPD ha sostenido enfáticamente que los regímenes basados en la adopción de decisiones sustitutiva</w:t>
      </w:r>
      <w:r w:rsidR="00422551" w:rsidRPr="008A084A">
        <w:rPr>
          <w:rFonts w:ascii="Cambria" w:hAnsi="Cambria"/>
          <w:sz w:val="20"/>
          <w:szCs w:val="20"/>
          <w:lang w:val="es-ES"/>
        </w:rPr>
        <w:t>s</w:t>
      </w:r>
      <w:r w:rsidRPr="008A084A">
        <w:rPr>
          <w:rFonts w:ascii="Cambria" w:hAnsi="Cambria"/>
          <w:sz w:val="20"/>
          <w:szCs w:val="20"/>
          <w:lang w:val="es-ES"/>
        </w:rPr>
        <w:t xml:space="preserve"> y la negación de la capacidad jurídica han afectado y siguen afectando de manera desproporcionada a las personas con discapacidad, especialmente aquellas con discapacidad cognitiva o psicosocial</w:t>
      </w:r>
      <w:r w:rsidRPr="008A084A">
        <w:rPr>
          <w:rStyle w:val="FootnoteReference"/>
          <w:rFonts w:ascii="Cambria" w:hAnsi="Cambria"/>
          <w:sz w:val="20"/>
          <w:szCs w:val="20"/>
        </w:rPr>
        <w:footnoteReference w:id="255"/>
      </w:r>
      <w:r w:rsidRPr="008A084A">
        <w:rPr>
          <w:rFonts w:ascii="Cambria" w:hAnsi="Cambria"/>
          <w:sz w:val="20"/>
          <w:szCs w:val="20"/>
          <w:lang w:val="es-ES"/>
        </w:rPr>
        <w:t xml:space="preserve">. </w:t>
      </w:r>
      <w:r w:rsidR="00E81057" w:rsidRPr="008A084A">
        <w:rPr>
          <w:rFonts w:ascii="Cambria" w:hAnsi="Cambria"/>
          <w:sz w:val="20"/>
          <w:szCs w:val="20"/>
          <w:lang w:val="es-ES"/>
        </w:rPr>
        <w:t>Ello en tanto en muchos Estados se mantiene una concepción médica de las personas con discapacidad al considerarlas como objetos de derecho y que no pueden decidir por sí mismas para tomar sus decisiones. La entonces Alta Comisionada de la ONU para los derechos humanos identificó que bajo dicha concepción, se designan a tutores, curadores o representantes de las personas con discapacidad mentales quienes en muchas ocasiones  abusaban de su posición de autoridad</w:t>
      </w:r>
      <w:r w:rsidR="00E81057" w:rsidRPr="008A084A">
        <w:rPr>
          <w:rStyle w:val="FootnoteReference"/>
          <w:rFonts w:ascii="Cambria" w:hAnsi="Cambria"/>
          <w:sz w:val="20"/>
          <w:szCs w:val="20"/>
          <w:lang w:val="es-ES"/>
        </w:rPr>
        <w:footnoteReference w:id="256"/>
      </w:r>
      <w:r w:rsidR="00E81057" w:rsidRPr="008A084A">
        <w:rPr>
          <w:rFonts w:ascii="Cambria" w:hAnsi="Cambria"/>
          <w:sz w:val="20"/>
          <w:szCs w:val="20"/>
          <w:lang w:val="es-ES"/>
        </w:rPr>
        <w:t>.</w:t>
      </w:r>
    </w:p>
    <w:p w:rsidR="00E81057" w:rsidRPr="008A084A" w:rsidRDefault="00E81057" w:rsidP="00E81057">
      <w:pPr>
        <w:pStyle w:val="ColorfulList-Accent11"/>
        <w:rPr>
          <w:rFonts w:ascii="Cambria" w:hAnsi="Cambria"/>
          <w:sz w:val="20"/>
          <w:szCs w:val="20"/>
          <w:lang w:val="es-ES"/>
        </w:rPr>
      </w:pPr>
    </w:p>
    <w:p w:rsidR="00B612DF" w:rsidRPr="008A084A" w:rsidRDefault="00B612DF" w:rsidP="00B612DF">
      <w:pPr>
        <w:numPr>
          <w:ilvl w:val="0"/>
          <w:numId w:val="55"/>
        </w:numPr>
        <w:jc w:val="both"/>
        <w:rPr>
          <w:rFonts w:ascii="Cambria" w:hAnsi="Cambria"/>
          <w:sz w:val="20"/>
          <w:szCs w:val="20"/>
          <w:lang w:val="es-ES"/>
        </w:rPr>
      </w:pPr>
      <w:r w:rsidRPr="008A084A">
        <w:rPr>
          <w:rFonts w:ascii="Cambria" w:hAnsi="Cambria"/>
          <w:sz w:val="20"/>
          <w:szCs w:val="20"/>
          <w:lang w:val="es-ES"/>
        </w:rPr>
        <w:t>El Comité CDPD ha sostenido que el modelo de apoyo para la adopción de decisiones de la persona con discapacidad deben tomar en cuenta lo siguientes elementos:</w:t>
      </w:r>
    </w:p>
    <w:p w:rsidR="00B612DF" w:rsidRPr="008A084A" w:rsidRDefault="00B612DF" w:rsidP="00B612DF">
      <w:pPr>
        <w:ind w:left="720"/>
        <w:jc w:val="both"/>
        <w:rPr>
          <w:rFonts w:ascii="Cambria" w:hAnsi="Cambria"/>
          <w:sz w:val="20"/>
          <w:szCs w:val="20"/>
          <w:lang w:val="es-ES"/>
        </w:rPr>
      </w:pPr>
    </w:p>
    <w:p w:rsidR="00B612DF" w:rsidRPr="008A084A" w:rsidRDefault="00B612DF" w:rsidP="00B612DF">
      <w:pPr>
        <w:ind w:left="720" w:right="720"/>
        <w:jc w:val="both"/>
        <w:rPr>
          <w:rFonts w:ascii="Cambria" w:hAnsi="Cambria"/>
          <w:sz w:val="20"/>
          <w:szCs w:val="20"/>
          <w:lang w:val="es-ES"/>
        </w:rPr>
      </w:pPr>
      <w:r w:rsidRPr="008A084A">
        <w:rPr>
          <w:rFonts w:ascii="Cambria" w:hAnsi="Cambria"/>
          <w:sz w:val="20"/>
          <w:szCs w:val="20"/>
          <w:lang w:val="es-ES"/>
        </w:rPr>
        <w:t xml:space="preserve">Los Estados tienen la obligación de proporcionar a las personas con discapacidad acceso al apoyo que sea preciso para el ejercicio de su capacidad jurídica. Los Estados partes no deben negar a las personas con discapacidad su capacidad jurídica, sino que deben proporcionarles acceso al apoyo que necesiten para tomar decisiones que tengan efectos jurídicos. (…) </w:t>
      </w:r>
    </w:p>
    <w:p w:rsidR="002B259B" w:rsidRPr="008A084A" w:rsidRDefault="002B259B" w:rsidP="00B612DF">
      <w:pPr>
        <w:ind w:left="720" w:right="720"/>
        <w:jc w:val="both"/>
        <w:rPr>
          <w:rFonts w:ascii="Cambria" w:hAnsi="Cambria"/>
          <w:sz w:val="20"/>
          <w:szCs w:val="20"/>
          <w:lang w:val="es-ES"/>
        </w:rPr>
      </w:pPr>
    </w:p>
    <w:p w:rsidR="00B612DF" w:rsidRPr="008A084A" w:rsidRDefault="00B612DF" w:rsidP="00B612DF">
      <w:pPr>
        <w:ind w:left="720" w:right="720"/>
        <w:jc w:val="both"/>
        <w:rPr>
          <w:rFonts w:ascii="Cambria" w:hAnsi="Cambria"/>
          <w:sz w:val="20"/>
          <w:szCs w:val="20"/>
          <w:lang w:val="es-ES"/>
        </w:rPr>
      </w:pPr>
      <w:r w:rsidRPr="008A084A">
        <w:rPr>
          <w:rFonts w:ascii="Cambria" w:hAnsi="Cambria"/>
          <w:sz w:val="20"/>
          <w:szCs w:val="20"/>
          <w:lang w:val="es-ES"/>
        </w:rPr>
        <w:t>El apoyo en el ejercicio de la capacidad jurídica debe respetar los derechos, la voluntad y las preferencias de las personas con discapacidad y nunca debe consistir en decidir por ellas. (…)</w:t>
      </w:r>
    </w:p>
    <w:p w:rsidR="00B612DF" w:rsidRPr="008A084A" w:rsidRDefault="00B612DF" w:rsidP="00B612DF">
      <w:pPr>
        <w:ind w:left="720" w:right="720"/>
        <w:jc w:val="both"/>
        <w:rPr>
          <w:rFonts w:ascii="Cambria" w:hAnsi="Cambria"/>
          <w:sz w:val="20"/>
          <w:szCs w:val="20"/>
          <w:lang w:val="es-ES"/>
        </w:rPr>
      </w:pPr>
      <w:r w:rsidRPr="008A084A">
        <w:rPr>
          <w:rFonts w:ascii="Cambria" w:hAnsi="Cambria"/>
          <w:sz w:val="20"/>
          <w:szCs w:val="20"/>
          <w:lang w:val="es-ES"/>
        </w:rPr>
        <w:t>Los apoyos deben contar con salvaguardas. El objetivo principal de esas salvaguardias debe ser garantizar el respeto de los derechos, la voluntad y las preferencias de la persona. Para lograrlo, las salvaguardias deben proporcionar protección contra los abusos, en igualdad de condiciones con las demás personas</w:t>
      </w:r>
      <w:r w:rsidRPr="008A084A">
        <w:rPr>
          <w:rStyle w:val="FootnoteReference"/>
          <w:rFonts w:ascii="Cambria" w:hAnsi="Cambria"/>
          <w:sz w:val="20"/>
          <w:szCs w:val="20"/>
        </w:rPr>
        <w:footnoteReference w:id="257"/>
      </w:r>
      <w:r w:rsidRPr="008A084A">
        <w:rPr>
          <w:rFonts w:ascii="Cambria" w:hAnsi="Cambria"/>
          <w:sz w:val="20"/>
          <w:szCs w:val="20"/>
          <w:lang w:val="es-ES"/>
        </w:rPr>
        <w:t>.</w:t>
      </w:r>
    </w:p>
    <w:p w:rsidR="00B612DF" w:rsidRPr="008A084A" w:rsidRDefault="00B612DF" w:rsidP="00E81057">
      <w:pPr>
        <w:pStyle w:val="ColorfulList-Accent11"/>
        <w:rPr>
          <w:rFonts w:ascii="Cambria" w:hAnsi="Cambria"/>
          <w:sz w:val="20"/>
          <w:szCs w:val="20"/>
          <w:lang w:val="es-ES"/>
        </w:rPr>
      </w:pPr>
    </w:p>
    <w:p w:rsidR="00D52C22" w:rsidRPr="008A084A" w:rsidRDefault="00D52C22" w:rsidP="00D52C22">
      <w:pPr>
        <w:numPr>
          <w:ilvl w:val="0"/>
          <w:numId w:val="55"/>
        </w:numPr>
        <w:jc w:val="both"/>
        <w:rPr>
          <w:rFonts w:ascii="Cambria" w:hAnsi="Cambria"/>
          <w:sz w:val="20"/>
          <w:szCs w:val="20"/>
          <w:lang w:val="es-ES"/>
        </w:rPr>
      </w:pPr>
      <w:r w:rsidRPr="008A084A">
        <w:rPr>
          <w:rFonts w:ascii="Cambria" w:hAnsi="Cambria"/>
          <w:sz w:val="20"/>
          <w:szCs w:val="20"/>
          <w:lang w:val="es-ES"/>
        </w:rPr>
        <w:t>Por lo señalado, los Estados deben examinar las leyes que regulan la guarda y la tutela y tomar medidas para elaborar leyes y políticas por las que se reemplacen los regímenes basados en la sustitución en la adopción de decisiones por un apoyo para la adopción de decisiones que respete la autonomía, la voluntad y las preferencias de la persona</w:t>
      </w:r>
      <w:r w:rsidRPr="008A084A">
        <w:rPr>
          <w:rStyle w:val="FootnoteReference"/>
          <w:rFonts w:ascii="Cambria" w:hAnsi="Cambria"/>
          <w:sz w:val="20"/>
          <w:szCs w:val="20"/>
        </w:rPr>
        <w:footnoteReference w:id="258"/>
      </w:r>
      <w:r w:rsidRPr="008A084A">
        <w:rPr>
          <w:rFonts w:ascii="Cambria" w:hAnsi="Cambria"/>
          <w:sz w:val="20"/>
          <w:szCs w:val="20"/>
          <w:lang w:val="es-ES"/>
        </w:rPr>
        <w:t xml:space="preserve">. </w:t>
      </w:r>
    </w:p>
    <w:p w:rsidR="00D52C22" w:rsidRPr="008A084A" w:rsidRDefault="00D52C22" w:rsidP="00D52C22">
      <w:pPr>
        <w:ind w:right="720"/>
        <w:jc w:val="both"/>
        <w:rPr>
          <w:rFonts w:ascii="Cambria" w:hAnsi="Cambria"/>
          <w:sz w:val="20"/>
          <w:szCs w:val="20"/>
          <w:lang w:val="es-ES"/>
        </w:rPr>
      </w:pPr>
    </w:p>
    <w:p w:rsidR="00D52C22" w:rsidRPr="008A084A" w:rsidRDefault="00D52C22" w:rsidP="00D52C22">
      <w:pPr>
        <w:numPr>
          <w:ilvl w:val="0"/>
          <w:numId w:val="55"/>
        </w:numPr>
        <w:jc w:val="both"/>
        <w:rPr>
          <w:rFonts w:ascii="Cambria" w:hAnsi="Cambria"/>
          <w:sz w:val="20"/>
          <w:szCs w:val="20"/>
          <w:lang w:val="es-ES"/>
        </w:rPr>
      </w:pPr>
      <w:r w:rsidRPr="008A084A">
        <w:rPr>
          <w:rFonts w:ascii="Cambria" w:hAnsi="Cambria"/>
          <w:sz w:val="20"/>
          <w:szCs w:val="20"/>
          <w:lang w:val="es-ES"/>
        </w:rPr>
        <w:t>Por su parte, la Corte Europea ha resaltado que los Estados deben proveer a las personas con discapacidad de recursos que permitan cuestionar cualquier limitación a su derecho a la capacidad jurídica</w:t>
      </w:r>
      <w:r w:rsidRPr="008A084A">
        <w:rPr>
          <w:rStyle w:val="FootnoteReference"/>
          <w:rFonts w:ascii="Cambria" w:hAnsi="Cambria"/>
          <w:sz w:val="20"/>
          <w:szCs w:val="20"/>
          <w:lang w:val="es-ES"/>
        </w:rPr>
        <w:footnoteReference w:id="259"/>
      </w:r>
      <w:r w:rsidRPr="008A084A">
        <w:rPr>
          <w:rFonts w:ascii="Cambria" w:hAnsi="Cambria"/>
          <w:sz w:val="20"/>
          <w:szCs w:val="20"/>
          <w:lang w:val="es-ES"/>
        </w:rPr>
        <w:t>.</w:t>
      </w:r>
    </w:p>
    <w:p w:rsidR="00D52C22" w:rsidRPr="008A084A" w:rsidRDefault="00D52C22" w:rsidP="00E81057">
      <w:pPr>
        <w:pStyle w:val="ColorfulList-Accent11"/>
        <w:rPr>
          <w:rFonts w:ascii="Cambria" w:hAnsi="Cambria"/>
          <w:sz w:val="20"/>
          <w:szCs w:val="20"/>
          <w:lang w:val="es-ES"/>
        </w:rPr>
      </w:pPr>
    </w:p>
    <w:p w:rsidR="00916994" w:rsidRPr="008A084A" w:rsidRDefault="00916994" w:rsidP="00916994">
      <w:pPr>
        <w:numPr>
          <w:ilvl w:val="0"/>
          <w:numId w:val="55"/>
        </w:numPr>
        <w:jc w:val="both"/>
        <w:rPr>
          <w:rFonts w:ascii="Cambria" w:hAnsi="Cambria"/>
          <w:sz w:val="20"/>
          <w:szCs w:val="20"/>
          <w:lang w:val="es-ES"/>
        </w:rPr>
      </w:pPr>
      <w:r w:rsidRPr="008A084A">
        <w:rPr>
          <w:rFonts w:ascii="Cambria" w:hAnsi="Cambria"/>
          <w:sz w:val="20"/>
          <w:szCs w:val="20"/>
          <w:lang w:val="es-ES"/>
        </w:rPr>
        <w:t xml:space="preserve">Dentro de las vulneraciones que se pueden </w:t>
      </w:r>
      <w:r w:rsidR="00E41247" w:rsidRPr="008A084A">
        <w:rPr>
          <w:rFonts w:ascii="Cambria" w:hAnsi="Cambria"/>
          <w:sz w:val="20"/>
          <w:szCs w:val="20"/>
          <w:lang w:val="es-ES"/>
        </w:rPr>
        <w:t xml:space="preserve">presentar la CIDH resalta la institucionalización en instituciones </w:t>
      </w:r>
      <w:r w:rsidR="00BF0A9E" w:rsidRPr="008A084A">
        <w:rPr>
          <w:rFonts w:ascii="Cambria" w:hAnsi="Cambria"/>
          <w:sz w:val="20"/>
          <w:szCs w:val="20"/>
          <w:lang w:val="es-ES"/>
        </w:rPr>
        <w:t>psiquiátricas a personas que tienen un trastorno o condición en salud mental</w:t>
      </w:r>
      <w:r w:rsidR="00E41247" w:rsidRPr="008A084A">
        <w:rPr>
          <w:rFonts w:ascii="Cambria" w:hAnsi="Cambria"/>
          <w:sz w:val="20"/>
          <w:szCs w:val="20"/>
          <w:lang w:val="es-ES"/>
        </w:rPr>
        <w:t xml:space="preserve"> sin su consentimiento, el tratamiento médico forzado y la imposibilidad de vivir una vida en comunidad.</w:t>
      </w:r>
      <w:r w:rsidR="00BF0A9E" w:rsidRPr="008A084A">
        <w:rPr>
          <w:rFonts w:ascii="Cambria" w:hAnsi="Cambria"/>
          <w:sz w:val="20"/>
          <w:szCs w:val="20"/>
          <w:lang w:val="es-ES"/>
        </w:rPr>
        <w:t xml:space="preserve"> En estas situaciones, la propia institucionalización puede resultar siendo el condicionante para que un trastorno</w:t>
      </w:r>
      <w:r w:rsidR="0019050C" w:rsidRPr="008A084A">
        <w:rPr>
          <w:rFonts w:ascii="Cambria" w:hAnsi="Cambria"/>
          <w:sz w:val="20"/>
          <w:szCs w:val="20"/>
          <w:lang w:val="es-ES"/>
        </w:rPr>
        <w:t xml:space="preserve"> o condición en salud</w:t>
      </w:r>
      <w:r w:rsidR="00BF0A9E" w:rsidRPr="008A084A">
        <w:rPr>
          <w:rFonts w:ascii="Cambria" w:hAnsi="Cambria"/>
          <w:sz w:val="20"/>
          <w:szCs w:val="20"/>
          <w:lang w:val="es-ES"/>
        </w:rPr>
        <w:t xml:space="preserve"> mental se termine convirtiendo en una discapacidad, justamente por constituir la barrera en los términos del enfoque social ya referido. </w:t>
      </w:r>
    </w:p>
    <w:p w:rsidR="00916994" w:rsidRPr="008A084A" w:rsidRDefault="00916994" w:rsidP="00D52C22">
      <w:pPr>
        <w:jc w:val="both"/>
        <w:rPr>
          <w:rFonts w:ascii="Cambria" w:hAnsi="Cambria"/>
          <w:sz w:val="20"/>
          <w:szCs w:val="20"/>
          <w:lang w:val="es-ES"/>
        </w:rPr>
      </w:pPr>
    </w:p>
    <w:p w:rsidR="00E41247" w:rsidRPr="008A084A" w:rsidRDefault="00ED75F3" w:rsidP="00B329C1">
      <w:pPr>
        <w:numPr>
          <w:ilvl w:val="1"/>
          <w:numId w:val="60"/>
        </w:numPr>
        <w:ind w:left="1440" w:hanging="720"/>
        <w:jc w:val="both"/>
        <w:rPr>
          <w:rFonts w:ascii="Cambria" w:hAnsi="Cambria"/>
          <w:b/>
          <w:sz w:val="20"/>
          <w:szCs w:val="20"/>
          <w:lang w:val="es-ES"/>
        </w:rPr>
      </w:pPr>
      <w:r w:rsidRPr="008A084A">
        <w:rPr>
          <w:rFonts w:ascii="Cambria" w:hAnsi="Cambria"/>
          <w:b/>
          <w:sz w:val="20"/>
          <w:szCs w:val="20"/>
          <w:lang w:val="es-ES"/>
        </w:rPr>
        <w:t xml:space="preserve">Consideraciones generales sobre la institucionalización y el derecho a la </w:t>
      </w:r>
      <w:r w:rsidR="00E41247" w:rsidRPr="008A084A">
        <w:rPr>
          <w:rFonts w:ascii="Cambria" w:hAnsi="Cambria"/>
          <w:b/>
          <w:sz w:val="20"/>
          <w:szCs w:val="20"/>
          <w:lang w:val="es-ES"/>
        </w:rPr>
        <w:t xml:space="preserve">libertad personal </w:t>
      </w:r>
    </w:p>
    <w:p w:rsidR="007E4162" w:rsidRPr="008A084A" w:rsidRDefault="007E4162" w:rsidP="00EF5C96">
      <w:pPr>
        <w:jc w:val="both"/>
        <w:rPr>
          <w:rFonts w:ascii="Cambria" w:hAnsi="Cambria"/>
          <w:sz w:val="20"/>
          <w:szCs w:val="20"/>
          <w:lang w:val="es-ES"/>
        </w:rPr>
      </w:pPr>
    </w:p>
    <w:p w:rsidR="00E807F0" w:rsidRPr="008A084A" w:rsidRDefault="007E4162" w:rsidP="007E4162">
      <w:pPr>
        <w:numPr>
          <w:ilvl w:val="0"/>
          <w:numId w:val="55"/>
        </w:numPr>
        <w:jc w:val="both"/>
        <w:rPr>
          <w:rFonts w:ascii="Cambria" w:hAnsi="Cambria"/>
          <w:sz w:val="20"/>
          <w:szCs w:val="20"/>
          <w:lang w:val="es-ES"/>
        </w:rPr>
      </w:pPr>
      <w:r w:rsidRPr="008A084A">
        <w:rPr>
          <w:rFonts w:ascii="Cambria" w:hAnsi="Cambria"/>
          <w:sz w:val="20"/>
          <w:szCs w:val="20"/>
          <w:lang w:val="es-ES"/>
        </w:rPr>
        <w:t>El derecho a la libertad personal, establecido en el artículo 7 de la Convención Americana diferencia dos regulaciones, una general y otra específica</w:t>
      </w:r>
      <w:r w:rsidR="003F75AF" w:rsidRPr="008A084A">
        <w:rPr>
          <w:rStyle w:val="FootnoteReference"/>
          <w:rFonts w:ascii="Cambria" w:hAnsi="Cambria"/>
          <w:sz w:val="20"/>
          <w:szCs w:val="20"/>
          <w:lang w:val="es-ES"/>
        </w:rPr>
        <w:footnoteReference w:id="260"/>
      </w:r>
      <w:r w:rsidRPr="008A084A">
        <w:rPr>
          <w:rFonts w:ascii="Cambria" w:hAnsi="Cambria"/>
          <w:sz w:val="20"/>
          <w:szCs w:val="20"/>
          <w:lang w:val="es-ES"/>
        </w:rPr>
        <w:t xml:space="preserve">. </w:t>
      </w:r>
      <w:r w:rsidR="003F75AF" w:rsidRPr="008A084A">
        <w:rPr>
          <w:rFonts w:ascii="Cambria" w:hAnsi="Cambria"/>
          <w:sz w:val="20"/>
          <w:szCs w:val="20"/>
          <w:lang w:val="es-ES"/>
        </w:rPr>
        <w:t>Mientras que la general se encuentra en el artículo 7.1, la parte específica se compone de una serie de garantías que protegen el derecho a no ser privado de la libertad de manera ilega</w:t>
      </w:r>
      <w:r w:rsidR="00D26D3B" w:rsidRPr="008A084A">
        <w:rPr>
          <w:rFonts w:ascii="Cambria" w:hAnsi="Cambria"/>
          <w:sz w:val="20"/>
          <w:szCs w:val="20"/>
          <w:lang w:val="es-ES"/>
        </w:rPr>
        <w:t>l</w:t>
      </w:r>
      <w:r w:rsidR="003F75AF" w:rsidRPr="008A084A">
        <w:rPr>
          <w:rFonts w:ascii="Cambria" w:hAnsi="Cambria"/>
          <w:sz w:val="20"/>
          <w:szCs w:val="20"/>
          <w:lang w:val="es-ES"/>
        </w:rPr>
        <w:t xml:space="preserve"> </w:t>
      </w:r>
      <w:r w:rsidRPr="008A084A">
        <w:rPr>
          <w:rFonts w:ascii="Cambria" w:hAnsi="Cambria"/>
          <w:sz w:val="20"/>
          <w:szCs w:val="20"/>
          <w:lang w:val="es-ES"/>
        </w:rPr>
        <w:t>(artículo 7.2) o en forma arbitraria (artículo 7.3), a conocer las razones de la detención y los cargos formulados en contra de la persona detenida (artículo 7.4), al control judicial de la privación de libertad (artículo 7.5) y a impugnar la legalidad de la detención (artículo 7.6)</w:t>
      </w:r>
      <w:r w:rsidR="00A9235C" w:rsidRPr="008A084A">
        <w:rPr>
          <w:rStyle w:val="FootnoteReference"/>
          <w:rFonts w:ascii="Cambria" w:hAnsi="Cambria"/>
          <w:sz w:val="20"/>
          <w:szCs w:val="20"/>
          <w:lang w:val="es-ES"/>
        </w:rPr>
        <w:footnoteReference w:id="261"/>
      </w:r>
      <w:r w:rsidRPr="008A084A">
        <w:rPr>
          <w:rFonts w:ascii="Cambria" w:hAnsi="Cambria"/>
          <w:sz w:val="20"/>
          <w:szCs w:val="20"/>
          <w:lang w:val="es-ES"/>
        </w:rPr>
        <w:t>.</w:t>
      </w:r>
      <w:r w:rsidR="003F75AF" w:rsidRPr="008A084A">
        <w:rPr>
          <w:rFonts w:ascii="Cambria" w:hAnsi="Cambria"/>
          <w:sz w:val="20"/>
          <w:szCs w:val="20"/>
          <w:lang w:val="es-ES"/>
        </w:rPr>
        <w:t xml:space="preserve"> Cualquier violación de los numerales 2 al 7 del artículo 7 de la Convención acarreará necesariamente la violación del artículo 7.1 de la misma</w:t>
      </w:r>
      <w:r w:rsidR="00A9235C" w:rsidRPr="008A084A">
        <w:rPr>
          <w:rStyle w:val="FootnoteReference"/>
          <w:rFonts w:ascii="Cambria" w:hAnsi="Cambria"/>
          <w:sz w:val="20"/>
          <w:szCs w:val="20"/>
          <w:lang w:val="es-ES"/>
        </w:rPr>
        <w:footnoteReference w:id="262"/>
      </w:r>
      <w:r w:rsidR="003F75AF" w:rsidRPr="008A084A">
        <w:rPr>
          <w:rFonts w:ascii="Cambria" w:hAnsi="Cambria"/>
          <w:sz w:val="20"/>
          <w:szCs w:val="20"/>
          <w:lang w:val="es-ES"/>
        </w:rPr>
        <w:t>.</w:t>
      </w:r>
    </w:p>
    <w:p w:rsidR="00CE4228" w:rsidRPr="008A084A" w:rsidRDefault="00CE4228" w:rsidP="00CE4228">
      <w:pPr>
        <w:ind w:left="720"/>
        <w:jc w:val="both"/>
        <w:rPr>
          <w:rFonts w:ascii="Cambria" w:hAnsi="Cambria"/>
          <w:sz w:val="20"/>
          <w:szCs w:val="20"/>
          <w:lang w:val="es-ES"/>
        </w:rPr>
      </w:pPr>
    </w:p>
    <w:p w:rsidR="00CE4228" w:rsidRPr="008A084A" w:rsidRDefault="00CE4228" w:rsidP="00CE4228">
      <w:pPr>
        <w:numPr>
          <w:ilvl w:val="0"/>
          <w:numId w:val="55"/>
        </w:numPr>
        <w:jc w:val="both"/>
        <w:rPr>
          <w:rFonts w:ascii="Cambria" w:hAnsi="Cambria"/>
          <w:sz w:val="20"/>
          <w:szCs w:val="20"/>
          <w:lang w:val="es-CO"/>
        </w:rPr>
      </w:pPr>
      <w:r w:rsidRPr="008A084A">
        <w:rPr>
          <w:rFonts w:ascii="Cambria" w:hAnsi="Cambria"/>
          <w:sz w:val="20"/>
          <w:szCs w:val="20"/>
          <w:lang w:val="es-MX"/>
        </w:rPr>
        <w:t>En su reciente Informe sobre la Situaci</w:t>
      </w:r>
      <w:r w:rsidRPr="008A084A">
        <w:rPr>
          <w:rFonts w:ascii="Cambria" w:hAnsi="Cambria"/>
          <w:sz w:val="20"/>
          <w:szCs w:val="20"/>
          <w:lang w:val="es-CO"/>
        </w:rPr>
        <w:t>ón de los Derechos Humanos en Guatemala, la CIDH indicó:</w:t>
      </w:r>
    </w:p>
    <w:p w:rsidR="00393310" w:rsidRPr="008A084A" w:rsidRDefault="00393310" w:rsidP="00CE4228">
      <w:pPr>
        <w:pBdr>
          <w:top w:val="none" w:sz="0" w:space="0" w:color="auto"/>
          <w:left w:val="none" w:sz="0" w:space="0" w:color="auto"/>
          <w:bottom w:val="none" w:sz="0" w:space="0" w:color="auto"/>
          <w:right w:val="none" w:sz="0" w:space="0" w:color="auto"/>
          <w:between w:val="none" w:sz="0" w:space="0" w:color="auto"/>
          <w:bar w:val="none" w:sz="0" w:color="auto"/>
        </w:pBdr>
        <w:spacing w:before="240" w:after="10"/>
        <w:ind w:left="720" w:right="720"/>
        <w:jc w:val="both"/>
        <w:rPr>
          <w:rFonts w:ascii="Cambria" w:hAnsi="Cambria"/>
          <w:sz w:val="20"/>
          <w:szCs w:val="20"/>
          <w:lang w:val="es-MX"/>
        </w:rPr>
      </w:pPr>
      <w:r w:rsidRPr="008A084A">
        <w:rPr>
          <w:rFonts w:ascii="Cambria" w:hAnsi="Cambria"/>
          <w:sz w:val="20"/>
          <w:szCs w:val="20"/>
          <w:lang w:val="es-MX"/>
        </w:rPr>
        <w:t xml:space="preserve">El derecho de las personas con discapacidad a vivir de forma independiente y a ser incluidas en la comunidad, de acuerdo con el Comité de la CDPD, involucra por una parte, que dichas personas deben contar con todos los medios necesarios que les permita </w:t>
      </w:r>
      <w:r w:rsidRPr="008A084A">
        <w:rPr>
          <w:rFonts w:ascii="Cambria" w:hAnsi="Cambria"/>
          <w:sz w:val="20"/>
          <w:szCs w:val="20"/>
          <w:lang w:val="es-ES"/>
        </w:rPr>
        <w:t xml:space="preserve">tener control y </w:t>
      </w:r>
      <w:r w:rsidRPr="008A084A">
        <w:rPr>
          <w:rFonts w:ascii="Cambria" w:hAnsi="Cambria"/>
          <w:sz w:val="20"/>
          <w:szCs w:val="20"/>
          <w:lang w:val="es-ES"/>
        </w:rPr>
        <w:lastRenderedPageBreak/>
        <w:t>tomar decisiones respecto de su propia vida</w:t>
      </w:r>
      <w:r w:rsidRPr="008A084A">
        <w:rPr>
          <w:rFonts w:ascii="Cambria" w:hAnsi="Cambria"/>
          <w:sz w:val="20"/>
          <w:szCs w:val="20"/>
          <w:vertAlign w:val="superscript"/>
          <w:lang w:val="es-ES"/>
        </w:rPr>
        <w:footnoteReference w:id="263"/>
      </w:r>
      <w:r w:rsidRPr="008A084A">
        <w:rPr>
          <w:rFonts w:ascii="Cambria" w:hAnsi="Cambria"/>
          <w:sz w:val="20"/>
          <w:szCs w:val="20"/>
          <w:lang w:val="es-ES"/>
        </w:rPr>
        <w:t>. Por otra parte, este derecho se relaciona con la participación e inclusión plenas de las personas con discapacidad en la sociedad, a través del desarrollo de ambientes inclusivos</w:t>
      </w:r>
      <w:r w:rsidRPr="008A084A">
        <w:rPr>
          <w:rFonts w:ascii="Cambria" w:hAnsi="Cambria"/>
          <w:sz w:val="20"/>
          <w:szCs w:val="20"/>
          <w:vertAlign w:val="superscript"/>
          <w:lang w:val="es-ES"/>
        </w:rPr>
        <w:footnoteReference w:id="264"/>
      </w:r>
      <w:r w:rsidRPr="008A084A">
        <w:rPr>
          <w:rFonts w:ascii="Cambria" w:hAnsi="Cambria"/>
          <w:sz w:val="20"/>
          <w:szCs w:val="20"/>
          <w:lang w:val="es-ES"/>
        </w:rPr>
        <w:t>. En sí, la garantía de este derecho involucra que la vida de las personas con discapacidad se desarrolle fuera de cualquier institución residencial, debido a que por su naturaleza, las imposiciones que derivan del régimen de institucionalización, ocasionan que estas personas pierdan su autonomía y posibilidad de tomar decisiones sobre su vida</w:t>
      </w:r>
      <w:r w:rsidRPr="008A084A">
        <w:rPr>
          <w:rFonts w:ascii="Cambria" w:hAnsi="Cambria"/>
          <w:sz w:val="20"/>
          <w:szCs w:val="20"/>
          <w:vertAlign w:val="superscript"/>
          <w:lang w:val="es-ES"/>
        </w:rPr>
        <w:footnoteReference w:id="265"/>
      </w:r>
      <w:r w:rsidRPr="008A084A">
        <w:rPr>
          <w:rFonts w:ascii="Cambria" w:hAnsi="Cambria"/>
          <w:sz w:val="20"/>
          <w:szCs w:val="20"/>
          <w:lang w:val="es-ES"/>
        </w:rPr>
        <w:t xml:space="preserve">. </w:t>
      </w:r>
      <w:r w:rsidRPr="008A084A">
        <w:rPr>
          <w:rFonts w:ascii="Cambria" w:hAnsi="Cambria"/>
          <w:sz w:val="20"/>
          <w:szCs w:val="20"/>
          <w:lang w:val="es-ES_tradnl"/>
        </w:rPr>
        <w:t xml:space="preserve">Ante la falta de alternativas en la comunidad, las instituciones segregan a las personas con discapacidad de la comunidad, al convertirse en la única opción para que las personas con discapacidad puedan recibir la atención y servicios que necesitan. Al respecto, el Comité de la CDPD ha establecido que el internamiento involuntario por motivo de discapacidad, </w:t>
      </w:r>
      <w:r w:rsidRPr="008A084A">
        <w:rPr>
          <w:rFonts w:ascii="Cambria" w:hAnsi="Cambria"/>
          <w:sz w:val="20"/>
          <w:szCs w:val="20"/>
          <w:lang w:val="es-ES"/>
        </w:rPr>
        <w:t xml:space="preserve">es frecuentemente causado o agravado por la falta de apoyos específicos, y conlleva </w:t>
      </w:r>
      <w:r w:rsidRPr="008A084A">
        <w:rPr>
          <w:rFonts w:ascii="Cambria" w:hAnsi="Cambria"/>
          <w:sz w:val="20"/>
          <w:szCs w:val="20"/>
          <w:lang w:val="es-MX"/>
        </w:rPr>
        <w:t>a una privación arbitraria de la libertad</w:t>
      </w:r>
      <w:r w:rsidRPr="008A084A">
        <w:rPr>
          <w:rFonts w:ascii="Cambria" w:hAnsi="Cambria"/>
          <w:sz w:val="20"/>
          <w:szCs w:val="20"/>
          <w:vertAlign w:val="superscript"/>
          <w:lang w:val="es-ES_tradnl"/>
        </w:rPr>
        <w:footnoteReference w:id="266"/>
      </w:r>
      <w:r w:rsidRPr="008A084A">
        <w:rPr>
          <w:rFonts w:ascii="Cambria" w:hAnsi="Cambria"/>
          <w:sz w:val="20"/>
          <w:szCs w:val="20"/>
          <w:lang w:val="es-MX"/>
        </w:rPr>
        <w:t>. Considerando lo anterior, l</w:t>
      </w:r>
      <w:r w:rsidRPr="008A084A">
        <w:rPr>
          <w:rFonts w:ascii="Cambria" w:hAnsi="Cambria"/>
          <w:sz w:val="20"/>
          <w:szCs w:val="20"/>
          <w:lang w:val="es-ES_tradnl"/>
        </w:rPr>
        <w:t>a CIDH considera que la falta de apoyos y servicios en la comunidad para las personas con discapacidad y sus familias, incentivan la institucionalización, y en consecuencia, vulneran el derecho a vivir en la comunidad de las personas que viven con esta condición de vida</w:t>
      </w:r>
      <w:r w:rsidR="00CE4228" w:rsidRPr="008A084A">
        <w:rPr>
          <w:rStyle w:val="FootnoteReference"/>
          <w:rFonts w:ascii="Cambria" w:hAnsi="Cambria"/>
          <w:sz w:val="20"/>
          <w:szCs w:val="20"/>
          <w:lang w:val="es-ES_tradnl"/>
        </w:rPr>
        <w:footnoteReference w:id="267"/>
      </w:r>
      <w:r w:rsidRPr="008A084A">
        <w:rPr>
          <w:rFonts w:ascii="Cambria" w:hAnsi="Cambria"/>
          <w:sz w:val="20"/>
          <w:szCs w:val="20"/>
          <w:lang w:val="es-ES_tradnl"/>
        </w:rPr>
        <w:t>.</w:t>
      </w:r>
    </w:p>
    <w:p w:rsidR="00393310" w:rsidRPr="008A084A" w:rsidRDefault="00393310" w:rsidP="00CE4228">
      <w:pPr>
        <w:pStyle w:val="ColorfulList-Accent11"/>
        <w:ind w:left="0"/>
        <w:rPr>
          <w:rFonts w:ascii="Cambria" w:hAnsi="Cambria"/>
          <w:sz w:val="20"/>
          <w:szCs w:val="20"/>
          <w:lang w:val="es-ES"/>
        </w:rPr>
      </w:pPr>
    </w:p>
    <w:p w:rsidR="00560036" w:rsidRPr="008A084A" w:rsidRDefault="00A37649" w:rsidP="00560036">
      <w:pPr>
        <w:numPr>
          <w:ilvl w:val="0"/>
          <w:numId w:val="55"/>
        </w:numPr>
        <w:jc w:val="both"/>
        <w:rPr>
          <w:rFonts w:ascii="Cambria" w:hAnsi="Cambria"/>
          <w:sz w:val="20"/>
          <w:szCs w:val="20"/>
          <w:lang w:val="es-ES"/>
        </w:rPr>
      </w:pPr>
      <w:r w:rsidRPr="008A084A">
        <w:rPr>
          <w:rFonts w:ascii="Cambria" w:hAnsi="Cambria"/>
          <w:sz w:val="20"/>
          <w:szCs w:val="20"/>
          <w:lang w:val="es-ES"/>
        </w:rPr>
        <w:t>El Comité CDPD ha indicado que la negación de la capacidad jurídica a las personas con discapacidad y su privación de libertad en instituciones contra su voluntad, sin su consentimiento o con el consentimiento del sustituto en la adopción de decisiones, es una práctica que “constituye una privación arbitraria de la libertad</w:t>
      </w:r>
      <w:r w:rsidRPr="008A084A">
        <w:rPr>
          <w:rStyle w:val="FootnoteReference"/>
          <w:rFonts w:ascii="Cambria" w:hAnsi="Cambria"/>
          <w:sz w:val="20"/>
          <w:szCs w:val="20"/>
        </w:rPr>
        <w:footnoteReference w:id="268"/>
      </w:r>
      <w:r w:rsidRPr="008A084A">
        <w:rPr>
          <w:rFonts w:ascii="Cambria" w:hAnsi="Cambria"/>
          <w:sz w:val="20"/>
          <w:szCs w:val="20"/>
          <w:lang w:val="es-ES"/>
        </w:rPr>
        <w:t xml:space="preserve">”. </w:t>
      </w:r>
      <w:r w:rsidR="00560036" w:rsidRPr="008A084A">
        <w:rPr>
          <w:rFonts w:ascii="Cambria" w:hAnsi="Cambria"/>
          <w:sz w:val="20"/>
          <w:szCs w:val="20"/>
          <w:lang w:val="es-ES"/>
        </w:rPr>
        <w:t>La Corte Europea también ha sostenido que la institucionalización de personas con discapacidad en centros de salud mental puede afectar su derecho a la libertad personal, en particular cuando ésta se realiza sin su consentimiento o en contra de su voluntad</w:t>
      </w:r>
      <w:r w:rsidR="00560036" w:rsidRPr="008A084A">
        <w:rPr>
          <w:rStyle w:val="FootnoteReference"/>
          <w:rFonts w:ascii="Cambria" w:hAnsi="Cambria"/>
          <w:sz w:val="20"/>
          <w:szCs w:val="20"/>
          <w:lang w:val="es-ES"/>
        </w:rPr>
        <w:footnoteReference w:id="269"/>
      </w:r>
      <w:r w:rsidR="00560036" w:rsidRPr="008A084A">
        <w:rPr>
          <w:rFonts w:ascii="Cambria" w:hAnsi="Cambria"/>
          <w:sz w:val="20"/>
          <w:szCs w:val="20"/>
          <w:lang w:val="es-ES"/>
        </w:rPr>
        <w:t xml:space="preserve">. </w:t>
      </w:r>
    </w:p>
    <w:p w:rsidR="00560036" w:rsidRPr="008A084A" w:rsidRDefault="00560036" w:rsidP="00560036">
      <w:pPr>
        <w:ind w:left="720"/>
        <w:jc w:val="both"/>
        <w:rPr>
          <w:rFonts w:ascii="Cambria" w:hAnsi="Cambria"/>
          <w:sz w:val="20"/>
          <w:szCs w:val="20"/>
          <w:lang w:val="es-ES"/>
        </w:rPr>
      </w:pPr>
    </w:p>
    <w:p w:rsidR="003F648A" w:rsidRPr="008A084A" w:rsidRDefault="00BD1C4B" w:rsidP="00560036">
      <w:pPr>
        <w:numPr>
          <w:ilvl w:val="0"/>
          <w:numId w:val="55"/>
        </w:numPr>
        <w:jc w:val="both"/>
        <w:rPr>
          <w:rFonts w:ascii="Cambria" w:hAnsi="Cambria"/>
          <w:sz w:val="20"/>
          <w:szCs w:val="20"/>
          <w:lang w:val="es-ES"/>
        </w:rPr>
      </w:pPr>
      <w:r w:rsidRPr="008A084A">
        <w:rPr>
          <w:rFonts w:ascii="Cambria" w:hAnsi="Cambria"/>
          <w:sz w:val="20"/>
          <w:szCs w:val="20"/>
          <w:lang w:val="es-ES"/>
        </w:rPr>
        <w:t>El Comité CDPD ha identificado en sus diversas observaciones sobre los Estados miembros de la CDPD que la segregación de las personas con discapacidad en instituciones sigue siendo un problema generalizado</w:t>
      </w:r>
      <w:r w:rsidR="00560036" w:rsidRPr="008A084A">
        <w:rPr>
          <w:rStyle w:val="FootnoteReference"/>
          <w:rFonts w:ascii="Cambria" w:hAnsi="Cambria"/>
          <w:sz w:val="20"/>
          <w:szCs w:val="20"/>
        </w:rPr>
        <w:footnoteReference w:id="270"/>
      </w:r>
      <w:r w:rsidR="00560036" w:rsidRPr="008A084A">
        <w:rPr>
          <w:rFonts w:ascii="Cambria" w:hAnsi="Cambria"/>
          <w:sz w:val="20"/>
          <w:szCs w:val="20"/>
          <w:lang w:val="es-ES"/>
        </w:rPr>
        <w:t>. Ello</w:t>
      </w:r>
      <w:r w:rsidRPr="008A084A">
        <w:rPr>
          <w:rFonts w:ascii="Cambria" w:hAnsi="Cambria"/>
          <w:sz w:val="20"/>
          <w:szCs w:val="20"/>
          <w:lang w:val="es-ES"/>
        </w:rPr>
        <w:t xml:space="preserve"> se ve agravado por la frecuente negación de la capacidad jurídica a las personas con discapacidad, que permite que sean otros quienes otorguen su consentimiento para internarlos en</w:t>
      </w:r>
      <w:r w:rsidR="00673A64" w:rsidRPr="008A084A">
        <w:rPr>
          <w:rFonts w:ascii="Cambria" w:hAnsi="Cambria"/>
          <w:sz w:val="20"/>
          <w:szCs w:val="20"/>
          <w:lang w:val="es-ES"/>
        </w:rPr>
        <w:t xml:space="preserve"> instituciones</w:t>
      </w:r>
      <w:r w:rsidRPr="008A084A">
        <w:rPr>
          <w:rStyle w:val="FootnoteReference"/>
          <w:rFonts w:ascii="Cambria" w:hAnsi="Cambria"/>
          <w:sz w:val="20"/>
          <w:szCs w:val="20"/>
        </w:rPr>
        <w:footnoteReference w:id="271"/>
      </w:r>
      <w:r w:rsidRPr="008A084A">
        <w:rPr>
          <w:rFonts w:ascii="Cambria" w:hAnsi="Cambria"/>
          <w:sz w:val="20"/>
          <w:szCs w:val="20"/>
          <w:lang w:val="es-ES"/>
        </w:rPr>
        <w:t>.</w:t>
      </w:r>
      <w:r w:rsidR="002A742E" w:rsidRPr="008A084A">
        <w:rPr>
          <w:rFonts w:ascii="Cambria" w:hAnsi="Cambria"/>
          <w:sz w:val="20"/>
          <w:szCs w:val="20"/>
          <w:lang w:val="es-ES"/>
        </w:rPr>
        <w:t xml:space="preserve"> </w:t>
      </w:r>
    </w:p>
    <w:p w:rsidR="003F648A" w:rsidRPr="008A084A" w:rsidRDefault="003F648A" w:rsidP="003F648A">
      <w:pPr>
        <w:ind w:left="720"/>
        <w:jc w:val="both"/>
        <w:rPr>
          <w:rFonts w:ascii="Cambria" w:hAnsi="Cambria"/>
          <w:sz w:val="20"/>
          <w:szCs w:val="20"/>
          <w:lang w:val="es-ES"/>
        </w:rPr>
      </w:pPr>
    </w:p>
    <w:p w:rsidR="00BD1C4B" w:rsidRPr="008A084A" w:rsidRDefault="002A742E" w:rsidP="00FF1817">
      <w:pPr>
        <w:numPr>
          <w:ilvl w:val="0"/>
          <w:numId w:val="55"/>
        </w:numPr>
        <w:jc w:val="both"/>
        <w:rPr>
          <w:rFonts w:ascii="Cambria" w:hAnsi="Cambria"/>
          <w:sz w:val="20"/>
          <w:szCs w:val="20"/>
          <w:lang w:val="es-ES"/>
        </w:rPr>
      </w:pPr>
      <w:r w:rsidRPr="008A084A">
        <w:rPr>
          <w:rFonts w:ascii="Cambria" w:hAnsi="Cambria"/>
          <w:sz w:val="20"/>
          <w:szCs w:val="20"/>
          <w:lang w:val="es-ES"/>
        </w:rPr>
        <w:t>El Comité CDPD ha sostenido que en ningún caso los Estados deben permitir que se institucionalice a una persona con base en la presencia real o percibida de una discapacidad psicosocial</w:t>
      </w:r>
      <w:r w:rsidRPr="008A084A">
        <w:rPr>
          <w:rStyle w:val="FootnoteReference"/>
          <w:rFonts w:ascii="Cambria" w:hAnsi="Cambria"/>
          <w:sz w:val="20"/>
          <w:szCs w:val="20"/>
          <w:lang w:val="es-ES"/>
        </w:rPr>
        <w:footnoteReference w:id="272"/>
      </w:r>
      <w:r w:rsidRPr="008A084A">
        <w:rPr>
          <w:rFonts w:ascii="Cambria" w:hAnsi="Cambria"/>
          <w:sz w:val="20"/>
          <w:szCs w:val="20"/>
          <w:lang w:val="es-ES"/>
        </w:rPr>
        <w:t xml:space="preserve"> o bajo el supuesto de “constituir un peligro para ella misma o para los demás”</w:t>
      </w:r>
      <w:r w:rsidRPr="008A084A">
        <w:rPr>
          <w:rStyle w:val="FootnoteReference"/>
          <w:rFonts w:ascii="Cambria" w:hAnsi="Cambria"/>
          <w:sz w:val="20"/>
          <w:szCs w:val="20"/>
        </w:rPr>
        <w:footnoteReference w:id="273"/>
      </w:r>
      <w:r w:rsidRPr="008A084A">
        <w:rPr>
          <w:rFonts w:ascii="Cambria" w:hAnsi="Cambria"/>
          <w:sz w:val="20"/>
          <w:szCs w:val="20"/>
          <w:lang w:val="es-ES"/>
        </w:rPr>
        <w:t>.</w:t>
      </w:r>
      <w:r w:rsidR="003F648A" w:rsidRPr="008A084A">
        <w:rPr>
          <w:rFonts w:ascii="Cambria" w:hAnsi="Cambria"/>
          <w:sz w:val="20"/>
          <w:szCs w:val="20"/>
          <w:lang w:val="es-ES"/>
        </w:rPr>
        <w:t xml:space="preserve"> Por su parte, la Corte Europea ha declarado la vulneración del derecho a la libertad personal </w:t>
      </w:r>
      <w:r w:rsidR="004F65E4" w:rsidRPr="008A084A">
        <w:rPr>
          <w:rFonts w:ascii="Cambria" w:hAnsi="Cambria"/>
          <w:sz w:val="20"/>
          <w:szCs w:val="20"/>
          <w:lang w:val="es-ES"/>
        </w:rPr>
        <w:t>cuando</w:t>
      </w:r>
      <w:r w:rsidR="003F648A" w:rsidRPr="008A084A">
        <w:rPr>
          <w:rFonts w:ascii="Cambria" w:hAnsi="Cambria"/>
          <w:sz w:val="20"/>
          <w:szCs w:val="20"/>
          <w:lang w:val="es-ES"/>
        </w:rPr>
        <w:t xml:space="preserve"> una persona con discapacidad psicosocial fue institucionalizada en un centro de salud mental sin su consentimiento</w:t>
      </w:r>
      <w:r w:rsidR="003F648A" w:rsidRPr="008A084A">
        <w:rPr>
          <w:rStyle w:val="FootnoteReference"/>
          <w:rFonts w:ascii="Cambria" w:hAnsi="Cambria"/>
          <w:sz w:val="20"/>
          <w:szCs w:val="20"/>
          <w:lang w:val="es-ES"/>
        </w:rPr>
        <w:footnoteReference w:id="274"/>
      </w:r>
      <w:r w:rsidR="003F648A" w:rsidRPr="008A084A">
        <w:rPr>
          <w:rFonts w:ascii="Cambria" w:hAnsi="Cambria"/>
          <w:sz w:val="20"/>
          <w:szCs w:val="20"/>
          <w:lang w:val="es-ES"/>
        </w:rPr>
        <w:t xml:space="preserve">. </w:t>
      </w:r>
    </w:p>
    <w:p w:rsidR="00BD1C4B" w:rsidRPr="008A084A" w:rsidRDefault="00BD1C4B" w:rsidP="00BD1C4B">
      <w:pPr>
        <w:ind w:left="720"/>
        <w:jc w:val="both"/>
        <w:rPr>
          <w:rFonts w:ascii="Cambria" w:hAnsi="Cambria"/>
          <w:sz w:val="20"/>
          <w:szCs w:val="20"/>
          <w:lang w:val="es-ES"/>
        </w:rPr>
      </w:pPr>
    </w:p>
    <w:p w:rsidR="00725174" w:rsidRPr="008A084A" w:rsidRDefault="001D12F0" w:rsidP="00725174">
      <w:pPr>
        <w:numPr>
          <w:ilvl w:val="0"/>
          <w:numId w:val="55"/>
        </w:numPr>
        <w:jc w:val="both"/>
        <w:rPr>
          <w:rFonts w:ascii="Cambria" w:hAnsi="Cambria"/>
          <w:sz w:val="20"/>
          <w:szCs w:val="20"/>
          <w:lang w:val="es-ES"/>
        </w:rPr>
      </w:pPr>
      <w:r w:rsidRPr="008A084A">
        <w:rPr>
          <w:rFonts w:ascii="Cambria" w:hAnsi="Cambria"/>
          <w:sz w:val="20"/>
          <w:szCs w:val="20"/>
          <w:lang w:val="es-ES"/>
        </w:rPr>
        <w:t xml:space="preserve">Frente a esta situación, el Comité CDPD </w:t>
      </w:r>
      <w:r w:rsidR="00725174" w:rsidRPr="008A084A">
        <w:rPr>
          <w:rFonts w:ascii="Cambria" w:hAnsi="Cambria"/>
          <w:sz w:val="20"/>
          <w:szCs w:val="20"/>
          <w:lang w:val="es-ES"/>
        </w:rPr>
        <w:t>ha sostenido que l</w:t>
      </w:r>
      <w:r w:rsidRPr="008A084A">
        <w:rPr>
          <w:rFonts w:ascii="Cambria" w:hAnsi="Cambria"/>
          <w:sz w:val="20"/>
          <w:szCs w:val="20"/>
          <w:lang w:val="es-ES"/>
        </w:rPr>
        <w:t xml:space="preserve">os Estados deben eliminar </w:t>
      </w:r>
      <w:r w:rsidR="00725174" w:rsidRPr="008A084A">
        <w:rPr>
          <w:rFonts w:ascii="Cambria" w:hAnsi="Cambria"/>
          <w:sz w:val="20"/>
          <w:szCs w:val="20"/>
          <w:lang w:val="es-ES"/>
        </w:rPr>
        <w:t>dichas</w:t>
      </w:r>
      <w:r w:rsidRPr="008A084A">
        <w:rPr>
          <w:rFonts w:ascii="Cambria" w:hAnsi="Cambria"/>
          <w:sz w:val="20"/>
          <w:szCs w:val="20"/>
          <w:lang w:val="es-ES"/>
        </w:rPr>
        <w:t xml:space="preserve"> prácticas y establecer un mecanismo para examinar los casos en que se haya internado a personas con discapacidad en un entorno institucional sin su consentimiento expreso</w:t>
      </w:r>
      <w:r w:rsidRPr="008A084A">
        <w:rPr>
          <w:rStyle w:val="FootnoteReference"/>
          <w:rFonts w:ascii="Cambria" w:hAnsi="Cambria"/>
          <w:sz w:val="20"/>
          <w:szCs w:val="20"/>
        </w:rPr>
        <w:footnoteReference w:id="275"/>
      </w:r>
      <w:r w:rsidRPr="008A084A">
        <w:rPr>
          <w:rFonts w:ascii="Cambria" w:hAnsi="Cambria"/>
          <w:sz w:val="20"/>
          <w:szCs w:val="20"/>
          <w:lang w:val="es-ES"/>
        </w:rPr>
        <w:t>.</w:t>
      </w:r>
      <w:r w:rsidR="00725174" w:rsidRPr="008A084A">
        <w:rPr>
          <w:rFonts w:ascii="Cambria" w:hAnsi="Cambria"/>
          <w:sz w:val="20"/>
          <w:szCs w:val="20"/>
          <w:lang w:val="es-ES"/>
        </w:rPr>
        <w:t xml:space="preserve"> Asimismo, los Estados deben proceder a la desinstitucionalización, y todas las personas con discapacidad deben recobrar la capacidad jurídica, con los apoyos correspondientes, y poder elegir dónde y con quién vivir</w:t>
      </w:r>
      <w:r w:rsidR="00725174" w:rsidRPr="008A084A">
        <w:rPr>
          <w:rStyle w:val="FootnoteReference"/>
          <w:rFonts w:ascii="Cambria" w:hAnsi="Cambria"/>
          <w:sz w:val="20"/>
          <w:szCs w:val="20"/>
        </w:rPr>
        <w:footnoteReference w:id="276"/>
      </w:r>
      <w:r w:rsidR="00725174" w:rsidRPr="008A084A">
        <w:rPr>
          <w:rFonts w:ascii="Cambria" w:hAnsi="Cambria"/>
          <w:sz w:val="20"/>
          <w:szCs w:val="20"/>
          <w:lang w:val="es-ES"/>
        </w:rPr>
        <w:t>. Los deberes del Estado en este punto se vinculan con el derecho a vivir de forma independiente y a ser incluido en la comunidad, establecido en el artículo 19 de la CDPD.</w:t>
      </w:r>
      <w:r w:rsidR="00890912" w:rsidRPr="008A084A">
        <w:rPr>
          <w:rFonts w:ascii="Cambria" w:hAnsi="Cambria"/>
          <w:sz w:val="20"/>
          <w:szCs w:val="20"/>
          <w:lang w:val="es-ES"/>
        </w:rPr>
        <w:t xml:space="preserve"> La institucionalización de una persona en un centro de salud mental puede constituir un obstáculo para tal objetivo fundamental y, como se ha indicado, constituir una privación de libertad arbitraria en los términos de la Convención</w:t>
      </w:r>
      <w:r w:rsidR="007F1F5F" w:rsidRPr="008A084A">
        <w:rPr>
          <w:rFonts w:ascii="Cambria" w:hAnsi="Cambria"/>
          <w:sz w:val="20"/>
          <w:szCs w:val="20"/>
          <w:lang w:val="es-ES"/>
        </w:rPr>
        <w:t xml:space="preserve"> Americana</w:t>
      </w:r>
      <w:r w:rsidR="00C238DE" w:rsidRPr="008A084A">
        <w:rPr>
          <w:rFonts w:ascii="Cambria" w:hAnsi="Cambria"/>
          <w:sz w:val="20"/>
          <w:szCs w:val="20"/>
          <w:lang w:val="es-ES"/>
        </w:rPr>
        <w:t xml:space="preserve">. Un elemento de la arbitrariedad de dicha privación de libertad, tiene lugar cuando la misma tiene lugar en incumplimiento de los estándares sobre consentimiento informado que se refieren más adelante. Cabe destacar en este punto que </w:t>
      </w:r>
      <w:r w:rsidR="000316D4" w:rsidRPr="008A084A">
        <w:rPr>
          <w:rFonts w:ascii="Cambria" w:hAnsi="Cambria"/>
          <w:sz w:val="20"/>
          <w:szCs w:val="20"/>
          <w:lang w:val="es-ES"/>
        </w:rPr>
        <w:t>en casos de personas con discapacidad mental el consentimiento no se configura con el brindado por un tutor o familiar. En todo caso, como se analiza más adelante, cualquier excepción a la obligación de obtener el consentimiento informado debe basarse en una situación concreta y excepcional de emergencia en el caso particular, situación que en ningún caso puede configurarse por el sólo hecho de tener una discapacidad mental. En este sentido, en un caso como el presente existe una relación directa entre el derecho al consentimiento informado con los alcances que se precisarán a continuación, y la arbitrariedad de una privación de libertad en una institución de salud mental en incumplimiento de dicho derecho.</w:t>
      </w:r>
    </w:p>
    <w:p w:rsidR="003F648A" w:rsidRPr="008A084A" w:rsidRDefault="003F648A" w:rsidP="003F648A">
      <w:pPr>
        <w:pStyle w:val="ColorfulList-Accent11"/>
        <w:rPr>
          <w:rFonts w:ascii="Cambria" w:hAnsi="Cambria"/>
          <w:sz w:val="20"/>
          <w:szCs w:val="20"/>
          <w:lang w:val="es-ES"/>
        </w:rPr>
      </w:pPr>
    </w:p>
    <w:p w:rsidR="003F648A" w:rsidRPr="008A084A" w:rsidRDefault="003F648A" w:rsidP="003F648A">
      <w:pPr>
        <w:numPr>
          <w:ilvl w:val="0"/>
          <w:numId w:val="55"/>
        </w:numPr>
        <w:jc w:val="both"/>
        <w:rPr>
          <w:rFonts w:ascii="Cambria" w:hAnsi="Cambria"/>
          <w:sz w:val="20"/>
          <w:szCs w:val="20"/>
          <w:lang w:val="es-ES"/>
        </w:rPr>
      </w:pPr>
      <w:r w:rsidRPr="008A084A">
        <w:rPr>
          <w:rFonts w:ascii="Cambria" w:hAnsi="Cambria"/>
          <w:sz w:val="20"/>
          <w:szCs w:val="20"/>
          <w:lang w:val="es-ES"/>
        </w:rPr>
        <w:t>Adicionalmente, la Corte Europea ha indicado que los Estados deben contar con recursos adecuados y efectivos a efectos de que las personas con discapacidad institucionalizadas pueden cuestionar su restricción de la libertad</w:t>
      </w:r>
      <w:r w:rsidRPr="008A084A">
        <w:rPr>
          <w:rStyle w:val="FootnoteReference"/>
          <w:rFonts w:ascii="Cambria" w:hAnsi="Cambria"/>
          <w:sz w:val="20"/>
          <w:szCs w:val="20"/>
          <w:lang w:val="es-ES"/>
        </w:rPr>
        <w:footnoteReference w:id="277"/>
      </w:r>
      <w:r w:rsidRPr="008A084A">
        <w:rPr>
          <w:rFonts w:ascii="Cambria" w:hAnsi="Cambria"/>
          <w:sz w:val="20"/>
          <w:szCs w:val="20"/>
          <w:lang w:val="es-ES"/>
        </w:rPr>
        <w:t>. Asimismo, la Corte Europea recalcó el deber de los Estados de realizar de oficio revisiones periódicas judiciales en casos de institucionalización</w:t>
      </w:r>
      <w:r w:rsidRPr="008A084A">
        <w:rPr>
          <w:rStyle w:val="FootnoteReference"/>
          <w:rFonts w:ascii="Cambria" w:hAnsi="Cambria"/>
          <w:sz w:val="20"/>
          <w:szCs w:val="20"/>
          <w:lang w:val="es-ES"/>
        </w:rPr>
        <w:footnoteReference w:id="278"/>
      </w:r>
      <w:r w:rsidRPr="008A084A">
        <w:rPr>
          <w:rFonts w:ascii="Cambria" w:hAnsi="Cambria"/>
          <w:sz w:val="20"/>
          <w:szCs w:val="20"/>
          <w:lang w:val="es-ES"/>
        </w:rPr>
        <w:t>.</w:t>
      </w:r>
    </w:p>
    <w:p w:rsidR="001D12F0" w:rsidRPr="008A084A" w:rsidRDefault="001D12F0" w:rsidP="003F13D8">
      <w:pPr>
        <w:ind w:left="720"/>
        <w:jc w:val="both"/>
        <w:rPr>
          <w:rFonts w:ascii="Cambria" w:hAnsi="Cambria"/>
          <w:sz w:val="20"/>
          <w:szCs w:val="20"/>
          <w:lang w:val="es-ES"/>
        </w:rPr>
      </w:pPr>
    </w:p>
    <w:p w:rsidR="00BD1C4B" w:rsidRPr="008A084A" w:rsidRDefault="007F1F5F" w:rsidP="00B329C1">
      <w:pPr>
        <w:numPr>
          <w:ilvl w:val="1"/>
          <w:numId w:val="60"/>
        </w:numPr>
        <w:ind w:left="1440" w:hanging="720"/>
        <w:jc w:val="both"/>
        <w:rPr>
          <w:rFonts w:ascii="Cambria" w:hAnsi="Cambria"/>
          <w:b/>
          <w:sz w:val="20"/>
          <w:szCs w:val="20"/>
          <w:lang w:val="es-ES"/>
        </w:rPr>
      </w:pPr>
      <w:r w:rsidRPr="008A084A">
        <w:rPr>
          <w:rFonts w:ascii="Cambria" w:hAnsi="Cambria"/>
          <w:b/>
          <w:sz w:val="20"/>
          <w:szCs w:val="20"/>
          <w:lang w:val="es-ES"/>
        </w:rPr>
        <w:t>Consideraciones generales sobre la institucionalización y el d</w:t>
      </w:r>
      <w:r w:rsidR="00725174" w:rsidRPr="008A084A">
        <w:rPr>
          <w:rFonts w:ascii="Cambria" w:hAnsi="Cambria"/>
          <w:b/>
          <w:sz w:val="20"/>
          <w:szCs w:val="20"/>
          <w:lang w:val="es-ES"/>
        </w:rPr>
        <w:t xml:space="preserve">erecho a la integridad personal </w:t>
      </w:r>
    </w:p>
    <w:p w:rsidR="00B55C8A" w:rsidRPr="008A084A" w:rsidRDefault="00B55C8A" w:rsidP="00FF1817">
      <w:pPr>
        <w:jc w:val="both"/>
        <w:rPr>
          <w:rFonts w:ascii="Cambria" w:hAnsi="Cambria"/>
          <w:sz w:val="20"/>
          <w:szCs w:val="20"/>
          <w:lang w:val="es-ES"/>
        </w:rPr>
      </w:pPr>
    </w:p>
    <w:p w:rsidR="00FC5555" w:rsidRPr="008A084A" w:rsidRDefault="002C4346" w:rsidP="002C4346">
      <w:pPr>
        <w:numPr>
          <w:ilvl w:val="0"/>
          <w:numId w:val="55"/>
        </w:numPr>
        <w:jc w:val="both"/>
        <w:rPr>
          <w:rFonts w:ascii="Cambria" w:hAnsi="Cambria" w:cs="Verdana"/>
          <w:sz w:val="20"/>
          <w:szCs w:val="20"/>
          <w:lang w:val="es-ES" w:eastAsia="es-ES_tradnl"/>
        </w:rPr>
      </w:pPr>
      <w:r w:rsidRPr="008A084A">
        <w:rPr>
          <w:rFonts w:ascii="Cambria" w:hAnsi="Cambria" w:cs="Verdana"/>
          <w:sz w:val="20"/>
          <w:szCs w:val="20"/>
          <w:lang w:val="es-ES" w:eastAsia="es-ES_tradnl"/>
        </w:rPr>
        <w:t>En cuanto al derecho a la integridad personal, la Corte ha señalado que Estados tienen el deber de adoptar las medidas necesarias tendientes a hacer frente a las amenazas a la integridad física de las personas</w:t>
      </w:r>
      <w:r w:rsidRPr="008A084A">
        <w:rPr>
          <w:rStyle w:val="FootnoteReference"/>
          <w:rFonts w:ascii="Cambria" w:hAnsi="Cambria"/>
          <w:sz w:val="20"/>
          <w:szCs w:val="20"/>
          <w:lang w:val="es-ES" w:eastAsia="es-ES_tradnl"/>
        </w:rPr>
        <w:footnoteReference w:id="279"/>
      </w:r>
      <w:r w:rsidRPr="008A084A">
        <w:rPr>
          <w:rFonts w:ascii="Cambria" w:hAnsi="Cambria" w:cs="Verdana"/>
          <w:sz w:val="20"/>
          <w:szCs w:val="20"/>
          <w:lang w:val="es-ES" w:eastAsia="es-ES_tradnl"/>
        </w:rPr>
        <w:t xml:space="preserve">. </w:t>
      </w:r>
      <w:r w:rsidR="006722DC" w:rsidRPr="008A084A">
        <w:rPr>
          <w:rFonts w:ascii="Cambria" w:hAnsi="Cambria" w:cs="Verdana"/>
          <w:sz w:val="20"/>
          <w:szCs w:val="20"/>
          <w:lang w:val="es-ES" w:eastAsia="es-ES_tradnl"/>
        </w:rPr>
        <w:t>La CIDH resalta que, en casos de personas privadas de libertad, como las personas institucionalizadas</w:t>
      </w:r>
      <w:r w:rsidR="00B4508F" w:rsidRPr="008A084A">
        <w:rPr>
          <w:rFonts w:ascii="Cambria" w:hAnsi="Cambria" w:cs="Verdana"/>
          <w:sz w:val="20"/>
          <w:szCs w:val="20"/>
          <w:lang w:val="es-ES" w:eastAsia="es-ES_tradnl"/>
        </w:rPr>
        <w:t xml:space="preserve"> en centros de salud mental</w:t>
      </w:r>
      <w:r w:rsidR="006722DC" w:rsidRPr="008A084A">
        <w:rPr>
          <w:rFonts w:ascii="Cambria" w:hAnsi="Cambria" w:cs="Verdana"/>
          <w:sz w:val="20"/>
          <w:szCs w:val="20"/>
          <w:lang w:val="es-ES" w:eastAsia="es-ES_tradnl"/>
        </w:rPr>
        <w:t>, los Estados</w:t>
      </w:r>
      <w:r w:rsidR="00D311E2" w:rsidRPr="008A084A">
        <w:rPr>
          <w:rFonts w:ascii="Cambria" w:hAnsi="Cambria" w:cs="Verdana"/>
          <w:sz w:val="20"/>
          <w:szCs w:val="20"/>
          <w:lang w:val="es-ES" w:eastAsia="es-ES_tradnl"/>
        </w:rPr>
        <w:t xml:space="preserve"> tienen una obligación reforzada de</w:t>
      </w:r>
      <w:r w:rsidR="006722DC" w:rsidRPr="008A084A">
        <w:rPr>
          <w:rFonts w:ascii="Cambria" w:hAnsi="Cambria" w:cs="Verdana"/>
          <w:sz w:val="20"/>
          <w:szCs w:val="20"/>
          <w:lang w:val="es-ES" w:eastAsia="es-ES_tradnl"/>
        </w:rPr>
        <w:t xml:space="preserve"> garantizar su integridad personal debido a que se encuentran bajo su custodia. </w:t>
      </w:r>
    </w:p>
    <w:p w:rsidR="00FC5555" w:rsidRPr="008A084A" w:rsidRDefault="00FC5555" w:rsidP="00FC5555">
      <w:pPr>
        <w:ind w:left="720"/>
        <w:jc w:val="both"/>
        <w:rPr>
          <w:rFonts w:ascii="Cambria" w:hAnsi="Cambria" w:cs="Verdana"/>
          <w:sz w:val="20"/>
          <w:szCs w:val="20"/>
          <w:lang w:val="es-ES" w:eastAsia="es-ES_tradnl"/>
        </w:rPr>
      </w:pPr>
    </w:p>
    <w:p w:rsidR="006722DC" w:rsidRPr="008A084A" w:rsidRDefault="00FC5555" w:rsidP="004A2DEB">
      <w:pPr>
        <w:numPr>
          <w:ilvl w:val="0"/>
          <w:numId w:val="55"/>
        </w:numPr>
        <w:jc w:val="both"/>
        <w:rPr>
          <w:rFonts w:ascii="Cambria" w:hAnsi="Cambria" w:cs="Verdana"/>
          <w:sz w:val="20"/>
          <w:szCs w:val="20"/>
          <w:lang w:val="es-ES" w:eastAsia="es-ES_tradnl"/>
        </w:rPr>
      </w:pPr>
      <w:r w:rsidRPr="008A084A">
        <w:rPr>
          <w:rFonts w:ascii="Cambria" w:hAnsi="Cambria" w:cs="Verdana"/>
          <w:sz w:val="20"/>
          <w:szCs w:val="20"/>
          <w:lang w:val="es-ES" w:eastAsia="es-ES_tradnl"/>
        </w:rPr>
        <w:t xml:space="preserve">Sobre este punto, la Corte Interamericana ha indicado que se debe tomar en cuenta </w:t>
      </w:r>
      <w:r w:rsidRPr="008A084A">
        <w:rPr>
          <w:rFonts w:ascii="Cambria" w:hAnsi="Cambria"/>
          <w:sz w:val="20"/>
          <w:szCs w:val="20"/>
          <w:lang w:val="es-ES"/>
        </w:rPr>
        <w:t xml:space="preserve">la posición especial de garante que asume el Estado con respecto a personas que se encuentran bajo su custodia o cuidado, como las personas </w:t>
      </w:r>
      <w:r w:rsidR="001A7F7A" w:rsidRPr="008A084A">
        <w:rPr>
          <w:rFonts w:ascii="Cambria" w:hAnsi="Cambria"/>
          <w:sz w:val="20"/>
          <w:szCs w:val="20"/>
          <w:lang w:val="es-ES"/>
        </w:rPr>
        <w:t xml:space="preserve">institucionalizadas </w:t>
      </w:r>
      <w:r w:rsidRPr="008A084A">
        <w:rPr>
          <w:rFonts w:ascii="Cambria" w:hAnsi="Cambria"/>
          <w:sz w:val="20"/>
          <w:szCs w:val="20"/>
          <w:lang w:val="es-ES"/>
        </w:rPr>
        <w:t>en centros de salud mental, a quienes el Estado tiene la obligación positiva de proveer las condiciones necesarias para desarrollar una vida digna</w:t>
      </w:r>
      <w:r w:rsidRPr="008A084A">
        <w:rPr>
          <w:rStyle w:val="FootnoteReference"/>
          <w:rFonts w:ascii="Cambria" w:hAnsi="Cambria"/>
          <w:sz w:val="20"/>
          <w:szCs w:val="20"/>
          <w:lang w:val="es-ES"/>
        </w:rPr>
        <w:footnoteReference w:id="280"/>
      </w:r>
      <w:r w:rsidRPr="008A084A">
        <w:rPr>
          <w:rFonts w:ascii="Cambria" w:hAnsi="Cambria"/>
          <w:sz w:val="20"/>
          <w:szCs w:val="20"/>
          <w:lang w:val="es-ES"/>
        </w:rPr>
        <w:t>.</w:t>
      </w:r>
      <w:r w:rsidRPr="008A084A">
        <w:rPr>
          <w:rFonts w:ascii="Cambria" w:hAnsi="Cambria" w:cs="Verdana"/>
          <w:sz w:val="20"/>
          <w:szCs w:val="20"/>
          <w:lang w:val="es-ES" w:eastAsia="es-ES_tradnl"/>
        </w:rPr>
        <w:t xml:space="preserve">  </w:t>
      </w:r>
      <w:r w:rsidR="006722DC" w:rsidRPr="008A084A">
        <w:rPr>
          <w:rFonts w:ascii="Cambria" w:hAnsi="Cambria" w:cs="Verdana"/>
          <w:sz w:val="20"/>
          <w:szCs w:val="20"/>
          <w:lang w:val="es-ES" w:eastAsia="es-ES_tradnl"/>
        </w:rPr>
        <w:t>En el mismo sentido, la Corte Europea ha sostenido que los Estados, al ser responsables de los centros de salud mental públicos, deben adoptar las medidas necesarias para que las condiciones de dichos centros sean adecuadas</w:t>
      </w:r>
      <w:r w:rsidR="006722DC" w:rsidRPr="008A084A">
        <w:rPr>
          <w:rStyle w:val="FootnoteReference"/>
          <w:rFonts w:ascii="Cambria" w:hAnsi="Cambria"/>
          <w:sz w:val="20"/>
          <w:szCs w:val="20"/>
          <w:lang w:val="es-ES"/>
        </w:rPr>
        <w:footnoteReference w:id="281"/>
      </w:r>
      <w:r w:rsidR="006722DC" w:rsidRPr="008A084A">
        <w:rPr>
          <w:rFonts w:ascii="Cambria" w:hAnsi="Cambria" w:cs="Verdana"/>
          <w:sz w:val="20"/>
          <w:szCs w:val="20"/>
          <w:lang w:val="es-ES" w:eastAsia="es-ES_tradnl"/>
        </w:rPr>
        <w:t xml:space="preserve">. </w:t>
      </w:r>
      <w:r w:rsidR="004A2DEB" w:rsidRPr="008A084A">
        <w:rPr>
          <w:rFonts w:ascii="Cambria" w:hAnsi="Cambria" w:cs="Verdana"/>
          <w:sz w:val="20"/>
          <w:szCs w:val="20"/>
          <w:lang w:val="es-ES" w:eastAsia="es-ES_tradnl"/>
        </w:rPr>
        <w:t>De esta forma, el personal de los centros de salud mental deben adoptar todas las medidas necesarias para proteger la vida e integridad de las personas con discapacidad institucionalizadas</w:t>
      </w:r>
      <w:r w:rsidR="004A2DEB" w:rsidRPr="008A084A">
        <w:rPr>
          <w:rStyle w:val="FootnoteReference"/>
          <w:rFonts w:ascii="Cambria" w:hAnsi="Cambria"/>
          <w:sz w:val="20"/>
          <w:szCs w:val="20"/>
          <w:lang w:val="es-ES"/>
        </w:rPr>
        <w:footnoteReference w:id="282"/>
      </w:r>
      <w:r w:rsidR="008C28BB" w:rsidRPr="008A084A">
        <w:rPr>
          <w:rFonts w:ascii="Cambria" w:hAnsi="Cambria" w:cs="Verdana"/>
          <w:sz w:val="20"/>
          <w:szCs w:val="20"/>
          <w:lang w:val="es-ES" w:eastAsia="es-ES_tradnl"/>
        </w:rPr>
        <w:t>, siendo igualmente aplicable el car</w:t>
      </w:r>
      <w:r w:rsidR="008C28BB" w:rsidRPr="008A084A">
        <w:rPr>
          <w:rFonts w:ascii="Cambria" w:hAnsi="Cambria" w:cs="Verdana"/>
          <w:sz w:val="20"/>
          <w:szCs w:val="20"/>
          <w:lang w:val="es-CO" w:eastAsia="es-ES_tradnl"/>
        </w:rPr>
        <w:t xml:space="preserve">ácter reforzado de las </w:t>
      </w:r>
      <w:r w:rsidR="004D2C59" w:rsidRPr="008A084A">
        <w:rPr>
          <w:rFonts w:ascii="Cambria" w:hAnsi="Cambria" w:cs="Verdana"/>
          <w:sz w:val="20"/>
          <w:szCs w:val="20"/>
          <w:lang w:val="es-CO" w:eastAsia="es-ES_tradnl"/>
        </w:rPr>
        <w:t xml:space="preserve">obligaciones del Estado como consecuencia de su posición especial de garante de los derechos de las personas bajo su custodia. </w:t>
      </w:r>
    </w:p>
    <w:p w:rsidR="0088785C" w:rsidRPr="008A084A" w:rsidRDefault="0088785C" w:rsidP="0088785C">
      <w:pPr>
        <w:rPr>
          <w:rFonts w:ascii="Cambria" w:hAnsi="Cambria" w:cs="Verdana"/>
          <w:sz w:val="20"/>
          <w:szCs w:val="20"/>
          <w:lang w:val="es-ES" w:eastAsia="es-ES_tradnl"/>
        </w:rPr>
      </w:pPr>
    </w:p>
    <w:p w:rsidR="0088785C" w:rsidRPr="008A084A" w:rsidRDefault="0088785C" w:rsidP="0088785C">
      <w:pPr>
        <w:numPr>
          <w:ilvl w:val="0"/>
          <w:numId w:val="55"/>
        </w:numPr>
        <w:jc w:val="both"/>
        <w:rPr>
          <w:rFonts w:ascii="Cambria" w:hAnsi="Cambria" w:cs="Verdana"/>
          <w:sz w:val="20"/>
          <w:szCs w:val="20"/>
          <w:lang w:val="es-ES" w:eastAsia="es-ES_tradnl"/>
        </w:rPr>
      </w:pPr>
      <w:r w:rsidRPr="008A084A">
        <w:rPr>
          <w:rFonts w:ascii="Cambria" w:hAnsi="Cambria" w:cs="Verdana"/>
          <w:sz w:val="20"/>
          <w:szCs w:val="20"/>
          <w:lang w:val="es-ES" w:eastAsia="es-ES_tradnl"/>
        </w:rPr>
        <w:t xml:space="preserve">En el caso </w:t>
      </w:r>
      <w:r w:rsidRPr="008A084A">
        <w:rPr>
          <w:rFonts w:ascii="Cambria" w:hAnsi="Cambria" w:cs="Verdana"/>
          <w:i/>
          <w:sz w:val="20"/>
          <w:szCs w:val="20"/>
          <w:lang w:val="es-ES" w:eastAsia="es-ES_tradnl"/>
        </w:rPr>
        <w:t xml:space="preserve">Ximenes </w:t>
      </w:r>
      <w:r w:rsidRPr="008A084A">
        <w:rPr>
          <w:rFonts w:ascii="Cambria" w:hAnsi="Cambria" w:cs="Verdana"/>
          <w:sz w:val="20"/>
          <w:szCs w:val="20"/>
          <w:lang w:val="es-ES" w:eastAsia="es-ES_tradnl"/>
        </w:rPr>
        <w:t>Lopes</w:t>
      </w:r>
      <w:r w:rsidRPr="008A084A">
        <w:rPr>
          <w:rFonts w:ascii="Cambria" w:hAnsi="Cambria" w:cs="Verdana"/>
          <w:i/>
          <w:sz w:val="20"/>
          <w:szCs w:val="20"/>
          <w:lang w:val="es-ES" w:eastAsia="es-ES_tradnl"/>
        </w:rPr>
        <w:t xml:space="preserve"> vs. Brasil, </w:t>
      </w:r>
      <w:r w:rsidRPr="008A084A">
        <w:rPr>
          <w:rFonts w:ascii="Cambria" w:hAnsi="Cambria" w:cs="Verdana"/>
          <w:sz w:val="20"/>
          <w:szCs w:val="20"/>
          <w:lang w:val="es-ES" w:eastAsia="es-ES_tradnl"/>
        </w:rPr>
        <w:t>la Corte indicó lo siguiente sobre los riesgos particulares a que se enfrentan las personas con discapacidad mental institucionalizadas:</w:t>
      </w:r>
    </w:p>
    <w:p w:rsidR="0088785C" w:rsidRPr="008A084A" w:rsidRDefault="0088785C" w:rsidP="0088785C">
      <w:pPr>
        <w:rPr>
          <w:rFonts w:ascii="Cambria" w:hAnsi="Cambria" w:cs="Verdana"/>
          <w:sz w:val="20"/>
          <w:szCs w:val="20"/>
          <w:lang w:val="es-ES" w:eastAsia="es-ES_tradnl"/>
        </w:rPr>
      </w:pPr>
    </w:p>
    <w:p w:rsidR="0088785C" w:rsidRPr="008A084A" w:rsidRDefault="0088785C" w:rsidP="0088785C">
      <w:pPr>
        <w:ind w:left="720" w:right="720"/>
        <w:jc w:val="both"/>
        <w:rPr>
          <w:rFonts w:ascii="Cambria" w:hAnsi="Cambria"/>
          <w:bCs/>
          <w:sz w:val="20"/>
          <w:szCs w:val="20"/>
          <w:lang w:val="es-ES_tradnl"/>
        </w:rPr>
      </w:pPr>
      <w:r w:rsidRPr="008A084A">
        <w:rPr>
          <w:rFonts w:ascii="Cambria" w:hAnsi="Cambria"/>
          <w:sz w:val="20"/>
          <w:szCs w:val="20"/>
          <w:lang w:val="es-ES_tradnl"/>
        </w:rPr>
        <w:t>Con relación a la salvaguarda de la vida y la integridad personal, es necesario considerar que las personas con discapacidad que viven o son sometidas a tratamientos en instituciones psiquiátricas, son particularmente vulnerables a la tortura u otras formas de trato cruel, inhumano o degradante.  L</w:t>
      </w:r>
      <w:r w:rsidRPr="008A084A">
        <w:rPr>
          <w:rFonts w:ascii="Cambria" w:hAnsi="Cambria"/>
          <w:bCs/>
          <w:sz w:val="20"/>
          <w:szCs w:val="20"/>
          <w:lang w:val="es-ES_tradnl"/>
        </w:rPr>
        <w:t>a vulnerabilidad intrínseca de las personas con discapacidades mentales es agravada por el alto grado de intimidad que caracteriza los tratamientos de las enfermedades psiquiátricas, que torna a esas personas más susceptibles a tratos abusivos cuando son sometidos a internación</w:t>
      </w:r>
      <w:r w:rsidRPr="008A084A">
        <w:rPr>
          <w:rFonts w:ascii="Cambria" w:hAnsi="Cambria"/>
          <w:sz w:val="20"/>
          <w:szCs w:val="20"/>
          <w:lang w:val="es-ES_tradnl"/>
        </w:rPr>
        <w:t>.</w:t>
      </w:r>
      <w:r w:rsidRPr="008A084A">
        <w:rPr>
          <w:rFonts w:ascii="Cambria" w:hAnsi="Cambria"/>
          <w:bCs/>
          <w:sz w:val="20"/>
          <w:szCs w:val="20"/>
          <w:lang w:val="es-ES_tradnl"/>
        </w:rPr>
        <w:t xml:space="preserve"> </w:t>
      </w:r>
    </w:p>
    <w:p w:rsidR="0088785C" w:rsidRPr="008A084A" w:rsidRDefault="0088785C" w:rsidP="0088785C">
      <w:pPr>
        <w:ind w:left="720" w:right="720"/>
        <w:jc w:val="both"/>
        <w:rPr>
          <w:rFonts w:ascii="Cambria" w:hAnsi="Cambria"/>
          <w:sz w:val="20"/>
          <w:szCs w:val="20"/>
          <w:lang w:val="es-ES_tradnl"/>
        </w:rPr>
      </w:pPr>
    </w:p>
    <w:p w:rsidR="0088785C" w:rsidRPr="008A084A" w:rsidRDefault="0088785C" w:rsidP="0088785C">
      <w:pPr>
        <w:ind w:left="720" w:right="720"/>
        <w:jc w:val="both"/>
        <w:rPr>
          <w:rFonts w:ascii="Cambria" w:hAnsi="Cambria"/>
          <w:sz w:val="20"/>
          <w:szCs w:val="20"/>
          <w:lang w:val="es-ES_tradnl"/>
        </w:rPr>
      </w:pPr>
      <w:r w:rsidRPr="008A084A">
        <w:rPr>
          <w:rFonts w:ascii="Cambria" w:hAnsi="Cambria"/>
          <w:bCs/>
          <w:sz w:val="20"/>
          <w:szCs w:val="20"/>
          <w:lang w:val="es-ES_tradnl"/>
        </w:rPr>
        <w:t xml:space="preserve">En los entornos institucionales, ya sea en hospitales públicos o privados, el personal médico encargado del cuidado de los pacientes, </w:t>
      </w:r>
      <w:r w:rsidRPr="008A084A">
        <w:rPr>
          <w:rFonts w:ascii="Cambria" w:hAnsi="Cambria"/>
          <w:sz w:val="20"/>
          <w:szCs w:val="20"/>
          <w:lang w:val="es-ES_tradnl"/>
        </w:rPr>
        <w:t>ejerce un fuerte control o dominio sobre las personas que se encuentran sujetas a su custodia.  Este desequilibrio intrínseco de poder entre una persona internada y las personas que tienen la autoridad, se multiplica muchas veces en las instituciones psiquiátricas.  La tortura y otras formas de trato cruel, inhumano o degradante, cuando infligidas a esas personas afectan su integridad psíquica, física y moral, suponen una afrenta para su dignidad y restringen gravemente su autonomía, lo cual podría tener como consecuencia agravar la enfermedad.</w:t>
      </w:r>
    </w:p>
    <w:p w:rsidR="0088785C" w:rsidRPr="008A084A" w:rsidRDefault="0088785C" w:rsidP="0088785C">
      <w:pPr>
        <w:ind w:left="720" w:right="720"/>
        <w:jc w:val="both"/>
        <w:rPr>
          <w:rFonts w:ascii="Cambria" w:hAnsi="Cambria"/>
          <w:sz w:val="20"/>
          <w:szCs w:val="20"/>
          <w:lang w:val="es-ES_tradnl"/>
        </w:rPr>
      </w:pPr>
    </w:p>
    <w:p w:rsidR="000D263E" w:rsidRPr="008A084A" w:rsidRDefault="0088785C" w:rsidP="008B27B0">
      <w:pPr>
        <w:ind w:left="720" w:right="720"/>
        <w:jc w:val="both"/>
        <w:rPr>
          <w:rFonts w:ascii="Cambria" w:hAnsi="Cambria"/>
          <w:sz w:val="20"/>
          <w:szCs w:val="20"/>
          <w:lang w:val="es-ES_tradnl"/>
        </w:rPr>
      </w:pPr>
      <w:r w:rsidRPr="008A084A">
        <w:rPr>
          <w:rFonts w:ascii="Cambria" w:hAnsi="Cambria"/>
          <w:sz w:val="20"/>
          <w:szCs w:val="20"/>
          <w:lang w:val="es-ES_tradnl"/>
        </w:rPr>
        <w:t>Todas las anteriores cir</w:t>
      </w:r>
      <w:r w:rsidR="008B27B0" w:rsidRPr="008A084A">
        <w:rPr>
          <w:rFonts w:ascii="Cambria" w:hAnsi="Cambria"/>
          <w:sz w:val="20"/>
          <w:szCs w:val="20"/>
          <w:lang w:val="es-ES_tradnl"/>
        </w:rPr>
        <w:t>c</w:t>
      </w:r>
      <w:r w:rsidRPr="008A084A">
        <w:rPr>
          <w:rFonts w:ascii="Cambria" w:hAnsi="Cambria"/>
          <w:sz w:val="20"/>
          <w:szCs w:val="20"/>
          <w:lang w:val="es-ES_tradnl"/>
        </w:rPr>
        <w:t>unstancias exigen que se ejerza una estricta vigilancia sobre dichos establecimientos. Los Estados tienen el deber de supervisar y garantizar que en toda institución psiquiátrica, pública o privada, sea preservado el derecho de los pacientes de recibir un tratamiento digno, humano y profesional, y de ser protegidos contra la explotación, el abuso y la degradación</w:t>
      </w:r>
      <w:r w:rsidR="008B27B0" w:rsidRPr="008A084A">
        <w:rPr>
          <w:rStyle w:val="FootnoteReference"/>
          <w:rFonts w:ascii="Cambria" w:hAnsi="Cambria"/>
          <w:sz w:val="20"/>
          <w:szCs w:val="20"/>
          <w:lang w:val="es-ES"/>
        </w:rPr>
        <w:footnoteReference w:id="283"/>
      </w:r>
      <w:r w:rsidRPr="008A084A">
        <w:rPr>
          <w:rFonts w:ascii="Cambria" w:hAnsi="Cambria"/>
          <w:sz w:val="20"/>
          <w:szCs w:val="20"/>
          <w:lang w:val="es-ES_tradnl"/>
        </w:rPr>
        <w:t>.</w:t>
      </w:r>
    </w:p>
    <w:p w:rsidR="000D263E" w:rsidRPr="008A084A" w:rsidRDefault="000D263E" w:rsidP="000109F5">
      <w:pPr>
        <w:rPr>
          <w:rFonts w:ascii="Cambria" w:hAnsi="Cambria" w:cs="Verdana"/>
          <w:sz w:val="20"/>
          <w:szCs w:val="20"/>
          <w:lang w:val="es-ES" w:eastAsia="es-ES_tradnl"/>
        </w:rPr>
      </w:pPr>
    </w:p>
    <w:p w:rsidR="00984F78" w:rsidRPr="008A084A" w:rsidRDefault="00984F78" w:rsidP="00C870E4">
      <w:pPr>
        <w:ind w:left="1440" w:hanging="720"/>
        <w:jc w:val="both"/>
        <w:rPr>
          <w:rFonts w:ascii="Cambria" w:hAnsi="Cambria" w:cs="Verdana"/>
          <w:b/>
          <w:sz w:val="20"/>
          <w:szCs w:val="20"/>
          <w:lang w:val="es-ES" w:eastAsia="es-ES_tradnl"/>
        </w:rPr>
      </w:pPr>
      <w:r w:rsidRPr="008A084A">
        <w:rPr>
          <w:rFonts w:ascii="Cambria" w:hAnsi="Cambria" w:cs="Verdana"/>
          <w:b/>
          <w:sz w:val="20"/>
          <w:szCs w:val="20"/>
          <w:lang w:val="es-ES" w:eastAsia="es-ES_tradnl"/>
        </w:rPr>
        <w:t>2.4</w:t>
      </w:r>
      <w:r w:rsidR="00C870E4" w:rsidRPr="008A084A">
        <w:rPr>
          <w:rFonts w:ascii="Cambria" w:hAnsi="Cambria" w:cs="Verdana"/>
          <w:b/>
          <w:sz w:val="20"/>
          <w:szCs w:val="20"/>
          <w:lang w:val="es-ES" w:eastAsia="es-ES_tradnl"/>
        </w:rPr>
        <w:tab/>
      </w:r>
      <w:r w:rsidR="00786C7E" w:rsidRPr="008A084A">
        <w:rPr>
          <w:rFonts w:ascii="Cambria" w:hAnsi="Cambria" w:cs="Verdana"/>
          <w:b/>
          <w:sz w:val="20"/>
          <w:szCs w:val="20"/>
          <w:lang w:val="es-ES" w:eastAsia="es-ES_tradnl"/>
        </w:rPr>
        <w:t>Consideraciones generales sobre el derecho a la salud y al consentimiento informado en materia de salud</w:t>
      </w:r>
    </w:p>
    <w:p w:rsidR="00775B1B" w:rsidRPr="008A084A" w:rsidRDefault="00775B1B" w:rsidP="0033041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s-ES"/>
        </w:rPr>
      </w:pPr>
    </w:p>
    <w:p w:rsidR="00243876" w:rsidRPr="008A084A" w:rsidRDefault="00243876" w:rsidP="00243876">
      <w:pPr>
        <w:numPr>
          <w:ilvl w:val="0"/>
          <w:numId w:val="55"/>
        </w:numPr>
        <w:jc w:val="both"/>
        <w:rPr>
          <w:rFonts w:ascii="Cambria" w:hAnsi="Cambria" w:cs="Verdana"/>
          <w:sz w:val="20"/>
          <w:szCs w:val="20"/>
          <w:lang w:val="es-ES" w:eastAsia="es-ES_tradnl"/>
        </w:rPr>
      </w:pPr>
      <w:r w:rsidRPr="008A084A">
        <w:rPr>
          <w:rFonts w:ascii="Cambria" w:hAnsi="Cambria" w:cs="Verdana"/>
          <w:sz w:val="20"/>
          <w:szCs w:val="20"/>
          <w:lang w:val="es-ES" w:eastAsia="es-ES_tradnl"/>
        </w:rPr>
        <w:t>Tanto la CIDH como la Corte se han pronunciado sobre la relación existente entre los derechos a la integridad personal y el derecho a la salud</w:t>
      </w:r>
      <w:r w:rsidRPr="008A084A">
        <w:rPr>
          <w:rStyle w:val="FootnoteReference"/>
          <w:rFonts w:ascii="Cambria" w:hAnsi="Cambria" w:cs="Verdana"/>
          <w:sz w:val="20"/>
          <w:szCs w:val="20"/>
          <w:lang w:val="es-ES" w:eastAsia="es-ES_tradnl"/>
        </w:rPr>
        <w:footnoteReference w:id="284"/>
      </w:r>
      <w:r w:rsidRPr="008A084A">
        <w:rPr>
          <w:rFonts w:ascii="Cambria" w:hAnsi="Cambria" w:cs="Verdana"/>
          <w:sz w:val="20"/>
          <w:szCs w:val="20"/>
          <w:lang w:val="es-ES" w:eastAsia="es-ES_tradnl"/>
        </w:rPr>
        <w:t xml:space="preserve">. </w:t>
      </w:r>
      <w:r w:rsidRPr="008A084A">
        <w:rPr>
          <w:rFonts w:ascii="Cambria" w:hAnsi="Cambria"/>
          <w:sz w:val="20"/>
          <w:szCs w:val="20"/>
          <w:lang w:val="es-ES"/>
        </w:rPr>
        <w:t>La Corte Interamericana ha interpretado en reiteradas oportunidades que el derecho a la integridad personal se halla directa e inmediatamente vinculado con la atención a la salud humana</w:t>
      </w:r>
      <w:r w:rsidRPr="008A084A">
        <w:rPr>
          <w:rStyle w:val="FootnoteReference"/>
          <w:rFonts w:ascii="Cambria" w:hAnsi="Cambria"/>
          <w:sz w:val="20"/>
          <w:szCs w:val="20"/>
          <w:lang w:val="es-ES"/>
        </w:rPr>
        <w:footnoteReference w:id="285"/>
      </w:r>
      <w:r w:rsidRPr="008A084A">
        <w:rPr>
          <w:rFonts w:ascii="Cambria" w:hAnsi="Cambria"/>
          <w:sz w:val="20"/>
          <w:szCs w:val="20"/>
          <w:lang w:val="es-ES"/>
        </w:rPr>
        <w:t xml:space="preserve"> </w:t>
      </w:r>
      <w:r w:rsidRPr="008A084A">
        <w:rPr>
          <w:rStyle w:val="FootnoteReference"/>
          <w:rFonts w:ascii="Cambria" w:hAnsi="Cambria"/>
          <w:sz w:val="20"/>
          <w:szCs w:val="20"/>
          <w:lang w:val="es-ES"/>
        </w:rPr>
        <w:t xml:space="preserve"> </w:t>
      </w:r>
      <w:r w:rsidRPr="008A084A">
        <w:rPr>
          <w:rFonts w:ascii="Cambria" w:hAnsi="Cambria"/>
          <w:sz w:val="20"/>
          <w:szCs w:val="20"/>
          <w:lang w:val="es-ES"/>
        </w:rPr>
        <w:t>y que “la falta de atención médica adecuada” puede conllevar a su vulneración</w:t>
      </w:r>
      <w:r w:rsidRPr="008A084A">
        <w:rPr>
          <w:rStyle w:val="FootnoteReference"/>
          <w:rFonts w:ascii="Cambria" w:hAnsi="Cambria" w:cs="Verdana"/>
          <w:sz w:val="20"/>
          <w:szCs w:val="20"/>
          <w:lang w:val="es-ES"/>
        </w:rPr>
        <w:footnoteReference w:id="286"/>
      </w:r>
      <w:r w:rsidRPr="008A084A">
        <w:rPr>
          <w:rFonts w:ascii="Cambria" w:hAnsi="Cambria"/>
          <w:sz w:val="20"/>
          <w:szCs w:val="20"/>
          <w:lang w:val="es-ES"/>
        </w:rPr>
        <w:t>. La Comisión considera que esta intrínseca relación constituye una manifestación de la interdependencia e indivisibilidad existente entre los derechos civiles y políticos y los económicos, sociales y culturales. En palabras de la Corte, ambos grupos de derechos deben ser “entendidos integralmente como derechos humanos, sin jerarquía entre sí y exigibles en todos los casos ante aquellas autoridades que resulten competentes para ello</w:t>
      </w:r>
      <w:r w:rsidRPr="008A084A">
        <w:rPr>
          <w:rStyle w:val="FootnoteReference"/>
          <w:rFonts w:ascii="Cambria" w:hAnsi="Cambria"/>
          <w:sz w:val="20"/>
          <w:szCs w:val="20"/>
          <w:lang w:val="es-ES"/>
        </w:rPr>
        <w:footnoteReference w:id="287"/>
      </w:r>
      <w:r w:rsidRPr="008A084A">
        <w:rPr>
          <w:rFonts w:ascii="Cambria" w:hAnsi="Cambria"/>
          <w:sz w:val="20"/>
          <w:szCs w:val="20"/>
          <w:lang w:val="es-ES"/>
        </w:rPr>
        <w:t>.</w:t>
      </w:r>
    </w:p>
    <w:p w:rsidR="00243876" w:rsidRPr="008A084A" w:rsidRDefault="00243876" w:rsidP="00243876">
      <w:pPr>
        <w:jc w:val="both"/>
        <w:rPr>
          <w:rFonts w:ascii="Cambria" w:hAnsi="Cambria" w:cs="Verdana"/>
          <w:sz w:val="20"/>
          <w:szCs w:val="20"/>
          <w:lang w:val="es-ES" w:eastAsia="es-ES_tradnl"/>
        </w:rPr>
      </w:pPr>
    </w:p>
    <w:p w:rsidR="00C94536" w:rsidRPr="008A084A" w:rsidRDefault="00C94536" w:rsidP="00C94536">
      <w:pPr>
        <w:numPr>
          <w:ilvl w:val="0"/>
          <w:numId w:val="55"/>
        </w:numPr>
        <w:jc w:val="both"/>
        <w:rPr>
          <w:rFonts w:ascii="Cambria" w:hAnsi="Cambria"/>
          <w:sz w:val="20"/>
          <w:szCs w:val="20"/>
          <w:lang w:val="es-MX"/>
        </w:rPr>
      </w:pPr>
      <w:r w:rsidRPr="008A084A">
        <w:rPr>
          <w:rFonts w:ascii="Cambria" w:hAnsi="Cambria"/>
          <w:sz w:val="20"/>
          <w:szCs w:val="20"/>
          <w:lang w:val="es-MX"/>
        </w:rPr>
        <w:t xml:space="preserve">El </w:t>
      </w:r>
      <w:r w:rsidRPr="008A084A">
        <w:rPr>
          <w:rFonts w:ascii="Cambria" w:hAnsi="Cambria"/>
          <w:sz w:val="20"/>
          <w:szCs w:val="20"/>
          <w:lang w:val="es-CO"/>
        </w:rPr>
        <w:t>artículo</w:t>
      </w:r>
      <w:r w:rsidRPr="008A084A">
        <w:rPr>
          <w:rFonts w:ascii="Cambria" w:hAnsi="Cambria"/>
          <w:sz w:val="20"/>
          <w:szCs w:val="20"/>
          <w:lang w:val="es-MX"/>
        </w:rPr>
        <w:t xml:space="preserve"> 26 de la Convención Americana establece una obligación en cabeza de los Estados partes, de </w:t>
      </w:r>
      <w:r w:rsidRPr="008A084A">
        <w:rPr>
          <w:rFonts w:ascii="Cambria" w:hAnsi="Cambria"/>
          <w:sz w:val="20"/>
          <w:szCs w:val="20"/>
          <w:lang w:val="es-AR"/>
        </w:rPr>
        <w:t>procurar</w:t>
      </w:r>
      <w:r w:rsidRPr="008A084A">
        <w:rPr>
          <w:rFonts w:ascii="Cambria" w:hAnsi="Cambria"/>
          <w:sz w:val="20"/>
          <w:szCs w:val="20"/>
          <w:lang w:val="es-MX"/>
        </w:rPr>
        <w:t xml:space="preserve"> el desarrollo progresivo de los derechos que dicha norma contiene.  Aunque </w:t>
      </w:r>
      <w:r w:rsidRPr="008A084A">
        <w:rPr>
          <w:rFonts w:ascii="Cambria" w:hAnsi="Cambria" w:cs="Arial"/>
          <w:snapToGrid w:val="0"/>
          <w:sz w:val="20"/>
          <w:szCs w:val="20"/>
          <w:lang w:val="es-CO"/>
        </w:rPr>
        <w:t xml:space="preserve">ambos </w:t>
      </w:r>
      <w:r w:rsidRPr="008A084A">
        <w:rPr>
          <w:rFonts w:ascii="Cambria" w:hAnsi="Cambria" w:cs="Arial"/>
          <w:snapToGrid w:val="0"/>
          <w:sz w:val="20"/>
          <w:szCs w:val="20"/>
          <w:lang w:val="es-CO"/>
        </w:rPr>
        <w:lastRenderedPageBreak/>
        <w:t xml:space="preserve">órganos </w:t>
      </w:r>
      <w:r w:rsidRPr="008A084A">
        <w:rPr>
          <w:rFonts w:ascii="Cambria" w:hAnsi="Cambria"/>
          <w:sz w:val="20"/>
          <w:szCs w:val="20"/>
          <w:lang w:val="es-ES"/>
        </w:rPr>
        <w:t>del</w:t>
      </w:r>
      <w:r w:rsidRPr="008A084A">
        <w:rPr>
          <w:rFonts w:ascii="Cambria" w:hAnsi="Cambria" w:cs="Arial"/>
          <w:snapToGrid w:val="0"/>
          <w:sz w:val="20"/>
          <w:szCs w:val="20"/>
          <w:lang w:val="es-CO"/>
        </w:rPr>
        <w:t xml:space="preserve"> sistema interamericano</w:t>
      </w:r>
      <w:r w:rsidRPr="008A084A">
        <w:rPr>
          <w:rStyle w:val="FootnoteReference"/>
          <w:rFonts w:ascii="Cambria" w:hAnsi="Cambria" w:cs="Arial"/>
          <w:snapToGrid w:val="0"/>
          <w:sz w:val="20"/>
          <w:szCs w:val="20"/>
          <w:lang w:val="es-CO"/>
        </w:rPr>
        <w:footnoteReference w:id="288"/>
      </w:r>
      <w:r w:rsidRPr="008A084A">
        <w:rPr>
          <w:rFonts w:ascii="Cambria" w:hAnsi="Cambria" w:cs="Arial"/>
          <w:snapToGrid w:val="0"/>
          <w:sz w:val="20"/>
          <w:szCs w:val="20"/>
          <w:lang w:val="es-CO"/>
        </w:rPr>
        <w:t xml:space="preserve"> han reafirmado su competencia para pronunciarse sobre posibles violaciones del artículo 26 </w:t>
      </w:r>
      <w:r w:rsidRPr="008A084A">
        <w:rPr>
          <w:rFonts w:ascii="Cambria" w:eastAsia="Batang" w:hAnsi="Cambria"/>
          <w:sz w:val="20"/>
          <w:szCs w:val="20"/>
          <w:bdr w:val="none" w:sz="0" w:space="0" w:color="auto"/>
          <w:lang w:val="es-UY"/>
        </w:rPr>
        <w:t>de</w:t>
      </w:r>
      <w:r w:rsidRPr="008A084A">
        <w:rPr>
          <w:rFonts w:ascii="Cambria" w:hAnsi="Cambria" w:cs="Arial"/>
          <w:snapToGrid w:val="0"/>
          <w:sz w:val="20"/>
          <w:szCs w:val="20"/>
          <w:lang w:val="es-CO"/>
        </w:rPr>
        <w:t xml:space="preserve"> la Convención Americana en el marco del sistema de peticiones y casos individuales, </w:t>
      </w:r>
      <w:r w:rsidRPr="008A084A">
        <w:rPr>
          <w:rFonts w:ascii="Cambria" w:hAnsi="Cambria"/>
          <w:sz w:val="20"/>
          <w:szCs w:val="20"/>
          <w:lang w:val="es-MX"/>
        </w:rPr>
        <w:t xml:space="preserve">esta disposición había sido materia de poco desarrollo en la jurisprudencia del sistema interamericano relativa a casos contenciosos. </w:t>
      </w:r>
    </w:p>
    <w:p w:rsidR="00C94536" w:rsidRPr="008A084A" w:rsidRDefault="00C94536" w:rsidP="00C94536">
      <w:pPr>
        <w:ind w:firstLine="720"/>
        <w:jc w:val="both"/>
        <w:rPr>
          <w:rFonts w:ascii="Cambria" w:hAnsi="Cambria"/>
          <w:sz w:val="20"/>
          <w:szCs w:val="20"/>
          <w:lang w:val="es-MX"/>
        </w:rPr>
      </w:pPr>
    </w:p>
    <w:p w:rsidR="00C94536" w:rsidRPr="008A084A" w:rsidRDefault="00C94536" w:rsidP="00C94536">
      <w:pPr>
        <w:numPr>
          <w:ilvl w:val="0"/>
          <w:numId w:val="55"/>
        </w:numPr>
        <w:jc w:val="both"/>
        <w:rPr>
          <w:rFonts w:ascii="Cambria" w:hAnsi="Cambria" w:cs="Arial"/>
          <w:snapToGrid w:val="0"/>
          <w:sz w:val="20"/>
          <w:szCs w:val="20"/>
          <w:lang w:val="es-CO"/>
        </w:rPr>
      </w:pPr>
      <w:r w:rsidRPr="008A084A">
        <w:rPr>
          <w:rFonts w:ascii="Cambria" w:hAnsi="Cambria" w:cs="Arial"/>
          <w:snapToGrid w:val="0"/>
          <w:sz w:val="20"/>
          <w:szCs w:val="20"/>
          <w:lang w:val="es-CO"/>
        </w:rPr>
        <w:t xml:space="preserve">La </w:t>
      </w:r>
      <w:r w:rsidRPr="008A084A">
        <w:rPr>
          <w:rFonts w:ascii="Cambria" w:hAnsi="Cambria"/>
          <w:sz w:val="20"/>
          <w:szCs w:val="20"/>
          <w:lang w:val="es-ES"/>
        </w:rPr>
        <w:t>Comisión</w:t>
      </w:r>
      <w:r w:rsidRPr="008A084A">
        <w:rPr>
          <w:rFonts w:ascii="Cambria" w:hAnsi="Cambria" w:cs="Arial"/>
          <w:snapToGrid w:val="0"/>
          <w:sz w:val="20"/>
          <w:szCs w:val="20"/>
          <w:lang w:val="es-CO"/>
        </w:rPr>
        <w:t xml:space="preserve"> reconoce que la interpretación del artículo 26 de la Convención y la determinación concreta de su </w:t>
      </w:r>
      <w:r w:rsidRPr="008A084A">
        <w:rPr>
          <w:rFonts w:ascii="Cambria" w:hAnsi="Cambria"/>
          <w:sz w:val="20"/>
          <w:szCs w:val="20"/>
          <w:lang w:val="es-MX"/>
        </w:rPr>
        <w:t>alcance</w:t>
      </w:r>
      <w:r w:rsidRPr="008A084A">
        <w:rPr>
          <w:rFonts w:ascii="Cambria" w:hAnsi="Cambria" w:cs="Arial"/>
          <w:snapToGrid w:val="0"/>
          <w:sz w:val="20"/>
          <w:szCs w:val="20"/>
          <w:lang w:val="es-CO"/>
        </w:rPr>
        <w:t xml:space="preserve"> y contenido puede revestir ciertas complejidades interpretativas. En ese sentido, </w:t>
      </w:r>
      <w:r w:rsidRPr="008A084A">
        <w:rPr>
          <w:rFonts w:ascii="Cambria" w:hAnsi="Cambria"/>
          <w:sz w:val="20"/>
          <w:szCs w:val="20"/>
          <w:lang w:val="es-MX"/>
        </w:rPr>
        <w:t xml:space="preserve">la Comisión considera necesario desarrollar algunos de sus pronunciamientos anteriores al respecto, específicamente, en cuanto a la que considera una metodología adecuada de análisis que toma en cuenta el texto de la norma, pero lo interpreta de manera consistente con los desarrollos que en la materia se han efectuado a nivel internacional y que resultan de gran utilidad para desentrañar su alcance y contenido. </w:t>
      </w:r>
    </w:p>
    <w:p w:rsidR="00C94536" w:rsidRPr="008A084A" w:rsidRDefault="00C94536" w:rsidP="00C9453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Arial"/>
          <w:snapToGrid w:val="0"/>
          <w:sz w:val="20"/>
          <w:szCs w:val="20"/>
          <w:lang w:val="es-CO"/>
        </w:rPr>
      </w:pPr>
    </w:p>
    <w:p w:rsidR="00C94536" w:rsidRPr="008A084A" w:rsidRDefault="00C94536" w:rsidP="00C94536">
      <w:pPr>
        <w:numPr>
          <w:ilvl w:val="0"/>
          <w:numId w:val="55"/>
        </w:numPr>
        <w:jc w:val="both"/>
        <w:rPr>
          <w:rFonts w:ascii="Cambria" w:hAnsi="Cambria"/>
          <w:sz w:val="20"/>
          <w:szCs w:val="20"/>
          <w:lang w:val="es-MX"/>
        </w:rPr>
      </w:pPr>
      <w:r w:rsidRPr="008A084A">
        <w:rPr>
          <w:rFonts w:ascii="Cambria" w:hAnsi="Cambria"/>
          <w:sz w:val="20"/>
          <w:szCs w:val="20"/>
          <w:lang w:val="es-MX"/>
        </w:rPr>
        <w:t xml:space="preserve">Así, la Comisión considera que el análisis de un caso concreto a la luz del artículo 26 de la Convención Americana debe ser efectuado en dos niveles. En un primer momento, es necesario establecer si el derecho del que se trata el caso se deriva “de las normas económicas, sociales y sobre educación, ciencia y cultura, </w:t>
      </w:r>
      <w:r w:rsidRPr="008A084A">
        <w:rPr>
          <w:rFonts w:ascii="Cambria" w:hAnsi="Cambria" w:cs="Arial"/>
          <w:snapToGrid w:val="0"/>
          <w:sz w:val="20"/>
          <w:szCs w:val="20"/>
          <w:lang w:val="es-CO"/>
        </w:rPr>
        <w:t>contenidas</w:t>
      </w:r>
      <w:r w:rsidRPr="008A084A">
        <w:rPr>
          <w:rFonts w:ascii="Cambria" w:hAnsi="Cambria"/>
          <w:sz w:val="20"/>
          <w:szCs w:val="20"/>
          <w:lang w:val="es-MX"/>
        </w:rPr>
        <w:t xml:space="preserve"> en la Carta de la Organización de Estados Americanos”, tal como remite el texto del artículo 26. Es decir, el artículo 26 de la CADH es el que atribuye a la Carta de la OEA como fuente directa de derechos, asignando carácter de derechos humanos a las disposiciones que sobre la materia pueden desprenderse de dicho tratado. Dado que el objeto de la Carta de la OEA no fue individualizar derechos sino constituir un organismo internacional, es necesario recurrir a textos auxiliares para identificar los derechos que se desprenden de las disposiciones de dicho instrumento.</w:t>
      </w:r>
    </w:p>
    <w:p w:rsidR="00C94536" w:rsidRPr="008A084A" w:rsidRDefault="00C94536" w:rsidP="00C94536">
      <w:pPr>
        <w:ind w:firstLine="720"/>
        <w:jc w:val="both"/>
        <w:rPr>
          <w:rFonts w:ascii="Cambria" w:hAnsi="Cambria"/>
          <w:sz w:val="20"/>
          <w:szCs w:val="20"/>
          <w:lang w:val="es-MX"/>
        </w:rPr>
      </w:pPr>
    </w:p>
    <w:p w:rsidR="00C94536" w:rsidRPr="008A084A" w:rsidRDefault="00C94536" w:rsidP="00C94536">
      <w:pPr>
        <w:numPr>
          <w:ilvl w:val="0"/>
          <w:numId w:val="55"/>
        </w:numPr>
        <w:jc w:val="both"/>
        <w:rPr>
          <w:rFonts w:ascii="Cambria" w:hAnsi="Cambria"/>
          <w:sz w:val="20"/>
          <w:szCs w:val="20"/>
          <w:lang w:val="es-MX"/>
        </w:rPr>
      </w:pPr>
      <w:r w:rsidRPr="008A084A">
        <w:rPr>
          <w:rFonts w:ascii="Cambria" w:hAnsi="Cambria"/>
          <w:sz w:val="20"/>
          <w:szCs w:val="20"/>
          <w:lang w:val="es-MX"/>
        </w:rPr>
        <w:t xml:space="preserve">Una vez establecido ello, corresponde determinar si el Estado en cuestión incumplió la obligación de “lograr progresivamente” la plena efectividad de tal derecho, o aquellas obligaciones generales  de respetar y de garantizar el mismo. En este segundo nivel de análisis, es preciso tomar en consideración la naturaleza y alcance de las obligaciones exigibles al Estado bajo los artículos 1.1, 2 y 26 de la Convención, así como los contenidos del derecho de que se trate, como se efectuará más adelante. </w:t>
      </w:r>
    </w:p>
    <w:p w:rsidR="00C94536" w:rsidRPr="008A084A" w:rsidRDefault="00C94536" w:rsidP="00C94536">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color w:val="auto"/>
          <w:sz w:val="20"/>
          <w:szCs w:val="20"/>
          <w:lang w:val="es-MX"/>
        </w:rPr>
      </w:pPr>
    </w:p>
    <w:p w:rsidR="00C94536" w:rsidRPr="008A084A" w:rsidRDefault="00C94536" w:rsidP="00C94536">
      <w:pPr>
        <w:numPr>
          <w:ilvl w:val="0"/>
          <w:numId w:val="55"/>
        </w:numPr>
        <w:jc w:val="both"/>
        <w:rPr>
          <w:rFonts w:ascii="Cambria" w:hAnsi="Cambria"/>
          <w:sz w:val="20"/>
          <w:szCs w:val="20"/>
          <w:lang w:val="es-MX"/>
        </w:rPr>
      </w:pPr>
      <w:r w:rsidRPr="008A084A">
        <w:rPr>
          <w:rFonts w:ascii="Cambria" w:hAnsi="Cambria"/>
          <w:sz w:val="20"/>
          <w:szCs w:val="20"/>
          <w:lang w:val="es-MX"/>
        </w:rPr>
        <w:t>Para establecer los criterios que permitan derivar derechos específicos de la Carta de la OEA, determinar su contenido y las obligaciones de los Estados en relación con ellos, es que el artículo 29 de la CADH adquiere relevancia en tanto que establece los parámetros de las reglas generales de interpretación de dicho tratado. En ese sentido, de acuerdo con dicho artículo la interpretación de las disposiciones de la CADH no podrán limitar ni suprimir derechos reconocidos por la normativa interna de los Estados o por cualquier otro tratado del que este sea parte, ni excluir los efectos de la Declaración Americana sobre Derechos y Deberes del Hombre u otros actos internacionales de la misma naturaleza. La disposición recepta así el principio “pro persona” en el sistema interamericano y ofrece una herramienta clave para la efectiva protección de todos los derechos humanos reconocidos en las Constituciones de los Estados Parte, como en los instrumentos interamericanos o universales de derechos humanos ratificados por los mismos.</w:t>
      </w:r>
    </w:p>
    <w:p w:rsidR="00C94536" w:rsidRPr="008A084A" w:rsidRDefault="00C94536" w:rsidP="00C94536">
      <w:pPr>
        <w:pStyle w:val="Listavistosa-nfasis11"/>
        <w:ind w:left="0" w:firstLine="720"/>
        <w:jc w:val="both"/>
        <w:rPr>
          <w:rFonts w:ascii="Cambria" w:hAnsi="Cambria"/>
          <w:sz w:val="20"/>
          <w:szCs w:val="20"/>
          <w:lang w:val="es-MX"/>
        </w:rPr>
      </w:pPr>
    </w:p>
    <w:p w:rsidR="00C94536" w:rsidRPr="008A084A" w:rsidRDefault="00C94536" w:rsidP="00C94536">
      <w:pPr>
        <w:numPr>
          <w:ilvl w:val="0"/>
          <w:numId w:val="55"/>
        </w:numPr>
        <w:jc w:val="both"/>
        <w:rPr>
          <w:rFonts w:ascii="Cambria" w:hAnsi="Cambria"/>
          <w:sz w:val="20"/>
          <w:szCs w:val="20"/>
          <w:lang w:val="es-MX"/>
        </w:rPr>
      </w:pPr>
      <w:r w:rsidRPr="008A084A">
        <w:rPr>
          <w:rFonts w:ascii="Cambria" w:hAnsi="Cambria"/>
          <w:sz w:val="20"/>
          <w:szCs w:val="20"/>
          <w:lang w:val="es-MX"/>
        </w:rPr>
        <w:t xml:space="preserve">A partir de la interpretación integral, que el artículo 26 requiere a la luz de las disposiciones del artículo 29, la Comisión considera pertinente referirse a las obligaciones que se desprenden del artículo 26 de la Convención Americana y que pueden ser materia de pronunciamiento por parte de los órganos del sistema interamericano en el marco de casos contenciosos.  </w:t>
      </w:r>
      <w:r w:rsidRPr="008A084A">
        <w:rPr>
          <w:rFonts w:ascii="Cambria" w:hAnsi="Cambria"/>
          <w:sz w:val="20"/>
          <w:szCs w:val="20"/>
          <w:lang w:val="es-AR"/>
        </w:rPr>
        <w:t xml:space="preserve">Al respecto, para el caso específico, la Comisión considera que en la interpretación del artículo 26 de la Convención Americana se debe tener en cuenta el </w:t>
      </w:r>
      <w:r w:rsidRPr="008A084A">
        <w:rPr>
          <w:rFonts w:ascii="Cambria" w:eastAsia="Batang" w:hAnsi="Cambria"/>
          <w:sz w:val="20"/>
          <w:szCs w:val="20"/>
          <w:lang w:val="es-UY"/>
        </w:rPr>
        <w:t>Protocolo adicional a la Convención Americana en materia de Derechos Económicos, Sociales y Culturales o “</w:t>
      </w:r>
      <w:r w:rsidRPr="008A084A">
        <w:rPr>
          <w:rFonts w:ascii="Cambria" w:hAnsi="Cambria"/>
          <w:sz w:val="20"/>
          <w:szCs w:val="20"/>
          <w:lang w:val="es-MX"/>
        </w:rPr>
        <w:t>Protocolo</w:t>
      </w:r>
      <w:r w:rsidRPr="008A084A">
        <w:rPr>
          <w:rFonts w:ascii="Cambria" w:hAnsi="Cambria"/>
          <w:sz w:val="20"/>
          <w:szCs w:val="20"/>
          <w:lang w:val="es-AR"/>
        </w:rPr>
        <w:t xml:space="preserve"> de San Salvado</w:t>
      </w:r>
      <w:bookmarkStart w:id="33" w:name="_ftnref43"/>
      <w:r w:rsidRPr="008A084A">
        <w:rPr>
          <w:rFonts w:ascii="Cambria" w:hAnsi="Cambria"/>
          <w:sz w:val="20"/>
          <w:szCs w:val="20"/>
          <w:lang w:val="es-AR"/>
        </w:rPr>
        <w:t>r</w:t>
      </w:r>
      <w:bookmarkEnd w:id="33"/>
      <w:r w:rsidRPr="008A084A">
        <w:rPr>
          <w:rFonts w:ascii="Cambria" w:hAnsi="Cambria"/>
          <w:sz w:val="20"/>
          <w:szCs w:val="20"/>
          <w:lang w:val="es-AR"/>
        </w:rPr>
        <w:t>”</w:t>
      </w:r>
      <w:r w:rsidRPr="008A084A">
        <w:rPr>
          <w:rStyle w:val="FootnoteReference"/>
          <w:rFonts w:ascii="Cambria" w:hAnsi="Cambria"/>
          <w:sz w:val="20"/>
          <w:szCs w:val="20"/>
          <w:lang w:val="es-AR"/>
        </w:rPr>
        <w:footnoteReference w:id="289"/>
      </w:r>
      <w:r w:rsidRPr="008A084A">
        <w:rPr>
          <w:rFonts w:ascii="Cambria" w:hAnsi="Cambria"/>
          <w:sz w:val="20"/>
          <w:szCs w:val="20"/>
          <w:lang w:val="es-AR"/>
        </w:rPr>
        <w:t xml:space="preserve"> pues permite determinar el alcance de la obligación estatal en materia de desarrollo progresivo del derecho en análisis. En su artículo 1, el Protocolo establece que los Estados partes </w:t>
      </w:r>
      <w:r w:rsidRPr="008A084A">
        <w:rPr>
          <w:rFonts w:ascii="Cambria" w:hAnsi="Cambria"/>
          <w:sz w:val="20"/>
          <w:szCs w:val="20"/>
          <w:lang w:val="es-AR"/>
        </w:rPr>
        <w:lastRenderedPageBreak/>
        <w:t>se comprometen a adoptar las medidas necesarias, hasta el máximo de los recursos disponibles y tomando en cuenta su grado de desarrollo, a fin de lograr progresivamente la plena efectividad de los derechos que se reconocen en el instrumento</w:t>
      </w:r>
      <w:r w:rsidRPr="008A084A">
        <w:rPr>
          <w:rStyle w:val="FootnoteReference"/>
          <w:rFonts w:ascii="Cambria" w:hAnsi="Cambria"/>
          <w:sz w:val="20"/>
          <w:szCs w:val="20"/>
          <w:lang w:val="es-AR"/>
        </w:rPr>
        <w:footnoteReference w:id="290"/>
      </w:r>
      <w:r w:rsidRPr="008A084A">
        <w:rPr>
          <w:rFonts w:ascii="Cambria" w:hAnsi="Cambria"/>
          <w:sz w:val="20"/>
          <w:szCs w:val="20"/>
          <w:lang w:val="es-AR"/>
        </w:rPr>
        <w:t>.</w:t>
      </w:r>
    </w:p>
    <w:p w:rsidR="00C94536" w:rsidRPr="008A084A" w:rsidRDefault="00C94536" w:rsidP="00C94536">
      <w:pPr>
        <w:ind w:firstLine="720"/>
        <w:jc w:val="both"/>
        <w:rPr>
          <w:rFonts w:ascii="Cambria" w:hAnsi="Cambria"/>
          <w:sz w:val="20"/>
          <w:szCs w:val="20"/>
          <w:lang w:val="es-MX"/>
        </w:rPr>
      </w:pPr>
    </w:p>
    <w:p w:rsidR="00DE5D98" w:rsidRPr="008A084A" w:rsidRDefault="00C94536" w:rsidP="00A16BA4">
      <w:pPr>
        <w:numPr>
          <w:ilvl w:val="0"/>
          <w:numId w:val="55"/>
        </w:numPr>
        <w:jc w:val="both"/>
        <w:rPr>
          <w:rFonts w:ascii="Cambria" w:hAnsi="Cambria"/>
          <w:sz w:val="20"/>
          <w:szCs w:val="20"/>
          <w:lang w:val="es-PE"/>
        </w:rPr>
      </w:pPr>
      <w:r w:rsidRPr="008A084A">
        <w:rPr>
          <w:rFonts w:ascii="Cambria" w:hAnsi="Cambria"/>
          <w:sz w:val="20"/>
          <w:szCs w:val="20"/>
          <w:lang w:val="es-AR"/>
        </w:rPr>
        <w:t>Por su parte, el Pacto Internacional de Derechos Económicos, Sociales y Culturales</w:t>
      </w:r>
      <w:r w:rsidRPr="008A084A">
        <w:rPr>
          <w:rStyle w:val="FootnoteReference"/>
          <w:rFonts w:ascii="Cambria" w:hAnsi="Cambria"/>
          <w:sz w:val="20"/>
          <w:szCs w:val="20"/>
          <w:lang w:val="es-AR"/>
        </w:rPr>
        <w:footnoteReference w:id="291"/>
      </w:r>
      <w:r w:rsidRPr="008A084A">
        <w:rPr>
          <w:rFonts w:ascii="Cambria" w:hAnsi="Cambria"/>
          <w:sz w:val="20"/>
          <w:szCs w:val="20"/>
          <w:lang w:val="es-AR"/>
        </w:rPr>
        <w:t xml:space="preserve"> contempla en su artículo 2.1</w:t>
      </w:r>
      <w:r w:rsidRPr="008A084A">
        <w:rPr>
          <w:rStyle w:val="FootnoteReference"/>
          <w:rFonts w:ascii="Cambria" w:hAnsi="Cambria"/>
          <w:sz w:val="20"/>
          <w:szCs w:val="20"/>
          <w:lang w:val="es-AR"/>
        </w:rPr>
        <w:footnoteReference w:id="292"/>
      </w:r>
      <w:r w:rsidRPr="008A084A">
        <w:rPr>
          <w:rFonts w:ascii="Cambria" w:hAnsi="Cambria"/>
          <w:sz w:val="20"/>
          <w:szCs w:val="20"/>
          <w:lang w:val="es-AR"/>
        </w:rPr>
        <w:t xml:space="preserve"> disposiciones similares a las del artículo 26 de la Convención Americana y a las del artículo 1 del Protocolo de San Salvador.</w:t>
      </w:r>
      <w:r w:rsidRPr="008A084A">
        <w:rPr>
          <w:rFonts w:ascii="Cambria" w:hAnsi="Cambria"/>
          <w:sz w:val="20"/>
          <w:szCs w:val="20"/>
          <w:lang w:val="es-ES"/>
        </w:rPr>
        <w:t> </w:t>
      </w:r>
      <w:r w:rsidRPr="008A084A">
        <w:rPr>
          <w:rFonts w:ascii="Cambria" w:hAnsi="Cambria"/>
          <w:sz w:val="20"/>
          <w:szCs w:val="20"/>
          <w:lang w:val="es-AR"/>
        </w:rPr>
        <w:t>La Comisión ya ha acudido a los pronunciamientos del Comité de Derechos Económicos, Sociales y Culturales, en cuanto a la noción de progresividad y al alcance de las obligaciones que se desprenden de la misma</w:t>
      </w:r>
      <w:r w:rsidRPr="008A084A">
        <w:rPr>
          <w:rStyle w:val="FootnoteReference"/>
          <w:rFonts w:ascii="Cambria" w:hAnsi="Cambria"/>
          <w:sz w:val="20"/>
          <w:szCs w:val="20"/>
          <w:lang w:val="es-AR"/>
        </w:rPr>
        <w:footnoteReference w:id="293"/>
      </w:r>
      <w:r w:rsidRPr="008A084A">
        <w:rPr>
          <w:rFonts w:ascii="Cambria" w:hAnsi="Cambria"/>
          <w:sz w:val="20"/>
          <w:szCs w:val="20"/>
          <w:lang w:val="es-AR"/>
        </w:rPr>
        <w:t xml:space="preserve">. </w:t>
      </w:r>
      <w:r w:rsidR="00A16BA4" w:rsidRPr="008A084A">
        <w:rPr>
          <w:rFonts w:ascii="Cambria" w:hAnsi="Cambria"/>
          <w:sz w:val="20"/>
          <w:szCs w:val="20"/>
          <w:lang w:val="es-AR"/>
        </w:rPr>
        <w:t>A</w:t>
      </w:r>
      <w:r w:rsidR="00DE5D98" w:rsidRPr="008A084A">
        <w:rPr>
          <w:rFonts w:ascii="Cambria" w:hAnsi="Cambria"/>
          <w:sz w:val="20"/>
          <w:szCs w:val="20"/>
          <w:lang w:val="es-AR"/>
        </w:rPr>
        <w:t>sí subraya que dicho concepto no priva de todo contenido significativo a las obligaciones del Estado; por el contrario, se le debe interpretar a la luz del objetivo general del tratado con miras a la plena efectividad de los derechos involucrados</w:t>
      </w:r>
      <w:r w:rsidR="00DE5D98" w:rsidRPr="008A084A">
        <w:rPr>
          <w:rStyle w:val="FootnoteReference"/>
          <w:rFonts w:ascii="Cambria" w:hAnsi="Cambria"/>
          <w:sz w:val="20"/>
          <w:szCs w:val="20"/>
          <w:lang w:val="es-ES_tradnl"/>
        </w:rPr>
        <w:footnoteReference w:id="294"/>
      </w:r>
      <w:r w:rsidR="00DE5D98" w:rsidRPr="008A084A">
        <w:rPr>
          <w:rFonts w:ascii="Cambria" w:hAnsi="Cambria"/>
          <w:sz w:val="20"/>
          <w:szCs w:val="20"/>
          <w:lang w:val="es-ES_tradnl"/>
        </w:rPr>
        <w:t>.</w:t>
      </w:r>
    </w:p>
    <w:p w:rsidR="00C94536" w:rsidRPr="008A084A" w:rsidRDefault="00C94536" w:rsidP="00C209D9">
      <w:pPr>
        <w:jc w:val="both"/>
        <w:rPr>
          <w:rFonts w:ascii="Cambria" w:hAnsi="Cambria"/>
          <w:sz w:val="20"/>
          <w:szCs w:val="20"/>
          <w:lang w:val="es-PE"/>
        </w:rPr>
      </w:pPr>
    </w:p>
    <w:p w:rsidR="00C94536" w:rsidRPr="008A084A" w:rsidRDefault="00C94536" w:rsidP="00C94536">
      <w:pPr>
        <w:numPr>
          <w:ilvl w:val="0"/>
          <w:numId w:val="55"/>
        </w:numPr>
        <w:jc w:val="both"/>
        <w:rPr>
          <w:rFonts w:ascii="Cambria" w:hAnsi="Cambria" w:cs="Arial"/>
          <w:snapToGrid w:val="0"/>
          <w:sz w:val="20"/>
          <w:szCs w:val="20"/>
          <w:lang w:val="es-CO"/>
        </w:rPr>
      </w:pPr>
      <w:r w:rsidRPr="008A084A">
        <w:rPr>
          <w:rFonts w:ascii="Cambria" w:hAnsi="Cambria" w:cs="Arial"/>
          <w:snapToGrid w:val="0"/>
          <w:sz w:val="20"/>
          <w:szCs w:val="20"/>
          <w:lang w:val="es-CO"/>
        </w:rPr>
        <w:t xml:space="preserve">A la luz de lo anteriormente descrito puede </w:t>
      </w:r>
      <w:r w:rsidRPr="008A084A">
        <w:rPr>
          <w:rFonts w:ascii="Cambria" w:hAnsi="Cambria"/>
          <w:sz w:val="20"/>
          <w:szCs w:val="20"/>
          <w:lang w:val="es-AR"/>
        </w:rPr>
        <w:t>afirmarse</w:t>
      </w:r>
      <w:r w:rsidRPr="008A084A">
        <w:rPr>
          <w:rFonts w:ascii="Cambria" w:hAnsi="Cambria" w:cs="Arial"/>
          <w:snapToGrid w:val="0"/>
          <w:sz w:val="20"/>
          <w:szCs w:val="20"/>
          <w:lang w:val="es-CO"/>
        </w:rPr>
        <w:t xml:space="preserve"> que la Comisión entiende que el artículo 26 de la Convención Americana impone diversas obligaciones a los Estados que no se limitan a una prohibición de </w:t>
      </w:r>
      <w:r w:rsidRPr="008A084A">
        <w:rPr>
          <w:rFonts w:ascii="Cambria" w:hAnsi="Cambria"/>
          <w:sz w:val="20"/>
          <w:szCs w:val="20"/>
          <w:lang w:val="es-AR"/>
        </w:rPr>
        <w:t>regresividad</w:t>
      </w:r>
      <w:r w:rsidRPr="008A084A">
        <w:rPr>
          <w:rFonts w:ascii="Cambria" w:hAnsi="Cambria" w:cs="Arial"/>
          <w:snapToGrid w:val="0"/>
          <w:sz w:val="20"/>
          <w:szCs w:val="20"/>
          <w:lang w:val="es-CO"/>
        </w:rPr>
        <w:t xml:space="preserve">, el cual es un correlato de la obligación de progresividad, pero no puede entenderse como la única obligación justiciable en el sistema interamericano bajo esta norma. Así, la Comisión afirma que teniendo en cuenta el marco interpretativo del artículo 29 de la Convención Americana, el artículo 26 visto a la luz de los artículos 1.1 y 2 del mismo instrumento, se desprenden, al menos las siguientes obligaciones inmediatas y exigibles: i) obligaciones generales de respeto y garantía, ii) aplicación del principio de no discriminación a los derechos económicos, sociales y culturales, iii) obligaciones de dar pasos o adoptar medidas para </w:t>
      </w:r>
      <w:r w:rsidRPr="008A084A">
        <w:rPr>
          <w:rFonts w:ascii="Cambria" w:hAnsi="Cambria" w:cs="Helvetica"/>
          <w:sz w:val="20"/>
          <w:szCs w:val="20"/>
          <w:lang w:val="es-CO" w:bidi="en-US"/>
        </w:rPr>
        <w:t>lograr</w:t>
      </w:r>
      <w:r w:rsidRPr="008A084A">
        <w:rPr>
          <w:rFonts w:ascii="Cambria" w:hAnsi="Cambria" w:cs="Arial"/>
          <w:snapToGrid w:val="0"/>
          <w:sz w:val="20"/>
          <w:szCs w:val="20"/>
          <w:lang w:val="es-CO"/>
        </w:rPr>
        <w:t xml:space="preserve"> el goce de los derechos incorporados en dicho artículo y iv) ofrecer recursos idóneos y efectivos para su protección. Las metodologías o fuentes de análisis que resulten pertinentes para cada una de estas obligaciones, deberán ser establecidas según las circunstancias propias de cada caso.</w:t>
      </w:r>
    </w:p>
    <w:p w:rsidR="00C94536" w:rsidRPr="008A084A" w:rsidRDefault="00C94536" w:rsidP="00C9453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Arial"/>
          <w:snapToGrid w:val="0"/>
          <w:sz w:val="20"/>
          <w:szCs w:val="20"/>
          <w:lang w:val="es-CO"/>
        </w:rPr>
      </w:pPr>
    </w:p>
    <w:p w:rsidR="00C94536" w:rsidRPr="008A084A" w:rsidRDefault="00C94536" w:rsidP="00C94536">
      <w:pPr>
        <w:numPr>
          <w:ilvl w:val="0"/>
          <w:numId w:val="55"/>
        </w:numPr>
        <w:jc w:val="both"/>
        <w:rPr>
          <w:rFonts w:ascii="Cambria" w:hAnsi="Cambria" w:cs="Arial"/>
          <w:snapToGrid w:val="0"/>
          <w:sz w:val="20"/>
          <w:szCs w:val="20"/>
          <w:lang w:val="es-CO"/>
        </w:rPr>
      </w:pPr>
      <w:r w:rsidRPr="008A084A">
        <w:rPr>
          <w:rFonts w:ascii="Cambria" w:hAnsi="Cambria" w:cs="Arial"/>
          <w:snapToGrid w:val="0"/>
          <w:sz w:val="20"/>
          <w:szCs w:val="20"/>
          <w:lang w:val="es-CO"/>
        </w:rPr>
        <w:t>En relación con los componentes exigibles e inmediatos de la obligación de dar pasos o adoptar medidas, el Comité DESC ha indicado, por ejemplo, que la</w:t>
      </w:r>
      <w:r w:rsidRPr="008A084A">
        <w:rPr>
          <w:rFonts w:ascii="Cambria" w:hAnsi="Cambria"/>
          <w:sz w:val="20"/>
          <w:szCs w:val="20"/>
          <w:lang w:val="es-AR"/>
        </w:rPr>
        <w:t xml:space="preserve"> adopción de medidas por sí misma no se encuentra limitada o condicionada a otras consideraciones; por ello, si bien el logro de la realización efectiva de los derechos podrá ser paulatino, la adopción de medidas o providencias para tales efectos deben ser </w:t>
      </w:r>
      <w:r w:rsidRPr="008A084A">
        <w:rPr>
          <w:rFonts w:ascii="Cambria" w:hAnsi="Cambria" w:cs="Arial"/>
          <w:sz w:val="20"/>
          <w:szCs w:val="20"/>
          <w:shd w:val="clear" w:color="auto" w:fill="FFFFFF"/>
          <w:lang w:val="es-PE"/>
        </w:rPr>
        <w:t>deliberadas, concretas y orientadas lo más claramente posible a su cumplimiento. El Estado además tiene obligaciones básicas que deben satisfacer niveles esenciales de tales derechos, las cuales no están sujetas al desarrollo progresivo sino que son de carácter inmediato</w:t>
      </w:r>
      <w:r w:rsidRPr="008A084A">
        <w:rPr>
          <w:rStyle w:val="FootnoteReference"/>
          <w:rFonts w:ascii="Cambria" w:hAnsi="Cambria" w:cs="Arial"/>
          <w:snapToGrid w:val="0"/>
          <w:sz w:val="20"/>
          <w:szCs w:val="20"/>
          <w:lang w:val="es-CO"/>
        </w:rPr>
        <w:footnoteReference w:id="295"/>
      </w:r>
      <w:r w:rsidRPr="008A084A">
        <w:rPr>
          <w:rFonts w:ascii="Cambria" w:hAnsi="Cambria" w:cs="Arial"/>
          <w:sz w:val="20"/>
          <w:szCs w:val="20"/>
          <w:shd w:val="clear" w:color="auto" w:fill="FFFFFF"/>
          <w:lang w:val="es-PE"/>
        </w:rPr>
        <w:t>.</w:t>
      </w:r>
    </w:p>
    <w:p w:rsidR="00C94536" w:rsidRPr="008A084A" w:rsidRDefault="00C94536" w:rsidP="00C94536">
      <w:pPr>
        <w:jc w:val="both"/>
        <w:rPr>
          <w:rFonts w:ascii="Cambria" w:hAnsi="Cambria" w:cs="Arial"/>
          <w:snapToGrid w:val="0"/>
          <w:sz w:val="20"/>
          <w:szCs w:val="20"/>
          <w:lang w:val="es-CO"/>
        </w:rPr>
      </w:pPr>
    </w:p>
    <w:p w:rsidR="00C94536" w:rsidRPr="008A084A" w:rsidRDefault="00C94536" w:rsidP="00C94536">
      <w:pPr>
        <w:numPr>
          <w:ilvl w:val="0"/>
          <w:numId w:val="55"/>
        </w:numPr>
        <w:jc w:val="both"/>
        <w:rPr>
          <w:rFonts w:ascii="Cambria" w:hAnsi="Cambria"/>
          <w:sz w:val="20"/>
          <w:szCs w:val="20"/>
          <w:lang w:val="es-ES"/>
        </w:rPr>
      </w:pPr>
      <w:r w:rsidRPr="008A084A">
        <w:rPr>
          <w:rFonts w:ascii="Cambria" w:hAnsi="Cambria"/>
          <w:sz w:val="20"/>
          <w:szCs w:val="20"/>
          <w:lang w:val="es-CO"/>
        </w:rPr>
        <w:t xml:space="preserve">Puntualmente en cuanto al derecho a la salud, respecto del primer nivel de análisis, </w:t>
      </w:r>
      <w:r w:rsidRPr="008A084A">
        <w:rPr>
          <w:rFonts w:ascii="Cambria" w:hAnsi="Cambria"/>
          <w:sz w:val="20"/>
          <w:szCs w:val="20"/>
          <w:lang w:val="es-ES"/>
        </w:rPr>
        <w:t xml:space="preserve">el artículo 45 de la Carta de la OEA lo consagra. El artículo 34 i) del mismo instrumento también subraya el rol </w:t>
      </w:r>
      <w:r w:rsidRPr="008A084A">
        <w:rPr>
          <w:rFonts w:ascii="Cambria" w:hAnsi="Cambria" w:cs="Arial"/>
          <w:snapToGrid w:val="0"/>
          <w:sz w:val="20"/>
          <w:szCs w:val="20"/>
          <w:lang w:val="es-CO"/>
        </w:rPr>
        <w:t>del</w:t>
      </w:r>
      <w:r w:rsidRPr="008A084A">
        <w:rPr>
          <w:rFonts w:ascii="Cambria" w:hAnsi="Cambria"/>
          <w:sz w:val="20"/>
          <w:szCs w:val="20"/>
          <w:lang w:val="es-ES"/>
        </w:rPr>
        <w:t xml:space="preserve"> Estado en la “defensa del potencial humano mediante la extensión y aplicación de los modernos conocimientos de la ciencia médica”, subrayando con ello la importancia de la garantía de la salud para el desarrollo integral de la persona.  Asimismo, el artículo XI de la Declaración Americana establece que “toda persona tiene derecho a que su salud sea preservada por medidas sanitarias y sociales, relativas a la alimentación, el vestido, la vivienda y la asistencia médica, correspondientes al nivel que permitan los recursos públicos y los de la comunidad”. Por su parte, el artículo 10 del Protocolo de San Salvador, señala </w:t>
      </w:r>
      <w:r w:rsidRPr="008A084A">
        <w:rPr>
          <w:rFonts w:ascii="Cambria" w:hAnsi="Cambria"/>
          <w:sz w:val="20"/>
          <w:szCs w:val="20"/>
          <w:lang w:val="es-ES"/>
        </w:rPr>
        <w:lastRenderedPageBreak/>
        <w:t xml:space="preserve">que </w:t>
      </w:r>
      <w:r w:rsidRPr="008A084A">
        <w:rPr>
          <w:rFonts w:ascii="Cambria" w:hAnsi="Cambria"/>
          <w:sz w:val="20"/>
          <w:szCs w:val="20"/>
          <w:lang w:val="es-PE"/>
        </w:rPr>
        <w:t>toda persona tiene derecho a la salud, entendida como el disfrute del más alto nivel de bienestar físico, mental y social, e indica que la salud es un bien público.</w:t>
      </w:r>
    </w:p>
    <w:p w:rsidR="00C94536" w:rsidRPr="008A084A" w:rsidRDefault="00C94536" w:rsidP="00C94536">
      <w:pPr>
        <w:ind w:firstLine="720"/>
        <w:jc w:val="both"/>
        <w:rPr>
          <w:rFonts w:ascii="Cambria" w:eastAsia="Batang" w:hAnsi="Cambria"/>
          <w:sz w:val="20"/>
          <w:szCs w:val="20"/>
          <w:lang w:val="es-UY"/>
        </w:rPr>
      </w:pPr>
    </w:p>
    <w:p w:rsidR="00C94536" w:rsidRPr="008A084A" w:rsidRDefault="00C94536" w:rsidP="00C94536">
      <w:pPr>
        <w:numPr>
          <w:ilvl w:val="0"/>
          <w:numId w:val="55"/>
        </w:numPr>
        <w:jc w:val="both"/>
        <w:rPr>
          <w:rFonts w:ascii="Cambria" w:hAnsi="Cambria"/>
          <w:b/>
          <w:sz w:val="20"/>
          <w:szCs w:val="20"/>
          <w:lang w:val="es-ES"/>
        </w:rPr>
      </w:pPr>
      <w:r w:rsidRPr="008A084A">
        <w:rPr>
          <w:rFonts w:ascii="Cambria" w:hAnsi="Cambria"/>
          <w:sz w:val="20"/>
          <w:szCs w:val="20"/>
          <w:lang w:val="es-AR"/>
        </w:rPr>
        <w:t>La Corte Interamericana ha indicado que “</w:t>
      </w:r>
      <w:r w:rsidRPr="008A084A">
        <w:rPr>
          <w:rFonts w:ascii="Cambria" w:hAnsi="Cambria"/>
          <w:sz w:val="20"/>
          <w:szCs w:val="20"/>
          <w:lang w:val="es-ES"/>
        </w:rPr>
        <w:t xml:space="preserve">la Declaración [Americana] contiene y define aquellos derechos humanos esenciales a los que la Carta se refiere, de manera que no se puede interpretar y aplicar la Carta de la </w:t>
      </w:r>
      <w:r w:rsidRPr="008A084A">
        <w:rPr>
          <w:rFonts w:ascii="Cambria" w:hAnsi="Cambria"/>
          <w:sz w:val="20"/>
          <w:szCs w:val="20"/>
          <w:lang w:val="es-PE"/>
        </w:rPr>
        <w:t>Organización</w:t>
      </w:r>
      <w:r w:rsidRPr="008A084A">
        <w:rPr>
          <w:rFonts w:ascii="Cambria" w:hAnsi="Cambria"/>
          <w:sz w:val="20"/>
          <w:szCs w:val="20"/>
          <w:lang w:val="es-ES"/>
        </w:rPr>
        <w:t xml:space="preserve"> en materia de derechos humanos, sin integrar las normas pertinentes de ella con las </w:t>
      </w:r>
      <w:r w:rsidRPr="008A084A">
        <w:rPr>
          <w:rFonts w:ascii="Cambria" w:hAnsi="Cambria"/>
          <w:sz w:val="20"/>
          <w:szCs w:val="20"/>
          <w:lang w:val="es-CO"/>
        </w:rPr>
        <w:t>correspondientes</w:t>
      </w:r>
      <w:r w:rsidRPr="008A084A">
        <w:rPr>
          <w:rFonts w:ascii="Cambria" w:hAnsi="Cambria"/>
          <w:sz w:val="20"/>
          <w:szCs w:val="20"/>
          <w:lang w:val="es-ES"/>
        </w:rPr>
        <w:t xml:space="preserve"> disposiciones de la Declaración, como resulta de la práctica seguida por los órganos de la OEA”. Así, la Declaración Americana representa uno de los instrumentos relevantes para la identificación de los derechos económicos, sociales y culturales a los que alude el artículo 26 de la Convención CADH. Como ya se ha indicado, recurrir a otros instrumentos internacionales puede ser necesario para señalar la derivación de un derecho a partir de una medida u objetivo de política pública incluidas en una norma de carácter económico, social, cultural, educativo o científico de la Carta de la OEA</w:t>
      </w:r>
      <w:r w:rsidRPr="008A084A">
        <w:rPr>
          <w:rStyle w:val="FootnoteReference"/>
          <w:rFonts w:ascii="Cambria" w:hAnsi="Cambria"/>
          <w:sz w:val="20"/>
          <w:szCs w:val="20"/>
          <w:lang w:val="es-ES"/>
        </w:rPr>
        <w:footnoteReference w:id="296"/>
      </w:r>
      <w:r w:rsidRPr="008A084A">
        <w:rPr>
          <w:rFonts w:ascii="Cambria" w:hAnsi="Cambria"/>
          <w:sz w:val="20"/>
          <w:szCs w:val="20"/>
          <w:lang w:val="es-ES"/>
        </w:rPr>
        <w:t xml:space="preserve">. </w:t>
      </w:r>
    </w:p>
    <w:p w:rsidR="00C94536" w:rsidRPr="008A084A" w:rsidRDefault="00C94536" w:rsidP="00C94536">
      <w:pPr>
        <w:jc w:val="both"/>
        <w:rPr>
          <w:rFonts w:ascii="Cambria" w:eastAsia="Batang" w:hAnsi="Cambria"/>
          <w:sz w:val="20"/>
          <w:szCs w:val="20"/>
          <w:lang w:val="es-ES"/>
        </w:rPr>
      </w:pPr>
    </w:p>
    <w:p w:rsidR="006E5CBF" w:rsidRPr="008A084A" w:rsidRDefault="00C94536" w:rsidP="00A16BA4">
      <w:pPr>
        <w:numPr>
          <w:ilvl w:val="0"/>
          <w:numId w:val="55"/>
        </w:numPr>
        <w:jc w:val="both"/>
        <w:rPr>
          <w:rFonts w:ascii="Cambria" w:eastAsia="Batang" w:hAnsi="Cambria"/>
          <w:sz w:val="20"/>
          <w:szCs w:val="20"/>
          <w:lang w:val="es-UY"/>
        </w:rPr>
      </w:pPr>
      <w:r w:rsidRPr="008A084A">
        <w:rPr>
          <w:rFonts w:ascii="Cambria" w:eastAsia="Batang" w:hAnsi="Cambria"/>
          <w:sz w:val="20"/>
          <w:szCs w:val="20"/>
          <w:lang w:val="es-UY"/>
        </w:rPr>
        <w:t xml:space="preserve">De lo anterior, la Comisión considera claro que el derecho a la salud constituye una de las normas </w:t>
      </w:r>
      <w:r w:rsidRPr="008A084A">
        <w:rPr>
          <w:rFonts w:ascii="Cambria" w:hAnsi="Cambria"/>
          <w:sz w:val="20"/>
          <w:szCs w:val="20"/>
          <w:lang w:val="es-AR"/>
        </w:rPr>
        <w:t>económicas</w:t>
      </w:r>
      <w:r w:rsidRPr="008A084A">
        <w:rPr>
          <w:rFonts w:ascii="Cambria" w:eastAsia="Batang" w:hAnsi="Cambria"/>
          <w:sz w:val="20"/>
          <w:szCs w:val="20"/>
          <w:lang w:val="es-UY"/>
        </w:rPr>
        <w:t xml:space="preserve"> y sociales mencionadas en el artículo 26 de la Convención y, en ese sentido, los Estados partes se encuentran en la obligación de procurar el desarrollo progresivo del mismo, así como de respetar, garantizar y adoptar las medidas necesarias para hacer efectivo tal derecho.</w:t>
      </w:r>
    </w:p>
    <w:p w:rsidR="006E5CBF" w:rsidRPr="008A084A" w:rsidRDefault="006E5CBF" w:rsidP="00A16BA4">
      <w:pPr>
        <w:ind w:left="720"/>
        <w:jc w:val="both"/>
        <w:rPr>
          <w:rFonts w:ascii="Cambria" w:eastAsia="Batang" w:hAnsi="Cambria"/>
          <w:sz w:val="20"/>
          <w:szCs w:val="20"/>
          <w:lang w:val="es-UY"/>
        </w:rPr>
      </w:pPr>
    </w:p>
    <w:p w:rsidR="00E96766" w:rsidRPr="008A084A" w:rsidRDefault="00C94536" w:rsidP="00A16BA4">
      <w:pPr>
        <w:numPr>
          <w:ilvl w:val="0"/>
          <w:numId w:val="55"/>
        </w:numPr>
        <w:jc w:val="both"/>
        <w:rPr>
          <w:rFonts w:ascii="Cambria" w:hAnsi="Cambria"/>
          <w:sz w:val="20"/>
          <w:szCs w:val="20"/>
          <w:lang w:val="es-ES"/>
        </w:rPr>
      </w:pPr>
      <w:r w:rsidRPr="008A084A">
        <w:rPr>
          <w:rFonts w:ascii="Cambria" w:eastAsia="Batang" w:hAnsi="Cambria"/>
          <w:sz w:val="20"/>
          <w:szCs w:val="20"/>
          <w:lang w:val="es-UY"/>
        </w:rPr>
        <w:t xml:space="preserve">Sobre los contenidos del derecho a la salud, </w:t>
      </w:r>
      <w:r w:rsidRPr="008A084A">
        <w:rPr>
          <w:rFonts w:ascii="Cambria" w:hAnsi="Cambria"/>
          <w:sz w:val="20"/>
          <w:szCs w:val="20"/>
          <w:lang w:val="es-ES"/>
        </w:rPr>
        <w:t xml:space="preserve">el Comité de Derechos Económicos, Sociales y Culturales ha señalado que </w:t>
      </w:r>
      <w:r w:rsidRPr="008A084A">
        <w:rPr>
          <w:rFonts w:ascii="Cambria" w:hAnsi="Cambria"/>
          <w:sz w:val="20"/>
          <w:szCs w:val="20"/>
          <w:bdr w:val="none" w:sz="0" w:space="0" w:color="auto"/>
          <w:lang w:val="es-ES"/>
        </w:rPr>
        <w:t>todos</w:t>
      </w:r>
      <w:r w:rsidRPr="008A084A">
        <w:rPr>
          <w:rFonts w:ascii="Cambria" w:hAnsi="Cambria"/>
          <w:sz w:val="20"/>
          <w:szCs w:val="20"/>
          <w:lang w:val="es-ES"/>
        </w:rPr>
        <w:t xml:space="preserve"> los servicios, bienes e instalaciones de salud deben cumplir con requisitos de disponibilidad, accesibilidad, aceptabilidad y calidad</w:t>
      </w:r>
      <w:r w:rsidR="005D64E4" w:rsidRPr="008A084A">
        <w:rPr>
          <w:rStyle w:val="FootnoteReference"/>
          <w:rFonts w:ascii="Cambria" w:hAnsi="Cambria"/>
          <w:sz w:val="20"/>
          <w:szCs w:val="20"/>
          <w:lang w:val="es-ES"/>
        </w:rPr>
        <w:footnoteReference w:id="297"/>
      </w:r>
      <w:r w:rsidR="005D64E4" w:rsidRPr="008A084A">
        <w:rPr>
          <w:rFonts w:ascii="Cambria" w:hAnsi="Cambria"/>
          <w:sz w:val="20"/>
          <w:szCs w:val="20"/>
          <w:lang w:val="es-ES"/>
        </w:rPr>
        <w:t xml:space="preserve">. </w:t>
      </w:r>
      <w:r w:rsidR="00E96766" w:rsidRPr="008A084A">
        <w:rPr>
          <w:rFonts w:ascii="Cambria" w:hAnsi="Cambria"/>
          <w:sz w:val="20"/>
          <w:szCs w:val="20"/>
          <w:lang w:val="es-ES"/>
        </w:rPr>
        <w:t>Tanto la Comisión como la Corte han tomado en cuenta estos conceptos y los han incorporado al análisis de diversos casos</w:t>
      </w:r>
      <w:r w:rsidR="00E96766" w:rsidRPr="008A084A">
        <w:rPr>
          <w:rStyle w:val="FootnoteReference"/>
          <w:rFonts w:ascii="Cambria" w:hAnsi="Cambria"/>
          <w:sz w:val="20"/>
          <w:szCs w:val="20"/>
          <w:lang w:val="es-ES"/>
        </w:rPr>
        <w:footnoteReference w:id="298"/>
      </w:r>
      <w:r w:rsidR="00E96766" w:rsidRPr="008A084A">
        <w:rPr>
          <w:rFonts w:ascii="Cambria" w:hAnsi="Cambria"/>
          <w:sz w:val="20"/>
          <w:szCs w:val="20"/>
          <w:lang w:val="es-ES"/>
        </w:rPr>
        <w:t>. En ese marco, y teniendo en cuenta los hechos antes descritos, para la CIDH los Estados deben asegurar la disponibilidad de establecimientos y servicios adecuados de salud mental, los cuales deben encontrarse integrados a los servicios generales de salud, limitando el enfoque de atención psiquiátrica segregada, centralizada y de larga duración</w:t>
      </w:r>
      <w:r w:rsidR="00E96766" w:rsidRPr="008A084A">
        <w:rPr>
          <w:rStyle w:val="FootnoteReference"/>
          <w:rFonts w:ascii="Cambria" w:hAnsi="Cambria"/>
          <w:sz w:val="20"/>
          <w:szCs w:val="20"/>
          <w:lang w:val="es-ES"/>
        </w:rPr>
        <w:footnoteReference w:id="299"/>
      </w:r>
      <w:r w:rsidR="00E96766" w:rsidRPr="008A084A">
        <w:rPr>
          <w:rFonts w:ascii="Cambria" w:hAnsi="Cambria"/>
          <w:sz w:val="20"/>
          <w:szCs w:val="20"/>
          <w:lang w:val="es-ES"/>
        </w:rPr>
        <w:t>.</w:t>
      </w:r>
    </w:p>
    <w:p w:rsidR="00E96766" w:rsidRPr="008A084A" w:rsidRDefault="00E96766" w:rsidP="00A16BA4">
      <w:pPr>
        <w:ind w:left="720"/>
        <w:jc w:val="both"/>
        <w:rPr>
          <w:rFonts w:ascii="Cambria" w:hAnsi="Cambria"/>
          <w:sz w:val="20"/>
          <w:szCs w:val="20"/>
          <w:lang w:val="es-ES"/>
        </w:rPr>
      </w:pPr>
    </w:p>
    <w:p w:rsidR="00C94536" w:rsidRPr="008A084A" w:rsidRDefault="00E96766" w:rsidP="00A16BA4">
      <w:pPr>
        <w:numPr>
          <w:ilvl w:val="0"/>
          <w:numId w:val="55"/>
        </w:numPr>
        <w:jc w:val="both"/>
        <w:rPr>
          <w:rFonts w:ascii="Cambria" w:hAnsi="Cambria"/>
          <w:sz w:val="20"/>
          <w:szCs w:val="20"/>
          <w:lang w:val="es-ES"/>
        </w:rPr>
      </w:pPr>
      <w:r w:rsidRPr="008A084A">
        <w:rPr>
          <w:rFonts w:ascii="Cambria" w:hAnsi="Cambria"/>
          <w:sz w:val="20"/>
          <w:szCs w:val="20"/>
          <w:lang w:val="es-ES"/>
        </w:rPr>
        <w:t xml:space="preserve">Al respecto, el Relator de Naciones Unidas </w:t>
      </w:r>
      <w:r w:rsidRPr="008A084A">
        <w:rPr>
          <w:rFonts w:ascii="Cambria" w:eastAsia="Times New Roman" w:hAnsi="Cambria" w:cs="Cambria"/>
          <w:sz w:val="20"/>
          <w:szCs w:val="20"/>
          <w:u w:color="000000"/>
          <w:lang w:val="es-ES" w:eastAsia="es-ES"/>
        </w:rPr>
        <w:t xml:space="preserve">sobre el derecho de toda persona al disfrute del más alto nivel posible de salud física y mental, </w:t>
      </w:r>
      <w:r w:rsidRPr="008A084A">
        <w:rPr>
          <w:rFonts w:ascii="Cambria" w:hAnsi="Cambria"/>
          <w:sz w:val="20"/>
          <w:szCs w:val="20"/>
          <w:lang w:val="es-ES"/>
        </w:rPr>
        <w:t>Dainius Pūras, recientemente ha indicado respecto de los servicios de salud mental que: “</w:t>
      </w:r>
      <w:r w:rsidRPr="008A084A">
        <w:rPr>
          <w:rFonts w:ascii="Cambria" w:hAnsi="Cambria"/>
          <w:sz w:val="20"/>
          <w:szCs w:val="20"/>
          <w:lang w:val="es-PE"/>
        </w:rPr>
        <w:t>La dependencia excesiva de las intervenciones farmacológicas, los enfoques coercitivos y los tratamientos en régimen de internamiento es incompatible con el principio de no hacer daño, así como con los derechos humanos. Se debería prestar asistencia sistemáticamente para la creación de capacidad en materia de derechos humanos entre los profesionales de la salud mental”</w:t>
      </w:r>
      <w:r w:rsidRPr="008A084A">
        <w:rPr>
          <w:rStyle w:val="FootnoteReference"/>
          <w:rFonts w:ascii="Cambria" w:hAnsi="Cambria"/>
          <w:sz w:val="20"/>
          <w:szCs w:val="20"/>
          <w:lang w:val="es-ES"/>
        </w:rPr>
        <w:footnoteReference w:id="300"/>
      </w:r>
      <w:r w:rsidRPr="008A084A">
        <w:rPr>
          <w:rFonts w:ascii="Cambria" w:hAnsi="Cambria"/>
          <w:sz w:val="20"/>
          <w:szCs w:val="20"/>
          <w:lang w:val="es-PE"/>
        </w:rPr>
        <w:t>.</w:t>
      </w:r>
      <w:r w:rsidRPr="008A084A">
        <w:rPr>
          <w:rFonts w:ascii="Cambria" w:hAnsi="Cambria"/>
          <w:sz w:val="20"/>
          <w:szCs w:val="20"/>
          <w:lang w:val="es-ES"/>
        </w:rPr>
        <w:t xml:space="preserve"> En ese sentido, para la CIDH los Estados a través de sus sistemas de salud deben empoderar a</w:t>
      </w:r>
      <w:r w:rsidRPr="008A084A">
        <w:rPr>
          <w:rFonts w:ascii="Cambria" w:hAnsi="Cambria"/>
          <w:sz w:val="20"/>
          <w:szCs w:val="20"/>
          <w:lang w:val="es-PE"/>
        </w:rPr>
        <w:t xml:space="preserve"> las personas con necesidades particulares de salud mental, en el que se priorice la defensa de sus propios intereses, se busque un mayor control e independencia sobre su salud, se promueva su inclusión en la comunidad, y ofrezca tratamientos basados en sus derechos y apoyo psicosocial que los protejan de prácticas médicas nocivas que contribuyen a su exclusión o maltrato.</w:t>
      </w:r>
    </w:p>
    <w:p w:rsidR="00243876" w:rsidRPr="008A084A" w:rsidRDefault="00243876" w:rsidP="00A16BA4">
      <w:pPr>
        <w:ind w:right="720"/>
        <w:jc w:val="both"/>
        <w:rPr>
          <w:rFonts w:ascii="Cambria" w:hAnsi="Cambria"/>
          <w:sz w:val="20"/>
          <w:szCs w:val="20"/>
          <w:lang w:val="es-ES"/>
        </w:rPr>
      </w:pPr>
    </w:p>
    <w:p w:rsidR="00FD7742" w:rsidRPr="008A084A" w:rsidRDefault="00C209D9" w:rsidP="00FD7742">
      <w:pPr>
        <w:numPr>
          <w:ilvl w:val="0"/>
          <w:numId w:val="55"/>
        </w:numPr>
        <w:jc w:val="both"/>
        <w:rPr>
          <w:rFonts w:ascii="Cambria" w:eastAsia="Times New Roman" w:hAnsi="Cambria" w:cs="Cambria"/>
          <w:b/>
          <w:sz w:val="20"/>
          <w:szCs w:val="20"/>
          <w:u w:color="000000"/>
          <w:lang w:val="es-MX" w:eastAsia="es-ES"/>
        </w:rPr>
      </w:pPr>
      <w:r w:rsidRPr="008A084A">
        <w:rPr>
          <w:rFonts w:ascii="Cambria" w:eastAsia="Times New Roman" w:hAnsi="Cambria" w:cs="Cambria"/>
          <w:sz w:val="20"/>
          <w:szCs w:val="20"/>
          <w:u w:color="000000"/>
          <w:lang w:val="es-US" w:eastAsia="es-ES"/>
        </w:rPr>
        <w:t>Asimismo, l</w:t>
      </w:r>
      <w:r w:rsidR="00FD7742" w:rsidRPr="008A084A">
        <w:rPr>
          <w:rFonts w:ascii="Cambria" w:eastAsia="Times New Roman" w:hAnsi="Cambria" w:cs="Cambria"/>
          <w:sz w:val="20"/>
          <w:szCs w:val="20"/>
          <w:u w:color="000000"/>
          <w:lang w:val="es-US" w:eastAsia="es-ES"/>
        </w:rPr>
        <w:t xml:space="preserve">a CIDH </w:t>
      </w:r>
      <w:r w:rsidR="00FD7742" w:rsidRPr="008A084A">
        <w:rPr>
          <w:rFonts w:ascii="Cambria" w:eastAsia="Times New Roman" w:hAnsi="Cambria" w:cs="Cambria"/>
          <w:sz w:val="20"/>
          <w:szCs w:val="20"/>
          <w:u w:color="000000"/>
          <w:lang w:val="es-ES" w:eastAsia="es-ES"/>
        </w:rPr>
        <w:t xml:space="preserve">ha reconocido que </w:t>
      </w:r>
      <w:r w:rsidR="00FD7742" w:rsidRPr="008A084A">
        <w:rPr>
          <w:rFonts w:ascii="Cambria" w:eastAsia="Times New Roman" w:hAnsi="Cambria" w:cs="Cambria"/>
          <w:sz w:val="20"/>
          <w:szCs w:val="20"/>
          <w:u w:color="000000"/>
          <w:lang w:val="es-US" w:eastAsia="es-ES"/>
        </w:rPr>
        <w:t>el derecho de acceso a la información – que a su vez se encuentra comprendido bajo el artículo 13 de la Convención Americana</w:t>
      </w:r>
      <w:r w:rsidR="00FD7742" w:rsidRPr="008A084A">
        <w:rPr>
          <w:rStyle w:val="FootnoteReference"/>
          <w:rFonts w:ascii="Cambria" w:hAnsi="Cambria"/>
          <w:sz w:val="20"/>
          <w:szCs w:val="20"/>
        </w:rPr>
        <w:footnoteReference w:id="301"/>
      </w:r>
      <w:r w:rsidR="00FD7742" w:rsidRPr="008A084A">
        <w:rPr>
          <w:rFonts w:ascii="Cambria" w:eastAsia="Times New Roman" w:hAnsi="Cambria" w:cs="Cambria"/>
          <w:sz w:val="20"/>
          <w:szCs w:val="20"/>
          <w:u w:color="000000"/>
          <w:lang w:val="es-US" w:eastAsia="es-ES"/>
        </w:rPr>
        <w:t xml:space="preserve"> – es </w:t>
      </w:r>
      <w:r w:rsidR="00FD7742" w:rsidRPr="008A084A">
        <w:rPr>
          <w:rFonts w:ascii="Cambria" w:eastAsia="Times New Roman" w:hAnsi="Cambria" w:cs="Cambria"/>
          <w:sz w:val="20"/>
          <w:szCs w:val="20"/>
          <w:u w:color="000000"/>
          <w:lang w:val="es-ES" w:eastAsia="es-ES"/>
        </w:rPr>
        <w:t xml:space="preserve">un elemento </w:t>
      </w:r>
      <w:r w:rsidR="00FD7742" w:rsidRPr="008A084A">
        <w:rPr>
          <w:rFonts w:ascii="Cambria" w:eastAsia="Times New Roman" w:hAnsi="Cambria" w:cs="Cambria"/>
          <w:sz w:val="20"/>
          <w:szCs w:val="20"/>
          <w:u w:color="000000"/>
          <w:lang w:val="es-US" w:eastAsia="es-ES"/>
        </w:rPr>
        <w:t xml:space="preserve">indispensable </w:t>
      </w:r>
      <w:r w:rsidR="00FD7742" w:rsidRPr="008A084A">
        <w:rPr>
          <w:rFonts w:ascii="Cambria" w:eastAsia="Times New Roman" w:hAnsi="Cambria" w:cs="Cambria"/>
          <w:sz w:val="20"/>
          <w:szCs w:val="20"/>
          <w:u w:color="000000"/>
          <w:lang w:val="es-US" w:eastAsia="es-ES"/>
        </w:rPr>
        <w:lastRenderedPageBreak/>
        <w:t xml:space="preserve">para que las personas puedan estar </w:t>
      </w:r>
      <w:r w:rsidR="00FD7742" w:rsidRPr="008A084A">
        <w:rPr>
          <w:rFonts w:ascii="Cambria" w:eastAsia="Times New Roman" w:hAnsi="Cambria" w:cs="Cambria"/>
          <w:sz w:val="20"/>
          <w:szCs w:val="20"/>
          <w:u w:color="000000"/>
          <w:lang w:val="es-ES" w:eastAsia="es-ES"/>
        </w:rPr>
        <w:t>en</w:t>
      </w:r>
      <w:r w:rsidR="00FD7742" w:rsidRPr="008A084A">
        <w:rPr>
          <w:rFonts w:ascii="Cambria" w:eastAsia="Times New Roman" w:hAnsi="Cambria" w:cs="Cambria"/>
          <w:sz w:val="20"/>
          <w:szCs w:val="20"/>
          <w:u w:color="000000"/>
          <w:lang w:val="es-US" w:eastAsia="es-ES"/>
        </w:rPr>
        <w:t xml:space="preserve"> condiciones de tomar decisiones libres y fundamentadas respecto de aspectos íntimos de su salud, cuerpo y personalidad</w:t>
      </w:r>
      <w:r w:rsidR="00FD7742" w:rsidRPr="008A084A">
        <w:rPr>
          <w:rFonts w:ascii="Cambria" w:eastAsia="Times New Roman" w:hAnsi="Cambria" w:cs="Cambria"/>
          <w:sz w:val="20"/>
          <w:szCs w:val="20"/>
          <w:u w:color="000000"/>
          <w:vertAlign w:val="superscript"/>
          <w:lang w:val="es-ES" w:eastAsia="es-ES"/>
        </w:rPr>
        <w:footnoteReference w:id="302"/>
      </w:r>
      <w:r w:rsidR="00FD7742" w:rsidRPr="008A084A">
        <w:rPr>
          <w:rFonts w:ascii="Cambria" w:eastAsia="Times New Roman" w:hAnsi="Cambria" w:cs="Cambria"/>
          <w:sz w:val="20"/>
          <w:szCs w:val="20"/>
          <w:u w:color="000000"/>
          <w:lang w:val="es-US" w:eastAsia="es-ES"/>
        </w:rPr>
        <w:t xml:space="preserve">, incluyendo decisiones sobre </w:t>
      </w:r>
      <w:r w:rsidR="00FD7742" w:rsidRPr="008A084A">
        <w:rPr>
          <w:rFonts w:ascii="Cambria" w:eastAsia="Times New Roman" w:hAnsi="Cambria" w:cs="Cambria"/>
          <w:sz w:val="20"/>
          <w:szCs w:val="20"/>
          <w:u w:color="000000"/>
          <w:lang w:val="es-ES" w:eastAsia="es-ES"/>
        </w:rPr>
        <w:t>la aplicación de procedimientos o tratamientos médicos. En este sentido, se ha referido de forma particular al consentimiento informado como un principio ético de respeto a la autonomía de las personas, que requiere que éstas comprendan las distintas opciones de tratamiento a su disposición y sean involucradas en la atención de su salud</w:t>
      </w:r>
      <w:r w:rsidR="00FD7742" w:rsidRPr="008A084A">
        <w:rPr>
          <w:rFonts w:ascii="Cambria" w:eastAsia="Times New Roman" w:hAnsi="Cambria" w:cs="Cambria"/>
          <w:sz w:val="20"/>
          <w:szCs w:val="20"/>
          <w:u w:color="000000"/>
          <w:vertAlign w:val="superscript"/>
          <w:lang w:val="es-ES" w:eastAsia="es-ES"/>
        </w:rPr>
        <w:footnoteReference w:id="303"/>
      </w:r>
      <w:r w:rsidR="00FD7742" w:rsidRPr="008A084A">
        <w:rPr>
          <w:rFonts w:ascii="Cambria" w:eastAsia="Times New Roman" w:hAnsi="Cambria" w:cs="Cambria"/>
          <w:sz w:val="20"/>
          <w:szCs w:val="20"/>
          <w:u w:color="000000"/>
          <w:lang w:val="es-ES" w:eastAsia="es-ES"/>
        </w:rPr>
        <w:t xml:space="preserve">. </w:t>
      </w:r>
    </w:p>
    <w:p w:rsidR="00FD7742" w:rsidRPr="008A084A" w:rsidRDefault="00FD7742" w:rsidP="00FD7742">
      <w:pPr>
        <w:ind w:left="567"/>
        <w:jc w:val="both"/>
        <w:rPr>
          <w:rFonts w:ascii="Cambria" w:eastAsia="Times New Roman" w:hAnsi="Cambria" w:cs="Cambria"/>
          <w:b/>
          <w:sz w:val="20"/>
          <w:szCs w:val="20"/>
          <w:u w:color="000000"/>
          <w:lang w:val="es-MX" w:eastAsia="es-ES"/>
        </w:rPr>
      </w:pPr>
    </w:p>
    <w:p w:rsidR="00FD7742" w:rsidRPr="008A084A" w:rsidRDefault="00FD7742" w:rsidP="00FD7742">
      <w:pPr>
        <w:numPr>
          <w:ilvl w:val="0"/>
          <w:numId w:val="55"/>
        </w:numPr>
        <w:jc w:val="both"/>
        <w:rPr>
          <w:rFonts w:ascii="Cambria" w:hAnsi="Cambria"/>
          <w:sz w:val="20"/>
          <w:szCs w:val="20"/>
          <w:lang w:val="es-CO"/>
        </w:rPr>
      </w:pPr>
      <w:r w:rsidRPr="008A084A">
        <w:rPr>
          <w:rFonts w:ascii="Cambria" w:hAnsi="Cambria"/>
          <w:sz w:val="20"/>
          <w:szCs w:val="20"/>
          <w:lang w:val="es-ES"/>
        </w:rPr>
        <w:t xml:space="preserve">La Corte Europea asimismo ha señalado que el cumplimiento de la obligación positiva del Estado de garantizar </w:t>
      </w:r>
      <w:r w:rsidRPr="008A084A">
        <w:rPr>
          <w:rFonts w:ascii="Cambria" w:eastAsia="Times New Roman" w:hAnsi="Cambria" w:cs="Cambria"/>
          <w:sz w:val="20"/>
          <w:szCs w:val="20"/>
          <w:u w:color="000000"/>
          <w:lang w:val="es-ES" w:eastAsia="es-ES"/>
        </w:rPr>
        <w:t>efectivamente</w:t>
      </w:r>
      <w:r w:rsidRPr="008A084A">
        <w:rPr>
          <w:rFonts w:ascii="Cambria" w:hAnsi="Cambria"/>
          <w:sz w:val="20"/>
          <w:szCs w:val="20"/>
          <w:lang w:val="es-ES"/>
        </w:rPr>
        <w:t xml:space="preserve"> a sus ciudadanos el derecho a la integridad física y psicológica puede requerir, a su vez, la adopción de normativa en materia de acceso a la información sobre la salud de un individuo</w:t>
      </w:r>
      <w:r w:rsidRPr="008A084A">
        <w:rPr>
          <w:rStyle w:val="FootnoteReference"/>
          <w:rFonts w:ascii="Cambria" w:hAnsi="Cambria"/>
          <w:sz w:val="20"/>
          <w:szCs w:val="20"/>
          <w:lang w:val="es-ES"/>
        </w:rPr>
        <w:footnoteReference w:id="304"/>
      </w:r>
      <w:r w:rsidRPr="008A084A">
        <w:rPr>
          <w:rFonts w:ascii="Cambria" w:hAnsi="Cambria"/>
          <w:sz w:val="20"/>
          <w:szCs w:val="20"/>
          <w:lang w:val="es-ES"/>
        </w:rPr>
        <w:t>.</w:t>
      </w:r>
    </w:p>
    <w:p w:rsidR="00FD7742" w:rsidRPr="008A084A" w:rsidRDefault="00FD7742" w:rsidP="00FD7742">
      <w:pPr>
        <w:jc w:val="both"/>
        <w:rPr>
          <w:rFonts w:ascii="Cambria" w:hAnsi="Cambria"/>
          <w:sz w:val="20"/>
          <w:szCs w:val="20"/>
          <w:lang w:val="es-CO"/>
        </w:rPr>
      </w:pPr>
    </w:p>
    <w:p w:rsidR="00FD7742" w:rsidRPr="008A084A" w:rsidRDefault="00FD7742" w:rsidP="00FD7742">
      <w:pPr>
        <w:numPr>
          <w:ilvl w:val="0"/>
          <w:numId w:val="55"/>
        </w:numPr>
        <w:jc w:val="both"/>
        <w:rPr>
          <w:rFonts w:ascii="Cambria" w:eastAsia="Times New Roman" w:hAnsi="Cambria" w:cs="Cambria"/>
          <w:b/>
          <w:sz w:val="20"/>
          <w:szCs w:val="20"/>
          <w:u w:color="000000"/>
          <w:lang w:val="es-MX" w:eastAsia="es-ES"/>
        </w:rPr>
      </w:pPr>
      <w:r w:rsidRPr="008A084A">
        <w:rPr>
          <w:rFonts w:ascii="Cambria" w:eastAsia="Times New Roman" w:hAnsi="Cambria" w:cs="Cambria"/>
          <w:sz w:val="20"/>
          <w:szCs w:val="20"/>
          <w:u w:color="000000"/>
          <w:lang w:val="es-ES" w:eastAsia="es-ES"/>
        </w:rPr>
        <w:t>La comunidad internacional ha reconocido el consentimiento informado</w:t>
      </w:r>
      <w:r w:rsidRPr="008A084A">
        <w:rPr>
          <w:rFonts w:ascii="Cambria" w:eastAsia="Times New Roman" w:hAnsi="Cambria" w:cs="Cambria"/>
          <w:sz w:val="20"/>
          <w:szCs w:val="20"/>
          <w:u w:color="000000"/>
          <w:vertAlign w:val="superscript"/>
          <w:lang w:val="es-ES" w:eastAsia="es-ES"/>
        </w:rPr>
        <w:footnoteReference w:id="305"/>
      </w:r>
      <w:r w:rsidRPr="008A084A">
        <w:rPr>
          <w:rFonts w:ascii="Cambria" w:eastAsia="Times New Roman" w:hAnsi="Cambria" w:cs="Cambria"/>
          <w:sz w:val="20"/>
          <w:szCs w:val="20"/>
          <w:u w:color="000000"/>
          <w:lang w:val="es-ES" w:eastAsia="es-ES"/>
        </w:rPr>
        <w:t xml:space="preserve"> como un proceso activo y continuo que persigue asegurar que ningún tratamiento sea realizado sin el acuerdo de la persona a quien se le va a </w:t>
      </w:r>
      <w:r w:rsidRPr="008A084A">
        <w:rPr>
          <w:rFonts w:ascii="Cambria" w:eastAsia="Times New Roman" w:hAnsi="Cambria" w:cs="Cambria"/>
          <w:sz w:val="20"/>
          <w:szCs w:val="20"/>
          <w:u w:color="000000"/>
          <w:lang w:val="es-US" w:eastAsia="es-ES"/>
        </w:rPr>
        <w:t>practicar</w:t>
      </w:r>
      <w:r w:rsidRPr="008A084A">
        <w:rPr>
          <w:rFonts w:ascii="Cambria" w:eastAsia="Times New Roman" w:hAnsi="Cambria" w:cs="Cambria"/>
          <w:sz w:val="20"/>
          <w:szCs w:val="20"/>
          <w:u w:color="000000"/>
          <w:lang w:val="es-ES" w:eastAsia="es-ES"/>
        </w:rPr>
        <w:t xml:space="preserve"> y sin haber sido debidamente informada de sus efectos, riesgos y consecuencias</w:t>
      </w:r>
      <w:r w:rsidRPr="008A084A">
        <w:rPr>
          <w:rFonts w:ascii="Cambria" w:eastAsia="Times New Roman" w:hAnsi="Cambria" w:cs="Cambria"/>
          <w:sz w:val="20"/>
          <w:szCs w:val="20"/>
          <w:u w:color="000000"/>
          <w:vertAlign w:val="superscript"/>
          <w:lang w:val="es-ES" w:eastAsia="es-ES"/>
        </w:rPr>
        <w:footnoteReference w:id="306"/>
      </w:r>
      <w:r w:rsidRPr="008A084A">
        <w:rPr>
          <w:rFonts w:ascii="Cambria" w:eastAsia="Times New Roman" w:hAnsi="Cambria" w:cs="Cambria"/>
          <w:sz w:val="20"/>
          <w:szCs w:val="20"/>
          <w:u w:color="000000"/>
          <w:lang w:val="es-ES" w:eastAsia="es-ES"/>
        </w:rPr>
        <w:t>. La CIDH ha precisado que el consentimiento informado es un proceso apropiado de divulgación de toda la información necesaria para que un paciente pueda tomar libremente la decisión de otorgar o (negar) su consentimiento para un tratamiento o intervención médica. Este proceso procura asegurar que las personas vean sus derechos humanos plenamente respetados en el ámbito de la salud, y puedan llevar a cabo elecciones verdaderamente libres</w:t>
      </w:r>
      <w:r w:rsidRPr="008A084A">
        <w:rPr>
          <w:rFonts w:ascii="Cambria" w:eastAsia="Times New Roman" w:hAnsi="Cambria" w:cs="Cambria"/>
          <w:sz w:val="20"/>
          <w:szCs w:val="20"/>
          <w:u w:color="000000"/>
          <w:vertAlign w:val="superscript"/>
          <w:lang w:val="es-ES" w:eastAsia="es-ES"/>
        </w:rPr>
        <w:footnoteReference w:id="307"/>
      </w:r>
      <w:r w:rsidRPr="008A084A">
        <w:rPr>
          <w:rFonts w:ascii="Cambria" w:eastAsia="Times New Roman" w:hAnsi="Cambria" w:cs="Cambria"/>
          <w:sz w:val="20"/>
          <w:szCs w:val="20"/>
          <w:u w:color="000000"/>
          <w:lang w:val="es-ES" w:eastAsia="es-ES"/>
        </w:rPr>
        <w:t>.</w:t>
      </w:r>
      <w:r w:rsidR="00C209D9" w:rsidRPr="008A084A">
        <w:rPr>
          <w:rFonts w:ascii="Cambria" w:eastAsia="Times New Roman" w:hAnsi="Cambria" w:cs="Cambria"/>
          <w:sz w:val="20"/>
          <w:szCs w:val="20"/>
          <w:u w:color="000000"/>
          <w:lang w:val="es-ES" w:eastAsia="es-ES"/>
        </w:rPr>
        <w:t xml:space="preserve"> </w:t>
      </w:r>
    </w:p>
    <w:p w:rsidR="00FD7742" w:rsidRPr="008A084A" w:rsidRDefault="00FD7742" w:rsidP="00FD7742">
      <w:pPr>
        <w:pStyle w:val="ListParagraph"/>
        <w:rPr>
          <w:rFonts w:ascii="Cambria" w:eastAsia="Times New Roman" w:hAnsi="Cambria" w:cs="Cambria"/>
          <w:sz w:val="20"/>
          <w:szCs w:val="20"/>
          <w:u w:color="000000"/>
          <w:lang w:val="es-ES" w:eastAsia="es-ES"/>
        </w:rPr>
      </w:pPr>
    </w:p>
    <w:p w:rsidR="00FD7742" w:rsidRPr="008A084A" w:rsidRDefault="00FD7742" w:rsidP="00FD7742">
      <w:pPr>
        <w:numPr>
          <w:ilvl w:val="0"/>
          <w:numId w:val="55"/>
        </w:numPr>
        <w:jc w:val="both"/>
        <w:rPr>
          <w:rFonts w:ascii="Cambria" w:eastAsia="Times New Roman" w:hAnsi="Cambria" w:cs="Cambria"/>
          <w:b/>
          <w:sz w:val="20"/>
          <w:szCs w:val="20"/>
          <w:u w:color="000000"/>
          <w:lang w:val="es-MX" w:eastAsia="es-ES"/>
        </w:rPr>
      </w:pPr>
      <w:r w:rsidRPr="008A084A">
        <w:rPr>
          <w:rFonts w:ascii="Cambria" w:eastAsia="Times New Roman" w:hAnsi="Cambria" w:cs="Cambria"/>
          <w:sz w:val="20"/>
          <w:szCs w:val="20"/>
          <w:u w:color="000000"/>
          <w:lang w:val="es-ES" w:eastAsia="es-ES"/>
        </w:rPr>
        <w:t xml:space="preserve">Al respecto, el Relator Especial sobre el derecho de toda persona al disfrute del más alto nivel posible de salud física y mental, </w:t>
      </w:r>
      <w:proofErr w:type="spellStart"/>
      <w:r w:rsidRPr="008A084A">
        <w:rPr>
          <w:rFonts w:ascii="Cambria" w:eastAsia="Times New Roman" w:hAnsi="Cambria" w:cs="Cambria"/>
          <w:sz w:val="20"/>
          <w:szCs w:val="20"/>
          <w:u w:color="000000"/>
          <w:lang w:val="es-ES" w:eastAsia="es-ES"/>
        </w:rPr>
        <w:t>Anand</w:t>
      </w:r>
      <w:proofErr w:type="spellEnd"/>
      <w:r w:rsidRPr="008A084A">
        <w:rPr>
          <w:rFonts w:ascii="Cambria" w:eastAsia="Times New Roman" w:hAnsi="Cambria" w:cs="Cambria"/>
          <w:sz w:val="20"/>
          <w:szCs w:val="20"/>
          <w:u w:color="000000"/>
          <w:lang w:val="es-ES" w:eastAsia="es-ES"/>
        </w:rPr>
        <w:t xml:space="preserve"> </w:t>
      </w:r>
      <w:proofErr w:type="spellStart"/>
      <w:r w:rsidRPr="008A084A">
        <w:rPr>
          <w:rFonts w:ascii="Cambria" w:eastAsia="Times New Roman" w:hAnsi="Cambria" w:cs="Cambria"/>
          <w:sz w:val="20"/>
          <w:szCs w:val="20"/>
          <w:u w:color="000000"/>
          <w:lang w:val="es-ES" w:eastAsia="es-ES"/>
        </w:rPr>
        <w:t>Grover</w:t>
      </w:r>
      <w:proofErr w:type="spellEnd"/>
      <w:r w:rsidRPr="008A084A">
        <w:rPr>
          <w:rFonts w:ascii="Cambria" w:eastAsia="Times New Roman" w:hAnsi="Cambria" w:cs="Cambria"/>
          <w:sz w:val="20"/>
          <w:szCs w:val="20"/>
          <w:u w:color="000000"/>
          <w:lang w:val="es-ES" w:eastAsia="es-ES"/>
        </w:rPr>
        <w:t>, indicó que “el consentimiento informado no es la mera aceptación de una intervención médica, sino una decisión voluntaria y suficientemente informada que protege el derecho del paciente a participar en la adopción de las decisiones médicas y atribuye a los proveedores de servicios de salud deberes y obligaciones conexos”</w:t>
      </w:r>
      <w:r w:rsidRPr="008A084A">
        <w:rPr>
          <w:rFonts w:ascii="Cambria" w:eastAsia="Times New Roman" w:hAnsi="Cambria" w:cs="Cambria"/>
          <w:sz w:val="20"/>
          <w:szCs w:val="20"/>
          <w:u w:color="000000"/>
          <w:vertAlign w:val="superscript"/>
          <w:lang w:val="es-ES" w:eastAsia="es-ES"/>
        </w:rPr>
        <w:footnoteReference w:id="308"/>
      </w:r>
      <w:r w:rsidRPr="008A084A">
        <w:rPr>
          <w:rFonts w:ascii="Cambria" w:eastAsia="Times New Roman" w:hAnsi="Cambria" w:cs="Cambria"/>
          <w:sz w:val="20"/>
          <w:szCs w:val="20"/>
          <w:u w:color="000000"/>
          <w:lang w:val="es-ES" w:eastAsia="es-ES"/>
        </w:rPr>
        <w:t xml:space="preserve">. </w:t>
      </w:r>
    </w:p>
    <w:p w:rsidR="00FD7742" w:rsidRPr="008A084A" w:rsidRDefault="00FD7742" w:rsidP="00FD7742">
      <w:pPr>
        <w:pStyle w:val="ListParagraph"/>
        <w:rPr>
          <w:rFonts w:ascii="Cambria" w:eastAsia="Times New Roman" w:hAnsi="Cambria" w:cs="Cambria"/>
          <w:sz w:val="20"/>
          <w:szCs w:val="20"/>
          <w:u w:color="000000"/>
          <w:lang w:val="es-ES" w:eastAsia="es-ES"/>
        </w:rPr>
      </w:pPr>
    </w:p>
    <w:p w:rsidR="00FD7742" w:rsidRPr="008A084A" w:rsidRDefault="00FD7742" w:rsidP="00FD7742">
      <w:pPr>
        <w:numPr>
          <w:ilvl w:val="0"/>
          <w:numId w:val="55"/>
        </w:numPr>
        <w:jc w:val="both"/>
        <w:rPr>
          <w:rFonts w:ascii="Cambria" w:eastAsia="Times New Roman" w:hAnsi="Cambria" w:cs="Cambria"/>
          <w:b/>
          <w:sz w:val="20"/>
          <w:szCs w:val="20"/>
          <w:u w:color="000000"/>
          <w:lang w:val="es-MX" w:eastAsia="es-ES"/>
        </w:rPr>
      </w:pPr>
      <w:r w:rsidRPr="008A084A">
        <w:rPr>
          <w:rFonts w:ascii="Cambria" w:eastAsia="Times New Roman" w:hAnsi="Cambria" w:cs="Cambria"/>
          <w:sz w:val="20"/>
          <w:szCs w:val="20"/>
          <w:u w:color="000000"/>
          <w:lang w:val="es-ES" w:eastAsia="es-ES"/>
        </w:rPr>
        <w:lastRenderedPageBreak/>
        <w:t>La Convención Europea sobre Derechos Humanos y Biomedicina</w:t>
      </w:r>
      <w:r w:rsidRPr="008A084A">
        <w:rPr>
          <w:rFonts w:ascii="Cambria" w:eastAsia="Times New Roman" w:hAnsi="Cambria" w:cs="Cambria"/>
          <w:sz w:val="20"/>
          <w:szCs w:val="20"/>
          <w:u w:color="000000"/>
          <w:vertAlign w:val="superscript"/>
          <w:lang w:val="es-ES" w:eastAsia="es-ES"/>
        </w:rPr>
        <w:footnoteReference w:id="309"/>
      </w:r>
      <w:r w:rsidRPr="008A084A">
        <w:rPr>
          <w:rFonts w:ascii="Cambria" w:eastAsia="Times New Roman" w:hAnsi="Cambria" w:cs="Cambria"/>
          <w:sz w:val="20"/>
          <w:szCs w:val="20"/>
          <w:u w:color="000000"/>
          <w:lang w:val="es-ES" w:eastAsia="es-ES"/>
        </w:rPr>
        <w:t xml:space="preserve"> se refiere asimismo a este asunto en su artículo 5, estableciendo que: “[u]na intervención en el ámbito de la salud sólo podrá efectuarse después de que la persona afectada haya dado su consentimiento libre e informado. Dicha persona deberá recibir previamente una información adecuada acerca de la finalidad y la naturaleza de la intervención, así como sobre sus riesgos y consecuencias. […]”.</w:t>
      </w:r>
    </w:p>
    <w:p w:rsidR="00FD7742" w:rsidRPr="008A084A" w:rsidRDefault="00FD7742" w:rsidP="00FD7742">
      <w:pPr>
        <w:ind w:left="567"/>
        <w:jc w:val="both"/>
        <w:rPr>
          <w:rFonts w:ascii="Cambria" w:eastAsia="Times New Roman" w:hAnsi="Cambria" w:cs="Cambria"/>
          <w:b/>
          <w:sz w:val="20"/>
          <w:szCs w:val="20"/>
          <w:u w:color="000000"/>
          <w:lang w:val="es-MX" w:eastAsia="es-ES"/>
        </w:rPr>
      </w:pPr>
    </w:p>
    <w:p w:rsidR="00FD7742" w:rsidRPr="008A084A" w:rsidRDefault="00FD7742" w:rsidP="00FD7742">
      <w:pPr>
        <w:numPr>
          <w:ilvl w:val="0"/>
          <w:numId w:val="55"/>
        </w:numPr>
        <w:jc w:val="both"/>
        <w:rPr>
          <w:rFonts w:ascii="Cambria" w:eastAsia="Times New Roman" w:hAnsi="Cambria" w:cs="Cambria"/>
          <w:b/>
          <w:sz w:val="20"/>
          <w:szCs w:val="20"/>
          <w:u w:color="000000"/>
          <w:lang w:val="es-MX" w:eastAsia="es-ES"/>
        </w:rPr>
      </w:pPr>
      <w:r w:rsidRPr="008A084A">
        <w:rPr>
          <w:rFonts w:ascii="Cambria" w:eastAsia="Times New Roman" w:hAnsi="Cambria" w:cs="Cambria"/>
          <w:sz w:val="20"/>
          <w:szCs w:val="20"/>
          <w:u w:color="000000"/>
          <w:lang w:val="es-ES" w:eastAsia="es-ES"/>
        </w:rPr>
        <w:t>Una interpretación sistemática de los estándares aplicables en esta materia permite establecer que un proceso de consentimiento informado debe incluir los siguientes tres elementos, íntimamente relacionados entre sí: i) informar sobre la naturaleza del procedimiento, opciones de tratamiento y alternativas razonables, que incluye los posibles beneficios y riesgos de los procedimientos propuestos; ii) tomar en cuenta las necesidades de las personas y asegurar que comprendan la información brindada; y iii) asegurar que el consentimiento que se brinde sea libre y voluntario. El cumplimiento de este proceso incluye la adopción de</w:t>
      </w:r>
      <w:r w:rsidRPr="008A084A">
        <w:rPr>
          <w:rFonts w:ascii="Cambria" w:eastAsia="Times New Roman" w:hAnsi="Cambria" w:cs="Cambria"/>
          <w:sz w:val="20"/>
          <w:szCs w:val="20"/>
          <w:u w:color="000000"/>
          <w:lang w:val="es-US" w:eastAsia="es-ES"/>
        </w:rPr>
        <w:t xml:space="preserve"> medidas de carácter legislativo, político y administrativo y se extiende a los médicos, los profesionales de la salud y los trabajadores sociales, tanto de hospitales públicos como privados, como de otras instituciones de la salud y centros de detención</w:t>
      </w:r>
      <w:r w:rsidRPr="008A084A">
        <w:rPr>
          <w:rFonts w:ascii="Cambria" w:eastAsia="Times New Roman" w:hAnsi="Cambria" w:cs="Cambria"/>
          <w:sz w:val="20"/>
          <w:szCs w:val="20"/>
          <w:u w:color="000000"/>
          <w:vertAlign w:val="superscript"/>
          <w:lang w:val="es-ES" w:eastAsia="es-ES"/>
        </w:rPr>
        <w:footnoteReference w:id="310"/>
      </w:r>
      <w:r w:rsidRPr="008A084A">
        <w:rPr>
          <w:rFonts w:ascii="Cambria" w:eastAsia="Times New Roman" w:hAnsi="Cambria" w:cs="Cambria"/>
          <w:sz w:val="20"/>
          <w:szCs w:val="20"/>
          <w:u w:color="000000"/>
          <w:lang w:val="es-US" w:eastAsia="es-ES"/>
        </w:rPr>
        <w:t>.</w:t>
      </w:r>
      <w:r w:rsidRPr="008A084A">
        <w:rPr>
          <w:rFonts w:ascii="Cambria" w:eastAsia="Times New Roman" w:hAnsi="Cambria" w:cs="Cambria"/>
          <w:sz w:val="20"/>
          <w:szCs w:val="20"/>
          <w:u w:color="000000"/>
          <w:lang w:val="es-ES_tradnl" w:eastAsia="es-ES"/>
        </w:rPr>
        <w:t xml:space="preserve"> </w:t>
      </w:r>
    </w:p>
    <w:p w:rsidR="00FD7742" w:rsidRPr="008A084A" w:rsidRDefault="00FD7742" w:rsidP="00FD7742">
      <w:pPr>
        <w:ind w:left="567"/>
        <w:jc w:val="both"/>
        <w:rPr>
          <w:rFonts w:ascii="Cambria" w:eastAsia="Times New Roman" w:hAnsi="Cambria" w:cs="Cambria"/>
          <w:b/>
          <w:sz w:val="20"/>
          <w:szCs w:val="20"/>
          <w:u w:color="000000"/>
          <w:lang w:val="es-MX" w:eastAsia="es-ES"/>
        </w:rPr>
      </w:pPr>
    </w:p>
    <w:p w:rsidR="00FD7742" w:rsidRPr="008A084A" w:rsidRDefault="00FD7742" w:rsidP="00FD7742">
      <w:pPr>
        <w:numPr>
          <w:ilvl w:val="0"/>
          <w:numId w:val="55"/>
        </w:numPr>
        <w:jc w:val="both"/>
        <w:rPr>
          <w:rFonts w:ascii="Cambria" w:eastAsia="Times New Roman" w:hAnsi="Cambria" w:cs="Cambria"/>
          <w:b/>
          <w:sz w:val="20"/>
          <w:szCs w:val="20"/>
          <w:u w:color="000000"/>
          <w:lang w:val="es-MX" w:eastAsia="es-ES"/>
        </w:rPr>
      </w:pPr>
      <w:r w:rsidRPr="008A084A">
        <w:rPr>
          <w:rFonts w:ascii="Cambria" w:eastAsia="Times New Roman" w:hAnsi="Cambria" w:cs="Cambria"/>
          <w:sz w:val="20"/>
          <w:szCs w:val="20"/>
          <w:u w:color="000000"/>
          <w:lang w:val="es-PE" w:eastAsia="es-ES"/>
        </w:rPr>
        <w:t xml:space="preserve">En relación con el primer elemento del proceso de consentimiento informado – </w:t>
      </w:r>
      <w:r w:rsidRPr="008A084A">
        <w:rPr>
          <w:rFonts w:ascii="Cambria" w:eastAsia="Times New Roman" w:hAnsi="Cambria" w:cs="Cambria"/>
          <w:sz w:val="20"/>
          <w:szCs w:val="20"/>
          <w:u w:color="000000"/>
          <w:lang w:val="es-ES" w:eastAsia="es-ES"/>
        </w:rPr>
        <w:t>informar sobre la naturaleza del procedimiento, opciones de tratamiento y alternativas razonables, que incluye los posibles beneficios y riesgos de los procedimientos propuestos</w:t>
      </w:r>
      <w:r w:rsidRPr="008A084A">
        <w:rPr>
          <w:rFonts w:ascii="Cambria" w:eastAsia="Times New Roman" w:hAnsi="Cambria" w:cs="Cambria"/>
          <w:sz w:val="20"/>
          <w:szCs w:val="20"/>
          <w:u w:color="000000"/>
          <w:lang w:val="es-PE" w:eastAsia="es-ES"/>
        </w:rPr>
        <w:t xml:space="preserve"> –, la Comisión ha señalado que la información que se brinde a la paciente debe ser completa, accesible, fidedigna, oportuna y oficiosa</w:t>
      </w:r>
      <w:r w:rsidRPr="008A084A">
        <w:rPr>
          <w:rFonts w:ascii="Cambria" w:eastAsia="Times New Roman" w:hAnsi="Cambria" w:cs="Cambria"/>
          <w:sz w:val="20"/>
          <w:szCs w:val="20"/>
          <w:u w:color="000000"/>
          <w:vertAlign w:val="superscript"/>
          <w:lang w:val="es-PE" w:eastAsia="es-ES"/>
        </w:rPr>
        <w:footnoteReference w:id="311"/>
      </w:r>
      <w:r w:rsidRPr="008A084A">
        <w:rPr>
          <w:rFonts w:ascii="Cambria" w:eastAsia="Times New Roman" w:hAnsi="Cambria" w:cs="Cambria"/>
          <w:sz w:val="20"/>
          <w:szCs w:val="20"/>
          <w:u w:color="000000"/>
          <w:lang w:val="es-PE" w:eastAsia="es-ES"/>
        </w:rPr>
        <w:t>. Para que la información sea completa corresponde a los profesionales de la salud obtener y divulgar toda la información relevante y de la más alta calidad sobre el diagnóstico, tratamiento propuesto, sus efectos, riesgos y alternativas. Para que sea accesible, debe ser suministrada en condiciones adecuadas y en un lenguaje y de una manera aceptable culturalmente para la persona que ha de otorgar el consentimiento”</w:t>
      </w:r>
      <w:r w:rsidRPr="008A084A">
        <w:rPr>
          <w:rFonts w:ascii="Cambria" w:eastAsia="Times New Roman" w:hAnsi="Cambria" w:cs="Cambria"/>
          <w:sz w:val="20"/>
          <w:szCs w:val="20"/>
          <w:u w:color="000000"/>
          <w:vertAlign w:val="superscript"/>
          <w:lang w:val="es-PE" w:eastAsia="es-ES"/>
        </w:rPr>
        <w:footnoteReference w:id="312"/>
      </w:r>
      <w:r w:rsidRPr="008A084A">
        <w:rPr>
          <w:rFonts w:ascii="Cambria" w:eastAsia="Times New Roman" w:hAnsi="Cambria" w:cs="Cambria"/>
          <w:sz w:val="20"/>
          <w:szCs w:val="20"/>
          <w:u w:color="000000"/>
          <w:lang w:val="es-PE" w:eastAsia="es-ES"/>
        </w:rPr>
        <w:t xml:space="preserve">, lo que incluye el uso de servicios de traducción e interpretación. </w:t>
      </w:r>
      <w:r w:rsidRPr="008A084A">
        <w:rPr>
          <w:rFonts w:ascii="Cambria" w:eastAsia="Times New Roman" w:hAnsi="Cambria" w:cs="Cambria"/>
          <w:sz w:val="20"/>
          <w:szCs w:val="20"/>
          <w:u w:color="000000"/>
          <w:lang w:val="es-US" w:eastAsia="es-ES"/>
        </w:rPr>
        <w:t>Ahora bien, n</w:t>
      </w:r>
      <w:r w:rsidRPr="008A084A">
        <w:rPr>
          <w:rFonts w:ascii="Cambria" w:eastAsia="Times New Roman" w:hAnsi="Cambria" w:cs="Cambria"/>
          <w:sz w:val="20"/>
          <w:szCs w:val="20"/>
          <w:u w:color="000000"/>
          <w:lang w:val="es-PE" w:eastAsia="es-ES"/>
        </w:rPr>
        <w:t xml:space="preserve">o basta que la información sea completa y accesible, la información debe ser fidedigna. Finalmente, la información debe ser suministrada de manera oportuna y oficiosa, es decir, previo a la aplicación del procedimiento y sin necesidad de solicitud directa. </w:t>
      </w:r>
    </w:p>
    <w:p w:rsidR="00FD7742" w:rsidRPr="008A084A" w:rsidRDefault="00FD7742" w:rsidP="00FD7742">
      <w:pPr>
        <w:ind w:left="567"/>
        <w:jc w:val="both"/>
        <w:rPr>
          <w:rFonts w:ascii="Cambria" w:eastAsia="Times New Roman" w:hAnsi="Cambria" w:cs="Cambria"/>
          <w:b/>
          <w:sz w:val="20"/>
          <w:szCs w:val="20"/>
          <w:u w:color="000000"/>
          <w:lang w:val="es-MX" w:eastAsia="es-ES"/>
        </w:rPr>
      </w:pPr>
    </w:p>
    <w:p w:rsidR="00FD7742" w:rsidRPr="008A084A" w:rsidRDefault="00FD7742" w:rsidP="00FD7742">
      <w:pPr>
        <w:numPr>
          <w:ilvl w:val="0"/>
          <w:numId w:val="55"/>
        </w:numPr>
        <w:jc w:val="both"/>
        <w:rPr>
          <w:rFonts w:ascii="Cambria" w:eastAsia="Times New Roman" w:hAnsi="Cambria" w:cs="Cambria"/>
          <w:sz w:val="20"/>
          <w:szCs w:val="20"/>
          <w:u w:color="000000"/>
          <w:lang w:val="es-MX" w:eastAsia="es-ES"/>
        </w:rPr>
      </w:pPr>
      <w:r w:rsidRPr="008A084A">
        <w:rPr>
          <w:rFonts w:ascii="Cambria" w:eastAsia="Times New Roman" w:hAnsi="Cambria" w:cs="Cambria"/>
          <w:sz w:val="20"/>
          <w:szCs w:val="20"/>
          <w:u w:color="000000"/>
          <w:lang w:val="es-ES" w:eastAsia="es-ES"/>
        </w:rPr>
        <w:t xml:space="preserve">Respecto del segundo elemento del consentimiento informado </w:t>
      </w:r>
      <w:r w:rsidRPr="008A084A">
        <w:rPr>
          <w:rFonts w:ascii="Cambria" w:eastAsia="Times New Roman" w:hAnsi="Cambria" w:cs="Cambria"/>
          <w:sz w:val="20"/>
          <w:szCs w:val="20"/>
          <w:u w:color="000000"/>
          <w:lang w:val="es-PE" w:eastAsia="es-ES"/>
        </w:rPr>
        <w:t xml:space="preserve">– </w:t>
      </w:r>
      <w:r w:rsidRPr="008A084A">
        <w:rPr>
          <w:rFonts w:ascii="Cambria" w:eastAsia="Times New Roman" w:hAnsi="Cambria" w:cs="Cambria"/>
          <w:sz w:val="20"/>
          <w:szCs w:val="20"/>
          <w:u w:color="000000"/>
          <w:lang w:val="es-ES" w:eastAsia="es-ES"/>
        </w:rPr>
        <w:t xml:space="preserve">tomar en cuenta las necesidades de la </w:t>
      </w:r>
      <w:r w:rsidRPr="008A084A">
        <w:rPr>
          <w:rFonts w:ascii="Cambria" w:eastAsia="Times New Roman" w:hAnsi="Cambria" w:cs="Cambria"/>
          <w:sz w:val="20"/>
          <w:szCs w:val="20"/>
          <w:u w:color="000000"/>
          <w:lang w:val="es-PE" w:eastAsia="es-ES"/>
        </w:rPr>
        <w:t>persona</w:t>
      </w:r>
      <w:r w:rsidRPr="008A084A">
        <w:rPr>
          <w:rFonts w:ascii="Cambria" w:eastAsia="Times New Roman" w:hAnsi="Cambria" w:cs="Cambria"/>
          <w:sz w:val="20"/>
          <w:szCs w:val="20"/>
          <w:u w:color="000000"/>
          <w:lang w:val="es-ES" w:eastAsia="es-ES"/>
        </w:rPr>
        <w:t xml:space="preserve"> y asegurar que comprenda la información brindada </w:t>
      </w:r>
      <w:r w:rsidRPr="008A084A">
        <w:rPr>
          <w:rFonts w:ascii="Cambria" w:eastAsia="Times New Roman" w:hAnsi="Cambria" w:cs="Cambria"/>
          <w:sz w:val="20"/>
          <w:szCs w:val="20"/>
          <w:u w:color="000000"/>
          <w:lang w:val="es-PE" w:eastAsia="es-ES"/>
        </w:rPr>
        <w:t>–</w:t>
      </w:r>
      <w:r w:rsidRPr="008A084A">
        <w:rPr>
          <w:rFonts w:ascii="Cambria" w:eastAsia="Times New Roman" w:hAnsi="Cambria" w:cs="Cambria"/>
          <w:sz w:val="20"/>
          <w:szCs w:val="20"/>
          <w:u w:color="000000"/>
          <w:lang w:val="es-ES" w:eastAsia="es-ES"/>
        </w:rPr>
        <w:t xml:space="preserve"> la CIDH observa que los profesionales médicos tienen un deber importante de asegurar la comprensión de la información impartida, con la finalidad de que el paciente o su representante adopte una decisión verdaderamente informada respecto de la intervención y/o tratamiento propuesto. En este sentido, se debe prestar particular atención a las necesidades y estado de la paciente, así como de los métodos que se utilizan para brindar la información</w:t>
      </w:r>
      <w:r w:rsidRPr="008A084A">
        <w:rPr>
          <w:rStyle w:val="FootnoteReference"/>
          <w:rFonts w:ascii="Cambria" w:eastAsia="Times New Roman" w:hAnsi="Cambria" w:cs="Cambria"/>
          <w:sz w:val="20"/>
          <w:szCs w:val="20"/>
          <w:u w:color="000000"/>
          <w:lang w:val="es-ES" w:eastAsia="es-ES"/>
        </w:rPr>
        <w:footnoteReference w:id="313"/>
      </w:r>
      <w:r w:rsidRPr="008A084A">
        <w:rPr>
          <w:rFonts w:ascii="Cambria" w:eastAsia="Times New Roman" w:hAnsi="Cambria" w:cs="Cambria"/>
          <w:sz w:val="20"/>
          <w:szCs w:val="20"/>
          <w:u w:color="000000"/>
          <w:lang w:val="es-ES" w:eastAsia="es-ES"/>
        </w:rPr>
        <w:t xml:space="preserve">. </w:t>
      </w:r>
    </w:p>
    <w:p w:rsidR="00FD7742" w:rsidRPr="008A084A" w:rsidRDefault="00FD7742" w:rsidP="00FD7742">
      <w:pPr>
        <w:ind w:left="567"/>
        <w:jc w:val="both"/>
        <w:rPr>
          <w:rFonts w:ascii="Cambria" w:eastAsia="Times New Roman" w:hAnsi="Cambria" w:cs="Cambria"/>
          <w:b/>
          <w:sz w:val="20"/>
          <w:szCs w:val="20"/>
          <w:u w:color="000000"/>
          <w:lang w:val="es-MX" w:eastAsia="es-ES"/>
        </w:rPr>
      </w:pPr>
    </w:p>
    <w:p w:rsidR="00FD7742" w:rsidRPr="008A084A" w:rsidRDefault="00FD7742" w:rsidP="00FD7742">
      <w:pPr>
        <w:numPr>
          <w:ilvl w:val="0"/>
          <w:numId w:val="55"/>
        </w:numPr>
        <w:jc w:val="both"/>
        <w:rPr>
          <w:rFonts w:ascii="Cambria" w:eastAsia="Times New Roman" w:hAnsi="Cambria" w:cs="Cambria"/>
          <w:sz w:val="20"/>
          <w:szCs w:val="20"/>
          <w:u w:color="000000"/>
          <w:lang w:val="es-MX" w:eastAsia="es-ES"/>
        </w:rPr>
      </w:pPr>
      <w:r w:rsidRPr="008A084A">
        <w:rPr>
          <w:rFonts w:ascii="Cambria" w:eastAsia="Times New Roman" w:hAnsi="Cambria" w:cs="Cambria"/>
          <w:sz w:val="20"/>
          <w:szCs w:val="20"/>
          <w:u w:color="000000"/>
          <w:lang w:val="es-ES" w:eastAsia="es-ES"/>
        </w:rPr>
        <w:t xml:space="preserve">En lo que atañe al tercer elemento del consentimiento informado </w:t>
      </w:r>
      <w:r w:rsidRPr="008A084A">
        <w:rPr>
          <w:rFonts w:ascii="Cambria" w:eastAsia="Times New Roman" w:hAnsi="Cambria" w:cs="Cambria"/>
          <w:sz w:val="20"/>
          <w:szCs w:val="20"/>
          <w:u w:color="000000"/>
          <w:lang w:val="es-PE" w:eastAsia="es-ES"/>
        </w:rPr>
        <w:t>–</w:t>
      </w:r>
      <w:r w:rsidRPr="008A084A">
        <w:rPr>
          <w:rFonts w:ascii="Cambria" w:eastAsia="Times New Roman" w:hAnsi="Cambria" w:cs="Cambria"/>
          <w:sz w:val="20"/>
          <w:szCs w:val="20"/>
          <w:u w:color="000000"/>
          <w:lang w:val="es-ES" w:eastAsia="es-ES"/>
        </w:rPr>
        <w:t xml:space="preserve"> asegurar que el consentimiento que se brinde sea </w:t>
      </w:r>
      <w:r w:rsidRPr="008A084A">
        <w:rPr>
          <w:rFonts w:ascii="Cambria" w:eastAsia="Times New Roman" w:hAnsi="Cambria" w:cs="Cambria"/>
          <w:sz w:val="20"/>
          <w:szCs w:val="20"/>
          <w:u w:color="000000"/>
          <w:lang w:val="es-PE" w:eastAsia="es-ES"/>
        </w:rPr>
        <w:t>libre</w:t>
      </w:r>
      <w:r w:rsidRPr="008A084A">
        <w:rPr>
          <w:rFonts w:ascii="Cambria" w:eastAsia="Times New Roman" w:hAnsi="Cambria" w:cs="Cambria"/>
          <w:sz w:val="20"/>
          <w:szCs w:val="20"/>
          <w:u w:color="000000"/>
          <w:lang w:val="es-ES" w:eastAsia="es-ES"/>
        </w:rPr>
        <w:t xml:space="preserve"> y voluntario </w:t>
      </w:r>
      <w:r w:rsidRPr="008A084A">
        <w:rPr>
          <w:rFonts w:ascii="Cambria" w:eastAsia="Times New Roman" w:hAnsi="Cambria" w:cs="Cambria"/>
          <w:sz w:val="20"/>
          <w:szCs w:val="20"/>
          <w:u w:color="000000"/>
          <w:lang w:val="es-PE" w:eastAsia="es-ES"/>
        </w:rPr>
        <w:t>–</w:t>
      </w:r>
      <w:r w:rsidRPr="008A084A">
        <w:rPr>
          <w:rFonts w:ascii="Cambria" w:eastAsia="Times New Roman" w:hAnsi="Cambria" w:cs="Cambria"/>
          <w:sz w:val="20"/>
          <w:szCs w:val="20"/>
          <w:u w:color="000000"/>
          <w:lang w:val="es-ES" w:eastAsia="es-ES"/>
        </w:rPr>
        <w:t xml:space="preserve">, la Comisión estima que para ser efectivo, el consentimiento debe ser otorgado a través de un proceso libre de toda coerción o manipulación. Debido al desequilibrio de poder que caracteriza la relación entre profesionales de la salud y sus pacientes se ha reconocido que el tiempo y </w:t>
      </w:r>
      <w:r w:rsidRPr="008A084A">
        <w:rPr>
          <w:rFonts w:ascii="Cambria" w:eastAsia="Times New Roman" w:hAnsi="Cambria" w:cs="Cambria"/>
          <w:sz w:val="20"/>
          <w:szCs w:val="20"/>
          <w:u w:color="000000"/>
          <w:lang w:val="es-MX" w:eastAsia="es-ES"/>
        </w:rPr>
        <w:t>la</w:t>
      </w:r>
      <w:r w:rsidRPr="008A084A">
        <w:rPr>
          <w:rFonts w:ascii="Cambria" w:eastAsia="Times New Roman" w:hAnsi="Cambria" w:cs="Cambria"/>
          <w:sz w:val="20"/>
          <w:szCs w:val="20"/>
          <w:u w:color="000000"/>
          <w:lang w:val="es-ES" w:eastAsia="es-ES"/>
        </w:rPr>
        <w:t xml:space="preserve"> forma en la que se proporciona la información puede influir indebidamente en la decisión de aceptar o no el tratamiento propuesto. La Comisión reconoce que si bien el consentimiento </w:t>
      </w:r>
      <w:r w:rsidRPr="008A084A">
        <w:rPr>
          <w:rFonts w:ascii="Cambria" w:eastAsia="Times New Roman" w:hAnsi="Cambria" w:cs="Cambria"/>
          <w:sz w:val="20"/>
          <w:szCs w:val="20"/>
          <w:u w:color="000000"/>
          <w:lang w:val="es-ES" w:eastAsia="es-ES"/>
        </w:rPr>
        <w:lastRenderedPageBreak/>
        <w:t>puede ser otorgado de forma verbal o escrita, para efectos de salvaguardar los derechos involucrados, el Estado debe tomar medidas para facilitar que el consentimiento conste por escrito</w:t>
      </w:r>
      <w:r w:rsidRPr="008A084A">
        <w:rPr>
          <w:rFonts w:ascii="Cambria" w:eastAsia="Times New Roman" w:hAnsi="Cambria" w:cs="Cambria"/>
          <w:sz w:val="20"/>
          <w:szCs w:val="20"/>
          <w:u w:color="000000"/>
          <w:vertAlign w:val="superscript"/>
          <w:lang w:val="es-ES" w:eastAsia="es-ES"/>
        </w:rPr>
        <w:footnoteReference w:id="314"/>
      </w:r>
      <w:r w:rsidRPr="008A084A">
        <w:rPr>
          <w:rFonts w:ascii="Cambria" w:eastAsia="Times New Roman" w:hAnsi="Cambria" w:cs="Cambria"/>
          <w:sz w:val="20"/>
          <w:szCs w:val="20"/>
          <w:u w:color="000000"/>
          <w:lang w:val="es-ES" w:eastAsia="es-ES"/>
        </w:rPr>
        <w:t xml:space="preserve">. </w:t>
      </w:r>
    </w:p>
    <w:p w:rsidR="00FD7742" w:rsidRPr="008A084A" w:rsidRDefault="00FD7742" w:rsidP="00FD7742">
      <w:pPr>
        <w:ind w:left="567"/>
        <w:jc w:val="both"/>
        <w:rPr>
          <w:rFonts w:ascii="Cambria" w:eastAsia="Times New Roman" w:hAnsi="Cambria" w:cs="Cambria"/>
          <w:b/>
          <w:sz w:val="20"/>
          <w:szCs w:val="20"/>
          <w:u w:color="000000"/>
          <w:lang w:val="es-MX" w:eastAsia="es-ES"/>
        </w:rPr>
      </w:pPr>
    </w:p>
    <w:p w:rsidR="00FD7742" w:rsidRPr="008A084A" w:rsidRDefault="00FD7742" w:rsidP="00FD7742">
      <w:pPr>
        <w:numPr>
          <w:ilvl w:val="0"/>
          <w:numId w:val="55"/>
        </w:numPr>
        <w:jc w:val="both"/>
        <w:rPr>
          <w:rFonts w:ascii="Cambria" w:eastAsia="Times New Roman" w:hAnsi="Cambria" w:cs="Cambria"/>
          <w:sz w:val="20"/>
          <w:szCs w:val="20"/>
          <w:u w:color="000000"/>
          <w:lang w:val="es-MX" w:eastAsia="es-ES"/>
        </w:rPr>
      </w:pPr>
      <w:r w:rsidRPr="008A084A">
        <w:rPr>
          <w:rFonts w:ascii="Cambria" w:eastAsia="Times New Roman" w:hAnsi="Cambria" w:cs="Cambria"/>
          <w:sz w:val="20"/>
          <w:szCs w:val="20"/>
          <w:u w:color="000000"/>
          <w:lang w:val="es-MX" w:eastAsia="es-ES"/>
        </w:rPr>
        <w:t xml:space="preserve">Finalmente, la Comisión reconoce que existen situaciones excepcionales en donde no se aplica el </w:t>
      </w:r>
      <w:r w:rsidRPr="008A084A">
        <w:rPr>
          <w:rFonts w:ascii="Cambria" w:eastAsia="Times New Roman" w:hAnsi="Cambria" w:cs="Cambria"/>
          <w:sz w:val="20"/>
          <w:szCs w:val="20"/>
          <w:u w:color="000000"/>
          <w:lang w:val="es-ES" w:eastAsia="es-ES"/>
        </w:rPr>
        <w:t>consentimiento</w:t>
      </w:r>
      <w:r w:rsidRPr="008A084A">
        <w:rPr>
          <w:rFonts w:ascii="Cambria" w:eastAsia="Times New Roman" w:hAnsi="Cambria" w:cs="Cambria"/>
          <w:sz w:val="20"/>
          <w:szCs w:val="20"/>
          <w:u w:color="000000"/>
          <w:lang w:val="es-MX" w:eastAsia="es-ES"/>
        </w:rPr>
        <w:t>. Dichas excepciones están relacionadas con situaciones vinculadas a emergencias, por ejemplo cuando se debe tratar médicamente a una persona para preservar su vida o su salud pero ni ella ni un familiar cercano puede otorgar el consentimiento</w:t>
      </w:r>
      <w:r w:rsidRPr="008A084A">
        <w:rPr>
          <w:rFonts w:ascii="Cambria" w:eastAsia="Times New Roman" w:hAnsi="Cambria" w:cs="Cambria"/>
          <w:sz w:val="20"/>
          <w:szCs w:val="20"/>
          <w:u w:color="000000"/>
          <w:vertAlign w:val="superscript"/>
          <w:lang w:val="es-PE" w:eastAsia="es-ES"/>
        </w:rPr>
        <w:footnoteReference w:id="315"/>
      </w:r>
      <w:r w:rsidRPr="008A084A">
        <w:rPr>
          <w:rFonts w:ascii="Cambria" w:eastAsia="Times New Roman" w:hAnsi="Cambria" w:cs="Cambria"/>
          <w:sz w:val="20"/>
          <w:szCs w:val="20"/>
          <w:u w:color="000000"/>
          <w:lang w:val="es-MX" w:eastAsia="es-ES"/>
        </w:rPr>
        <w:t xml:space="preserve">. </w:t>
      </w:r>
    </w:p>
    <w:p w:rsidR="00C94536" w:rsidRPr="008A084A" w:rsidRDefault="00C94536" w:rsidP="00C94536">
      <w:pPr>
        <w:jc w:val="both"/>
        <w:rPr>
          <w:rFonts w:ascii="Cambria" w:hAnsi="Cambria"/>
          <w:sz w:val="20"/>
          <w:szCs w:val="20"/>
          <w:lang w:val="es-ES"/>
        </w:rPr>
      </w:pPr>
    </w:p>
    <w:p w:rsidR="00243876" w:rsidRPr="008A084A" w:rsidRDefault="00A31FA7" w:rsidP="00243876">
      <w:pPr>
        <w:numPr>
          <w:ilvl w:val="0"/>
          <w:numId w:val="55"/>
        </w:numPr>
        <w:jc w:val="both"/>
        <w:rPr>
          <w:rFonts w:ascii="Cambria" w:hAnsi="Cambria"/>
          <w:sz w:val="20"/>
          <w:szCs w:val="20"/>
          <w:lang w:val="es-ES"/>
        </w:rPr>
      </w:pPr>
      <w:r w:rsidRPr="008A084A">
        <w:rPr>
          <w:rFonts w:ascii="Cambria" w:hAnsi="Cambria"/>
          <w:sz w:val="20"/>
          <w:szCs w:val="20"/>
          <w:lang w:val="es-ES"/>
        </w:rPr>
        <w:t>Como se indic</w:t>
      </w:r>
      <w:r w:rsidRPr="008A084A">
        <w:rPr>
          <w:rFonts w:ascii="Cambria" w:hAnsi="Cambria"/>
          <w:sz w:val="20"/>
          <w:szCs w:val="20"/>
          <w:lang w:val="es-CO"/>
        </w:rPr>
        <w:t xml:space="preserve">ó anteriormente, </w:t>
      </w:r>
      <w:r w:rsidR="00D158C2" w:rsidRPr="008A084A">
        <w:rPr>
          <w:rFonts w:ascii="Cambria" w:hAnsi="Cambria"/>
          <w:sz w:val="20"/>
          <w:szCs w:val="20"/>
          <w:lang w:val="es-CO"/>
        </w:rPr>
        <w:t>e</w:t>
      </w:r>
      <w:r w:rsidR="00243876" w:rsidRPr="008A084A">
        <w:rPr>
          <w:rFonts w:ascii="Cambria" w:hAnsi="Cambria"/>
          <w:sz w:val="20"/>
          <w:szCs w:val="20"/>
          <w:lang w:val="es-ES"/>
        </w:rPr>
        <w:t>n relación con las personas institucionalizadas en centros de salud mental los Estados son los responsables de asegurar su integridad personal</w:t>
      </w:r>
      <w:r w:rsidR="001F4AFC" w:rsidRPr="008A084A">
        <w:rPr>
          <w:rFonts w:ascii="Cambria" w:hAnsi="Cambria"/>
          <w:sz w:val="20"/>
          <w:szCs w:val="20"/>
          <w:lang w:val="es-ES"/>
        </w:rPr>
        <w:t xml:space="preserve"> y salud</w:t>
      </w:r>
      <w:r w:rsidR="00100309" w:rsidRPr="008A084A">
        <w:rPr>
          <w:rFonts w:ascii="Cambria" w:hAnsi="Cambria"/>
          <w:sz w:val="20"/>
          <w:szCs w:val="20"/>
          <w:lang w:val="es-ES"/>
        </w:rPr>
        <w:t xml:space="preserve">, lo que se desprende de su </w:t>
      </w:r>
      <w:r w:rsidR="00243876" w:rsidRPr="008A084A">
        <w:rPr>
          <w:rFonts w:ascii="Cambria" w:hAnsi="Cambria"/>
          <w:sz w:val="20"/>
          <w:szCs w:val="20"/>
          <w:lang w:val="es-ES"/>
        </w:rPr>
        <w:t>posición especial de garante</w:t>
      </w:r>
      <w:r w:rsidR="00243876" w:rsidRPr="008A084A">
        <w:rPr>
          <w:rStyle w:val="FootnoteReference"/>
          <w:rFonts w:ascii="Cambria" w:hAnsi="Cambria"/>
          <w:sz w:val="20"/>
          <w:szCs w:val="20"/>
          <w:lang w:val="es-ES"/>
        </w:rPr>
        <w:footnoteReference w:id="316"/>
      </w:r>
      <w:r w:rsidR="00243876" w:rsidRPr="008A084A">
        <w:rPr>
          <w:rFonts w:ascii="Cambria" w:hAnsi="Cambria"/>
          <w:sz w:val="20"/>
          <w:szCs w:val="20"/>
          <w:lang w:val="es-ES"/>
        </w:rPr>
        <w:t xml:space="preserve">. </w:t>
      </w:r>
    </w:p>
    <w:p w:rsidR="00243876" w:rsidRPr="008A084A" w:rsidRDefault="00243876" w:rsidP="00243876">
      <w:pPr>
        <w:rPr>
          <w:rFonts w:ascii="Cambria" w:hAnsi="Cambria"/>
          <w:sz w:val="20"/>
          <w:szCs w:val="20"/>
          <w:lang w:val="es-ES"/>
        </w:rPr>
      </w:pPr>
    </w:p>
    <w:p w:rsidR="00243876" w:rsidRPr="008A084A" w:rsidRDefault="00243876" w:rsidP="00243876">
      <w:pPr>
        <w:numPr>
          <w:ilvl w:val="0"/>
          <w:numId w:val="55"/>
        </w:numPr>
        <w:jc w:val="both"/>
        <w:rPr>
          <w:rFonts w:ascii="Cambria" w:hAnsi="Cambria"/>
          <w:sz w:val="20"/>
          <w:szCs w:val="20"/>
          <w:lang w:val="es-ES"/>
        </w:rPr>
      </w:pPr>
      <w:r w:rsidRPr="008A084A">
        <w:rPr>
          <w:rFonts w:ascii="Cambria" w:hAnsi="Cambria"/>
          <w:sz w:val="20"/>
          <w:szCs w:val="20"/>
          <w:lang w:val="es-ES"/>
        </w:rPr>
        <w:t>Es así como los Estados tienen diversas obligaciones frente a las personas con discapacidad institucionalizadas. El Comité CDPD ha sostenido que los Estados deben brindar una atención en salud sobre la base del consentimiento libre e informado de las personas con discapacidad antes de cualquier tratamiento</w:t>
      </w:r>
      <w:r w:rsidRPr="008A084A">
        <w:rPr>
          <w:rStyle w:val="FootnoteReference"/>
          <w:rFonts w:ascii="Cambria" w:hAnsi="Cambria"/>
          <w:sz w:val="20"/>
          <w:szCs w:val="20"/>
        </w:rPr>
        <w:footnoteReference w:id="317"/>
      </w:r>
      <w:r w:rsidRPr="008A084A">
        <w:rPr>
          <w:rFonts w:ascii="Cambria" w:hAnsi="Cambria"/>
          <w:sz w:val="20"/>
          <w:szCs w:val="20"/>
          <w:lang w:val="es-ES"/>
        </w:rPr>
        <w:t>. Ello</w:t>
      </w:r>
      <w:r w:rsidR="00434A77" w:rsidRPr="008A084A">
        <w:rPr>
          <w:rFonts w:ascii="Cambria" w:hAnsi="Cambria"/>
          <w:sz w:val="20"/>
          <w:szCs w:val="20"/>
          <w:lang w:val="es-ES"/>
        </w:rPr>
        <w:t xml:space="preserve"> con base en</w:t>
      </w:r>
      <w:r w:rsidRPr="008A084A">
        <w:rPr>
          <w:rFonts w:ascii="Cambria" w:hAnsi="Cambria"/>
          <w:sz w:val="20"/>
          <w:szCs w:val="20"/>
          <w:lang w:val="es-ES"/>
        </w:rPr>
        <w:t xml:space="preserve"> que la capacidad jurídica adquiere una importancia especial cuando estas personas tienen que tomar decisiones fundamentales con respecto </w:t>
      </w:r>
      <w:r w:rsidR="00434A77" w:rsidRPr="008A084A">
        <w:rPr>
          <w:rFonts w:ascii="Cambria" w:hAnsi="Cambria"/>
          <w:sz w:val="20"/>
          <w:szCs w:val="20"/>
          <w:lang w:val="es-ES"/>
        </w:rPr>
        <w:t>de</w:t>
      </w:r>
      <w:r w:rsidRPr="008A084A">
        <w:rPr>
          <w:rFonts w:ascii="Cambria" w:hAnsi="Cambria"/>
          <w:sz w:val="20"/>
          <w:szCs w:val="20"/>
          <w:lang w:val="es-ES"/>
        </w:rPr>
        <w:t xml:space="preserve"> su salud</w:t>
      </w:r>
      <w:r w:rsidRPr="008A084A">
        <w:rPr>
          <w:rStyle w:val="FootnoteReference"/>
          <w:rFonts w:ascii="Cambria" w:hAnsi="Cambria"/>
          <w:sz w:val="20"/>
          <w:szCs w:val="20"/>
        </w:rPr>
        <w:footnoteReference w:id="318"/>
      </w:r>
      <w:r w:rsidRPr="008A084A">
        <w:rPr>
          <w:rFonts w:ascii="Cambria" w:hAnsi="Cambria"/>
          <w:sz w:val="20"/>
          <w:szCs w:val="20"/>
          <w:lang w:val="es-ES"/>
        </w:rPr>
        <w:t>.</w:t>
      </w:r>
      <w:r w:rsidR="001F4AFC" w:rsidRPr="008A084A">
        <w:rPr>
          <w:rFonts w:ascii="Cambria" w:hAnsi="Cambria"/>
          <w:sz w:val="20"/>
          <w:szCs w:val="20"/>
          <w:lang w:val="es-ES"/>
        </w:rPr>
        <w:t xml:space="preserve"> </w:t>
      </w:r>
      <w:r w:rsidR="001407F5" w:rsidRPr="008A084A">
        <w:rPr>
          <w:rFonts w:ascii="Cambria" w:hAnsi="Cambria"/>
          <w:sz w:val="20"/>
          <w:szCs w:val="20"/>
          <w:lang w:val="es-ES"/>
        </w:rPr>
        <w:t>De este modo, para la CIDH el consentimiento libre e informado es un elemento fundamental para garantizar el derecho a la salud; en particular, en el ámbito de la salud mental las medidas coercitivas perpetúan los desequilibrios de poder en las relaciones entre pacientes y sus cuidadores y facilita situaciones de abuso, estigma y discriminación.</w:t>
      </w:r>
    </w:p>
    <w:p w:rsidR="00243876" w:rsidRPr="008A084A" w:rsidRDefault="00243876" w:rsidP="00243876">
      <w:pPr>
        <w:rPr>
          <w:rFonts w:ascii="Cambria" w:hAnsi="Cambria"/>
          <w:sz w:val="20"/>
          <w:szCs w:val="20"/>
          <w:lang w:val="es-ES"/>
        </w:rPr>
      </w:pPr>
    </w:p>
    <w:p w:rsidR="00243876" w:rsidRPr="008A084A" w:rsidRDefault="00243876" w:rsidP="00243876">
      <w:pPr>
        <w:numPr>
          <w:ilvl w:val="0"/>
          <w:numId w:val="55"/>
        </w:numPr>
        <w:jc w:val="both"/>
        <w:rPr>
          <w:rFonts w:ascii="Cambria" w:hAnsi="Cambria"/>
          <w:sz w:val="20"/>
          <w:szCs w:val="20"/>
          <w:lang w:val="es-ES"/>
        </w:rPr>
      </w:pPr>
      <w:r w:rsidRPr="008A084A">
        <w:rPr>
          <w:rFonts w:ascii="Cambria" w:hAnsi="Cambria"/>
          <w:sz w:val="20"/>
          <w:szCs w:val="20"/>
          <w:lang w:val="es-ES"/>
        </w:rPr>
        <w:t>Asimismo, los Estados deben capacitar al personal de dichas instituciones y proveer una atención inclusiva y que reúna las necesidades específicas de las personas con discapacidad, en donde se tome en cuenta su voluntad</w:t>
      </w:r>
      <w:r w:rsidRPr="008A084A">
        <w:rPr>
          <w:rStyle w:val="FootnoteReference"/>
          <w:rFonts w:ascii="Cambria" w:hAnsi="Cambria"/>
          <w:sz w:val="20"/>
          <w:szCs w:val="20"/>
          <w:lang w:val="es-ES"/>
        </w:rPr>
        <w:footnoteReference w:id="319"/>
      </w:r>
      <w:r w:rsidRPr="008A084A">
        <w:rPr>
          <w:rFonts w:ascii="Cambria" w:hAnsi="Cambria"/>
          <w:sz w:val="20"/>
          <w:szCs w:val="20"/>
          <w:lang w:val="es-ES"/>
        </w:rPr>
        <w:t>. El Comité CDPD ha sostenido que el tratamiento forzoso por parte de profesionales de la psiquiatría y otros profesionales de la salud y la medicina constituye una violación del derecho a la integridad personal</w:t>
      </w:r>
      <w:r w:rsidRPr="008A084A">
        <w:rPr>
          <w:rStyle w:val="FootnoteReference"/>
          <w:rFonts w:ascii="Cambria" w:hAnsi="Cambria"/>
          <w:sz w:val="20"/>
          <w:szCs w:val="20"/>
        </w:rPr>
        <w:footnoteReference w:id="320"/>
      </w:r>
      <w:r w:rsidRPr="008A084A">
        <w:rPr>
          <w:rFonts w:ascii="Cambria" w:hAnsi="Cambria"/>
          <w:sz w:val="20"/>
          <w:szCs w:val="20"/>
          <w:lang w:val="es-ES"/>
        </w:rPr>
        <w:t>. Ello en tanto dicha práctica niega la capacidad jurídica de una persona de elegir el tratamiento médico que ha de recibir</w:t>
      </w:r>
      <w:r w:rsidRPr="008A084A">
        <w:rPr>
          <w:rStyle w:val="FootnoteReference"/>
          <w:rFonts w:ascii="Cambria" w:hAnsi="Cambria"/>
          <w:sz w:val="20"/>
          <w:szCs w:val="20"/>
        </w:rPr>
        <w:footnoteReference w:id="321"/>
      </w:r>
      <w:r w:rsidRPr="008A084A">
        <w:rPr>
          <w:rFonts w:ascii="Cambria" w:hAnsi="Cambria"/>
          <w:sz w:val="20"/>
          <w:szCs w:val="20"/>
          <w:lang w:val="es-ES"/>
        </w:rPr>
        <w:t xml:space="preserve">. </w:t>
      </w:r>
    </w:p>
    <w:p w:rsidR="00671C11" w:rsidRDefault="00671C11" w:rsidP="00243876">
      <w:pPr>
        <w:rPr>
          <w:rFonts w:ascii="Cambria" w:hAnsi="Cambria"/>
          <w:sz w:val="20"/>
          <w:szCs w:val="20"/>
          <w:lang w:val="es-ES"/>
        </w:rPr>
      </w:pPr>
    </w:p>
    <w:p w:rsidR="00243876" w:rsidRPr="008A084A" w:rsidRDefault="00243876" w:rsidP="00243876">
      <w:pPr>
        <w:numPr>
          <w:ilvl w:val="0"/>
          <w:numId w:val="55"/>
        </w:numPr>
        <w:jc w:val="both"/>
        <w:rPr>
          <w:rFonts w:ascii="Cambria" w:hAnsi="Cambria"/>
          <w:sz w:val="20"/>
          <w:szCs w:val="20"/>
          <w:lang w:val="es-ES"/>
        </w:rPr>
      </w:pPr>
      <w:r w:rsidRPr="008A084A">
        <w:rPr>
          <w:rFonts w:ascii="Cambria" w:hAnsi="Cambria"/>
          <w:sz w:val="20"/>
          <w:szCs w:val="20"/>
          <w:lang w:val="es-ES"/>
        </w:rPr>
        <w:t>Debido a ello todo el personal médico y sanitario debe velar por que se efectúe la consulta apropiada directamente con la persona con discapacidad</w:t>
      </w:r>
      <w:r w:rsidRPr="008A084A">
        <w:rPr>
          <w:rStyle w:val="FootnoteReference"/>
          <w:rFonts w:ascii="Cambria" w:hAnsi="Cambria"/>
          <w:sz w:val="20"/>
          <w:szCs w:val="20"/>
        </w:rPr>
        <w:footnoteReference w:id="322"/>
      </w:r>
      <w:r w:rsidRPr="008A084A">
        <w:rPr>
          <w:rFonts w:ascii="Cambria" w:hAnsi="Cambria"/>
          <w:sz w:val="20"/>
          <w:szCs w:val="20"/>
          <w:lang w:val="es-ES"/>
        </w:rPr>
        <w:t>. Ese personal debe garantizar también, en la medida de sus posibilidades, que los asistentes</w:t>
      </w:r>
      <w:r w:rsidR="00543D73" w:rsidRPr="008A084A">
        <w:rPr>
          <w:rFonts w:ascii="Cambria" w:hAnsi="Cambria"/>
          <w:sz w:val="20"/>
          <w:szCs w:val="20"/>
          <w:lang w:val="es-ES"/>
        </w:rPr>
        <w:t xml:space="preserve">, familiares </w:t>
      </w:r>
      <w:r w:rsidRPr="008A084A">
        <w:rPr>
          <w:rFonts w:ascii="Cambria" w:hAnsi="Cambria"/>
          <w:sz w:val="20"/>
          <w:szCs w:val="20"/>
          <w:lang w:val="es-ES"/>
        </w:rPr>
        <w:t>o personas encargadas de prestar apoyo no sustituyan a las personas con discapacidad en sus decisiones ni tengan una influencia indebida sobre ellas</w:t>
      </w:r>
      <w:r w:rsidRPr="008A084A">
        <w:rPr>
          <w:rStyle w:val="FootnoteReference"/>
          <w:rFonts w:ascii="Cambria" w:hAnsi="Cambria"/>
          <w:sz w:val="20"/>
          <w:szCs w:val="20"/>
        </w:rPr>
        <w:footnoteReference w:id="323"/>
      </w:r>
      <w:r w:rsidRPr="008A084A">
        <w:rPr>
          <w:rFonts w:ascii="Cambria" w:hAnsi="Cambria"/>
          <w:sz w:val="20"/>
          <w:szCs w:val="20"/>
          <w:lang w:val="es-ES"/>
        </w:rPr>
        <w:t>. De esta forma, deben asegurar que i) se proporcione información exacta y accesible sobre las opciones de servicios disponibles; ii) se ofrezcan alternativas no médicas; y iii) se proporcione acceso a apoyo independiente</w:t>
      </w:r>
      <w:r w:rsidRPr="008A084A">
        <w:rPr>
          <w:rStyle w:val="FootnoteReference"/>
          <w:rFonts w:ascii="Cambria" w:hAnsi="Cambria"/>
          <w:sz w:val="20"/>
          <w:szCs w:val="20"/>
        </w:rPr>
        <w:footnoteReference w:id="324"/>
      </w:r>
      <w:r w:rsidRPr="008A084A">
        <w:rPr>
          <w:rFonts w:ascii="Cambria" w:hAnsi="Cambria"/>
          <w:sz w:val="20"/>
          <w:szCs w:val="20"/>
          <w:lang w:val="es-ES"/>
        </w:rPr>
        <w:t>.</w:t>
      </w:r>
    </w:p>
    <w:p w:rsidR="00243876" w:rsidRPr="008A084A" w:rsidRDefault="00243876" w:rsidP="0033041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s-ES"/>
        </w:rPr>
      </w:pPr>
    </w:p>
    <w:p w:rsidR="00A56777" w:rsidRPr="008A084A" w:rsidRDefault="00A56777" w:rsidP="00B329C1">
      <w:pPr>
        <w:pStyle w:val="Heading2"/>
        <w:numPr>
          <w:ilvl w:val="1"/>
          <w:numId w:val="61"/>
        </w:numPr>
        <w:spacing w:before="0" w:after="0"/>
        <w:ind w:firstLine="360"/>
        <w:rPr>
          <w:rFonts w:ascii="Cambria" w:hAnsi="Cambria"/>
          <w:i w:val="0"/>
          <w:sz w:val="20"/>
          <w:szCs w:val="20"/>
          <w:lang w:val="es-ES"/>
        </w:rPr>
      </w:pPr>
      <w:bookmarkStart w:id="34" w:name="_Toc525547514"/>
      <w:r w:rsidRPr="008A084A">
        <w:rPr>
          <w:rFonts w:ascii="Cambria" w:hAnsi="Cambria"/>
          <w:i w:val="0"/>
          <w:sz w:val="20"/>
          <w:szCs w:val="20"/>
          <w:lang w:val="es-ES"/>
        </w:rPr>
        <w:lastRenderedPageBreak/>
        <w:t>Análisis del presente caso</w:t>
      </w:r>
      <w:bookmarkEnd w:id="34"/>
    </w:p>
    <w:p w:rsidR="00A56777" w:rsidRPr="008A084A" w:rsidRDefault="00A56777" w:rsidP="0033041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s-ES"/>
        </w:rPr>
      </w:pPr>
    </w:p>
    <w:p w:rsidR="0017052C" w:rsidRPr="008A084A" w:rsidRDefault="0017052C" w:rsidP="00B329C1">
      <w:pPr>
        <w:pStyle w:val="BodyTextIndent"/>
        <w:numPr>
          <w:ilvl w:val="2"/>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ind w:firstLine="0"/>
        <w:jc w:val="both"/>
        <w:rPr>
          <w:rFonts w:ascii="Cambria" w:hAnsi="Cambria"/>
          <w:b/>
          <w:color w:val="auto"/>
          <w:sz w:val="20"/>
          <w:szCs w:val="20"/>
          <w:lang w:val="es-ES"/>
        </w:rPr>
      </w:pPr>
      <w:r w:rsidRPr="008A084A">
        <w:rPr>
          <w:rFonts w:ascii="Cambria" w:hAnsi="Cambria"/>
          <w:b/>
          <w:color w:val="auto"/>
          <w:sz w:val="20"/>
          <w:szCs w:val="20"/>
          <w:lang w:val="es-ES"/>
        </w:rPr>
        <w:t xml:space="preserve">Sobre </w:t>
      </w:r>
      <w:r w:rsidR="007E61D9" w:rsidRPr="008A084A">
        <w:rPr>
          <w:rFonts w:ascii="Cambria" w:hAnsi="Cambria"/>
          <w:b/>
          <w:color w:val="auto"/>
          <w:sz w:val="20"/>
          <w:szCs w:val="20"/>
          <w:lang w:val="es-ES"/>
        </w:rPr>
        <w:t xml:space="preserve">la </w:t>
      </w:r>
      <w:r w:rsidRPr="008A084A">
        <w:rPr>
          <w:rFonts w:ascii="Cambria" w:hAnsi="Cambria"/>
          <w:b/>
          <w:color w:val="auto"/>
          <w:sz w:val="20"/>
          <w:szCs w:val="20"/>
          <w:lang w:val="es-ES"/>
        </w:rPr>
        <w:t xml:space="preserve"> institucionalización</w:t>
      </w:r>
      <w:r w:rsidR="007E61D9" w:rsidRPr="008A084A">
        <w:rPr>
          <w:rFonts w:ascii="Cambria" w:hAnsi="Cambria"/>
          <w:b/>
          <w:color w:val="auto"/>
          <w:sz w:val="20"/>
          <w:szCs w:val="20"/>
          <w:lang w:val="es-ES"/>
        </w:rPr>
        <w:t xml:space="preserve"> de Luis Guachalá</w:t>
      </w:r>
    </w:p>
    <w:p w:rsidR="0017052C" w:rsidRPr="008A084A" w:rsidRDefault="0017052C" w:rsidP="0033041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s-ES"/>
        </w:rPr>
      </w:pPr>
    </w:p>
    <w:p w:rsidR="00D4121D" w:rsidRPr="008A084A" w:rsidRDefault="00A56777" w:rsidP="007E61D9">
      <w:pPr>
        <w:numPr>
          <w:ilvl w:val="0"/>
          <w:numId w:val="55"/>
        </w:numPr>
        <w:jc w:val="both"/>
        <w:rPr>
          <w:rFonts w:ascii="Cambria" w:hAnsi="Cambria"/>
          <w:sz w:val="20"/>
          <w:szCs w:val="20"/>
          <w:lang w:val="es-ES"/>
        </w:rPr>
      </w:pPr>
      <w:r w:rsidRPr="008A084A">
        <w:rPr>
          <w:rFonts w:ascii="Cambria" w:hAnsi="Cambria"/>
          <w:sz w:val="20"/>
          <w:szCs w:val="20"/>
          <w:lang w:val="es-ES"/>
        </w:rPr>
        <w:t xml:space="preserve">En el presente caso, la CIDH toma nota de que Luis Guachalá es una persona con discapacidad </w:t>
      </w:r>
      <w:r w:rsidR="00F66F31" w:rsidRPr="008A084A">
        <w:rPr>
          <w:rFonts w:ascii="Cambria" w:hAnsi="Cambria"/>
          <w:sz w:val="20"/>
          <w:szCs w:val="20"/>
          <w:lang w:val="es-ES"/>
        </w:rPr>
        <w:t>mental</w:t>
      </w:r>
      <w:r w:rsidR="00782845" w:rsidRPr="008A084A">
        <w:rPr>
          <w:rFonts w:ascii="Cambria" w:hAnsi="Cambria"/>
          <w:sz w:val="20"/>
          <w:szCs w:val="20"/>
          <w:lang w:val="es-ES"/>
        </w:rPr>
        <w:t>,</w:t>
      </w:r>
      <w:r w:rsidR="00AC3C41" w:rsidRPr="008A084A">
        <w:rPr>
          <w:rFonts w:ascii="Cambria" w:hAnsi="Cambria"/>
          <w:sz w:val="20"/>
          <w:szCs w:val="20"/>
          <w:lang w:val="es-ES"/>
        </w:rPr>
        <w:t xml:space="preserve"> </w:t>
      </w:r>
      <w:r w:rsidR="00B972EA" w:rsidRPr="008A084A">
        <w:rPr>
          <w:rFonts w:ascii="Cambria" w:hAnsi="Cambria"/>
          <w:sz w:val="20"/>
          <w:szCs w:val="20"/>
          <w:lang w:val="es-ES"/>
        </w:rPr>
        <w:t>al tomar</w:t>
      </w:r>
      <w:r w:rsidR="00AC3C41" w:rsidRPr="008A084A">
        <w:rPr>
          <w:rFonts w:ascii="Cambria" w:hAnsi="Cambria"/>
          <w:sz w:val="20"/>
          <w:szCs w:val="20"/>
          <w:lang w:val="es-ES"/>
        </w:rPr>
        <w:t xml:space="preserve"> en cuenta</w:t>
      </w:r>
      <w:r w:rsidR="004713CF" w:rsidRPr="008A084A">
        <w:rPr>
          <w:rFonts w:ascii="Cambria" w:hAnsi="Cambria"/>
          <w:sz w:val="20"/>
          <w:szCs w:val="20"/>
          <w:lang w:val="es-ES"/>
        </w:rPr>
        <w:t>:</w:t>
      </w:r>
      <w:r w:rsidR="00D4121D" w:rsidRPr="008A084A">
        <w:rPr>
          <w:rFonts w:ascii="Cambria" w:hAnsi="Cambria"/>
          <w:sz w:val="20"/>
          <w:szCs w:val="20"/>
          <w:lang w:val="es-ES"/>
        </w:rPr>
        <w:t xml:space="preserve"> i) los informes médicos que identifican una deficiencia mental; y ii) las barreras soci</w:t>
      </w:r>
      <w:r w:rsidR="00471FC6" w:rsidRPr="008A084A">
        <w:rPr>
          <w:rFonts w:ascii="Cambria" w:hAnsi="Cambria"/>
          <w:sz w:val="20"/>
          <w:szCs w:val="20"/>
          <w:lang w:val="es-ES"/>
        </w:rPr>
        <w:t>o</w:t>
      </w:r>
      <w:r w:rsidR="00D4121D" w:rsidRPr="008A084A">
        <w:rPr>
          <w:rFonts w:ascii="Cambria" w:hAnsi="Cambria"/>
          <w:sz w:val="20"/>
          <w:szCs w:val="20"/>
          <w:lang w:val="es-ES"/>
        </w:rPr>
        <w:t xml:space="preserve">económicas a las que se vio enfrentado. </w:t>
      </w:r>
      <w:r w:rsidR="00B972EA" w:rsidRPr="008A084A">
        <w:rPr>
          <w:rFonts w:ascii="Cambria" w:hAnsi="Cambria"/>
          <w:sz w:val="20"/>
          <w:szCs w:val="20"/>
          <w:lang w:val="es-ES"/>
        </w:rPr>
        <w:t>Asimismo, la Comisión nota que el señor Guachalá, quien en la época de los hechos tenía 23 años, fue institucionalizado en el Hospital Psiquiátrico Julio Endara el 10 de enero de 2004. L</w:t>
      </w:r>
      <w:r w:rsidR="003A04E9" w:rsidRPr="008A084A">
        <w:rPr>
          <w:rFonts w:ascii="Cambria" w:hAnsi="Cambria"/>
          <w:sz w:val="20"/>
          <w:szCs w:val="20"/>
          <w:lang w:val="es-ES"/>
        </w:rPr>
        <w:t xml:space="preserve">a CIDH observa que no está en controversia que el señor Guachalá fue </w:t>
      </w:r>
      <w:r w:rsidR="00D32032" w:rsidRPr="008A084A">
        <w:rPr>
          <w:rFonts w:ascii="Cambria" w:hAnsi="Cambria"/>
          <w:sz w:val="20"/>
          <w:szCs w:val="20"/>
          <w:lang w:val="es-ES"/>
        </w:rPr>
        <w:t>internado</w:t>
      </w:r>
      <w:r w:rsidR="003A04E9" w:rsidRPr="008A084A">
        <w:rPr>
          <w:rFonts w:ascii="Cambria" w:hAnsi="Cambria"/>
          <w:sz w:val="20"/>
          <w:szCs w:val="20"/>
          <w:lang w:val="es-ES"/>
        </w:rPr>
        <w:t xml:space="preserve"> sin su consentimiento en tanto se requirió </w:t>
      </w:r>
      <w:r w:rsidR="00D14646" w:rsidRPr="008A084A">
        <w:rPr>
          <w:rFonts w:ascii="Cambria" w:hAnsi="Cambria"/>
          <w:sz w:val="20"/>
          <w:szCs w:val="20"/>
          <w:lang w:val="es-ES"/>
        </w:rPr>
        <w:t xml:space="preserve">para su ingreso </w:t>
      </w:r>
      <w:r w:rsidR="003A04E9" w:rsidRPr="008A084A">
        <w:rPr>
          <w:rFonts w:ascii="Cambria" w:hAnsi="Cambria"/>
          <w:sz w:val="20"/>
          <w:szCs w:val="20"/>
          <w:lang w:val="es-ES"/>
        </w:rPr>
        <w:t>únicamente la firma de su madre, Rosario Chimbó.</w:t>
      </w:r>
    </w:p>
    <w:p w:rsidR="003A04E9" w:rsidRPr="008A084A" w:rsidRDefault="003A04E9" w:rsidP="00C962AB">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num" w:pos="1429"/>
          <w:tab w:val="left" w:pos="1530"/>
          <w:tab w:val="num" w:pos="4770"/>
        </w:tabs>
        <w:autoSpaceDE w:val="0"/>
        <w:autoSpaceDN w:val="0"/>
        <w:adjustRightInd w:val="0"/>
        <w:ind w:left="720" w:firstLine="720"/>
        <w:jc w:val="both"/>
        <w:rPr>
          <w:rFonts w:ascii="Cambria" w:hAnsi="Cambria"/>
          <w:color w:val="auto"/>
          <w:sz w:val="20"/>
          <w:szCs w:val="20"/>
          <w:lang w:val="es-ES"/>
        </w:rPr>
      </w:pPr>
    </w:p>
    <w:p w:rsidR="00493631" w:rsidRPr="008A084A" w:rsidRDefault="003A04E9" w:rsidP="007E61D9">
      <w:pPr>
        <w:numPr>
          <w:ilvl w:val="0"/>
          <w:numId w:val="55"/>
        </w:numPr>
        <w:jc w:val="both"/>
        <w:rPr>
          <w:rFonts w:ascii="Cambria" w:hAnsi="Cambria"/>
          <w:sz w:val="20"/>
          <w:szCs w:val="20"/>
          <w:lang w:val="es-PE"/>
        </w:rPr>
      </w:pPr>
      <w:r w:rsidRPr="008A084A">
        <w:rPr>
          <w:rFonts w:ascii="Cambria" w:hAnsi="Cambria"/>
          <w:sz w:val="20"/>
          <w:szCs w:val="20"/>
          <w:lang w:val="es-ES"/>
        </w:rPr>
        <w:t xml:space="preserve">Al respecto, la CIDH recuerda que en octubre de 2014 el Comité CDPD emitió sus observaciones respecto del informe de Ecuador sobre el cumplimiento de la CDPD. En dicho informe el Comité CDPD identificó que el Estado ecuatoriano mantiene un modelo de sustitución en la toma de decisiones de las personas con discapacidad, </w:t>
      </w:r>
      <w:r w:rsidR="00FF5D34" w:rsidRPr="008A084A">
        <w:rPr>
          <w:rFonts w:ascii="Cambria" w:hAnsi="Cambria"/>
          <w:sz w:val="20"/>
          <w:szCs w:val="20"/>
          <w:lang w:val="es-ES"/>
        </w:rPr>
        <w:t xml:space="preserve">en contravención al artículo 12 de la CDPD que establece el derecho a la capacidad jurídica de las personas con discapacidad. </w:t>
      </w:r>
      <w:r w:rsidR="00493631" w:rsidRPr="008A084A">
        <w:rPr>
          <w:rFonts w:ascii="Cambria" w:hAnsi="Cambria"/>
          <w:sz w:val="20"/>
          <w:szCs w:val="20"/>
          <w:lang w:val="es-ES"/>
        </w:rPr>
        <w:t xml:space="preserve">El Comité CDPD indicó que solicitó información al Estado sobre la existencia de una iniciativa para </w:t>
      </w:r>
      <w:r w:rsidR="00493631" w:rsidRPr="008A084A">
        <w:rPr>
          <w:rFonts w:ascii="Cambria" w:hAnsi="Cambria"/>
          <w:sz w:val="20"/>
          <w:szCs w:val="20"/>
          <w:lang w:val="es-PE"/>
        </w:rPr>
        <w:t>para transformar el modelo de sustitución en la toma de decisiones por el sistema de apoyo en la toma de decisiones; sin embargo; Ecuador no presentó información al respecto</w:t>
      </w:r>
      <w:r w:rsidR="00493631" w:rsidRPr="008A084A">
        <w:rPr>
          <w:rStyle w:val="FootnoteReference"/>
          <w:rFonts w:ascii="Cambria" w:hAnsi="Cambria"/>
          <w:sz w:val="20"/>
          <w:szCs w:val="20"/>
        </w:rPr>
        <w:footnoteReference w:id="325"/>
      </w:r>
      <w:r w:rsidR="00493631" w:rsidRPr="008A084A">
        <w:rPr>
          <w:rFonts w:ascii="Cambria" w:hAnsi="Cambria"/>
          <w:sz w:val="20"/>
          <w:szCs w:val="20"/>
          <w:lang w:val="es-PE"/>
        </w:rPr>
        <w:t>.</w:t>
      </w:r>
    </w:p>
    <w:p w:rsidR="00493631" w:rsidRPr="008A084A" w:rsidRDefault="00493631" w:rsidP="00C962AB">
      <w:pPr>
        <w:pStyle w:val="ColorfulList-Accent11"/>
        <w:tabs>
          <w:tab w:val="num" w:pos="1429"/>
          <w:tab w:val="left" w:pos="1530"/>
        </w:tabs>
        <w:ind w:left="0" w:firstLine="720"/>
        <w:rPr>
          <w:rFonts w:ascii="Cambria" w:hAnsi="Cambria"/>
          <w:sz w:val="20"/>
          <w:szCs w:val="20"/>
          <w:lang w:val="es-ES"/>
        </w:rPr>
      </w:pPr>
    </w:p>
    <w:p w:rsidR="003A04E9" w:rsidRPr="008A084A" w:rsidRDefault="00FF5D34" w:rsidP="007E61D9">
      <w:pPr>
        <w:numPr>
          <w:ilvl w:val="0"/>
          <w:numId w:val="55"/>
        </w:numPr>
        <w:jc w:val="both"/>
        <w:rPr>
          <w:rFonts w:ascii="Cambria" w:hAnsi="Cambria"/>
          <w:sz w:val="20"/>
          <w:szCs w:val="20"/>
          <w:lang w:val="es-ES"/>
        </w:rPr>
      </w:pPr>
      <w:r w:rsidRPr="008A084A">
        <w:rPr>
          <w:rFonts w:ascii="Cambria" w:hAnsi="Cambria"/>
          <w:sz w:val="20"/>
          <w:szCs w:val="20"/>
          <w:lang w:val="es-ES"/>
        </w:rPr>
        <w:t>El Comité CDPD agregó lo siguiente:</w:t>
      </w:r>
      <w:r w:rsidR="003A04E9" w:rsidRPr="008A084A">
        <w:rPr>
          <w:rFonts w:ascii="Cambria" w:hAnsi="Cambria"/>
          <w:sz w:val="20"/>
          <w:szCs w:val="20"/>
          <w:lang w:val="es-ES"/>
        </w:rPr>
        <w:t xml:space="preserve"> </w:t>
      </w:r>
    </w:p>
    <w:p w:rsidR="00FF5D34" w:rsidRPr="008A084A" w:rsidRDefault="00FF5D34" w:rsidP="00FF1817">
      <w:pPr>
        <w:jc w:val="both"/>
        <w:rPr>
          <w:rFonts w:ascii="Cambria" w:hAnsi="Cambria"/>
          <w:sz w:val="20"/>
          <w:szCs w:val="20"/>
          <w:lang w:val="es-ES"/>
        </w:rPr>
      </w:pPr>
    </w:p>
    <w:p w:rsidR="00FF5D34" w:rsidRPr="008A084A" w:rsidRDefault="00FF5D34" w:rsidP="00FF5D3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olor w:val="auto"/>
          <w:sz w:val="20"/>
          <w:szCs w:val="20"/>
        </w:rPr>
      </w:pPr>
      <w:r w:rsidRPr="008A084A">
        <w:rPr>
          <w:rFonts w:ascii="Cambria" w:hAnsi="Cambria"/>
          <w:color w:val="auto"/>
          <w:sz w:val="20"/>
          <w:szCs w:val="20"/>
        </w:rPr>
        <w:t>Preocupa al Comité que la Ley Orgánica de Discapacidades, a pesar de haber sido publicada con posterioridad a la ratificación de la Convención por el Estado parte, conserva todavía una definición y una aproximación a la discapacidad desde un enfoque médico. La definición de persona con discapacidad enfatiza la restricción de capacidades y soslaya la dimensión social y relacional de la discapacidad</w:t>
      </w:r>
      <w:r w:rsidRPr="008A084A">
        <w:rPr>
          <w:rStyle w:val="FootnoteReference"/>
          <w:rFonts w:ascii="Cambria" w:hAnsi="Cambria"/>
          <w:color w:val="auto"/>
          <w:sz w:val="20"/>
          <w:szCs w:val="20"/>
        </w:rPr>
        <w:footnoteReference w:id="326"/>
      </w:r>
      <w:r w:rsidRPr="008A084A">
        <w:rPr>
          <w:rFonts w:ascii="Cambria" w:hAnsi="Cambria"/>
          <w:color w:val="auto"/>
          <w:sz w:val="20"/>
          <w:szCs w:val="20"/>
        </w:rPr>
        <w:t>.</w:t>
      </w:r>
    </w:p>
    <w:p w:rsidR="00FF5D34" w:rsidRPr="008A084A" w:rsidRDefault="00FF5D34" w:rsidP="00FF5D3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olor w:val="auto"/>
          <w:sz w:val="20"/>
          <w:szCs w:val="20"/>
        </w:rPr>
      </w:pPr>
      <w:r w:rsidRPr="008A084A">
        <w:rPr>
          <w:rFonts w:ascii="Cambria" w:hAnsi="Cambria"/>
          <w:color w:val="auto"/>
          <w:sz w:val="20"/>
          <w:szCs w:val="20"/>
        </w:rPr>
        <w:t>(…)</w:t>
      </w:r>
    </w:p>
    <w:p w:rsidR="00FF5D34" w:rsidRPr="008A084A" w:rsidRDefault="00FF5D34" w:rsidP="00FF5D3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olor w:val="auto"/>
          <w:sz w:val="20"/>
          <w:szCs w:val="20"/>
          <w:lang w:val="es-ES"/>
        </w:rPr>
      </w:pPr>
      <w:r w:rsidRPr="008A084A">
        <w:rPr>
          <w:rFonts w:ascii="Cambria" w:hAnsi="Cambria"/>
          <w:color w:val="auto"/>
          <w:sz w:val="20"/>
          <w:szCs w:val="20"/>
        </w:rPr>
        <w:t>Preocupa al Comité que la legislación civil del Estado parte prevea el modelo de sustitución de la voluntad mediante la incorporación de figuras como la tutela y la curatela y que no exista un programa inmediato para reformar el Código Civil y el Código de Procedimientos Civiles a efecto de incorporar el modelo de toma de decisiones con apoyo (…)</w:t>
      </w:r>
      <w:r w:rsidRPr="008A084A">
        <w:rPr>
          <w:rStyle w:val="FootnoteReference"/>
          <w:rFonts w:ascii="Cambria" w:hAnsi="Cambria"/>
          <w:color w:val="auto"/>
          <w:sz w:val="20"/>
          <w:szCs w:val="20"/>
        </w:rPr>
        <w:footnoteReference w:id="327"/>
      </w:r>
      <w:r w:rsidRPr="008A084A">
        <w:rPr>
          <w:rFonts w:ascii="Cambria" w:hAnsi="Cambria"/>
          <w:color w:val="auto"/>
          <w:sz w:val="20"/>
          <w:szCs w:val="20"/>
        </w:rPr>
        <w:t>.</w:t>
      </w:r>
    </w:p>
    <w:p w:rsidR="00FF5D34" w:rsidRPr="008A084A" w:rsidRDefault="00FF5D34" w:rsidP="00FF1817">
      <w:pPr>
        <w:jc w:val="both"/>
        <w:rPr>
          <w:rFonts w:ascii="Cambria" w:hAnsi="Cambria"/>
          <w:sz w:val="20"/>
          <w:szCs w:val="20"/>
          <w:lang w:val="es-ES"/>
        </w:rPr>
      </w:pPr>
    </w:p>
    <w:p w:rsidR="00FF5D34" w:rsidRPr="008A084A" w:rsidRDefault="00FF5D34" w:rsidP="007E61D9">
      <w:pPr>
        <w:numPr>
          <w:ilvl w:val="0"/>
          <w:numId w:val="55"/>
        </w:numPr>
        <w:jc w:val="both"/>
        <w:rPr>
          <w:rFonts w:ascii="Cambria" w:hAnsi="Cambria"/>
          <w:sz w:val="20"/>
          <w:szCs w:val="20"/>
          <w:lang w:val="es-ES"/>
        </w:rPr>
      </w:pPr>
      <w:r w:rsidRPr="008A084A">
        <w:rPr>
          <w:rFonts w:ascii="Cambria" w:hAnsi="Cambria"/>
          <w:sz w:val="20"/>
          <w:szCs w:val="20"/>
          <w:lang w:val="es-ES"/>
        </w:rPr>
        <w:t xml:space="preserve">Adicionalmente, el Comité CDPD concluyó </w:t>
      </w:r>
      <w:r w:rsidR="003D64B2" w:rsidRPr="008A084A">
        <w:rPr>
          <w:rFonts w:ascii="Cambria" w:hAnsi="Cambria"/>
          <w:sz w:val="20"/>
          <w:szCs w:val="20"/>
          <w:lang w:val="es-ES"/>
        </w:rPr>
        <w:t>que personas con discapacidad</w:t>
      </w:r>
      <w:r w:rsidR="00087F71" w:rsidRPr="008A084A">
        <w:rPr>
          <w:rFonts w:ascii="Cambria" w:hAnsi="Cambria"/>
          <w:sz w:val="20"/>
          <w:szCs w:val="20"/>
          <w:lang w:val="es-ES"/>
        </w:rPr>
        <w:t xml:space="preserve">, </w:t>
      </w:r>
      <w:r w:rsidR="00087F71" w:rsidRPr="008A084A">
        <w:rPr>
          <w:rFonts w:ascii="Cambria" w:hAnsi="Cambria"/>
          <w:sz w:val="20"/>
          <w:szCs w:val="20"/>
          <w:lang w:val="es-PE"/>
        </w:rPr>
        <w:t>calificadas como “casos oligofrénicos de gravedad y de cronicidad”,</w:t>
      </w:r>
      <w:r w:rsidR="003D64B2" w:rsidRPr="008A084A">
        <w:rPr>
          <w:rFonts w:ascii="Cambria" w:hAnsi="Cambria"/>
          <w:sz w:val="20"/>
          <w:szCs w:val="20"/>
          <w:lang w:val="es-ES"/>
        </w:rPr>
        <w:t xml:space="preserve"> </w:t>
      </w:r>
      <w:r w:rsidR="00087F71" w:rsidRPr="008A084A">
        <w:rPr>
          <w:rFonts w:ascii="Cambria" w:hAnsi="Cambria"/>
          <w:sz w:val="20"/>
          <w:szCs w:val="20"/>
          <w:lang w:val="es-ES"/>
        </w:rPr>
        <w:t xml:space="preserve">son </w:t>
      </w:r>
      <w:r w:rsidR="003D64B2" w:rsidRPr="008A084A">
        <w:rPr>
          <w:rFonts w:ascii="Cambria" w:hAnsi="Cambria"/>
          <w:sz w:val="20"/>
          <w:szCs w:val="20"/>
          <w:lang w:val="es-ES"/>
        </w:rPr>
        <w:t xml:space="preserve">institucionalizadas en el Hospital Psiquiátrico Julio Endara </w:t>
      </w:r>
      <w:r w:rsidR="00087F71" w:rsidRPr="008A084A">
        <w:rPr>
          <w:rFonts w:ascii="Cambria" w:hAnsi="Cambria"/>
          <w:sz w:val="20"/>
          <w:szCs w:val="20"/>
          <w:lang w:val="es-ES"/>
        </w:rPr>
        <w:t>con carácter permanente y sin que se adopten apoyos necesarios para que vivan en la comunidad</w:t>
      </w:r>
      <w:r w:rsidR="00087F71" w:rsidRPr="008A084A">
        <w:rPr>
          <w:rStyle w:val="FootnoteReference"/>
          <w:rFonts w:ascii="Cambria" w:hAnsi="Cambria"/>
          <w:sz w:val="20"/>
          <w:szCs w:val="20"/>
        </w:rPr>
        <w:footnoteReference w:id="328"/>
      </w:r>
      <w:r w:rsidR="00087F71" w:rsidRPr="008A084A">
        <w:rPr>
          <w:rFonts w:ascii="Cambria" w:hAnsi="Cambria"/>
          <w:sz w:val="20"/>
          <w:szCs w:val="20"/>
          <w:lang w:val="es-ES"/>
        </w:rPr>
        <w:t>. La Comisión observa que el propio Estado reconoció la existencia de dicha situación al señalar lo siguiente:</w:t>
      </w:r>
    </w:p>
    <w:p w:rsidR="00686757" w:rsidRDefault="00686757" w:rsidP="00087F7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olor w:val="auto"/>
          <w:sz w:val="20"/>
          <w:szCs w:val="20"/>
        </w:rPr>
      </w:pPr>
    </w:p>
    <w:p w:rsidR="00087F71" w:rsidRDefault="00087F71" w:rsidP="00087F7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olor w:val="auto"/>
          <w:sz w:val="20"/>
          <w:szCs w:val="20"/>
        </w:rPr>
      </w:pPr>
      <w:r w:rsidRPr="008A084A">
        <w:rPr>
          <w:rFonts w:ascii="Cambria" w:hAnsi="Cambria"/>
          <w:color w:val="auto"/>
          <w:sz w:val="20"/>
          <w:szCs w:val="20"/>
        </w:rPr>
        <w:t>Las personas con discapacidad mental que se encuentran institucionalizadas, corresponden a una minoría que responde a condiciones de abandono familiar y a casos de gravedad y cronicidad perfectamente apegados a los protocolos de atención de salud mental</w:t>
      </w:r>
      <w:r w:rsidRPr="008A084A">
        <w:rPr>
          <w:rStyle w:val="FootnoteReference"/>
          <w:rFonts w:ascii="Cambria" w:hAnsi="Cambria"/>
          <w:color w:val="auto"/>
          <w:sz w:val="20"/>
          <w:szCs w:val="20"/>
        </w:rPr>
        <w:footnoteReference w:id="329"/>
      </w:r>
      <w:r w:rsidRPr="008A084A">
        <w:rPr>
          <w:rFonts w:ascii="Cambria" w:hAnsi="Cambria"/>
          <w:color w:val="auto"/>
          <w:sz w:val="20"/>
          <w:szCs w:val="20"/>
        </w:rPr>
        <w:t>.</w:t>
      </w:r>
    </w:p>
    <w:p w:rsidR="00686757" w:rsidRPr="008A084A" w:rsidRDefault="00686757" w:rsidP="00087F7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olor w:val="auto"/>
          <w:sz w:val="20"/>
          <w:szCs w:val="20"/>
          <w:lang w:val="es-ES"/>
        </w:rPr>
      </w:pPr>
    </w:p>
    <w:p w:rsidR="00C265BB" w:rsidRPr="008A084A" w:rsidRDefault="003C0AEE" w:rsidP="00C265BB">
      <w:pPr>
        <w:numPr>
          <w:ilvl w:val="0"/>
          <w:numId w:val="55"/>
        </w:numPr>
        <w:jc w:val="both"/>
        <w:rPr>
          <w:rFonts w:ascii="Cambria" w:hAnsi="Cambria"/>
          <w:sz w:val="20"/>
          <w:szCs w:val="20"/>
          <w:lang w:val="es-ES"/>
        </w:rPr>
      </w:pPr>
      <w:r w:rsidRPr="008A084A">
        <w:rPr>
          <w:rFonts w:ascii="Cambria" w:hAnsi="Cambria"/>
          <w:sz w:val="20"/>
          <w:szCs w:val="20"/>
          <w:lang w:val="es-ES"/>
        </w:rPr>
        <w:t xml:space="preserve">En el presente caso, la institucionalización del señor Guachalá en el Hospital Psiquiátrico Julio Endara el 10 de enero de 2004 se realizó con la autorización de su madre y en función de la evaluación realizada por las autoridades del hospital acerca de las posibles consecuencias de su discapacidad cognitiva o </w:t>
      </w:r>
      <w:r w:rsidRPr="008A084A">
        <w:rPr>
          <w:rFonts w:ascii="Cambria" w:hAnsi="Cambria"/>
          <w:sz w:val="20"/>
          <w:szCs w:val="20"/>
          <w:lang w:val="es-ES"/>
        </w:rPr>
        <w:lastRenderedPageBreak/>
        <w:t>psicosocial. La CIDH observa que en ningún momento el señor Guachalá brindó su consentimiento</w:t>
      </w:r>
      <w:r w:rsidR="00B21DD7" w:rsidRPr="008A084A">
        <w:rPr>
          <w:rFonts w:ascii="Cambria" w:hAnsi="Cambria"/>
          <w:sz w:val="20"/>
          <w:szCs w:val="20"/>
          <w:lang w:val="es-ES"/>
        </w:rPr>
        <w:t xml:space="preserve"> </w:t>
      </w:r>
      <w:r w:rsidR="0083606B" w:rsidRPr="008A084A">
        <w:rPr>
          <w:rFonts w:ascii="Cambria" w:hAnsi="Cambria"/>
          <w:sz w:val="20"/>
          <w:szCs w:val="20"/>
          <w:lang w:val="es-ES"/>
        </w:rPr>
        <w:t xml:space="preserve">informado </w:t>
      </w:r>
      <w:r w:rsidR="00B21DD7" w:rsidRPr="008A084A">
        <w:rPr>
          <w:rFonts w:ascii="Cambria" w:hAnsi="Cambria"/>
          <w:sz w:val="20"/>
          <w:szCs w:val="20"/>
          <w:lang w:val="es-ES"/>
        </w:rPr>
        <w:t>a efectos de ser internado en dicho hospital. Ello no ha sido controvertido por el Estado.</w:t>
      </w:r>
      <w:r w:rsidR="0083606B" w:rsidRPr="008A084A">
        <w:rPr>
          <w:rFonts w:ascii="Cambria" w:hAnsi="Cambria"/>
          <w:sz w:val="20"/>
          <w:szCs w:val="20"/>
          <w:lang w:val="es-ES"/>
        </w:rPr>
        <w:t xml:space="preserve"> De la información disponible en el expediente no surge</w:t>
      </w:r>
      <w:r w:rsidR="00E376CA" w:rsidRPr="008A084A">
        <w:rPr>
          <w:rFonts w:ascii="Cambria" w:hAnsi="Cambria"/>
          <w:sz w:val="20"/>
          <w:szCs w:val="20"/>
          <w:lang w:val="es-ES"/>
        </w:rPr>
        <w:t xml:space="preserve"> valoración alguna sobre las razones por las cuales </w:t>
      </w:r>
      <w:r w:rsidR="0090304F" w:rsidRPr="008A084A">
        <w:rPr>
          <w:rFonts w:ascii="Cambria" w:hAnsi="Cambria"/>
          <w:sz w:val="20"/>
          <w:szCs w:val="20"/>
          <w:lang w:val="es-ES"/>
        </w:rPr>
        <w:t xml:space="preserve">no fue posible obtener el consentimiento informado del señor Guachalá sobre su internamiento. Tampoco surge información </w:t>
      </w:r>
      <w:proofErr w:type="gramStart"/>
      <w:r w:rsidR="0090304F" w:rsidRPr="008A084A">
        <w:rPr>
          <w:rFonts w:ascii="Cambria" w:hAnsi="Cambria"/>
          <w:sz w:val="20"/>
          <w:szCs w:val="20"/>
          <w:lang w:val="es-ES"/>
        </w:rPr>
        <w:t>alguna</w:t>
      </w:r>
      <w:proofErr w:type="gramEnd"/>
      <w:r w:rsidR="0090304F" w:rsidRPr="008A084A">
        <w:rPr>
          <w:rFonts w:ascii="Cambria" w:hAnsi="Cambria"/>
          <w:sz w:val="20"/>
          <w:szCs w:val="20"/>
          <w:lang w:val="es-ES"/>
        </w:rPr>
        <w:t xml:space="preserve"> sobre, ante eventuales dificultades derivadas de los síntomas con los que llegó al centro, las medidas adoptadas para procurar brindarle los apoyos necesarios para que pudiera dar dicho consentimiento. </w:t>
      </w:r>
      <w:r w:rsidR="00ED71B7" w:rsidRPr="008A084A">
        <w:rPr>
          <w:rFonts w:ascii="Cambria" w:hAnsi="Cambria"/>
          <w:sz w:val="20"/>
          <w:szCs w:val="20"/>
          <w:lang w:val="es-ES"/>
        </w:rPr>
        <w:t>Por el contrario, del expediente médico se desprende que el personal del Hospital procedió a sedar totalmente al señor Guachalá, aspecto que será analizado a continuación en lo relativo el tratamiento médico recibido.</w:t>
      </w:r>
    </w:p>
    <w:p w:rsidR="00C265BB" w:rsidRPr="008A084A" w:rsidRDefault="00C265BB" w:rsidP="00A16BA4">
      <w:pPr>
        <w:ind w:left="720"/>
        <w:jc w:val="both"/>
        <w:rPr>
          <w:rFonts w:ascii="Cambria" w:hAnsi="Cambria"/>
          <w:sz w:val="20"/>
          <w:szCs w:val="20"/>
          <w:lang w:val="es-ES"/>
        </w:rPr>
      </w:pPr>
    </w:p>
    <w:p w:rsidR="00E96766" w:rsidRPr="008A084A" w:rsidRDefault="00E96766" w:rsidP="00E96766">
      <w:pPr>
        <w:numPr>
          <w:ilvl w:val="0"/>
          <w:numId w:val="55"/>
        </w:numPr>
        <w:jc w:val="both"/>
        <w:rPr>
          <w:rFonts w:ascii="Cambria" w:hAnsi="Cambria"/>
          <w:sz w:val="20"/>
          <w:szCs w:val="20"/>
          <w:lang w:val="es-ES"/>
        </w:rPr>
      </w:pPr>
      <w:r w:rsidRPr="008A084A">
        <w:rPr>
          <w:rFonts w:ascii="Cambria" w:hAnsi="Cambria"/>
          <w:sz w:val="20"/>
          <w:szCs w:val="20"/>
          <w:lang w:val="es-ES"/>
        </w:rPr>
        <w:t>Asimismo, la CIDH subraya que “si bien algunas formas de internamiento, como la retención en hospitales y en centros psiquiátricos y otros centros médicos, pueden constituir en la práctica una privación de libertad, virtualmente todas las formas de internamiento que se producen sin el consentimiento informado de la persona representan una vulneración del derecho a la salud”</w:t>
      </w:r>
      <w:r w:rsidRPr="008A084A">
        <w:rPr>
          <w:rStyle w:val="FootnoteReference"/>
          <w:rFonts w:ascii="Cambria" w:hAnsi="Cambria"/>
          <w:sz w:val="20"/>
          <w:szCs w:val="20"/>
          <w:lang w:val="es-ES"/>
        </w:rPr>
        <w:footnoteReference w:id="330"/>
      </w:r>
      <w:r w:rsidRPr="008A084A">
        <w:rPr>
          <w:rFonts w:ascii="Cambria" w:hAnsi="Cambria"/>
          <w:sz w:val="20"/>
          <w:szCs w:val="20"/>
          <w:lang w:val="es-ES"/>
        </w:rPr>
        <w:t>. Esto debido a que los centros de reclusión e internamiento en general no son considerados entornos terapéuticos adecuados por dificultar el establecimiento de relaciones no violentas, respetuosas y saludables y por afectar los factores determinantes básicos y sociales de la salud mental como es el entorno físico, psicosocial, político y económico</w:t>
      </w:r>
      <w:r w:rsidRPr="008A084A">
        <w:rPr>
          <w:rStyle w:val="FootnoteReference"/>
          <w:rFonts w:ascii="Cambria" w:hAnsi="Cambria"/>
          <w:sz w:val="20"/>
          <w:szCs w:val="20"/>
          <w:lang w:val="es-ES"/>
        </w:rPr>
        <w:footnoteReference w:id="331"/>
      </w:r>
      <w:r w:rsidRPr="008A084A">
        <w:rPr>
          <w:rFonts w:ascii="Cambria" w:hAnsi="Cambria"/>
          <w:sz w:val="20"/>
          <w:szCs w:val="20"/>
          <w:lang w:val="es-ES"/>
        </w:rPr>
        <w:t>.</w:t>
      </w:r>
      <w:r w:rsidRPr="008A084A">
        <w:rPr>
          <w:lang w:val="es-PE"/>
        </w:rPr>
        <w:t xml:space="preserve"> </w:t>
      </w:r>
      <w:r w:rsidRPr="008A084A">
        <w:rPr>
          <w:rFonts w:ascii="Cambria" w:hAnsi="Cambria"/>
          <w:sz w:val="20"/>
          <w:szCs w:val="20"/>
          <w:lang w:val="es-ES"/>
        </w:rPr>
        <w:t>Asimismo, la CIDH observa que la actuación del centro médico estuvo influenciado por estereotipos sobre las personas con discapacidad mental para decidir autónomamente respecto de su propia salud, el internamiento y medicación realizadas sin su consentimiento son expresiones claras del predominio de tratamientos discriminatorios en los servicios de salud mental que privan a las personas con algún tipo de discapacidad mental de poder decidir sobre su propio cuerpo y salud.</w:t>
      </w:r>
      <w:r w:rsidRPr="008A084A">
        <w:rPr>
          <w:lang w:val="es-PE"/>
        </w:rPr>
        <w:t xml:space="preserve"> </w:t>
      </w:r>
    </w:p>
    <w:p w:rsidR="00B21DD7" w:rsidRPr="008A084A" w:rsidRDefault="00B21DD7" w:rsidP="00A16BA4">
      <w:pPr>
        <w:ind w:left="720"/>
        <w:jc w:val="both"/>
        <w:rPr>
          <w:lang w:val="es-ES"/>
        </w:rPr>
      </w:pPr>
    </w:p>
    <w:p w:rsidR="00B21DD7" w:rsidRPr="008A084A" w:rsidRDefault="00492923" w:rsidP="007E61D9">
      <w:pPr>
        <w:numPr>
          <w:ilvl w:val="0"/>
          <w:numId w:val="55"/>
        </w:numPr>
        <w:jc w:val="both"/>
        <w:rPr>
          <w:rFonts w:ascii="Cambria" w:hAnsi="Cambria"/>
          <w:sz w:val="20"/>
          <w:szCs w:val="20"/>
          <w:lang w:val="es-ES"/>
        </w:rPr>
      </w:pPr>
      <w:r w:rsidRPr="008A084A">
        <w:rPr>
          <w:rFonts w:ascii="Cambria" w:hAnsi="Cambria"/>
          <w:sz w:val="20"/>
          <w:szCs w:val="20"/>
          <w:lang w:val="es-ES"/>
        </w:rPr>
        <w:t>En este punto y específicamente sobre la institucionalización, l</w:t>
      </w:r>
      <w:r w:rsidR="00B21DD7" w:rsidRPr="008A084A">
        <w:rPr>
          <w:rFonts w:ascii="Cambria" w:hAnsi="Cambria"/>
          <w:sz w:val="20"/>
          <w:szCs w:val="20"/>
          <w:lang w:val="es-ES"/>
        </w:rPr>
        <w:t>a Comisión considera</w:t>
      </w:r>
      <w:r w:rsidR="00A018FC" w:rsidRPr="008A084A">
        <w:rPr>
          <w:rFonts w:ascii="Cambria" w:hAnsi="Cambria"/>
          <w:sz w:val="20"/>
          <w:szCs w:val="20"/>
          <w:lang w:val="es-ES"/>
        </w:rPr>
        <w:t xml:space="preserve"> que la situación del señor Guachalá se enmarca dentro</w:t>
      </w:r>
      <w:r w:rsidR="004F307D" w:rsidRPr="008A084A">
        <w:rPr>
          <w:rFonts w:ascii="Cambria" w:hAnsi="Cambria"/>
          <w:sz w:val="20"/>
          <w:szCs w:val="20"/>
          <w:lang w:val="es-ES"/>
        </w:rPr>
        <w:t xml:space="preserve"> la problemática identificada</w:t>
      </w:r>
      <w:r w:rsidR="00A37FF2" w:rsidRPr="008A084A">
        <w:rPr>
          <w:rFonts w:ascii="Cambria" w:hAnsi="Cambria"/>
          <w:sz w:val="20"/>
          <w:szCs w:val="20"/>
          <w:lang w:val="es-ES"/>
        </w:rPr>
        <w:t xml:space="preserve"> </w:t>
      </w:r>
      <w:r w:rsidR="004F307D" w:rsidRPr="008A084A">
        <w:rPr>
          <w:rFonts w:ascii="Cambria" w:hAnsi="Cambria"/>
          <w:sz w:val="20"/>
          <w:szCs w:val="20"/>
          <w:lang w:val="es-ES"/>
        </w:rPr>
        <w:t>por el</w:t>
      </w:r>
      <w:r w:rsidR="00A37FF2" w:rsidRPr="008A084A">
        <w:rPr>
          <w:rFonts w:ascii="Cambria" w:hAnsi="Cambria"/>
          <w:sz w:val="20"/>
          <w:szCs w:val="20"/>
          <w:lang w:val="es-ES"/>
        </w:rPr>
        <w:t xml:space="preserve"> Comité CDPD sobre la </w:t>
      </w:r>
      <w:r w:rsidR="004F307D" w:rsidRPr="008A084A">
        <w:rPr>
          <w:rFonts w:ascii="Cambria" w:hAnsi="Cambria"/>
          <w:sz w:val="20"/>
          <w:szCs w:val="20"/>
          <w:lang w:val="es-ES"/>
        </w:rPr>
        <w:t>existencia del modelo de sustitución en la toma de decisiones y la institucionalización de personas con discapacidad sin su consentimiento</w:t>
      </w:r>
      <w:r w:rsidR="003336FD" w:rsidRPr="008A084A">
        <w:rPr>
          <w:rFonts w:ascii="Cambria" w:hAnsi="Cambria"/>
          <w:sz w:val="20"/>
          <w:szCs w:val="20"/>
          <w:lang w:val="es-ES"/>
        </w:rPr>
        <w:t xml:space="preserve"> en centros de salud mental</w:t>
      </w:r>
      <w:r w:rsidR="00F74B2C" w:rsidRPr="008A084A">
        <w:rPr>
          <w:rFonts w:ascii="Cambria" w:hAnsi="Cambria"/>
          <w:sz w:val="20"/>
          <w:szCs w:val="20"/>
          <w:lang w:val="es-ES"/>
        </w:rPr>
        <w:t xml:space="preserve"> y sin brindarles las apoyos necesarios para que puedan otorga</w:t>
      </w:r>
      <w:r w:rsidR="00F21ECC" w:rsidRPr="008A084A">
        <w:rPr>
          <w:rFonts w:ascii="Cambria" w:hAnsi="Cambria"/>
          <w:sz w:val="20"/>
          <w:szCs w:val="20"/>
          <w:lang w:val="es-ES"/>
        </w:rPr>
        <w:t>r</w:t>
      </w:r>
      <w:r w:rsidR="00F74B2C" w:rsidRPr="008A084A">
        <w:rPr>
          <w:rFonts w:ascii="Cambria" w:hAnsi="Cambria"/>
          <w:sz w:val="20"/>
          <w:szCs w:val="20"/>
          <w:lang w:val="es-ES"/>
        </w:rPr>
        <w:t>lo.</w:t>
      </w:r>
      <w:r w:rsidR="00A37FF2" w:rsidRPr="008A084A">
        <w:rPr>
          <w:rFonts w:ascii="Cambria" w:hAnsi="Cambria"/>
          <w:sz w:val="20"/>
          <w:szCs w:val="20"/>
          <w:lang w:val="es-ES"/>
        </w:rPr>
        <w:t xml:space="preserve"> En ese</w:t>
      </w:r>
      <w:r w:rsidR="004F307D" w:rsidRPr="008A084A">
        <w:rPr>
          <w:rFonts w:ascii="Cambria" w:hAnsi="Cambria"/>
          <w:sz w:val="20"/>
          <w:szCs w:val="20"/>
          <w:lang w:val="es-ES"/>
        </w:rPr>
        <w:t xml:space="preserve"> sentido, la CIDH considera que el Estado no permitió al señor Guachalá que ejerza su derecho a la capacidad jurídica a efectos de decidir sobre su ingreso al hospital psiquiátrico</w:t>
      </w:r>
      <w:r w:rsidR="001B17B8" w:rsidRPr="008A084A">
        <w:rPr>
          <w:rFonts w:ascii="Cambria" w:hAnsi="Cambria"/>
          <w:sz w:val="20"/>
          <w:szCs w:val="20"/>
          <w:lang w:val="es-ES"/>
        </w:rPr>
        <w:t xml:space="preserve">, debido a que no </w:t>
      </w:r>
      <w:r w:rsidR="004F307D" w:rsidRPr="008A084A">
        <w:rPr>
          <w:rFonts w:ascii="Cambria" w:hAnsi="Cambria"/>
          <w:sz w:val="20"/>
          <w:szCs w:val="20"/>
          <w:lang w:val="es-ES"/>
        </w:rPr>
        <w:t>proveyó al señor Guachalá los apoyos necesarios</w:t>
      </w:r>
      <w:r w:rsidR="003336FD" w:rsidRPr="008A084A">
        <w:rPr>
          <w:rFonts w:ascii="Cambria" w:hAnsi="Cambria"/>
          <w:sz w:val="20"/>
          <w:szCs w:val="20"/>
          <w:lang w:val="es-ES"/>
        </w:rPr>
        <w:t xml:space="preserve"> para garantizar dicho derecho</w:t>
      </w:r>
      <w:r w:rsidRPr="008A084A">
        <w:rPr>
          <w:rFonts w:ascii="Cambria" w:hAnsi="Cambria"/>
          <w:sz w:val="20"/>
          <w:szCs w:val="20"/>
          <w:lang w:val="es-ES"/>
        </w:rPr>
        <w:t xml:space="preserve"> y que pudiera brindar su consentimiento informado respecto de su internamiento en el Hospital Psiquiátrico Julio Endara.</w:t>
      </w:r>
      <w:r w:rsidR="003336FD" w:rsidRPr="008A084A">
        <w:rPr>
          <w:rFonts w:ascii="Cambria" w:hAnsi="Cambria"/>
          <w:sz w:val="20"/>
          <w:szCs w:val="20"/>
          <w:lang w:val="es-ES"/>
        </w:rPr>
        <w:t xml:space="preserve"> Por el contrario, Ecuador restringió el derecho del señor Guachalá a decidir sobre su institucionalización basándose exclusivamente en su discapacidad</w:t>
      </w:r>
      <w:r w:rsidR="005C005B" w:rsidRPr="008A084A">
        <w:rPr>
          <w:rFonts w:ascii="Cambria" w:hAnsi="Cambria"/>
          <w:sz w:val="20"/>
          <w:szCs w:val="20"/>
          <w:lang w:val="es-ES"/>
        </w:rPr>
        <w:t xml:space="preserve"> lo que </w:t>
      </w:r>
      <w:r w:rsidR="000D6D00" w:rsidRPr="008A084A">
        <w:rPr>
          <w:rFonts w:ascii="Cambria" w:hAnsi="Cambria"/>
          <w:sz w:val="20"/>
          <w:szCs w:val="20"/>
          <w:lang w:val="es-ES"/>
        </w:rPr>
        <w:t xml:space="preserve">representa </w:t>
      </w:r>
      <w:r w:rsidR="005C005B" w:rsidRPr="008A084A">
        <w:rPr>
          <w:rFonts w:ascii="Cambria" w:hAnsi="Cambria"/>
          <w:sz w:val="20"/>
          <w:szCs w:val="20"/>
          <w:lang w:val="es-ES"/>
        </w:rPr>
        <w:t>una forma de discriminación.</w:t>
      </w:r>
      <w:r w:rsidR="003336FD" w:rsidRPr="008A084A">
        <w:rPr>
          <w:rFonts w:ascii="Cambria" w:hAnsi="Cambria"/>
          <w:sz w:val="20"/>
          <w:szCs w:val="20"/>
          <w:lang w:val="es-ES"/>
        </w:rPr>
        <w:t xml:space="preserve"> </w:t>
      </w:r>
    </w:p>
    <w:p w:rsidR="00671C11" w:rsidRDefault="00671C11" w:rsidP="003336FD">
      <w:pPr>
        <w:pStyle w:val="ColorfulList-Accent11"/>
        <w:rPr>
          <w:rFonts w:ascii="Cambria" w:hAnsi="Cambria"/>
          <w:sz w:val="20"/>
          <w:szCs w:val="20"/>
          <w:lang w:val="es-ES"/>
        </w:rPr>
      </w:pPr>
    </w:p>
    <w:p w:rsidR="003336FD" w:rsidRPr="008A084A" w:rsidRDefault="003336FD" w:rsidP="007E61D9">
      <w:pPr>
        <w:numPr>
          <w:ilvl w:val="0"/>
          <w:numId w:val="55"/>
        </w:numPr>
        <w:jc w:val="both"/>
        <w:rPr>
          <w:rFonts w:ascii="Cambria" w:hAnsi="Cambria"/>
          <w:sz w:val="20"/>
          <w:szCs w:val="20"/>
          <w:lang w:val="es-ES"/>
        </w:rPr>
      </w:pPr>
      <w:r w:rsidRPr="008A084A">
        <w:rPr>
          <w:rFonts w:ascii="Cambria" w:hAnsi="Cambria"/>
          <w:sz w:val="20"/>
          <w:szCs w:val="20"/>
          <w:lang w:val="es-ES"/>
        </w:rPr>
        <w:t>En vista de lo expuesto, la CIDH considera</w:t>
      </w:r>
      <w:r w:rsidR="000E4D28" w:rsidRPr="008A084A">
        <w:rPr>
          <w:rFonts w:ascii="Cambria" w:hAnsi="Cambria"/>
          <w:sz w:val="20"/>
          <w:szCs w:val="20"/>
          <w:lang w:val="es-ES"/>
        </w:rPr>
        <w:t xml:space="preserve"> que el Estado vulneró el derecho a la capacidad jurídica (como componente del derecho al reconocimiento de la personalidad jurídica) del señor Guachalá al institucionalizarlo en un centro de salud mental sin su consentimiento</w:t>
      </w:r>
      <w:r w:rsidR="00676DA4" w:rsidRPr="008A084A">
        <w:rPr>
          <w:rFonts w:ascii="Cambria" w:hAnsi="Cambria"/>
          <w:sz w:val="20"/>
          <w:szCs w:val="20"/>
          <w:lang w:val="es-ES"/>
        </w:rPr>
        <w:t xml:space="preserve"> informado</w:t>
      </w:r>
      <w:r w:rsidR="000E4D28" w:rsidRPr="008A084A">
        <w:rPr>
          <w:rFonts w:ascii="Cambria" w:hAnsi="Cambria"/>
          <w:sz w:val="20"/>
          <w:szCs w:val="20"/>
          <w:lang w:val="es-ES"/>
        </w:rPr>
        <w:t>. Asimismo, la Comisión considera que</w:t>
      </w:r>
      <w:r w:rsidR="00676DA4" w:rsidRPr="008A084A">
        <w:rPr>
          <w:rFonts w:ascii="Cambria" w:hAnsi="Cambria"/>
          <w:sz w:val="20"/>
          <w:szCs w:val="20"/>
          <w:lang w:val="es-ES"/>
        </w:rPr>
        <w:t xml:space="preserve">, por tales razones, el internamiento del señor Guachalá </w:t>
      </w:r>
      <w:r w:rsidR="000E4D28" w:rsidRPr="008A084A">
        <w:rPr>
          <w:rFonts w:ascii="Cambria" w:hAnsi="Cambria"/>
          <w:sz w:val="20"/>
          <w:szCs w:val="20"/>
          <w:lang w:val="es-ES"/>
        </w:rPr>
        <w:t xml:space="preserve">constituyó una </w:t>
      </w:r>
      <w:r w:rsidR="00817574" w:rsidRPr="008A084A">
        <w:rPr>
          <w:rFonts w:ascii="Cambria" w:hAnsi="Cambria"/>
          <w:sz w:val="20"/>
          <w:szCs w:val="20"/>
          <w:lang w:val="es-ES"/>
        </w:rPr>
        <w:t>privación de libertad arbitraria</w:t>
      </w:r>
      <w:r w:rsidR="00676DA4" w:rsidRPr="008A084A">
        <w:rPr>
          <w:rFonts w:ascii="Cambria" w:hAnsi="Cambria"/>
          <w:sz w:val="20"/>
          <w:szCs w:val="20"/>
          <w:lang w:val="es-ES"/>
        </w:rPr>
        <w:t xml:space="preserve"> incompatible </w:t>
      </w:r>
      <w:r w:rsidR="00817574" w:rsidRPr="008A084A">
        <w:rPr>
          <w:rFonts w:ascii="Cambria" w:hAnsi="Cambria"/>
          <w:sz w:val="20"/>
          <w:szCs w:val="20"/>
          <w:lang w:val="es-ES"/>
        </w:rPr>
        <w:t>con la Convención Americana</w:t>
      </w:r>
      <w:r w:rsidR="000D6D00" w:rsidRPr="008A084A">
        <w:rPr>
          <w:rFonts w:ascii="Cambria" w:hAnsi="Cambria"/>
          <w:sz w:val="20"/>
          <w:szCs w:val="20"/>
          <w:lang w:val="es-ES"/>
        </w:rPr>
        <w:t xml:space="preserve"> y una forma de discriminación </w:t>
      </w:r>
      <w:r w:rsidR="00061A8D" w:rsidRPr="008A084A">
        <w:rPr>
          <w:rFonts w:ascii="Cambria" w:hAnsi="Cambria"/>
          <w:sz w:val="20"/>
          <w:szCs w:val="20"/>
          <w:lang w:val="es-ES"/>
        </w:rPr>
        <w:t>por su condición de discapacidad</w:t>
      </w:r>
      <w:r w:rsidR="00817574" w:rsidRPr="008A084A">
        <w:rPr>
          <w:rFonts w:ascii="Cambria" w:hAnsi="Cambria"/>
          <w:sz w:val="20"/>
          <w:szCs w:val="20"/>
          <w:lang w:val="es-ES"/>
        </w:rPr>
        <w:t>. De esta forma, la Comisión concluye que el Estado violó los derechos al reconocimiento de la personalidad jurídica</w:t>
      </w:r>
      <w:r w:rsidR="007277E3" w:rsidRPr="008A084A">
        <w:rPr>
          <w:rFonts w:ascii="Cambria" w:hAnsi="Cambria"/>
          <w:sz w:val="20"/>
          <w:szCs w:val="20"/>
          <w:lang w:val="es-ES"/>
        </w:rPr>
        <w:t xml:space="preserve">, </w:t>
      </w:r>
      <w:r w:rsidR="00817574" w:rsidRPr="008A084A">
        <w:rPr>
          <w:rFonts w:ascii="Cambria" w:hAnsi="Cambria"/>
          <w:sz w:val="20"/>
          <w:szCs w:val="20"/>
          <w:lang w:val="es-ES"/>
        </w:rPr>
        <w:t>a la libertad personal</w:t>
      </w:r>
      <w:r w:rsidR="007277E3" w:rsidRPr="008A084A">
        <w:rPr>
          <w:rFonts w:ascii="Cambria" w:hAnsi="Cambria"/>
          <w:sz w:val="20"/>
          <w:szCs w:val="20"/>
          <w:lang w:val="es-ES"/>
        </w:rPr>
        <w:t xml:space="preserve">, al acceso a la información para brindar el consentimiento en materia de salud y a la salud </w:t>
      </w:r>
      <w:r w:rsidR="00817574" w:rsidRPr="008A084A">
        <w:rPr>
          <w:rFonts w:ascii="Cambria" w:hAnsi="Cambria"/>
          <w:sz w:val="20"/>
          <w:szCs w:val="20"/>
          <w:lang w:val="es-ES"/>
        </w:rPr>
        <w:t>establecidos en los artículos 3</w:t>
      </w:r>
      <w:r w:rsidR="007277E3" w:rsidRPr="008A084A">
        <w:rPr>
          <w:rFonts w:ascii="Cambria" w:hAnsi="Cambria"/>
          <w:sz w:val="20"/>
          <w:szCs w:val="20"/>
          <w:lang w:val="es-ES"/>
        </w:rPr>
        <w:t xml:space="preserve">, </w:t>
      </w:r>
      <w:r w:rsidR="00817574" w:rsidRPr="008A084A">
        <w:rPr>
          <w:rFonts w:ascii="Cambria" w:hAnsi="Cambria"/>
          <w:sz w:val="20"/>
          <w:szCs w:val="20"/>
          <w:lang w:val="es-ES"/>
        </w:rPr>
        <w:t>7</w:t>
      </w:r>
      <w:r w:rsidR="007277E3" w:rsidRPr="008A084A">
        <w:rPr>
          <w:rFonts w:ascii="Cambria" w:hAnsi="Cambria"/>
          <w:sz w:val="20"/>
          <w:szCs w:val="20"/>
          <w:lang w:val="es-ES"/>
        </w:rPr>
        <w:t>.1, 13.1</w:t>
      </w:r>
      <w:r w:rsidR="00061A8D" w:rsidRPr="008A084A">
        <w:rPr>
          <w:rFonts w:ascii="Cambria" w:hAnsi="Cambria"/>
          <w:sz w:val="20"/>
          <w:szCs w:val="20"/>
          <w:lang w:val="es-ES"/>
        </w:rPr>
        <w:t>,</w:t>
      </w:r>
      <w:r w:rsidR="007277E3" w:rsidRPr="008A084A">
        <w:rPr>
          <w:rFonts w:ascii="Cambria" w:hAnsi="Cambria"/>
          <w:sz w:val="20"/>
          <w:szCs w:val="20"/>
          <w:lang w:val="es-ES"/>
        </w:rPr>
        <w:t xml:space="preserve"> </w:t>
      </w:r>
      <w:r w:rsidR="003D17FC" w:rsidRPr="008A084A">
        <w:rPr>
          <w:rFonts w:ascii="Cambria" w:hAnsi="Cambria"/>
          <w:sz w:val="20"/>
          <w:szCs w:val="20"/>
          <w:lang w:val="es-ES"/>
        </w:rPr>
        <w:t xml:space="preserve">24 </w:t>
      </w:r>
      <w:r w:rsidR="007277E3" w:rsidRPr="008A084A">
        <w:rPr>
          <w:rFonts w:ascii="Cambria" w:hAnsi="Cambria"/>
          <w:sz w:val="20"/>
          <w:szCs w:val="20"/>
          <w:lang w:val="es-ES"/>
        </w:rPr>
        <w:t>y 26</w:t>
      </w:r>
      <w:r w:rsidR="00817574" w:rsidRPr="008A084A">
        <w:rPr>
          <w:rFonts w:ascii="Cambria" w:hAnsi="Cambria"/>
          <w:sz w:val="20"/>
          <w:szCs w:val="20"/>
          <w:lang w:val="es-ES"/>
        </w:rPr>
        <w:t xml:space="preserve"> de la Convención Americana, en relación con los artículos 1.1 y 2 de la Convención Americana, en perjuicio de Luis Guachalá.</w:t>
      </w:r>
    </w:p>
    <w:p w:rsidR="0099636E" w:rsidRPr="008A084A" w:rsidRDefault="0099636E" w:rsidP="00686757">
      <w:pPr>
        <w:pStyle w:val="ColorfulList-Accent11"/>
        <w:ind w:left="0"/>
        <w:rPr>
          <w:rFonts w:ascii="Cambria" w:hAnsi="Cambria"/>
          <w:sz w:val="20"/>
          <w:szCs w:val="20"/>
          <w:lang w:val="es-ES"/>
        </w:rPr>
      </w:pPr>
    </w:p>
    <w:p w:rsidR="0017052C" w:rsidRPr="008A084A" w:rsidRDefault="0017052C" w:rsidP="00B329C1">
      <w:pPr>
        <w:pStyle w:val="ColorfulList-Accent11"/>
        <w:numPr>
          <w:ilvl w:val="2"/>
          <w:numId w:val="61"/>
        </w:numPr>
        <w:ind w:firstLine="0"/>
        <w:rPr>
          <w:rFonts w:ascii="Cambria" w:hAnsi="Cambria"/>
          <w:b/>
          <w:sz w:val="20"/>
          <w:szCs w:val="20"/>
          <w:lang w:val="es-ES"/>
        </w:rPr>
      </w:pPr>
      <w:r w:rsidRPr="008A084A">
        <w:rPr>
          <w:rFonts w:ascii="Cambria" w:hAnsi="Cambria"/>
          <w:b/>
          <w:sz w:val="20"/>
          <w:szCs w:val="20"/>
          <w:lang w:val="es-ES"/>
        </w:rPr>
        <w:t>Sobre el tratamiento médico recibido</w:t>
      </w:r>
    </w:p>
    <w:p w:rsidR="0017052C" w:rsidRPr="008A084A" w:rsidRDefault="0017052C" w:rsidP="008E50CE">
      <w:pPr>
        <w:pStyle w:val="ColorfulList-Accent11"/>
        <w:ind w:left="0"/>
        <w:rPr>
          <w:rFonts w:ascii="Cambria" w:hAnsi="Cambria"/>
          <w:sz w:val="20"/>
          <w:szCs w:val="20"/>
          <w:lang w:val="es-ES"/>
        </w:rPr>
      </w:pPr>
    </w:p>
    <w:p w:rsidR="004F307D" w:rsidRPr="008A084A" w:rsidRDefault="00726E25" w:rsidP="007E61D9">
      <w:pPr>
        <w:numPr>
          <w:ilvl w:val="0"/>
          <w:numId w:val="55"/>
        </w:numPr>
        <w:jc w:val="both"/>
        <w:rPr>
          <w:rFonts w:ascii="Cambria" w:hAnsi="Cambria"/>
          <w:sz w:val="20"/>
          <w:szCs w:val="20"/>
          <w:lang w:val="es-ES"/>
        </w:rPr>
      </w:pPr>
      <w:r w:rsidRPr="008A084A">
        <w:rPr>
          <w:rFonts w:ascii="Cambria" w:hAnsi="Cambria"/>
          <w:sz w:val="20"/>
          <w:szCs w:val="20"/>
          <w:lang w:val="es-ES"/>
        </w:rPr>
        <w:t xml:space="preserve">La Comisión no cuenta con información detallada sobre el diagnóstico y el tratamiento recibido por el señor Guachalá a partir de su internamiento el 10 de enero de 2004, de forma que sea posible establecer si el mismo constituyó un tratamiento adecuado </w:t>
      </w:r>
      <w:r w:rsidR="00F86DF8" w:rsidRPr="008A084A">
        <w:rPr>
          <w:rFonts w:ascii="Cambria" w:hAnsi="Cambria"/>
          <w:sz w:val="20"/>
          <w:szCs w:val="20"/>
          <w:lang w:val="es-ES"/>
        </w:rPr>
        <w:t xml:space="preserve">a la luz de su condición particular. En este punto, </w:t>
      </w:r>
      <w:r w:rsidR="00F86DF8" w:rsidRPr="008A084A">
        <w:rPr>
          <w:rFonts w:ascii="Cambria" w:hAnsi="Cambria"/>
          <w:sz w:val="20"/>
          <w:szCs w:val="20"/>
          <w:lang w:val="es-ES"/>
        </w:rPr>
        <w:lastRenderedPageBreak/>
        <w:t xml:space="preserve">la Comisión analizará la información disponible sobre la atención recibida </w:t>
      </w:r>
      <w:r w:rsidR="000C7D25" w:rsidRPr="008A084A">
        <w:rPr>
          <w:rFonts w:ascii="Cambria" w:hAnsi="Cambria"/>
          <w:sz w:val="20"/>
          <w:szCs w:val="20"/>
          <w:lang w:val="es-ES"/>
        </w:rPr>
        <w:t>a la luz de los estándares sobre capacidad jurídica de las personas con discapacidad y consentimiento informado en materia de salud. Así, de los hechos establecidos se desprende que una</w:t>
      </w:r>
      <w:r w:rsidR="00D02F5F" w:rsidRPr="008A084A">
        <w:rPr>
          <w:rFonts w:ascii="Cambria" w:hAnsi="Cambria"/>
          <w:sz w:val="20"/>
          <w:szCs w:val="20"/>
          <w:lang w:val="es-ES"/>
        </w:rPr>
        <w:t xml:space="preserve"> </w:t>
      </w:r>
      <w:r w:rsidR="004F307D" w:rsidRPr="008A084A">
        <w:rPr>
          <w:rFonts w:ascii="Cambria" w:hAnsi="Cambria"/>
          <w:sz w:val="20"/>
          <w:szCs w:val="20"/>
          <w:lang w:val="es-ES"/>
        </w:rPr>
        <w:t>vez que el señor Guachalá fue institucionalizado en el hospital psiquiátrico</w:t>
      </w:r>
      <w:r w:rsidR="00585EC8" w:rsidRPr="008A084A">
        <w:rPr>
          <w:rFonts w:ascii="Cambria" w:hAnsi="Cambria"/>
          <w:sz w:val="20"/>
          <w:szCs w:val="20"/>
          <w:lang w:val="es-ES"/>
        </w:rPr>
        <w:t xml:space="preserve">: </w:t>
      </w:r>
      <w:r w:rsidR="00576DD5" w:rsidRPr="008A084A">
        <w:rPr>
          <w:rFonts w:ascii="Cambria" w:hAnsi="Cambria"/>
          <w:sz w:val="20"/>
          <w:szCs w:val="20"/>
          <w:lang w:val="es-ES"/>
        </w:rPr>
        <w:t xml:space="preserve">i) recibió </w:t>
      </w:r>
      <w:r w:rsidR="004E4B05" w:rsidRPr="008A084A">
        <w:rPr>
          <w:rFonts w:ascii="Cambria" w:hAnsi="Cambria"/>
          <w:sz w:val="20"/>
          <w:szCs w:val="20"/>
          <w:lang w:val="es-ES"/>
        </w:rPr>
        <w:t xml:space="preserve">medicina </w:t>
      </w:r>
      <w:r w:rsidR="00576DD5" w:rsidRPr="008A084A">
        <w:rPr>
          <w:rFonts w:ascii="Cambria" w:hAnsi="Cambria"/>
          <w:sz w:val="20"/>
          <w:szCs w:val="20"/>
          <w:lang w:val="es-ES"/>
        </w:rPr>
        <w:t>el mismo día de su ingreso</w:t>
      </w:r>
      <w:r w:rsidR="004E4B05" w:rsidRPr="008A084A">
        <w:rPr>
          <w:rFonts w:ascii="Cambria" w:hAnsi="Cambria"/>
          <w:sz w:val="20"/>
          <w:szCs w:val="20"/>
          <w:lang w:val="es-ES"/>
        </w:rPr>
        <w:t xml:space="preserve"> con la finalidad de sedarlo, lo que ocurrió inmediatamente según el testimonio de su madre</w:t>
      </w:r>
      <w:r w:rsidR="00576DD5" w:rsidRPr="008A084A">
        <w:rPr>
          <w:rFonts w:ascii="Cambria" w:hAnsi="Cambria"/>
          <w:sz w:val="20"/>
          <w:szCs w:val="20"/>
          <w:lang w:val="es-ES"/>
        </w:rPr>
        <w:t>; ii) estuvo sedado durante el 11 y 12 de enero</w:t>
      </w:r>
      <w:r w:rsidR="00F92CBC" w:rsidRPr="008A084A">
        <w:rPr>
          <w:rFonts w:ascii="Cambria" w:hAnsi="Cambria"/>
          <w:sz w:val="20"/>
          <w:szCs w:val="20"/>
          <w:lang w:val="es-ES"/>
        </w:rPr>
        <w:t>; y iii) se le cambió medicamentos el 13 de enero.</w:t>
      </w:r>
      <w:r w:rsidR="00576DD5" w:rsidRPr="008A084A">
        <w:rPr>
          <w:rFonts w:ascii="Cambria" w:hAnsi="Cambria"/>
          <w:sz w:val="20"/>
          <w:szCs w:val="20"/>
          <w:lang w:val="es-ES"/>
        </w:rPr>
        <w:t xml:space="preserve"> </w:t>
      </w:r>
    </w:p>
    <w:p w:rsidR="00907C0E" w:rsidRPr="008A084A" w:rsidRDefault="00907C0E" w:rsidP="00907C0E">
      <w:pPr>
        <w:pStyle w:val="ColorfulList-Accent11"/>
        <w:rPr>
          <w:rFonts w:ascii="Cambria" w:hAnsi="Cambria"/>
          <w:sz w:val="20"/>
          <w:szCs w:val="20"/>
          <w:lang w:val="es-ES"/>
        </w:rPr>
      </w:pPr>
    </w:p>
    <w:p w:rsidR="00907C0E" w:rsidRPr="008A084A" w:rsidRDefault="00336C6A" w:rsidP="007E61D9">
      <w:pPr>
        <w:numPr>
          <w:ilvl w:val="0"/>
          <w:numId w:val="55"/>
        </w:numPr>
        <w:jc w:val="both"/>
        <w:rPr>
          <w:rFonts w:ascii="Cambria" w:hAnsi="Cambria"/>
          <w:sz w:val="20"/>
          <w:szCs w:val="20"/>
          <w:lang w:val="es-ES"/>
        </w:rPr>
      </w:pPr>
      <w:r w:rsidRPr="008A084A">
        <w:rPr>
          <w:rFonts w:ascii="Cambria" w:hAnsi="Cambria"/>
          <w:sz w:val="20"/>
          <w:szCs w:val="20"/>
          <w:lang w:val="es-ES"/>
        </w:rPr>
        <w:t>L</w:t>
      </w:r>
      <w:r w:rsidR="00907C0E" w:rsidRPr="008A084A">
        <w:rPr>
          <w:rFonts w:ascii="Cambria" w:hAnsi="Cambria"/>
          <w:sz w:val="20"/>
          <w:szCs w:val="20"/>
          <w:lang w:val="es-ES"/>
        </w:rPr>
        <w:t xml:space="preserve">a CIDH resalta que el Comité CDPD en sus observaciones finales sobre Ecuador identificó situaciones en donde las personas con discapacidad institucionalizadas en centros de salud mental reciben tratamiento </w:t>
      </w:r>
      <w:r w:rsidR="00907C0E" w:rsidRPr="008A084A">
        <w:rPr>
          <w:rFonts w:ascii="Cambria" w:hAnsi="Cambria"/>
          <w:sz w:val="20"/>
          <w:szCs w:val="20"/>
          <w:lang w:val="es-CO"/>
        </w:rPr>
        <w:t>médico-psiquiátrico de manera forzos</w:t>
      </w:r>
      <w:r w:rsidR="002052A3" w:rsidRPr="008A084A">
        <w:rPr>
          <w:rFonts w:ascii="Cambria" w:hAnsi="Cambria"/>
          <w:sz w:val="20"/>
          <w:szCs w:val="20"/>
          <w:lang w:val="es-CO"/>
        </w:rPr>
        <w:t>a</w:t>
      </w:r>
      <w:r w:rsidR="00907C0E" w:rsidRPr="008A084A">
        <w:rPr>
          <w:rFonts w:ascii="Cambria" w:hAnsi="Cambria"/>
          <w:sz w:val="20"/>
          <w:szCs w:val="20"/>
          <w:lang w:val="es-CO"/>
        </w:rPr>
        <w:t xml:space="preserve"> y sin su consentimiento</w:t>
      </w:r>
      <w:r w:rsidR="00907C0E" w:rsidRPr="008A084A">
        <w:rPr>
          <w:rStyle w:val="FootnoteReference"/>
          <w:rFonts w:ascii="Cambria" w:hAnsi="Cambria"/>
          <w:sz w:val="20"/>
          <w:szCs w:val="20"/>
        </w:rPr>
        <w:footnoteReference w:id="332"/>
      </w:r>
      <w:r w:rsidR="00907C0E" w:rsidRPr="008A084A">
        <w:rPr>
          <w:rFonts w:ascii="Cambria" w:hAnsi="Cambria"/>
          <w:sz w:val="20"/>
          <w:szCs w:val="20"/>
          <w:lang w:val="es-CO"/>
        </w:rPr>
        <w:t>.</w:t>
      </w:r>
      <w:r w:rsidRPr="008A084A">
        <w:rPr>
          <w:rFonts w:ascii="Cambria" w:hAnsi="Cambria"/>
          <w:sz w:val="20"/>
          <w:szCs w:val="20"/>
          <w:lang w:val="es-CO"/>
        </w:rPr>
        <w:t xml:space="preserve"> Por ello, el Comité CDPD recomendó al Estado </w:t>
      </w:r>
      <w:r w:rsidR="006C644A" w:rsidRPr="008A084A">
        <w:rPr>
          <w:rFonts w:ascii="Cambria" w:hAnsi="Cambria"/>
          <w:sz w:val="20"/>
          <w:szCs w:val="20"/>
          <w:lang w:val="es-CO"/>
        </w:rPr>
        <w:t>e</w:t>
      </w:r>
      <w:r w:rsidRPr="008A084A">
        <w:rPr>
          <w:rFonts w:ascii="Cambria" w:hAnsi="Cambria"/>
          <w:sz w:val="20"/>
          <w:szCs w:val="20"/>
          <w:lang w:val="es-CO"/>
        </w:rPr>
        <w:t xml:space="preserve">cuatoriano </w:t>
      </w:r>
      <w:r w:rsidRPr="008A084A">
        <w:rPr>
          <w:rFonts w:ascii="Cambria" w:hAnsi="Cambria"/>
          <w:sz w:val="20"/>
          <w:szCs w:val="20"/>
          <w:lang w:val="es-ES"/>
        </w:rPr>
        <w:t>“v</w:t>
      </w:r>
      <w:r w:rsidR="00907C0E" w:rsidRPr="008A084A">
        <w:rPr>
          <w:rFonts w:ascii="Cambria" w:hAnsi="Cambria"/>
          <w:sz w:val="20"/>
          <w:szCs w:val="20"/>
          <w:lang w:val="es-CO"/>
        </w:rPr>
        <w:t>elar por que se presten todos los servicios de salud mental con el consentimiento libre e informado de la persona afectada</w:t>
      </w:r>
      <w:r w:rsidRPr="008A084A">
        <w:rPr>
          <w:rFonts w:ascii="Cambria" w:hAnsi="Cambria"/>
          <w:sz w:val="20"/>
          <w:szCs w:val="20"/>
          <w:lang w:val="es-ES"/>
        </w:rPr>
        <w:t>”</w:t>
      </w:r>
      <w:r w:rsidR="00907C0E" w:rsidRPr="008A084A">
        <w:rPr>
          <w:rStyle w:val="FootnoteReference"/>
          <w:rFonts w:ascii="Cambria" w:hAnsi="Cambria"/>
          <w:sz w:val="20"/>
          <w:szCs w:val="20"/>
        </w:rPr>
        <w:footnoteReference w:id="333"/>
      </w:r>
      <w:r w:rsidR="00907C0E" w:rsidRPr="008A084A">
        <w:rPr>
          <w:rFonts w:ascii="Cambria" w:hAnsi="Cambria"/>
          <w:sz w:val="20"/>
          <w:szCs w:val="20"/>
          <w:lang w:val="es-CO"/>
        </w:rPr>
        <w:t>.</w:t>
      </w:r>
    </w:p>
    <w:p w:rsidR="00336C6A" w:rsidRPr="008A084A" w:rsidRDefault="00336C6A" w:rsidP="00336C6A">
      <w:pPr>
        <w:pStyle w:val="ColorfulList-Accent11"/>
        <w:rPr>
          <w:rFonts w:ascii="Cambria" w:hAnsi="Cambria"/>
          <w:sz w:val="20"/>
          <w:szCs w:val="20"/>
          <w:lang w:val="es-ES"/>
        </w:rPr>
      </w:pPr>
    </w:p>
    <w:p w:rsidR="00223D2C" w:rsidRPr="008A084A" w:rsidRDefault="007B7342" w:rsidP="007E61D9">
      <w:pPr>
        <w:numPr>
          <w:ilvl w:val="0"/>
          <w:numId w:val="55"/>
        </w:numPr>
        <w:jc w:val="both"/>
        <w:rPr>
          <w:rFonts w:ascii="Cambria" w:hAnsi="Cambria"/>
          <w:sz w:val="20"/>
          <w:szCs w:val="20"/>
          <w:lang w:val="es-ES"/>
        </w:rPr>
      </w:pPr>
      <w:r w:rsidRPr="008A084A">
        <w:rPr>
          <w:rFonts w:ascii="Cambria" w:hAnsi="Cambria"/>
          <w:sz w:val="20"/>
          <w:szCs w:val="20"/>
          <w:lang w:val="es-ES"/>
        </w:rPr>
        <w:t xml:space="preserve">En el presente caso, la Comisión nota que </w:t>
      </w:r>
      <w:r w:rsidR="006C644A" w:rsidRPr="008A084A">
        <w:rPr>
          <w:rFonts w:ascii="Cambria" w:hAnsi="Cambria"/>
          <w:sz w:val="20"/>
          <w:szCs w:val="20"/>
          <w:lang w:val="es-ES"/>
        </w:rPr>
        <w:t xml:space="preserve">en </w:t>
      </w:r>
      <w:r w:rsidRPr="008A084A">
        <w:rPr>
          <w:rFonts w:ascii="Cambria" w:hAnsi="Cambria"/>
          <w:sz w:val="20"/>
          <w:szCs w:val="20"/>
          <w:lang w:val="es-ES"/>
        </w:rPr>
        <w:t>la documentación aportada por las partes</w:t>
      </w:r>
      <w:r w:rsidR="006C644A" w:rsidRPr="008A084A">
        <w:rPr>
          <w:rFonts w:ascii="Cambria" w:hAnsi="Cambria"/>
          <w:sz w:val="20"/>
          <w:szCs w:val="20"/>
          <w:lang w:val="es-ES"/>
        </w:rPr>
        <w:t xml:space="preserve"> sobre la situación de salud del señor Guachalá durante su internamiento,</w:t>
      </w:r>
      <w:r w:rsidRPr="008A084A">
        <w:rPr>
          <w:rFonts w:ascii="Cambria" w:hAnsi="Cambria"/>
          <w:sz w:val="20"/>
          <w:szCs w:val="20"/>
          <w:lang w:val="es-ES"/>
        </w:rPr>
        <w:t xml:space="preserve"> no</w:t>
      </w:r>
      <w:r w:rsidR="006C644A" w:rsidRPr="008A084A">
        <w:rPr>
          <w:rFonts w:ascii="Cambria" w:hAnsi="Cambria"/>
          <w:sz w:val="20"/>
          <w:szCs w:val="20"/>
          <w:lang w:val="es-ES"/>
        </w:rPr>
        <w:t xml:space="preserve"> existe constancia alguna de que  el paciente haya contado con información sobre su diagnóstico y tratamiento disponible y que haya ofrecido </w:t>
      </w:r>
      <w:r w:rsidRPr="008A084A">
        <w:rPr>
          <w:rFonts w:ascii="Cambria" w:hAnsi="Cambria"/>
          <w:sz w:val="20"/>
          <w:szCs w:val="20"/>
          <w:lang w:val="es-ES"/>
        </w:rPr>
        <w:t>su consentimiento a efectos de recibir dicho tratamiento.</w:t>
      </w:r>
      <w:r w:rsidR="006C644A" w:rsidRPr="008A084A">
        <w:rPr>
          <w:rFonts w:ascii="Cambria" w:hAnsi="Cambria"/>
          <w:sz w:val="20"/>
          <w:szCs w:val="20"/>
          <w:lang w:val="es-ES"/>
        </w:rPr>
        <w:t xml:space="preserve"> Al igual que con relación a su internamiento, tampoco consta elemento alguno que indique que se le hubieran ofrecido los apoyos necesarios para brindar dicho consentimiento.</w:t>
      </w:r>
      <w:r w:rsidRPr="008A084A">
        <w:rPr>
          <w:rFonts w:ascii="Cambria" w:hAnsi="Cambria"/>
          <w:sz w:val="20"/>
          <w:szCs w:val="20"/>
          <w:lang w:val="es-ES"/>
        </w:rPr>
        <w:t xml:space="preserve"> </w:t>
      </w:r>
      <w:r w:rsidR="00E96766" w:rsidRPr="008A084A">
        <w:rPr>
          <w:rFonts w:ascii="Cambria" w:hAnsi="Cambria"/>
          <w:sz w:val="20"/>
          <w:szCs w:val="20"/>
          <w:lang w:val="es-ES"/>
        </w:rPr>
        <w:t xml:space="preserve">De esta manera, la CIDH encuentra que el centro médico realizó una intervención paternalista injustificada toda vez que, al cercenarle su capacidad jurídica sin buscar obtener su consentimiento previo, libre, pleno e informado, restringió la autonomía, integridad y salud del señor Guachalá para tomar una decisión sobre su salud mental mediante el tratamiento médico ejercido. La CIDH tampoco encuentra que el Estado ecuatoriano haya facilitado tratamientos alternativos a la medicación e internamiento no consentidos, por ejemplo, evaluando la conveniencia de intervenciones psicosociales eficaces en el ámbito comunitario dirigidas a garantizar su salud mental. </w:t>
      </w:r>
      <w:r w:rsidR="006C644A" w:rsidRPr="008A084A">
        <w:rPr>
          <w:rFonts w:ascii="Cambria" w:hAnsi="Cambria"/>
          <w:sz w:val="20"/>
          <w:szCs w:val="20"/>
          <w:lang w:val="es-ES"/>
        </w:rPr>
        <w:t xml:space="preserve">En </w:t>
      </w:r>
      <w:r w:rsidR="00DD7768" w:rsidRPr="008A084A">
        <w:rPr>
          <w:rFonts w:ascii="Cambria" w:hAnsi="Cambria"/>
          <w:sz w:val="20"/>
          <w:szCs w:val="20"/>
          <w:lang w:val="es-ES"/>
        </w:rPr>
        <w:t>definitiva</w:t>
      </w:r>
      <w:r w:rsidR="006C644A" w:rsidRPr="008A084A">
        <w:rPr>
          <w:rFonts w:ascii="Cambria" w:hAnsi="Cambria"/>
          <w:sz w:val="20"/>
          <w:szCs w:val="20"/>
          <w:lang w:val="es-ES"/>
        </w:rPr>
        <w:t>, en el presente caso la omisión del Estado en la materia es de carácter absoluto y refleja una concepción</w:t>
      </w:r>
      <w:r w:rsidR="00BA21B5" w:rsidRPr="008A084A">
        <w:rPr>
          <w:rFonts w:ascii="Cambria" w:hAnsi="Cambria"/>
          <w:sz w:val="20"/>
          <w:szCs w:val="20"/>
          <w:lang w:val="es-ES"/>
        </w:rPr>
        <w:t xml:space="preserve"> de los trastornos mentales que los equiparan automáticamente a una discapacidad y, a su vez, de una concepción de la</w:t>
      </w:r>
      <w:r w:rsidR="00BA4500" w:rsidRPr="008A084A">
        <w:rPr>
          <w:rFonts w:ascii="Cambria" w:hAnsi="Cambria"/>
          <w:sz w:val="20"/>
          <w:szCs w:val="20"/>
          <w:lang w:val="es-ES"/>
        </w:rPr>
        <w:t>s</w:t>
      </w:r>
      <w:r w:rsidR="00BA21B5" w:rsidRPr="008A084A">
        <w:rPr>
          <w:rFonts w:ascii="Cambria" w:hAnsi="Cambria"/>
          <w:sz w:val="20"/>
          <w:szCs w:val="20"/>
          <w:lang w:val="es-ES"/>
        </w:rPr>
        <w:t xml:space="preserve"> </w:t>
      </w:r>
      <w:r w:rsidR="00BA4500" w:rsidRPr="008A084A">
        <w:rPr>
          <w:rFonts w:ascii="Cambria" w:hAnsi="Cambria"/>
          <w:sz w:val="20"/>
          <w:szCs w:val="20"/>
          <w:lang w:val="es-ES"/>
        </w:rPr>
        <w:t xml:space="preserve">personas con </w:t>
      </w:r>
      <w:r w:rsidR="00BA21B5" w:rsidRPr="008A084A">
        <w:rPr>
          <w:rFonts w:ascii="Cambria" w:hAnsi="Cambria"/>
          <w:sz w:val="20"/>
          <w:szCs w:val="20"/>
          <w:lang w:val="es-ES"/>
        </w:rPr>
        <w:t>discapacidad mental que la</w:t>
      </w:r>
      <w:r w:rsidR="00BA4500" w:rsidRPr="008A084A">
        <w:rPr>
          <w:rFonts w:ascii="Cambria" w:hAnsi="Cambria"/>
          <w:sz w:val="20"/>
          <w:szCs w:val="20"/>
          <w:lang w:val="es-ES"/>
        </w:rPr>
        <w:t>s</w:t>
      </w:r>
      <w:r w:rsidR="00BA21B5" w:rsidRPr="008A084A">
        <w:rPr>
          <w:rFonts w:ascii="Cambria" w:hAnsi="Cambria"/>
          <w:sz w:val="20"/>
          <w:szCs w:val="20"/>
          <w:lang w:val="es-ES"/>
        </w:rPr>
        <w:t xml:space="preserve"> equipara a la ausencia de autonomía para la toma de decisiones sobre </w:t>
      </w:r>
      <w:r w:rsidR="00BA4500" w:rsidRPr="008A084A">
        <w:rPr>
          <w:rFonts w:ascii="Cambria" w:hAnsi="Cambria"/>
          <w:sz w:val="20"/>
          <w:szCs w:val="20"/>
          <w:lang w:val="es-ES"/>
        </w:rPr>
        <w:t>su salud y tratamiento</w:t>
      </w:r>
      <w:r w:rsidR="00DD7768" w:rsidRPr="008A084A">
        <w:rPr>
          <w:rFonts w:ascii="Cambria" w:hAnsi="Cambria"/>
          <w:sz w:val="20"/>
          <w:szCs w:val="20"/>
          <w:lang w:val="es-ES"/>
        </w:rPr>
        <w:t>, situación que configura una forma de discriminación</w:t>
      </w:r>
      <w:r w:rsidR="00BA4500" w:rsidRPr="008A084A">
        <w:rPr>
          <w:rFonts w:ascii="Cambria" w:hAnsi="Cambria"/>
          <w:sz w:val="20"/>
          <w:szCs w:val="20"/>
          <w:lang w:val="es-ES"/>
        </w:rPr>
        <w:t>.</w:t>
      </w:r>
    </w:p>
    <w:p w:rsidR="00223D2C" w:rsidRDefault="00223D2C" w:rsidP="00D42955">
      <w:pPr>
        <w:pStyle w:val="ListParagraph"/>
        <w:rPr>
          <w:rFonts w:ascii="Cambria" w:hAnsi="Cambria"/>
          <w:sz w:val="20"/>
          <w:szCs w:val="20"/>
          <w:lang w:val="es-ES"/>
        </w:rPr>
      </w:pPr>
    </w:p>
    <w:p w:rsidR="00AC0BE7" w:rsidRPr="008A084A" w:rsidRDefault="00BA4500" w:rsidP="00223D2C">
      <w:pPr>
        <w:numPr>
          <w:ilvl w:val="0"/>
          <w:numId w:val="55"/>
        </w:numPr>
        <w:jc w:val="both"/>
        <w:rPr>
          <w:rFonts w:ascii="Cambria" w:hAnsi="Cambria"/>
          <w:sz w:val="20"/>
          <w:szCs w:val="20"/>
          <w:lang w:val="es-ES"/>
        </w:rPr>
      </w:pPr>
      <w:r w:rsidRPr="008A084A">
        <w:rPr>
          <w:rFonts w:ascii="Cambria" w:hAnsi="Cambria"/>
          <w:sz w:val="20"/>
          <w:szCs w:val="20"/>
          <w:lang w:val="es-ES"/>
        </w:rPr>
        <w:t xml:space="preserve"> En virtud de las anteriores consideraciones, la CIDH concluye que también con relación al tratamiento recibió por Luis Eduardo Guachalá, el Estado violó sus derechos a la capacidad jurídica, al acceso a la información para brindar el consentimiento informado en materia de salud y el derecho a la salud,</w:t>
      </w:r>
      <w:r w:rsidR="00061A8D" w:rsidRPr="008A084A">
        <w:rPr>
          <w:rFonts w:ascii="Cambria" w:hAnsi="Cambria"/>
          <w:sz w:val="20"/>
          <w:szCs w:val="20"/>
          <w:lang w:val="es-ES"/>
        </w:rPr>
        <w:t xml:space="preserve"> y el principio de igualdad y no discriminación </w:t>
      </w:r>
      <w:r w:rsidRPr="008A084A">
        <w:rPr>
          <w:rFonts w:ascii="Cambria" w:hAnsi="Cambria"/>
          <w:sz w:val="20"/>
          <w:szCs w:val="20"/>
          <w:lang w:val="es-ES"/>
        </w:rPr>
        <w:t>establecidos en los artículos 3, 5.1, 13.1</w:t>
      </w:r>
      <w:r w:rsidR="00DD7768" w:rsidRPr="008A084A">
        <w:rPr>
          <w:rFonts w:ascii="Cambria" w:hAnsi="Cambria"/>
          <w:sz w:val="20"/>
          <w:szCs w:val="20"/>
          <w:lang w:val="es-ES"/>
        </w:rPr>
        <w:t>,</w:t>
      </w:r>
      <w:r w:rsidRPr="008A084A">
        <w:rPr>
          <w:rFonts w:ascii="Cambria" w:hAnsi="Cambria"/>
          <w:sz w:val="20"/>
          <w:szCs w:val="20"/>
          <w:lang w:val="es-ES"/>
        </w:rPr>
        <w:t xml:space="preserve"> </w:t>
      </w:r>
      <w:r w:rsidR="00DD7768" w:rsidRPr="008A084A">
        <w:rPr>
          <w:rFonts w:ascii="Cambria" w:hAnsi="Cambria"/>
          <w:sz w:val="20"/>
          <w:szCs w:val="20"/>
          <w:lang w:val="es-ES"/>
        </w:rPr>
        <w:t xml:space="preserve">24 </w:t>
      </w:r>
      <w:r w:rsidRPr="008A084A">
        <w:rPr>
          <w:rFonts w:ascii="Cambria" w:hAnsi="Cambria"/>
          <w:sz w:val="20"/>
          <w:szCs w:val="20"/>
          <w:lang w:val="es-ES"/>
        </w:rPr>
        <w:t xml:space="preserve">y 26 de la Convención Americana, en relación con los artículos 1.1 y 2 del mismo instrumento.   </w:t>
      </w:r>
    </w:p>
    <w:p w:rsidR="00471FC6" w:rsidRPr="008A084A" w:rsidRDefault="00471FC6" w:rsidP="00AC0BE7">
      <w:pPr>
        <w:pStyle w:val="ColorfulList-Accent11"/>
        <w:rPr>
          <w:rFonts w:ascii="Cambria" w:hAnsi="Cambria"/>
          <w:sz w:val="20"/>
          <w:szCs w:val="20"/>
          <w:lang w:val="es-ES"/>
        </w:rPr>
      </w:pPr>
    </w:p>
    <w:p w:rsidR="00AC0BE7" w:rsidRPr="008A084A" w:rsidRDefault="00330414" w:rsidP="0033041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720" w:firstLine="0"/>
        <w:jc w:val="both"/>
        <w:rPr>
          <w:rFonts w:ascii="Cambria" w:hAnsi="Cambria"/>
          <w:b/>
          <w:color w:val="auto"/>
          <w:sz w:val="20"/>
          <w:szCs w:val="20"/>
          <w:lang w:val="es-ES"/>
        </w:rPr>
      </w:pPr>
      <w:r w:rsidRPr="008A084A">
        <w:rPr>
          <w:rFonts w:ascii="Cambria" w:hAnsi="Cambria"/>
          <w:b/>
          <w:color w:val="auto"/>
          <w:sz w:val="20"/>
          <w:szCs w:val="20"/>
          <w:lang w:val="es-ES"/>
        </w:rPr>
        <w:t>3.</w:t>
      </w:r>
      <w:r w:rsidRPr="008A084A">
        <w:rPr>
          <w:rFonts w:ascii="Cambria" w:hAnsi="Cambria"/>
          <w:b/>
          <w:color w:val="auto"/>
          <w:sz w:val="20"/>
          <w:szCs w:val="20"/>
          <w:lang w:val="es-ES"/>
        </w:rPr>
        <w:tab/>
      </w:r>
      <w:r w:rsidR="0017052C" w:rsidRPr="008A084A">
        <w:rPr>
          <w:rFonts w:ascii="Cambria" w:hAnsi="Cambria"/>
          <w:b/>
          <w:color w:val="auto"/>
          <w:sz w:val="20"/>
          <w:szCs w:val="20"/>
          <w:lang w:val="es-ES"/>
        </w:rPr>
        <w:t xml:space="preserve">Sobre </w:t>
      </w:r>
      <w:r w:rsidR="00ED3E67" w:rsidRPr="008A084A">
        <w:rPr>
          <w:rFonts w:ascii="Cambria" w:hAnsi="Cambria"/>
          <w:b/>
          <w:color w:val="auto"/>
          <w:sz w:val="20"/>
          <w:szCs w:val="20"/>
          <w:lang w:val="es-ES"/>
        </w:rPr>
        <w:t>la</w:t>
      </w:r>
      <w:r w:rsidR="0017052C" w:rsidRPr="008A084A">
        <w:rPr>
          <w:rFonts w:ascii="Cambria" w:hAnsi="Cambria"/>
          <w:b/>
          <w:color w:val="auto"/>
          <w:sz w:val="20"/>
          <w:szCs w:val="20"/>
          <w:lang w:val="es-ES"/>
        </w:rPr>
        <w:t xml:space="preserve"> desaparición</w:t>
      </w:r>
      <w:r w:rsidR="00ED3E67" w:rsidRPr="008A084A">
        <w:rPr>
          <w:rFonts w:ascii="Cambria" w:hAnsi="Cambria"/>
          <w:b/>
          <w:color w:val="auto"/>
          <w:sz w:val="20"/>
          <w:szCs w:val="20"/>
          <w:lang w:val="es-ES"/>
        </w:rPr>
        <w:t xml:space="preserve"> de Luis Eduardo Guachalá</w:t>
      </w:r>
    </w:p>
    <w:p w:rsidR="003D4FE0" w:rsidRPr="008A084A" w:rsidRDefault="003D4FE0" w:rsidP="008A084A">
      <w:pPr>
        <w:pStyle w:val="ColorfulList-Accent11"/>
        <w:ind w:left="0"/>
        <w:rPr>
          <w:rFonts w:ascii="Cambria" w:hAnsi="Cambria"/>
          <w:sz w:val="20"/>
          <w:szCs w:val="20"/>
          <w:lang w:val="es-ES_tradnl"/>
        </w:rPr>
      </w:pPr>
    </w:p>
    <w:p w:rsidR="00683F25" w:rsidRPr="008A084A" w:rsidRDefault="003D4FE0" w:rsidP="00476D08">
      <w:pPr>
        <w:numPr>
          <w:ilvl w:val="0"/>
          <w:numId w:val="55"/>
        </w:numPr>
        <w:jc w:val="both"/>
        <w:rPr>
          <w:rFonts w:ascii="Cambria" w:hAnsi="Cambria"/>
          <w:sz w:val="20"/>
          <w:szCs w:val="20"/>
          <w:lang w:val="es-ES_tradnl"/>
        </w:rPr>
      </w:pPr>
      <w:r w:rsidRPr="008A084A">
        <w:rPr>
          <w:rFonts w:ascii="Cambria" w:hAnsi="Cambria"/>
          <w:sz w:val="20"/>
          <w:szCs w:val="20"/>
          <w:lang w:val="es-ES_tradnl"/>
        </w:rPr>
        <w:t xml:space="preserve">En el presente caso no hay controversia </w:t>
      </w:r>
      <w:r w:rsidR="00DA3556" w:rsidRPr="008A084A">
        <w:rPr>
          <w:rFonts w:ascii="Cambria" w:hAnsi="Cambria"/>
          <w:sz w:val="20"/>
          <w:szCs w:val="20"/>
          <w:lang w:val="es-ES_tradnl"/>
        </w:rPr>
        <w:t xml:space="preserve">en cuanto a </w:t>
      </w:r>
      <w:r w:rsidRPr="008A084A">
        <w:rPr>
          <w:rFonts w:ascii="Cambria" w:hAnsi="Cambria"/>
          <w:sz w:val="20"/>
          <w:szCs w:val="20"/>
          <w:lang w:val="es-ES_tradnl"/>
        </w:rPr>
        <w:t>que el señor Guachalá desapareció mientras se encontraba institucionalizado en el Hospital Psiquiátrico</w:t>
      </w:r>
      <w:r w:rsidR="00920398" w:rsidRPr="008A084A">
        <w:rPr>
          <w:rFonts w:ascii="Cambria" w:hAnsi="Cambria"/>
          <w:sz w:val="20"/>
          <w:szCs w:val="20"/>
          <w:lang w:val="es-ES_tradnl"/>
        </w:rPr>
        <w:t xml:space="preserve"> Julio Endara en enero de 2004. Por un lado, el Estado ha sostenido que el señor Guachalá se escapó</w:t>
      </w:r>
      <w:r w:rsidR="00750051" w:rsidRPr="008A084A">
        <w:rPr>
          <w:rFonts w:ascii="Cambria" w:hAnsi="Cambria"/>
          <w:sz w:val="20"/>
          <w:szCs w:val="20"/>
          <w:lang w:val="es-ES_tradnl"/>
        </w:rPr>
        <w:t xml:space="preserve"> de dicho centro el 17 de enero de 2004. El personal del hospital, en el marco de las investigaciones iniciad</w:t>
      </w:r>
      <w:r w:rsidR="004B21EC" w:rsidRPr="008A084A">
        <w:rPr>
          <w:rFonts w:ascii="Cambria" w:hAnsi="Cambria"/>
          <w:sz w:val="20"/>
          <w:szCs w:val="20"/>
          <w:lang w:val="es-ES_tradnl"/>
        </w:rPr>
        <w:t>a</w:t>
      </w:r>
      <w:r w:rsidR="00750051" w:rsidRPr="008A084A">
        <w:rPr>
          <w:rFonts w:ascii="Cambria" w:hAnsi="Cambria"/>
          <w:sz w:val="20"/>
          <w:szCs w:val="20"/>
          <w:lang w:val="es-ES_tradnl"/>
        </w:rPr>
        <w:t>s, declaró que era previsible considerar que el señor Guachalá se escapó en tanto las paredes del centro de salud mental no son altas</w:t>
      </w:r>
      <w:r w:rsidR="00683F25" w:rsidRPr="008A084A">
        <w:rPr>
          <w:rFonts w:ascii="Cambria" w:hAnsi="Cambria"/>
          <w:sz w:val="20"/>
          <w:szCs w:val="20"/>
          <w:lang w:val="es-ES_tradnl"/>
        </w:rPr>
        <w:t>, por lo que podría haberse trepado y salir. Por otro lado, tanto los peticionarios y los familiares del señor Guachalá han sostenido que el Estado no ha logrado demostrar que el señor Guachalá efectivamente se escapó del hospital</w:t>
      </w:r>
      <w:r w:rsidR="003A2EFF" w:rsidRPr="008A084A">
        <w:rPr>
          <w:rFonts w:ascii="Cambria" w:hAnsi="Cambria"/>
          <w:sz w:val="20"/>
          <w:szCs w:val="20"/>
          <w:lang w:val="es-ES_tradnl"/>
        </w:rPr>
        <w:t xml:space="preserve"> y que lo sucedido más bien se enmarca en una desaparición</w:t>
      </w:r>
      <w:r w:rsidR="00683F25" w:rsidRPr="008A084A">
        <w:rPr>
          <w:rFonts w:ascii="Cambria" w:hAnsi="Cambria"/>
          <w:sz w:val="20"/>
          <w:szCs w:val="20"/>
          <w:lang w:val="es-ES_tradnl"/>
        </w:rPr>
        <w:t>. La CIDH nota que se</w:t>
      </w:r>
      <w:r w:rsidR="008565DE" w:rsidRPr="008A084A">
        <w:rPr>
          <w:rFonts w:ascii="Cambria" w:hAnsi="Cambria"/>
          <w:sz w:val="20"/>
          <w:szCs w:val="20"/>
          <w:lang w:val="es-ES_tradnl"/>
        </w:rPr>
        <w:t xml:space="preserve"> ha</w:t>
      </w:r>
      <w:r w:rsidR="00683F25" w:rsidRPr="008A084A">
        <w:rPr>
          <w:rFonts w:ascii="Cambria" w:hAnsi="Cambria"/>
          <w:sz w:val="20"/>
          <w:szCs w:val="20"/>
          <w:lang w:val="es-ES_tradnl"/>
        </w:rPr>
        <w:t xml:space="preserve"> alegado una posible versión, amparada por la declaración de una persona institucionalizada en el hospital, que</w:t>
      </w:r>
      <w:r w:rsidR="008565DE" w:rsidRPr="008A084A">
        <w:rPr>
          <w:rFonts w:ascii="Cambria" w:hAnsi="Cambria"/>
          <w:sz w:val="20"/>
          <w:szCs w:val="20"/>
          <w:lang w:val="es-ES_tradnl"/>
        </w:rPr>
        <w:t xml:space="preserve"> indica que</w:t>
      </w:r>
      <w:r w:rsidR="00683F25" w:rsidRPr="008A084A">
        <w:rPr>
          <w:rFonts w:ascii="Cambria" w:hAnsi="Cambria"/>
          <w:sz w:val="20"/>
          <w:szCs w:val="20"/>
          <w:lang w:val="es-ES_tradnl"/>
        </w:rPr>
        <w:t xml:space="preserve"> el señor Guachalá habría sufrido un ataque cardiaco y que personal del centro habría encubierto su fallecimiento.</w:t>
      </w:r>
    </w:p>
    <w:p w:rsidR="0017052C" w:rsidRPr="008A084A" w:rsidRDefault="0017052C" w:rsidP="00907C0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897947" w:rsidRPr="008A084A" w:rsidRDefault="00DC5CC9" w:rsidP="00897947">
      <w:pPr>
        <w:numPr>
          <w:ilvl w:val="0"/>
          <w:numId w:val="55"/>
        </w:numPr>
        <w:jc w:val="both"/>
        <w:rPr>
          <w:rFonts w:ascii="Cambria" w:hAnsi="Cambria"/>
          <w:sz w:val="20"/>
          <w:szCs w:val="20"/>
          <w:lang w:val="es-ES"/>
        </w:rPr>
      </w:pPr>
      <w:r w:rsidRPr="008A084A">
        <w:rPr>
          <w:rFonts w:ascii="Cambria" w:hAnsi="Cambria"/>
          <w:sz w:val="20"/>
          <w:szCs w:val="20"/>
          <w:lang w:val="es-ES"/>
        </w:rPr>
        <w:lastRenderedPageBreak/>
        <w:t xml:space="preserve">La Comisión recuerda, en primer lugar, </w:t>
      </w:r>
      <w:r w:rsidR="00897947" w:rsidRPr="008A084A">
        <w:rPr>
          <w:rFonts w:ascii="Cambria" w:hAnsi="Cambria"/>
          <w:sz w:val="20"/>
          <w:szCs w:val="20"/>
          <w:lang w:val="es-ES"/>
        </w:rPr>
        <w:t>que el señor Guachalá se encontraba institucionalizado en un centro de salud público, es decir, bajo la custodia del Estado. En dicho escenario</w:t>
      </w:r>
      <w:r w:rsidRPr="008A084A">
        <w:rPr>
          <w:rFonts w:ascii="Cambria" w:hAnsi="Cambria"/>
          <w:sz w:val="20"/>
          <w:szCs w:val="20"/>
          <w:lang w:val="es-ES"/>
        </w:rPr>
        <w:t>, conforme a la jurisprudencia reiterada de la CIDH y la Corte,</w:t>
      </w:r>
      <w:r w:rsidR="00FA4DAA" w:rsidRPr="008A084A">
        <w:rPr>
          <w:rFonts w:ascii="Cambria" w:hAnsi="Cambria"/>
          <w:sz w:val="20"/>
          <w:szCs w:val="20"/>
          <w:lang w:val="es-ES"/>
        </w:rPr>
        <w:t xml:space="preserve"> lo que sucede con una persona respecto de la cual el Estado tiene el deber especial de garante, se presume responsabilidad estatal salvo que el propio Estado aporte una explicación convincente y satisfactoria de lo ocurrido.</w:t>
      </w:r>
      <w:r w:rsidR="00897947" w:rsidRPr="008A084A">
        <w:rPr>
          <w:rFonts w:ascii="Cambria" w:hAnsi="Cambria"/>
          <w:sz w:val="20"/>
          <w:szCs w:val="20"/>
          <w:lang w:val="es-ES"/>
        </w:rPr>
        <w:t xml:space="preserve"> Sobre este </w:t>
      </w:r>
      <w:r w:rsidR="00897947" w:rsidRPr="008A084A">
        <w:rPr>
          <w:rFonts w:ascii="Cambria" w:hAnsi="Cambria"/>
          <w:sz w:val="20"/>
          <w:szCs w:val="20"/>
          <w:lang w:val="es-ES_tradnl"/>
        </w:rPr>
        <w:t>punto</w:t>
      </w:r>
      <w:r w:rsidR="00897947" w:rsidRPr="008A084A">
        <w:rPr>
          <w:rFonts w:ascii="Cambria" w:hAnsi="Cambria"/>
          <w:sz w:val="20"/>
          <w:szCs w:val="20"/>
          <w:lang w:val="es-ES"/>
        </w:rPr>
        <w:t>, la Corte Europea ha sostenido que en casos donde se alega la afectación a la vida o integridad de una persona con discapacidad institucionalizada en un centro de salud mental público, el Estado debe presentar una explicación satisfactoria y convincente sobre lo sucedido a efectos de controvertir tales alegatos</w:t>
      </w:r>
      <w:r w:rsidR="00897947" w:rsidRPr="008A084A">
        <w:rPr>
          <w:rStyle w:val="FootnoteReference"/>
          <w:rFonts w:ascii="Cambria" w:hAnsi="Cambria"/>
          <w:sz w:val="20"/>
          <w:szCs w:val="20"/>
          <w:lang w:val="es-ES"/>
        </w:rPr>
        <w:footnoteReference w:id="334"/>
      </w:r>
      <w:r w:rsidR="00897947" w:rsidRPr="008A084A">
        <w:rPr>
          <w:rFonts w:ascii="Cambria" w:hAnsi="Cambria"/>
          <w:sz w:val="20"/>
          <w:szCs w:val="20"/>
          <w:lang w:val="es-ES"/>
        </w:rPr>
        <w:t>.</w:t>
      </w:r>
    </w:p>
    <w:p w:rsidR="00897947" w:rsidRPr="008A084A" w:rsidRDefault="00897947" w:rsidP="000B1294">
      <w:pPr>
        <w:pStyle w:val="ListParagraph"/>
        <w:ind w:left="0"/>
        <w:rPr>
          <w:rFonts w:ascii="Cambria" w:hAnsi="Cambria"/>
          <w:sz w:val="20"/>
          <w:szCs w:val="20"/>
          <w:lang w:val="es-ES_tradnl"/>
        </w:rPr>
      </w:pPr>
    </w:p>
    <w:p w:rsidR="00750051" w:rsidRPr="008A084A" w:rsidRDefault="009902E1" w:rsidP="00476D08">
      <w:pPr>
        <w:numPr>
          <w:ilvl w:val="0"/>
          <w:numId w:val="55"/>
        </w:numPr>
        <w:jc w:val="both"/>
        <w:rPr>
          <w:rFonts w:ascii="Cambria" w:hAnsi="Cambria"/>
          <w:sz w:val="20"/>
          <w:szCs w:val="20"/>
          <w:lang w:val="es-ES"/>
        </w:rPr>
      </w:pPr>
      <w:r w:rsidRPr="008A084A">
        <w:rPr>
          <w:rFonts w:ascii="Cambria" w:hAnsi="Cambria"/>
          <w:sz w:val="20"/>
          <w:szCs w:val="20"/>
          <w:lang w:val="es-ES"/>
        </w:rPr>
        <w:t xml:space="preserve">En el presente caso, el Estado ecuatoriano no ha logrado esclarecer la desaparición del señor Guachalá, ni ha establecido su destino o paradero. Como se analizará en la siguiente sección, las investigaciones a nivel interno no han sido diligentes ni llevadas a cabo en un plazo razonable, lo cual, además de las implicaciones jurídicas en materia de denegación de justicia, tienen implicaciones de carácter probatorio en cuanto a lo sucedido a la víctima. Esto </w:t>
      </w:r>
      <w:r w:rsidR="008A084A">
        <w:rPr>
          <w:rFonts w:ascii="Cambria" w:hAnsi="Cambria"/>
          <w:sz w:val="20"/>
          <w:szCs w:val="20"/>
          <w:lang w:val="es-ES"/>
        </w:rPr>
        <w:t>s</w:t>
      </w:r>
      <w:r w:rsidRPr="008A084A">
        <w:rPr>
          <w:rFonts w:ascii="Cambria" w:hAnsi="Cambria"/>
          <w:sz w:val="20"/>
          <w:szCs w:val="20"/>
          <w:lang w:val="es-ES"/>
        </w:rPr>
        <w:t xml:space="preserve">e desprende no sólo de la presunción que opera en el presente caso derivado de la situación de custodia en que se encontraba el señor Guachalá, sino del posible involucramiento de personas que actúan en nombre del Estado. </w:t>
      </w:r>
      <w:r w:rsidR="00750051" w:rsidRPr="008A084A">
        <w:rPr>
          <w:rFonts w:ascii="Cambria" w:hAnsi="Cambria"/>
          <w:sz w:val="20"/>
          <w:szCs w:val="20"/>
          <w:lang w:val="es-ES_tradnl"/>
        </w:rPr>
        <w:t xml:space="preserve">Sobre este </w:t>
      </w:r>
      <w:r w:rsidRPr="008A084A">
        <w:rPr>
          <w:rFonts w:ascii="Cambria" w:hAnsi="Cambria"/>
          <w:sz w:val="20"/>
          <w:szCs w:val="20"/>
          <w:lang w:val="es-ES_tradnl"/>
        </w:rPr>
        <w:t xml:space="preserve">último </w:t>
      </w:r>
      <w:r w:rsidR="00750051" w:rsidRPr="008A084A">
        <w:rPr>
          <w:rFonts w:ascii="Cambria" w:hAnsi="Cambria"/>
          <w:sz w:val="20"/>
          <w:szCs w:val="20"/>
          <w:lang w:val="es-ES_tradnl"/>
        </w:rPr>
        <w:t xml:space="preserve">punto, la </w:t>
      </w:r>
      <w:r w:rsidR="00750051" w:rsidRPr="008A084A">
        <w:rPr>
          <w:rFonts w:ascii="Cambria" w:hAnsi="Cambria"/>
          <w:sz w:val="20"/>
          <w:szCs w:val="20"/>
          <w:lang w:val="es-ES"/>
        </w:rPr>
        <w:t xml:space="preserve">Corte ha reiterado que la falta de investigación de alegadas afectaciones cometidas a una persona cuando existen indicios de participación de agentes estatales, “impide que el Estado presente una </w:t>
      </w:r>
      <w:r w:rsidR="00750051" w:rsidRPr="008A084A">
        <w:rPr>
          <w:rFonts w:ascii="Cambria" w:hAnsi="Cambria"/>
          <w:sz w:val="20"/>
          <w:szCs w:val="20"/>
          <w:lang w:val="es-ES_tradnl"/>
        </w:rPr>
        <w:t>explicación</w:t>
      </w:r>
      <w:r w:rsidR="00750051" w:rsidRPr="008A084A">
        <w:rPr>
          <w:rFonts w:ascii="Cambria" w:hAnsi="Cambria"/>
          <w:sz w:val="20"/>
          <w:szCs w:val="20"/>
          <w:lang w:val="es-ES"/>
        </w:rPr>
        <w:t xml:space="preserve"> satisfactoria y convincente de los </w:t>
      </w:r>
      <w:r w:rsidR="00750051" w:rsidRPr="008A084A">
        <w:rPr>
          <w:rFonts w:ascii="Cambria" w:hAnsi="Cambria" w:cs="Arial"/>
          <w:sz w:val="20"/>
          <w:szCs w:val="20"/>
          <w:lang w:val="es-ES"/>
        </w:rPr>
        <w:t>[hechos]</w:t>
      </w:r>
      <w:r w:rsidR="00750051" w:rsidRPr="008A084A">
        <w:rPr>
          <w:rFonts w:ascii="Cambria" w:hAnsi="Cambria"/>
          <w:sz w:val="20"/>
          <w:szCs w:val="20"/>
          <w:lang w:val="es-ES"/>
        </w:rPr>
        <w:t xml:space="preserve"> alegados y desvirtuar las alegaciones sobre su responsabilidad, </w:t>
      </w:r>
      <w:r w:rsidR="00750051" w:rsidRPr="008A084A">
        <w:rPr>
          <w:rFonts w:ascii="Cambria" w:hAnsi="Cambria"/>
          <w:sz w:val="20"/>
          <w:szCs w:val="20"/>
          <w:lang w:val="es-ES_tradnl"/>
        </w:rPr>
        <w:t>mediante</w:t>
      </w:r>
      <w:r w:rsidR="00750051" w:rsidRPr="008A084A">
        <w:rPr>
          <w:rFonts w:ascii="Cambria" w:hAnsi="Cambria"/>
          <w:sz w:val="20"/>
          <w:szCs w:val="20"/>
          <w:lang w:val="es-ES"/>
        </w:rPr>
        <w:t xml:space="preserve"> elementos probatorios adecuados”</w:t>
      </w:r>
      <w:r w:rsidR="00750051" w:rsidRPr="008A084A">
        <w:rPr>
          <w:rStyle w:val="FootnoteReference"/>
          <w:rFonts w:ascii="Cambria" w:hAnsi="Cambria"/>
          <w:sz w:val="20"/>
          <w:szCs w:val="20"/>
          <w:lang w:val="es-ES"/>
        </w:rPr>
        <w:t xml:space="preserve"> </w:t>
      </w:r>
      <w:r w:rsidR="00750051" w:rsidRPr="008A084A">
        <w:rPr>
          <w:rStyle w:val="FootnoteReference"/>
          <w:rFonts w:ascii="Cambria" w:hAnsi="Cambria"/>
          <w:sz w:val="20"/>
          <w:szCs w:val="20"/>
          <w:lang w:val="es-ES"/>
        </w:rPr>
        <w:footnoteReference w:id="335"/>
      </w:r>
      <w:r w:rsidR="00750051" w:rsidRPr="008A084A">
        <w:rPr>
          <w:rFonts w:ascii="Cambria" w:hAnsi="Cambria"/>
          <w:sz w:val="20"/>
          <w:szCs w:val="20"/>
          <w:lang w:val="es-ES"/>
        </w:rPr>
        <w:t>. De esta forma, la Corte ha tomado dicha falta de esclarecimiento como un factor a tomar en cuenta para acreditar la alegada afectación y la consecuente responsabilidad internacional</w:t>
      </w:r>
      <w:r w:rsidR="00750051" w:rsidRPr="008A084A">
        <w:rPr>
          <w:rStyle w:val="FootnoteReference"/>
          <w:rFonts w:ascii="Cambria" w:hAnsi="Cambria"/>
          <w:sz w:val="20"/>
          <w:szCs w:val="20"/>
          <w:lang w:val="es-ES"/>
        </w:rPr>
        <w:footnoteReference w:id="336"/>
      </w:r>
      <w:r w:rsidR="00750051" w:rsidRPr="008A084A">
        <w:rPr>
          <w:rFonts w:ascii="Cambria" w:hAnsi="Cambria"/>
          <w:sz w:val="20"/>
          <w:szCs w:val="20"/>
          <w:lang w:val="es-ES"/>
        </w:rPr>
        <w:t>.</w:t>
      </w:r>
    </w:p>
    <w:p w:rsidR="008D5F5C" w:rsidRPr="008A084A" w:rsidRDefault="008D5F5C" w:rsidP="008D5F5C">
      <w:pPr>
        <w:pStyle w:val="ListParagraph"/>
        <w:rPr>
          <w:rFonts w:ascii="Cambria" w:hAnsi="Cambria"/>
          <w:sz w:val="20"/>
          <w:szCs w:val="20"/>
          <w:lang w:val="es-ES"/>
        </w:rPr>
      </w:pPr>
    </w:p>
    <w:p w:rsidR="008D5F5C" w:rsidRPr="008A084A" w:rsidRDefault="00B20D3C" w:rsidP="00476D08">
      <w:pPr>
        <w:numPr>
          <w:ilvl w:val="0"/>
          <w:numId w:val="55"/>
        </w:numPr>
        <w:jc w:val="both"/>
        <w:rPr>
          <w:rFonts w:ascii="Cambria" w:hAnsi="Cambria"/>
          <w:sz w:val="20"/>
          <w:szCs w:val="20"/>
          <w:lang w:val="es-ES"/>
        </w:rPr>
      </w:pPr>
      <w:r w:rsidRPr="008A084A">
        <w:rPr>
          <w:rFonts w:ascii="Cambria" w:hAnsi="Cambria"/>
          <w:sz w:val="20"/>
          <w:szCs w:val="20"/>
          <w:lang w:val="es-ES"/>
        </w:rPr>
        <w:t xml:space="preserve">Además de que el Estado no ha logrado ofrecer una explicación </w:t>
      </w:r>
      <w:r w:rsidR="00692053" w:rsidRPr="008A084A">
        <w:rPr>
          <w:rFonts w:ascii="Cambria" w:hAnsi="Cambria"/>
          <w:sz w:val="20"/>
          <w:szCs w:val="20"/>
          <w:lang w:val="es-ES"/>
        </w:rPr>
        <w:t xml:space="preserve">convincente y satisfactoria de lo sucedido al señor Guachalá, la Comisión </w:t>
      </w:r>
      <w:r w:rsidR="008A084A">
        <w:rPr>
          <w:rFonts w:ascii="Cambria" w:hAnsi="Cambria"/>
          <w:sz w:val="20"/>
          <w:szCs w:val="20"/>
          <w:lang w:val="es-ES"/>
        </w:rPr>
        <w:t>toma nota de otros indicios de responsabilidad del Estado</w:t>
      </w:r>
      <w:r w:rsidR="00692053" w:rsidRPr="008A084A">
        <w:rPr>
          <w:rFonts w:ascii="Cambria" w:hAnsi="Cambria"/>
          <w:sz w:val="20"/>
          <w:szCs w:val="20"/>
          <w:lang w:val="es-ES"/>
        </w:rPr>
        <w:t>.</w:t>
      </w:r>
    </w:p>
    <w:p w:rsidR="00692053" w:rsidRPr="008A084A" w:rsidRDefault="00692053" w:rsidP="00471FC6">
      <w:pPr>
        <w:pStyle w:val="ListParagraph"/>
        <w:rPr>
          <w:rFonts w:ascii="Cambria" w:hAnsi="Cambria"/>
          <w:sz w:val="20"/>
          <w:szCs w:val="20"/>
          <w:lang w:val="es-ES"/>
        </w:rPr>
      </w:pPr>
    </w:p>
    <w:p w:rsidR="00F34E3F" w:rsidRPr="008A084A" w:rsidRDefault="008A084A" w:rsidP="00476D08">
      <w:pPr>
        <w:numPr>
          <w:ilvl w:val="0"/>
          <w:numId w:val="55"/>
        </w:numPr>
        <w:jc w:val="both"/>
        <w:rPr>
          <w:rFonts w:ascii="Cambria" w:hAnsi="Cambria"/>
          <w:sz w:val="20"/>
          <w:szCs w:val="20"/>
          <w:lang w:val="es-ES"/>
        </w:rPr>
      </w:pPr>
      <w:r>
        <w:rPr>
          <w:rFonts w:ascii="Cambria" w:hAnsi="Cambria"/>
          <w:sz w:val="20"/>
          <w:szCs w:val="20"/>
          <w:lang w:val="es-ES"/>
        </w:rPr>
        <w:t>L</w:t>
      </w:r>
      <w:r w:rsidR="009E1680" w:rsidRPr="008A084A">
        <w:rPr>
          <w:rFonts w:ascii="Cambria" w:hAnsi="Cambria"/>
          <w:sz w:val="20"/>
          <w:szCs w:val="20"/>
          <w:lang w:val="es-ES"/>
        </w:rPr>
        <w:t xml:space="preserve">a Comisión destaca que la madre del señor Guachalá desde el momento en que acudió al hospital el 17 de enero de 2004 y le indicaron que su hijo se había escapado, continuó procurando en el propio hospital información sobre lo sucedido, así como ante diversas autoridades estatales, como se desprende de los hechos probados. La Comisión resalta que en el hospital no pudieron brindarle información certera sobre lo ocurrido a su hijo y las supuestas circunstancias en las cuales se habría escapado. Por el contrario, de lo dicho por el Director del centro, pareciera desprenderse </w:t>
      </w:r>
      <w:r w:rsidR="00A71D1F" w:rsidRPr="008A084A">
        <w:rPr>
          <w:rFonts w:ascii="Cambria" w:hAnsi="Cambria"/>
          <w:sz w:val="20"/>
          <w:szCs w:val="20"/>
          <w:lang w:val="es-ES"/>
        </w:rPr>
        <w:t>un traslado de responsabilidad de la desaparición a la madre supuestamente por la ausencia de visita</w:t>
      </w:r>
      <w:r w:rsidR="005570F0" w:rsidRPr="008A084A">
        <w:rPr>
          <w:rFonts w:ascii="Cambria" w:hAnsi="Cambria"/>
          <w:sz w:val="20"/>
          <w:szCs w:val="20"/>
          <w:lang w:val="es-ES"/>
        </w:rPr>
        <w:t xml:space="preserve">. Cabe mencionar que de los hechos probados no se desprende con claridad quién o quiénes eran las personas a cargo de la custodia del señor Guachalá. Así, la doctora Erika </w:t>
      </w:r>
      <w:proofErr w:type="spellStart"/>
      <w:r w:rsidR="005570F0" w:rsidRPr="008A084A">
        <w:rPr>
          <w:rFonts w:ascii="Cambria" w:hAnsi="Cambria"/>
          <w:sz w:val="20"/>
          <w:szCs w:val="20"/>
          <w:lang w:val="es-ES"/>
        </w:rPr>
        <w:t>Quimbuilco</w:t>
      </w:r>
      <w:proofErr w:type="spellEnd"/>
      <w:r w:rsidR="005570F0" w:rsidRPr="008A084A">
        <w:rPr>
          <w:rFonts w:ascii="Cambria" w:hAnsi="Cambria"/>
          <w:sz w:val="20"/>
          <w:szCs w:val="20"/>
          <w:lang w:val="es-ES"/>
        </w:rPr>
        <w:t xml:space="preserve"> indicó en varias oportunidades que tal custodia no era su función. Por su parte, como se indicó, el Director señaló que los pacientes se ponen muy inquietos cuando no los visitan sus familiares sin indicación de la responsabilidad puntual de la custodia. A su vez, el enfermero narró que se separó de Luis Eduardo Guacha</w:t>
      </w:r>
      <w:r w:rsidR="0073036B">
        <w:rPr>
          <w:rFonts w:ascii="Cambria" w:hAnsi="Cambria"/>
          <w:sz w:val="20"/>
          <w:szCs w:val="20"/>
          <w:lang w:val="es-ES"/>
        </w:rPr>
        <w:t>l</w:t>
      </w:r>
      <w:r w:rsidR="005570F0" w:rsidRPr="008A084A">
        <w:rPr>
          <w:rFonts w:ascii="Cambria" w:hAnsi="Cambria"/>
          <w:sz w:val="20"/>
          <w:szCs w:val="20"/>
          <w:lang w:val="es-ES"/>
        </w:rPr>
        <w:t>á Chimbó por unos minutos para atender a otro paciente, pero que al volver ya no estaba, lo que podría reflejar una carencia estructural en cuanto al personal del hospital. En suma, el hospital no le dio a la señora Guachalá información detallada sobre lo sucedido a su hijo durante su permanencia en el centro.</w:t>
      </w:r>
      <w:r w:rsidR="00136C0C" w:rsidRPr="008A084A">
        <w:rPr>
          <w:rFonts w:ascii="Cambria" w:hAnsi="Cambria"/>
          <w:sz w:val="20"/>
          <w:szCs w:val="20"/>
          <w:lang w:val="es-ES"/>
        </w:rPr>
        <w:t xml:space="preserve"> Por el contrario, tan sólo días después de la desaparición, el Hospital se apresuró a emitir una “hoja de egreso”, indicando que el señor Guachalá abandonó el hospital. </w:t>
      </w:r>
    </w:p>
    <w:p w:rsidR="002D1591" w:rsidRPr="008A084A" w:rsidRDefault="002D1591" w:rsidP="00471FC6">
      <w:pPr>
        <w:ind w:left="720"/>
        <w:jc w:val="both"/>
        <w:rPr>
          <w:rFonts w:ascii="Cambria" w:hAnsi="Cambria"/>
          <w:sz w:val="20"/>
          <w:szCs w:val="20"/>
          <w:lang w:val="es-ES"/>
        </w:rPr>
      </w:pPr>
    </w:p>
    <w:p w:rsidR="00F34E3F" w:rsidRPr="008A084A" w:rsidRDefault="00F34E3F" w:rsidP="00476D08">
      <w:pPr>
        <w:numPr>
          <w:ilvl w:val="0"/>
          <w:numId w:val="55"/>
        </w:numPr>
        <w:jc w:val="both"/>
        <w:rPr>
          <w:rFonts w:ascii="Cambria" w:hAnsi="Cambria"/>
          <w:sz w:val="20"/>
          <w:szCs w:val="20"/>
          <w:lang w:val="es-ES"/>
        </w:rPr>
      </w:pPr>
      <w:r w:rsidRPr="008A084A">
        <w:rPr>
          <w:rFonts w:ascii="Cambria" w:hAnsi="Cambria"/>
          <w:sz w:val="20"/>
          <w:szCs w:val="20"/>
          <w:lang w:val="es-ES"/>
        </w:rPr>
        <w:t xml:space="preserve">En adición a lo anterior, la Comisión considera que el hecho de que la madre de Luis Eduardo Guachalá no hubiese podido ver a su hijo durante el tiempo de su internamiento, particularmente en los primeros días, porque supuestamente estaba completamente sedado, </w:t>
      </w:r>
      <w:r w:rsidR="004F6E25" w:rsidRPr="008A084A">
        <w:rPr>
          <w:rFonts w:ascii="Cambria" w:hAnsi="Cambria"/>
          <w:sz w:val="20"/>
          <w:szCs w:val="20"/>
          <w:lang w:val="es-ES"/>
        </w:rPr>
        <w:t>constituye un indicio sobre la responsabilidad del Estado en lo sucedido a Luis Eduard</w:t>
      </w:r>
      <w:r w:rsidR="00835599" w:rsidRPr="008A084A">
        <w:rPr>
          <w:rFonts w:ascii="Cambria" w:hAnsi="Cambria"/>
          <w:sz w:val="20"/>
          <w:szCs w:val="20"/>
          <w:lang w:val="es-ES"/>
        </w:rPr>
        <w:t>o</w:t>
      </w:r>
      <w:r w:rsidR="004F6E25" w:rsidRPr="008A084A">
        <w:rPr>
          <w:rFonts w:ascii="Cambria" w:hAnsi="Cambria"/>
          <w:sz w:val="20"/>
          <w:szCs w:val="20"/>
          <w:lang w:val="es-ES"/>
        </w:rPr>
        <w:t xml:space="preserve"> Guachalá.</w:t>
      </w:r>
      <w:r w:rsidRPr="008A084A">
        <w:rPr>
          <w:rFonts w:ascii="Cambria" w:hAnsi="Cambria"/>
          <w:sz w:val="20"/>
          <w:szCs w:val="20"/>
          <w:lang w:val="es-ES"/>
        </w:rPr>
        <w:t xml:space="preserve"> La CIDH destaca que el lunes 12 de enero de 2004, la madre del señor Guachalá acudió a ver a su hijo y no lo encontró ni en el cuarto donde lo había dejado, ni en la peluquería donde le dijeron que podría encontrarse, ni en ningún otro lugar del hospital. </w:t>
      </w:r>
      <w:r w:rsidR="00310C67" w:rsidRPr="008A084A">
        <w:rPr>
          <w:rFonts w:ascii="Cambria" w:hAnsi="Cambria"/>
          <w:sz w:val="20"/>
          <w:szCs w:val="20"/>
          <w:lang w:val="es-ES"/>
        </w:rPr>
        <w:t xml:space="preserve">Según su propio testimonio nadie le pudo decir donde se encontraba su hijo. A este indicio se suma la versión </w:t>
      </w:r>
      <w:r w:rsidR="00310C67" w:rsidRPr="008A084A">
        <w:rPr>
          <w:rFonts w:ascii="Cambria" w:hAnsi="Cambria"/>
          <w:sz w:val="20"/>
          <w:szCs w:val="20"/>
          <w:lang w:val="es-ES"/>
        </w:rPr>
        <w:lastRenderedPageBreak/>
        <w:t xml:space="preserve">de otro paciente según la cual el señor Guachalá habría sufrido un infarto y que tal información estaría siendo encubierta por el hospital. </w:t>
      </w:r>
      <w:r w:rsidR="00042630" w:rsidRPr="008A084A">
        <w:rPr>
          <w:rFonts w:ascii="Cambria" w:hAnsi="Cambria"/>
          <w:sz w:val="20"/>
          <w:szCs w:val="20"/>
          <w:lang w:val="es-ES"/>
        </w:rPr>
        <w:t xml:space="preserve">Cabe mencionar que el Estado no ha negado que a la madre del señor Guachalá se le informó que su hijo permanecería sedado prácticamente por dos días enteros posterior a su internamiento, sin que se hubiera brindado explicación sobre lo severo de dicha intervención. </w:t>
      </w:r>
    </w:p>
    <w:p w:rsidR="00310C67" w:rsidRPr="008A084A" w:rsidRDefault="00310C67" w:rsidP="00471FC6">
      <w:pPr>
        <w:pStyle w:val="ListParagraph"/>
        <w:rPr>
          <w:rFonts w:ascii="Cambria" w:hAnsi="Cambria"/>
          <w:sz w:val="20"/>
          <w:szCs w:val="20"/>
          <w:lang w:val="es-ES"/>
        </w:rPr>
      </w:pPr>
    </w:p>
    <w:p w:rsidR="00310C67" w:rsidRPr="008A084A" w:rsidRDefault="00310C67" w:rsidP="00476D08">
      <w:pPr>
        <w:numPr>
          <w:ilvl w:val="0"/>
          <w:numId w:val="55"/>
        </w:numPr>
        <w:jc w:val="both"/>
        <w:rPr>
          <w:rFonts w:ascii="Cambria" w:hAnsi="Cambria"/>
          <w:sz w:val="20"/>
          <w:szCs w:val="20"/>
          <w:lang w:val="es-ES"/>
        </w:rPr>
      </w:pPr>
      <w:r w:rsidRPr="008A084A">
        <w:rPr>
          <w:rFonts w:ascii="Cambria" w:hAnsi="Cambria"/>
          <w:sz w:val="20"/>
          <w:szCs w:val="20"/>
          <w:lang w:val="es-ES"/>
        </w:rPr>
        <w:t xml:space="preserve">La Comisión también considera de especial relevancia en este punto que el Estado no ha logrado acreditar su versión sobre la supuesta fuga de la víctima del hospital. </w:t>
      </w:r>
      <w:r w:rsidR="00CB145D" w:rsidRPr="008A084A">
        <w:rPr>
          <w:rFonts w:ascii="Cambria" w:hAnsi="Cambria"/>
          <w:sz w:val="20"/>
          <w:szCs w:val="20"/>
          <w:lang w:val="es-ES"/>
        </w:rPr>
        <w:t>Tal versión, como se verá más adelante, con resultado de una investigación efectiva y diligente de lo ocurrido, y la misma pierde verosimilitud frente al hecho de que la víctima o su cuerpo no hayan sido encontrados hasta ahora y que nunca se hubiera puesto en contacto con su familia. Más bien, el tiempo transcurrido sin que se tenga dato alguno sobre el señor Guachalá, más bien viene a fortalecer la hipótesis de que su destino pudo ser la muerte en el marco del tratamiento recibido por parte del Estado y su posterior encubrimiento.</w:t>
      </w:r>
    </w:p>
    <w:p w:rsidR="00CB145D" w:rsidRPr="008A084A" w:rsidRDefault="00CB145D" w:rsidP="00471FC6">
      <w:pPr>
        <w:pStyle w:val="ListParagraph"/>
        <w:rPr>
          <w:rFonts w:ascii="Cambria" w:hAnsi="Cambria"/>
          <w:sz w:val="20"/>
          <w:szCs w:val="20"/>
          <w:lang w:val="es-ES"/>
        </w:rPr>
      </w:pPr>
    </w:p>
    <w:p w:rsidR="000F0053" w:rsidRPr="008A084A" w:rsidRDefault="00CB145D" w:rsidP="008A084A">
      <w:pPr>
        <w:numPr>
          <w:ilvl w:val="0"/>
          <w:numId w:val="55"/>
        </w:numPr>
        <w:jc w:val="both"/>
        <w:rPr>
          <w:rFonts w:ascii="Cambria" w:hAnsi="Cambria"/>
          <w:sz w:val="20"/>
          <w:szCs w:val="20"/>
          <w:lang w:val="es-ES"/>
        </w:rPr>
      </w:pPr>
      <w:r w:rsidRPr="008A084A">
        <w:rPr>
          <w:rFonts w:ascii="Cambria" w:hAnsi="Cambria"/>
          <w:sz w:val="20"/>
          <w:szCs w:val="20"/>
          <w:lang w:val="es-ES"/>
        </w:rPr>
        <w:t xml:space="preserve">Todos estos elementos, tomados en su conjunto y analizados a la luz del incumplimiento por parte del Estado del deber de investigar seriamente los hechos para lograr su debido esclarecimiento así como de la presunción de responsabilidad cuando una persona desaparece bajo la custodia del Estado, permiten concluir que </w:t>
      </w:r>
      <w:r w:rsidR="00750051" w:rsidRPr="008A084A">
        <w:rPr>
          <w:rFonts w:ascii="Cambria" w:hAnsi="Cambria"/>
          <w:sz w:val="20"/>
          <w:szCs w:val="20"/>
          <w:lang w:val="es-ES"/>
        </w:rPr>
        <w:t xml:space="preserve">el Estado ecuatoriano vulneró </w:t>
      </w:r>
      <w:r w:rsidR="008A084A">
        <w:rPr>
          <w:rFonts w:ascii="Cambria" w:hAnsi="Cambria"/>
          <w:sz w:val="20"/>
          <w:szCs w:val="20"/>
          <w:lang w:val="es-ES"/>
        </w:rPr>
        <w:t>el derecho a la</w:t>
      </w:r>
      <w:r w:rsidR="00750051" w:rsidRPr="008A084A">
        <w:rPr>
          <w:rFonts w:ascii="Cambria" w:hAnsi="Cambria"/>
          <w:sz w:val="20"/>
          <w:szCs w:val="20"/>
          <w:lang w:val="es-ES"/>
        </w:rPr>
        <w:t xml:space="preserve"> vida</w:t>
      </w:r>
      <w:r w:rsidR="008A084A">
        <w:rPr>
          <w:rFonts w:ascii="Cambria" w:hAnsi="Cambria"/>
          <w:sz w:val="20"/>
          <w:szCs w:val="20"/>
          <w:lang w:val="es-ES"/>
        </w:rPr>
        <w:t xml:space="preserve"> e</w:t>
      </w:r>
      <w:r w:rsidR="00750051" w:rsidRPr="008A084A">
        <w:rPr>
          <w:rFonts w:ascii="Cambria" w:hAnsi="Cambria"/>
          <w:sz w:val="20"/>
          <w:szCs w:val="20"/>
          <w:lang w:val="es-ES"/>
        </w:rPr>
        <w:t xml:space="preserve"> integridad personal, establecidos en los artículos </w:t>
      </w:r>
      <w:r w:rsidR="008A084A">
        <w:rPr>
          <w:rFonts w:ascii="Cambria" w:hAnsi="Cambria"/>
          <w:sz w:val="20"/>
          <w:szCs w:val="20"/>
          <w:lang w:val="es-ES"/>
        </w:rPr>
        <w:t>4.1 y</w:t>
      </w:r>
      <w:r w:rsidR="00750051" w:rsidRPr="008A084A">
        <w:rPr>
          <w:rFonts w:ascii="Cambria" w:hAnsi="Cambria"/>
          <w:sz w:val="20"/>
          <w:szCs w:val="20"/>
          <w:lang w:val="es-ES"/>
        </w:rPr>
        <w:t xml:space="preserve"> 5.1 de la Convención Americana, en relación con el artículo 1.1 del mismo instrumento, en perjuicio de Luis Eduardo Guachalá Chimbó.</w:t>
      </w:r>
      <w:r w:rsidR="00095606" w:rsidRPr="008A084A">
        <w:rPr>
          <w:rFonts w:ascii="Cambria" w:hAnsi="Cambria"/>
          <w:sz w:val="20"/>
          <w:szCs w:val="20"/>
          <w:lang w:val="es-ES"/>
        </w:rPr>
        <w:t xml:space="preserve"> </w:t>
      </w:r>
    </w:p>
    <w:p w:rsidR="00D51AF8" w:rsidRPr="008A084A" w:rsidRDefault="00D51AF8" w:rsidP="00D51AF8">
      <w:pPr>
        <w:jc w:val="both"/>
        <w:rPr>
          <w:rFonts w:ascii="Cambria" w:hAnsi="Cambria"/>
          <w:sz w:val="20"/>
          <w:szCs w:val="20"/>
          <w:lang w:val="es-ES"/>
        </w:rPr>
      </w:pPr>
    </w:p>
    <w:p w:rsidR="00E81EEE" w:rsidRPr="008A084A" w:rsidRDefault="00E81EEE" w:rsidP="00B329C1">
      <w:pPr>
        <w:pStyle w:val="Heading2"/>
        <w:numPr>
          <w:ilvl w:val="0"/>
          <w:numId w:val="58"/>
        </w:numPr>
        <w:spacing w:before="0" w:after="0"/>
        <w:ind w:left="1440" w:hanging="720"/>
        <w:jc w:val="both"/>
        <w:rPr>
          <w:rFonts w:ascii="Cambria" w:hAnsi="Cambria"/>
          <w:i w:val="0"/>
          <w:sz w:val="20"/>
          <w:szCs w:val="20"/>
          <w:lang w:val="es-ES"/>
        </w:rPr>
      </w:pPr>
      <w:bookmarkStart w:id="35" w:name="_Toc525547515"/>
      <w:r w:rsidRPr="008A084A">
        <w:rPr>
          <w:rFonts w:ascii="Cambria" w:hAnsi="Cambria"/>
          <w:i w:val="0"/>
          <w:sz w:val="20"/>
          <w:szCs w:val="20"/>
          <w:lang w:val="es-ES"/>
        </w:rPr>
        <w:t>Sobre los derechos a las garantías judiciales</w:t>
      </w:r>
      <w:r w:rsidR="00A05A06" w:rsidRPr="008A084A">
        <w:rPr>
          <w:rStyle w:val="FootnoteReference"/>
          <w:rFonts w:ascii="Cambria" w:hAnsi="Cambria"/>
          <w:i w:val="0"/>
          <w:sz w:val="20"/>
          <w:szCs w:val="20"/>
          <w:lang w:val="es-ES"/>
        </w:rPr>
        <w:footnoteReference w:id="337"/>
      </w:r>
      <w:r w:rsidRPr="008A084A">
        <w:rPr>
          <w:rFonts w:ascii="Cambria" w:hAnsi="Cambria"/>
          <w:i w:val="0"/>
          <w:sz w:val="20"/>
          <w:szCs w:val="20"/>
          <w:lang w:val="es-ES"/>
        </w:rPr>
        <w:t xml:space="preserve"> y protección judicial</w:t>
      </w:r>
      <w:r w:rsidR="00A05A06" w:rsidRPr="008A084A">
        <w:rPr>
          <w:rStyle w:val="FootnoteReference"/>
          <w:rFonts w:ascii="Cambria" w:hAnsi="Cambria"/>
          <w:i w:val="0"/>
          <w:sz w:val="20"/>
          <w:szCs w:val="20"/>
          <w:lang w:val="es-ES"/>
        </w:rPr>
        <w:footnoteReference w:id="338"/>
      </w:r>
      <w:r w:rsidRPr="008A084A">
        <w:rPr>
          <w:rFonts w:ascii="Cambria" w:hAnsi="Cambria"/>
          <w:i w:val="0"/>
          <w:sz w:val="20"/>
          <w:szCs w:val="20"/>
          <w:lang w:val="es-ES"/>
        </w:rPr>
        <w:t xml:space="preserve"> (artículos 8</w:t>
      </w:r>
      <w:r w:rsidR="004A43C3" w:rsidRPr="008A084A">
        <w:rPr>
          <w:rFonts w:ascii="Cambria" w:hAnsi="Cambria"/>
          <w:i w:val="0"/>
          <w:sz w:val="20"/>
          <w:szCs w:val="20"/>
          <w:lang w:val="es-ES"/>
        </w:rPr>
        <w:t>.1</w:t>
      </w:r>
      <w:r w:rsidRPr="008A084A">
        <w:rPr>
          <w:rFonts w:ascii="Cambria" w:hAnsi="Cambria"/>
          <w:i w:val="0"/>
          <w:sz w:val="20"/>
          <w:szCs w:val="20"/>
          <w:lang w:val="es-ES"/>
        </w:rPr>
        <w:t xml:space="preserve"> y 25</w:t>
      </w:r>
      <w:r w:rsidR="004A43C3" w:rsidRPr="008A084A">
        <w:rPr>
          <w:rFonts w:ascii="Cambria" w:hAnsi="Cambria"/>
          <w:i w:val="0"/>
          <w:sz w:val="20"/>
          <w:szCs w:val="20"/>
          <w:lang w:val="es-ES"/>
        </w:rPr>
        <w:t>.1</w:t>
      </w:r>
      <w:r w:rsidRPr="008A084A">
        <w:rPr>
          <w:rFonts w:ascii="Cambria" w:hAnsi="Cambria"/>
          <w:i w:val="0"/>
          <w:sz w:val="20"/>
          <w:szCs w:val="20"/>
          <w:lang w:val="es-ES"/>
        </w:rPr>
        <w:t xml:space="preserve"> de la Convención Americana en relación con el artículo 1.1 del mismo instrumento)</w:t>
      </w:r>
      <w:bookmarkEnd w:id="35"/>
    </w:p>
    <w:p w:rsidR="00E81EEE" w:rsidRPr="008A084A" w:rsidRDefault="00E81EEE" w:rsidP="00FF181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s-ES"/>
        </w:rPr>
      </w:pPr>
    </w:p>
    <w:p w:rsidR="00E81EEE" w:rsidRPr="008A084A" w:rsidRDefault="00E81EEE" w:rsidP="00476D08">
      <w:pPr>
        <w:numPr>
          <w:ilvl w:val="0"/>
          <w:numId w:val="55"/>
        </w:numPr>
        <w:jc w:val="both"/>
        <w:rPr>
          <w:rFonts w:ascii="Cambria" w:hAnsi="Cambria"/>
          <w:sz w:val="20"/>
          <w:szCs w:val="20"/>
          <w:lang w:val="es-PE"/>
        </w:rPr>
      </w:pPr>
      <w:r w:rsidRPr="008A084A">
        <w:rPr>
          <w:rFonts w:ascii="Cambria" w:hAnsi="Cambria"/>
          <w:sz w:val="20"/>
          <w:szCs w:val="20"/>
          <w:lang w:val="es-PE"/>
        </w:rPr>
        <w:t xml:space="preserve">De acuerdo a la Corte, el derecho a las garantías judiciales implica que toda persona que ha sufrido una violación a sus derechos humanos “tiene derecho a obtener de los </w:t>
      </w:r>
      <w:r w:rsidRPr="008A084A">
        <w:rPr>
          <w:rFonts w:ascii="Cambria" w:hAnsi="Cambria"/>
          <w:sz w:val="20"/>
          <w:szCs w:val="20"/>
          <w:lang w:val="es-ES"/>
        </w:rPr>
        <w:t>órganos</w:t>
      </w:r>
      <w:r w:rsidRPr="008A084A">
        <w:rPr>
          <w:rFonts w:ascii="Cambria" w:hAnsi="Cambria"/>
          <w:sz w:val="20"/>
          <w:szCs w:val="20"/>
          <w:lang w:val="es-PE"/>
        </w:rPr>
        <w:t xml:space="preserve"> competentes del Estado el esclarecimiento de los hechos violatorios y el establecimiento de las responsabilidades correspondientes, a través de la investigación y el juzgamiento”</w:t>
      </w:r>
      <w:r w:rsidRPr="008A084A">
        <w:rPr>
          <w:rStyle w:val="FootnoteReference"/>
          <w:rFonts w:ascii="Cambria" w:hAnsi="Cambria"/>
          <w:sz w:val="20"/>
          <w:szCs w:val="20"/>
        </w:rPr>
        <w:footnoteReference w:id="339"/>
      </w:r>
      <w:r w:rsidRPr="008A084A">
        <w:rPr>
          <w:rFonts w:ascii="Cambria" w:hAnsi="Cambria"/>
          <w:sz w:val="20"/>
          <w:szCs w:val="20"/>
          <w:lang w:val="es-PE"/>
        </w:rPr>
        <w:t xml:space="preserve">. Respecto al derecho a la protección judicial, la Corte ha establecido lo siguiente: </w:t>
      </w:r>
    </w:p>
    <w:p w:rsidR="00E81EEE" w:rsidRPr="008A084A" w:rsidRDefault="00E81EEE" w:rsidP="00FF1817">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num" w:pos="4770"/>
        </w:tabs>
        <w:autoSpaceDE w:val="0"/>
        <w:autoSpaceDN w:val="0"/>
        <w:adjustRightInd w:val="0"/>
        <w:ind w:left="720" w:firstLine="0"/>
        <w:jc w:val="both"/>
        <w:rPr>
          <w:rFonts w:ascii="Cambria" w:hAnsi="Cambria"/>
          <w:color w:val="auto"/>
          <w:sz w:val="20"/>
          <w:szCs w:val="20"/>
        </w:rPr>
      </w:pPr>
    </w:p>
    <w:p w:rsidR="00E81EEE" w:rsidRPr="008A084A" w:rsidRDefault="00E81EEE" w:rsidP="00FF1817">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color w:val="auto"/>
          <w:sz w:val="20"/>
          <w:szCs w:val="20"/>
        </w:rPr>
      </w:pPr>
      <w:r w:rsidRPr="008A084A">
        <w:rPr>
          <w:rFonts w:ascii="Cambria" w:hAnsi="Cambria"/>
          <w:color w:val="auto"/>
          <w:sz w:val="20"/>
          <w:szCs w:val="20"/>
        </w:rPr>
        <w:t>(...) obliga al Estado a garantizar a toda persona el acceso a la administración de justicia y, en particular, a un recurso rápido y sencillo para lograr, entre otros resultados, que los responsables de las violaciones de los derechos humanos sean juzgados y para obtener una reparación por el daño sufrido (…). [E]l artículo 25 constituye uno de los pilares básicos, no sólo de la Convención Americana, sino del propio Estado de derecho en una sociedad democrática (...)</w:t>
      </w:r>
      <w:r w:rsidRPr="008A084A">
        <w:rPr>
          <w:rStyle w:val="FootnoteReference"/>
          <w:rFonts w:ascii="Cambria" w:hAnsi="Cambria"/>
          <w:color w:val="auto"/>
          <w:sz w:val="20"/>
          <w:szCs w:val="20"/>
        </w:rPr>
        <w:footnoteReference w:id="340"/>
      </w:r>
      <w:r w:rsidRPr="008A084A">
        <w:rPr>
          <w:rFonts w:ascii="Cambria" w:hAnsi="Cambria"/>
          <w:color w:val="auto"/>
          <w:sz w:val="20"/>
          <w:szCs w:val="20"/>
        </w:rPr>
        <w:t xml:space="preserve">. </w:t>
      </w:r>
    </w:p>
    <w:p w:rsidR="00E81EEE" w:rsidRPr="008A084A" w:rsidRDefault="00E81EEE" w:rsidP="00FF181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E81EEE" w:rsidRPr="008A084A" w:rsidRDefault="00E81EEE" w:rsidP="00476D08">
      <w:pPr>
        <w:numPr>
          <w:ilvl w:val="0"/>
          <w:numId w:val="55"/>
        </w:numPr>
        <w:jc w:val="both"/>
        <w:rPr>
          <w:rFonts w:ascii="Cambria" w:hAnsi="Cambria"/>
          <w:sz w:val="20"/>
          <w:szCs w:val="20"/>
          <w:lang w:val="es-PE"/>
        </w:rPr>
      </w:pPr>
      <w:r w:rsidRPr="008A084A">
        <w:rPr>
          <w:rFonts w:ascii="Cambria" w:hAnsi="Cambria"/>
          <w:sz w:val="20"/>
          <w:szCs w:val="20"/>
          <w:lang w:val="es-PE"/>
        </w:rPr>
        <w:t xml:space="preserve">Es importante resaltar que la Corte ha señalado que para que el Estado cumpla con lo dispuesto en el citado </w:t>
      </w:r>
      <w:r w:rsidRPr="008A084A">
        <w:rPr>
          <w:rFonts w:ascii="Cambria" w:hAnsi="Cambria"/>
          <w:sz w:val="20"/>
          <w:szCs w:val="20"/>
          <w:lang w:val="es-ES"/>
        </w:rPr>
        <w:t>artículo</w:t>
      </w:r>
      <w:r w:rsidRPr="008A084A">
        <w:rPr>
          <w:rFonts w:ascii="Cambria" w:hAnsi="Cambria"/>
          <w:sz w:val="20"/>
          <w:szCs w:val="20"/>
          <w:lang w:val="es-PE"/>
        </w:rPr>
        <w:t xml:space="preserve"> 25.1 de la Convención no basta con que los recursos existan formalmente, sino es preciso que sean efectivos</w:t>
      </w:r>
      <w:r w:rsidRPr="008A084A">
        <w:rPr>
          <w:rStyle w:val="FootnoteReference"/>
          <w:rFonts w:ascii="Cambria" w:hAnsi="Cambria"/>
          <w:sz w:val="20"/>
          <w:szCs w:val="20"/>
        </w:rPr>
        <w:footnoteReference w:id="341"/>
      </w:r>
      <w:r w:rsidRPr="008A084A">
        <w:rPr>
          <w:rFonts w:ascii="Cambria" w:hAnsi="Cambria"/>
          <w:sz w:val="20"/>
          <w:szCs w:val="20"/>
          <w:lang w:val="es-PE"/>
        </w:rPr>
        <w:t>. Ello implica que se debe brindar a la persona la posibilidad real de interponer un recurso sencillo y rápido que permita alcanzar, en su caso, la protección judicial requerida</w:t>
      </w:r>
      <w:r w:rsidRPr="008A084A">
        <w:rPr>
          <w:rStyle w:val="FootnoteReference"/>
          <w:rFonts w:ascii="Cambria" w:hAnsi="Cambria"/>
          <w:sz w:val="20"/>
          <w:szCs w:val="20"/>
        </w:rPr>
        <w:footnoteReference w:id="342"/>
      </w:r>
      <w:r w:rsidRPr="008A084A">
        <w:rPr>
          <w:rFonts w:ascii="Cambria" w:hAnsi="Cambria"/>
          <w:sz w:val="20"/>
          <w:szCs w:val="20"/>
          <w:lang w:val="es-PE"/>
        </w:rPr>
        <w:t xml:space="preserve">. </w:t>
      </w:r>
    </w:p>
    <w:p w:rsidR="00E81EEE" w:rsidRPr="008A084A" w:rsidRDefault="00E81EEE" w:rsidP="00FF181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E81EEE" w:rsidRPr="008A084A" w:rsidRDefault="00E81EEE" w:rsidP="00476D08">
      <w:pPr>
        <w:numPr>
          <w:ilvl w:val="0"/>
          <w:numId w:val="55"/>
        </w:numPr>
        <w:jc w:val="both"/>
        <w:rPr>
          <w:rFonts w:ascii="Cambria" w:hAnsi="Cambria"/>
          <w:sz w:val="20"/>
          <w:szCs w:val="20"/>
          <w:lang w:val="es-PE"/>
        </w:rPr>
      </w:pPr>
      <w:r w:rsidRPr="008A084A">
        <w:rPr>
          <w:rFonts w:ascii="Cambria" w:hAnsi="Cambria"/>
          <w:sz w:val="20"/>
          <w:szCs w:val="20"/>
          <w:lang w:val="es-PE"/>
        </w:rPr>
        <w:lastRenderedPageBreak/>
        <w:t xml:space="preserve">En relación con el derecho de acceso a la justicia de las personas con discapacidad, el artículo 13 de la Convención sobre los Derechos de las personas con Discapacidad dispone lo siguiente: </w:t>
      </w:r>
    </w:p>
    <w:p w:rsidR="00E81EEE" w:rsidRPr="008A084A" w:rsidRDefault="00E81EEE" w:rsidP="00FF181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E81EEE" w:rsidRPr="008A084A" w:rsidRDefault="00E81EEE" w:rsidP="00FF1817">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color w:val="auto"/>
          <w:sz w:val="20"/>
          <w:szCs w:val="20"/>
          <w:lang w:val="es-ES"/>
        </w:rPr>
      </w:pPr>
      <w:r w:rsidRPr="008A084A">
        <w:rPr>
          <w:rFonts w:ascii="Cambria" w:hAnsi="Cambria"/>
          <w:color w:val="auto"/>
          <w:sz w:val="20"/>
          <w:szCs w:val="20"/>
        </w:rPr>
        <w:t>1. Los Estados Partes asegurarán que las personas con discapacidad tengan acceso a la justicia en igualdad de condiciones con las demás, incluso mediante ajustes de procedimiento y adecuados a la edad, para facilitar el desempeño de las funciones efectivas de esas personas como participantes directos e indirectos, incluida la declaración como testigos, en todos los procedimientos judiciales, con inclusión de la etapa de investigación y otras etapas preliminares.</w:t>
      </w:r>
    </w:p>
    <w:p w:rsidR="00E81EEE" w:rsidRPr="008A084A" w:rsidRDefault="00E81EEE" w:rsidP="00FF1817">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color w:val="auto"/>
          <w:sz w:val="20"/>
          <w:szCs w:val="20"/>
        </w:rPr>
      </w:pPr>
      <w:r w:rsidRPr="008A084A">
        <w:rPr>
          <w:rFonts w:ascii="Cambria" w:hAnsi="Cambria"/>
          <w:color w:val="auto"/>
          <w:sz w:val="20"/>
          <w:szCs w:val="20"/>
        </w:rPr>
        <w:t>2. A fin de asegurar que las personas con discapacidad tengan acceso efectivo a la justicia, los Estados Partes promoverán la capacitación adecuada de los que trabajan en la administración de justicia, incluido el personal policial y penitenciario.</w:t>
      </w:r>
    </w:p>
    <w:p w:rsidR="00E81EEE" w:rsidRPr="008A084A" w:rsidRDefault="00E81EEE" w:rsidP="00FF181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s-ES"/>
        </w:rPr>
      </w:pPr>
    </w:p>
    <w:p w:rsidR="00E81EEE" w:rsidRPr="008A084A" w:rsidRDefault="00482072" w:rsidP="00476D08">
      <w:pPr>
        <w:numPr>
          <w:ilvl w:val="0"/>
          <w:numId w:val="55"/>
        </w:numPr>
        <w:jc w:val="both"/>
        <w:rPr>
          <w:rFonts w:ascii="Cambria" w:hAnsi="Cambria"/>
          <w:sz w:val="20"/>
          <w:szCs w:val="20"/>
          <w:lang w:val="es-PE"/>
        </w:rPr>
      </w:pPr>
      <w:r w:rsidRPr="008A084A">
        <w:rPr>
          <w:rFonts w:ascii="Cambria" w:hAnsi="Cambria"/>
          <w:sz w:val="20"/>
          <w:szCs w:val="20"/>
          <w:lang w:val="es-PE"/>
        </w:rPr>
        <w:t>Al respecto, el Comité de la CDPD ha sostenido que “el reconocimiento del derecho a la capacidad jurídica es esencial para el acceso a la justicia”</w:t>
      </w:r>
      <w:r w:rsidRPr="008A084A">
        <w:rPr>
          <w:rStyle w:val="FootnoteReference"/>
          <w:rFonts w:ascii="Cambria" w:hAnsi="Cambria"/>
          <w:sz w:val="20"/>
          <w:szCs w:val="20"/>
        </w:rPr>
        <w:footnoteReference w:id="343"/>
      </w:r>
      <w:r w:rsidRPr="008A084A">
        <w:rPr>
          <w:rFonts w:ascii="Cambria" w:hAnsi="Cambria"/>
          <w:sz w:val="20"/>
          <w:szCs w:val="20"/>
          <w:lang w:val="es-PE"/>
        </w:rPr>
        <w:t xml:space="preserve">. </w:t>
      </w:r>
      <w:r w:rsidRPr="008A084A">
        <w:rPr>
          <w:rFonts w:ascii="Cambria" w:hAnsi="Cambria"/>
          <w:sz w:val="20"/>
          <w:szCs w:val="20"/>
          <w:lang w:val="es-CO"/>
        </w:rPr>
        <w:t xml:space="preserve">Asimismo, la Corte Interamericana en el </w:t>
      </w:r>
      <w:r w:rsidR="00D51AF8" w:rsidRPr="008A084A">
        <w:rPr>
          <w:rFonts w:ascii="Cambria" w:hAnsi="Cambria"/>
          <w:sz w:val="20"/>
          <w:szCs w:val="20"/>
          <w:lang w:val="es-CO"/>
        </w:rPr>
        <w:t>c</w:t>
      </w:r>
      <w:r w:rsidRPr="008A084A">
        <w:rPr>
          <w:rFonts w:ascii="Cambria" w:hAnsi="Cambria"/>
          <w:sz w:val="20"/>
          <w:szCs w:val="20"/>
          <w:lang w:val="es-CO"/>
        </w:rPr>
        <w:t>aso</w:t>
      </w:r>
      <w:r w:rsidRPr="008A084A">
        <w:rPr>
          <w:rFonts w:ascii="Cambria" w:hAnsi="Cambria"/>
          <w:i/>
          <w:sz w:val="20"/>
          <w:szCs w:val="20"/>
          <w:lang w:val="es-CO"/>
        </w:rPr>
        <w:t xml:space="preserve"> </w:t>
      </w:r>
      <w:proofErr w:type="spellStart"/>
      <w:r w:rsidRPr="008A084A">
        <w:rPr>
          <w:rFonts w:ascii="Cambria" w:hAnsi="Cambria"/>
          <w:i/>
          <w:sz w:val="20"/>
          <w:szCs w:val="20"/>
          <w:lang w:val="es-CO"/>
        </w:rPr>
        <w:t>Furlan</w:t>
      </w:r>
      <w:proofErr w:type="spellEnd"/>
      <w:r w:rsidRPr="008A084A">
        <w:rPr>
          <w:rFonts w:ascii="Cambria" w:hAnsi="Cambria"/>
          <w:i/>
          <w:sz w:val="20"/>
          <w:szCs w:val="20"/>
          <w:lang w:val="es-CO"/>
        </w:rPr>
        <w:t xml:space="preserve"> y Familiares Vs. </w:t>
      </w:r>
      <w:r w:rsidRPr="008A084A">
        <w:rPr>
          <w:rFonts w:ascii="Cambria" w:hAnsi="Cambria"/>
          <w:i/>
          <w:sz w:val="20"/>
          <w:szCs w:val="20"/>
          <w:lang w:val="es-PE"/>
        </w:rPr>
        <w:t>Argentina</w:t>
      </w:r>
      <w:r w:rsidRPr="008A084A">
        <w:rPr>
          <w:rFonts w:ascii="Cambria" w:hAnsi="Cambria"/>
          <w:sz w:val="20"/>
          <w:szCs w:val="20"/>
          <w:lang w:val="es-PE"/>
        </w:rPr>
        <w:t xml:space="preserve"> resaltó la importancia del acceso a justicia de las personas con discapacidad en igualdad de condiciones con las demás</w:t>
      </w:r>
      <w:r w:rsidRPr="008A084A">
        <w:rPr>
          <w:rStyle w:val="FootnoteReference"/>
          <w:rFonts w:ascii="Cambria" w:hAnsi="Cambria"/>
          <w:sz w:val="20"/>
          <w:szCs w:val="20"/>
        </w:rPr>
        <w:footnoteReference w:id="344"/>
      </w:r>
      <w:r w:rsidRPr="008A084A">
        <w:rPr>
          <w:rFonts w:ascii="Cambria" w:hAnsi="Cambria"/>
          <w:sz w:val="20"/>
          <w:szCs w:val="20"/>
          <w:lang w:val="es-PE"/>
        </w:rPr>
        <w:t>. En ese sentido, consideró que los Estados deben adoptar las medidas pertinentes para priorizar la atención y resolución de procedimientos relacionados con personas con discapacidad de manera que se garantice la pronta resolución y ejecución de los mismos</w:t>
      </w:r>
      <w:r w:rsidRPr="008A084A">
        <w:rPr>
          <w:rStyle w:val="FootnoteReference"/>
          <w:rFonts w:ascii="Cambria" w:hAnsi="Cambria"/>
          <w:sz w:val="20"/>
          <w:szCs w:val="20"/>
        </w:rPr>
        <w:footnoteReference w:id="345"/>
      </w:r>
      <w:r w:rsidRPr="008A084A">
        <w:rPr>
          <w:rFonts w:ascii="Cambria" w:hAnsi="Cambria"/>
          <w:sz w:val="20"/>
          <w:szCs w:val="20"/>
          <w:lang w:val="es-PE"/>
        </w:rPr>
        <w:t>.</w:t>
      </w:r>
    </w:p>
    <w:p w:rsidR="004370F7" w:rsidRPr="008A084A" w:rsidRDefault="004370F7" w:rsidP="007E77A3">
      <w:pPr>
        <w:pStyle w:val="ColorfulList-Accent11"/>
        <w:ind w:left="0"/>
        <w:rPr>
          <w:rFonts w:ascii="Cambria" w:hAnsi="Cambria"/>
          <w:sz w:val="20"/>
          <w:szCs w:val="20"/>
          <w:lang w:val="es-ES"/>
        </w:rPr>
      </w:pPr>
    </w:p>
    <w:p w:rsidR="004370F7" w:rsidRPr="008A084A" w:rsidRDefault="004370F7" w:rsidP="00476D08">
      <w:pPr>
        <w:numPr>
          <w:ilvl w:val="0"/>
          <w:numId w:val="55"/>
        </w:numPr>
        <w:jc w:val="both"/>
        <w:rPr>
          <w:rFonts w:ascii="Cambria" w:hAnsi="Cambria"/>
          <w:sz w:val="20"/>
          <w:szCs w:val="20"/>
          <w:lang w:val="es-ES"/>
        </w:rPr>
      </w:pPr>
      <w:r w:rsidRPr="008A084A">
        <w:rPr>
          <w:rFonts w:ascii="Cambria" w:hAnsi="Cambria"/>
          <w:sz w:val="20"/>
          <w:szCs w:val="20"/>
          <w:lang w:val="es-ES"/>
        </w:rPr>
        <w:t xml:space="preserve">La CIDH toma nota de que en el presente caso se i) interpuso un recurso de hábeas corpus, una denuncia ante la Policía Judicial y una queja ante la Defensoría del Pueblo; y ii) se inició un expediente administrativo. </w:t>
      </w:r>
      <w:r w:rsidRPr="008A084A">
        <w:rPr>
          <w:rFonts w:ascii="Cambria" w:hAnsi="Cambria"/>
          <w:sz w:val="20"/>
          <w:szCs w:val="20"/>
          <w:lang w:val="es-PE"/>
        </w:rPr>
        <w:t xml:space="preserve">Tomando en cuenta que estos procesos fueron llevados a cabo de manera simultánea, la Comisión se pronunciará sobre si los mismos constituyeron mecanismos efectivos para establecer el paradero </w:t>
      </w:r>
      <w:r w:rsidR="007E77A3" w:rsidRPr="008A084A">
        <w:rPr>
          <w:rFonts w:ascii="Cambria" w:hAnsi="Cambria"/>
          <w:sz w:val="20"/>
          <w:szCs w:val="20"/>
          <w:lang w:val="es-PE"/>
        </w:rPr>
        <w:t>del señor Guachalá</w:t>
      </w:r>
      <w:r w:rsidRPr="008A084A">
        <w:rPr>
          <w:rFonts w:ascii="Cambria" w:hAnsi="Cambria"/>
          <w:sz w:val="20"/>
          <w:szCs w:val="20"/>
          <w:lang w:val="es-PE"/>
        </w:rPr>
        <w:t>, así como para identificar a los posibles responsables e imponer</w:t>
      </w:r>
      <w:r w:rsidR="007E77A3" w:rsidRPr="008A084A">
        <w:rPr>
          <w:rFonts w:ascii="Cambria" w:hAnsi="Cambria"/>
          <w:sz w:val="20"/>
          <w:szCs w:val="20"/>
          <w:lang w:val="es-PE"/>
        </w:rPr>
        <w:t xml:space="preserve"> las sanciones correspondientes</w:t>
      </w:r>
      <w:r w:rsidRPr="008A084A">
        <w:rPr>
          <w:rFonts w:ascii="Cambria" w:hAnsi="Cambria"/>
          <w:sz w:val="20"/>
          <w:szCs w:val="20"/>
          <w:lang w:val="es-PE"/>
        </w:rPr>
        <w:t>.</w:t>
      </w:r>
    </w:p>
    <w:p w:rsidR="007E77A3" w:rsidRDefault="007E77A3" w:rsidP="007E77A3">
      <w:pPr>
        <w:pStyle w:val="ColorfulList-Accent11"/>
        <w:rPr>
          <w:rFonts w:ascii="Cambria" w:hAnsi="Cambria"/>
          <w:sz w:val="20"/>
          <w:szCs w:val="20"/>
          <w:lang w:val="es-ES"/>
        </w:rPr>
      </w:pPr>
    </w:p>
    <w:p w:rsidR="0073130C" w:rsidRPr="008A084A" w:rsidRDefault="0073130C" w:rsidP="00D51AF8">
      <w:pPr>
        <w:pStyle w:val="ColorfulList-Accent11"/>
        <w:numPr>
          <w:ilvl w:val="3"/>
          <w:numId w:val="55"/>
        </w:numPr>
        <w:tabs>
          <w:tab w:val="left" w:pos="1440"/>
        </w:tabs>
        <w:ind w:hanging="2160"/>
        <w:rPr>
          <w:rFonts w:ascii="Cambria" w:hAnsi="Cambria"/>
          <w:b/>
          <w:sz w:val="20"/>
          <w:szCs w:val="20"/>
          <w:lang w:val="es-ES"/>
        </w:rPr>
      </w:pPr>
      <w:r w:rsidRPr="008A084A">
        <w:rPr>
          <w:rFonts w:ascii="Cambria" w:hAnsi="Cambria"/>
          <w:b/>
          <w:sz w:val="20"/>
          <w:szCs w:val="20"/>
          <w:lang w:val="es-ES"/>
        </w:rPr>
        <w:t xml:space="preserve">Sobre la debida diligencia </w:t>
      </w:r>
    </w:p>
    <w:p w:rsidR="0073130C" w:rsidRPr="008A084A" w:rsidRDefault="0073130C" w:rsidP="007E77A3">
      <w:pPr>
        <w:pStyle w:val="ColorfulList-Accent11"/>
        <w:rPr>
          <w:rFonts w:ascii="Cambria" w:hAnsi="Cambria"/>
          <w:sz w:val="20"/>
          <w:szCs w:val="20"/>
          <w:lang w:val="es-ES"/>
        </w:rPr>
      </w:pPr>
    </w:p>
    <w:p w:rsidR="00360828" w:rsidRPr="008A084A" w:rsidRDefault="00360828" w:rsidP="00476D08">
      <w:pPr>
        <w:numPr>
          <w:ilvl w:val="0"/>
          <w:numId w:val="55"/>
        </w:numPr>
        <w:jc w:val="both"/>
        <w:rPr>
          <w:rFonts w:ascii="Cambria" w:hAnsi="Cambria"/>
          <w:b/>
          <w:sz w:val="20"/>
          <w:szCs w:val="20"/>
          <w:lang w:val="es-ES"/>
        </w:rPr>
      </w:pPr>
      <w:r w:rsidRPr="008A084A">
        <w:rPr>
          <w:rFonts w:ascii="Cambria" w:hAnsi="Cambria"/>
          <w:sz w:val="20"/>
          <w:szCs w:val="20"/>
          <w:lang w:val="es-ES"/>
        </w:rPr>
        <w:t>La Corte ha indicado que la investigación debe ser realizada por todos los medios legales disponibles</w:t>
      </w:r>
      <w:r w:rsidRPr="008A084A">
        <w:rPr>
          <w:rStyle w:val="FootnoteReference"/>
          <w:rFonts w:ascii="Cambria" w:hAnsi="Cambria"/>
          <w:sz w:val="20"/>
          <w:szCs w:val="20"/>
          <w:lang w:val="es-ES"/>
        </w:rPr>
        <w:footnoteReference w:id="346"/>
      </w:r>
      <w:r w:rsidRPr="008A084A">
        <w:rPr>
          <w:rFonts w:ascii="Cambria" w:hAnsi="Cambria"/>
          <w:sz w:val="20"/>
          <w:szCs w:val="20"/>
          <w:lang w:val="es-ES"/>
        </w:rPr>
        <w:t xml:space="preserve"> y llevada a cabo con la debida diligencia</w:t>
      </w:r>
      <w:r w:rsidRPr="008A084A">
        <w:rPr>
          <w:rStyle w:val="FootnoteReference"/>
          <w:rFonts w:ascii="Cambria" w:hAnsi="Cambria"/>
          <w:sz w:val="20"/>
          <w:szCs w:val="20"/>
          <w:lang w:val="es-ES"/>
        </w:rPr>
        <w:footnoteReference w:id="347"/>
      </w:r>
      <w:r w:rsidRPr="008A084A">
        <w:rPr>
          <w:rFonts w:ascii="Cambria" w:hAnsi="Cambria"/>
          <w:sz w:val="20"/>
          <w:szCs w:val="20"/>
          <w:lang w:val="es-ES"/>
        </w:rPr>
        <w:t>.</w:t>
      </w:r>
      <w:r w:rsidRPr="008A084A">
        <w:rPr>
          <w:rFonts w:ascii="Cambria" w:hAnsi="Cambria" w:cs="TimesNewRoman"/>
          <w:sz w:val="20"/>
          <w:szCs w:val="20"/>
          <w:lang w:val="es-ES" w:eastAsia="es-ES_tradnl"/>
        </w:rPr>
        <w:t xml:space="preserve"> La CIDH recuerda que </w:t>
      </w:r>
      <w:r w:rsidRPr="008A084A">
        <w:rPr>
          <w:rFonts w:ascii="Cambria" w:hAnsi="Cambria"/>
          <w:sz w:val="20"/>
          <w:szCs w:val="20"/>
          <w:lang w:val="es-ES"/>
        </w:rPr>
        <w:t>desde las primeras diligencias los Estados se encuentran obligados a actuar con toda acuciosidad</w:t>
      </w:r>
      <w:r w:rsidRPr="008A084A">
        <w:rPr>
          <w:rStyle w:val="FootnoteReference"/>
          <w:rFonts w:ascii="Cambria" w:hAnsi="Cambria"/>
          <w:sz w:val="20"/>
          <w:szCs w:val="20"/>
          <w:lang w:val="es-ES_tradnl"/>
        </w:rPr>
        <w:footnoteReference w:id="348"/>
      </w:r>
      <w:r w:rsidRPr="008A084A">
        <w:rPr>
          <w:rFonts w:ascii="Cambria" w:hAnsi="Cambria"/>
          <w:sz w:val="20"/>
          <w:szCs w:val="20"/>
          <w:lang w:val="es-ES"/>
        </w:rPr>
        <w:t xml:space="preserve">. Ello se debe a que </w:t>
      </w:r>
      <w:r w:rsidRPr="008A084A">
        <w:rPr>
          <w:rFonts w:ascii="Cambria" w:hAnsi="Cambria"/>
          <w:sz w:val="20"/>
          <w:szCs w:val="20"/>
          <w:lang w:val="es-ES_tradnl"/>
        </w:rPr>
        <w:t xml:space="preserve">las </w:t>
      </w:r>
      <w:r w:rsidRPr="008A084A">
        <w:rPr>
          <w:rFonts w:ascii="Cambria" w:hAnsi="Cambria"/>
          <w:sz w:val="20"/>
          <w:szCs w:val="20"/>
          <w:lang w:val="es-PE"/>
        </w:rPr>
        <w:t>primeras</w:t>
      </w:r>
      <w:r w:rsidRPr="008A084A">
        <w:rPr>
          <w:rFonts w:ascii="Cambria" w:hAnsi="Cambria"/>
          <w:sz w:val="20"/>
          <w:szCs w:val="20"/>
          <w:lang w:val="es-ES_tradnl"/>
        </w:rPr>
        <w:t xml:space="preserve"> diligencias de la investigación son </w:t>
      </w:r>
      <w:r w:rsidRPr="008A084A">
        <w:rPr>
          <w:rFonts w:ascii="Cambria" w:hAnsi="Cambria"/>
          <w:sz w:val="20"/>
          <w:szCs w:val="20"/>
          <w:lang w:val="es-ES"/>
        </w:rPr>
        <w:t>elementos</w:t>
      </w:r>
      <w:r w:rsidRPr="008A084A">
        <w:rPr>
          <w:rFonts w:ascii="Cambria" w:hAnsi="Cambria"/>
          <w:sz w:val="20"/>
          <w:szCs w:val="20"/>
          <w:lang w:val="es-ES_tradnl"/>
        </w:rPr>
        <w:t xml:space="preserve"> fundamentales para el buen curso de la investigación judicial</w:t>
      </w:r>
      <w:r w:rsidRPr="008A084A">
        <w:rPr>
          <w:rStyle w:val="FootnoteReference"/>
          <w:rFonts w:ascii="Cambria" w:hAnsi="Cambria"/>
          <w:sz w:val="20"/>
          <w:szCs w:val="20"/>
          <w:lang w:val="es-ES_tradnl"/>
        </w:rPr>
        <w:footnoteReference w:id="349"/>
      </w:r>
      <w:r w:rsidRPr="008A084A">
        <w:rPr>
          <w:rFonts w:ascii="Cambria" w:hAnsi="Cambria"/>
          <w:sz w:val="20"/>
          <w:szCs w:val="20"/>
          <w:lang w:val="es-ES_tradnl"/>
        </w:rPr>
        <w:t xml:space="preserve">. </w:t>
      </w:r>
      <w:r w:rsidRPr="008A084A">
        <w:rPr>
          <w:rFonts w:ascii="Cambria" w:hAnsi="Cambria" w:cs="ACaslonPro-Regular"/>
          <w:sz w:val="20"/>
          <w:szCs w:val="20"/>
          <w:lang w:val="es-ES"/>
        </w:rPr>
        <w:t>De esta forma, la Corte ha señalado que "todas esas exigencias, así como criterios de independencia e imparcialidad, se extienden también a los órganos no judiciales a los que corresponda la investigación previa al proceso judicial"</w:t>
      </w:r>
      <w:r w:rsidRPr="008A084A">
        <w:rPr>
          <w:rStyle w:val="FootnoteReference"/>
          <w:rFonts w:ascii="Cambria" w:hAnsi="Cambria" w:cs="ACaslonPro-Regular"/>
          <w:sz w:val="20"/>
          <w:szCs w:val="20"/>
          <w:lang w:val="es-ES"/>
        </w:rPr>
        <w:footnoteReference w:id="350"/>
      </w:r>
      <w:r w:rsidRPr="008A084A">
        <w:rPr>
          <w:rFonts w:ascii="Cambria" w:hAnsi="Cambria" w:cs="ACaslonPro-Regular"/>
          <w:sz w:val="20"/>
          <w:szCs w:val="20"/>
          <w:lang w:val="es-ES"/>
        </w:rPr>
        <w:t>.</w:t>
      </w:r>
    </w:p>
    <w:p w:rsidR="00360828" w:rsidRPr="008A084A" w:rsidRDefault="00360828" w:rsidP="0036082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lang w:val="es-ES"/>
        </w:rPr>
      </w:pPr>
    </w:p>
    <w:p w:rsidR="00360828" w:rsidRPr="008A084A" w:rsidRDefault="00360828" w:rsidP="00476D08">
      <w:pPr>
        <w:numPr>
          <w:ilvl w:val="0"/>
          <w:numId w:val="55"/>
        </w:numPr>
        <w:jc w:val="both"/>
        <w:rPr>
          <w:rFonts w:ascii="Cambria" w:hAnsi="Cambria"/>
          <w:sz w:val="20"/>
          <w:szCs w:val="20"/>
          <w:lang w:val="es-ES"/>
        </w:rPr>
      </w:pPr>
      <w:r w:rsidRPr="008A084A">
        <w:rPr>
          <w:rFonts w:ascii="Cambria" w:hAnsi="Cambria"/>
          <w:sz w:val="20"/>
          <w:szCs w:val="20"/>
          <w:lang w:val="es-CO"/>
        </w:rPr>
        <w:t>La Corte Interamericana conoció dos asuntos bajo su mecanismo de medidas provisionales donde dos personas desaparecieron mientras se encontraban detenidas en un centro penitenciario</w:t>
      </w:r>
      <w:r w:rsidRPr="008A084A">
        <w:rPr>
          <w:rStyle w:val="FootnoteReference"/>
          <w:rFonts w:ascii="Cambria" w:hAnsi="Cambria"/>
          <w:sz w:val="20"/>
          <w:szCs w:val="20"/>
        </w:rPr>
        <w:footnoteReference w:id="351"/>
      </w:r>
      <w:r w:rsidRPr="008A084A">
        <w:rPr>
          <w:rFonts w:ascii="Cambria" w:hAnsi="Cambria"/>
          <w:sz w:val="20"/>
          <w:szCs w:val="20"/>
          <w:lang w:val="es-CO"/>
        </w:rPr>
        <w:t xml:space="preserve">. </w:t>
      </w:r>
      <w:r w:rsidRPr="008A084A">
        <w:rPr>
          <w:rFonts w:ascii="Cambria" w:hAnsi="Cambria"/>
          <w:sz w:val="20"/>
          <w:szCs w:val="20"/>
          <w:lang w:val="es-PE"/>
        </w:rPr>
        <w:t xml:space="preserve">La Corte sostuvo que </w:t>
      </w:r>
      <w:r w:rsidRPr="008A084A">
        <w:rPr>
          <w:rFonts w:ascii="Cambria" w:hAnsi="Cambria"/>
          <w:sz w:val="20"/>
          <w:szCs w:val="20"/>
          <w:lang w:val="es-ES"/>
        </w:rPr>
        <w:t>t</w:t>
      </w:r>
      <w:r w:rsidRPr="008A084A">
        <w:rPr>
          <w:rFonts w:ascii="Cambria" w:hAnsi="Cambria"/>
          <w:sz w:val="20"/>
          <w:szCs w:val="20"/>
          <w:lang w:val="es-PE"/>
        </w:rPr>
        <w:t xml:space="preserve">oda vez que haya motivos razonables para sospechar que una persona ha sido sometida a </w:t>
      </w:r>
      <w:r w:rsidRPr="008A084A">
        <w:rPr>
          <w:rFonts w:ascii="Cambria" w:hAnsi="Cambria"/>
          <w:sz w:val="20"/>
          <w:szCs w:val="20"/>
          <w:lang w:val="es-PE"/>
        </w:rPr>
        <w:lastRenderedPageBreak/>
        <w:t>una desaparición, es imprescindible la actuación pronta e inmediata de las autoridades fiscales y judiciales</w:t>
      </w:r>
      <w:r w:rsidRPr="008A084A">
        <w:rPr>
          <w:rStyle w:val="FootnoteReference"/>
          <w:rFonts w:ascii="Cambria" w:hAnsi="Cambria"/>
          <w:sz w:val="20"/>
          <w:szCs w:val="20"/>
        </w:rPr>
        <w:footnoteReference w:id="352"/>
      </w:r>
      <w:r w:rsidRPr="008A084A">
        <w:rPr>
          <w:rFonts w:ascii="Cambria" w:hAnsi="Cambria"/>
          <w:sz w:val="20"/>
          <w:szCs w:val="20"/>
          <w:lang w:val="es-PE"/>
        </w:rPr>
        <w:t>. Ello a efectos de ordenar medidas oportunas y necesarias dirigidas a la determinación del paradero de la víctima o el lugar donde pueda encontrarse</w:t>
      </w:r>
      <w:r w:rsidRPr="008A084A">
        <w:rPr>
          <w:rStyle w:val="FootnoteReference"/>
          <w:rFonts w:ascii="Cambria" w:hAnsi="Cambria"/>
          <w:sz w:val="20"/>
          <w:szCs w:val="20"/>
        </w:rPr>
        <w:footnoteReference w:id="353"/>
      </w:r>
      <w:r w:rsidRPr="008A084A">
        <w:rPr>
          <w:rFonts w:ascii="Cambria" w:hAnsi="Cambria"/>
          <w:sz w:val="20"/>
          <w:szCs w:val="20"/>
          <w:lang w:val="es-PE"/>
        </w:rPr>
        <w:t xml:space="preserve">. </w:t>
      </w:r>
    </w:p>
    <w:p w:rsidR="00360828" w:rsidRPr="008A084A" w:rsidRDefault="00360828" w:rsidP="00360828">
      <w:pPr>
        <w:pStyle w:val="ColorfulList-Accent11"/>
        <w:rPr>
          <w:rFonts w:ascii="Cambria" w:hAnsi="Cambria"/>
          <w:sz w:val="20"/>
          <w:szCs w:val="20"/>
          <w:lang w:val="es-ES"/>
        </w:rPr>
      </w:pPr>
    </w:p>
    <w:p w:rsidR="00360828" w:rsidRPr="008A084A" w:rsidRDefault="00360828" w:rsidP="00476D08">
      <w:pPr>
        <w:numPr>
          <w:ilvl w:val="0"/>
          <w:numId w:val="55"/>
        </w:numPr>
        <w:jc w:val="both"/>
        <w:rPr>
          <w:rFonts w:ascii="Cambria" w:hAnsi="Cambria"/>
          <w:sz w:val="20"/>
          <w:szCs w:val="20"/>
          <w:lang w:val="es-ES"/>
        </w:rPr>
      </w:pPr>
      <w:r w:rsidRPr="008A084A">
        <w:rPr>
          <w:rFonts w:ascii="Cambria" w:hAnsi="Cambria"/>
          <w:sz w:val="20"/>
          <w:szCs w:val="20"/>
          <w:lang w:val="es-PE"/>
        </w:rPr>
        <w:t>Asimismo, la Corte resaltó que en situaciones de privación de la libertad como las del presente caso, el hábeas corpus representa, dentro de las garantías judiciales indispensables, el medio idóneo para determinar la situación y el paradero de la persona desaparecida, así como para controlar el respeto a su vida y proteger su integridad personal</w:t>
      </w:r>
      <w:r w:rsidRPr="008A084A">
        <w:rPr>
          <w:rStyle w:val="FootnoteReference"/>
          <w:rFonts w:ascii="Cambria" w:hAnsi="Cambria"/>
          <w:sz w:val="20"/>
          <w:szCs w:val="20"/>
        </w:rPr>
        <w:footnoteReference w:id="354"/>
      </w:r>
      <w:r w:rsidRPr="008A084A">
        <w:rPr>
          <w:rFonts w:ascii="Cambria" w:hAnsi="Cambria"/>
          <w:sz w:val="20"/>
          <w:szCs w:val="20"/>
          <w:lang w:val="es-PE"/>
        </w:rPr>
        <w:t xml:space="preserve">. </w:t>
      </w:r>
      <w:r w:rsidRPr="008A084A">
        <w:rPr>
          <w:rFonts w:ascii="Cambria" w:hAnsi="Cambria"/>
          <w:sz w:val="20"/>
          <w:szCs w:val="20"/>
          <w:lang w:val="es-SV"/>
        </w:rPr>
        <w:t>La CIDH recuerda que en casos de alegada desaparición no “</w:t>
      </w:r>
      <w:r w:rsidRPr="008A084A">
        <w:rPr>
          <w:rFonts w:ascii="Cambria" w:hAnsi="Cambria"/>
          <w:sz w:val="20"/>
          <w:szCs w:val="20"/>
          <w:lang w:val="es-PE"/>
        </w:rPr>
        <w:t>resulta</w:t>
      </w:r>
      <w:r w:rsidRPr="008A084A">
        <w:rPr>
          <w:rFonts w:ascii="Cambria" w:hAnsi="Cambria"/>
          <w:sz w:val="20"/>
          <w:szCs w:val="20"/>
          <w:lang w:val="es-SV"/>
        </w:rPr>
        <w:t xml:space="preserve"> razonable o diligente ni constituye un recurso efectivo la mera verificación formal con los registros oficiales de detenidos como la ocurrida en el presente caso, o la aceptación como verdadera de la negación de la detención por los presuntos responsables sin una verificación objetiva, imparcial e independiente de la misma”</w:t>
      </w:r>
      <w:r w:rsidRPr="008A084A">
        <w:rPr>
          <w:rStyle w:val="FootnoteReference"/>
          <w:rFonts w:ascii="Cambria" w:hAnsi="Cambria"/>
          <w:sz w:val="20"/>
          <w:szCs w:val="20"/>
          <w:lang w:val="es-SV"/>
        </w:rPr>
        <w:footnoteReference w:id="355"/>
      </w:r>
      <w:r w:rsidRPr="008A084A">
        <w:rPr>
          <w:rFonts w:ascii="Cambria" w:hAnsi="Cambria"/>
          <w:sz w:val="20"/>
          <w:szCs w:val="20"/>
          <w:lang w:val="es-SV"/>
        </w:rPr>
        <w:t>.</w:t>
      </w:r>
      <w:r w:rsidR="00D51AF8" w:rsidRPr="008A084A">
        <w:rPr>
          <w:rFonts w:ascii="Cambria" w:hAnsi="Cambria"/>
          <w:sz w:val="20"/>
          <w:szCs w:val="20"/>
          <w:lang w:val="es-SV"/>
        </w:rPr>
        <w:t xml:space="preserve"> Tomando en cuenta que la privación de libertad de una persona en un centro de salud mental puede constituir una detención arbitraria en los términos de la Convención, la Comisión considera que los recursos de habeas corpus también deben estar diseñados para enfrentar este tipo de situaciones en los que se alega la necesidad de controlar la privación de libertad en tales centros y/o determinar el destino o paradero de una persona en custodia como consecuencia de una institucionalización como la ocurrida en el presente caso.</w:t>
      </w:r>
      <w:r w:rsidR="005D1F59" w:rsidRPr="008A084A">
        <w:rPr>
          <w:rFonts w:ascii="Cambria" w:hAnsi="Cambria"/>
          <w:sz w:val="20"/>
          <w:szCs w:val="20"/>
          <w:lang w:val="es-SV"/>
        </w:rPr>
        <w:t xml:space="preserve"> </w:t>
      </w:r>
    </w:p>
    <w:p w:rsidR="00360828" w:rsidRPr="008A084A" w:rsidRDefault="00360828" w:rsidP="00360828">
      <w:pPr>
        <w:pStyle w:val="ColorfulList-Accent11"/>
        <w:rPr>
          <w:rFonts w:ascii="Cambria" w:hAnsi="Cambria"/>
          <w:sz w:val="20"/>
          <w:szCs w:val="20"/>
          <w:lang w:val="es-ES"/>
        </w:rPr>
      </w:pPr>
    </w:p>
    <w:p w:rsidR="002114CC" w:rsidRPr="008A084A" w:rsidRDefault="00E13398" w:rsidP="00476D08">
      <w:pPr>
        <w:numPr>
          <w:ilvl w:val="0"/>
          <w:numId w:val="55"/>
        </w:numPr>
        <w:jc w:val="both"/>
        <w:rPr>
          <w:rFonts w:ascii="Cambria" w:hAnsi="Cambria"/>
          <w:sz w:val="20"/>
          <w:szCs w:val="20"/>
          <w:lang w:val="es-ES"/>
        </w:rPr>
      </w:pPr>
      <w:r w:rsidRPr="008A084A">
        <w:rPr>
          <w:rFonts w:ascii="Cambria" w:hAnsi="Cambria"/>
          <w:sz w:val="20"/>
          <w:szCs w:val="20"/>
          <w:lang w:val="es-ES"/>
        </w:rPr>
        <w:t>E</w:t>
      </w:r>
      <w:r w:rsidR="00360828" w:rsidRPr="008A084A">
        <w:rPr>
          <w:rFonts w:ascii="Cambria" w:hAnsi="Cambria"/>
          <w:sz w:val="20"/>
          <w:szCs w:val="20"/>
          <w:lang w:val="es-ES"/>
        </w:rPr>
        <w:t>n el presente caso el deber de investigar del Estado se encontraba calificado en cuanto a su naturaleza e intensidad por múltiples razones.</w:t>
      </w:r>
      <w:r w:rsidR="002114CC" w:rsidRPr="008A084A">
        <w:rPr>
          <w:rFonts w:ascii="Cambria" w:hAnsi="Cambria"/>
          <w:sz w:val="20"/>
          <w:szCs w:val="20"/>
          <w:lang w:val="es-ES"/>
        </w:rPr>
        <w:t xml:space="preserve"> En primer lugar, por el hecho de tratarse de una denuncia de desaparición que implicaba presumir la existencia de un riesgo para la vida e integridad personal de la persona. En ese sentido la respuesta investigativa y de búsqueda pronta y diligente resultaba fundamental no sólo para la obtención de justicia sino para la protección de la vida e integridad de Luis Guachalá. En segundo lugar, por tratarse de la desaparición de una persona con discapacidad institucionalizada en un centro de salud mental público</w:t>
      </w:r>
      <w:r w:rsidR="00011DC0" w:rsidRPr="008A084A">
        <w:rPr>
          <w:rFonts w:ascii="Cambria" w:hAnsi="Cambria"/>
          <w:sz w:val="20"/>
          <w:szCs w:val="20"/>
          <w:lang w:val="es-ES"/>
        </w:rPr>
        <w:t xml:space="preserve"> respecto de quien el Estado estaba en </w:t>
      </w:r>
      <w:r w:rsidR="0008599D" w:rsidRPr="008A084A">
        <w:rPr>
          <w:rFonts w:ascii="Cambria" w:hAnsi="Cambria"/>
          <w:sz w:val="20"/>
          <w:szCs w:val="20"/>
          <w:lang w:val="es-ES"/>
        </w:rPr>
        <w:t>posición</w:t>
      </w:r>
      <w:r w:rsidR="00011DC0" w:rsidRPr="008A084A">
        <w:rPr>
          <w:rFonts w:ascii="Cambria" w:hAnsi="Cambria"/>
          <w:sz w:val="20"/>
          <w:szCs w:val="20"/>
          <w:lang w:val="es-CO"/>
        </w:rPr>
        <w:t xml:space="preserve"> especial de garante. </w:t>
      </w:r>
    </w:p>
    <w:p w:rsidR="002114CC" w:rsidRPr="008A084A" w:rsidRDefault="002114CC" w:rsidP="002114CC">
      <w:pPr>
        <w:pStyle w:val="ColorfulList-Accent11"/>
        <w:rPr>
          <w:rFonts w:ascii="Cambria" w:hAnsi="Cambria"/>
          <w:sz w:val="20"/>
          <w:szCs w:val="20"/>
          <w:lang w:val="es-ES"/>
        </w:rPr>
      </w:pPr>
    </w:p>
    <w:p w:rsidR="0092749A" w:rsidRPr="008A084A" w:rsidRDefault="002114CC" w:rsidP="00476D08">
      <w:pPr>
        <w:numPr>
          <w:ilvl w:val="0"/>
          <w:numId w:val="55"/>
        </w:numPr>
        <w:jc w:val="both"/>
        <w:rPr>
          <w:rFonts w:ascii="Cambria" w:hAnsi="Cambria"/>
          <w:sz w:val="20"/>
          <w:szCs w:val="20"/>
          <w:lang w:val="es-ES"/>
        </w:rPr>
      </w:pPr>
      <w:r w:rsidRPr="008A084A">
        <w:rPr>
          <w:rFonts w:ascii="Cambria" w:hAnsi="Cambria"/>
          <w:sz w:val="20"/>
          <w:szCs w:val="20"/>
          <w:lang w:val="es-PE"/>
        </w:rPr>
        <w:t>La Comisión observa que la denuncia de desaparición fue interpuesta el 21 de enero de 2004 por parte de la madre del señor Guachalá.</w:t>
      </w:r>
      <w:r w:rsidR="0073130C" w:rsidRPr="008A084A">
        <w:rPr>
          <w:rFonts w:ascii="Cambria" w:hAnsi="Cambria"/>
          <w:sz w:val="20"/>
          <w:szCs w:val="20"/>
          <w:lang w:val="es-PE"/>
        </w:rPr>
        <w:t xml:space="preserve"> La CIDH nota que la Fiscalía Distrital de Pichincha </w:t>
      </w:r>
      <w:r w:rsidR="00867174" w:rsidRPr="008A084A">
        <w:rPr>
          <w:rFonts w:ascii="Cambria" w:hAnsi="Cambria"/>
          <w:sz w:val="20"/>
          <w:szCs w:val="20"/>
          <w:lang w:val="es-PE"/>
        </w:rPr>
        <w:t xml:space="preserve">i) </w:t>
      </w:r>
      <w:r w:rsidR="0073130C" w:rsidRPr="008A084A">
        <w:rPr>
          <w:rFonts w:ascii="Cambria" w:hAnsi="Cambria"/>
          <w:sz w:val="20"/>
          <w:szCs w:val="20"/>
          <w:lang w:val="es-PE"/>
        </w:rPr>
        <w:t xml:space="preserve">tomó las declaraciones de la </w:t>
      </w:r>
      <w:r w:rsidR="0073130C" w:rsidRPr="008A084A">
        <w:rPr>
          <w:rFonts w:ascii="Cambria" w:hAnsi="Cambria"/>
          <w:sz w:val="20"/>
          <w:szCs w:val="20"/>
          <w:lang w:val="es-ES"/>
        </w:rPr>
        <w:t>señora</w:t>
      </w:r>
      <w:r w:rsidR="0073130C" w:rsidRPr="008A084A">
        <w:rPr>
          <w:rFonts w:ascii="Cambria" w:hAnsi="Cambria"/>
          <w:sz w:val="20"/>
          <w:szCs w:val="20"/>
          <w:lang w:val="es-PE"/>
        </w:rPr>
        <w:t xml:space="preserve"> Chimbó</w:t>
      </w:r>
      <w:r w:rsidR="00867174" w:rsidRPr="008A084A">
        <w:rPr>
          <w:rFonts w:ascii="Cambria" w:hAnsi="Cambria"/>
          <w:sz w:val="20"/>
          <w:szCs w:val="20"/>
          <w:lang w:val="es-PE"/>
        </w:rPr>
        <w:t xml:space="preserve"> y de funcionarios del hospital; ii)</w:t>
      </w:r>
      <w:r w:rsidR="0073130C" w:rsidRPr="008A084A">
        <w:rPr>
          <w:rFonts w:ascii="Cambria" w:hAnsi="Cambria"/>
          <w:sz w:val="20"/>
          <w:szCs w:val="20"/>
          <w:lang w:val="es-PE"/>
        </w:rPr>
        <w:t xml:space="preserve"> realizó un reconocim</w:t>
      </w:r>
      <w:r w:rsidR="00867174" w:rsidRPr="008A084A">
        <w:rPr>
          <w:rFonts w:ascii="Cambria" w:hAnsi="Cambria"/>
          <w:sz w:val="20"/>
          <w:szCs w:val="20"/>
          <w:lang w:val="es-PE"/>
        </w:rPr>
        <w:t>iento del lugar de los hechos; y iii) ordenó la práctica de autopsias de cadáveres no identificados.</w:t>
      </w:r>
    </w:p>
    <w:p w:rsidR="00FC2D46" w:rsidRPr="008A084A" w:rsidRDefault="00FC2D46" w:rsidP="00867174">
      <w:pPr>
        <w:pStyle w:val="ColorfulList-Accent11"/>
        <w:rPr>
          <w:rFonts w:ascii="Cambria" w:hAnsi="Cambria"/>
          <w:sz w:val="20"/>
          <w:szCs w:val="20"/>
          <w:lang w:val="es-ES"/>
        </w:rPr>
      </w:pPr>
    </w:p>
    <w:p w:rsidR="00A96A77" w:rsidRPr="008A084A" w:rsidRDefault="00867174" w:rsidP="00476D08">
      <w:pPr>
        <w:numPr>
          <w:ilvl w:val="0"/>
          <w:numId w:val="55"/>
        </w:numPr>
        <w:jc w:val="both"/>
        <w:rPr>
          <w:rFonts w:ascii="Cambria" w:hAnsi="Cambria"/>
          <w:sz w:val="20"/>
          <w:szCs w:val="20"/>
          <w:lang w:val="es-ES"/>
        </w:rPr>
      </w:pPr>
      <w:r w:rsidRPr="008A084A">
        <w:rPr>
          <w:rFonts w:ascii="Cambria" w:hAnsi="Cambria"/>
          <w:sz w:val="20"/>
          <w:szCs w:val="20"/>
          <w:lang w:val="es-ES"/>
        </w:rPr>
        <w:t xml:space="preserve">La CIDH </w:t>
      </w:r>
      <w:r w:rsidR="0092749A" w:rsidRPr="008A084A">
        <w:rPr>
          <w:rFonts w:ascii="Cambria" w:hAnsi="Cambria"/>
          <w:sz w:val="20"/>
          <w:szCs w:val="20"/>
          <w:lang w:val="es-ES"/>
        </w:rPr>
        <w:t xml:space="preserve">nota que la señora Chimbó manifestó que desde la presentación de la denuncia hasta mediados del año 2005 ella tuvo que pagar la movilización de los agentes policiales al Hospital Psiquiátrico Julio Endara. </w:t>
      </w:r>
      <w:r w:rsidR="005D1F59" w:rsidRPr="008A084A">
        <w:rPr>
          <w:rFonts w:ascii="Cambria" w:hAnsi="Cambria"/>
          <w:sz w:val="20"/>
          <w:szCs w:val="20"/>
          <w:lang w:val="es-ES"/>
        </w:rPr>
        <w:t>También indicó que el fiscal le indicó que su hijo “ya está perdido, que si no tiene otros hijos para ir a cuidar”</w:t>
      </w:r>
      <w:r w:rsidR="005D1F59" w:rsidRPr="008A084A">
        <w:rPr>
          <w:rStyle w:val="FootnoteReference"/>
          <w:rFonts w:ascii="Cambria" w:hAnsi="Cambria"/>
          <w:sz w:val="20"/>
          <w:szCs w:val="20"/>
          <w:lang w:val="es-ES"/>
        </w:rPr>
        <w:footnoteReference w:id="356"/>
      </w:r>
      <w:r w:rsidR="005D1F59" w:rsidRPr="008A084A">
        <w:rPr>
          <w:rFonts w:ascii="Cambria" w:hAnsi="Cambria"/>
          <w:sz w:val="20"/>
          <w:szCs w:val="20"/>
          <w:lang w:val="es-ES"/>
        </w:rPr>
        <w:t xml:space="preserve">. </w:t>
      </w:r>
      <w:r w:rsidR="0092749A" w:rsidRPr="008A084A">
        <w:rPr>
          <w:rFonts w:ascii="Cambria" w:hAnsi="Cambria"/>
          <w:sz w:val="20"/>
          <w:szCs w:val="20"/>
          <w:lang w:val="es-ES"/>
        </w:rPr>
        <w:t xml:space="preserve">Asimismo, la señora Chimbó declaró que a pesar de haber manifestado ante las autoridades que una persona institucionalizada en el hospital le indicó que el señor Guachalá había </w:t>
      </w:r>
      <w:r w:rsidR="00153078" w:rsidRPr="008A084A">
        <w:rPr>
          <w:rFonts w:ascii="Cambria" w:hAnsi="Cambria"/>
          <w:sz w:val="20"/>
          <w:szCs w:val="20"/>
          <w:lang w:val="es-ES"/>
        </w:rPr>
        <w:t>sufrido</w:t>
      </w:r>
      <w:r w:rsidR="00A96A77" w:rsidRPr="008A084A">
        <w:rPr>
          <w:rFonts w:ascii="Cambria" w:hAnsi="Cambria"/>
          <w:sz w:val="20"/>
          <w:szCs w:val="20"/>
          <w:lang w:val="es-ES"/>
        </w:rPr>
        <w:t xml:space="preserve"> un ataque cardiaco </w:t>
      </w:r>
      <w:r w:rsidR="00CF5391" w:rsidRPr="008A084A">
        <w:rPr>
          <w:rFonts w:ascii="Cambria" w:hAnsi="Cambria"/>
          <w:sz w:val="20"/>
          <w:szCs w:val="20"/>
          <w:lang w:val="es-ES"/>
        </w:rPr>
        <w:t>en dicho centro</w:t>
      </w:r>
      <w:r w:rsidR="0092749A" w:rsidRPr="008A084A">
        <w:rPr>
          <w:rFonts w:ascii="Cambria" w:hAnsi="Cambria"/>
          <w:sz w:val="20"/>
          <w:szCs w:val="20"/>
          <w:lang w:val="es-ES"/>
        </w:rPr>
        <w:t xml:space="preserve"> </w:t>
      </w:r>
      <w:r w:rsidR="00153078" w:rsidRPr="008A084A">
        <w:rPr>
          <w:rFonts w:ascii="Cambria" w:hAnsi="Cambria"/>
          <w:sz w:val="20"/>
          <w:szCs w:val="20"/>
          <w:lang w:val="es-ES"/>
        </w:rPr>
        <w:t>y que incluso le pidió que pida ayuda</w:t>
      </w:r>
      <w:r w:rsidR="00A96A77" w:rsidRPr="008A084A">
        <w:rPr>
          <w:rFonts w:ascii="Cambria" w:hAnsi="Cambria"/>
          <w:sz w:val="20"/>
          <w:szCs w:val="20"/>
          <w:lang w:val="es-ES"/>
        </w:rPr>
        <w:t xml:space="preserve">, el Estado no adoptó diligencia alguna a efectos de </w:t>
      </w:r>
      <w:r w:rsidR="00F725C2" w:rsidRPr="008A084A">
        <w:rPr>
          <w:rFonts w:ascii="Cambria" w:hAnsi="Cambria"/>
          <w:sz w:val="20"/>
          <w:szCs w:val="20"/>
          <w:lang w:val="es-ES"/>
        </w:rPr>
        <w:t xml:space="preserve">profundizar en dicho relato y confirmar o descartar su veracidad a partir de una línea de investigación al respecto y la práctica de otras pruebas. </w:t>
      </w:r>
      <w:r w:rsidR="00276A3A" w:rsidRPr="008A084A">
        <w:rPr>
          <w:rFonts w:ascii="Cambria" w:hAnsi="Cambria"/>
          <w:sz w:val="20"/>
          <w:szCs w:val="20"/>
          <w:lang w:val="es-ES"/>
        </w:rPr>
        <w:t xml:space="preserve">La </w:t>
      </w:r>
      <w:r w:rsidR="00871C28" w:rsidRPr="008A084A">
        <w:rPr>
          <w:rFonts w:ascii="Cambria" w:hAnsi="Cambria"/>
          <w:sz w:val="20"/>
          <w:szCs w:val="20"/>
          <w:lang w:val="es-ES"/>
        </w:rPr>
        <w:t>CIDH resalta que el Comité CDPD ha sostenido que las personas con discapacidad intelectual o psicosocial pueden comparecer en procesos judiciales</w:t>
      </w:r>
      <w:r w:rsidR="00871C28" w:rsidRPr="008A084A">
        <w:rPr>
          <w:rStyle w:val="FootnoteReference"/>
          <w:rFonts w:ascii="Cambria" w:hAnsi="Cambria"/>
          <w:sz w:val="20"/>
          <w:szCs w:val="20"/>
        </w:rPr>
        <w:footnoteReference w:id="357"/>
      </w:r>
      <w:r w:rsidR="00871C28" w:rsidRPr="008A084A">
        <w:rPr>
          <w:rFonts w:ascii="Cambria" w:hAnsi="Cambria"/>
          <w:sz w:val="20"/>
          <w:szCs w:val="20"/>
          <w:lang w:val="es-ES"/>
        </w:rPr>
        <w:t>.</w:t>
      </w:r>
      <w:r w:rsidR="00276A3A" w:rsidRPr="008A084A">
        <w:rPr>
          <w:rFonts w:ascii="Cambria" w:hAnsi="Cambria"/>
          <w:sz w:val="20"/>
          <w:szCs w:val="20"/>
          <w:lang w:val="es-ES"/>
        </w:rPr>
        <w:t xml:space="preserve">  A pesar de ello, en el marco de la investigación, la toma de declaracione</w:t>
      </w:r>
      <w:r w:rsidR="00303487" w:rsidRPr="008A084A">
        <w:rPr>
          <w:rFonts w:ascii="Cambria" w:hAnsi="Cambria"/>
          <w:sz w:val="20"/>
          <w:szCs w:val="20"/>
          <w:lang w:val="es-ES"/>
        </w:rPr>
        <w:t>s se concentró en el personal del hospital y no en los pacientes que estuvieron institucionalizados al momento de los hechos</w:t>
      </w:r>
      <w:r w:rsidR="00194C02" w:rsidRPr="008A084A">
        <w:rPr>
          <w:rFonts w:ascii="Cambria" w:hAnsi="Cambria"/>
          <w:sz w:val="20"/>
          <w:szCs w:val="20"/>
          <w:lang w:val="es-ES"/>
        </w:rPr>
        <w:t xml:space="preserve">, incluyendo la persona que le habría indicado a la madre del señor Guachalá la versión del infarto. </w:t>
      </w:r>
    </w:p>
    <w:p w:rsidR="00A96A77" w:rsidRPr="008A084A" w:rsidRDefault="00A96A77" w:rsidP="00A96A77">
      <w:pPr>
        <w:pStyle w:val="ColorfulList-Accent11"/>
        <w:rPr>
          <w:rFonts w:ascii="Cambria" w:hAnsi="Cambria"/>
          <w:sz w:val="20"/>
          <w:szCs w:val="20"/>
          <w:lang w:val="es-ES"/>
        </w:rPr>
      </w:pPr>
    </w:p>
    <w:p w:rsidR="00867174" w:rsidRPr="008A084A" w:rsidRDefault="00A96A77" w:rsidP="00476D08">
      <w:pPr>
        <w:numPr>
          <w:ilvl w:val="0"/>
          <w:numId w:val="55"/>
        </w:numPr>
        <w:jc w:val="both"/>
        <w:rPr>
          <w:rFonts w:ascii="Cambria" w:hAnsi="Cambria"/>
          <w:sz w:val="20"/>
          <w:szCs w:val="20"/>
          <w:lang w:val="es-ES"/>
        </w:rPr>
      </w:pPr>
      <w:r w:rsidRPr="008A084A">
        <w:rPr>
          <w:rFonts w:ascii="Cambria" w:hAnsi="Cambria"/>
          <w:sz w:val="20"/>
          <w:szCs w:val="20"/>
          <w:lang w:val="es-ES"/>
        </w:rPr>
        <w:t xml:space="preserve">Adicionalmente, la Comisión nota que desde mediados del año 2005 hasta julio de 2006, fecha en que se archivó la causa, no se registran diligencias de investigación. La CIDH evidencia que la decisión del archivo se basó en que “no se ha determinado la existencia de delito alguno”. </w:t>
      </w:r>
      <w:r w:rsidR="00194C02" w:rsidRPr="008A084A">
        <w:rPr>
          <w:rFonts w:ascii="Cambria" w:hAnsi="Cambria"/>
          <w:sz w:val="20"/>
          <w:szCs w:val="20"/>
          <w:lang w:val="es-ES"/>
        </w:rPr>
        <w:t>Sin embargo,</w:t>
      </w:r>
      <w:r w:rsidR="005B3F9D" w:rsidRPr="008A084A">
        <w:rPr>
          <w:rFonts w:ascii="Cambria" w:hAnsi="Cambria"/>
          <w:sz w:val="20"/>
          <w:szCs w:val="20"/>
          <w:lang w:val="es-ES"/>
        </w:rPr>
        <w:t xml:space="preserve"> en </w:t>
      </w:r>
      <w:r w:rsidR="005B3F9D" w:rsidRPr="008A084A">
        <w:rPr>
          <w:rFonts w:ascii="Cambria" w:hAnsi="Cambria"/>
          <w:sz w:val="20"/>
          <w:szCs w:val="20"/>
          <w:lang w:val="es-ES"/>
        </w:rPr>
        <w:lastRenderedPageBreak/>
        <w:t>términos generales,</w:t>
      </w:r>
      <w:r w:rsidR="00194C02" w:rsidRPr="008A084A">
        <w:rPr>
          <w:rFonts w:ascii="Cambria" w:hAnsi="Cambria"/>
          <w:sz w:val="20"/>
          <w:szCs w:val="20"/>
          <w:lang w:val="es-ES"/>
        </w:rPr>
        <w:t xml:space="preserve"> del despliegue probatorio previo a dicha decisión, no se desprende el diseño y agotamiento exhaustivo de una línea de investigación</w:t>
      </w:r>
      <w:r w:rsidR="005D1F59" w:rsidRPr="008A084A">
        <w:rPr>
          <w:rFonts w:ascii="Cambria" w:hAnsi="Cambria"/>
          <w:sz w:val="20"/>
          <w:szCs w:val="20"/>
          <w:lang w:val="es-ES"/>
        </w:rPr>
        <w:t xml:space="preserve"> que</w:t>
      </w:r>
      <w:r w:rsidR="00194C02" w:rsidRPr="008A084A">
        <w:rPr>
          <w:rFonts w:ascii="Cambria" w:hAnsi="Cambria"/>
          <w:sz w:val="20"/>
          <w:szCs w:val="20"/>
          <w:lang w:val="es-ES"/>
        </w:rPr>
        <w:t xml:space="preserve"> tomara en cuenta una hipótesis de </w:t>
      </w:r>
      <w:r w:rsidRPr="008A084A">
        <w:rPr>
          <w:rFonts w:ascii="Cambria" w:hAnsi="Cambria"/>
          <w:sz w:val="20"/>
          <w:szCs w:val="20"/>
          <w:lang w:val="es-ES"/>
        </w:rPr>
        <w:t xml:space="preserve">posible fallecimiento del señor Guachalá en el hospital y un eventual encubrimiento de su muerte por parte de los funcionarios de dicho </w:t>
      </w:r>
      <w:r w:rsidR="005D1F59" w:rsidRPr="008A084A">
        <w:rPr>
          <w:rFonts w:ascii="Cambria" w:hAnsi="Cambria"/>
          <w:sz w:val="20"/>
          <w:szCs w:val="20"/>
          <w:lang w:val="es-ES"/>
        </w:rPr>
        <w:t>c</w:t>
      </w:r>
      <w:r w:rsidRPr="008A084A">
        <w:rPr>
          <w:rFonts w:ascii="Cambria" w:hAnsi="Cambria"/>
          <w:sz w:val="20"/>
          <w:szCs w:val="20"/>
          <w:lang w:val="es-ES"/>
        </w:rPr>
        <w:t xml:space="preserve">entro. </w:t>
      </w:r>
    </w:p>
    <w:p w:rsidR="00A96A77" w:rsidRPr="008A084A" w:rsidRDefault="00A96A77" w:rsidP="00A96A77">
      <w:pPr>
        <w:pStyle w:val="ColorfulList-Accent11"/>
        <w:rPr>
          <w:rFonts w:ascii="Cambria" w:hAnsi="Cambria"/>
          <w:sz w:val="20"/>
          <w:szCs w:val="20"/>
          <w:lang w:val="es-ES"/>
        </w:rPr>
      </w:pPr>
    </w:p>
    <w:p w:rsidR="00A96A77" w:rsidRPr="008A084A" w:rsidRDefault="00EC63E8" w:rsidP="00476D08">
      <w:pPr>
        <w:numPr>
          <w:ilvl w:val="0"/>
          <w:numId w:val="55"/>
        </w:numPr>
        <w:jc w:val="both"/>
        <w:rPr>
          <w:rFonts w:ascii="Cambria" w:hAnsi="Cambria"/>
          <w:sz w:val="20"/>
          <w:szCs w:val="20"/>
          <w:lang w:val="es-ES"/>
        </w:rPr>
      </w:pPr>
      <w:r w:rsidRPr="008A084A">
        <w:rPr>
          <w:rFonts w:ascii="Cambria" w:hAnsi="Cambria"/>
          <w:sz w:val="20"/>
          <w:szCs w:val="20"/>
          <w:lang w:val="es-ES"/>
        </w:rPr>
        <w:t>La CIDH nota que luego de presentada la denuncia penal, los pet</w:t>
      </w:r>
      <w:r w:rsidR="00256486" w:rsidRPr="008A084A">
        <w:rPr>
          <w:rFonts w:ascii="Cambria" w:hAnsi="Cambria"/>
          <w:sz w:val="20"/>
          <w:szCs w:val="20"/>
          <w:lang w:val="es-ES"/>
        </w:rPr>
        <w:t xml:space="preserve">icionarios presentaron una queja ante la Defensoría del Pueblo y un recurso de hábeas corpus. En relación con la queja ante la Defensoría del Pueblo, la CIDH nota que la DINATED manifestó que el Hospital Psiquiátrico Julio Endara tiene “total responsabilidad (…) sobre este nefasto suceso; que ya lleva un año sin solución”. La CIDH observa que a pesar de que la DINATED solicitó al Ministerio de Salud realizar diversas diligencias, no se cuenta con información sobre si éstas se realizaron. Asimismo, en su escrito de enero de 2015 el Estado indicó que las investigaciones bajo dicha queja continúan, sin que se haya encontrado el paradero del señor Guachalá. </w:t>
      </w:r>
      <w:r w:rsidR="004D289F" w:rsidRPr="008A084A">
        <w:rPr>
          <w:rFonts w:ascii="Cambria" w:hAnsi="Cambria"/>
          <w:sz w:val="20"/>
          <w:szCs w:val="20"/>
          <w:lang w:val="es-ES"/>
        </w:rPr>
        <w:t xml:space="preserve">Al respecto, la Comisión observa que más allá de acciones aisladas hacia la búsqueda de la víctima, no se cuenta con </w:t>
      </w:r>
      <w:r w:rsidR="00522398" w:rsidRPr="008A084A">
        <w:rPr>
          <w:rFonts w:ascii="Cambria" w:hAnsi="Cambria"/>
          <w:sz w:val="20"/>
          <w:szCs w:val="20"/>
          <w:lang w:val="es-ES"/>
        </w:rPr>
        <w:t>información sobre un plan de búsqueda diseñado para encontrar al señor Guachalá</w:t>
      </w:r>
      <w:r w:rsidR="00E0156C" w:rsidRPr="008A084A">
        <w:rPr>
          <w:rFonts w:ascii="Cambria" w:hAnsi="Cambria"/>
          <w:sz w:val="20"/>
          <w:szCs w:val="20"/>
          <w:lang w:val="es-ES"/>
        </w:rPr>
        <w:t xml:space="preserve">, tomando en cuenta los indicios que surgen del expediente e involucrando de manera coordinada a todas las autoridades estatales relevantes. </w:t>
      </w:r>
    </w:p>
    <w:p w:rsidR="00256486" w:rsidRPr="008A084A" w:rsidRDefault="00256486" w:rsidP="00256486">
      <w:pPr>
        <w:pStyle w:val="ColorfulList-Accent11"/>
        <w:rPr>
          <w:rFonts w:ascii="Cambria" w:hAnsi="Cambria"/>
          <w:sz w:val="20"/>
          <w:szCs w:val="20"/>
          <w:lang w:val="es-ES"/>
        </w:rPr>
      </w:pPr>
    </w:p>
    <w:p w:rsidR="00256486" w:rsidRPr="008A084A" w:rsidRDefault="003F6B5C" w:rsidP="00476D08">
      <w:pPr>
        <w:numPr>
          <w:ilvl w:val="0"/>
          <w:numId w:val="55"/>
        </w:numPr>
        <w:jc w:val="both"/>
        <w:rPr>
          <w:rFonts w:ascii="Cambria" w:hAnsi="Cambria"/>
          <w:sz w:val="20"/>
          <w:szCs w:val="20"/>
          <w:lang w:val="es-ES"/>
        </w:rPr>
      </w:pPr>
      <w:r w:rsidRPr="008A084A">
        <w:rPr>
          <w:rFonts w:ascii="Cambria" w:hAnsi="Cambria"/>
          <w:sz w:val="20"/>
          <w:szCs w:val="20"/>
          <w:lang w:val="es-ES"/>
        </w:rPr>
        <w:t>Respecto del recurso de hábeas corpus, la CIDH nota que inicialmente la alcaldía del distrito metropolitano de Quito se limitó a convocar al señor Guachalá</w:t>
      </w:r>
      <w:r w:rsidR="002E0BEA" w:rsidRPr="008A084A">
        <w:rPr>
          <w:rFonts w:ascii="Cambria" w:hAnsi="Cambria"/>
          <w:sz w:val="20"/>
          <w:szCs w:val="20"/>
          <w:lang w:val="es-ES"/>
        </w:rPr>
        <w:t>, a pesar de que ya se había indicado que ést</w:t>
      </w:r>
      <w:r w:rsidR="005D1F59" w:rsidRPr="008A084A">
        <w:rPr>
          <w:rFonts w:ascii="Cambria" w:hAnsi="Cambria"/>
          <w:sz w:val="20"/>
          <w:szCs w:val="20"/>
          <w:lang w:val="es-ES"/>
        </w:rPr>
        <w:t>e</w:t>
      </w:r>
      <w:r w:rsidR="002E0BEA" w:rsidRPr="008A084A">
        <w:rPr>
          <w:rFonts w:ascii="Cambria" w:hAnsi="Cambria"/>
          <w:sz w:val="20"/>
          <w:szCs w:val="20"/>
          <w:lang w:val="es-ES"/>
        </w:rPr>
        <w:t xml:space="preserve"> había desaparecido del hospital. </w:t>
      </w:r>
      <w:r w:rsidR="009D7534" w:rsidRPr="008A084A">
        <w:rPr>
          <w:rFonts w:ascii="Cambria" w:hAnsi="Cambria"/>
          <w:sz w:val="20"/>
          <w:szCs w:val="20"/>
          <w:lang w:val="es-ES"/>
        </w:rPr>
        <w:t>Frente a dicha situación, los peticionarios presentaron un escrito solicitando que requiera al Estado adoptar medidas de búsqueda para encontrar el paradero del señor Guachalá. La Comisión observa que durante un año y medio no hubo respuesta por parte de las autoridades, hasta que en abril de 2006 el Tribunal Constitucional indicó que al no haberse dictado resolución en la causa durante este tiempo se “ha dejado a la parte en estado de indefensión”.</w:t>
      </w:r>
      <w:r w:rsidR="003B35E5" w:rsidRPr="008A084A">
        <w:rPr>
          <w:rFonts w:ascii="Cambria" w:hAnsi="Cambria"/>
          <w:sz w:val="20"/>
          <w:szCs w:val="20"/>
          <w:lang w:val="es-ES"/>
        </w:rPr>
        <w:t xml:space="preserve"> La CIDH recuerda que el Tribunal Constitucional sostuvo que “no es admisible en un Estado (…) que una persona permanezca desaparecida por más de dos años, y menos admisible es que sus órganos no coordinen las acciones adecuadas para dar con el paradero de la persona”. A pesar de dicha resolución, la Comisión no cuenta con información sobre las medidas desplegadas en el marco del recurso de hábeas corpus.</w:t>
      </w:r>
      <w:r w:rsidR="00935166" w:rsidRPr="008A084A">
        <w:rPr>
          <w:rFonts w:ascii="Cambria" w:hAnsi="Cambria"/>
          <w:sz w:val="20"/>
          <w:szCs w:val="20"/>
          <w:lang w:val="es-ES"/>
        </w:rPr>
        <w:t xml:space="preserve"> En este sentido, la CIDH considera que el habeas corpus no constituyó un recurso efectivo para abordar una situación de privación de libertad y desaparición de Luis Eduardo Guachalá en un hospital psiquiátrico bajo custodia del E</w:t>
      </w:r>
      <w:r w:rsidR="00846B5E" w:rsidRPr="008A084A">
        <w:rPr>
          <w:rFonts w:ascii="Cambria" w:hAnsi="Cambria"/>
          <w:sz w:val="20"/>
          <w:szCs w:val="20"/>
          <w:lang w:val="es-ES"/>
        </w:rPr>
        <w:t xml:space="preserve">stado. Además, por el tiempo transcurrido, el mismo tampoco brindó una respuesta pronta y efectiva, con la inmediatez requerida en un caso como el presente. </w:t>
      </w:r>
    </w:p>
    <w:p w:rsidR="003B35E5" w:rsidRDefault="003B35E5" w:rsidP="003B35E5">
      <w:pPr>
        <w:pStyle w:val="ColorfulList-Accent11"/>
        <w:rPr>
          <w:rFonts w:ascii="Cambria" w:hAnsi="Cambria"/>
          <w:sz w:val="20"/>
          <w:szCs w:val="20"/>
          <w:lang w:val="es-ES"/>
        </w:rPr>
      </w:pPr>
    </w:p>
    <w:p w:rsidR="00ED4052" w:rsidRPr="008A084A" w:rsidRDefault="00C77962" w:rsidP="00476D08">
      <w:pPr>
        <w:numPr>
          <w:ilvl w:val="0"/>
          <w:numId w:val="55"/>
        </w:numPr>
        <w:jc w:val="both"/>
        <w:rPr>
          <w:rFonts w:ascii="Cambria" w:hAnsi="Cambria"/>
          <w:sz w:val="20"/>
          <w:szCs w:val="20"/>
          <w:lang w:val="es-PE"/>
        </w:rPr>
      </w:pPr>
      <w:r w:rsidRPr="008A084A">
        <w:rPr>
          <w:rFonts w:ascii="Cambria" w:hAnsi="Cambria"/>
          <w:sz w:val="20"/>
          <w:szCs w:val="20"/>
          <w:lang w:val="es-ES"/>
        </w:rPr>
        <w:t xml:space="preserve">Por otro lado, la CIDH observa que en el año 2013 se inició una investigación administrativa </w:t>
      </w:r>
      <w:r w:rsidR="003A4457" w:rsidRPr="008A084A">
        <w:rPr>
          <w:rFonts w:ascii="Cambria" w:hAnsi="Cambria"/>
          <w:sz w:val="20"/>
          <w:szCs w:val="20"/>
          <w:lang w:val="es-ES"/>
        </w:rPr>
        <w:t xml:space="preserve">por la desaparición del señor Guachalá. La CIDH nota que dicha investigación se inició casi 10 años después de ocurridos los hechos. </w:t>
      </w:r>
      <w:r w:rsidR="00ED4052" w:rsidRPr="008A084A">
        <w:rPr>
          <w:rFonts w:ascii="Cambria" w:hAnsi="Cambria"/>
          <w:sz w:val="20"/>
          <w:szCs w:val="20"/>
          <w:lang w:val="es-PE"/>
        </w:rPr>
        <w:t xml:space="preserve">La CIDH </w:t>
      </w:r>
      <w:r w:rsidR="00ED4052" w:rsidRPr="008A084A">
        <w:rPr>
          <w:rFonts w:ascii="Cambria" w:hAnsi="Cambria"/>
          <w:sz w:val="20"/>
          <w:szCs w:val="20"/>
          <w:lang w:val="es-ES"/>
        </w:rPr>
        <w:t>resalta</w:t>
      </w:r>
      <w:r w:rsidR="00ED4052" w:rsidRPr="008A084A">
        <w:rPr>
          <w:rFonts w:ascii="Cambria" w:hAnsi="Cambria"/>
          <w:sz w:val="20"/>
          <w:szCs w:val="20"/>
          <w:lang w:val="es-PE"/>
        </w:rPr>
        <w:t xml:space="preserve"> la falta de impulso de la investigación y la ausencia de realización de diligencias </w:t>
      </w:r>
      <w:r w:rsidR="003F4F99" w:rsidRPr="008A084A">
        <w:rPr>
          <w:rFonts w:ascii="Cambria" w:hAnsi="Cambria"/>
          <w:sz w:val="20"/>
          <w:szCs w:val="20"/>
          <w:lang w:val="es-PE"/>
        </w:rPr>
        <w:t xml:space="preserve">puntuales </w:t>
      </w:r>
      <w:r w:rsidR="00ED4052" w:rsidRPr="008A084A">
        <w:rPr>
          <w:rFonts w:ascii="Cambria" w:hAnsi="Cambria"/>
          <w:sz w:val="20"/>
          <w:szCs w:val="20"/>
          <w:lang w:val="es-PE"/>
        </w:rPr>
        <w:t xml:space="preserve">de búsqueda y esclarecimiento de lo sucedido durante dicho tiempo. </w:t>
      </w:r>
    </w:p>
    <w:p w:rsidR="00ED4052" w:rsidRPr="008A084A" w:rsidRDefault="00ED4052" w:rsidP="00ED4052">
      <w:pPr>
        <w:pStyle w:val="ColorfulList-Accent11"/>
        <w:ind w:left="0"/>
        <w:rPr>
          <w:rFonts w:ascii="Cambria" w:hAnsi="Cambria"/>
          <w:sz w:val="20"/>
          <w:szCs w:val="20"/>
          <w:lang w:val="es-ES"/>
        </w:rPr>
      </w:pPr>
    </w:p>
    <w:p w:rsidR="00C15FC6" w:rsidRPr="008A084A" w:rsidRDefault="001E5359" w:rsidP="00476D08">
      <w:pPr>
        <w:numPr>
          <w:ilvl w:val="0"/>
          <w:numId w:val="55"/>
        </w:numPr>
        <w:jc w:val="both"/>
        <w:rPr>
          <w:rFonts w:ascii="Cambria" w:hAnsi="Cambria"/>
          <w:sz w:val="20"/>
          <w:szCs w:val="20"/>
          <w:lang w:val="es-ES"/>
        </w:rPr>
      </w:pPr>
      <w:r w:rsidRPr="008A084A">
        <w:rPr>
          <w:rFonts w:ascii="Cambria" w:hAnsi="Cambria"/>
          <w:sz w:val="20"/>
          <w:szCs w:val="20"/>
          <w:lang w:val="es-ES"/>
        </w:rPr>
        <w:t xml:space="preserve">De acuerdo a la documentación proporcionada por las partes, </w:t>
      </w:r>
      <w:r w:rsidR="00C15FC6" w:rsidRPr="008A084A">
        <w:rPr>
          <w:rFonts w:ascii="Cambria" w:hAnsi="Cambria"/>
          <w:sz w:val="20"/>
          <w:szCs w:val="20"/>
          <w:lang w:val="es-ES"/>
        </w:rPr>
        <w:t>la Comisión toma nota de las diversas diligencias realizadas por el fiscal de la Unidad de Actuaciones Administrativas de Pichincha entre los años 2014 y 2016. La Comisión toma no</w:t>
      </w:r>
      <w:r w:rsidR="00ED4052" w:rsidRPr="008A084A">
        <w:rPr>
          <w:rFonts w:ascii="Cambria" w:hAnsi="Cambria"/>
          <w:sz w:val="20"/>
          <w:szCs w:val="20"/>
          <w:lang w:val="es-ES"/>
        </w:rPr>
        <w:t>t</w:t>
      </w:r>
      <w:r w:rsidR="00C15FC6" w:rsidRPr="008A084A">
        <w:rPr>
          <w:rFonts w:ascii="Cambria" w:hAnsi="Cambria"/>
          <w:sz w:val="20"/>
          <w:szCs w:val="20"/>
          <w:lang w:val="es-ES"/>
        </w:rPr>
        <w:t xml:space="preserve">a </w:t>
      </w:r>
      <w:r w:rsidR="00ED4052" w:rsidRPr="008A084A">
        <w:rPr>
          <w:rFonts w:ascii="Cambria" w:hAnsi="Cambria"/>
          <w:sz w:val="20"/>
          <w:szCs w:val="20"/>
          <w:lang w:val="es-ES"/>
        </w:rPr>
        <w:t>de que el Estado no informó sobre si se adoptó alguna diligencia a efectos de verificar el relato</w:t>
      </w:r>
      <w:r w:rsidR="003C587E" w:rsidRPr="008A084A">
        <w:rPr>
          <w:rFonts w:ascii="Cambria" w:hAnsi="Cambria"/>
          <w:sz w:val="20"/>
          <w:szCs w:val="20"/>
          <w:lang w:val="es-ES"/>
        </w:rPr>
        <w:t xml:space="preserve"> de la persona institucionalizada que indicó a la señora Chimbó que su hijo había sufrido un ataque cardiaco en el hospital</w:t>
      </w:r>
      <w:r w:rsidR="003F4F99" w:rsidRPr="008A084A">
        <w:rPr>
          <w:rFonts w:ascii="Cambria" w:hAnsi="Cambria"/>
          <w:sz w:val="20"/>
          <w:szCs w:val="20"/>
          <w:lang w:val="es-ES"/>
        </w:rPr>
        <w:t xml:space="preserve"> ni, en general, el desarrollo de la hipótesis de posible muerte en el hospital y encubrimiento de lo sucedido. Por el contrario, las medidas de búsqueda parecieran enfocarse en la hipótesis de fuga.</w:t>
      </w:r>
      <w:r w:rsidR="00B641E4" w:rsidRPr="008A084A">
        <w:rPr>
          <w:rFonts w:ascii="Cambria" w:hAnsi="Cambria"/>
          <w:sz w:val="20"/>
          <w:szCs w:val="20"/>
          <w:lang w:val="es-ES"/>
        </w:rPr>
        <w:t xml:space="preserve"> </w:t>
      </w:r>
    </w:p>
    <w:p w:rsidR="002114CC" w:rsidRPr="008A084A" w:rsidRDefault="002114CC" w:rsidP="003C587E">
      <w:pPr>
        <w:pStyle w:val="ColorfulList-Accent11"/>
        <w:ind w:left="0"/>
        <w:rPr>
          <w:rFonts w:ascii="Cambria" w:hAnsi="Cambria"/>
          <w:sz w:val="20"/>
          <w:szCs w:val="20"/>
          <w:lang w:val="es-PE"/>
        </w:rPr>
      </w:pPr>
    </w:p>
    <w:p w:rsidR="003B35E5" w:rsidRPr="008A084A" w:rsidRDefault="003B35E5" w:rsidP="00476D08">
      <w:pPr>
        <w:numPr>
          <w:ilvl w:val="0"/>
          <w:numId w:val="55"/>
        </w:numPr>
        <w:jc w:val="both"/>
        <w:rPr>
          <w:rFonts w:ascii="Cambria" w:hAnsi="Cambria"/>
          <w:sz w:val="20"/>
          <w:szCs w:val="20"/>
          <w:lang w:val="es-PE" w:eastAsia="ko-KR"/>
        </w:rPr>
      </w:pPr>
      <w:r w:rsidRPr="008A084A">
        <w:rPr>
          <w:rFonts w:ascii="Cambria" w:hAnsi="Cambria"/>
          <w:sz w:val="20"/>
          <w:szCs w:val="20"/>
          <w:lang w:val="es-PE"/>
        </w:rPr>
        <w:t>La Comisión considera que</w:t>
      </w:r>
      <w:r w:rsidR="003C587E" w:rsidRPr="008A084A">
        <w:rPr>
          <w:rFonts w:ascii="Cambria" w:hAnsi="Cambria"/>
          <w:sz w:val="20"/>
          <w:szCs w:val="20"/>
          <w:lang w:val="es-PE"/>
        </w:rPr>
        <w:t>, en vista de lo expuesto,</w:t>
      </w:r>
      <w:r w:rsidRPr="008A084A">
        <w:rPr>
          <w:rFonts w:ascii="Cambria" w:hAnsi="Cambria"/>
          <w:sz w:val="20"/>
          <w:szCs w:val="20"/>
          <w:lang w:val="es-PE"/>
        </w:rPr>
        <w:t xml:space="preserve"> </w:t>
      </w:r>
      <w:r w:rsidRPr="008A084A">
        <w:rPr>
          <w:rFonts w:ascii="Cambria" w:hAnsi="Cambria"/>
          <w:sz w:val="20"/>
          <w:szCs w:val="20"/>
          <w:lang w:val="es-PE" w:eastAsia="ko-KR"/>
        </w:rPr>
        <w:t xml:space="preserve">ni la investigación penal, </w:t>
      </w:r>
      <w:r w:rsidR="003C587E" w:rsidRPr="008A084A">
        <w:rPr>
          <w:rFonts w:ascii="Cambria" w:hAnsi="Cambria"/>
          <w:sz w:val="20"/>
          <w:szCs w:val="20"/>
          <w:lang w:val="es-PE" w:eastAsia="ko-KR"/>
        </w:rPr>
        <w:t xml:space="preserve">administrativa, </w:t>
      </w:r>
      <w:r w:rsidRPr="008A084A">
        <w:rPr>
          <w:rFonts w:ascii="Cambria" w:hAnsi="Cambria"/>
          <w:sz w:val="20"/>
          <w:szCs w:val="20"/>
          <w:lang w:val="es-PE" w:eastAsia="ko-KR"/>
        </w:rPr>
        <w:t xml:space="preserve">ni los recursos de </w:t>
      </w:r>
      <w:r w:rsidRPr="008A084A">
        <w:rPr>
          <w:rFonts w:ascii="Cambria" w:hAnsi="Cambria"/>
          <w:sz w:val="20"/>
          <w:szCs w:val="20"/>
          <w:lang w:val="es-ES"/>
        </w:rPr>
        <w:t>exhibición</w:t>
      </w:r>
      <w:r w:rsidRPr="008A084A">
        <w:rPr>
          <w:rFonts w:ascii="Cambria" w:hAnsi="Cambria"/>
          <w:sz w:val="20"/>
          <w:szCs w:val="20"/>
          <w:lang w:val="es-PE" w:eastAsia="ko-KR"/>
        </w:rPr>
        <w:t xml:space="preserve"> personal</w:t>
      </w:r>
      <w:r w:rsidR="003C587E" w:rsidRPr="008A084A">
        <w:rPr>
          <w:rFonts w:ascii="Cambria" w:hAnsi="Cambria"/>
          <w:sz w:val="20"/>
          <w:szCs w:val="20"/>
          <w:lang w:val="es-PE" w:eastAsia="ko-KR"/>
        </w:rPr>
        <w:t xml:space="preserve"> y queja ante la Defensoría del Pueblo,</w:t>
      </w:r>
      <w:r w:rsidRPr="008A084A">
        <w:rPr>
          <w:rFonts w:ascii="Cambria" w:hAnsi="Cambria"/>
          <w:sz w:val="20"/>
          <w:szCs w:val="20"/>
          <w:lang w:val="es-PE" w:eastAsia="ko-KR"/>
        </w:rPr>
        <w:t xml:space="preserve"> fueron llevados a cabo con la debida diligencia que era exigible a las autoridades a cargo de los procesos internos en el presente caso. L</w:t>
      </w:r>
      <w:r w:rsidRPr="008A084A">
        <w:rPr>
          <w:rFonts w:ascii="Cambria" w:hAnsi="Cambria"/>
          <w:sz w:val="20"/>
          <w:szCs w:val="20"/>
          <w:lang w:val="es-SV"/>
        </w:rPr>
        <w:t xml:space="preserve">a CIDH recuerda que </w:t>
      </w:r>
      <w:r w:rsidRPr="008A084A">
        <w:rPr>
          <w:rFonts w:ascii="Cambria" w:hAnsi="Cambria"/>
          <w:sz w:val="20"/>
          <w:szCs w:val="20"/>
          <w:lang w:val="es-ES"/>
        </w:rPr>
        <w:t xml:space="preserve">en casos de alegadas desapariciones, sólo si se despliegan todos los esfuerzos necesarios y a </w:t>
      </w:r>
      <w:r w:rsidRPr="008A084A">
        <w:rPr>
          <w:rFonts w:ascii="Cambria" w:hAnsi="Cambria"/>
          <w:sz w:val="20"/>
          <w:szCs w:val="20"/>
          <w:lang w:val="es-PE"/>
        </w:rPr>
        <w:t>disposición</w:t>
      </w:r>
      <w:r w:rsidRPr="008A084A">
        <w:rPr>
          <w:rFonts w:ascii="Cambria" w:hAnsi="Cambria"/>
          <w:sz w:val="20"/>
          <w:szCs w:val="20"/>
          <w:lang w:val="es-ES"/>
        </w:rPr>
        <w:t xml:space="preserve"> del Estado para conocer la verdad sobre lo sucedido a la víctima y su paradero, podrá considerarse que se proporcionó un recurso efectivo</w:t>
      </w:r>
      <w:r w:rsidRPr="008A084A">
        <w:rPr>
          <w:rStyle w:val="FootnoteReference"/>
          <w:rFonts w:ascii="Cambria" w:hAnsi="Cambria"/>
          <w:sz w:val="20"/>
          <w:szCs w:val="20"/>
        </w:rPr>
        <w:footnoteReference w:id="358"/>
      </w:r>
      <w:r w:rsidRPr="008A084A">
        <w:rPr>
          <w:rFonts w:ascii="Cambria" w:hAnsi="Cambria"/>
          <w:sz w:val="20"/>
          <w:szCs w:val="20"/>
          <w:lang w:val="es-ES"/>
        </w:rPr>
        <w:t>.</w:t>
      </w:r>
    </w:p>
    <w:p w:rsidR="00986B17" w:rsidRPr="008A084A" w:rsidRDefault="00986B17" w:rsidP="00986B1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986B17" w:rsidRPr="008A084A" w:rsidRDefault="00986B17" w:rsidP="00476D08">
      <w:pPr>
        <w:numPr>
          <w:ilvl w:val="0"/>
          <w:numId w:val="55"/>
        </w:numPr>
        <w:jc w:val="both"/>
        <w:rPr>
          <w:rFonts w:ascii="Cambria" w:hAnsi="Cambria"/>
          <w:sz w:val="20"/>
          <w:szCs w:val="20"/>
          <w:lang w:val="es-ES"/>
        </w:rPr>
      </w:pPr>
      <w:r w:rsidRPr="008A084A">
        <w:rPr>
          <w:rFonts w:ascii="Cambria" w:hAnsi="Cambria"/>
          <w:sz w:val="20"/>
          <w:szCs w:val="20"/>
          <w:lang w:val="es-ES_tradnl"/>
        </w:rPr>
        <w:t xml:space="preserve">De esta forma, la Comisión concluye que el Estado </w:t>
      </w:r>
      <w:r w:rsidR="003F4F99" w:rsidRPr="008A084A">
        <w:rPr>
          <w:rFonts w:ascii="Cambria" w:hAnsi="Cambria"/>
          <w:sz w:val="20"/>
          <w:szCs w:val="20"/>
          <w:lang w:val="es-ES_tradnl"/>
        </w:rPr>
        <w:t xml:space="preserve">ecuatoriano </w:t>
      </w:r>
      <w:r w:rsidRPr="008A084A">
        <w:rPr>
          <w:rFonts w:ascii="Cambria" w:hAnsi="Cambria"/>
          <w:sz w:val="20"/>
          <w:szCs w:val="20"/>
          <w:lang w:val="es-ES_tradnl"/>
        </w:rPr>
        <w:t xml:space="preserve">violó los derechos a las garantías judiciales y protección </w:t>
      </w:r>
      <w:r w:rsidRPr="008A084A">
        <w:rPr>
          <w:rFonts w:ascii="Cambria" w:hAnsi="Cambria"/>
          <w:sz w:val="20"/>
          <w:szCs w:val="20"/>
          <w:lang w:val="es-ES"/>
        </w:rPr>
        <w:t>judicial</w:t>
      </w:r>
      <w:r w:rsidRPr="008A084A">
        <w:rPr>
          <w:rFonts w:ascii="Cambria" w:hAnsi="Cambria"/>
          <w:sz w:val="20"/>
          <w:szCs w:val="20"/>
          <w:lang w:val="es-ES_tradnl"/>
        </w:rPr>
        <w:t xml:space="preserve"> establecidos en los artículos 8.1 y 25 de la Convención Americana en relación con las obligaciones establecidas en el artículo 1.1 del mismo instrumento en perjuicio de Luis</w:t>
      </w:r>
      <w:r w:rsidR="00AC0BE7" w:rsidRPr="008A084A">
        <w:rPr>
          <w:rFonts w:ascii="Cambria" w:hAnsi="Cambria"/>
          <w:sz w:val="20"/>
          <w:szCs w:val="20"/>
          <w:lang w:val="es-ES_tradnl"/>
        </w:rPr>
        <w:t xml:space="preserve"> Eduardo</w:t>
      </w:r>
      <w:r w:rsidRPr="008A084A">
        <w:rPr>
          <w:rFonts w:ascii="Cambria" w:hAnsi="Cambria"/>
          <w:sz w:val="20"/>
          <w:szCs w:val="20"/>
          <w:lang w:val="es-ES_tradnl"/>
        </w:rPr>
        <w:t xml:space="preserve"> Guachalá</w:t>
      </w:r>
      <w:r w:rsidR="00AC0BE7" w:rsidRPr="008A084A">
        <w:rPr>
          <w:rFonts w:ascii="Cambria" w:hAnsi="Cambria"/>
          <w:sz w:val="20"/>
          <w:szCs w:val="20"/>
          <w:lang w:val="es-ES_tradnl"/>
        </w:rPr>
        <w:t xml:space="preserve"> Chimbó</w:t>
      </w:r>
      <w:r w:rsidR="003F4F99" w:rsidRPr="008A084A">
        <w:rPr>
          <w:rFonts w:ascii="Cambria" w:hAnsi="Cambria"/>
          <w:sz w:val="20"/>
          <w:szCs w:val="20"/>
          <w:lang w:val="es-ES_tradnl"/>
        </w:rPr>
        <w:t xml:space="preserve"> y sus familiares identificados en el presente informe.</w:t>
      </w:r>
      <w:r w:rsidR="008318EB" w:rsidRPr="008A084A">
        <w:rPr>
          <w:rFonts w:ascii="Cambria" w:hAnsi="Cambria"/>
          <w:sz w:val="20"/>
          <w:szCs w:val="20"/>
          <w:lang w:val="es-ES_tradnl"/>
        </w:rPr>
        <w:t xml:space="preserve"> Asimismo, el Estado violó el artículo I b) de la CIDFP. </w:t>
      </w:r>
    </w:p>
    <w:p w:rsidR="00360828" w:rsidRPr="008A084A" w:rsidRDefault="00360828" w:rsidP="00360828">
      <w:pPr>
        <w:pStyle w:val="ColorfulList-Accent11"/>
        <w:ind w:left="0"/>
        <w:rPr>
          <w:rFonts w:ascii="Cambria" w:hAnsi="Cambria"/>
          <w:sz w:val="20"/>
          <w:szCs w:val="20"/>
          <w:lang w:val="es-ES"/>
        </w:rPr>
      </w:pPr>
    </w:p>
    <w:p w:rsidR="005507C6" w:rsidRPr="008A084A" w:rsidRDefault="003F4F99" w:rsidP="00471FC6">
      <w:pPr>
        <w:ind w:firstLine="720"/>
        <w:jc w:val="both"/>
        <w:rPr>
          <w:rFonts w:ascii="Cambria" w:hAnsi="Cambria"/>
          <w:sz w:val="20"/>
          <w:szCs w:val="20"/>
          <w:lang w:val="es-ES"/>
        </w:rPr>
      </w:pPr>
      <w:r w:rsidRPr="008A084A">
        <w:rPr>
          <w:rFonts w:ascii="Cambria" w:hAnsi="Cambria"/>
          <w:b/>
          <w:sz w:val="20"/>
          <w:szCs w:val="20"/>
          <w:lang w:val="es-ES"/>
        </w:rPr>
        <w:t>2.</w:t>
      </w:r>
      <w:r w:rsidRPr="008A084A">
        <w:rPr>
          <w:rFonts w:ascii="Cambria" w:hAnsi="Cambria"/>
          <w:b/>
          <w:sz w:val="20"/>
          <w:szCs w:val="20"/>
          <w:lang w:val="es-ES"/>
        </w:rPr>
        <w:tab/>
      </w:r>
      <w:r w:rsidR="003B35E5" w:rsidRPr="008A084A">
        <w:rPr>
          <w:rFonts w:ascii="Cambria" w:hAnsi="Cambria"/>
          <w:b/>
          <w:sz w:val="20"/>
          <w:szCs w:val="20"/>
          <w:lang w:val="es-ES"/>
        </w:rPr>
        <w:t xml:space="preserve">Sobre el plazo razonable </w:t>
      </w:r>
    </w:p>
    <w:p w:rsidR="00471FC6" w:rsidRPr="008A084A" w:rsidRDefault="00471FC6" w:rsidP="00471FC6">
      <w:pPr>
        <w:ind w:left="720"/>
        <w:jc w:val="both"/>
        <w:rPr>
          <w:rFonts w:ascii="Cambria" w:hAnsi="Cambria"/>
          <w:sz w:val="20"/>
          <w:szCs w:val="20"/>
          <w:lang w:val="es-ES"/>
        </w:rPr>
      </w:pPr>
    </w:p>
    <w:p w:rsidR="003B35E5" w:rsidRPr="008A084A" w:rsidRDefault="003B35E5" w:rsidP="00476D08">
      <w:pPr>
        <w:numPr>
          <w:ilvl w:val="0"/>
          <w:numId w:val="55"/>
        </w:numPr>
        <w:jc w:val="both"/>
        <w:rPr>
          <w:rFonts w:ascii="Cambria" w:hAnsi="Cambria"/>
          <w:sz w:val="20"/>
          <w:szCs w:val="20"/>
          <w:lang w:val="es-ES"/>
        </w:rPr>
      </w:pPr>
      <w:r w:rsidRPr="008A084A">
        <w:rPr>
          <w:rFonts w:ascii="Cambria" w:hAnsi="Cambria"/>
          <w:sz w:val="20"/>
          <w:szCs w:val="20"/>
          <w:lang w:val="es-ES"/>
        </w:rPr>
        <w:t xml:space="preserve">El artículo 8.1 de la Convención Americana establece como uno de los elementos del debido proceso que </w:t>
      </w:r>
      <w:r w:rsidRPr="008A084A">
        <w:rPr>
          <w:rFonts w:ascii="Cambria" w:hAnsi="Cambria"/>
          <w:sz w:val="20"/>
          <w:szCs w:val="20"/>
          <w:lang w:val="es-SV"/>
        </w:rPr>
        <w:t>los</w:t>
      </w:r>
      <w:r w:rsidRPr="008A084A">
        <w:rPr>
          <w:rFonts w:ascii="Cambria" w:hAnsi="Cambria"/>
          <w:sz w:val="20"/>
          <w:szCs w:val="20"/>
          <w:lang w:val="es-ES"/>
        </w:rPr>
        <w:t xml:space="preserve"> tribunales decidan los casos sometidos a su conocimiento en un plazo razonable. En este sentido, una demora prolongada puede </w:t>
      </w:r>
      <w:r w:rsidRPr="008A084A">
        <w:rPr>
          <w:rFonts w:ascii="Cambria" w:hAnsi="Cambria"/>
          <w:w w:val="95"/>
          <w:sz w:val="20"/>
          <w:szCs w:val="20"/>
          <w:lang w:val="es-CR"/>
        </w:rPr>
        <w:t>llegar</w:t>
      </w:r>
      <w:r w:rsidRPr="008A084A">
        <w:rPr>
          <w:rFonts w:ascii="Cambria" w:hAnsi="Cambria"/>
          <w:sz w:val="20"/>
          <w:szCs w:val="20"/>
          <w:lang w:val="es-ES"/>
        </w:rPr>
        <w:t xml:space="preserve"> a constituir, por sí misma, una violación de las garantías judiciales</w:t>
      </w:r>
      <w:r w:rsidRPr="008A084A">
        <w:rPr>
          <w:rStyle w:val="FootnoteReference"/>
          <w:rFonts w:ascii="Cambria" w:hAnsi="Cambria"/>
          <w:sz w:val="20"/>
          <w:szCs w:val="20"/>
          <w:lang w:val="es-ES_tradnl"/>
        </w:rPr>
        <w:footnoteReference w:id="359"/>
      </w:r>
      <w:r w:rsidRPr="008A084A">
        <w:rPr>
          <w:rFonts w:ascii="Cambria" w:hAnsi="Cambria"/>
          <w:sz w:val="20"/>
          <w:szCs w:val="20"/>
          <w:lang w:val="es-ES"/>
        </w:rPr>
        <w:t>. Corresponde al Estado exponer y probar la razón por la cual se ha requerido más tiempo del razonable para dictar sentencia definitiva en un caso particular</w:t>
      </w:r>
      <w:r w:rsidRPr="008A084A">
        <w:rPr>
          <w:rStyle w:val="FootnoteReference"/>
          <w:rFonts w:ascii="Cambria" w:hAnsi="Cambria"/>
          <w:sz w:val="20"/>
          <w:szCs w:val="20"/>
          <w:lang w:val="es-ES_tradnl"/>
        </w:rPr>
        <w:footnoteReference w:id="360"/>
      </w:r>
      <w:r w:rsidRPr="008A084A">
        <w:rPr>
          <w:rFonts w:ascii="Cambria" w:hAnsi="Cambria"/>
          <w:sz w:val="20"/>
          <w:szCs w:val="20"/>
          <w:lang w:val="es-ES"/>
        </w:rPr>
        <w:t>. En ese sentido, la razonabilidad del plazo se debe apreciar en relación con la duración total del procedimiento penal</w:t>
      </w:r>
      <w:r w:rsidRPr="008A084A">
        <w:rPr>
          <w:rStyle w:val="FootnoteReference"/>
          <w:rFonts w:ascii="Cambria" w:hAnsi="Cambria"/>
          <w:sz w:val="20"/>
          <w:szCs w:val="20"/>
          <w:lang w:val="es-ES_tradnl"/>
        </w:rPr>
        <w:footnoteReference w:id="361"/>
      </w:r>
      <w:r w:rsidRPr="008A084A">
        <w:rPr>
          <w:rFonts w:ascii="Cambria" w:hAnsi="Cambria"/>
          <w:sz w:val="20"/>
          <w:szCs w:val="20"/>
          <w:lang w:val="es-ES"/>
        </w:rPr>
        <w:t xml:space="preserve"> y a la luz de los </w:t>
      </w:r>
      <w:r w:rsidRPr="008A084A">
        <w:rPr>
          <w:rFonts w:ascii="Cambria" w:hAnsi="Cambria"/>
          <w:sz w:val="20"/>
          <w:szCs w:val="20"/>
          <w:lang w:val="es-ES_tradnl"/>
        </w:rPr>
        <w:t>los cuatro elementos que ha tomado la Corte en su jurisprudencia, a saber</w:t>
      </w:r>
      <w:r w:rsidRPr="008A084A">
        <w:rPr>
          <w:rFonts w:ascii="Cambria" w:hAnsi="Cambria"/>
          <w:sz w:val="20"/>
          <w:szCs w:val="20"/>
          <w:lang w:val="es-ES"/>
        </w:rPr>
        <w:t>: i) la complejidad del asunto; ii) la actividad procesal del interesado; y iii) la conducta de las autoridades judiciales;</w:t>
      </w:r>
      <w:r w:rsidRPr="008A084A">
        <w:rPr>
          <w:rFonts w:ascii="Cambria" w:hAnsi="Cambria"/>
          <w:sz w:val="20"/>
          <w:szCs w:val="20"/>
          <w:lang w:val="es-ES_tradnl"/>
        </w:rPr>
        <w:t xml:space="preserve"> y iv) afectación generada en la situación jurídica de la persona </w:t>
      </w:r>
      <w:r w:rsidRPr="008A084A">
        <w:rPr>
          <w:rFonts w:ascii="Cambria" w:hAnsi="Cambria"/>
          <w:sz w:val="20"/>
          <w:szCs w:val="20"/>
          <w:lang w:val="es-ES"/>
        </w:rPr>
        <w:t>involucrada</w:t>
      </w:r>
      <w:r w:rsidRPr="008A084A">
        <w:rPr>
          <w:rFonts w:ascii="Cambria" w:hAnsi="Cambria"/>
          <w:sz w:val="20"/>
          <w:szCs w:val="20"/>
          <w:lang w:val="es-ES_tradnl"/>
        </w:rPr>
        <w:t xml:space="preserve"> en el proceso</w:t>
      </w:r>
      <w:r w:rsidRPr="008A084A">
        <w:rPr>
          <w:rStyle w:val="FootnoteReference"/>
          <w:rFonts w:ascii="Cambria" w:hAnsi="Cambria"/>
          <w:sz w:val="20"/>
          <w:szCs w:val="20"/>
          <w:lang w:val="es-ES_tradnl"/>
        </w:rPr>
        <w:t xml:space="preserve"> </w:t>
      </w:r>
      <w:r w:rsidRPr="008A084A">
        <w:rPr>
          <w:rStyle w:val="FootnoteReference"/>
          <w:rFonts w:ascii="Cambria" w:hAnsi="Cambria"/>
          <w:sz w:val="20"/>
          <w:szCs w:val="20"/>
          <w:lang w:val="es-ES_tradnl"/>
        </w:rPr>
        <w:footnoteReference w:id="362"/>
      </w:r>
      <w:r w:rsidRPr="008A084A">
        <w:rPr>
          <w:rFonts w:ascii="Cambria" w:hAnsi="Cambria"/>
          <w:sz w:val="20"/>
          <w:szCs w:val="20"/>
          <w:lang w:val="es-ES"/>
        </w:rPr>
        <w:t>.</w:t>
      </w:r>
    </w:p>
    <w:p w:rsidR="003B35E5" w:rsidRPr="008A084A" w:rsidRDefault="003B35E5" w:rsidP="003B35E5">
      <w:pPr>
        <w:pStyle w:val="BodyTextIndent"/>
        <w:ind w:left="0" w:firstLine="567"/>
        <w:rPr>
          <w:rFonts w:ascii="Cambria" w:hAnsi="Cambria"/>
          <w:color w:val="auto"/>
          <w:sz w:val="20"/>
          <w:szCs w:val="20"/>
          <w:lang w:val="es-ES"/>
        </w:rPr>
      </w:pPr>
    </w:p>
    <w:p w:rsidR="00380CB9" w:rsidRPr="008A084A" w:rsidRDefault="003B35E5" w:rsidP="005507C6">
      <w:pPr>
        <w:numPr>
          <w:ilvl w:val="0"/>
          <w:numId w:val="55"/>
        </w:numPr>
        <w:jc w:val="both"/>
        <w:rPr>
          <w:rFonts w:ascii="Cambria" w:hAnsi="Cambria"/>
          <w:sz w:val="20"/>
          <w:szCs w:val="20"/>
          <w:lang w:val="es-ES_tradnl"/>
        </w:rPr>
      </w:pPr>
      <w:r w:rsidRPr="008A084A">
        <w:rPr>
          <w:rFonts w:ascii="Cambria" w:hAnsi="Cambria" w:cs="Univers"/>
          <w:sz w:val="20"/>
          <w:szCs w:val="20"/>
          <w:lang w:val="es-ES" w:eastAsia="es-ES_tradnl"/>
        </w:rPr>
        <w:t xml:space="preserve">En relación con la complejidad, </w:t>
      </w:r>
      <w:r w:rsidR="00380CB9" w:rsidRPr="008A084A">
        <w:rPr>
          <w:rFonts w:ascii="Cambria" w:hAnsi="Cambria" w:cs="Univers"/>
          <w:sz w:val="20"/>
          <w:szCs w:val="20"/>
          <w:lang w:val="es-ES" w:eastAsia="es-ES_tradnl"/>
        </w:rPr>
        <w:t xml:space="preserve">la CIDH nota que el Estado indicó que a pesar de haber adoptado diversas diligencias, no se ha podido identificar el paradero del señor Guachalá. </w:t>
      </w:r>
      <w:r w:rsidRPr="008A084A">
        <w:rPr>
          <w:rFonts w:ascii="Cambria" w:hAnsi="Cambria"/>
          <w:sz w:val="20"/>
          <w:szCs w:val="20"/>
          <w:lang w:val="es-ES_tradnl"/>
        </w:rPr>
        <w:t xml:space="preserve">Al respecto, la CIDH considera que a </w:t>
      </w:r>
      <w:r w:rsidRPr="008A084A">
        <w:rPr>
          <w:rFonts w:ascii="Cambria" w:hAnsi="Cambria"/>
          <w:sz w:val="20"/>
          <w:szCs w:val="20"/>
          <w:lang w:val="es-ES"/>
        </w:rPr>
        <w:t>fin</w:t>
      </w:r>
      <w:r w:rsidRPr="008A084A">
        <w:rPr>
          <w:rFonts w:ascii="Cambria" w:hAnsi="Cambria"/>
          <w:sz w:val="20"/>
          <w:szCs w:val="20"/>
          <w:lang w:val="es-ES_tradnl"/>
        </w:rPr>
        <w:t xml:space="preserve"> de que un argumento de </w:t>
      </w:r>
      <w:r w:rsidRPr="008A084A">
        <w:rPr>
          <w:rFonts w:ascii="Cambria" w:hAnsi="Cambria"/>
          <w:sz w:val="20"/>
          <w:szCs w:val="20"/>
          <w:lang w:val="es-ES"/>
        </w:rPr>
        <w:t>complejidad</w:t>
      </w:r>
      <w:r w:rsidRPr="008A084A">
        <w:rPr>
          <w:rFonts w:ascii="Cambria" w:hAnsi="Cambria"/>
          <w:sz w:val="20"/>
          <w:szCs w:val="20"/>
          <w:lang w:val="es-ES_tradnl"/>
        </w:rPr>
        <w:t xml:space="preserve"> sea procedente, es necesario que el Estado presente información específica que vincule directamente los elementos de complejidad invocados con las demoras en el proceso. Ello no ha sucedido en el presente caso. </w:t>
      </w:r>
      <w:r w:rsidR="00380CB9" w:rsidRPr="008A084A">
        <w:rPr>
          <w:rFonts w:ascii="Cambria" w:hAnsi="Cambria"/>
          <w:sz w:val="20"/>
          <w:szCs w:val="20"/>
          <w:lang w:val="es-ES_tradnl"/>
        </w:rPr>
        <w:t>La Comisión recuerda lo indicado por la Corte en el sentido de que el retardo en el desarrollo de la investigación no puede justificarse en razón de la complejidad del asunto cuando existen posibles hipótesis de lo sucedido que no han sido investigadas</w:t>
      </w:r>
      <w:r w:rsidR="00380CB9" w:rsidRPr="008A084A">
        <w:rPr>
          <w:rStyle w:val="FootnoteReference"/>
          <w:rFonts w:ascii="Cambria" w:hAnsi="Cambria"/>
          <w:sz w:val="20"/>
          <w:szCs w:val="20"/>
          <w:lang w:val="es-ES_tradnl"/>
        </w:rPr>
        <w:footnoteReference w:id="363"/>
      </w:r>
      <w:r w:rsidR="00FD69FF" w:rsidRPr="008A084A">
        <w:rPr>
          <w:rFonts w:ascii="Cambria" w:hAnsi="Cambria"/>
          <w:sz w:val="20"/>
          <w:szCs w:val="20"/>
          <w:lang w:val="es-ES_tradnl"/>
        </w:rPr>
        <w:t xml:space="preserve">, tal como sucede en el presente caso y ya fue expuesto en este informe. </w:t>
      </w:r>
    </w:p>
    <w:p w:rsidR="003B35E5" w:rsidRPr="008A084A" w:rsidRDefault="003B35E5" w:rsidP="00380CB9">
      <w:pPr>
        <w:pStyle w:val="BodyTextIndent"/>
        <w:ind w:left="0" w:firstLine="0"/>
        <w:rPr>
          <w:rFonts w:ascii="Cambria" w:hAnsi="Cambria"/>
          <w:color w:val="auto"/>
          <w:sz w:val="20"/>
          <w:szCs w:val="20"/>
        </w:rPr>
      </w:pPr>
      <w:r w:rsidRPr="008A084A">
        <w:rPr>
          <w:rFonts w:ascii="Cambria" w:hAnsi="Cambria"/>
          <w:color w:val="auto"/>
          <w:sz w:val="20"/>
          <w:szCs w:val="20"/>
        </w:rPr>
        <w:t xml:space="preserve"> </w:t>
      </w:r>
    </w:p>
    <w:p w:rsidR="003B35E5" w:rsidRPr="008A084A" w:rsidRDefault="003B35E5" w:rsidP="005507C6">
      <w:pPr>
        <w:numPr>
          <w:ilvl w:val="0"/>
          <w:numId w:val="55"/>
        </w:numPr>
        <w:jc w:val="both"/>
        <w:rPr>
          <w:rFonts w:ascii="Cambria" w:hAnsi="Cambria"/>
          <w:sz w:val="20"/>
          <w:szCs w:val="20"/>
          <w:lang w:val="es-ES"/>
        </w:rPr>
      </w:pPr>
      <w:r w:rsidRPr="008A084A">
        <w:rPr>
          <w:rFonts w:ascii="Cambria" w:hAnsi="Cambria"/>
          <w:sz w:val="20"/>
          <w:szCs w:val="20"/>
          <w:lang w:val="es-ES"/>
        </w:rPr>
        <w:t xml:space="preserve">En cuanto a la participación de los interesados, la Comisión observa que no existe elemento alguno en el expediente que indique que los </w:t>
      </w:r>
      <w:r w:rsidRPr="008A084A">
        <w:rPr>
          <w:rFonts w:ascii="Cambria" w:hAnsi="Cambria"/>
          <w:sz w:val="20"/>
          <w:szCs w:val="20"/>
          <w:lang w:val="es-ES_tradnl"/>
        </w:rPr>
        <w:t xml:space="preserve">familiares obstaculizaron el proceso o tuvieron responsabilidad alguna en la demora. Al contrario, los familiares participaron activamente en </w:t>
      </w:r>
      <w:r w:rsidR="001C1C68" w:rsidRPr="008A084A">
        <w:rPr>
          <w:rFonts w:ascii="Cambria" w:hAnsi="Cambria"/>
          <w:sz w:val="20"/>
          <w:szCs w:val="20"/>
          <w:lang w:val="es-ES_tradnl"/>
        </w:rPr>
        <w:t>los</w:t>
      </w:r>
      <w:r w:rsidRPr="008A084A">
        <w:rPr>
          <w:rFonts w:ascii="Cambria" w:hAnsi="Cambria"/>
          <w:sz w:val="20"/>
          <w:szCs w:val="20"/>
          <w:lang w:val="es-ES_tradnl"/>
        </w:rPr>
        <w:t xml:space="preserve"> proceso</w:t>
      </w:r>
      <w:r w:rsidR="001C1C68" w:rsidRPr="008A084A">
        <w:rPr>
          <w:rFonts w:ascii="Cambria" w:hAnsi="Cambria"/>
          <w:sz w:val="20"/>
          <w:szCs w:val="20"/>
          <w:lang w:val="es-ES_tradnl"/>
        </w:rPr>
        <w:t xml:space="preserve">s y activaron diversas vías procurando lograr el esclarecimiento de lo </w:t>
      </w:r>
      <w:r w:rsidR="0073036B" w:rsidRPr="008A084A">
        <w:rPr>
          <w:rFonts w:ascii="Cambria" w:hAnsi="Cambria"/>
          <w:sz w:val="20"/>
          <w:szCs w:val="20"/>
          <w:lang w:val="es-ES_tradnl"/>
        </w:rPr>
        <w:t>sucedido</w:t>
      </w:r>
      <w:r w:rsidR="001C1C68" w:rsidRPr="008A084A">
        <w:rPr>
          <w:rFonts w:ascii="Cambria" w:hAnsi="Cambria"/>
          <w:sz w:val="20"/>
          <w:szCs w:val="20"/>
          <w:lang w:val="es-ES_tradnl"/>
        </w:rPr>
        <w:t xml:space="preserve">. </w:t>
      </w:r>
      <w:r w:rsidRPr="008A084A">
        <w:rPr>
          <w:rFonts w:ascii="Cambria" w:hAnsi="Cambria"/>
          <w:sz w:val="20"/>
          <w:szCs w:val="20"/>
          <w:lang w:val="es-ES_tradnl"/>
        </w:rPr>
        <w:t xml:space="preserve">. </w:t>
      </w:r>
    </w:p>
    <w:p w:rsidR="003B35E5" w:rsidRPr="008A084A" w:rsidRDefault="003B35E5" w:rsidP="003B35E5">
      <w:pPr>
        <w:ind w:firstLine="567"/>
        <w:jc w:val="both"/>
        <w:rPr>
          <w:rFonts w:ascii="Cambria" w:hAnsi="Cambria"/>
          <w:sz w:val="20"/>
          <w:szCs w:val="20"/>
          <w:lang w:val="es-ES_tradnl"/>
        </w:rPr>
      </w:pPr>
    </w:p>
    <w:p w:rsidR="00686757" w:rsidRPr="00686757" w:rsidRDefault="003B35E5" w:rsidP="005507C6">
      <w:pPr>
        <w:numPr>
          <w:ilvl w:val="0"/>
          <w:numId w:val="55"/>
        </w:numPr>
        <w:jc w:val="both"/>
        <w:rPr>
          <w:rFonts w:ascii="Cambria" w:hAnsi="Cambria" w:cs="Garamond"/>
          <w:spacing w:val="-2"/>
          <w:sz w:val="20"/>
          <w:szCs w:val="20"/>
          <w:lang w:val="es-PE"/>
        </w:rPr>
      </w:pPr>
      <w:r w:rsidRPr="008A084A">
        <w:rPr>
          <w:rFonts w:ascii="Cambria" w:hAnsi="Cambria"/>
          <w:sz w:val="20"/>
          <w:szCs w:val="20"/>
          <w:lang w:val="es-ES_tradnl"/>
        </w:rPr>
        <w:t xml:space="preserve">En relación con la </w:t>
      </w:r>
      <w:r w:rsidRPr="008A084A">
        <w:rPr>
          <w:rFonts w:ascii="Cambria" w:hAnsi="Cambria"/>
          <w:sz w:val="20"/>
          <w:szCs w:val="20"/>
          <w:lang w:val="es-ES"/>
        </w:rPr>
        <w:t xml:space="preserve">conducta de las autoridades judiciales, la Comisión ya estableció en el presente informe el incumplimiento del deber de debida diligencia en los procesos iniciados. En ese sentido, la Comisión se remite a la recapitulación de las omisiones e inactividades descritas </w:t>
      </w:r>
      <w:r w:rsidRPr="008A084A">
        <w:rPr>
          <w:rFonts w:ascii="Cambria" w:hAnsi="Cambria"/>
          <w:i/>
          <w:sz w:val="20"/>
          <w:szCs w:val="20"/>
          <w:lang w:val="es-ES"/>
        </w:rPr>
        <w:t>supra.</w:t>
      </w:r>
      <w:r w:rsidRPr="008A084A">
        <w:rPr>
          <w:rFonts w:ascii="Cambria" w:hAnsi="Cambria"/>
          <w:sz w:val="20"/>
          <w:szCs w:val="20"/>
          <w:lang w:val="es-ES"/>
        </w:rPr>
        <w:t xml:space="preserve"> </w:t>
      </w:r>
    </w:p>
    <w:p w:rsidR="003B35E5" w:rsidRPr="008A084A" w:rsidRDefault="003B35E5" w:rsidP="00686757">
      <w:pPr>
        <w:jc w:val="both"/>
        <w:rPr>
          <w:rFonts w:ascii="Cambria" w:hAnsi="Cambria" w:cs="Garamond"/>
          <w:spacing w:val="-2"/>
          <w:sz w:val="20"/>
          <w:szCs w:val="20"/>
          <w:lang w:val="es-PE"/>
        </w:rPr>
      </w:pPr>
      <w:r w:rsidRPr="008A084A">
        <w:rPr>
          <w:rFonts w:ascii="Cambria" w:hAnsi="Cambria"/>
          <w:sz w:val="20"/>
          <w:szCs w:val="20"/>
          <w:lang w:val="es-ES"/>
        </w:rPr>
        <w:t xml:space="preserve"> </w:t>
      </w:r>
    </w:p>
    <w:p w:rsidR="00E46BA6" w:rsidRPr="008A084A" w:rsidRDefault="003B35E5" w:rsidP="005507C6">
      <w:pPr>
        <w:numPr>
          <w:ilvl w:val="0"/>
          <w:numId w:val="55"/>
        </w:numPr>
        <w:jc w:val="both"/>
        <w:rPr>
          <w:rFonts w:ascii="Cambria" w:hAnsi="Cambria"/>
          <w:sz w:val="20"/>
          <w:szCs w:val="20"/>
          <w:lang w:val="es-ES_tradnl"/>
        </w:rPr>
      </w:pPr>
      <w:r w:rsidRPr="008A084A">
        <w:rPr>
          <w:rFonts w:ascii="Cambria" w:hAnsi="Cambria"/>
          <w:sz w:val="20"/>
          <w:szCs w:val="20"/>
          <w:lang w:val="es-ES_tradnl"/>
        </w:rPr>
        <w:t xml:space="preserve">En cuanto al cuarto elemento, la Corte ha señalado que para determinar la razonabilidad del plazo se debe considerar la afectación </w:t>
      </w:r>
      <w:r w:rsidRPr="008A084A">
        <w:rPr>
          <w:rFonts w:ascii="Cambria" w:hAnsi="Cambria"/>
          <w:sz w:val="20"/>
          <w:szCs w:val="20"/>
          <w:lang w:val="es-ES"/>
        </w:rPr>
        <w:t>generada</w:t>
      </w:r>
      <w:r w:rsidRPr="008A084A">
        <w:rPr>
          <w:rFonts w:ascii="Cambria" w:hAnsi="Cambria"/>
          <w:sz w:val="20"/>
          <w:szCs w:val="20"/>
          <w:lang w:val="es-ES_tradnl"/>
        </w:rPr>
        <w:t xml:space="preserve"> por la duración del procedimiento en la situación jurídica de la persona </w:t>
      </w:r>
      <w:r w:rsidRPr="008A084A">
        <w:rPr>
          <w:rFonts w:ascii="Cambria" w:hAnsi="Cambria"/>
          <w:sz w:val="20"/>
          <w:szCs w:val="20"/>
          <w:lang w:val="es-ES"/>
        </w:rPr>
        <w:t>involucrada</w:t>
      </w:r>
      <w:r w:rsidRPr="008A084A">
        <w:rPr>
          <w:rFonts w:ascii="Cambria" w:hAnsi="Cambria"/>
          <w:sz w:val="20"/>
          <w:szCs w:val="20"/>
          <w:lang w:val="es-ES_tradnl"/>
        </w:rPr>
        <w:t xml:space="preserve"> en el mismo así como los intereses en juego</w:t>
      </w:r>
      <w:r w:rsidRPr="008A084A">
        <w:rPr>
          <w:rStyle w:val="FootnoteReference"/>
          <w:rFonts w:ascii="Cambria" w:hAnsi="Cambria"/>
          <w:sz w:val="20"/>
          <w:szCs w:val="20"/>
        </w:rPr>
        <w:footnoteReference w:id="364"/>
      </w:r>
      <w:r w:rsidRPr="008A084A">
        <w:rPr>
          <w:rFonts w:ascii="Cambria" w:hAnsi="Cambria"/>
          <w:sz w:val="20"/>
          <w:szCs w:val="20"/>
          <w:lang w:val="es-ES_tradnl"/>
        </w:rPr>
        <w:t xml:space="preserve">. La Comisión considera que en casos de alegada desaparición el paso del tiempo incide de manera particularmente relevante en la situación de la víctima, pues de una pronta y eficiente respuesta estatal puede depender la materialización del riesgo a su vida e integridad personal. </w:t>
      </w:r>
      <w:r w:rsidR="00E46BA6" w:rsidRPr="008A084A">
        <w:rPr>
          <w:rFonts w:ascii="Cambria" w:hAnsi="Cambria"/>
          <w:sz w:val="20"/>
          <w:szCs w:val="20"/>
          <w:lang w:val="es-ES_tradnl"/>
        </w:rPr>
        <w:t xml:space="preserve">Igualmente, la Corte ha sostenido </w:t>
      </w:r>
      <w:r w:rsidR="00E46BA6" w:rsidRPr="008A084A">
        <w:rPr>
          <w:rFonts w:ascii="Cambria" w:hAnsi="Cambria"/>
          <w:sz w:val="20"/>
          <w:szCs w:val="20"/>
          <w:lang w:val="es-ES"/>
        </w:rPr>
        <w:t xml:space="preserve">que en casos de personas con discapacidad, es imperante tomar las medidas pertinentes, como por ejemplo la priorización en la atención y resolución del </w:t>
      </w:r>
      <w:r w:rsidR="00E46BA6" w:rsidRPr="008A084A">
        <w:rPr>
          <w:rFonts w:ascii="Cambria" w:hAnsi="Cambria"/>
          <w:sz w:val="20"/>
          <w:szCs w:val="20"/>
          <w:lang w:val="es-ES"/>
        </w:rPr>
        <w:lastRenderedPageBreak/>
        <w:t>procedimiento por parte de las autoridades a su cargo, con el fin de evitar retrasos en la tramitación de los procesos, de manera que se garantice la pronta resolución y ejecución de los mismos</w:t>
      </w:r>
      <w:r w:rsidR="00E46BA6" w:rsidRPr="008A084A">
        <w:rPr>
          <w:rStyle w:val="FootnoteReference"/>
          <w:rFonts w:ascii="Cambria" w:hAnsi="Cambria"/>
          <w:sz w:val="20"/>
          <w:szCs w:val="20"/>
          <w:lang w:val="es-ES"/>
        </w:rPr>
        <w:footnoteReference w:id="365"/>
      </w:r>
      <w:r w:rsidR="00E46BA6" w:rsidRPr="008A084A">
        <w:rPr>
          <w:rFonts w:ascii="Cambria" w:hAnsi="Cambria"/>
          <w:sz w:val="20"/>
          <w:szCs w:val="20"/>
          <w:lang w:val="es-ES"/>
        </w:rPr>
        <w:t>.</w:t>
      </w:r>
    </w:p>
    <w:p w:rsidR="00E46BA6" w:rsidRPr="008A084A" w:rsidRDefault="00E46BA6" w:rsidP="003B35E5">
      <w:pPr>
        <w:pStyle w:val="BodyTextIndent"/>
        <w:ind w:left="0" w:firstLine="567"/>
        <w:rPr>
          <w:rFonts w:ascii="Cambria" w:hAnsi="Cambria" w:cs="Garamond"/>
          <w:color w:val="auto"/>
          <w:spacing w:val="-2"/>
          <w:sz w:val="20"/>
          <w:szCs w:val="20"/>
          <w:lang w:val="es-ES"/>
        </w:rPr>
      </w:pPr>
    </w:p>
    <w:p w:rsidR="003B35E5" w:rsidRPr="008A084A" w:rsidRDefault="00E46BA6" w:rsidP="005507C6">
      <w:pPr>
        <w:numPr>
          <w:ilvl w:val="0"/>
          <w:numId w:val="55"/>
        </w:numPr>
        <w:jc w:val="both"/>
        <w:rPr>
          <w:rFonts w:ascii="Cambria" w:hAnsi="Cambria"/>
          <w:sz w:val="20"/>
          <w:szCs w:val="20"/>
          <w:lang w:val="es-ES"/>
        </w:rPr>
      </w:pPr>
      <w:r w:rsidRPr="008A084A">
        <w:rPr>
          <w:rFonts w:ascii="Cambria" w:hAnsi="Cambria"/>
          <w:sz w:val="20"/>
          <w:szCs w:val="20"/>
          <w:lang w:val="es-ES_tradnl"/>
        </w:rPr>
        <w:t>Por lo señalado, l</w:t>
      </w:r>
      <w:r w:rsidR="003B35E5" w:rsidRPr="008A084A">
        <w:rPr>
          <w:rFonts w:ascii="Cambria" w:hAnsi="Cambria"/>
          <w:sz w:val="20"/>
          <w:szCs w:val="20"/>
          <w:lang w:val="es-ES_tradnl"/>
        </w:rPr>
        <w:t>a Comisión considera que los casi 1</w:t>
      </w:r>
      <w:r w:rsidRPr="008A084A">
        <w:rPr>
          <w:rFonts w:ascii="Cambria" w:hAnsi="Cambria"/>
          <w:sz w:val="20"/>
          <w:szCs w:val="20"/>
          <w:lang w:val="es-ES_tradnl"/>
        </w:rPr>
        <w:t>6</w:t>
      </w:r>
      <w:r w:rsidR="003B35E5" w:rsidRPr="008A084A">
        <w:rPr>
          <w:rFonts w:ascii="Cambria" w:hAnsi="Cambria"/>
          <w:sz w:val="20"/>
          <w:szCs w:val="20"/>
          <w:lang w:val="es-ES_tradnl"/>
        </w:rPr>
        <w:t xml:space="preserve"> años que han transcurrido desde la interposición de la denuncia hasta la fecha</w:t>
      </w:r>
      <w:r w:rsidR="00C634D2" w:rsidRPr="008A084A">
        <w:rPr>
          <w:rFonts w:ascii="Cambria" w:hAnsi="Cambria"/>
          <w:sz w:val="20"/>
          <w:szCs w:val="20"/>
          <w:lang w:val="es-ES_tradnl"/>
        </w:rPr>
        <w:t xml:space="preserve"> sin que el Estado haya logrado esclarecer los hechos, determinar las sanciones aplicables e identificar el destino o paradero de Luis Eduardo Guachalá,</w:t>
      </w:r>
      <w:r w:rsidR="003B35E5" w:rsidRPr="008A084A">
        <w:rPr>
          <w:rFonts w:ascii="Cambria" w:hAnsi="Cambria"/>
          <w:sz w:val="20"/>
          <w:szCs w:val="20"/>
          <w:lang w:val="es-ES_tradnl"/>
        </w:rPr>
        <w:t xml:space="preserve"> constituye un plazo excesivo que no ha sido justificado</w:t>
      </w:r>
      <w:r w:rsidR="00C634D2" w:rsidRPr="008A084A">
        <w:rPr>
          <w:rFonts w:ascii="Cambria" w:hAnsi="Cambria"/>
          <w:sz w:val="20"/>
          <w:szCs w:val="20"/>
          <w:lang w:val="es-ES_tradnl"/>
        </w:rPr>
        <w:t xml:space="preserve"> adecuadamente</w:t>
      </w:r>
      <w:r w:rsidR="003B35E5" w:rsidRPr="008A084A">
        <w:rPr>
          <w:rFonts w:ascii="Cambria" w:hAnsi="Cambria"/>
          <w:sz w:val="20"/>
          <w:szCs w:val="20"/>
          <w:lang w:val="es-ES_tradnl"/>
        </w:rPr>
        <w:t xml:space="preserve">. En consecuencia, la Comisión considera que el Estado incurrió en un incumplimiento de la garantía de plazo </w:t>
      </w:r>
      <w:r w:rsidR="003B35E5" w:rsidRPr="008A084A">
        <w:rPr>
          <w:rFonts w:ascii="Cambria" w:hAnsi="Cambria"/>
          <w:sz w:val="20"/>
          <w:szCs w:val="20"/>
          <w:lang w:val="es-ES"/>
        </w:rPr>
        <w:t>razonable</w:t>
      </w:r>
      <w:r w:rsidR="00C27924" w:rsidRPr="008A084A">
        <w:rPr>
          <w:rFonts w:ascii="Cambria" w:hAnsi="Cambria"/>
          <w:sz w:val="20"/>
          <w:szCs w:val="20"/>
          <w:lang w:val="es-ES_tradnl"/>
        </w:rPr>
        <w:t xml:space="preserve"> en violación del </w:t>
      </w:r>
      <w:r w:rsidRPr="008A084A">
        <w:rPr>
          <w:rFonts w:ascii="Cambria" w:hAnsi="Cambria"/>
          <w:sz w:val="20"/>
          <w:szCs w:val="20"/>
          <w:lang w:val="es-ES_tradnl"/>
        </w:rPr>
        <w:t xml:space="preserve">artículo 8.1 de la Convención Americana, en relación con el artículo 1.1 del mismo, en perjuicio de Luis </w:t>
      </w:r>
      <w:r w:rsidR="00AC0BE7" w:rsidRPr="008A084A">
        <w:rPr>
          <w:rFonts w:ascii="Cambria" w:hAnsi="Cambria"/>
          <w:sz w:val="20"/>
          <w:szCs w:val="20"/>
          <w:lang w:val="es-ES_tradnl"/>
        </w:rPr>
        <w:t xml:space="preserve">Eduardo </w:t>
      </w:r>
      <w:r w:rsidRPr="008A084A">
        <w:rPr>
          <w:rFonts w:ascii="Cambria" w:hAnsi="Cambria"/>
          <w:sz w:val="20"/>
          <w:szCs w:val="20"/>
          <w:lang w:val="es-ES_tradnl"/>
        </w:rPr>
        <w:t>Guachalá Chimbó</w:t>
      </w:r>
      <w:r w:rsidR="008C082F" w:rsidRPr="008A084A">
        <w:rPr>
          <w:rFonts w:ascii="Cambria" w:hAnsi="Cambria"/>
          <w:sz w:val="20"/>
          <w:szCs w:val="20"/>
          <w:lang w:val="es-ES_tradnl"/>
        </w:rPr>
        <w:t xml:space="preserve"> y sus familiares.</w:t>
      </w:r>
    </w:p>
    <w:p w:rsidR="007E77A3" w:rsidRPr="008A084A" w:rsidRDefault="007E77A3" w:rsidP="00FF181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s-ES"/>
        </w:rPr>
      </w:pPr>
    </w:p>
    <w:p w:rsidR="00123129" w:rsidRPr="008A084A" w:rsidRDefault="008C082F" w:rsidP="00B329C1">
      <w:pPr>
        <w:pStyle w:val="Heading2"/>
        <w:numPr>
          <w:ilvl w:val="0"/>
          <w:numId w:val="58"/>
        </w:numPr>
        <w:spacing w:before="0" w:after="0"/>
        <w:ind w:left="1440" w:hanging="720"/>
        <w:jc w:val="both"/>
        <w:rPr>
          <w:rFonts w:ascii="Cambria" w:hAnsi="Cambria"/>
          <w:i w:val="0"/>
          <w:sz w:val="20"/>
          <w:szCs w:val="20"/>
          <w:lang w:val="es-ES"/>
        </w:rPr>
      </w:pPr>
      <w:bookmarkStart w:id="36" w:name="_Toc525547516"/>
      <w:r w:rsidRPr="008A084A">
        <w:rPr>
          <w:rFonts w:ascii="Cambria" w:hAnsi="Cambria"/>
          <w:i w:val="0"/>
          <w:sz w:val="20"/>
          <w:szCs w:val="20"/>
          <w:lang w:val="es-ES"/>
        </w:rPr>
        <w:t>Derecho a la integridad personal de los familiares (artículo 5.1 de la Convención Americana</w:t>
      </w:r>
      <w:r w:rsidR="00123129" w:rsidRPr="008A084A">
        <w:rPr>
          <w:rFonts w:ascii="Cambria" w:hAnsi="Cambria"/>
          <w:i w:val="0"/>
          <w:sz w:val="20"/>
          <w:szCs w:val="20"/>
          <w:lang w:val="es-ES"/>
        </w:rPr>
        <w:t xml:space="preserve"> en relación con el artículo 1.1 del mismo instrumento)</w:t>
      </w:r>
      <w:bookmarkEnd w:id="36"/>
    </w:p>
    <w:p w:rsidR="00123129" w:rsidRPr="008A084A" w:rsidRDefault="00123129" w:rsidP="001231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123129" w:rsidRPr="008A084A" w:rsidRDefault="00123129" w:rsidP="00100CDF">
      <w:pPr>
        <w:numPr>
          <w:ilvl w:val="0"/>
          <w:numId w:val="55"/>
        </w:numPr>
        <w:jc w:val="both"/>
        <w:rPr>
          <w:rFonts w:ascii="Cambria" w:hAnsi="Cambria"/>
          <w:sz w:val="20"/>
          <w:szCs w:val="20"/>
          <w:lang w:val="es-ES"/>
        </w:rPr>
      </w:pPr>
      <w:r w:rsidRPr="008A084A">
        <w:rPr>
          <w:rFonts w:ascii="Cambria" w:hAnsi="Cambria" w:cs="Arial"/>
          <w:sz w:val="20"/>
          <w:szCs w:val="20"/>
          <w:bdr w:val="none" w:sz="0" w:space="0" w:color="auto"/>
          <w:lang w:val="es-ES"/>
        </w:rPr>
        <w:t>El</w:t>
      </w:r>
      <w:r w:rsidRPr="008A084A">
        <w:rPr>
          <w:rFonts w:ascii="Cambria" w:hAnsi="Cambria"/>
          <w:sz w:val="20"/>
          <w:szCs w:val="20"/>
          <w:lang w:val="es-ES"/>
        </w:rPr>
        <w:t xml:space="preserve"> artículo 5.1 de la Convención Americana establece que “[t]oda persona tiene derecho a que se respete su integridad física, psíquica y moral”. Con respecto de los familiares de víctimas de ciertas violaciones de derechos humanos, la Corte ha indicado que éstos pueden ser considerados, a su vez, como víctimas</w:t>
      </w:r>
      <w:r w:rsidRPr="008A084A">
        <w:rPr>
          <w:rStyle w:val="FootnoteReference"/>
          <w:rFonts w:ascii="Cambria" w:hAnsi="Cambria"/>
          <w:sz w:val="20"/>
          <w:szCs w:val="20"/>
        </w:rPr>
        <w:footnoteReference w:id="366"/>
      </w:r>
      <w:r w:rsidRPr="008A084A">
        <w:rPr>
          <w:rFonts w:ascii="Cambria" w:hAnsi="Cambria"/>
          <w:sz w:val="20"/>
          <w:szCs w:val="20"/>
          <w:lang w:val="es-ES"/>
        </w:rPr>
        <w:t>. Al respecto, la Corte ha dispuesto que pueden verse afectados en su integridad psíquica y moral como consecuencia de las situaciones particulares que padecieron las víctimas, y de las posteriores actuaciones u omisiones de las autoridades internas frente a estos hechos</w:t>
      </w:r>
      <w:r w:rsidRPr="008A084A">
        <w:rPr>
          <w:rStyle w:val="FootnoteReference"/>
          <w:rFonts w:ascii="Cambria" w:hAnsi="Cambria"/>
          <w:sz w:val="20"/>
          <w:szCs w:val="20"/>
        </w:rPr>
        <w:footnoteReference w:id="367"/>
      </w:r>
      <w:r w:rsidRPr="008A084A">
        <w:rPr>
          <w:rFonts w:ascii="Cambria" w:hAnsi="Cambria"/>
          <w:sz w:val="20"/>
          <w:szCs w:val="20"/>
          <w:lang w:val="es-ES"/>
        </w:rPr>
        <w:t>.</w:t>
      </w:r>
    </w:p>
    <w:p w:rsidR="00123129" w:rsidRPr="008A084A" w:rsidRDefault="00123129" w:rsidP="00123129">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color w:val="auto"/>
          <w:sz w:val="20"/>
          <w:szCs w:val="20"/>
        </w:rPr>
      </w:pPr>
    </w:p>
    <w:p w:rsidR="00123129" w:rsidRPr="008A084A" w:rsidRDefault="00100CDF" w:rsidP="00122CDA">
      <w:pPr>
        <w:numPr>
          <w:ilvl w:val="0"/>
          <w:numId w:val="55"/>
        </w:numPr>
        <w:jc w:val="both"/>
        <w:rPr>
          <w:lang w:val="es-ES"/>
        </w:rPr>
      </w:pPr>
      <w:r w:rsidRPr="008A084A">
        <w:rPr>
          <w:rFonts w:ascii="Cambria" w:hAnsi="Cambria"/>
          <w:sz w:val="20"/>
          <w:szCs w:val="20"/>
          <w:lang w:val="es-CO"/>
        </w:rPr>
        <w:t xml:space="preserve">La Comisión considera suficientemente acreditado que en el presente caso la madre del señor Guachalá y su núcleo familiar sufrieron profundamente por la desaparición de su ser querido, lo que se ha venido agravando y profundizando como consecuencia de la falta de esclarecimiento y justicia sobre las circunstancias de la misma. En este sentido, </w:t>
      </w:r>
      <w:r w:rsidR="00123129" w:rsidRPr="008A084A">
        <w:rPr>
          <w:rFonts w:ascii="Cambria" w:hAnsi="Cambria"/>
          <w:sz w:val="20"/>
          <w:szCs w:val="20"/>
          <w:lang w:val="es-CO"/>
        </w:rPr>
        <w:t xml:space="preserve">la Comisión concluye que el </w:t>
      </w:r>
      <w:r w:rsidR="00123129" w:rsidRPr="008A084A">
        <w:rPr>
          <w:rFonts w:ascii="Cambria" w:hAnsi="Cambria"/>
          <w:sz w:val="20"/>
          <w:szCs w:val="20"/>
          <w:lang w:val="es-ES"/>
        </w:rPr>
        <w:t>Estado</w:t>
      </w:r>
      <w:r w:rsidR="00123129" w:rsidRPr="008A084A">
        <w:rPr>
          <w:rFonts w:ascii="Cambria" w:hAnsi="Cambria"/>
          <w:sz w:val="20"/>
          <w:szCs w:val="20"/>
          <w:lang w:val="es-CO"/>
        </w:rPr>
        <w:t xml:space="preserve"> violó el derecho a la integridad psíquica y moral consagrado en el artículo 5.1 de la Convención Americana </w:t>
      </w:r>
      <w:r w:rsidR="00123129" w:rsidRPr="008A084A">
        <w:rPr>
          <w:rFonts w:ascii="Cambria" w:hAnsi="Cambria"/>
          <w:sz w:val="20"/>
          <w:szCs w:val="20"/>
          <w:lang w:val="es-ES"/>
        </w:rPr>
        <w:t>en relación con el artículo 1.1 de la misma en perjuicio de los familiares de</w:t>
      </w:r>
      <w:r w:rsidRPr="008A084A">
        <w:rPr>
          <w:rFonts w:ascii="Cambria" w:hAnsi="Cambria"/>
          <w:sz w:val="20"/>
          <w:szCs w:val="20"/>
          <w:lang w:val="es-ES"/>
        </w:rPr>
        <w:t xml:space="preserve">l señor Guachalá Chimbó, identificados en el presente informe de fondo. </w:t>
      </w:r>
    </w:p>
    <w:p w:rsidR="00123129" w:rsidRPr="008A084A" w:rsidRDefault="00123129" w:rsidP="00123129">
      <w:pPr>
        <w:rPr>
          <w:lang w:val="es-ES"/>
        </w:rPr>
      </w:pPr>
    </w:p>
    <w:p w:rsidR="00E35039" w:rsidRPr="008A084A" w:rsidRDefault="00E35039" w:rsidP="00FF1817">
      <w:pPr>
        <w:pStyle w:val="Heading1"/>
        <w:tabs>
          <w:tab w:val="left" w:pos="720"/>
          <w:tab w:val="left" w:pos="1440"/>
        </w:tabs>
        <w:spacing w:before="0"/>
        <w:ind w:left="0" w:firstLine="720"/>
        <w:jc w:val="both"/>
        <w:rPr>
          <w:color w:val="auto"/>
          <w:sz w:val="20"/>
          <w:szCs w:val="20"/>
          <w:lang w:val="es-ES"/>
        </w:rPr>
      </w:pPr>
      <w:bookmarkStart w:id="37" w:name="_Toc525547517"/>
      <w:r w:rsidRPr="008A084A">
        <w:rPr>
          <w:color w:val="auto"/>
          <w:sz w:val="20"/>
          <w:szCs w:val="20"/>
          <w:lang w:val="es-ES"/>
        </w:rPr>
        <w:t>CONCLUSIONES</w:t>
      </w:r>
      <w:bookmarkEnd w:id="37"/>
    </w:p>
    <w:p w:rsidR="0006236A" w:rsidRPr="008A084A" w:rsidRDefault="0006236A" w:rsidP="00FF181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1F611B" w:rsidRPr="008A084A" w:rsidRDefault="001F611B" w:rsidP="005507C6">
      <w:pPr>
        <w:numPr>
          <w:ilvl w:val="0"/>
          <w:numId w:val="55"/>
        </w:numPr>
        <w:jc w:val="both"/>
        <w:rPr>
          <w:rFonts w:ascii="Cambria" w:hAnsi="Cambria"/>
          <w:sz w:val="20"/>
          <w:szCs w:val="20"/>
          <w:lang w:val="es-CO"/>
        </w:rPr>
      </w:pPr>
      <w:r w:rsidRPr="008A084A">
        <w:rPr>
          <w:rFonts w:ascii="Cambria" w:hAnsi="Cambria"/>
          <w:sz w:val="20"/>
          <w:szCs w:val="20"/>
          <w:lang w:val="es-CO"/>
        </w:rPr>
        <w:t xml:space="preserve">Con base en las consideraciones de hecho y de derecho expuestas, la Comisión Interamericana concluye que el Estado es responsable por la violación de los derechos al reconocimiento a la personalidad jurídica, vida, </w:t>
      </w:r>
      <w:r w:rsidRPr="008A084A">
        <w:rPr>
          <w:rFonts w:ascii="Cambria" w:hAnsi="Cambria"/>
          <w:sz w:val="20"/>
          <w:szCs w:val="20"/>
          <w:lang w:val="es-ES"/>
        </w:rPr>
        <w:t>integridad</w:t>
      </w:r>
      <w:r w:rsidRPr="008A084A">
        <w:rPr>
          <w:rFonts w:ascii="Cambria" w:hAnsi="Cambria"/>
          <w:sz w:val="20"/>
          <w:szCs w:val="20"/>
          <w:lang w:val="es-CO"/>
        </w:rPr>
        <w:t xml:space="preserve"> personal, libertad personal, </w:t>
      </w:r>
      <w:r w:rsidR="009F6E28" w:rsidRPr="008A084A">
        <w:rPr>
          <w:rFonts w:ascii="Cambria" w:hAnsi="Cambria"/>
          <w:sz w:val="20"/>
          <w:szCs w:val="20"/>
          <w:lang w:val="es-CO"/>
        </w:rPr>
        <w:t xml:space="preserve">igualdad y no discriminación, salud; y </w:t>
      </w:r>
      <w:r w:rsidRPr="008A084A">
        <w:rPr>
          <w:rFonts w:ascii="Cambria" w:hAnsi="Cambria"/>
          <w:sz w:val="20"/>
          <w:szCs w:val="20"/>
          <w:lang w:val="es-CO"/>
        </w:rPr>
        <w:t>garantías judiciales y protección judicial establecidos en los artículos 3, 4.1, 5.1, 7</w:t>
      </w:r>
      <w:r w:rsidR="002072B6" w:rsidRPr="008A084A">
        <w:rPr>
          <w:rFonts w:ascii="Cambria" w:hAnsi="Cambria"/>
          <w:sz w:val="20"/>
          <w:szCs w:val="20"/>
          <w:lang w:val="es-CO"/>
        </w:rPr>
        <w:t>.1</w:t>
      </w:r>
      <w:r w:rsidRPr="008A084A">
        <w:rPr>
          <w:rFonts w:ascii="Cambria" w:hAnsi="Cambria"/>
          <w:sz w:val="20"/>
          <w:szCs w:val="20"/>
          <w:lang w:val="es-CO"/>
        </w:rPr>
        <w:t>,</w:t>
      </w:r>
      <w:r w:rsidR="002072B6" w:rsidRPr="008A084A">
        <w:rPr>
          <w:rFonts w:ascii="Cambria" w:hAnsi="Cambria"/>
          <w:sz w:val="20"/>
          <w:szCs w:val="20"/>
          <w:lang w:val="es-CO"/>
        </w:rPr>
        <w:t xml:space="preserve"> 7.3,</w:t>
      </w:r>
      <w:r w:rsidRPr="008A084A">
        <w:rPr>
          <w:rFonts w:ascii="Cambria" w:hAnsi="Cambria"/>
          <w:sz w:val="20"/>
          <w:szCs w:val="20"/>
          <w:lang w:val="es-CO"/>
        </w:rPr>
        <w:t xml:space="preserve"> 8.1</w:t>
      </w:r>
      <w:r w:rsidR="002072B6" w:rsidRPr="008A084A">
        <w:rPr>
          <w:rFonts w:ascii="Cambria" w:hAnsi="Cambria"/>
          <w:sz w:val="20"/>
          <w:szCs w:val="20"/>
          <w:lang w:val="es-CO"/>
        </w:rPr>
        <w:t xml:space="preserve">, 13.1, </w:t>
      </w:r>
      <w:r w:rsidR="009F6E28" w:rsidRPr="008A084A">
        <w:rPr>
          <w:rFonts w:ascii="Cambria" w:hAnsi="Cambria"/>
          <w:sz w:val="20"/>
          <w:szCs w:val="20"/>
          <w:lang w:val="es-CO"/>
        </w:rPr>
        <w:t xml:space="preserve">24, </w:t>
      </w:r>
      <w:r w:rsidRPr="008A084A">
        <w:rPr>
          <w:rFonts w:ascii="Cambria" w:hAnsi="Cambria"/>
          <w:sz w:val="20"/>
          <w:szCs w:val="20"/>
          <w:lang w:val="es-CO"/>
        </w:rPr>
        <w:t>25.1</w:t>
      </w:r>
      <w:r w:rsidR="002072B6" w:rsidRPr="008A084A">
        <w:rPr>
          <w:rFonts w:ascii="Cambria" w:hAnsi="Cambria"/>
          <w:sz w:val="20"/>
          <w:szCs w:val="20"/>
          <w:lang w:val="es-CO"/>
        </w:rPr>
        <w:t xml:space="preserve"> y 26</w:t>
      </w:r>
      <w:r w:rsidRPr="008A084A">
        <w:rPr>
          <w:rFonts w:ascii="Cambria" w:hAnsi="Cambria"/>
          <w:sz w:val="20"/>
          <w:szCs w:val="20"/>
          <w:lang w:val="es-CO"/>
        </w:rPr>
        <w:t xml:space="preserve"> de la Convención Americana, en relación con las obligaciones establecidas en los artículos 1.1 y 2 del mismo instrumento, en perjuicio de Luis Eduardo Guachalá Chimbó</w:t>
      </w:r>
      <w:r w:rsidR="002072B6" w:rsidRPr="008A084A">
        <w:rPr>
          <w:rFonts w:ascii="Cambria" w:hAnsi="Cambria"/>
          <w:sz w:val="20"/>
          <w:szCs w:val="20"/>
          <w:lang w:val="es-CO"/>
        </w:rPr>
        <w:t xml:space="preserve"> y sus familiares en los términos explicados a lo largo del presente informe de fondo</w:t>
      </w:r>
      <w:r w:rsidR="00DA7176" w:rsidRPr="008A084A">
        <w:rPr>
          <w:rFonts w:ascii="Cambria" w:hAnsi="Cambria"/>
          <w:sz w:val="20"/>
          <w:szCs w:val="20"/>
          <w:lang w:val="es-CO"/>
        </w:rPr>
        <w:t xml:space="preserve">. </w:t>
      </w:r>
    </w:p>
    <w:p w:rsidR="001F611B" w:rsidRPr="008A084A" w:rsidRDefault="001F611B" w:rsidP="00FF181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E35039" w:rsidRPr="008A084A" w:rsidRDefault="00E35039" w:rsidP="00FF1817">
      <w:pPr>
        <w:pStyle w:val="Heading1"/>
        <w:tabs>
          <w:tab w:val="left" w:pos="720"/>
          <w:tab w:val="left" w:pos="1440"/>
        </w:tabs>
        <w:spacing w:before="0"/>
        <w:ind w:left="0" w:firstLine="720"/>
        <w:jc w:val="both"/>
        <w:rPr>
          <w:color w:val="auto"/>
          <w:sz w:val="20"/>
          <w:szCs w:val="20"/>
        </w:rPr>
      </w:pPr>
      <w:bookmarkStart w:id="38" w:name="_Toc525547518"/>
      <w:r w:rsidRPr="008A084A">
        <w:rPr>
          <w:color w:val="auto"/>
          <w:sz w:val="20"/>
          <w:szCs w:val="20"/>
        </w:rPr>
        <w:t>RECOMENDACIONES</w:t>
      </w:r>
      <w:bookmarkEnd w:id="38"/>
    </w:p>
    <w:p w:rsidR="00E35039" w:rsidRPr="008A084A" w:rsidRDefault="00E35039" w:rsidP="00FF1817">
      <w:pPr>
        <w:rPr>
          <w:rFonts w:ascii="Cambria" w:hAnsi="Cambria"/>
          <w:sz w:val="20"/>
          <w:szCs w:val="20"/>
          <w:lang w:val="es-ES_tradnl"/>
        </w:rPr>
      </w:pPr>
    </w:p>
    <w:p w:rsidR="00E35039" w:rsidRPr="008A084A" w:rsidRDefault="00E35039" w:rsidP="002072B6">
      <w:pPr>
        <w:numPr>
          <w:ilvl w:val="0"/>
          <w:numId w:val="55"/>
        </w:numPr>
        <w:jc w:val="both"/>
        <w:rPr>
          <w:rFonts w:ascii="Cambria" w:hAnsi="Cambria"/>
          <w:sz w:val="20"/>
          <w:szCs w:val="20"/>
          <w:lang w:val="es-ES"/>
        </w:rPr>
      </w:pPr>
      <w:r w:rsidRPr="008A084A">
        <w:rPr>
          <w:rFonts w:ascii="Cambria" w:hAnsi="Cambria"/>
          <w:sz w:val="20"/>
          <w:szCs w:val="20"/>
          <w:lang w:val="es-ES"/>
        </w:rPr>
        <w:t>En virtud de las anteriores conclusiones,</w:t>
      </w:r>
    </w:p>
    <w:p w:rsidR="00E35039" w:rsidRPr="008A084A" w:rsidRDefault="00E35039" w:rsidP="00FF1817">
      <w:pPr>
        <w:jc w:val="center"/>
        <w:rPr>
          <w:rFonts w:ascii="Cambria" w:hAnsi="Cambria"/>
          <w:sz w:val="20"/>
          <w:szCs w:val="20"/>
          <w:lang w:val="es-ES"/>
        </w:rPr>
      </w:pPr>
    </w:p>
    <w:p w:rsidR="00E35039" w:rsidRPr="008A084A" w:rsidRDefault="00E35039" w:rsidP="00FF1817">
      <w:pPr>
        <w:jc w:val="center"/>
        <w:rPr>
          <w:rFonts w:ascii="Cambria" w:hAnsi="Cambria"/>
          <w:b/>
          <w:sz w:val="20"/>
          <w:szCs w:val="20"/>
          <w:lang w:val="es-ES"/>
        </w:rPr>
      </w:pPr>
      <w:r w:rsidRPr="008A084A">
        <w:rPr>
          <w:rFonts w:ascii="Cambria" w:hAnsi="Cambria"/>
          <w:b/>
          <w:sz w:val="20"/>
          <w:szCs w:val="20"/>
          <w:lang w:val="es-ES"/>
        </w:rPr>
        <w:t xml:space="preserve">LA COMISIÓN INTERAMERICANA DE DERECHOS HUMANOS </w:t>
      </w:r>
    </w:p>
    <w:p w:rsidR="00E35039" w:rsidRPr="008A084A" w:rsidRDefault="00E35039" w:rsidP="00FF1817">
      <w:pPr>
        <w:jc w:val="center"/>
        <w:rPr>
          <w:rFonts w:ascii="Cambria" w:hAnsi="Cambria"/>
          <w:b/>
          <w:sz w:val="20"/>
          <w:szCs w:val="20"/>
          <w:lang w:val="es-ES"/>
        </w:rPr>
      </w:pPr>
      <w:r w:rsidRPr="008A084A">
        <w:rPr>
          <w:rFonts w:ascii="Cambria" w:hAnsi="Cambria"/>
          <w:b/>
          <w:sz w:val="20"/>
          <w:szCs w:val="20"/>
          <w:lang w:val="es-ES"/>
        </w:rPr>
        <w:t xml:space="preserve">RECOMIENDA AL ESTADO DE </w:t>
      </w:r>
      <w:r w:rsidR="00D71305" w:rsidRPr="008A084A">
        <w:rPr>
          <w:rFonts w:ascii="Cambria" w:hAnsi="Cambria"/>
          <w:b/>
          <w:sz w:val="20"/>
          <w:szCs w:val="20"/>
          <w:lang w:val="es-ES"/>
        </w:rPr>
        <w:t>ECUADOR</w:t>
      </w:r>
      <w:r w:rsidRPr="008A084A">
        <w:rPr>
          <w:rFonts w:ascii="Cambria" w:hAnsi="Cambria"/>
          <w:b/>
          <w:sz w:val="20"/>
          <w:szCs w:val="20"/>
          <w:lang w:val="es-ES"/>
        </w:rPr>
        <w:t>:</w:t>
      </w:r>
    </w:p>
    <w:p w:rsidR="001802A0" w:rsidRPr="008A084A" w:rsidRDefault="001802A0" w:rsidP="00FF181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s-ES"/>
        </w:rPr>
      </w:pPr>
    </w:p>
    <w:p w:rsidR="007A7A9E" w:rsidRPr="008A084A" w:rsidRDefault="007A7A9E" w:rsidP="006E143B">
      <w:pPr>
        <w:pStyle w:val="BodyTextInden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hAnsi="Cambria"/>
          <w:color w:val="auto"/>
          <w:sz w:val="20"/>
          <w:szCs w:val="20"/>
        </w:rPr>
      </w:pPr>
      <w:r w:rsidRPr="008A084A">
        <w:rPr>
          <w:rFonts w:ascii="Cambria" w:hAnsi="Cambria"/>
          <w:color w:val="auto"/>
          <w:sz w:val="20"/>
          <w:szCs w:val="20"/>
        </w:rPr>
        <w:lastRenderedPageBreak/>
        <w:t xml:space="preserve">Reparar integralmente las violaciones de derechos humanos declaradas en el </w:t>
      </w:r>
      <w:bookmarkStart w:id="39" w:name="_GoBack"/>
      <w:r w:rsidRPr="008A084A">
        <w:rPr>
          <w:rFonts w:ascii="Cambria" w:hAnsi="Cambria"/>
          <w:color w:val="auto"/>
          <w:sz w:val="20"/>
          <w:szCs w:val="20"/>
        </w:rPr>
        <w:t xml:space="preserve">presente informe tanto en el aspecto material como </w:t>
      </w:r>
      <w:r w:rsidR="00E1362A" w:rsidRPr="008A084A">
        <w:rPr>
          <w:rFonts w:ascii="Cambria" w:hAnsi="Cambria"/>
          <w:color w:val="auto"/>
          <w:sz w:val="20"/>
          <w:szCs w:val="20"/>
        </w:rPr>
        <w:t>inmaterial. El Estado deber</w:t>
      </w:r>
      <w:r w:rsidR="00E1362A" w:rsidRPr="008A084A">
        <w:rPr>
          <w:rFonts w:ascii="Cambria" w:hAnsi="Cambria"/>
          <w:color w:val="auto"/>
          <w:sz w:val="20"/>
          <w:szCs w:val="20"/>
          <w:lang w:val="es-CO"/>
        </w:rPr>
        <w:t xml:space="preserve">á disponer </w:t>
      </w:r>
      <w:bookmarkEnd w:id="39"/>
      <w:r w:rsidR="00E1362A" w:rsidRPr="008A084A">
        <w:rPr>
          <w:rFonts w:ascii="Cambria" w:hAnsi="Cambria"/>
          <w:color w:val="auto"/>
          <w:sz w:val="20"/>
          <w:szCs w:val="20"/>
          <w:lang w:val="es-CO"/>
        </w:rPr>
        <w:t xml:space="preserve">las medidas de compensación económica y satisfacción. </w:t>
      </w:r>
    </w:p>
    <w:p w:rsidR="007A7A9E" w:rsidRPr="008A084A" w:rsidRDefault="007A7A9E" w:rsidP="009D753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right="720" w:firstLine="0"/>
        <w:jc w:val="both"/>
        <w:rPr>
          <w:rFonts w:ascii="Cambria" w:hAnsi="Cambria"/>
          <w:color w:val="auto"/>
          <w:sz w:val="20"/>
          <w:szCs w:val="20"/>
        </w:rPr>
      </w:pPr>
    </w:p>
    <w:p w:rsidR="007A7A9E" w:rsidRPr="008A084A" w:rsidRDefault="007A7A9E" w:rsidP="006E143B">
      <w:pPr>
        <w:pStyle w:val="BodyTextInden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hAnsi="Cambria"/>
          <w:color w:val="auto"/>
          <w:sz w:val="20"/>
          <w:szCs w:val="20"/>
        </w:rPr>
      </w:pPr>
      <w:r w:rsidRPr="008A084A">
        <w:rPr>
          <w:rFonts w:ascii="Cambria" w:hAnsi="Cambria"/>
          <w:color w:val="auto"/>
          <w:sz w:val="20"/>
          <w:szCs w:val="20"/>
        </w:rPr>
        <w:t>Emprender una búsqueda, a través de todos los medios disponibles, del destino o paradero de</w:t>
      </w:r>
      <w:r w:rsidR="00E1362A" w:rsidRPr="008A084A">
        <w:rPr>
          <w:rFonts w:ascii="Cambria" w:hAnsi="Cambria"/>
          <w:color w:val="auto"/>
          <w:sz w:val="20"/>
          <w:szCs w:val="20"/>
        </w:rPr>
        <w:t xml:space="preserve"> Luis Eduardo Guachalá Chimbó </w:t>
      </w:r>
      <w:r w:rsidRPr="008A084A">
        <w:rPr>
          <w:rFonts w:ascii="Cambria" w:hAnsi="Cambria"/>
          <w:color w:val="auto"/>
          <w:sz w:val="20"/>
          <w:szCs w:val="20"/>
        </w:rPr>
        <w:t>o de sus restos mortales.</w:t>
      </w:r>
      <w:r w:rsidR="00E1362A" w:rsidRPr="008A084A">
        <w:rPr>
          <w:rFonts w:ascii="Cambria" w:hAnsi="Cambria"/>
          <w:color w:val="auto"/>
          <w:sz w:val="20"/>
          <w:szCs w:val="20"/>
        </w:rPr>
        <w:t xml:space="preserve"> De ser el caso, disponer mecanismos adecuados de identificación y proceder a la devolución de los restos a los familiares. </w:t>
      </w:r>
    </w:p>
    <w:p w:rsidR="005F56F7" w:rsidRPr="008A084A" w:rsidRDefault="005F56F7" w:rsidP="00471FC6">
      <w:pPr>
        <w:pStyle w:val="ListParagraph"/>
        <w:rPr>
          <w:rFonts w:ascii="Cambria" w:hAnsi="Cambria"/>
          <w:sz w:val="20"/>
          <w:szCs w:val="20"/>
          <w:lang w:val="es-PE"/>
        </w:rPr>
      </w:pPr>
    </w:p>
    <w:p w:rsidR="005F56F7" w:rsidRPr="008A084A" w:rsidRDefault="005F56F7" w:rsidP="006E143B">
      <w:pPr>
        <w:pStyle w:val="BodyTextInden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hAnsi="Cambria"/>
          <w:color w:val="auto"/>
          <w:sz w:val="20"/>
          <w:szCs w:val="20"/>
        </w:rPr>
      </w:pPr>
      <w:r w:rsidRPr="008A084A">
        <w:rPr>
          <w:rFonts w:ascii="Cambria" w:hAnsi="Cambria"/>
          <w:color w:val="auto"/>
          <w:sz w:val="20"/>
          <w:szCs w:val="20"/>
        </w:rPr>
        <w:t>En caso de que Luis Eduardo Guachalá Chimbó aparezca con vida, brindarle de manera gratuita y por el tiempo que sea necesario, y en concertación con él, el tratamiento en salud mental que requiera, de conformidad con los estándares establecidos en el presente informe.</w:t>
      </w:r>
    </w:p>
    <w:p w:rsidR="007A7A9E" w:rsidRPr="008A084A" w:rsidRDefault="007A7A9E" w:rsidP="009D753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right="720" w:firstLine="0"/>
        <w:jc w:val="both"/>
        <w:rPr>
          <w:rFonts w:ascii="Cambria" w:hAnsi="Cambria"/>
          <w:color w:val="auto"/>
          <w:sz w:val="20"/>
          <w:szCs w:val="20"/>
        </w:rPr>
      </w:pPr>
    </w:p>
    <w:p w:rsidR="007A7A9E" w:rsidRPr="008A084A" w:rsidRDefault="007A7A9E" w:rsidP="006E143B">
      <w:pPr>
        <w:pStyle w:val="BodyTextInden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hAnsi="Cambria"/>
          <w:color w:val="auto"/>
          <w:sz w:val="20"/>
          <w:szCs w:val="20"/>
        </w:rPr>
      </w:pPr>
      <w:r w:rsidRPr="008A084A">
        <w:rPr>
          <w:rFonts w:ascii="Cambria" w:hAnsi="Cambria"/>
          <w:color w:val="auto"/>
          <w:sz w:val="20"/>
          <w:szCs w:val="20"/>
        </w:rPr>
        <w:t xml:space="preserve">Continuar las investigaciones de manera imparcial, efectiva y dentro de un plazo razonable con el objeto de esclarecer los hechos en forma completa, identificar a los autores e imponer las sanciones que correspondan. </w:t>
      </w:r>
    </w:p>
    <w:p w:rsidR="007A7A9E" w:rsidRPr="008A084A" w:rsidRDefault="007A7A9E" w:rsidP="009D753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right="720" w:firstLine="0"/>
        <w:jc w:val="both"/>
        <w:rPr>
          <w:rFonts w:ascii="Cambria" w:hAnsi="Cambria"/>
          <w:color w:val="auto"/>
          <w:sz w:val="20"/>
          <w:szCs w:val="20"/>
          <w:lang w:val="es-ES"/>
        </w:rPr>
      </w:pPr>
    </w:p>
    <w:p w:rsidR="00C417B6" w:rsidRPr="008A084A" w:rsidRDefault="005F56F7" w:rsidP="00471FC6">
      <w:pPr>
        <w:pStyle w:val="BodyTextInden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hAnsi="Cambria"/>
          <w:color w:val="auto"/>
          <w:sz w:val="20"/>
          <w:szCs w:val="20"/>
        </w:rPr>
      </w:pPr>
      <w:r w:rsidRPr="008A084A">
        <w:rPr>
          <w:rFonts w:ascii="Cambria" w:hAnsi="Cambria"/>
          <w:color w:val="auto"/>
          <w:sz w:val="20"/>
          <w:szCs w:val="20"/>
          <w:lang w:val="es-ES"/>
        </w:rPr>
        <w:t xml:space="preserve">Disponer medidas de no repetición que incluyan: i) </w:t>
      </w:r>
      <w:r w:rsidRPr="008A084A">
        <w:rPr>
          <w:rFonts w:ascii="Cambria" w:hAnsi="Cambria"/>
          <w:color w:val="auto"/>
          <w:sz w:val="20"/>
          <w:szCs w:val="20"/>
        </w:rPr>
        <w:t>U</w:t>
      </w:r>
      <w:r w:rsidR="00C417B6" w:rsidRPr="008A084A">
        <w:rPr>
          <w:rFonts w:ascii="Cambria" w:hAnsi="Cambria"/>
          <w:color w:val="auto"/>
          <w:sz w:val="20"/>
          <w:szCs w:val="20"/>
        </w:rPr>
        <w:t>na revisión de la legislación</w:t>
      </w:r>
      <w:r w:rsidRPr="008A084A">
        <w:rPr>
          <w:rFonts w:ascii="Cambria" w:hAnsi="Cambria"/>
          <w:color w:val="auto"/>
          <w:sz w:val="20"/>
          <w:szCs w:val="20"/>
        </w:rPr>
        <w:t xml:space="preserve"> interna y de las prácticas arraigadas en cuando a los procesos de toma de decisión de las personas con discapacidad, a fin de asegurar que tanto el marco normativo como la práctica sea compatible con los estándares internacionales descritos en el presente informe de fondo; ii)</w:t>
      </w:r>
      <w:r w:rsidR="004B29EF" w:rsidRPr="008A084A">
        <w:rPr>
          <w:rFonts w:ascii="Cambria" w:hAnsi="Cambria"/>
          <w:color w:val="auto"/>
          <w:sz w:val="20"/>
          <w:szCs w:val="20"/>
        </w:rPr>
        <w:t>E</w:t>
      </w:r>
      <w:r w:rsidRPr="008A084A">
        <w:rPr>
          <w:rFonts w:ascii="Cambria" w:hAnsi="Cambria"/>
          <w:color w:val="auto"/>
          <w:sz w:val="20"/>
          <w:szCs w:val="20"/>
        </w:rPr>
        <w:t xml:space="preserve">laborar un plan integral </w:t>
      </w:r>
      <w:r w:rsidR="004B29EF" w:rsidRPr="008A084A">
        <w:rPr>
          <w:rFonts w:ascii="Cambria" w:hAnsi="Cambria"/>
          <w:color w:val="auto"/>
          <w:sz w:val="20"/>
          <w:szCs w:val="20"/>
        </w:rPr>
        <w:t xml:space="preserve">a efectos de revisar la política de internamiento de personas en instituciones públicas de salud mental y dirigirla hacia la desinstitucionalización conforme a los estándares internacionales en la materia, asegurando las </w:t>
      </w:r>
      <w:r w:rsidRPr="008A084A">
        <w:rPr>
          <w:rFonts w:ascii="Cambria" w:hAnsi="Cambria"/>
          <w:color w:val="auto"/>
          <w:sz w:val="20"/>
          <w:szCs w:val="20"/>
        </w:rPr>
        <w:t xml:space="preserve">condiciones de seguridad personal y </w:t>
      </w:r>
      <w:r w:rsidR="004B29EF" w:rsidRPr="008A084A">
        <w:rPr>
          <w:rFonts w:ascii="Cambria" w:hAnsi="Cambria"/>
          <w:color w:val="auto"/>
          <w:sz w:val="20"/>
          <w:szCs w:val="20"/>
        </w:rPr>
        <w:t xml:space="preserve">las </w:t>
      </w:r>
      <w:r w:rsidRPr="008A084A">
        <w:rPr>
          <w:rFonts w:ascii="Cambria" w:hAnsi="Cambria"/>
          <w:color w:val="auto"/>
          <w:sz w:val="20"/>
          <w:szCs w:val="20"/>
        </w:rPr>
        <w:t xml:space="preserve"> garantías </w:t>
      </w:r>
      <w:r w:rsidR="004B29EF" w:rsidRPr="008A084A">
        <w:rPr>
          <w:rFonts w:ascii="Cambria" w:hAnsi="Cambria"/>
          <w:color w:val="auto"/>
          <w:sz w:val="20"/>
          <w:szCs w:val="20"/>
        </w:rPr>
        <w:t xml:space="preserve">necesarias para su inclusión </w:t>
      </w:r>
      <w:r w:rsidRPr="008A084A">
        <w:rPr>
          <w:rFonts w:ascii="Cambria" w:hAnsi="Cambria"/>
          <w:color w:val="auto"/>
          <w:sz w:val="20"/>
          <w:szCs w:val="20"/>
        </w:rPr>
        <w:t>en la comunidad</w:t>
      </w:r>
      <w:r w:rsidR="004B29EF" w:rsidRPr="008A084A">
        <w:rPr>
          <w:rFonts w:ascii="Cambria" w:hAnsi="Cambria"/>
          <w:color w:val="auto"/>
          <w:sz w:val="20"/>
          <w:szCs w:val="20"/>
        </w:rPr>
        <w:t>; y iii) A</w:t>
      </w:r>
      <w:r w:rsidR="009F6E28" w:rsidRPr="008A084A">
        <w:rPr>
          <w:rFonts w:ascii="Cambria" w:hAnsi="Cambria"/>
          <w:color w:val="auto"/>
          <w:sz w:val="20"/>
          <w:szCs w:val="20"/>
        </w:rPr>
        <w:t>doptar medidas específicas para erradicar la coacción y los tratamientos psiquiátricos forzosos así como a</w:t>
      </w:r>
      <w:r w:rsidR="004B29EF" w:rsidRPr="008A084A">
        <w:rPr>
          <w:rFonts w:ascii="Cambria" w:hAnsi="Cambria"/>
          <w:color w:val="auto"/>
          <w:sz w:val="20"/>
          <w:szCs w:val="20"/>
        </w:rPr>
        <w:t>se</w:t>
      </w:r>
      <w:r w:rsidR="009976F7" w:rsidRPr="008A084A">
        <w:rPr>
          <w:rFonts w:ascii="Cambria" w:hAnsi="Cambria"/>
          <w:color w:val="auto"/>
          <w:sz w:val="20"/>
          <w:szCs w:val="20"/>
        </w:rPr>
        <w:t>gurar el consentimiento informado en materia de salud mental, tanto en lo relativo al internamiento como en lo relativo al tratamiento, conforme a los estándares descritos en el presente informe.</w:t>
      </w:r>
      <w:r w:rsidR="009F6E28" w:rsidRPr="008A084A">
        <w:rPr>
          <w:rFonts w:ascii="Cambria" w:hAnsi="Cambria"/>
          <w:color w:val="auto"/>
          <w:sz w:val="20"/>
          <w:szCs w:val="20"/>
        </w:rPr>
        <w:t xml:space="preserve"> </w:t>
      </w:r>
      <w:r w:rsidR="002C7F04" w:rsidRPr="008A084A">
        <w:rPr>
          <w:rFonts w:ascii="Cambria" w:hAnsi="Cambria"/>
          <w:color w:val="auto"/>
          <w:sz w:val="20"/>
          <w:szCs w:val="20"/>
        </w:rPr>
        <w:t>iv) Incorporar los componentes del derecho a la salud mental en las estrategias y planes de salud generales, priorizando servicios de atención psicosocial y comunitaria.</w:t>
      </w:r>
    </w:p>
    <w:p w:rsidR="00A32788" w:rsidRPr="008A084A" w:rsidRDefault="00A32788" w:rsidP="00FF181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D50763" w:rsidRPr="003E0016" w:rsidRDefault="00D50763" w:rsidP="00D50763">
      <w:pPr>
        <w:ind w:firstLine="720"/>
        <w:jc w:val="both"/>
        <w:rPr>
          <w:rFonts w:ascii="Cambria" w:hAnsi="Cambria" w:cs="Arial"/>
          <w:noProof/>
          <w:spacing w:val="-2"/>
          <w:sz w:val="20"/>
          <w:szCs w:val="20"/>
          <w:lang w:val="es-CL"/>
        </w:rPr>
      </w:pPr>
      <w:r w:rsidRPr="003E0016">
        <w:rPr>
          <w:rFonts w:ascii="Cambria" w:hAnsi="Cambria" w:cs="Arial"/>
          <w:noProof/>
          <w:spacing w:val="-2"/>
          <w:sz w:val="20"/>
          <w:szCs w:val="20"/>
          <w:lang w:val="es-CL"/>
        </w:rPr>
        <w:t>Aprobado en la ciudad de Boulder, Colorado a los 5 días del mes de octubre de 2018.</w:t>
      </w:r>
    </w:p>
    <w:p w:rsidR="00D50763" w:rsidRPr="003E0016" w:rsidRDefault="00D50763" w:rsidP="00D50763">
      <w:pPr>
        <w:suppressAutoHyphens/>
        <w:ind w:firstLine="720"/>
        <w:jc w:val="both"/>
        <w:rPr>
          <w:rFonts w:ascii="Cambria" w:hAnsi="Cambria" w:cs="Arial"/>
          <w:noProof/>
          <w:spacing w:val="-2"/>
          <w:sz w:val="20"/>
          <w:szCs w:val="20"/>
          <w:lang w:val="es-CL"/>
        </w:rPr>
      </w:pPr>
    </w:p>
    <w:p w:rsidR="00D50763" w:rsidRPr="003E0016" w:rsidRDefault="00D50763" w:rsidP="00D50763">
      <w:pPr>
        <w:suppressAutoHyphens/>
        <w:ind w:firstLine="720"/>
        <w:jc w:val="both"/>
        <w:rPr>
          <w:rFonts w:ascii="Cambria" w:hAnsi="Cambria" w:cs="Arial"/>
          <w:noProof/>
          <w:spacing w:val="-2"/>
          <w:sz w:val="20"/>
          <w:szCs w:val="20"/>
          <w:lang w:val="es-CL"/>
        </w:rPr>
      </w:pPr>
    </w:p>
    <w:p w:rsidR="00D50763" w:rsidRPr="003E0016" w:rsidRDefault="00D50763" w:rsidP="00D50763">
      <w:pPr>
        <w:suppressAutoHyphens/>
        <w:ind w:firstLine="720"/>
        <w:jc w:val="both"/>
        <w:rPr>
          <w:rFonts w:ascii="Cambria" w:hAnsi="Cambria" w:cs="Arial"/>
          <w:noProof/>
          <w:spacing w:val="-2"/>
          <w:sz w:val="20"/>
          <w:szCs w:val="20"/>
          <w:lang w:val="es-CL"/>
        </w:rPr>
      </w:pPr>
    </w:p>
    <w:p w:rsidR="00D50763" w:rsidRPr="003E0016" w:rsidRDefault="00D50763" w:rsidP="00D50763">
      <w:pPr>
        <w:suppressAutoHyphens/>
        <w:ind w:firstLine="720"/>
        <w:jc w:val="both"/>
        <w:rPr>
          <w:rFonts w:ascii="Cambria" w:hAnsi="Cambria" w:cs="Arial"/>
          <w:noProof/>
          <w:spacing w:val="-2"/>
          <w:sz w:val="20"/>
          <w:szCs w:val="20"/>
          <w:lang w:val="es-CL"/>
        </w:rPr>
      </w:pPr>
    </w:p>
    <w:p w:rsidR="00D50763" w:rsidRPr="003E0016" w:rsidRDefault="00D50763" w:rsidP="00D50763">
      <w:pPr>
        <w:suppressAutoHyphens/>
        <w:ind w:firstLine="720"/>
        <w:jc w:val="both"/>
        <w:rPr>
          <w:rFonts w:ascii="Cambria" w:hAnsi="Cambria" w:cs="Arial"/>
          <w:noProof/>
          <w:spacing w:val="-2"/>
          <w:sz w:val="20"/>
          <w:szCs w:val="20"/>
          <w:lang w:val="es-CL"/>
        </w:rPr>
      </w:pPr>
    </w:p>
    <w:tbl>
      <w:tblPr>
        <w:tblW w:w="0" w:type="auto"/>
        <w:jc w:val="center"/>
        <w:tblLook w:val="01E0" w:firstRow="1" w:lastRow="1" w:firstColumn="1" w:lastColumn="1" w:noHBand="0" w:noVBand="0"/>
      </w:tblPr>
      <w:tblGrid>
        <w:gridCol w:w="4788"/>
        <w:gridCol w:w="4788"/>
      </w:tblGrid>
      <w:tr w:rsidR="00D50763" w:rsidRPr="003E0016" w:rsidTr="00BB0B93">
        <w:trPr>
          <w:trHeight w:val="1648"/>
          <w:jc w:val="center"/>
        </w:trPr>
        <w:tc>
          <w:tcPr>
            <w:tcW w:w="9576" w:type="dxa"/>
            <w:gridSpan w:val="2"/>
            <w:shd w:val="clear" w:color="auto" w:fill="auto"/>
          </w:tcPr>
          <w:p w:rsidR="00D50763" w:rsidRPr="003E0016" w:rsidRDefault="00D50763" w:rsidP="00BB0B93">
            <w:pPr>
              <w:suppressAutoHyphens/>
              <w:jc w:val="center"/>
              <w:rPr>
                <w:rFonts w:ascii="Cambria" w:hAnsi="Cambria"/>
                <w:spacing w:val="-2"/>
                <w:sz w:val="20"/>
                <w:szCs w:val="20"/>
                <w:lang w:val="es-CL"/>
              </w:rPr>
            </w:pPr>
            <w:proofErr w:type="spellStart"/>
            <w:r w:rsidRPr="003E0016">
              <w:rPr>
                <w:rFonts w:ascii="Cambria" w:hAnsi="Cambria"/>
                <w:spacing w:val="-2"/>
                <w:sz w:val="20"/>
                <w:szCs w:val="20"/>
                <w:lang w:val="es-CL"/>
              </w:rPr>
              <w:t>Margarette</w:t>
            </w:r>
            <w:proofErr w:type="spellEnd"/>
            <w:r w:rsidRPr="003E0016">
              <w:rPr>
                <w:rFonts w:ascii="Cambria" w:hAnsi="Cambria"/>
                <w:spacing w:val="-2"/>
                <w:sz w:val="20"/>
                <w:szCs w:val="20"/>
                <w:lang w:val="es-CL"/>
              </w:rPr>
              <w:t xml:space="preserve"> </w:t>
            </w:r>
            <w:proofErr w:type="spellStart"/>
            <w:r w:rsidRPr="003E0016">
              <w:rPr>
                <w:rFonts w:ascii="Cambria" w:hAnsi="Cambria"/>
                <w:spacing w:val="-2"/>
                <w:sz w:val="20"/>
                <w:szCs w:val="20"/>
                <w:lang w:val="es-CL"/>
              </w:rPr>
              <w:t>May</w:t>
            </w:r>
            <w:proofErr w:type="spellEnd"/>
            <w:r w:rsidRPr="003E0016">
              <w:rPr>
                <w:rFonts w:ascii="Cambria" w:hAnsi="Cambria"/>
                <w:spacing w:val="-2"/>
                <w:sz w:val="20"/>
                <w:szCs w:val="20"/>
                <w:lang w:val="es-CL"/>
              </w:rPr>
              <w:t xml:space="preserve"> </w:t>
            </w:r>
            <w:proofErr w:type="spellStart"/>
            <w:r w:rsidRPr="003E0016">
              <w:rPr>
                <w:rFonts w:ascii="Cambria" w:hAnsi="Cambria"/>
                <w:spacing w:val="-2"/>
                <w:sz w:val="20"/>
                <w:szCs w:val="20"/>
                <w:lang w:val="es-CL"/>
              </w:rPr>
              <w:t>Macaulay</w:t>
            </w:r>
            <w:proofErr w:type="spellEnd"/>
          </w:p>
          <w:p w:rsidR="00D50763" w:rsidRPr="003E0016" w:rsidRDefault="00D50763" w:rsidP="00BB0B93">
            <w:pPr>
              <w:suppressAutoHyphens/>
              <w:jc w:val="center"/>
              <w:rPr>
                <w:rFonts w:ascii="Cambria" w:hAnsi="Cambria"/>
                <w:spacing w:val="-2"/>
                <w:sz w:val="20"/>
                <w:szCs w:val="20"/>
                <w:lang w:val="fr-CA"/>
              </w:rPr>
            </w:pPr>
            <w:r w:rsidRPr="003E0016">
              <w:rPr>
                <w:rFonts w:ascii="Cambria" w:hAnsi="Cambria"/>
                <w:spacing w:val="-2"/>
                <w:sz w:val="20"/>
                <w:szCs w:val="20"/>
                <w:lang w:val="es-CL"/>
              </w:rPr>
              <w:t>Presidenta</w:t>
            </w:r>
          </w:p>
        </w:tc>
      </w:tr>
      <w:tr w:rsidR="00D50763" w:rsidRPr="003E0016" w:rsidTr="00627EC0">
        <w:trPr>
          <w:trHeight w:val="1710"/>
          <w:jc w:val="center"/>
        </w:trPr>
        <w:tc>
          <w:tcPr>
            <w:tcW w:w="4788" w:type="dxa"/>
            <w:shd w:val="clear" w:color="auto" w:fill="auto"/>
          </w:tcPr>
          <w:p w:rsidR="00627EC0" w:rsidRDefault="00627EC0" w:rsidP="00BB0B93">
            <w:pPr>
              <w:suppressAutoHyphens/>
              <w:jc w:val="center"/>
              <w:rPr>
                <w:rFonts w:ascii="Cambria" w:hAnsi="Cambria"/>
                <w:spacing w:val="-2"/>
                <w:sz w:val="20"/>
                <w:szCs w:val="20"/>
                <w:lang w:val="es-CL"/>
              </w:rPr>
            </w:pPr>
          </w:p>
          <w:p w:rsidR="00627EC0" w:rsidRDefault="00627EC0" w:rsidP="00BB0B93">
            <w:pPr>
              <w:suppressAutoHyphens/>
              <w:jc w:val="center"/>
              <w:rPr>
                <w:rFonts w:ascii="Cambria" w:hAnsi="Cambria"/>
                <w:spacing w:val="-2"/>
                <w:sz w:val="20"/>
                <w:szCs w:val="20"/>
                <w:lang w:val="es-CL"/>
              </w:rPr>
            </w:pPr>
          </w:p>
          <w:p w:rsidR="00627EC0" w:rsidRDefault="00627EC0" w:rsidP="00BB0B93">
            <w:pPr>
              <w:suppressAutoHyphens/>
              <w:jc w:val="center"/>
              <w:rPr>
                <w:rFonts w:ascii="Cambria" w:hAnsi="Cambria"/>
                <w:spacing w:val="-2"/>
                <w:sz w:val="20"/>
                <w:szCs w:val="20"/>
                <w:lang w:val="es-CL"/>
              </w:rPr>
            </w:pPr>
          </w:p>
          <w:p w:rsidR="00627EC0" w:rsidRDefault="00627EC0" w:rsidP="00BB0B93">
            <w:pPr>
              <w:suppressAutoHyphens/>
              <w:jc w:val="center"/>
              <w:rPr>
                <w:rFonts w:ascii="Cambria" w:hAnsi="Cambria"/>
                <w:spacing w:val="-2"/>
                <w:sz w:val="20"/>
                <w:szCs w:val="20"/>
                <w:lang w:val="es-CL"/>
              </w:rPr>
            </w:pPr>
          </w:p>
          <w:p w:rsidR="00627EC0" w:rsidRDefault="00627EC0" w:rsidP="00BB0B93">
            <w:pPr>
              <w:suppressAutoHyphens/>
              <w:jc w:val="center"/>
              <w:rPr>
                <w:rFonts w:ascii="Cambria" w:hAnsi="Cambria"/>
                <w:spacing w:val="-2"/>
                <w:sz w:val="20"/>
                <w:szCs w:val="20"/>
                <w:lang w:val="es-CL"/>
              </w:rPr>
            </w:pPr>
          </w:p>
          <w:p w:rsidR="00D50763" w:rsidRPr="003E0016" w:rsidRDefault="00D50763" w:rsidP="00BB0B93">
            <w:pPr>
              <w:suppressAutoHyphens/>
              <w:jc w:val="center"/>
              <w:rPr>
                <w:rFonts w:ascii="Cambria" w:hAnsi="Cambria"/>
                <w:spacing w:val="-2"/>
                <w:sz w:val="20"/>
                <w:szCs w:val="20"/>
                <w:lang w:val="es-CL"/>
              </w:rPr>
            </w:pPr>
            <w:r w:rsidRPr="003E0016">
              <w:rPr>
                <w:rFonts w:ascii="Cambria" w:hAnsi="Cambria"/>
                <w:spacing w:val="-2"/>
                <w:sz w:val="20"/>
                <w:szCs w:val="20"/>
                <w:lang w:val="es-CL"/>
              </w:rPr>
              <w:t xml:space="preserve">Esmeralda E. Arosemena Bernal de </w:t>
            </w:r>
            <w:proofErr w:type="spellStart"/>
            <w:r w:rsidRPr="003E0016">
              <w:rPr>
                <w:rFonts w:ascii="Cambria" w:hAnsi="Cambria"/>
                <w:spacing w:val="-2"/>
                <w:sz w:val="20"/>
                <w:szCs w:val="20"/>
                <w:lang w:val="es-CL"/>
              </w:rPr>
              <w:t>Troitiño</w:t>
            </w:r>
            <w:proofErr w:type="spellEnd"/>
          </w:p>
          <w:p w:rsidR="00D50763" w:rsidRPr="003E0016" w:rsidRDefault="00D50763" w:rsidP="00BB0B93">
            <w:pPr>
              <w:suppressAutoHyphens/>
              <w:jc w:val="center"/>
              <w:rPr>
                <w:rFonts w:ascii="Cambria" w:hAnsi="Cambria"/>
                <w:spacing w:val="-2"/>
                <w:sz w:val="20"/>
                <w:szCs w:val="20"/>
                <w:lang w:val="es-ES"/>
              </w:rPr>
            </w:pPr>
            <w:r w:rsidRPr="003E0016">
              <w:rPr>
                <w:rFonts w:ascii="Cambria" w:hAnsi="Cambria"/>
                <w:spacing w:val="-2"/>
                <w:sz w:val="20"/>
                <w:szCs w:val="20"/>
                <w:lang w:val="es-CL"/>
              </w:rPr>
              <w:t>Primera Vicepresidenta</w:t>
            </w:r>
          </w:p>
        </w:tc>
        <w:tc>
          <w:tcPr>
            <w:tcW w:w="4788" w:type="dxa"/>
            <w:shd w:val="clear" w:color="auto" w:fill="auto"/>
          </w:tcPr>
          <w:p w:rsidR="00627EC0" w:rsidRDefault="00627EC0" w:rsidP="00BB0B93">
            <w:pPr>
              <w:suppressAutoHyphens/>
              <w:jc w:val="center"/>
              <w:rPr>
                <w:rFonts w:ascii="Cambria" w:hAnsi="Cambria"/>
                <w:spacing w:val="-2"/>
                <w:sz w:val="20"/>
                <w:szCs w:val="20"/>
                <w:lang w:val="es-CL"/>
              </w:rPr>
            </w:pPr>
          </w:p>
          <w:p w:rsidR="00627EC0" w:rsidRDefault="00627EC0" w:rsidP="00BB0B93">
            <w:pPr>
              <w:suppressAutoHyphens/>
              <w:jc w:val="center"/>
              <w:rPr>
                <w:rFonts w:ascii="Cambria" w:hAnsi="Cambria"/>
                <w:spacing w:val="-2"/>
                <w:sz w:val="20"/>
                <w:szCs w:val="20"/>
                <w:lang w:val="es-CL"/>
              </w:rPr>
            </w:pPr>
          </w:p>
          <w:p w:rsidR="00627EC0" w:rsidRDefault="00627EC0" w:rsidP="00BB0B93">
            <w:pPr>
              <w:suppressAutoHyphens/>
              <w:jc w:val="center"/>
              <w:rPr>
                <w:rFonts w:ascii="Cambria" w:hAnsi="Cambria"/>
                <w:spacing w:val="-2"/>
                <w:sz w:val="20"/>
                <w:szCs w:val="20"/>
                <w:lang w:val="es-CL"/>
              </w:rPr>
            </w:pPr>
          </w:p>
          <w:p w:rsidR="00627EC0" w:rsidRDefault="00627EC0" w:rsidP="00BB0B93">
            <w:pPr>
              <w:suppressAutoHyphens/>
              <w:jc w:val="center"/>
              <w:rPr>
                <w:rFonts w:ascii="Cambria" w:hAnsi="Cambria"/>
                <w:spacing w:val="-2"/>
                <w:sz w:val="20"/>
                <w:szCs w:val="20"/>
                <w:lang w:val="es-CL"/>
              </w:rPr>
            </w:pPr>
          </w:p>
          <w:p w:rsidR="00627EC0" w:rsidRDefault="00627EC0" w:rsidP="00BB0B93">
            <w:pPr>
              <w:suppressAutoHyphens/>
              <w:jc w:val="center"/>
              <w:rPr>
                <w:rFonts w:ascii="Cambria" w:hAnsi="Cambria"/>
                <w:spacing w:val="-2"/>
                <w:sz w:val="20"/>
                <w:szCs w:val="20"/>
                <w:lang w:val="es-CL"/>
              </w:rPr>
            </w:pPr>
          </w:p>
          <w:p w:rsidR="00D50763" w:rsidRPr="003E0016" w:rsidRDefault="00D50763" w:rsidP="00BB0B93">
            <w:pPr>
              <w:suppressAutoHyphens/>
              <w:jc w:val="center"/>
              <w:rPr>
                <w:rFonts w:ascii="Cambria" w:hAnsi="Cambria"/>
                <w:spacing w:val="-2"/>
                <w:sz w:val="20"/>
                <w:szCs w:val="20"/>
                <w:lang w:val="es-ES"/>
              </w:rPr>
            </w:pPr>
            <w:r w:rsidRPr="003E0016">
              <w:rPr>
                <w:rFonts w:ascii="Cambria" w:hAnsi="Cambria"/>
                <w:spacing w:val="-2"/>
                <w:sz w:val="20"/>
                <w:szCs w:val="20"/>
                <w:lang w:val="es-CL"/>
              </w:rPr>
              <w:t xml:space="preserve">Francisco José </w:t>
            </w:r>
            <w:proofErr w:type="spellStart"/>
            <w:r w:rsidRPr="003E0016">
              <w:rPr>
                <w:rFonts w:ascii="Cambria" w:hAnsi="Cambria"/>
                <w:spacing w:val="-2"/>
                <w:sz w:val="20"/>
                <w:szCs w:val="20"/>
                <w:lang w:val="es-CL"/>
              </w:rPr>
              <w:t>Eguiguren</w:t>
            </w:r>
            <w:proofErr w:type="spellEnd"/>
            <w:r w:rsidRPr="003E0016">
              <w:rPr>
                <w:rFonts w:ascii="Cambria" w:hAnsi="Cambria"/>
                <w:spacing w:val="-2"/>
                <w:sz w:val="20"/>
                <w:szCs w:val="20"/>
                <w:lang w:val="es-CL"/>
              </w:rPr>
              <w:t xml:space="preserve"> </w:t>
            </w:r>
            <w:proofErr w:type="spellStart"/>
            <w:r w:rsidRPr="003E0016">
              <w:rPr>
                <w:rFonts w:ascii="Cambria" w:hAnsi="Cambria"/>
                <w:spacing w:val="-2"/>
                <w:sz w:val="20"/>
                <w:szCs w:val="20"/>
                <w:lang w:val="es-CL"/>
              </w:rPr>
              <w:t>Praeli</w:t>
            </w:r>
            <w:proofErr w:type="spellEnd"/>
            <w:r w:rsidRPr="003E0016">
              <w:rPr>
                <w:rFonts w:ascii="Cambria" w:hAnsi="Cambria"/>
                <w:spacing w:val="-2"/>
                <w:sz w:val="20"/>
                <w:szCs w:val="20"/>
                <w:lang w:val="es-ES"/>
              </w:rPr>
              <w:br/>
            </w:r>
            <w:r w:rsidRPr="003E0016">
              <w:rPr>
                <w:rFonts w:ascii="Cambria" w:hAnsi="Cambria" w:cs="Arial"/>
                <w:noProof/>
                <w:spacing w:val="-2"/>
                <w:sz w:val="20"/>
                <w:szCs w:val="20"/>
                <w:lang w:val="es-CL"/>
              </w:rPr>
              <w:t>Comisionado</w:t>
            </w:r>
          </w:p>
        </w:tc>
      </w:tr>
      <w:tr w:rsidR="00D50763" w:rsidRPr="003E0016" w:rsidTr="00A05ED3">
        <w:trPr>
          <w:trHeight w:val="1611"/>
          <w:jc w:val="center"/>
        </w:trPr>
        <w:tc>
          <w:tcPr>
            <w:tcW w:w="4788" w:type="dxa"/>
            <w:shd w:val="clear" w:color="auto" w:fill="auto"/>
          </w:tcPr>
          <w:p w:rsidR="00671C11" w:rsidRDefault="00671C11" w:rsidP="00BB0B93">
            <w:pPr>
              <w:suppressAutoHyphens/>
              <w:jc w:val="center"/>
              <w:rPr>
                <w:rFonts w:ascii="Cambria" w:hAnsi="Cambria"/>
                <w:spacing w:val="-2"/>
                <w:sz w:val="20"/>
                <w:szCs w:val="20"/>
                <w:lang w:val="es-CL"/>
              </w:rPr>
            </w:pPr>
          </w:p>
          <w:p w:rsidR="00671C11" w:rsidRDefault="00671C11" w:rsidP="00BB0B93">
            <w:pPr>
              <w:suppressAutoHyphens/>
              <w:jc w:val="center"/>
              <w:rPr>
                <w:rFonts w:ascii="Cambria" w:hAnsi="Cambria"/>
                <w:spacing w:val="-2"/>
                <w:sz w:val="20"/>
                <w:szCs w:val="20"/>
                <w:lang w:val="es-CL"/>
              </w:rPr>
            </w:pPr>
          </w:p>
          <w:p w:rsidR="00671C11" w:rsidRDefault="00671C11" w:rsidP="00BB0B93">
            <w:pPr>
              <w:suppressAutoHyphens/>
              <w:jc w:val="center"/>
              <w:rPr>
                <w:rFonts w:ascii="Cambria" w:hAnsi="Cambria"/>
                <w:spacing w:val="-2"/>
                <w:sz w:val="20"/>
                <w:szCs w:val="20"/>
                <w:lang w:val="es-CL"/>
              </w:rPr>
            </w:pPr>
          </w:p>
          <w:p w:rsidR="00671C11" w:rsidRDefault="00671C11" w:rsidP="00BB0B93">
            <w:pPr>
              <w:suppressAutoHyphens/>
              <w:jc w:val="center"/>
              <w:rPr>
                <w:rFonts w:ascii="Cambria" w:hAnsi="Cambria"/>
                <w:spacing w:val="-2"/>
                <w:sz w:val="20"/>
                <w:szCs w:val="20"/>
                <w:lang w:val="es-CL"/>
              </w:rPr>
            </w:pPr>
          </w:p>
          <w:p w:rsidR="00671C11" w:rsidRDefault="00671C11" w:rsidP="00BB0B93">
            <w:pPr>
              <w:suppressAutoHyphens/>
              <w:jc w:val="center"/>
              <w:rPr>
                <w:rFonts w:ascii="Cambria" w:hAnsi="Cambria"/>
                <w:spacing w:val="-2"/>
                <w:sz w:val="20"/>
                <w:szCs w:val="20"/>
                <w:lang w:val="es-CL"/>
              </w:rPr>
            </w:pPr>
          </w:p>
          <w:p w:rsidR="00D50763" w:rsidRPr="003E0016" w:rsidRDefault="00D50763" w:rsidP="00BB0B93">
            <w:pPr>
              <w:suppressAutoHyphens/>
              <w:jc w:val="center"/>
              <w:rPr>
                <w:rFonts w:ascii="Cambria" w:hAnsi="Cambria"/>
                <w:spacing w:val="-2"/>
                <w:sz w:val="20"/>
                <w:szCs w:val="20"/>
                <w:lang w:val="es-ES_tradnl"/>
              </w:rPr>
            </w:pPr>
            <w:r w:rsidRPr="003E0016">
              <w:rPr>
                <w:rFonts w:ascii="Cambria" w:hAnsi="Cambria"/>
                <w:spacing w:val="-2"/>
                <w:sz w:val="20"/>
                <w:szCs w:val="20"/>
                <w:lang w:val="es-CL"/>
              </w:rPr>
              <w:t>Joel Hernández García</w:t>
            </w:r>
            <w:r w:rsidRPr="003E0016">
              <w:rPr>
                <w:rFonts w:ascii="Cambria" w:hAnsi="Cambria"/>
                <w:spacing w:val="-2"/>
                <w:sz w:val="20"/>
                <w:szCs w:val="20"/>
                <w:lang w:val="es-ES_tradnl"/>
              </w:rPr>
              <w:br/>
              <w:t>Comisionado</w:t>
            </w:r>
          </w:p>
        </w:tc>
        <w:tc>
          <w:tcPr>
            <w:tcW w:w="4788" w:type="dxa"/>
            <w:shd w:val="clear" w:color="auto" w:fill="auto"/>
          </w:tcPr>
          <w:p w:rsidR="00671C11" w:rsidRDefault="00671C11" w:rsidP="00BB0B93">
            <w:pPr>
              <w:suppressAutoHyphens/>
              <w:jc w:val="center"/>
              <w:rPr>
                <w:rFonts w:ascii="Cambria" w:hAnsi="Cambria"/>
                <w:spacing w:val="-2"/>
                <w:sz w:val="20"/>
                <w:szCs w:val="20"/>
                <w:lang w:val="es-CL"/>
              </w:rPr>
            </w:pPr>
          </w:p>
          <w:p w:rsidR="00671C11" w:rsidRDefault="00671C11" w:rsidP="00BB0B93">
            <w:pPr>
              <w:suppressAutoHyphens/>
              <w:jc w:val="center"/>
              <w:rPr>
                <w:rFonts w:ascii="Cambria" w:hAnsi="Cambria"/>
                <w:spacing w:val="-2"/>
                <w:sz w:val="20"/>
                <w:szCs w:val="20"/>
                <w:lang w:val="es-CL"/>
              </w:rPr>
            </w:pPr>
          </w:p>
          <w:p w:rsidR="00671C11" w:rsidRDefault="00671C11" w:rsidP="00BB0B93">
            <w:pPr>
              <w:suppressAutoHyphens/>
              <w:jc w:val="center"/>
              <w:rPr>
                <w:rFonts w:ascii="Cambria" w:hAnsi="Cambria"/>
                <w:spacing w:val="-2"/>
                <w:sz w:val="20"/>
                <w:szCs w:val="20"/>
                <w:lang w:val="es-CL"/>
              </w:rPr>
            </w:pPr>
          </w:p>
          <w:p w:rsidR="00671C11" w:rsidRDefault="00671C11" w:rsidP="00BB0B93">
            <w:pPr>
              <w:suppressAutoHyphens/>
              <w:jc w:val="center"/>
              <w:rPr>
                <w:rFonts w:ascii="Cambria" w:hAnsi="Cambria"/>
                <w:spacing w:val="-2"/>
                <w:sz w:val="20"/>
                <w:szCs w:val="20"/>
                <w:lang w:val="es-CL"/>
              </w:rPr>
            </w:pPr>
          </w:p>
          <w:p w:rsidR="00671C11" w:rsidRDefault="00671C11" w:rsidP="00BB0B93">
            <w:pPr>
              <w:suppressAutoHyphens/>
              <w:jc w:val="center"/>
              <w:rPr>
                <w:rFonts w:ascii="Cambria" w:hAnsi="Cambria"/>
                <w:spacing w:val="-2"/>
                <w:sz w:val="20"/>
                <w:szCs w:val="20"/>
                <w:lang w:val="es-CL"/>
              </w:rPr>
            </w:pPr>
          </w:p>
          <w:p w:rsidR="00D50763" w:rsidRPr="003E0016" w:rsidRDefault="00D50763" w:rsidP="00BB0B93">
            <w:pPr>
              <w:suppressAutoHyphens/>
              <w:jc w:val="center"/>
              <w:rPr>
                <w:rFonts w:ascii="Cambria" w:hAnsi="Cambria"/>
                <w:spacing w:val="-2"/>
                <w:sz w:val="20"/>
                <w:szCs w:val="20"/>
                <w:lang w:val="es-ES_tradnl"/>
              </w:rPr>
            </w:pPr>
            <w:r w:rsidRPr="003E0016">
              <w:rPr>
                <w:rFonts w:ascii="Cambria" w:hAnsi="Cambria"/>
                <w:spacing w:val="-2"/>
                <w:sz w:val="20"/>
                <w:szCs w:val="20"/>
                <w:lang w:val="es-CL"/>
              </w:rPr>
              <w:t xml:space="preserve">Antonia </w:t>
            </w:r>
            <w:proofErr w:type="spellStart"/>
            <w:r w:rsidRPr="003E0016">
              <w:rPr>
                <w:rFonts w:ascii="Cambria" w:hAnsi="Cambria"/>
                <w:spacing w:val="-2"/>
                <w:sz w:val="20"/>
                <w:szCs w:val="20"/>
                <w:lang w:val="es-CL"/>
              </w:rPr>
              <w:t>Urrejola</w:t>
            </w:r>
            <w:proofErr w:type="spellEnd"/>
            <w:r w:rsidRPr="003E0016">
              <w:rPr>
                <w:rFonts w:ascii="Cambria" w:hAnsi="Cambria"/>
                <w:spacing w:val="-2"/>
                <w:sz w:val="20"/>
                <w:szCs w:val="20"/>
                <w:lang w:val="es-ES"/>
              </w:rPr>
              <w:br/>
              <w:t>Comisionada</w:t>
            </w:r>
          </w:p>
        </w:tc>
      </w:tr>
    </w:tbl>
    <w:p w:rsidR="00671C11" w:rsidRDefault="00671C11" w:rsidP="00D50763">
      <w:pPr>
        <w:suppressAutoHyphens/>
        <w:jc w:val="center"/>
        <w:rPr>
          <w:rFonts w:ascii="Cambria" w:hAnsi="Cambria"/>
          <w:spacing w:val="-2"/>
          <w:sz w:val="20"/>
          <w:szCs w:val="20"/>
          <w:lang w:val="es-CL"/>
        </w:rPr>
      </w:pPr>
    </w:p>
    <w:p w:rsidR="00671C11" w:rsidRDefault="00671C11" w:rsidP="00D50763">
      <w:pPr>
        <w:suppressAutoHyphens/>
        <w:jc w:val="center"/>
        <w:rPr>
          <w:rFonts w:ascii="Cambria" w:hAnsi="Cambria"/>
          <w:spacing w:val="-2"/>
          <w:sz w:val="20"/>
          <w:szCs w:val="20"/>
          <w:lang w:val="es-CL"/>
        </w:rPr>
      </w:pPr>
    </w:p>
    <w:p w:rsidR="00671C11" w:rsidRDefault="00671C11" w:rsidP="00D50763">
      <w:pPr>
        <w:suppressAutoHyphens/>
        <w:jc w:val="center"/>
        <w:rPr>
          <w:rFonts w:ascii="Cambria" w:hAnsi="Cambria"/>
          <w:spacing w:val="-2"/>
          <w:sz w:val="20"/>
          <w:szCs w:val="20"/>
          <w:lang w:val="es-CL"/>
        </w:rPr>
      </w:pPr>
    </w:p>
    <w:p w:rsidR="00671C11" w:rsidRDefault="00671C11" w:rsidP="00D50763">
      <w:pPr>
        <w:suppressAutoHyphens/>
        <w:jc w:val="center"/>
        <w:rPr>
          <w:rFonts w:ascii="Cambria" w:hAnsi="Cambria"/>
          <w:spacing w:val="-2"/>
          <w:sz w:val="20"/>
          <w:szCs w:val="20"/>
          <w:lang w:val="es-CL"/>
        </w:rPr>
      </w:pPr>
    </w:p>
    <w:p w:rsidR="00671C11" w:rsidRDefault="00671C11" w:rsidP="00D50763">
      <w:pPr>
        <w:suppressAutoHyphens/>
        <w:jc w:val="center"/>
        <w:rPr>
          <w:rFonts w:ascii="Cambria" w:hAnsi="Cambria"/>
          <w:spacing w:val="-2"/>
          <w:sz w:val="20"/>
          <w:szCs w:val="20"/>
          <w:lang w:val="es-CL"/>
        </w:rPr>
      </w:pPr>
    </w:p>
    <w:p w:rsidR="00D50763" w:rsidRPr="003E0016" w:rsidRDefault="00D50763" w:rsidP="00D50763">
      <w:pPr>
        <w:suppressAutoHyphens/>
        <w:jc w:val="center"/>
        <w:rPr>
          <w:rFonts w:ascii="Cambria" w:hAnsi="Cambria"/>
          <w:spacing w:val="-2"/>
          <w:sz w:val="20"/>
          <w:szCs w:val="20"/>
          <w:lang w:val="es-ES"/>
        </w:rPr>
      </w:pPr>
      <w:proofErr w:type="spellStart"/>
      <w:r w:rsidRPr="003E0016">
        <w:rPr>
          <w:rFonts w:ascii="Cambria" w:hAnsi="Cambria"/>
          <w:spacing w:val="-2"/>
          <w:sz w:val="20"/>
          <w:szCs w:val="20"/>
          <w:lang w:val="es-CL"/>
        </w:rPr>
        <w:t>Flávia</w:t>
      </w:r>
      <w:proofErr w:type="spellEnd"/>
      <w:r w:rsidRPr="003E0016">
        <w:rPr>
          <w:rFonts w:ascii="Cambria" w:hAnsi="Cambria"/>
          <w:spacing w:val="-2"/>
          <w:sz w:val="20"/>
          <w:szCs w:val="20"/>
          <w:lang w:val="es-CL"/>
        </w:rPr>
        <w:t xml:space="preserve"> </w:t>
      </w:r>
      <w:proofErr w:type="spellStart"/>
      <w:r w:rsidRPr="003E0016">
        <w:rPr>
          <w:rFonts w:ascii="Cambria" w:hAnsi="Cambria"/>
          <w:spacing w:val="-2"/>
          <w:sz w:val="20"/>
          <w:szCs w:val="20"/>
          <w:lang w:val="es-CL"/>
        </w:rPr>
        <w:t>Piovesan</w:t>
      </w:r>
      <w:proofErr w:type="spellEnd"/>
      <w:r w:rsidRPr="003E0016">
        <w:rPr>
          <w:rFonts w:ascii="Cambria" w:hAnsi="Cambria"/>
          <w:spacing w:val="-2"/>
          <w:sz w:val="20"/>
          <w:szCs w:val="20"/>
          <w:lang w:val="es-ES"/>
        </w:rPr>
        <w:br/>
        <w:t>Comisionada</w:t>
      </w:r>
    </w:p>
    <w:p w:rsidR="00D50763" w:rsidRPr="003E0016" w:rsidRDefault="00D50763" w:rsidP="00D50763">
      <w:pPr>
        <w:suppressAutoHyphens/>
        <w:jc w:val="both"/>
        <w:rPr>
          <w:rFonts w:ascii="Cambria" w:hAnsi="Cambria"/>
          <w:spacing w:val="-2"/>
          <w:sz w:val="20"/>
          <w:szCs w:val="20"/>
          <w:lang w:val="es-ES"/>
        </w:rPr>
      </w:pPr>
    </w:p>
    <w:p w:rsidR="00D50763" w:rsidRPr="003E0016" w:rsidRDefault="00D50763" w:rsidP="00D50763">
      <w:pPr>
        <w:suppressAutoHyphens/>
        <w:jc w:val="both"/>
        <w:rPr>
          <w:rFonts w:ascii="Cambria" w:hAnsi="Cambria"/>
          <w:spacing w:val="-2"/>
          <w:sz w:val="20"/>
          <w:szCs w:val="20"/>
          <w:lang w:val="es-SV"/>
        </w:rPr>
      </w:pPr>
      <w:r w:rsidRPr="003E0016">
        <w:rPr>
          <w:rFonts w:ascii="Cambria" w:hAnsi="Cambria"/>
          <w:spacing w:val="-2"/>
          <w:sz w:val="20"/>
          <w:szCs w:val="20"/>
          <w:lang w:val="es-ES"/>
        </w:rPr>
        <w:tab/>
      </w:r>
      <w:r w:rsidRPr="003E0016">
        <w:rPr>
          <w:rFonts w:ascii="Cambria" w:hAnsi="Cambria"/>
          <w:spacing w:val="-2"/>
          <w:sz w:val="20"/>
          <w:szCs w:val="20"/>
          <w:lang w:val="es-SV"/>
        </w:rPr>
        <w:t>Regístrese y notifíquese conforme a lo acordado.</w:t>
      </w:r>
    </w:p>
    <w:p w:rsidR="00D50763" w:rsidRPr="003E0016" w:rsidRDefault="00D50763" w:rsidP="00D50763">
      <w:pPr>
        <w:suppressAutoHyphens/>
        <w:jc w:val="both"/>
        <w:rPr>
          <w:rFonts w:ascii="Cambria" w:hAnsi="Cambria"/>
          <w:spacing w:val="-2"/>
          <w:sz w:val="20"/>
          <w:szCs w:val="20"/>
          <w:lang w:val="es-SV"/>
        </w:rPr>
      </w:pPr>
    </w:p>
    <w:p w:rsidR="00D50763" w:rsidRPr="003E0016" w:rsidRDefault="00D50763" w:rsidP="00D50763">
      <w:pPr>
        <w:suppressAutoHyphens/>
        <w:jc w:val="both"/>
        <w:rPr>
          <w:rFonts w:ascii="Cambria" w:hAnsi="Cambria"/>
          <w:spacing w:val="-2"/>
          <w:sz w:val="20"/>
          <w:szCs w:val="20"/>
          <w:lang w:val="es-SV"/>
        </w:rPr>
      </w:pPr>
    </w:p>
    <w:p w:rsidR="00D50763" w:rsidRPr="003E0016" w:rsidRDefault="00D50763" w:rsidP="00D50763">
      <w:pPr>
        <w:suppressAutoHyphens/>
        <w:jc w:val="both"/>
        <w:rPr>
          <w:rFonts w:ascii="Cambria" w:hAnsi="Cambria"/>
          <w:spacing w:val="-2"/>
          <w:sz w:val="20"/>
          <w:szCs w:val="20"/>
          <w:lang w:val="es-SV"/>
        </w:rPr>
      </w:pPr>
    </w:p>
    <w:p w:rsidR="00D50763" w:rsidRDefault="00D50763" w:rsidP="00D50763">
      <w:pPr>
        <w:suppressAutoHyphens/>
        <w:jc w:val="both"/>
        <w:rPr>
          <w:rFonts w:ascii="Cambria" w:hAnsi="Cambria"/>
          <w:spacing w:val="-2"/>
          <w:sz w:val="20"/>
          <w:szCs w:val="20"/>
          <w:lang w:val="es-SV"/>
        </w:rPr>
      </w:pPr>
    </w:p>
    <w:p w:rsidR="00671C11" w:rsidRPr="003E0016" w:rsidRDefault="00671C11" w:rsidP="00D50763">
      <w:pPr>
        <w:suppressAutoHyphens/>
        <w:jc w:val="both"/>
        <w:rPr>
          <w:rFonts w:ascii="Cambria" w:hAnsi="Cambria"/>
          <w:spacing w:val="-2"/>
          <w:sz w:val="20"/>
          <w:szCs w:val="20"/>
          <w:lang w:val="es-SV"/>
        </w:rPr>
      </w:pPr>
    </w:p>
    <w:p w:rsidR="00D50763" w:rsidRPr="003E0016" w:rsidRDefault="00D50763" w:rsidP="00D50763">
      <w:pPr>
        <w:suppressAutoHyphens/>
        <w:jc w:val="both"/>
        <w:rPr>
          <w:rFonts w:ascii="Cambria" w:hAnsi="Cambria"/>
          <w:spacing w:val="-2"/>
          <w:sz w:val="20"/>
          <w:szCs w:val="20"/>
          <w:lang w:val="es-SV"/>
        </w:rPr>
      </w:pPr>
    </w:p>
    <w:p w:rsidR="00D50763" w:rsidRPr="003E0016" w:rsidRDefault="00D50763" w:rsidP="00D50763">
      <w:pPr>
        <w:suppressAutoHyphens/>
        <w:jc w:val="center"/>
        <w:rPr>
          <w:rFonts w:ascii="Cambria" w:hAnsi="Cambria"/>
          <w:spacing w:val="-2"/>
          <w:sz w:val="20"/>
          <w:szCs w:val="20"/>
          <w:lang w:val="es-SV"/>
        </w:rPr>
      </w:pPr>
      <w:r w:rsidRPr="003E0016">
        <w:rPr>
          <w:rFonts w:ascii="Cambria" w:hAnsi="Cambria"/>
          <w:spacing w:val="-2"/>
          <w:sz w:val="20"/>
          <w:szCs w:val="20"/>
          <w:lang w:val="es-SV"/>
        </w:rPr>
        <w:t xml:space="preserve">Paulo </w:t>
      </w:r>
      <w:proofErr w:type="spellStart"/>
      <w:r w:rsidRPr="003E0016">
        <w:rPr>
          <w:rFonts w:ascii="Cambria" w:hAnsi="Cambria"/>
          <w:spacing w:val="-2"/>
          <w:sz w:val="20"/>
          <w:szCs w:val="20"/>
          <w:lang w:val="es-SV"/>
        </w:rPr>
        <w:t>Abr</w:t>
      </w:r>
      <w:r w:rsidRPr="003E0016">
        <w:rPr>
          <w:rFonts w:ascii="Cambria" w:hAnsi="Cambria" w:cs="Arial"/>
          <w:spacing w:val="-2"/>
          <w:sz w:val="20"/>
          <w:szCs w:val="20"/>
          <w:lang w:val="es-SV"/>
        </w:rPr>
        <w:t>ã</w:t>
      </w:r>
      <w:r w:rsidRPr="003E0016">
        <w:rPr>
          <w:rFonts w:ascii="Cambria" w:hAnsi="Cambria"/>
          <w:spacing w:val="-2"/>
          <w:sz w:val="20"/>
          <w:szCs w:val="20"/>
          <w:lang w:val="es-SV"/>
        </w:rPr>
        <w:t>o</w:t>
      </w:r>
      <w:proofErr w:type="spellEnd"/>
    </w:p>
    <w:p w:rsidR="00D50763" w:rsidRPr="003E0016" w:rsidRDefault="00D50763" w:rsidP="00D50763">
      <w:pPr>
        <w:suppressAutoHyphens/>
        <w:jc w:val="center"/>
        <w:rPr>
          <w:rFonts w:ascii="Cambria" w:hAnsi="Cambria"/>
          <w:spacing w:val="-2"/>
          <w:sz w:val="20"/>
          <w:szCs w:val="20"/>
          <w:lang w:val="es-SV"/>
        </w:rPr>
      </w:pPr>
      <w:r w:rsidRPr="003E0016">
        <w:rPr>
          <w:rFonts w:ascii="Cambria" w:hAnsi="Cambria"/>
          <w:spacing w:val="-2"/>
          <w:sz w:val="20"/>
          <w:szCs w:val="20"/>
          <w:lang w:val="es-SV"/>
        </w:rPr>
        <w:t>Secretario Ejecutivo</w:t>
      </w:r>
    </w:p>
    <w:p w:rsidR="00D50763" w:rsidRPr="003E0016" w:rsidRDefault="00D50763" w:rsidP="00D50763">
      <w:pPr>
        <w:suppressAutoHyphens/>
        <w:ind w:firstLine="720"/>
        <w:jc w:val="both"/>
        <w:rPr>
          <w:rFonts w:ascii="Cambria" w:hAnsi="Cambria" w:cs="Arial"/>
          <w:noProof/>
          <w:spacing w:val="-2"/>
          <w:sz w:val="20"/>
          <w:szCs w:val="20"/>
          <w:lang w:val="es-CL"/>
        </w:rPr>
      </w:pPr>
    </w:p>
    <w:p w:rsidR="00A32788" w:rsidRPr="008A084A" w:rsidRDefault="00A32788" w:rsidP="00C417B6">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s-ES"/>
        </w:rPr>
      </w:pPr>
    </w:p>
    <w:sectPr w:rsidR="00A32788" w:rsidRPr="008A084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B93" w:rsidRDefault="00BB0B93">
      <w:r>
        <w:separator/>
      </w:r>
    </w:p>
  </w:endnote>
  <w:endnote w:type="continuationSeparator" w:id="0">
    <w:p w:rsidR="00BB0B93" w:rsidRDefault="00BB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4D"/>
    <w:family w:val="roman"/>
    <w:notTrueType/>
    <w:pitch w:val="default"/>
    <w:sig w:usb0="03000000" w:usb1="00000000" w:usb2="00000000" w:usb3="00000000" w:csb0="00000001" w:csb1="00000000"/>
  </w:font>
  <w:font w:name="ACaslonPro-Regular">
    <w:panose1 w:val="00000000000000000000"/>
    <w:charset w:val="00"/>
    <w:family w:val="roman"/>
    <w:notTrueType/>
    <w:pitch w:val="default"/>
    <w:sig w:usb0="00000003" w:usb1="00000000" w:usb2="00000000" w:usb3="00000000" w:csb0="00000001" w:csb1="00000000"/>
  </w:font>
  <w:font w:name="ACaslonPro-Italic">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B93" w:rsidRPr="00934A2C" w:rsidRDefault="00BB0B9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86757">
      <w:rPr>
        <w:noProof/>
        <w:sz w:val="16"/>
        <w:szCs w:val="22"/>
      </w:rPr>
      <w:t>44</w:t>
    </w:r>
    <w:r w:rsidRPr="00934A2C">
      <w:rPr>
        <w:noProof/>
        <w:sz w:val="16"/>
        <w:szCs w:val="22"/>
      </w:rPr>
      <w:fldChar w:fldCharType="end"/>
    </w:r>
  </w:p>
  <w:p w:rsidR="00BB0B93" w:rsidRDefault="00BB0B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B93" w:rsidRPr="00934A2C" w:rsidRDefault="00BB0B93">
    <w:pPr>
      <w:pStyle w:val="Footer"/>
      <w:jc w:val="center"/>
      <w:rPr>
        <w:sz w:val="16"/>
        <w:szCs w:val="22"/>
      </w:rPr>
    </w:pPr>
  </w:p>
  <w:p w:rsidR="00BB0B93" w:rsidRDefault="00BB0B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B93" w:rsidRPr="007372D2" w:rsidRDefault="00BB0B93">
      <w:pPr>
        <w:rPr>
          <w:rFonts w:ascii="Cambria" w:hAnsi="Cambria"/>
          <w:sz w:val="16"/>
          <w:szCs w:val="16"/>
        </w:rPr>
      </w:pPr>
      <w:r w:rsidRPr="007372D2">
        <w:rPr>
          <w:rFonts w:ascii="Cambria" w:hAnsi="Cambria"/>
          <w:sz w:val="16"/>
          <w:szCs w:val="16"/>
        </w:rPr>
        <w:separator/>
      </w:r>
    </w:p>
  </w:footnote>
  <w:footnote w:type="continuationSeparator" w:id="0">
    <w:p w:rsidR="00BB0B93" w:rsidRPr="007372D2" w:rsidRDefault="00BB0B93" w:rsidP="000F35ED">
      <w:pPr>
        <w:rPr>
          <w:rFonts w:ascii="Cambria" w:hAnsi="Cambria"/>
          <w:sz w:val="16"/>
          <w:szCs w:val="16"/>
        </w:rPr>
      </w:pPr>
      <w:r w:rsidRPr="007372D2">
        <w:rPr>
          <w:rFonts w:ascii="Cambria" w:hAnsi="Cambria"/>
          <w:sz w:val="16"/>
          <w:szCs w:val="16"/>
        </w:rPr>
        <w:separator/>
      </w:r>
    </w:p>
    <w:p w:rsidR="00BB0B93" w:rsidRPr="007372D2" w:rsidRDefault="00BB0B93" w:rsidP="000F35ED">
      <w:pPr>
        <w:pStyle w:val="Footer"/>
        <w:rPr>
          <w:sz w:val="16"/>
          <w:szCs w:val="16"/>
        </w:rPr>
      </w:pPr>
      <w:r w:rsidRPr="007372D2">
        <w:rPr>
          <w:sz w:val="16"/>
          <w:szCs w:val="16"/>
        </w:rPr>
        <w:t xml:space="preserve">[… </w:t>
      </w:r>
      <w:proofErr w:type="spellStart"/>
      <w:proofErr w:type="gramStart"/>
      <w:r w:rsidRPr="007372D2">
        <w:rPr>
          <w:sz w:val="16"/>
          <w:szCs w:val="16"/>
        </w:rPr>
        <w:t>continuación</w:t>
      </w:r>
      <w:proofErr w:type="spellEnd"/>
      <w:proofErr w:type="gramEnd"/>
      <w:r w:rsidRPr="007372D2">
        <w:rPr>
          <w:sz w:val="16"/>
          <w:szCs w:val="16"/>
        </w:rPr>
        <w:t>]</w:t>
      </w:r>
    </w:p>
  </w:footnote>
  <w:footnote w:type="continuationNotice" w:id="1">
    <w:p w:rsidR="00BB0B93" w:rsidRPr="007372D2" w:rsidRDefault="00BB0B93" w:rsidP="000F35ED">
      <w:pPr>
        <w:jc w:val="right"/>
        <w:rPr>
          <w:rFonts w:ascii="Cambria" w:hAnsi="Cambria"/>
          <w:sz w:val="16"/>
          <w:szCs w:val="16"/>
          <w:lang w:val="es-ES"/>
        </w:rPr>
      </w:pPr>
      <w:r w:rsidRPr="007372D2">
        <w:rPr>
          <w:rFonts w:ascii="Cambria" w:hAnsi="Cambria"/>
          <w:sz w:val="16"/>
          <w:szCs w:val="16"/>
          <w:lang w:val="es-ES"/>
        </w:rPr>
        <w:t>[</w:t>
      </w:r>
      <w:proofErr w:type="gramStart"/>
      <w:r w:rsidRPr="007372D2">
        <w:rPr>
          <w:rFonts w:ascii="Cambria" w:hAnsi="Cambria"/>
          <w:sz w:val="16"/>
          <w:szCs w:val="16"/>
          <w:lang w:val="es-ES"/>
        </w:rPr>
        <w:t>continúa</w:t>
      </w:r>
      <w:proofErr w:type="gramEnd"/>
      <w:r w:rsidRPr="007372D2">
        <w:rPr>
          <w:rFonts w:ascii="Cambria" w:hAnsi="Cambria"/>
          <w:sz w:val="16"/>
          <w:szCs w:val="16"/>
          <w:lang w:val="es-ES"/>
        </w:rPr>
        <w:t>…]</w:t>
      </w:r>
    </w:p>
  </w:footnote>
  <w:footnote w:id="2">
    <w:p w:rsidR="00BB0B93" w:rsidRPr="00CE4228" w:rsidRDefault="00BB0B93" w:rsidP="00CE4228">
      <w:pPr>
        <w:pStyle w:val="FootnoteText"/>
        <w:tabs>
          <w:tab w:val="left" w:pos="90"/>
        </w:tabs>
        <w:jc w:val="both"/>
        <w:rPr>
          <w:rFonts w:ascii="Cambria" w:hAnsi="Cambria"/>
          <w:color w:val="auto"/>
          <w:sz w:val="16"/>
          <w:szCs w:val="16"/>
          <w:lang w:val="es-ES"/>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CIDH, </w:t>
      </w:r>
      <w:r>
        <w:fldChar w:fldCharType="begin"/>
      </w:r>
      <w:r w:rsidRPr="00BB0B93">
        <w:rPr>
          <w:lang w:val="es-ES"/>
        </w:rPr>
        <w:instrText xml:space="preserve"> HYPERLINK "http://www.cidh.oas.org/annualrep/2010sp/34.ECAD247-07ES.doc" </w:instrText>
      </w:r>
      <w:r>
        <w:fldChar w:fldCharType="separate"/>
      </w:r>
      <w:r w:rsidRPr="00CE4228">
        <w:rPr>
          <w:rStyle w:val="Hyperlink"/>
          <w:rFonts w:ascii="Cambria" w:hAnsi="Cambria"/>
          <w:sz w:val="16"/>
          <w:szCs w:val="16"/>
          <w:u w:val="none"/>
          <w:lang w:val="es-ES"/>
        </w:rPr>
        <w:t>Informe No. 141/10</w:t>
      </w:r>
      <w:r>
        <w:rPr>
          <w:rStyle w:val="Hyperlink"/>
          <w:rFonts w:ascii="Cambria" w:hAnsi="Cambria"/>
          <w:sz w:val="16"/>
          <w:szCs w:val="16"/>
          <w:u w:val="none"/>
          <w:lang w:val="es-ES"/>
        </w:rPr>
        <w:fldChar w:fldCharType="end"/>
      </w:r>
      <w:r w:rsidRPr="00CE4228">
        <w:rPr>
          <w:rFonts w:ascii="Cambria" w:hAnsi="Cambria"/>
          <w:color w:val="auto"/>
          <w:sz w:val="16"/>
          <w:szCs w:val="16"/>
          <w:lang w:val="es-ES"/>
        </w:rPr>
        <w:t xml:space="preserve">, Petición 247-07, Admisibilidad, Luis Eduardo Guachalá Chimbó, Ecuador, 1 de noviembre de 2010. Disponible en:  </w:t>
      </w:r>
    </w:p>
  </w:footnote>
  <w:footnote w:id="3">
    <w:p w:rsidR="00BB0B93" w:rsidRPr="00CE4228" w:rsidRDefault="00BB0B93" w:rsidP="00CE4228">
      <w:pPr>
        <w:pStyle w:val="FootnoteText"/>
        <w:tabs>
          <w:tab w:val="left" w:pos="90"/>
        </w:tabs>
        <w:jc w:val="both"/>
        <w:rPr>
          <w:rFonts w:ascii="Cambria" w:hAnsi="Cambria"/>
          <w:color w:val="auto"/>
          <w:sz w:val="16"/>
          <w:szCs w:val="16"/>
          <w:lang w:val="es-ES"/>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CIDH, </w:t>
      </w:r>
      <w:hyperlink r:id="rId1" w:history="1">
        <w:r w:rsidRPr="00CE4228">
          <w:rPr>
            <w:rStyle w:val="Hyperlink"/>
            <w:rFonts w:ascii="Cambria" w:hAnsi="Cambria"/>
            <w:sz w:val="16"/>
            <w:szCs w:val="16"/>
            <w:u w:val="none"/>
            <w:lang w:val="es-ES"/>
          </w:rPr>
          <w:t>Audiencia pública</w:t>
        </w:r>
      </w:hyperlink>
      <w:r w:rsidRPr="00CE4228">
        <w:rPr>
          <w:rFonts w:ascii="Cambria" w:hAnsi="Cambria"/>
          <w:color w:val="auto"/>
          <w:sz w:val="16"/>
          <w:szCs w:val="16"/>
          <w:lang w:val="es-ES"/>
        </w:rPr>
        <w:t xml:space="preserve">, 4 de abril de 2016. </w:t>
      </w:r>
    </w:p>
  </w:footnote>
  <w:footnote w:id="4">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Anexo 15. Oficio de la Fiscalía General del Estado, 21 de marzo de 2016. Anexo 9 a la comunicación del Estado de 20 de mayo de 2016, p. 15.</w:t>
      </w:r>
    </w:p>
  </w:footnote>
  <w:footnote w:id="5">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 Asimismo, véase: Comunicación del Estado de 20 de mayo de 2016.</w:t>
      </w:r>
    </w:p>
  </w:footnote>
  <w:footnote w:id="6">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pt-BR"/>
        </w:rPr>
        <w:t xml:space="preserve"> Anexo 1. Informe médico del Hospital Psiquiátrico Julio Endara. </w:t>
      </w:r>
      <w:r w:rsidRPr="00CE4228">
        <w:rPr>
          <w:rFonts w:ascii="Cambria" w:hAnsi="Cambria"/>
          <w:color w:val="auto"/>
          <w:sz w:val="16"/>
          <w:szCs w:val="16"/>
          <w:lang w:val="es-ES_tradnl"/>
        </w:rPr>
        <w:t>Anexo a la petición inicial.</w:t>
      </w:r>
    </w:p>
  </w:footnote>
  <w:footnote w:id="7">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Anexo 15. Oficio del Ministerio de Salud Pública, 6 de mayo de 2016. Anexo 10 a la comunicación del Estado de 20 de mayo de 2016.</w:t>
      </w:r>
    </w:p>
  </w:footnote>
  <w:footnote w:id="8">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9">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10">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11">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12">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13">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14">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15">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16">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17">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18">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19">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20">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21">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22">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23">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24">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13. Resolución del Tribunal Constitucional, 6 de julio de 2006. Anexo 10 a la petición inicial.</w:t>
      </w:r>
    </w:p>
  </w:footnote>
  <w:footnote w:id="25">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sz w:val="16"/>
          <w:szCs w:val="16"/>
          <w:lang w:val="es-ES"/>
        </w:rPr>
        <w:t>Comunicación del Estado de 20 de mayo de 2016.</w:t>
      </w:r>
    </w:p>
  </w:footnote>
  <w:footnote w:id="26">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Oficio No. 202-G-HJE-2016, 21 de marzo de 2016. Anexo 11 a la comunicación del Estado de 20 de mayo de 2016.</w:t>
      </w:r>
    </w:p>
  </w:footnote>
  <w:footnote w:id="27">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Oficio No. 202-G-HJE-2016, 21 de marzo de 2016. Anexo 10 a la comunicación del Estado de 20 de mayo de 2016.</w:t>
      </w:r>
    </w:p>
  </w:footnote>
  <w:footnote w:id="28">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29">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30">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1. Informe médico del Hospital Psiquiátrico Julio Endara. Anexo a la petición inicial.</w:t>
      </w:r>
    </w:p>
  </w:footnote>
  <w:footnote w:id="31">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1. Informe médico del Hospital Psiquiátrico Julio Endara. Anexo a la petición inicial.</w:t>
      </w:r>
    </w:p>
  </w:footnote>
  <w:footnote w:id="32">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5. Hoja de ingreso de Luis Guachalá, Hospital Psiquiátrico Julio Endara, 10 de enero de 2004. Anexo 2 a la petición inicial.</w:t>
      </w:r>
    </w:p>
  </w:footnote>
  <w:footnote w:id="33">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34">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Anexo 7. </w:t>
      </w:r>
      <w:r w:rsidRPr="00CE4228">
        <w:rPr>
          <w:rFonts w:ascii="Cambria" w:hAnsi="Cambria"/>
          <w:color w:val="auto"/>
          <w:sz w:val="16"/>
          <w:szCs w:val="16"/>
          <w:lang w:val="es-ES_tradnl"/>
        </w:rPr>
        <w:t>Declaración de Zoila Chimbó ante la Policía Judicial de Pichincha, 3 de febrero de 2004. Anexo 4 a la petición inicial.</w:t>
      </w:r>
    </w:p>
  </w:footnote>
  <w:footnote w:id="35">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Autorización </w:t>
      </w:r>
      <w:r w:rsidRPr="00CE4228">
        <w:rPr>
          <w:rFonts w:ascii="Cambria" w:hAnsi="Cambria"/>
          <w:color w:val="auto"/>
          <w:sz w:val="16"/>
          <w:szCs w:val="16"/>
          <w:lang w:val="es-ES_tradnl"/>
        </w:rPr>
        <w:t xml:space="preserve">del Hospital Psiquiátrico Julio Endara, 10 de enero de 2004. Anexo a la comunicación del Estado de </w:t>
      </w:r>
      <w:r w:rsidRPr="00CE4228">
        <w:rPr>
          <w:rFonts w:ascii="Cambria" w:hAnsi="Cambria"/>
          <w:sz w:val="16"/>
          <w:szCs w:val="16"/>
          <w:lang w:val="es-ES"/>
        </w:rPr>
        <w:t>7 de enero de 2015.</w:t>
      </w:r>
    </w:p>
  </w:footnote>
  <w:footnote w:id="36">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37">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38">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39">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40">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41">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42">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43">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44">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45">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46">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47">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1. Informe médico del Hospital Psiquiátrico Julio Endara. Anexo a la petición inicial.</w:t>
      </w:r>
    </w:p>
  </w:footnote>
  <w:footnote w:id="48">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1. Informe médico del Hospital Psiquiátrico Julio Endara. Anexo a la petición inicial.</w:t>
      </w:r>
    </w:p>
  </w:footnote>
  <w:footnote w:id="49">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1. Informe médico del Hospital Psiquiátrico Julio Endara. Anexo a la petición inicial.</w:t>
      </w:r>
    </w:p>
  </w:footnote>
  <w:footnote w:id="50">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1. Informe médico del Hospital Psiquiátrico Julio Endara. Anexo a la petición inicial.</w:t>
      </w:r>
    </w:p>
  </w:footnote>
  <w:footnote w:id="51">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1. Informe médico del Hospital Psiquiátrico Julio Endara. Anexo a la petición inicial.</w:t>
      </w:r>
    </w:p>
  </w:footnote>
  <w:footnote w:id="52">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1. Informe médico del Hospital Psiquiátrico Julio Endara. Anexo a la petición inicial.</w:t>
      </w:r>
    </w:p>
  </w:footnote>
  <w:footnote w:id="53">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54">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55">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1. Informe médico del Hospital Psiquiátrico Julio Endara. Anexo a la petición inicial.</w:t>
      </w:r>
    </w:p>
  </w:footnote>
  <w:footnote w:id="56">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1. Informe médico del Hospital Psiquiátrico Julio Endara. Anexo a la petición inicial.</w:t>
      </w:r>
    </w:p>
  </w:footnote>
  <w:footnote w:id="57">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1. Informe médico del Hospital Psiquiátrico Julio Endara. Anexo a la petición inicial.</w:t>
      </w:r>
    </w:p>
  </w:footnote>
  <w:footnote w:id="58">
    <w:p w:rsidR="00BB0B93" w:rsidRPr="008A084A"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8A084A">
        <w:rPr>
          <w:rFonts w:ascii="Cambria" w:hAnsi="Cambria"/>
          <w:color w:val="auto"/>
          <w:sz w:val="16"/>
          <w:szCs w:val="16"/>
          <w:lang w:val="es-ES_tradnl"/>
        </w:rPr>
        <w:t xml:space="preserve"> Anexo 1. Informe médico del Hospital Psiquiátrico Julio Endara. Anexo a la petición inicial.</w:t>
      </w:r>
    </w:p>
  </w:footnote>
  <w:footnote w:id="59">
    <w:p w:rsidR="00BB0B93" w:rsidRPr="008A084A"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8A084A">
        <w:rPr>
          <w:rFonts w:ascii="Cambria" w:hAnsi="Cambria"/>
          <w:color w:val="auto"/>
          <w:sz w:val="16"/>
          <w:szCs w:val="16"/>
          <w:lang w:val="es-ES_tradnl"/>
        </w:rPr>
        <w:t xml:space="preserve"> Anexo 1. Informe médico del Hospital Psiquiátrico Julio Endara. Anexo a la petición inicial.</w:t>
      </w:r>
    </w:p>
  </w:footnote>
  <w:footnote w:id="60">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8A084A">
        <w:rPr>
          <w:rFonts w:ascii="Cambria" w:hAnsi="Cambria"/>
          <w:color w:val="auto"/>
          <w:sz w:val="16"/>
          <w:szCs w:val="16"/>
          <w:lang w:val="es-ES_tradnl"/>
        </w:rPr>
        <w:t xml:space="preserve"> Anexo  6. Declaración jurada de Zoila Chimbó, 27 de septiembre de 2005. </w:t>
      </w:r>
      <w:r w:rsidRPr="00CE4228">
        <w:rPr>
          <w:rFonts w:ascii="Cambria" w:hAnsi="Cambria"/>
          <w:color w:val="auto"/>
          <w:sz w:val="16"/>
          <w:szCs w:val="16"/>
          <w:lang w:val="es-ES_tradnl"/>
        </w:rPr>
        <w:t>Anexo 3 a la petición inicial.</w:t>
      </w:r>
    </w:p>
  </w:footnote>
  <w:footnote w:id="61">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62">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63">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64">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65">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66">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67">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1. Informe médico del Hospital Psiquiátrico Julio Endara. Anexo a la petición inicial.</w:t>
      </w:r>
    </w:p>
  </w:footnote>
  <w:footnote w:id="68">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1. Informe médico del Hospital Psiquiátrico Julio Endara. Anexo a la petición inicial.</w:t>
      </w:r>
    </w:p>
  </w:footnote>
  <w:footnote w:id="69">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1. Informe médico del Hospital Psiquiátrico Julio Endara. Anexo a la petición inicial.</w:t>
      </w:r>
    </w:p>
  </w:footnote>
  <w:footnote w:id="70">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1. Informe médico del Hospital Psiquiátrico Julio Endara. Anexo a la petición inicial.</w:t>
      </w:r>
    </w:p>
  </w:footnote>
  <w:footnote w:id="71">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1. Informe médico del Hospital Psiquiátrico Julio Endara. Anexo a la petición inicial.</w:t>
      </w:r>
    </w:p>
  </w:footnote>
  <w:footnote w:id="72">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1. Informe médico del Hospital Psiquiátrico Julio Endara. Anexo a la petición inicial.</w:t>
      </w:r>
    </w:p>
  </w:footnote>
  <w:footnote w:id="73">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1. Informe médico del Hospital Psiquiátrico Julio Endara. Anexo a la petición inicial.</w:t>
      </w:r>
    </w:p>
  </w:footnote>
  <w:footnote w:id="74">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6. Declaración jurada de Zoila Chimbó, 27 de septiembre de 2005. Anexo 3 a la petición inicial.</w:t>
      </w:r>
    </w:p>
  </w:footnote>
  <w:footnote w:id="75">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1. Informe médico del Hospital Psiquiátrico Julio Endara. Anexo a la petición inicial.</w:t>
      </w:r>
    </w:p>
  </w:footnote>
  <w:footnote w:id="76">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1. Informe médico del Hospital Psiquiátrico Julio Endara. Anexo a la petición inicial.</w:t>
      </w:r>
    </w:p>
  </w:footnote>
  <w:footnote w:id="77">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1. Informe médico del Hospital Psiquiátrico Julio Endara. Anexo a la petición inicial.</w:t>
      </w:r>
    </w:p>
  </w:footnote>
  <w:footnote w:id="78">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1. Informe médico del Hospital Psiquiátrico Julio Endara. Anexo a la petición inicial.</w:t>
      </w:r>
    </w:p>
  </w:footnote>
  <w:footnote w:id="79">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1. Informe médico del Hospital Psiquiátrico Julio Endara. Anexo a la petición inicial.</w:t>
      </w:r>
    </w:p>
  </w:footnote>
  <w:footnote w:id="80">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1. Informe médico del Hospital Psiquiátrico Julio Endara. Anexo a la petición inicial.</w:t>
      </w:r>
    </w:p>
  </w:footnote>
  <w:footnote w:id="81">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82">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1. Informe médico del Hospital Psiquiátrico Julio Endara. Anexo a la petición inicial.</w:t>
      </w:r>
    </w:p>
  </w:footnote>
  <w:footnote w:id="83">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4. Ficha médica de Luis Guachalá, Hospital Psiquiátrico Julio Endara. Anexo a la petición inicial.</w:t>
      </w:r>
    </w:p>
  </w:footnote>
  <w:footnote w:id="84">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4. Ficha médica de Luis Guachalá, Hospital Psiquiátrico Julio Endara. Anexo a la petición inicial.</w:t>
      </w:r>
    </w:p>
  </w:footnote>
  <w:footnote w:id="85">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8. Informe de cambio de turno del Hospital Psiquiátrico Julio Endara, 17 de enero de 2000. Anexo 5 a la petición inicial.</w:t>
      </w:r>
    </w:p>
  </w:footnote>
  <w:footnote w:id="86">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8. Informe de cambio de turno del Hospital Psiquiátrico Julio Endara, 17 de enero de 2000. Anexo 5 a la petición inicial.</w:t>
      </w:r>
    </w:p>
  </w:footnote>
  <w:footnote w:id="87">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10. Comunicación de Luis Borja, 27 de septiembre de 2004. Anexo 7 a la petición inicial.</w:t>
      </w:r>
    </w:p>
  </w:footnote>
  <w:footnote w:id="88">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89">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90">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Comunicación del Estado de 20 de mayo de 2016.</w:t>
      </w:r>
    </w:p>
  </w:footnote>
  <w:footnote w:id="91">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92">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93">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94">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95">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96">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97">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98">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99">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1. Informe médico del Hospital Psiquiátrico Julio Endara. Anexo a la petición inicial.</w:t>
      </w:r>
    </w:p>
  </w:footnote>
  <w:footnote w:id="100">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1. Informe médico del Hospital Psiquiátrico Julio Endara. Anexo a la petición inicial.</w:t>
      </w:r>
    </w:p>
  </w:footnote>
  <w:footnote w:id="101">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3. Informe del Hospital Psiquiátrico Julio Endara, Trabajo Social. Anexo a la petición inicial.</w:t>
      </w:r>
    </w:p>
  </w:footnote>
  <w:footnote w:id="102">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3. Informe del Hospital Psiquiátrico Julio Endara, Trabajo Social. Anexo a la petición inicial.</w:t>
      </w:r>
    </w:p>
  </w:footnote>
  <w:footnote w:id="103">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11. Sistema de gestión de llamadas de la Policía Nacional del Ecuador. Anexo 8 a la petición inicial.</w:t>
      </w:r>
    </w:p>
  </w:footnote>
  <w:footnote w:id="104">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3. Informe del Hospital Psiquiátrico Julio Endara, Trabajo Social. Anexo a la petición inicial.</w:t>
      </w:r>
    </w:p>
  </w:footnote>
  <w:footnote w:id="105">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6. Declaración jurada de Zoila Chimbó, 27 de septiembre de 2005. Anexo 3 a la petición inicial.</w:t>
      </w:r>
    </w:p>
  </w:footnote>
  <w:footnote w:id="106">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3. Informe del Hospital Psiquiátrico Julio Endara, Trabajo Social. Anexo a la petición inicial.</w:t>
      </w:r>
    </w:p>
  </w:footnote>
  <w:footnote w:id="107">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3. Informe del Hospital Psiquiátrico Julio Endara, Trabajo Social. Anexo a la petición inicial.</w:t>
      </w:r>
    </w:p>
  </w:footnote>
  <w:footnote w:id="108">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109">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110">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111">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9. Hoja de egreso del Hospital Psiquiátrico Julio Endara, 21 de enero de 2004. Anexo 6 a la petición inicial.</w:t>
      </w:r>
    </w:p>
  </w:footnote>
  <w:footnote w:id="112">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9. Hoja de egreso del Hospital Psiquiátrico Julio Endara, 21 de enero de 2004. Anexo 6 a la petición inicial.</w:t>
      </w:r>
    </w:p>
  </w:footnote>
  <w:footnote w:id="113">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3. Informe del Hospital Psiquiátrico Julio Endara, Trabajo Social. Anexo a la petición inicial.</w:t>
      </w:r>
    </w:p>
  </w:footnote>
  <w:footnote w:id="114">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3. Informe del Hospital Psiquiátrico Julio Endara, Trabajo Social. Anexo a la petición inicial.</w:t>
      </w:r>
    </w:p>
  </w:footnote>
  <w:footnote w:id="115">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3. Informe del Hospital Psiquiátrico Julio Endara, Trabajo Social. Anexo a la petición inicial.</w:t>
      </w:r>
    </w:p>
  </w:footnote>
  <w:footnote w:id="116">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3. Informe del Hospital Psiquiátrico Julio Endara, Trabajo Social. Anexo a la petición inicial.</w:t>
      </w:r>
    </w:p>
  </w:footnote>
  <w:footnote w:id="117">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3. Informe del Hospital Psiquiátrico Julio Endara, Trabajo Social. Anexo a la petición inicial.</w:t>
      </w:r>
    </w:p>
  </w:footnote>
  <w:footnote w:id="118">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3. Informe del Hospital Psiquiátrico Julio Endara, Trabajo Social. Anexo a la petición inicial.</w:t>
      </w:r>
    </w:p>
  </w:footnote>
  <w:footnote w:id="119">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3. Informe del Hospital Psiquiátrico Julio Endara, Trabajo Social. Anexo a la petición inicial.</w:t>
      </w:r>
    </w:p>
  </w:footnote>
  <w:footnote w:id="120">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3. Informe del Hospital Psiquiátrico Julio Endara, Trabajo Social. Anexo a la petición inicial.</w:t>
      </w:r>
    </w:p>
  </w:footnote>
  <w:footnote w:id="121">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3. Informe del Hospital Psiquiátrico Julio Endara, Trabajo Social. Anexo a la petición inicial.</w:t>
      </w:r>
    </w:p>
  </w:footnote>
  <w:footnote w:id="122">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3. Informe del Hospital Psiquiátrico Julio Endara, Trabajo Social. Anexo a la petición inicial.</w:t>
      </w:r>
    </w:p>
  </w:footnote>
  <w:footnote w:id="123">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3. Informe del Hospital Psiquiátrico Julio Endara, Trabajo Social. Anexo a la petición inicial.</w:t>
      </w:r>
    </w:p>
  </w:footnote>
  <w:footnote w:id="124">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3. Informe del Hospital Psiquiátrico Julio Endara, Trabajo Social. Anexo a la petición inicial.</w:t>
      </w:r>
    </w:p>
  </w:footnote>
  <w:footnote w:id="125">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3. Informe del Hospital Psiquiátrico Julio Endara, Trabajo Social. Anexo a la petición inicial.</w:t>
      </w:r>
    </w:p>
  </w:footnote>
  <w:footnote w:id="126">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_tradnl"/>
        </w:rPr>
        <w:t xml:space="preserve"> </w:t>
      </w:r>
      <w:r w:rsidRPr="00CE4228">
        <w:rPr>
          <w:rFonts w:ascii="Cambria" w:hAnsi="Cambria"/>
          <w:sz w:val="16"/>
          <w:szCs w:val="16"/>
          <w:lang w:val="es-ES"/>
        </w:rPr>
        <w:t>Anexo 15. Oficio del Cuerpo de Bomberos del Distrito Metropolitano de Quito, 4 de octubre de 2004. Anexo a la comunicación del Estado de 20 de mayo de 2016, p. 8.</w:t>
      </w:r>
    </w:p>
  </w:footnote>
  <w:footnote w:id="127">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2. Comunicación de Jenny Beltrán, Hospital Psiquiátrico Julio Endara, de 30 de junio de 2004. Anexo a la petición inicial.</w:t>
      </w:r>
    </w:p>
  </w:footnote>
  <w:footnote w:id="128">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Anexo 2. </w:t>
      </w:r>
      <w:r w:rsidRPr="00CE4228">
        <w:rPr>
          <w:rFonts w:ascii="Cambria" w:hAnsi="Cambria"/>
          <w:color w:val="auto"/>
          <w:sz w:val="16"/>
          <w:szCs w:val="16"/>
          <w:lang w:val="es-ES_tradnl"/>
        </w:rPr>
        <w:t>Comunicación de Jenny Beltrán, Hospital Psiquiátrico Julio Endara, de 30 de junio de 2004. Anexo a la petición inicial.</w:t>
      </w:r>
    </w:p>
  </w:footnote>
  <w:footnote w:id="129">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2. Comunicación de Jenny Beltrán, Hospital Psiquiátrico Julio Endara, de 30 de junio de 2004. Anexo a la petición inicial.</w:t>
      </w:r>
    </w:p>
  </w:footnote>
  <w:footnote w:id="130">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_tradnl"/>
        </w:rPr>
        <w:t xml:space="preserve"> Anexo 2. Comunicación de Jenny Beltrán, Hospital Psiquiátrico Julio Endara, de 30 de junio de 2004. Anexo a la petición inicial.</w:t>
      </w:r>
    </w:p>
  </w:footnote>
  <w:footnote w:id="131">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Anexo 2. </w:t>
      </w:r>
      <w:r w:rsidRPr="00CE4228">
        <w:rPr>
          <w:rFonts w:ascii="Cambria" w:hAnsi="Cambria"/>
          <w:color w:val="auto"/>
          <w:sz w:val="16"/>
          <w:szCs w:val="16"/>
          <w:lang w:val="es-ES_tradnl"/>
        </w:rPr>
        <w:t>Comunicación de Jenny Beltrán, Hospital Psiquiátrico Julio Endara, de 30 de junio de 2004. Anexo a la petición inicial.</w:t>
      </w:r>
    </w:p>
  </w:footnote>
  <w:footnote w:id="132">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 xml:space="preserve">Oficios de Sonia Sánchez a Rommel </w:t>
      </w:r>
      <w:proofErr w:type="spellStart"/>
      <w:r w:rsidRPr="00CE4228">
        <w:rPr>
          <w:rFonts w:ascii="Cambria" w:hAnsi="Cambria"/>
          <w:color w:val="auto"/>
          <w:sz w:val="16"/>
          <w:szCs w:val="16"/>
          <w:lang w:val="es-ES_tradnl"/>
        </w:rPr>
        <w:t>Artieda</w:t>
      </w:r>
      <w:proofErr w:type="spellEnd"/>
      <w:r w:rsidRPr="00CE4228">
        <w:rPr>
          <w:rFonts w:ascii="Cambria" w:hAnsi="Cambria"/>
          <w:color w:val="auto"/>
          <w:sz w:val="16"/>
          <w:szCs w:val="16"/>
          <w:lang w:val="es-ES_tradnl"/>
        </w:rPr>
        <w:t xml:space="preserve">, 7 de abril de 2005. </w:t>
      </w:r>
      <w:r w:rsidRPr="00CE4228">
        <w:rPr>
          <w:rFonts w:ascii="Cambria" w:hAnsi="Cambria"/>
          <w:color w:val="auto"/>
          <w:sz w:val="16"/>
          <w:szCs w:val="16"/>
          <w:lang w:val="es-ES"/>
        </w:rPr>
        <w:t xml:space="preserve">Anexo a la </w:t>
      </w:r>
      <w:r w:rsidRPr="00CE4228">
        <w:rPr>
          <w:rFonts w:ascii="Cambria" w:hAnsi="Cambria"/>
          <w:color w:val="auto"/>
          <w:sz w:val="16"/>
          <w:szCs w:val="16"/>
          <w:lang w:val="es-ES_tradnl"/>
        </w:rPr>
        <w:t>comunicación de los peticionarios recibida el 25 de mayo de 2011.</w:t>
      </w:r>
    </w:p>
  </w:footnote>
  <w:footnote w:id="133">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 xml:space="preserve">Oficios de Sonia Sánchez a Rommel </w:t>
      </w:r>
      <w:proofErr w:type="spellStart"/>
      <w:r w:rsidRPr="00CE4228">
        <w:rPr>
          <w:rFonts w:ascii="Cambria" w:hAnsi="Cambria"/>
          <w:color w:val="auto"/>
          <w:sz w:val="16"/>
          <w:szCs w:val="16"/>
          <w:lang w:val="es-ES_tradnl"/>
        </w:rPr>
        <w:t>Artieda</w:t>
      </w:r>
      <w:proofErr w:type="spellEnd"/>
      <w:r w:rsidRPr="00CE4228">
        <w:rPr>
          <w:rFonts w:ascii="Cambria" w:hAnsi="Cambria"/>
          <w:color w:val="auto"/>
          <w:sz w:val="16"/>
          <w:szCs w:val="16"/>
          <w:lang w:val="es-ES_tradnl"/>
        </w:rPr>
        <w:t xml:space="preserve">, 7 de abril de 2005. </w:t>
      </w:r>
      <w:r w:rsidRPr="00CE4228">
        <w:rPr>
          <w:rFonts w:ascii="Cambria" w:hAnsi="Cambria"/>
          <w:color w:val="auto"/>
          <w:sz w:val="16"/>
          <w:szCs w:val="16"/>
          <w:lang w:val="es-ES"/>
        </w:rPr>
        <w:t xml:space="preserve">Anexo a la </w:t>
      </w:r>
      <w:r w:rsidRPr="00CE4228">
        <w:rPr>
          <w:rFonts w:ascii="Cambria" w:hAnsi="Cambria"/>
          <w:color w:val="auto"/>
          <w:sz w:val="16"/>
          <w:szCs w:val="16"/>
          <w:lang w:val="es-ES_tradnl"/>
        </w:rPr>
        <w:t>comunicación de los peticionarios recibida el 25 de mayo de 2011.</w:t>
      </w:r>
    </w:p>
  </w:footnote>
  <w:footnote w:id="134">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12. Denuncia de Zoila Chimbó, 21 de enero de 2004. Anexo 9 a la petición inicial.</w:t>
      </w:r>
    </w:p>
  </w:footnote>
  <w:footnote w:id="135">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Comunicación del Estado de 20 de mayo de 2016.</w:t>
      </w:r>
    </w:p>
  </w:footnote>
  <w:footnote w:id="136">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Anexo 15. Oficio de la Fiscalía General del Estado, 21 de marzo de 2016. Anexo 9 a la comunicación del Estado de 20 de mayo de 2016.</w:t>
      </w:r>
    </w:p>
  </w:footnote>
  <w:footnote w:id="137">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Anexo 7. </w:t>
      </w:r>
      <w:r w:rsidRPr="00CE4228">
        <w:rPr>
          <w:rFonts w:ascii="Cambria" w:hAnsi="Cambria"/>
          <w:color w:val="auto"/>
          <w:sz w:val="16"/>
          <w:szCs w:val="16"/>
          <w:lang w:val="es-ES_tradnl"/>
        </w:rPr>
        <w:t>Declaración de Zoila Chimbó ante la Policía Judicial de Pichincha, 3 de febrero de 2004. Anexo 4 a la petición inicial.</w:t>
      </w:r>
    </w:p>
  </w:footnote>
  <w:footnote w:id="138">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139">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Anexo 15. Oficio de la Fiscalía General del Estado, 21 de marzo de 2016. Anexo 9 a la comunicación del Estado de 20 de mayo de 2016.</w:t>
      </w:r>
    </w:p>
  </w:footnote>
  <w:footnote w:id="140">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Anexo 15. Oficio de la Fiscalía General del Estado, 21 de marzo de 2016. Anexo 9 a la comunicación del Estado de 20 de mayo de 2016.</w:t>
      </w:r>
    </w:p>
  </w:footnote>
  <w:footnote w:id="141">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Comunicación de los peticionarios recibida el 25 de mayo de 2011.</w:t>
      </w:r>
    </w:p>
  </w:footnote>
  <w:footnote w:id="142">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Comunicación del Estado de 20 de mayo de 2016.</w:t>
      </w:r>
    </w:p>
  </w:footnote>
  <w:footnote w:id="143">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Anexo 15. Oficio de la Fiscalía General del Estado, 21 de marzo de 2016. Anexo 9 a la comunicación del Estado de 20 de mayo de 2016.</w:t>
      </w:r>
    </w:p>
  </w:footnote>
  <w:footnote w:id="144">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Comunicación del Estado de 20 de mayo de 2016.</w:t>
      </w:r>
    </w:p>
  </w:footnote>
  <w:footnote w:id="145">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 xml:space="preserve">Declaración de </w:t>
      </w:r>
      <w:r w:rsidRPr="00CE4228">
        <w:rPr>
          <w:rFonts w:ascii="Cambria" w:hAnsi="Cambria"/>
          <w:color w:val="auto"/>
          <w:sz w:val="16"/>
          <w:szCs w:val="16"/>
          <w:lang w:val="es-ES"/>
        </w:rPr>
        <w:t xml:space="preserve">Rommel </w:t>
      </w:r>
      <w:proofErr w:type="spellStart"/>
      <w:r w:rsidRPr="00CE4228">
        <w:rPr>
          <w:rFonts w:ascii="Cambria" w:hAnsi="Cambria"/>
          <w:color w:val="auto"/>
          <w:sz w:val="16"/>
          <w:szCs w:val="16"/>
          <w:lang w:val="es-ES"/>
        </w:rPr>
        <w:t>Artieda</w:t>
      </w:r>
      <w:proofErr w:type="spellEnd"/>
      <w:r w:rsidRPr="00CE4228">
        <w:rPr>
          <w:rFonts w:ascii="Cambria" w:hAnsi="Cambria"/>
          <w:color w:val="auto"/>
          <w:sz w:val="16"/>
          <w:szCs w:val="16"/>
          <w:lang w:val="es-ES"/>
        </w:rPr>
        <w:t xml:space="preserve">, 12 de julio de 2005. Anexo a la </w:t>
      </w:r>
      <w:r w:rsidRPr="00CE4228">
        <w:rPr>
          <w:rFonts w:ascii="Cambria" w:hAnsi="Cambria"/>
          <w:color w:val="auto"/>
          <w:sz w:val="16"/>
          <w:szCs w:val="16"/>
          <w:lang w:val="es-ES_tradnl"/>
        </w:rPr>
        <w:t>comunicación de los peticionarios recibida el 25 de mayo de 2011.</w:t>
      </w:r>
    </w:p>
  </w:footnote>
  <w:footnote w:id="146">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 xml:space="preserve">Declaración de </w:t>
      </w:r>
      <w:r w:rsidRPr="00CE4228">
        <w:rPr>
          <w:rFonts w:ascii="Cambria" w:hAnsi="Cambria"/>
          <w:color w:val="auto"/>
          <w:sz w:val="16"/>
          <w:szCs w:val="16"/>
          <w:lang w:val="es-ES"/>
        </w:rPr>
        <w:t xml:space="preserve">Rommel </w:t>
      </w:r>
      <w:proofErr w:type="spellStart"/>
      <w:r w:rsidRPr="00CE4228">
        <w:rPr>
          <w:rFonts w:ascii="Cambria" w:hAnsi="Cambria"/>
          <w:color w:val="auto"/>
          <w:sz w:val="16"/>
          <w:szCs w:val="16"/>
          <w:lang w:val="es-ES"/>
        </w:rPr>
        <w:t>Artieda</w:t>
      </w:r>
      <w:proofErr w:type="spellEnd"/>
      <w:r w:rsidRPr="00CE4228">
        <w:rPr>
          <w:rFonts w:ascii="Cambria" w:hAnsi="Cambria"/>
          <w:color w:val="auto"/>
          <w:sz w:val="16"/>
          <w:szCs w:val="16"/>
          <w:lang w:val="es-ES"/>
        </w:rPr>
        <w:t xml:space="preserve">, 12 de julio de 2005. Anexo a la </w:t>
      </w:r>
      <w:r w:rsidRPr="00CE4228">
        <w:rPr>
          <w:rFonts w:ascii="Cambria" w:hAnsi="Cambria"/>
          <w:color w:val="auto"/>
          <w:sz w:val="16"/>
          <w:szCs w:val="16"/>
          <w:lang w:val="es-ES_tradnl"/>
        </w:rPr>
        <w:t>comunicación de los peticionarios recibida el 25 de mayo de 2011.</w:t>
      </w:r>
    </w:p>
  </w:footnote>
  <w:footnote w:id="147">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 xml:space="preserve">Declaración de </w:t>
      </w:r>
      <w:r w:rsidRPr="00CE4228">
        <w:rPr>
          <w:rFonts w:ascii="Cambria" w:hAnsi="Cambria"/>
          <w:color w:val="auto"/>
          <w:sz w:val="16"/>
          <w:szCs w:val="16"/>
          <w:lang w:val="es-ES"/>
        </w:rPr>
        <w:t xml:space="preserve">Rommel </w:t>
      </w:r>
      <w:proofErr w:type="spellStart"/>
      <w:r w:rsidRPr="00CE4228">
        <w:rPr>
          <w:rFonts w:ascii="Cambria" w:hAnsi="Cambria"/>
          <w:color w:val="auto"/>
          <w:sz w:val="16"/>
          <w:szCs w:val="16"/>
          <w:lang w:val="es-ES"/>
        </w:rPr>
        <w:t>Artieda</w:t>
      </w:r>
      <w:proofErr w:type="spellEnd"/>
      <w:r w:rsidRPr="00CE4228">
        <w:rPr>
          <w:rFonts w:ascii="Cambria" w:hAnsi="Cambria"/>
          <w:color w:val="auto"/>
          <w:sz w:val="16"/>
          <w:szCs w:val="16"/>
          <w:lang w:val="es-ES"/>
        </w:rPr>
        <w:t xml:space="preserve">, 12 de julio de 2005. Anexo a la </w:t>
      </w:r>
      <w:r w:rsidRPr="00CE4228">
        <w:rPr>
          <w:rFonts w:ascii="Cambria" w:hAnsi="Cambria"/>
          <w:color w:val="auto"/>
          <w:sz w:val="16"/>
          <w:szCs w:val="16"/>
          <w:lang w:val="es-ES_tradnl"/>
        </w:rPr>
        <w:t>comunicación de los peticionarios recibida el 25 de mayo de 2011.</w:t>
      </w:r>
    </w:p>
  </w:footnote>
  <w:footnote w:id="148">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Comunicación del Estado de 20 de mayo de 2016.</w:t>
      </w:r>
    </w:p>
  </w:footnote>
  <w:footnote w:id="149">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6. Declaración jurada de Zoila Chimbó, 27 de septiembre de 2005. Anexo 3 a la petición inicial.</w:t>
      </w:r>
    </w:p>
  </w:footnote>
  <w:footnote w:id="150">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 xml:space="preserve">Petición inicial. </w:t>
      </w:r>
      <w:r w:rsidRPr="00CE4228">
        <w:rPr>
          <w:rFonts w:ascii="Cambria" w:hAnsi="Cambria"/>
          <w:sz w:val="16"/>
          <w:szCs w:val="16"/>
          <w:lang w:val="es-ES"/>
        </w:rPr>
        <w:t>Comunicación del Estado de 20 de mayo de 2016.</w:t>
      </w:r>
    </w:p>
  </w:footnote>
  <w:footnote w:id="151">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 xml:space="preserve">Petición inicial. </w:t>
      </w:r>
      <w:r w:rsidRPr="00CE4228">
        <w:rPr>
          <w:rFonts w:ascii="Cambria" w:hAnsi="Cambria"/>
          <w:sz w:val="16"/>
          <w:szCs w:val="16"/>
          <w:lang w:val="es-ES"/>
        </w:rPr>
        <w:t>Comunicación del Estado de 20 de mayo de 2016.</w:t>
      </w:r>
    </w:p>
  </w:footnote>
  <w:footnote w:id="152">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sz w:val="16"/>
          <w:szCs w:val="16"/>
          <w:lang w:val="es-ES"/>
        </w:rPr>
        <w:t>Comunicación del Estado de 20 de mayo de 2016.</w:t>
      </w:r>
    </w:p>
  </w:footnote>
  <w:footnote w:id="153">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Anexo 15. Oficio de la Fiscalía General del Estado, 21 de marzo de 2016. Anexo 9 a la comunicación del Estado de 20 de mayo de 2016.</w:t>
      </w:r>
    </w:p>
  </w:footnote>
  <w:footnote w:id="154">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Anexo 15. Oficio de la Fiscalía General del Estado, 21 de marzo de 2016. Anexo 9 a la comunicación del Estado de 20 de mayo de 2016.</w:t>
      </w:r>
    </w:p>
  </w:footnote>
  <w:footnote w:id="155">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Anexo 15. Oficio de la Fiscalía General del Estado, 21 de marzo de 2016. Anexo 9 a la comunicación del Estado de 20 de mayo de 2016.</w:t>
      </w:r>
    </w:p>
  </w:footnote>
  <w:footnote w:id="156">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sz w:val="16"/>
          <w:szCs w:val="16"/>
          <w:lang w:val="es-ES"/>
        </w:rPr>
        <w:t>Comunicación del Estado de 20 de mayo de 2016.</w:t>
      </w:r>
    </w:p>
  </w:footnote>
  <w:footnote w:id="157">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Anexo 15. Oficio de la Fiscalía General del Estado, 21 de marzo de 2016. Anexo 9 a la comunicación del Estado de 20 de mayo de 2016.</w:t>
      </w:r>
    </w:p>
  </w:footnote>
  <w:footnote w:id="158">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Anexo 15. Oficio de la Fiscalía General del Estado, 21 de marzo de 2016. Anexo 9 a la comunicación del Estado de 20 de mayo de 2016.</w:t>
      </w:r>
    </w:p>
  </w:footnote>
  <w:footnote w:id="159">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Oficio del Fiscal 4 de la Unidad de Actuaciones Administrativas de Pichincha, 4 de noviembre de 2013. Anexo a la comunicación del Estado de 7 de enero de 2015. </w:t>
      </w:r>
    </w:p>
  </w:footnote>
  <w:footnote w:id="160">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Oficio del Fiscal 4 de la Unidad de Actuaciones Administrativas de Pichincha, 4 de noviembre de 2013. Anexo a la comunicación del Estado de 7 de enero de 2015. </w:t>
      </w:r>
    </w:p>
  </w:footnote>
  <w:footnote w:id="161">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Oficio del Fiscal 4 de la Unidad de Actuaciones Administrativas de Pichincha, 4 de noviembre de 2013. Anexo a la comunicación del Estado de 7 de enero de 2015. </w:t>
      </w:r>
    </w:p>
  </w:footnote>
  <w:footnote w:id="162">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Oficio del Fiscal 4 de la Unidad de Actuaciones Administrativas de Pichincha, 4 de noviembre de 2013. Anexo a la comunicación del Estado de 7 de enero de 2015. </w:t>
      </w:r>
    </w:p>
  </w:footnote>
  <w:footnote w:id="163">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Anexo 15. Oficio de la Fiscalía General del Estado, 21 de marzo de 2016. Anexo 9 a la comunicación del Estado de 20 de mayo de 2016.</w:t>
      </w:r>
    </w:p>
  </w:footnote>
  <w:footnote w:id="164">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Anexo 15. Oficio de la Fiscalía General del Estado, 21 de marzo de 2016. Anexo 9 a la comunicación del Estado de 20 de mayo de 2016.</w:t>
      </w:r>
    </w:p>
  </w:footnote>
  <w:footnote w:id="165">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Anexo 15. Oficio de la Fiscalía General del Estado, 21 de marzo de 2016. Anexo 9 a la comunicación del Estado de 20 de mayo de 2016.</w:t>
      </w:r>
    </w:p>
  </w:footnote>
  <w:footnote w:id="166">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Anexo 15. Oficio de la Fiscalía General del Estado, 21 de marzo de 2016. Anexo 9 a la comunicación del Estado de 20 de mayo de 2016.</w:t>
      </w:r>
    </w:p>
  </w:footnote>
  <w:footnote w:id="167">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Anexo 15. Oficio de la Fiscalía General del Estado, 21 de marzo de 2016. Anexo 9 a la comunicación del Estado de 20 de mayo de 2016.</w:t>
      </w:r>
    </w:p>
  </w:footnote>
  <w:footnote w:id="168">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Anexo 15. Oficio de la Fiscalía General del Estado, 21 de marzo de 2016. Anexo 9 a la comunicación del Estado de 20 de mayo de 2016.</w:t>
      </w:r>
    </w:p>
  </w:footnote>
  <w:footnote w:id="169">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Anexo 15. Oficio de la Fiscalía General del Estado, 21 de marzo de 2016. Anexo 9 a la comunicación del Estado de 20 de mayo de 2016.</w:t>
      </w:r>
    </w:p>
  </w:footnote>
  <w:footnote w:id="170">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Anexo 15. Oficio de la Fiscalía General del Estado, 21 de marzo de 2016. Anexo 9 a la comunicación del Estado de 20 de mayo de 2016.</w:t>
      </w:r>
    </w:p>
  </w:footnote>
  <w:footnote w:id="171">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Anexo 15. Oficio de la Fiscalía General del Estado, 21 de marzo de 2016. Anexo 9 a la comunicación del Estado de 20 de mayo de 2016.</w:t>
      </w:r>
    </w:p>
  </w:footnote>
  <w:footnote w:id="172">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Anexo 15. Oficio de la Fiscalía General del Estado, 21 de marzo de 2016. Anexo 9 a la comunicación del Estado de 20 de mayo de 2016.</w:t>
      </w:r>
    </w:p>
  </w:footnote>
  <w:footnote w:id="173">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Anexo 15. Oficio de la Fiscalía General del Estado, 21 de marzo de 2016. Anexo 9 a la comunicación del Estado de 20 de mayo de 2016.</w:t>
      </w:r>
    </w:p>
  </w:footnote>
  <w:footnote w:id="174">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Anexo 15. Informe de la Dirección Nacional de Delitos contra la vida, muertes violentas, desapariciones, extorsión y secuestro, 22 de marzo de 2016. Anexo 19 a la comunicación del Estado de 20 de mayo de 2016.</w:t>
      </w:r>
    </w:p>
  </w:footnote>
  <w:footnote w:id="175">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Oficio del Ministerio de Coordinación de Seguridad, 4 de mayo de 2016. Anexo 13 a la comunicación del Estado de 20 de mayo de 2016.</w:t>
      </w:r>
    </w:p>
  </w:footnote>
  <w:footnote w:id="176">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Oficio del Ministerio de Coordinación de Seguridad, 4 de mayo de 2016. Anexo 13 a la comunicación del Estado de 20 de mayo de 2016.</w:t>
      </w:r>
    </w:p>
  </w:footnote>
  <w:footnote w:id="177">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Oficio del Ministerio de Coordinación de Seguridad, 4 de mayo de 2016. Anexo 13 a la comunicación del Estado de 20 de mayo de 2016.</w:t>
      </w:r>
    </w:p>
  </w:footnote>
  <w:footnote w:id="178">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Oficio del Ministerio de Coordinación de Seguridad, 4 de mayo de 2016. Anexo 13 a la comunicación del Estado de 20 de mayo de 2016.</w:t>
      </w:r>
    </w:p>
  </w:footnote>
  <w:footnote w:id="179">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Anexo 15. Oficio de la Fiscalía General del Estado, 21 de marzo de 2016. Anexo 9 a la comunicación del Estado de 20 de mayo de 2016.</w:t>
      </w:r>
    </w:p>
  </w:footnote>
  <w:footnote w:id="180">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Anexo 15. Oficio de la Fiscalía General del Estado, 21 de marzo de 2016. Anexo 9 a la comunicación del Estado de 20 de mayo de 2016.</w:t>
      </w:r>
    </w:p>
  </w:footnote>
  <w:footnote w:id="181">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Anexo 15. Oficio de la Fiscalía General del Estado, 21 de marzo de 2016. Anexo 9 a la comunicación del Estado de 20 de mayo de 2016.</w:t>
      </w:r>
    </w:p>
  </w:footnote>
  <w:footnote w:id="182">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Anexo 15. Oficio de la Fiscalía General del Estado, 21 de marzo de 2016. Anexo 9 a la comunicación del Estado de 20 de mayo de 2016.</w:t>
      </w:r>
    </w:p>
  </w:footnote>
  <w:footnote w:id="183">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Anexo 15. Oficio de la Fiscalía General del Estado, 21 de marzo de 2016. Anexo 9 a la comunicación del Estado de 20 de mayo de 2016.</w:t>
      </w:r>
    </w:p>
  </w:footnote>
  <w:footnote w:id="184">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sz w:val="16"/>
          <w:szCs w:val="16"/>
          <w:lang w:val="es-ES"/>
        </w:rPr>
        <w:t>Comunicación del Estado de 20 de mayo de 2016.</w:t>
      </w:r>
    </w:p>
  </w:footnote>
  <w:footnote w:id="185">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Comunicación de los peticionarios de 5 de julio de 2016.</w:t>
      </w:r>
    </w:p>
  </w:footnote>
  <w:footnote w:id="186">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Oficio del Ministerio de Justicia, Derechos Humanos y Culto, 17 de noviembre de 2016. Anexo a la comunicación del Estado de 21 de diciembre de 2016.</w:t>
      </w:r>
    </w:p>
  </w:footnote>
  <w:footnote w:id="187">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Oficio del Ministerio de Justicia, Derechos Humanos y Culto, 17 de noviembre de 2016. Anexo a la comunicación del Estado de 21 de diciembre de 2016.</w:t>
      </w:r>
    </w:p>
  </w:footnote>
  <w:footnote w:id="188">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Comunicación del Estado de 28 de octubre de 2016.</w:t>
      </w:r>
    </w:p>
  </w:footnote>
  <w:footnote w:id="189">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13. Resolución del Tribunal Constitucional, 6 de julio de 2006. Anexo 10 a la petición inicial.</w:t>
      </w:r>
    </w:p>
  </w:footnote>
  <w:footnote w:id="190">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Comunicación de los peticionarios recibida el 25 de mayo de 2011.</w:t>
      </w:r>
    </w:p>
  </w:footnote>
  <w:footnote w:id="191">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 xml:space="preserve">Comunicación de la INREDH, 6 de octubre de 2004. </w:t>
      </w:r>
      <w:r w:rsidRPr="00CE4228">
        <w:rPr>
          <w:rFonts w:ascii="Cambria" w:hAnsi="Cambria"/>
          <w:color w:val="auto"/>
          <w:sz w:val="16"/>
          <w:szCs w:val="16"/>
          <w:lang w:val="es-ES"/>
        </w:rPr>
        <w:t xml:space="preserve">Anexo a la </w:t>
      </w:r>
      <w:r w:rsidRPr="00CE4228">
        <w:rPr>
          <w:rFonts w:ascii="Cambria" w:hAnsi="Cambria"/>
          <w:color w:val="auto"/>
          <w:sz w:val="16"/>
          <w:szCs w:val="16"/>
          <w:lang w:val="es-ES_tradnl"/>
        </w:rPr>
        <w:t>comunicación de los peticionarios recibida el 25 de mayo de 2011.</w:t>
      </w:r>
    </w:p>
  </w:footnote>
  <w:footnote w:id="192">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 xml:space="preserve">Comunicación de la INREDH, 6 de octubre de 2004. </w:t>
      </w:r>
      <w:r w:rsidRPr="00CE4228">
        <w:rPr>
          <w:rFonts w:ascii="Cambria" w:hAnsi="Cambria"/>
          <w:color w:val="auto"/>
          <w:sz w:val="16"/>
          <w:szCs w:val="16"/>
          <w:lang w:val="es-ES"/>
        </w:rPr>
        <w:t xml:space="preserve">Anexo a la </w:t>
      </w:r>
      <w:r w:rsidRPr="00CE4228">
        <w:rPr>
          <w:rFonts w:ascii="Cambria" w:hAnsi="Cambria"/>
          <w:color w:val="auto"/>
          <w:sz w:val="16"/>
          <w:szCs w:val="16"/>
          <w:lang w:val="es-ES_tradnl"/>
        </w:rPr>
        <w:t>comunicación de los peticionarios recibida el 25 de mayo de 2011.</w:t>
      </w:r>
    </w:p>
  </w:footnote>
  <w:footnote w:id="193">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 xml:space="preserve">Comunicación de la INREDH, 6 de octubre de 2004. </w:t>
      </w:r>
      <w:r w:rsidRPr="00CE4228">
        <w:rPr>
          <w:rFonts w:ascii="Cambria" w:hAnsi="Cambria"/>
          <w:color w:val="auto"/>
          <w:sz w:val="16"/>
          <w:szCs w:val="16"/>
          <w:lang w:val="es-ES"/>
        </w:rPr>
        <w:t xml:space="preserve">Anexo a la </w:t>
      </w:r>
      <w:r w:rsidRPr="00CE4228">
        <w:rPr>
          <w:rFonts w:ascii="Cambria" w:hAnsi="Cambria"/>
          <w:color w:val="auto"/>
          <w:sz w:val="16"/>
          <w:szCs w:val="16"/>
          <w:lang w:val="es-ES_tradnl"/>
        </w:rPr>
        <w:t>comunicación de los peticionarios recibida el 25 de mayo de 2011.</w:t>
      </w:r>
    </w:p>
  </w:footnote>
  <w:footnote w:id="194">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 xml:space="preserve">Comunicación de la INREDH, 6 de octubre de 2004. </w:t>
      </w:r>
      <w:r w:rsidRPr="00CE4228">
        <w:rPr>
          <w:rFonts w:ascii="Cambria" w:hAnsi="Cambria"/>
          <w:color w:val="auto"/>
          <w:sz w:val="16"/>
          <w:szCs w:val="16"/>
          <w:lang w:val="es-ES"/>
        </w:rPr>
        <w:t xml:space="preserve">Anexo a la </w:t>
      </w:r>
      <w:r w:rsidRPr="00CE4228">
        <w:rPr>
          <w:rFonts w:ascii="Cambria" w:hAnsi="Cambria"/>
          <w:color w:val="auto"/>
          <w:sz w:val="16"/>
          <w:szCs w:val="16"/>
          <w:lang w:val="es-ES_tradnl"/>
        </w:rPr>
        <w:t>comunicación de los peticionarios recibida el 25 de mayo de 2011.</w:t>
      </w:r>
    </w:p>
  </w:footnote>
  <w:footnote w:id="195">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 xml:space="preserve">Resolución de DINATED, 14 de octubre de 2004. </w:t>
      </w:r>
      <w:r w:rsidRPr="00CE4228">
        <w:rPr>
          <w:rFonts w:ascii="Cambria" w:hAnsi="Cambria"/>
          <w:color w:val="auto"/>
          <w:sz w:val="16"/>
          <w:szCs w:val="16"/>
          <w:lang w:val="es-ES"/>
        </w:rPr>
        <w:t xml:space="preserve">Anexo a la </w:t>
      </w:r>
      <w:r w:rsidRPr="00CE4228">
        <w:rPr>
          <w:rFonts w:ascii="Cambria" w:hAnsi="Cambria"/>
          <w:color w:val="auto"/>
          <w:sz w:val="16"/>
          <w:szCs w:val="16"/>
          <w:lang w:val="es-ES_tradnl"/>
        </w:rPr>
        <w:t>comunicación de los peticionarios recibida el 25 de mayo de 2011.</w:t>
      </w:r>
    </w:p>
  </w:footnote>
  <w:footnote w:id="196">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 xml:space="preserve">Comunicación de José Oña al Ministro de Salud, 17 de febrero de 2004. </w:t>
      </w:r>
      <w:r w:rsidRPr="00CE4228">
        <w:rPr>
          <w:rFonts w:ascii="Cambria" w:hAnsi="Cambria"/>
          <w:color w:val="auto"/>
          <w:sz w:val="16"/>
          <w:szCs w:val="16"/>
          <w:lang w:val="es-ES"/>
        </w:rPr>
        <w:t xml:space="preserve">Anexo a la </w:t>
      </w:r>
      <w:r w:rsidRPr="00CE4228">
        <w:rPr>
          <w:rFonts w:ascii="Cambria" w:hAnsi="Cambria"/>
          <w:color w:val="auto"/>
          <w:sz w:val="16"/>
          <w:szCs w:val="16"/>
          <w:lang w:val="es-ES_tradnl"/>
        </w:rPr>
        <w:t>comunicación de los peticionarios recibida el 25 de mayo de 2011.</w:t>
      </w:r>
    </w:p>
  </w:footnote>
  <w:footnote w:id="197">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 xml:space="preserve">Comunicación de José Oña al Ministro de Salud, 17 de febrero de 2004. </w:t>
      </w:r>
      <w:r w:rsidRPr="00CE4228">
        <w:rPr>
          <w:rFonts w:ascii="Cambria" w:hAnsi="Cambria"/>
          <w:color w:val="auto"/>
          <w:sz w:val="16"/>
          <w:szCs w:val="16"/>
          <w:lang w:val="es-ES"/>
        </w:rPr>
        <w:t xml:space="preserve">Anexo a la </w:t>
      </w:r>
      <w:r w:rsidRPr="00CE4228">
        <w:rPr>
          <w:rFonts w:ascii="Cambria" w:hAnsi="Cambria"/>
          <w:color w:val="auto"/>
          <w:sz w:val="16"/>
          <w:szCs w:val="16"/>
          <w:lang w:val="es-ES_tradnl"/>
        </w:rPr>
        <w:t>comunicación de los peticionarios recibida el 25 de mayo de 2011.</w:t>
      </w:r>
    </w:p>
  </w:footnote>
  <w:footnote w:id="198">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 xml:space="preserve">Comunicación de José Oña al Ministro de Salud, 17 de febrero de 2004. </w:t>
      </w:r>
      <w:r w:rsidRPr="00CE4228">
        <w:rPr>
          <w:rFonts w:ascii="Cambria" w:hAnsi="Cambria"/>
          <w:color w:val="auto"/>
          <w:sz w:val="16"/>
          <w:szCs w:val="16"/>
          <w:lang w:val="es-ES"/>
        </w:rPr>
        <w:t xml:space="preserve">Anexo a la </w:t>
      </w:r>
      <w:r w:rsidRPr="00CE4228">
        <w:rPr>
          <w:rFonts w:ascii="Cambria" w:hAnsi="Cambria"/>
          <w:color w:val="auto"/>
          <w:sz w:val="16"/>
          <w:szCs w:val="16"/>
          <w:lang w:val="es-ES_tradnl"/>
        </w:rPr>
        <w:t>comunicación de los peticionarios recibida el 25 de mayo de 2011.</w:t>
      </w:r>
    </w:p>
  </w:footnote>
  <w:footnote w:id="199">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 xml:space="preserve">Comunicación de José Oña al Ministro de Salud, 17 de febrero de 2004. </w:t>
      </w:r>
      <w:r w:rsidRPr="00CE4228">
        <w:rPr>
          <w:rFonts w:ascii="Cambria" w:hAnsi="Cambria"/>
          <w:color w:val="auto"/>
          <w:sz w:val="16"/>
          <w:szCs w:val="16"/>
          <w:lang w:val="es-ES"/>
        </w:rPr>
        <w:t xml:space="preserve">Anexo a la </w:t>
      </w:r>
      <w:r w:rsidRPr="00CE4228">
        <w:rPr>
          <w:rFonts w:ascii="Cambria" w:hAnsi="Cambria"/>
          <w:color w:val="auto"/>
          <w:sz w:val="16"/>
          <w:szCs w:val="16"/>
          <w:lang w:val="es-ES_tradnl"/>
        </w:rPr>
        <w:t>comunicación de los peticionarios recibida el 25 de mayo de 2011.</w:t>
      </w:r>
    </w:p>
  </w:footnote>
  <w:footnote w:id="200">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 xml:space="preserve">Solicitud de hábeas corpus, 29 de noviembre de 2004. </w:t>
      </w:r>
      <w:r w:rsidRPr="00CE4228">
        <w:rPr>
          <w:rFonts w:ascii="Cambria" w:hAnsi="Cambria"/>
          <w:color w:val="auto"/>
          <w:sz w:val="16"/>
          <w:szCs w:val="16"/>
          <w:lang w:val="es-ES"/>
        </w:rPr>
        <w:t xml:space="preserve">Anexo a la </w:t>
      </w:r>
      <w:r w:rsidRPr="00CE4228">
        <w:rPr>
          <w:rFonts w:ascii="Cambria" w:hAnsi="Cambria"/>
          <w:color w:val="auto"/>
          <w:sz w:val="16"/>
          <w:szCs w:val="16"/>
          <w:lang w:val="es-ES_tradnl"/>
        </w:rPr>
        <w:t>comunicación de los peticionarios recibida el 25 de mayo de 2011.</w:t>
      </w:r>
    </w:p>
  </w:footnote>
  <w:footnote w:id="201">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13. Resolución del Tribunal Constitucional, 6 de julio de 2006. Anexo 10 a la petición inicial.</w:t>
      </w:r>
    </w:p>
  </w:footnote>
  <w:footnote w:id="202">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13. Resolución del Tribunal Constitucional, 6 de julio de 2006. Anexo 10 a la petición inicial.</w:t>
      </w:r>
    </w:p>
  </w:footnote>
  <w:footnote w:id="203">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13. Resolución del Tribunal Constitucional, 6 de julio de 2006. Anexo 10 a la petición inicial.</w:t>
      </w:r>
    </w:p>
  </w:footnote>
  <w:footnote w:id="204">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13. Resolución del Tribunal Constitucional, 6 de julio de 2006. Anexo 10 a la petición inicial.</w:t>
      </w:r>
    </w:p>
  </w:footnote>
  <w:footnote w:id="205">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13. Resolución del Tribunal Constitucional, 6 de julio de 2006. Anexo 10 a la petición inicial.</w:t>
      </w:r>
    </w:p>
  </w:footnote>
  <w:footnote w:id="206">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13. Resolución del Tribunal Constitucional, 6 de julio de 2006. Anexo 10 a la petición inicial.</w:t>
      </w:r>
    </w:p>
  </w:footnote>
  <w:footnote w:id="207">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13. Resolución del Tribunal Constitucional, 6 de julio de 2006. Anexo 10 a la petición inicial.</w:t>
      </w:r>
    </w:p>
  </w:footnote>
  <w:footnote w:id="208">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13. Resolución del Tribunal Constitucional, 6 de julio de 2006. Anexo 10 a la petición inicial.</w:t>
      </w:r>
    </w:p>
  </w:footnote>
  <w:footnote w:id="209">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13. Resolución del Tribunal Constitucional, 6 de julio de 2006. Anexo 10 a la petición inicial.</w:t>
      </w:r>
    </w:p>
  </w:footnote>
  <w:footnote w:id="210">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13. Resolución del Tribunal Constitucional, 6 de julio de 2006. Anexo 10 a la petición inicial.</w:t>
      </w:r>
    </w:p>
  </w:footnote>
  <w:footnote w:id="211">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13. Resolución del Tribunal Constitucional, 6 de julio de 2006. Anexo 10 a la petición inicial.</w:t>
      </w:r>
    </w:p>
  </w:footnote>
  <w:footnote w:id="212">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13. Resolución del Tribunal Constitucional, 6 de julio de 2006. Anexo 10 a la petición inicial.</w:t>
      </w:r>
    </w:p>
  </w:footnote>
  <w:footnote w:id="213">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13. Resolución del Tribunal Constitucional, 6 de julio de 2006. Anexo 10 a la petición inicial.</w:t>
      </w:r>
    </w:p>
  </w:footnote>
  <w:footnote w:id="214">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13. Resolución del Tribunal Constitucional, 6 de julio de 2006. Anexo 10 a la petición inicial.</w:t>
      </w:r>
    </w:p>
  </w:footnote>
  <w:footnote w:id="215">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13. Resolución del Tribunal Constitucional, 6 de julio de 2006. Anexo 10 a la petición inicial.</w:t>
      </w:r>
    </w:p>
  </w:footnote>
  <w:footnote w:id="216">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13. Resolución del Tribunal Constitucional, 6 de julio de 2006. Anexo 10 a la petición inicial.</w:t>
      </w:r>
    </w:p>
  </w:footnote>
  <w:footnote w:id="217">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13. Resolución del Tribunal Constitucional, 6 de julio de 2006. Anexo 10 a la petición inicial.</w:t>
      </w:r>
    </w:p>
  </w:footnote>
  <w:footnote w:id="218">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Anexo 13. Resolución del Tribunal Constitucional, 6 de julio de 2006. Anexo 10 a la petición inicial.</w:t>
      </w:r>
    </w:p>
  </w:footnote>
  <w:footnote w:id="219">
    <w:p w:rsidR="00BB0B93" w:rsidRPr="00CE4228" w:rsidRDefault="00BB0B93" w:rsidP="00CE4228">
      <w:pPr>
        <w:pStyle w:val="FootnoteText"/>
        <w:tabs>
          <w:tab w:val="left" w:pos="90"/>
        </w:tabs>
        <w:jc w:val="both"/>
        <w:rPr>
          <w:rFonts w:ascii="Cambria" w:hAnsi="Cambria"/>
          <w:color w:val="auto"/>
          <w:sz w:val="16"/>
          <w:szCs w:val="16"/>
          <w:lang w:val="es-ES_tradnl"/>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olor w:val="auto"/>
          <w:sz w:val="16"/>
          <w:szCs w:val="16"/>
          <w:lang w:val="es-ES_tradnl"/>
        </w:rPr>
        <w:t>Comunicación de los peticionarios recibida el 25 de mayo de 2011.</w:t>
      </w:r>
    </w:p>
  </w:footnote>
  <w:footnote w:id="220">
    <w:p w:rsidR="00BB0B93" w:rsidRPr="00CE4228" w:rsidRDefault="00BB0B93" w:rsidP="00CE4228">
      <w:pPr>
        <w:pStyle w:val="FootnoteText"/>
        <w:tabs>
          <w:tab w:val="left" w:pos="90"/>
        </w:tabs>
        <w:jc w:val="both"/>
        <w:rPr>
          <w:rFonts w:ascii="Cambria" w:hAnsi="Cambria"/>
          <w:color w:val="auto"/>
          <w:sz w:val="16"/>
          <w:szCs w:val="16"/>
          <w:lang w:val="es-ES"/>
        </w:rPr>
      </w:pPr>
      <w:r w:rsidRPr="00CE4228">
        <w:rPr>
          <w:rStyle w:val="FootnoteReference"/>
          <w:rFonts w:ascii="Cambria" w:hAnsi="Cambria"/>
          <w:color w:val="auto"/>
          <w:sz w:val="16"/>
          <w:szCs w:val="16"/>
        </w:rPr>
        <w:footnoteRef/>
      </w:r>
      <w:r w:rsidRPr="00CE4228">
        <w:rPr>
          <w:rFonts w:ascii="Cambria" w:hAnsi="Cambria"/>
          <w:color w:val="auto"/>
          <w:sz w:val="16"/>
          <w:szCs w:val="16"/>
          <w:lang w:val="es-ES"/>
        </w:rPr>
        <w:t xml:space="preserve"> </w:t>
      </w:r>
      <w:r w:rsidRPr="00CE4228">
        <w:rPr>
          <w:rFonts w:ascii="Cambria" w:hAnsi="Cambria" w:cs="Arial"/>
          <w:color w:val="auto"/>
          <w:sz w:val="16"/>
          <w:szCs w:val="16"/>
          <w:shd w:val="clear" w:color="auto" w:fill="FFFFFF"/>
          <w:lang w:val="es-ES"/>
        </w:rPr>
        <w:t>Audiencia Pública del 157 Período de Sesiones de la Comisión Interamericana de Derechos Humanos. Disponible en: https://www.youtube.com/watch?v=8pG-hHzzZ-Y</w:t>
      </w:r>
      <w:r w:rsidRPr="00CE4228">
        <w:rPr>
          <w:rStyle w:val="apple-converted-space"/>
          <w:rFonts w:ascii="Cambria" w:hAnsi="Cambria" w:cs="Arial"/>
          <w:color w:val="auto"/>
          <w:sz w:val="16"/>
          <w:szCs w:val="16"/>
          <w:shd w:val="clear" w:color="auto" w:fill="FFFFFF"/>
          <w:lang w:val="es-ES"/>
        </w:rPr>
        <w:t> </w:t>
      </w:r>
    </w:p>
  </w:footnote>
  <w:footnote w:id="221">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Volante del Ministerio del Interior. Anexo a la documentación entregada por los peticionarios en la </w:t>
      </w:r>
      <w:r w:rsidRPr="00CE4228">
        <w:rPr>
          <w:rFonts w:ascii="Cambria" w:hAnsi="Cambria" w:cs="Arial"/>
          <w:color w:val="auto"/>
          <w:sz w:val="16"/>
          <w:szCs w:val="16"/>
          <w:shd w:val="clear" w:color="auto" w:fill="FFFFFF"/>
          <w:lang w:val="es-ES"/>
        </w:rPr>
        <w:t>Audiencia Pública del 157 Período de Sesiones de la Comisión Interamericana de Derechos Humanos.</w:t>
      </w:r>
    </w:p>
  </w:footnote>
  <w:footnote w:id="222">
    <w:p w:rsidR="00BB0B93" w:rsidRPr="00CE4228" w:rsidRDefault="00BB0B93" w:rsidP="00CE4228">
      <w:pPr>
        <w:pStyle w:val="FootnoteText"/>
        <w:jc w:val="both"/>
        <w:rPr>
          <w:rFonts w:ascii="Cambria" w:hAnsi="Cambria"/>
          <w:sz w:val="16"/>
          <w:szCs w:val="16"/>
          <w:lang w:val="es-MX"/>
        </w:rPr>
      </w:pPr>
      <w:r w:rsidRPr="00CE4228">
        <w:rPr>
          <w:rStyle w:val="FootnoteReference"/>
          <w:rFonts w:ascii="Cambria" w:hAnsi="Cambria"/>
          <w:sz w:val="16"/>
          <w:szCs w:val="16"/>
        </w:rPr>
        <w:footnoteRef/>
      </w:r>
      <w:r w:rsidRPr="00CE4228">
        <w:rPr>
          <w:rFonts w:ascii="Cambria" w:hAnsi="Cambria"/>
          <w:sz w:val="16"/>
          <w:szCs w:val="16"/>
          <w:lang w:val="es-MX"/>
        </w:rPr>
        <w:t xml:space="preserve"> </w:t>
      </w:r>
      <w:r w:rsidRPr="00CE4228">
        <w:rPr>
          <w:rFonts w:ascii="Cambria" w:hAnsi="Cambria"/>
          <w:sz w:val="16"/>
          <w:szCs w:val="16"/>
          <w:lang w:val="es-ES"/>
        </w:rPr>
        <w:t xml:space="preserve">La Corte Interamericana ha establecido que la inclusión de artículos de la Convención Americana por parte de la CIDH en la etapa de fondo “no implica una vulneración al derecho de defensa [del Estado]” en casos donde el Estado ha </w:t>
      </w:r>
      <w:r w:rsidRPr="00CE4228">
        <w:rPr>
          <w:rFonts w:ascii="Cambria" w:eastAsia="Times New Roman" w:hAnsi="Cambria" w:cs="Cambria"/>
          <w:sz w:val="16"/>
          <w:szCs w:val="16"/>
          <w:lang w:val="es-ES"/>
        </w:rPr>
        <w:t>tenido</w:t>
      </w:r>
      <w:r w:rsidRPr="00CE4228">
        <w:rPr>
          <w:rFonts w:ascii="Cambria" w:hAnsi="Cambria"/>
          <w:sz w:val="16"/>
          <w:szCs w:val="16"/>
          <w:lang w:val="es-ES"/>
        </w:rPr>
        <w:t xml:space="preserve"> conocimiento de los hechos que sustentan su presunta violación.</w:t>
      </w:r>
      <w:r w:rsidRPr="00CE4228">
        <w:rPr>
          <w:rFonts w:ascii="Cambria" w:hAnsi="Cambria"/>
          <w:sz w:val="16"/>
          <w:szCs w:val="16"/>
          <w:lang w:val="es-ES_tradnl"/>
        </w:rPr>
        <w:t xml:space="preserve"> </w:t>
      </w:r>
      <w:r w:rsidRPr="00CE4228">
        <w:rPr>
          <w:rFonts w:ascii="Cambria" w:hAnsi="Cambria"/>
          <w:sz w:val="16"/>
          <w:szCs w:val="16"/>
          <w:lang w:val="es-ES"/>
        </w:rPr>
        <w:t xml:space="preserve">Véase: Corte I.D.H, </w:t>
      </w:r>
      <w:r w:rsidRPr="00CE4228">
        <w:rPr>
          <w:rFonts w:ascii="Cambria" w:hAnsi="Cambria"/>
          <w:i/>
          <w:iCs/>
          <w:sz w:val="16"/>
          <w:szCs w:val="16"/>
          <w:lang w:val="es-ES"/>
        </w:rPr>
        <w:t xml:space="preserve">Caso </w:t>
      </w:r>
      <w:proofErr w:type="spellStart"/>
      <w:r w:rsidRPr="00CE4228">
        <w:rPr>
          <w:rFonts w:ascii="Cambria" w:hAnsi="Cambria"/>
          <w:i/>
          <w:iCs/>
          <w:sz w:val="16"/>
          <w:szCs w:val="16"/>
          <w:lang w:val="es-ES"/>
        </w:rPr>
        <w:t>Furlan</w:t>
      </w:r>
      <w:proofErr w:type="spellEnd"/>
      <w:r w:rsidRPr="00CE4228">
        <w:rPr>
          <w:rFonts w:ascii="Cambria" w:hAnsi="Cambria"/>
          <w:i/>
          <w:iCs/>
          <w:sz w:val="16"/>
          <w:szCs w:val="16"/>
          <w:lang w:val="es-ES"/>
        </w:rPr>
        <w:t xml:space="preserve"> y Familiares Vs. Argentina</w:t>
      </w:r>
      <w:r w:rsidRPr="00CE4228">
        <w:rPr>
          <w:rFonts w:ascii="Cambria" w:hAnsi="Cambria"/>
          <w:sz w:val="16"/>
          <w:szCs w:val="16"/>
          <w:lang w:val="es-ES"/>
        </w:rPr>
        <w:t>. Excepciones Preliminares, Fondo, Reparaciones y Costas. Sentencia de 31 de agosto de 2012. Serie C No. 246, párr. 50.</w:t>
      </w:r>
    </w:p>
  </w:footnote>
  <w:footnote w:id="223">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El artículo 3 de la Convención Americana establece: Toda persona tiene derecho al reconocimiento de su personalidad jurídica.</w:t>
      </w:r>
    </w:p>
  </w:footnote>
  <w:footnote w:id="224">
    <w:p w:rsidR="00BB0B93" w:rsidRPr="00CE4228" w:rsidRDefault="00BB0B93" w:rsidP="008A084A">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El artículo </w:t>
      </w:r>
      <w:r>
        <w:rPr>
          <w:rFonts w:ascii="Cambria" w:hAnsi="Cambria"/>
          <w:sz w:val="16"/>
          <w:szCs w:val="16"/>
          <w:lang w:val="es-ES"/>
        </w:rPr>
        <w:t>4.1</w:t>
      </w:r>
      <w:r w:rsidRPr="00CE4228">
        <w:rPr>
          <w:rFonts w:ascii="Cambria" w:hAnsi="Cambria"/>
          <w:sz w:val="16"/>
          <w:szCs w:val="16"/>
          <w:lang w:val="es-ES"/>
        </w:rPr>
        <w:t xml:space="preserve"> de la Convención Americana establece: </w:t>
      </w:r>
      <w:r w:rsidRPr="008A084A">
        <w:rPr>
          <w:rFonts w:ascii="Cambria" w:hAnsi="Cambria"/>
          <w:sz w:val="16"/>
          <w:szCs w:val="16"/>
          <w:lang w:val="es-ES"/>
        </w:rPr>
        <w:t>Toda persona tiene derecho a que se respete su vida.  Este derecho estará protegido por la ley y, en general, a partir del momento de la concepción.  Nadie puede ser pri</w:t>
      </w:r>
      <w:r>
        <w:rPr>
          <w:rFonts w:ascii="Cambria" w:hAnsi="Cambria"/>
          <w:sz w:val="16"/>
          <w:szCs w:val="16"/>
          <w:lang w:val="es-ES"/>
        </w:rPr>
        <w:t>vado de la vida arbitrariamente</w:t>
      </w:r>
      <w:r w:rsidRPr="00CE4228">
        <w:rPr>
          <w:rFonts w:ascii="Cambria" w:hAnsi="Cambria"/>
          <w:sz w:val="16"/>
          <w:szCs w:val="16"/>
          <w:lang w:val="es-ES"/>
        </w:rPr>
        <w:t>.</w:t>
      </w:r>
    </w:p>
  </w:footnote>
  <w:footnote w:id="225">
    <w:p w:rsidR="00BB0B93" w:rsidRPr="00CE4228" w:rsidRDefault="00BB0B93" w:rsidP="00CE4228">
      <w:pPr>
        <w:pStyle w:val="NormalWeb"/>
        <w:tabs>
          <w:tab w:val="left" w:pos="90"/>
        </w:tabs>
        <w:spacing w:before="0" w:beforeAutospacing="0" w:after="0" w:afterAutospacing="0"/>
        <w:ind w:right="75"/>
        <w:jc w:val="both"/>
        <w:rPr>
          <w:rFonts w:ascii="Cambria" w:eastAsia="Times New Roman" w:hAnsi="Cambria" w:cs="Tahoma"/>
          <w:color w:val="000000"/>
          <w:sz w:val="16"/>
          <w:szCs w:val="16"/>
          <w:lang w:val="es-ES" w:eastAsia="es-ES"/>
        </w:rPr>
      </w:pPr>
      <w:r w:rsidRPr="00CE4228">
        <w:rPr>
          <w:rStyle w:val="FootnoteReference"/>
          <w:rFonts w:ascii="Cambria" w:hAnsi="Cambria"/>
          <w:sz w:val="16"/>
          <w:szCs w:val="16"/>
        </w:rPr>
        <w:footnoteRef/>
      </w:r>
      <w:r w:rsidRPr="00CE4228">
        <w:rPr>
          <w:rFonts w:ascii="Cambria" w:hAnsi="Cambria"/>
          <w:sz w:val="16"/>
          <w:szCs w:val="16"/>
          <w:lang w:val="es-ES"/>
        </w:rPr>
        <w:t xml:space="preserve"> El artículo 7 de la Convención Americana establece, en lo pertinente: </w:t>
      </w:r>
      <w:r w:rsidRPr="00CE4228">
        <w:rPr>
          <w:rFonts w:ascii="Cambria" w:eastAsia="Times New Roman" w:hAnsi="Cambria" w:cs="Tahoma"/>
          <w:color w:val="000000"/>
          <w:sz w:val="16"/>
          <w:szCs w:val="16"/>
          <w:lang w:val="es-ES" w:eastAsia="es-ES"/>
        </w:rPr>
        <w:t> </w:t>
      </w:r>
    </w:p>
    <w:p w:rsidR="00BB0B93" w:rsidRPr="00CE4228" w:rsidRDefault="00BB0B93" w:rsidP="00CE4228">
      <w:pPr>
        <w:pStyle w:val="NormalWeb"/>
        <w:tabs>
          <w:tab w:val="left" w:pos="90"/>
        </w:tabs>
        <w:spacing w:before="0" w:beforeAutospacing="0" w:after="0" w:afterAutospacing="0"/>
        <w:ind w:right="75"/>
        <w:jc w:val="both"/>
        <w:rPr>
          <w:rFonts w:ascii="Cambria" w:eastAsia="Times New Roman" w:hAnsi="Cambria" w:cs="Tahoma"/>
          <w:color w:val="000000"/>
          <w:sz w:val="16"/>
          <w:szCs w:val="16"/>
          <w:lang w:val="es-ES" w:eastAsia="es-ES"/>
        </w:rPr>
      </w:pPr>
      <w:r w:rsidRPr="00CE4228">
        <w:rPr>
          <w:rFonts w:ascii="Cambria" w:eastAsia="Times New Roman" w:hAnsi="Cambria" w:cs="Tahoma"/>
          <w:color w:val="000000"/>
          <w:sz w:val="16"/>
          <w:szCs w:val="16"/>
          <w:lang w:val="es-ES" w:eastAsia="es-ES"/>
        </w:rPr>
        <w:t xml:space="preserve">1. Toda persona tiene derecho a la libertad y a </w:t>
      </w:r>
      <w:proofErr w:type="gramStart"/>
      <w:r w:rsidRPr="00CE4228">
        <w:rPr>
          <w:rFonts w:ascii="Cambria" w:eastAsia="Times New Roman" w:hAnsi="Cambria" w:cs="Tahoma"/>
          <w:color w:val="000000"/>
          <w:sz w:val="16"/>
          <w:szCs w:val="16"/>
          <w:lang w:val="es-ES" w:eastAsia="es-ES"/>
        </w:rPr>
        <w:t>la seguridad personales</w:t>
      </w:r>
      <w:proofErr w:type="gramEnd"/>
      <w:r w:rsidRPr="00CE4228">
        <w:rPr>
          <w:rFonts w:ascii="Cambria" w:eastAsia="Times New Roman" w:hAnsi="Cambria" w:cs="Tahoma"/>
          <w:color w:val="000000"/>
          <w:sz w:val="16"/>
          <w:szCs w:val="16"/>
          <w:lang w:val="es-ES" w:eastAsia="es-ES"/>
        </w:rPr>
        <w:t>.</w:t>
      </w:r>
    </w:p>
    <w:p w:rsidR="00BB0B93" w:rsidRPr="00CE4228" w:rsidRDefault="00BB0B93" w:rsidP="00CE4228">
      <w:pPr>
        <w:pStyle w:val="NormalWeb"/>
        <w:tabs>
          <w:tab w:val="left" w:pos="90"/>
        </w:tabs>
        <w:spacing w:before="0" w:beforeAutospacing="0" w:after="0" w:afterAutospacing="0"/>
        <w:ind w:right="75"/>
        <w:jc w:val="both"/>
        <w:rPr>
          <w:rFonts w:ascii="Cambria" w:eastAsia="Times New Roman" w:hAnsi="Cambria" w:cs="Tahoma"/>
          <w:color w:val="000000"/>
          <w:sz w:val="16"/>
          <w:szCs w:val="16"/>
          <w:lang w:val="es-ES" w:eastAsia="es-ES"/>
        </w:rPr>
      </w:pPr>
      <w:r w:rsidRPr="00CE4228">
        <w:rPr>
          <w:rFonts w:ascii="Cambria" w:eastAsia="Times New Roman" w:hAnsi="Cambria" w:cs="Tahoma"/>
          <w:color w:val="000000"/>
          <w:sz w:val="16"/>
          <w:szCs w:val="16"/>
          <w:lang w:val="es-ES" w:eastAsia="es-ES"/>
        </w:rPr>
        <w:t>2. Nadie puede ser privado de su libertad física, salvo por las causas y en las condiciones fijadas de antemano por las Constituciones Políticas de los Estados Partes o por las leyes dictadas conforme a ellas.</w:t>
      </w:r>
    </w:p>
    <w:p w:rsidR="00BB0B93" w:rsidRPr="00CE4228" w:rsidRDefault="00BB0B93" w:rsidP="00CE4228">
      <w:pPr>
        <w:pStyle w:val="NormalWeb"/>
        <w:tabs>
          <w:tab w:val="left" w:pos="90"/>
        </w:tabs>
        <w:spacing w:before="0" w:beforeAutospacing="0" w:after="0" w:afterAutospacing="0"/>
        <w:ind w:right="75"/>
        <w:jc w:val="both"/>
        <w:rPr>
          <w:rFonts w:ascii="Cambria" w:eastAsia="Times New Roman" w:hAnsi="Cambria" w:cs="Tahoma"/>
          <w:color w:val="000000"/>
          <w:sz w:val="16"/>
          <w:szCs w:val="16"/>
          <w:lang w:val="es-ES" w:eastAsia="es-ES"/>
        </w:rPr>
      </w:pPr>
      <w:r w:rsidRPr="00CE4228">
        <w:rPr>
          <w:rFonts w:ascii="Cambria" w:eastAsia="Times New Roman" w:hAnsi="Cambria" w:cs="Tahoma"/>
          <w:color w:val="000000"/>
          <w:sz w:val="16"/>
          <w:szCs w:val="16"/>
          <w:lang w:val="es-ES" w:eastAsia="es-ES"/>
        </w:rPr>
        <w:t>3. Nadie puede ser sometido a detención o encarcelamiento arbitrarios. (…)</w:t>
      </w:r>
    </w:p>
  </w:footnote>
  <w:footnote w:id="226">
    <w:p w:rsidR="00BB0B93" w:rsidRPr="00CE4228" w:rsidRDefault="00BB0B93" w:rsidP="00CE4228">
      <w:pPr>
        <w:tabs>
          <w:tab w:val="left" w:pos="90"/>
          <w:tab w:val="left" w:pos="360"/>
        </w:tabs>
        <w:suppressAutoHyphens/>
        <w:jc w:val="both"/>
        <w:rPr>
          <w:rFonts w:ascii="Cambria" w:hAnsi="Cambria"/>
          <w:b/>
          <w:spacing w:val="-3"/>
          <w:sz w:val="16"/>
          <w:szCs w:val="16"/>
          <w:lang w:val="es-ES"/>
        </w:rPr>
      </w:pPr>
      <w:r w:rsidRPr="00CE4228">
        <w:rPr>
          <w:rFonts w:ascii="Cambria" w:hAnsi="Cambria"/>
          <w:sz w:val="16"/>
          <w:szCs w:val="16"/>
          <w:lang w:val="es-ES"/>
        </w:rPr>
        <w:tab/>
      </w:r>
      <w:r w:rsidRPr="00CE4228">
        <w:rPr>
          <w:rStyle w:val="FootnoteReference"/>
          <w:rFonts w:ascii="Cambria" w:hAnsi="Cambria"/>
          <w:sz w:val="16"/>
          <w:szCs w:val="16"/>
        </w:rPr>
        <w:footnoteRef/>
      </w:r>
      <w:r w:rsidRPr="00CE4228">
        <w:rPr>
          <w:rFonts w:ascii="Cambria" w:hAnsi="Cambria"/>
          <w:sz w:val="16"/>
          <w:szCs w:val="16"/>
          <w:lang w:val="es-ES"/>
        </w:rPr>
        <w:t xml:space="preserve"> El artículo 5.1 de la Convención Americana señala, en lo pertinente: </w:t>
      </w:r>
      <w:r w:rsidRPr="00CE4228">
        <w:rPr>
          <w:rFonts w:ascii="Cambria" w:hAnsi="Cambria"/>
          <w:spacing w:val="-3"/>
          <w:sz w:val="16"/>
          <w:szCs w:val="16"/>
          <w:lang w:val="es-ES"/>
        </w:rPr>
        <w:t>1.</w:t>
      </w:r>
      <w:r w:rsidRPr="00CE4228">
        <w:rPr>
          <w:rFonts w:ascii="Cambria" w:hAnsi="Cambria"/>
          <w:spacing w:val="-3"/>
          <w:sz w:val="16"/>
          <w:szCs w:val="16"/>
          <w:lang w:val="es-ES"/>
        </w:rPr>
        <w:tab/>
        <w:t>Toda persona tiene derecho a que se respete su integridad física, psíquica y moral</w:t>
      </w:r>
      <w:r w:rsidRPr="00CE4228">
        <w:rPr>
          <w:rFonts w:ascii="Cambria" w:hAnsi="Cambria"/>
          <w:sz w:val="16"/>
          <w:szCs w:val="16"/>
          <w:lang w:val="es-ES"/>
        </w:rPr>
        <w:t xml:space="preserve"> (…).</w:t>
      </w:r>
    </w:p>
  </w:footnote>
  <w:footnote w:id="227">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El artículo 26 de la Convención Americana establece en lo pertinente: Los Estados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 </w:t>
      </w:r>
    </w:p>
  </w:footnote>
  <w:footnote w:id="228">
    <w:p w:rsidR="00BB0B93" w:rsidRPr="00CE4228" w:rsidRDefault="00BB0B93" w:rsidP="00CE4228">
      <w:pPr>
        <w:pStyle w:val="FootnoteText"/>
        <w:jc w:val="both"/>
        <w:rPr>
          <w:rFonts w:ascii="Cambria" w:hAnsi="Cambria"/>
          <w:sz w:val="16"/>
          <w:szCs w:val="16"/>
          <w:lang w:val="es-CO"/>
        </w:rPr>
      </w:pPr>
      <w:r w:rsidRPr="00CE4228">
        <w:rPr>
          <w:rStyle w:val="FootnoteReference"/>
          <w:rFonts w:ascii="Cambria" w:hAnsi="Cambria"/>
          <w:sz w:val="16"/>
          <w:szCs w:val="16"/>
        </w:rPr>
        <w:footnoteRef/>
      </w:r>
      <w:r w:rsidRPr="00CE4228">
        <w:rPr>
          <w:rFonts w:ascii="Cambria" w:hAnsi="Cambria"/>
          <w:sz w:val="16"/>
          <w:szCs w:val="16"/>
          <w:lang w:val="es-CO"/>
        </w:rPr>
        <w:t xml:space="preserve"> El artículo 13 de la Convención Americana señala en lo pertinente: 1. </w:t>
      </w:r>
      <w:r w:rsidRPr="00CE4228">
        <w:rPr>
          <w:rFonts w:ascii="Cambria" w:hAnsi="Cambria"/>
          <w:spacing w:val="-3"/>
          <w:sz w:val="16"/>
          <w:szCs w:val="16"/>
          <w:lang w:val="es-ES"/>
        </w:rPr>
        <w:t>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footnote>
  <w:footnote w:id="229">
    <w:p w:rsidR="00BB0B93" w:rsidRPr="00CE4228" w:rsidRDefault="00BB0B93" w:rsidP="00CE4228">
      <w:pPr>
        <w:pStyle w:val="FootnoteText"/>
        <w:jc w:val="both"/>
        <w:rPr>
          <w:rFonts w:ascii="Cambria" w:hAnsi="Cambria"/>
          <w:sz w:val="16"/>
          <w:szCs w:val="16"/>
          <w:lang w:val="es-PE"/>
        </w:rPr>
      </w:pPr>
      <w:r w:rsidRPr="00CE4228">
        <w:rPr>
          <w:rStyle w:val="FootnoteReference"/>
          <w:rFonts w:ascii="Cambria" w:hAnsi="Cambria"/>
          <w:sz w:val="16"/>
          <w:szCs w:val="16"/>
        </w:rPr>
        <w:footnoteRef/>
      </w:r>
      <w:r w:rsidRPr="00CE4228">
        <w:rPr>
          <w:rStyle w:val="FootnoteReference"/>
          <w:rFonts w:ascii="Cambria" w:hAnsi="Cambria"/>
          <w:sz w:val="16"/>
          <w:szCs w:val="16"/>
          <w:lang w:val="es-PE"/>
        </w:rPr>
        <w:t xml:space="preserve"> </w:t>
      </w:r>
      <w:r w:rsidRPr="00CE4228">
        <w:rPr>
          <w:rFonts w:ascii="Cambria" w:hAnsi="Cambria"/>
          <w:sz w:val="16"/>
          <w:szCs w:val="16"/>
          <w:lang w:val="es-PE"/>
        </w:rPr>
        <w:t xml:space="preserve"> </w:t>
      </w:r>
      <w:r w:rsidRPr="00CE4228">
        <w:rPr>
          <w:rFonts w:ascii="Cambria" w:hAnsi="Cambria"/>
          <w:spacing w:val="-3"/>
          <w:sz w:val="16"/>
          <w:szCs w:val="16"/>
          <w:lang w:val="es-ES"/>
        </w:rPr>
        <w:t>El artículo 24 de la Convención Americana establece en lo pertinente: Todas las personas son iguales ante la ley. En consecuencia, tienen derecho, sin discriminación, a igual protección de la ley.</w:t>
      </w:r>
    </w:p>
  </w:footnote>
  <w:footnote w:id="230">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w:t>
      </w:r>
      <w:r w:rsidRPr="00CE4228">
        <w:rPr>
          <w:rStyle w:val="Strong"/>
          <w:rFonts w:ascii="Cambria" w:hAnsi="Cambria"/>
          <w:b w:val="0"/>
          <w:sz w:val="16"/>
          <w:szCs w:val="16"/>
          <w:shd w:val="clear" w:color="auto" w:fill="FFFFFF"/>
          <w:lang w:val="es-ES"/>
        </w:rPr>
        <w:t xml:space="preserve">CIDH, Informe No. 7/14, Caso 12.739, Fondo, María Inés Chinchilla Sandoval y otros, Guatemala, 2 de abril de 2014, párr. 157. Corte IDH. </w:t>
      </w:r>
      <w:r w:rsidRPr="00CE4228">
        <w:rPr>
          <w:rStyle w:val="Strong"/>
          <w:rFonts w:ascii="Cambria" w:hAnsi="Cambria"/>
          <w:b w:val="0"/>
          <w:i/>
          <w:sz w:val="16"/>
          <w:szCs w:val="16"/>
          <w:shd w:val="clear" w:color="auto" w:fill="FFFFFF"/>
          <w:lang w:val="es-ES"/>
        </w:rPr>
        <w:t xml:space="preserve">Caso </w:t>
      </w:r>
      <w:proofErr w:type="spellStart"/>
      <w:r w:rsidRPr="00CE4228">
        <w:rPr>
          <w:rStyle w:val="Strong"/>
          <w:rFonts w:ascii="Cambria" w:hAnsi="Cambria"/>
          <w:b w:val="0"/>
          <w:i/>
          <w:sz w:val="16"/>
          <w:szCs w:val="16"/>
          <w:shd w:val="clear" w:color="auto" w:fill="FFFFFF"/>
          <w:lang w:val="es-ES"/>
        </w:rPr>
        <w:t>Furlan</w:t>
      </w:r>
      <w:proofErr w:type="spellEnd"/>
      <w:r w:rsidRPr="00CE4228">
        <w:rPr>
          <w:rStyle w:val="Strong"/>
          <w:rFonts w:ascii="Cambria" w:hAnsi="Cambria"/>
          <w:b w:val="0"/>
          <w:i/>
          <w:sz w:val="16"/>
          <w:szCs w:val="16"/>
          <w:shd w:val="clear" w:color="auto" w:fill="FFFFFF"/>
          <w:lang w:val="es-ES"/>
        </w:rPr>
        <w:t xml:space="preserve"> y familiares Vs. Argentina</w:t>
      </w:r>
      <w:r w:rsidRPr="00CE4228">
        <w:rPr>
          <w:rStyle w:val="Strong"/>
          <w:rFonts w:ascii="Cambria" w:hAnsi="Cambria"/>
          <w:b w:val="0"/>
          <w:sz w:val="16"/>
          <w:szCs w:val="16"/>
          <w:shd w:val="clear" w:color="auto" w:fill="FFFFFF"/>
          <w:lang w:val="es-ES"/>
        </w:rPr>
        <w:t>. Excepciones Preliminares, Fondo, Reparaciones y Costas. Sentencia de 31 de agosto de 2012. Serie C No. 246, párr. 128.</w:t>
      </w:r>
    </w:p>
  </w:footnote>
  <w:footnote w:id="231">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w:t>
      </w:r>
      <w:r w:rsidRPr="00CE4228">
        <w:rPr>
          <w:rStyle w:val="Strong"/>
          <w:rFonts w:ascii="Cambria" w:hAnsi="Cambria"/>
          <w:b w:val="0"/>
          <w:sz w:val="16"/>
          <w:szCs w:val="16"/>
          <w:shd w:val="clear" w:color="auto" w:fill="FFFFFF"/>
          <w:lang w:val="es-ES"/>
        </w:rPr>
        <w:t xml:space="preserve">CIDH, Informe No. 7/14, Caso 12.739, Fondo, María Inés Chinchilla Sandoval y otros, Guatemala, 2 de abril de 2014, párr. 158. </w:t>
      </w:r>
    </w:p>
  </w:footnote>
  <w:footnote w:id="232">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w:t>
      </w:r>
      <w:r w:rsidRPr="00CE4228">
        <w:rPr>
          <w:rStyle w:val="Strong"/>
          <w:rFonts w:ascii="Cambria" w:hAnsi="Cambria"/>
          <w:b w:val="0"/>
          <w:sz w:val="16"/>
          <w:szCs w:val="16"/>
          <w:shd w:val="clear" w:color="auto" w:fill="FFFFFF"/>
          <w:lang w:val="es-ES"/>
        </w:rPr>
        <w:t xml:space="preserve">CIDH, Informe No. 7/14, Caso 12.739, Fondo, María Inés Chinchilla Sandoval y otros, Guatemala, 2 de abril de 2014, párr. 158. </w:t>
      </w:r>
    </w:p>
  </w:footnote>
  <w:footnote w:id="233">
    <w:p w:rsidR="00BB0B93" w:rsidRPr="00CE4228" w:rsidRDefault="00BB0B93" w:rsidP="00CE4228">
      <w:pPr>
        <w:tabs>
          <w:tab w:val="left" w:pos="90"/>
        </w:tabs>
        <w:jc w:val="both"/>
        <w:rPr>
          <w:rFonts w:ascii="Cambria" w:hAnsi="Cambria"/>
          <w:sz w:val="16"/>
          <w:szCs w:val="16"/>
          <w:lang w:val="es-PE"/>
        </w:rPr>
      </w:pPr>
      <w:r w:rsidRPr="00CE4228">
        <w:rPr>
          <w:rStyle w:val="FootnoteReference"/>
          <w:rFonts w:ascii="Cambria" w:hAnsi="Cambria"/>
          <w:sz w:val="16"/>
          <w:szCs w:val="16"/>
        </w:rPr>
        <w:footnoteRef/>
      </w:r>
      <w:r w:rsidRPr="00CE4228">
        <w:rPr>
          <w:rFonts w:ascii="Cambria" w:hAnsi="Cambria"/>
          <w:sz w:val="16"/>
          <w:szCs w:val="16"/>
          <w:lang w:val="es-ES"/>
        </w:rPr>
        <w:t xml:space="preserve"> </w:t>
      </w:r>
      <w:r w:rsidRPr="00CE4228">
        <w:rPr>
          <w:rFonts w:ascii="Cambria" w:hAnsi="Cambria" w:cs="Arial"/>
          <w:sz w:val="16"/>
          <w:szCs w:val="16"/>
          <w:lang w:val="es-ES_tradnl"/>
        </w:rPr>
        <w:t xml:space="preserve">Corte IDH. </w:t>
      </w:r>
      <w:r w:rsidRPr="00CE4228">
        <w:rPr>
          <w:rFonts w:ascii="Cambria" w:hAnsi="Cambria" w:cs="Arial"/>
          <w:i/>
          <w:sz w:val="16"/>
          <w:szCs w:val="16"/>
          <w:lang w:val="es-ES_tradnl"/>
        </w:rPr>
        <w:t xml:space="preserve">Caso </w:t>
      </w:r>
      <w:proofErr w:type="spellStart"/>
      <w:r w:rsidRPr="00CE4228">
        <w:rPr>
          <w:rFonts w:ascii="Cambria" w:hAnsi="Cambria" w:cs="Arial"/>
          <w:i/>
          <w:sz w:val="16"/>
          <w:szCs w:val="16"/>
          <w:lang w:val="es-ES_tradnl"/>
        </w:rPr>
        <w:t>Furlan</w:t>
      </w:r>
      <w:proofErr w:type="spellEnd"/>
      <w:r w:rsidRPr="00CE4228">
        <w:rPr>
          <w:rFonts w:ascii="Cambria" w:hAnsi="Cambria" w:cs="Arial"/>
          <w:i/>
          <w:sz w:val="16"/>
          <w:szCs w:val="16"/>
          <w:lang w:val="es-ES_tradnl"/>
        </w:rPr>
        <w:t xml:space="preserve"> y Familiares Vs. Argentina</w:t>
      </w:r>
      <w:r w:rsidRPr="00CE4228">
        <w:rPr>
          <w:rFonts w:ascii="Cambria" w:hAnsi="Cambria" w:cs="Arial"/>
          <w:sz w:val="16"/>
          <w:szCs w:val="16"/>
          <w:lang w:val="es-ES_tradnl"/>
        </w:rPr>
        <w:t xml:space="preserve">. Excepciones Preliminares, Fondo, Reparaciones y Costas. </w:t>
      </w:r>
      <w:r w:rsidRPr="00CE4228">
        <w:rPr>
          <w:rFonts w:ascii="Cambria" w:hAnsi="Cambria" w:cs="Arial"/>
          <w:sz w:val="16"/>
          <w:szCs w:val="16"/>
          <w:lang w:val="es-PE"/>
        </w:rPr>
        <w:t>Sentencia de 31 de agosto de 2012. Serie C No. 246, párr. 134.</w:t>
      </w:r>
    </w:p>
  </w:footnote>
  <w:footnote w:id="234">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w:t>
      </w:r>
      <w:r w:rsidRPr="00CE4228">
        <w:rPr>
          <w:rStyle w:val="Strong"/>
          <w:rFonts w:ascii="Cambria" w:hAnsi="Cambria"/>
          <w:b w:val="0"/>
          <w:sz w:val="16"/>
          <w:szCs w:val="16"/>
          <w:shd w:val="clear" w:color="auto" w:fill="FFFFFF"/>
          <w:lang w:val="es-ES"/>
        </w:rPr>
        <w:t xml:space="preserve">Corte IDH. </w:t>
      </w:r>
      <w:r w:rsidRPr="00CE4228">
        <w:rPr>
          <w:rStyle w:val="Strong"/>
          <w:rFonts w:ascii="Cambria" w:hAnsi="Cambria"/>
          <w:b w:val="0"/>
          <w:i/>
          <w:sz w:val="16"/>
          <w:szCs w:val="16"/>
          <w:shd w:val="clear" w:color="auto" w:fill="FFFFFF"/>
          <w:lang w:val="es-ES"/>
        </w:rPr>
        <w:t>Caso Chinchilla Sandoval Vs. Guatemala</w:t>
      </w:r>
      <w:r w:rsidRPr="00CE4228">
        <w:rPr>
          <w:rStyle w:val="Strong"/>
          <w:rFonts w:ascii="Cambria" w:hAnsi="Cambria"/>
          <w:b w:val="0"/>
          <w:sz w:val="16"/>
          <w:szCs w:val="16"/>
          <w:shd w:val="clear" w:color="auto" w:fill="FFFFFF"/>
          <w:lang w:val="es-ES"/>
        </w:rPr>
        <w:t>. Excepción Preliminar, Fondo, Reparaciones y Costas. Sentencia de 29 de febrero de 2016. Serie C No. 312, párr. 208.</w:t>
      </w:r>
    </w:p>
  </w:footnote>
  <w:footnote w:id="235">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w:t>
      </w:r>
      <w:r w:rsidRPr="00CE4228">
        <w:rPr>
          <w:rStyle w:val="Strong"/>
          <w:rFonts w:ascii="Cambria" w:hAnsi="Cambria"/>
          <w:b w:val="0"/>
          <w:sz w:val="16"/>
          <w:szCs w:val="16"/>
          <w:shd w:val="clear" w:color="auto" w:fill="FFFFFF"/>
          <w:lang w:val="es-ES"/>
        </w:rPr>
        <w:t xml:space="preserve">Corte IDH. </w:t>
      </w:r>
      <w:r w:rsidRPr="00CE4228">
        <w:rPr>
          <w:rStyle w:val="Strong"/>
          <w:rFonts w:ascii="Cambria" w:hAnsi="Cambria"/>
          <w:b w:val="0"/>
          <w:i/>
          <w:sz w:val="16"/>
          <w:szCs w:val="16"/>
          <w:shd w:val="clear" w:color="auto" w:fill="FFFFFF"/>
          <w:lang w:val="es-ES"/>
        </w:rPr>
        <w:t>Caso Chinchilla Sandoval Vs. Guatemala</w:t>
      </w:r>
      <w:r w:rsidRPr="00CE4228">
        <w:rPr>
          <w:rStyle w:val="Strong"/>
          <w:rFonts w:ascii="Cambria" w:hAnsi="Cambria"/>
          <w:b w:val="0"/>
          <w:sz w:val="16"/>
          <w:szCs w:val="16"/>
          <w:shd w:val="clear" w:color="auto" w:fill="FFFFFF"/>
          <w:lang w:val="es-ES"/>
        </w:rPr>
        <w:t>. Excepción Preliminar, Fondo, Reparaciones y Costas. Sentencia de 29 de febrero de 2016. Serie C No. 312, párr. 208.</w:t>
      </w:r>
    </w:p>
  </w:footnote>
  <w:footnote w:id="236">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de Derechos Económicos, Sociales y Culturales, Observación General No. 5, 1994, párr. 13.</w:t>
      </w:r>
    </w:p>
  </w:footnote>
  <w:footnote w:id="237">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Información disponible en la página web del Departamento de Derecho Internacional de la Organización de Estados Americanos: http://www.oas.org/juridico/spanish/firmas/a-65.html</w:t>
      </w:r>
    </w:p>
  </w:footnote>
  <w:footnote w:id="238">
    <w:p w:rsidR="00BB0B93" w:rsidRPr="00CE4228" w:rsidRDefault="00BB0B93" w:rsidP="00CE4228">
      <w:pPr>
        <w:pStyle w:val="FootnoteText"/>
        <w:tabs>
          <w:tab w:val="left" w:pos="90"/>
        </w:tabs>
        <w:jc w:val="both"/>
        <w:rPr>
          <w:rFonts w:ascii="Cambria" w:hAnsi="Cambria"/>
          <w:sz w:val="16"/>
          <w:szCs w:val="16"/>
          <w:lang w:val="fr-CA"/>
        </w:rPr>
      </w:pPr>
      <w:r w:rsidRPr="00CE4228">
        <w:rPr>
          <w:rStyle w:val="FootnoteReference"/>
          <w:rFonts w:ascii="Cambria" w:hAnsi="Cambria"/>
          <w:sz w:val="16"/>
          <w:szCs w:val="16"/>
        </w:rPr>
        <w:footnoteRef/>
      </w:r>
      <w:r w:rsidRPr="00CE4228">
        <w:rPr>
          <w:rFonts w:ascii="Cambria" w:hAnsi="Cambria"/>
          <w:sz w:val="16"/>
          <w:szCs w:val="16"/>
          <w:lang w:val="fr-CA"/>
        </w:rPr>
        <w:t xml:space="preserve"> </w:t>
      </w:r>
      <w:proofErr w:type="spellStart"/>
      <w:r w:rsidRPr="00CE4228">
        <w:rPr>
          <w:rFonts w:ascii="Cambria" w:hAnsi="Cambria"/>
          <w:sz w:val="16"/>
          <w:szCs w:val="16"/>
          <w:lang w:val="fr-CA"/>
        </w:rPr>
        <w:t>Véase</w:t>
      </w:r>
      <w:proofErr w:type="spellEnd"/>
      <w:r w:rsidRPr="00CE4228">
        <w:rPr>
          <w:rFonts w:ascii="Cambria" w:hAnsi="Cambria"/>
          <w:sz w:val="16"/>
          <w:szCs w:val="16"/>
          <w:lang w:val="fr-CA"/>
        </w:rPr>
        <w:t>: https://treaties.un.org/Pages/ViewDetails.aspx?src=TREATY&amp;mtdsg_no=IV-15&amp;chapter=4&amp;clang=_en</w:t>
      </w:r>
    </w:p>
  </w:footnote>
  <w:footnote w:id="239">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Convención sobre los Derechos de las Personas con Discapacidad. Artículo 1.</w:t>
      </w:r>
    </w:p>
  </w:footnote>
  <w:footnote w:id="240">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w:t>
      </w:r>
      <w:r w:rsidRPr="00CE4228">
        <w:rPr>
          <w:rFonts w:ascii="Cambria" w:hAnsi="Cambria" w:cs="Arial"/>
          <w:sz w:val="16"/>
          <w:szCs w:val="16"/>
          <w:lang w:val="es-ES_tradnl"/>
        </w:rPr>
        <w:t xml:space="preserve">Corte IDH. </w:t>
      </w:r>
      <w:r w:rsidRPr="00CE4228">
        <w:rPr>
          <w:rFonts w:ascii="Cambria" w:hAnsi="Cambria" w:cs="Arial"/>
          <w:i/>
          <w:sz w:val="16"/>
          <w:szCs w:val="16"/>
          <w:lang w:val="es-ES_tradnl"/>
        </w:rPr>
        <w:t xml:space="preserve">Caso </w:t>
      </w:r>
      <w:proofErr w:type="spellStart"/>
      <w:r w:rsidRPr="00CE4228">
        <w:rPr>
          <w:rFonts w:ascii="Cambria" w:hAnsi="Cambria" w:cs="Arial"/>
          <w:i/>
          <w:sz w:val="16"/>
          <w:szCs w:val="16"/>
          <w:lang w:val="es-ES_tradnl"/>
        </w:rPr>
        <w:t>Furlan</w:t>
      </w:r>
      <w:proofErr w:type="spellEnd"/>
      <w:r w:rsidRPr="00CE4228">
        <w:rPr>
          <w:rFonts w:ascii="Cambria" w:hAnsi="Cambria" w:cs="Arial"/>
          <w:i/>
          <w:sz w:val="16"/>
          <w:szCs w:val="16"/>
          <w:lang w:val="es-ES_tradnl"/>
        </w:rPr>
        <w:t xml:space="preserve"> y Familiares Vs. Argentina</w:t>
      </w:r>
      <w:r w:rsidRPr="00CE4228">
        <w:rPr>
          <w:rFonts w:ascii="Cambria" w:hAnsi="Cambria" w:cs="Arial"/>
          <w:sz w:val="16"/>
          <w:szCs w:val="16"/>
          <w:lang w:val="es-ES_tradnl"/>
        </w:rPr>
        <w:t xml:space="preserve">. Excepciones Preliminares, Fondo, Reparaciones y Costas. </w:t>
      </w:r>
      <w:r w:rsidRPr="00CE4228">
        <w:rPr>
          <w:rFonts w:ascii="Cambria" w:hAnsi="Cambria" w:cs="Arial"/>
          <w:sz w:val="16"/>
          <w:szCs w:val="16"/>
          <w:lang w:val="es-ES"/>
        </w:rPr>
        <w:t>Sentencia de 31 de agosto de 2012. Serie C No. 246, párr. 133.</w:t>
      </w:r>
    </w:p>
  </w:footnote>
  <w:footnote w:id="241">
    <w:p w:rsidR="00BB0B93" w:rsidRPr="00CE4228" w:rsidRDefault="00BB0B93" w:rsidP="00CE4228">
      <w:pPr>
        <w:pStyle w:val="FootnoteText"/>
        <w:jc w:val="both"/>
        <w:rPr>
          <w:rFonts w:ascii="Cambria" w:hAnsi="Cambria"/>
          <w:sz w:val="16"/>
          <w:szCs w:val="16"/>
          <w:lang w:val="es-PE"/>
        </w:rPr>
      </w:pPr>
      <w:r w:rsidRPr="00CE4228">
        <w:rPr>
          <w:rStyle w:val="FootnoteReference"/>
          <w:rFonts w:ascii="Cambria" w:hAnsi="Cambria"/>
          <w:sz w:val="16"/>
          <w:szCs w:val="16"/>
        </w:rPr>
        <w:footnoteRef/>
      </w:r>
      <w:r w:rsidRPr="00CE4228">
        <w:rPr>
          <w:rFonts w:ascii="Cambria" w:hAnsi="Cambria"/>
          <w:sz w:val="16"/>
          <w:szCs w:val="16"/>
          <w:lang w:val="es-PE"/>
        </w:rPr>
        <w:t xml:space="preserve"> </w:t>
      </w:r>
      <w:r w:rsidRPr="00CE4228">
        <w:rPr>
          <w:rFonts w:ascii="Cambria" w:hAnsi="Cambria"/>
          <w:sz w:val="16"/>
          <w:szCs w:val="16"/>
          <w:lang w:val="es-ES"/>
        </w:rPr>
        <w:t>CIDH. Informe sobre Pobreza y Derechos Humanos en las Américas, 7 de septiembre de 2017, párr. 160</w:t>
      </w:r>
    </w:p>
  </w:footnote>
  <w:footnote w:id="242">
    <w:p w:rsidR="00BB0B93" w:rsidRPr="00CE4228" w:rsidRDefault="00BB0B93" w:rsidP="00CE4228">
      <w:pPr>
        <w:pStyle w:val="FootnoteText"/>
        <w:jc w:val="both"/>
        <w:rPr>
          <w:rFonts w:ascii="Cambria" w:hAnsi="Cambria"/>
          <w:sz w:val="16"/>
          <w:szCs w:val="16"/>
          <w:lang w:val="es-PE"/>
        </w:rPr>
      </w:pPr>
      <w:r w:rsidRPr="00CE4228">
        <w:rPr>
          <w:rStyle w:val="FootnoteReference"/>
          <w:rFonts w:ascii="Cambria" w:hAnsi="Cambria"/>
          <w:sz w:val="16"/>
          <w:szCs w:val="16"/>
        </w:rPr>
        <w:footnoteRef/>
      </w:r>
      <w:r w:rsidRPr="00CE4228">
        <w:rPr>
          <w:rStyle w:val="FootnoteReference"/>
          <w:rFonts w:ascii="Cambria" w:hAnsi="Cambria"/>
          <w:sz w:val="16"/>
          <w:szCs w:val="16"/>
          <w:lang w:val="es-PE"/>
        </w:rPr>
        <w:t xml:space="preserve"> </w:t>
      </w:r>
      <w:r w:rsidRPr="00CE4228">
        <w:rPr>
          <w:rFonts w:ascii="Cambria" w:hAnsi="Cambria"/>
          <w:sz w:val="16"/>
          <w:szCs w:val="16"/>
          <w:lang w:val="es-ES"/>
        </w:rPr>
        <w:t>CIDH. Informe sobre Pobreza y Derechos Humanos en las Américas. 7 de septiembre de 2017, párr. 432</w:t>
      </w:r>
    </w:p>
  </w:footnote>
  <w:footnote w:id="243">
    <w:p w:rsidR="00BB0B93" w:rsidRPr="00CE4228" w:rsidRDefault="00BB0B93" w:rsidP="00CE4228">
      <w:pPr>
        <w:jc w:val="both"/>
        <w:rPr>
          <w:rFonts w:ascii="Cambria" w:hAnsi="Cambria" w:cs="Arial"/>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w:t>
      </w:r>
      <w:r w:rsidRPr="00CE4228">
        <w:rPr>
          <w:rFonts w:ascii="Cambria" w:hAnsi="Cambria" w:cs="Arial"/>
          <w:sz w:val="16"/>
          <w:szCs w:val="16"/>
          <w:lang w:val="es-ES"/>
        </w:rPr>
        <w:t>CIDH, Acceso a la Justicia para las Mujeres Víctimas de Violencia en las Américas, 20 de enero de 2007, párrs. 100 y 101.</w:t>
      </w:r>
      <w:r w:rsidRPr="00CE4228">
        <w:rPr>
          <w:rFonts w:ascii="Cambria" w:hAnsi="Cambria"/>
          <w:sz w:val="16"/>
          <w:szCs w:val="16"/>
          <w:lang w:val="es-ES"/>
        </w:rPr>
        <w:t xml:space="preserve"> CIDH. Consideraciones sobre la compatibilidad de las medidas de acción afirmativa concebidas para promover la participación política de la mujer con los principios de igualdad y no discriminación, Informe Anual, 1999, 13 abril 2000, Capítulo VI.</w:t>
      </w:r>
    </w:p>
  </w:footnote>
  <w:footnote w:id="244">
    <w:p w:rsidR="00BB0B93" w:rsidRPr="00CE4228" w:rsidRDefault="00BB0B93" w:rsidP="00CE4228">
      <w:pPr>
        <w:pStyle w:val="FootnoteText"/>
        <w:jc w:val="both"/>
        <w:rPr>
          <w:rFonts w:ascii="Cambria" w:hAnsi="Cambria"/>
          <w:sz w:val="16"/>
          <w:szCs w:val="16"/>
          <w:lang w:val="es-ES"/>
        </w:rPr>
      </w:pPr>
      <w:r w:rsidRPr="00CE4228">
        <w:rPr>
          <w:rStyle w:val="FootnoteReference"/>
          <w:rFonts w:ascii="Cambria" w:hAnsi="Cambria"/>
          <w:sz w:val="16"/>
          <w:szCs w:val="16"/>
          <w:lang w:val="es-ES"/>
        </w:rPr>
        <w:footnoteRef/>
      </w:r>
      <w:r w:rsidRPr="00CE4228">
        <w:rPr>
          <w:rFonts w:ascii="Cambria" w:hAnsi="Cambria"/>
          <w:sz w:val="16"/>
          <w:szCs w:val="16"/>
          <w:lang w:val="es-ES"/>
        </w:rPr>
        <w:t xml:space="preserve"> Corte IDH. </w:t>
      </w:r>
      <w:r w:rsidRPr="00CE4228">
        <w:rPr>
          <w:rFonts w:ascii="Cambria" w:hAnsi="Cambria"/>
          <w:iCs/>
          <w:sz w:val="16"/>
          <w:szCs w:val="16"/>
          <w:lang w:val="es-ES"/>
        </w:rPr>
        <w:t>Condición Jurídica y Derechos de los Migrantes Indocumentados.</w:t>
      </w:r>
      <w:r w:rsidRPr="00CE4228">
        <w:rPr>
          <w:rFonts w:ascii="Cambria" w:hAnsi="Cambria"/>
          <w:sz w:val="16"/>
          <w:szCs w:val="16"/>
          <w:lang w:val="es-ES"/>
        </w:rPr>
        <w:t xml:space="preserve"> Opinión Consultiva OC-18/03 de 17 de septiembre  de 2003. Serie A No. 18, párr. 104. </w:t>
      </w:r>
    </w:p>
  </w:footnote>
  <w:footnote w:id="245">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Oficina del Alto Comisionado de las Naciones Unidas para los Derechos Humanos, Manual para Parlamentarios sobre la Convención sobre los Derechos de las Personas con Discapacidad y su Protocolo Facultativo, Ginebra, 2007. p.20.</w:t>
      </w:r>
    </w:p>
  </w:footnote>
  <w:footnote w:id="246">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pt-BR"/>
        </w:rPr>
        <w:t xml:space="preserve"> Corte IDH. Caso Bámaca Velásquez vs. Guatemala. </w:t>
      </w:r>
      <w:r w:rsidRPr="00CE4228">
        <w:rPr>
          <w:rFonts w:ascii="Cambria" w:hAnsi="Cambria"/>
          <w:sz w:val="16"/>
          <w:szCs w:val="16"/>
          <w:lang w:val="es-ES"/>
        </w:rPr>
        <w:t>Sentencia de 25 de noviembre de 2000. Serie C No. 70, párr. 179.</w:t>
      </w:r>
    </w:p>
  </w:footnote>
  <w:footnote w:id="247">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Corte IDH. </w:t>
      </w:r>
      <w:r w:rsidRPr="00CE4228">
        <w:rPr>
          <w:rFonts w:ascii="Cambria" w:hAnsi="Cambria"/>
          <w:i/>
          <w:sz w:val="16"/>
          <w:szCs w:val="16"/>
          <w:lang w:val="es-ES"/>
        </w:rPr>
        <w:t xml:space="preserve">Caso de las Niñas </w:t>
      </w:r>
      <w:proofErr w:type="spellStart"/>
      <w:r w:rsidRPr="00CE4228">
        <w:rPr>
          <w:rFonts w:ascii="Cambria" w:hAnsi="Cambria"/>
          <w:i/>
          <w:sz w:val="16"/>
          <w:szCs w:val="16"/>
          <w:lang w:val="es-ES"/>
        </w:rPr>
        <w:t>Yean</w:t>
      </w:r>
      <w:proofErr w:type="spellEnd"/>
      <w:r w:rsidRPr="00CE4228">
        <w:rPr>
          <w:rFonts w:ascii="Cambria" w:hAnsi="Cambria"/>
          <w:i/>
          <w:sz w:val="16"/>
          <w:szCs w:val="16"/>
          <w:lang w:val="es-ES"/>
        </w:rPr>
        <w:t xml:space="preserve"> y </w:t>
      </w:r>
      <w:proofErr w:type="spellStart"/>
      <w:r w:rsidRPr="00CE4228">
        <w:rPr>
          <w:rFonts w:ascii="Cambria" w:hAnsi="Cambria"/>
          <w:i/>
          <w:sz w:val="16"/>
          <w:szCs w:val="16"/>
          <w:lang w:val="es-ES"/>
        </w:rPr>
        <w:t>Bosico</w:t>
      </w:r>
      <w:proofErr w:type="spellEnd"/>
      <w:r w:rsidRPr="00CE4228">
        <w:rPr>
          <w:rFonts w:ascii="Cambria" w:hAnsi="Cambria"/>
          <w:i/>
          <w:sz w:val="16"/>
          <w:szCs w:val="16"/>
          <w:lang w:val="es-ES"/>
        </w:rPr>
        <w:t xml:space="preserve"> vs. República Dominicana</w:t>
      </w:r>
      <w:r w:rsidRPr="00CE4228">
        <w:rPr>
          <w:rFonts w:ascii="Cambria" w:hAnsi="Cambria"/>
          <w:sz w:val="16"/>
          <w:szCs w:val="16"/>
          <w:lang w:val="es-ES"/>
        </w:rPr>
        <w:t>. Excepciones Preliminares, Fondo, Reparaciones y Costas. Sentencia de 8 de septiembre de 2005. Serie C No. 130, párr. 177.</w:t>
      </w:r>
    </w:p>
  </w:footnote>
  <w:footnote w:id="248">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Observación General No. 1. Artículo 12: Igual reconocimiento como persona ante la ley, 19 de mayo de 2014, párr. 7.</w:t>
      </w:r>
    </w:p>
  </w:footnote>
  <w:footnote w:id="249">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Observación General No. 1. Artículo 12: Igual reconocimiento como persona ante la ley, 19 de mayo de 2014, párr. 8.</w:t>
      </w:r>
    </w:p>
  </w:footnote>
  <w:footnote w:id="250">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Observación General No. 1. Artículo 12: Igual reconocimiento como persona ante la ley, 19 de mayo de 2014, párr. 5.</w:t>
      </w:r>
    </w:p>
  </w:footnote>
  <w:footnote w:id="251">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Observación General No. 1. Artículo 12: Igual reconocimiento como persona ante la ley, 19 de mayo de 2014, párr. 9.</w:t>
      </w:r>
    </w:p>
  </w:footnote>
  <w:footnote w:id="252">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Observación General No. 1. Artículo 12: Igual reconocimiento como persona ante la ley, 19 de mayo de 2014, párr. 13.</w:t>
      </w:r>
    </w:p>
  </w:footnote>
  <w:footnote w:id="253">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Observación General No. 1. Artículo 12: Igual reconocimiento como persona ante la ley, 19 de mayo de 2014, párr. 7.</w:t>
      </w:r>
    </w:p>
  </w:footnote>
  <w:footnote w:id="254">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Observación General No. 1. Artículo 12: Igual reconocimiento como persona ante la ley, 19 de mayo de 2014, párr. 7.</w:t>
      </w:r>
    </w:p>
  </w:footnote>
  <w:footnote w:id="255">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Observación General No. 1. Artículo 12: Igual reconocimiento como persona ante la ley, 19 de mayo de 2014, párr. 9.</w:t>
      </w:r>
    </w:p>
  </w:footnote>
  <w:footnote w:id="256">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Alta Comisionada para los Derechos Humanos. De la exclusión a la igualdad. Hacia el pleno ejercicio de los derechos de las personas con discapacidad. Ginebra: Naciones Unidas. 2007, p. 97. </w:t>
      </w:r>
    </w:p>
  </w:footnote>
  <w:footnote w:id="257">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Observación General No. 1. Artículo 12: Igual reconocimiento como persona ante la ley, 19 de mayo de 2014, párrs. 16 y 20.</w:t>
      </w:r>
    </w:p>
  </w:footnote>
  <w:footnote w:id="258">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Observación General No. 1. Artículo 12: Igual reconocimiento como persona ante la ley, 19 de mayo de 2014, párr. 26.</w:t>
      </w:r>
    </w:p>
  </w:footnote>
  <w:footnote w:id="259">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CEDH (Corte Europea de Derechos Humanos), A.N. Vs. </w:t>
      </w:r>
      <w:r w:rsidRPr="008A084A">
        <w:rPr>
          <w:rFonts w:ascii="Cambria" w:hAnsi="Cambria"/>
          <w:sz w:val="16"/>
          <w:szCs w:val="16"/>
          <w:lang w:val="es-ES"/>
        </w:rPr>
        <w:t xml:space="preserve">Lituania. Sentencia de 31 de agosto de 2016, párr. </w:t>
      </w:r>
      <w:r w:rsidRPr="00CE4228">
        <w:rPr>
          <w:rFonts w:ascii="Cambria" w:hAnsi="Cambria"/>
          <w:sz w:val="16"/>
          <w:szCs w:val="16"/>
          <w:lang w:val="es-ES"/>
        </w:rPr>
        <w:t>90.</w:t>
      </w:r>
      <w:r w:rsidRPr="00CE4228">
        <w:rPr>
          <w:rFonts w:ascii="Cambria" w:hAnsi="Cambria"/>
          <w:sz w:val="16"/>
          <w:szCs w:val="16"/>
          <w:lang w:val="es-ES"/>
        </w:rPr>
        <w:tab/>
      </w:r>
    </w:p>
  </w:footnote>
  <w:footnote w:id="260">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8A084A">
        <w:rPr>
          <w:rFonts w:ascii="Cambria" w:hAnsi="Cambria"/>
          <w:sz w:val="16"/>
          <w:szCs w:val="16"/>
          <w:lang w:val="es-ES"/>
        </w:rPr>
        <w:t xml:space="preserve"> Corte,</w:t>
      </w:r>
      <w:r w:rsidRPr="008A084A">
        <w:rPr>
          <w:rStyle w:val="Hyperlink"/>
          <w:rFonts w:ascii="Cambria" w:hAnsi="Cambria"/>
          <w:sz w:val="16"/>
          <w:szCs w:val="16"/>
          <w:u w:val="none"/>
          <w:shd w:val="clear" w:color="auto" w:fill="FFFFFF"/>
          <w:lang w:val="es-ES"/>
        </w:rPr>
        <w:t xml:space="preserve"> </w:t>
      </w:r>
      <w:r w:rsidRPr="008A084A">
        <w:rPr>
          <w:rStyle w:val="Strong"/>
          <w:rFonts w:ascii="Cambria" w:hAnsi="Cambria"/>
          <w:b w:val="0"/>
          <w:i/>
          <w:sz w:val="16"/>
          <w:szCs w:val="16"/>
          <w:shd w:val="clear" w:color="auto" w:fill="FFFFFF"/>
          <w:lang w:val="es-ES"/>
        </w:rPr>
        <w:t>Caso J. Vs. Perú</w:t>
      </w:r>
      <w:r w:rsidRPr="008A084A">
        <w:rPr>
          <w:rStyle w:val="Strong"/>
          <w:rFonts w:ascii="Cambria" w:hAnsi="Cambria"/>
          <w:b w:val="0"/>
          <w:sz w:val="16"/>
          <w:szCs w:val="16"/>
          <w:shd w:val="clear" w:color="auto" w:fill="FFFFFF"/>
          <w:lang w:val="es-ES"/>
        </w:rPr>
        <w:t xml:space="preserve">. </w:t>
      </w:r>
      <w:r w:rsidRPr="00CE4228">
        <w:rPr>
          <w:rStyle w:val="Strong"/>
          <w:rFonts w:ascii="Cambria" w:hAnsi="Cambria"/>
          <w:b w:val="0"/>
          <w:sz w:val="16"/>
          <w:szCs w:val="16"/>
          <w:shd w:val="clear" w:color="auto" w:fill="FFFFFF"/>
          <w:lang w:val="es-ES"/>
        </w:rPr>
        <w:t>Excepción Preliminar, Fondo, Reparaciones y Costas. Sentencia de 27 de noviembre de 2013. Serie C No. 275,</w:t>
      </w:r>
      <w:r w:rsidRPr="00CE4228">
        <w:rPr>
          <w:rFonts w:ascii="Cambria" w:hAnsi="Cambria"/>
          <w:sz w:val="16"/>
          <w:szCs w:val="16"/>
          <w:lang w:val="es-ES"/>
        </w:rPr>
        <w:t xml:space="preserve"> párr. 125.</w:t>
      </w:r>
    </w:p>
  </w:footnote>
  <w:footnote w:id="261">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w:t>
      </w:r>
      <w:r w:rsidRPr="00CE4228">
        <w:rPr>
          <w:rFonts w:ascii="Cambria" w:hAnsi="Cambria"/>
          <w:bCs/>
          <w:sz w:val="16"/>
          <w:szCs w:val="16"/>
          <w:lang w:val="es-ES"/>
        </w:rPr>
        <w:t xml:space="preserve">Corte IDH. </w:t>
      </w:r>
      <w:r w:rsidRPr="00CE4228">
        <w:rPr>
          <w:rFonts w:ascii="Cambria" w:hAnsi="Cambria"/>
          <w:bCs/>
          <w:i/>
          <w:sz w:val="16"/>
          <w:szCs w:val="16"/>
          <w:lang w:val="es-ES"/>
        </w:rPr>
        <w:t xml:space="preserve">Caso </w:t>
      </w:r>
      <w:proofErr w:type="spellStart"/>
      <w:r w:rsidRPr="00CE4228">
        <w:rPr>
          <w:rFonts w:ascii="Cambria" w:hAnsi="Cambria"/>
          <w:bCs/>
          <w:i/>
          <w:sz w:val="16"/>
          <w:szCs w:val="16"/>
          <w:lang w:val="es-ES"/>
        </w:rPr>
        <w:t>Nadege</w:t>
      </w:r>
      <w:proofErr w:type="spellEnd"/>
      <w:r w:rsidRPr="00CE4228">
        <w:rPr>
          <w:rFonts w:ascii="Cambria" w:hAnsi="Cambria"/>
          <w:bCs/>
          <w:i/>
          <w:sz w:val="16"/>
          <w:szCs w:val="16"/>
          <w:lang w:val="es-ES"/>
        </w:rPr>
        <w:t xml:space="preserve"> </w:t>
      </w:r>
      <w:proofErr w:type="spellStart"/>
      <w:r w:rsidRPr="00CE4228">
        <w:rPr>
          <w:rFonts w:ascii="Cambria" w:hAnsi="Cambria"/>
          <w:bCs/>
          <w:i/>
          <w:sz w:val="16"/>
          <w:szCs w:val="16"/>
          <w:lang w:val="es-ES"/>
        </w:rPr>
        <w:t>Dorzema</w:t>
      </w:r>
      <w:proofErr w:type="spellEnd"/>
      <w:r w:rsidRPr="00CE4228">
        <w:rPr>
          <w:rFonts w:ascii="Cambria" w:hAnsi="Cambria"/>
          <w:bCs/>
          <w:i/>
          <w:sz w:val="16"/>
          <w:szCs w:val="16"/>
          <w:lang w:val="es-ES"/>
        </w:rPr>
        <w:t xml:space="preserve"> y otros Vs. República Dominicana</w:t>
      </w:r>
      <w:r w:rsidRPr="00CE4228">
        <w:rPr>
          <w:rFonts w:ascii="Cambria" w:hAnsi="Cambria"/>
          <w:bCs/>
          <w:sz w:val="16"/>
          <w:szCs w:val="16"/>
          <w:lang w:val="es-ES"/>
        </w:rPr>
        <w:t>. Fondo Reparaciones y Costas. Sentencia de 24 de octubre de 2012. Serie C No. 251, párr. 125.</w:t>
      </w:r>
    </w:p>
  </w:footnote>
  <w:footnote w:id="262">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Corte IDH. </w:t>
      </w:r>
      <w:r w:rsidRPr="00CE4228">
        <w:rPr>
          <w:rFonts w:ascii="Cambria" w:hAnsi="Cambria"/>
          <w:i/>
          <w:sz w:val="16"/>
          <w:szCs w:val="16"/>
          <w:lang w:val="es-ES"/>
        </w:rPr>
        <w:t>Caso Chaparro Álvarez y Lapo Íñiguez Vs. Ecuador</w:t>
      </w:r>
      <w:r w:rsidRPr="00CE4228">
        <w:rPr>
          <w:rFonts w:ascii="Cambria" w:hAnsi="Cambria"/>
          <w:sz w:val="16"/>
          <w:szCs w:val="16"/>
          <w:lang w:val="es-ES"/>
        </w:rPr>
        <w:t>. Excepciones Preliminares, Fondo, Reparaciones y Costas. Sentencia de 21 de noviembre de 2007. Serie C No. 170, párr. 54.</w:t>
      </w:r>
    </w:p>
  </w:footnote>
  <w:footnote w:id="263">
    <w:p w:rsidR="00BB0B93" w:rsidRPr="00CE4228" w:rsidRDefault="00BB0B93" w:rsidP="00CE4228">
      <w:pPr>
        <w:pStyle w:val="FootnoteText"/>
        <w:jc w:val="both"/>
        <w:rPr>
          <w:rFonts w:ascii="Cambria" w:hAnsi="Cambria"/>
          <w:sz w:val="16"/>
          <w:szCs w:val="16"/>
          <w:lang w:val="es-CO"/>
        </w:rPr>
      </w:pPr>
      <w:r w:rsidRPr="00CE4228">
        <w:rPr>
          <w:rStyle w:val="FootnoteReference"/>
          <w:rFonts w:ascii="Cambria" w:hAnsi="Cambria"/>
          <w:sz w:val="16"/>
          <w:szCs w:val="16"/>
        </w:rPr>
        <w:footnoteRef/>
      </w:r>
      <w:r w:rsidRPr="00CE4228">
        <w:rPr>
          <w:rFonts w:ascii="Cambria" w:hAnsi="Cambria"/>
          <w:sz w:val="16"/>
          <w:szCs w:val="16"/>
          <w:lang w:val="es-ES"/>
        </w:rPr>
        <w:t xml:space="preserve"> </w:t>
      </w:r>
      <w:r w:rsidRPr="00CE4228">
        <w:rPr>
          <w:rFonts w:ascii="Cambria" w:hAnsi="Cambria"/>
          <w:sz w:val="16"/>
          <w:szCs w:val="16"/>
          <w:lang w:val="es-CO"/>
        </w:rPr>
        <w:t>CIDH. Informe sobre la Situación de Derechos Humanos en Guatemala. Aprobado el 31 de diciembre de 2017. Párr. 469. Citando:</w:t>
      </w:r>
      <w:r>
        <w:rPr>
          <w:rFonts w:ascii="Cambria" w:hAnsi="Cambria"/>
          <w:sz w:val="16"/>
          <w:szCs w:val="16"/>
          <w:lang w:val="es-CO"/>
        </w:rPr>
        <w:t xml:space="preserve"> </w:t>
      </w:r>
      <w:r w:rsidRPr="00CE4228">
        <w:rPr>
          <w:rFonts w:ascii="Cambria" w:hAnsi="Cambria"/>
          <w:sz w:val="16"/>
          <w:szCs w:val="16"/>
          <w:lang w:val="es-ES"/>
        </w:rPr>
        <w:t xml:space="preserve">Comité sobre los Derechos de las Personas con Discapacidad de la ONU, </w:t>
      </w:r>
      <w:r w:rsidRPr="00CE4228">
        <w:rPr>
          <w:rFonts w:ascii="Cambria" w:hAnsi="Cambria"/>
          <w:i/>
          <w:sz w:val="16"/>
          <w:szCs w:val="16"/>
          <w:lang w:val="es-ES"/>
        </w:rPr>
        <w:t xml:space="preserve">General </w:t>
      </w:r>
      <w:proofErr w:type="spellStart"/>
      <w:r w:rsidRPr="00CE4228">
        <w:rPr>
          <w:rFonts w:ascii="Cambria" w:hAnsi="Cambria"/>
          <w:i/>
          <w:sz w:val="16"/>
          <w:szCs w:val="16"/>
          <w:lang w:val="es-ES"/>
        </w:rPr>
        <w:t>comment</w:t>
      </w:r>
      <w:proofErr w:type="spellEnd"/>
      <w:r w:rsidRPr="00CE4228">
        <w:rPr>
          <w:rFonts w:ascii="Cambria" w:hAnsi="Cambria"/>
          <w:i/>
          <w:sz w:val="16"/>
          <w:szCs w:val="16"/>
          <w:lang w:val="es-ES"/>
        </w:rPr>
        <w:t xml:space="preserve"> </w:t>
      </w:r>
      <w:proofErr w:type="spellStart"/>
      <w:r w:rsidRPr="00CE4228">
        <w:rPr>
          <w:rFonts w:ascii="Cambria" w:hAnsi="Cambria"/>
          <w:i/>
          <w:sz w:val="16"/>
          <w:szCs w:val="16"/>
          <w:lang w:val="es-ES"/>
        </w:rPr>
        <w:t>on</w:t>
      </w:r>
      <w:proofErr w:type="spellEnd"/>
      <w:r w:rsidRPr="00CE4228">
        <w:rPr>
          <w:rFonts w:ascii="Cambria" w:hAnsi="Cambria"/>
          <w:i/>
          <w:sz w:val="16"/>
          <w:szCs w:val="16"/>
          <w:lang w:val="es-ES"/>
        </w:rPr>
        <w:t xml:space="preserve"> </w:t>
      </w:r>
      <w:proofErr w:type="spellStart"/>
      <w:r w:rsidRPr="00CE4228">
        <w:rPr>
          <w:rFonts w:ascii="Cambria" w:hAnsi="Cambria"/>
          <w:i/>
          <w:sz w:val="16"/>
          <w:szCs w:val="16"/>
          <w:lang w:val="es-ES"/>
        </w:rPr>
        <w:t>article</w:t>
      </w:r>
      <w:proofErr w:type="spellEnd"/>
      <w:r w:rsidRPr="00CE4228">
        <w:rPr>
          <w:rFonts w:ascii="Cambria" w:hAnsi="Cambria"/>
          <w:i/>
          <w:sz w:val="16"/>
          <w:szCs w:val="16"/>
          <w:lang w:val="es-ES"/>
        </w:rPr>
        <w:t xml:space="preserve"> 19: Living </w:t>
      </w:r>
      <w:proofErr w:type="spellStart"/>
      <w:r w:rsidRPr="00CE4228">
        <w:rPr>
          <w:rFonts w:ascii="Cambria" w:hAnsi="Cambria"/>
          <w:i/>
          <w:sz w:val="16"/>
          <w:szCs w:val="16"/>
          <w:lang w:val="es-ES"/>
        </w:rPr>
        <w:t>independently</w:t>
      </w:r>
      <w:proofErr w:type="spellEnd"/>
      <w:r w:rsidRPr="00CE4228">
        <w:rPr>
          <w:rFonts w:ascii="Cambria" w:hAnsi="Cambria"/>
          <w:i/>
          <w:sz w:val="16"/>
          <w:szCs w:val="16"/>
          <w:lang w:val="es-ES"/>
        </w:rPr>
        <w:t xml:space="preserve"> and </w:t>
      </w:r>
      <w:proofErr w:type="spellStart"/>
      <w:r w:rsidRPr="00CE4228">
        <w:rPr>
          <w:rFonts w:ascii="Cambria" w:hAnsi="Cambria"/>
          <w:i/>
          <w:sz w:val="16"/>
          <w:szCs w:val="16"/>
          <w:lang w:val="es-ES"/>
        </w:rPr>
        <w:t>being</w:t>
      </w:r>
      <w:proofErr w:type="spellEnd"/>
      <w:r w:rsidRPr="00CE4228">
        <w:rPr>
          <w:rFonts w:ascii="Cambria" w:hAnsi="Cambria"/>
          <w:i/>
          <w:sz w:val="16"/>
          <w:szCs w:val="16"/>
          <w:lang w:val="es-ES"/>
        </w:rPr>
        <w:t xml:space="preserve"> </w:t>
      </w:r>
      <w:proofErr w:type="spellStart"/>
      <w:r w:rsidRPr="00CE4228">
        <w:rPr>
          <w:rFonts w:ascii="Cambria" w:hAnsi="Cambria"/>
          <w:i/>
          <w:sz w:val="16"/>
          <w:szCs w:val="16"/>
          <w:lang w:val="es-ES"/>
        </w:rPr>
        <w:t>included</w:t>
      </w:r>
      <w:proofErr w:type="spellEnd"/>
      <w:r w:rsidRPr="00CE4228">
        <w:rPr>
          <w:rFonts w:ascii="Cambria" w:hAnsi="Cambria"/>
          <w:i/>
          <w:sz w:val="16"/>
          <w:szCs w:val="16"/>
          <w:lang w:val="es-ES"/>
        </w:rPr>
        <w:t xml:space="preserve"> in </w:t>
      </w:r>
      <w:proofErr w:type="spellStart"/>
      <w:r w:rsidRPr="00CE4228">
        <w:rPr>
          <w:rFonts w:ascii="Cambria" w:hAnsi="Cambria"/>
          <w:i/>
          <w:sz w:val="16"/>
          <w:szCs w:val="16"/>
          <w:lang w:val="es-ES"/>
        </w:rPr>
        <w:t>the</w:t>
      </w:r>
      <w:proofErr w:type="spellEnd"/>
      <w:r w:rsidRPr="00CE4228">
        <w:rPr>
          <w:rFonts w:ascii="Cambria" w:hAnsi="Cambria"/>
          <w:i/>
          <w:sz w:val="16"/>
          <w:szCs w:val="16"/>
          <w:lang w:val="es-ES"/>
        </w:rPr>
        <w:t xml:space="preserve"> </w:t>
      </w:r>
      <w:proofErr w:type="spellStart"/>
      <w:r w:rsidRPr="00CE4228">
        <w:rPr>
          <w:rFonts w:ascii="Cambria" w:hAnsi="Cambria"/>
          <w:i/>
          <w:sz w:val="16"/>
          <w:szCs w:val="16"/>
          <w:lang w:val="es-ES"/>
        </w:rPr>
        <w:t>community</w:t>
      </w:r>
      <w:proofErr w:type="spellEnd"/>
      <w:r w:rsidRPr="00CE4228">
        <w:rPr>
          <w:rFonts w:ascii="Cambria" w:hAnsi="Cambria"/>
          <w:sz w:val="16"/>
          <w:szCs w:val="16"/>
          <w:lang w:val="es-ES"/>
        </w:rPr>
        <w:t xml:space="preserve">, CRPD/C/18/1, 29 de agosto de 2017, párr. </w:t>
      </w:r>
      <w:r w:rsidRPr="00CE4228">
        <w:rPr>
          <w:rFonts w:ascii="Cambria" w:hAnsi="Cambria"/>
          <w:sz w:val="16"/>
          <w:szCs w:val="16"/>
          <w:lang w:val="es-CO"/>
        </w:rPr>
        <w:t>16 a).</w:t>
      </w:r>
    </w:p>
  </w:footnote>
  <w:footnote w:id="264">
    <w:p w:rsidR="00BB0B93" w:rsidRPr="00CE4228" w:rsidRDefault="00BB0B93" w:rsidP="00CE4228">
      <w:pPr>
        <w:pStyle w:val="FootnoteText"/>
        <w:jc w:val="both"/>
        <w:rPr>
          <w:rFonts w:ascii="Cambria" w:hAnsi="Cambria"/>
          <w:sz w:val="16"/>
          <w:szCs w:val="16"/>
          <w:lang w:val="es-CO"/>
        </w:rPr>
      </w:pPr>
      <w:r w:rsidRPr="00CE4228">
        <w:rPr>
          <w:rStyle w:val="FootnoteReference"/>
          <w:rFonts w:ascii="Cambria" w:hAnsi="Cambria"/>
          <w:sz w:val="16"/>
          <w:szCs w:val="16"/>
        </w:rPr>
        <w:footnoteRef/>
      </w:r>
      <w:r>
        <w:rPr>
          <w:rFonts w:ascii="Cambria" w:hAnsi="Cambria"/>
          <w:sz w:val="16"/>
          <w:szCs w:val="16"/>
          <w:lang w:val="es-CO"/>
        </w:rPr>
        <w:t xml:space="preserve"> </w:t>
      </w:r>
      <w:r w:rsidRPr="00CE4228">
        <w:rPr>
          <w:rFonts w:ascii="Cambria" w:hAnsi="Cambria"/>
          <w:sz w:val="16"/>
          <w:szCs w:val="16"/>
          <w:lang w:val="es-CO"/>
        </w:rPr>
        <w:t>CIDH. Informe sobre la Situación de Derechos Humanos en Guatemala. Aprobado el 31 de diciembre de 2017. Párr. 469. Citando</w:t>
      </w:r>
      <w:proofErr w:type="gramStart"/>
      <w:r w:rsidRPr="00CE4228">
        <w:rPr>
          <w:rFonts w:ascii="Cambria" w:hAnsi="Cambria"/>
          <w:sz w:val="16"/>
          <w:szCs w:val="16"/>
          <w:lang w:val="es-CO"/>
        </w:rPr>
        <w:t>:</w:t>
      </w:r>
      <w:r>
        <w:rPr>
          <w:rFonts w:ascii="Cambria" w:hAnsi="Cambria"/>
          <w:sz w:val="16"/>
          <w:szCs w:val="16"/>
          <w:lang w:val="es-CO"/>
        </w:rPr>
        <w:t xml:space="preserve"> </w:t>
      </w:r>
      <w:r w:rsidRPr="00CE4228">
        <w:rPr>
          <w:rFonts w:ascii="Cambria" w:hAnsi="Cambria"/>
          <w:sz w:val="16"/>
          <w:szCs w:val="16"/>
          <w:lang w:val="es-CO"/>
        </w:rPr>
        <w:t xml:space="preserve"> </w:t>
      </w:r>
      <w:proofErr w:type="spellStart"/>
      <w:r w:rsidRPr="00CE4228">
        <w:rPr>
          <w:rFonts w:ascii="Cambria" w:hAnsi="Cambria"/>
          <w:i/>
          <w:sz w:val="16"/>
          <w:szCs w:val="16"/>
          <w:lang w:val="es-CO"/>
        </w:rPr>
        <w:t>Ibidem</w:t>
      </w:r>
      <w:proofErr w:type="spellEnd"/>
      <w:proofErr w:type="gramEnd"/>
      <w:r w:rsidRPr="00CE4228">
        <w:rPr>
          <w:rFonts w:ascii="Cambria" w:hAnsi="Cambria"/>
          <w:i/>
          <w:sz w:val="16"/>
          <w:szCs w:val="16"/>
          <w:lang w:val="es-CO"/>
        </w:rPr>
        <w:t>,</w:t>
      </w:r>
      <w:r w:rsidRPr="00CE4228">
        <w:rPr>
          <w:rFonts w:ascii="Cambria" w:hAnsi="Cambria"/>
          <w:sz w:val="16"/>
          <w:szCs w:val="16"/>
          <w:lang w:val="es-CO"/>
        </w:rPr>
        <w:t xml:space="preserve"> párrs. 16 b) y 19.</w:t>
      </w:r>
    </w:p>
  </w:footnote>
  <w:footnote w:id="265">
    <w:p w:rsidR="00BB0B93" w:rsidRPr="00CE4228" w:rsidRDefault="00BB0B93" w:rsidP="00CE4228">
      <w:pPr>
        <w:pStyle w:val="FootnoteText"/>
        <w:jc w:val="both"/>
        <w:rPr>
          <w:rFonts w:ascii="Cambria" w:hAnsi="Cambria"/>
          <w:sz w:val="16"/>
          <w:szCs w:val="16"/>
          <w:lang w:val="es-CO"/>
        </w:rPr>
      </w:pPr>
      <w:r w:rsidRPr="00CE4228">
        <w:rPr>
          <w:rStyle w:val="FootnoteReference"/>
          <w:rFonts w:ascii="Cambria" w:hAnsi="Cambria"/>
          <w:sz w:val="16"/>
          <w:szCs w:val="16"/>
        </w:rPr>
        <w:footnoteRef/>
      </w:r>
      <w:r>
        <w:rPr>
          <w:rFonts w:ascii="Cambria" w:hAnsi="Cambria"/>
          <w:sz w:val="16"/>
          <w:szCs w:val="16"/>
          <w:lang w:val="es-CO"/>
        </w:rPr>
        <w:t xml:space="preserve"> </w:t>
      </w:r>
      <w:r w:rsidRPr="00CE4228">
        <w:rPr>
          <w:rFonts w:ascii="Cambria" w:hAnsi="Cambria"/>
          <w:sz w:val="16"/>
          <w:szCs w:val="16"/>
          <w:lang w:val="es-CO"/>
        </w:rPr>
        <w:t>CIDH. Informe sobre la Situación de Derechos Humanos en Guatemala. Aprobado el 31 de diciembre de 2017. Párr. 469. Citando:</w:t>
      </w:r>
      <w:r>
        <w:rPr>
          <w:rFonts w:ascii="Cambria" w:hAnsi="Cambria"/>
          <w:sz w:val="16"/>
          <w:szCs w:val="16"/>
          <w:lang w:val="es-CO"/>
        </w:rPr>
        <w:t xml:space="preserve"> </w:t>
      </w:r>
      <w:proofErr w:type="spellStart"/>
      <w:r w:rsidRPr="00CE4228">
        <w:rPr>
          <w:rFonts w:ascii="Cambria" w:hAnsi="Cambria"/>
          <w:i/>
          <w:sz w:val="16"/>
          <w:szCs w:val="16"/>
          <w:lang w:val="es-CO"/>
        </w:rPr>
        <w:t>Ibidem</w:t>
      </w:r>
      <w:proofErr w:type="spellEnd"/>
      <w:r w:rsidRPr="00CE4228">
        <w:rPr>
          <w:rFonts w:ascii="Cambria" w:hAnsi="Cambria"/>
          <w:i/>
          <w:sz w:val="16"/>
          <w:szCs w:val="16"/>
          <w:lang w:val="es-CO"/>
        </w:rPr>
        <w:t>,</w:t>
      </w:r>
      <w:r w:rsidRPr="00CE4228">
        <w:rPr>
          <w:rFonts w:ascii="Cambria" w:hAnsi="Cambria"/>
          <w:sz w:val="16"/>
          <w:szCs w:val="16"/>
          <w:lang w:val="es-CO"/>
        </w:rPr>
        <w:t xml:space="preserve"> párr. 16 c).</w:t>
      </w:r>
    </w:p>
  </w:footnote>
  <w:footnote w:id="266">
    <w:p w:rsidR="00BB0B93" w:rsidRPr="00CE4228" w:rsidRDefault="00BB0B93" w:rsidP="00CE4228">
      <w:pPr>
        <w:pStyle w:val="FootnoteText"/>
        <w:jc w:val="both"/>
        <w:rPr>
          <w:rFonts w:ascii="Cambria" w:hAnsi="Cambria"/>
          <w:sz w:val="16"/>
          <w:szCs w:val="16"/>
          <w:lang w:val="es-CO"/>
        </w:rPr>
      </w:pPr>
      <w:r w:rsidRPr="00CE4228">
        <w:rPr>
          <w:rStyle w:val="FootnoteReference"/>
          <w:rFonts w:ascii="Cambria" w:hAnsi="Cambria" w:cstheme="minorHAnsi"/>
          <w:sz w:val="16"/>
          <w:szCs w:val="16"/>
        </w:rPr>
        <w:footnoteRef/>
      </w:r>
      <w:r w:rsidRPr="00CE4228">
        <w:rPr>
          <w:rFonts w:ascii="Cambria" w:hAnsi="Cambria"/>
          <w:sz w:val="16"/>
          <w:szCs w:val="16"/>
          <w:lang w:val="es-MX"/>
        </w:rPr>
        <w:t xml:space="preserve"> </w:t>
      </w:r>
      <w:r w:rsidRPr="00CE4228">
        <w:rPr>
          <w:rFonts w:ascii="Cambria" w:hAnsi="Cambria"/>
          <w:sz w:val="16"/>
          <w:szCs w:val="16"/>
          <w:lang w:val="es-CO"/>
        </w:rPr>
        <w:t xml:space="preserve">CIDH. Informe sobre la Situación de Derechos Humanos en Guatemala. </w:t>
      </w:r>
      <w:proofErr w:type="spellStart"/>
      <w:proofErr w:type="gramStart"/>
      <w:r w:rsidRPr="008A084A">
        <w:rPr>
          <w:rFonts w:ascii="Cambria" w:hAnsi="Cambria"/>
          <w:sz w:val="16"/>
          <w:szCs w:val="16"/>
        </w:rPr>
        <w:t>Aprobado</w:t>
      </w:r>
      <w:proofErr w:type="spellEnd"/>
      <w:r w:rsidRPr="008A084A">
        <w:rPr>
          <w:rFonts w:ascii="Cambria" w:hAnsi="Cambria"/>
          <w:sz w:val="16"/>
          <w:szCs w:val="16"/>
        </w:rPr>
        <w:t xml:space="preserve"> el 31 de </w:t>
      </w:r>
      <w:proofErr w:type="spellStart"/>
      <w:r w:rsidRPr="008A084A">
        <w:rPr>
          <w:rFonts w:ascii="Cambria" w:hAnsi="Cambria"/>
          <w:sz w:val="16"/>
          <w:szCs w:val="16"/>
        </w:rPr>
        <w:t>diciembre</w:t>
      </w:r>
      <w:proofErr w:type="spellEnd"/>
      <w:r w:rsidRPr="008A084A">
        <w:rPr>
          <w:rFonts w:ascii="Cambria" w:hAnsi="Cambria"/>
          <w:sz w:val="16"/>
          <w:szCs w:val="16"/>
        </w:rPr>
        <w:t xml:space="preserve"> de 2017.</w:t>
      </w:r>
      <w:proofErr w:type="gramEnd"/>
      <w:r w:rsidRPr="008A084A">
        <w:rPr>
          <w:rFonts w:ascii="Cambria" w:hAnsi="Cambria"/>
          <w:sz w:val="16"/>
          <w:szCs w:val="16"/>
        </w:rPr>
        <w:t xml:space="preserve"> </w:t>
      </w:r>
      <w:proofErr w:type="spellStart"/>
      <w:proofErr w:type="gramStart"/>
      <w:r w:rsidRPr="008A084A">
        <w:rPr>
          <w:rFonts w:ascii="Cambria" w:hAnsi="Cambria"/>
          <w:sz w:val="16"/>
          <w:szCs w:val="16"/>
        </w:rPr>
        <w:t>Párr</w:t>
      </w:r>
      <w:proofErr w:type="spellEnd"/>
      <w:r w:rsidRPr="008A084A">
        <w:rPr>
          <w:rFonts w:ascii="Cambria" w:hAnsi="Cambria"/>
          <w:sz w:val="16"/>
          <w:szCs w:val="16"/>
        </w:rPr>
        <w:t>.</w:t>
      </w:r>
      <w:proofErr w:type="gramEnd"/>
      <w:r w:rsidRPr="008A084A">
        <w:rPr>
          <w:rFonts w:ascii="Cambria" w:hAnsi="Cambria"/>
          <w:sz w:val="16"/>
          <w:szCs w:val="16"/>
        </w:rPr>
        <w:t xml:space="preserve"> 469. </w:t>
      </w:r>
      <w:proofErr w:type="spellStart"/>
      <w:r w:rsidRPr="008A084A">
        <w:rPr>
          <w:rFonts w:ascii="Cambria" w:hAnsi="Cambria"/>
          <w:sz w:val="16"/>
          <w:szCs w:val="16"/>
        </w:rPr>
        <w:t>Citando</w:t>
      </w:r>
      <w:proofErr w:type="spellEnd"/>
      <w:r w:rsidRPr="008A084A">
        <w:rPr>
          <w:rFonts w:ascii="Cambria" w:hAnsi="Cambria"/>
          <w:sz w:val="16"/>
          <w:szCs w:val="16"/>
        </w:rPr>
        <w:t xml:space="preserve">: </w:t>
      </w:r>
      <w:proofErr w:type="spellStart"/>
      <w:r w:rsidRPr="008A084A">
        <w:rPr>
          <w:rFonts w:ascii="Cambria" w:hAnsi="Cambria"/>
          <w:i/>
          <w:sz w:val="16"/>
          <w:szCs w:val="16"/>
        </w:rPr>
        <w:t>Ibidem</w:t>
      </w:r>
      <w:proofErr w:type="spellEnd"/>
      <w:r w:rsidRPr="008A084A">
        <w:rPr>
          <w:rFonts w:ascii="Cambria" w:hAnsi="Cambria"/>
          <w:i/>
          <w:sz w:val="16"/>
          <w:szCs w:val="16"/>
        </w:rPr>
        <w:t>,</w:t>
      </w:r>
      <w:r w:rsidRPr="008A084A">
        <w:rPr>
          <w:rFonts w:ascii="Cambria" w:hAnsi="Cambria"/>
          <w:sz w:val="16"/>
          <w:szCs w:val="16"/>
        </w:rPr>
        <w:t xml:space="preserve"> </w:t>
      </w:r>
      <w:proofErr w:type="spellStart"/>
      <w:r w:rsidRPr="008A084A">
        <w:rPr>
          <w:rFonts w:ascii="Cambria" w:hAnsi="Cambria"/>
          <w:sz w:val="16"/>
          <w:szCs w:val="16"/>
        </w:rPr>
        <w:t>párr</w:t>
      </w:r>
      <w:proofErr w:type="spellEnd"/>
      <w:r w:rsidRPr="008A084A">
        <w:rPr>
          <w:rFonts w:ascii="Cambria" w:hAnsi="Cambria"/>
          <w:sz w:val="16"/>
          <w:szCs w:val="16"/>
        </w:rPr>
        <w:t xml:space="preserve">. </w:t>
      </w:r>
      <w:r w:rsidRPr="00CE4228">
        <w:rPr>
          <w:rFonts w:ascii="Cambria" w:hAnsi="Cambria"/>
          <w:sz w:val="16"/>
          <w:szCs w:val="16"/>
        </w:rPr>
        <w:t xml:space="preserve">83; y </w:t>
      </w:r>
      <w:r w:rsidRPr="00CE4228">
        <w:rPr>
          <w:rFonts w:ascii="Cambria" w:eastAsia="MS Mincho" w:hAnsi="Cambria"/>
          <w:sz w:val="16"/>
          <w:szCs w:val="16"/>
        </w:rPr>
        <w:t xml:space="preserve">Guidelines on article 14 of the Convention on the Rights of Persons with Disabilities: </w:t>
      </w:r>
      <w:r w:rsidRPr="00CE4228">
        <w:rPr>
          <w:rFonts w:ascii="Cambria" w:hAnsi="Cambria"/>
          <w:sz w:val="16"/>
          <w:szCs w:val="16"/>
          <w:lang w:eastAsia="en-GB"/>
        </w:rPr>
        <w:t xml:space="preserve">The right to liberty and security of persons with disabilities, </w:t>
      </w:r>
      <w:proofErr w:type="spellStart"/>
      <w:r w:rsidRPr="00CE4228">
        <w:rPr>
          <w:rFonts w:ascii="Cambria" w:hAnsi="Cambria"/>
          <w:sz w:val="16"/>
          <w:szCs w:val="16"/>
          <w:lang w:eastAsia="en-GB"/>
        </w:rPr>
        <w:t>adoptadas</w:t>
      </w:r>
      <w:proofErr w:type="spellEnd"/>
      <w:r w:rsidRPr="00CE4228">
        <w:rPr>
          <w:rFonts w:ascii="Cambria" w:hAnsi="Cambria"/>
          <w:sz w:val="16"/>
          <w:szCs w:val="16"/>
          <w:lang w:eastAsia="en-GB"/>
        </w:rPr>
        <w:t xml:space="preserve"> </w:t>
      </w:r>
      <w:proofErr w:type="spellStart"/>
      <w:proofErr w:type="gramStart"/>
      <w:r w:rsidRPr="00CE4228">
        <w:rPr>
          <w:rFonts w:ascii="Cambria" w:hAnsi="Cambria"/>
          <w:sz w:val="16"/>
          <w:szCs w:val="16"/>
          <w:lang w:eastAsia="en-GB"/>
        </w:rPr>
        <w:t>durante</w:t>
      </w:r>
      <w:proofErr w:type="spellEnd"/>
      <w:proofErr w:type="gramEnd"/>
      <w:r w:rsidRPr="00CE4228">
        <w:rPr>
          <w:rFonts w:ascii="Cambria" w:hAnsi="Cambria"/>
          <w:sz w:val="16"/>
          <w:szCs w:val="16"/>
          <w:lang w:eastAsia="en-GB"/>
        </w:rPr>
        <w:t xml:space="preserve"> el 4 </w:t>
      </w:r>
      <w:proofErr w:type="spellStart"/>
      <w:r w:rsidRPr="00CE4228">
        <w:rPr>
          <w:rFonts w:ascii="Cambria" w:hAnsi="Cambria"/>
          <w:sz w:val="16"/>
          <w:szCs w:val="16"/>
          <w:lang w:eastAsia="en-GB"/>
        </w:rPr>
        <w:t>periodo</w:t>
      </w:r>
      <w:proofErr w:type="spellEnd"/>
      <w:r w:rsidRPr="00CE4228">
        <w:rPr>
          <w:rFonts w:ascii="Cambria" w:hAnsi="Cambria"/>
          <w:sz w:val="16"/>
          <w:szCs w:val="16"/>
          <w:lang w:eastAsia="en-GB"/>
        </w:rPr>
        <w:t xml:space="preserve"> de </w:t>
      </w:r>
      <w:proofErr w:type="spellStart"/>
      <w:r w:rsidRPr="00CE4228">
        <w:rPr>
          <w:rFonts w:ascii="Cambria" w:hAnsi="Cambria"/>
          <w:sz w:val="16"/>
          <w:szCs w:val="16"/>
          <w:lang w:eastAsia="en-GB"/>
        </w:rPr>
        <w:t>sesiones</w:t>
      </w:r>
      <w:proofErr w:type="spellEnd"/>
      <w:r w:rsidRPr="00CE4228">
        <w:rPr>
          <w:rFonts w:ascii="Cambria" w:hAnsi="Cambria"/>
          <w:sz w:val="16"/>
          <w:szCs w:val="16"/>
          <w:lang w:eastAsia="en-GB"/>
        </w:rPr>
        <w:t xml:space="preserve">, </w:t>
      </w:r>
      <w:proofErr w:type="spellStart"/>
      <w:r w:rsidRPr="00CE4228">
        <w:rPr>
          <w:rFonts w:ascii="Cambria" w:hAnsi="Cambria"/>
          <w:sz w:val="16"/>
          <w:szCs w:val="16"/>
          <w:lang w:eastAsia="en-GB"/>
        </w:rPr>
        <w:t>septiembre</w:t>
      </w:r>
      <w:proofErr w:type="spellEnd"/>
      <w:r w:rsidRPr="00CE4228">
        <w:rPr>
          <w:rFonts w:ascii="Cambria" w:hAnsi="Cambria"/>
          <w:sz w:val="16"/>
          <w:szCs w:val="16"/>
          <w:lang w:eastAsia="en-GB"/>
        </w:rPr>
        <w:t xml:space="preserve"> de </w:t>
      </w:r>
      <w:r w:rsidRPr="00CE4228">
        <w:rPr>
          <w:rFonts w:ascii="Cambria" w:eastAsia="Times New Roman" w:hAnsi="Cambria"/>
          <w:sz w:val="16"/>
          <w:szCs w:val="16"/>
          <w:lang w:eastAsia="en-GB"/>
        </w:rPr>
        <w:t xml:space="preserve">2015, </w:t>
      </w:r>
      <w:proofErr w:type="spellStart"/>
      <w:r w:rsidRPr="00CE4228">
        <w:rPr>
          <w:rFonts w:ascii="Cambria" w:eastAsia="Times New Roman" w:hAnsi="Cambria"/>
          <w:sz w:val="16"/>
          <w:szCs w:val="16"/>
          <w:lang w:eastAsia="en-GB"/>
        </w:rPr>
        <w:t>párr</w:t>
      </w:r>
      <w:proofErr w:type="spellEnd"/>
      <w:r w:rsidRPr="00CE4228">
        <w:rPr>
          <w:rFonts w:ascii="Cambria" w:eastAsia="Times New Roman" w:hAnsi="Cambria"/>
          <w:sz w:val="16"/>
          <w:szCs w:val="16"/>
          <w:lang w:eastAsia="en-GB"/>
        </w:rPr>
        <w:t xml:space="preserve">. </w:t>
      </w:r>
      <w:r w:rsidRPr="00CE4228">
        <w:rPr>
          <w:rFonts w:ascii="Cambria" w:eastAsia="Times New Roman" w:hAnsi="Cambria"/>
          <w:sz w:val="16"/>
          <w:szCs w:val="16"/>
          <w:lang w:val="es-CO" w:eastAsia="en-GB"/>
        </w:rPr>
        <w:t xml:space="preserve">8. </w:t>
      </w:r>
    </w:p>
  </w:footnote>
  <w:footnote w:id="267">
    <w:p w:rsidR="00BB0B93" w:rsidRPr="00CE4228" w:rsidRDefault="00BB0B93">
      <w:pPr>
        <w:pStyle w:val="FootnoteText"/>
        <w:rPr>
          <w:lang w:val="es-CO"/>
        </w:rPr>
      </w:pPr>
      <w:r w:rsidRPr="00CE4228">
        <w:rPr>
          <w:rStyle w:val="FootnoteReference"/>
          <w:rFonts w:ascii="Cambria" w:hAnsi="Cambria"/>
          <w:sz w:val="16"/>
          <w:szCs w:val="16"/>
        </w:rPr>
        <w:footnoteRef/>
      </w:r>
      <w:r w:rsidRPr="00CE4228">
        <w:rPr>
          <w:rFonts w:ascii="Cambria" w:hAnsi="Cambria"/>
          <w:sz w:val="16"/>
          <w:szCs w:val="16"/>
          <w:lang w:val="es-CO"/>
        </w:rPr>
        <w:t xml:space="preserve"> CIDH. Informe sobre la Situación de Derechos Humanos en Guatemala. Aprobado el 31 de diciembre de 2017. Párr. 469.</w:t>
      </w:r>
    </w:p>
  </w:footnote>
  <w:footnote w:id="268">
    <w:p w:rsidR="00BB0B93" w:rsidRPr="00CE4228" w:rsidRDefault="00BB0B93" w:rsidP="00A37649">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Observación General No. 1. Artículo 12: Igual reconocimiento como persona ante la ley, 19 de mayo de 2014, párr. 40.</w:t>
      </w:r>
    </w:p>
  </w:footnote>
  <w:footnote w:id="269">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8A084A">
        <w:rPr>
          <w:rFonts w:ascii="Cambria" w:hAnsi="Cambria"/>
          <w:sz w:val="16"/>
          <w:szCs w:val="16"/>
          <w:lang w:val="es-ES"/>
        </w:rPr>
        <w:t xml:space="preserve"> CEDH, H.L. Vs. Reino Unido. </w:t>
      </w:r>
      <w:r w:rsidRPr="00CE4228">
        <w:rPr>
          <w:rFonts w:ascii="Cambria" w:hAnsi="Cambria"/>
          <w:sz w:val="16"/>
          <w:szCs w:val="16"/>
          <w:lang w:val="es-ES"/>
        </w:rPr>
        <w:t xml:space="preserve">Sentencia de 1 de mayo de 2005, párrs. 91-94. </w:t>
      </w:r>
    </w:p>
  </w:footnote>
  <w:footnote w:id="270">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Observación General No. 1. Artículo 12: Igual reconocimiento como persona ante la ley, 19 de mayo de 2014, párr. 46.</w:t>
      </w:r>
    </w:p>
  </w:footnote>
  <w:footnote w:id="271">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Observación General No. 1. Artículo 12: Igual reconocimiento como persona ante la ley, 19 de mayo de 2014, párr. 46.</w:t>
      </w:r>
    </w:p>
  </w:footnote>
  <w:footnote w:id="272">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Observaciones finales sobre el informe inicial de Honduras, 12 de abril de 2017, párr. 35.</w:t>
      </w:r>
    </w:p>
  </w:footnote>
  <w:footnote w:id="273">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Observaciones finales sobre el informe inicial de Jordania, 12 de abril de 2017, párr. 29. </w:t>
      </w:r>
    </w:p>
  </w:footnote>
  <w:footnote w:id="274">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CEDH, </w:t>
      </w:r>
      <w:proofErr w:type="spellStart"/>
      <w:r w:rsidRPr="00CE4228">
        <w:rPr>
          <w:rFonts w:ascii="Cambria" w:hAnsi="Cambria"/>
          <w:sz w:val="16"/>
          <w:szCs w:val="16"/>
          <w:lang w:val="es-ES"/>
        </w:rPr>
        <w:t>Stanev</w:t>
      </w:r>
      <w:proofErr w:type="spellEnd"/>
      <w:r w:rsidRPr="00CE4228">
        <w:rPr>
          <w:rFonts w:ascii="Cambria" w:hAnsi="Cambria"/>
          <w:sz w:val="16"/>
          <w:szCs w:val="16"/>
          <w:lang w:val="es-ES"/>
        </w:rPr>
        <w:t xml:space="preserve"> Vs. Bulgaria. Sentencia de 17 de enero de 2012,  párr. 129.</w:t>
      </w:r>
    </w:p>
  </w:footnote>
  <w:footnote w:id="275">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Observación General No. 1. Artículo 12: Igual reconocimiento como persona ante la ley, 19 de mayo de 2014, párr. 40.</w:t>
      </w:r>
    </w:p>
  </w:footnote>
  <w:footnote w:id="276">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Observación General No. 1. Artículo 12: Igual reconocimiento como persona ante la ley, 19 de mayo de 2014, párr. 46.</w:t>
      </w:r>
    </w:p>
  </w:footnote>
  <w:footnote w:id="277">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CEDH, </w:t>
      </w:r>
      <w:proofErr w:type="spellStart"/>
      <w:r w:rsidRPr="00CE4228">
        <w:rPr>
          <w:rFonts w:ascii="Cambria" w:hAnsi="Cambria"/>
          <w:sz w:val="16"/>
          <w:szCs w:val="16"/>
          <w:lang w:val="es-ES"/>
        </w:rPr>
        <w:t>Stanev</w:t>
      </w:r>
      <w:proofErr w:type="spellEnd"/>
      <w:r w:rsidRPr="00CE4228">
        <w:rPr>
          <w:rFonts w:ascii="Cambria" w:hAnsi="Cambria"/>
          <w:sz w:val="16"/>
          <w:szCs w:val="16"/>
          <w:lang w:val="es-ES"/>
        </w:rPr>
        <w:t xml:space="preserve"> Vs. Bulgaria. Sentencia de 17 de enero de 2012,  párr. 190.</w:t>
      </w:r>
    </w:p>
  </w:footnote>
  <w:footnote w:id="278">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CEDH, </w:t>
      </w:r>
      <w:proofErr w:type="spellStart"/>
      <w:r w:rsidRPr="00CE4228">
        <w:rPr>
          <w:rFonts w:ascii="Cambria" w:hAnsi="Cambria"/>
          <w:sz w:val="16"/>
          <w:szCs w:val="16"/>
          <w:lang w:val="es-ES"/>
        </w:rPr>
        <w:t>Stanev</w:t>
      </w:r>
      <w:proofErr w:type="spellEnd"/>
      <w:r w:rsidRPr="00CE4228">
        <w:rPr>
          <w:rFonts w:ascii="Cambria" w:hAnsi="Cambria"/>
          <w:sz w:val="16"/>
          <w:szCs w:val="16"/>
          <w:lang w:val="es-ES"/>
        </w:rPr>
        <w:t xml:space="preserve"> Vs. Bulgaria. Sentencia de 17 de enero de 2012,  párr. 172.</w:t>
      </w:r>
    </w:p>
  </w:footnote>
  <w:footnote w:id="279">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8A084A">
        <w:rPr>
          <w:rFonts w:ascii="Cambria" w:hAnsi="Cambria"/>
          <w:sz w:val="16"/>
          <w:szCs w:val="16"/>
          <w:lang w:val="es-ES"/>
        </w:rPr>
        <w:t xml:space="preserve"> Corte IDH. </w:t>
      </w:r>
      <w:r w:rsidRPr="008A084A">
        <w:rPr>
          <w:rStyle w:val="Strong"/>
          <w:rFonts w:ascii="Cambria" w:hAnsi="Cambria"/>
          <w:b w:val="0"/>
          <w:i/>
          <w:sz w:val="16"/>
          <w:szCs w:val="16"/>
          <w:lang w:val="es-ES"/>
        </w:rPr>
        <w:t xml:space="preserve">Caso Suárez Peralta Vs. </w:t>
      </w:r>
      <w:r w:rsidRPr="00CE4228">
        <w:rPr>
          <w:rStyle w:val="Strong"/>
          <w:rFonts w:ascii="Cambria" w:hAnsi="Cambria"/>
          <w:b w:val="0"/>
          <w:i/>
          <w:sz w:val="16"/>
          <w:szCs w:val="16"/>
          <w:lang w:val="es-ES"/>
        </w:rPr>
        <w:t>Ecuador</w:t>
      </w:r>
      <w:r w:rsidRPr="00CE4228">
        <w:rPr>
          <w:rStyle w:val="Strong"/>
          <w:rFonts w:ascii="Cambria" w:hAnsi="Cambria"/>
          <w:b w:val="0"/>
          <w:sz w:val="16"/>
          <w:szCs w:val="16"/>
          <w:lang w:val="es-ES"/>
        </w:rPr>
        <w:t>. Excepciones Preliminares, Fondo, Reparaciones y Costas. Sentencia de 21 de mayo de 2013. Serie C No. 261, párr. 128.</w:t>
      </w:r>
    </w:p>
  </w:footnote>
  <w:footnote w:id="280">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w:t>
      </w:r>
      <w:r w:rsidRPr="00CE4228">
        <w:rPr>
          <w:rStyle w:val="Strong"/>
          <w:rFonts w:ascii="Cambria" w:hAnsi="Cambria"/>
          <w:b w:val="0"/>
          <w:sz w:val="16"/>
          <w:szCs w:val="16"/>
          <w:shd w:val="clear" w:color="auto" w:fill="FFFFFF"/>
          <w:lang w:val="es-ES"/>
        </w:rPr>
        <w:t xml:space="preserve">Corte IDH. </w:t>
      </w:r>
      <w:r w:rsidRPr="00CE4228">
        <w:rPr>
          <w:rStyle w:val="Strong"/>
          <w:rFonts w:ascii="Cambria" w:hAnsi="Cambria"/>
          <w:b w:val="0"/>
          <w:i/>
          <w:sz w:val="16"/>
          <w:szCs w:val="16"/>
          <w:shd w:val="clear" w:color="auto" w:fill="FFFFFF"/>
          <w:lang w:val="es-ES"/>
        </w:rPr>
        <w:t>Caso Ximenes Lopes Vs. Brasil</w:t>
      </w:r>
      <w:r w:rsidRPr="00CE4228">
        <w:rPr>
          <w:rStyle w:val="Strong"/>
          <w:rFonts w:ascii="Cambria" w:hAnsi="Cambria"/>
          <w:b w:val="0"/>
          <w:sz w:val="16"/>
          <w:szCs w:val="16"/>
          <w:shd w:val="clear" w:color="auto" w:fill="FFFFFF"/>
          <w:lang w:val="es-ES"/>
        </w:rPr>
        <w:t xml:space="preserve">. Sentencia de 4 de julio de 2006. </w:t>
      </w:r>
      <w:r w:rsidRPr="00CE4228">
        <w:rPr>
          <w:rStyle w:val="Strong"/>
          <w:rFonts w:ascii="Cambria" w:hAnsi="Cambria"/>
          <w:b w:val="0"/>
          <w:sz w:val="16"/>
          <w:szCs w:val="16"/>
          <w:shd w:val="clear" w:color="auto" w:fill="FFFFFF"/>
          <w:lang w:val="es-CO"/>
        </w:rPr>
        <w:t>Serie C No. 149,</w:t>
      </w:r>
      <w:r w:rsidRPr="00CE4228">
        <w:rPr>
          <w:rStyle w:val="Strong"/>
          <w:rFonts w:ascii="Cambria" w:hAnsi="Cambria"/>
          <w:sz w:val="16"/>
          <w:szCs w:val="16"/>
          <w:shd w:val="clear" w:color="auto" w:fill="FFFFFF"/>
          <w:lang w:val="es-CO"/>
        </w:rPr>
        <w:t xml:space="preserve"> </w:t>
      </w:r>
      <w:r w:rsidRPr="00CE4228">
        <w:rPr>
          <w:rFonts w:ascii="Cambria" w:hAnsi="Cambria"/>
          <w:sz w:val="16"/>
          <w:szCs w:val="16"/>
          <w:lang w:val="es-ES"/>
        </w:rPr>
        <w:t>párr. 138.</w:t>
      </w:r>
    </w:p>
  </w:footnote>
  <w:footnote w:id="281">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CEDH, </w:t>
      </w:r>
      <w:proofErr w:type="spellStart"/>
      <w:r w:rsidRPr="00CE4228">
        <w:rPr>
          <w:rFonts w:ascii="Cambria" w:hAnsi="Cambria"/>
          <w:sz w:val="16"/>
          <w:szCs w:val="16"/>
          <w:lang w:val="es-ES"/>
        </w:rPr>
        <w:t>Stanev</w:t>
      </w:r>
      <w:proofErr w:type="spellEnd"/>
      <w:r w:rsidRPr="00CE4228">
        <w:rPr>
          <w:rFonts w:ascii="Cambria" w:hAnsi="Cambria"/>
          <w:sz w:val="16"/>
          <w:szCs w:val="16"/>
          <w:lang w:val="es-ES"/>
        </w:rPr>
        <w:t xml:space="preserve"> Vs. Bulgaria. Sentencia de 17 de enero de 2012,  párr. 209.</w:t>
      </w:r>
    </w:p>
  </w:footnote>
  <w:footnote w:id="282">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CEDH, </w:t>
      </w:r>
      <w:proofErr w:type="spellStart"/>
      <w:r w:rsidRPr="00CE4228">
        <w:rPr>
          <w:rFonts w:ascii="Cambria" w:hAnsi="Cambria"/>
          <w:sz w:val="16"/>
          <w:szCs w:val="16"/>
          <w:lang w:val="es-ES"/>
        </w:rPr>
        <w:t>Valentin</w:t>
      </w:r>
      <w:proofErr w:type="spellEnd"/>
      <w:r w:rsidRPr="00CE4228">
        <w:rPr>
          <w:rFonts w:ascii="Cambria" w:hAnsi="Cambria"/>
          <w:sz w:val="16"/>
          <w:szCs w:val="16"/>
          <w:lang w:val="es-ES"/>
        </w:rPr>
        <w:t xml:space="preserve"> </w:t>
      </w:r>
      <w:proofErr w:type="spellStart"/>
      <w:r w:rsidRPr="00CE4228">
        <w:rPr>
          <w:rFonts w:ascii="Cambria" w:hAnsi="Cambria"/>
          <w:sz w:val="16"/>
          <w:szCs w:val="16"/>
          <w:lang w:val="es-ES"/>
        </w:rPr>
        <w:t>Campeanu</w:t>
      </w:r>
      <w:proofErr w:type="spellEnd"/>
      <w:r w:rsidRPr="00CE4228">
        <w:rPr>
          <w:rFonts w:ascii="Cambria" w:hAnsi="Cambria"/>
          <w:sz w:val="16"/>
          <w:szCs w:val="16"/>
          <w:lang w:val="es-ES"/>
        </w:rPr>
        <w:t xml:space="preserve"> Vs. Rumania. Sentencia de 17 de julio de 2014,  párr. 130.</w:t>
      </w:r>
    </w:p>
  </w:footnote>
  <w:footnote w:id="283">
    <w:p w:rsidR="00BB0B93" w:rsidRPr="00CE4228" w:rsidRDefault="00BB0B93" w:rsidP="008B27B0">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w:t>
      </w:r>
      <w:r w:rsidRPr="00CE4228">
        <w:rPr>
          <w:rStyle w:val="Strong"/>
          <w:rFonts w:ascii="Cambria" w:hAnsi="Cambria"/>
          <w:b w:val="0"/>
          <w:sz w:val="16"/>
          <w:szCs w:val="16"/>
          <w:shd w:val="clear" w:color="auto" w:fill="FFFFFF"/>
          <w:lang w:val="es-ES"/>
        </w:rPr>
        <w:t xml:space="preserve">Corte IDH. </w:t>
      </w:r>
      <w:r w:rsidRPr="00CE4228">
        <w:rPr>
          <w:rStyle w:val="Strong"/>
          <w:rFonts w:ascii="Cambria" w:hAnsi="Cambria"/>
          <w:b w:val="0"/>
          <w:i/>
          <w:sz w:val="16"/>
          <w:szCs w:val="16"/>
          <w:shd w:val="clear" w:color="auto" w:fill="FFFFFF"/>
          <w:lang w:val="es-ES"/>
        </w:rPr>
        <w:t>Caso Ximenes Lopes Vs. Brasil</w:t>
      </w:r>
      <w:r w:rsidRPr="00CE4228">
        <w:rPr>
          <w:rStyle w:val="Strong"/>
          <w:rFonts w:ascii="Cambria" w:hAnsi="Cambria"/>
          <w:b w:val="0"/>
          <w:sz w:val="16"/>
          <w:szCs w:val="16"/>
          <w:shd w:val="clear" w:color="auto" w:fill="FFFFFF"/>
          <w:lang w:val="es-ES"/>
        </w:rPr>
        <w:t xml:space="preserve">. Sentencia de 4 de julio de 2006. </w:t>
      </w:r>
      <w:r w:rsidRPr="00CE4228">
        <w:rPr>
          <w:rStyle w:val="Strong"/>
          <w:rFonts w:ascii="Cambria" w:hAnsi="Cambria"/>
          <w:b w:val="0"/>
          <w:sz w:val="16"/>
          <w:szCs w:val="16"/>
          <w:shd w:val="clear" w:color="auto" w:fill="FFFFFF"/>
          <w:lang w:val="es-CO"/>
        </w:rPr>
        <w:t>Serie C No. 149,</w:t>
      </w:r>
      <w:r w:rsidRPr="00CE4228">
        <w:rPr>
          <w:rStyle w:val="Strong"/>
          <w:rFonts w:ascii="Cambria" w:hAnsi="Cambria"/>
          <w:sz w:val="16"/>
          <w:szCs w:val="16"/>
          <w:shd w:val="clear" w:color="auto" w:fill="FFFFFF"/>
          <w:lang w:val="es-CO"/>
        </w:rPr>
        <w:t xml:space="preserve"> </w:t>
      </w:r>
      <w:r w:rsidRPr="00CE4228">
        <w:rPr>
          <w:rFonts w:ascii="Cambria" w:hAnsi="Cambria"/>
          <w:sz w:val="16"/>
          <w:szCs w:val="16"/>
          <w:lang w:val="es-ES"/>
        </w:rPr>
        <w:t>párr</w:t>
      </w:r>
      <w:r>
        <w:rPr>
          <w:rFonts w:ascii="Cambria" w:hAnsi="Cambria"/>
          <w:sz w:val="16"/>
          <w:szCs w:val="16"/>
          <w:lang w:val="es-ES"/>
        </w:rPr>
        <w:t>s</w:t>
      </w:r>
      <w:r w:rsidRPr="00CE4228">
        <w:rPr>
          <w:rFonts w:ascii="Cambria" w:hAnsi="Cambria"/>
          <w:sz w:val="16"/>
          <w:szCs w:val="16"/>
          <w:lang w:val="es-ES"/>
        </w:rPr>
        <w:t>.</w:t>
      </w:r>
      <w:r>
        <w:rPr>
          <w:rFonts w:ascii="Cambria" w:hAnsi="Cambria"/>
          <w:sz w:val="16"/>
          <w:szCs w:val="16"/>
          <w:lang w:val="es-ES"/>
        </w:rPr>
        <w:t xml:space="preserve"> 106-108</w:t>
      </w:r>
      <w:r w:rsidRPr="00CE4228">
        <w:rPr>
          <w:rFonts w:ascii="Cambria" w:hAnsi="Cambria"/>
          <w:sz w:val="16"/>
          <w:szCs w:val="16"/>
          <w:lang w:val="es-ES"/>
        </w:rPr>
        <w:t>.</w:t>
      </w:r>
    </w:p>
  </w:footnote>
  <w:footnote w:id="284">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CIDH, Informe No. 102/13, Caso 12.723, Fondo, TGGL, Ecuador, 5 de noviembre de 2013. CIDH. Informe: Acceso a servicios de salud materna desde una perspectiva de derechos humanos. 7 de junio de 2010. Sección II.</w:t>
      </w:r>
    </w:p>
  </w:footnote>
  <w:footnote w:id="285">
    <w:p w:rsidR="00BB0B93" w:rsidRPr="00CE4228" w:rsidRDefault="00BB0B93" w:rsidP="00CE4228">
      <w:pPr>
        <w:tabs>
          <w:tab w:val="left" w:pos="90"/>
        </w:tabs>
        <w:autoSpaceDE w:val="0"/>
        <w:autoSpaceDN w:val="0"/>
        <w:adjustRightInd w:val="0"/>
        <w:contextualSpacing/>
        <w:jc w:val="both"/>
        <w:rPr>
          <w:rFonts w:ascii="Cambria" w:hAnsi="Cambria"/>
          <w:sz w:val="16"/>
          <w:szCs w:val="16"/>
          <w:lang w:val="es-CR" w:eastAsia="x-none"/>
        </w:rPr>
      </w:pPr>
      <w:r w:rsidRPr="00CE4228">
        <w:rPr>
          <w:rStyle w:val="FootnoteReference"/>
          <w:rFonts w:ascii="Cambria" w:hAnsi="Cambria"/>
          <w:sz w:val="16"/>
          <w:szCs w:val="16"/>
        </w:rPr>
        <w:footnoteRef/>
      </w:r>
      <w:r w:rsidRPr="009617A6">
        <w:rPr>
          <w:rFonts w:ascii="Cambria" w:hAnsi="Cambria"/>
          <w:sz w:val="16"/>
          <w:szCs w:val="16"/>
          <w:lang w:val="es-ES" w:eastAsia="x-none"/>
        </w:rPr>
        <w:t xml:space="preserve"> </w:t>
      </w:r>
      <w:r>
        <w:fldChar w:fldCharType="begin"/>
      </w:r>
      <w:r w:rsidRPr="00BB0B93">
        <w:rPr>
          <w:lang w:val="es-ES"/>
        </w:rPr>
        <w:instrText xml:space="preserve"> HYPERLINK "http://joomla.corteidh.or.cr:8080/joomla/es/jurisprudencia-oc-avanzado/38-jurisprudencia/2049-corte-idh-caso-suarez-peralta-vs-ecuador-excepciones-preliminares-fondo-reparaciones-y-costas-sentencia-de-21-de-mayo-de-2013-serie-c-no-261" </w:instrText>
      </w:r>
      <w:r>
        <w:fldChar w:fldCharType="separate"/>
      </w:r>
      <w:r w:rsidRPr="009617A6">
        <w:rPr>
          <w:rFonts w:ascii="Cambria" w:hAnsi="Cambria"/>
          <w:sz w:val="16"/>
          <w:szCs w:val="16"/>
          <w:lang w:val="es-ES"/>
        </w:rPr>
        <w:t xml:space="preserve">Corte IDH. </w:t>
      </w:r>
      <w:r w:rsidRPr="009617A6">
        <w:rPr>
          <w:rFonts w:ascii="Cambria" w:hAnsi="Cambria"/>
          <w:i/>
          <w:sz w:val="16"/>
          <w:szCs w:val="16"/>
          <w:lang w:val="es-ES"/>
        </w:rPr>
        <w:t xml:space="preserve">Caso Suárez Peralta Vs. </w:t>
      </w:r>
      <w:r w:rsidRPr="00CE4228">
        <w:rPr>
          <w:rFonts w:ascii="Cambria" w:hAnsi="Cambria"/>
          <w:i/>
          <w:sz w:val="16"/>
          <w:szCs w:val="16"/>
          <w:lang w:val="es-ES"/>
        </w:rPr>
        <w:t>Ecuador.</w:t>
      </w:r>
      <w:r w:rsidRPr="00CE4228">
        <w:rPr>
          <w:rFonts w:ascii="Cambria" w:hAnsi="Cambria"/>
          <w:sz w:val="16"/>
          <w:szCs w:val="16"/>
          <w:lang w:val="es-ES"/>
        </w:rPr>
        <w:t xml:space="preserve"> Excepciones Preliminares, Fondo, Reparaciones y Costas. Sentencia de 21 de mayo de 2013. Serie C No. 261</w:t>
      </w:r>
      <w:r>
        <w:rPr>
          <w:rFonts w:ascii="Cambria" w:hAnsi="Cambria"/>
          <w:sz w:val="16"/>
          <w:szCs w:val="16"/>
          <w:lang w:val="es-ES"/>
        </w:rPr>
        <w:fldChar w:fldCharType="end"/>
      </w:r>
      <w:r w:rsidRPr="00CE4228">
        <w:rPr>
          <w:rFonts w:ascii="Cambria" w:hAnsi="Cambria"/>
          <w:sz w:val="16"/>
          <w:szCs w:val="16"/>
          <w:lang w:val="es-ES"/>
        </w:rPr>
        <w:t xml:space="preserve">, párr. 130; </w:t>
      </w:r>
      <w:r w:rsidRPr="00CE4228">
        <w:rPr>
          <w:rFonts w:ascii="Cambria" w:hAnsi="Cambria"/>
          <w:sz w:val="16"/>
          <w:szCs w:val="16"/>
          <w:lang w:val="es-ES" w:eastAsia="x-none"/>
        </w:rPr>
        <w:t>y</w:t>
      </w:r>
      <w:r w:rsidRPr="00CE4228">
        <w:rPr>
          <w:rFonts w:ascii="Cambria" w:hAnsi="Cambria"/>
          <w:i/>
          <w:sz w:val="16"/>
          <w:szCs w:val="16"/>
          <w:lang w:val="es-ES" w:eastAsia="x-none"/>
        </w:rPr>
        <w:t xml:space="preserve"> Caso Vera </w:t>
      </w:r>
      <w:proofErr w:type="spellStart"/>
      <w:r w:rsidRPr="00CE4228">
        <w:rPr>
          <w:rFonts w:ascii="Cambria" w:hAnsi="Cambria"/>
          <w:i/>
          <w:sz w:val="16"/>
          <w:szCs w:val="16"/>
          <w:lang w:val="es-ES" w:eastAsia="x-none"/>
        </w:rPr>
        <w:t>Vera</w:t>
      </w:r>
      <w:proofErr w:type="spellEnd"/>
      <w:r w:rsidRPr="00CE4228">
        <w:rPr>
          <w:rFonts w:ascii="Cambria" w:hAnsi="Cambria"/>
          <w:i/>
          <w:sz w:val="16"/>
          <w:szCs w:val="16"/>
          <w:lang w:val="es-ES" w:eastAsia="x-none"/>
        </w:rPr>
        <w:t xml:space="preserve"> y otra Vs. Ecuador</w:t>
      </w:r>
      <w:r w:rsidRPr="00CE4228">
        <w:rPr>
          <w:rFonts w:ascii="Cambria" w:hAnsi="Cambria"/>
          <w:sz w:val="16"/>
          <w:szCs w:val="16"/>
          <w:lang w:val="es-ES" w:eastAsia="x-none"/>
        </w:rPr>
        <w:t xml:space="preserve">. </w:t>
      </w:r>
      <w:r w:rsidRPr="00CE4228">
        <w:rPr>
          <w:rFonts w:ascii="Cambria" w:hAnsi="Cambria"/>
          <w:i/>
          <w:sz w:val="16"/>
          <w:szCs w:val="16"/>
          <w:lang w:val="es-ES" w:eastAsia="x-none"/>
        </w:rPr>
        <w:t xml:space="preserve">Excepción Preliminar, Fondo, Reparaciones y Costas. </w:t>
      </w:r>
      <w:r w:rsidRPr="00CE4228">
        <w:rPr>
          <w:rFonts w:ascii="Cambria" w:hAnsi="Cambria"/>
          <w:sz w:val="16"/>
          <w:szCs w:val="16"/>
          <w:lang w:val="es-ES" w:eastAsia="x-none"/>
        </w:rPr>
        <w:t xml:space="preserve">Sentencia de 19 de mayo de 2011. Serie C No. 226, párr. </w:t>
      </w:r>
      <w:r w:rsidRPr="00CE4228">
        <w:rPr>
          <w:rFonts w:ascii="Cambria" w:hAnsi="Cambria"/>
          <w:sz w:val="16"/>
          <w:szCs w:val="16"/>
          <w:lang w:val="es-CR" w:eastAsia="x-none"/>
        </w:rPr>
        <w:t xml:space="preserve">43. </w:t>
      </w:r>
    </w:p>
  </w:footnote>
  <w:footnote w:id="286">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9617A6">
        <w:rPr>
          <w:rFonts w:ascii="Cambria" w:hAnsi="Cambria"/>
          <w:sz w:val="16"/>
          <w:szCs w:val="16"/>
          <w:lang w:val="es-ES"/>
        </w:rPr>
        <w:t xml:space="preserve"> </w:t>
      </w:r>
      <w:r>
        <w:fldChar w:fldCharType="begin"/>
      </w:r>
      <w:r w:rsidRPr="00BB0B93">
        <w:rPr>
          <w:lang w:val="es-ES"/>
        </w:rPr>
        <w:instrText xml:space="preserve"> HYPERLINK "http://joomla.corteidh.or.cr:8080/joomla/es/jurisprudencia-oc-avanzado/38-jurisprudencia/2049-corte-idh-caso-suarez-peralta-vs-ecuador-excepciones-preliminares-fondo-reparaciones-y-costas-sentencia-de-21-de-mayo-de-2013-serie-c-no-261" </w:instrText>
      </w:r>
      <w:r>
        <w:fldChar w:fldCharType="separate"/>
      </w:r>
      <w:r w:rsidRPr="009617A6">
        <w:rPr>
          <w:rFonts w:ascii="Cambria" w:hAnsi="Cambria"/>
          <w:sz w:val="16"/>
          <w:szCs w:val="16"/>
          <w:lang w:val="es-ES"/>
        </w:rPr>
        <w:t xml:space="preserve">Corte IDH. </w:t>
      </w:r>
      <w:r w:rsidRPr="009617A6">
        <w:rPr>
          <w:rFonts w:ascii="Cambria" w:hAnsi="Cambria"/>
          <w:i/>
          <w:sz w:val="16"/>
          <w:szCs w:val="16"/>
          <w:lang w:val="es-ES"/>
        </w:rPr>
        <w:t xml:space="preserve">Caso Suárez Peralta Vs. </w:t>
      </w:r>
      <w:r w:rsidRPr="00CE4228">
        <w:rPr>
          <w:rFonts w:ascii="Cambria" w:hAnsi="Cambria"/>
          <w:i/>
          <w:sz w:val="16"/>
          <w:szCs w:val="16"/>
          <w:lang w:val="es-ES"/>
        </w:rPr>
        <w:t>Ecuador.</w:t>
      </w:r>
      <w:r w:rsidRPr="00CE4228">
        <w:rPr>
          <w:rFonts w:ascii="Cambria" w:hAnsi="Cambria"/>
          <w:sz w:val="16"/>
          <w:szCs w:val="16"/>
          <w:lang w:val="es-ES"/>
        </w:rPr>
        <w:t xml:space="preserve"> Excepciones Preliminares, Fondo, Reparaciones y Costas. Sentencia de 21 de mayo de 2013. Serie C No. 261</w:t>
      </w:r>
      <w:r>
        <w:rPr>
          <w:rFonts w:ascii="Cambria" w:hAnsi="Cambria"/>
          <w:sz w:val="16"/>
          <w:szCs w:val="16"/>
          <w:lang w:val="es-ES"/>
        </w:rPr>
        <w:fldChar w:fldCharType="end"/>
      </w:r>
      <w:r w:rsidRPr="00CE4228">
        <w:rPr>
          <w:rFonts w:ascii="Cambria" w:hAnsi="Cambria"/>
          <w:sz w:val="16"/>
          <w:szCs w:val="16"/>
          <w:lang w:val="es-ES"/>
        </w:rPr>
        <w:t>, párr. 130</w:t>
      </w:r>
      <w:r w:rsidRPr="00CE4228">
        <w:rPr>
          <w:rFonts w:ascii="Cambria" w:hAnsi="Cambria"/>
          <w:sz w:val="16"/>
          <w:szCs w:val="16"/>
          <w:lang w:val="es-CR"/>
        </w:rPr>
        <w:t xml:space="preserve">; </w:t>
      </w:r>
      <w:r w:rsidRPr="00CE4228">
        <w:rPr>
          <w:rFonts w:ascii="Cambria" w:hAnsi="Cambria"/>
          <w:i/>
          <w:sz w:val="16"/>
          <w:szCs w:val="16"/>
          <w:lang w:val="es-CR"/>
        </w:rPr>
        <w:t xml:space="preserve">Caso Tibi Vs. Ecuador. </w:t>
      </w:r>
      <w:r w:rsidRPr="00CE4228">
        <w:rPr>
          <w:rFonts w:ascii="Cambria" w:hAnsi="Cambria"/>
          <w:sz w:val="16"/>
          <w:szCs w:val="16"/>
          <w:lang w:val="es-CR"/>
        </w:rPr>
        <w:t>Excepciones Preliminares, Fondos, Reparaciones y Costas.</w:t>
      </w:r>
      <w:r w:rsidRPr="00CE4228">
        <w:rPr>
          <w:rFonts w:ascii="Cambria" w:hAnsi="Cambria"/>
          <w:i/>
          <w:sz w:val="16"/>
          <w:szCs w:val="16"/>
          <w:lang w:val="es-CR"/>
        </w:rPr>
        <w:t xml:space="preserve"> </w:t>
      </w:r>
      <w:r w:rsidRPr="00CE4228">
        <w:rPr>
          <w:rFonts w:ascii="Cambria" w:hAnsi="Cambria"/>
          <w:sz w:val="16"/>
          <w:szCs w:val="16"/>
          <w:lang w:val="es-CR"/>
        </w:rPr>
        <w:t xml:space="preserve">Sentencia de 7 de septiembre de 2004. Serie C No. 114, párr. 157, y </w:t>
      </w:r>
      <w:r w:rsidRPr="00CE4228">
        <w:rPr>
          <w:rFonts w:ascii="Cambria" w:hAnsi="Cambria"/>
          <w:i/>
          <w:sz w:val="16"/>
          <w:szCs w:val="16"/>
          <w:lang w:val="es-ES"/>
        </w:rPr>
        <w:t xml:space="preserve">Caso Vera </w:t>
      </w:r>
      <w:proofErr w:type="spellStart"/>
      <w:r w:rsidRPr="00CE4228">
        <w:rPr>
          <w:rFonts w:ascii="Cambria" w:hAnsi="Cambria"/>
          <w:i/>
          <w:sz w:val="16"/>
          <w:szCs w:val="16"/>
          <w:lang w:val="es-ES"/>
        </w:rPr>
        <w:t>Vera</w:t>
      </w:r>
      <w:proofErr w:type="spellEnd"/>
      <w:r w:rsidRPr="00CE4228">
        <w:rPr>
          <w:rFonts w:ascii="Cambria" w:hAnsi="Cambria"/>
          <w:i/>
          <w:sz w:val="16"/>
          <w:szCs w:val="16"/>
          <w:lang w:val="es-ES"/>
        </w:rPr>
        <w:t xml:space="preserve"> y otra Vs. Ecuador</w:t>
      </w:r>
      <w:r w:rsidRPr="00CE4228">
        <w:rPr>
          <w:rFonts w:ascii="Cambria" w:hAnsi="Cambria"/>
          <w:sz w:val="16"/>
          <w:szCs w:val="16"/>
          <w:lang w:val="es-ES"/>
        </w:rPr>
        <w:t xml:space="preserve">. </w:t>
      </w:r>
      <w:r w:rsidRPr="00CE4228">
        <w:rPr>
          <w:rFonts w:ascii="Cambria" w:hAnsi="Cambria"/>
          <w:i/>
          <w:sz w:val="16"/>
          <w:szCs w:val="16"/>
          <w:lang w:val="es-ES"/>
        </w:rPr>
        <w:t>E</w:t>
      </w:r>
      <w:r w:rsidRPr="00CE4228">
        <w:rPr>
          <w:rFonts w:ascii="Cambria" w:hAnsi="Cambria"/>
          <w:sz w:val="16"/>
          <w:szCs w:val="16"/>
          <w:lang w:val="es-ES"/>
        </w:rPr>
        <w:t xml:space="preserve">xcepción Preliminar, Fondo, Reparaciones y Costas. Sentencia de 19 de mayo de 2011. Serie C No. 226, párr. </w:t>
      </w:r>
      <w:r w:rsidRPr="00CE4228">
        <w:rPr>
          <w:rFonts w:ascii="Cambria" w:hAnsi="Cambria"/>
          <w:sz w:val="16"/>
          <w:szCs w:val="16"/>
          <w:lang w:val="es-CR"/>
        </w:rPr>
        <w:t>44.</w:t>
      </w:r>
    </w:p>
  </w:footnote>
  <w:footnote w:id="287">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Corte IDH. </w:t>
      </w:r>
      <w:r w:rsidRPr="00CE4228">
        <w:rPr>
          <w:rFonts w:ascii="Cambria" w:hAnsi="Cambria"/>
          <w:bCs/>
          <w:i/>
          <w:sz w:val="16"/>
          <w:szCs w:val="16"/>
          <w:lang w:val="es-ES"/>
        </w:rPr>
        <w:t xml:space="preserve">Caso Acevedo Buendía y otros (“Cesantes y Jubilados de la Contraloría”) Vs. Perú. </w:t>
      </w:r>
      <w:r w:rsidRPr="00CE4228">
        <w:rPr>
          <w:rFonts w:ascii="Cambria" w:hAnsi="Cambria"/>
          <w:i/>
          <w:sz w:val="16"/>
          <w:szCs w:val="16"/>
          <w:lang w:val="es-ES"/>
        </w:rPr>
        <w:t>E</w:t>
      </w:r>
      <w:r w:rsidRPr="00CE4228">
        <w:rPr>
          <w:rFonts w:ascii="Cambria" w:hAnsi="Cambria"/>
          <w:sz w:val="16"/>
          <w:szCs w:val="16"/>
          <w:lang w:val="es-ES"/>
        </w:rPr>
        <w:t>xcepción Preliminar, Fondo, Reparaciones y Costas.</w:t>
      </w:r>
      <w:r w:rsidRPr="00CE4228">
        <w:rPr>
          <w:rFonts w:ascii="Cambria" w:hAnsi="Cambria"/>
          <w:i/>
          <w:sz w:val="16"/>
          <w:szCs w:val="16"/>
          <w:lang w:val="es-ES"/>
        </w:rPr>
        <w:t xml:space="preserve"> </w:t>
      </w:r>
      <w:r w:rsidRPr="00CE4228">
        <w:rPr>
          <w:rFonts w:ascii="Cambria" w:hAnsi="Cambria"/>
          <w:sz w:val="16"/>
          <w:szCs w:val="16"/>
          <w:lang w:val="es-ES"/>
        </w:rPr>
        <w:t>Sentencia de 1 de julio de 2009. Serie C No. 198, párr. 101. En el mismo sentido, véase: ONU.</w:t>
      </w:r>
      <w:r w:rsidRPr="00CE4228">
        <w:rPr>
          <w:rFonts w:ascii="Cambria" w:hAnsi="Cambria"/>
          <w:i/>
          <w:sz w:val="16"/>
          <w:szCs w:val="16"/>
          <w:lang w:val="es-ES"/>
        </w:rPr>
        <w:t xml:space="preserve"> </w:t>
      </w:r>
      <w:r w:rsidRPr="00CE4228">
        <w:rPr>
          <w:rFonts w:ascii="Cambria" w:hAnsi="Cambria"/>
          <w:sz w:val="16"/>
          <w:szCs w:val="16"/>
          <w:lang w:val="es-ES"/>
        </w:rPr>
        <w:t xml:space="preserve">Comité de Derechos Económicos, Sociales y Culturales. Observación General Número 9, párr. 10. </w:t>
      </w:r>
    </w:p>
  </w:footnote>
  <w:footnote w:id="288">
    <w:p w:rsidR="00BB0B93" w:rsidRPr="00CE4228" w:rsidRDefault="00BB0B93" w:rsidP="00CE4228">
      <w:pPr>
        <w:pStyle w:val="FootnoteText"/>
        <w:jc w:val="both"/>
        <w:rPr>
          <w:rFonts w:ascii="Cambria" w:hAnsi="Cambria"/>
          <w:sz w:val="16"/>
          <w:szCs w:val="16"/>
          <w:lang w:val="es-CO"/>
        </w:rPr>
      </w:pPr>
      <w:r w:rsidRPr="00CE4228">
        <w:rPr>
          <w:rStyle w:val="FootnoteReference"/>
          <w:rFonts w:ascii="Cambria" w:hAnsi="Cambria"/>
          <w:sz w:val="16"/>
          <w:szCs w:val="16"/>
        </w:rPr>
        <w:footnoteRef/>
      </w:r>
      <w:r w:rsidRPr="00CE4228">
        <w:rPr>
          <w:rFonts w:ascii="Cambria" w:hAnsi="Cambria"/>
          <w:sz w:val="16"/>
          <w:szCs w:val="16"/>
          <w:lang w:val="es-CO"/>
        </w:rPr>
        <w:t xml:space="preserve"> Ver por ejemplo algunos informes de admisibilidad en los cuales se ha admitido la posible violación del artículo 26 de la Convención: </w:t>
      </w:r>
      <w:r w:rsidRPr="00CE4228">
        <w:rPr>
          <w:rFonts w:ascii="Cambria" w:hAnsi="Cambria" w:cs="Helvetica"/>
          <w:color w:val="141413"/>
          <w:sz w:val="16"/>
          <w:szCs w:val="16"/>
          <w:lang w:val="es-CO" w:bidi="en-US"/>
        </w:rPr>
        <w:t xml:space="preserve">Informe 29/01. Caso 12.249. Jorge </w:t>
      </w:r>
      <w:proofErr w:type="spellStart"/>
      <w:r w:rsidRPr="00CE4228">
        <w:rPr>
          <w:rFonts w:ascii="Cambria" w:hAnsi="Cambria" w:cs="Helvetica"/>
          <w:color w:val="141413"/>
          <w:sz w:val="16"/>
          <w:szCs w:val="16"/>
          <w:lang w:val="es-CO" w:bidi="en-US"/>
        </w:rPr>
        <w:t>Odir</w:t>
      </w:r>
      <w:proofErr w:type="spellEnd"/>
      <w:r w:rsidRPr="00CE4228">
        <w:rPr>
          <w:rFonts w:ascii="Cambria" w:hAnsi="Cambria" w:cs="Helvetica"/>
          <w:color w:val="141413"/>
          <w:sz w:val="16"/>
          <w:szCs w:val="16"/>
          <w:lang w:val="es-CO" w:bidi="en-US"/>
        </w:rPr>
        <w:t xml:space="preserve"> Miranda Cortez y otros. El Salvador, 7 de marzo de 2001; e Informe 70/04. Petición 667/01. Admisibilidad. Jesús Manuel Naranjo Cárdenas y otros (Jubilados de la Empresa Venezolana de Aviación </w:t>
      </w:r>
      <w:proofErr w:type="spellStart"/>
      <w:r w:rsidRPr="00CE4228">
        <w:rPr>
          <w:rFonts w:ascii="Cambria" w:hAnsi="Cambria" w:cs="Helvetica"/>
          <w:color w:val="141413"/>
          <w:sz w:val="16"/>
          <w:szCs w:val="16"/>
          <w:lang w:val="es-CO" w:bidi="en-US"/>
        </w:rPr>
        <w:t>viasa</w:t>
      </w:r>
      <w:proofErr w:type="spellEnd"/>
      <w:r w:rsidRPr="00CE4228">
        <w:rPr>
          <w:rFonts w:ascii="Cambria" w:hAnsi="Cambria" w:cs="Helvetica"/>
          <w:color w:val="141413"/>
          <w:sz w:val="16"/>
          <w:szCs w:val="16"/>
          <w:lang w:val="es-CO" w:bidi="en-US"/>
        </w:rPr>
        <w:t>). Venezuela, 13 de octubre de 2004. Asimismo ver el pronunciamiento de fondo sobre el artículo 26 en Informe 38/09. Caso 12.670. Asociación Nacional de Ex Servidores del Instituto de Seguridad Social y otros vs. Perú. 27 de marzo de 2009. En similar sentido, la Corte reafirmó dicha competencia en Caso Acevedo Buendía y otros (“Cesantes y Jubilados de la Contraloría”) vs. Perú (Excepción Preliminar, Fondo, Reparaciones y Costas), Sentencia del 1 de julio de 2009.</w:t>
      </w:r>
    </w:p>
  </w:footnote>
  <w:footnote w:id="289">
    <w:p w:rsidR="00BB0B93" w:rsidRPr="00CE4228" w:rsidRDefault="00BB0B93" w:rsidP="00CE4228">
      <w:pPr>
        <w:pStyle w:val="FootnoteText"/>
        <w:jc w:val="both"/>
        <w:rPr>
          <w:rFonts w:ascii="Cambria" w:hAnsi="Cambria"/>
          <w:sz w:val="16"/>
          <w:szCs w:val="16"/>
          <w:lang w:val="es-PE"/>
        </w:rPr>
      </w:pPr>
      <w:r w:rsidRPr="00CE4228">
        <w:rPr>
          <w:rStyle w:val="FootnoteReference"/>
          <w:rFonts w:ascii="Cambria" w:hAnsi="Cambria"/>
          <w:sz w:val="16"/>
          <w:szCs w:val="16"/>
        </w:rPr>
        <w:footnoteRef/>
      </w:r>
      <w:r w:rsidRPr="00CE4228">
        <w:rPr>
          <w:rFonts w:ascii="Cambria" w:hAnsi="Cambria"/>
          <w:sz w:val="16"/>
          <w:szCs w:val="16"/>
          <w:lang w:val="es-PE"/>
        </w:rPr>
        <w:t xml:space="preserve"> El Estado ecuatoriano ratificó dicho Protocolo el 25 de marzo de 1993. </w:t>
      </w:r>
    </w:p>
  </w:footnote>
  <w:footnote w:id="290">
    <w:p w:rsidR="00BB0B93" w:rsidRPr="00CE4228" w:rsidRDefault="00BB0B93" w:rsidP="00CE4228">
      <w:pPr>
        <w:jc w:val="both"/>
        <w:rPr>
          <w:rFonts w:ascii="Cambria" w:hAnsi="Cambria"/>
          <w:color w:val="000000"/>
          <w:sz w:val="16"/>
          <w:szCs w:val="16"/>
          <w:lang w:val="es-AR"/>
        </w:rPr>
      </w:pPr>
      <w:r w:rsidRPr="00CE4228">
        <w:rPr>
          <w:rStyle w:val="FootnoteReference"/>
          <w:rFonts w:ascii="Cambria" w:hAnsi="Cambria"/>
          <w:sz w:val="16"/>
          <w:szCs w:val="16"/>
        </w:rPr>
        <w:footnoteRef/>
      </w:r>
      <w:r w:rsidRPr="00CE4228">
        <w:rPr>
          <w:rFonts w:ascii="Cambria" w:hAnsi="Cambria"/>
          <w:sz w:val="16"/>
          <w:szCs w:val="16"/>
          <w:lang w:val="es-PE"/>
        </w:rPr>
        <w:t xml:space="preserve"> </w:t>
      </w:r>
      <w:r w:rsidRPr="00CE4228">
        <w:rPr>
          <w:rFonts w:ascii="Cambria" w:hAnsi="Cambria"/>
          <w:color w:val="000000"/>
          <w:sz w:val="16"/>
          <w:szCs w:val="16"/>
          <w:lang w:val="es-AR"/>
        </w:rPr>
        <w:t xml:space="preserve">CIDH. Informe No. 38/09. Caso 12.670. </w:t>
      </w:r>
      <w:proofErr w:type="spellStart"/>
      <w:r w:rsidRPr="00CE4228">
        <w:rPr>
          <w:rFonts w:ascii="Cambria" w:hAnsi="Cambria"/>
          <w:color w:val="000000"/>
          <w:sz w:val="16"/>
          <w:szCs w:val="16"/>
          <w:lang w:val="es-AR"/>
        </w:rPr>
        <w:t>Adminisibilidad</w:t>
      </w:r>
      <w:proofErr w:type="spellEnd"/>
      <w:r w:rsidRPr="00CE4228">
        <w:rPr>
          <w:rFonts w:ascii="Cambria" w:hAnsi="Cambria"/>
          <w:color w:val="000000"/>
          <w:sz w:val="16"/>
          <w:szCs w:val="16"/>
          <w:lang w:val="es-AR"/>
        </w:rPr>
        <w:t xml:space="preserve"> y fondo. Asociación Nacional de Ex Servidores del Instituto Peruano de Seguridad Social y otras. Perú. 27 de marzo de 2009. Párr. 134.</w:t>
      </w:r>
    </w:p>
  </w:footnote>
  <w:footnote w:id="291">
    <w:p w:rsidR="00BB0B93" w:rsidRPr="00CE4228" w:rsidRDefault="00BB0B93" w:rsidP="00CE4228">
      <w:pPr>
        <w:pStyle w:val="FootnoteText"/>
        <w:jc w:val="both"/>
        <w:rPr>
          <w:rFonts w:ascii="Cambria" w:hAnsi="Cambria"/>
          <w:sz w:val="16"/>
          <w:szCs w:val="16"/>
          <w:lang w:val="es-PE"/>
        </w:rPr>
      </w:pPr>
      <w:r w:rsidRPr="00CE4228">
        <w:rPr>
          <w:rStyle w:val="FootnoteReference"/>
          <w:rFonts w:ascii="Cambria" w:hAnsi="Cambria"/>
          <w:sz w:val="16"/>
          <w:szCs w:val="16"/>
        </w:rPr>
        <w:footnoteRef/>
      </w:r>
      <w:r w:rsidRPr="00CE4228">
        <w:rPr>
          <w:rFonts w:ascii="Cambria" w:hAnsi="Cambria"/>
          <w:sz w:val="16"/>
          <w:szCs w:val="16"/>
          <w:lang w:val="es-PE"/>
        </w:rPr>
        <w:t xml:space="preserve"> El Estado brasileño se adhirió a dicho tratado el 24 de enero de 1992. </w:t>
      </w:r>
    </w:p>
  </w:footnote>
  <w:footnote w:id="292">
    <w:p w:rsidR="00BB0B93" w:rsidRPr="00CE4228" w:rsidRDefault="00BB0B93" w:rsidP="00CE4228">
      <w:pPr>
        <w:pStyle w:val="FootnoteText"/>
        <w:jc w:val="both"/>
        <w:rPr>
          <w:rFonts w:ascii="Cambria" w:hAnsi="Cambria"/>
          <w:sz w:val="16"/>
          <w:szCs w:val="16"/>
          <w:lang w:val="es-PE"/>
        </w:rPr>
      </w:pPr>
      <w:r w:rsidRPr="00CE4228">
        <w:rPr>
          <w:rStyle w:val="FootnoteReference"/>
          <w:rFonts w:ascii="Cambria" w:hAnsi="Cambria"/>
          <w:sz w:val="16"/>
          <w:szCs w:val="16"/>
        </w:rPr>
        <w:footnoteRef/>
      </w:r>
      <w:r w:rsidRPr="00CE4228">
        <w:rPr>
          <w:rFonts w:ascii="Cambria" w:hAnsi="Cambria"/>
          <w:sz w:val="16"/>
          <w:szCs w:val="16"/>
          <w:lang w:val="es-PE"/>
        </w:rPr>
        <w:t xml:space="preserve"> Según esta disposición “</w:t>
      </w:r>
      <w:r w:rsidRPr="00CE4228">
        <w:rPr>
          <w:rFonts w:ascii="Cambria" w:hAnsi="Cambria"/>
          <w:sz w:val="16"/>
          <w:szCs w:val="16"/>
          <w:shd w:val="clear" w:color="auto" w:fill="FFFFFF"/>
          <w:lang w:val="es-PE"/>
        </w:rPr>
        <w:t>Cada uno de los Estados Partes en el presente Pacto se compromete a adoptar medidas, tanto por separado como mediante la asistencia y la cooperación internacionales, especialmente económicas y técnicas, hasta el máximo de los recursos de que disponga, para lograr progresivamente, por todos los medios apropiados, inclusive en particular la adopción de medidas legislativas, la plena efectividad de los derechos aquí reconocidos.</w:t>
      </w:r>
      <w:r w:rsidRPr="00CE4228">
        <w:rPr>
          <w:rFonts w:ascii="Cambria" w:hAnsi="Cambria"/>
          <w:sz w:val="16"/>
          <w:szCs w:val="16"/>
          <w:lang w:val="es-PE"/>
        </w:rPr>
        <w:t>”</w:t>
      </w:r>
    </w:p>
  </w:footnote>
  <w:footnote w:id="293">
    <w:p w:rsidR="00BB0B93" w:rsidRPr="00CE4228" w:rsidRDefault="00BB0B93" w:rsidP="00CE4228">
      <w:pPr>
        <w:jc w:val="both"/>
        <w:rPr>
          <w:rFonts w:ascii="Cambria" w:hAnsi="Cambria"/>
          <w:color w:val="000000"/>
          <w:sz w:val="16"/>
          <w:szCs w:val="16"/>
          <w:lang w:val="es-AR"/>
        </w:rPr>
      </w:pPr>
      <w:r w:rsidRPr="00CE4228">
        <w:rPr>
          <w:rStyle w:val="FootnoteReference"/>
          <w:rFonts w:ascii="Cambria" w:hAnsi="Cambria"/>
          <w:sz w:val="16"/>
          <w:szCs w:val="16"/>
        </w:rPr>
        <w:footnoteRef/>
      </w:r>
      <w:r w:rsidRPr="00CE4228">
        <w:rPr>
          <w:rFonts w:ascii="Cambria" w:hAnsi="Cambria"/>
          <w:sz w:val="16"/>
          <w:szCs w:val="16"/>
          <w:lang w:val="es-PE"/>
        </w:rPr>
        <w:t xml:space="preserve"> </w:t>
      </w:r>
      <w:r w:rsidRPr="00CE4228">
        <w:rPr>
          <w:rFonts w:ascii="Cambria" w:hAnsi="Cambria"/>
          <w:color w:val="000000"/>
          <w:sz w:val="16"/>
          <w:szCs w:val="16"/>
          <w:lang w:val="es-AR"/>
        </w:rPr>
        <w:t xml:space="preserve">CIDH. Informe No. 38/09. Caso 12.670. </w:t>
      </w:r>
      <w:proofErr w:type="spellStart"/>
      <w:r w:rsidRPr="00CE4228">
        <w:rPr>
          <w:rFonts w:ascii="Cambria" w:hAnsi="Cambria"/>
          <w:color w:val="000000"/>
          <w:sz w:val="16"/>
          <w:szCs w:val="16"/>
          <w:lang w:val="es-AR"/>
        </w:rPr>
        <w:t>Adminisibilidad</w:t>
      </w:r>
      <w:proofErr w:type="spellEnd"/>
      <w:r w:rsidRPr="00CE4228">
        <w:rPr>
          <w:rFonts w:ascii="Cambria" w:hAnsi="Cambria"/>
          <w:color w:val="000000"/>
          <w:sz w:val="16"/>
          <w:szCs w:val="16"/>
          <w:lang w:val="es-AR"/>
        </w:rPr>
        <w:t xml:space="preserve"> y fondo. Asociación Nacional de Ex Servidores del Instituto Peruano de Seguridad Social y otras. Perú. 27 de marzo de 2009. Párr. 136. </w:t>
      </w:r>
    </w:p>
  </w:footnote>
  <w:footnote w:id="294">
    <w:p w:rsidR="00BB0B93" w:rsidRPr="00CE4228" w:rsidRDefault="00BB0B93" w:rsidP="00CE4228">
      <w:pPr>
        <w:jc w:val="both"/>
        <w:rPr>
          <w:rFonts w:ascii="Cambria" w:eastAsia="Times New Roman" w:hAnsi="Cambria"/>
          <w:sz w:val="16"/>
          <w:szCs w:val="16"/>
          <w:lang w:val="es-PE"/>
        </w:rPr>
      </w:pPr>
      <w:r w:rsidRPr="00CE4228">
        <w:rPr>
          <w:rStyle w:val="FootnoteReference"/>
          <w:rFonts w:ascii="Cambria" w:hAnsi="Cambria"/>
          <w:sz w:val="16"/>
          <w:szCs w:val="16"/>
        </w:rPr>
        <w:footnoteRef/>
      </w:r>
      <w:r w:rsidRPr="00CE4228">
        <w:rPr>
          <w:rFonts w:ascii="Cambria" w:hAnsi="Cambria"/>
          <w:sz w:val="16"/>
          <w:szCs w:val="16"/>
          <w:lang w:val="es-PE"/>
        </w:rPr>
        <w:t xml:space="preserve"> </w:t>
      </w:r>
      <w:r w:rsidRPr="00CE4228">
        <w:rPr>
          <w:rFonts w:ascii="Cambria" w:eastAsia="Times New Roman" w:hAnsi="Cambria"/>
          <w:color w:val="000000"/>
          <w:sz w:val="16"/>
          <w:szCs w:val="16"/>
          <w:lang w:val="es-PE"/>
        </w:rPr>
        <w:t>Comité de Derechos Económicos, Sociales y Culturales de Naciones Unidas,</w:t>
      </w:r>
      <w:r w:rsidRPr="00CE4228">
        <w:rPr>
          <w:rStyle w:val="apple-converted-space"/>
          <w:rFonts w:ascii="Cambria" w:eastAsia="Times New Roman" w:hAnsi="Cambria"/>
          <w:color w:val="000000"/>
          <w:sz w:val="16"/>
          <w:szCs w:val="16"/>
          <w:lang w:val="es-PE"/>
        </w:rPr>
        <w:t> </w:t>
      </w:r>
      <w:r w:rsidRPr="00CE4228">
        <w:rPr>
          <w:rFonts w:ascii="Cambria" w:eastAsia="Times New Roman" w:hAnsi="Cambria"/>
          <w:iCs/>
          <w:color w:val="000000"/>
          <w:sz w:val="16"/>
          <w:szCs w:val="16"/>
          <w:lang w:val="es-PE"/>
        </w:rPr>
        <w:t>Observación general 3: La índole de las obligaciones de los Estados Partes (párrafo 1 del artículo 2 del Pacto)</w:t>
      </w:r>
      <w:r w:rsidRPr="00CE4228">
        <w:rPr>
          <w:rFonts w:ascii="Cambria" w:eastAsia="Times New Roman" w:hAnsi="Cambria"/>
          <w:color w:val="000000"/>
          <w:sz w:val="16"/>
          <w:szCs w:val="16"/>
          <w:lang w:val="es-PE"/>
        </w:rPr>
        <w:t>, 1990.</w:t>
      </w:r>
    </w:p>
  </w:footnote>
  <w:footnote w:id="295">
    <w:p w:rsidR="00BB0B93" w:rsidRPr="00CE4228" w:rsidRDefault="00BB0B93" w:rsidP="00CE4228">
      <w:pPr>
        <w:jc w:val="both"/>
        <w:rPr>
          <w:rFonts w:ascii="Cambria" w:eastAsia="Times New Roman" w:hAnsi="Cambria"/>
          <w:sz w:val="16"/>
          <w:szCs w:val="16"/>
          <w:lang w:val="es-PE"/>
        </w:rPr>
      </w:pPr>
      <w:r w:rsidRPr="00CE4228">
        <w:rPr>
          <w:rStyle w:val="FootnoteReference"/>
          <w:rFonts w:ascii="Cambria" w:hAnsi="Cambria"/>
          <w:sz w:val="16"/>
          <w:szCs w:val="16"/>
        </w:rPr>
        <w:footnoteRef/>
      </w:r>
      <w:r w:rsidRPr="00CE4228">
        <w:rPr>
          <w:rFonts w:ascii="Cambria" w:hAnsi="Cambria"/>
          <w:sz w:val="16"/>
          <w:szCs w:val="16"/>
          <w:lang w:val="es-PE"/>
        </w:rPr>
        <w:t xml:space="preserve"> </w:t>
      </w:r>
      <w:r w:rsidRPr="00CE4228">
        <w:rPr>
          <w:rFonts w:ascii="Cambria" w:eastAsia="Times New Roman" w:hAnsi="Cambria"/>
          <w:color w:val="000000"/>
          <w:sz w:val="16"/>
          <w:szCs w:val="16"/>
          <w:lang w:val="es-PE"/>
        </w:rPr>
        <w:t>Comité de Derechos Económicos, Sociales y Culturales de Naciones Unidas,</w:t>
      </w:r>
      <w:r w:rsidRPr="00CE4228">
        <w:rPr>
          <w:rStyle w:val="apple-converted-space"/>
          <w:rFonts w:ascii="Cambria" w:eastAsia="Times New Roman" w:hAnsi="Cambria"/>
          <w:color w:val="000000"/>
          <w:sz w:val="16"/>
          <w:szCs w:val="16"/>
          <w:lang w:val="es-PE"/>
        </w:rPr>
        <w:t> </w:t>
      </w:r>
      <w:r w:rsidRPr="00CE4228">
        <w:rPr>
          <w:rFonts w:ascii="Cambria" w:eastAsia="Times New Roman" w:hAnsi="Cambria"/>
          <w:iCs/>
          <w:color w:val="000000"/>
          <w:sz w:val="16"/>
          <w:szCs w:val="16"/>
          <w:lang w:val="es-PE"/>
        </w:rPr>
        <w:t>Observación general 3: La índole de las obligaciones de los Estados Partes (párrafo 1 del artículo 2 del Pacto)</w:t>
      </w:r>
      <w:r w:rsidRPr="00CE4228">
        <w:rPr>
          <w:rFonts w:ascii="Cambria" w:eastAsia="Times New Roman" w:hAnsi="Cambria"/>
          <w:color w:val="000000"/>
          <w:sz w:val="16"/>
          <w:szCs w:val="16"/>
          <w:lang w:val="es-PE"/>
        </w:rPr>
        <w:t xml:space="preserve">,  1990. En ese sentido ver: </w:t>
      </w:r>
      <w:r w:rsidRPr="00CE4228">
        <w:rPr>
          <w:rFonts w:ascii="Cambria" w:hAnsi="Cambria"/>
          <w:sz w:val="16"/>
          <w:szCs w:val="16"/>
          <w:lang w:val="es-PE"/>
        </w:rPr>
        <w:t>CIDH. Informe sobre pobreza y derechos humanos en las Américas OEA/</w:t>
      </w:r>
      <w:proofErr w:type="spellStart"/>
      <w:r w:rsidRPr="00CE4228">
        <w:rPr>
          <w:rFonts w:ascii="Cambria" w:hAnsi="Cambria"/>
          <w:sz w:val="16"/>
          <w:szCs w:val="16"/>
          <w:lang w:val="es-PE"/>
        </w:rPr>
        <w:t>Ser.L</w:t>
      </w:r>
      <w:proofErr w:type="spellEnd"/>
      <w:r w:rsidRPr="00CE4228">
        <w:rPr>
          <w:rFonts w:ascii="Cambria" w:hAnsi="Cambria"/>
          <w:sz w:val="16"/>
          <w:szCs w:val="16"/>
          <w:lang w:val="es-PE"/>
        </w:rPr>
        <w:t>/V/II.164 Doc. 147 (7 de septiembre de 2017) párrs. 236 y 237.</w:t>
      </w:r>
    </w:p>
  </w:footnote>
  <w:footnote w:id="296">
    <w:p w:rsidR="00BB0B93" w:rsidRPr="00CE4228" w:rsidRDefault="00BB0B93" w:rsidP="00CE4228">
      <w:pPr>
        <w:pStyle w:val="FootnoteText"/>
        <w:jc w:val="both"/>
        <w:rPr>
          <w:rFonts w:ascii="Cambria" w:hAnsi="Cambria"/>
          <w:sz w:val="16"/>
          <w:szCs w:val="16"/>
          <w:lang w:val="es-PE"/>
        </w:rPr>
      </w:pPr>
      <w:r w:rsidRPr="00CE4228">
        <w:rPr>
          <w:rStyle w:val="FootnoteReference"/>
          <w:rFonts w:ascii="Cambria" w:hAnsi="Cambria"/>
          <w:sz w:val="16"/>
          <w:szCs w:val="16"/>
        </w:rPr>
        <w:footnoteRef/>
      </w:r>
      <w:r w:rsidRPr="00CE4228">
        <w:rPr>
          <w:rFonts w:ascii="Cambria" w:hAnsi="Cambria"/>
          <w:sz w:val="16"/>
          <w:szCs w:val="16"/>
          <w:lang w:val="es-PE"/>
        </w:rPr>
        <w:t xml:space="preserve"> </w:t>
      </w:r>
      <w:r w:rsidRPr="00CE4228">
        <w:rPr>
          <w:rFonts w:ascii="Cambria" w:hAnsi="Cambria"/>
          <w:sz w:val="16"/>
          <w:szCs w:val="16"/>
          <w:lang w:val="es-ES"/>
        </w:rPr>
        <w:t>Son particularmente importantes el Pacto Internacional de Derechos Económicos, Sociales y Culturales, el Protocolo Adicional a la Convención Americana sobre Derechos Humanos en Materia de Derechos Económicos, Sociales y Culturales (Protocolo de San Salvador) y aún otros tratados como la Convención sobre los Derechos del Niño, la Convención para la Eliminación de Toda Forma de Discriminación contra la Mujer y los Convenios de la Organización Internacional del Trabajo.</w:t>
      </w:r>
    </w:p>
  </w:footnote>
  <w:footnote w:id="297">
    <w:p w:rsidR="00BB0B93" w:rsidRPr="00CE4228" w:rsidRDefault="00BB0B93" w:rsidP="00CE4228">
      <w:pPr>
        <w:pStyle w:val="FootnoteText"/>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de Derechos Económicos, Sociales y Culturales. Observación General Número 14, E/C.12/2000/4, 11 de agosto de 2000, párr. 12.</w:t>
      </w:r>
    </w:p>
  </w:footnote>
  <w:footnote w:id="298">
    <w:p w:rsidR="00BB0B93" w:rsidRPr="00CE4228" w:rsidRDefault="00BB0B93" w:rsidP="00CE4228">
      <w:pPr>
        <w:pStyle w:val="FootnoteText"/>
        <w:jc w:val="both"/>
        <w:rPr>
          <w:rFonts w:ascii="Cambria" w:hAnsi="Cambria"/>
          <w:sz w:val="16"/>
          <w:szCs w:val="16"/>
          <w:lang w:val="es-ES"/>
        </w:rPr>
      </w:pPr>
      <w:r w:rsidRPr="00CE4228">
        <w:rPr>
          <w:rStyle w:val="FootnoteReference"/>
          <w:rFonts w:ascii="Cambria" w:hAnsi="Cambria"/>
          <w:sz w:val="16"/>
          <w:szCs w:val="16"/>
        </w:rPr>
        <w:footnoteRef/>
      </w:r>
      <w:r w:rsidRPr="00CE4228">
        <w:rPr>
          <w:rStyle w:val="FootnoteReference"/>
          <w:rFonts w:ascii="Cambria" w:hAnsi="Cambria"/>
          <w:sz w:val="16"/>
          <w:szCs w:val="16"/>
          <w:lang w:val="es-PE"/>
        </w:rPr>
        <w:t xml:space="preserve"> </w:t>
      </w:r>
      <w:r w:rsidRPr="00CE4228">
        <w:rPr>
          <w:rFonts w:ascii="Cambria" w:hAnsi="Cambria"/>
          <w:sz w:val="16"/>
          <w:szCs w:val="16"/>
          <w:lang w:val="es-ES"/>
        </w:rPr>
        <w:t xml:space="preserve">CIDH. Informe No 2/16. Caso 12.484. Fondo. </w:t>
      </w:r>
      <w:proofErr w:type="spellStart"/>
      <w:r w:rsidRPr="00CE4228">
        <w:rPr>
          <w:rFonts w:ascii="Cambria" w:hAnsi="Cambria"/>
          <w:sz w:val="16"/>
          <w:szCs w:val="16"/>
          <w:lang w:val="es-ES"/>
        </w:rPr>
        <w:t>Cuscul</w:t>
      </w:r>
      <w:proofErr w:type="spellEnd"/>
      <w:r w:rsidRPr="00CE4228">
        <w:rPr>
          <w:rFonts w:ascii="Cambria" w:hAnsi="Cambria"/>
          <w:sz w:val="16"/>
          <w:szCs w:val="16"/>
          <w:lang w:val="es-ES"/>
        </w:rPr>
        <w:t xml:space="preserve"> </w:t>
      </w:r>
      <w:proofErr w:type="spellStart"/>
      <w:r w:rsidRPr="00CE4228">
        <w:rPr>
          <w:rFonts w:ascii="Cambria" w:hAnsi="Cambria"/>
          <w:sz w:val="16"/>
          <w:szCs w:val="16"/>
          <w:lang w:val="es-ES"/>
        </w:rPr>
        <w:t>Pivaral</w:t>
      </w:r>
      <w:proofErr w:type="spellEnd"/>
      <w:r w:rsidRPr="00CE4228">
        <w:rPr>
          <w:rFonts w:ascii="Cambria" w:hAnsi="Cambria"/>
          <w:sz w:val="16"/>
          <w:szCs w:val="16"/>
          <w:lang w:val="es-ES"/>
        </w:rPr>
        <w:t xml:space="preserve"> y otros. Guatemala, 13 de abril de 2016, párr. 106; Corte IDH. Caso Poblete Vilches y otros Vs. Chile. Fondo, Reparaciones y Costas. Sentencia de 8 de marzo de 2018. Serie C No. 349. párr. 120.</w:t>
      </w:r>
    </w:p>
  </w:footnote>
  <w:footnote w:id="299">
    <w:p w:rsidR="00BB0B93" w:rsidRPr="00CE4228" w:rsidRDefault="00BB0B93" w:rsidP="00CE4228">
      <w:pPr>
        <w:pStyle w:val="FootnoteText"/>
        <w:jc w:val="both"/>
        <w:rPr>
          <w:rFonts w:ascii="Cambria" w:hAnsi="Cambria"/>
          <w:sz w:val="16"/>
          <w:szCs w:val="16"/>
          <w:lang w:val="es-PE"/>
        </w:rPr>
      </w:pPr>
      <w:r w:rsidRPr="00CE4228">
        <w:rPr>
          <w:rStyle w:val="FootnoteReference"/>
          <w:rFonts w:ascii="Cambria" w:hAnsi="Cambria"/>
          <w:sz w:val="16"/>
          <w:szCs w:val="16"/>
        </w:rPr>
        <w:footnoteRef/>
      </w:r>
      <w:r w:rsidRPr="00CE4228">
        <w:rPr>
          <w:rFonts w:ascii="Cambria" w:hAnsi="Cambria"/>
          <w:sz w:val="16"/>
          <w:szCs w:val="16"/>
          <w:lang w:val="es-PE"/>
        </w:rPr>
        <w:t xml:space="preserve"> </w:t>
      </w:r>
      <w:r w:rsidRPr="00CE4228">
        <w:rPr>
          <w:rFonts w:ascii="Cambria" w:hAnsi="Cambria"/>
          <w:sz w:val="16"/>
          <w:szCs w:val="16"/>
          <w:lang w:val="es-ES"/>
        </w:rPr>
        <w:t xml:space="preserve">Informe del Relator Especial sobre el derecho de toda persona al disfrute del más alto nivel posible de salud física y mental, UN Doc. E/CN.4/2005/51, 14 de febrero de 2005, párr. 14; </w:t>
      </w:r>
      <w:r w:rsidRPr="00CE4228">
        <w:rPr>
          <w:rFonts w:ascii="Cambria" w:hAnsi="Cambria"/>
          <w:sz w:val="16"/>
          <w:szCs w:val="16"/>
          <w:lang w:val="es-ES"/>
        </w:rPr>
        <w:footnoteRef/>
      </w:r>
      <w:r w:rsidRPr="00CE4228">
        <w:rPr>
          <w:rFonts w:ascii="Cambria" w:hAnsi="Cambria"/>
          <w:sz w:val="16"/>
          <w:szCs w:val="16"/>
          <w:lang w:val="es-ES"/>
        </w:rPr>
        <w:t xml:space="preserve"> Informe del Relator Especial sobre el derecho de toda persona al disfrute del más alto nivel posible de salud física y mental, UN Doc. A/HRC/35/21, 28 de marzo de 2017, párrs. 39, 55, 61 y 94.a</w:t>
      </w:r>
    </w:p>
  </w:footnote>
  <w:footnote w:id="300">
    <w:p w:rsidR="00BB0B93" w:rsidRPr="00CE4228" w:rsidRDefault="00BB0B93" w:rsidP="00CE4228">
      <w:pPr>
        <w:pStyle w:val="FootnoteText"/>
        <w:jc w:val="both"/>
        <w:rPr>
          <w:rFonts w:ascii="Cambria" w:hAnsi="Cambria"/>
          <w:sz w:val="16"/>
          <w:szCs w:val="16"/>
          <w:lang w:val="es-PE"/>
        </w:rPr>
      </w:pPr>
      <w:r w:rsidRPr="00CE4228">
        <w:rPr>
          <w:rStyle w:val="FootnoteReference"/>
          <w:rFonts w:ascii="Cambria" w:hAnsi="Cambria"/>
          <w:sz w:val="16"/>
          <w:szCs w:val="16"/>
          <w:lang w:val="es-ES"/>
        </w:rPr>
        <w:footnoteRef/>
      </w:r>
      <w:r w:rsidRPr="00CE4228">
        <w:rPr>
          <w:rFonts w:ascii="Cambria" w:hAnsi="Cambria"/>
          <w:sz w:val="16"/>
          <w:szCs w:val="16"/>
          <w:lang w:val="es-PE"/>
        </w:rPr>
        <w:t xml:space="preserve"> </w:t>
      </w:r>
      <w:r w:rsidRPr="00CE4228">
        <w:rPr>
          <w:rFonts w:ascii="Cambria" w:hAnsi="Cambria"/>
          <w:sz w:val="16"/>
          <w:szCs w:val="16"/>
          <w:lang w:val="es-ES"/>
        </w:rPr>
        <w:t xml:space="preserve">Informe del Relator Especial sobre el derecho de toda persona al disfrute del más alto nivel posible de salud física y mental, UN Doc. A/HRC/35/21, 28 de marzo de 2017, párr. </w:t>
      </w:r>
      <w:r w:rsidRPr="00CE4228">
        <w:rPr>
          <w:rFonts w:ascii="Cambria" w:eastAsia="Times New Roman" w:hAnsi="Cambria" w:cs="Times New Roman"/>
          <w:iCs/>
          <w:sz w:val="16"/>
          <w:szCs w:val="16"/>
          <w:lang w:val="es-PE" w:eastAsia="en-US"/>
        </w:rPr>
        <w:t>58.</w:t>
      </w:r>
    </w:p>
  </w:footnote>
  <w:footnote w:id="301">
    <w:p w:rsidR="00BB0B93" w:rsidRPr="00CE4228" w:rsidRDefault="00BB0B93" w:rsidP="00CE4228">
      <w:pPr>
        <w:pStyle w:val="FootnoteText"/>
        <w:jc w:val="both"/>
        <w:rPr>
          <w:rFonts w:ascii="Cambria" w:hAnsi="Cambria"/>
          <w:sz w:val="16"/>
          <w:szCs w:val="16"/>
          <w:lang w:val="es-ES"/>
        </w:rPr>
      </w:pPr>
      <w:r w:rsidRPr="00CE4228">
        <w:rPr>
          <w:rStyle w:val="FootnoteReference"/>
          <w:rFonts w:ascii="Cambria" w:hAnsi="Cambria"/>
          <w:sz w:val="16"/>
          <w:szCs w:val="16"/>
          <w:lang w:val="es-ES"/>
        </w:rPr>
        <w:footnoteRef/>
      </w:r>
      <w:r w:rsidRPr="00CE4228">
        <w:rPr>
          <w:rFonts w:ascii="Cambria" w:hAnsi="Cambria"/>
          <w:sz w:val="16"/>
          <w:szCs w:val="16"/>
          <w:lang w:val="es-ES"/>
        </w:rPr>
        <w:t xml:space="preserve"> Corte I.D.H., </w:t>
      </w:r>
      <w:r w:rsidRPr="00CE4228">
        <w:rPr>
          <w:rFonts w:ascii="Cambria" w:hAnsi="Cambria"/>
          <w:i/>
          <w:sz w:val="16"/>
          <w:szCs w:val="16"/>
          <w:lang w:val="es-ES"/>
        </w:rPr>
        <w:t>Caso Claude Reyes y otros Vs. Chile</w:t>
      </w:r>
      <w:r w:rsidRPr="00CE4228">
        <w:rPr>
          <w:rFonts w:ascii="Cambria" w:hAnsi="Cambria"/>
          <w:sz w:val="16"/>
          <w:szCs w:val="16"/>
          <w:lang w:val="es-ES"/>
        </w:rPr>
        <w:t>, Fondo, Reparaciones y Costas, Sentencia de 19 de septiembre de 2006, Serie C No. 151, párr. 77.</w:t>
      </w:r>
    </w:p>
  </w:footnote>
  <w:footnote w:id="302">
    <w:p w:rsidR="00BB0B93" w:rsidRPr="00CE4228" w:rsidRDefault="00BB0B93" w:rsidP="00CE4228">
      <w:pPr>
        <w:autoSpaceDE w:val="0"/>
        <w:autoSpaceDN w:val="0"/>
        <w:adjustRightInd w:val="0"/>
        <w:jc w:val="both"/>
        <w:rPr>
          <w:rFonts w:ascii="Cambria" w:hAnsi="Cambria" w:cs="Calibri"/>
          <w:sz w:val="16"/>
          <w:szCs w:val="16"/>
          <w:lang w:val="es-ES"/>
        </w:rPr>
      </w:pPr>
      <w:r w:rsidRPr="00CE4228">
        <w:rPr>
          <w:rStyle w:val="FootnoteReference"/>
          <w:rFonts w:ascii="Cambria" w:hAnsi="Cambria"/>
          <w:sz w:val="16"/>
          <w:szCs w:val="16"/>
          <w:lang w:val="es-ES"/>
        </w:rPr>
        <w:footnoteRef/>
      </w:r>
      <w:r w:rsidRPr="00CE4228">
        <w:rPr>
          <w:rFonts w:ascii="Cambria" w:hAnsi="Cambria"/>
          <w:sz w:val="16"/>
          <w:szCs w:val="16"/>
          <w:lang w:val="es-ES"/>
        </w:rPr>
        <w:t xml:space="preserve"> CIDH. Informe No. 72/14. Caso 12.655. Fondo. I.V. Bolivia. 15 de agosto de 2014. Párr. 115. Citando. CIDH, </w:t>
      </w:r>
      <w:r w:rsidRPr="00CE4228">
        <w:rPr>
          <w:rFonts w:ascii="Cambria" w:hAnsi="Cambria"/>
          <w:i/>
          <w:sz w:val="16"/>
          <w:szCs w:val="16"/>
          <w:lang w:val="es-ES"/>
        </w:rPr>
        <w:t>Acceso a la información en materia reproductiva desde una perspectiva de derechos humanos</w:t>
      </w:r>
      <w:r w:rsidRPr="00CE4228">
        <w:rPr>
          <w:rFonts w:ascii="Cambria" w:hAnsi="Cambria"/>
          <w:sz w:val="16"/>
          <w:szCs w:val="16"/>
          <w:lang w:val="es-ES"/>
        </w:rPr>
        <w:t xml:space="preserve">, 22 de noviembre de 2011; CIDH. </w:t>
      </w:r>
      <w:r w:rsidRPr="00CE4228">
        <w:rPr>
          <w:rFonts w:ascii="Cambria" w:hAnsi="Cambria"/>
          <w:i/>
          <w:sz w:val="16"/>
          <w:szCs w:val="16"/>
          <w:lang w:val="es-ES"/>
        </w:rPr>
        <w:t>Lineamientos para la elaboración de indicadores de progreso en material de derechos económicos, sociales y culturales</w:t>
      </w:r>
      <w:r w:rsidRPr="00CE4228">
        <w:rPr>
          <w:rFonts w:ascii="Cambria" w:hAnsi="Cambria"/>
          <w:sz w:val="16"/>
          <w:szCs w:val="16"/>
          <w:lang w:val="es-ES"/>
        </w:rPr>
        <w:t>, 19 de julio de 2008, indicadores del derecho a la salud, pág. 48.</w:t>
      </w:r>
    </w:p>
  </w:footnote>
  <w:footnote w:id="303">
    <w:p w:rsidR="00BB0B93" w:rsidRPr="00CE4228" w:rsidRDefault="00BB0B93" w:rsidP="00CE4228">
      <w:pPr>
        <w:pStyle w:val="FootnoteText"/>
        <w:jc w:val="both"/>
        <w:rPr>
          <w:rFonts w:ascii="Cambria" w:hAnsi="Cambria"/>
          <w:sz w:val="16"/>
          <w:szCs w:val="16"/>
          <w:lang w:val="es-ES"/>
        </w:rPr>
      </w:pPr>
      <w:r w:rsidRPr="00CE4228">
        <w:rPr>
          <w:rStyle w:val="FootnoteReference"/>
          <w:rFonts w:ascii="Cambria" w:hAnsi="Cambria"/>
          <w:sz w:val="16"/>
          <w:szCs w:val="16"/>
          <w:lang w:val="es-ES"/>
        </w:rPr>
        <w:footnoteRef/>
      </w:r>
      <w:r w:rsidRPr="00CE4228">
        <w:rPr>
          <w:rFonts w:ascii="Cambria" w:hAnsi="Cambria"/>
          <w:sz w:val="16"/>
          <w:szCs w:val="16"/>
          <w:lang w:val="es-ES"/>
        </w:rPr>
        <w:t xml:space="preserve"> CIDH. Informe No. 72/14. Caso 12.655. Fondo. I.V. Bolivia. 15 de agosto de 2014. Párr. 115. Citando. CIDH, </w:t>
      </w:r>
      <w:r w:rsidRPr="00CE4228">
        <w:rPr>
          <w:rFonts w:ascii="Cambria" w:hAnsi="Cambria"/>
          <w:i/>
          <w:sz w:val="16"/>
          <w:szCs w:val="16"/>
          <w:lang w:val="es-ES"/>
        </w:rPr>
        <w:t>Acceso a la información en materia reproductiva desde una perspectiva de derechos humanos</w:t>
      </w:r>
      <w:r w:rsidRPr="00CE4228">
        <w:rPr>
          <w:rFonts w:ascii="Cambria" w:hAnsi="Cambria"/>
          <w:sz w:val="16"/>
          <w:szCs w:val="16"/>
          <w:lang w:val="es-ES"/>
        </w:rPr>
        <w:t xml:space="preserve">, 22 de noviembre de 2011, párr. 43. </w:t>
      </w:r>
    </w:p>
  </w:footnote>
  <w:footnote w:id="304">
    <w:p w:rsidR="00BB0B93" w:rsidRPr="00CE4228" w:rsidRDefault="00BB0B93" w:rsidP="00CE4228">
      <w:pPr>
        <w:pStyle w:val="Footnotes"/>
        <w:spacing w:after="0"/>
        <w:ind w:firstLine="0"/>
        <w:rPr>
          <w:szCs w:val="16"/>
          <w:lang w:val="es-ES"/>
        </w:rPr>
      </w:pPr>
      <w:r w:rsidRPr="00CE4228">
        <w:rPr>
          <w:rStyle w:val="FootnoteReference"/>
          <w:szCs w:val="16"/>
          <w:lang w:val="es-ES"/>
        </w:rPr>
        <w:footnoteRef/>
      </w:r>
      <w:r w:rsidRPr="00CE4228">
        <w:rPr>
          <w:szCs w:val="16"/>
          <w:lang w:val="es-ES"/>
        </w:rPr>
        <w:t xml:space="preserve"> Corte Europea de Derechos Humanos, </w:t>
      </w:r>
      <w:r w:rsidRPr="00CE4228">
        <w:rPr>
          <w:i/>
          <w:szCs w:val="16"/>
          <w:lang w:val="es-ES"/>
        </w:rPr>
        <w:t xml:space="preserve">Case of RR v. </w:t>
      </w:r>
      <w:proofErr w:type="spellStart"/>
      <w:r w:rsidRPr="00CE4228">
        <w:rPr>
          <w:i/>
          <w:szCs w:val="16"/>
          <w:lang w:val="es-ES"/>
        </w:rPr>
        <w:t>Poland</w:t>
      </w:r>
      <w:proofErr w:type="spellEnd"/>
      <w:r w:rsidRPr="00CE4228">
        <w:rPr>
          <w:szCs w:val="16"/>
          <w:lang w:val="es-ES"/>
        </w:rPr>
        <w:t xml:space="preserve">, Aplicación 27617/04, 26 de mayo de 2011, párr. 188. Ver también: CIDH, </w:t>
      </w:r>
      <w:r w:rsidRPr="00CE4228">
        <w:rPr>
          <w:i/>
          <w:szCs w:val="16"/>
          <w:lang w:val="es-ES"/>
        </w:rPr>
        <w:t>Acceso a la información en materia reproductiva desde una perspectiva de derechos humanos</w:t>
      </w:r>
      <w:r w:rsidRPr="00CE4228">
        <w:rPr>
          <w:szCs w:val="16"/>
          <w:lang w:val="es-ES"/>
        </w:rPr>
        <w:t xml:space="preserve">, 22 de noviembre de 2011, párr. 61. Asimismo, para otros tratamientos de materias relacionadas en el ámbito internacional, ver: Naciones Unidas, Consejo de Derechos Humanos, </w:t>
      </w:r>
      <w:r w:rsidRPr="00CE4228">
        <w:rPr>
          <w:i/>
          <w:szCs w:val="16"/>
          <w:lang w:val="es-ES"/>
        </w:rPr>
        <w:t>Informe del Relator Especial sobre la tortura y otros tratos crueles, inhumanos y degradantes, Juan E. Méndez</w:t>
      </w:r>
      <w:r w:rsidRPr="00CE4228">
        <w:rPr>
          <w:szCs w:val="16"/>
          <w:lang w:val="es-ES"/>
        </w:rPr>
        <w:t>, A/HRC/22/53, 1 de febrero de 2013, párr. 32, 46 y 48.</w:t>
      </w:r>
    </w:p>
  </w:footnote>
  <w:footnote w:id="305">
    <w:p w:rsidR="00BB0B93" w:rsidRPr="00CE4228" w:rsidRDefault="00BB0B93" w:rsidP="00CE4228">
      <w:pPr>
        <w:pStyle w:val="FootnoteText"/>
        <w:jc w:val="both"/>
        <w:rPr>
          <w:rFonts w:ascii="Cambria" w:hAnsi="Cambria"/>
          <w:sz w:val="16"/>
          <w:szCs w:val="16"/>
        </w:rPr>
      </w:pPr>
      <w:r w:rsidRPr="00CE4228">
        <w:rPr>
          <w:rStyle w:val="FootnoteReference"/>
          <w:rFonts w:ascii="Cambria" w:hAnsi="Cambria"/>
          <w:sz w:val="16"/>
          <w:szCs w:val="16"/>
          <w:lang w:val="es-ES"/>
        </w:rPr>
        <w:footnoteRef/>
      </w:r>
      <w:r w:rsidRPr="00CE4228">
        <w:rPr>
          <w:rFonts w:ascii="Cambria" w:hAnsi="Cambria"/>
          <w:sz w:val="16"/>
          <w:szCs w:val="16"/>
          <w:lang w:val="es-ES"/>
        </w:rPr>
        <w:t xml:space="preserve"> CIDH. Informe No. 72/14. Caso 12.655. Fondo. I.V. Bolivia. 15 de agosto de 2014. Párr. 116. El término “consentimiento informado” es el término más utilizado comúnmente. Sin embargo, hay quienes sostienen que el término puede ser malinterpretado y que debería ser reemplazado por el término “elección informada”. Ello debido a que la elección de no consentir es esencial al concepto integrado de voluntario o consentimiento otorgado voluntariamente. </w:t>
      </w:r>
      <w:proofErr w:type="spellStart"/>
      <w:r w:rsidRPr="00CE4228">
        <w:rPr>
          <w:rFonts w:ascii="Cambria" w:hAnsi="Cambria"/>
          <w:sz w:val="16"/>
          <w:szCs w:val="16"/>
        </w:rPr>
        <w:t>Véase</w:t>
      </w:r>
      <w:proofErr w:type="spellEnd"/>
      <w:r w:rsidRPr="00CE4228">
        <w:rPr>
          <w:rFonts w:ascii="Cambria" w:hAnsi="Cambria"/>
          <w:sz w:val="16"/>
          <w:szCs w:val="16"/>
        </w:rPr>
        <w:t xml:space="preserve">, B.M. Dickens, R.J Cook, </w:t>
      </w:r>
      <w:r w:rsidRPr="00CE4228">
        <w:rPr>
          <w:rFonts w:ascii="Cambria" w:hAnsi="Cambria"/>
          <w:i/>
          <w:sz w:val="16"/>
          <w:szCs w:val="16"/>
        </w:rPr>
        <w:t>Dimensions of informed consent to treatment, Ethical and legal issues in reproductive health</w:t>
      </w:r>
      <w:r w:rsidRPr="00CE4228">
        <w:rPr>
          <w:rFonts w:ascii="Cambria" w:hAnsi="Cambria"/>
          <w:sz w:val="16"/>
          <w:szCs w:val="16"/>
        </w:rPr>
        <w:t xml:space="preserve">, International Journal of Gynecology &amp; Obstetrics 85 (2004), pp. 309‐314. </w:t>
      </w:r>
    </w:p>
  </w:footnote>
  <w:footnote w:id="306">
    <w:p w:rsidR="00BB0B93" w:rsidRPr="00CE4228" w:rsidRDefault="00BB0B93" w:rsidP="00CE4228">
      <w:pPr>
        <w:pStyle w:val="FootnoteText"/>
        <w:jc w:val="both"/>
        <w:rPr>
          <w:rFonts w:ascii="Cambria" w:hAnsi="Cambria"/>
          <w:sz w:val="16"/>
          <w:szCs w:val="16"/>
          <w:lang w:val="es-ES"/>
        </w:rPr>
      </w:pPr>
      <w:r w:rsidRPr="00CE4228">
        <w:rPr>
          <w:rStyle w:val="FootnoteReference"/>
          <w:rFonts w:ascii="Cambria" w:hAnsi="Cambria"/>
          <w:sz w:val="16"/>
          <w:szCs w:val="16"/>
          <w:lang w:val="es-ES"/>
        </w:rPr>
        <w:footnoteRef/>
      </w:r>
      <w:r w:rsidRPr="00CE4228">
        <w:rPr>
          <w:rFonts w:ascii="Cambria" w:hAnsi="Cambria"/>
          <w:sz w:val="16"/>
          <w:szCs w:val="16"/>
          <w:lang w:val="es-ES"/>
        </w:rPr>
        <w:t xml:space="preserve"> CIDH. Informe No. 72/14. Caso 12.655. Fondo. I.V. Bolivia. 15 de agosto de 2014. Párr. 116. Citando. Naciones Unidas, </w:t>
      </w:r>
      <w:r w:rsidRPr="00CE4228">
        <w:rPr>
          <w:rFonts w:ascii="Cambria" w:hAnsi="Cambria"/>
          <w:i/>
          <w:sz w:val="16"/>
          <w:szCs w:val="16"/>
          <w:lang w:val="es-ES"/>
        </w:rPr>
        <w:t xml:space="preserve">Informe del Relator Especial Relator Especial sobre el derecho de toda persona al disfrute del más alto nivel posible de salud física y mental, </w:t>
      </w:r>
      <w:proofErr w:type="spellStart"/>
      <w:r w:rsidRPr="00CE4228">
        <w:rPr>
          <w:rFonts w:ascii="Cambria" w:hAnsi="Cambria"/>
          <w:i/>
          <w:sz w:val="16"/>
          <w:szCs w:val="16"/>
          <w:lang w:val="es-ES"/>
        </w:rPr>
        <w:t>Anand</w:t>
      </w:r>
      <w:proofErr w:type="spellEnd"/>
      <w:r w:rsidRPr="00CE4228">
        <w:rPr>
          <w:rFonts w:ascii="Cambria" w:hAnsi="Cambria"/>
          <w:i/>
          <w:sz w:val="16"/>
          <w:szCs w:val="16"/>
          <w:lang w:val="es-ES"/>
        </w:rPr>
        <w:t xml:space="preserve"> </w:t>
      </w:r>
      <w:proofErr w:type="spellStart"/>
      <w:r w:rsidRPr="00CE4228">
        <w:rPr>
          <w:rFonts w:ascii="Cambria" w:hAnsi="Cambria"/>
          <w:i/>
          <w:sz w:val="16"/>
          <w:szCs w:val="16"/>
          <w:lang w:val="es-ES"/>
        </w:rPr>
        <w:t>Grover</w:t>
      </w:r>
      <w:proofErr w:type="spellEnd"/>
      <w:r w:rsidRPr="00CE4228">
        <w:rPr>
          <w:rFonts w:ascii="Cambria" w:hAnsi="Cambria"/>
          <w:sz w:val="16"/>
          <w:szCs w:val="16"/>
          <w:lang w:val="es-ES"/>
        </w:rPr>
        <w:t xml:space="preserve">, presentado de conformidad con la resolución 6/29 del Consejo de Derechos Humanos, A/64/272 de 10 de agosto de 2009; Naciones Unidas, Comité para la Eliminación de la Discriminación contra la Mujer, </w:t>
      </w:r>
      <w:r w:rsidRPr="00CE4228">
        <w:rPr>
          <w:rFonts w:ascii="Cambria" w:hAnsi="Cambria"/>
          <w:i/>
          <w:sz w:val="16"/>
          <w:szCs w:val="16"/>
          <w:lang w:val="es-ES"/>
        </w:rPr>
        <w:t>Comunicación No. 4/2004, Caso A.S. vs. Hungría</w:t>
      </w:r>
      <w:r w:rsidRPr="00CE4228">
        <w:rPr>
          <w:rFonts w:ascii="Cambria" w:hAnsi="Cambria"/>
          <w:sz w:val="16"/>
          <w:szCs w:val="16"/>
          <w:lang w:val="es-ES"/>
        </w:rPr>
        <w:t>, 29 de agosto de 2006, CEDAW/C/36/D/4/2004, párr. 11.3.</w:t>
      </w:r>
      <w:r w:rsidRPr="00CE4228">
        <w:rPr>
          <w:rFonts w:ascii="Cambria" w:hAnsi="Cambria" w:cs="Arial"/>
          <w:sz w:val="16"/>
          <w:szCs w:val="16"/>
          <w:lang w:val="es-ES"/>
        </w:rPr>
        <w:t xml:space="preserve"> Por ejemplo, </w:t>
      </w:r>
      <w:r w:rsidRPr="00CE4228">
        <w:rPr>
          <w:rFonts w:ascii="Cambria" w:hAnsi="Cambria"/>
          <w:sz w:val="16"/>
          <w:szCs w:val="16"/>
          <w:lang w:val="es-ES"/>
        </w:rPr>
        <w:t>la Declaración de Ámsterdam sobre los Derechos de los Pacientes, dispone que: “[l]os pacientes tienen derecho a ser informados en detalle sobre su estado de salud, incluyendo los datos médicos sobre su estado; sobre los procedimientos médicos propuestos, junto a los riesgos potenciales y beneficios de cada procedimiento; sobre alternativas a los procedimientos propuestos, incluyendo el efecto de no aplicar un tratamiento; y sobre el diagnóstico, pronóstico y progreso del tratamiento” (ICP/HLE 121, 1994).</w:t>
      </w:r>
    </w:p>
  </w:footnote>
  <w:footnote w:id="307">
    <w:p w:rsidR="00BB0B93" w:rsidRPr="00CE4228" w:rsidRDefault="00BB0B93" w:rsidP="00CE4228">
      <w:pPr>
        <w:jc w:val="both"/>
        <w:rPr>
          <w:rFonts w:ascii="Cambria" w:hAnsi="Cambria"/>
          <w:sz w:val="16"/>
          <w:szCs w:val="16"/>
          <w:lang w:val="es-CO"/>
        </w:rPr>
      </w:pPr>
      <w:r w:rsidRPr="00CE4228">
        <w:rPr>
          <w:rStyle w:val="FootnoteReference"/>
          <w:rFonts w:ascii="Cambria" w:hAnsi="Cambria"/>
          <w:sz w:val="16"/>
          <w:szCs w:val="16"/>
          <w:lang w:val="es-ES"/>
        </w:rPr>
        <w:footnoteRef/>
      </w:r>
      <w:r w:rsidRPr="00CE4228">
        <w:rPr>
          <w:rFonts w:ascii="Cambria" w:hAnsi="Cambria"/>
          <w:sz w:val="16"/>
          <w:szCs w:val="16"/>
          <w:lang w:val="es-ES"/>
        </w:rPr>
        <w:t xml:space="preserve"> CIDH. Informe No. 72/14. Caso 12.655. Fondo. I.V. Bolivia. 15 de agosto de 2014. Párr. 118. Citando. CIDH, </w:t>
      </w:r>
      <w:r w:rsidRPr="00CE4228">
        <w:rPr>
          <w:rFonts w:ascii="Cambria" w:hAnsi="Cambria"/>
          <w:i/>
          <w:sz w:val="16"/>
          <w:szCs w:val="16"/>
          <w:lang w:val="es-ES"/>
        </w:rPr>
        <w:t>Acceso a la información en materia reproductiva desde una perspectiva de derechos humanos</w:t>
      </w:r>
      <w:r w:rsidRPr="00CE4228">
        <w:rPr>
          <w:rFonts w:ascii="Cambria" w:hAnsi="Cambria"/>
          <w:sz w:val="16"/>
          <w:szCs w:val="16"/>
          <w:lang w:val="es-ES"/>
        </w:rPr>
        <w:t xml:space="preserve">, 22 de noviembre de 2011, párr. </w:t>
      </w:r>
      <w:r w:rsidRPr="00CE4228">
        <w:rPr>
          <w:rFonts w:ascii="Cambria" w:hAnsi="Cambria"/>
          <w:sz w:val="16"/>
          <w:szCs w:val="16"/>
          <w:lang w:val="es-CO"/>
        </w:rPr>
        <w:t xml:space="preserve">42. </w:t>
      </w:r>
    </w:p>
  </w:footnote>
  <w:footnote w:id="308">
    <w:p w:rsidR="00BB0B93" w:rsidRPr="00CE4228" w:rsidRDefault="00BB0B93" w:rsidP="00CE4228">
      <w:pPr>
        <w:pStyle w:val="FootnoteText"/>
        <w:jc w:val="both"/>
        <w:rPr>
          <w:rFonts w:ascii="Cambria" w:hAnsi="Cambria"/>
          <w:sz w:val="16"/>
          <w:szCs w:val="16"/>
          <w:lang w:val="es-CO"/>
        </w:rPr>
      </w:pPr>
      <w:r w:rsidRPr="00CE4228">
        <w:rPr>
          <w:rStyle w:val="FootnoteReference"/>
          <w:rFonts w:ascii="Cambria" w:hAnsi="Cambria"/>
          <w:sz w:val="16"/>
          <w:szCs w:val="16"/>
          <w:lang w:val="es-ES"/>
        </w:rPr>
        <w:footnoteRef/>
      </w:r>
      <w:r w:rsidRPr="00CE4228">
        <w:rPr>
          <w:rFonts w:ascii="Cambria" w:hAnsi="Cambria"/>
          <w:sz w:val="16"/>
          <w:szCs w:val="16"/>
          <w:lang w:val="es-ES"/>
        </w:rPr>
        <w:t xml:space="preserve"> CIDH. Informe No. 72/14. Caso 12.655. Fondo. I.V. Bolivia. 15 de agosto de 2014. Párr. 117. Citando. Naciones Unidas, </w:t>
      </w:r>
      <w:r w:rsidRPr="00CE4228">
        <w:rPr>
          <w:rFonts w:ascii="Cambria" w:hAnsi="Cambria"/>
          <w:i/>
          <w:sz w:val="16"/>
          <w:szCs w:val="16"/>
          <w:lang w:val="es-ES"/>
        </w:rPr>
        <w:t>Informe del Relator Especial Relator Especial sobre el derecho de toda persona al disfrute del más alto nivel posible de salud física y mental</w:t>
      </w:r>
      <w:r w:rsidRPr="00CE4228">
        <w:rPr>
          <w:rFonts w:ascii="Cambria" w:hAnsi="Cambria"/>
          <w:sz w:val="16"/>
          <w:szCs w:val="16"/>
          <w:lang w:val="es-ES"/>
        </w:rPr>
        <w:t xml:space="preserve">, </w:t>
      </w:r>
      <w:proofErr w:type="spellStart"/>
      <w:r w:rsidRPr="00CE4228">
        <w:rPr>
          <w:rFonts w:ascii="Cambria" w:hAnsi="Cambria"/>
          <w:i/>
          <w:sz w:val="16"/>
          <w:szCs w:val="16"/>
          <w:lang w:val="es-ES"/>
        </w:rPr>
        <w:t>Anand</w:t>
      </w:r>
      <w:proofErr w:type="spellEnd"/>
      <w:r w:rsidRPr="00CE4228">
        <w:rPr>
          <w:rFonts w:ascii="Cambria" w:hAnsi="Cambria"/>
          <w:i/>
          <w:sz w:val="16"/>
          <w:szCs w:val="16"/>
          <w:lang w:val="es-ES"/>
        </w:rPr>
        <w:t xml:space="preserve"> </w:t>
      </w:r>
      <w:proofErr w:type="spellStart"/>
      <w:r w:rsidRPr="00CE4228">
        <w:rPr>
          <w:rFonts w:ascii="Cambria" w:hAnsi="Cambria"/>
          <w:i/>
          <w:sz w:val="16"/>
          <w:szCs w:val="16"/>
          <w:lang w:val="es-ES"/>
        </w:rPr>
        <w:t>Grover</w:t>
      </w:r>
      <w:proofErr w:type="spellEnd"/>
      <w:r w:rsidRPr="00CE4228">
        <w:rPr>
          <w:rFonts w:ascii="Cambria" w:hAnsi="Cambria"/>
          <w:sz w:val="16"/>
          <w:szCs w:val="16"/>
          <w:lang w:val="es-ES"/>
        </w:rPr>
        <w:t xml:space="preserve">, presentado de conformidad con la resolución 6/29 del Consejo de Derechos Humanos, A/64/272 de 10 de agosto de 2009, párr. </w:t>
      </w:r>
      <w:r w:rsidRPr="00CE4228">
        <w:rPr>
          <w:rFonts w:ascii="Cambria" w:hAnsi="Cambria"/>
          <w:sz w:val="16"/>
          <w:szCs w:val="16"/>
          <w:lang w:val="es-CO"/>
        </w:rPr>
        <w:t xml:space="preserve">9. </w:t>
      </w:r>
    </w:p>
  </w:footnote>
  <w:footnote w:id="309">
    <w:p w:rsidR="00BB0B93" w:rsidRPr="00765C18" w:rsidRDefault="00BB0B93" w:rsidP="00CE4228">
      <w:pPr>
        <w:pStyle w:val="FootnoteText"/>
        <w:jc w:val="both"/>
        <w:rPr>
          <w:rFonts w:ascii="Cambria" w:hAnsi="Cambria"/>
          <w:sz w:val="16"/>
          <w:szCs w:val="16"/>
          <w:lang w:val="es-ES"/>
        </w:rPr>
      </w:pPr>
      <w:r w:rsidRPr="00CE4228">
        <w:rPr>
          <w:rStyle w:val="FootnoteReference"/>
          <w:rFonts w:ascii="Cambria" w:hAnsi="Cambria"/>
          <w:sz w:val="16"/>
          <w:szCs w:val="16"/>
          <w:lang w:val="es-ES"/>
        </w:rPr>
        <w:footnoteRef/>
      </w:r>
      <w:r w:rsidRPr="00CE4228">
        <w:rPr>
          <w:rFonts w:ascii="Cambria" w:hAnsi="Cambria"/>
          <w:sz w:val="16"/>
          <w:szCs w:val="16"/>
          <w:lang w:val="es-ES"/>
        </w:rPr>
        <w:t xml:space="preserve"> CIDH. Informe No. 72/14. Caso 12.655. Fondo. I.V. Bolivia. 15 de agosto de 2014. </w:t>
      </w:r>
      <w:r w:rsidRPr="00765C18">
        <w:rPr>
          <w:rFonts w:ascii="Cambria" w:hAnsi="Cambria"/>
          <w:sz w:val="16"/>
          <w:szCs w:val="16"/>
          <w:lang w:val="es-ES"/>
        </w:rPr>
        <w:t xml:space="preserve">Párr. 116. Citando. Consejo de Europa, </w:t>
      </w:r>
      <w:proofErr w:type="spellStart"/>
      <w:r w:rsidRPr="00765C18">
        <w:rPr>
          <w:rFonts w:ascii="Cambria" w:hAnsi="Cambria"/>
          <w:i/>
          <w:sz w:val="16"/>
          <w:szCs w:val="16"/>
          <w:lang w:val="es-ES"/>
        </w:rPr>
        <w:t>Convention</w:t>
      </w:r>
      <w:proofErr w:type="spellEnd"/>
      <w:r w:rsidRPr="00765C18">
        <w:rPr>
          <w:rFonts w:ascii="Cambria" w:hAnsi="Cambria"/>
          <w:i/>
          <w:sz w:val="16"/>
          <w:szCs w:val="16"/>
          <w:lang w:val="es-ES"/>
        </w:rPr>
        <w:t xml:space="preserve"> </w:t>
      </w:r>
      <w:proofErr w:type="spellStart"/>
      <w:r w:rsidRPr="00765C18">
        <w:rPr>
          <w:rFonts w:ascii="Cambria" w:hAnsi="Cambria"/>
          <w:i/>
          <w:sz w:val="16"/>
          <w:szCs w:val="16"/>
          <w:lang w:val="es-ES"/>
        </w:rPr>
        <w:t>for</w:t>
      </w:r>
      <w:proofErr w:type="spellEnd"/>
      <w:r w:rsidRPr="00765C18">
        <w:rPr>
          <w:rFonts w:ascii="Cambria" w:hAnsi="Cambria"/>
          <w:i/>
          <w:sz w:val="16"/>
          <w:szCs w:val="16"/>
          <w:lang w:val="es-ES"/>
        </w:rPr>
        <w:t xml:space="preserve"> </w:t>
      </w:r>
      <w:proofErr w:type="spellStart"/>
      <w:r w:rsidRPr="00765C18">
        <w:rPr>
          <w:rFonts w:ascii="Cambria" w:hAnsi="Cambria"/>
          <w:i/>
          <w:sz w:val="16"/>
          <w:szCs w:val="16"/>
          <w:lang w:val="es-ES"/>
        </w:rPr>
        <w:t>the</w:t>
      </w:r>
      <w:proofErr w:type="spellEnd"/>
      <w:r w:rsidRPr="00765C18">
        <w:rPr>
          <w:rFonts w:ascii="Cambria" w:hAnsi="Cambria"/>
          <w:i/>
          <w:sz w:val="16"/>
          <w:szCs w:val="16"/>
          <w:lang w:val="es-ES"/>
        </w:rPr>
        <w:t xml:space="preserve"> </w:t>
      </w:r>
      <w:proofErr w:type="spellStart"/>
      <w:r w:rsidRPr="00765C18">
        <w:rPr>
          <w:rFonts w:ascii="Cambria" w:hAnsi="Cambria"/>
          <w:i/>
          <w:sz w:val="16"/>
          <w:szCs w:val="16"/>
          <w:lang w:val="es-ES"/>
        </w:rPr>
        <w:t>Protection</w:t>
      </w:r>
      <w:proofErr w:type="spellEnd"/>
      <w:r w:rsidRPr="00765C18">
        <w:rPr>
          <w:rFonts w:ascii="Cambria" w:hAnsi="Cambria"/>
          <w:i/>
          <w:sz w:val="16"/>
          <w:szCs w:val="16"/>
          <w:lang w:val="es-ES"/>
        </w:rPr>
        <w:t xml:space="preserve"> of Human </w:t>
      </w:r>
      <w:proofErr w:type="spellStart"/>
      <w:r w:rsidRPr="00765C18">
        <w:rPr>
          <w:rFonts w:ascii="Cambria" w:hAnsi="Cambria"/>
          <w:i/>
          <w:sz w:val="16"/>
          <w:szCs w:val="16"/>
          <w:lang w:val="es-ES"/>
        </w:rPr>
        <w:t>Rights</w:t>
      </w:r>
      <w:proofErr w:type="spellEnd"/>
      <w:r w:rsidRPr="00765C18">
        <w:rPr>
          <w:rFonts w:ascii="Cambria" w:hAnsi="Cambria"/>
          <w:i/>
          <w:sz w:val="16"/>
          <w:szCs w:val="16"/>
          <w:lang w:val="es-ES"/>
        </w:rPr>
        <w:t xml:space="preserve"> and </w:t>
      </w:r>
      <w:proofErr w:type="spellStart"/>
      <w:r w:rsidRPr="00765C18">
        <w:rPr>
          <w:rFonts w:ascii="Cambria" w:hAnsi="Cambria"/>
          <w:i/>
          <w:sz w:val="16"/>
          <w:szCs w:val="16"/>
          <w:lang w:val="es-ES"/>
        </w:rPr>
        <w:t>Dignity</w:t>
      </w:r>
      <w:proofErr w:type="spellEnd"/>
      <w:r w:rsidRPr="00765C18">
        <w:rPr>
          <w:rFonts w:ascii="Cambria" w:hAnsi="Cambria"/>
          <w:i/>
          <w:sz w:val="16"/>
          <w:szCs w:val="16"/>
          <w:lang w:val="es-ES"/>
        </w:rPr>
        <w:t xml:space="preserve"> of </w:t>
      </w:r>
      <w:proofErr w:type="spellStart"/>
      <w:r w:rsidRPr="00765C18">
        <w:rPr>
          <w:rFonts w:ascii="Cambria" w:hAnsi="Cambria"/>
          <w:i/>
          <w:sz w:val="16"/>
          <w:szCs w:val="16"/>
          <w:lang w:val="es-ES"/>
        </w:rPr>
        <w:t>the</w:t>
      </w:r>
      <w:proofErr w:type="spellEnd"/>
      <w:r w:rsidRPr="00765C18">
        <w:rPr>
          <w:rFonts w:ascii="Cambria" w:hAnsi="Cambria"/>
          <w:i/>
          <w:sz w:val="16"/>
          <w:szCs w:val="16"/>
          <w:lang w:val="es-ES"/>
        </w:rPr>
        <w:t xml:space="preserve"> Human </w:t>
      </w:r>
      <w:proofErr w:type="spellStart"/>
      <w:r w:rsidRPr="00765C18">
        <w:rPr>
          <w:rFonts w:ascii="Cambria" w:hAnsi="Cambria"/>
          <w:i/>
          <w:sz w:val="16"/>
          <w:szCs w:val="16"/>
          <w:lang w:val="es-ES"/>
        </w:rPr>
        <w:t>Being</w:t>
      </w:r>
      <w:proofErr w:type="spellEnd"/>
      <w:r w:rsidRPr="00765C18">
        <w:rPr>
          <w:rFonts w:ascii="Cambria" w:hAnsi="Cambria"/>
          <w:i/>
          <w:sz w:val="16"/>
          <w:szCs w:val="16"/>
          <w:lang w:val="es-ES"/>
        </w:rPr>
        <w:t xml:space="preserve"> </w:t>
      </w:r>
      <w:proofErr w:type="spellStart"/>
      <w:r w:rsidRPr="00765C18">
        <w:rPr>
          <w:rFonts w:ascii="Cambria" w:hAnsi="Cambria"/>
          <w:i/>
          <w:sz w:val="16"/>
          <w:szCs w:val="16"/>
          <w:lang w:val="es-ES"/>
        </w:rPr>
        <w:t>with</w:t>
      </w:r>
      <w:proofErr w:type="spellEnd"/>
      <w:r w:rsidRPr="00765C18">
        <w:rPr>
          <w:rFonts w:ascii="Cambria" w:hAnsi="Cambria"/>
          <w:i/>
          <w:sz w:val="16"/>
          <w:szCs w:val="16"/>
          <w:lang w:val="es-ES"/>
        </w:rPr>
        <w:t xml:space="preserve"> </w:t>
      </w:r>
      <w:proofErr w:type="spellStart"/>
      <w:r w:rsidRPr="00765C18">
        <w:rPr>
          <w:rFonts w:ascii="Cambria" w:hAnsi="Cambria"/>
          <w:i/>
          <w:sz w:val="16"/>
          <w:szCs w:val="16"/>
          <w:lang w:val="es-ES"/>
        </w:rPr>
        <w:t>regard</w:t>
      </w:r>
      <w:proofErr w:type="spellEnd"/>
      <w:r w:rsidRPr="00765C18">
        <w:rPr>
          <w:rFonts w:ascii="Cambria" w:hAnsi="Cambria"/>
          <w:i/>
          <w:sz w:val="16"/>
          <w:szCs w:val="16"/>
          <w:lang w:val="es-ES"/>
        </w:rPr>
        <w:t xml:space="preserve"> to </w:t>
      </w:r>
      <w:proofErr w:type="spellStart"/>
      <w:r w:rsidRPr="00765C18">
        <w:rPr>
          <w:rFonts w:ascii="Cambria" w:hAnsi="Cambria"/>
          <w:i/>
          <w:sz w:val="16"/>
          <w:szCs w:val="16"/>
          <w:lang w:val="es-ES"/>
        </w:rPr>
        <w:t>the</w:t>
      </w:r>
      <w:proofErr w:type="spellEnd"/>
      <w:r w:rsidRPr="00765C18">
        <w:rPr>
          <w:rFonts w:ascii="Cambria" w:hAnsi="Cambria"/>
          <w:i/>
          <w:sz w:val="16"/>
          <w:szCs w:val="16"/>
          <w:lang w:val="es-ES"/>
        </w:rPr>
        <w:t xml:space="preserve"> </w:t>
      </w:r>
      <w:proofErr w:type="spellStart"/>
      <w:r w:rsidRPr="00765C18">
        <w:rPr>
          <w:rFonts w:ascii="Cambria" w:hAnsi="Cambria"/>
          <w:i/>
          <w:sz w:val="16"/>
          <w:szCs w:val="16"/>
          <w:lang w:val="es-ES"/>
        </w:rPr>
        <w:t>Application</w:t>
      </w:r>
      <w:proofErr w:type="spellEnd"/>
      <w:r w:rsidRPr="00765C18">
        <w:rPr>
          <w:rFonts w:ascii="Cambria" w:hAnsi="Cambria"/>
          <w:i/>
          <w:sz w:val="16"/>
          <w:szCs w:val="16"/>
          <w:lang w:val="es-ES"/>
        </w:rPr>
        <w:t xml:space="preserve"> of </w:t>
      </w:r>
      <w:proofErr w:type="spellStart"/>
      <w:r w:rsidRPr="00765C18">
        <w:rPr>
          <w:rFonts w:ascii="Cambria" w:hAnsi="Cambria"/>
          <w:i/>
          <w:sz w:val="16"/>
          <w:szCs w:val="16"/>
          <w:lang w:val="es-ES"/>
        </w:rPr>
        <w:t>Biology</w:t>
      </w:r>
      <w:proofErr w:type="spellEnd"/>
      <w:r w:rsidRPr="00765C18">
        <w:rPr>
          <w:rFonts w:ascii="Cambria" w:hAnsi="Cambria"/>
          <w:i/>
          <w:sz w:val="16"/>
          <w:szCs w:val="16"/>
          <w:lang w:val="es-ES"/>
        </w:rPr>
        <w:t xml:space="preserve"> and Medicine: </w:t>
      </w:r>
      <w:proofErr w:type="spellStart"/>
      <w:r w:rsidRPr="00765C18">
        <w:rPr>
          <w:rFonts w:ascii="Cambria" w:hAnsi="Cambria"/>
          <w:i/>
          <w:sz w:val="16"/>
          <w:szCs w:val="16"/>
          <w:lang w:val="es-ES"/>
        </w:rPr>
        <w:t>Convention</w:t>
      </w:r>
      <w:proofErr w:type="spellEnd"/>
      <w:r w:rsidRPr="00765C18">
        <w:rPr>
          <w:rFonts w:ascii="Cambria" w:hAnsi="Cambria"/>
          <w:i/>
          <w:sz w:val="16"/>
          <w:szCs w:val="16"/>
          <w:lang w:val="es-ES"/>
        </w:rPr>
        <w:t xml:space="preserve"> </w:t>
      </w:r>
      <w:proofErr w:type="spellStart"/>
      <w:r w:rsidRPr="00765C18">
        <w:rPr>
          <w:rFonts w:ascii="Cambria" w:hAnsi="Cambria"/>
          <w:i/>
          <w:sz w:val="16"/>
          <w:szCs w:val="16"/>
          <w:lang w:val="es-ES"/>
        </w:rPr>
        <w:t>on</w:t>
      </w:r>
      <w:proofErr w:type="spellEnd"/>
      <w:r w:rsidRPr="00765C18">
        <w:rPr>
          <w:rFonts w:ascii="Cambria" w:hAnsi="Cambria"/>
          <w:i/>
          <w:sz w:val="16"/>
          <w:szCs w:val="16"/>
          <w:lang w:val="es-ES"/>
        </w:rPr>
        <w:t xml:space="preserve"> Human </w:t>
      </w:r>
      <w:proofErr w:type="spellStart"/>
      <w:r w:rsidRPr="00765C18">
        <w:rPr>
          <w:rFonts w:ascii="Cambria" w:hAnsi="Cambria"/>
          <w:i/>
          <w:sz w:val="16"/>
          <w:szCs w:val="16"/>
          <w:lang w:val="es-ES"/>
        </w:rPr>
        <w:t>Rights</w:t>
      </w:r>
      <w:proofErr w:type="spellEnd"/>
      <w:r w:rsidRPr="00765C18">
        <w:rPr>
          <w:rFonts w:ascii="Cambria" w:hAnsi="Cambria"/>
          <w:i/>
          <w:sz w:val="16"/>
          <w:szCs w:val="16"/>
          <w:lang w:val="es-ES"/>
        </w:rPr>
        <w:t xml:space="preserve"> and </w:t>
      </w:r>
      <w:proofErr w:type="spellStart"/>
      <w:r w:rsidRPr="00765C18">
        <w:rPr>
          <w:rFonts w:ascii="Cambria" w:hAnsi="Cambria"/>
          <w:i/>
          <w:sz w:val="16"/>
          <w:szCs w:val="16"/>
          <w:lang w:val="es-ES"/>
        </w:rPr>
        <w:t>Biomedicine</w:t>
      </w:r>
      <w:proofErr w:type="spellEnd"/>
      <w:r w:rsidRPr="00765C18">
        <w:rPr>
          <w:rFonts w:ascii="Cambria" w:hAnsi="Cambria"/>
          <w:sz w:val="16"/>
          <w:szCs w:val="16"/>
          <w:lang w:val="es-ES"/>
        </w:rPr>
        <w:t xml:space="preserve">, firmada el 4 de abril de 1997 en Oviedo, España, entrada en vigencia el 1 de diciembre de 1999. </w:t>
      </w:r>
    </w:p>
  </w:footnote>
  <w:footnote w:id="310">
    <w:p w:rsidR="00BB0B93" w:rsidRPr="00CE4228" w:rsidRDefault="00BB0B93" w:rsidP="00CE4228">
      <w:pPr>
        <w:jc w:val="both"/>
        <w:rPr>
          <w:rFonts w:ascii="Cambria" w:hAnsi="Cambria"/>
          <w:sz w:val="16"/>
          <w:szCs w:val="16"/>
          <w:lang w:val="es-ES"/>
        </w:rPr>
      </w:pPr>
      <w:r w:rsidRPr="00CE4228">
        <w:rPr>
          <w:rStyle w:val="FootnoteReference"/>
          <w:rFonts w:ascii="Cambria" w:hAnsi="Cambria"/>
          <w:sz w:val="16"/>
          <w:szCs w:val="16"/>
          <w:lang w:val="es-ES"/>
        </w:rPr>
        <w:footnoteRef/>
      </w:r>
      <w:r w:rsidRPr="00CE4228">
        <w:rPr>
          <w:rFonts w:ascii="Cambria" w:hAnsi="Cambria"/>
          <w:sz w:val="16"/>
          <w:szCs w:val="16"/>
          <w:lang w:val="es-ES"/>
        </w:rPr>
        <w:t xml:space="preserve"> CIDH. Informe No. 72/14. Caso 12.655. Fondo. I.V. Bolivia. 15 de agosto de 2014. Párr. 119. Citando. CIDH, </w:t>
      </w:r>
      <w:r w:rsidRPr="00CE4228">
        <w:rPr>
          <w:rFonts w:ascii="Cambria" w:hAnsi="Cambria"/>
          <w:i/>
          <w:sz w:val="16"/>
          <w:szCs w:val="16"/>
          <w:lang w:val="es-ES"/>
        </w:rPr>
        <w:t>Acceso a la información en materia reproductiva desde una perspectiva de derechos humanos</w:t>
      </w:r>
      <w:r w:rsidRPr="00CE4228">
        <w:rPr>
          <w:rFonts w:ascii="Cambria" w:hAnsi="Cambria"/>
          <w:sz w:val="16"/>
          <w:szCs w:val="16"/>
          <w:lang w:val="es-ES"/>
        </w:rPr>
        <w:t xml:space="preserve">, 22 de noviembre de 2011, párr. 44. </w:t>
      </w:r>
    </w:p>
  </w:footnote>
  <w:footnote w:id="311">
    <w:p w:rsidR="00BB0B93" w:rsidRPr="00CE4228" w:rsidRDefault="00BB0B93" w:rsidP="00CE4228">
      <w:pPr>
        <w:jc w:val="both"/>
        <w:rPr>
          <w:rFonts w:ascii="Cambria" w:hAnsi="Cambria"/>
          <w:sz w:val="16"/>
          <w:szCs w:val="16"/>
          <w:lang w:val="es-ES"/>
        </w:rPr>
      </w:pPr>
      <w:r w:rsidRPr="00CE4228">
        <w:rPr>
          <w:rStyle w:val="FootnoteReference"/>
          <w:rFonts w:ascii="Cambria" w:hAnsi="Cambria"/>
          <w:sz w:val="16"/>
          <w:szCs w:val="16"/>
          <w:lang w:val="es-ES"/>
        </w:rPr>
        <w:footnoteRef/>
      </w:r>
      <w:r w:rsidRPr="00CE4228">
        <w:rPr>
          <w:rFonts w:ascii="Cambria" w:hAnsi="Cambria"/>
          <w:sz w:val="16"/>
          <w:szCs w:val="16"/>
          <w:lang w:val="es-ES"/>
        </w:rPr>
        <w:t xml:space="preserve"> CIDH. Informe No. 72/14. Caso 12.655. Fondo. I.V. Bolivia. 15 de agosto de 2014. Párr. 120. Citando. CIDH, </w:t>
      </w:r>
      <w:r w:rsidRPr="00CE4228">
        <w:rPr>
          <w:rFonts w:ascii="Cambria" w:hAnsi="Cambria"/>
          <w:i/>
          <w:sz w:val="16"/>
          <w:szCs w:val="16"/>
          <w:lang w:val="es-ES"/>
        </w:rPr>
        <w:t>Acceso a la información en materia reproductiva desde una perspectiva de derechos humanos</w:t>
      </w:r>
      <w:r w:rsidRPr="00CE4228">
        <w:rPr>
          <w:rFonts w:ascii="Cambria" w:hAnsi="Cambria"/>
          <w:sz w:val="16"/>
          <w:szCs w:val="16"/>
          <w:lang w:val="es-ES"/>
        </w:rPr>
        <w:t>, 22 de noviembre de 2011, párr. 45.</w:t>
      </w:r>
    </w:p>
  </w:footnote>
  <w:footnote w:id="312">
    <w:p w:rsidR="00BB0B93" w:rsidRPr="00CE4228" w:rsidRDefault="00BB0B93" w:rsidP="00CE4228">
      <w:pPr>
        <w:pStyle w:val="FootnoteText"/>
        <w:jc w:val="both"/>
        <w:rPr>
          <w:rFonts w:ascii="Cambria" w:hAnsi="Cambria"/>
          <w:sz w:val="16"/>
          <w:szCs w:val="16"/>
          <w:lang w:val="es-ES"/>
        </w:rPr>
      </w:pPr>
      <w:r w:rsidRPr="00CE4228">
        <w:rPr>
          <w:rStyle w:val="FootnoteReference"/>
          <w:rFonts w:ascii="Cambria" w:hAnsi="Cambria"/>
          <w:sz w:val="16"/>
          <w:szCs w:val="16"/>
          <w:lang w:val="es-ES"/>
        </w:rPr>
        <w:footnoteRef/>
      </w:r>
      <w:r w:rsidRPr="00CE4228">
        <w:rPr>
          <w:rFonts w:ascii="Cambria" w:hAnsi="Cambria"/>
          <w:sz w:val="16"/>
          <w:szCs w:val="16"/>
          <w:lang w:val="es-ES"/>
        </w:rPr>
        <w:t xml:space="preserve"> CIDH. Informe No. 72/14. Caso 12.655. Fondo. I.V. Bolivia. 15 de agosto de 2014. Párr. 120. Citando. Naciones Unidas, </w:t>
      </w:r>
      <w:r w:rsidRPr="00CE4228">
        <w:rPr>
          <w:rFonts w:ascii="Cambria" w:hAnsi="Cambria"/>
          <w:i/>
          <w:sz w:val="16"/>
          <w:szCs w:val="16"/>
          <w:lang w:val="es-ES"/>
        </w:rPr>
        <w:t xml:space="preserve">Informe del Relator Especial Relator Especial sobre el derecho de toda persona al disfrute del más alto nivel posible de salud física y mental, </w:t>
      </w:r>
      <w:proofErr w:type="spellStart"/>
      <w:r w:rsidRPr="00CE4228">
        <w:rPr>
          <w:rFonts w:ascii="Cambria" w:hAnsi="Cambria"/>
          <w:i/>
          <w:sz w:val="16"/>
          <w:szCs w:val="16"/>
          <w:lang w:val="es-ES"/>
        </w:rPr>
        <w:t>Anand</w:t>
      </w:r>
      <w:proofErr w:type="spellEnd"/>
      <w:r w:rsidRPr="00CE4228">
        <w:rPr>
          <w:rFonts w:ascii="Cambria" w:hAnsi="Cambria"/>
          <w:i/>
          <w:sz w:val="16"/>
          <w:szCs w:val="16"/>
          <w:lang w:val="es-ES"/>
        </w:rPr>
        <w:t xml:space="preserve"> </w:t>
      </w:r>
      <w:proofErr w:type="spellStart"/>
      <w:r w:rsidRPr="00CE4228">
        <w:rPr>
          <w:rFonts w:ascii="Cambria" w:hAnsi="Cambria"/>
          <w:i/>
          <w:sz w:val="16"/>
          <w:szCs w:val="16"/>
          <w:lang w:val="es-ES"/>
        </w:rPr>
        <w:t>Grover</w:t>
      </w:r>
      <w:proofErr w:type="spellEnd"/>
      <w:r w:rsidRPr="00CE4228">
        <w:rPr>
          <w:rFonts w:ascii="Cambria" w:hAnsi="Cambria"/>
          <w:sz w:val="16"/>
          <w:szCs w:val="16"/>
          <w:lang w:val="es-ES"/>
        </w:rPr>
        <w:t xml:space="preserve">, presentado de conformidad con la resolución 6/29 del Consejo de Derechos Humanos, A/64/272 de 10 de agosto de 2009, párr. 23. </w:t>
      </w:r>
    </w:p>
  </w:footnote>
  <w:footnote w:id="313">
    <w:p w:rsidR="00BB0B93" w:rsidRPr="00CE4228" w:rsidRDefault="00BB0B93" w:rsidP="00CE4228">
      <w:pPr>
        <w:pStyle w:val="FootnoteText"/>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CIDH. Informe No. 72/14. Caso 12.655. Fondo. I.V. Bolivia. 15 de agosto de 2014. Párr. 121. </w:t>
      </w:r>
    </w:p>
  </w:footnote>
  <w:footnote w:id="314">
    <w:p w:rsidR="00BB0B93" w:rsidRPr="00CE4228" w:rsidRDefault="00BB0B93" w:rsidP="00CE4228">
      <w:pPr>
        <w:jc w:val="both"/>
        <w:rPr>
          <w:rFonts w:ascii="Cambria" w:hAnsi="Cambria"/>
          <w:sz w:val="16"/>
          <w:szCs w:val="16"/>
          <w:lang w:val="es-ES"/>
        </w:rPr>
      </w:pPr>
      <w:r w:rsidRPr="00CE4228">
        <w:rPr>
          <w:rStyle w:val="FootnoteReference"/>
          <w:rFonts w:ascii="Cambria" w:hAnsi="Cambria"/>
          <w:sz w:val="16"/>
          <w:szCs w:val="16"/>
          <w:lang w:val="es-ES"/>
        </w:rPr>
        <w:footnoteRef/>
      </w:r>
      <w:r w:rsidRPr="00CE4228">
        <w:rPr>
          <w:rFonts w:ascii="Cambria" w:hAnsi="Cambria"/>
          <w:sz w:val="16"/>
          <w:szCs w:val="16"/>
          <w:lang w:val="es-ES"/>
        </w:rPr>
        <w:t xml:space="preserve"> CIDH. Informe No. 72/14. Caso 12.655. Fondo. I.V. Bolivia. </w:t>
      </w:r>
      <w:r w:rsidRPr="00CE4228">
        <w:rPr>
          <w:rFonts w:ascii="Cambria" w:hAnsi="Cambria"/>
          <w:sz w:val="16"/>
          <w:szCs w:val="16"/>
          <w:lang w:val="pt-BR"/>
        </w:rPr>
        <w:t xml:space="preserve">15 de agosto de 2014. Párr. 122. Citando. </w:t>
      </w:r>
      <w:r w:rsidRPr="00CE4228">
        <w:rPr>
          <w:rFonts w:ascii="Cambria" w:hAnsi="Cambria"/>
          <w:sz w:val="16"/>
          <w:szCs w:val="16"/>
          <w:lang w:val="es-ES"/>
        </w:rPr>
        <w:t xml:space="preserve">CIDH, </w:t>
      </w:r>
      <w:r w:rsidRPr="00CE4228">
        <w:rPr>
          <w:rFonts w:ascii="Cambria" w:hAnsi="Cambria"/>
          <w:i/>
          <w:sz w:val="16"/>
          <w:szCs w:val="16"/>
          <w:lang w:val="es-ES"/>
        </w:rPr>
        <w:t>Acceso a la información en materia reproductiva desde una perspectiva de derechos humanos</w:t>
      </w:r>
      <w:r w:rsidRPr="00CE4228">
        <w:rPr>
          <w:rFonts w:ascii="Cambria" w:hAnsi="Cambria"/>
          <w:sz w:val="16"/>
          <w:szCs w:val="16"/>
          <w:lang w:val="es-ES"/>
        </w:rPr>
        <w:t xml:space="preserve">, 22 de noviembre de 2011, párr. 72. </w:t>
      </w:r>
    </w:p>
  </w:footnote>
  <w:footnote w:id="315">
    <w:p w:rsidR="00BB0B93" w:rsidRPr="00CE4228" w:rsidRDefault="00BB0B93" w:rsidP="00CE4228">
      <w:pPr>
        <w:jc w:val="both"/>
        <w:rPr>
          <w:rFonts w:ascii="Cambria" w:hAnsi="Cambria"/>
          <w:sz w:val="16"/>
          <w:szCs w:val="16"/>
          <w:lang w:val="es-ES"/>
        </w:rPr>
      </w:pPr>
      <w:r w:rsidRPr="00CE4228">
        <w:rPr>
          <w:rStyle w:val="FootnoteReference"/>
          <w:rFonts w:ascii="Cambria" w:hAnsi="Cambria"/>
          <w:sz w:val="16"/>
          <w:szCs w:val="16"/>
          <w:lang w:val="es-ES"/>
        </w:rPr>
        <w:footnoteRef/>
      </w:r>
      <w:r w:rsidRPr="00CE4228">
        <w:rPr>
          <w:rFonts w:ascii="Cambria" w:hAnsi="Cambria"/>
          <w:sz w:val="16"/>
          <w:szCs w:val="16"/>
          <w:lang w:val="es-ES"/>
        </w:rPr>
        <w:t xml:space="preserve"> CIDH, </w:t>
      </w:r>
      <w:r w:rsidRPr="00CE4228">
        <w:rPr>
          <w:rFonts w:ascii="Cambria" w:hAnsi="Cambria"/>
          <w:i/>
          <w:sz w:val="16"/>
          <w:szCs w:val="16"/>
          <w:lang w:val="es-ES"/>
        </w:rPr>
        <w:t>Acceso a la información en materia reproductiva desde una perspectiva de derechos humanos</w:t>
      </w:r>
      <w:r w:rsidRPr="00CE4228">
        <w:rPr>
          <w:rFonts w:ascii="Cambria" w:hAnsi="Cambria"/>
          <w:sz w:val="16"/>
          <w:szCs w:val="16"/>
          <w:lang w:val="es-ES"/>
        </w:rPr>
        <w:t xml:space="preserve">, 22 de noviembre de 2011, párr. 74. </w:t>
      </w:r>
    </w:p>
  </w:footnote>
  <w:footnote w:id="316">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Dictamen, Marlon James Noble, Australia, 10 de octubre de 2016, párr. 8.9.</w:t>
      </w:r>
    </w:p>
  </w:footnote>
  <w:footnote w:id="317">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Observación General No. 1. Artículo 12: Igual reconocimiento como persona ante la ley, 19 de mayo de 2014, párr. 42.</w:t>
      </w:r>
    </w:p>
  </w:footnote>
  <w:footnote w:id="318">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Observación General No. 1. Artículo 12: Igual reconocimiento como persona ante la ley, 19 de mayo de 2014, párr. 8.</w:t>
      </w:r>
    </w:p>
  </w:footnote>
  <w:footnote w:id="319">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de los derechos de las personas con discapacidad. Observaciones finales sobre el informe de Brasil, 4 de septiembre de 2015, párrs. 46 y 47.</w:t>
      </w:r>
    </w:p>
  </w:footnote>
  <w:footnote w:id="320">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Observación General No. 1. Artículo 12: Igual reconocimiento como persona ante la ley, 19 de mayo de 2014, párr. 42.</w:t>
      </w:r>
    </w:p>
  </w:footnote>
  <w:footnote w:id="321">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Observación General No. 1. Artículo 12: Igual reconocimiento como persona ante la ley, 19 de mayo de 2014, párr. 42.</w:t>
      </w:r>
    </w:p>
  </w:footnote>
  <w:footnote w:id="322">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Observación General No. 1. Artículo 12: Igual reconocimiento como persona ante la ley, 19 de mayo de 2014, párr. 41.</w:t>
      </w:r>
    </w:p>
  </w:footnote>
  <w:footnote w:id="323">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Observación General No. 1. Artículo 12: Igual reconocimiento como persona ante la ley, 19 de mayo de 2014, párr. 41.</w:t>
      </w:r>
    </w:p>
  </w:footnote>
  <w:footnote w:id="324">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Observación General No. 1. Artículo 12: Igual reconocimiento como persona ante la ley, 19 de mayo de 2014, párr. 42.</w:t>
      </w:r>
    </w:p>
  </w:footnote>
  <w:footnote w:id="325">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Véase: ONU, Comité sobre los Derechos de las Personas con Discapacidad. </w:t>
      </w:r>
      <w:r>
        <w:fldChar w:fldCharType="begin"/>
      </w:r>
      <w:r w:rsidRPr="00BB0B93">
        <w:rPr>
          <w:lang w:val="es-ES"/>
        </w:rPr>
        <w:instrText xml:space="preserve"> HYPERLINK "https://documents-dds-ny.un.org/doc/UNDOC/GEN/G14/112/20/PDF/G1411220.pdf?OpenElement+" </w:instrText>
      </w:r>
      <w:r>
        <w:fldChar w:fldCharType="separate"/>
      </w:r>
      <w:r w:rsidRPr="00CE4228">
        <w:rPr>
          <w:rStyle w:val="Hyperlink"/>
          <w:rFonts w:ascii="Cambria" w:hAnsi="Cambria"/>
          <w:sz w:val="16"/>
          <w:szCs w:val="16"/>
          <w:u w:val="none"/>
          <w:lang w:val="es-ES"/>
        </w:rPr>
        <w:t>Lista de cuestiones relativa al informe inicial del Ecuador</w:t>
      </w:r>
      <w:r>
        <w:rPr>
          <w:rStyle w:val="Hyperlink"/>
          <w:rFonts w:ascii="Cambria" w:hAnsi="Cambria"/>
          <w:sz w:val="16"/>
          <w:szCs w:val="16"/>
          <w:u w:val="none"/>
          <w:lang w:val="es-ES"/>
        </w:rPr>
        <w:fldChar w:fldCharType="end"/>
      </w:r>
      <w:r w:rsidRPr="00CE4228">
        <w:rPr>
          <w:rFonts w:ascii="Cambria" w:hAnsi="Cambria"/>
          <w:sz w:val="16"/>
          <w:szCs w:val="16"/>
          <w:lang w:val="es-ES"/>
        </w:rPr>
        <w:t>, 7 de Agosto de 2014.</w:t>
      </w:r>
    </w:p>
  </w:footnote>
  <w:footnote w:id="326">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w:t>
      </w:r>
      <w:r>
        <w:fldChar w:fldCharType="begin"/>
      </w:r>
      <w:r w:rsidRPr="00BB0B93">
        <w:rPr>
          <w:lang w:val="es-ES"/>
        </w:rPr>
        <w:instrText xml:space="preserve"> HYPERLINK "http://docstore.ohchr.org/SelfServices/FilesHandler.ashx?enc=6QkG1d%2fPPRiCAqhKb7yhsocXytluzOs83fWWVlzUSPWEY3i2MPneAItDx32YbiDNoBSFxJe89zNUXHff3j2eYOfwk09EJebYA2f6n55ArMfrEgIEyEql%2bzc9%2fWnroDpP" </w:instrText>
      </w:r>
      <w:r>
        <w:fldChar w:fldCharType="separate"/>
      </w:r>
      <w:r w:rsidRPr="00CE4228">
        <w:rPr>
          <w:rStyle w:val="Hyperlink"/>
          <w:rFonts w:ascii="Cambria" w:hAnsi="Cambria"/>
          <w:sz w:val="16"/>
          <w:szCs w:val="16"/>
          <w:u w:val="none"/>
          <w:lang w:val="es-ES"/>
        </w:rPr>
        <w:t>Observaciones finales sobre el informe inicial del Ecuador</w:t>
      </w:r>
      <w:r>
        <w:rPr>
          <w:rStyle w:val="Hyperlink"/>
          <w:rFonts w:ascii="Cambria" w:hAnsi="Cambria"/>
          <w:sz w:val="16"/>
          <w:szCs w:val="16"/>
          <w:u w:val="none"/>
          <w:lang w:val="es-ES"/>
        </w:rPr>
        <w:fldChar w:fldCharType="end"/>
      </w:r>
      <w:r w:rsidRPr="00CE4228">
        <w:rPr>
          <w:rFonts w:ascii="Cambria" w:hAnsi="Cambria"/>
          <w:sz w:val="16"/>
          <w:szCs w:val="16"/>
          <w:lang w:val="es-ES"/>
        </w:rPr>
        <w:t>, 27 de octubre de 2014, párrs. 8 y 24.</w:t>
      </w:r>
    </w:p>
  </w:footnote>
  <w:footnote w:id="327">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w:t>
      </w:r>
      <w:r>
        <w:fldChar w:fldCharType="begin"/>
      </w:r>
      <w:r w:rsidRPr="00BB0B93">
        <w:rPr>
          <w:lang w:val="es-ES"/>
        </w:rPr>
        <w:instrText xml:space="preserve"> HYPERLINK "http://docstore.ohchr.org/SelfServices/FilesHandler.ashx?enc=6QkG1d%2fPPRiCAqhKb7yhsocXytluzOs83fWWVlzUSPWEY3i2MPneAItDx32YbiDNoBSFxJe89zNUXHff3j2eYOfwk09EJebYA2f6n55ArMfrEgIEyEql%2bzc9%2fWnroDpP" </w:instrText>
      </w:r>
      <w:r>
        <w:fldChar w:fldCharType="separate"/>
      </w:r>
      <w:r w:rsidRPr="00CE4228">
        <w:rPr>
          <w:rStyle w:val="Hyperlink"/>
          <w:rFonts w:ascii="Cambria" w:hAnsi="Cambria"/>
          <w:sz w:val="16"/>
          <w:szCs w:val="16"/>
          <w:u w:val="none"/>
          <w:lang w:val="es-ES"/>
        </w:rPr>
        <w:t>Observaciones finales sobre el informe inicial del Ecuador</w:t>
      </w:r>
      <w:r>
        <w:rPr>
          <w:rStyle w:val="Hyperlink"/>
          <w:rFonts w:ascii="Cambria" w:hAnsi="Cambria"/>
          <w:sz w:val="16"/>
          <w:szCs w:val="16"/>
          <w:u w:val="none"/>
          <w:lang w:val="es-ES"/>
        </w:rPr>
        <w:fldChar w:fldCharType="end"/>
      </w:r>
      <w:r w:rsidRPr="00CE4228">
        <w:rPr>
          <w:rFonts w:ascii="Cambria" w:hAnsi="Cambria"/>
          <w:sz w:val="16"/>
          <w:szCs w:val="16"/>
          <w:lang w:val="es-ES"/>
        </w:rPr>
        <w:t>, 27 de octubre de 2014, párrs. 8 y 24.</w:t>
      </w:r>
    </w:p>
  </w:footnote>
  <w:footnote w:id="328">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w:t>
      </w:r>
      <w:r>
        <w:fldChar w:fldCharType="begin"/>
      </w:r>
      <w:r w:rsidRPr="00BB0B93">
        <w:rPr>
          <w:lang w:val="es-ES"/>
        </w:rPr>
        <w:instrText xml:space="preserve"> HYPERLINK "http://docstore.ohchr.org/SelfServices/FilesHandler.ashx?enc=6QkG1d%2fPPRiCAqhKb7yhsocXytluzOs83fWWVlzUSPWEY3i2MPneAItDx32YbiDNoBSFxJe89zNUXHff3j2eYOfwk09EJebYA2f6n55ArMfrEgIEyEql%2bzc9%2fWnroDpP" </w:instrText>
      </w:r>
      <w:r>
        <w:fldChar w:fldCharType="separate"/>
      </w:r>
      <w:r w:rsidRPr="00CE4228">
        <w:rPr>
          <w:rStyle w:val="Hyperlink"/>
          <w:rFonts w:ascii="Cambria" w:hAnsi="Cambria"/>
          <w:sz w:val="16"/>
          <w:szCs w:val="16"/>
          <w:u w:val="none"/>
          <w:lang w:val="es-ES"/>
        </w:rPr>
        <w:t>Observaciones finales sobre el informe inicial del Ecuador</w:t>
      </w:r>
      <w:r>
        <w:rPr>
          <w:rStyle w:val="Hyperlink"/>
          <w:rFonts w:ascii="Cambria" w:hAnsi="Cambria"/>
          <w:sz w:val="16"/>
          <w:szCs w:val="16"/>
          <w:u w:val="none"/>
          <w:lang w:val="es-ES"/>
        </w:rPr>
        <w:fldChar w:fldCharType="end"/>
      </w:r>
      <w:r w:rsidRPr="00CE4228">
        <w:rPr>
          <w:rFonts w:ascii="Cambria" w:hAnsi="Cambria"/>
          <w:sz w:val="16"/>
          <w:szCs w:val="16"/>
          <w:lang w:val="es-ES"/>
        </w:rPr>
        <w:t>, 27 de octubre de 2014, párr. 28.</w:t>
      </w:r>
    </w:p>
  </w:footnote>
  <w:footnote w:id="329">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w:t>
      </w:r>
      <w:r>
        <w:fldChar w:fldCharType="begin"/>
      </w:r>
      <w:r w:rsidRPr="00BB0B93">
        <w:rPr>
          <w:lang w:val="es-ES"/>
        </w:rPr>
        <w:instrText xml:space="preserve"> HYPERLINK "https://documents-dds-ny.un.org/doc/UNDOC/GEN/G14/112/20/PDF/G1411220.pdf?OpenElement+" </w:instrText>
      </w:r>
      <w:r>
        <w:fldChar w:fldCharType="separate"/>
      </w:r>
      <w:r w:rsidRPr="00CE4228">
        <w:rPr>
          <w:rStyle w:val="Hyperlink"/>
          <w:rFonts w:ascii="Cambria" w:hAnsi="Cambria"/>
          <w:sz w:val="16"/>
          <w:szCs w:val="16"/>
          <w:u w:val="none"/>
          <w:lang w:val="es-ES"/>
        </w:rPr>
        <w:t>Lista de cuestiones relativa al informe inicial del Ecuador</w:t>
      </w:r>
      <w:r>
        <w:rPr>
          <w:rStyle w:val="Hyperlink"/>
          <w:rFonts w:ascii="Cambria" w:hAnsi="Cambria"/>
          <w:sz w:val="16"/>
          <w:szCs w:val="16"/>
          <w:u w:val="none"/>
          <w:lang w:val="es-ES"/>
        </w:rPr>
        <w:fldChar w:fldCharType="end"/>
      </w:r>
      <w:r w:rsidRPr="00CE4228">
        <w:rPr>
          <w:rFonts w:ascii="Cambria" w:hAnsi="Cambria"/>
          <w:sz w:val="16"/>
          <w:szCs w:val="16"/>
          <w:lang w:val="es-ES"/>
        </w:rPr>
        <w:t>, 7 de Agosto de 2014, párr. 16.3.</w:t>
      </w:r>
    </w:p>
  </w:footnote>
  <w:footnote w:id="330">
    <w:p w:rsidR="00BB0B93" w:rsidRPr="00CE4228" w:rsidRDefault="00BB0B93" w:rsidP="00CE4228">
      <w:pPr>
        <w:pStyle w:val="FootnoteText"/>
        <w:jc w:val="both"/>
        <w:rPr>
          <w:rFonts w:ascii="Cambria" w:hAnsi="Cambria"/>
          <w:sz w:val="16"/>
          <w:szCs w:val="16"/>
          <w:lang w:val="es-PE"/>
        </w:rPr>
      </w:pPr>
      <w:r w:rsidRPr="00CE4228">
        <w:rPr>
          <w:rStyle w:val="FootnoteReference"/>
          <w:rFonts w:ascii="Cambria" w:hAnsi="Cambria"/>
          <w:sz w:val="16"/>
          <w:szCs w:val="16"/>
        </w:rPr>
        <w:footnoteRef/>
      </w:r>
      <w:r w:rsidRPr="00CE4228">
        <w:rPr>
          <w:rFonts w:ascii="Cambria" w:hAnsi="Cambria"/>
          <w:sz w:val="16"/>
          <w:szCs w:val="16"/>
          <w:lang w:val="es-PE"/>
        </w:rPr>
        <w:t xml:space="preserve"> Informe del Relator Especial sobre el derecho de toda persona al disfrute del más alto nivel posible de salud física y mental, UN Doc. A/HRC/38/36, 10 de abril de 2018, párr. 6</w:t>
      </w:r>
    </w:p>
  </w:footnote>
  <w:footnote w:id="331">
    <w:p w:rsidR="00BB0B93" w:rsidRPr="00CE4228" w:rsidRDefault="00BB0B93" w:rsidP="00CE4228">
      <w:pPr>
        <w:pStyle w:val="FootnoteText"/>
        <w:jc w:val="both"/>
        <w:rPr>
          <w:rFonts w:ascii="Cambria" w:hAnsi="Cambria"/>
          <w:sz w:val="16"/>
          <w:szCs w:val="16"/>
          <w:lang w:val="es-PE"/>
        </w:rPr>
      </w:pPr>
      <w:r w:rsidRPr="00CE4228">
        <w:rPr>
          <w:rStyle w:val="FootnoteReference"/>
          <w:rFonts w:ascii="Cambria" w:hAnsi="Cambria"/>
          <w:sz w:val="16"/>
          <w:szCs w:val="16"/>
        </w:rPr>
        <w:footnoteRef/>
      </w:r>
      <w:r w:rsidRPr="00CE4228">
        <w:rPr>
          <w:rFonts w:ascii="Cambria" w:hAnsi="Cambria"/>
          <w:sz w:val="16"/>
          <w:szCs w:val="16"/>
          <w:lang w:val="es-PE"/>
        </w:rPr>
        <w:t xml:space="preserve"> Informe del Relator Especial sobre el derecho de toda persona al disfrute del más alto nivel posible de salud física y mental, UN Doc. A/HRC/38/36, 10 de abril de 2018, párr. 33; Informe del Relator Especial sobre el derecho de toda persona al disfrute del más alto nivel posible de salud física y mental, UN Doc. A/HRC/35/21, 28 de marzo de 2017, párr. 67</w:t>
      </w:r>
    </w:p>
  </w:footnote>
  <w:footnote w:id="332">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w:t>
      </w:r>
      <w:r>
        <w:fldChar w:fldCharType="begin"/>
      </w:r>
      <w:r w:rsidRPr="00BB0B93">
        <w:rPr>
          <w:lang w:val="es-ES"/>
        </w:rPr>
        <w:instrText xml:space="preserve"> HYPERLINK "http://docstore.ohchr.org/SelfServices/FilesHandler.ashx?enc=6QkG1d%2fPPRiCAqhKb7yhsocXytluzOs83fWWVlzUSPWEY3i2MPneAItDx32YbiDNoBSFxJe89zNUXHff3j2eYOfwk09EJebYA2f6n55ArMfrEgIEyEql%2bzc9%2fWnroDpP" </w:instrText>
      </w:r>
      <w:r>
        <w:fldChar w:fldCharType="separate"/>
      </w:r>
      <w:r w:rsidRPr="00CE4228">
        <w:rPr>
          <w:rStyle w:val="Hyperlink"/>
          <w:rFonts w:ascii="Cambria" w:hAnsi="Cambria"/>
          <w:sz w:val="16"/>
          <w:szCs w:val="16"/>
          <w:u w:val="none"/>
          <w:lang w:val="es-ES"/>
        </w:rPr>
        <w:t>Observaciones finales sobre el informe inicial del Ecuador</w:t>
      </w:r>
      <w:r>
        <w:rPr>
          <w:rStyle w:val="Hyperlink"/>
          <w:rFonts w:ascii="Cambria" w:hAnsi="Cambria"/>
          <w:sz w:val="16"/>
          <w:szCs w:val="16"/>
          <w:u w:val="none"/>
          <w:lang w:val="es-ES"/>
        </w:rPr>
        <w:fldChar w:fldCharType="end"/>
      </w:r>
      <w:r w:rsidRPr="00CE4228">
        <w:rPr>
          <w:rFonts w:ascii="Cambria" w:hAnsi="Cambria"/>
          <w:sz w:val="16"/>
          <w:szCs w:val="16"/>
          <w:lang w:val="es-ES"/>
        </w:rPr>
        <w:t>, 27 de octubre de 2014, párr. 29.</w:t>
      </w:r>
    </w:p>
  </w:footnote>
  <w:footnote w:id="333">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w:t>
      </w:r>
      <w:r>
        <w:fldChar w:fldCharType="begin"/>
      </w:r>
      <w:r w:rsidRPr="00BB0B93">
        <w:rPr>
          <w:lang w:val="es-ES"/>
        </w:rPr>
        <w:instrText xml:space="preserve"> HYPERLINK "http://docstore.ohchr.org/SelfServices/FilesHandler.ashx?enc=6QkG1d%2fPPRiCAqhKb7yhsocXytluzOs83fWWVlzUSPWEY3i2MPneAItDx32YbiDNoBSFxJe89zNUXHff3j2eYOfwk09EJebYA2f6n55ArMfrEgIEyEql%2bzc9%2fWnroDpP" </w:instrText>
      </w:r>
      <w:r>
        <w:fldChar w:fldCharType="separate"/>
      </w:r>
      <w:r w:rsidRPr="00CE4228">
        <w:rPr>
          <w:rStyle w:val="Hyperlink"/>
          <w:rFonts w:ascii="Cambria" w:hAnsi="Cambria"/>
          <w:sz w:val="16"/>
          <w:szCs w:val="16"/>
          <w:u w:val="none"/>
          <w:lang w:val="es-ES"/>
        </w:rPr>
        <w:t>Observaciones finales sobre el informe inicial del Ecuador</w:t>
      </w:r>
      <w:r>
        <w:rPr>
          <w:rStyle w:val="Hyperlink"/>
          <w:rFonts w:ascii="Cambria" w:hAnsi="Cambria"/>
          <w:sz w:val="16"/>
          <w:szCs w:val="16"/>
          <w:u w:val="none"/>
          <w:lang w:val="es-ES"/>
        </w:rPr>
        <w:fldChar w:fldCharType="end"/>
      </w:r>
      <w:r w:rsidRPr="00CE4228">
        <w:rPr>
          <w:rFonts w:ascii="Cambria" w:hAnsi="Cambria"/>
          <w:sz w:val="16"/>
          <w:szCs w:val="16"/>
          <w:lang w:val="es-ES"/>
        </w:rPr>
        <w:t>, 27 de octubre de 2014, párr. 29.</w:t>
      </w:r>
    </w:p>
  </w:footnote>
  <w:footnote w:id="334">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CEDH, </w:t>
      </w:r>
      <w:proofErr w:type="spellStart"/>
      <w:r w:rsidRPr="00CE4228">
        <w:rPr>
          <w:rFonts w:ascii="Cambria" w:hAnsi="Cambria"/>
          <w:sz w:val="16"/>
          <w:szCs w:val="16"/>
          <w:lang w:val="es-ES"/>
        </w:rPr>
        <w:t>Valentin</w:t>
      </w:r>
      <w:proofErr w:type="spellEnd"/>
      <w:r w:rsidRPr="00CE4228">
        <w:rPr>
          <w:rFonts w:ascii="Cambria" w:hAnsi="Cambria"/>
          <w:sz w:val="16"/>
          <w:szCs w:val="16"/>
          <w:lang w:val="es-ES"/>
        </w:rPr>
        <w:t xml:space="preserve"> </w:t>
      </w:r>
      <w:proofErr w:type="spellStart"/>
      <w:r w:rsidRPr="00CE4228">
        <w:rPr>
          <w:rFonts w:ascii="Cambria" w:hAnsi="Cambria"/>
          <w:sz w:val="16"/>
          <w:szCs w:val="16"/>
          <w:lang w:val="es-ES"/>
        </w:rPr>
        <w:t>Campeanu</w:t>
      </w:r>
      <w:proofErr w:type="spellEnd"/>
      <w:r w:rsidRPr="00CE4228">
        <w:rPr>
          <w:rFonts w:ascii="Cambria" w:hAnsi="Cambria"/>
          <w:sz w:val="16"/>
          <w:szCs w:val="16"/>
          <w:lang w:val="es-ES"/>
        </w:rPr>
        <w:t xml:space="preserve"> Vs. Rumania. Sentencia de 17 de julio de 2014,  párr. 131.</w:t>
      </w:r>
    </w:p>
  </w:footnote>
  <w:footnote w:id="335">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9617A6">
        <w:rPr>
          <w:rFonts w:ascii="Cambria" w:hAnsi="Cambria"/>
          <w:sz w:val="16"/>
          <w:szCs w:val="16"/>
          <w:lang w:val="es-ES"/>
        </w:rPr>
        <w:t xml:space="preserve"> Corte IDH. </w:t>
      </w:r>
      <w:r>
        <w:fldChar w:fldCharType="begin"/>
      </w:r>
      <w:r w:rsidRPr="00BB0B93">
        <w:rPr>
          <w:lang w:val="es-ES"/>
        </w:rPr>
        <w:instrText xml:space="preserve"> HYPERLINK "http://joomla.corteidh.or.cr:8080/joomla/es/casos-contenciosos/38-jurisprudencia/2120-corte-idh-caso-j-vs-peru-excepcion-preliminar-fondo-reparaciones-y-costas-sentencia-de-27-de-noviembre-de-2013-serie-c-no-275" </w:instrText>
      </w:r>
      <w:r>
        <w:fldChar w:fldCharType="separate"/>
      </w:r>
      <w:r w:rsidRPr="00627EC0">
        <w:rPr>
          <w:rStyle w:val="Hyperlink"/>
          <w:rFonts w:ascii="Cambria" w:hAnsi="Cambria" w:cs="Arial"/>
          <w:i/>
          <w:color w:val="auto"/>
          <w:sz w:val="16"/>
          <w:szCs w:val="16"/>
          <w:u w:val="none"/>
          <w:shd w:val="clear" w:color="auto" w:fill="FFFFFF"/>
          <w:lang w:val="es-PE"/>
        </w:rPr>
        <w:t xml:space="preserve">Caso J. Vs. </w:t>
      </w:r>
      <w:r w:rsidRPr="00CE4228">
        <w:rPr>
          <w:rStyle w:val="Hyperlink"/>
          <w:rFonts w:ascii="Cambria" w:hAnsi="Cambria" w:cs="Arial"/>
          <w:i/>
          <w:color w:val="auto"/>
          <w:sz w:val="16"/>
          <w:szCs w:val="16"/>
          <w:u w:val="none"/>
          <w:shd w:val="clear" w:color="auto" w:fill="FFFFFF"/>
          <w:lang w:val="es-ES"/>
        </w:rPr>
        <w:t>Perú</w:t>
      </w:r>
      <w:r w:rsidRPr="00CE4228">
        <w:rPr>
          <w:rStyle w:val="Hyperlink"/>
          <w:rFonts w:ascii="Cambria" w:hAnsi="Cambria" w:cs="Arial"/>
          <w:color w:val="auto"/>
          <w:sz w:val="16"/>
          <w:szCs w:val="16"/>
          <w:u w:val="none"/>
          <w:shd w:val="clear" w:color="auto" w:fill="FFFFFF"/>
          <w:lang w:val="es-ES"/>
        </w:rPr>
        <w:t>. Excepción Preliminar, Fondo, Reparaciones y Costas. Sentencia de 27 de noviembre de 2013. Serie C No. 275</w:t>
      </w:r>
      <w:r>
        <w:rPr>
          <w:rStyle w:val="Hyperlink"/>
          <w:rFonts w:ascii="Cambria" w:hAnsi="Cambria" w:cs="Arial"/>
          <w:color w:val="auto"/>
          <w:sz w:val="16"/>
          <w:szCs w:val="16"/>
          <w:u w:val="none"/>
          <w:shd w:val="clear" w:color="auto" w:fill="FFFFFF"/>
          <w:lang w:val="es-ES"/>
        </w:rPr>
        <w:fldChar w:fldCharType="end"/>
      </w:r>
      <w:r w:rsidRPr="00CE4228">
        <w:rPr>
          <w:rFonts w:ascii="Cambria" w:hAnsi="Cambria"/>
          <w:sz w:val="16"/>
          <w:szCs w:val="16"/>
          <w:lang w:val="es-ES"/>
        </w:rPr>
        <w:t>, párr. 353.</w:t>
      </w:r>
    </w:p>
  </w:footnote>
  <w:footnote w:id="336">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9617A6">
        <w:rPr>
          <w:rFonts w:ascii="Cambria" w:hAnsi="Cambria"/>
          <w:sz w:val="16"/>
          <w:szCs w:val="16"/>
          <w:lang w:val="es-ES"/>
        </w:rPr>
        <w:t xml:space="preserve"> Corte IDH. </w:t>
      </w:r>
      <w:r>
        <w:fldChar w:fldCharType="begin"/>
      </w:r>
      <w:r w:rsidRPr="00BB0B93">
        <w:rPr>
          <w:lang w:val="es-ES"/>
        </w:rPr>
        <w:instrText xml:space="preserve"> HYPERLINK "http://joomla.corteidh.or.cr:8080/joomla/es/casos-contenciosos/38-jurisprudencia/2120-corte-idh-caso-j-vs-peru-excepcion-preliminar-fondo-reparaciones-y-costas-sentencia-de-27-de-noviembre-de-2013-serie-c-no-275" </w:instrText>
      </w:r>
      <w:r>
        <w:fldChar w:fldCharType="separate"/>
      </w:r>
      <w:r w:rsidRPr="00627EC0">
        <w:rPr>
          <w:rStyle w:val="Hyperlink"/>
          <w:rFonts w:ascii="Cambria" w:hAnsi="Cambria" w:cs="Arial"/>
          <w:i/>
          <w:color w:val="auto"/>
          <w:sz w:val="16"/>
          <w:szCs w:val="16"/>
          <w:u w:val="none"/>
          <w:shd w:val="clear" w:color="auto" w:fill="FFFFFF"/>
          <w:lang w:val="es-PE"/>
        </w:rPr>
        <w:t xml:space="preserve">Caso J. Vs. </w:t>
      </w:r>
      <w:r w:rsidRPr="00CE4228">
        <w:rPr>
          <w:rStyle w:val="Hyperlink"/>
          <w:rFonts w:ascii="Cambria" w:hAnsi="Cambria" w:cs="Arial"/>
          <w:i/>
          <w:color w:val="auto"/>
          <w:sz w:val="16"/>
          <w:szCs w:val="16"/>
          <w:u w:val="none"/>
          <w:shd w:val="clear" w:color="auto" w:fill="FFFFFF"/>
          <w:lang w:val="es-ES"/>
        </w:rPr>
        <w:t>Perú</w:t>
      </w:r>
      <w:r w:rsidRPr="00CE4228">
        <w:rPr>
          <w:rStyle w:val="Hyperlink"/>
          <w:rFonts w:ascii="Cambria" w:hAnsi="Cambria" w:cs="Arial"/>
          <w:color w:val="auto"/>
          <w:sz w:val="16"/>
          <w:szCs w:val="16"/>
          <w:u w:val="none"/>
          <w:shd w:val="clear" w:color="auto" w:fill="FFFFFF"/>
          <w:lang w:val="es-ES"/>
        </w:rPr>
        <w:t>. Excepción Preliminar, Fondo, Reparaciones y Costas. Sentencia de 27 de noviembre de 2013. Serie C No. 275</w:t>
      </w:r>
      <w:r>
        <w:rPr>
          <w:rStyle w:val="Hyperlink"/>
          <w:rFonts w:ascii="Cambria" w:hAnsi="Cambria" w:cs="Arial"/>
          <w:color w:val="auto"/>
          <w:sz w:val="16"/>
          <w:szCs w:val="16"/>
          <w:u w:val="none"/>
          <w:shd w:val="clear" w:color="auto" w:fill="FFFFFF"/>
          <w:lang w:val="es-ES"/>
        </w:rPr>
        <w:fldChar w:fldCharType="end"/>
      </w:r>
      <w:r w:rsidRPr="00CE4228">
        <w:rPr>
          <w:rFonts w:ascii="Cambria" w:hAnsi="Cambria"/>
          <w:sz w:val="16"/>
          <w:szCs w:val="16"/>
          <w:lang w:val="es-ES"/>
        </w:rPr>
        <w:t>, párr. 354.</w:t>
      </w:r>
    </w:p>
  </w:footnote>
  <w:footnote w:id="337">
    <w:p w:rsidR="00BB0B93" w:rsidRPr="00CE4228" w:rsidRDefault="00BB0B93" w:rsidP="00CE4228">
      <w:pPr>
        <w:pStyle w:val="FootnoteText"/>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Artículo 8.1 de la Convención Americana:</w:t>
      </w:r>
      <w:r w:rsidRPr="00CE4228">
        <w:rPr>
          <w:rFonts w:ascii="Cambria" w:hAnsi="Cambria" w:cs="Tahoma"/>
          <w:sz w:val="16"/>
          <w:szCs w:val="16"/>
          <w:lang w:val="es-ES"/>
        </w:rPr>
        <w:t xml:space="preserv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338">
    <w:p w:rsidR="00BB0B93" w:rsidRPr="00CE4228" w:rsidRDefault="00BB0B93" w:rsidP="00CE4228">
      <w:pPr>
        <w:pStyle w:val="FootnoteText"/>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Artículo 25.1 de la Convención Americana: </w:t>
      </w:r>
      <w:r w:rsidRPr="00CE4228">
        <w:rPr>
          <w:rFonts w:ascii="Cambria" w:hAnsi="Cambria" w:cs="Tahoma"/>
          <w:sz w:val="16"/>
          <w:szCs w:val="16"/>
          <w:lang w:val="es-ES"/>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339">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pt-BR"/>
        </w:rPr>
        <w:t xml:space="preserve"> Corte IDH. </w:t>
      </w:r>
      <w:r w:rsidRPr="00CE4228">
        <w:rPr>
          <w:rFonts w:ascii="Cambria" w:hAnsi="Cambria"/>
          <w:i/>
          <w:sz w:val="16"/>
          <w:szCs w:val="16"/>
          <w:lang w:val="pt-BR"/>
        </w:rPr>
        <w:t xml:space="preserve">Caso Barrios Altos Vs. </w:t>
      </w:r>
      <w:r w:rsidRPr="00CE4228">
        <w:rPr>
          <w:rFonts w:ascii="Cambria" w:hAnsi="Cambria"/>
          <w:i/>
          <w:sz w:val="16"/>
          <w:szCs w:val="16"/>
          <w:lang w:val="es-ES"/>
        </w:rPr>
        <w:t>Perú</w:t>
      </w:r>
      <w:r w:rsidRPr="00CE4228">
        <w:rPr>
          <w:rFonts w:ascii="Cambria" w:hAnsi="Cambria"/>
          <w:sz w:val="16"/>
          <w:szCs w:val="16"/>
          <w:lang w:val="es-ES"/>
        </w:rPr>
        <w:t>. Fondo. Sentencia de 14 de marzo de 2001. Serie C No. 75, párr. 48.</w:t>
      </w:r>
    </w:p>
  </w:footnote>
  <w:footnote w:id="340">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Corte IDH. </w:t>
      </w:r>
      <w:r w:rsidRPr="00CE4228">
        <w:rPr>
          <w:rFonts w:ascii="Cambria" w:hAnsi="Cambria"/>
          <w:i/>
          <w:sz w:val="16"/>
          <w:szCs w:val="16"/>
          <w:lang w:val="es-ES"/>
        </w:rPr>
        <w:t>Caso Loayza Tamayo Vs. Perú.</w:t>
      </w:r>
      <w:r w:rsidRPr="00CE4228">
        <w:rPr>
          <w:rFonts w:ascii="Cambria" w:hAnsi="Cambria"/>
          <w:sz w:val="16"/>
          <w:szCs w:val="16"/>
          <w:lang w:val="es-ES"/>
        </w:rPr>
        <w:t xml:space="preserve"> Reparaciones y Costas. Sentencia de 27 de noviembre de 1998. Serie C No. 42, párr. 169</w:t>
      </w:r>
    </w:p>
  </w:footnote>
  <w:footnote w:id="341">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Corte IDH. </w:t>
      </w:r>
      <w:r w:rsidRPr="00CE4228">
        <w:rPr>
          <w:rFonts w:ascii="Cambria" w:hAnsi="Cambria"/>
          <w:i/>
          <w:sz w:val="16"/>
          <w:szCs w:val="16"/>
          <w:lang w:val="es-ES"/>
        </w:rPr>
        <w:t>Caso Juan Humberto Sánchez Vs. Honduras</w:t>
      </w:r>
      <w:r w:rsidRPr="00CE4228">
        <w:rPr>
          <w:rFonts w:ascii="Cambria" w:hAnsi="Cambria"/>
          <w:sz w:val="16"/>
          <w:szCs w:val="16"/>
          <w:lang w:val="es-ES"/>
        </w:rPr>
        <w:t>. Excepción Preliminar, Fondo, Reparaciones y Costas. Sentencia de 7 de junio de 2003. Serie C No. 99, párr. 121.</w:t>
      </w:r>
    </w:p>
  </w:footnote>
  <w:footnote w:id="342">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Corte IDH. </w:t>
      </w:r>
      <w:r w:rsidRPr="00CE4228">
        <w:rPr>
          <w:rFonts w:ascii="Cambria" w:hAnsi="Cambria"/>
          <w:i/>
          <w:sz w:val="16"/>
          <w:szCs w:val="16"/>
          <w:lang w:val="es-ES"/>
        </w:rPr>
        <w:t>Caso Juan Humberto Sánchez Vs. Honduras</w:t>
      </w:r>
      <w:r w:rsidRPr="00CE4228">
        <w:rPr>
          <w:rFonts w:ascii="Cambria" w:hAnsi="Cambria"/>
          <w:sz w:val="16"/>
          <w:szCs w:val="16"/>
          <w:lang w:val="es-ES"/>
        </w:rPr>
        <w:t>. Excepción Preliminar, Fondo, Reparaciones y Costas. Sentencia de 7 de junio de 2003. Serie C No. 99, párr. 121.</w:t>
      </w:r>
    </w:p>
  </w:footnote>
  <w:footnote w:id="343">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Observación General No. 1. Artículo 12: Igual reconocimiento como persona ante la ley, 19 de mayo de 2014, párr. 38.</w:t>
      </w:r>
    </w:p>
  </w:footnote>
  <w:footnote w:id="344">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Corte IDH. </w:t>
      </w:r>
      <w:r w:rsidRPr="00CE4228">
        <w:rPr>
          <w:rFonts w:ascii="Cambria" w:hAnsi="Cambria"/>
          <w:i/>
          <w:sz w:val="16"/>
          <w:szCs w:val="16"/>
          <w:lang w:val="es-ES"/>
        </w:rPr>
        <w:t xml:space="preserve">Caso </w:t>
      </w:r>
      <w:proofErr w:type="spellStart"/>
      <w:r w:rsidRPr="00CE4228">
        <w:rPr>
          <w:rFonts w:ascii="Cambria" w:hAnsi="Cambria"/>
          <w:i/>
          <w:sz w:val="16"/>
          <w:szCs w:val="16"/>
          <w:lang w:val="es-ES"/>
        </w:rPr>
        <w:t>Furlan</w:t>
      </w:r>
      <w:proofErr w:type="spellEnd"/>
      <w:r w:rsidRPr="00CE4228">
        <w:rPr>
          <w:rFonts w:ascii="Cambria" w:hAnsi="Cambria"/>
          <w:i/>
          <w:sz w:val="16"/>
          <w:szCs w:val="16"/>
          <w:lang w:val="es-ES"/>
        </w:rPr>
        <w:t xml:space="preserve"> y Familiares Vs. Argentina</w:t>
      </w:r>
      <w:r w:rsidRPr="00CE4228">
        <w:rPr>
          <w:rFonts w:ascii="Cambria" w:hAnsi="Cambria"/>
          <w:sz w:val="16"/>
          <w:szCs w:val="16"/>
          <w:lang w:val="es-ES"/>
        </w:rPr>
        <w:t>. Excepciones Preliminares, Fondo, Reparaciones y Costas. Sentencia de 31 de agosto de 2012. Serie C No. 246, párr. 196.</w:t>
      </w:r>
    </w:p>
  </w:footnote>
  <w:footnote w:id="345">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Corte IDH. </w:t>
      </w:r>
      <w:r w:rsidRPr="00CE4228">
        <w:rPr>
          <w:rFonts w:ascii="Cambria" w:hAnsi="Cambria"/>
          <w:i/>
          <w:sz w:val="16"/>
          <w:szCs w:val="16"/>
          <w:lang w:val="es-ES"/>
        </w:rPr>
        <w:t xml:space="preserve">Caso </w:t>
      </w:r>
      <w:proofErr w:type="spellStart"/>
      <w:r w:rsidRPr="00CE4228">
        <w:rPr>
          <w:rFonts w:ascii="Cambria" w:hAnsi="Cambria"/>
          <w:i/>
          <w:sz w:val="16"/>
          <w:szCs w:val="16"/>
          <w:lang w:val="es-ES"/>
        </w:rPr>
        <w:t>Furlan</w:t>
      </w:r>
      <w:proofErr w:type="spellEnd"/>
      <w:r w:rsidRPr="00CE4228">
        <w:rPr>
          <w:rFonts w:ascii="Cambria" w:hAnsi="Cambria"/>
          <w:i/>
          <w:sz w:val="16"/>
          <w:szCs w:val="16"/>
          <w:lang w:val="es-ES"/>
        </w:rPr>
        <w:t xml:space="preserve"> y Familiares Vs. Argentina</w:t>
      </w:r>
      <w:r w:rsidRPr="00CE4228">
        <w:rPr>
          <w:rFonts w:ascii="Cambria" w:hAnsi="Cambria"/>
          <w:sz w:val="16"/>
          <w:szCs w:val="16"/>
          <w:lang w:val="es-ES"/>
        </w:rPr>
        <w:t>. Excepciones Preliminares, Fondo, Reparaciones y Costas. Sentencia de 31 de agosto de 2012. Serie C No. 246, párr. 196.</w:t>
      </w:r>
    </w:p>
  </w:footnote>
  <w:footnote w:id="346">
    <w:p w:rsidR="00BB0B93" w:rsidRPr="00CE4228" w:rsidRDefault="00BB0B93" w:rsidP="00CE4228">
      <w:pPr>
        <w:pStyle w:val="FootnoteText"/>
        <w:tabs>
          <w:tab w:val="left" w:pos="90"/>
        </w:tabs>
        <w:jc w:val="both"/>
        <w:rPr>
          <w:rFonts w:ascii="Cambria" w:hAnsi="Cambria"/>
          <w:sz w:val="16"/>
          <w:szCs w:val="16"/>
          <w:lang w:val="es-ES_tradnl"/>
        </w:rPr>
      </w:pPr>
      <w:r w:rsidRPr="00CE4228">
        <w:rPr>
          <w:rStyle w:val="FootnoteReference"/>
          <w:rFonts w:ascii="Cambria" w:hAnsi="Cambria"/>
          <w:sz w:val="16"/>
          <w:szCs w:val="16"/>
          <w:lang w:val="es-ES"/>
        </w:rPr>
        <w:footnoteRef/>
      </w:r>
      <w:r w:rsidRPr="00CE4228">
        <w:rPr>
          <w:rFonts w:ascii="Cambria" w:hAnsi="Cambria"/>
          <w:sz w:val="16"/>
          <w:szCs w:val="16"/>
          <w:lang w:val="es-ES"/>
        </w:rPr>
        <w:t xml:space="preserve"> Corte IDH. </w:t>
      </w:r>
      <w:r w:rsidRPr="00CE4228">
        <w:rPr>
          <w:rFonts w:ascii="Cambria" w:hAnsi="Cambria"/>
          <w:i/>
          <w:iCs/>
          <w:sz w:val="16"/>
          <w:szCs w:val="16"/>
          <w:lang w:val="es-ES"/>
        </w:rPr>
        <w:t>Caso García Prieto y otros Vs. El Salvador</w:t>
      </w:r>
      <w:r w:rsidRPr="00CE4228">
        <w:rPr>
          <w:rFonts w:ascii="Cambria" w:hAnsi="Cambria"/>
          <w:iCs/>
          <w:sz w:val="16"/>
          <w:szCs w:val="16"/>
          <w:lang w:val="es-ES"/>
        </w:rPr>
        <w:t>.</w:t>
      </w:r>
      <w:r w:rsidRPr="00CE4228">
        <w:rPr>
          <w:rFonts w:ascii="Cambria" w:hAnsi="Cambria"/>
          <w:bCs/>
          <w:sz w:val="16"/>
          <w:szCs w:val="16"/>
          <w:lang w:val="es-ES"/>
        </w:rPr>
        <w:t xml:space="preserve"> </w:t>
      </w:r>
      <w:r>
        <w:fldChar w:fldCharType="begin"/>
      </w:r>
      <w:r w:rsidRPr="00BB0B93">
        <w:rPr>
          <w:lang w:val="es-ES"/>
        </w:rPr>
        <w:instrText xml:space="preserve"> HYPERLINK "http://joomla.corteidh.or.cr:8080/joomla/es/casos-contenciosos/38-jurisprudencia/754-corte-idh-caso-garcia-prieto-y-otro-vs-el-salvador-excepciones-preliminares-fondo-reparaciones-y-costas-sentencia-de-20-de-noviembre-de-2007-serie-c-no-168" </w:instrText>
      </w:r>
      <w:r>
        <w:fldChar w:fldCharType="separate"/>
      </w:r>
      <w:r w:rsidRPr="00CE4228">
        <w:rPr>
          <w:rStyle w:val="Hyperlink"/>
          <w:rFonts w:ascii="Cambria" w:hAnsi="Cambria" w:cs="Arial"/>
          <w:color w:val="auto"/>
          <w:sz w:val="16"/>
          <w:szCs w:val="16"/>
          <w:u w:val="none"/>
          <w:shd w:val="clear" w:color="auto" w:fill="FFFFFF"/>
          <w:lang w:val="es-ES"/>
        </w:rPr>
        <w:t>Excepciones Preliminares, Fondo, Reparaciones y Costas. Sentencia de 20 de noviembre de 2007. Serie C No. 168</w:t>
      </w:r>
      <w:r>
        <w:rPr>
          <w:rStyle w:val="Hyperlink"/>
          <w:rFonts w:ascii="Cambria" w:hAnsi="Cambria" w:cs="Arial"/>
          <w:color w:val="auto"/>
          <w:sz w:val="16"/>
          <w:szCs w:val="16"/>
          <w:u w:val="none"/>
          <w:shd w:val="clear" w:color="auto" w:fill="FFFFFF"/>
          <w:lang w:val="es-ES"/>
        </w:rPr>
        <w:fldChar w:fldCharType="end"/>
      </w:r>
      <w:r w:rsidRPr="00CE4228">
        <w:rPr>
          <w:rFonts w:ascii="Cambria" w:hAnsi="Cambria"/>
          <w:sz w:val="16"/>
          <w:szCs w:val="16"/>
          <w:lang w:val="es-ES_tradnl"/>
        </w:rPr>
        <w:t xml:space="preserve">, párr. </w:t>
      </w:r>
      <w:r w:rsidRPr="00CE4228">
        <w:rPr>
          <w:rFonts w:ascii="Cambria" w:hAnsi="Cambria"/>
          <w:sz w:val="16"/>
          <w:szCs w:val="16"/>
          <w:lang w:val="es-ES"/>
        </w:rPr>
        <w:t xml:space="preserve">101. </w:t>
      </w:r>
      <w:r w:rsidRPr="00CE4228">
        <w:rPr>
          <w:rFonts w:ascii="Cambria" w:hAnsi="Cambria"/>
          <w:iCs/>
          <w:sz w:val="16"/>
          <w:szCs w:val="16"/>
          <w:lang w:val="es-ES"/>
        </w:rPr>
        <w:t> </w:t>
      </w:r>
    </w:p>
  </w:footnote>
  <w:footnote w:id="347">
    <w:p w:rsidR="00BB0B93" w:rsidRPr="00CE4228" w:rsidRDefault="00BB0B93" w:rsidP="00CE4228">
      <w:pPr>
        <w:pStyle w:val="FootnoteText"/>
        <w:tabs>
          <w:tab w:val="left" w:pos="90"/>
        </w:tabs>
        <w:jc w:val="both"/>
        <w:rPr>
          <w:rFonts w:ascii="Cambria" w:hAnsi="Cambria"/>
          <w:sz w:val="16"/>
          <w:szCs w:val="16"/>
          <w:lang w:val="es-ES_tradnl"/>
        </w:rPr>
      </w:pPr>
      <w:r w:rsidRPr="00CE4228">
        <w:rPr>
          <w:rStyle w:val="FootnoteReference"/>
          <w:rFonts w:ascii="Cambria" w:hAnsi="Cambria"/>
          <w:sz w:val="16"/>
          <w:szCs w:val="16"/>
          <w:lang w:val="es-ES"/>
        </w:rPr>
        <w:footnoteRef/>
      </w:r>
      <w:r w:rsidRPr="00CE4228">
        <w:rPr>
          <w:rStyle w:val="FootnoteReference"/>
          <w:rFonts w:ascii="Cambria" w:hAnsi="Cambria"/>
          <w:sz w:val="16"/>
          <w:szCs w:val="16"/>
          <w:lang w:val="es-ES"/>
        </w:rPr>
        <w:t xml:space="preserve"> </w:t>
      </w:r>
      <w:r w:rsidRPr="00CE4228">
        <w:rPr>
          <w:rFonts w:ascii="Cambria" w:hAnsi="Cambria"/>
          <w:sz w:val="16"/>
          <w:szCs w:val="16"/>
          <w:lang w:val="es-ES"/>
        </w:rPr>
        <w:t xml:space="preserve">Corte IDH. </w:t>
      </w:r>
      <w:r w:rsidRPr="00CE4228">
        <w:rPr>
          <w:rFonts w:ascii="Cambria" w:hAnsi="Cambria"/>
          <w:i/>
          <w:sz w:val="16"/>
          <w:szCs w:val="16"/>
          <w:lang w:val="es-ES"/>
        </w:rPr>
        <w:t xml:space="preserve">Caso de los Hermanos Gómez </w:t>
      </w:r>
      <w:proofErr w:type="spellStart"/>
      <w:r w:rsidRPr="00CE4228">
        <w:rPr>
          <w:rFonts w:ascii="Cambria" w:hAnsi="Cambria"/>
          <w:i/>
          <w:sz w:val="16"/>
          <w:szCs w:val="16"/>
          <w:lang w:val="es-ES"/>
        </w:rPr>
        <w:t>Paquiyauri</w:t>
      </w:r>
      <w:proofErr w:type="spellEnd"/>
      <w:r w:rsidRPr="00CE4228">
        <w:rPr>
          <w:rFonts w:ascii="Cambria" w:hAnsi="Cambria"/>
          <w:i/>
          <w:sz w:val="16"/>
          <w:szCs w:val="16"/>
          <w:lang w:val="es-ES"/>
        </w:rPr>
        <w:t xml:space="preserve"> Vs. Perú</w:t>
      </w:r>
      <w:r w:rsidRPr="00CE4228">
        <w:rPr>
          <w:rFonts w:ascii="Cambria" w:hAnsi="Cambria"/>
          <w:sz w:val="16"/>
          <w:szCs w:val="16"/>
          <w:lang w:val="es-ES"/>
        </w:rPr>
        <w:t xml:space="preserve">. Sentencia de 8 de julio de 2004. Serie C No. 110, párr. 146; y </w:t>
      </w:r>
      <w:r w:rsidRPr="00CE4228">
        <w:rPr>
          <w:rFonts w:ascii="Cambria" w:hAnsi="Cambria"/>
          <w:bCs/>
          <w:i/>
          <w:sz w:val="16"/>
          <w:szCs w:val="16"/>
          <w:lang w:val="es-ES"/>
        </w:rPr>
        <w:t xml:space="preserve">Caso Cantoral </w:t>
      </w:r>
      <w:proofErr w:type="spellStart"/>
      <w:r w:rsidRPr="00CE4228">
        <w:rPr>
          <w:rFonts w:ascii="Cambria" w:hAnsi="Cambria"/>
          <w:bCs/>
          <w:i/>
          <w:sz w:val="16"/>
          <w:szCs w:val="16"/>
          <w:lang w:val="es-ES"/>
        </w:rPr>
        <w:t>Huamaní</w:t>
      </w:r>
      <w:proofErr w:type="spellEnd"/>
      <w:r w:rsidRPr="00CE4228">
        <w:rPr>
          <w:rFonts w:ascii="Cambria" w:hAnsi="Cambria"/>
          <w:bCs/>
          <w:i/>
          <w:sz w:val="16"/>
          <w:szCs w:val="16"/>
          <w:lang w:val="es-ES"/>
        </w:rPr>
        <w:t xml:space="preserve"> y García Santa Cruz Vs. Perú</w:t>
      </w:r>
      <w:r w:rsidRPr="00CE4228">
        <w:rPr>
          <w:rFonts w:ascii="Cambria" w:hAnsi="Cambria"/>
          <w:bCs/>
          <w:sz w:val="16"/>
          <w:szCs w:val="16"/>
          <w:lang w:val="es-ES"/>
        </w:rPr>
        <w:t xml:space="preserve">. </w:t>
      </w:r>
      <w:r w:rsidRPr="00CE4228">
        <w:rPr>
          <w:rFonts w:ascii="Cambria" w:hAnsi="Cambria"/>
          <w:sz w:val="16"/>
          <w:szCs w:val="16"/>
          <w:lang w:val="es-ES"/>
        </w:rPr>
        <w:t xml:space="preserve">Sentencia de 10 de julio de 2007. Serie C No. 167, párr. 130.  </w:t>
      </w:r>
    </w:p>
  </w:footnote>
  <w:footnote w:id="348">
    <w:p w:rsidR="00BB0B93" w:rsidRPr="00CE4228" w:rsidRDefault="00BB0B93" w:rsidP="00CE4228">
      <w:pPr>
        <w:pStyle w:val="FootnoteText"/>
        <w:tabs>
          <w:tab w:val="left" w:pos="90"/>
        </w:tabs>
        <w:jc w:val="both"/>
        <w:rPr>
          <w:rFonts w:ascii="Cambria" w:hAnsi="Cambria"/>
          <w:sz w:val="16"/>
          <w:szCs w:val="16"/>
          <w:lang w:val="es-ES_tradnl"/>
        </w:rPr>
      </w:pPr>
      <w:r w:rsidRPr="00CE4228">
        <w:rPr>
          <w:rStyle w:val="FootnoteReference"/>
          <w:rFonts w:ascii="Cambria" w:hAnsi="Cambria"/>
          <w:sz w:val="16"/>
          <w:szCs w:val="16"/>
        </w:rPr>
        <w:footnoteRef/>
      </w:r>
      <w:r w:rsidRPr="00CE4228">
        <w:rPr>
          <w:rFonts w:ascii="Cambria" w:hAnsi="Cambria"/>
          <w:sz w:val="16"/>
          <w:szCs w:val="16"/>
          <w:lang w:val="es-ES_tradnl"/>
        </w:rPr>
        <w:t xml:space="preserve"> Corte IDH. </w:t>
      </w:r>
      <w:r w:rsidRPr="00CE4228">
        <w:rPr>
          <w:rFonts w:ascii="Cambria" w:hAnsi="Cambria"/>
          <w:i/>
          <w:iCs/>
          <w:sz w:val="16"/>
          <w:szCs w:val="16"/>
          <w:lang w:val="es-ES_tradnl"/>
        </w:rPr>
        <w:t>Caso Zambrano Vélez y otros Vs. Ecuador</w:t>
      </w:r>
      <w:r w:rsidRPr="00CE4228">
        <w:rPr>
          <w:rFonts w:ascii="Cambria" w:hAnsi="Cambria"/>
          <w:iCs/>
          <w:sz w:val="16"/>
          <w:szCs w:val="16"/>
          <w:lang w:val="es-ES_tradnl"/>
        </w:rPr>
        <w:t>.</w:t>
      </w:r>
      <w:r w:rsidRPr="00CE4228">
        <w:rPr>
          <w:rFonts w:ascii="Cambria" w:hAnsi="Cambria"/>
          <w:bCs/>
          <w:sz w:val="16"/>
          <w:szCs w:val="16"/>
          <w:lang w:val="es-ES_tradnl"/>
        </w:rPr>
        <w:t xml:space="preserve"> </w:t>
      </w:r>
      <w:r w:rsidRPr="00CE4228">
        <w:rPr>
          <w:rFonts w:ascii="Cambria" w:hAnsi="Cambria"/>
          <w:sz w:val="16"/>
          <w:szCs w:val="16"/>
          <w:lang w:val="es-ES_tradnl"/>
        </w:rPr>
        <w:t xml:space="preserve">Fondo, Reparaciones y Costas. Sentencia de 4 de julio de 2007. Serie C No. 166. Párr. 121.  </w:t>
      </w:r>
    </w:p>
  </w:footnote>
  <w:footnote w:id="349">
    <w:p w:rsidR="00BB0B93" w:rsidRPr="00CE4228" w:rsidRDefault="00BB0B93" w:rsidP="00CE4228">
      <w:pPr>
        <w:tabs>
          <w:tab w:val="left" w:pos="90"/>
        </w:tabs>
        <w:jc w:val="both"/>
        <w:rPr>
          <w:rFonts w:ascii="Cambria" w:hAnsi="Cambria"/>
          <w:sz w:val="16"/>
          <w:szCs w:val="16"/>
          <w:lang w:val="es-ES"/>
        </w:rPr>
      </w:pPr>
      <w:r w:rsidRPr="00CE4228">
        <w:rPr>
          <w:rStyle w:val="FootnoteReference"/>
          <w:rFonts w:ascii="Cambria" w:hAnsi="Cambria"/>
          <w:sz w:val="16"/>
          <w:szCs w:val="16"/>
          <w:lang w:val="es-ES_tradnl"/>
        </w:rPr>
        <w:footnoteRef/>
      </w:r>
      <w:r w:rsidRPr="00CE4228">
        <w:rPr>
          <w:rStyle w:val="FootnoteReference"/>
          <w:rFonts w:ascii="Cambria" w:hAnsi="Cambria"/>
          <w:sz w:val="16"/>
          <w:szCs w:val="16"/>
          <w:lang w:val="es-ES"/>
        </w:rPr>
        <w:t xml:space="preserve"> </w:t>
      </w:r>
      <w:r w:rsidRPr="00CE4228">
        <w:rPr>
          <w:rFonts w:ascii="Cambria" w:hAnsi="Cambria" w:cs="Arial"/>
          <w:sz w:val="16"/>
          <w:szCs w:val="16"/>
          <w:lang w:val="es-ES"/>
        </w:rPr>
        <w:t xml:space="preserve">Corte IDH. </w:t>
      </w:r>
      <w:r w:rsidRPr="00CE4228">
        <w:rPr>
          <w:rFonts w:ascii="Cambria" w:hAnsi="Cambria" w:cs="Arial"/>
          <w:i/>
          <w:sz w:val="16"/>
          <w:szCs w:val="16"/>
          <w:lang w:val="es-ES"/>
        </w:rPr>
        <w:t>Caso Myrna Mack Chang Vs. Guatemala</w:t>
      </w:r>
      <w:r w:rsidRPr="00CE4228">
        <w:rPr>
          <w:rFonts w:ascii="Cambria" w:hAnsi="Cambria" w:cs="Arial"/>
          <w:sz w:val="16"/>
          <w:szCs w:val="16"/>
          <w:lang w:val="es-ES"/>
        </w:rPr>
        <w:t xml:space="preserve">. Sentencia de 25 de noviembre de 2003. Serie C No. 101, párr. 167. </w:t>
      </w:r>
      <w:r w:rsidRPr="00CE4228">
        <w:rPr>
          <w:rFonts w:ascii="Cambria" w:hAnsi="Cambria"/>
          <w:sz w:val="16"/>
          <w:szCs w:val="16"/>
          <w:lang w:val="es-ES" w:eastAsia="es-ES"/>
        </w:rPr>
        <w:t>CIDH, Informe No. 37/00, Caso 11.481, Fondo, Monseñor Oscar Arnulfo Romero y Galdámez, El Salvador, 13 de abril de 2000, párr. 85.</w:t>
      </w:r>
    </w:p>
  </w:footnote>
  <w:footnote w:id="350">
    <w:p w:rsidR="00BB0B93" w:rsidRPr="00CE4228" w:rsidRDefault="00BB0B93" w:rsidP="00CE4228">
      <w:pPr>
        <w:tabs>
          <w:tab w:val="left" w:pos="90"/>
          <w:tab w:val="left" w:pos="9240"/>
        </w:tabs>
        <w:autoSpaceDE w:val="0"/>
        <w:autoSpaceDN w:val="0"/>
        <w:adjustRightInd w:val="0"/>
        <w:jc w:val="both"/>
        <w:rPr>
          <w:rFonts w:ascii="Cambria" w:hAnsi="Cambria"/>
          <w:sz w:val="16"/>
          <w:szCs w:val="16"/>
          <w:lang w:val="es-ES_tradnl"/>
        </w:rPr>
      </w:pPr>
      <w:r w:rsidRPr="00CE4228">
        <w:rPr>
          <w:rStyle w:val="FootnoteReference"/>
          <w:rFonts w:ascii="Cambria" w:hAnsi="Cambria"/>
          <w:sz w:val="16"/>
          <w:szCs w:val="16"/>
          <w:lang w:val="es-ES"/>
        </w:rPr>
        <w:footnoteRef/>
      </w:r>
      <w:r w:rsidRPr="00CE4228">
        <w:rPr>
          <w:rFonts w:ascii="Cambria" w:hAnsi="Cambria"/>
          <w:sz w:val="16"/>
          <w:szCs w:val="16"/>
          <w:lang w:val="es-ES"/>
        </w:rPr>
        <w:t xml:space="preserve"> Corte IDH. </w:t>
      </w:r>
      <w:r w:rsidRPr="00CE4228">
        <w:rPr>
          <w:rFonts w:ascii="Cambria" w:hAnsi="Cambria" w:cs="ACaslonPro-Italic"/>
          <w:i/>
          <w:iCs/>
          <w:sz w:val="16"/>
          <w:szCs w:val="16"/>
          <w:lang w:val="es-ES"/>
        </w:rPr>
        <w:t xml:space="preserve">Caso Cantoral </w:t>
      </w:r>
      <w:proofErr w:type="spellStart"/>
      <w:r w:rsidRPr="00CE4228">
        <w:rPr>
          <w:rFonts w:ascii="Cambria" w:hAnsi="Cambria" w:cs="ACaslonPro-Italic"/>
          <w:i/>
          <w:iCs/>
          <w:sz w:val="16"/>
          <w:szCs w:val="16"/>
          <w:lang w:val="es-ES"/>
        </w:rPr>
        <w:t>Huamaní</w:t>
      </w:r>
      <w:proofErr w:type="spellEnd"/>
      <w:r w:rsidRPr="00CE4228">
        <w:rPr>
          <w:rFonts w:ascii="Cambria" w:hAnsi="Cambria" w:cs="ACaslonPro-Italic"/>
          <w:i/>
          <w:iCs/>
          <w:sz w:val="16"/>
          <w:szCs w:val="16"/>
          <w:lang w:val="es-ES"/>
        </w:rPr>
        <w:t xml:space="preserve"> y García Santa Cruz Vs. Perú</w:t>
      </w:r>
      <w:r w:rsidRPr="00CE4228">
        <w:rPr>
          <w:rFonts w:ascii="Cambria" w:hAnsi="Cambria" w:cs="ACaslonPro-Italic"/>
          <w:iCs/>
          <w:sz w:val="16"/>
          <w:szCs w:val="16"/>
          <w:lang w:val="es-ES"/>
        </w:rPr>
        <w:t xml:space="preserve">. </w:t>
      </w:r>
      <w:r w:rsidRPr="00CE4228">
        <w:rPr>
          <w:rFonts w:ascii="Cambria" w:hAnsi="Cambria"/>
          <w:sz w:val="16"/>
          <w:szCs w:val="16"/>
          <w:lang w:val="es-ES"/>
        </w:rPr>
        <w:t xml:space="preserve">Sentencia del 10 de julio de 2007. Serie C No. 167,  párr. </w:t>
      </w:r>
      <w:r w:rsidRPr="00CE4228">
        <w:rPr>
          <w:rFonts w:ascii="Cambria" w:hAnsi="Cambria"/>
          <w:sz w:val="16"/>
          <w:szCs w:val="16"/>
          <w:lang w:val="es-ES_tradnl"/>
        </w:rPr>
        <w:t>133.</w:t>
      </w:r>
    </w:p>
  </w:footnote>
  <w:footnote w:id="351">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Véase: Corte IDH. </w:t>
      </w:r>
      <w:r w:rsidRPr="00CE4228">
        <w:rPr>
          <w:rFonts w:ascii="Cambria" w:hAnsi="Cambria"/>
          <w:i/>
          <w:sz w:val="16"/>
          <w:szCs w:val="16"/>
          <w:lang w:val="es-ES"/>
        </w:rPr>
        <w:t xml:space="preserve">Asunto Guerrero </w:t>
      </w:r>
      <w:proofErr w:type="spellStart"/>
      <w:r w:rsidRPr="00CE4228">
        <w:rPr>
          <w:rFonts w:ascii="Cambria" w:hAnsi="Cambria"/>
          <w:i/>
          <w:sz w:val="16"/>
          <w:szCs w:val="16"/>
          <w:lang w:val="es-ES"/>
        </w:rPr>
        <w:t>Larez</w:t>
      </w:r>
      <w:proofErr w:type="spellEnd"/>
      <w:r w:rsidRPr="00CE4228">
        <w:rPr>
          <w:rFonts w:ascii="Cambria" w:hAnsi="Cambria"/>
          <w:i/>
          <w:sz w:val="16"/>
          <w:szCs w:val="16"/>
          <w:lang w:val="es-ES"/>
        </w:rPr>
        <w:t xml:space="preserve"> respecto de Venezuela</w:t>
      </w:r>
      <w:r w:rsidRPr="00CE4228">
        <w:rPr>
          <w:rFonts w:ascii="Cambria" w:hAnsi="Cambria"/>
          <w:sz w:val="16"/>
          <w:szCs w:val="16"/>
          <w:lang w:val="es-ES"/>
        </w:rPr>
        <w:t xml:space="preserve">. Medidas Provisionales. </w:t>
      </w:r>
      <w:r w:rsidRPr="00CE4228">
        <w:rPr>
          <w:rStyle w:val="Strong"/>
          <w:rFonts w:ascii="Cambria" w:hAnsi="Cambria"/>
          <w:b w:val="0"/>
          <w:sz w:val="16"/>
          <w:szCs w:val="16"/>
          <w:shd w:val="clear" w:color="auto" w:fill="FFFFFF"/>
          <w:lang w:val="es-ES"/>
        </w:rPr>
        <w:t xml:space="preserve">Resolución de 19 de agosto de 2013; </w:t>
      </w:r>
      <w:r w:rsidRPr="00CE4228">
        <w:rPr>
          <w:rStyle w:val="Strong"/>
          <w:rFonts w:ascii="Cambria" w:hAnsi="Cambria"/>
          <w:b w:val="0"/>
          <w:i/>
          <w:sz w:val="16"/>
          <w:szCs w:val="16"/>
          <w:shd w:val="clear" w:color="auto" w:fill="FFFFFF"/>
          <w:lang w:val="es-ES"/>
        </w:rPr>
        <w:t>Asunto Natera Balboa respecto de Venezuela</w:t>
      </w:r>
      <w:r w:rsidRPr="00CE4228">
        <w:rPr>
          <w:rStyle w:val="Strong"/>
          <w:rFonts w:ascii="Cambria" w:hAnsi="Cambria"/>
          <w:b w:val="0"/>
          <w:sz w:val="16"/>
          <w:szCs w:val="16"/>
          <w:shd w:val="clear" w:color="auto" w:fill="FFFFFF"/>
          <w:lang w:val="es-ES"/>
        </w:rPr>
        <w:t>. Medidas Provisionales. Resolución de 19 de agosto de 2013.</w:t>
      </w:r>
    </w:p>
  </w:footnote>
  <w:footnote w:id="352">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Corte IDH. </w:t>
      </w:r>
      <w:r w:rsidRPr="00CE4228">
        <w:rPr>
          <w:rFonts w:ascii="Cambria" w:hAnsi="Cambria"/>
          <w:i/>
          <w:sz w:val="16"/>
          <w:szCs w:val="16"/>
          <w:lang w:val="es-ES"/>
        </w:rPr>
        <w:t xml:space="preserve">Asunto Guerrero </w:t>
      </w:r>
      <w:proofErr w:type="spellStart"/>
      <w:r w:rsidRPr="00CE4228">
        <w:rPr>
          <w:rFonts w:ascii="Cambria" w:hAnsi="Cambria"/>
          <w:i/>
          <w:sz w:val="16"/>
          <w:szCs w:val="16"/>
          <w:lang w:val="es-ES"/>
        </w:rPr>
        <w:t>Larez</w:t>
      </w:r>
      <w:proofErr w:type="spellEnd"/>
      <w:r w:rsidRPr="00CE4228">
        <w:rPr>
          <w:rFonts w:ascii="Cambria" w:hAnsi="Cambria"/>
          <w:i/>
          <w:sz w:val="16"/>
          <w:szCs w:val="16"/>
          <w:lang w:val="es-ES"/>
        </w:rPr>
        <w:t xml:space="preserve"> respecto de Venezuela</w:t>
      </w:r>
      <w:r w:rsidRPr="00CE4228">
        <w:rPr>
          <w:rFonts w:ascii="Cambria" w:hAnsi="Cambria"/>
          <w:sz w:val="16"/>
          <w:szCs w:val="16"/>
          <w:lang w:val="es-ES"/>
        </w:rPr>
        <w:t xml:space="preserve">. Medidas Provisionales. Resolución de 19 de agosto de 2013, considerando 6. </w:t>
      </w:r>
    </w:p>
  </w:footnote>
  <w:footnote w:id="353">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Corte IDH. </w:t>
      </w:r>
      <w:r w:rsidRPr="00CE4228">
        <w:rPr>
          <w:rFonts w:ascii="Cambria" w:hAnsi="Cambria"/>
          <w:i/>
          <w:sz w:val="16"/>
          <w:szCs w:val="16"/>
          <w:lang w:val="es-ES"/>
        </w:rPr>
        <w:t xml:space="preserve">Asunto Guerrero </w:t>
      </w:r>
      <w:proofErr w:type="spellStart"/>
      <w:r w:rsidRPr="00CE4228">
        <w:rPr>
          <w:rFonts w:ascii="Cambria" w:hAnsi="Cambria"/>
          <w:i/>
          <w:sz w:val="16"/>
          <w:szCs w:val="16"/>
          <w:lang w:val="es-ES"/>
        </w:rPr>
        <w:t>Larez</w:t>
      </w:r>
      <w:proofErr w:type="spellEnd"/>
      <w:r w:rsidRPr="00CE4228">
        <w:rPr>
          <w:rFonts w:ascii="Cambria" w:hAnsi="Cambria"/>
          <w:i/>
          <w:sz w:val="16"/>
          <w:szCs w:val="16"/>
          <w:lang w:val="es-ES"/>
        </w:rPr>
        <w:t xml:space="preserve"> respecto de Venezuela</w:t>
      </w:r>
      <w:r w:rsidRPr="00CE4228">
        <w:rPr>
          <w:rFonts w:ascii="Cambria" w:hAnsi="Cambria"/>
          <w:sz w:val="16"/>
          <w:szCs w:val="16"/>
          <w:lang w:val="es-ES"/>
        </w:rPr>
        <w:t xml:space="preserve">. Medidas Provisionales. Resolución de 19 de agosto de 2013, considerando 6. </w:t>
      </w:r>
    </w:p>
  </w:footnote>
  <w:footnote w:id="354">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Corte IDH. </w:t>
      </w:r>
      <w:r w:rsidRPr="00CE4228">
        <w:rPr>
          <w:rFonts w:ascii="Cambria" w:hAnsi="Cambria"/>
          <w:i/>
          <w:sz w:val="16"/>
          <w:szCs w:val="16"/>
          <w:lang w:val="es-ES"/>
        </w:rPr>
        <w:t xml:space="preserve">Asunto Guerrero </w:t>
      </w:r>
      <w:proofErr w:type="spellStart"/>
      <w:r w:rsidRPr="00CE4228">
        <w:rPr>
          <w:rFonts w:ascii="Cambria" w:hAnsi="Cambria"/>
          <w:i/>
          <w:sz w:val="16"/>
          <w:szCs w:val="16"/>
          <w:lang w:val="es-ES"/>
        </w:rPr>
        <w:t>Larez</w:t>
      </w:r>
      <w:proofErr w:type="spellEnd"/>
      <w:r w:rsidRPr="00CE4228">
        <w:rPr>
          <w:rFonts w:ascii="Cambria" w:hAnsi="Cambria"/>
          <w:i/>
          <w:sz w:val="16"/>
          <w:szCs w:val="16"/>
          <w:lang w:val="es-ES"/>
        </w:rPr>
        <w:t xml:space="preserve"> respecto de Venezuela</w:t>
      </w:r>
      <w:r w:rsidRPr="00CE4228">
        <w:rPr>
          <w:rFonts w:ascii="Cambria" w:hAnsi="Cambria"/>
          <w:sz w:val="16"/>
          <w:szCs w:val="16"/>
          <w:lang w:val="es-ES"/>
        </w:rPr>
        <w:t xml:space="preserve">. Medidas Provisionales. Resolución de 19 de agosto de 2013, considerando 6. </w:t>
      </w:r>
    </w:p>
  </w:footnote>
  <w:footnote w:id="355">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Corte I.D.H., </w:t>
      </w:r>
      <w:r>
        <w:fldChar w:fldCharType="begin"/>
      </w:r>
      <w:r w:rsidRPr="00BB0B93">
        <w:rPr>
          <w:lang w:val="es-ES"/>
        </w:rPr>
        <w:instrText xml:space="preserve"> HYPERLINK "http://joomla.corteidh.or.cr:8080/joomla/es/casos-contenciosos/38-jurisprudencia/1951-corte-idh-caso-garcia-y-familiares-vs-guatemala-fondo-reparaciones-y-costas-sentencia-de-29-noviembre-de-2012-serie-c-no-258" </w:instrText>
      </w:r>
      <w:r>
        <w:fldChar w:fldCharType="separate"/>
      </w:r>
      <w:r w:rsidRPr="00CE4228">
        <w:rPr>
          <w:rStyle w:val="Hyperlink"/>
          <w:rFonts w:ascii="Cambria" w:hAnsi="Cambria" w:cs="Arial"/>
          <w:i/>
          <w:color w:val="auto"/>
          <w:sz w:val="16"/>
          <w:szCs w:val="16"/>
          <w:u w:val="none"/>
          <w:shd w:val="clear" w:color="auto" w:fill="FFFFFF"/>
          <w:lang w:val="es-ES"/>
        </w:rPr>
        <w:t>Caso García y Familiares Vs. Guatemala</w:t>
      </w:r>
      <w:r w:rsidRPr="00CE4228">
        <w:rPr>
          <w:rStyle w:val="Hyperlink"/>
          <w:rFonts w:ascii="Cambria" w:hAnsi="Cambria" w:cs="Arial"/>
          <w:color w:val="auto"/>
          <w:sz w:val="16"/>
          <w:szCs w:val="16"/>
          <w:u w:val="none"/>
          <w:shd w:val="clear" w:color="auto" w:fill="FFFFFF"/>
          <w:lang w:val="es-ES"/>
        </w:rPr>
        <w:t>. Fondo Reparaciones y Costas. Sentencia de 29 noviembre de 2012 Serie C No. 258</w:t>
      </w:r>
      <w:r>
        <w:rPr>
          <w:rStyle w:val="Hyperlink"/>
          <w:rFonts w:ascii="Cambria" w:hAnsi="Cambria" w:cs="Arial"/>
          <w:color w:val="auto"/>
          <w:sz w:val="16"/>
          <w:szCs w:val="16"/>
          <w:u w:val="none"/>
          <w:shd w:val="clear" w:color="auto" w:fill="FFFFFF"/>
          <w:lang w:val="es-ES"/>
        </w:rPr>
        <w:fldChar w:fldCharType="end"/>
      </w:r>
      <w:r w:rsidRPr="00CE4228">
        <w:rPr>
          <w:rFonts w:ascii="Cambria" w:hAnsi="Cambria"/>
          <w:sz w:val="16"/>
          <w:szCs w:val="16"/>
          <w:lang w:val="es-ES"/>
        </w:rPr>
        <w:t>, párr. 143.</w:t>
      </w:r>
    </w:p>
  </w:footnote>
  <w:footnote w:id="356">
    <w:p w:rsidR="00BB0B93" w:rsidRPr="00CE4228" w:rsidRDefault="00BB0B93" w:rsidP="00CE4228">
      <w:pPr>
        <w:pStyle w:val="FootnoteText"/>
        <w:jc w:val="both"/>
        <w:rPr>
          <w:rFonts w:ascii="Cambria" w:hAnsi="Cambria"/>
          <w:sz w:val="16"/>
          <w:szCs w:val="16"/>
          <w:lang w:val="es-PE"/>
        </w:rPr>
      </w:pPr>
      <w:r w:rsidRPr="00CE4228">
        <w:rPr>
          <w:rStyle w:val="FootnoteReference"/>
          <w:rFonts w:ascii="Cambria" w:hAnsi="Cambria"/>
          <w:sz w:val="16"/>
          <w:szCs w:val="16"/>
        </w:rPr>
        <w:footnoteRef/>
      </w:r>
      <w:r w:rsidRPr="00CE4228">
        <w:rPr>
          <w:rFonts w:ascii="Cambria" w:hAnsi="Cambria"/>
          <w:sz w:val="16"/>
          <w:szCs w:val="16"/>
          <w:lang w:val="es-PE"/>
        </w:rPr>
        <w:t xml:space="preserve"> </w:t>
      </w:r>
      <w:r w:rsidRPr="00CE4228">
        <w:rPr>
          <w:rFonts w:ascii="Cambria" w:hAnsi="Cambria"/>
          <w:sz w:val="16"/>
          <w:szCs w:val="16"/>
          <w:lang w:val="es-ES"/>
        </w:rPr>
        <w:t xml:space="preserve">CIDH, </w:t>
      </w:r>
      <w:r>
        <w:fldChar w:fldCharType="begin"/>
      </w:r>
      <w:r w:rsidRPr="00BB0B93">
        <w:rPr>
          <w:lang w:val="es-ES"/>
        </w:rPr>
        <w:instrText xml:space="preserve"> HYPERLINK "https://www.youtube.com/watch?v=8pG-hHzzZ-Y" </w:instrText>
      </w:r>
      <w:r>
        <w:fldChar w:fldCharType="separate"/>
      </w:r>
      <w:r w:rsidRPr="00CE4228">
        <w:rPr>
          <w:rStyle w:val="Hyperlink"/>
          <w:rFonts w:ascii="Cambria" w:hAnsi="Cambria" w:cs="Arial"/>
          <w:color w:val="auto"/>
          <w:sz w:val="16"/>
          <w:szCs w:val="16"/>
          <w:u w:val="none"/>
          <w:shd w:val="clear" w:color="auto" w:fill="FFFFFF"/>
          <w:lang w:val="es-ES"/>
        </w:rPr>
        <w:t>Audiencia pública</w:t>
      </w:r>
      <w:r>
        <w:rPr>
          <w:rStyle w:val="Hyperlink"/>
          <w:rFonts w:ascii="Cambria" w:hAnsi="Cambria" w:cs="Arial"/>
          <w:color w:val="auto"/>
          <w:sz w:val="16"/>
          <w:szCs w:val="16"/>
          <w:u w:val="none"/>
          <w:shd w:val="clear" w:color="auto" w:fill="FFFFFF"/>
          <w:lang w:val="es-ES"/>
        </w:rPr>
        <w:fldChar w:fldCharType="end"/>
      </w:r>
      <w:r w:rsidRPr="00CE4228">
        <w:rPr>
          <w:rStyle w:val="Hyperlink"/>
          <w:rFonts w:ascii="Cambria" w:hAnsi="Cambria" w:cs="Arial"/>
          <w:sz w:val="16"/>
          <w:szCs w:val="16"/>
          <w:u w:val="none"/>
          <w:shd w:val="clear" w:color="auto" w:fill="FFFFFF"/>
          <w:lang w:val="es-CO"/>
        </w:rPr>
        <w:t>, 4 de abril de 2016.</w:t>
      </w:r>
    </w:p>
  </w:footnote>
  <w:footnote w:id="357">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ONU, Comité sobre los Derechos de las Personas con Discapacidad, Observaciones finales sobre el informe inicial de Etiopía, 04 de noviembre de 2016, párr. 31. </w:t>
      </w:r>
    </w:p>
  </w:footnote>
  <w:footnote w:id="358">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CIDH, Informe No. 111/09, Caso 11.324, Fondo, Narciso González Medina, República Dominicana, 10 de noviembre de 2009, párr. 225.</w:t>
      </w:r>
    </w:p>
  </w:footnote>
  <w:footnote w:id="359">
    <w:p w:rsidR="00BB0B93" w:rsidRPr="00CE4228" w:rsidRDefault="00BB0B93" w:rsidP="00CE4228">
      <w:pPr>
        <w:pStyle w:val="FootnoteText"/>
        <w:tabs>
          <w:tab w:val="left" w:pos="90"/>
        </w:tabs>
        <w:jc w:val="both"/>
        <w:rPr>
          <w:rFonts w:ascii="Cambria" w:hAnsi="Cambria"/>
          <w:sz w:val="16"/>
          <w:szCs w:val="16"/>
          <w:lang w:val="pt-BR"/>
        </w:rPr>
      </w:pPr>
      <w:r w:rsidRPr="00CE4228">
        <w:rPr>
          <w:rStyle w:val="FootnoteReference"/>
          <w:rFonts w:ascii="Cambria" w:hAnsi="Cambria"/>
          <w:sz w:val="16"/>
          <w:szCs w:val="16"/>
        </w:rPr>
        <w:footnoteRef/>
      </w:r>
      <w:r w:rsidRPr="00CE4228">
        <w:rPr>
          <w:rFonts w:ascii="Cambria" w:hAnsi="Cambria" w:cs="Arial"/>
          <w:sz w:val="16"/>
          <w:szCs w:val="16"/>
          <w:lang w:val="es-ES"/>
        </w:rPr>
        <w:t xml:space="preserve"> </w:t>
      </w:r>
      <w:r w:rsidRPr="00CE4228">
        <w:rPr>
          <w:rFonts w:ascii="Cambria" w:hAnsi="Cambria"/>
          <w:sz w:val="16"/>
          <w:szCs w:val="16"/>
          <w:lang w:val="es-ES_tradnl"/>
        </w:rPr>
        <w:t xml:space="preserve">Corte IDH. </w:t>
      </w:r>
      <w:r w:rsidRPr="00CE4228">
        <w:rPr>
          <w:rFonts w:ascii="Cambria" w:hAnsi="Cambria"/>
          <w:i/>
          <w:sz w:val="16"/>
          <w:szCs w:val="16"/>
          <w:lang w:val="es-ES_tradnl"/>
        </w:rPr>
        <w:t xml:space="preserve">Caso García </w:t>
      </w:r>
      <w:proofErr w:type="spellStart"/>
      <w:r w:rsidRPr="00CE4228">
        <w:rPr>
          <w:rFonts w:ascii="Cambria" w:hAnsi="Cambria"/>
          <w:i/>
          <w:sz w:val="16"/>
          <w:szCs w:val="16"/>
          <w:lang w:val="es-ES_tradnl"/>
        </w:rPr>
        <w:t>Asto</w:t>
      </w:r>
      <w:proofErr w:type="spellEnd"/>
      <w:r w:rsidRPr="00CE4228">
        <w:rPr>
          <w:rFonts w:ascii="Cambria" w:hAnsi="Cambria"/>
          <w:i/>
          <w:sz w:val="16"/>
          <w:szCs w:val="16"/>
          <w:lang w:val="es-ES_tradnl"/>
        </w:rPr>
        <w:t xml:space="preserve"> y Ramírez Rojas Vs. Perú</w:t>
      </w:r>
      <w:r w:rsidRPr="00CE4228">
        <w:rPr>
          <w:rFonts w:ascii="Cambria" w:hAnsi="Cambria"/>
          <w:sz w:val="16"/>
          <w:szCs w:val="16"/>
          <w:lang w:val="es-ES_tradnl"/>
        </w:rPr>
        <w:t>. Sentencia de 25 de noviembre de 2005. Serie C No. 137</w:t>
      </w:r>
      <w:r w:rsidRPr="00CE4228">
        <w:rPr>
          <w:rFonts w:ascii="Cambria" w:hAnsi="Cambria" w:cs="Arial"/>
          <w:iCs/>
          <w:sz w:val="16"/>
          <w:szCs w:val="16"/>
          <w:lang w:val="es-ES"/>
        </w:rPr>
        <w:t xml:space="preserve">, párr. </w:t>
      </w:r>
      <w:r w:rsidRPr="00CE4228">
        <w:rPr>
          <w:rFonts w:ascii="Cambria" w:hAnsi="Cambria" w:cs="Arial"/>
          <w:iCs/>
          <w:sz w:val="16"/>
          <w:szCs w:val="16"/>
          <w:lang w:val="pt-BR"/>
        </w:rPr>
        <w:t>166.</w:t>
      </w:r>
    </w:p>
  </w:footnote>
  <w:footnote w:id="360">
    <w:p w:rsidR="00BB0B93" w:rsidRPr="00CE4228" w:rsidRDefault="00BB0B93" w:rsidP="00CE4228">
      <w:pPr>
        <w:pStyle w:val="FootnoteText"/>
        <w:tabs>
          <w:tab w:val="left" w:pos="90"/>
        </w:tabs>
        <w:jc w:val="both"/>
        <w:rPr>
          <w:rFonts w:ascii="Cambria" w:hAnsi="Cambria"/>
          <w:sz w:val="16"/>
          <w:szCs w:val="16"/>
          <w:lang w:val="pt-BR"/>
        </w:rPr>
      </w:pPr>
      <w:r w:rsidRPr="00CE4228">
        <w:rPr>
          <w:rStyle w:val="FootnoteReference"/>
          <w:rFonts w:ascii="Cambria" w:hAnsi="Cambria"/>
          <w:sz w:val="16"/>
          <w:szCs w:val="16"/>
        </w:rPr>
        <w:footnoteRef/>
      </w:r>
      <w:r w:rsidRPr="00CE4228">
        <w:rPr>
          <w:rFonts w:ascii="Cambria" w:hAnsi="Cambria"/>
          <w:sz w:val="16"/>
          <w:szCs w:val="16"/>
          <w:lang w:val="pt-BR"/>
        </w:rPr>
        <w:t xml:space="preserve"> Corte IDH. </w:t>
      </w:r>
      <w:r w:rsidRPr="00CE4228">
        <w:rPr>
          <w:rFonts w:ascii="Cambria" w:hAnsi="Cambria"/>
          <w:i/>
          <w:sz w:val="16"/>
          <w:szCs w:val="16"/>
          <w:lang w:val="pt-BR"/>
        </w:rPr>
        <w:t>Caso Ricardo Canese Vs. Paraguay</w:t>
      </w:r>
      <w:r w:rsidRPr="00CE4228">
        <w:rPr>
          <w:rFonts w:ascii="Cambria" w:hAnsi="Cambria"/>
          <w:sz w:val="16"/>
          <w:szCs w:val="16"/>
          <w:lang w:val="pt-BR"/>
        </w:rPr>
        <w:t>. Sentencia de 31 de agosto de 2004. Serie C No. 111</w:t>
      </w:r>
      <w:r w:rsidRPr="00CE4228">
        <w:rPr>
          <w:rFonts w:ascii="Cambria" w:hAnsi="Cambria" w:cs="Arial"/>
          <w:sz w:val="16"/>
          <w:szCs w:val="16"/>
          <w:lang w:val="pt-BR"/>
        </w:rPr>
        <w:t xml:space="preserve">, </w:t>
      </w:r>
      <w:r w:rsidRPr="00CE4228">
        <w:rPr>
          <w:rFonts w:ascii="Cambria" w:hAnsi="Cambria" w:cs="Arial"/>
          <w:sz w:val="16"/>
          <w:szCs w:val="16"/>
          <w:lang w:val="pt-BR"/>
        </w:rPr>
        <w:br/>
        <w:t>párr. 142.</w:t>
      </w:r>
    </w:p>
  </w:footnote>
  <w:footnote w:id="361">
    <w:p w:rsidR="00BB0B93" w:rsidRPr="00CE4228" w:rsidRDefault="00BB0B93" w:rsidP="00CE4228">
      <w:pPr>
        <w:pStyle w:val="FootnoteText"/>
        <w:tabs>
          <w:tab w:val="left" w:pos="90"/>
        </w:tabs>
        <w:jc w:val="both"/>
        <w:rPr>
          <w:rFonts w:ascii="Cambria" w:hAnsi="Cambria"/>
          <w:sz w:val="16"/>
          <w:szCs w:val="16"/>
          <w:lang w:val="pt-BR"/>
        </w:rPr>
      </w:pPr>
      <w:r w:rsidRPr="00CE4228">
        <w:rPr>
          <w:rStyle w:val="FootnoteReference"/>
          <w:rFonts w:ascii="Cambria" w:hAnsi="Cambria"/>
          <w:sz w:val="16"/>
          <w:szCs w:val="16"/>
        </w:rPr>
        <w:footnoteRef/>
      </w:r>
      <w:r w:rsidRPr="00CE4228">
        <w:rPr>
          <w:rFonts w:ascii="Cambria" w:hAnsi="Cambria" w:cs="Arial"/>
          <w:sz w:val="16"/>
          <w:szCs w:val="16"/>
          <w:lang w:val="pt-BR"/>
        </w:rPr>
        <w:t xml:space="preserve"> CIDH, Informe No. 77/02, Caso 11.506, Fondo, Waldemar Gerónimo Pinheiro y José Víctor dos Santos, Paraguay, 27 de diciembre de 2002, párr. 76.</w:t>
      </w:r>
    </w:p>
  </w:footnote>
  <w:footnote w:id="362">
    <w:p w:rsidR="00BB0B93" w:rsidRPr="00CE4228" w:rsidRDefault="00BB0B93" w:rsidP="00CE4228">
      <w:pPr>
        <w:pStyle w:val="FootnoteText"/>
        <w:tabs>
          <w:tab w:val="left" w:pos="90"/>
        </w:tabs>
        <w:jc w:val="both"/>
        <w:rPr>
          <w:rFonts w:ascii="Cambria" w:hAnsi="Cambria"/>
          <w:sz w:val="16"/>
          <w:szCs w:val="16"/>
          <w:lang w:val="es-ES_tradnl"/>
        </w:rPr>
      </w:pPr>
      <w:r w:rsidRPr="00CE4228">
        <w:rPr>
          <w:rStyle w:val="FootnoteReference"/>
          <w:rFonts w:ascii="Cambria" w:hAnsi="Cambria"/>
          <w:sz w:val="16"/>
          <w:szCs w:val="16"/>
        </w:rPr>
        <w:footnoteRef/>
      </w:r>
      <w:r w:rsidRPr="00CE4228">
        <w:rPr>
          <w:rFonts w:ascii="Cambria" w:hAnsi="Cambria" w:cs="Arial"/>
          <w:sz w:val="16"/>
          <w:szCs w:val="16"/>
          <w:lang w:val="pt-BR"/>
        </w:rPr>
        <w:t xml:space="preserve"> Corte IDH. </w:t>
      </w:r>
      <w:r w:rsidRPr="00CE4228">
        <w:rPr>
          <w:rFonts w:ascii="Cambria" w:hAnsi="Cambria" w:cs="Arial"/>
          <w:i/>
          <w:sz w:val="16"/>
          <w:szCs w:val="16"/>
          <w:shd w:val="clear" w:color="auto" w:fill="FFFFFF"/>
          <w:lang w:val="pt-BR"/>
        </w:rPr>
        <w:t>Caso Masacre de Santo Domingo Vs. Colombia</w:t>
      </w:r>
      <w:r w:rsidRPr="00CE4228">
        <w:rPr>
          <w:rFonts w:ascii="Cambria" w:hAnsi="Cambria" w:cs="Arial"/>
          <w:sz w:val="16"/>
          <w:szCs w:val="16"/>
          <w:shd w:val="clear" w:color="auto" w:fill="FFFFFF"/>
          <w:lang w:val="pt-BR"/>
        </w:rPr>
        <w:t>. Excepciones Preliminares, Fondo y Reparaciones. Sentencia de 30 de noviembre de 2012. Serie C No. 259,</w:t>
      </w:r>
      <w:r w:rsidRPr="00CE4228">
        <w:rPr>
          <w:rFonts w:ascii="Cambria" w:hAnsi="Cambria" w:cs="Arial"/>
          <w:sz w:val="16"/>
          <w:szCs w:val="16"/>
          <w:lang w:val="pt-BR"/>
        </w:rPr>
        <w:t xml:space="preserve"> párr. </w:t>
      </w:r>
      <w:r w:rsidRPr="00CE4228">
        <w:rPr>
          <w:rFonts w:ascii="Cambria" w:hAnsi="Cambria" w:cs="Arial"/>
          <w:sz w:val="16"/>
          <w:szCs w:val="16"/>
          <w:lang w:val="es-ES"/>
        </w:rPr>
        <w:t>164.</w:t>
      </w:r>
    </w:p>
  </w:footnote>
  <w:footnote w:id="363">
    <w:p w:rsidR="00BB0B93" w:rsidRPr="00CE4228" w:rsidRDefault="00BB0B93" w:rsidP="00CE4228">
      <w:pPr>
        <w:pStyle w:val="FootnoteText"/>
        <w:tabs>
          <w:tab w:val="left" w:pos="90"/>
        </w:tabs>
        <w:jc w:val="both"/>
        <w:rPr>
          <w:rFonts w:ascii="Cambria" w:hAnsi="Cambria"/>
          <w:sz w:val="16"/>
          <w:szCs w:val="16"/>
          <w:lang w:val="es-ES_tradnl"/>
        </w:rPr>
      </w:pPr>
      <w:r w:rsidRPr="00CE4228">
        <w:rPr>
          <w:rStyle w:val="FootnoteReference"/>
          <w:rFonts w:ascii="Cambria" w:hAnsi="Cambria"/>
          <w:sz w:val="16"/>
          <w:szCs w:val="16"/>
        </w:rPr>
        <w:footnoteRef/>
      </w:r>
      <w:r w:rsidRPr="00CE4228">
        <w:rPr>
          <w:rFonts w:ascii="Cambria" w:hAnsi="Cambria"/>
          <w:sz w:val="16"/>
          <w:szCs w:val="16"/>
          <w:lang w:val="es-ES"/>
        </w:rPr>
        <w:t xml:space="preserve"> Corte IDH. </w:t>
      </w:r>
      <w:r w:rsidRPr="00CE4228">
        <w:rPr>
          <w:rFonts w:ascii="Cambria" w:hAnsi="Cambria"/>
          <w:i/>
          <w:sz w:val="16"/>
          <w:szCs w:val="16"/>
          <w:lang w:val="es-ES"/>
        </w:rPr>
        <w:t xml:space="preserve">Caso Familia Barrios Vs. </w:t>
      </w:r>
      <w:r w:rsidRPr="00CE4228">
        <w:rPr>
          <w:rFonts w:ascii="Cambria" w:hAnsi="Cambria"/>
          <w:i/>
          <w:sz w:val="16"/>
          <w:szCs w:val="16"/>
          <w:lang w:val="es-ES_tradnl"/>
        </w:rPr>
        <w:t>Venezuela</w:t>
      </w:r>
      <w:r w:rsidRPr="00CE4228">
        <w:rPr>
          <w:rFonts w:ascii="Cambria" w:hAnsi="Cambria"/>
          <w:sz w:val="16"/>
          <w:szCs w:val="16"/>
          <w:lang w:val="es-ES_tradnl"/>
        </w:rPr>
        <w:t xml:space="preserve">. </w:t>
      </w:r>
      <w:r w:rsidRPr="00CE4228">
        <w:rPr>
          <w:rFonts w:ascii="Cambria" w:hAnsi="Cambria" w:cs="Arial"/>
          <w:sz w:val="16"/>
          <w:szCs w:val="16"/>
          <w:shd w:val="clear" w:color="auto" w:fill="FFFFFF"/>
          <w:lang w:val="es-ES_tradnl"/>
        </w:rPr>
        <w:t>Fondo, Reparaciones y Costas</w:t>
      </w:r>
      <w:r w:rsidRPr="00CE4228">
        <w:rPr>
          <w:rFonts w:ascii="Cambria" w:hAnsi="Cambria"/>
          <w:sz w:val="16"/>
          <w:szCs w:val="16"/>
          <w:lang w:val="es-ES_tradnl"/>
        </w:rPr>
        <w:t>. Sentencia de 24 de noviembre de 2011. Serie C No. 237, párr. 275.</w:t>
      </w:r>
    </w:p>
  </w:footnote>
  <w:footnote w:id="364">
    <w:p w:rsidR="00BB0B93" w:rsidRPr="00CE4228" w:rsidRDefault="00BB0B93" w:rsidP="00CE4228">
      <w:pPr>
        <w:pStyle w:val="FootnoteText"/>
        <w:tabs>
          <w:tab w:val="left" w:pos="90"/>
        </w:tabs>
        <w:jc w:val="both"/>
        <w:rPr>
          <w:rFonts w:ascii="Cambria" w:hAnsi="Cambria"/>
          <w:sz w:val="16"/>
          <w:szCs w:val="16"/>
          <w:lang w:val="es-ES_tradnl"/>
        </w:rPr>
      </w:pPr>
      <w:r w:rsidRPr="00CE4228">
        <w:rPr>
          <w:rStyle w:val="FootnoteReference"/>
          <w:rFonts w:ascii="Cambria" w:hAnsi="Cambria"/>
          <w:sz w:val="16"/>
          <w:szCs w:val="16"/>
        </w:rPr>
        <w:footnoteRef/>
      </w:r>
      <w:r w:rsidRPr="009617A6">
        <w:rPr>
          <w:rFonts w:ascii="Cambria" w:hAnsi="Cambria"/>
          <w:sz w:val="16"/>
          <w:szCs w:val="16"/>
          <w:lang w:val="es-ES"/>
        </w:rPr>
        <w:t xml:space="preserve"> Corte IDH. </w:t>
      </w:r>
      <w:r>
        <w:fldChar w:fldCharType="begin"/>
      </w:r>
      <w:r w:rsidRPr="00BB0B93">
        <w:rPr>
          <w:lang w:val="es-ES"/>
        </w:rPr>
        <w:instrText xml:space="preserve"> HYPERLINK "http://joomla.corteidh.or.cr:8080/joomla/es/casos-contenciosos/38-jurisprudencia/824-corte-idh-caso-kawas-fernandez-vs-honduras-fondo-reparaciones-y-costas-sentencia-de-3-de-abril-de-2009-serie-c-no-196" </w:instrText>
      </w:r>
      <w:r>
        <w:fldChar w:fldCharType="separate"/>
      </w:r>
      <w:r w:rsidRPr="00627EC0">
        <w:rPr>
          <w:rStyle w:val="Hyperlink"/>
          <w:rFonts w:ascii="Cambria" w:hAnsi="Cambria" w:cs="Arial"/>
          <w:i/>
          <w:color w:val="auto"/>
          <w:sz w:val="16"/>
          <w:szCs w:val="16"/>
          <w:u w:val="none"/>
          <w:shd w:val="clear" w:color="auto" w:fill="FFFFFF"/>
          <w:lang w:val="es-PE"/>
        </w:rPr>
        <w:t xml:space="preserve">Caso </w:t>
      </w:r>
      <w:proofErr w:type="spellStart"/>
      <w:r w:rsidRPr="00627EC0">
        <w:rPr>
          <w:rStyle w:val="Hyperlink"/>
          <w:rFonts w:ascii="Cambria" w:hAnsi="Cambria" w:cs="Arial"/>
          <w:i/>
          <w:color w:val="auto"/>
          <w:sz w:val="16"/>
          <w:szCs w:val="16"/>
          <w:u w:val="none"/>
          <w:shd w:val="clear" w:color="auto" w:fill="FFFFFF"/>
          <w:lang w:val="es-PE"/>
        </w:rPr>
        <w:t>Kawas</w:t>
      </w:r>
      <w:proofErr w:type="spellEnd"/>
      <w:r w:rsidRPr="00627EC0">
        <w:rPr>
          <w:rStyle w:val="Hyperlink"/>
          <w:rFonts w:ascii="Cambria" w:hAnsi="Cambria" w:cs="Arial"/>
          <w:i/>
          <w:color w:val="auto"/>
          <w:sz w:val="16"/>
          <w:szCs w:val="16"/>
          <w:u w:val="none"/>
          <w:shd w:val="clear" w:color="auto" w:fill="FFFFFF"/>
          <w:lang w:val="es-PE"/>
        </w:rPr>
        <w:t xml:space="preserve"> Fernández Vs. </w:t>
      </w:r>
      <w:r w:rsidRPr="00CE4228">
        <w:rPr>
          <w:rStyle w:val="Hyperlink"/>
          <w:rFonts w:ascii="Cambria" w:hAnsi="Cambria" w:cs="Arial"/>
          <w:i/>
          <w:color w:val="auto"/>
          <w:sz w:val="16"/>
          <w:szCs w:val="16"/>
          <w:u w:val="none"/>
          <w:shd w:val="clear" w:color="auto" w:fill="FFFFFF"/>
          <w:lang w:val="es-ES"/>
        </w:rPr>
        <w:t>Honduras</w:t>
      </w:r>
      <w:r w:rsidRPr="00CE4228">
        <w:rPr>
          <w:rStyle w:val="Hyperlink"/>
          <w:rFonts w:ascii="Cambria" w:hAnsi="Cambria" w:cs="Arial"/>
          <w:color w:val="auto"/>
          <w:sz w:val="16"/>
          <w:szCs w:val="16"/>
          <w:u w:val="none"/>
          <w:shd w:val="clear" w:color="auto" w:fill="FFFFFF"/>
          <w:lang w:val="es-ES"/>
        </w:rPr>
        <w:t>. Fondo, Reparaciones y Costas. Sentencia de 3 de abril de 2009 Serie C No. 196</w:t>
      </w:r>
      <w:r>
        <w:rPr>
          <w:rStyle w:val="Hyperlink"/>
          <w:rFonts w:ascii="Cambria" w:hAnsi="Cambria" w:cs="Arial"/>
          <w:color w:val="auto"/>
          <w:sz w:val="16"/>
          <w:szCs w:val="16"/>
          <w:u w:val="none"/>
          <w:shd w:val="clear" w:color="auto" w:fill="FFFFFF"/>
          <w:lang w:val="es-ES"/>
        </w:rPr>
        <w:fldChar w:fldCharType="end"/>
      </w:r>
      <w:r w:rsidRPr="00CE4228">
        <w:rPr>
          <w:rFonts w:ascii="Cambria" w:hAnsi="Cambria"/>
          <w:sz w:val="16"/>
          <w:szCs w:val="16"/>
          <w:lang w:val="es-ES_tradnl"/>
        </w:rPr>
        <w:t>, párr. 115.</w:t>
      </w:r>
    </w:p>
  </w:footnote>
  <w:footnote w:id="365">
    <w:p w:rsidR="00BB0B93" w:rsidRPr="00CE4228" w:rsidRDefault="00BB0B93" w:rsidP="00CE4228">
      <w:pPr>
        <w:pStyle w:val="FootnoteText"/>
        <w:tabs>
          <w:tab w:val="left" w:pos="90"/>
        </w:tabs>
        <w:jc w:val="both"/>
        <w:rPr>
          <w:rFonts w:ascii="Cambria" w:hAnsi="Cambria"/>
          <w:sz w:val="16"/>
          <w:szCs w:val="16"/>
          <w:lang w:val="es-ES"/>
        </w:rPr>
      </w:pPr>
      <w:r w:rsidRPr="00CE4228">
        <w:rPr>
          <w:rStyle w:val="FootnoteReference"/>
          <w:rFonts w:ascii="Cambria" w:hAnsi="Cambria"/>
          <w:sz w:val="16"/>
          <w:szCs w:val="16"/>
        </w:rPr>
        <w:footnoteRef/>
      </w:r>
      <w:r w:rsidRPr="00CE4228">
        <w:rPr>
          <w:rFonts w:ascii="Cambria" w:hAnsi="Cambria"/>
          <w:sz w:val="16"/>
          <w:szCs w:val="16"/>
          <w:lang w:val="es-ES"/>
        </w:rPr>
        <w:t xml:space="preserve"> </w:t>
      </w:r>
      <w:r w:rsidRPr="00CE4228">
        <w:rPr>
          <w:rStyle w:val="Strong"/>
          <w:rFonts w:ascii="Cambria" w:hAnsi="Cambria"/>
          <w:b w:val="0"/>
          <w:sz w:val="16"/>
          <w:szCs w:val="16"/>
          <w:shd w:val="clear" w:color="auto" w:fill="FFFFFF"/>
          <w:lang w:val="es-ES"/>
        </w:rPr>
        <w:t xml:space="preserve">Corte IDH. </w:t>
      </w:r>
      <w:r w:rsidRPr="00CE4228">
        <w:rPr>
          <w:rStyle w:val="Strong"/>
          <w:rFonts w:ascii="Cambria" w:hAnsi="Cambria"/>
          <w:b w:val="0"/>
          <w:i/>
          <w:sz w:val="16"/>
          <w:szCs w:val="16"/>
          <w:shd w:val="clear" w:color="auto" w:fill="FFFFFF"/>
          <w:lang w:val="es-ES"/>
        </w:rPr>
        <w:t xml:space="preserve">Caso </w:t>
      </w:r>
      <w:proofErr w:type="spellStart"/>
      <w:r w:rsidRPr="00CE4228">
        <w:rPr>
          <w:rStyle w:val="Strong"/>
          <w:rFonts w:ascii="Cambria" w:hAnsi="Cambria"/>
          <w:b w:val="0"/>
          <w:i/>
          <w:sz w:val="16"/>
          <w:szCs w:val="16"/>
          <w:shd w:val="clear" w:color="auto" w:fill="FFFFFF"/>
          <w:lang w:val="es-ES"/>
        </w:rPr>
        <w:t>Furlan</w:t>
      </w:r>
      <w:proofErr w:type="spellEnd"/>
      <w:r w:rsidRPr="00CE4228">
        <w:rPr>
          <w:rStyle w:val="Strong"/>
          <w:rFonts w:ascii="Cambria" w:hAnsi="Cambria"/>
          <w:b w:val="0"/>
          <w:i/>
          <w:sz w:val="16"/>
          <w:szCs w:val="16"/>
          <w:shd w:val="clear" w:color="auto" w:fill="FFFFFF"/>
          <w:lang w:val="es-ES"/>
        </w:rPr>
        <w:t xml:space="preserve"> y familiares Vs. Argentina</w:t>
      </w:r>
      <w:r w:rsidRPr="00CE4228">
        <w:rPr>
          <w:rStyle w:val="Strong"/>
          <w:rFonts w:ascii="Cambria" w:hAnsi="Cambria"/>
          <w:b w:val="0"/>
          <w:sz w:val="16"/>
          <w:szCs w:val="16"/>
          <w:shd w:val="clear" w:color="auto" w:fill="FFFFFF"/>
          <w:lang w:val="es-ES"/>
        </w:rPr>
        <w:t>. Excepciones Preliminares, Fondo, Reparaciones y Costas. Sentencia de 31 de agosto de 2012. Serie C No. 246, párr. 196.</w:t>
      </w:r>
    </w:p>
  </w:footnote>
  <w:footnote w:id="366">
    <w:p w:rsidR="00BB0B93" w:rsidRPr="00CE4228" w:rsidRDefault="00BB0B93" w:rsidP="00CE4228">
      <w:pPr>
        <w:tabs>
          <w:tab w:val="left" w:pos="1080"/>
        </w:tabs>
        <w:jc w:val="both"/>
        <w:rPr>
          <w:rFonts w:ascii="Cambria" w:hAnsi="Cambria"/>
          <w:sz w:val="16"/>
          <w:szCs w:val="16"/>
          <w:lang w:val="es-ES_tradnl"/>
        </w:rPr>
      </w:pPr>
      <w:r w:rsidRPr="00CE4228">
        <w:rPr>
          <w:rStyle w:val="FootnoteReference"/>
          <w:rFonts w:ascii="Cambria" w:hAnsi="Cambria" w:cs="Arial"/>
          <w:sz w:val="16"/>
          <w:szCs w:val="16"/>
          <w:lang w:val="es-SV"/>
        </w:rPr>
        <w:footnoteRef/>
      </w:r>
      <w:r w:rsidRPr="00CE4228">
        <w:rPr>
          <w:rFonts w:ascii="Cambria" w:hAnsi="Cambria" w:cs="Arial"/>
          <w:sz w:val="16"/>
          <w:szCs w:val="16"/>
          <w:lang w:val="es-ES"/>
        </w:rPr>
        <w:t xml:space="preserve"> Corte IDH. </w:t>
      </w:r>
      <w:r w:rsidRPr="00CE4228">
        <w:rPr>
          <w:rFonts w:ascii="Cambria" w:hAnsi="Cambria" w:cs="Arial"/>
          <w:bCs/>
          <w:i/>
          <w:sz w:val="16"/>
          <w:szCs w:val="16"/>
          <w:lang w:val="es-ES"/>
        </w:rPr>
        <w:t xml:space="preserve">Caso </w:t>
      </w:r>
      <w:proofErr w:type="spellStart"/>
      <w:r w:rsidRPr="00CE4228">
        <w:rPr>
          <w:rFonts w:ascii="Cambria" w:hAnsi="Cambria" w:cs="Arial"/>
          <w:bCs/>
          <w:i/>
          <w:sz w:val="16"/>
          <w:szCs w:val="16"/>
          <w:lang w:val="es-ES"/>
        </w:rPr>
        <w:t>Cant</w:t>
      </w:r>
      <w:proofErr w:type="spellEnd"/>
      <w:r w:rsidRPr="00CE4228">
        <w:rPr>
          <w:rFonts w:ascii="Cambria" w:hAnsi="Cambria" w:cs="Arial"/>
          <w:bCs/>
          <w:i/>
          <w:sz w:val="16"/>
          <w:szCs w:val="16"/>
          <w:lang w:val="es-ES_tradnl"/>
        </w:rPr>
        <w:t xml:space="preserve">oral </w:t>
      </w:r>
      <w:proofErr w:type="spellStart"/>
      <w:r w:rsidRPr="00CE4228">
        <w:rPr>
          <w:rFonts w:ascii="Cambria" w:hAnsi="Cambria" w:cs="Arial"/>
          <w:bCs/>
          <w:i/>
          <w:sz w:val="16"/>
          <w:szCs w:val="16"/>
          <w:lang w:val="es-ES_tradnl"/>
        </w:rPr>
        <w:t>Huamaní</w:t>
      </w:r>
      <w:proofErr w:type="spellEnd"/>
      <w:r w:rsidRPr="00CE4228">
        <w:rPr>
          <w:rFonts w:ascii="Cambria" w:hAnsi="Cambria" w:cs="Arial"/>
          <w:bCs/>
          <w:i/>
          <w:sz w:val="16"/>
          <w:szCs w:val="16"/>
          <w:lang w:val="es-ES_tradnl"/>
        </w:rPr>
        <w:t xml:space="preserve"> y García Santa Cruz Vs. Perú</w:t>
      </w:r>
      <w:r w:rsidRPr="00CE4228">
        <w:rPr>
          <w:rFonts w:ascii="Cambria" w:hAnsi="Cambria" w:cs="Arial"/>
          <w:bCs/>
          <w:sz w:val="16"/>
          <w:szCs w:val="16"/>
          <w:lang w:val="es-ES_tradnl"/>
        </w:rPr>
        <w:t>.</w:t>
      </w:r>
      <w:r w:rsidRPr="00CE4228">
        <w:rPr>
          <w:rFonts w:ascii="Cambria" w:hAnsi="Cambria" w:cs="Arial"/>
          <w:b/>
          <w:bCs/>
          <w:sz w:val="16"/>
          <w:szCs w:val="16"/>
          <w:lang w:val="es-ES_tradnl"/>
        </w:rPr>
        <w:t xml:space="preserve"> </w:t>
      </w:r>
      <w:r w:rsidRPr="00CE4228">
        <w:rPr>
          <w:rFonts w:ascii="Cambria" w:hAnsi="Cambria" w:cs="Arial"/>
          <w:sz w:val="16"/>
          <w:szCs w:val="16"/>
          <w:lang w:val="es-ES_tradnl"/>
        </w:rPr>
        <w:t xml:space="preserve">Excepción Preliminar, Fondo, Reparaciones y Costas. Sentencia de 10 de julio de 2007. Serie C No. 167. </w:t>
      </w:r>
      <w:r w:rsidRPr="00CE4228">
        <w:rPr>
          <w:rFonts w:ascii="Cambria" w:hAnsi="Cambria" w:cs="Arial"/>
          <w:sz w:val="16"/>
          <w:szCs w:val="16"/>
          <w:lang w:val="es-CL"/>
        </w:rPr>
        <w:t xml:space="preserve">párr. 112; </w:t>
      </w:r>
      <w:r w:rsidRPr="00CE4228">
        <w:rPr>
          <w:rFonts w:ascii="Cambria" w:hAnsi="Cambria" w:cs="Arial"/>
          <w:sz w:val="16"/>
          <w:szCs w:val="16"/>
          <w:lang w:val="es-ES_tradnl"/>
        </w:rPr>
        <w:t xml:space="preserve">y </w:t>
      </w:r>
      <w:r w:rsidRPr="00CE4228">
        <w:rPr>
          <w:rFonts w:ascii="Cambria" w:hAnsi="Cambria" w:cs="Arial"/>
          <w:i/>
          <w:sz w:val="16"/>
          <w:szCs w:val="16"/>
          <w:lang w:val="es-ES_tradnl"/>
        </w:rPr>
        <w:t>Caso Bueno Alves Vs. Argentina</w:t>
      </w:r>
      <w:r w:rsidRPr="00CE4228">
        <w:rPr>
          <w:rFonts w:ascii="Cambria" w:hAnsi="Cambria" w:cs="Arial"/>
          <w:sz w:val="16"/>
          <w:szCs w:val="16"/>
          <w:lang w:val="es-ES_tradnl"/>
        </w:rPr>
        <w:t xml:space="preserve">. Fondo, Reparaciones y Costas. </w:t>
      </w:r>
      <w:r w:rsidRPr="00CE4228">
        <w:rPr>
          <w:rFonts w:ascii="Cambria" w:hAnsi="Cambria" w:cs="Arial"/>
          <w:sz w:val="16"/>
          <w:szCs w:val="16"/>
          <w:lang w:val="es-ES"/>
        </w:rPr>
        <w:t xml:space="preserve">Sentencia de 11 de mayo de 2007. Serie C. No. 164. </w:t>
      </w:r>
      <w:r w:rsidRPr="00CE4228">
        <w:rPr>
          <w:rFonts w:ascii="Cambria" w:hAnsi="Cambria" w:cs="Arial"/>
          <w:sz w:val="16"/>
          <w:szCs w:val="16"/>
          <w:lang w:val="es-ES_tradnl"/>
        </w:rPr>
        <w:t>párr. 102.</w:t>
      </w:r>
      <w:r w:rsidRPr="00CE4228">
        <w:rPr>
          <w:rFonts w:ascii="Cambria" w:hAnsi="Cambria" w:cs="Arial"/>
          <w:sz w:val="16"/>
          <w:szCs w:val="16"/>
          <w:lang w:val="es-CL"/>
        </w:rPr>
        <w:t xml:space="preserve"> </w:t>
      </w:r>
    </w:p>
  </w:footnote>
  <w:footnote w:id="367">
    <w:p w:rsidR="00BB0B93" w:rsidRPr="00CE4228" w:rsidRDefault="00BB0B93" w:rsidP="00CE4228">
      <w:pPr>
        <w:tabs>
          <w:tab w:val="left" w:pos="1080"/>
        </w:tabs>
        <w:jc w:val="both"/>
        <w:rPr>
          <w:rFonts w:ascii="Cambria" w:hAnsi="Cambria"/>
          <w:sz w:val="16"/>
          <w:szCs w:val="16"/>
          <w:lang w:val="es-ES_tradnl"/>
        </w:rPr>
      </w:pPr>
      <w:r w:rsidRPr="00CE4228">
        <w:rPr>
          <w:rStyle w:val="FootnoteReference"/>
          <w:rFonts w:ascii="Cambria" w:hAnsi="Cambria" w:cs="Arial"/>
          <w:sz w:val="16"/>
          <w:szCs w:val="16"/>
          <w:lang w:val="es-SV"/>
        </w:rPr>
        <w:footnoteRef/>
      </w:r>
      <w:r w:rsidRPr="00CE4228">
        <w:rPr>
          <w:rFonts w:ascii="Cambria" w:hAnsi="Cambria" w:cs="Arial"/>
          <w:sz w:val="16"/>
          <w:szCs w:val="16"/>
          <w:lang w:val="es-ES"/>
        </w:rPr>
        <w:t xml:space="preserve"> Corte IDH. </w:t>
      </w:r>
      <w:r w:rsidRPr="00CE4228">
        <w:rPr>
          <w:rFonts w:ascii="Cambria" w:hAnsi="Cambria" w:cs="Arial"/>
          <w:i/>
          <w:sz w:val="16"/>
          <w:szCs w:val="16"/>
          <w:lang w:val="es-ES"/>
        </w:rPr>
        <w:t xml:space="preserve">Caso Vargas </w:t>
      </w:r>
      <w:proofErr w:type="spellStart"/>
      <w:r w:rsidRPr="00CE4228">
        <w:rPr>
          <w:rFonts w:ascii="Cambria" w:hAnsi="Cambria" w:cs="Arial"/>
          <w:i/>
          <w:sz w:val="16"/>
          <w:szCs w:val="16"/>
          <w:lang w:val="es-ES"/>
        </w:rPr>
        <w:t>Areco</w:t>
      </w:r>
      <w:proofErr w:type="spellEnd"/>
      <w:r w:rsidRPr="00CE4228">
        <w:rPr>
          <w:rFonts w:ascii="Cambria" w:hAnsi="Cambria" w:cs="Arial"/>
          <w:i/>
          <w:sz w:val="16"/>
          <w:szCs w:val="16"/>
          <w:lang w:val="es-ES"/>
        </w:rPr>
        <w:t xml:space="preserve"> Vs. </w:t>
      </w:r>
      <w:r w:rsidRPr="00CE4228">
        <w:rPr>
          <w:rFonts w:ascii="Cambria" w:hAnsi="Cambria" w:cs="Arial"/>
          <w:i/>
          <w:sz w:val="16"/>
          <w:szCs w:val="16"/>
          <w:lang w:val="es-ES_tradnl"/>
        </w:rPr>
        <w:t>Paraguay</w:t>
      </w:r>
      <w:r w:rsidRPr="00CE4228">
        <w:rPr>
          <w:rFonts w:ascii="Cambria" w:hAnsi="Cambria" w:cs="Arial"/>
          <w:sz w:val="16"/>
          <w:szCs w:val="16"/>
          <w:lang w:val="es-ES_tradnl"/>
        </w:rPr>
        <w:t xml:space="preserve">. Sentencia de 26 de septiembre de 2006. Serie C No. 155. párr. </w:t>
      </w:r>
      <w:r w:rsidRPr="00CE4228">
        <w:rPr>
          <w:rFonts w:ascii="Cambria" w:hAnsi="Cambria" w:cs="Arial"/>
          <w:sz w:val="16"/>
          <w:szCs w:val="16"/>
          <w:lang w:val="es-ES"/>
        </w:rPr>
        <w:t>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B93" w:rsidRDefault="00BB0B93" w:rsidP="0089339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BB0B93" w:rsidRDefault="00BB0B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B93" w:rsidRDefault="00BB0B93" w:rsidP="00A50FCF">
    <w:pPr>
      <w:pStyle w:val="Header"/>
      <w:tabs>
        <w:tab w:val="clear" w:pos="4320"/>
        <w:tab w:val="clear" w:pos="8640"/>
      </w:tabs>
      <w:jc w:val="center"/>
      <w:rPr>
        <w:sz w:val="22"/>
        <w:szCs w:val="22"/>
      </w:rPr>
    </w:pPr>
    <w:r w:rsidRPr="007372D2">
      <w:rPr>
        <w:noProof/>
        <w:sz w:val="22"/>
        <w:szCs w:val="22"/>
        <w:lang w:val="es-ES" w:eastAsia="es-ES"/>
      </w:rPr>
      <w:drawing>
        <wp:inline distT="0" distB="0" distL="0" distR="0">
          <wp:extent cx="1971675" cy="104775"/>
          <wp:effectExtent l="0" t="0" r="9525" b="9525"/>
          <wp:docPr id="1" name="Picture 3" descr="Description: 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p w:rsidR="00BB0B93" w:rsidRPr="00EC7D62" w:rsidRDefault="00BB0B93"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9F8"/>
    <w:multiLevelType w:val="multilevel"/>
    <w:tmpl w:val="563EEE2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9050020"/>
    <w:multiLevelType w:val="hybridMultilevel"/>
    <w:tmpl w:val="748ED6E0"/>
    <w:lvl w:ilvl="0" w:tplc="498CEE10">
      <w:start w:val="1"/>
      <w:numFmt w:val="decimal"/>
      <w:lvlText w:val="%1."/>
      <w:lvlJc w:val="left"/>
      <w:pPr>
        <w:tabs>
          <w:tab w:val="num" w:pos="1429"/>
        </w:tabs>
        <w:ind w:firstLine="720"/>
      </w:pPr>
      <w:rPr>
        <w:rFonts w:ascii="Cambria" w:hAnsi="Cambria" w:cs="Times New Roman" w:hint="default"/>
        <w:b w:val="0"/>
        <w:i w:val="0"/>
        <w:sz w:val="20"/>
        <w:szCs w:val="20"/>
        <w:lang w:val="es-PE"/>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6B0058BA">
      <w:start w:val="1"/>
      <w:numFmt w:val="decimal"/>
      <w:lvlText w:val="%4."/>
      <w:lvlJc w:val="left"/>
      <w:pPr>
        <w:tabs>
          <w:tab w:val="num" w:pos="2880"/>
        </w:tabs>
        <w:ind w:left="2880" w:hanging="360"/>
      </w:pPr>
      <w:rPr>
        <w:rFonts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26699C"/>
    <w:multiLevelType w:val="hybridMultilevel"/>
    <w:tmpl w:val="44D4E08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3979AB"/>
    <w:multiLevelType w:val="hybridMultilevel"/>
    <w:tmpl w:val="68F03888"/>
    <w:lvl w:ilvl="0" w:tplc="300E081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3C8862D6"/>
    <w:multiLevelType w:val="hybridMultilevel"/>
    <w:tmpl w:val="50A897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00C8E"/>
    <w:multiLevelType w:val="hybridMultilevel"/>
    <w:tmpl w:val="3BBCE86C"/>
    <w:lvl w:ilvl="0" w:tplc="FA90187E">
      <w:start w:val="1"/>
      <w:numFmt w:val="upperLetter"/>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6A5012"/>
    <w:multiLevelType w:val="multilevel"/>
    <w:tmpl w:val="10144D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FE6E836C"/>
    <w:lvl w:ilvl="0" w:tplc="35DC9680">
      <w:start w:val="1"/>
      <w:numFmt w:val="upperRoman"/>
      <w:pStyle w:val="Heading1"/>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5"/>
  </w:num>
  <w:num w:numId="4">
    <w:abstractNumId w:val="23"/>
  </w:num>
  <w:num w:numId="5">
    <w:abstractNumId w:val="49"/>
  </w:num>
  <w:num w:numId="6">
    <w:abstractNumId w:val="28"/>
  </w:num>
  <w:num w:numId="7">
    <w:abstractNumId w:val="7"/>
  </w:num>
  <w:num w:numId="8">
    <w:abstractNumId w:val="19"/>
  </w:num>
  <w:num w:numId="9">
    <w:abstractNumId w:val="45"/>
  </w:num>
  <w:num w:numId="10">
    <w:abstractNumId w:val="1"/>
  </w:num>
  <w:num w:numId="11">
    <w:abstractNumId w:val="40"/>
  </w:num>
  <w:num w:numId="12">
    <w:abstractNumId w:val="41"/>
  </w:num>
  <w:num w:numId="13">
    <w:abstractNumId w:val="46"/>
  </w:num>
  <w:num w:numId="14">
    <w:abstractNumId w:val="2"/>
  </w:num>
  <w:num w:numId="15">
    <w:abstractNumId w:val="3"/>
  </w:num>
  <w:num w:numId="16">
    <w:abstractNumId w:val="8"/>
  </w:num>
  <w:num w:numId="17">
    <w:abstractNumId w:val="10"/>
  </w:num>
  <w:num w:numId="18">
    <w:abstractNumId w:val="11"/>
  </w:num>
  <w:num w:numId="19">
    <w:abstractNumId w:val="12"/>
  </w:num>
  <w:num w:numId="20">
    <w:abstractNumId w:val="14"/>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29"/>
  </w:num>
  <w:num w:numId="32">
    <w:abstractNumId w:val="31"/>
  </w:num>
  <w:num w:numId="33">
    <w:abstractNumId w:val="32"/>
  </w:num>
  <w:num w:numId="34">
    <w:abstractNumId w:val="33"/>
  </w:num>
  <w:num w:numId="35">
    <w:abstractNumId w:val="34"/>
  </w:num>
  <w:num w:numId="36">
    <w:abstractNumId w:val="36"/>
  </w:num>
  <w:num w:numId="37">
    <w:abstractNumId w:val="37"/>
  </w:num>
  <w:num w:numId="38">
    <w:abstractNumId w:val="38"/>
  </w:num>
  <w:num w:numId="39">
    <w:abstractNumId w:val="42"/>
  </w:num>
  <w:num w:numId="40">
    <w:abstractNumId w:val="43"/>
  </w:num>
  <w:num w:numId="41">
    <w:abstractNumId w:val="48"/>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2"/>
  </w:num>
  <w:num w:numId="52">
    <w:abstractNumId w:val="44"/>
  </w:num>
  <w:num w:numId="53">
    <w:abstractNumId w:val="52"/>
  </w:num>
  <w:num w:numId="54">
    <w:abstractNumId w:val="47"/>
  </w:num>
  <w:num w:numId="55">
    <w:abstractNumId w:val="6"/>
  </w:num>
  <w:num w:numId="56">
    <w:abstractNumId w:val="13"/>
  </w:num>
  <w:num w:numId="57">
    <w:abstractNumId w:val="30"/>
  </w:num>
  <w:num w:numId="58">
    <w:abstractNumId w:val="35"/>
  </w:num>
  <w:num w:numId="59">
    <w:abstractNumId w:val="9"/>
  </w:num>
  <w:num w:numId="60">
    <w:abstractNumId w:val="39"/>
  </w:num>
  <w:num w:numId="61">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12290"/>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A66"/>
    <w:rsid w:val="00000C74"/>
    <w:rsid w:val="00000CDA"/>
    <w:rsid w:val="00001847"/>
    <w:rsid w:val="00001CFA"/>
    <w:rsid w:val="00002497"/>
    <w:rsid w:val="00003382"/>
    <w:rsid w:val="00003ABD"/>
    <w:rsid w:val="0000599D"/>
    <w:rsid w:val="000066F7"/>
    <w:rsid w:val="00006E1F"/>
    <w:rsid w:val="000070D7"/>
    <w:rsid w:val="00007506"/>
    <w:rsid w:val="00007D4C"/>
    <w:rsid w:val="0001073D"/>
    <w:rsid w:val="000109F5"/>
    <w:rsid w:val="00011662"/>
    <w:rsid w:val="00011DC0"/>
    <w:rsid w:val="0001348F"/>
    <w:rsid w:val="00014F41"/>
    <w:rsid w:val="000166C8"/>
    <w:rsid w:val="00016C80"/>
    <w:rsid w:val="0001788C"/>
    <w:rsid w:val="00020808"/>
    <w:rsid w:val="000219F1"/>
    <w:rsid w:val="00021E67"/>
    <w:rsid w:val="00022C5C"/>
    <w:rsid w:val="00022D00"/>
    <w:rsid w:val="000230A1"/>
    <w:rsid w:val="00024307"/>
    <w:rsid w:val="000246B3"/>
    <w:rsid w:val="00026248"/>
    <w:rsid w:val="0002788B"/>
    <w:rsid w:val="000308B6"/>
    <w:rsid w:val="000311E7"/>
    <w:rsid w:val="00031275"/>
    <w:rsid w:val="000316D4"/>
    <w:rsid w:val="0003283D"/>
    <w:rsid w:val="00032910"/>
    <w:rsid w:val="000342A0"/>
    <w:rsid w:val="00036148"/>
    <w:rsid w:val="000363A9"/>
    <w:rsid w:val="000371C7"/>
    <w:rsid w:val="00040467"/>
    <w:rsid w:val="00040C3A"/>
    <w:rsid w:val="000416D4"/>
    <w:rsid w:val="00041997"/>
    <w:rsid w:val="00042630"/>
    <w:rsid w:val="00044A35"/>
    <w:rsid w:val="000451D1"/>
    <w:rsid w:val="00045D4D"/>
    <w:rsid w:val="00051CE0"/>
    <w:rsid w:val="00053E54"/>
    <w:rsid w:val="000579FA"/>
    <w:rsid w:val="000614FF"/>
    <w:rsid w:val="00061A8D"/>
    <w:rsid w:val="00062177"/>
    <w:rsid w:val="0006236A"/>
    <w:rsid w:val="00063A43"/>
    <w:rsid w:val="00063B94"/>
    <w:rsid w:val="00065BCB"/>
    <w:rsid w:val="00066FDC"/>
    <w:rsid w:val="00067B92"/>
    <w:rsid w:val="0007094B"/>
    <w:rsid w:val="000716C5"/>
    <w:rsid w:val="00072C61"/>
    <w:rsid w:val="00075E23"/>
    <w:rsid w:val="00076B7D"/>
    <w:rsid w:val="000802BC"/>
    <w:rsid w:val="00082BA8"/>
    <w:rsid w:val="000836B5"/>
    <w:rsid w:val="000842C9"/>
    <w:rsid w:val="0008461D"/>
    <w:rsid w:val="0008599D"/>
    <w:rsid w:val="00085A2B"/>
    <w:rsid w:val="000862FE"/>
    <w:rsid w:val="00087E19"/>
    <w:rsid w:val="00087F71"/>
    <w:rsid w:val="0009344A"/>
    <w:rsid w:val="00093556"/>
    <w:rsid w:val="00093C55"/>
    <w:rsid w:val="00094FF7"/>
    <w:rsid w:val="00095606"/>
    <w:rsid w:val="00095822"/>
    <w:rsid w:val="00095D01"/>
    <w:rsid w:val="00097CAD"/>
    <w:rsid w:val="000A16F3"/>
    <w:rsid w:val="000A17A5"/>
    <w:rsid w:val="000A2001"/>
    <w:rsid w:val="000A392E"/>
    <w:rsid w:val="000A575F"/>
    <w:rsid w:val="000A6D63"/>
    <w:rsid w:val="000A772F"/>
    <w:rsid w:val="000A7BF4"/>
    <w:rsid w:val="000A7E9C"/>
    <w:rsid w:val="000B1294"/>
    <w:rsid w:val="000B20D8"/>
    <w:rsid w:val="000B2106"/>
    <w:rsid w:val="000B32AA"/>
    <w:rsid w:val="000B42EC"/>
    <w:rsid w:val="000B53FA"/>
    <w:rsid w:val="000B73DF"/>
    <w:rsid w:val="000B74FA"/>
    <w:rsid w:val="000B7C4C"/>
    <w:rsid w:val="000C0647"/>
    <w:rsid w:val="000C140C"/>
    <w:rsid w:val="000C187A"/>
    <w:rsid w:val="000C19E1"/>
    <w:rsid w:val="000C1DAE"/>
    <w:rsid w:val="000C264E"/>
    <w:rsid w:val="000C2D9C"/>
    <w:rsid w:val="000C3EE4"/>
    <w:rsid w:val="000C476F"/>
    <w:rsid w:val="000C7D25"/>
    <w:rsid w:val="000D099D"/>
    <w:rsid w:val="000D10DB"/>
    <w:rsid w:val="000D1BCF"/>
    <w:rsid w:val="000D263E"/>
    <w:rsid w:val="000D3687"/>
    <w:rsid w:val="000D41F2"/>
    <w:rsid w:val="000D4910"/>
    <w:rsid w:val="000D4A57"/>
    <w:rsid w:val="000D5652"/>
    <w:rsid w:val="000D6D00"/>
    <w:rsid w:val="000E1302"/>
    <w:rsid w:val="000E274C"/>
    <w:rsid w:val="000E4D28"/>
    <w:rsid w:val="000E513D"/>
    <w:rsid w:val="000E5EB5"/>
    <w:rsid w:val="000E7947"/>
    <w:rsid w:val="000E7C05"/>
    <w:rsid w:val="000F0053"/>
    <w:rsid w:val="000F1BBE"/>
    <w:rsid w:val="000F2057"/>
    <w:rsid w:val="000F35D3"/>
    <w:rsid w:val="000F35ED"/>
    <w:rsid w:val="000F43A8"/>
    <w:rsid w:val="000F48D5"/>
    <w:rsid w:val="000F494B"/>
    <w:rsid w:val="000F5186"/>
    <w:rsid w:val="00100309"/>
    <w:rsid w:val="00100CDF"/>
    <w:rsid w:val="001010AD"/>
    <w:rsid w:val="001010E3"/>
    <w:rsid w:val="00102688"/>
    <w:rsid w:val="00102AF7"/>
    <w:rsid w:val="00102B7B"/>
    <w:rsid w:val="00102BA9"/>
    <w:rsid w:val="00104943"/>
    <w:rsid w:val="00105B00"/>
    <w:rsid w:val="00107131"/>
    <w:rsid w:val="0010736F"/>
    <w:rsid w:val="0011191A"/>
    <w:rsid w:val="0011248A"/>
    <w:rsid w:val="00112588"/>
    <w:rsid w:val="00113F73"/>
    <w:rsid w:val="0011576B"/>
    <w:rsid w:val="00115F81"/>
    <w:rsid w:val="001170AA"/>
    <w:rsid w:val="0012071F"/>
    <w:rsid w:val="00121CC2"/>
    <w:rsid w:val="001220B7"/>
    <w:rsid w:val="00122727"/>
    <w:rsid w:val="00122CDA"/>
    <w:rsid w:val="00123129"/>
    <w:rsid w:val="001237DE"/>
    <w:rsid w:val="0012504A"/>
    <w:rsid w:val="00126607"/>
    <w:rsid w:val="00131497"/>
    <w:rsid w:val="00133619"/>
    <w:rsid w:val="001337A7"/>
    <w:rsid w:val="00133EE5"/>
    <w:rsid w:val="001354F5"/>
    <w:rsid w:val="00135978"/>
    <w:rsid w:val="0013664D"/>
    <w:rsid w:val="00136C0C"/>
    <w:rsid w:val="001407F5"/>
    <w:rsid w:val="00143EB5"/>
    <w:rsid w:val="00145E11"/>
    <w:rsid w:val="00145FEC"/>
    <w:rsid w:val="001474B4"/>
    <w:rsid w:val="001475B8"/>
    <w:rsid w:val="001518D0"/>
    <w:rsid w:val="00152D31"/>
    <w:rsid w:val="00153078"/>
    <w:rsid w:val="00153276"/>
    <w:rsid w:val="00154644"/>
    <w:rsid w:val="00156981"/>
    <w:rsid w:val="001575BF"/>
    <w:rsid w:val="00157868"/>
    <w:rsid w:val="00157A5A"/>
    <w:rsid w:val="00161414"/>
    <w:rsid w:val="0016237C"/>
    <w:rsid w:val="00162A5A"/>
    <w:rsid w:val="0016477E"/>
    <w:rsid w:val="001665A3"/>
    <w:rsid w:val="00167A34"/>
    <w:rsid w:val="0017052C"/>
    <w:rsid w:val="00172538"/>
    <w:rsid w:val="0017372C"/>
    <w:rsid w:val="00174313"/>
    <w:rsid w:val="0017533B"/>
    <w:rsid w:val="00175BA1"/>
    <w:rsid w:val="0017691B"/>
    <w:rsid w:val="0017778A"/>
    <w:rsid w:val="001801CE"/>
    <w:rsid w:val="001802A0"/>
    <w:rsid w:val="00182D3B"/>
    <w:rsid w:val="0018354E"/>
    <w:rsid w:val="00184955"/>
    <w:rsid w:val="0019050C"/>
    <w:rsid w:val="00191BCE"/>
    <w:rsid w:val="00191F23"/>
    <w:rsid w:val="00192533"/>
    <w:rsid w:val="00194536"/>
    <w:rsid w:val="00194611"/>
    <w:rsid w:val="00194C02"/>
    <w:rsid w:val="001953D1"/>
    <w:rsid w:val="00196BE9"/>
    <w:rsid w:val="001970B3"/>
    <w:rsid w:val="00197403"/>
    <w:rsid w:val="00197E50"/>
    <w:rsid w:val="001A1C70"/>
    <w:rsid w:val="001A2F3A"/>
    <w:rsid w:val="001A4058"/>
    <w:rsid w:val="001A4D09"/>
    <w:rsid w:val="001A6EF3"/>
    <w:rsid w:val="001A746B"/>
    <w:rsid w:val="001A7870"/>
    <w:rsid w:val="001A7F7A"/>
    <w:rsid w:val="001B07CF"/>
    <w:rsid w:val="001B17B8"/>
    <w:rsid w:val="001B1BE6"/>
    <w:rsid w:val="001B49DD"/>
    <w:rsid w:val="001B6D5C"/>
    <w:rsid w:val="001C050A"/>
    <w:rsid w:val="001C0E33"/>
    <w:rsid w:val="001C0F16"/>
    <w:rsid w:val="001C13D3"/>
    <w:rsid w:val="001C1B41"/>
    <w:rsid w:val="001C1C68"/>
    <w:rsid w:val="001C1CF8"/>
    <w:rsid w:val="001C1DBD"/>
    <w:rsid w:val="001C2B50"/>
    <w:rsid w:val="001C315C"/>
    <w:rsid w:val="001C3273"/>
    <w:rsid w:val="001C34E0"/>
    <w:rsid w:val="001C36AB"/>
    <w:rsid w:val="001C3B7A"/>
    <w:rsid w:val="001C619D"/>
    <w:rsid w:val="001C6669"/>
    <w:rsid w:val="001C6C41"/>
    <w:rsid w:val="001C6CB2"/>
    <w:rsid w:val="001C71FC"/>
    <w:rsid w:val="001C731C"/>
    <w:rsid w:val="001C7FA8"/>
    <w:rsid w:val="001D0061"/>
    <w:rsid w:val="001D0FC6"/>
    <w:rsid w:val="001D12F0"/>
    <w:rsid w:val="001D2CDD"/>
    <w:rsid w:val="001D34D3"/>
    <w:rsid w:val="001D3631"/>
    <w:rsid w:val="001D372E"/>
    <w:rsid w:val="001D551C"/>
    <w:rsid w:val="001D65EF"/>
    <w:rsid w:val="001D6AE9"/>
    <w:rsid w:val="001D7539"/>
    <w:rsid w:val="001D76C6"/>
    <w:rsid w:val="001E0261"/>
    <w:rsid w:val="001E1D04"/>
    <w:rsid w:val="001E28DA"/>
    <w:rsid w:val="001E3062"/>
    <w:rsid w:val="001E31B5"/>
    <w:rsid w:val="001E4262"/>
    <w:rsid w:val="001E45AA"/>
    <w:rsid w:val="001E5359"/>
    <w:rsid w:val="001E5F6D"/>
    <w:rsid w:val="001E7FAD"/>
    <w:rsid w:val="001F0CC1"/>
    <w:rsid w:val="001F4AFC"/>
    <w:rsid w:val="001F611B"/>
    <w:rsid w:val="001F69B8"/>
    <w:rsid w:val="002016D9"/>
    <w:rsid w:val="00201C3C"/>
    <w:rsid w:val="002027C1"/>
    <w:rsid w:val="00202DCF"/>
    <w:rsid w:val="0020369B"/>
    <w:rsid w:val="0020514F"/>
    <w:rsid w:val="002052A3"/>
    <w:rsid w:val="0020556A"/>
    <w:rsid w:val="0020581A"/>
    <w:rsid w:val="00206E7F"/>
    <w:rsid w:val="002072B6"/>
    <w:rsid w:val="002114CC"/>
    <w:rsid w:val="00212554"/>
    <w:rsid w:val="002125A0"/>
    <w:rsid w:val="0021263F"/>
    <w:rsid w:val="0021540E"/>
    <w:rsid w:val="0022054D"/>
    <w:rsid w:val="00221825"/>
    <w:rsid w:val="0022297B"/>
    <w:rsid w:val="00222A5F"/>
    <w:rsid w:val="002231DC"/>
    <w:rsid w:val="00223D2C"/>
    <w:rsid w:val="002250A3"/>
    <w:rsid w:val="002254CC"/>
    <w:rsid w:val="00225513"/>
    <w:rsid w:val="00225BAD"/>
    <w:rsid w:val="002272F6"/>
    <w:rsid w:val="002279A1"/>
    <w:rsid w:val="00232AB2"/>
    <w:rsid w:val="002345A6"/>
    <w:rsid w:val="00235217"/>
    <w:rsid w:val="0023586D"/>
    <w:rsid w:val="002371AF"/>
    <w:rsid w:val="00237CE6"/>
    <w:rsid w:val="00240112"/>
    <w:rsid w:val="00240C2D"/>
    <w:rsid w:val="00243876"/>
    <w:rsid w:val="00245670"/>
    <w:rsid w:val="00245BF1"/>
    <w:rsid w:val="002468B3"/>
    <w:rsid w:val="00246D1F"/>
    <w:rsid w:val="00247403"/>
    <w:rsid w:val="00247542"/>
    <w:rsid w:val="00247C1B"/>
    <w:rsid w:val="002506D8"/>
    <w:rsid w:val="00250C17"/>
    <w:rsid w:val="00252024"/>
    <w:rsid w:val="00256486"/>
    <w:rsid w:val="002570D9"/>
    <w:rsid w:val="00261335"/>
    <w:rsid w:val="00262013"/>
    <w:rsid w:val="00265636"/>
    <w:rsid w:val="00266B61"/>
    <w:rsid w:val="00267083"/>
    <w:rsid w:val="0026712A"/>
    <w:rsid w:val="0026749B"/>
    <w:rsid w:val="002704DB"/>
    <w:rsid w:val="002730AE"/>
    <w:rsid w:val="00273BB5"/>
    <w:rsid w:val="00273E61"/>
    <w:rsid w:val="002767AA"/>
    <w:rsid w:val="00276A3A"/>
    <w:rsid w:val="00277F25"/>
    <w:rsid w:val="00282E21"/>
    <w:rsid w:val="00283C1A"/>
    <w:rsid w:val="002840D4"/>
    <w:rsid w:val="00286EB3"/>
    <w:rsid w:val="00287AAE"/>
    <w:rsid w:val="00291D3A"/>
    <w:rsid w:val="0029565A"/>
    <w:rsid w:val="0029607A"/>
    <w:rsid w:val="00296A13"/>
    <w:rsid w:val="00296AF6"/>
    <w:rsid w:val="00296DAF"/>
    <w:rsid w:val="002A01C8"/>
    <w:rsid w:val="002A0AAE"/>
    <w:rsid w:val="002A16E0"/>
    <w:rsid w:val="002A2085"/>
    <w:rsid w:val="002A2FE6"/>
    <w:rsid w:val="002A5820"/>
    <w:rsid w:val="002A742E"/>
    <w:rsid w:val="002A7C5A"/>
    <w:rsid w:val="002B161B"/>
    <w:rsid w:val="002B1654"/>
    <w:rsid w:val="002B20A8"/>
    <w:rsid w:val="002B259B"/>
    <w:rsid w:val="002B38EE"/>
    <w:rsid w:val="002B48C0"/>
    <w:rsid w:val="002C2953"/>
    <w:rsid w:val="002C2B64"/>
    <w:rsid w:val="002C39B8"/>
    <w:rsid w:val="002C4346"/>
    <w:rsid w:val="002C4ABE"/>
    <w:rsid w:val="002C4D3A"/>
    <w:rsid w:val="002C7150"/>
    <w:rsid w:val="002C7F04"/>
    <w:rsid w:val="002D0077"/>
    <w:rsid w:val="002D08E4"/>
    <w:rsid w:val="002D0AFB"/>
    <w:rsid w:val="002D0B9D"/>
    <w:rsid w:val="002D1591"/>
    <w:rsid w:val="002D1CDF"/>
    <w:rsid w:val="002D2459"/>
    <w:rsid w:val="002D2B26"/>
    <w:rsid w:val="002D3818"/>
    <w:rsid w:val="002D3CBB"/>
    <w:rsid w:val="002D3E9F"/>
    <w:rsid w:val="002D4023"/>
    <w:rsid w:val="002D6DF8"/>
    <w:rsid w:val="002D7EA2"/>
    <w:rsid w:val="002E0BEA"/>
    <w:rsid w:val="002E187C"/>
    <w:rsid w:val="002E1D03"/>
    <w:rsid w:val="002E643A"/>
    <w:rsid w:val="002E7A95"/>
    <w:rsid w:val="002F0391"/>
    <w:rsid w:val="002F3885"/>
    <w:rsid w:val="002F5775"/>
    <w:rsid w:val="002F616C"/>
    <w:rsid w:val="002F7F44"/>
    <w:rsid w:val="003010E3"/>
    <w:rsid w:val="0030179B"/>
    <w:rsid w:val="00302733"/>
    <w:rsid w:val="00303487"/>
    <w:rsid w:val="003057C4"/>
    <w:rsid w:val="00306657"/>
    <w:rsid w:val="00310C67"/>
    <w:rsid w:val="00311F6D"/>
    <w:rsid w:val="003122CD"/>
    <w:rsid w:val="00312F14"/>
    <w:rsid w:val="0031342D"/>
    <w:rsid w:val="00314078"/>
    <w:rsid w:val="0031535D"/>
    <w:rsid w:val="00315CC9"/>
    <w:rsid w:val="00315F35"/>
    <w:rsid w:val="00315F73"/>
    <w:rsid w:val="003174DB"/>
    <w:rsid w:val="003178E3"/>
    <w:rsid w:val="003179DE"/>
    <w:rsid w:val="003200FC"/>
    <w:rsid w:val="003205B4"/>
    <w:rsid w:val="00325574"/>
    <w:rsid w:val="00330414"/>
    <w:rsid w:val="00330C8A"/>
    <w:rsid w:val="0033169F"/>
    <w:rsid w:val="00332DF4"/>
    <w:rsid w:val="00332FF1"/>
    <w:rsid w:val="003336FD"/>
    <w:rsid w:val="00333FA2"/>
    <w:rsid w:val="00334430"/>
    <w:rsid w:val="003347FF"/>
    <w:rsid w:val="00335D5F"/>
    <w:rsid w:val="00336C6A"/>
    <w:rsid w:val="00336D4C"/>
    <w:rsid w:val="00337F4A"/>
    <w:rsid w:val="00340677"/>
    <w:rsid w:val="0034109A"/>
    <w:rsid w:val="00341512"/>
    <w:rsid w:val="00341914"/>
    <w:rsid w:val="00342FFC"/>
    <w:rsid w:val="00344A14"/>
    <w:rsid w:val="00345256"/>
    <w:rsid w:val="00345500"/>
    <w:rsid w:val="00345D7A"/>
    <w:rsid w:val="00345D92"/>
    <w:rsid w:val="00346637"/>
    <w:rsid w:val="00346C95"/>
    <w:rsid w:val="00350625"/>
    <w:rsid w:val="0035073E"/>
    <w:rsid w:val="00351D17"/>
    <w:rsid w:val="0035450C"/>
    <w:rsid w:val="00356185"/>
    <w:rsid w:val="003562A0"/>
    <w:rsid w:val="00356BE7"/>
    <w:rsid w:val="00356C16"/>
    <w:rsid w:val="0035731A"/>
    <w:rsid w:val="00360380"/>
    <w:rsid w:val="00360828"/>
    <w:rsid w:val="003608E7"/>
    <w:rsid w:val="003616F3"/>
    <w:rsid w:val="003633DF"/>
    <w:rsid w:val="003636D3"/>
    <w:rsid w:val="00364C39"/>
    <w:rsid w:val="00366D69"/>
    <w:rsid w:val="00367AF5"/>
    <w:rsid w:val="003723A2"/>
    <w:rsid w:val="00372E5B"/>
    <w:rsid w:val="003732CA"/>
    <w:rsid w:val="00373870"/>
    <w:rsid w:val="00373B91"/>
    <w:rsid w:val="00374BBE"/>
    <w:rsid w:val="00374EBB"/>
    <w:rsid w:val="0037519E"/>
    <w:rsid w:val="003759D7"/>
    <w:rsid w:val="00380CB9"/>
    <w:rsid w:val="00381524"/>
    <w:rsid w:val="00383748"/>
    <w:rsid w:val="0038599A"/>
    <w:rsid w:val="00385E10"/>
    <w:rsid w:val="00386CF0"/>
    <w:rsid w:val="00392B60"/>
    <w:rsid w:val="00393310"/>
    <w:rsid w:val="003938DC"/>
    <w:rsid w:val="003942F0"/>
    <w:rsid w:val="003955D7"/>
    <w:rsid w:val="003A04E9"/>
    <w:rsid w:val="003A1F2D"/>
    <w:rsid w:val="003A2E71"/>
    <w:rsid w:val="003A2EFF"/>
    <w:rsid w:val="003A357C"/>
    <w:rsid w:val="003A3C1C"/>
    <w:rsid w:val="003A4457"/>
    <w:rsid w:val="003A4606"/>
    <w:rsid w:val="003A4D96"/>
    <w:rsid w:val="003A4E74"/>
    <w:rsid w:val="003A55AF"/>
    <w:rsid w:val="003A6CAF"/>
    <w:rsid w:val="003A75A9"/>
    <w:rsid w:val="003B0498"/>
    <w:rsid w:val="003B0DFD"/>
    <w:rsid w:val="003B1947"/>
    <w:rsid w:val="003B35E5"/>
    <w:rsid w:val="003C003B"/>
    <w:rsid w:val="003C0407"/>
    <w:rsid w:val="003C0944"/>
    <w:rsid w:val="003C0AEE"/>
    <w:rsid w:val="003C0BE8"/>
    <w:rsid w:val="003C0ECB"/>
    <w:rsid w:val="003C1298"/>
    <w:rsid w:val="003C1841"/>
    <w:rsid w:val="003C26CC"/>
    <w:rsid w:val="003C2FB8"/>
    <w:rsid w:val="003C3917"/>
    <w:rsid w:val="003C4117"/>
    <w:rsid w:val="003C587E"/>
    <w:rsid w:val="003C5EDE"/>
    <w:rsid w:val="003C676B"/>
    <w:rsid w:val="003C7B50"/>
    <w:rsid w:val="003D065D"/>
    <w:rsid w:val="003D06FB"/>
    <w:rsid w:val="003D14B0"/>
    <w:rsid w:val="003D17FC"/>
    <w:rsid w:val="003D3BC2"/>
    <w:rsid w:val="003D3C8E"/>
    <w:rsid w:val="003D4AE8"/>
    <w:rsid w:val="003D4FE0"/>
    <w:rsid w:val="003D5ABF"/>
    <w:rsid w:val="003D64B2"/>
    <w:rsid w:val="003D660D"/>
    <w:rsid w:val="003D7FDB"/>
    <w:rsid w:val="003E096E"/>
    <w:rsid w:val="003E0AE4"/>
    <w:rsid w:val="003E0D23"/>
    <w:rsid w:val="003E2A93"/>
    <w:rsid w:val="003E377A"/>
    <w:rsid w:val="003E5A05"/>
    <w:rsid w:val="003E6CA1"/>
    <w:rsid w:val="003E7B7A"/>
    <w:rsid w:val="003F02A7"/>
    <w:rsid w:val="003F0AA6"/>
    <w:rsid w:val="003F0AC4"/>
    <w:rsid w:val="003F13D8"/>
    <w:rsid w:val="003F14FD"/>
    <w:rsid w:val="003F1AC1"/>
    <w:rsid w:val="003F1D4C"/>
    <w:rsid w:val="003F2582"/>
    <w:rsid w:val="003F38D1"/>
    <w:rsid w:val="003F4F99"/>
    <w:rsid w:val="003F53C1"/>
    <w:rsid w:val="003F648A"/>
    <w:rsid w:val="003F6B5C"/>
    <w:rsid w:val="003F75AF"/>
    <w:rsid w:val="004008F4"/>
    <w:rsid w:val="004107D3"/>
    <w:rsid w:val="0041189F"/>
    <w:rsid w:val="00411CA3"/>
    <w:rsid w:val="00412465"/>
    <w:rsid w:val="004152E3"/>
    <w:rsid w:val="004157EA"/>
    <w:rsid w:val="00416520"/>
    <w:rsid w:val="004165C2"/>
    <w:rsid w:val="00421CD5"/>
    <w:rsid w:val="00422551"/>
    <w:rsid w:val="00423B3C"/>
    <w:rsid w:val="00423B50"/>
    <w:rsid w:val="00426488"/>
    <w:rsid w:val="00426B4D"/>
    <w:rsid w:val="004302FF"/>
    <w:rsid w:val="0043254D"/>
    <w:rsid w:val="00433D39"/>
    <w:rsid w:val="00434A77"/>
    <w:rsid w:val="00435AA5"/>
    <w:rsid w:val="004370F7"/>
    <w:rsid w:val="004372F8"/>
    <w:rsid w:val="00440C66"/>
    <w:rsid w:val="00441C84"/>
    <w:rsid w:val="00441CFA"/>
    <w:rsid w:val="00441ECB"/>
    <w:rsid w:val="004428C9"/>
    <w:rsid w:val="00444C2B"/>
    <w:rsid w:val="00444E09"/>
    <w:rsid w:val="00447C2D"/>
    <w:rsid w:val="00450640"/>
    <w:rsid w:val="00454534"/>
    <w:rsid w:val="00454991"/>
    <w:rsid w:val="00455F1C"/>
    <w:rsid w:val="00464619"/>
    <w:rsid w:val="00467B7E"/>
    <w:rsid w:val="004713CF"/>
    <w:rsid w:val="00471FC6"/>
    <w:rsid w:val="00471FCE"/>
    <w:rsid w:val="00472F62"/>
    <w:rsid w:val="0047379F"/>
    <w:rsid w:val="00474FF3"/>
    <w:rsid w:val="0047536B"/>
    <w:rsid w:val="0047599E"/>
    <w:rsid w:val="00476D08"/>
    <w:rsid w:val="00477592"/>
    <w:rsid w:val="004775C4"/>
    <w:rsid w:val="004778B8"/>
    <w:rsid w:val="0048196B"/>
    <w:rsid w:val="00482072"/>
    <w:rsid w:val="00483F40"/>
    <w:rsid w:val="00485EF4"/>
    <w:rsid w:val="00486BA1"/>
    <w:rsid w:val="00486F1C"/>
    <w:rsid w:val="004905B3"/>
    <w:rsid w:val="0049205B"/>
    <w:rsid w:val="004921E5"/>
    <w:rsid w:val="00492923"/>
    <w:rsid w:val="00493631"/>
    <w:rsid w:val="0049419D"/>
    <w:rsid w:val="004945D6"/>
    <w:rsid w:val="00495600"/>
    <w:rsid w:val="004A1166"/>
    <w:rsid w:val="004A2DEB"/>
    <w:rsid w:val="004A3F4E"/>
    <w:rsid w:val="004A43C3"/>
    <w:rsid w:val="004A5A21"/>
    <w:rsid w:val="004A66C0"/>
    <w:rsid w:val="004A725A"/>
    <w:rsid w:val="004A7E3C"/>
    <w:rsid w:val="004B14E7"/>
    <w:rsid w:val="004B1589"/>
    <w:rsid w:val="004B1D51"/>
    <w:rsid w:val="004B21EC"/>
    <w:rsid w:val="004B29EF"/>
    <w:rsid w:val="004B2B7A"/>
    <w:rsid w:val="004B3170"/>
    <w:rsid w:val="004B4121"/>
    <w:rsid w:val="004B67AE"/>
    <w:rsid w:val="004B7DC3"/>
    <w:rsid w:val="004C20D2"/>
    <w:rsid w:val="004C41DF"/>
    <w:rsid w:val="004C4B62"/>
    <w:rsid w:val="004C54C9"/>
    <w:rsid w:val="004C60F1"/>
    <w:rsid w:val="004C6B03"/>
    <w:rsid w:val="004C6EF3"/>
    <w:rsid w:val="004C6FF2"/>
    <w:rsid w:val="004C7566"/>
    <w:rsid w:val="004C7891"/>
    <w:rsid w:val="004D00EA"/>
    <w:rsid w:val="004D289F"/>
    <w:rsid w:val="004D2931"/>
    <w:rsid w:val="004D2C59"/>
    <w:rsid w:val="004D2D6F"/>
    <w:rsid w:val="004D3251"/>
    <w:rsid w:val="004D32FF"/>
    <w:rsid w:val="004D3FA4"/>
    <w:rsid w:val="004D6025"/>
    <w:rsid w:val="004D65A3"/>
    <w:rsid w:val="004D70F4"/>
    <w:rsid w:val="004E18C9"/>
    <w:rsid w:val="004E2094"/>
    <w:rsid w:val="004E2649"/>
    <w:rsid w:val="004E3113"/>
    <w:rsid w:val="004E4B05"/>
    <w:rsid w:val="004E5B5C"/>
    <w:rsid w:val="004E5F84"/>
    <w:rsid w:val="004E6F2A"/>
    <w:rsid w:val="004F307D"/>
    <w:rsid w:val="004F4B14"/>
    <w:rsid w:val="004F5531"/>
    <w:rsid w:val="004F65E4"/>
    <w:rsid w:val="004F6E25"/>
    <w:rsid w:val="004F788A"/>
    <w:rsid w:val="00501399"/>
    <w:rsid w:val="00501887"/>
    <w:rsid w:val="00502011"/>
    <w:rsid w:val="00502E96"/>
    <w:rsid w:val="005032AA"/>
    <w:rsid w:val="0050366B"/>
    <w:rsid w:val="00503E41"/>
    <w:rsid w:val="00504D47"/>
    <w:rsid w:val="005056C5"/>
    <w:rsid w:val="0050633D"/>
    <w:rsid w:val="00506E03"/>
    <w:rsid w:val="00507BC4"/>
    <w:rsid w:val="0051084C"/>
    <w:rsid w:val="00510BE7"/>
    <w:rsid w:val="005119D1"/>
    <w:rsid w:val="00511A2C"/>
    <w:rsid w:val="00511AF5"/>
    <w:rsid w:val="00512068"/>
    <w:rsid w:val="005128E4"/>
    <w:rsid w:val="005133DB"/>
    <w:rsid w:val="00513E67"/>
    <w:rsid w:val="00515E1C"/>
    <w:rsid w:val="00516470"/>
    <w:rsid w:val="005177BE"/>
    <w:rsid w:val="00522398"/>
    <w:rsid w:val="00523BEB"/>
    <w:rsid w:val="00525560"/>
    <w:rsid w:val="00525CC8"/>
    <w:rsid w:val="005276CE"/>
    <w:rsid w:val="005358D0"/>
    <w:rsid w:val="00536014"/>
    <w:rsid w:val="00537156"/>
    <w:rsid w:val="00541570"/>
    <w:rsid w:val="0054190E"/>
    <w:rsid w:val="00541999"/>
    <w:rsid w:val="00542E76"/>
    <w:rsid w:val="00543D73"/>
    <w:rsid w:val="00544C49"/>
    <w:rsid w:val="00545658"/>
    <w:rsid w:val="00545B6E"/>
    <w:rsid w:val="00545CD0"/>
    <w:rsid w:val="005507C6"/>
    <w:rsid w:val="00550F4E"/>
    <w:rsid w:val="005516A1"/>
    <w:rsid w:val="00552F96"/>
    <w:rsid w:val="00553A4E"/>
    <w:rsid w:val="00555B44"/>
    <w:rsid w:val="00555CA5"/>
    <w:rsid w:val="00556117"/>
    <w:rsid w:val="005570F0"/>
    <w:rsid w:val="0055713B"/>
    <w:rsid w:val="00557343"/>
    <w:rsid w:val="00557554"/>
    <w:rsid w:val="005576D0"/>
    <w:rsid w:val="00557885"/>
    <w:rsid w:val="00560036"/>
    <w:rsid w:val="00561A78"/>
    <w:rsid w:val="00563C20"/>
    <w:rsid w:val="00563CC4"/>
    <w:rsid w:val="0056444B"/>
    <w:rsid w:val="00564CE1"/>
    <w:rsid w:val="00565AE6"/>
    <w:rsid w:val="0056776F"/>
    <w:rsid w:val="00572624"/>
    <w:rsid w:val="00572BF9"/>
    <w:rsid w:val="0057402A"/>
    <w:rsid w:val="00574B68"/>
    <w:rsid w:val="00575466"/>
    <w:rsid w:val="00576977"/>
    <w:rsid w:val="00576DD5"/>
    <w:rsid w:val="005771D0"/>
    <w:rsid w:val="005773E2"/>
    <w:rsid w:val="00577A6C"/>
    <w:rsid w:val="005850DC"/>
    <w:rsid w:val="0058519E"/>
    <w:rsid w:val="005858A4"/>
    <w:rsid w:val="00585EC8"/>
    <w:rsid w:val="005863CA"/>
    <w:rsid w:val="00590147"/>
    <w:rsid w:val="0059088D"/>
    <w:rsid w:val="00590C8C"/>
    <w:rsid w:val="00590E0F"/>
    <w:rsid w:val="0059191A"/>
    <w:rsid w:val="005921FF"/>
    <w:rsid w:val="0059251A"/>
    <w:rsid w:val="00593F72"/>
    <w:rsid w:val="00595BC2"/>
    <w:rsid w:val="00596E37"/>
    <w:rsid w:val="005A1E24"/>
    <w:rsid w:val="005A22A9"/>
    <w:rsid w:val="005A2988"/>
    <w:rsid w:val="005A2F94"/>
    <w:rsid w:val="005A348C"/>
    <w:rsid w:val="005A4488"/>
    <w:rsid w:val="005A6068"/>
    <w:rsid w:val="005A6288"/>
    <w:rsid w:val="005A6D0E"/>
    <w:rsid w:val="005B04F3"/>
    <w:rsid w:val="005B0E87"/>
    <w:rsid w:val="005B1CE2"/>
    <w:rsid w:val="005B246E"/>
    <w:rsid w:val="005B382F"/>
    <w:rsid w:val="005B3F3D"/>
    <w:rsid w:val="005B3F9D"/>
    <w:rsid w:val="005B4749"/>
    <w:rsid w:val="005B52B0"/>
    <w:rsid w:val="005B5CF4"/>
    <w:rsid w:val="005B5E48"/>
    <w:rsid w:val="005B661A"/>
    <w:rsid w:val="005B6631"/>
    <w:rsid w:val="005B6806"/>
    <w:rsid w:val="005B7FDA"/>
    <w:rsid w:val="005C005B"/>
    <w:rsid w:val="005C04AD"/>
    <w:rsid w:val="005C0AC5"/>
    <w:rsid w:val="005C0F66"/>
    <w:rsid w:val="005C4225"/>
    <w:rsid w:val="005C42CD"/>
    <w:rsid w:val="005C438F"/>
    <w:rsid w:val="005C75CF"/>
    <w:rsid w:val="005C76C4"/>
    <w:rsid w:val="005C7A11"/>
    <w:rsid w:val="005D1F59"/>
    <w:rsid w:val="005D24F8"/>
    <w:rsid w:val="005D289A"/>
    <w:rsid w:val="005D3B25"/>
    <w:rsid w:val="005D4522"/>
    <w:rsid w:val="005D4D8C"/>
    <w:rsid w:val="005D55C3"/>
    <w:rsid w:val="005D62BC"/>
    <w:rsid w:val="005D64E4"/>
    <w:rsid w:val="005E03E9"/>
    <w:rsid w:val="005E0A5D"/>
    <w:rsid w:val="005E10E1"/>
    <w:rsid w:val="005E14F9"/>
    <w:rsid w:val="005E3193"/>
    <w:rsid w:val="005E3693"/>
    <w:rsid w:val="005E372A"/>
    <w:rsid w:val="005E4A8D"/>
    <w:rsid w:val="005E6031"/>
    <w:rsid w:val="005E7027"/>
    <w:rsid w:val="005F0DAD"/>
    <w:rsid w:val="005F0F33"/>
    <w:rsid w:val="005F254C"/>
    <w:rsid w:val="005F3CB4"/>
    <w:rsid w:val="005F4C3A"/>
    <w:rsid w:val="005F56F7"/>
    <w:rsid w:val="005F5E68"/>
    <w:rsid w:val="005F5FA1"/>
    <w:rsid w:val="005F7295"/>
    <w:rsid w:val="005F7E6D"/>
    <w:rsid w:val="00600738"/>
    <w:rsid w:val="00600DEB"/>
    <w:rsid w:val="0060108F"/>
    <w:rsid w:val="0060166C"/>
    <w:rsid w:val="006025FE"/>
    <w:rsid w:val="00602747"/>
    <w:rsid w:val="0060385E"/>
    <w:rsid w:val="00605782"/>
    <w:rsid w:val="00606BD2"/>
    <w:rsid w:val="0061014C"/>
    <w:rsid w:val="00611C09"/>
    <w:rsid w:val="00611D1B"/>
    <w:rsid w:val="00612013"/>
    <w:rsid w:val="00614C63"/>
    <w:rsid w:val="006158E9"/>
    <w:rsid w:val="0061619F"/>
    <w:rsid w:val="00616FBC"/>
    <w:rsid w:val="0061793C"/>
    <w:rsid w:val="00617C06"/>
    <w:rsid w:val="00621726"/>
    <w:rsid w:val="00621CC8"/>
    <w:rsid w:val="006229BF"/>
    <w:rsid w:val="006241C6"/>
    <w:rsid w:val="00624F35"/>
    <w:rsid w:val="00624F61"/>
    <w:rsid w:val="00625735"/>
    <w:rsid w:val="0062780E"/>
    <w:rsid w:val="00627C9F"/>
    <w:rsid w:val="00627EC0"/>
    <w:rsid w:val="00630540"/>
    <w:rsid w:val="006305F3"/>
    <w:rsid w:val="00630827"/>
    <w:rsid w:val="0063118B"/>
    <w:rsid w:val="006311E9"/>
    <w:rsid w:val="00632354"/>
    <w:rsid w:val="0063414B"/>
    <w:rsid w:val="00634ECA"/>
    <w:rsid w:val="00635450"/>
    <w:rsid w:val="0063554E"/>
    <w:rsid w:val="00635A13"/>
    <w:rsid w:val="00636832"/>
    <w:rsid w:val="00637852"/>
    <w:rsid w:val="0064083D"/>
    <w:rsid w:val="00640E59"/>
    <w:rsid w:val="00641344"/>
    <w:rsid w:val="00642750"/>
    <w:rsid w:val="00642810"/>
    <w:rsid w:val="006432D2"/>
    <w:rsid w:val="006478E1"/>
    <w:rsid w:val="00651143"/>
    <w:rsid w:val="00652333"/>
    <w:rsid w:val="0066032C"/>
    <w:rsid w:val="00661421"/>
    <w:rsid w:val="006623F4"/>
    <w:rsid w:val="0066428B"/>
    <w:rsid w:val="0066481C"/>
    <w:rsid w:val="00664D43"/>
    <w:rsid w:val="00664FF8"/>
    <w:rsid w:val="00665089"/>
    <w:rsid w:val="006664D5"/>
    <w:rsid w:val="00671C11"/>
    <w:rsid w:val="006722DC"/>
    <w:rsid w:val="00673A64"/>
    <w:rsid w:val="00673E50"/>
    <w:rsid w:val="006741A1"/>
    <w:rsid w:val="0067470D"/>
    <w:rsid w:val="00676B40"/>
    <w:rsid w:val="00676DA4"/>
    <w:rsid w:val="0068009E"/>
    <w:rsid w:val="00680EA8"/>
    <w:rsid w:val="00683F25"/>
    <w:rsid w:val="006864AD"/>
    <w:rsid w:val="00686757"/>
    <w:rsid w:val="00686B9F"/>
    <w:rsid w:val="00690302"/>
    <w:rsid w:val="00690C47"/>
    <w:rsid w:val="00691163"/>
    <w:rsid w:val="00692053"/>
    <w:rsid w:val="00692219"/>
    <w:rsid w:val="00692AE2"/>
    <w:rsid w:val="00695D81"/>
    <w:rsid w:val="006A0440"/>
    <w:rsid w:val="006A0F60"/>
    <w:rsid w:val="006A17D2"/>
    <w:rsid w:val="006A364B"/>
    <w:rsid w:val="006A473C"/>
    <w:rsid w:val="006A4A10"/>
    <w:rsid w:val="006A57A5"/>
    <w:rsid w:val="006A5D68"/>
    <w:rsid w:val="006A73E6"/>
    <w:rsid w:val="006A7737"/>
    <w:rsid w:val="006B006D"/>
    <w:rsid w:val="006B027D"/>
    <w:rsid w:val="006B0DDC"/>
    <w:rsid w:val="006B2D5C"/>
    <w:rsid w:val="006B3CBD"/>
    <w:rsid w:val="006B3DDD"/>
    <w:rsid w:val="006B4281"/>
    <w:rsid w:val="006C4EB1"/>
    <w:rsid w:val="006C58A8"/>
    <w:rsid w:val="006C644A"/>
    <w:rsid w:val="006C6ACB"/>
    <w:rsid w:val="006C6E5C"/>
    <w:rsid w:val="006C72D1"/>
    <w:rsid w:val="006D2D18"/>
    <w:rsid w:val="006D3683"/>
    <w:rsid w:val="006E0162"/>
    <w:rsid w:val="006E0166"/>
    <w:rsid w:val="006E0C18"/>
    <w:rsid w:val="006E13C3"/>
    <w:rsid w:val="006E143B"/>
    <w:rsid w:val="006E19D8"/>
    <w:rsid w:val="006E2EE2"/>
    <w:rsid w:val="006E3CBE"/>
    <w:rsid w:val="006E439D"/>
    <w:rsid w:val="006E4988"/>
    <w:rsid w:val="006E5380"/>
    <w:rsid w:val="006E5B1D"/>
    <w:rsid w:val="006E5CBF"/>
    <w:rsid w:val="006E74ED"/>
    <w:rsid w:val="006E7B34"/>
    <w:rsid w:val="006E7E15"/>
    <w:rsid w:val="006F0B5B"/>
    <w:rsid w:val="006F0E5B"/>
    <w:rsid w:val="006F11B5"/>
    <w:rsid w:val="006F18C8"/>
    <w:rsid w:val="006F723A"/>
    <w:rsid w:val="007008EB"/>
    <w:rsid w:val="0070114F"/>
    <w:rsid w:val="007012EB"/>
    <w:rsid w:val="00701862"/>
    <w:rsid w:val="00702255"/>
    <w:rsid w:val="00702517"/>
    <w:rsid w:val="00703939"/>
    <w:rsid w:val="00704555"/>
    <w:rsid w:val="007054F2"/>
    <w:rsid w:val="0070619C"/>
    <w:rsid w:val="0070697F"/>
    <w:rsid w:val="00706A4C"/>
    <w:rsid w:val="0071023D"/>
    <w:rsid w:val="007102A7"/>
    <w:rsid w:val="007109B0"/>
    <w:rsid w:val="00710A35"/>
    <w:rsid w:val="00713295"/>
    <w:rsid w:val="007139AB"/>
    <w:rsid w:val="007139BB"/>
    <w:rsid w:val="00713EA7"/>
    <w:rsid w:val="00716096"/>
    <w:rsid w:val="00716666"/>
    <w:rsid w:val="00717195"/>
    <w:rsid w:val="00717B07"/>
    <w:rsid w:val="00720920"/>
    <w:rsid w:val="00720F64"/>
    <w:rsid w:val="0072199C"/>
    <w:rsid w:val="00721B2F"/>
    <w:rsid w:val="00722C9F"/>
    <w:rsid w:val="007244BB"/>
    <w:rsid w:val="00724D78"/>
    <w:rsid w:val="00725174"/>
    <w:rsid w:val="007253B8"/>
    <w:rsid w:val="00726E25"/>
    <w:rsid w:val="0072744E"/>
    <w:rsid w:val="007277E3"/>
    <w:rsid w:val="00727D76"/>
    <w:rsid w:val="0073036B"/>
    <w:rsid w:val="007312B7"/>
    <w:rsid w:val="0073130C"/>
    <w:rsid w:val="00731F01"/>
    <w:rsid w:val="00731FE7"/>
    <w:rsid w:val="007326FB"/>
    <w:rsid w:val="00733D92"/>
    <w:rsid w:val="007372D2"/>
    <w:rsid w:val="0073741F"/>
    <w:rsid w:val="0073789E"/>
    <w:rsid w:val="00740F20"/>
    <w:rsid w:val="007444AA"/>
    <w:rsid w:val="00745243"/>
    <w:rsid w:val="00745577"/>
    <w:rsid w:val="00745794"/>
    <w:rsid w:val="00747996"/>
    <w:rsid w:val="00747BBB"/>
    <w:rsid w:val="00750051"/>
    <w:rsid w:val="0075032D"/>
    <w:rsid w:val="007504E2"/>
    <w:rsid w:val="007514E9"/>
    <w:rsid w:val="00753FAE"/>
    <w:rsid w:val="00754414"/>
    <w:rsid w:val="007552AC"/>
    <w:rsid w:val="007559BB"/>
    <w:rsid w:val="007569F0"/>
    <w:rsid w:val="0075722E"/>
    <w:rsid w:val="0076001F"/>
    <w:rsid w:val="00761810"/>
    <w:rsid w:val="00761AB4"/>
    <w:rsid w:val="00762E68"/>
    <w:rsid w:val="00765C18"/>
    <w:rsid w:val="00765C1F"/>
    <w:rsid w:val="0076643F"/>
    <w:rsid w:val="00767CDB"/>
    <w:rsid w:val="00774D9F"/>
    <w:rsid w:val="00775B1B"/>
    <w:rsid w:val="0077693C"/>
    <w:rsid w:val="00776BFB"/>
    <w:rsid w:val="0077746B"/>
    <w:rsid w:val="00777F63"/>
    <w:rsid w:val="007813E6"/>
    <w:rsid w:val="0078141F"/>
    <w:rsid w:val="00782845"/>
    <w:rsid w:val="00782EF0"/>
    <w:rsid w:val="00784610"/>
    <w:rsid w:val="00785183"/>
    <w:rsid w:val="00786C7E"/>
    <w:rsid w:val="00786F19"/>
    <w:rsid w:val="007902D2"/>
    <w:rsid w:val="00790E41"/>
    <w:rsid w:val="00792B26"/>
    <w:rsid w:val="007933EC"/>
    <w:rsid w:val="00793E90"/>
    <w:rsid w:val="00793EDB"/>
    <w:rsid w:val="0079426C"/>
    <w:rsid w:val="00794EF6"/>
    <w:rsid w:val="00796302"/>
    <w:rsid w:val="007A12CB"/>
    <w:rsid w:val="007A2C58"/>
    <w:rsid w:val="007A4B98"/>
    <w:rsid w:val="007A4C8E"/>
    <w:rsid w:val="007A5817"/>
    <w:rsid w:val="007A5ED9"/>
    <w:rsid w:val="007A721E"/>
    <w:rsid w:val="007A75D4"/>
    <w:rsid w:val="007A7A9E"/>
    <w:rsid w:val="007B0084"/>
    <w:rsid w:val="007B03C5"/>
    <w:rsid w:val="007B0F47"/>
    <w:rsid w:val="007B1F5C"/>
    <w:rsid w:val="007B27B5"/>
    <w:rsid w:val="007B5119"/>
    <w:rsid w:val="007B60E9"/>
    <w:rsid w:val="007B6C18"/>
    <w:rsid w:val="007B6CC3"/>
    <w:rsid w:val="007B719B"/>
    <w:rsid w:val="007B7342"/>
    <w:rsid w:val="007B7478"/>
    <w:rsid w:val="007B7D98"/>
    <w:rsid w:val="007C10B3"/>
    <w:rsid w:val="007C263D"/>
    <w:rsid w:val="007C3334"/>
    <w:rsid w:val="007C390E"/>
    <w:rsid w:val="007C5585"/>
    <w:rsid w:val="007C58C2"/>
    <w:rsid w:val="007C58FD"/>
    <w:rsid w:val="007C5C27"/>
    <w:rsid w:val="007C5FA1"/>
    <w:rsid w:val="007C680F"/>
    <w:rsid w:val="007C76B9"/>
    <w:rsid w:val="007D1025"/>
    <w:rsid w:val="007D19B1"/>
    <w:rsid w:val="007D2B98"/>
    <w:rsid w:val="007D3BD1"/>
    <w:rsid w:val="007D4121"/>
    <w:rsid w:val="007D46C8"/>
    <w:rsid w:val="007D56B6"/>
    <w:rsid w:val="007D6EC8"/>
    <w:rsid w:val="007D74B2"/>
    <w:rsid w:val="007E0BE6"/>
    <w:rsid w:val="007E21BC"/>
    <w:rsid w:val="007E2E66"/>
    <w:rsid w:val="007E4162"/>
    <w:rsid w:val="007E5FB8"/>
    <w:rsid w:val="007E61D9"/>
    <w:rsid w:val="007E77A3"/>
    <w:rsid w:val="007F0979"/>
    <w:rsid w:val="007F0DD4"/>
    <w:rsid w:val="007F0FB0"/>
    <w:rsid w:val="007F1975"/>
    <w:rsid w:val="007F1F5F"/>
    <w:rsid w:val="007F3989"/>
    <w:rsid w:val="007F4BA4"/>
    <w:rsid w:val="007F6DB8"/>
    <w:rsid w:val="007F753C"/>
    <w:rsid w:val="008005F9"/>
    <w:rsid w:val="0080295C"/>
    <w:rsid w:val="008036B2"/>
    <w:rsid w:val="00803F1C"/>
    <w:rsid w:val="00804361"/>
    <w:rsid w:val="00804771"/>
    <w:rsid w:val="00805A81"/>
    <w:rsid w:val="0080600E"/>
    <w:rsid w:val="0081268C"/>
    <w:rsid w:val="0081424D"/>
    <w:rsid w:val="00814721"/>
    <w:rsid w:val="00815498"/>
    <w:rsid w:val="008165C5"/>
    <w:rsid w:val="00817574"/>
    <w:rsid w:val="00817612"/>
    <w:rsid w:val="00822990"/>
    <w:rsid w:val="008230B7"/>
    <w:rsid w:val="0082513C"/>
    <w:rsid w:val="0082542B"/>
    <w:rsid w:val="008255D2"/>
    <w:rsid w:val="0082617E"/>
    <w:rsid w:val="008318EB"/>
    <w:rsid w:val="008338A4"/>
    <w:rsid w:val="00833D69"/>
    <w:rsid w:val="008343E5"/>
    <w:rsid w:val="00834518"/>
    <w:rsid w:val="00835599"/>
    <w:rsid w:val="0083606B"/>
    <w:rsid w:val="00837C45"/>
    <w:rsid w:val="00844730"/>
    <w:rsid w:val="00844929"/>
    <w:rsid w:val="008454A5"/>
    <w:rsid w:val="008457C2"/>
    <w:rsid w:val="00845B72"/>
    <w:rsid w:val="00845EEB"/>
    <w:rsid w:val="00846B5E"/>
    <w:rsid w:val="00846C8C"/>
    <w:rsid w:val="008520A5"/>
    <w:rsid w:val="00852456"/>
    <w:rsid w:val="00853640"/>
    <w:rsid w:val="00853731"/>
    <w:rsid w:val="0085455C"/>
    <w:rsid w:val="00854C66"/>
    <w:rsid w:val="008565DE"/>
    <w:rsid w:val="00856781"/>
    <w:rsid w:val="008570D2"/>
    <w:rsid w:val="00857A82"/>
    <w:rsid w:val="008626A3"/>
    <w:rsid w:val="00862A67"/>
    <w:rsid w:val="00863A8B"/>
    <w:rsid w:val="00864065"/>
    <w:rsid w:val="00866579"/>
    <w:rsid w:val="00867174"/>
    <w:rsid w:val="00867197"/>
    <w:rsid w:val="00867827"/>
    <w:rsid w:val="008700FE"/>
    <w:rsid w:val="00871A9B"/>
    <w:rsid w:val="00871C28"/>
    <w:rsid w:val="00873836"/>
    <w:rsid w:val="00873949"/>
    <w:rsid w:val="00873DC1"/>
    <w:rsid w:val="00877F14"/>
    <w:rsid w:val="00884CCC"/>
    <w:rsid w:val="00885737"/>
    <w:rsid w:val="00887255"/>
    <w:rsid w:val="0088785C"/>
    <w:rsid w:val="0089024A"/>
    <w:rsid w:val="00890650"/>
    <w:rsid w:val="008907A3"/>
    <w:rsid w:val="00890912"/>
    <w:rsid w:val="008929D8"/>
    <w:rsid w:val="0089339B"/>
    <w:rsid w:val="008935F3"/>
    <w:rsid w:val="00894AEA"/>
    <w:rsid w:val="0089508A"/>
    <w:rsid w:val="00895D4F"/>
    <w:rsid w:val="00895ED0"/>
    <w:rsid w:val="008963E4"/>
    <w:rsid w:val="00896AD8"/>
    <w:rsid w:val="00897947"/>
    <w:rsid w:val="00897E12"/>
    <w:rsid w:val="008A084A"/>
    <w:rsid w:val="008A2B81"/>
    <w:rsid w:val="008A2D21"/>
    <w:rsid w:val="008A30B7"/>
    <w:rsid w:val="008A337B"/>
    <w:rsid w:val="008A5106"/>
    <w:rsid w:val="008A7E0F"/>
    <w:rsid w:val="008B12F5"/>
    <w:rsid w:val="008B1A55"/>
    <w:rsid w:val="008B27B0"/>
    <w:rsid w:val="008B3B36"/>
    <w:rsid w:val="008B43A5"/>
    <w:rsid w:val="008B550B"/>
    <w:rsid w:val="008B62DD"/>
    <w:rsid w:val="008B66A6"/>
    <w:rsid w:val="008C00E4"/>
    <w:rsid w:val="008C01A8"/>
    <w:rsid w:val="008C07D1"/>
    <w:rsid w:val="008C082F"/>
    <w:rsid w:val="008C1E3F"/>
    <w:rsid w:val="008C28BB"/>
    <w:rsid w:val="008C54B5"/>
    <w:rsid w:val="008C5D1D"/>
    <w:rsid w:val="008D051B"/>
    <w:rsid w:val="008D2098"/>
    <w:rsid w:val="008D25CE"/>
    <w:rsid w:val="008D2CDB"/>
    <w:rsid w:val="008D44AC"/>
    <w:rsid w:val="008D5E06"/>
    <w:rsid w:val="008D5F5C"/>
    <w:rsid w:val="008D768D"/>
    <w:rsid w:val="008D7F16"/>
    <w:rsid w:val="008E0EFD"/>
    <w:rsid w:val="008E20B3"/>
    <w:rsid w:val="008E3759"/>
    <w:rsid w:val="008E50CE"/>
    <w:rsid w:val="008E67AD"/>
    <w:rsid w:val="008E762C"/>
    <w:rsid w:val="008F09DF"/>
    <w:rsid w:val="008F1912"/>
    <w:rsid w:val="008F20DC"/>
    <w:rsid w:val="008F2263"/>
    <w:rsid w:val="008F316B"/>
    <w:rsid w:val="008F49F9"/>
    <w:rsid w:val="008F7B6C"/>
    <w:rsid w:val="009002DA"/>
    <w:rsid w:val="00900D13"/>
    <w:rsid w:val="0090270B"/>
    <w:rsid w:val="0090304F"/>
    <w:rsid w:val="009041DC"/>
    <w:rsid w:val="00907C0E"/>
    <w:rsid w:val="00910B87"/>
    <w:rsid w:val="00910DA6"/>
    <w:rsid w:val="00915822"/>
    <w:rsid w:val="00916994"/>
    <w:rsid w:val="009171D3"/>
    <w:rsid w:val="00917B5A"/>
    <w:rsid w:val="00917C56"/>
    <w:rsid w:val="00920398"/>
    <w:rsid w:val="00920A58"/>
    <w:rsid w:val="00920A8C"/>
    <w:rsid w:val="00920ACE"/>
    <w:rsid w:val="00921CE1"/>
    <w:rsid w:val="0092272F"/>
    <w:rsid w:val="00922B97"/>
    <w:rsid w:val="0092378F"/>
    <w:rsid w:val="00925535"/>
    <w:rsid w:val="00925599"/>
    <w:rsid w:val="00926A10"/>
    <w:rsid w:val="0092749A"/>
    <w:rsid w:val="00931872"/>
    <w:rsid w:val="009326EF"/>
    <w:rsid w:val="00933AF6"/>
    <w:rsid w:val="00934443"/>
    <w:rsid w:val="00934A2C"/>
    <w:rsid w:val="00935166"/>
    <w:rsid w:val="00935C8F"/>
    <w:rsid w:val="009423E7"/>
    <w:rsid w:val="0094367A"/>
    <w:rsid w:val="00943D6E"/>
    <w:rsid w:val="00943DC0"/>
    <w:rsid w:val="0094505F"/>
    <w:rsid w:val="009455B1"/>
    <w:rsid w:val="00947322"/>
    <w:rsid w:val="00953850"/>
    <w:rsid w:val="00953924"/>
    <w:rsid w:val="009556D2"/>
    <w:rsid w:val="00955D75"/>
    <w:rsid w:val="00956064"/>
    <w:rsid w:val="00957C4E"/>
    <w:rsid w:val="00960B2D"/>
    <w:rsid w:val="00960B8F"/>
    <w:rsid w:val="009617A6"/>
    <w:rsid w:val="00961B02"/>
    <w:rsid w:val="009637D6"/>
    <w:rsid w:val="00965726"/>
    <w:rsid w:val="0096706E"/>
    <w:rsid w:val="00967945"/>
    <w:rsid w:val="0097114D"/>
    <w:rsid w:val="00971DA7"/>
    <w:rsid w:val="0097393D"/>
    <w:rsid w:val="00975C4E"/>
    <w:rsid w:val="00977129"/>
    <w:rsid w:val="00977E33"/>
    <w:rsid w:val="00981D4D"/>
    <w:rsid w:val="00981FBA"/>
    <w:rsid w:val="00982323"/>
    <w:rsid w:val="00984F78"/>
    <w:rsid w:val="00986B17"/>
    <w:rsid w:val="009876B0"/>
    <w:rsid w:val="009902E1"/>
    <w:rsid w:val="00991679"/>
    <w:rsid w:val="009919E0"/>
    <w:rsid w:val="00992A4F"/>
    <w:rsid w:val="0099636E"/>
    <w:rsid w:val="009976F7"/>
    <w:rsid w:val="00997AC5"/>
    <w:rsid w:val="00997BC5"/>
    <w:rsid w:val="009A0011"/>
    <w:rsid w:val="009A00CD"/>
    <w:rsid w:val="009A0B31"/>
    <w:rsid w:val="009A23E6"/>
    <w:rsid w:val="009A259A"/>
    <w:rsid w:val="009A4B18"/>
    <w:rsid w:val="009A4F41"/>
    <w:rsid w:val="009A697D"/>
    <w:rsid w:val="009B0B10"/>
    <w:rsid w:val="009B0B37"/>
    <w:rsid w:val="009B0CB9"/>
    <w:rsid w:val="009B1199"/>
    <w:rsid w:val="009B1798"/>
    <w:rsid w:val="009B1E64"/>
    <w:rsid w:val="009B2758"/>
    <w:rsid w:val="009B2E1F"/>
    <w:rsid w:val="009B381B"/>
    <w:rsid w:val="009B383B"/>
    <w:rsid w:val="009B3A5B"/>
    <w:rsid w:val="009B6C20"/>
    <w:rsid w:val="009C0184"/>
    <w:rsid w:val="009C0460"/>
    <w:rsid w:val="009C30E4"/>
    <w:rsid w:val="009C31E6"/>
    <w:rsid w:val="009C5B12"/>
    <w:rsid w:val="009C7B72"/>
    <w:rsid w:val="009D0824"/>
    <w:rsid w:val="009D1020"/>
    <w:rsid w:val="009D1753"/>
    <w:rsid w:val="009D2747"/>
    <w:rsid w:val="009D501A"/>
    <w:rsid w:val="009D5590"/>
    <w:rsid w:val="009D7534"/>
    <w:rsid w:val="009D7611"/>
    <w:rsid w:val="009D7F9C"/>
    <w:rsid w:val="009E040E"/>
    <w:rsid w:val="009E0B61"/>
    <w:rsid w:val="009E10B8"/>
    <w:rsid w:val="009E1680"/>
    <w:rsid w:val="009E2800"/>
    <w:rsid w:val="009E309F"/>
    <w:rsid w:val="009E350F"/>
    <w:rsid w:val="009E41EF"/>
    <w:rsid w:val="009E53DE"/>
    <w:rsid w:val="009E7FD5"/>
    <w:rsid w:val="009F05ED"/>
    <w:rsid w:val="009F0CFB"/>
    <w:rsid w:val="009F2D67"/>
    <w:rsid w:val="009F3B5F"/>
    <w:rsid w:val="009F4210"/>
    <w:rsid w:val="009F4219"/>
    <w:rsid w:val="009F5563"/>
    <w:rsid w:val="009F559F"/>
    <w:rsid w:val="009F591C"/>
    <w:rsid w:val="009F5ED8"/>
    <w:rsid w:val="009F6BCA"/>
    <w:rsid w:val="009F6E28"/>
    <w:rsid w:val="00A0100E"/>
    <w:rsid w:val="00A018FC"/>
    <w:rsid w:val="00A01EF3"/>
    <w:rsid w:val="00A033CC"/>
    <w:rsid w:val="00A03648"/>
    <w:rsid w:val="00A0558A"/>
    <w:rsid w:val="00A0587A"/>
    <w:rsid w:val="00A05A06"/>
    <w:rsid w:val="00A05ED3"/>
    <w:rsid w:val="00A072CC"/>
    <w:rsid w:val="00A1090E"/>
    <w:rsid w:val="00A11620"/>
    <w:rsid w:val="00A11A3E"/>
    <w:rsid w:val="00A11A56"/>
    <w:rsid w:val="00A11F95"/>
    <w:rsid w:val="00A13635"/>
    <w:rsid w:val="00A13AEC"/>
    <w:rsid w:val="00A14BC2"/>
    <w:rsid w:val="00A153CA"/>
    <w:rsid w:val="00A16BA4"/>
    <w:rsid w:val="00A174A2"/>
    <w:rsid w:val="00A17F16"/>
    <w:rsid w:val="00A22868"/>
    <w:rsid w:val="00A24008"/>
    <w:rsid w:val="00A24E3A"/>
    <w:rsid w:val="00A26E93"/>
    <w:rsid w:val="00A272C2"/>
    <w:rsid w:val="00A3084C"/>
    <w:rsid w:val="00A3176C"/>
    <w:rsid w:val="00A31FA7"/>
    <w:rsid w:val="00A32788"/>
    <w:rsid w:val="00A328B3"/>
    <w:rsid w:val="00A33BE7"/>
    <w:rsid w:val="00A34DFE"/>
    <w:rsid w:val="00A3714C"/>
    <w:rsid w:val="00A37649"/>
    <w:rsid w:val="00A37FF2"/>
    <w:rsid w:val="00A401A2"/>
    <w:rsid w:val="00A4125B"/>
    <w:rsid w:val="00A42B29"/>
    <w:rsid w:val="00A42D3E"/>
    <w:rsid w:val="00A43CFA"/>
    <w:rsid w:val="00A4440A"/>
    <w:rsid w:val="00A45B56"/>
    <w:rsid w:val="00A50FCF"/>
    <w:rsid w:val="00A51349"/>
    <w:rsid w:val="00A518C8"/>
    <w:rsid w:val="00A528D1"/>
    <w:rsid w:val="00A52B43"/>
    <w:rsid w:val="00A5414A"/>
    <w:rsid w:val="00A5517D"/>
    <w:rsid w:val="00A5636A"/>
    <w:rsid w:val="00A56777"/>
    <w:rsid w:val="00A60EC3"/>
    <w:rsid w:val="00A610CD"/>
    <w:rsid w:val="00A612B5"/>
    <w:rsid w:val="00A61A73"/>
    <w:rsid w:val="00A64B4F"/>
    <w:rsid w:val="00A65C92"/>
    <w:rsid w:val="00A66084"/>
    <w:rsid w:val="00A6747E"/>
    <w:rsid w:val="00A71D1F"/>
    <w:rsid w:val="00A724B3"/>
    <w:rsid w:val="00A72CF8"/>
    <w:rsid w:val="00A73A4D"/>
    <w:rsid w:val="00A74DB5"/>
    <w:rsid w:val="00A759E6"/>
    <w:rsid w:val="00A7654A"/>
    <w:rsid w:val="00A80BD0"/>
    <w:rsid w:val="00A81092"/>
    <w:rsid w:val="00A81146"/>
    <w:rsid w:val="00A813CA"/>
    <w:rsid w:val="00A83582"/>
    <w:rsid w:val="00A8445F"/>
    <w:rsid w:val="00A84D61"/>
    <w:rsid w:val="00A85F7B"/>
    <w:rsid w:val="00A9235C"/>
    <w:rsid w:val="00A94F8B"/>
    <w:rsid w:val="00A96A77"/>
    <w:rsid w:val="00A97A2A"/>
    <w:rsid w:val="00A97EBC"/>
    <w:rsid w:val="00AA098A"/>
    <w:rsid w:val="00AA09A2"/>
    <w:rsid w:val="00AA199B"/>
    <w:rsid w:val="00AA1AE5"/>
    <w:rsid w:val="00AA21D8"/>
    <w:rsid w:val="00AA4C9B"/>
    <w:rsid w:val="00AA5D9C"/>
    <w:rsid w:val="00AA7996"/>
    <w:rsid w:val="00AA7E6D"/>
    <w:rsid w:val="00AB00C7"/>
    <w:rsid w:val="00AB0FFF"/>
    <w:rsid w:val="00AB17B5"/>
    <w:rsid w:val="00AB3A72"/>
    <w:rsid w:val="00AB3CA6"/>
    <w:rsid w:val="00AB3F0F"/>
    <w:rsid w:val="00AB45ED"/>
    <w:rsid w:val="00AB529E"/>
    <w:rsid w:val="00AB7253"/>
    <w:rsid w:val="00AB7645"/>
    <w:rsid w:val="00AB7A94"/>
    <w:rsid w:val="00AC0390"/>
    <w:rsid w:val="00AC09A3"/>
    <w:rsid w:val="00AC0BE7"/>
    <w:rsid w:val="00AC19CB"/>
    <w:rsid w:val="00AC1E62"/>
    <w:rsid w:val="00AC3C41"/>
    <w:rsid w:val="00AC4605"/>
    <w:rsid w:val="00AC486F"/>
    <w:rsid w:val="00AC555D"/>
    <w:rsid w:val="00AC5861"/>
    <w:rsid w:val="00AC59E5"/>
    <w:rsid w:val="00AC78AA"/>
    <w:rsid w:val="00AD0817"/>
    <w:rsid w:val="00AD3047"/>
    <w:rsid w:val="00AD3C32"/>
    <w:rsid w:val="00AD51CF"/>
    <w:rsid w:val="00AD7770"/>
    <w:rsid w:val="00AE0059"/>
    <w:rsid w:val="00AE1572"/>
    <w:rsid w:val="00AE5488"/>
    <w:rsid w:val="00AE6F91"/>
    <w:rsid w:val="00AF0AC0"/>
    <w:rsid w:val="00AF215F"/>
    <w:rsid w:val="00AF2A06"/>
    <w:rsid w:val="00AF2AD4"/>
    <w:rsid w:val="00AF2D4B"/>
    <w:rsid w:val="00AF5571"/>
    <w:rsid w:val="00AF78E3"/>
    <w:rsid w:val="00AF7F5C"/>
    <w:rsid w:val="00B00408"/>
    <w:rsid w:val="00B00ECF"/>
    <w:rsid w:val="00B01552"/>
    <w:rsid w:val="00B04226"/>
    <w:rsid w:val="00B0430F"/>
    <w:rsid w:val="00B04B87"/>
    <w:rsid w:val="00B04E3C"/>
    <w:rsid w:val="00B063DC"/>
    <w:rsid w:val="00B07341"/>
    <w:rsid w:val="00B07547"/>
    <w:rsid w:val="00B111D9"/>
    <w:rsid w:val="00B11390"/>
    <w:rsid w:val="00B114CB"/>
    <w:rsid w:val="00B12579"/>
    <w:rsid w:val="00B1258B"/>
    <w:rsid w:val="00B12795"/>
    <w:rsid w:val="00B13304"/>
    <w:rsid w:val="00B13D91"/>
    <w:rsid w:val="00B15356"/>
    <w:rsid w:val="00B15877"/>
    <w:rsid w:val="00B15F5E"/>
    <w:rsid w:val="00B16583"/>
    <w:rsid w:val="00B17B52"/>
    <w:rsid w:val="00B20D3C"/>
    <w:rsid w:val="00B20DEA"/>
    <w:rsid w:val="00B21DD7"/>
    <w:rsid w:val="00B2264F"/>
    <w:rsid w:val="00B22EF2"/>
    <w:rsid w:val="00B235A4"/>
    <w:rsid w:val="00B24F89"/>
    <w:rsid w:val="00B25EBA"/>
    <w:rsid w:val="00B278EF"/>
    <w:rsid w:val="00B27E01"/>
    <w:rsid w:val="00B30539"/>
    <w:rsid w:val="00B314DB"/>
    <w:rsid w:val="00B31CC6"/>
    <w:rsid w:val="00B329C1"/>
    <w:rsid w:val="00B34152"/>
    <w:rsid w:val="00B34D68"/>
    <w:rsid w:val="00B350F7"/>
    <w:rsid w:val="00B358FB"/>
    <w:rsid w:val="00B361F2"/>
    <w:rsid w:val="00B368E3"/>
    <w:rsid w:val="00B3718B"/>
    <w:rsid w:val="00B40E2F"/>
    <w:rsid w:val="00B42239"/>
    <w:rsid w:val="00B42F96"/>
    <w:rsid w:val="00B432E3"/>
    <w:rsid w:val="00B44689"/>
    <w:rsid w:val="00B447EE"/>
    <w:rsid w:val="00B44E73"/>
    <w:rsid w:val="00B4508F"/>
    <w:rsid w:val="00B455C0"/>
    <w:rsid w:val="00B46166"/>
    <w:rsid w:val="00B4632A"/>
    <w:rsid w:val="00B4682B"/>
    <w:rsid w:val="00B47419"/>
    <w:rsid w:val="00B47A70"/>
    <w:rsid w:val="00B47AA9"/>
    <w:rsid w:val="00B519E2"/>
    <w:rsid w:val="00B530F1"/>
    <w:rsid w:val="00B55324"/>
    <w:rsid w:val="00B55C8A"/>
    <w:rsid w:val="00B612DF"/>
    <w:rsid w:val="00B62AFC"/>
    <w:rsid w:val="00B62C81"/>
    <w:rsid w:val="00B63129"/>
    <w:rsid w:val="00B63D9A"/>
    <w:rsid w:val="00B63E1C"/>
    <w:rsid w:val="00B641E4"/>
    <w:rsid w:val="00B649B7"/>
    <w:rsid w:val="00B65B57"/>
    <w:rsid w:val="00B67AFB"/>
    <w:rsid w:val="00B67E22"/>
    <w:rsid w:val="00B7067D"/>
    <w:rsid w:val="00B71866"/>
    <w:rsid w:val="00B71B11"/>
    <w:rsid w:val="00B71C5E"/>
    <w:rsid w:val="00B72031"/>
    <w:rsid w:val="00B726B1"/>
    <w:rsid w:val="00B73E45"/>
    <w:rsid w:val="00B74DC2"/>
    <w:rsid w:val="00B74F99"/>
    <w:rsid w:val="00B772BF"/>
    <w:rsid w:val="00B808D5"/>
    <w:rsid w:val="00B809F6"/>
    <w:rsid w:val="00B82018"/>
    <w:rsid w:val="00B836D5"/>
    <w:rsid w:val="00B83C67"/>
    <w:rsid w:val="00B85530"/>
    <w:rsid w:val="00B85E36"/>
    <w:rsid w:val="00B87354"/>
    <w:rsid w:val="00B906BA"/>
    <w:rsid w:val="00B907A3"/>
    <w:rsid w:val="00B90B97"/>
    <w:rsid w:val="00B927A6"/>
    <w:rsid w:val="00B93C69"/>
    <w:rsid w:val="00B9573A"/>
    <w:rsid w:val="00B9598D"/>
    <w:rsid w:val="00B95DDC"/>
    <w:rsid w:val="00B96D9D"/>
    <w:rsid w:val="00B972EA"/>
    <w:rsid w:val="00BA1DA2"/>
    <w:rsid w:val="00BA21B5"/>
    <w:rsid w:val="00BA276C"/>
    <w:rsid w:val="00BA3D36"/>
    <w:rsid w:val="00BA4500"/>
    <w:rsid w:val="00BA591A"/>
    <w:rsid w:val="00BB0AE9"/>
    <w:rsid w:val="00BB0B7A"/>
    <w:rsid w:val="00BB0B93"/>
    <w:rsid w:val="00BB306F"/>
    <w:rsid w:val="00BB31CE"/>
    <w:rsid w:val="00BB346E"/>
    <w:rsid w:val="00BB373C"/>
    <w:rsid w:val="00BB377F"/>
    <w:rsid w:val="00BC0EE9"/>
    <w:rsid w:val="00BC1021"/>
    <w:rsid w:val="00BC2F2B"/>
    <w:rsid w:val="00BC3BA1"/>
    <w:rsid w:val="00BC4E6B"/>
    <w:rsid w:val="00BC5511"/>
    <w:rsid w:val="00BC585D"/>
    <w:rsid w:val="00BC6263"/>
    <w:rsid w:val="00BD17AC"/>
    <w:rsid w:val="00BD1C4B"/>
    <w:rsid w:val="00BD2A0F"/>
    <w:rsid w:val="00BD2A17"/>
    <w:rsid w:val="00BD2A19"/>
    <w:rsid w:val="00BD4B89"/>
    <w:rsid w:val="00BD6114"/>
    <w:rsid w:val="00BD7B2D"/>
    <w:rsid w:val="00BE047B"/>
    <w:rsid w:val="00BE0A3E"/>
    <w:rsid w:val="00BE0B43"/>
    <w:rsid w:val="00BE4623"/>
    <w:rsid w:val="00BE4AB4"/>
    <w:rsid w:val="00BE4B65"/>
    <w:rsid w:val="00BE6F7F"/>
    <w:rsid w:val="00BF01DD"/>
    <w:rsid w:val="00BF0A9E"/>
    <w:rsid w:val="00BF1819"/>
    <w:rsid w:val="00BF284C"/>
    <w:rsid w:val="00BF2C80"/>
    <w:rsid w:val="00BF3632"/>
    <w:rsid w:val="00BF391C"/>
    <w:rsid w:val="00BF3941"/>
    <w:rsid w:val="00BF6FD8"/>
    <w:rsid w:val="00BF773C"/>
    <w:rsid w:val="00C01745"/>
    <w:rsid w:val="00C02E1B"/>
    <w:rsid w:val="00C031C8"/>
    <w:rsid w:val="00C03680"/>
    <w:rsid w:val="00C04768"/>
    <w:rsid w:val="00C04806"/>
    <w:rsid w:val="00C054DF"/>
    <w:rsid w:val="00C06FC9"/>
    <w:rsid w:val="00C07A85"/>
    <w:rsid w:val="00C1298A"/>
    <w:rsid w:val="00C14996"/>
    <w:rsid w:val="00C15FC6"/>
    <w:rsid w:val="00C16455"/>
    <w:rsid w:val="00C17B60"/>
    <w:rsid w:val="00C2042B"/>
    <w:rsid w:val="00C2069A"/>
    <w:rsid w:val="00C209D9"/>
    <w:rsid w:val="00C21762"/>
    <w:rsid w:val="00C22B87"/>
    <w:rsid w:val="00C230F9"/>
    <w:rsid w:val="00C238DE"/>
    <w:rsid w:val="00C243BE"/>
    <w:rsid w:val="00C24543"/>
    <w:rsid w:val="00C256A2"/>
    <w:rsid w:val="00C265BB"/>
    <w:rsid w:val="00C27924"/>
    <w:rsid w:val="00C27D46"/>
    <w:rsid w:val="00C33557"/>
    <w:rsid w:val="00C341EB"/>
    <w:rsid w:val="00C37525"/>
    <w:rsid w:val="00C40420"/>
    <w:rsid w:val="00C4098E"/>
    <w:rsid w:val="00C41080"/>
    <w:rsid w:val="00C417B6"/>
    <w:rsid w:val="00C43AC2"/>
    <w:rsid w:val="00C44B14"/>
    <w:rsid w:val="00C45C0C"/>
    <w:rsid w:val="00C461FA"/>
    <w:rsid w:val="00C471F8"/>
    <w:rsid w:val="00C4754A"/>
    <w:rsid w:val="00C47B79"/>
    <w:rsid w:val="00C5028A"/>
    <w:rsid w:val="00C5048D"/>
    <w:rsid w:val="00C50E19"/>
    <w:rsid w:val="00C51515"/>
    <w:rsid w:val="00C519AE"/>
    <w:rsid w:val="00C52875"/>
    <w:rsid w:val="00C54B39"/>
    <w:rsid w:val="00C5660B"/>
    <w:rsid w:val="00C56A2E"/>
    <w:rsid w:val="00C57930"/>
    <w:rsid w:val="00C57CB3"/>
    <w:rsid w:val="00C6017D"/>
    <w:rsid w:val="00C60FAB"/>
    <w:rsid w:val="00C61314"/>
    <w:rsid w:val="00C61CBE"/>
    <w:rsid w:val="00C61E87"/>
    <w:rsid w:val="00C61EF6"/>
    <w:rsid w:val="00C627CC"/>
    <w:rsid w:val="00C62E3B"/>
    <w:rsid w:val="00C634D2"/>
    <w:rsid w:val="00C65675"/>
    <w:rsid w:val="00C6617F"/>
    <w:rsid w:val="00C664E9"/>
    <w:rsid w:val="00C66B72"/>
    <w:rsid w:val="00C66D21"/>
    <w:rsid w:val="00C66D96"/>
    <w:rsid w:val="00C67524"/>
    <w:rsid w:val="00C70059"/>
    <w:rsid w:val="00C70267"/>
    <w:rsid w:val="00C715CB"/>
    <w:rsid w:val="00C71A76"/>
    <w:rsid w:val="00C72412"/>
    <w:rsid w:val="00C7253F"/>
    <w:rsid w:val="00C7306E"/>
    <w:rsid w:val="00C77962"/>
    <w:rsid w:val="00C77C48"/>
    <w:rsid w:val="00C836BC"/>
    <w:rsid w:val="00C870E4"/>
    <w:rsid w:val="00C8784F"/>
    <w:rsid w:val="00C91893"/>
    <w:rsid w:val="00C91919"/>
    <w:rsid w:val="00C9434F"/>
    <w:rsid w:val="00C94536"/>
    <w:rsid w:val="00C9567A"/>
    <w:rsid w:val="00C95B66"/>
    <w:rsid w:val="00C962AB"/>
    <w:rsid w:val="00C97BD5"/>
    <w:rsid w:val="00CA155F"/>
    <w:rsid w:val="00CA29EB"/>
    <w:rsid w:val="00CA4727"/>
    <w:rsid w:val="00CB0AB8"/>
    <w:rsid w:val="00CB11C7"/>
    <w:rsid w:val="00CB145D"/>
    <w:rsid w:val="00CB212D"/>
    <w:rsid w:val="00CB2425"/>
    <w:rsid w:val="00CB2660"/>
    <w:rsid w:val="00CB3DB2"/>
    <w:rsid w:val="00CB507D"/>
    <w:rsid w:val="00CB5425"/>
    <w:rsid w:val="00CB6937"/>
    <w:rsid w:val="00CC28FD"/>
    <w:rsid w:val="00CC2F59"/>
    <w:rsid w:val="00CC2FA5"/>
    <w:rsid w:val="00CC381D"/>
    <w:rsid w:val="00CC3A65"/>
    <w:rsid w:val="00CC3C56"/>
    <w:rsid w:val="00CC50D2"/>
    <w:rsid w:val="00CC5E90"/>
    <w:rsid w:val="00CC7D3F"/>
    <w:rsid w:val="00CD046C"/>
    <w:rsid w:val="00CD1404"/>
    <w:rsid w:val="00CD6822"/>
    <w:rsid w:val="00CD7205"/>
    <w:rsid w:val="00CE076C"/>
    <w:rsid w:val="00CE2DAB"/>
    <w:rsid w:val="00CE330B"/>
    <w:rsid w:val="00CE378C"/>
    <w:rsid w:val="00CE39DA"/>
    <w:rsid w:val="00CE3A26"/>
    <w:rsid w:val="00CE4228"/>
    <w:rsid w:val="00CE4AB5"/>
    <w:rsid w:val="00CE5199"/>
    <w:rsid w:val="00CE66D5"/>
    <w:rsid w:val="00CE7E51"/>
    <w:rsid w:val="00CF2321"/>
    <w:rsid w:val="00CF5391"/>
    <w:rsid w:val="00CF637A"/>
    <w:rsid w:val="00CF654A"/>
    <w:rsid w:val="00D00F87"/>
    <w:rsid w:val="00D01FEC"/>
    <w:rsid w:val="00D020EA"/>
    <w:rsid w:val="00D02646"/>
    <w:rsid w:val="00D02F5F"/>
    <w:rsid w:val="00D059DE"/>
    <w:rsid w:val="00D07386"/>
    <w:rsid w:val="00D10089"/>
    <w:rsid w:val="00D10650"/>
    <w:rsid w:val="00D1065D"/>
    <w:rsid w:val="00D1219D"/>
    <w:rsid w:val="00D12F3C"/>
    <w:rsid w:val="00D1361F"/>
    <w:rsid w:val="00D13BB8"/>
    <w:rsid w:val="00D13FCE"/>
    <w:rsid w:val="00D14646"/>
    <w:rsid w:val="00D14F44"/>
    <w:rsid w:val="00D158C2"/>
    <w:rsid w:val="00D159B3"/>
    <w:rsid w:val="00D15BDE"/>
    <w:rsid w:val="00D16E3B"/>
    <w:rsid w:val="00D172B9"/>
    <w:rsid w:val="00D17B73"/>
    <w:rsid w:val="00D2066A"/>
    <w:rsid w:val="00D24554"/>
    <w:rsid w:val="00D245FA"/>
    <w:rsid w:val="00D262AF"/>
    <w:rsid w:val="00D267F3"/>
    <w:rsid w:val="00D26D3B"/>
    <w:rsid w:val="00D2746C"/>
    <w:rsid w:val="00D303F1"/>
    <w:rsid w:val="00D306D1"/>
    <w:rsid w:val="00D311E2"/>
    <w:rsid w:val="00D313F0"/>
    <w:rsid w:val="00D3166D"/>
    <w:rsid w:val="00D31DD3"/>
    <w:rsid w:val="00D32032"/>
    <w:rsid w:val="00D32BF9"/>
    <w:rsid w:val="00D32D54"/>
    <w:rsid w:val="00D343A5"/>
    <w:rsid w:val="00D34786"/>
    <w:rsid w:val="00D37988"/>
    <w:rsid w:val="00D37BFC"/>
    <w:rsid w:val="00D40644"/>
    <w:rsid w:val="00D4121D"/>
    <w:rsid w:val="00D42955"/>
    <w:rsid w:val="00D42DF7"/>
    <w:rsid w:val="00D43EEE"/>
    <w:rsid w:val="00D45A5D"/>
    <w:rsid w:val="00D4689A"/>
    <w:rsid w:val="00D46CA7"/>
    <w:rsid w:val="00D478E6"/>
    <w:rsid w:val="00D47A8E"/>
    <w:rsid w:val="00D502FB"/>
    <w:rsid w:val="00D50763"/>
    <w:rsid w:val="00D50E01"/>
    <w:rsid w:val="00D51AF8"/>
    <w:rsid w:val="00D521EE"/>
    <w:rsid w:val="00D5275F"/>
    <w:rsid w:val="00D52791"/>
    <w:rsid w:val="00D52C22"/>
    <w:rsid w:val="00D52D14"/>
    <w:rsid w:val="00D53243"/>
    <w:rsid w:val="00D53C69"/>
    <w:rsid w:val="00D55686"/>
    <w:rsid w:val="00D560E5"/>
    <w:rsid w:val="00D6196C"/>
    <w:rsid w:val="00D6432F"/>
    <w:rsid w:val="00D64776"/>
    <w:rsid w:val="00D64F6A"/>
    <w:rsid w:val="00D652C2"/>
    <w:rsid w:val="00D65519"/>
    <w:rsid w:val="00D65742"/>
    <w:rsid w:val="00D65E17"/>
    <w:rsid w:val="00D67CF6"/>
    <w:rsid w:val="00D70964"/>
    <w:rsid w:val="00D712D3"/>
    <w:rsid w:val="00D71305"/>
    <w:rsid w:val="00D71422"/>
    <w:rsid w:val="00D71E6C"/>
    <w:rsid w:val="00D72DA9"/>
    <w:rsid w:val="00D72DC6"/>
    <w:rsid w:val="00D72DE5"/>
    <w:rsid w:val="00D7301F"/>
    <w:rsid w:val="00D7524E"/>
    <w:rsid w:val="00D7558D"/>
    <w:rsid w:val="00D756CC"/>
    <w:rsid w:val="00D75C64"/>
    <w:rsid w:val="00D77120"/>
    <w:rsid w:val="00D812B2"/>
    <w:rsid w:val="00D81410"/>
    <w:rsid w:val="00D8142B"/>
    <w:rsid w:val="00D81B89"/>
    <w:rsid w:val="00D81D92"/>
    <w:rsid w:val="00D83944"/>
    <w:rsid w:val="00D869C6"/>
    <w:rsid w:val="00D8754B"/>
    <w:rsid w:val="00D91D6C"/>
    <w:rsid w:val="00D92EBD"/>
    <w:rsid w:val="00D945C6"/>
    <w:rsid w:val="00D94994"/>
    <w:rsid w:val="00D976C9"/>
    <w:rsid w:val="00D97F4C"/>
    <w:rsid w:val="00DA09F4"/>
    <w:rsid w:val="00DA0E3D"/>
    <w:rsid w:val="00DA1363"/>
    <w:rsid w:val="00DA2E33"/>
    <w:rsid w:val="00DA3556"/>
    <w:rsid w:val="00DA3A11"/>
    <w:rsid w:val="00DA5A2B"/>
    <w:rsid w:val="00DA67BA"/>
    <w:rsid w:val="00DA7176"/>
    <w:rsid w:val="00DA7AB4"/>
    <w:rsid w:val="00DA7B5F"/>
    <w:rsid w:val="00DA7E9C"/>
    <w:rsid w:val="00DB1036"/>
    <w:rsid w:val="00DB1133"/>
    <w:rsid w:val="00DB26F8"/>
    <w:rsid w:val="00DB2CD4"/>
    <w:rsid w:val="00DB6809"/>
    <w:rsid w:val="00DB68D7"/>
    <w:rsid w:val="00DC08A6"/>
    <w:rsid w:val="00DC11E7"/>
    <w:rsid w:val="00DC3CDA"/>
    <w:rsid w:val="00DC3FA5"/>
    <w:rsid w:val="00DC582F"/>
    <w:rsid w:val="00DC5CC9"/>
    <w:rsid w:val="00DC7023"/>
    <w:rsid w:val="00DC70EA"/>
    <w:rsid w:val="00DC769A"/>
    <w:rsid w:val="00DD10AB"/>
    <w:rsid w:val="00DD1A23"/>
    <w:rsid w:val="00DD3D86"/>
    <w:rsid w:val="00DD4841"/>
    <w:rsid w:val="00DD54EA"/>
    <w:rsid w:val="00DD7768"/>
    <w:rsid w:val="00DE02C7"/>
    <w:rsid w:val="00DE0F68"/>
    <w:rsid w:val="00DE17C0"/>
    <w:rsid w:val="00DE1DD5"/>
    <w:rsid w:val="00DE1FF5"/>
    <w:rsid w:val="00DE2A3F"/>
    <w:rsid w:val="00DE3AB7"/>
    <w:rsid w:val="00DE5D98"/>
    <w:rsid w:val="00DE64AE"/>
    <w:rsid w:val="00DE7F06"/>
    <w:rsid w:val="00DF0961"/>
    <w:rsid w:val="00DF1EC4"/>
    <w:rsid w:val="00DF3483"/>
    <w:rsid w:val="00DF5AB4"/>
    <w:rsid w:val="00DF7139"/>
    <w:rsid w:val="00DF7DD3"/>
    <w:rsid w:val="00E0097F"/>
    <w:rsid w:val="00E0156C"/>
    <w:rsid w:val="00E0340B"/>
    <w:rsid w:val="00E037EC"/>
    <w:rsid w:val="00E046B0"/>
    <w:rsid w:val="00E04A90"/>
    <w:rsid w:val="00E07E14"/>
    <w:rsid w:val="00E1013D"/>
    <w:rsid w:val="00E12A4D"/>
    <w:rsid w:val="00E13398"/>
    <w:rsid w:val="00E13609"/>
    <w:rsid w:val="00E1362A"/>
    <w:rsid w:val="00E15AFE"/>
    <w:rsid w:val="00E160FD"/>
    <w:rsid w:val="00E16697"/>
    <w:rsid w:val="00E170BC"/>
    <w:rsid w:val="00E17705"/>
    <w:rsid w:val="00E219C7"/>
    <w:rsid w:val="00E23FF2"/>
    <w:rsid w:val="00E24A29"/>
    <w:rsid w:val="00E254EC"/>
    <w:rsid w:val="00E255BA"/>
    <w:rsid w:val="00E267EF"/>
    <w:rsid w:val="00E279AA"/>
    <w:rsid w:val="00E30C38"/>
    <w:rsid w:val="00E34E9F"/>
    <w:rsid w:val="00E35039"/>
    <w:rsid w:val="00E35676"/>
    <w:rsid w:val="00E368DD"/>
    <w:rsid w:val="00E36DFB"/>
    <w:rsid w:val="00E376CA"/>
    <w:rsid w:val="00E40E3B"/>
    <w:rsid w:val="00E41247"/>
    <w:rsid w:val="00E413FC"/>
    <w:rsid w:val="00E42B75"/>
    <w:rsid w:val="00E42F8F"/>
    <w:rsid w:val="00E43157"/>
    <w:rsid w:val="00E435E7"/>
    <w:rsid w:val="00E43F8B"/>
    <w:rsid w:val="00E46061"/>
    <w:rsid w:val="00E461CE"/>
    <w:rsid w:val="00E46BA6"/>
    <w:rsid w:val="00E46DF2"/>
    <w:rsid w:val="00E51468"/>
    <w:rsid w:val="00E516C7"/>
    <w:rsid w:val="00E52BAE"/>
    <w:rsid w:val="00E54DF6"/>
    <w:rsid w:val="00E551BA"/>
    <w:rsid w:val="00E57A44"/>
    <w:rsid w:val="00E63317"/>
    <w:rsid w:val="00E64BC4"/>
    <w:rsid w:val="00E64D1B"/>
    <w:rsid w:val="00E64D61"/>
    <w:rsid w:val="00E67945"/>
    <w:rsid w:val="00E70B4B"/>
    <w:rsid w:val="00E712C7"/>
    <w:rsid w:val="00E71C32"/>
    <w:rsid w:val="00E71F0D"/>
    <w:rsid w:val="00E720CA"/>
    <w:rsid w:val="00E7291D"/>
    <w:rsid w:val="00E72FBE"/>
    <w:rsid w:val="00E75290"/>
    <w:rsid w:val="00E75BF5"/>
    <w:rsid w:val="00E76B54"/>
    <w:rsid w:val="00E778D2"/>
    <w:rsid w:val="00E80221"/>
    <w:rsid w:val="00E807F0"/>
    <w:rsid w:val="00E81057"/>
    <w:rsid w:val="00E81EEE"/>
    <w:rsid w:val="00E82A98"/>
    <w:rsid w:val="00E83CB2"/>
    <w:rsid w:val="00E84520"/>
    <w:rsid w:val="00E84C64"/>
    <w:rsid w:val="00E84EB5"/>
    <w:rsid w:val="00E85662"/>
    <w:rsid w:val="00E8765E"/>
    <w:rsid w:val="00E8789F"/>
    <w:rsid w:val="00E87914"/>
    <w:rsid w:val="00E913E0"/>
    <w:rsid w:val="00E9277B"/>
    <w:rsid w:val="00E944BB"/>
    <w:rsid w:val="00E95184"/>
    <w:rsid w:val="00E96766"/>
    <w:rsid w:val="00E97B71"/>
    <w:rsid w:val="00EA20EE"/>
    <w:rsid w:val="00EA3D34"/>
    <w:rsid w:val="00EA47EE"/>
    <w:rsid w:val="00EA52A1"/>
    <w:rsid w:val="00EA72D5"/>
    <w:rsid w:val="00EA7CE3"/>
    <w:rsid w:val="00EB1BA9"/>
    <w:rsid w:val="00EB28E9"/>
    <w:rsid w:val="00EB3B1E"/>
    <w:rsid w:val="00EB3BA5"/>
    <w:rsid w:val="00EB3EC8"/>
    <w:rsid w:val="00EB425B"/>
    <w:rsid w:val="00EB454D"/>
    <w:rsid w:val="00EB4B2D"/>
    <w:rsid w:val="00EB5245"/>
    <w:rsid w:val="00EB5260"/>
    <w:rsid w:val="00EB6E5F"/>
    <w:rsid w:val="00EC1932"/>
    <w:rsid w:val="00EC3847"/>
    <w:rsid w:val="00EC5609"/>
    <w:rsid w:val="00EC63E8"/>
    <w:rsid w:val="00EC6C1F"/>
    <w:rsid w:val="00EC7078"/>
    <w:rsid w:val="00EC781C"/>
    <w:rsid w:val="00EC7ECC"/>
    <w:rsid w:val="00EC7F15"/>
    <w:rsid w:val="00ED01DC"/>
    <w:rsid w:val="00ED19E4"/>
    <w:rsid w:val="00ED3E67"/>
    <w:rsid w:val="00ED4052"/>
    <w:rsid w:val="00ED535D"/>
    <w:rsid w:val="00ED5B00"/>
    <w:rsid w:val="00ED62E3"/>
    <w:rsid w:val="00ED71B7"/>
    <w:rsid w:val="00ED75F3"/>
    <w:rsid w:val="00ED76BE"/>
    <w:rsid w:val="00ED7E7D"/>
    <w:rsid w:val="00EE08FD"/>
    <w:rsid w:val="00EE0A4A"/>
    <w:rsid w:val="00EE0ACA"/>
    <w:rsid w:val="00EE0FE5"/>
    <w:rsid w:val="00EE3F98"/>
    <w:rsid w:val="00EE6554"/>
    <w:rsid w:val="00EF0B3E"/>
    <w:rsid w:val="00EF0FDA"/>
    <w:rsid w:val="00EF2ACB"/>
    <w:rsid w:val="00EF553F"/>
    <w:rsid w:val="00EF55A2"/>
    <w:rsid w:val="00EF55ED"/>
    <w:rsid w:val="00EF5BAA"/>
    <w:rsid w:val="00EF5C96"/>
    <w:rsid w:val="00EF619B"/>
    <w:rsid w:val="00EF7DDB"/>
    <w:rsid w:val="00F00B55"/>
    <w:rsid w:val="00F011C1"/>
    <w:rsid w:val="00F01D10"/>
    <w:rsid w:val="00F02801"/>
    <w:rsid w:val="00F02AD1"/>
    <w:rsid w:val="00F03E85"/>
    <w:rsid w:val="00F052FA"/>
    <w:rsid w:val="00F061A1"/>
    <w:rsid w:val="00F12E51"/>
    <w:rsid w:val="00F1313B"/>
    <w:rsid w:val="00F13A02"/>
    <w:rsid w:val="00F14952"/>
    <w:rsid w:val="00F15868"/>
    <w:rsid w:val="00F169C5"/>
    <w:rsid w:val="00F17678"/>
    <w:rsid w:val="00F1767B"/>
    <w:rsid w:val="00F17D0D"/>
    <w:rsid w:val="00F2152E"/>
    <w:rsid w:val="00F21ECC"/>
    <w:rsid w:val="00F2296E"/>
    <w:rsid w:val="00F230DA"/>
    <w:rsid w:val="00F24C42"/>
    <w:rsid w:val="00F24C74"/>
    <w:rsid w:val="00F253CC"/>
    <w:rsid w:val="00F25446"/>
    <w:rsid w:val="00F26708"/>
    <w:rsid w:val="00F26921"/>
    <w:rsid w:val="00F27D1F"/>
    <w:rsid w:val="00F27F2C"/>
    <w:rsid w:val="00F30368"/>
    <w:rsid w:val="00F30768"/>
    <w:rsid w:val="00F30888"/>
    <w:rsid w:val="00F319D0"/>
    <w:rsid w:val="00F33DA0"/>
    <w:rsid w:val="00F34321"/>
    <w:rsid w:val="00F34E3F"/>
    <w:rsid w:val="00F363D3"/>
    <w:rsid w:val="00F37106"/>
    <w:rsid w:val="00F42183"/>
    <w:rsid w:val="00F42A5E"/>
    <w:rsid w:val="00F43697"/>
    <w:rsid w:val="00F448EE"/>
    <w:rsid w:val="00F44CAB"/>
    <w:rsid w:val="00F47B54"/>
    <w:rsid w:val="00F50BBC"/>
    <w:rsid w:val="00F51010"/>
    <w:rsid w:val="00F519CF"/>
    <w:rsid w:val="00F51D27"/>
    <w:rsid w:val="00F52AAF"/>
    <w:rsid w:val="00F52C8E"/>
    <w:rsid w:val="00F55907"/>
    <w:rsid w:val="00F55DE7"/>
    <w:rsid w:val="00F568D7"/>
    <w:rsid w:val="00F569E1"/>
    <w:rsid w:val="00F56BA5"/>
    <w:rsid w:val="00F60D9C"/>
    <w:rsid w:val="00F60E22"/>
    <w:rsid w:val="00F61771"/>
    <w:rsid w:val="00F65FA6"/>
    <w:rsid w:val="00F6639D"/>
    <w:rsid w:val="00F664CD"/>
    <w:rsid w:val="00F666E4"/>
    <w:rsid w:val="00F66F31"/>
    <w:rsid w:val="00F66F87"/>
    <w:rsid w:val="00F672E6"/>
    <w:rsid w:val="00F7002B"/>
    <w:rsid w:val="00F70C3A"/>
    <w:rsid w:val="00F71BE2"/>
    <w:rsid w:val="00F725C2"/>
    <w:rsid w:val="00F73817"/>
    <w:rsid w:val="00F74B21"/>
    <w:rsid w:val="00F74B2C"/>
    <w:rsid w:val="00F7577F"/>
    <w:rsid w:val="00F759A8"/>
    <w:rsid w:val="00F77613"/>
    <w:rsid w:val="00F77CFD"/>
    <w:rsid w:val="00F8002E"/>
    <w:rsid w:val="00F809CA"/>
    <w:rsid w:val="00F81395"/>
    <w:rsid w:val="00F81404"/>
    <w:rsid w:val="00F830CC"/>
    <w:rsid w:val="00F84012"/>
    <w:rsid w:val="00F8472B"/>
    <w:rsid w:val="00F84EB8"/>
    <w:rsid w:val="00F85DF6"/>
    <w:rsid w:val="00F86DF8"/>
    <w:rsid w:val="00F87213"/>
    <w:rsid w:val="00F9169A"/>
    <w:rsid w:val="00F917D1"/>
    <w:rsid w:val="00F91ED2"/>
    <w:rsid w:val="00F92CBC"/>
    <w:rsid w:val="00F9351F"/>
    <w:rsid w:val="00F94F2D"/>
    <w:rsid w:val="00F9653B"/>
    <w:rsid w:val="00F97DF6"/>
    <w:rsid w:val="00FA21AD"/>
    <w:rsid w:val="00FA4569"/>
    <w:rsid w:val="00FA4605"/>
    <w:rsid w:val="00FA47E8"/>
    <w:rsid w:val="00FA4DAA"/>
    <w:rsid w:val="00FA52DE"/>
    <w:rsid w:val="00FA5A0F"/>
    <w:rsid w:val="00FA5F18"/>
    <w:rsid w:val="00FA6A10"/>
    <w:rsid w:val="00FB1307"/>
    <w:rsid w:val="00FB2A16"/>
    <w:rsid w:val="00FB42AB"/>
    <w:rsid w:val="00FB4694"/>
    <w:rsid w:val="00FB527C"/>
    <w:rsid w:val="00FB542E"/>
    <w:rsid w:val="00FB61F6"/>
    <w:rsid w:val="00FB62CF"/>
    <w:rsid w:val="00FB7039"/>
    <w:rsid w:val="00FB7A7E"/>
    <w:rsid w:val="00FC0347"/>
    <w:rsid w:val="00FC1217"/>
    <w:rsid w:val="00FC1734"/>
    <w:rsid w:val="00FC1D50"/>
    <w:rsid w:val="00FC20D7"/>
    <w:rsid w:val="00FC2D46"/>
    <w:rsid w:val="00FC32F4"/>
    <w:rsid w:val="00FC33E1"/>
    <w:rsid w:val="00FC44CC"/>
    <w:rsid w:val="00FC5555"/>
    <w:rsid w:val="00FC5749"/>
    <w:rsid w:val="00FC598E"/>
    <w:rsid w:val="00FC72CE"/>
    <w:rsid w:val="00FD045C"/>
    <w:rsid w:val="00FD16FA"/>
    <w:rsid w:val="00FD3704"/>
    <w:rsid w:val="00FD3C3B"/>
    <w:rsid w:val="00FD4BBA"/>
    <w:rsid w:val="00FD65F6"/>
    <w:rsid w:val="00FD69FF"/>
    <w:rsid w:val="00FD6AD2"/>
    <w:rsid w:val="00FD7742"/>
    <w:rsid w:val="00FD781E"/>
    <w:rsid w:val="00FE34D6"/>
    <w:rsid w:val="00FE3C3E"/>
    <w:rsid w:val="00FE3E2B"/>
    <w:rsid w:val="00FE4D5D"/>
    <w:rsid w:val="00FE6160"/>
    <w:rsid w:val="00FE6B45"/>
    <w:rsid w:val="00FE7FA4"/>
    <w:rsid w:val="00FF028F"/>
    <w:rsid w:val="00FF1817"/>
    <w:rsid w:val="00FF1AA0"/>
    <w:rsid w:val="00FF453C"/>
    <w:rsid w:val="00FF55F3"/>
    <w:rsid w:val="00FF5851"/>
    <w:rsid w:val="00FF59B9"/>
    <w:rsid w:val="00FF5D34"/>
    <w:rsid w:val="00FF64E6"/>
    <w:rsid w:val="00FF67DF"/>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customStyle="1" w:styleId="LightList-Accent51">
    <w:name w:val="Light List - Accent 51"/>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D81D92"/>
    <w:rPr>
      <w:rFonts w:ascii="Cambria" w:eastAsia="MS Gothic" w:hAnsi="Cambria"/>
      <w:b/>
      <w:bCs/>
      <w:color w:val="365F91"/>
      <w:sz w:val="28"/>
      <w:szCs w:val="28"/>
      <w:bdr w:val="nil"/>
    </w:rPr>
  </w:style>
  <w:style w:type="table" w:styleId="ColorfulShading-Accent4">
    <w:name w:val="Colorful Shading Accent 4"/>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uiPriority w:val="99"/>
    <w:rsid w:val="001614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character" w:customStyle="1" w:styleId="BodyTextIndentChar">
    <w:name w:val="Body Text Indent Char"/>
    <w:link w:val="BodyTextIndent"/>
    <w:locked/>
    <w:rsid w:val="00161414"/>
    <w:rPr>
      <w:rFonts w:eastAsia="Times New Roman"/>
      <w:color w:val="000000"/>
      <w:sz w:val="24"/>
      <w:szCs w:val="24"/>
      <w:u w:color="000000"/>
      <w:lang w:val="es-ES_tradnl"/>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locked/>
    <w:rsid w:val="0089339B"/>
    <w:rPr>
      <w:rFonts w:ascii="Univers" w:hAnsi="Univers"/>
    </w:rPr>
  </w:style>
  <w:style w:type="character" w:customStyle="1" w:styleId="BodyTextIndentChar1">
    <w:name w:val="Body Text Indent Char1"/>
    <w:locked/>
    <w:rsid w:val="001D0061"/>
    <w:rPr>
      <w:rFonts w:eastAsia="Times New Roman"/>
      <w:color w:val="000000"/>
      <w:sz w:val="24"/>
      <w:szCs w:val="24"/>
      <w:u w:color="000000"/>
      <w:lang w:val="es-ES_tradnl"/>
    </w:rPr>
  </w:style>
  <w:style w:type="character" w:customStyle="1" w:styleId="apple-converted-space">
    <w:name w:val="apple-converted-space"/>
    <w:rsid w:val="003122CD"/>
  </w:style>
  <w:style w:type="paragraph" w:customStyle="1" w:styleId="MediumList2-Accent41">
    <w:name w:val="Medium List 2 - Accent 41"/>
    <w:basedOn w:val="Normal"/>
    <w:uiPriority w:val="72"/>
    <w:qFormat/>
    <w:rsid w:val="00947322"/>
    <w:pPr>
      <w:ind w:left="720"/>
    </w:pPr>
  </w:style>
  <w:style w:type="character" w:styleId="CommentReference">
    <w:name w:val="annotation reference"/>
    <w:uiPriority w:val="99"/>
    <w:semiHidden/>
    <w:unhideWhenUsed/>
    <w:rsid w:val="008520A5"/>
    <w:rPr>
      <w:sz w:val="16"/>
      <w:szCs w:val="16"/>
    </w:rPr>
  </w:style>
  <w:style w:type="paragraph" w:styleId="CommentText">
    <w:name w:val="annotation text"/>
    <w:basedOn w:val="Normal"/>
    <w:link w:val="CommentTextChar"/>
    <w:uiPriority w:val="99"/>
    <w:semiHidden/>
    <w:unhideWhenUsed/>
    <w:rsid w:val="008520A5"/>
    <w:rPr>
      <w:sz w:val="20"/>
      <w:szCs w:val="20"/>
    </w:rPr>
  </w:style>
  <w:style w:type="character" w:customStyle="1" w:styleId="CommentTextChar">
    <w:name w:val="Comment Text Char"/>
    <w:link w:val="CommentText"/>
    <w:uiPriority w:val="99"/>
    <w:semiHidden/>
    <w:rsid w:val="008520A5"/>
    <w:rPr>
      <w:bdr w:val="nil"/>
    </w:rPr>
  </w:style>
  <w:style w:type="paragraph" w:styleId="CommentSubject">
    <w:name w:val="annotation subject"/>
    <w:basedOn w:val="CommentText"/>
    <w:next w:val="CommentText"/>
    <w:link w:val="CommentSubjectChar"/>
    <w:uiPriority w:val="99"/>
    <w:semiHidden/>
    <w:unhideWhenUsed/>
    <w:rsid w:val="008520A5"/>
    <w:rPr>
      <w:b/>
      <w:bCs/>
    </w:rPr>
  </w:style>
  <w:style w:type="character" w:customStyle="1" w:styleId="CommentSubjectChar">
    <w:name w:val="Comment Subject Char"/>
    <w:link w:val="CommentSubject"/>
    <w:uiPriority w:val="99"/>
    <w:semiHidden/>
    <w:rsid w:val="008520A5"/>
    <w:rPr>
      <w:b/>
      <w:bCs/>
      <w:bdr w:val="nil"/>
    </w:rPr>
  </w:style>
  <w:style w:type="paragraph" w:customStyle="1" w:styleId="MediumList1-Accent41">
    <w:name w:val="Medium List 1 - Accent 41"/>
    <w:hidden/>
    <w:uiPriority w:val="99"/>
    <w:semiHidden/>
    <w:rsid w:val="000A16F3"/>
    <w:rPr>
      <w:sz w:val="24"/>
      <w:szCs w:val="24"/>
      <w:bdr w:val="nil"/>
    </w:rPr>
  </w:style>
  <w:style w:type="paragraph" w:customStyle="1" w:styleId="ColorfulShading-Accent31">
    <w:name w:val="Colorful Shading - Accent 31"/>
    <w:basedOn w:val="Normal"/>
    <w:uiPriority w:val="72"/>
    <w:qFormat/>
    <w:rsid w:val="003D06FB"/>
    <w:pPr>
      <w:ind w:left="720"/>
    </w:pPr>
  </w:style>
  <w:style w:type="paragraph" w:customStyle="1" w:styleId="LightGrid-Accent31">
    <w:name w:val="Light Grid - Accent 31"/>
    <w:basedOn w:val="Normal"/>
    <w:uiPriority w:val="72"/>
    <w:qFormat/>
    <w:rsid w:val="00572624"/>
    <w:pPr>
      <w:ind w:left="720"/>
    </w:pPr>
  </w:style>
  <w:style w:type="paragraph" w:customStyle="1" w:styleId="MediumGrid1-Accent21">
    <w:name w:val="Medium Grid 1 - Accent 21"/>
    <w:basedOn w:val="Normal"/>
    <w:uiPriority w:val="72"/>
    <w:qFormat/>
    <w:rsid w:val="00A03648"/>
    <w:pPr>
      <w:ind w:left="720"/>
    </w:pPr>
  </w:style>
  <w:style w:type="paragraph" w:customStyle="1" w:styleId="ColorfulList-Accent11">
    <w:name w:val="Colorful List - Accent 11"/>
    <w:basedOn w:val="Normal"/>
    <w:uiPriority w:val="72"/>
    <w:qFormat/>
    <w:rsid w:val="00CB5425"/>
    <w:pPr>
      <w:ind w:left="720"/>
    </w:pPr>
  </w:style>
  <w:style w:type="character" w:styleId="Emphasis">
    <w:name w:val="Emphasis"/>
    <w:uiPriority w:val="20"/>
    <w:qFormat/>
    <w:rsid w:val="009455B1"/>
    <w:rPr>
      <w:i/>
      <w:iCs/>
    </w:rPr>
  </w:style>
  <w:style w:type="character" w:styleId="Strong">
    <w:name w:val="Strong"/>
    <w:uiPriority w:val="22"/>
    <w:qFormat/>
    <w:rsid w:val="004008F4"/>
    <w:rPr>
      <w:b/>
      <w:bCs/>
    </w:rPr>
  </w:style>
  <w:style w:type="paragraph" w:styleId="DocumentMap">
    <w:name w:val="Document Map"/>
    <w:basedOn w:val="Normal"/>
    <w:link w:val="DocumentMapChar"/>
    <w:uiPriority w:val="99"/>
    <w:semiHidden/>
    <w:unhideWhenUsed/>
    <w:rsid w:val="00F51010"/>
  </w:style>
  <w:style w:type="character" w:customStyle="1" w:styleId="DocumentMapChar">
    <w:name w:val="Document Map Char"/>
    <w:link w:val="DocumentMap"/>
    <w:uiPriority w:val="99"/>
    <w:semiHidden/>
    <w:rsid w:val="00F51010"/>
    <w:rPr>
      <w:sz w:val="24"/>
      <w:szCs w:val="24"/>
      <w:bdr w:val="nil"/>
    </w:rPr>
  </w:style>
  <w:style w:type="paragraph" w:customStyle="1" w:styleId="ColorfulShading-Accent11">
    <w:name w:val="Colorful Shading - Accent 11"/>
    <w:hidden/>
    <w:uiPriority w:val="99"/>
    <w:semiHidden/>
    <w:rsid w:val="00F51010"/>
    <w:rPr>
      <w:sz w:val="24"/>
      <w:szCs w:val="24"/>
      <w:bdr w:val="nil"/>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B179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bdr w:val="none" w:sz="0" w:space="0" w:color="auto"/>
      <w:vertAlign w:val="superscript"/>
    </w:rPr>
  </w:style>
  <w:style w:type="paragraph" w:styleId="ListParagraph">
    <w:name w:val="List Paragraph"/>
    <w:basedOn w:val="Normal"/>
    <w:uiPriority w:val="34"/>
    <w:qFormat/>
    <w:rsid w:val="00984F78"/>
    <w:pPr>
      <w:ind w:left="720"/>
    </w:pPr>
  </w:style>
  <w:style w:type="paragraph" w:customStyle="1" w:styleId="Listavistosa-nfasis11">
    <w:name w:val="Lista vistosa - Énfasis 11"/>
    <w:aliases w:val="Párrafo de lista1,List Paragraph1,List Paragraph11,List Paragraph2"/>
    <w:basedOn w:val="Normal"/>
    <w:qFormat/>
    <w:rsid w:val="00C94536"/>
    <w:pPr>
      <w:ind w:left="720"/>
    </w:pPr>
  </w:style>
  <w:style w:type="paragraph" w:customStyle="1" w:styleId="Footnotes">
    <w:name w:val="Footnotes"/>
    <w:basedOn w:val="FootnoteText"/>
    <w:autoRedefine/>
    <w:qFormat/>
    <w:rsid w:val="00FD7742"/>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09"/>
      <w:jc w:val="both"/>
    </w:pPr>
    <w:rPr>
      <w:rFonts w:ascii="Cambria" w:eastAsia="Times New Roman" w:hAnsi="Cambria" w:cs="Times New Roman"/>
      <w:color w:val="auto"/>
      <w:sz w:val="16"/>
      <w:szCs w:val="18"/>
      <w:bdr w:val="none" w:sz="0" w:space="0" w:color="auto"/>
      <w:lang w:val="es-ES_tradnl" w:eastAsia="x-none"/>
    </w:rPr>
  </w:style>
  <w:style w:type="paragraph" w:customStyle="1" w:styleId="Char2">
    <w:name w:val="Char2"/>
    <w:basedOn w:val="Normal"/>
    <w:uiPriority w:val="99"/>
    <w:rsid w:val="00A05A0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bdr w:val="none" w:sz="0" w:space="0" w:color="auto"/>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customStyle="1" w:styleId="LightList-Accent51">
    <w:name w:val="Light List - Accent 51"/>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D81D92"/>
    <w:rPr>
      <w:rFonts w:ascii="Cambria" w:eastAsia="MS Gothic" w:hAnsi="Cambria"/>
      <w:b/>
      <w:bCs/>
      <w:color w:val="365F91"/>
      <w:sz w:val="28"/>
      <w:szCs w:val="28"/>
      <w:bdr w:val="nil"/>
    </w:rPr>
  </w:style>
  <w:style w:type="table" w:styleId="ColorfulShading-Accent4">
    <w:name w:val="Colorful Shading Accent 4"/>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uiPriority w:val="99"/>
    <w:rsid w:val="001614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character" w:customStyle="1" w:styleId="BodyTextIndentChar">
    <w:name w:val="Body Text Indent Char"/>
    <w:link w:val="BodyTextIndent"/>
    <w:locked/>
    <w:rsid w:val="00161414"/>
    <w:rPr>
      <w:rFonts w:eastAsia="Times New Roman"/>
      <w:color w:val="000000"/>
      <w:sz w:val="24"/>
      <w:szCs w:val="24"/>
      <w:u w:color="000000"/>
      <w:lang w:val="es-ES_tradnl"/>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locked/>
    <w:rsid w:val="0089339B"/>
    <w:rPr>
      <w:rFonts w:ascii="Univers" w:hAnsi="Univers"/>
    </w:rPr>
  </w:style>
  <w:style w:type="character" w:customStyle="1" w:styleId="BodyTextIndentChar1">
    <w:name w:val="Body Text Indent Char1"/>
    <w:locked/>
    <w:rsid w:val="001D0061"/>
    <w:rPr>
      <w:rFonts w:eastAsia="Times New Roman"/>
      <w:color w:val="000000"/>
      <w:sz w:val="24"/>
      <w:szCs w:val="24"/>
      <w:u w:color="000000"/>
      <w:lang w:val="es-ES_tradnl"/>
    </w:rPr>
  </w:style>
  <w:style w:type="character" w:customStyle="1" w:styleId="apple-converted-space">
    <w:name w:val="apple-converted-space"/>
    <w:rsid w:val="003122CD"/>
  </w:style>
  <w:style w:type="paragraph" w:customStyle="1" w:styleId="MediumList2-Accent41">
    <w:name w:val="Medium List 2 - Accent 41"/>
    <w:basedOn w:val="Normal"/>
    <w:uiPriority w:val="72"/>
    <w:qFormat/>
    <w:rsid w:val="00947322"/>
    <w:pPr>
      <w:ind w:left="720"/>
    </w:pPr>
  </w:style>
  <w:style w:type="character" w:styleId="CommentReference">
    <w:name w:val="annotation reference"/>
    <w:uiPriority w:val="99"/>
    <w:semiHidden/>
    <w:unhideWhenUsed/>
    <w:rsid w:val="008520A5"/>
    <w:rPr>
      <w:sz w:val="16"/>
      <w:szCs w:val="16"/>
    </w:rPr>
  </w:style>
  <w:style w:type="paragraph" w:styleId="CommentText">
    <w:name w:val="annotation text"/>
    <w:basedOn w:val="Normal"/>
    <w:link w:val="CommentTextChar"/>
    <w:uiPriority w:val="99"/>
    <w:semiHidden/>
    <w:unhideWhenUsed/>
    <w:rsid w:val="008520A5"/>
    <w:rPr>
      <w:sz w:val="20"/>
      <w:szCs w:val="20"/>
    </w:rPr>
  </w:style>
  <w:style w:type="character" w:customStyle="1" w:styleId="CommentTextChar">
    <w:name w:val="Comment Text Char"/>
    <w:link w:val="CommentText"/>
    <w:uiPriority w:val="99"/>
    <w:semiHidden/>
    <w:rsid w:val="008520A5"/>
    <w:rPr>
      <w:bdr w:val="nil"/>
    </w:rPr>
  </w:style>
  <w:style w:type="paragraph" w:styleId="CommentSubject">
    <w:name w:val="annotation subject"/>
    <w:basedOn w:val="CommentText"/>
    <w:next w:val="CommentText"/>
    <w:link w:val="CommentSubjectChar"/>
    <w:uiPriority w:val="99"/>
    <w:semiHidden/>
    <w:unhideWhenUsed/>
    <w:rsid w:val="008520A5"/>
    <w:rPr>
      <w:b/>
      <w:bCs/>
    </w:rPr>
  </w:style>
  <w:style w:type="character" w:customStyle="1" w:styleId="CommentSubjectChar">
    <w:name w:val="Comment Subject Char"/>
    <w:link w:val="CommentSubject"/>
    <w:uiPriority w:val="99"/>
    <w:semiHidden/>
    <w:rsid w:val="008520A5"/>
    <w:rPr>
      <w:b/>
      <w:bCs/>
      <w:bdr w:val="nil"/>
    </w:rPr>
  </w:style>
  <w:style w:type="paragraph" w:customStyle="1" w:styleId="MediumList1-Accent41">
    <w:name w:val="Medium List 1 - Accent 41"/>
    <w:hidden/>
    <w:uiPriority w:val="99"/>
    <w:semiHidden/>
    <w:rsid w:val="000A16F3"/>
    <w:rPr>
      <w:sz w:val="24"/>
      <w:szCs w:val="24"/>
      <w:bdr w:val="nil"/>
    </w:rPr>
  </w:style>
  <w:style w:type="paragraph" w:customStyle="1" w:styleId="ColorfulShading-Accent31">
    <w:name w:val="Colorful Shading - Accent 31"/>
    <w:basedOn w:val="Normal"/>
    <w:uiPriority w:val="72"/>
    <w:qFormat/>
    <w:rsid w:val="003D06FB"/>
    <w:pPr>
      <w:ind w:left="720"/>
    </w:pPr>
  </w:style>
  <w:style w:type="paragraph" w:customStyle="1" w:styleId="LightGrid-Accent31">
    <w:name w:val="Light Grid - Accent 31"/>
    <w:basedOn w:val="Normal"/>
    <w:uiPriority w:val="72"/>
    <w:qFormat/>
    <w:rsid w:val="00572624"/>
    <w:pPr>
      <w:ind w:left="720"/>
    </w:pPr>
  </w:style>
  <w:style w:type="paragraph" w:customStyle="1" w:styleId="MediumGrid1-Accent21">
    <w:name w:val="Medium Grid 1 - Accent 21"/>
    <w:basedOn w:val="Normal"/>
    <w:uiPriority w:val="72"/>
    <w:qFormat/>
    <w:rsid w:val="00A03648"/>
    <w:pPr>
      <w:ind w:left="720"/>
    </w:pPr>
  </w:style>
  <w:style w:type="paragraph" w:customStyle="1" w:styleId="ColorfulList-Accent11">
    <w:name w:val="Colorful List - Accent 11"/>
    <w:basedOn w:val="Normal"/>
    <w:uiPriority w:val="72"/>
    <w:qFormat/>
    <w:rsid w:val="00CB5425"/>
    <w:pPr>
      <w:ind w:left="720"/>
    </w:pPr>
  </w:style>
  <w:style w:type="character" w:styleId="Emphasis">
    <w:name w:val="Emphasis"/>
    <w:uiPriority w:val="20"/>
    <w:qFormat/>
    <w:rsid w:val="009455B1"/>
    <w:rPr>
      <w:i/>
      <w:iCs/>
    </w:rPr>
  </w:style>
  <w:style w:type="character" w:styleId="Strong">
    <w:name w:val="Strong"/>
    <w:uiPriority w:val="22"/>
    <w:qFormat/>
    <w:rsid w:val="004008F4"/>
    <w:rPr>
      <w:b/>
      <w:bCs/>
    </w:rPr>
  </w:style>
  <w:style w:type="paragraph" w:styleId="DocumentMap">
    <w:name w:val="Document Map"/>
    <w:basedOn w:val="Normal"/>
    <w:link w:val="DocumentMapChar"/>
    <w:uiPriority w:val="99"/>
    <w:semiHidden/>
    <w:unhideWhenUsed/>
    <w:rsid w:val="00F51010"/>
  </w:style>
  <w:style w:type="character" w:customStyle="1" w:styleId="DocumentMapChar">
    <w:name w:val="Document Map Char"/>
    <w:link w:val="DocumentMap"/>
    <w:uiPriority w:val="99"/>
    <w:semiHidden/>
    <w:rsid w:val="00F51010"/>
    <w:rPr>
      <w:sz w:val="24"/>
      <w:szCs w:val="24"/>
      <w:bdr w:val="nil"/>
    </w:rPr>
  </w:style>
  <w:style w:type="paragraph" w:customStyle="1" w:styleId="ColorfulShading-Accent11">
    <w:name w:val="Colorful Shading - Accent 11"/>
    <w:hidden/>
    <w:uiPriority w:val="99"/>
    <w:semiHidden/>
    <w:rsid w:val="00F51010"/>
    <w:rPr>
      <w:sz w:val="24"/>
      <w:szCs w:val="24"/>
      <w:bdr w:val="nil"/>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B179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bdr w:val="none" w:sz="0" w:space="0" w:color="auto"/>
      <w:vertAlign w:val="superscript"/>
    </w:rPr>
  </w:style>
  <w:style w:type="paragraph" w:styleId="ListParagraph">
    <w:name w:val="List Paragraph"/>
    <w:basedOn w:val="Normal"/>
    <w:uiPriority w:val="34"/>
    <w:qFormat/>
    <w:rsid w:val="00984F78"/>
    <w:pPr>
      <w:ind w:left="720"/>
    </w:pPr>
  </w:style>
  <w:style w:type="paragraph" w:customStyle="1" w:styleId="Listavistosa-nfasis11">
    <w:name w:val="Lista vistosa - Énfasis 11"/>
    <w:aliases w:val="Párrafo de lista1,List Paragraph1,List Paragraph11,List Paragraph2"/>
    <w:basedOn w:val="Normal"/>
    <w:qFormat/>
    <w:rsid w:val="00C94536"/>
    <w:pPr>
      <w:ind w:left="720"/>
    </w:pPr>
  </w:style>
  <w:style w:type="paragraph" w:customStyle="1" w:styleId="Footnotes">
    <w:name w:val="Footnotes"/>
    <w:basedOn w:val="FootnoteText"/>
    <w:autoRedefine/>
    <w:qFormat/>
    <w:rsid w:val="00FD7742"/>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09"/>
      <w:jc w:val="both"/>
    </w:pPr>
    <w:rPr>
      <w:rFonts w:ascii="Cambria" w:eastAsia="Times New Roman" w:hAnsi="Cambria" w:cs="Times New Roman"/>
      <w:color w:val="auto"/>
      <w:sz w:val="16"/>
      <w:szCs w:val="18"/>
      <w:bdr w:val="none" w:sz="0" w:space="0" w:color="auto"/>
      <w:lang w:val="es-ES_tradnl" w:eastAsia="x-none"/>
    </w:rPr>
  </w:style>
  <w:style w:type="paragraph" w:customStyle="1" w:styleId="Char2">
    <w:name w:val="Char2"/>
    <w:basedOn w:val="Normal"/>
    <w:uiPriority w:val="99"/>
    <w:rsid w:val="00A05A0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bdr w:val="none" w:sz="0" w:space="0" w:color="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1820">
      <w:bodyDiv w:val="1"/>
      <w:marLeft w:val="0"/>
      <w:marRight w:val="0"/>
      <w:marTop w:val="0"/>
      <w:marBottom w:val="0"/>
      <w:divBdr>
        <w:top w:val="none" w:sz="0" w:space="0" w:color="auto"/>
        <w:left w:val="none" w:sz="0" w:space="0" w:color="auto"/>
        <w:bottom w:val="none" w:sz="0" w:space="0" w:color="auto"/>
        <w:right w:val="none" w:sz="0" w:space="0" w:color="auto"/>
      </w:divBdr>
    </w:div>
    <w:div w:id="227570173">
      <w:bodyDiv w:val="1"/>
      <w:marLeft w:val="0"/>
      <w:marRight w:val="0"/>
      <w:marTop w:val="0"/>
      <w:marBottom w:val="0"/>
      <w:divBdr>
        <w:top w:val="none" w:sz="0" w:space="0" w:color="auto"/>
        <w:left w:val="none" w:sz="0" w:space="0" w:color="auto"/>
        <w:bottom w:val="none" w:sz="0" w:space="0" w:color="auto"/>
        <w:right w:val="none" w:sz="0" w:space="0" w:color="auto"/>
      </w:divBdr>
    </w:div>
    <w:div w:id="257064036">
      <w:bodyDiv w:val="1"/>
      <w:marLeft w:val="0"/>
      <w:marRight w:val="0"/>
      <w:marTop w:val="0"/>
      <w:marBottom w:val="0"/>
      <w:divBdr>
        <w:top w:val="none" w:sz="0" w:space="0" w:color="auto"/>
        <w:left w:val="none" w:sz="0" w:space="0" w:color="auto"/>
        <w:bottom w:val="none" w:sz="0" w:space="0" w:color="auto"/>
        <w:right w:val="none" w:sz="0" w:space="0" w:color="auto"/>
      </w:divBdr>
    </w:div>
    <w:div w:id="390537910">
      <w:bodyDiv w:val="1"/>
      <w:marLeft w:val="0"/>
      <w:marRight w:val="0"/>
      <w:marTop w:val="0"/>
      <w:marBottom w:val="0"/>
      <w:divBdr>
        <w:top w:val="none" w:sz="0" w:space="0" w:color="auto"/>
        <w:left w:val="none" w:sz="0" w:space="0" w:color="auto"/>
        <w:bottom w:val="none" w:sz="0" w:space="0" w:color="auto"/>
        <w:right w:val="none" w:sz="0" w:space="0" w:color="auto"/>
      </w:divBdr>
    </w:div>
    <w:div w:id="734931854">
      <w:bodyDiv w:val="1"/>
      <w:marLeft w:val="0"/>
      <w:marRight w:val="0"/>
      <w:marTop w:val="0"/>
      <w:marBottom w:val="0"/>
      <w:divBdr>
        <w:top w:val="none" w:sz="0" w:space="0" w:color="auto"/>
        <w:left w:val="none" w:sz="0" w:space="0" w:color="auto"/>
        <w:bottom w:val="none" w:sz="0" w:space="0" w:color="auto"/>
        <w:right w:val="none" w:sz="0" w:space="0" w:color="auto"/>
      </w:divBdr>
    </w:div>
    <w:div w:id="883951426">
      <w:bodyDiv w:val="1"/>
      <w:marLeft w:val="0"/>
      <w:marRight w:val="0"/>
      <w:marTop w:val="0"/>
      <w:marBottom w:val="0"/>
      <w:divBdr>
        <w:top w:val="none" w:sz="0" w:space="0" w:color="auto"/>
        <w:left w:val="none" w:sz="0" w:space="0" w:color="auto"/>
        <w:bottom w:val="none" w:sz="0" w:space="0" w:color="auto"/>
        <w:right w:val="none" w:sz="0" w:space="0" w:color="auto"/>
      </w:divBdr>
    </w:div>
    <w:div w:id="977955099">
      <w:bodyDiv w:val="1"/>
      <w:marLeft w:val="0"/>
      <w:marRight w:val="0"/>
      <w:marTop w:val="0"/>
      <w:marBottom w:val="0"/>
      <w:divBdr>
        <w:top w:val="none" w:sz="0" w:space="0" w:color="auto"/>
        <w:left w:val="none" w:sz="0" w:space="0" w:color="auto"/>
        <w:bottom w:val="none" w:sz="0" w:space="0" w:color="auto"/>
        <w:right w:val="none" w:sz="0" w:space="0" w:color="auto"/>
      </w:divBdr>
    </w:div>
    <w:div w:id="999695248">
      <w:bodyDiv w:val="1"/>
      <w:marLeft w:val="0"/>
      <w:marRight w:val="0"/>
      <w:marTop w:val="0"/>
      <w:marBottom w:val="0"/>
      <w:divBdr>
        <w:top w:val="none" w:sz="0" w:space="0" w:color="auto"/>
        <w:left w:val="none" w:sz="0" w:space="0" w:color="auto"/>
        <w:bottom w:val="none" w:sz="0" w:space="0" w:color="auto"/>
        <w:right w:val="none" w:sz="0" w:space="0" w:color="auto"/>
      </w:divBdr>
    </w:div>
    <w:div w:id="1172836946">
      <w:bodyDiv w:val="1"/>
      <w:marLeft w:val="0"/>
      <w:marRight w:val="0"/>
      <w:marTop w:val="0"/>
      <w:marBottom w:val="0"/>
      <w:divBdr>
        <w:top w:val="none" w:sz="0" w:space="0" w:color="auto"/>
        <w:left w:val="none" w:sz="0" w:space="0" w:color="auto"/>
        <w:bottom w:val="none" w:sz="0" w:space="0" w:color="auto"/>
        <w:right w:val="none" w:sz="0" w:space="0" w:color="auto"/>
      </w:divBdr>
    </w:div>
    <w:div w:id="1204098108">
      <w:bodyDiv w:val="1"/>
      <w:marLeft w:val="0"/>
      <w:marRight w:val="0"/>
      <w:marTop w:val="0"/>
      <w:marBottom w:val="0"/>
      <w:divBdr>
        <w:top w:val="none" w:sz="0" w:space="0" w:color="auto"/>
        <w:left w:val="none" w:sz="0" w:space="0" w:color="auto"/>
        <w:bottom w:val="none" w:sz="0" w:space="0" w:color="auto"/>
        <w:right w:val="none" w:sz="0" w:space="0" w:color="auto"/>
      </w:divBdr>
    </w:div>
    <w:div w:id="1480345002">
      <w:bodyDiv w:val="1"/>
      <w:marLeft w:val="0"/>
      <w:marRight w:val="0"/>
      <w:marTop w:val="0"/>
      <w:marBottom w:val="0"/>
      <w:divBdr>
        <w:top w:val="none" w:sz="0" w:space="0" w:color="auto"/>
        <w:left w:val="none" w:sz="0" w:space="0" w:color="auto"/>
        <w:bottom w:val="none" w:sz="0" w:space="0" w:color="auto"/>
        <w:right w:val="none" w:sz="0" w:space="0" w:color="auto"/>
      </w:divBdr>
    </w:div>
    <w:div w:id="1543177878">
      <w:bodyDiv w:val="1"/>
      <w:marLeft w:val="0"/>
      <w:marRight w:val="0"/>
      <w:marTop w:val="0"/>
      <w:marBottom w:val="0"/>
      <w:divBdr>
        <w:top w:val="none" w:sz="0" w:space="0" w:color="auto"/>
        <w:left w:val="none" w:sz="0" w:space="0" w:color="auto"/>
        <w:bottom w:val="none" w:sz="0" w:space="0" w:color="auto"/>
        <w:right w:val="none" w:sz="0" w:space="0" w:color="auto"/>
      </w:divBdr>
    </w:div>
    <w:div w:id="164515684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1419154">
      <w:bodyDiv w:val="1"/>
      <w:marLeft w:val="0"/>
      <w:marRight w:val="0"/>
      <w:marTop w:val="0"/>
      <w:marBottom w:val="0"/>
      <w:divBdr>
        <w:top w:val="none" w:sz="0" w:space="0" w:color="auto"/>
        <w:left w:val="none" w:sz="0" w:space="0" w:color="auto"/>
        <w:bottom w:val="none" w:sz="0" w:space="0" w:color="auto"/>
        <w:right w:val="none" w:sz="0" w:space="0" w:color="auto"/>
      </w:divBdr>
    </w:div>
    <w:div w:id="1886411524">
      <w:bodyDiv w:val="1"/>
      <w:marLeft w:val="0"/>
      <w:marRight w:val="0"/>
      <w:marTop w:val="0"/>
      <w:marBottom w:val="0"/>
      <w:divBdr>
        <w:top w:val="none" w:sz="0" w:space="0" w:color="auto"/>
        <w:left w:val="none" w:sz="0" w:space="0" w:color="auto"/>
        <w:bottom w:val="none" w:sz="0" w:space="0" w:color="auto"/>
        <w:right w:val="none" w:sz="0" w:space="0" w:color="auto"/>
      </w:divBdr>
    </w:div>
    <w:div w:id="1982228059">
      <w:bodyDiv w:val="1"/>
      <w:marLeft w:val="0"/>
      <w:marRight w:val="0"/>
      <w:marTop w:val="0"/>
      <w:marBottom w:val="0"/>
      <w:divBdr>
        <w:top w:val="none" w:sz="0" w:space="0" w:color="auto"/>
        <w:left w:val="none" w:sz="0" w:space="0" w:color="auto"/>
        <w:bottom w:val="none" w:sz="0" w:space="0" w:color="auto"/>
        <w:right w:val="none" w:sz="0" w:space="0" w:color="auto"/>
      </w:divBdr>
    </w:div>
    <w:div w:id="209485890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8pG-hHzzZ-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0224B-F29D-4DAE-90D2-EAC3E637B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46</Pages>
  <Words>21855</Words>
  <Characters>120208</Characters>
  <Application>Microsoft Office Word</Application>
  <DocSecurity>0</DocSecurity>
  <Lines>1001</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141780</CharactersWithSpaces>
  <SharedDoc>false</SharedDoc>
  <HLinks>
    <vt:vector size="216" baseType="variant">
      <vt:variant>
        <vt:i4>1441841</vt:i4>
      </vt:variant>
      <vt:variant>
        <vt:i4>116</vt:i4>
      </vt:variant>
      <vt:variant>
        <vt:i4>0</vt:i4>
      </vt:variant>
      <vt:variant>
        <vt:i4>5</vt:i4>
      </vt:variant>
      <vt:variant>
        <vt:lpwstr/>
      </vt:variant>
      <vt:variant>
        <vt:lpwstr>_Toc525547518</vt:lpwstr>
      </vt:variant>
      <vt:variant>
        <vt:i4>1441841</vt:i4>
      </vt:variant>
      <vt:variant>
        <vt:i4>110</vt:i4>
      </vt:variant>
      <vt:variant>
        <vt:i4>0</vt:i4>
      </vt:variant>
      <vt:variant>
        <vt:i4>5</vt:i4>
      </vt:variant>
      <vt:variant>
        <vt:lpwstr/>
      </vt:variant>
      <vt:variant>
        <vt:lpwstr>_Toc525547517</vt:lpwstr>
      </vt:variant>
      <vt:variant>
        <vt:i4>1441841</vt:i4>
      </vt:variant>
      <vt:variant>
        <vt:i4>104</vt:i4>
      </vt:variant>
      <vt:variant>
        <vt:i4>0</vt:i4>
      </vt:variant>
      <vt:variant>
        <vt:i4>5</vt:i4>
      </vt:variant>
      <vt:variant>
        <vt:lpwstr/>
      </vt:variant>
      <vt:variant>
        <vt:lpwstr>_Toc525547516</vt:lpwstr>
      </vt:variant>
      <vt:variant>
        <vt:i4>1441841</vt:i4>
      </vt:variant>
      <vt:variant>
        <vt:i4>98</vt:i4>
      </vt:variant>
      <vt:variant>
        <vt:i4>0</vt:i4>
      </vt:variant>
      <vt:variant>
        <vt:i4>5</vt:i4>
      </vt:variant>
      <vt:variant>
        <vt:lpwstr/>
      </vt:variant>
      <vt:variant>
        <vt:lpwstr>_Toc525547515</vt:lpwstr>
      </vt:variant>
      <vt:variant>
        <vt:i4>1441841</vt:i4>
      </vt:variant>
      <vt:variant>
        <vt:i4>92</vt:i4>
      </vt:variant>
      <vt:variant>
        <vt:i4>0</vt:i4>
      </vt:variant>
      <vt:variant>
        <vt:i4>5</vt:i4>
      </vt:variant>
      <vt:variant>
        <vt:lpwstr/>
      </vt:variant>
      <vt:variant>
        <vt:lpwstr>_Toc525547511</vt:lpwstr>
      </vt:variant>
      <vt:variant>
        <vt:i4>1441841</vt:i4>
      </vt:variant>
      <vt:variant>
        <vt:i4>86</vt:i4>
      </vt:variant>
      <vt:variant>
        <vt:i4>0</vt:i4>
      </vt:variant>
      <vt:variant>
        <vt:i4>5</vt:i4>
      </vt:variant>
      <vt:variant>
        <vt:lpwstr/>
      </vt:variant>
      <vt:variant>
        <vt:lpwstr>_Toc525547510</vt:lpwstr>
      </vt:variant>
      <vt:variant>
        <vt:i4>1507377</vt:i4>
      </vt:variant>
      <vt:variant>
        <vt:i4>80</vt:i4>
      </vt:variant>
      <vt:variant>
        <vt:i4>0</vt:i4>
      </vt:variant>
      <vt:variant>
        <vt:i4>5</vt:i4>
      </vt:variant>
      <vt:variant>
        <vt:lpwstr/>
      </vt:variant>
      <vt:variant>
        <vt:lpwstr>_Toc525547509</vt:lpwstr>
      </vt:variant>
      <vt:variant>
        <vt:i4>1507377</vt:i4>
      </vt:variant>
      <vt:variant>
        <vt:i4>74</vt:i4>
      </vt:variant>
      <vt:variant>
        <vt:i4>0</vt:i4>
      </vt:variant>
      <vt:variant>
        <vt:i4>5</vt:i4>
      </vt:variant>
      <vt:variant>
        <vt:lpwstr/>
      </vt:variant>
      <vt:variant>
        <vt:lpwstr>_Toc525547508</vt:lpwstr>
      </vt:variant>
      <vt:variant>
        <vt:i4>1507377</vt:i4>
      </vt:variant>
      <vt:variant>
        <vt:i4>68</vt:i4>
      </vt:variant>
      <vt:variant>
        <vt:i4>0</vt:i4>
      </vt:variant>
      <vt:variant>
        <vt:i4>5</vt:i4>
      </vt:variant>
      <vt:variant>
        <vt:lpwstr/>
      </vt:variant>
      <vt:variant>
        <vt:lpwstr>_Toc525547507</vt:lpwstr>
      </vt:variant>
      <vt:variant>
        <vt:i4>1507377</vt:i4>
      </vt:variant>
      <vt:variant>
        <vt:i4>62</vt:i4>
      </vt:variant>
      <vt:variant>
        <vt:i4>0</vt:i4>
      </vt:variant>
      <vt:variant>
        <vt:i4>5</vt:i4>
      </vt:variant>
      <vt:variant>
        <vt:lpwstr/>
      </vt:variant>
      <vt:variant>
        <vt:lpwstr>_Toc525547506</vt:lpwstr>
      </vt:variant>
      <vt:variant>
        <vt:i4>1507377</vt:i4>
      </vt:variant>
      <vt:variant>
        <vt:i4>56</vt:i4>
      </vt:variant>
      <vt:variant>
        <vt:i4>0</vt:i4>
      </vt:variant>
      <vt:variant>
        <vt:i4>5</vt:i4>
      </vt:variant>
      <vt:variant>
        <vt:lpwstr/>
      </vt:variant>
      <vt:variant>
        <vt:lpwstr>_Toc525547505</vt:lpwstr>
      </vt:variant>
      <vt:variant>
        <vt:i4>1507377</vt:i4>
      </vt:variant>
      <vt:variant>
        <vt:i4>50</vt:i4>
      </vt:variant>
      <vt:variant>
        <vt:i4>0</vt:i4>
      </vt:variant>
      <vt:variant>
        <vt:i4>5</vt:i4>
      </vt:variant>
      <vt:variant>
        <vt:lpwstr/>
      </vt:variant>
      <vt:variant>
        <vt:lpwstr>_Toc525547504</vt:lpwstr>
      </vt:variant>
      <vt:variant>
        <vt:i4>1507377</vt:i4>
      </vt:variant>
      <vt:variant>
        <vt:i4>44</vt:i4>
      </vt:variant>
      <vt:variant>
        <vt:i4>0</vt:i4>
      </vt:variant>
      <vt:variant>
        <vt:i4>5</vt:i4>
      </vt:variant>
      <vt:variant>
        <vt:lpwstr/>
      </vt:variant>
      <vt:variant>
        <vt:lpwstr>_Toc525547503</vt:lpwstr>
      </vt:variant>
      <vt:variant>
        <vt:i4>1507377</vt:i4>
      </vt:variant>
      <vt:variant>
        <vt:i4>38</vt:i4>
      </vt:variant>
      <vt:variant>
        <vt:i4>0</vt:i4>
      </vt:variant>
      <vt:variant>
        <vt:i4>5</vt:i4>
      </vt:variant>
      <vt:variant>
        <vt:lpwstr/>
      </vt:variant>
      <vt:variant>
        <vt:lpwstr>_Toc525547502</vt:lpwstr>
      </vt:variant>
      <vt:variant>
        <vt:i4>1507377</vt:i4>
      </vt:variant>
      <vt:variant>
        <vt:i4>32</vt:i4>
      </vt:variant>
      <vt:variant>
        <vt:i4>0</vt:i4>
      </vt:variant>
      <vt:variant>
        <vt:i4>5</vt:i4>
      </vt:variant>
      <vt:variant>
        <vt:lpwstr/>
      </vt:variant>
      <vt:variant>
        <vt:lpwstr>_Toc525547501</vt:lpwstr>
      </vt:variant>
      <vt:variant>
        <vt:i4>1507377</vt:i4>
      </vt:variant>
      <vt:variant>
        <vt:i4>26</vt:i4>
      </vt:variant>
      <vt:variant>
        <vt:i4>0</vt:i4>
      </vt:variant>
      <vt:variant>
        <vt:i4>5</vt:i4>
      </vt:variant>
      <vt:variant>
        <vt:lpwstr/>
      </vt:variant>
      <vt:variant>
        <vt:lpwstr>_Toc525547500</vt:lpwstr>
      </vt:variant>
      <vt:variant>
        <vt:i4>1966128</vt:i4>
      </vt:variant>
      <vt:variant>
        <vt:i4>20</vt:i4>
      </vt:variant>
      <vt:variant>
        <vt:i4>0</vt:i4>
      </vt:variant>
      <vt:variant>
        <vt:i4>5</vt:i4>
      </vt:variant>
      <vt:variant>
        <vt:lpwstr/>
      </vt:variant>
      <vt:variant>
        <vt:lpwstr>_Toc525547499</vt:lpwstr>
      </vt:variant>
      <vt:variant>
        <vt:i4>1966128</vt:i4>
      </vt:variant>
      <vt:variant>
        <vt:i4>14</vt:i4>
      </vt:variant>
      <vt:variant>
        <vt:i4>0</vt:i4>
      </vt:variant>
      <vt:variant>
        <vt:i4>5</vt:i4>
      </vt:variant>
      <vt:variant>
        <vt:lpwstr/>
      </vt:variant>
      <vt:variant>
        <vt:lpwstr>_Toc525547498</vt:lpwstr>
      </vt:variant>
      <vt:variant>
        <vt:i4>1966128</vt:i4>
      </vt:variant>
      <vt:variant>
        <vt:i4>8</vt:i4>
      </vt:variant>
      <vt:variant>
        <vt:i4>0</vt:i4>
      </vt:variant>
      <vt:variant>
        <vt:i4>5</vt:i4>
      </vt:variant>
      <vt:variant>
        <vt:lpwstr/>
      </vt:variant>
      <vt:variant>
        <vt:lpwstr>_Toc525547497</vt:lpwstr>
      </vt:variant>
      <vt:variant>
        <vt:i4>1966128</vt:i4>
      </vt:variant>
      <vt:variant>
        <vt:i4>2</vt:i4>
      </vt:variant>
      <vt:variant>
        <vt:i4>0</vt:i4>
      </vt:variant>
      <vt:variant>
        <vt:i4>5</vt:i4>
      </vt:variant>
      <vt:variant>
        <vt:lpwstr/>
      </vt:variant>
      <vt:variant>
        <vt:lpwstr>_Toc525547496</vt:lpwstr>
      </vt:variant>
      <vt:variant>
        <vt:i4>2752628</vt:i4>
      </vt:variant>
      <vt:variant>
        <vt:i4>45</vt:i4>
      </vt:variant>
      <vt:variant>
        <vt:i4>0</vt:i4>
      </vt:variant>
      <vt:variant>
        <vt:i4>5</vt:i4>
      </vt:variant>
      <vt:variant>
        <vt:lpwstr>http://joomla.corteidh.or.cr:8080/joomla/es/casos-contenciosos/38-jurisprudencia/824-corte-idh-caso-kawas-fernandez-vs-honduras-fondo-reparaciones-y-costas-sentencia-de-3-de-abril-de-2009-serie-c-no-196</vt:lpwstr>
      </vt:variant>
      <vt:variant>
        <vt:lpwstr/>
      </vt:variant>
      <vt:variant>
        <vt:i4>7012408</vt:i4>
      </vt:variant>
      <vt:variant>
        <vt:i4>42</vt:i4>
      </vt:variant>
      <vt:variant>
        <vt:i4>0</vt:i4>
      </vt:variant>
      <vt:variant>
        <vt:i4>5</vt:i4>
      </vt:variant>
      <vt:variant>
        <vt:lpwstr>http://joomla.corteidh.or.cr:8080/joomla/es/casos-contenciosos/38-jurisprudencia/1951-corte-idh-caso-garcia-y-familiares-vs-guatemala-fondo-reparaciones-y-costas-sentencia-de-29-noviembre-de-2012-serie-c-no-258</vt:lpwstr>
      </vt:variant>
      <vt:variant>
        <vt:lpwstr/>
      </vt:variant>
      <vt:variant>
        <vt:i4>4456477</vt:i4>
      </vt:variant>
      <vt:variant>
        <vt:i4>39</vt:i4>
      </vt:variant>
      <vt:variant>
        <vt:i4>0</vt:i4>
      </vt:variant>
      <vt:variant>
        <vt:i4>5</vt:i4>
      </vt:variant>
      <vt:variant>
        <vt:lpwstr>http://joomla.corteidh.or.cr:8080/joomla/es/casos-contenciosos/38-jurisprudencia/754-corte-idh-caso-garcia-prieto-y-otro-vs-el-salvador-excepciones-preliminares-fondo-reparaciones-y-costas-sentencia-de-20-de-noviembre-de-2007-serie-c-no-168</vt:lpwstr>
      </vt:variant>
      <vt:variant>
        <vt:lpwstr/>
      </vt:variant>
      <vt:variant>
        <vt:i4>3932286</vt:i4>
      </vt:variant>
      <vt:variant>
        <vt:i4>36</vt:i4>
      </vt:variant>
      <vt:variant>
        <vt:i4>0</vt:i4>
      </vt:variant>
      <vt:variant>
        <vt:i4>5</vt:i4>
      </vt:variant>
      <vt:variant>
        <vt:lpwstr>http://joomla.corteidh.or.cr:8080/joomla/es/casos-contenciosos/38-jurisprudencia/2120-corte-idh-caso-j-vs-peru-excepcion-preliminar-fondo-reparaciones-y-costas-sentencia-de-27-de-noviembre-de-2013-serie-c-no-275</vt:lpwstr>
      </vt:variant>
      <vt:variant>
        <vt:lpwstr/>
      </vt:variant>
      <vt:variant>
        <vt:i4>3932286</vt:i4>
      </vt:variant>
      <vt:variant>
        <vt:i4>33</vt:i4>
      </vt:variant>
      <vt:variant>
        <vt:i4>0</vt:i4>
      </vt:variant>
      <vt:variant>
        <vt:i4>5</vt:i4>
      </vt:variant>
      <vt:variant>
        <vt:lpwstr>http://joomla.corteidh.or.cr:8080/joomla/es/casos-contenciosos/38-jurisprudencia/2120-corte-idh-caso-j-vs-peru-excepcion-preliminar-fondo-reparaciones-y-costas-sentencia-de-27-de-noviembre-de-2013-serie-c-no-275</vt:lpwstr>
      </vt:variant>
      <vt:variant>
        <vt:lpwstr/>
      </vt:variant>
      <vt:variant>
        <vt:i4>3473446</vt:i4>
      </vt:variant>
      <vt:variant>
        <vt:i4>30</vt:i4>
      </vt:variant>
      <vt:variant>
        <vt:i4>0</vt:i4>
      </vt:variant>
      <vt:variant>
        <vt:i4>5</vt:i4>
      </vt:variant>
      <vt:variant>
        <vt:lpwstr>http://docstore.ohchr.org/SelfServices/FilesHandler.ashx?enc=6QkG1d%2fPPRiCAqhKb7yhsocXytluzOs83fWWVlzUSPWEY3i2MPneAItDx32YbiDNoBSFxJe89zNUXHff3j2eYOfwk09EJebYA2f6n55ArMfrEgIEyEql%2bzc9%2fWnroDpP</vt:lpwstr>
      </vt:variant>
      <vt:variant>
        <vt:lpwstr/>
      </vt:variant>
      <vt:variant>
        <vt:i4>3473446</vt:i4>
      </vt:variant>
      <vt:variant>
        <vt:i4>27</vt:i4>
      </vt:variant>
      <vt:variant>
        <vt:i4>0</vt:i4>
      </vt:variant>
      <vt:variant>
        <vt:i4>5</vt:i4>
      </vt:variant>
      <vt:variant>
        <vt:lpwstr>http://docstore.ohchr.org/SelfServices/FilesHandler.ashx?enc=6QkG1d%2fPPRiCAqhKb7yhsocXytluzOs83fWWVlzUSPWEY3i2MPneAItDx32YbiDNoBSFxJe89zNUXHff3j2eYOfwk09EJebYA2f6n55ArMfrEgIEyEql%2bzc9%2fWnroDpP</vt:lpwstr>
      </vt:variant>
      <vt:variant>
        <vt:lpwstr/>
      </vt:variant>
      <vt:variant>
        <vt:i4>8126579</vt:i4>
      </vt:variant>
      <vt:variant>
        <vt:i4>24</vt:i4>
      </vt:variant>
      <vt:variant>
        <vt:i4>0</vt:i4>
      </vt:variant>
      <vt:variant>
        <vt:i4>5</vt:i4>
      </vt:variant>
      <vt:variant>
        <vt:lpwstr>https://documents-dds-ny.un.org/doc/UNDOC/GEN/G14/112/20/PDF/G1411220.pdf?OpenElement+</vt:lpwstr>
      </vt:variant>
      <vt:variant>
        <vt:lpwstr/>
      </vt:variant>
      <vt:variant>
        <vt:i4>3473446</vt:i4>
      </vt:variant>
      <vt:variant>
        <vt:i4>21</vt:i4>
      </vt:variant>
      <vt:variant>
        <vt:i4>0</vt:i4>
      </vt:variant>
      <vt:variant>
        <vt:i4>5</vt:i4>
      </vt:variant>
      <vt:variant>
        <vt:lpwstr>http://docstore.ohchr.org/SelfServices/FilesHandler.ashx?enc=6QkG1d%2fPPRiCAqhKb7yhsocXytluzOs83fWWVlzUSPWEY3i2MPneAItDx32YbiDNoBSFxJe89zNUXHff3j2eYOfwk09EJebYA2f6n55ArMfrEgIEyEql%2bzc9%2fWnroDpP</vt:lpwstr>
      </vt:variant>
      <vt:variant>
        <vt:lpwstr/>
      </vt:variant>
      <vt:variant>
        <vt:i4>3473446</vt:i4>
      </vt:variant>
      <vt:variant>
        <vt:i4>18</vt:i4>
      </vt:variant>
      <vt:variant>
        <vt:i4>0</vt:i4>
      </vt:variant>
      <vt:variant>
        <vt:i4>5</vt:i4>
      </vt:variant>
      <vt:variant>
        <vt:lpwstr>http://docstore.ohchr.org/SelfServices/FilesHandler.ashx?enc=6QkG1d%2fPPRiCAqhKb7yhsocXytluzOs83fWWVlzUSPWEY3i2MPneAItDx32YbiDNoBSFxJe89zNUXHff3j2eYOfwk09EJebYA2f6n55ArMfrEgIEyEql%2bzc9%2fWnroDpP</vt:lpwstr>
      </vt:variant>
      <vt:variant>
        <vt:lpwstr/>
      </vt:variant>
      <vt:variant>
        <vt:i4>3473446</vt:i4>
      </vt:variant>
      <vt:variant>
        <vt:i4>15</vt:i4>
      </vt:variant>
      <vt:variant>
        <vt:i4>0</vt:i4>
      </vt:variant>
      <vt:variant>
        <vt:i4>5</vt:i4>
      </vt:variant>
      <vt:variant>
        <vt:lpwstr>http://docstore.ohchr.org/SelfServices/FilesHandler.ashx?enc=6QkG1d%2fPPRiCAqhKb7yhsocXytluzOs83fWWVlzUSPWEY3i2MPneAItDx32YbiDNoBSFxJe89zNUXHff3j2eYOfwk09EJebYA2f6n55ArMfrEgIEyEql%2bzc9%2fWnroDpP</vt:lpwstr>
      </vt:variant>
      <vt:variant>
        <vt:lpwstr/>
      </vt:variant>
      <vt:variant>
        <vt:i4>8126579</vt:i4>
      </vt:variant>
      <vt:variant>
        <vt:i4>12</vt:i4>
      </vt:variant>
      <vt:variant>
        <vt:i4>0</vt:i4>
      </vt:variant>
      <vt:variant>
        <vt:i4>5</vt:i4>
      </vt:variant>
      <vt:variant>
        <vt:lpwstr>https://documents-dds-ny.un.org/doc/UNDOC/GEN/G14/112/20/PDF/G1411220.pdf?OpenElement+</vt:lpwstr>
      </vt:variant>
      <vt:variant>
        <vt:lpwstr/>
      </vt:variant>
      <vt:variant>
        <vt:i4>3866660</vt:i4>
      </vt:variant>
      <vt:variant>
        <vt:i4>9</vt:i4>
      </vt:variant>
      <vt:variant>
        <vt:i4>0</vt:i4>
      </vt:variant>
      <vt:variant>
        <vt:i4>5</vt:i4>
      </vt:variant>
      <vt:variant>
        <vt:lpwstr>http://joomla.corteidh.or.cr:8080/joomla/es/jurisprudencia-oc-avanzado/38-jurisprudencia/2049-corte-idh-caso-suarez-peralta-vs-ecuador-excepciones-preliminares-fondo-reparaciones-y-costas-sentencia-de-21-de-mayo-de-2013-serie-c-no-261</vt:lpwstr>
      </vt:variant>
      <vt:variant>
        <vt:lpwstr/>
      </vt:variant>
      <vt:variant>
        <vt:i4>3866660</vt:i4>
      </vt:variant>
      <vt:variant>
        <vt:i4>6</vt:i4>
      </vt:variant>
      <vt:variant>
        <vt:i4>0</vt:i4>
      </vt:variant>
      <vt:variant>
        <vt:i4>5</vt:i4>
      </vt:variant>
      <vt:variant>
        <vt:lpwstr>http://joomla.corteidh.or.cr:8080/joomla/es/jurisprudencia-oc-avanzado/38-jurisprudencia/2049-corte-idh-caso-suarez-peralta-vs-ecuador-excepciones-preliminares-fondo-reparaciones-y-costas-sentencia-de-21-de-mayo-de-2013-serie-c-no-261</vt:lpwstr>
      </vt:variant>
      <vt:variant>
        <vt:lpwstr/>
      </vt:variant>
      <vt:variant>
        <vt:i4>3997816</vt:i4>
      </vt:variant>
      <vt:variant>
        <vt:i4>3</vt:i4>
      </vt:variant>
      <vt:variant>
        <vt:i4>0</vt:i4>
      </vt:variant>
      <vt:variant>
        <vt:i4>5</vt:i4>
      </vt:variant>
      <vt:variant>
        <vt:lpwstr>https://www.youtube.com/watch?v=8pG-hHzzZ-Y</vt:lpwstr>
      </vt:variant>
      <vt:variant>
        <vt:lpwstr/>
      </vt:variant>
      <vt:variant>
        <vt:i4>1900631</vt:i4>
      </vt:variant>
      <vt:variant>
        <vt:i4>0</vt:i4>
      </vt:variant>
      <vt:variant>
        <vt:i4>0</vt:i4>
      </vt:variant>
      <vt:variant>
        <vt:i4>5</vt:i4>
      </vt:variant>
      <vt:variant>
        <vt:lpwstr>http://www.cidh.oas.org/annualrep/2010sp/34.ECAD247-07ES.doc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%username%</cp:lastModifiedBy>
  <cp:revision>4</cp:revision>
  <cp:lastPrinted>2017-05-02T13:58:00Z</cp:lastPrinted>
  <dcterms:created xsi:type="dcterms:W3CDTF">2019-01-10T21:18:00Z</dcterms:created>
  <dcterms:modified xsi:type="dcterms:W3CDTF">2019-10-02T19:33:00Z</dcterms:modified>
</cp:coreProperties>
</file>