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616" w:rsidRPr="00910616" w:rsidRDefault="00910616" w:rsidP="00910616">
      <w:pPr>
        <w:jc w:val="both"/>
        <w:rPr>
          <w:rFonts w:ascii="Cambria" w:hAnsi="Cambria" w:cs="Univers"/>
          <w:b/>
          <w:bCs/>
          <w:sz w:val="20"/>
          <w:szCs w:val="20"/>
          <w:lang w:val="es-ES_tradnl"/>
        </w:rPr>
      </w:pPr>
      <w:r w:rsidRPr="00910616">
        <w:rPr>
          <w:rFonts w:ascii="Cambria" w:hAnsi="Cambria"/>
          <w:noProof/>
          <w:sz w:val="20"/>
          <w:szCs w:val="20"/>
        </w:rPr>
        <mc:AlternateContent>
          <mc:Choice Requires="wps">
            <w:drawing>
              <wp:anchor distT="0" distB="0" distL="114300" distR="114300" simplePos="0" relativeHeight="251659264" behindDoc="0" locked="0" layoutInCell="1" allowOverlap="1" wp14:anchorId="47E5E6EF" wp14:editId="59D92EC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910616">
        <w:rPr>
          <w:rFonts w:ascii="Cambria" w:hAnsi="Cambria"/>
          <w:noProof/>
          <w:sz w:val="20"/>
          <w:szCs w:val="20"/>
        </w:rPr>
        <mc:AlternateContent>
          <mc:Choice Requires="wps">
            <w:drawing>
              <wp:anchor distT="0" distB="0" distL="114300" distR="114300" simplePos="0" relativeHeight="251663360" behindDoc="0" locked="0" layoutInCell="1" allowOverlap="1" wp14:anchorId="7BE4347F" wp14:editId="7CBEF2C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557B" w:rsidRDefault="0079557B" w:rsidP="00910616">
                            <w:r>
                              <w:rPr>
                                <w:noProof/>
                              </w:rPr>
                              <w:drawing>
                                <wp:inline distT="0" distB="0" distL="0" distR="0" wp14:anchorId="2086ADA6" wp14:editId="69C071C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79557B" w:rsidRDefault="0079557B" w:rsidP="00910616">
                      <w:r>
                        <w:rPr>
                          <w:noProof/>
                        </w:rPr>
                        <w:drawing>
                          <wp:inline distT="0" distB="0" distL="0" distR="0" wp14:anchorId="2086ADA6" wp14:editId="69C071C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910616" w:rsidRPr="00910616" w:rsidRDefault="00910616" w:rsidP="00910616">
      <w:pPr>
        <w:tabs>
          <w:tab w:val="center" w:pos="5400"/>
        </w:tabs>
        <w:suppressAutoHyphens/>
        <w:jc w:val="both"/>
        <w:rPr>
          <w:rFonts w:ascii="Cambria" w:hAnsi="Cambria"/>
          <w:sz w:val="20"/>
          <w:szCs w:val="20"/>
          <w:lang w:val="es-ES"/>
        </w:rPr>
      </w:pPr>
    </w:p>
    <w:p w:rsidR="00910616" w:rsidRPr="00910616" w:rsidRDefault="00910616" w:rsidP="00910616">
      <w:pPr>
        <w:tabs>
          <w:tab w:val="center" w:pos="5400"/>
        </w:tabs>
        <w:suppressAutoHyphens/>
        <w:jc w:val="both"/>
        <w:rPr>
          <w:rFonts w:ascii="Cambria" w:hAnsi="Cambria"/>
          <w:sz w:val="20"/>
          <w:szCs w:val="20"/>
          <w:lang w:val="es-ES"/>
        </w:rPr>
      </w:pPr>
    </w:p>
    <w:p w:rsidR="00910616" w:rsidRPr="00910616" w:rsidRDefault="00910616" w:rsidP="00910616">
      <w:pPr>
        <w:tabs>
          <w:tab w:val="center" w:pos="5400"/>
        </w:tabs>
        <w:suppressAutoHyphens/>
        <w:rPr>
          <w:rFonts w:ascii="Cambria" w:hAnsi="Cambria"/>
          <w:sz w:val="20"/>
          <w:szCs w:val="20"/>
          <w:lang w:val="es-ES_tradnl"/>
        </w:rPr>
      </w:pPr>
    </w:p>
    <w:p w:rsidR="00910616" w:rsidRPr="00910616" w:rsidRDefault="00910616" w:rsidP="00910616">
      <w:pPr>
        <w:tabs>
          <w:tab w:val="center" w:pos="5400"/>
        </w:tabs>
        <w:suppressAutoHyphens/>
        <w:rPr>
          <w:rFonts w:ascii="Cambria" w:hAnsi="Cambria"/>
          <w:sz w:val="20"/>
          <w:szCs w:val="20"/>
          <w:lang w:val="es-ES_tradnl"/>
        </w:rPr>
      </w:pPr>
    </w:p>
    <w:p w:rsidR="00910616" w:rsidRPr="00910616" w:rsidRDefault="00910616" w:rsidP="00910616">
      <w:pPr>
        <w:tabs>
          <w:tab w:val="center" w:pos="5400"/>
        </w:tabs>
        <w:suppressAutoHyphens/>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r w:rsidRPr="00910616">
        <w:rPr>
          <w:rFonts w:ascii="Cambria" w:hAnsi="Cambria"/>
          <w:noProof/>
          <w:sz w:val="20"/>
          <w:szCs w:val="20"/>
        </w:rPr>
        <mc:AlternateContent>
          <mc:Choice Requires="wps">
            <w:drawing>
              <wp:anchor distT="0" distB="0" distL="114300" distR="114300" simplePos="0" relativeHeight="251660288" behindDoc="0" locked="0" layoutInCell="1" allowOverlap="1" wp14:anchorId="4474CC3B" wp14:editId="4FCBCAB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557B" w:rsidRPr="001E1ED6" w:rsidRDefault="0079557B" w:rsidP="00910616">
                            <w:pPr>
                              <w:spacing w:line="276" w:lineRule="auto"/>
                              <w:rPr>
                                <w:rFonts w:ascii="Cambria" w:hAnsi="Cambria" w:cs="Arial"/>
                                <w:b/>
                                <w:bCs/>
                                <w:color w:val="0D0D0D" w:themeColor="text1" w:themeTint="F2"/>
                                <w:sz w:val="36"/>
                                <w:szCs w:val="22"/>
                                <w:lang w:val="pt-BR"/>
                              </w:rPr>
                            </w:pPr>
                            <w:r w:rsidRPr="001E1ED6">
                              <w:rPr>
                                <w:rFonts w:ascii="Cambria" w:hAnsi="Cambria" w:cs="Arial"/>
                                <w:b/>
                                <w:bCs/>
                                <w:color w:val="0D0D0D" w:themeColor="text1" w:themeTint="F2"/>
                                <w:sz w:val="36"/>
                                <w:szCs w:val="22"/>
                                <w:lang w:val="pt-BR"/>
                              </w:rPr>
                              <w:t xml:space="preserve">INFORME </w:t>
                            </w:r>
                            <w:r w:rsidRPr="001E1ED6">
                              <w:rPr>
                                <w:rFonts w:ascii="Cambria" w:hAnsi="Cambria" w:cs="Arial"/>
                                <w:b/>
                                <w:bCs/>
                                <w:color w:val="0D0D0D" w:themeColor="text1" w:themeTint="F2"/>
                                <w:sz w:val="36"/>
                                <w:szCs w:val="40"/>
                                <w:lang w:val="pt-BR"/>
                              </w:rPr>
                              <w:t>No.</w:t>
                            </w:r>
                            <w:r>
                              <w:rPr>
                                <w:rFonts w:ascii="Cambria" w:hAnsi="Cambria" w:cs="Arial"/>
                                <w:b/>
                                <w:bCs/>
                                <w:color w:val="0D0D0D" w:themeColor="text1" w:themeTint="F2"/>
                                <w:sz w:val="36"/>
                                <w:szCs w:val="22"/>
                                <w:lang w:val="pt-BR"/>
                              </w:rPr>
                              <w:t xml:space="preserve"> 21/18</w:t>
                            </w:r>
                          </w:p>
                          <w:p w:rsidR="0079557B" w:rsidRPr="001E1ED6" w:rsidRDefault="0079557B" w:rsidP="00910616">
                            <w:pPr>
                              <w:spacing w:line="276" w:lineRule="auto"/>
                              <w:rPr>
                                <w:rFonts w:ascii="Cambria" w:hAnsi="Cambria" w:cs="Arial"/>
                                <w:b/>
                                <w:color w:val="0D0D0D" w:themeColor="text1" w:themeTint="F2"/>
                                <w:sz w:val="36"/>
                                <w:szCs w:val="22"/>
                                <w:lang w:val="pt-BR"/>
                              </w:rPr>
                            </w:pPr>
                            <w:r w:rsidRPr="001E1ED6">
                              <w:rPr>
                                <w:rFonts w:ascii="Cambria" w:hAnsi="Cambria" w:cs="Arial"/>
                                <w:b/>
                                <w:color w:val="0D0D0D" w:themeColor="text1" w:themeTint="F2"/>
                                <w:sz w:val="36"/>
                                <w:szCs w:val="22"/>
                                <w:lang w:val="pt-BR"/>
                              </w:rPr>
                              <w:t>CASO 12.955</w:t>
                            </w:r>
                          </w:p>
                          <w:p w:rsidR="0079557B" w:rsidRPr="001E1ED6" w:rsidRDefault="0079557B" w:rsidP="00910616">
                            <w:pPr>
                              <w:spacing w:line="276" w:lineRule="auto"/>
                              <w:rPr>
                                <w:rFonts w:ascii="Cambria" w:hAnsi="Cambria" w:cs="Arial"/>
                                <w:color w:val="0D0D0D" w:themeColor="text1" w:themeTint="F2"/>
                                <w:szCs w:val="22"/>
                                <w:lang w:val="es-ES_tradnl"/>
                              </w:rPr>
                            </w:pPr>
                            <w:r w:rsidRPr="001E1ED6">
                              <w:rPr>
                                <w:rFonts w:ascii="Cambria" w:hAnsi="Cambria" w:cs="Arial"/>
                                <w:color w:val="0D0D0D" w:themeColor="text1" w:themeTint="F2"/>
                                <w:szCs w:val="22"/>
                                <w:lang w:val="es-ES_tradnl"/>
                              </w:rPr>
                              <w:t xml:space="preserve">INFORME DE FONDO </w:t>
                            </w:r>
                          </w:p>
                          <w:p w:rsidR="0079557B" w:rsidRPr="001E1ED6" w:rsidRDefault="0079557B" w:rsidP="00910616">
                            <w:pPr>
                              <w:spacing w:line="276" w:lineRule="auto"/>
                              <w:rPr>
                                <w:rFonts w:ascii="Cambria" w:hAnsi="Cambria" w:cs="Arial"/>
                                <w:color w:val="0D0D0D" w:themeColor="text1" w:themeTint="F2"/>
                                <w:szCs w:val="22"/>
                                <w:lang w:val="es-ES_tradnl"/>
                              </w:rPr>
                            </w:pPr>
                            <w:bookmarkStart w:id="0" w:name="_ftnref1"/>
                          </w:p>
                          <w:p w:rsidR="0079557B" w:rsidRPr="001E1ED6" w:rsidRDefault="0079557B" w:rsidP="00910616">
                            <w:pPr>
                              <w:spacing w:line="276" w:lineRule="auto"/>
                              <w:rPr>
                                <w:rFonts w:ascii="Cambria" w:hAnsi="Cambria" w:cs="Arial"/>
                                <w:color w:val="0D0D0D" w:themeColor="text1" w:themeTint="F2"/>
                                <w:szCs w:val="22"/>
                                <w:lang w:val="es-ES_tradnl"/>
                              </w:rPr>
                            </w:pPr>
                            <w:r w:rsidRPr="001E1ED6">
                              <w:rPr>
                                <w:rFonts w:ascii="Cambria" w:hAnsi="Cambria" w:cs="Arial"/>
                                <w:color w:val="0D0D0D" w:themeColor="text1" w:themeTint="F2"/>
                                <w:szCs w:val="22"/>
                                <w:lang w:val="es-ES_tradnl"/>
                              </w:rPr>
                              <w:t>DANIEL URRUTIA LA</w:t>
                            </w:r>
                            <w:r>
                              <w:rPr>
                                <w:rFonts w:ascii="Cambria" w:hAnsi="Cambria" w:cs="Arial"/>
                                <w:color w:val="0D0D0D" w:themeColor="text1" w:themeTint="F2"/>
                                <w:szCs w:val="22"/>
                                <w:lang w:val="es-ES_tradnl"/>
                              </w:rPr>
                              <w:t>U</w:t>
                            </w:r>
                            <w:r w:rsidRPr="001E1ED6">
                              <w:rPr>
                                <w:rFonts w:ascii="Cambria" w:hAnsi="Cambria" w:cs="Arial"/>
                                <w:color w:val="0D0D0D" w:themeColor="text1" w:themeTint="F2"/>
                                <w:szCs w:val="22"/>
                                <w:lang w:val="es-ES_tradnl"/>
                              </w:rPr>
                              <w:t>BREAUX</w:t>
                            </w:r>
                          </w:p>
                          <w:bookmarkEnd w:id="0"/>
                          <w:p w:rsidR="0079557B" w:rsidRPr="001E1ED6" w:rsidRDefault="0079557B" w:rsidP="00910616">
                            <w:pPr>
                              <w:spacing w:line="276" w:lineRule="auto"/>
                              <w:rPr>
                                <w:rFonts w:ascii="Cambria" w:hAnsi="Cambria" w:cs="Arial"/>
                                <w:color w:val="0D0D0D" w:themeColor="text1" w:themeTint="F2"/>
                                <w:szCs w:val="22"/>
                                <w:lang w:val="es-ES"/>
                              </w:rPr>
                            </w:pPr>
                            <w:r w:rsidRPr="001E1ED6">
                              <w:rPr>
                                <w:rFonts w:ascii="Cambria" w:hAnsi="Cambria" w:cs="Arial"/>
                                <w:color w:val="0D0D0D" w:themeColor="text1" w:themeTint="F2"/>
                                <w:szCs w:val="22"/>
                                <w:lang w:val="es-ES_tradnl"/>
                              </w:rPr>
                              <w:t>CHILE</w:t>
                            </w:r>
                          </w:p>
                          <w:p w:rsidR="0079557B" w:rsidRPr="00AE5488" w:rsidRDefault="0079557B" w:rsidP="00910616">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79557B" w:rsidRPr="001E1ED6" w:rsidRDefault="0079557B" w:rsidP="00910616">
                      <w:pPr>
                        <w:spacing w:line="276" w:lineRule="auto"/>
                        <w:rPr>
                          <w:rFonts w:ascii="Cambria" w:hAnsi="Cambria" w:cs="Arial"/>
                          <w:b/>
                          <w:bCs/>
                          <w:color w:val="0D0D0D" w:themeColor="text1" w:themeTint="F2"/>
                          <w:sz w:val="36"/>
                          <w:szCs w:val="22"/>
                          <w:lang w:val="pt-BR"/>
                        </w:rPr>
                      </w:pPr>
                      <w:r w:rsidRPr="001E1ED6">
                        <w:rPr>
                          <w:rFonts w:ascii="Cambria" w:hAnsi="Cambria" w:cs="Arial"/>
                          <w:b/>
                          <w:bCs/>
                          <w:color w:val="0D0D0D" w:themeColor="text1" w:themeTint="F2"/>
                          <w:sz w:val="36"/>
                          <w:szCs w:val="22"/>
                          <w:lang w:val="pt-BR"/>
                        </w:rPr>
                        <w:t xml:space="preserve">INFORME </w:t>
                      </w:r>
                      <w:r w:rsidRPr="001E1ED6">
                        <w:rPr>
                          <w:rFonts w:ascii="Cambria" w:hAnsi="Cambria" w:cs="Arial"/>
                          <w:b/>
                          <w:bCs/>
                          <w:color w:val="0D0D0D" w:themeColor="text1" w:themeTint="F2"/>
                          <w:sz w:val="36"/>
                          <w:szCs w:val="40"/>
                          <w:lang w:val="pt-BR"/>
                        </w:rPr>
                        <w:t>No.</w:t>
                      </w:r>
                      <w:r>
                        <w:rPr>
                          <w:rFonts w:ascii="Cambria" w:hAnsi="Cambria" w:cs="Arial"/>
                          <w:b/>
                          <w:bCs/>
                          <w:color w:val="0D0D0D" w:themeColor="text1" w:themeTint="F2"/>
                          <w:sz w:val="36"/>
                          <w:szCs w:val="22"/>
                          <w:lang w:val="pt-BR"/>
                        </w:rPr>
                        <w:t xml:space="preserve"> 21/18</w:t>
                      </w:r>
                    </w:p>
                    <w:p w:rsidR="0079557B" w:rsidRPr="001E1ED6" w:rsidRDefault="0079557B" w:rsidP="00910616">
                      <w:pPr>
                        <w:spacing w:line="276" w:lineRule="auto"/>
                        <w:rPr>
                          <w:rFonts w:ascii="Cambria" w:hAnsi="Cambria" w:cs="Arial"/>
                          <w:b/>
                          <w:color w:val="0D0D0D" w:themeColor="text1" w:themeTint="F2"/>
                          <w:sz w:val="36"/>
                          <w:szCs w:val="22"/>
                          <w:lang w:val="pt-BR"/>
                        </w:rPr>
                      </w:pPr>
                      <w:r w:rsidRPr="001E1ED6">
                        <w:rPr>
                          <w:rFonts w:ascii="Cambria" w:hAnsi="Cambria" w:cs="Arial"/>
                          <w:b/>
                          <w:color w:val="0D0D0D" w:themeColor="text1" w:themeTint="F2"/>
                          <w:sz w:val="36"/>
                          <w:szCs w:val="22"/>
                          <w:lang w:val="pt-BR"/>
                        </w:rPr>
                        <w:t>CASO 12.955</w:t>
                      </w:r>
                    </w:p>
                    <w:p w:rsidR="0079557B" w:rsidRPr="001E1ED6" w:rsidRDefault="0079557B" w:rsidP="00910616">
                      <w:pPr>
                        <w:spacing w:line="276" w:lineRule="auto"/>
                        <w:rPr>
                          <w:rFonts w:ascii="Cambria" w:hAnsi="Cambria" w:cs="Arial"/>
                          <w:color w:val="0D0D0D" w:themeColor="text1" w:themeTint="F2"/>
                          <w:szCs w:val="22"/>
                          <w:lang w:val="es-ES_tradnl"/>
                        </w:rPr>
                      </w:pPr>
                      <w:r w:rsidRPr="001E1ED6">
                        <w:rPr>
                          <w:rFonts w:ascii="Cambria" w:hAnsi="Cambria" w:cs="Arial"/>
                          <w:color w:val="0D0D0D" w:themeColor="text1" w:themeTint="F2"/>
                          <w:szCs w:val="22"/>
                          <w:lang w:val="es-ES_tradnl"/>
                        </w:rPr>
                        <w:t xml:space="preserve">INFORME DE FONDO </w:t>
                      </w:r>
                    </w:p>
                    <w:p w:rsidR="0079557B" w:rsidRPr="001E1ED6" w:rsidRDefault="0079557B" w:rsidP="00910616">
                      <w:pPr>
                        <w:spacing w:line="276" w:lineRule="auto"/>
                        <w:rPr>
                          <w:rFonts w:ascii="Cambria" w:hAnsi="Cambria" w:cs="Arial"/>
                          <w:color w:val="0D0D0D" w:themeColor="text1" w:themeTint="F2"/>
                          <w:szCs w:val="22"/>
                          <w:lang w:val="es-ES_tradnl"/>
                        </w:rPr>
                      </w:pPr>
                      <w:bookmarkStart w:id="1" w:name="_ftnref1"/>
                    </w:p>
                    <w:p w:rsidR="0079557B" w:rsidRPr="001E1ED6" w:rsidRDefault="0079557B" w:rsidP="00910616">
                      <w:pPr>
                        <w:spacing w:line="276" w:lineRule="auto"/>
                        <w:rPr>
                          <w:rFonts w:ascii="Cambria" w:hAnsi="Cambria" w:cs="Arial"/>
                          <w:color w:val="0D0D0D" w:themeColor="text1" w:themeTint="F2"/>
                          <w:szCs w:val="22"/>
                          <w:lang w:val="es-ES_tradnl"/>
                        </w:rPr>
                      </w:pPr>
                      <w:r w:rsidRPr="001E1ED6">
                        <w:rPr>
                          <w:rFonts w:ascii="Cambria" w:hAnsi="Cambria" w:cs="Arial"/>
                          <w:color w:val="0D0D0D" w:themeColor="text1" w:themeTint="F2"/>
                          <w:szCs w:val="22"/>
                          <w:lang w:val="es-ES_tradnl"/>
                        </w:rPr>
                        <w:t>DANIEL URRUTIA LA</w:t>
                      </w:r>
                      <w:r>
                        <w:rPr>
                          <w:rFonts w:ascii="Cambria" w:hAnsi="Cambria" w:cs="Arial"/>
                          <w:color w:val="0D0D0D" w:themeColor="text1" w:themeTint="F2"/>
                          <w:szCs w:val="22"/>
                          <w:lang w:val="es-ES_tradnl"/>
                        </w:rPr>
                        <w:t>U</w:t>
                      </w:r>
                      <w:r w:rsidRPr="001E1ED6">
                        <w:rPr>
                          <w:rFonts w:ascii="Cambria" w:hAnsi="Cambria" w:cs="Arial"/>
                          <w:color w:val="0D0D0D" w:themeColor="text1" w:themeTint="F2"/>
                          <w:szCs w:val="22"/>
                          <w:lang w:val="es-ES_tradnl"/>
                        </w:rPr>
                        <w:t>BREAUX</w:t>
                      </w:r>
                    </w:p>
                    <w:bookmarkEnd w:id="1"/>
                    <w:p w:rsidR="0079557B" w:rsidRPr="001E1ED6" w:rsidRDefault="0079557B" w:rsidP="00910616">
                      <w:pPr>
                        <w:spacing w:line="276" w:lineRule="auto"/>
                        <w:rPr>
                          <w:rFonts w:ascii="Cambria" w:hAnsi="Cambria" w:cs="Arial"/>
                          <w:color w:val="0D0D0D" w:themeColor="text1" w:themeTint="F2"/>
                          <w:szCs w:val="22"/>
                          <w:lang w:val="es-ES"/>
                        </w:rPr>
                      </w:pPr>
                      <w:r w:rsidRPr="001E1ED6">
                        <w:rPr>
                          <w:rFonts w:ascii="Cambria" w:hAnsi="Cambria" w:cs="Arial"/>
                          <w:color w:val="0D0D0D" w:themeColor="text1" w:themeTint="F2"/>
                          <w:szCs w:val="22"/>
                          <w:lang w:val="es-ES_tradnl"/>
                        </w:rPr>
                        <w:t>CHILE</w:t>
                      </w:r>
                    </w:p>
                    <w:p w:rsidR="0079557B" w:rsidRPr="00AE5488" w:rsidRDefault="0079557B" w:rsidP="00910616">
                      <w:pPr>
                        <w:rPr>
                          <w:color w:val="0D0D0D" w:themeColor="text1" w:themeTint="F2"/>
                          <w:lang w:val="es-ES_tradnl"/>
                        </w:rPr>
                      </w:pPr>
                    </w:p>
                  </w:txbxContent>
                </v:textbox>
              </v:shape>
            </w:pict>
          </mc:Fallback>
        </mc:AlternateContent>
      </w:r>
      <w:r w:rsidRPr="00910616">
        <w:rPr>
          <w:rFonts w:ascii="Cambria" w:hAnsi="Cambria"/>
          <w:noProof/>
          <w:sz w:val="20"/>
          <w:szCs w:val="20"/>
        </w:rPr>
        <mc:AlternateContent>
          <mc:Choice Requires="wps">
            <w:drawing>
              <wp:anchor distT="0" distB="0" distL="114300" distR="114300" simplePos="0" relativeHeight="251662336" behindDoc="0" locked="0" layoutInCell="1" allowOverlap="1" wp14:anchorId="582D0C7F" wp14:editId="5345568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557B" w:rsidRPr="004E2649" w:rsidRDefault="0079557B" w:rsidP="00910616">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OEA/Ser.L/V/II.167</w:t>
                            </w:r>
                          </w:p>
                          <w:p w:rsidR="0079557B" w:rsidRPr="004D2791" w:rsidRDefault="0079557B" w:rsidP="00910616">
                            <w:pPr>
                              <w:spacing w:line="276" w:lineRule="auto"/>
                              <w:jc w:val="right"/>
                              <w:rPr>
                                <w:rFonts w:asciiTheme="minorHAnsi" w:hAnsiTheme="minorHAnsi"/>
                                <w:color w:val="FFFFFF" w:themeColor="background1"/>
                                <w:sz w:val="22"/>
                                <w:lang w:val="pt-BR"/>
                              </w:rPr>
                            </w:pPr>
                            <w:r w:rsidRPr="004D2791">
                              <w:rPr>
                                <w:rFonts w:asciiTheme="minorHAnsi" w:hAnsiTheme="minorHAnsi"/>
                                <w:color w:val="FFFFFF" w:themeColor="background1"/>
                                <w:sz w:val="22"/>
                                <w:lang w:val="pt-BR"/>
                              </w:rPr>
                              <w:t>Doc. 25</w:t>
                            </w:r>
                          </w:p>
                          <w:p w:rsidR="0079557B" w:rsidRPr="00D22D24" w:rsidRDefault="0079557B" w:rsidP="00910616">
                            <w:pPr>
                              <w:spacing w:line="276" w:lineRule="auto"/>
                              <w:jc w:val="right"/>
                              <w:rPr>
                                <w:rFonts w:asciiTheme="minorHAnsi" w:hAnsiTheme="minorHAnsi"/>
                                <w:color w:val="FFFFFF" w:themeColor="background1"/>
                                <w:sz w:val="22"/>
                                <w:lang w:val="fr-CA"/>
                              </w:rPr>
                            </w:pPr>
                            <w:r>
                              <w:rPr>
                                <w:rFonts w:asciiTheme="minorHAnsi" w:hAnsiTheme="minorHAnsi"/>
                                <w:color w:val="FFFFFF" w:themeColor="background1"/>
                                <w:sz w:val="22"/>
                                <w:lang w:val="fr-CA"/>
                              </w:rPr>
                              <w:t xml:space="preserve">24 de </w:t>
                            </w:r>
                            <w:proofErr w:type="spellStart"/>
                            <w:r>
                              <w:rPr>
                                <w:rFonts w:asciiTheme="minorHAnsi" w:hAnsiTheme="minorHAnsi"/>
                                <w:color w:val="FFFFFF" w:themeColor="background1"/>
                                <w:sz w:val="22"/>
                                <w:lang w:val="fr-CA"/>
                              </w:rPr>
                              <w:t>febrero</w:t>
                            </w:r>
                            <w:proofErr w:type="spellEnd"/>
                            <w:r>
                              <w:rPr>
                                <w:rFonts w:asciiTheme="minorHAnsi" w:hAnsiTheme="minorHAnsi"/>
                                <w:color w:val="FFFFFF" w:themeColor="background1"/>
                                <w:sz w:val="22"/>
                                <w:lang w:val="fr-CA"/>
                              </w:rPr>
                              <w:t xml:space="preserve"> 2018</w:t>
                            </w:r>
                          </w:p>
                          <w:p w:rsidR="0079557B" w:rsidRPr="007C756A" w:rsidRDefault="0079557B" w:rsidP="00910616">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79557B" w:rsidRPr="004E2649" w:rsidRDefault="0079557B" w:rsidP="00910616">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OEA/Ser.L/V/II.167</w:t>
                      </w:r>
                    </w:p>
                    <w:p w:rsidR="0079557B" w:rsidRPr="004D2791" w:rsidRDefault="0079557B" w:rsidP="00910616">
                      <w:pPr>
                        <w:spacing w:line="276" w:lineRule="auto"/>
                        <w:jc w:val="right"/>
                        <w:rPr>
                          <w:rFonts w:asciiTheme="minorHAnsi" w:hAnsiTheme="minorHAnsi"/>
                          <w:color w:val="FFFFFF" w:themeColor="background1"/>
                          <w:sz w:val="22"/>
                          <w:lang w:val="pt-BR"/>
                        </w:rPr>
                      </w:pPr>
                      <w:r w:rsidRPr="004D2791">
                        <w:rPr>
                          <w:rFonts w:asciiTheme="minorHAnsi" w:hAnsiTheme="minorHAnsi"/>
                          <w:color w:val="FFFFFF" w:themeColor="background1"/>
                          <w:sz w:val="22"/>
                          <w:lang w:val="pt-BR"/>
                        </w:rPr>
                        <w:t>Doc. 25</w:t>
                      </w:r>
                    </w:p>
                    <w:p w:rsidR="0079557B" w:rsidRPr="00D22D24" w:rsidRDefault="0079557B" w:rsidP="00910616">
                      <w:pPr>
                        <w:spacing w:line="276" w:lineRule="auto"/>
                        <w:jc w:val="right"/>
                        <w:rPr>
                          <w:rFonts w:asciiTheme="minorHAnsi" w:hAnsiTheme="minorHAnsi"/>
                          <w:color w:val="FFFFFF" w:themeColor="background1"/>
                          <w:sz w:val="22"/>
                          <w:lang w:val="fr-CA"/>
                        </w:rPr>
                      </w:pPr>
                      <w:r>
                        <w:rPr>
                          <w:rFonts w:asciiTheme="minorHAnsi" w:hAnsiTheme="minorHAnsi"/>
                          <w:color w:val="FFFFFF" w:themeColor="background1"/>
                          <w:sz w:val="22"/>
                          <w:lang w:val="fr-CA"/>
                        </w:rPr>
                        <w:t>24 de febrero 2018</w:t>
                      </w:r>
                    </w:p>
                    <w:p w:rsidR="0079557B" w:rsidRPr="007C756A" w:rsidRDefault="0079557B" w:rsidP="00910616">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cs="Arial"/>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r w:rsidRPr="00910616">
        <w:rPr>
          <w:rFonts w:ascii="Cambria" w:hAnsi="Cambria"/>
          <w:noProof/>
          <w:sz w:val="20"/>
          <w:szCs w:val="20"/>
        </w:rPr>
        <mc:AlternateContent>
          <mc:Choice Requires="wps">
            <w:drawing>
              <wp:anchor distT="0" distB="0" distL="114300" distR="114300" simplePos="0" relativeHeight="251661312" behindDoc="0" locked="0" layoutInCell="1" allowOverlap="1" wp14:anchorId="26164713" wp14:editId="3FB1744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557B" w:rsidRPr="001E1ED6" w:rsidRDefault="0079557B" w:rsidP="00910616">
                            <w:pPr>
                              <w:tabs>
                                <w:tab w:val="center" w:pos="5400"/>
                              </w:tabs>
                              <w:suppressAutoHyphens/>
                              <w:spacing w:before="60"/>
                              <w:rPr>
                                <w:rFonts w:ascii="Cambria" w:hAnsi="Cambria" w:cs="Univers"/>
                                <w:color w:val="0D0D0D" w:themeColor="text1" w:themeTint="F2"/>
                                <w:sz w:val="18"/>
                                <w:szCs w:val="20"/>
                                <w:lang w:val="es-ES_tradnl"/>
                              </w:rPr>
                            </w:pPr>
                            <w:r w:rsidRPr="001E1ED6">
                              <w:rPr>
                                <w:rFonts w:ascii="Cambria" w:hAnsi="Cambria"/>
                                <w:color w:val="0D0D0D" w:themeColor="text1" w:themeTint="F2"/>
                                <w:sz w:val="18"/>
                                <w:szCs w:val="20"/>
                                <w:lang w:val="es-ES"/>
                              </w:rPr>
                              <w:t>Aprobado por</w:t>
                            </w:r>
                            <w:r>
                              <w:rPr>
                                <w:rFonts w:ascii="Cambria" w:hAnsi="Cambria"/>
                                <w:color w:val="0D0D0D" w:themeColor="text1" w:themeTint="F2"/>
                                <w:sz w:val="18"/>
                                <w:szCs w:val="20"/>
                                <w:lang w:val="es-ES"/>
                              </w:rPr>
                              <w:t xml:space="preserve"> la Comisión en su sesión No. 2116 celebrada el 24 de febrero de 2018</w:t>
                            </w:r>
                            <w:r w:rsidRPr="001E1ED6">
                              <w:rPr>
                                <w:rFonts w:ascii="Cambria" w:hAnsi="Cambria"/>
                                <w:color w:val="0D0D0D" w:themeColor="text1" w:themeTint="F2"/>
                                <w:sz w:val="18"/>
                                <w:szCs w:val="20"/>
                                <w:lang w:val="es-ES"/>
                              </w:rPr>
                              <w:br/>
                            </w:r>
                            <w:r>
                              <w:rPr>
                                <w:rFonts w:ascii="Cambria" w:hAnsi="Cambria" w:cs="Univers"/>
                                <w:color w:val="0D0D0D" w:themeColor="text1" w:themeTint="F2"/>
                                <w:sz w:val="18"/>
                                <w:szCs w:val="20"/>
                                <w:lang w:val="es-ES"/>
                              </w:rPr>
                              <w:t>167</w:t>
                            </w:r>
                            <w:r w:rsidRPr="001E1ED6">
                              <w:rPr>
                                <w:rFonts w:ascii="Cambria" w:hAnsi="Cambria" w:cs="Univers"/>
                                <w:color w:val="0D0D0D" w:themeColor="text1" w:themeTint="F2"/>
                                <w:sz w:val="18"/>
                                <w:szCs w:val="20"/>
                                <w:lang w:val="es-ES_tradnl"/>
                              </w:rPr>
                              <w:t xml:space="preserve"> período </w:t>
                            </w:r>
                            <w:r w:rsidRPr="006F7E8E">
                              <w:rPr>
                                <w:rFonts w:ascii="Cambria" w:hAnsi="Cambria" w:cs="Univers"/>
                                <w:color w:val="0D0D0D" w:themeColor="text1" w:themeTint="F2"/>
                                <w:sz w:val="18"/>
                                <w:szCs w:val="20"/>
                                <w:lang w:val="es-ES_tradnl"/>
                              </w:rPr>
                              <w:t>extraordinario</w:t>
                            </w:r>
                            <w:r w:rsidRPr="001E1ED6">
                              <w:rPr>
                                <w:rFonts w:ascii="Cambria" w:hAnsi="Cambria" w:cs="Univers"/>
                                <w:color w:val="0D0D0D" w:themeColor="text1" w:themeTint="F2"/>
                                <w:sz w:val="18"/>
                                <w:szCs w:val="20"/>
                                <w:lang w:val="es-ES_tradnl"/>
                              </w:rPr>
                              <w:t xml:space="preserve"> de sesiones</w:t>
                            </w:r>
                            <w:r w:rsidR="00890735">
                              <w:rPr>
                                <w:rFonts w:ascii="Cambria" w:hAnsi="Cambria" w:cs="Univers"/>
                                <w:color w:val="0D0D0D" w:themeColor="text1" w:themeTint="F2"/>
                                <w:sz w:val="18"/>
                                <w:szCs w:val="20"/>
                                <w:lang w:val="es-ES_tradnl"/>
                              </w:rPr>
                              <w:t>.</w:t>
                            </w:r>
                          </w:p>
                          <w:p w:rsidR="0079557B" w:rsidRPr="007A5817" w:rsidRDefault="0079557B" w:rsidP="00910616">
                            <w:pPr>
                              <w:tabs>
                                <w:tab w:val="center" w:pos="5400"/>
                              </w:tabs>
                              <w:suppressAutoHyphens/>
                              <w:spacing w:before="60"/>
                              <w:rPr>
                                <w:rFonts w:asciiTheme="minorHAnsi" w:hAnsiTheme="minorHAnsi" w:cs="Univers"/>
                                <w:color w:val="0D0D0D" w:themeColor="text1" w:themeTint="F2"/>
                                <w:sz w:val="20"/>
                                <w:szCs w:val="20"/>
                                <w:lang w:val="es-ES"/>
                              </w:rPr>
                            </w:pPr>
                          </w:p>
                          <w:p w:rsidR="0079557B" w:rsidRPr="00167A34" w:rsidRDefault="0079557B" w:rsidP="00910616">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79557B" w:rsidRPr="001E1ED6" w:rsidRDefault="0079557B" w:rsidP="00910616">
                      <w:pPr>
                        <w:tabs>
                          <w:tab w:val="center" w:pos="5400"/>
                        </w:tabs>
                        <w:suppressAutoHyphens/>
                        <w:spacing w:before="60"/>
                        <w:rPr>
                          <w:rFonts w:ascii="Cambria" w:hAnsi="Cambria" w:cs="Univers"/>
                          <w:color w:val="0D0D0D" w:themeColor="text1" w:themeTint="F2"/>
                          <w:sz w:val="18"/>
                          <w:szCs w:val="20"/>
                          <w:lang w:val="es-ES_tradnl"/>
                        </w:rPr>
                      </w:pPr>
                      <w:r w:rsidRPr="001E1ED6">
                        <w:rPr>
                          <w:rFonts w:ascii="Cambria" w:hAnsi="Cambria"/>
                          <w:color w:val="0D0D0D" w:themeColor="text1" w:themeTint="F2"/>
                          <w:sz w:val="18"/>
                          <w:szCs w:val="20"/>
                          <w:lang w:val="es-ES"/>
                        </w:rPr>
                        <w:t>Aprobado por</w:t>
                      </w:r>
                      <w:r>
                        <w:rPr>
                          <w:rFonts w:ascii="Cambria" w:hAnsi="Cambria"/>
                          <w:color w:val="0D0D0D" w:themeColor="text1" w:themeTint="F2"/>
                          <w:sz w:val="18"/>
                          <w:szCs w:val="20"/>
                          <w:lang w:val="es-ES"/>
                        </w:rPr>
                        <w:t xml:space="preserve"> la Comisión en su sesión No. 2116 celebrada el 24 de febrero de 2018</w:t>
                      </w:r>
                      <w:r w:rsidRPr="001E1ED6">
                        <w:rPr>
                          <w:rFonts w:ascii="Cambria" w:hAnsi="Cambria"/>
                          <w:color w:val="0D0D0D" w:themeColor="text1" w:themeTint="F2"/>
                          <w:sz w:val="18"/>
                          <w:szCs w:val="20"/>
                          <w:lang w:val="es-ES"/>
                        </w:rPr>
                        <w:br/>
                      </w:r>
                      <w:r>
                        <w:rPr>
                          <w:rFonts w:ascii="Cambria" w:hAnsi="Cambria" w:cs="Univers"/>
                          <w:color w:val="0D0D0D" w:themeColor="text1" w:themeTint="F2"/>
                          <w:sz w:val="18"/>
                          <w:szCs w:val="20"/>
                          <w:lang w:val="es-ES"/>
                        </w:rPr>
                        <w:t>167</w:t>
                      </w:r>
                      <w:r w:rsidRPr="001E1ED6">
                        <w:rPr>
                          <w:rFonts w:ascii="Cambria" w:hAnsi="Cambria" w:cs="Univers"/>
                          <w:color w:val="0D0D0D" w:themeColor="text1" w:themeTint="F2"/>
                          <w:sz w:val="18"/>
                          <w:szCs w:val="20"/>
                          <w:lang w:val="es-ES_tradnl"/>
                        </w:rPr>
                        <w:t xml:space="preserve"> período </w:t>
                      </w:r>
                      <w:r w:rsidRPr="006F7E8E">
                        <w:rPr>
                          <w:rFonts w:ascii="Cambria" w:hAnsi="Cambria" w:cs="Univers"/>
                          <w:color w:val="0D0D0D" w:themeColor="text1" w:themeTint="F2"/>
                          <w:sz w:val="18"/>
                          <w:szCs w:val="20"/>
                          <w:lang w:val="es-ES_tradnl"/>
                        </w:rPr>
                        <w:t>extraordinario</w:t>
                      </w:r>
                      <w:r w:rsidRPr="001E1ED6">
                        <w:rPr>
                          <w:rFonts w:ascii="Cambria" w:hAnsi="Cambria" w:cs="Univers"/>
                          <w:color w:val="0D0D0D" w:themeColor="text1" w:themeTint="F2"/>
                          <w:sz w:val="18"/>
                          <w:szCs w:val="20"/>
                          <w:lang w:val="es-ES_tradnl"/>
                        </w:rPr>
                        <w:t xml:space="preserve"> de sesiones</w:t>
                      </w:r>
                      <w:r w:rsidR="00890735">
                        <w:rPr>
                          <w:rFonts w:ascii="Cambria" w:hAnsi="Cambria" w:cs="Univers"/>
                          <w:color w:val="0D0D0D" w:themeColor="text1" w:themeTint="F2"/>
                          <w:sz w:val="18"/>
                          <w:szCs w:val="20"/>
                          <w:lang w:val="es-ES_tradnl"/>
                        </w:rPr>
                        <w:t>.</w:t>
                      </w:r>
                    </w:p>
                    <w:p w:rsidR="0079557B" w:rsidRPr="007A5817" w:rsidRDefault="0079557B" w:rsidP="00910616">
                      <w:pPr>
                        <w:tabs>
                          <w:tab w:val="center" w:pos="5400"/>
                        </w:tabs>
                        <w:suppressAutoHyphens/>
                        <w:spacing w:before="60"/>
                        <w:rPr>
                          <w:rFonts w:asciiTheme="minorHAnsi" w:hAnsiTheme="minorHAnsi" w:cs="Univers"/>
                          <w:color w:val="0D0D0D" w:themeColor="text1" w:themeTint="F2"/>
                          <w:sz w:val="20"/>
                          <w:szCs w:val="20"/>
                          <w:lang w:val="es-ES"/>
                        </w:rPr>
                      </w:pPr>
                    </w:p>
                    <w:p w:rsidR="0079557B" w:rsidRPr="00167A34" w:rsidRDefault="0079557B" w:rsidP="00910616">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sz w:val="20"/>
          <w:szCs w:val="20"/>
          <w:lang w:val="es-ES_tradnl"/>
        </w:rPr>
      </w:pPr>
      <w:r w:rsidRPr="00910616">
        <w:rPr>
          <w:rFonts w:ascii="Cambria" w:hAnsi="Cambria"/>
          <w:noProof/>
          <w:sz w:val="20"/>
          <w:szCs w:val="20"/>
        </w:rPr>
        <mc:AlternateContent>
          <mc:Choice Requires="wps">
            <w:drawing>
              <wp:anchor distT="0" distB="0" distL="114300" distR="114300" simplePos="0" relativeHeight="251664384" behindDoc="0" locked="0" layoutInCell="1" allowOverlap="1" wp14:anchorId="15C783FE" wp14:editId="221F6ED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557B" w:rsidRPr="001E1ED6" w:rsidRDefault="0079557B" w:rsidP="00910616">
                            <w:pPr>
                              <w:spacing w:line="276" w:lineRule="auto"/>
                              <w:rPr>
                                <w:rFonts w:ascii="Cambria" w:hAnsi="Cambria"/>
                                <w:color w:val="595959" w:themeColor="text1" w:themeTint="A6"/>
                                <w:sz w:val="18"/>
                                <w:szCs w:val="18"/>
                                <w:lang w:val="es-US"/>
                              </w:rPr>
                            </w:pPr>
                            <w:r w:rsidRPr="00FF3BD7">
                              <w:rPr>
                                <w:rFonts w:ascii="Cambria" w:hAnsi="Cambria"/>
                                <w:b/>
                                <w:color w:val="595959" w:themeColor="text1" w:themeTint="A6"/>
                                <w:sz w:val="18"/>
                                <w:szCs w:val="18"/>
                                <w:lang w:val="pt-BR"/>
                              </w:rPr>
                              <w:t>Citar como:</w:t>
                            </w:r>
                            <w:r w:rsidRPr="00FF3BD7">
                              <w:rPr>
                                <w:rFonts w:ascii="Cambria" w:hAnsi="Cambria"/>
                                <w:color w:val="595959" w:themeColor="text1" w:themeTint="A6"/>
                                <w:sz w:val="18"/>
                                <w:szCs w:val="18"/>
                                <w:lang w:val="pt-BR"/>
                              </w:rPr>
                              <w:t xml:space="preserve"> CIDH, Informe No. 21/18, Caso 12.955. </w:t>
                            </w:r>
                            <w:r w:rsidRPr="001E1ED6">
                              <w:rPr>
                                <w:rFonts w:ascii="Cambria" w:hAnsi="Cambria"/>
                                <w:color w:val="595959" w:themeColor="text1" w:themeTint="A6"/>
                                <w:sz w:val="18"/>
                                <w:szCs w:val="18"/>
                                <w:lang w:val="es-ES_tradnl"/>
                              </w:rPr>
                              <w:t xml:space="preserve">Fondo. </w:t>
                            </w:r>
                            <w:r>
                              <w:rPr>
                                <w:rFonts w:ascii="Cambria" w:hAnsi="Cambria"/>
                                <w:color w:val="595959" w:themeColor="text1" w:themeTint="A6"/>
                                <w:sz w:val="18"/>
                                <w:szCs w:val="18"/>
                                <w:lang w:val="es-ES_tradnl"/>
                              </w:rPr>
                              <w:t xml:space="preserve">Daniel Urrutia </w:t>
                            </w:r>
                            <w:proofErr w:type="spellStart"/>
                            <w:r>
                              <w:rPr>
                                <w:rFonts w:ascii="Cambria" w:hAnsi="Cambria"/>
                                <w:color w:val="595959" w:themeColor="text1" w:themeTint="A6"/>
                                <w:sz w:val="18"/>
                                <w:szCs w:val="18"/>
                                <w:lang w:val="es-ES_tradnl"/>
                              </w:rPr>
                              <w:t>Laubreaux</w:t>
                            </w:r>
                            <w:r w:rsidRPr="001E1ED6">
                              <w:rPr>
                                <w:rFonts w:ascii="Cambria" w:hAnsi="Cambria"/>
                                <w:color w:val="595959" w:themeColor="text1" w:themeTint="A6"/>
                                <w:sz w:val="18"/>
                                <w:szCs w:val="18"/>
                                <w:lang w:val="es-ES_tradnl"/>
                              </w:rPr>
                              <w:t>.</w:t>
                            </w:r>
                            <w:r>
                              <w:rPr>
                                <w:rFonts w:ascii="Cambria" w:hAnsi="Cambria"/>
                                <w:color w:val="595959" w:themeColor="text1" w:themeTint="A6"/>
                                <w:sz w:val="18"/>
                                <w:szCs w:val="18"/>
                                <w:lang w:val="es-ES_tradnl"/>
                              </w:rPr>
                              <w:t>Chile</w:t>
                            </w:r>
                            <w:proofErr w:type="spellEnd"/>
                            <w:r w:rsidRPr="001E1ED6">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US"/>
                              </w:rPr>
                              <w:t>24 de febrero de 2018</w:t>
                            </w:r>
                            <w:r w:rsidRPr="001E1ED6">
                              <w:rPr>
                                <w:rFonts w:ascii="Cambria" w:hAnsi="Cambria"/>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79557B" w:rsidRPr="001E1ED6" w:rsidRDefault="0079557B" w:rsidP="00910616">
                      <w:pPr>
                        <w:spacing w:line="276" w:lineRule="auto"/>
                        <w:rPr>
                          <w:rFonts w:ascii="Cambria" w:hAnsi="Cambria"/>
                          <w:color w:val="595959" w:themeColor="text1" w:themeTint="A6"/>
                          <w:sz w:val="18"/>
                          <w:szCs w:val="18"/>
                          <w:lang w:val="es-US"/>
                        </w:rPr>
                      </w:pPr>
                      <w:r w:rsidRPr="00FF3BD7">
                        <w:rPr>
                          <w:rFonts w:ascii="Cambria" w:hAnsi="Cambria"/>
                          <w:b/>
                          <w:color w:val="595959" w:themeColor="text1" w:themeTint="A6"/>
                          <w:sz w:val="18"/>
                          <w:szCs w:val="18"/>
                          <w:lang w:val="pt-BR"/>
                        </w:rPr>
                        <w:t>Citar como:</w:t>
                      </w:r>
                      <w:r w:rsidRPr="00FF3BD7">
                        <w:rPr>
                          <w:rFonts w:ascii="Cambria" w:hAnsi="Cambria"/>
                          <w:color w:val="595959" w:themeColor="text1" w:themeTint="A6"/>
                          <w:sz w:val="18"/>
                          <w:szCs w:val="18"/>
                          <w:lang w:val="pt-BR"/>
                        </w:rPr>
                        <w:t xml:space="preserve"> CIDH, Informe No. 21/18, Caso 12.955. </w:t>
                      </w:r>
                      <w:r w:rsidRPr="001E1ED6">
                        <w:rPr>
                          <w:rFonts w:ascii="Cambria" w:hAnsi="Cambria"/>
                          <w:color w:val="595959" w:themeColor="text1" w:themeTint="A6"/>
                          <w:sz w:val="18"/>
                          <w:szCs w:val="18"/>
                          <w:lang w:val="es-ES_tradnl"/>
                        </w:rPr>
                        <w:t xml:space="preserve">Fondo. </w:t>
                      </w:r>
                      <w:r>
                        <w:rPr>
                          <w:rFonts w:ascii="Cambria" w:hAnsi="Cambria"/>
                          <w:color w:val="595959" w:themeColor="text1" w:themeTint="A6"/>
                          <w:sz w:val="18"/>
                          <w:szCs w:val="18"/>
                          <w:lang w:val="es-ES_tradnl"/>
                        </w:rPr>
                        <w:t>Daniel Urrutia Laubreaux</w:t>
                      </w:r>
                      <w:r w:rsidRPr="001E1ED6">
                        <w:rPr>
                          <w:rFonts w:ascii="Cambria" w:hAnsi="Cambria"/>
                          <w:color w:val="595959" w:themeColor="text1" w:themeTint="A6"/>
                          <w:sz w:val="18"/>
                          <w:szCs w:val="18"/>
                          <w:lang w:val="es-ES_tradnl"/>
                        </w:rPr>
                        <w:t>.</w:t>
                      </w:r>
                      <w:r>
                        <w:rPr>
                          <w:rFonts w:ascii="Cambria" w:hAnsi="Cambria"/>
                          <w:color w:val="595959" w:themeColor="text1" w:themeTint="A6"/>
                          <w:sz w:val="18"/>
                          <w:szCs w:val="18"/>
                          <w:lang w:val="es-ES_tradnl"/>
                        </w:rPr>
                        <w:t>Chile</w:t>
                      </w:r>
                      <w:r w:rsidRPr="001E1ED6">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US"/>
                        </w:rPr>
                        <w:t>24 de febrero de 2018</w:t>
                      </w:r>
                      <w:r w:rsidRPr="001E1ED6">
                        <w:rPr>
                          <w:rFonts w:ascii="Cambria" w:hAnsi="Cambria"/>
                          <w:color w:val="595959" w:themeColor="text1" w:themeTint="A6"/>
                          <w:sz w:val="18"/>
                          <w:szCs w:val="18"/>
                          <w:lang w:val="es-US"/>
                        </w:rPr>
                        <w:t>.</w:t>
                      </w:r>
                    </w:p>
                  </w:txbxContent>
                </v:textbox>
              </v:shape>
            </w:pict>
          </mc:Fallback>
        </mc:AlternateContent>
      </w:r>
    </w:p>
    <w:p w:rsidR="00910616" w:rsidRPr="00910616" w:rsidRDefault="00910616" w:rsidP="00910616">
      <w:pPr>
        <w:tabs>
          <w:tab w:val="center" w:pos="5400"/>
        </w:tabs>
        <w:suppressAutoHyphens/>
        <w:jc w:val="center"/>
        <w:rPr>
          <w:rFonts w:ascii="Cambria" w:hAnsi="Cambria"/>
          <w:sz w:val="20"/>
          <w:szCs w:val="20"/>
          <w:lang w:val="es-ES_tradnl"/>
        </w:rPr>
      </w:pPr>
    </w:p>
    <w:p w:rsidR="00910616" w:rsidRPr="00910616" w:rsidRDefault="00910616" w:rsidP="00910616">
      <w:pPr>
        <w:tabs>
          <w:tab w:val="center" w:pos="5400"/>
        </w:tabs>
        <w:suppressAutoHyphens/>
        <w:jc w:val="center"/>
        <w:rPr>
          <w:rFonts w:ascii="Cambria" w:hAnsi="Cambria"/>
          <w:b/>
          <w:sz w:val="20"/>
          <w:szCs w:val="20"/>
          <w:lang w:val="es-ES_tradnl"/>
        </w:rPr>
      </w:pPr>
      <w:r w:rsidRPr="00910616">
        <w:rPr>
          <w:rFonts w:ascii="Cambria" w:hAnsi="Cambria"/>
          <w:noProof/>
          <w:sz w:val="20"/>
          <w:szCs w:val="20"/>
        </w:rPr>
        <mc:AlternateContent>
          <mc:Choice Requires="wps">
            <w:drawing>
              <wp:anchor distT="0" distB="0" distL="114300" distR="114300" simplePos="0" relativeHeight="251665408" behindDoc="0" locked="0" layoutInCell="1" allowOverlap="1" wp14:anchorId="2AEBA6C4" wp14:editId="2D69685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557B" w:rsidRPr="00D72DC6" w:rsidRDefault="0079557B" w:rsidP="00910616">
                            <w:pPr>
                              <w:rPr>
                                <w:color w:val="FFFFFF" w:themeColor="background1"/>
                                <w14:textFill>
                                  <w14:noFill/>
                                </w14:textFill>
                              </w:rPr>
                            </w:pPr>
                            <w:r w:rsidRPr="00D72DC6">
                              <w:rPr>
                                <w:noProof/>
                                <w:color w:val="FFFFFF" w:themeColor="background1"/>
                                <w14:textFill>
                                  <w14:noFill/>
                                </w14:textFill>
                              </w:rPr>
                              <w:drawing>
                                <wp:inline distT="0" distB="0" distL="0" distR="0" wp14:anchorId="16DA9DAB" wp14:editId="5BDF5494">
                                  <wp:extent cx="1338942" cy="390525"/>
                                  <wp:effectExtent l="0" t="0" r="0" b="0"/>
                                  <wp:docPr id="2"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79557B" w:rsidRPr="00D72DC6" w:rsidRDefault="0079557B" w:rsidP="00910616">
                      <w:pPr>
                        <w:rPr>
                          <w:color w:val="FFFFFF" w:themeColor="background1"/>
                          <w14:textFill>
                            <w14:noFill/>
                          </w14:textFill>
                        </w:rPr>
                      </w:pPr>
                      <w:r w:rsidRPr="00D72DC6">
                        <w:rPr>
                          <w:noProof/>
                          <w:color w:val="FFFFFF" w:themeColor="background1"/>
                          <w14:textFill>
                            <w14:noFill/>
                          </w14:textFill>
                        </w:rPr>
                        <w:drawing>
                          <wp:inline distT="0" distB="0" distL="0" distR="0" wp14:anchorId="16DA9DAB" wp14:editId="5BDF5494">
                            <wp:extent cx="1338942" cy="390525"/>
                            <wp:effectExtent l="0" t="0" r="0" b="0"/>
                            <wp:docPr id="2"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10616">
        <w:rPr>
          <w:rFonts w:ascii="Cambria" w:hAnsi="Cambria"/>
          <w:noProof/>
          <w:sz w:val="20"/>
          <w:szCs w:val="20"/>
        </w:rPr>
        <mc:AlternateContent>
          <mc:Choice Requires="wps">
            <w:drawing>
              <wp:anchor distT="0" distB="0" distL="114300" distR="114300" simplePos="0" relativeHeight="251666432" behindDoc="0" locked="0" layoutInCell="1" allowOverlap="1" wp14:anchorId="3FD3F7B1" wp14:editId="41D21C5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557B" w:rsidRPr="004B7EB6" w:rsidRDefault="0079557B" w:rsidP="00910616">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79557B" w:rsidRPr="004B7EB6" w:rsidRDefault="0079557B" w:rsidP="00910616">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910616" w:rsidRPr="00910616" w:rsidRDefault="00910616" w:rsidP="00910616">
      <w:pPr>
        <w:tabs>
          <w:tab w:val="center" w:pos="5400"/>
        </w:tabs>
        <w:suppressAutoHyphens/>
        <w:jc w:val="center"/>
        <w:rPr>
          <w:rFonts w:ascii="Cambria" w:hAnsi="Cambria"/>
          <w:b/>
          <w:sz w:val="20"/>
          <w:szCs w:val="20"/>
          <w:lang w:val="es-ES_tradnl"/>
        </w:rPr>
        <w:sectPr w:rsidR="00910616" w:rsidRPr="00910616" w:rsidSect="00910616">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26"/>
        </w:sectPr>
      </w:pPr>
    </w:p>
    <w:p w:rsidR="00910616" w:rsidRPr="00910616" w:rsidRDefault="00FF3BD7" w:rsidP="00910616">
      <w:pPr>
        <w:tabs>
          <w:tab w:val="center" w:pos="5400"/>
        </w:tabs>
        <w:suppressAutoHyphens/>
        <w:spacing w:line="276" w:lineRule="auto"/>
        <w:jc w:val="center"/>
        <w:rPr>
          <w:rFonts w:ascii="Cambria" w:hAnsi="Cambria"/>
          <w:b/>
          <w:sz w:val="20"/>
          <w:szCs w:val="20"/>
          <w:lang w:val="es-CO"/>
        </w:rPr>
      </w:pPr>
      <w:r>
        <w:rPr>
          <w:rFonts w:ascii="Cambria" w:hAnsi="Cambria"/>
          <w:b/>
          <w:sz w:val="20"/>
          <w:szCs w:val="20"/>
          <w:lang w:val="es-CO"/>
        </w:rPr>
        <w:lastRenderedPageBreak/>
        <w:t>INFORME No. 21/18</w:t>
      </w:r>
    </w:p>
    <w:p w:rsidR="00910616" w:rsidRPr="00910616" w:rsidRDefault="00910616" w:rsidP="00910616">
      <w:pPr>
        <w:tabs>
          <w:tab w:val="center" w:pos="5400"/>
        </w:tabs>
        <w:suppressAutoHyphens/>
        <w:spacing w:line="276" w:lineRule="auto"/>
        <w:jc w:val="center"/>
        <w:rPr>
          <w:rFonts w:ascii="Cambria" w:hAnsi="Cambria"/>
          <w:b/>
          <w:sz w:val="20"/>
          <w:szCs w:val="20"/>
          <w:lang w:val="es-CO"/>
        </w:rPr>
      </w:pPr>
      <w:r w:rsidRPr="00910616">
        <w:rPr>
          <w:rFonts w:ascii="Cambria" w:hAnsi="Cambria"/>
          <w:b/>
          <w:sz w:val="20"/>
          <w:szCs w:val="20"/>
          <w:lang w:val="es-CO"/>
        </w:rPr>
        <w:t>CASO 12.955</w:t>
      </w:r>
    </w:p>
    <w:p w:rsidR="00910616" w:rsidRPr="00910616" w:rsidRDefault="00910616" w:rsidP="00910616">
      <w:pPr>
        <w:tabs>
          <w:tab w:val="center" w:pos="5400"/>
        </w:tabs>
        <w:suppressAutoHyphens/>
        <w:spacing w:line="276" w:lineRule="auto"/>
        <w:jc w:val="center"/>
        <w:rPr>
          <w:rFonts w:ascii="Cambria" w:hAnsi="Cambria"/>
          <w:sz w:val="20"/>
          <w:szCs w:val="20"/>
          <w:lang w:val="es-ES_tradnl"/>
        </w:rPr>
      </w:pPr>
      <w:r w:rsidRPr="00910616">
        <w:rPr>
          <w:rFonts w:ascii="Cambria" w:hAnsi="Cambria"/>
          <w:sz w:val="20"/>
          <w:szCs w:val="20"/>
          <w:lang w:val="es-ES_tradnl"/>
        </w:rPr>
        <w:t>FONDO</w:t>
      </w:r>
    </w:p>
    <w:p w:rsidR="00910616" w:rsidRPr="00910616" w:rsidRDefault="00910616" w:rsidP="00910616">
      <w:pPr>
        <w:tabs>
          <w:tab w:val="center" w:pos="5400"/>
        </w:tabs>
        <w:suppressAutoHyphens/>
        <w:spacing w:line="276" w:lineRule="auto"/>
        <w:jc w:val="center"/>
        <w:rPr>
          <w:rFonts w:ascii="Cambria" w:hAnsi="Cambria"/>
          <w:sz w:val="20"/>
          <w:szCs w:val="20"/>
          <w:lang w:val="es-ES_tradnl"/>
        </w:rPr>
      </w:pPr>
      <w:r w:rsidRPr="00910616">
        <w:rPr>
          <w:rFonts w:ascii="Cambria" w:hAnsi="Cambria"/>
          <w:sz w:val="20"/>
          <w:szCs w:val="20"/>
          <w:lang w:val="es-ES_tradnl"/>
        </w:rPr>
        <w:t>DANIEL URRUTIA LABREAUX</w:t>
      </w:r>
    </w:p>
    <w:p w:rsidR="00910616" w:rsidRPr="00910616" w:rsidRDefault="00910616" w:rsidP="00910616">
      <w:pPr>
        <w:tabs>
          <w:tab w:val="center" w:pos="5400"/>
        </w:tabs>
        <w:suppressAutoHyphens/>
        <w:spacing w:line="276" w:lineRule="auto"/>
        <w:jc w:val="center"/>
        <w:rPr>
          <w:rFonts w:ascii="Cambria" w:hAnsi="Cambria"/>
          <w:sz w:val="20"/>
          <w:szCs w:val="20"/>
          <w:lang w:val="es-ES_tradnl"/>
        </w:rPr>
      </w:pPr>
      <w:r w:rsidRPr="00910616">
        <w:rPr>
          <w:rFonts w:ascii="Cambria" w:hAnsi="Cambria"/>
          <w:sz w:val="20"/>
          <w:szCs w:val="20"/>
          <w:lang w:val="es-ES_tradnl"/>
        </w:rPr>
        <w:t>CHILE</w:t>
      </w:r>
    </w:p>
    <w:p w:rsidR="00910616" w:rsidRPr="00910616" w:rsidRDefault="00FF3BD7" w:rsidP="00910616">
      <w:pPr>
        <w:tabs>
          <w:tab w:val="center" w:pos="5400"/>
        </w:tabs>
        <w:suppressAutoHyphens/>
        <w:spacing w:line="276" w:lineRule="auto"/>
        <w:jc w:val="center"/>
        <w:rPr>
          <w:rFonts w:ascii="Cambria" w:hAnsi="Cambria"/>
          <w:sz w:val="20"/>
          <w:szCs w:val="20"/>
          <w:lang w:val="es-ES_tradnl"/>
        </w:rPr>
      </w:pPr>
      <w:r>
        <w:rPr>
          <w:rFonts w:ascii="Cambria" w:hAnsi="Cambria"/>
          <w:sz w:val="20"/>
          <w:szCs w:val="20"/>
          <w:lang w:val="es-ES_tradnl"/>
        </w:rPr>
        <w:t>24 DE FEBRERO DE 2018</w:t>
      </w:r>
    </w:p>
    <w:p w:rsidR="00910616" w:rsidRPr="00910616" w:rsidRDefault="00910616" w:rsidP="00910616">
      <w:pPr>
        <w:tabs>
          <w:tab w:val="center" w:pos="5400"/>
        </w:tabs>
        <w:suppressAutoHyphens/>
        <w:spacing w:line="276" w:lineRule="auto"/>
        <w:jc w:val="center"/>
        <w:rPr>
          <w:rFonts w:ascii="Cambria" w:hAnsi="Cambria"/>
          <w:sz w:val="20"/>
          <w:szCs w:val="20"/>
          <w:lang w:val="es-ES_tradnl"/>
        </w:rPr>
      </w:pPr>
    </w:p>
    <w:p w:rsidR="00910616" w:rsidRPr="00910616" w:rsidRDefault="00910616" w:rsidP="00910616">
      <w:pPr>
        <w:tabs>
          <w:tab w:val="center" w:pos="5400"/>
        </w:tabs>
        <w:suppressAutoHyphens/>
        <w:spacing w:line="276" w:lineRule="auto"/>
        <w:jc w:val="center"/>
        <w:rPr>
          <w:rFonts w:ascii="Cambria" w:hAnsi="Cambria"/>
          <w:b/>
          <w:sz w:val="20"/>
          <w:szCs w:val="20"/>
          <w:lang w:val="es-ES_tradnl"/>
        </w:rPr>
      </w:pPr>
      <w:r w:rsidRPr="00910616">
        <w:rPr>
          <w:rFonts w:ascii="Cambria" w:hAnsi="Cambria"/>
          <w:b/>
          <w:sz w:val="20"/>
          <w:szCs w:val="20"/>
          <w:lang w:val="es-ES_tradnl"/>
        </w:rPr>
        <w:t>ÍNDICE</w:t>
      </w:r>
    </w:p>
    <w:p w:rsidR="00910616" w:rsidRPr="00910616" w:rsidRDefault="00910616" w:rsidP="00910616">
      <w:pPr>
        <w:tabs>
          <w:tab w:val="center" w:pos="5400"/>
        </w:tabs>
        <w:suppressAutoHyphens/>
        <w:spacing w:line="276" w:lineRule="auto"/>
        <w:rPr>
          <w:rFonts w:ascii="Cambria" w:hAnsi="Cambria"/>
          <w:sz w:val="20"/>
          <w:szCs w:val="20"/>
          <w:lang w:val="es-ES_tradnl"/>
        </w:rPr>
      </w:pPr>
    </w:p>
    <w:sdt>
      <w:sdtPr>
        <w:rPr>
          <w:rFonts w:ascii="Cambria" w:eastAsia="Arial Unicode MS" w:hAnsi="Cambria" w:cs="Times New Roman"/>
          <w:b w:val="0"/>
          <w:bCs w:val="0"/>
          <w:color w:val="auto"/>
          <w:sz w:val="20"/>
          <w:szCs w:val="20"/>
          <w:bdr w:val="nil"/>
          <w:lang w:eastAsia="en-US"/>
        </w:rPr>
        <w:id w:val="1650404666"/>
        <w:docPartObj>
          <w:docPartGallery w:val="Table of Contents"/>
          <w:docPartUnique/>
        </w:docPartObj>
      </w:sdtPr>
      <w:sdtEndPr>
        <w:rPr>
          <w:noProof/>
        </w:rPr>
      </w:sdtEndPr>
      <w:sdtContent>
        <w:p w:rsidR="00910616" w:rsidRPr="00910616" w:rsidRDefault="00910616" w:rsidP="00910616">
          <w:pPr>
            <w:pStyle w:val="TOCHeading"/>
            <w:rPr>
              <w:rFonts w:ascii="Cambria" w:hAnsi="Cambria"/>
              <w:sz w:val="20"/>
              <w:szCs w:val="20"/>
            </w:rPr>
          </w:pPr>
        </w:p>
        <w:p w:rsidR="006F7E8E" w:rsidRPr="006F7E8E" w:rsidRDefault="00910616" w:rsidP="0038730F">
          <w:pPr>
            <w:pStyle w:val="TOC1"/>
            <w:tabs>
              <w:tab w:val="left" w:pos="720"/>
            </w:tabs>
            <w:rPr>
              <w:rFonts w:ascii="Cambria" w:eastAsiaTheme="minorEastAsia" w:hAnsi="Cambria" w:cstheme="minorBidi"/>
              <w:b w:val="0"/>
              <w:bdr w:val="none" w:sz="0" w:space="0" w:color="auto"/>
              <w:lang w:val="en-US"/>
            </w:rPr>
          </w:pPr>
          <w:r w:rsidRPr="00910616">
            <w:rPr>
              <w:rFonts w:ascii="Cambria" w:hAnsi="Cambria"/>
            </w:rPr>
            <w:fldChar w:fldCharType="begin"/>
          </w:r>
          <w:r w:rsidRPr="00910616">
            <w:rPr>
              <w:rFonts w:ascii="Cambria" w:hAnsi="Cambria"/>
            </w:rPr>
            <w:instrText xml:space="preserve"> TOC \o "1-3" \h \z \u </w:instrText>
          </w:r>
          <w:r w:rsidRPr="00910616">
            <w:rPr>
              <w:rFonts w:ascii="Cambria" w:hAnsi="Cambria"/>
            </w:rPr>
            <w:fldChar w:fldCharType="separate"/>
          </w:r>
          <w:hyperlink w:anchor="_Toc505936554" w:history="1">
            <w:r w:rsidR="006F7E8E" w:rsidRPr="006F7E8E">
              <w:rPr>
                <w:rStyle w:val="Hyperlink"/>
                <w:rFonts w:ascii="Cambria" w:hAnsi="Cambria"/>
              </w:rPr>
              <w:t>I.</w:t>
            </w:r>
            <w:r w:rsidR="006F7E8E" w:rsidRPr="006F7E8E">
              <w:rPr>
                <w:rFonts w:ascii="Cambria" w:eastAsiaTheme="minorEastAsia" w:hAnsi="Cambria" w:cstheme="minorBidi"/>
                <w:b w:val="0"/>
                <w:bdr w:val="none" w:sz="0" w:space="0" w:color="auto"/>
                <w:lang w:val="en-US"/>
              </w:rPr>
              <w:tab/>
            </w:r>
            <w:r w:rsidR="006F7E8E" w:rsidRPr="006F7E8E">
              <w:rPr>
                <w:rStyle w:val="Hyperlink"/>
                <w:rFonts w:ascii="Cambria" w:hAnsi="Cambria"/>
              </w:rPr>
              <w:t>RESUMEN</w:t>
            </w:r>
            <w:r w:rsidR="006F7E8E" w:rsidRPr="006F7E8E">
              <w:rPr>
                <w:rFonts w:ascii="Cambria" w:hAnsi="Cambria"/>
                <w:webHidden/>
              </w:rPr>
              <w:tab/>
            </w:r>
            <w:r w:rsidR="006F7E8E" w:rsidRPr="00890735">
              <w:rPr>
                <w:rFonts w:ascii="Cambria" w:hAnsi="Cambria"/>
                <w:b w:val="0"/>
                <w:webHidden/>
              </w:rPr>
              <w:fldChar w:fldCharType="begin"/>
            </w:r>
            <w:r w:rsidR="006F7E8E" w:rsidRPr="00890735">
              <w:rPr>
                <w:rFonts w:ascii="Cambria" w:hAnsi="Cambria"/>
                <w:b w:val="0"/>
                <w:webHidden/>
              </w:rPr>
              <w:instrText xml:space="preserve"> PAGEREF _Toc505936554 \h </w:instrText>
            </w:r>
            <w:r w:rsidR="006F7E8E" w:rsidRPr="00890735">
              <w:rPr>
                <w:rFonts w:ascii="Cambria" w:hAnsi="Cambria"/>
                <w:b w:val="0"/>
                <w:webHidden/>
              </w:rPr>
            </w:r>
            <w:r w:rsidR="006F7E8E" w:rsidRPr="00890735">
              <w:rPr>
                <w:rFonts w:ascii="Cambria" w:hAnsi="Cambria"/>
                <w:b w:val="0"/>
                <w:webHidden/>
              </w:rPr>
              <w:fldChar w:fldCharType="separate"/>
            </w:r>
            <w:r w:rsidR="00441C2D">
              <w:rPr>
                <w:rFonts w:ascii="Cambria" w:hAnsi="Cambria"/>
                <w:b w:val="0"/>
                <w:webHidden/>
              </w:rPr>
              <w:t>2</w:t>
            </w:r>
            <w:r w:rsidR="006F7E8E" w:rsidRPr="00890735">
              <w:rPr>
                <w:rFonts w:ascii="Cambria" w:hAnsi="Cambria"/>
                <w:b w:val="0"/>
                <w:webHidden/>
              </w:rPr>
              <w:fldChar w:fldCharType="end"/>
            </w:r>
          </w:hyperlink>
        </w:p>
        <w:p w:rsidR="006F7E8E" w:rsidRPr="006F7E8E" w:rsidRDefault="006E26D1" w:rsidP="0038730F">
          <w:pPr>
            <w:pStyle w:val="TOC1"/>
            <w:tabs>
              <w:tab w:val="left" w:pos="720"/>
            </w:tabs>
            <w:rPr>
              <w:rFonts w:ascii="Cambria" w:eastAsiaTheme="minorEastAsia" w:hAnsi="Cambria" w:cstheme="minorBidi"/>
              <w:b w:val="0"/>
              <w:bdr w:val="none" w:sz="0" w:space="0" w:color="auto"/>
              <w:lang w:val="en-US"/>
            </w:rPr>
          </w:pPr>
          <w:hyperlink w:anchor="_Toc505936555" w:history="1">
            <w:r w:rsidR="006F7E8E" w:rsidRPr="006F7E8E">
              <w:rPr>
                <w:rStyle w:val="Hyperlink"/>
                <w:rFonts w:ascii="Cambria" w:hAnsi="Cambria"/>
              </w:rPr>
              <w:t>II.</w:t>
            </w:r>
            <w:r w:rsidR="006F7E8E" w:rsidRPr="006F7E8E">
              <w:rPr>
                <w:rFonts w:ascii="Cambria" w:eastAsiaTheme="minorEastAsia" w:hAnsi="Cambria" w:cstheme="minorBidi"/>
                <w:b w:val="0"/>
                <w:bdr w:val="none" w:sz="0" w:space="0" w:color="auto"/>
                <w:lang w:val="en-US"/>
              </w:rPr>
              <w:tab/>
            </w:r>
            <w:r w:rsidR="006F7E8E" w:rsidRPr="006F7E8E">
              <w:rPr>
                <w:rStyle w:val="Hyperlink"/>
                <w:rFonts w:ascii="Cambria" w:hAnsi="Cambria"/>
                <w:lang w:val="es-CO"/>
              </w:rPr>
              <w:t>ALEGATOS DE LAS PARTES</w:t>
            </w:r>
            <w:r w:rsidR="006F7E8E" w:rsidRPr="006F7E8E">
              <w:rPr>
                <w:rFonts w:ascii="Cambria" w:hAnsi="Cambria"/>
                <w:webHidden/>
              </w:rPr>
              <w:tab/>
            </w:r>
            <w:r w:rsidR="006F7E8E" w:rsidRPr="00890735">
              <w:rPr>
                <w:rFonts w:ascii="Cambria" w:hAnsi="Cambria"/>
                <w:b w:val="0"/>
                <w:webHidden/>
              </w:rPr>
              <w:fldChar w:fldCharType="begin"/>
            </w:r>
            <w:r w:rsidR="006F7E8E" w:rsidRPr="00890735">
              <w:rPr>
                <w:rFonts w:ascii="Cambria" w:hAnsi="Cambria"/>
                <w:b w:val="0"/>
                <w:webHidden/>
              </w:rPr>
              <w:instrText xml:space="preserve"> PAGEREF _Toc505936555 \h </w:instrText>
            </w:r>
            <w:r w:rsidR="006F7E8E" w:rsidRPr="00890735">
              <w:rPr>
                <w:rFonts w:ascii="Cambria" w:hAnsi="Cambria"/>
                <w:b w:val="0"/>
                <w:webHidden/>
              </w:rPr>
            </w:r>
            <w:r w:rsidR="006F7E8E" w:rsidRPr="00890735">
              <w:rPr>
                <w:rFonts w:ascii="Cambria" w:hAnsi="Cambria"/>
                <w:b w:val="0"/>
                <w:webHidden/>
              </w:rPr>
              <w:fldChar w:fldCharType="separate"/>
            </w:r>
            <w:r w:rsidR="00441C2D">
              <w:rPr>
                <w:rFonts w:ascii="Cambria" w:hAnsi="Cambria"/>
                <w:b w:val="0"/>
                <w:webHidden/>
              </w:rPr>
              <w:t>3</w:t>
            </w:r>
            <w:r w:rsidR="006F7E8E" w:rsidRPr="00890735">
              <w:rPr>
                <w:rFonts w:ascii="Cambria" w:hAnsi="Cambria"/>
                <w:b w:val="0"/>
                <w:webHidden/>
              </w:rPr>
              <w:fldChar w:fldCharType="end"/>
            </w:r>
          </w:hyperlink>
        </w:p>
        <w:p w:rsidR="006F7E8E" w:rsidRPr="006F7E8E" w:rsidRDefault="006E26D1" w:rsidP="0038730F">
          <w:pPr>
            <w:pStyle w:val="TOC2"/>
            <w:tabs>
              <w:tab w:val="left" w:pos="720"/>
            </w:tabs>
            <w:rPr>
              <w:rFonts w:ascii="Cambria" w:eastAsiaTheme="minorEastAsia" w:hAnsi="Cambria" w:cstheme="minorBidi"/>
              <w:noProof/>
              <w:sz w:val="20"/>
              <w:szCs w:val="20"/>
              <w:bdr w:val="none" w:sz="0" w:space="0" w:color="auto"/>
            </w:rPr>
          </w:pPr>
          <w:hyperlink w:anchor="_Toc505936556" w:history="1">
            <w:r w:rsidR="006F7E8E" w:rsidRPr="006F7E8E">
              <w:rPr>
                <w:rStyle w:val="Hyperlink"/>
                <w:rFonts w:ascii="Cambria" w:hAnsi="Cambria"/>
                <w:noProof/>
                <w:sz w:val="20"/>
                <w:szCs w:val="20"/>
                <w:lang w:val="es-VE"/>
              </w:rPr>
              <w:t>A.</w:t>
            </w:r>
            <w:r w:rsidR="006F7E8E" w:rsidRPr="006F7E8E">
              <w:rPr>
                <w:rFonts w:ascii="Cambria" w:eastAsiaTheme="minorEastAsia" w:hAnsi="Cambria" w:cstheme="minorBidi"/>
                <w:noProof/>
                <w:sz w:val="20"/>
                <w:szCs w:val="20"/>
                <w:bdr w:val="none" w:sz="0" w:space="0" w:color="auto"/>
              </w:rPr>
              <w:tab/>
            </w:r>
            <w:r w:rsidR="006F7E8E" w:rsidRPr="006F7E8E">
              <w:rPr>
                <w:rStyle w:val="Hyperlink"/>
                <w:rFonts w:ascii="Cambria" w:hAnsi="Cambria"/>
                <w:noProof/>
                <w:sz w:val="20"/>
                <w:szCs w:val="20"/>
                <w:lang w:val="es-VE"/>
              </w:rPr>
              <w:t>Parte peticionaria</w:t>
            </w:r>
            <w:r w:rsidR="006F7E8E" w:rsidRPr="006F7E8E">
              <w:rPr>
                <w:rFonts w:ascii="Cambria" w:hAnsi="Cambria"/>
                <w:noProof/>
                <w:webHidden/>
                <w:sz w:val="20"/>
                <w:szCs w:val="20"/>
              </w:rPr>
              <w:tab/>
            </w:r>
            <w:r w:rsidR="006F7E8E" w:rsidRPr="006F7E8E">
              <w:rPr>
                <w:rFonts w:ascii="Cambria" w:hAnsi="Cambria"/>
                <w:noProof/>
                <w:webHidden/>
                <w:sz w:val="20"/>
                <w:szCs w:val="20"/>
              </w:rPr>
              <w:fldChar w:fldCharType="begin"/>
            </w:r>
            <w:r w:rsidR="006F7E8E" w:rsidRPr="006F7E8E">
              <w:rPr>
                <w:rFonts w:ascii="Cambria" w:hAnsi="Cambria"/>
                <w:noProof/>
                <w:webHidden/>
                <w:sz w:val="20"/>
                <w:szCs w:val="20"/>
              </w:rPr>
              <w:instrText xml:space="preserve"> PAGEREF _Toc505936556 \h </w:instrText>
            </w:r>
            <w:r w:rsidR="006F7E8E" w:rsidRPr="006F7E8E">
              <w:rPr>
                <w:rFonts w:ascii="Cambria" w:hAnsi="Cambria"/>
                <w:noProof/>
                <w:webHidden/>
                <w:sz w:val="20"/>
                <w:szCs w:val="20"/>
              </w:rPr>
            </w:r>
            <w:r w:rsidR="006F7E8E" w:rsidRPr="006F7E8E">
              <w:rPr>
                <w:rFonts w:ascii="Cambria" w:hAnsi="Cambria"/>
                <w:noProof/>
                <w:webHidden/>
                <w:sz w:val="20"/>
                <w:szCs w:val="20"/>
              </w:rPr>
              <w:fldChar w:fldCharType="separate"/>
            </w:r>
            <w:r w:rsidR="00441C2D">
              <w:rPr>
                <w:rFonts w:ascii="Cambria" w:hAnsi="Cambria"/>
                <w:noProof/>
                <w:webHidden/>
                <w:sz w:val="20"/>
                <w:szCs w:val="20"/>
              </w:rPr>
              <w:t>3</w:t>
            </w:r>
            <w:r w:rsidR="006F7E8E" w:rsidRPr="006F7E8E">
              <w:rPr>
                <w:rFonts w:ascii="Cambria" w:hAnsi="Cambria"/>
                <w:noProof/>
                <w:webHidden/>
                <w:sz w:val="20"/>
                <w:szCs w:val="20"/>
              </w:rPr>
              <w:fldChar w:fldCharType="end"/>
            </w:r>
          </w:hyperlink>
        </w:p>
        <w:p w:rsidR="006F7E8E" w:rsidRPr="006F7E8E" w:rsidRDefault="006E26D1" w:rsidP="0038730F">
          <w:pPr>
            <w:pStyle w:val="TOC2"/>
            <w:tabs>
              <w:tab w:val="left" w:pos="720"/>
            </w:tabs>
            <w:rPr>
              <w:rFonts w:ascii="Cambria" w:eastAsiaTheme="minorEastAsia" w:hAnsi="Cambria" w:cstheme="minorBidi"/>
              <w:noProof/>
              <w:sz w:val="20"/>
              <w:szCs w:val="20"/>
              <w:bdr w:val="none" w:sz="0" w:space="0" w:color="auto"/>
            </w:rPr>
          </w:pPr>
          <w:hyperlink w:anchor="_Toc505936557" w:history="1">
            <w:r w:rsidR="006F7E8E" w:rsidRPr="006F7E8E">
              <w:rPr>
                <w:rStyle w:val="Hyperlink"/>
                <w:rFonts w:ascii="Cambria" w:hAnsi="Cambria"/>
                <w:noProof/>
                <w:sz w:val="20"/>
                <w:szCs w:val="20"/>
              </w:rPr>
              <w:t>B.</w:t>
            </w:r>
            <w:r w:rsidR="006F7E8E" w:rsidRPr="006F7E8E">
              <w:rPr>
                <w:rFonts w:ascii="Cambria" w:eastAsiaTheme="minorEastAsia" w:hAnsi="Cambria" w:cstheme="minorBidi"/>
                <w:noProof/>
                <w:sz w:val="20"/>
                <w:szCs w:val="20"/>
                <w:bdr w:val="none" w:sz="0" w:space="0" w:color="auto"/>
              </w:rPr>
              <w:tab/>
            </w:r>
            <w:r w:rsidR="006F7E8E" w:rsidRPr="006F7E8E">
              <w:rPr>
                <w:rStyle w:val="Hyperlink"/>
                <w:rFonts w:ascii="Cambria" w:hAnsi="Cambria"/>
                <w:noProof/>
                <w:sz w:val="20"/>
                <w:szCs w:val="20"/>
              </w:rPr>
              <w:t>Estado</w:t>
            </w:r>
            <w:r w:rsidR="006F7E8E" w:rsidRPr="006F7E8E">
              <w:rPr>
                <w:rFonts w:ascii="Cambria" w:hAnsi="Cambria"/>
                <w:noProof/>
                <w:webHidden/>
                <w:sz w:val="20"/>
                <w:szCs w:val="20"/>
              </w:rPr>
              <w:tab/>
            </w:r>
            <w:r w:rsidR="006F7E8E" w:rsidRPr="006F7E8E">
              <w:rPr>
                <w:rFonts w:ascii="Cambria" w:hAnsi="Cambria"/>
                <w:noProof/>
                <w:webHidden/>
                <w:sz w:val="20"/>
                <w:szCs w:val="20"/>
              </w:rPr>
              <w:fldChar w:fldCharType="begin"/>
            </w:r>
            <w:r w:rsidR="006F7E8E" w:rsidRPr="006F7E8E">
              <w:rPr>
                <w:rFonts w:ascii="Cambria" w:hAnsi="Cambria"/>
                <w:noProof/>
                <w:webHidden/>
                <w:sz w:val="20"/>
                <w:szCs w:val="20"/>
              </w:rPr>
              <w:instrText xml:space="preserve"> PAGEREF _Toc505936557 \h </w:instrText>
            </w:r>
            <w:r w:rsidR="006F7E8E" w:rsidRPr="006F7E8E">
              <w:rPr>
                <w:rFonts w:ascii="Cambria" w:hAnsi="Cambria"/>
                <w:noProof/>
                <w:webHidden/>
                <w:sz w:val="20"/>
                <w:szCs w:val="20"/>
              </w:rPr>
            </w:r>
            <w:r w:rsidR="006F7E8E" w:rsidRPr="006F7E8E">
              <w:rPr>
                <w:rFonts w:ascii="Cambria" w:hAnsi="Cambria"/>
                <w:noProof/>
                <w:webHidden/>
                <w:sz w:val="20"/>
                <w:szCs w:val="20"/>
              </w:rPr>
              <w:fldChar w:fldCharType="separate"/>
            </w:r>
            <w:r w:rsidR="00441C2D">
              <w:rPr>
                <w:rFonts w:ascii="Cambria" w:hAnsi="Cambria"/>
                <w:noProof/>
                <w:webHidden/>
                <w:sz w:val="20"/>
                <w:szCs w:val="20"/>
              </w:rPr>
              <w:t>5</w:t>
            </w:r>
            <w:r w:rsidR="006F7E8E" w:rsidRPr="006F7E8E">
              <w:rPr>
                <w:rFonts w:ascii="Cambria" w:hAnsi="Cambria"/>
                <w:noProof/>
                <w:webHidden/>
                <w:sz w:val="20"/>
                <w:szCs w:val="20"/>
              </w:rPr>
              <w:fldChar w:fldCharType="end"/>
            </w:r>
          </w:hyperlink>
        </w:p>
        <w:p w:rsidR="006F7E8E" w:rsidRPr="006F7E8E" w:rsidRDefault="006E26D1" w:rsidP="0038730F">
          <w:pPr>
            <w:pStyle w:val="TOC1"/>
            <w:tabs>
              <w:tab w:val="left" w:pos="720"/>
            </w:tabs>
            <w:rPr>
              <w:rFonts w:ascii="Cambria" w:eastAsiaTheme="minorEastAsia" w:hAnsi="Cambria" w:cstheme="minorBidi"/>
              <w:b w:val="0"/>
              <w:bdr w:val="none" w:sz="0" w:space="0" w:color="auto"/>
              <w:lang w:val="en-US"/>
            </w:rPr>
          </w:pPr>
          <w:hyperlink w:anchor="_Toc505936558" w:history="1">
            <w:r w:rsidR="006F7E8E" w:rsidRPr="006F7E8E">
              <w:rPr>
                <w:rStyle w:val="Hyperlink"/>
                <w:rFonts w:ascii="Cambria" w:hAnsi="Cambria"/>
              </w:rPr>
              <w:t>III.</w:t>
            </w:r>
            <w:r w:rsidR="006F7E8E" w:rsidRPr="006F7E8E">
              <w:rPr>
                <w:rFonts w:ascii="Cambria" w:eastAsiaTheme="minorEastAsia" w:hAnsi="Cambria" w:cstheme="minorBidi"/>
                <w:b w:val="0"/>
                <w:bdr w:val="none" w:sz="0" w:space="0" w:color="auto"/>
                <w:lang w:val="en-US"/>
              </w:rPr>
              <w:tab/>
            </w:r>
            <w:r w:rsidR="006F7E8E" w:rsidRPr="006F7E8E">
              <w:rPr>
                <w:rStyle w:val="Hyperlink"/>
                <w:rFonts w:ascii="Cambria" w:hAnsi="Cambria"/>
                <w:lang w:val="es-CO"/>
              </w:rPr>
              <w:t>DETERMINACIONES FÁCTICAS</w:t>
            </w:r>
            <w:r w:rsidR="006F7E8E" w:rsidRPr="006F7E8E">
              <w:rPr>
                <w:rFonts w:ascii="Cambria" w:hAnsi="Cambria"/>
                <w:webHidden/>
              </w:rPr>
              <w:tab/>
            </w:r>
            <w:r w:rsidR="006F7E8E" w:rsidRPr="00890735">
              <w:rPr>
                <w:rFonts w:ascii="Cambria" w:hAnsi="Cambria"/>
                <w:b w:val="0"/>
                <w:webHidden/>
              </w:rPr>
              <w:fldChar w:fldCharType="begin"/>
            </w:r>
            <w:r w:rsidR="006F7E8E" w:rsidRPr="00890735">
              <w:rPr>
                <w:rFonts w:ascii="Cambria" w:hAnsi="Cambria"/>
                <w:b w:val="0"/>
                <w:webHidden/>
              </w:rPr>
              <w:instrText xml:space="preserve"> PAGEREF _Toc505936558 \h </w:instrText>
            </w:r>
            <w:r w:rsidR="006F7E8E" w:rsidRPr="00890735">
              <w:rPr>
                <w:rFonts w:ascii="Cambria" w:hAnsi="Cambria"/>
                <w:b w:val="0"/>
                <w:webHidden/>
              </w:rPr>
            </w:r>
            <w:r w:rsidR="006F7E8E" w:rsidRPr="00890735">
              <w:rPr>
                <w:rFonts w:ascii="Cambria" w:hAnsi="Cambria"/>
                <w:b w:val="0"/>
                <w:webHidden/>
              </w:rPr>
              <w:fldChar w:fldCharType="separate"/>
            </w:r>
            <w:r w:rsidR="00441C2D">
              <w:rPr>
                <w:rFonts w:ascii="Cambria" w:hAnsi="Cambria"/>
                <w:b w:val="0"/>
                <w:webHidden/>
              </w:rPr>
              <w:t>5</w:t>
            </w:r>
            <w:r w:rsidR="006F7E8E" w:rsidRPr="00890735">
              <w:rPr>
                <w:rFonts w:ascii="Cambria" w:hAnsi="Cambria"/>
                <w:b w:val="0"/>
                <w:webHidden/>
              </w:rPr>
              <w:fldChar w:fldCharType="end"/>
            </w:r>
          </w:hyperlink>
        </w:p>
        <w:p w:rsidR="006F7E8E" w:rsidRPr="006F7E8E" w:rsidRDefault="006E26D1" w:rsidP="0038730F">
          <w:pPr>
            <w:pStyle w:val="TOC2"/>
            <w:tabs>
              <w:tab w:val="left" w:pos="720"/>
            </w:tabs>
            <w:rPr>
              <w:rFonts w:ascii="Cambria" w:eastAsiaTheme="minorEastAsia" w:hAnsi="Cambria" w:cstheme="minorBidi"/>
              <w:noProof/>
              <w:sz w:val="20"/>
              <w:szCs w:val="20"/>
              <w:bdr w:val="none" w:sz="0" w:space="0" w:color="auto"/>
            </w:rPr>
          </w:pPr>
          <w:hyperlink w:anchor="_Toc505936559" w:history="1">
            <w:r w:rsidR="006F7E8E" w:rsidRPr="006F7E8E">
              <w:rPr>
                <w:rStyle w:val="Hyperlink"/>
                <w:rFonts w:ascii="Cambria" w:hAnsi="Cambria"/>
                <w:noProof/>
                <w:sz w:val="20"/>
                <w:szCs w:val="20"/>
              </w:rPr>
              <w:t>A.</w:t>
            </w:r>
            <w:r w:rsidR="006F7E8E" w:rsidRPr="006F7E8E">
              <w:rPr>
                <w:rFonts w:ascii="Cambria" w:eastAsiaTheme="minorEastAsia" w:hAnsi="Cambria" w:cstheme="minorBidi"/>
                <w:noProof/>
                <w:sz w:val="20"/>
                <w:szCs w:val="20"/>
                <w:bdr w:val="none" w:sz="0" w:space="0" w:color="auto"/>
              </w:rPr>
              <w:tab/>
            </w:r>
            <w:r w:rsidR="006F7E8E" w:rsidRPr="006F7E8E">
              <w:rPr>
                <w:rStyle w:val="Hyperlink"/>
                <w:rFonts w:ascii="Cambria" w:hAnsi="Cambria"/>
                <w:noProof/>
                <w:sz w:val="20"/>
                <w:szCs w:val="20"/>
              </w:rPr>
              <w:t>Sobre Daniel Urrutia Laubreaux</w:t>
            </w:r>
            <w:r w:rsidR="006F7E8E" w:rsidRPr="006F7E8E">
              <w:rPr>
                <w:rFonts w:ascii="Cambria" w:hAnsi="Cambria"/>
                <w:noProof/>
                <w:webHidden/>
                <w:sz w:val="20"/>
                <w:szCs w:val="20"/>
              </w:rPr>
              <w:tab/>
            </w:r>
            <w:r w:rsidR="006F7E8E" w:rsidRPr="006F7E8E">
              <w:rPr>
                <w:rFonts w:ascii="Cambria" w:hAnsi="Cambria"/>
                <w:noProof/>
                <w:webHidden/>
                <w:sz w:val="20"/>
                <w:szCs w:val="20"/>
              </w:rPr>
              <w:fldChar w:fldCharType="begin"/>
            </w:r>
            <w:r w:rsidR="006F7E8E" w:rsidRPr="006F7E8E">
              <w:rPr>
                <w:rFonts w:ascii="Cambria" w:hAnsi="Cambria"/>
                <w:noProof/>
                <w:webHidden/>
                <w:sz w:val="20"/>
                <w:szCs w:val="20"/>
              </w:rPr>
              <w:instrText xml:space="preserve"> PAGEREF _Toc505936559 \h </w:instrText>
            </w:r>
            <w:r w:rsidR="006F7E8E" w:rsidRPr="006F7E8E">
              <w:rPr>
                <w:rFonts w:ascii="Cambria" w:hAnsi="Cambria"/>
                <w:noProof/>
                <w:webHidden/>
                <w:sz w:val="20"/>
                <w:szCs w:val="20"/>
              </w:rPr>
            </w:r>
            <w:r w:rsidR="006F7E8E" w:rsidRPr="006F7E8E">
              <w:rPr>
                <w:rFonts w:ascii="Cambria" w:hAnsi="Cambria"/>
                <w:noProof/>
                <w:webHidden/>
                <w:sz w:val="20"/>
                <w:szCs w:val="20"/>
              </w:rPr>
              <w:fldChar w:fldCharType="separate"/>
            </w:r>
            <w:r w:rsidR="00441C2D">
              <w:rPr>
                <w:rFonts w:ascii="Cambria" w:hAnsi="Cambria"/>
                <w:noProof/>
                <w:webHidden/>
                <w:sz w:val="20"/>
                <w:szCs w:val="20"/>
              </w:rPr>
              <w:t>5</w:t>
            </w:r>
            <w:r w:rsidR="006F7E8E" w:rsidRPr="006F7E8E">
              <w:rPr>
                <w:rFonts w:ascii="Cambria" w:hAnsi="Cambria"/>
                <w:noProof/>
                <w:webHidden/>
                <w:sz w:val="20"/>
                <w:szCs w:val="20"/>
              </w:rPr>
              <w:fldChar w:fldCharType="end"/>
            </w:r>
          </w:hyperlink>
        </w:p>
        <w:p w:rsidR="006F7E8E" w:rsidRPr="006F7E8E" w:rsidRDefault="006E26D1" w:rsidP="0038730F">
          <w:pPr>
            <w:pStyle w:val="TOC2"/>
            <w:tabs>
              <w:tab w:val="left" w:pos="720"/>
            </w:tabs>
            <w:rPr>
              <w:rFonts w:ascii="Cambria" w:eastAsiaTheme="minorEastAsia" w:hAnsi="Cambria" w:cstheme="minorBidi"/>
              <w:noProof/>
              <w:sz w:val="20"/>
              <w:szCs w:val="20"/>
              <w:bdr w:val="none" w:sz="0" w:space="0" w:color="auto"/>
            </w:rPr>
          </w:pPr>
          <w:hyperlink w:anchor="_Toc505936560" w:history="1">
            <w:r w:rsidR="006F7E8E" w:rsidRPr="006F7E8E">
              <w:rPr>
                <w:rStyle w:val="Hyperlink"/>
                <w:rFonts w:ascii="Cambria" w:hAnsi="Cambria"/>
                <w:noProof/>
                <w:sz w:val="20"/>
                <w:szCs w:val="20"/>
                <w:lang w:val="es-CO"/>
              </w:rPr>
              <w:t>B.</w:t>
            </w:r>
            <w:r w:rsidR="006F7E8E" w:rsidRPr="006F7E8E">
              <w:rPr>
                <w:rFonts w:ascii="Cambria" w:eastAsiaTheme="minorEastAsia" w:hAnsi="Cambria" w:cstheme="minorBidi"/>
                <w:noProof/>
                <w:sz w:val="20"/>
                <w:szCs w:val="20"/>
                <w:bdr w:val="none" w:sz="0" w:space="0" w:color="auto"/>
              </w:rPr>
              <w:tab/>
            </w:r>
            <w:r w:rsidR="006F7E8E" w:rsidRPr="006F7E8E">
              <w:rPr>
                <w:rStyle w:val="Hyperlink"/>
                <w:rFonts w:ascii="Cambria" w:hAnsi="Cambria"/>
                <w:noProof/>
                <w:sz w:val="20"/>
                <w:szCs w:val="20"/>
                <w:lang w:val="es-CO"/>
              </w:rPr>
              <w:t>Sobre el marco normativo relevante</w:t>
            </w:r>
            <w:r w:rsidR="006F7E8E" w:rsidRPr="006F7E8E">
              <w:rPr>
                <w:rFonts w:ascii="Cambria" w:hAnsi="Cambria"/>
                <w:noProof/>
                <w:webHidden/>
                <w:sz w:val="20"/>
                <w:szCs w:val="20"/>
              </w:rPr>
              <w:tab/>
            </w:r>
            <w:r w:rsidR="006F7E8E" w:rsidRPr="006F7E8E">
              <w:rPr>
                <w:rFonts w:ascii="Cambria" w:hAnsi="Cambria"/>
                <w:noProof/>
                <w:webHidden/>
                <w:sz w:val="20"/>
                <w:szCs w:val="20"/>
              </w:rPr>
              <w:fldChar w:fldCharType="begin"/>
            </w:r>
            <w:r w:rsidR="006F7E8E" w:rsidRPr="006F7E8E">
              <w:rPr>
                <w:rFonts w:ascii="Cambria" w:hAnsi="Cambria"/>
                <w:noProof/>
                <w:webHidden/>
                <w:sz w:val="20"/>
                <w:szCs w:val="20"/>
              </w:rPr>
              <w:instrText xml:space="preserve"> PAGEREF _Toc505936560 \h </w:instrText>
            </w:r>
            <w:r w:rsidR="006F7E8E" w:rsidRPr="006F7E8E">
              <w:rPr>
                <w:rFonts w:ascii="Cambria" w:hAnsi="Cambria"/>
                <w:noProof/>
                <w:webHidden/>
                <w:sz w:val="20"/>
                <w:szCs w:val="20"/>
              </w:rPr>
            </w:r>
            <w:r w:rsidR="006F7E8E" w:rsidRPr="006F7E8E">
              <w:rPr>
                <w:rFonts w:ascii="Cambria" w:hAnsi="Cambria"/>
                <w:noProof/>
                <w:webHidden/>
                <w:sz w:val="20"/>
                <w:szCs w:val="20"/>
              </w:rPr>
              <w:fldChar w:fldCharType="separate"/>
            </w:r>
            <w:r w:rsidR="00441C2D">
              <w:rPr>
                <w:rFonts w:ascii="Cambria" w:hAnsi="Cambria"/>
                <w:noProof/>
                <w:webHidden/>
                <w:sz w:val="20"/>
                <w:szCs w:val="20"/>
              </w:rPr>
              <w:t>6</w:t>
            </w:r>
            <w:r w:rsidR="006F7E8E" w:rsidRPr="006F7E8E">
              <w:rPr>
                <w:rFonts w:ascii="Cambria" w:hAnsi="Cambria"/>
                <w:noProof/>
                <w:webHidden/>
                <w:sz w:val="20"/>
                <w:szCs w:val="20"/>
              </w:rPr>
              <w:fldChar w:fldCharType="end"/>
            </w:r>
          </w:hyperlink>
        </w:p>
        <w:p w:rsidR="006F7E8E" w:rsidRPr="006F7E8E" w:rsidRDefault="006E26D1" w:rsidP="0038730F">
          <w:pPr>
            <w:pStyle w:val="TOC2"/>
            <w:tabs>
              <w:tab w:val="left" w:pos="720"/>
            </w:tabs>
            <w:rPr>
              <w:rFonts w:ascii="Cambria" w:eastAsiaTheme="minorEastAsia" w:hAnsi="Cambria" w:cstheme="minorBidi"/>
              <w:noProof/>
              <w:sz w:val="20"/>
              <w:szCs w:val="20"/>
              <w:bdr w:val="none" w:sz="0" w:space="0" w:color="auto"/>
            </w:rPr>
          </w:pPr>
          <w:hyperlink w:anchor="_Toc505936561" w:history="1">
            <w:r w:rsidR="006F7E8E" w:rsidRPr="006F7E8E">
              <w:rPr>
                <w:rStyle w:val="Hyperlink"/>
                <w:rFonts w:ascii="Cambria" w:hAnsi="Cambria"/>
                <w:noProof/>
                <w:sz w:val="20"/>
                <w:szCs w:val="20"/>
                <w:lang w:val="es-CO"/>
              </w:rPr>
              <w:t>C.</w:t>
            </w:r>
            <w:r w:rsidR="006F7E8E" w:rsidRPr="006F7E8E">
              <w:rPr>
                <w:rFonts w:ascii="Cambria" w:eastAsiaTheme="minorEastAsia" w:hAnsi="Cambria" w:cstheme="minorBidi"/>
                <w:noProof/>
                <w:sz w:val="20"/>
                <w:szCs w:val="20"/>
                <w:bdr w:val="none" w:sz="0" w:space="0" w:color="auto"/>
              </w:rPr>
              <w:tab/>
            </w:r>
            <w:r w:rsidR="006F7E8E" w:rsidRPr="006F7E8E">
              <w:rPr>
                <w:rStyle w:val="Hyperlink"/>
                <w:rFonts w:ascii="Cambria" w:hAnsi="Cambria"/>
                <w:noProof/>
                <w:sz w:val="20"/>
                <w:szCs w:val="20"/>
                <w:lang w:val="es-CO"/>
              </w:rPr>
              <w:t>Sobre el trabajo académico de la presunta víctima</w:t>
            </w:r>
            <w:r w:rsidR="006F7E8E" w:rsidRPr="006F7E8E">
              <w:rPr>
                <w:rFonts w:ascii="Cambria" w:hAnsi="Cambria"/>
                <w:noProof/>
                <w:webHidden/>
                <w:sz w:val="20"/>
                <w:szCs w:val="20"/>
              </w:rPr>
              <w:tab/>
            </w:r>
            <w:r w:rsidR="006F7E8E" w:rsidRPr="006F7E8E">
              <w:rPr>
                <w:rFonts w:ascii="Cambria" w:hAnsi="Cambria"/>
                <w:noProof/>
                <w:webHidden/>
                <w:sz w:val="20"/>
                <w:szCs w:val="20"/>
              </w:rPr>
              <w:fldChar w:fldCharType="begin"/>
            </w:r>
            <w:r w:rsidR="006F7E8E" w:rsidRPr="006F7E8E">
              <w:rPr>
                <w:rFonts w:ascii="Cambria" w:hAnsi="Cambria"/>
                <w:noProof/>
                <w:webHidden/>
                <w:sz w:val="20"/>
                <w:szCs w:val="20"/>
              </w:rPr>
              <w:instrText xml:space="preserve"> PAGEREF _Toc505936561 \h </w:instrText>
            </w:r>
            <w:r w:rsidR="006F7E8E" w:rsidRPr="006F7E8E">
              <w:rPr>
                <w:rFonts w:ascii="Cambria" w:hAnsi="Cambria"/>
                <w:noProof/>
                <w:webHidden/>
                <w:sz w:val="20"/>
                <w:szCs w:val="20"/>
              </w:rPr>
            </w:r>
            <w:r w:rsidR="006F7E8E" w:rsidRPr="006F7E8E">
              <w:rPr>
                <w:rFonts w:ascii="Cambria" w:hAnsi="Cambria"/>
                <w:noProof/>
                <w:webHidden/>
                <w:sz w:val="20"/>
                <w:szCs w:val="20"/>
              </w:rPr>
              <w:fldChar w:fldCharType="separate"/>
            </w:r>
            <w:r w:rsidR="00441C2D">
              <w:rPr>
                <w:rFonts w:ascii="Cambria" w:hAnsi="Cambria"/>
                <w:noProof/>
                <w:webHidden/>
                <w:sz w:val="20"/>
                <w:szCs w:val="20"/>
              </w:rPr>
              <w:t>6</w:t>
            </w:r>
            <w:r w:rsidR="006F7E8E" w:rsidRPr="006F7E8E">
              <w:rPr>
                <w:rFonts w:ascii="Cambria" w:hAnsi="Cambria"/>
                <w:noProof/>
                <w:webHidden/>
                <w:sz w:val="20"/>
                <w:szCs w:val="20"/>
              </w:rPr>
              <w:fldChar w:fldCharType="end"/>
            </w:r>
          </w:hyperlink>
        </w:p>
        <w:p w:rsidR="006F7E8E" w:rsidRPr="006F7E8E" w:rsidRDefault="006E26D1" w:rsidP="0038730F">
          <w:pPr>
            <w:pStyle w:val="TOC2"/>
            <w:tabs>
              <w:tab w:val="left" w:pos="720"/>
            </w:tabs>
            <w:rPr>
              <w:rFonts w:ascii="Cambria" w:eastAsiaTheme="minorEastAsia" w:hAnsi="Cambria" w:cstheme="minorBidi"/>
              <w:noProof/>
              <w:sz w:val="20"/>
              <w:szCs w:val="20"/>
              <w:bdr w:val="none" w:sz="0" w:space="0" w:color="auto"/>
            </w:rPr>
          </w:pPr>
          <w:hyperlink w:anchor="_Toc505936562" w:history="1">
            <w:r w:rsidR="006F7E8E" w:rsidRPr="006F7E8E">
              <w:rPr>
                <w:rStyle w:val="Hyperlink"/>
                <w:rFonts w:ascii="Cambria" w:hAnsi="Cambria"/>
                <w:noProof/>
                <w:sz w:val="20"/>
                <w:szCs w:val="20"/>
                <w:lang w:val="es-CO"/>
              </w:rPr>
              <w:t>D.</w:t>
            </w:r>
            <w:r w:rsidR="006F7E8E" w:rsidRPr="006F7E8E">
              <w:rPr>
                <w:rFonts w:ascii="Cambria" w:eastAsiaTheme="minorEastAsia" w:hAnsi="Cambria" w:cstheme="minorBidi"/>
                <w:noProof/>
                <w:sz w:val="20"/>
                <w:szCs w:val="20"/>
                <w:bdr w:val="none" w:sz="0" w:space="0" w:color="auto"/>
              </w:rPr>
              <w:tab/>
            </w:r>
            <w:r w:rsidR="006F7E8E" w:rsidRPr="006F7E8E">
              <w:rPr>
                <w:rStyle w:val="Hyperlink"/>
                <w:rFonts w:ascii="Cambria" w:hAnsi="Cambria"/>
                <w:noProof/>
                <w:sz w:val="20"/>
                <w:szCs w:val="20"/>
                <w:lang w:val="es-CO"/>
              </w:rPr>
              <w:t>Sobre el proceso disciplinario iniciado contra la presunta víctima</w:t>
            </w:r>
            <w:r w:rsidR="006F7E8E" w:rsidRPr="006F7E8E">
              <w:rPr>
                <w:rFonts w:ascii="Cambria" w:hAnsi="Cambria"/>
                <w:noProof/>
                <w:webHidden/>
                <w:sz w:val="20"/>
                <w:szCs w:val="20"/>
              </w:rPr>
              <w:tab/>
            </w:r>
            <w:r w:rsidR="006F7E8E" w:rsidRPr="006F7E8E">
              <w:rPr>
                <w:rFonts w:ascii="Cambria" w:hAnsi="Cambria"/>
                <w:noProof/>
                <w:webHidden/>
                <w:sz w:val="20"/>
                <w:szCs w:val="20"/>
              </w:rPr>
              <w:fldChar w:fldCharType="begin"/>
            </w:r>
            <w:r w:rsidR="006F7E8E" w:rsidRPr="006F7E8E">
              <w:rPr>
                <w:rFonts w:ascii="Cambria" w:hAnsi="Cambria"/>
                <w:noProof/>
                <w:webHidden/>
                <w:sz w:val="20"/>
                <w:szCs w:val="20"/>
              </w:rPr>
              <w:instrText xml:space="preserve"> PAGEREF _Toc505936562 \h </w:instrText>
            </w:r>
            <w:r w:rsidR="006F7E8E" w:rsidRPr="006F7E8E">
              <w:rPr>
                <w:rFonts w:ascii="Cambria" w:hAnsi="Cambria"/>
                <w:noProof/>
                <w:webHidden/>
                <w:sz w:val="20"/>
                <w:szCs w:val="20"/>
              </w:rPr>
            </w:r>
            <w:r w:rsidR="006F7E8E" w:rsidRPr="006F7E8E">
              <w:rPr>
                <w:rFonts w:ascii="Cambria" w:hAnsi="Cambria"/>
                <w:noProof/>
                <w:webHidden/>
                <w:sz w:val="20"/>
                <w:szCs w:val="20"/>
              </w:rPr>
              <w:fldChar w:fldCharType="separate"/>
            </w:r>
            <w:r w:rsidR="00441C2D">
              <w:rPr>
                <w:rFonts w:ascii="Cambria" w:hAnsi="Cambria"/>
                <w:noProof/>
                <w:webHidden/>
                <w:sz w:val="20"/>
                <w:szCs w:val="20"/>
              </w:rPr>
              <w:t>8</w:t>
            </w:r>
            <w:r w:rsidR="006F7E8E" w:rsidRPr="006F7E8E">
              <w:rPr>
                <w:rFonts w:ascii="Cambria" w:hAnsi="Cambria"/>
                <w:noProof/>
                <w:webHidden/>
                <w:sz w:val="20"/>
                <w:szCs w:val="20"/>
              </w:rPr>
              <w:fldChar w:fldCharType="end"/>
            </w:r>
          </w:hyperlink>
        </w:p>
        <w:p w:rsidR="006F7E8E" w:rsidRPr="006F7E8E" w:rsidRDefault="006E26D1" w:rsidP="0038730F">
          <w:pPr>
            <w:pStyle w:val="TOC2"/>
            <w:tabs>
              <w:tab w:val="left" w:pos="720"/>
            </w:tabs>
            <w:rPr>
              <w:rFonts w:ascii="Cambria" w:eastAsiaTheme="minorEastAsia" w:hAnsi="Cambria" w:cstheme="minorBidi"/>
              <w:noProof/>
              <w:sz w:val="20"/>
              <w:szCs w:val="20"/>
              <w:bdr w:val="none" w:sz="0" w:space="0" w:color="auto"/>
            </w:rPr>
          </w:pPr>
          <w:hyperlink w:anchor="_Toc505936563" w:history="1">
            <w:r w:rsidR="006F7E8E" w:rsidRPr="006F7E8E">
              <w:rPr>
                <w:rStyle w:val="Hyperlink"/>
                <w:rFonts w:ascii="Cambria" w:hAnsi="Cambria"/>
                <w:noProof/>
                <w:sz w:val="20"/>
                <w:szCs w:val="20"/>
                <w:lang w:val="es-CO"/>
              </w:rPr>
              <w:t>E.</w:t>
            </w:r>
            <w:r w:rsidR="006F7E8E" w:rsidRPr="006F7E8E">
              <w:rPr>
                <w:rFonts w:ascii="Cambria" w:eastAsiaTheme="minorEastAsia" w:hAnsi="Cambria" w:cstheme="minorBidi"/>
                <w:noProof/>
                <w:sz w:val="20"/>
                <w:szCs w:val="20"/>
                <w:bdr w:val="none" w:sz="0" w:space="0" w:color="auto"/>
              </w:rPr>
              <w:tab/>
            </w:r>
            <w:r w:rsidR="006F7E8E" w:rsidRPr="006F7E8E">
              <w:rPr>
                <w:rStyle w:val="Hyperlink"/>
                <w:rFonts w:ascii="Cambria" w:hAnsi="Cambria"/>
                <w:noProof/>
                <w:sz w:val="20"/>
                <w:szCs w:val="20"/>
                <w:lang w:val="es-CO"/>
              </w:rPr>
              <w:t>Otros procesos disciplinarios</w:t>
            </w:r>
            <w:r w:rsidR="006F7E8E" w:rsidRPr="006F7E8E">
              <w:rPr>
                <w:rFonts w:ascii="Cambria" w:hAnsi="Cambria"/>
                <w:noProof/>
                <w:webHidden/>
                <w:sz w:val="20"/>
                <w:szCs w:val="20"/>
              </w:rPr>
              <w:tab/>
            </w:r>
            <w:r w:rsidR="006F7E8E" w:rsidRPr="006F7E8E">
              <w:rPr>
                <w:rFonts w:ascii="Cambria" w:hAnsi="Cambria"/>
                <w:noProof/>
                <w:webHidden/>
                <w:sz w:val="20"/>
                <w:szCs w:val="20"/>
              </w:rPr>
              <w:fldChar w:fldCharType="begin"/>
            </w:r>
            <w:r w:rsidR="006F7E8E" w:rsidRPr="006F7E8E">
              <w:rPr>
                <w:rFonts w:ascii="Cambria" w:hAnsi="Cambria"/>
                <w:noProof/>
                <w:webHidden/>
                <w:sz w:val="20"/>
                <w:szCs w:val="20"/>
              </w:rPr>
              <w:instrText xml:space="preserve"> PAGEREF _Toc505936563 \h </w:instrText>
            </w:r>
            <w:r w:rsidR="006F7E8E" w:rsidRPr="006F7E8E">
              <w:rPr>
                <w:rFonts w:ascii="Cambria" w:hAnsi="Cambria"/>
                <w:noProof/>
                <w:webHidden/>
                <w:sz w:val="20"/>
                <w:szCs w:val="20"/>
              </w:rPr>
            </w:r>
            <w:r w:rsidR="006F7E8E" w:rsidRPr="006F7E8E">
              <w:rPr>
                <w:rFonts w:ascii="Cambria" w:hAnsi="Cambria"/>
                <w:noProof/>
                <w:webHidden/>
                <w:sz w:val="20"/>
                <w:szCs w:val="20"/>
              </w:rPr>
              <w:fldChar w:fldCharType="separate"/>
            </w:r>
            <w:r w:rsidR="00441C2D">
              <w:rPr>
                <w:rFonts w:ascii="Cambria" w:hAnsi="Cambria"/>
                <w:noProof/>
                <w:webHidden/>
                <w:sz w:val="20"/>
                <w:szCs w:val="20"/>
              </w:rPr>
              <w:t>11</w:t>
            </w:r>
            <w:r w:rsidR="006F7E8E" w:rsidRPr="006F7E8E">
              <w:rPr>
                <w:rFonts w:ascii="Cambria" w:hAnsi="Cambria"/>
                <w:noProof/>
                <w:webHidden/>
                <w:sz w:val="20"/>
                <w:szCs w:val="20"/>
              </w:rPr>
              <w:fldChar w:fldCharType="end"/>
            </w:r>
          </w:hyperlink>
        </w:p>
        <w:p w:rsidR="006F7E8E" w:rsidRPr="006F7E8E" w:rsidRDefault="006E26D1" w:rsidP="0038730F">
          <w:pPr>
            <w:pStyle w:val="TOC1"/>
            <w:tabs>
              <w:tab w:val="left" w:pos="720"/>
            </w:tabs>
            <w:rPr>
              <w:rFonts w:ascii="Cambria" w:eastAsiaTheme="minorEastAsia" w:hAnsi="Cambria" w:cstheme="minorBidi"/>
              <w:b w:val="0"/>
              <w:bdr w:val="none" w:sz="0" w:space="0" w:color="auto"/>
              <w:lang w:val="en-US"/>
            </w:rPr>
          </w:pPr>
          <w:hyperlink w:anchor="_Toc505936564" w:history="1">
            <w:r w:rsidR="006F7E8E" w:rsidRPr="006F7E8E">
              <w:rPr>
                <w:rStyle w:val="Hyperlink"/>
                <w:rFonts w:ascii="Cambria" w:hAnsi="Cambria"/>
                <w:lang w:val="es-VE"/>
              </w:rPr>
              <w:t>IV.</w:t>
            </w:r>
            <w:r w:rsidR="006F7E8E" w:rsidRPr="006F7E8E">
              <w:rPr>
                <w:rFonts w:ascii="Cambria" w:eastAsiaTheme="minorEastAsia" w:hAnsi="Cambria" w:cstheme="minorBidi"/>
                <w:b w:val="0"/>
                <w:bdr w:val="none" w:sz="0" w:space="0" w:color="auto"/>
                <w:lang w:val="en-US"/>
              </w:rPr>
              <w:tab/>
            </w:r>
            <w:r w:rsidR="006F7E8E" w:rsidRPr="006F7E8E">
              <w:rPr>
                <w:rStyle w:val="Hyperlink"/>
                <w:rFonts w:ascii="Cambria" w:hAnsi="Cambria"/>
                <w:lang w:val="es-CO"/>
              </w:rPr>
              <w:t>ANALISIS</w:t>
            </w:r>
            <w:r w:rsidR="006F7E8E" w:rsidRPr="006F7E8E">
              <w:rPr>
                <w:rStyle w:val="Hyperlink"/>
                <w:rFonts w:ascii="Cambria" w:hAnsi="Cambria"/>
                <w:lang w:val="es-VE"/>
              </w:rPr>
              <w:t xml:space="preserve"> DE DERECHO</w:t>
            </w:r>
            <w:r w:rsidR="006F7E8E" w:rsidRPr="006F7E8E">
              <w:rPr>
                <w:rFonts w:ascii="Cambria" w:hAnsi="Cambria"/>
                <w:webHidden/>
              </w:rPr>
              <w:tab/>
            </w:r>
            <w:r w:rsidR="006F7E8E" w:rsidRPr="00890735">
              <w:rPr>
                <w:rFonts w:ascii="Cambria" w:hAnsi="Cambria"/>
                <w:b w:val="0"/>
                <w:webHidden/>
              </w:rPr>
              <w:fldChar w:fldCharType="begin"/>
            </w:r>
            <w:r w:rsidR="006F7E8E" w:rsidRPr="00890735">
              <w:rPr>
                <w:rFonts w:ascii="Cambria" w:hAnsi="Cambria"/>
                <w:b w:val="0"/>
                <w:webHidden/>
              </w:rPr>
              <w:instrText xml:space="preserve"> PAGEREF _Toc505936564 \h </w:instrText>
            </w:r>
            <w:r w:rsidR="006F7E8E" w:rsidRPr="00890735">
              <w:rPr>
                <w:rFonts w:ascii="Cambria" w:hAnsi="Cambria"/>
                <w:b w:val="0"/>
                <w:webHidden/>
              </w:rPr>
            </w:r>
            <w:r w:rsidR="006F7E8E" w:rsidRPr="00890735">
              <w:rPr>
                <w:rFonts w:ascii="Cambria" w:hAnsi="Cambria"/>
                <w:b w:val="0"/>
                <w:webHidden/>
              </w:rPr>
              <w:fldChar w:fldCharType="separate"/>
            </w:r>
            <w:r w:rsidR="00441C2D">
              <w:rPr>
                <w:rFonts w:ascii="Cambria" w:hAnsi="Cambria"/>
                <w:b w:val="0"/>
                <w:webHidden/>
              </w:rPr>
              <w:t>12</w:t>
            </w:r>
            <w:r w:rsidR="006F7E8E" w:rsidRPr="00890735">
              <w:rPr>
                <w:rFonts w:ascii="Cambria" w:hAnsi="Cambria"/>
                <w:b w:val="0"/>
                <w:webHidden/>
              </w:rPr>
              <w:fldChar w:fldCharType="end"/>
            </w:r>
          </w:hyperlink>
        </w:p>
        <w:p w:rsidR="006F7E8E" w:rsidRPr="006F7E8E" w:rsidRDefault="006E26D1" w:rsidP="0038730F">
          <w:pPr>
            <w:pStyle w:val="TOC2"/>
            <w:tabs>
              <w:tab w:val="left" w:pos="720"/>
            </w:tabs>
            <w:rPr>
              <w:rFonts w:ascii="Cambria" w:eastAsiaTheme="minorEastAsia" w:hAnsi="Cambria" w:cstheme="minorBidi"/>
              <w:noProof/>
              <w:sz w:val="20"/>
              <w:szCs w:val="20"/>
              <w:bdr w:val="none" w:sz="0" w:space="0" w:color="auto"/>
            </w:rPr>
          </w:pPr>
          <w:hyperlink w:anchor="_Toc505936565" w:history="1">
            <w:r w:rsidR="006F7E8E" w:rsidRPr="006F7E8E">
              <w:rPr>
                <w:rStyle w:val="Hyperlink"/>
                <w:rFonts w:ascii="Cambria" w:hAnsi="Cambria"/>
                <w:noProof/>
                <w:sz w:val="20"/>
                <w:szCs w:val="20"/>
                <w:lang w:val="es-ES"/>
              </w:rPr>
              <w:t>A.</w:t>
            </w:r>
            <w:r w:rsidR="006F7E8E" w:rsidRPr="006F7E8E">
              <w:rPr>
                <w:rFonts w:ascii="Cambria" w:eastAsiaTheme="minorEastAsia" w:hAnsi="Cambria" w:cstheme="minorBidi"/>
                <w:noProof/>
                <w:sz w:val="20"/>
                <w:szCs w:val="20"/>
                <w:bdr w:val="none" w:sz="0" w:space="0" w:color="auto"/>
              </w:rPr>
              <w:tab/>
            </w:r>
            <w:r w:rsidR="006F7E8E" w:rsidRPr="006F7E8E">
              <w:rPr>
                <w:rStyle w:val="Hyperlink"/>
                <w:rFonts w:ascii="Cambria" w:hAnsi="Cambria"/>
                <w:noProof/>
                <w:sz w:val="20"/>
                <w:szCs w:val="20"/>
                <w:lang w:val="es-ES"/>
              </w:rPr>
              <w:t>Cuestión previa</w:t>
            </w:r>
            <w:r w:rsidR="006F7E8E" w:rsidRPr="006F7E8E">
              <w:rPr>
                <w:rFonts w:ascii="Cambria" w:hAnsi="Cambria"/>
                <w:noProof/>
                <w:webHidden/>
                <w:sz w:val="20"/>
                <w:szCs w:val="20"/>
              </w:rPr>
              <w:tab/>
            </w:r>
            <w:r w:rsidR="006F7E8E" w:rsidRPr="006F7E8E">
              <w:rPr>
                <w:rFonts w:ascii="Cambria" w:hAnsi="Cambria"/>
                <w:noProof/>
                <w:webHidden/>
                <w:sz w:val="20"/>
                <w:szCs w:val="20"/>
              </w:rPr>
              <w:fldChar w:fldCharType="begin"/>
            </w:r>
            <w:r w:rsidR="006F7E8E" w:rsidRPr="006F7E8E">
              <w:rPr>
                <w:rFonts w:ascii="Cambria" w:hAnsi="Cambria"/>
                <w:noProof/>
                <w:webHidden/>
                <w:sz w:val="20"/>
                <w:szCs w:val="20"/>
              </w:rPr>
              <w:instrText xml:space="preserve"> PAGEREF _Toc505936565 \h </w:instrText>
            </w:r>
            <w:r w:rsidR="006F7E8E" w:rsidRPr="006F7E8E">
              <w:rPr>
                <w:rFonts w:ascii="Cambria" w:hAnsi="Cambria"/>
                <w:noProof/>
                <w:webHidden/>
                <w:sz w:val="20"/>
                <w:szCs w:val="20"/>
              </w:rPr>
            </w:r>
            <w:r w:rsidR="006F7E8E" w:rsidRPr="006F7E8E">
              <w:rPr>
                <w:rFonts w:ascii="Cambria" w:hAnsi="Cambria"/>
                <w:noProof/>
                <w:webHidden/>
                <w:sz w:val="20"/>
                <w:szCs w:val="20"/>
              </w:rPr>
              <w:fldChar w:fldCharType="separate"/>
            </w:r>
            <w:r w:rsidR="00441C2D">
              <w:rPr>
                <w:rFonts w:ascii="Cambria" w:hAnsi="Cambria"/>
                <w:noProof/>
                <w:webHidden/>
                <w:sz w:val="20"/>
                <w:szCs w:val="20"/>
              </w:rPr>
              <w:t>12</w:t>
            </w:r>
            <w:r w:rsidR="006F7E8E" w:rsidRPr="006F7E8E">
              <w:rPr>
                <w:rFonts w:ascii="Cambria" w:hAnsi="Cambria"/>
                <w:noProof/>
                <w:webHidden/>
                <w:sz w:val="20"/>
                <w:szCs w:val="20"/>
              </w:rPr>
              <w:fldChar w:fldCharType="end"/>
            </w:r>
          </w:hyperlink>
        </w:p>
        <w:p w:rsidR="006F7E8E" w:rsidRPr="006F7E8E" w:rsidRDefault="006E26D1" w:rsidP="0038730F">
          <w:pPr>
            <w:pStyle w:val="TOC2"/>
            <w:tabs>
              <w:tab w:val="left" w:pos="720"/>
            </w:tabs>
            <w:rPr>
              <w:rFonts w:ascii="Cambria" w:eastAsiaTheme="minorEastAsia" w:hAnsi="Cambria" w:cstheme="minorBidi"/>
              <w:noProof/>
              <w:sz w:val="20"/>
              <w:szCs w:val="20"/>
              <w:bdr w:val="none" w:sz="0" w:space="0" w:color="auto"/>
            </w:rPr>
          </w:pPr>
          <w:hyperlink w:anchor="_Toc505936566" w:history="1">
            <w:r w:rsidR="006F7E8E" w:rsidRPr="006F7E8E">
              <w:rPr>
                <w:rStyle w:val="Hyperlink"/>
                <w:rFonts w:ascii="Cambria" w:hAnsi="Cambria"/>
                <w:noProof/>
                <w:sz w:val="20"/>
                <w:szCs w:val="20"/>
                <w:lang w:val="es-ES"/>
              </w:rPr>
              <w:t>B.</w:t>
            </w:r>
            <w:r w:rsidR="006F7E8E" w:rsidRPr="006F7E8E">
              <w:rPr>
                <w:rFonts w:ascii="Cambria" w:eastAsiaTheme="minorEastAsia" w:hAnsi="Cambria" w:cstheme="minorBidi"/>
                <w:noProof/>
                <w:sz w:val="20"/>
                <w:szCs w:val="20"/>
                <w:bdr w:val="none" w:sz="0" w:space="0" w:color="auto"/>
              </w:rPr>
              <w:tab/>
            </w:r>
            <w:r w:rsidR="006F7E8E" w:rsidRPr="006F7E8E">
              <w:rPr>
                <w:rStyle w:val="Hyperlink"/>
                <w:rFonts w:ascii="Cambria" w:hAnsi="Cambria"/>
                <w:noProof/>
                <w:sz w:val="20"/>
                <w:szCs w:val="20"/>
                <w:lang w:val="es-ES"/>
              </w:rPr>
              <w:t>Derechos a las garantías judiciales, principio de legalidad y protección judicial (Artículos 8, 9 y 25 de la Convención Americana)</w:t>
            </w:r>
            <w:r w:rsidR="006F7E8E" w:rsidRPr="006F7E8E">
              <w:rPr>
                <w:rFonts w:ascii="Cambria" w:hAnsi="Cambria"/>
                <w:noProof/>
                <w:webHidden/>
                <w:sz w:val="20"/>
                <w:szCs w:val="20"/>
              </w:rPr>
              <w:tab/>
            </w:r>
            <w:r w:rsidR="006F7E8E" w:rsidRPr="006F7E8E">
              <w:rPr>
                <w:rFonts w:ascii="Cambria" w:hAnsi="Cambria"/>
                <w:noProof/>
                <w:webHidden/>
                <w:sz w:val="20"/>
                <w:szCs w:val="20"/>
              </w:rPr>
              <w:fldChar w:fldCharType="begin"/>
            </w:r>
            <w:r w:rsidR="006F7E8E" w:rsidRPr="006F7E8E">
              <w:rPr>
                <w:rFonts w:ascii="Cambria" w:hAnsi="Cambria"/>
                <w:noProof/>
                <w:webHidden/>
                <w:sz w:val="20"/>
                <w:szCs w:val="20"/>
              </w:rPr>
              <w:instrText xml:space="preserve"> PAGEREF _Toc505936566 \h </w:instrText>
            </w:r>
            <w:r w:rsidR="006F7E8E" w:rsidRPr="006F7E8E">
              <w:rPr>
                <w:rFonts w:ascii="Cambria" w:hAnsi="Cambria"/>
                <w:noProof/>
                <w:webHidden/>
                <w:sz w:val="20"/>
                <w:szCs w:val="20"/>
              </w:rPr>
            </w:r>
            <w:r w:rsidR="006F7E8E" w:rsidRPr="006F7E8E">
              <w:rPr>
                <w:rFonts w:ascii="Cambria" w:hAnsi="Cambria"/>
                <w:noProof/>
                <w:webHidden/>
                <w:sz w:val="20"/>
                <w:szCs w:val="20"/>
              </w:rPr>
              <w:fldChar w:fldCharType="separate"/>
            </w:r>
            <w:r w:rsidR="00441C2D">
              <w:rPr>
                <w:rFonts w:ascii="Cambria" w:hAnsi="Cambria"/>
                <w:noProof/>
                <w:webHidden/>
                <w:sz w:val="20"/>
                <w:szCs w:val="20"/>
              </w:rPr>
              <w:t>12</w:t>
            </w:r>
            <w:r w:rsidR="006F7E8E" w:rsidRPr="006F7E8E">
              <w:rPr>
                <w:rFonts w:ascii="Cambria" w:hAnsi="Cambria"/>
                <w:noProof/>
                <w:webHidden/>
                <w:sz w:val="20"/>
                <w:szCs w:val="20"/>
              </w:rPr>
              <w:fldChar w:fldCharType="end"/>
            </w:r>
          </w:hyperlink>
        </w:p>
        <w:p w:rsidR="006F7E8E" w:rsidRPr="006F7E8E" w:rsidRDefault="006E26D1" w:rsidP="0038730F">
          <w:pPr>
            <w:pStyle w:val="TOC3"/>
            <w:tabs>
              <w:tab w:val="left" w:pos="720"/>
              <w:tab w:val="left" w:pos="2160"/>
            </w:tabs>
            <w:rPr>
              <w:rFonts w:ascii="Cambria" w:eastAsiaTheme="minorEastAsia" w:hAnsi="Cambria" w:cstheme="minorBidi"/>
              <w:noProof/>
              <w:sz w:val="20"/>
              <w:szCs w:val="20"/>
              <w:bdr w:val="none" w:sz="0" w:space="0" w:color="auto"/>
            </w:rPr>
          </w:pPr>
          <w:hyperlink w:anchor="_Toc505936567" w:history="1">
            <w:r w:rsidR="006F7E8E" w:rsidRPr="006F7E8E">
              <w:rPr>
                <w:rStyle w:val="Hyperlink"/>
                <w:rFonts w:ascii="Cambria" w:hAnsi="Cambria"/>
                <w:noProof/>
                <w:sz w:val="20"/>
                <w:szCs w:val="20"/>
                <w:lang w:val="es-ES"/>
              </w:rPr>
              <w:t>1.</w:t>
            </w:r>
            <w:r w:rsidR="006F7E8E" w:rsidRPr="006F7E8E">
              <w:rPr>
                <w:rFonts w:ascii="Cambria" w:eastAsiaTheme="minorEastAsia" w:hAnsi="Cambria" w:cstheme="minorBidi"/>
                <w:noProof/>
                <w:sz w:val="20"/>
                <w:szCs w:val="20"/>
                <w:bdr w:val="none" w:sz="0" w:space="0" w:color="auto"/>
              </w:rPr>
              <w:tab/>
            </w:r>
            <w:r w:rsidR="006F7E8E" w:rsidRPr="006F7E8E">
              <w:rPr>
                <w:rStyle w:val="Hyperlink"/>
                <w:rFonts w:ascii="Cambria" w:hAnsi="Cambria"/>
                <w:noProof/>
                <w:sz w:val="20"/>
                <w:szCs w:val="20"/>
                <w:lang w:val="es-ES"/>
              </w:rPr>
              <w:t>Consideraciones Generales sobre las garantías aplicables</w:t>
            </w:r>
            <w:r w:rsidR="006F7E8E" w:rsidRPr="006F7E8E">
              <w:rPr>
                <w:rFonts w:ascii="Cambria" w:hAnsi="Cambria"/>
                <w:noProof/>
                <w:webHidden/>
                <w:sz w:val="20"/>
                <w:szCs w:val="20"/>
              </w:rPr>
              <w:tab/>
            </w:r>
            <w:r w:rsidR="006F7E8E" w:rsidRPr="006F7E8E">
              <w:rPr>
                <w:rFonts w:ascii="Cambria" w:hAnsi="Cambria"/>
                <w:noProof/>
                <w:webHidden/>
                <w:sz w:val="20"/>
                <w:szCs w:val="20"/>
              </w:rPr>
              <w:fldChar w:fldCharType="begin"/>
            </w:r>
            <w:r w:rsidR="006F7E8E" w:rsidRPr="006F7E8E">
              <w:rPr>
                <w:rFonts w:ascii="Cambria" w:hAnsi="Cambria"/>
                <w:noProof/>
                <w:webHidden/>
                <w:sz w:val="20"/>
                <w:szCs w:val="20"/>
              </w:rPr>
              <w:instrText xml:space="preserve"> PAGEREF _Toc505936567 \h </w:instrText>
            </w:r>
            <w:r w:rsidR="006F7E8E" w:rsidRPr="006F7E8E">
              <w:rPr>
                <w:rFonts w:ascii="Cambria" w:hAnsi="Cambria"/>
                <w:noProof/>
                <w:webHidden/>
                <w:sz w:val="20"/>
                <w:szCs w:val="20"/>
              </w:rPr>
            </w:r>
            <w:r w:rsidR="006F7E8E" w:rsidRPr="006F7E8E">
              <w:rPr>
                <w:rFonts w:ascii="Cambria" w:hAnsi="Cambria"/>
                <w:noProof/>
                <w:webHidden/>
                <w:sz w:val="20"/>
                <w:szCs w:val="20"/>
              </w:rPr>
              <w:fldChar w:fldCharType="separate"/>
            </w:r>
            <w:r w:rsidR="00441C2D">
              <w:rPr>
                <w:rFonts w:ascii="Cambria" w:hAnsi="Cambria"/>
                <w:noProof/>
                <w:webHidden/>
                <w:sz w:val="20"/>
                <w:szCs w:val="20"/>
              </w:rPr>
              <w:t>12</w:t>
            </w:r>
            <w:r w:rsidR="006F7E8E" w:rsidRPr="006F7E8E">
              <w:rPr>
                <w:rFonts w:ascii="Cambria" w:hAnsi="Cambria"/>
                <w:noProof/>
                <w:webHidden/>
                <w:sz w:val="20"/>
                <w:szCs w:val="20"/>
              </w:rPr>
              <w:fldChar w:fldCharType="end"/>
            </w:r>
          </w:hyperlink>
        </w:p>
        <w:p w:rsidR="006F7E8E" w:rsidRPr="006F7E8E" w:rsidRDefault="006E26D1" w:rsidP="0038730F">
          <w:pPr>
            <w:pStyle w:val="TOC3"/>
            <w:tabs>
              <w:tab w:val="left" w:pos="720"/>
              <w:tab w:val="left" w:pos="2160"/>
            </w:tabs>
            <w:rPr>
              <w:rFonts w:ascii="Cambria" w:eastAsiaTheme="minorEastAsia" w:hAnsi="Cambria" w:cstheme="minorBidi"/>
              <w:noProof/>
              <w:sz w:val="20"/>
              <w:szCs w:val="20"/>
              <w:bdr w:val="none" w:sz="0" w:space="0" w:color="auto"/>
            </w:rPr>
          </w:pPr>
          <w:hyperlink w:anchor="_Toc505936568" w:history="1">
            <w:r w:rsidR="006F7E8E" w:rsidRPr="006F7E8E">
              <w:rPr>
                <w:rStyle w:val="Hyperlink"/>
                <w:rFonts w:ascii="Cambria" w:hAnsi="Cambria"/>
                <w:noProof/>
                <w:sz w:val="20"/>
                <w:szCs w:val="20"/>
                <w:lang w:val="es-ES"/>
              </w:rPr>
              <w:t>2.</w:t>
            </w:r>
            <w:r w:rsidR="006F7E8E" w:rsidRPr="006F7E8E">
              <w:rPr>
                <w:rFonts w:ascii="Cambria" w:eastAsiaTheme="minorEastAsia" w:hAnsi="Cambria" w:cstheme="minorBidi"/>
                <w:noProof/>
                <w:sz w:val="20"/>
                <w:szCs w:val="20"/>
                <w:bdr w:val="none" w:sz="0" w:space="0" w:color="auto"/>
              </w:rPr>
              <w:tab/>
            </w:r>
            <w:r w:rsidR="006F7E8E" w:rsidRPr="006F7E8E">
              <w:rPr>
                <w:rStyle w:val="Hyperlink"/>
                <w:rFonts w:ascii="Cambria" w:hAnsi="Cambria"/>
                <w:noProof/>
                <w:sz w:val="20"/>
                <w:szCs w:val="20"/>
                <w:lang w:val="es-ES"/>
              </w:rPr>
              <w:t>Derecho a conocer previa y detalladamente la acusación formulada y de tener el tiempo y los medios adecuados para la defensa</w:t>
            </w:r>
            <w:r w:rsidR="006F7E8E" w:rsidRPr="006F7E8E">
              <w:rPr>
                <w:rFonts w:ascii="Cambria" w:hAnsi="Cambria"/>
                <w:noProof/>
                <w:webHidden/>
                <w:sz w:val="20"/>
                <w:szCs w:val="20"/>
              </w:rPr>
              <w:tab/>
            </w:r>
            <w:r w:rsidR="006F7E8E" w:rsidRPr="006F7E8E">
              <w:rPr>
                <w:rFonts w:ascii="Cambria" w:hAnsi="Cambria"/>
                <w:noProof/>
                <w:webHidden/>
                <w:sz w:val="20"/>
                <w:szCs w:val="20"/>
              </w:rPr>
              <w:fldChar w:fldCharType="begin"/>
            </w:r>
            <w:r w:rsidR="006F7E8E" w:rsidRPr="006F7E8E">
              <w:rPr>
                <w:rFonts w:ascii="Cambria" w:hAnsi="Cambria"/>
                <w:noProof/>
                <w:webHidden/>
                <w:sz w:val="20"/>
                <w:szCs w:val="20"/>
              </w:rPr>
              <w:instrText xml:space="preserve"> PAGEREF _Toc505936568 \h </w:instrText>
            </w:r>
            <w:r w:rsidR="006F7E8E" w:rsidRPr="006F7E8E">
              <w:rPr>
                <w:rFonts w:ascii="Cambria" w:hAnsi="Cambria"/>
                <w:noProof/>
                <w:webHidden/>
                <w:sz w:val="20"/>
                <w:szCs w:val="20"/>
              </w:rPr>
            </w:r>
            <w:r w:rsidR="006F7E8E" w:rsidRPr="006F7E8E">
              <w:rPr>
                <w:rFonts w:ascii="Cambria" w:hAnsi="Cambria"/>
                <w:noProof/>
                <w:webHidden/>
                <w:sz w:val="20"/>
                <w:szCs w:val="20"/>
              </w:rPr>
              <w:fldChar w:fldCharType="separate"/>
            </w:r>
            <w:r w:rsidR="00441C2D">
              <w:rPr>
                <w:rFonts w:ascii="Cambria" w:hAnsi="Cambria"/>
                <w:noProof/>
                <w:webHidden/>
                <w:sz w:val="20"/>
                <w:szCs w:val="20"/>
              </w:rPr>
              <w:t>13</w:t>
            </w:r>
            <w:r w:rsidR="006F7E8E" w:rsidRPr="006F7E8E">
              <w:rPr>
                <w:rFonts w:ascii="Cambria" w:hAnsi="Cambria"/>
                <w:noProof/>
                <w:webHidden/>
                <w:sz w:val="20"/>
                <w:szCs w:val="20"/>
              </w:rPr>
              <w:fldChar w:fldCharType="end"/>
            </w:r>
          </w:hyperlink>
        </w:p>
        <w:p w:rsidR="006F7E8E" w:rsidRPr="006F7E8E" w:rsidRDefault="006E26D1" w:rsidP="0038730F">
          <w:pPr>
            <w:pStyle w:val="TOC3"/>
            <w:tabs>
              <w:tab w:val="left" w:pos="720"/>
              <w:tab w:val="left" w:pos="2160"/>
            </w:tabs>
            <w:rPr>
              <w:rFonts w:ascii="Cambria" w:eastAsiaTheme="minorEastAsia" w:hAnsi="Cambria" w:cstheme="minorBidi"/>
              <w:noProof/>
              <w:sz w:val="20"/>
              <w:szCs w:val="20"/>
              <w:bdr w:val="none" w:sz="0" w:space="0" w:color="auto"/>
            </w:rPr>
          </w:pPr>
          <w:hyperlink w:anchor="_Toc505936569" w:history="1">
            <w:r w:rsidR="006F7E8E" w:rsidRPr="006F7E8E">
              <w:rPr>
                <w:rStyle w:val="Hyperlink"/>
                <w:rFonts w:ascii="Cambria" w:hAnsi="Cambria"/>
                <w:noProof/>
                <w:sz w:val="20"/>
                <w:szCs w:val="20"/>
                <w:lang w:val="es-ES"/>
              </w:rPr>
              <w:t>3.</w:t>
            </w:r>
            <w:r w:rsidR="006F7E8E" w:rsidRPr="006F7E8E">
              <w:rPr>
                <w:rFonts w:ascii="Cambria" w:eastAsiaTheme="minorEastAsia" w:hAnsi="Cambria" w:cstheme="minorBidi"/>
                <w:noProof/>
                <w:sz w:val="20"/>
                <w:szCs w:val="20"/>
                <w:bdr w:val="none" w:sz="0" w:space="0" w:color="auto"/>
              </w:rPr>
              <w:tab/>
            </w:r>
            <w:r w:rsidR="006F7E8E" w:rsidRPr="006F7E8E">
              <w:rPr>
                <w:rStyle w:val="Hyperlink"/>
                <w:rFonts w:ascii="Cambria" w:hAnsi="Cambria"/>
                <w:noProof/>
                <w:sz w:val="20"/>
                <w:szCs w:val="20"/>
                <w:lang w:val="es-ES"/>
              </w:rPr>
              <w:t>El derecho a contar con una autoridad disciplinaria imparcial y el derecho a la protección judicial</w:t>
            </w:r>
            <w:r w:rsidR="006F7E8E" w:rsidRPr="006F7E8E">
              <w:rPr>
                <w:rFonts w:ascii="Cambria" w:hAnsi="Cambria"/>
                <w:noProof/>
                <w:webHidden/>
                <w:sz w:val="20"/>
                <w:szCs w:val="20"/>
              </w:rPr>
              <w:tab/>
            </w:r>
            <w:r w:rsidR="006F7E8E" w:rsidRPr="006F7E8E">
              <w:rPr>
                <w:rFonts w:ascii="Cambria" w:hAnsi="Cambria"/>
                <w:noProof/>
                <w:webHidden/>
                <w:sz w:val="20"/>
                <w:szCs w:val="20"/>
              </w:rPr>
              <w:fldChar w:fldCharType="begin"/>
            </w:r>
            <w:r w:rsidR="006F7E8E" w:rsidRPr="006F7E8E">
              <w:rPr>
                <w:rFonts w:ascii="Cambria" w:hAnsi="Cambria"/>
                <w:noProof/>
                <w:webHidden/>
                <w:sz w:val="20"/>
                <w:szCs w:val="20"/>
              </w:rPr>
              <w:instrText xml:space="preserve"> PAGEREF _Toc505936569 \h </w:instrText>
            </w:r>
            <w:r w:rsidR="006F7E8E" w:rsidRPr="006F7E8E">
              <w:rPr>
                <w:rFonts w:ascii="Cambria" w:hAnsi="Cambria"/>
                <w:noProof/>
                <w:webHidden/>
                <w:sz w:val="20"/>
                <w:szCs w:val="20"/>
              </w:rPr>
            </w:r>
            <w:r w:rsidR="006F7E8E" w:rsidRPr="006F7E8E">
              <w:rPr>
                <w:rFonts w:ascii="Cambria" w:hAnsi="Cambria"/>
                <w:noProof/>
                <w:webHidden/>
                <w:sz w:val="20"/>
                <w:szCs w:val="20"/>
              </w:rPr>
              <w:fldChar w:fldCharType="separate"/>
            </w:r>
            <w:r w:rsidR="00441C2D">
              <w:rPr>
                <w:rFonts w:ascii="Cambria" w:hAnsi="Cambria"/>
                <w:noProof/>
                <w:webHidden/>
                <w:sz w:val="20"/>
                <w:szCs w:val="20"/>
              </w:rPr>
              <w:t>14</w:t>
            </w:r>
            <w:r w:rsidR="006F7E8E" w:rsidRPr="006F7E8E">
              <w:rPr>
                <w:rFonts w:ascii="Cambria" w:hAnsi="Cambria"/>
                <w:noProof/>
                <w:webHidden/>
                <w:sz w:val="20"/>
                <w:szCs w:val="20"/>
              </w:rPr>
              <w:fldChar w:fldCharType="end"/>
            </w:r>
          </w:hyperlink>
        </w:p>
        <w:p w:rsidR="006F7E8E" w:rsidRPr="006F7E8E" w:rsidRDefault="006E26D1" w:rsidP="0038730F">
          <w:pPr>
            <w:pStyle w:val="TOC3"/>
            <w:tabs>
              <w:tab w:val="left" w:pos="720"/>
              <w:tab w:val="left" w:pos="2160"/>
            </w:tabs>
            <w:rPr>
              <w:rFonts w:ascii="Cambria" w:eastAsiaTheme="minorEastAsia" w:hAnsi="Cambria" w:cstheme="minorBidi"/>
              <w:noProof/>
              <w:sz w:val="20"/>
              <w:szCs w:val="20"/>
              <w:bdr w:val="none" w:sz="0" w:space="0" w:color="auto"/>
            </w:rPr>
          </w:pPr>
          <w:hyperlink w:anchor="_Toc505936570" w:history="1">
            <w:r w:rsidR="006F7E8E" w:rsidRPr="006F7E8E">
              <w:rPr>
                <w:rStyle w:val="Hyperlink"/>
                <w:rFonts w:ascii="Cambria" w:hAnsi="Cambria"/>
                <w:noProof/>
                <w:sz w:val="20"/>
                <w:szCs w:val="20"/>
                <w:lang w:val="es-ES"/>
              </w:rPr>
              <w:t>4.</w:t>
            </w:r>
            <w:r w:rsidR="006F7E8E" w:rsidRPr="006F7E8E">
              <w:rPr>
                <w:rFonts w:ascii="Cambria" w:eastAsiaTheme="minorEastAsia" w:hAnsi="Cambria" w:cstheme="minorBidi"/>
                <w:noProof/>
                <w:sz w:val="20"/>
                <w:szCs w:val="20"/>
                <w:bdr w:val="none" w:sz="0" w:space="0" w:color="auto"/>
              </w:rPr>
              <w:tab/>
            </w:r>
            <w:r w:rsidR="006F7E8E" w:rsidRPr="006F7E8E">
              <w:rPr>
                <w:rStyle w:val="Hyperlink"/>
                <w:rFonts w:ascii="Cambria" w:hAnsi="Cambria"/>
                <w:noProof/>
                <w:sz w:val="20"/>
                <w:szCs w:val="20"/>
                <w:lang w:val="es-ES"/>
              </w:rPr>
              <w:t>Principio de legalidad</w:t>
            </w:r>
            <w:r w:rsidR="006F7E8E" w:rsidRPr="006F7E8E">
              <w:rPr>
                <w:rFonts w:ascii="Cambria" w:hAnsi="Cambria"/>
                <w:noProof/>
                <w:webHidden/>
                <w:sz w:val="20"/>
                <w:szCs w:val="20"/>
              </w:rPr>
              <w:tab/>
            </w:r>
            <w:r w:rsidR="006F7E8E" w:rsidRPr="006F7E8E">
              <w:rPr>
                <w:rFonts w:ascii="Cambria" w:hAnsi="Cambria"/>
                <w:noProof/>
                <w:webHidden/>
                <w:sz w:val="20"/>
                <w:szCs w:val="20"/>
              </w:rPr>
              <w:fldChar w:fldCharType="begin"/>
            </w:r>
            <w:r w:rsidR="006F7E8E" w:rsidRPr="006F7E8E">
              <w:rPr>
                <w:rFonts w:ascii="Cambria" w:hAnsi="Cambria"/>
                <w:noProof/>
                <w:webHidden/>
                <w:sz w:val="20"/>
                <w:szCs w:val="20"/>
              </w:rPr>
              <w:instrText xml:space="preserve"> PAGEREF _Toc505936570 \h </w:instrText>
            </w:r>
            <w:r w:rsidR="006F7E8E" w:rsidRPr="006F7E8E">
              <w:rPr>
                <w:rFonts w:ascii="Cambria" w:hAnsi="Cambria"/>
                <w:noProof/>
                <w:webHidden/>
                <w:sz w:val="20"/>
                <w:szCs w:val="20"/>
              </w:rPr>
            </w:r>
            <w:r w:rsidR="006F7E8E" w:rsidRPr="006F7E8E">
              <w:rPr>
                <w:rFonts w:ascii="Cambria" w:hAnsi="Cambria"/>
                <w:noProof/>
                <w:webHidden/>
                <w:sz w:val="20"/>
                <w:szCs w:val="20"/>
              </w:rPr>
              <w:fldChar w:fldCharType="separate"/>
            </w:r>
            <w:r w:rsidR="00441C2D">
              <w:rPr>
                <w:rFonts w:ascii="Cambria" w:hAnsi="Cambria"/>
                <w:noProof/>
                <w:webHidden/>
                <w:sz w:val="20"/>
                <w:szCs w:val="20"/>
              </w:rPr>
              <w:t>15</w:t>
            </w:r>
            <w:r w:rsidR="006F7E8E" w:rsidRPr="006F7E8E">
              <w:rPr>
                <w:rFonts w:ascii="Cambria" w:hAnsi="Cambria"/>
                <w:noProof/>
                <w:webHidden/>
                <w:sz w:val="20"/>
                <w:szCs w:val="20"/>
              </w:rPr>
              <w:fldChar w:fldCharType="end"/>
            </w:r>
          </w:hyperlink>
        </w:p>
        <w:p w:rsidR="006F7E8E" w:rsidRPr="006F7E8E" w:rsidRDefault="006E26D1" w:rsidP="0038730F">
          <w:pPr>
            <w:pStyle w:val="TOC2"/>
            <w:tabs>
              <w:tab w:val="left" w:pos="720"/>
            </w:tabs>
            <w:rPr>
              <w:rFonts w:ascii="Cambria" w:eastAsiaTheme="minorEastAsia" w:hAnsi="Cambria" w:cstheme="minorBidi"/>
              <w:noProof/>
              <w:sz w:val="20"/>
              <w:szCs w:val="20"/>
              <w:bdr w:val="none" w:sz="0" w:space="0" w:color="auto"/>
            </w:rPr>
          </w:pPr>
          <w:hyperlink w:anchor="_Toc505936571" w:history="1">
            <w:r w:rsidR="006F7E8E" w:rsidRPr="006F7E8E">
              <w:rPr>
                <w:rStyle w:val="Hyperlink"/>
                <w:rFonts w:ascii="Cambria" w:hAnsi="Cambria"/>
                <w:noProof/>
                <w:sz w:val="20"/>
                <w:szCs w:val="20"/>
                <w:lang w:val="es-ES"/>
              </w:rPr>
              <w:t>C.</w:t>
            </w:r>
            <w:r w:rsidR="006F7E8E" w:rsidRPr="006F7E8E">
              <w:rPr>
                <w:rFonts w:ascii="Cambria" w:eastAsiaTheme="minorEastAsia" w:hAnsi="Cambria" w:cstheme="minorBidi"/>
                <w:noProof/>
                <w:sz w:val="20"/>
                <w:szCs w:val="20"/>
                <w:bdr w:val="none" w:sz="0" w:space="0" w:color="auto"/>
              </w:rPr>
              <w:tab/>
            </w:r>
            <w:r w:rsidR="006F7E8E" w:rsidRPr="006F7E8E">
              <w:rPr>
                <w:rStyle w:val="Hyperlink"/>
                <w:rFonts w:ascii="Cambria" w:hAnsi="Cambria"/>
                <w:noProof/>
                <w:sz w:val="20"/>
                <w:szCs w:val="20"/>
                <w:lang w:val="es-ES"/>
              </w:rPr>
              <w:t>Libertad de pensamiento y expresión</w:t>
            </w:r>
            <w:r w:rsidR="006F7E8E" w:rsidRPr="006F7E8E">
              <w:rPr>
                <w:rFonts w:ascii="Cambria" w:hAnsi="Cambria"/>
                <w:noProof/>
                <w:webHidden/>
                <w:sz w:val="20"/>
                <w:szCs w:val="20"/>
              </w:rPr>
              <w:tab/>
            </w:r>
            <w:r w:rsidR="006F7E8E" w:rsidRPr="006F7E8E">
              <w:rPr>
                <w:rFonts w:ascii="Cambria" w:hAnsi="Cambria"/>
                <w:noProof/>
                <w:webHidden/>
                <w:sz w:val="20"/>
                <w:szCs w:val="20"/>
              </w:rPr>
              <w:fldChar w:fldCharType="begin"/>
            </w:r>
            <w:r w:rsidR="006F7E8E" w:rsidRPr="006F7E8E">
              <w:rPr>
                <w:rFonts w:ascii="Cambria" w:hAnsi="Cambria"/>
                <w:noProof/>
                <w:webHidden/>
                <w:sz w:val="20"/>
                <w:szCs w:val="20"/>
              </w:rPr>
              <w:instrText xml:space="preserve"> PAGEREF _Toc505936571 \h </w:instrText>
            </w:r>
            <w:r w:rsidR="006F7E8E" w:rsidRPr="006F7E8E">
              <w:rPr>
                <w:rFonts w:ascii="Cambria" w:hAnsi="Cambria"/>
                <w:noProof/>
                <w:webHidden/>
                <w:sz w:val="20"/>
                <w:szCs w:val="20"/>
              </w:rPr>
            </w:r>
            <w:r w:rsidR="006F7E8E" w:rsidRPr="006F7E8E">
              <w:rPr>
                <w:rFonts w:ascii="Cambria" w:hAnsi="Cambria"/>
                <w:noProof/>
                <w:webHidden/>
                <w:sz w:val="20"/>
                <w:szCs w:val="20"/>
              </w:rPr>
              <w:fldChar w:fldCharType="separate"/>
            </w:r>
            <w:r w:rsidR="00441C2D">
              <w:rPr>
                <w:rFonts w:ascii="Cambria" w:hAnsi="Cambria"/>
                <w:noProof/>
                <w:webHidden/>
                <w:sz w:val="20"/>
                <w:szCs w:val="20"/>
              </w:rPr>
              <w:t>16</w:t>
            </w:r>
            <w:r w:rsidR="006F7E8E" w:rsidRPr="006F7E8E">
              <w:rPr>
                <w:rFonts w:ascii="Cambria" w:hAnsi="Cambria"/>
                <w:noProof/>
                <w:webHidden/>
                <w:sz w:val="20"/>
                <w:szCs w:val="20"/>
              </w:rPr>
              <w:fldChar w:fldCharType="end"/>
            </w:r>
          </w:hyperlink>
        </w:p>
        <w:p w:rsidR="006F7E8E" w:rsidRPr="006F7E8E" w:rsidRDefault="006E26D1" w:rsidP="0038730F">
          <w:pPr>
            <w:pStyle w:val="TOC1"/>
            <w:tabs>
              <w:tab w:val="left" w:pos="720"/>
            </w:tabs>
            <w:rPr>
              <w:rFonts w:ascii="Cambria" w:eastAsiaTheme="minorEastAsia" w:hAnsi="Cambria" w:cstheme="minorBidi"/>
              <w:b w:val="0"/>
              <w:bdr w:val="none" w:sz="0" w:space="0" w:color="auto"/>
              <w:lang w:val="en-US"/>
            </w:rPr>
          </w:pPr>
          <w:hyperlink w:anchor="_Toc505936572" w:history="1">
            <w:r w:rsidR="006F7E8E" w:rsidRPr="006F7E8E">
              <w:rPr>
                <w:rStyle w:val="Hyperlink"/>
                <w:rFonts w:ascii="Cambria" w:hAnsi="Cambria"/>
                <w:lang w:val="es-CL"/>
              </w:rPr>
              <w:t>V.</w:t>
            </w:r>
            <w:r w:rsidR="006F7E8E" w:rsidRPr="006F7E8E">
              <w:rPr>
                <w:rFonts w:ascii="Cambria" w:eastAsiaTheme="minorEastAsia" w:hAnsi="Cambria" w:cstheme="minorBidi"/>
                <w:b w:val="0"/>
                <w:bdr w:val="none" w:sz="0" w:space="0" w:color="auto"/>
                <w:lang w:val="en-US"/>
              </w:rPr>
              <w:tab/>
            </w:r>
            <w:r w:rsidR="006F7E8E" w:rsidRPr="006F7E8E">
              <w:rPr>
                <w:rStyle w:val="Hyperlink"/>
                <w:rFonts w:ascii="Cambria" w:hAnsi="Cambria"/>
                <w:lang w:val="es-CO"/>
              </w:rPr>
              <w:t>CONCLUSIONES</w:t>
            </w:r>
            <w:r w:rsidR="006F7E8E" w:rsidRPr="006F7E8E">
              <w:rPr>
                <w:rStyle w:val="Hyperlink"/>
                <w:rFonts w:ascii="Cambria" w:hAnsi="Cambria"/>
                <w:lang w:val="es-VE"/>
              </w:rPr>
              <w:t xml:space="preserve"> Y RECOMENDACIONES</w:t>
            </w:r>
            <w:r w:rsidR="006F7E8E" w:rsidRPr="006F7E8E">
              <w:rPr>
                <w:rFonts w:ascii="Cambria" w:hAnsi="Cambria"/>
                <w:webHidden/>
              </w:rPr>
              <w:tab/>
            </w:r>
            <w:r w:rsidR="006F7E8E" w:rsidRPr="00890735">
              <w:rPr>
                <w:rFonts w:ascii="Cambria" w:hAnsi="Cambria"/>
                <w:b w:val="0"/>
                <w:webHidden/>
              </w:rPr>
              <w:fldChar w:fldCharType="begin"/>
            </w:r>
            <w:r w:rsidR="006F7E8E" w:rsidRPr="00890735">
              <w:rPr>
                <w:rFonts w:ascii="Cambria" w:hAnsi="Cambria"/>
                <w:b w:val="0"/>
                <w:webHidden/>
              </w:rPr>
              <w:instrText xml:space="preserve"> PAGEREF _Toc505936572 \h </w:instrText>
            </w:r>
            <w:r w:rsidR="006F7E8E" w:rsidRPr="00890735">
              <w:rPr>
                <w:rFonts w:ascii="Cambria" w:hAnsi="Cambria"/>
                <w:b w:val="0"/>
                <w:webHidden/>
              </w:rPr>
            </w:r>
            <w:r w:rsidR="006F7E8E" w:rsidRPr="00890735">
              <w:rPr>
                <w:rFonts w:ascii="Cambria" w:hAnsi="Cambria"/>
                <w:b w:val="0"/>
                <w:webHidden/>
              </w:rPr>
              <w:fldChar w:fldCharType="separate"/>
            </w:r>
            <w:r w:rsidR="00441C2D">
              <w:rPr>
                <w:rFonts w:ascii="Cambria" w:hAnsi="Cambria"/>
                <w:b w:val="0"/>
                <w:webHidden/>
              </w:rPr>
              <w:t>19</w:t>
            </w:r>
            <w:r w:rsidR="006F7E8E" w:rsidRPr="00890735">
              <w:rPr>
                <w:rFonts w:ascii="Cambria" w:hAnsi="Cambria"/>
                <w:b w:val="0"/>
                <w:webHidden/>
              </w:rPr>
              <w:fldChar w:fldCharType="end"/>
            </w:r>
          </w:hyperlink>
        </w:p>
        <w:p w:rsidR="00910616" w:rsidRPr="00910616" w:rsidRDefault="00910616" w:rsidP="0038730F">
          <w:pPr>
            <w:tabs>
              <w:tab w:val="left" w:pos="720"/>
            </w:tabs>
            <w:rPr>
              <w:rFonts w:ascii="Cambria" w:hAnsi="Cambria"/>
              <w:sz w:val="20"/>
              <w:szCs w:val="20"/>
            </w:rPr>
          </w:pPr>
          <w:r w:rsidRPr="00910616">
            <w:rPr>
              <w:rFonts w:ascii="Cambria" w:hAnsi="Cambria"/>
              <w:b/>
              <w:bCs/>
              <w:noProof/>
              <w:sz w:val="20"/>
              <w:szCs w:val="20"/>
            </w:rPr>
            <w:fldChar w:fldCharType="end"/>
          </w:r>
        </w:p>
      </w:sdtContent>
    </w:sdt>
    <w:p w:rsidR="00910616" w:rsidRPr="00910616" w:rsidRDefault="00910616" w:rsidP="00910616">
      <w:pPr>
        <w:suppressAutoHyphens/>
        <w:rPr>
          <w:rFonts w:ascii="Cambria" w:hAnsi="Cambria"/>
          <w:b/>
          <w:sz w:val="20"/>
          <w:szCs w:val="20"/>
          <w:lang w:val="es-ES_tradnl"/>
        </w:rPr>
      </w:pPr>
    </w:p>
    <w:p w:rsidR="00910616" w:rsidRPr="00910616" w:rsidRDefault="00910616" w:rsidP="00C26D5E">
      <w:pPr>
        <w:pStyle w:val="TOC1"/>
        <w:rPr>
          <w:rFonts w:ascii="Cambria" w:eastAsiaTheme="minorEastAsia" w:hAnsi="Cambria" w:cstheme="minorBidi"/>
          <w:b w:val="0"/>
          <w:bdr w:val="none" w:sz="0" w:space="0" w:color="auto"/>
          <w:lang w:val="en-US"/>
        </w:rPr>
      </w:pPr>
      <w:r w:rsidRPr="00910616">
        <w:rPr>
          <w:rFonts w:ascii="Cambria" w:hAnsi="Cambria"/>
          <w:b w:val="0"/>
        </w:rPr>
        <w:fldChar w:fldCharType="begin"/>
      </w:r>
      <w:r w:rsidRPr="00910616">
        <w:rPr>
          <w:rFonts w:ascii="Cambria" w:hAnsi="Cambria"/>
          <w:b w:val="0"/>
        </w:rPr>
        <w:instrText xml:space="preserve"> TOC \o "1-7" \h \z \u </w:instrText>
      </w:r>
      <w:r w:rsidRPr="00910616">
        <w:rPr>
          <w:rFonts w:ascii="Cambria" w:hAnsi="Cambria"/>
          <w:b w:val="0"/>
        </w:rPr>
        <w:fldChar w:fldCharType="separate"/>
      </w:r>
    </w:p>
    <w:p w:rsidR="00910616" w:rsidRPr="00910616" w:rsidRDefault="00910616" w:rsidP="00910616">
      <w:pPr>
        <w:tabs>
          <w:tab w:val="center" w:pos="5400"/>
        </w:tabs>
        <w:suppressAutoHyphens/>
        <w:spacing w:line="276" w:lineRule="auto"/>
        <w:rPr>
          <w:rFonts w:ascii="Cambria" w:hAnsi="Cambria"/>
          <w:sz w:val="20"/>
          <w:szCs w:val="20"/>
          <w:lang w:val="es-ES_tradnl"/>
        </w:rPr>
      </w:pPr>
      <w:r w:rsidRPr="00910616">
        <w:rPr>
          <w:rFonts w:ascii="Cambria" w:hAnsi="Cambria"/>
          <w:b/>
          <w:sz w:val="20"/>
          <w:szCs w:val="20"/>
          <w:lang w:val="es-ES_tradnl"/>
        </w:rPr>
        <w:fldChar w:fldCharType="end"/>
      </w:r>
    </w:p>
    <w:p w:rsidR="00910616" w:rsidRPr="00910616" w:rsidRDefault="00910616" w:rsidP="00910616">
      <w:pPr>
        <w:rPr>
          <w:rFonts w:ascii="Cambria" w:hAnsi="Cambria" w:cs="Calibri"/>
          <w:sz w:val="20"/>
          <w:szCs w:val="20"/>
          <w:lang w:val="es-ES"/>
        </w:rPr>
      </w:pPr>
      <w:r w:rsidRPr="00910616">
        <w:rPr>
          <w:rFonts w:ascii="Cambria" w:hAnsi="Cambria" w:cs="Calibri"/>
          <w:sz w:val="20"/>
          <w:szCs w:val="20"/>
          <w:lang w:val="es-ES"/>
        </w:rPr>
        <w:br w:type="page"/>
      </w:r>
    </w:p>
    <w:p w:rsidR="00910616" w:rsidRPr="0038730F" w:rsidRDefault="00D87BCD" w:rsidP="00C2232B">
      <w:pPr>
        <w:tabs>
          <w:tab w:val="center" w:pos="5400"/>
        </w:tabs>
        <w:suppressAutoHyphens/>
        <w:jc w:val="center"/>
        <w:rPr>
          <w:rFonts w:ascii="Cambria" w:hAnsi="Cambria"/>
          <w:b/>
          <w:sz w:val="18"/>
          <w:szCs w:val="20"/>
          <w:lang w:val="es-VE"/>
        </w:rPr>
      </w:pPr>
      <w:r>
        <w:rPr>
          <w:rFonts w:ascii="Cambria" w:hAnsi="Cambria"/>
          <w:b/>
          <w:sz w:val="18"/>
          <w:szCs w:val="20"/>
          <w:lang w:val="es-VE"/>
        </w:rPr>
        <w:lastRenderedPageBreak/>
        <w:t>INFORME No. 21/18</w:t>
      </w:r>
    </w:p>
    <w:p w:rsidR="00910616" w:rsidRPr="0038730F" w:rsidRDefault="00910616" w:rsidP="00C2232B">
      <w:pPr>
        <w:tabs>
          <w:tab w:val="center" w:pos="5400"/>
        </w:tabs>
        <w:suppressAutoHyphens/>
        <w:jc w:val="center"/>
        <w:rPr>
          <w:rFonts w:ascii="Cambria" w:hAnsi="Cambria"/>
          <w:b/>
          <w:sz w:val="18"/>
          <w:szCs w:val="20"/>
          <w:lang w:val="es-VE"/>
        </w:rPr>
      </w:pPr>
      <w:r w:rsidRPr="0038730F">
        <w:rPr>
          <w:rFonts w:ascii="Cambria" w:hAnsi="Cambria"/>
          <w:b/>
          <w:sz w:val="18"/>
          <w:szCs w:val="20"/>
          <w:lang w:val="es-VE"/>
        </w:rPr>
        <w:t>CASO 12.955</w:t>
      </w:r>
    </w:p>
    <w:p w:rsidR="00910616" w:rsidRPr="0038730F" w:rsidRDefault="00910616" w:rsidP="00C2232B">
      <w:pPr>
        <w:tabs>
          <w:tab w:val="center" w:pos="5400"/>
        </w:tabs>
        <w:suppressAutoHyphens/>
        <w:jc w:val="center"/>
        <w:rPr>
          <w:rFonts w:ascii="Cambria" w:hAnsi="Cambria"/>
          <w:b/>
          <w:sz w:val="18"/>
          <w:szCs w:val="20"/>
          <w:lang w:val="es-VE"/>
        </w:rPr>
      </w:pPr>
      <w:r w:rsidRPr="0038730F">
        <w:rPr>
          <w:rFonts w:ascii="Cambria" w:hAnsi="Cambria"/>
          <w:b/>
          <w:sz w:val="18"/>
          <w:szCs w:val="20"/>
          <w:lang w:val="es-VE"/>
        </w:rPr>
        <w:t>FONDO</w:t>
      </w:r>
      <w:r w:rsidR="00FF3BD7" w:rsidRPr="00D87BCD">
        <w:rPr>
          <w:rStyle w:val="FootnoteReference"/>
          <w:rFonts w:asciiTheme="majorHAnsi" w:hAnsiTheme="majorHAnsi"/>
          <w:b/>
          <w:sz w:val="18"/>
          <w:szCs w:val="20"/>
          <w:lang w:val="es-ES_tradnl"/>
        </w:rPr>
        <w:footnoteReference w:id="1"/>
      </w:r>
    </w:p>
    <w:p w:rsidR="00910616" w:rsidRPr="0038730F" w:rsidRDefault="00910616" w:rsidP="00C2232B">
      <w:pPr>
        <w:tabs>
          <w:tab w:val="center" w:pos="5400"/>
        </w:tabs>
        <w:suppressAutoHyphens/>
        <w:jc w:val="center"/>
        <w:rPr>
          <w:rFonts w:ascii="Cambria" w:hAnsi="Cambria"/>
          <w:sz w:val="18"/>
          <w:szCs w:val="20"/>
          <w:lang w:val="es-VE"/>
        </w:rPr>
      </w:pPr>
      <w:r w:rsidRPr="0038730F">
        <w:rPr>
          <w:rFonts w:ascii="Cambria" w:hAnsi="Cambria"/>
          <w:sz w:val="18"/>
          <w:szCs w:val="20"/>
          <w:lang w:val="es-VE"/>
        </w:rPr>
        <w:t>DANIEL URRUTIA LA</w:t>
      </w:r>
      <w:r w:rsidR="001E1ED6" w:rsidRPr="0038730F">
        <w:rPr>
          <w:rFonts w:ascii="Cambria" w:hAnsi="Cambria"/>
          <w:sz w:val="18"/>
          <w:szCs w:val="20"/>
          <w:lang w:val="es-VE"/>
        </w:rPr>
        <w:t>U</w:t>
      </w:r>
      <w:r w:rsidRPr="0038730F">
        <w:rPr>
          <w:rFonts w:ascii="Cambria" w:hAnsi="Cambria"/>
          <w:sz w:val="18"/>
          <w:szCs w:val="20"/>
          <w:lang w:val="es-VE"/>
        </w:rPr>
        <w:t>BREAUX</w:t>
      </w:r>
    </w:p>
    <w:p w:rsidR="00910616" w:rsidRPr="0038730F" w:rsidRDefault="00910616" w:rsidP="00C2232B">
      <w:pPr>
        <w:tabs>
          <w:tab w:val="center" w:pos="4680"/>
          <w:tab w:val="center" w:pos="5400"/>
          <w:tab w:val="left" w:pos="5502"/>
        </w:tabs>
        <w:suppressAutoHyphens/>
        <w:rPr>
          <w:rFonts w:ascii="Cambria" w:hAnsi="Cambria"/>
          <w:sz w:val="18"/>
          <w:szCs w:val="20"/>
          <w:lang w:val="es-VE"/>
        </w:rPr>
      </w:pPr>
      <w:r w:rsidRPr="0038730F">
        <w:rPr>
          <w:rFonts w:ascii="Cambria" w:hAnsi="Cambria"/>
          <w:sz w:val="18"/>
          <w:szCs w:val="20"/>
          <w:lang w:val="es-VE"/>
        </w:rPr>
        <w:tab/>
        <w:t>CHILE</w:t>
      </w:r>
      <w:r w:rsidRPr="0038730F">
        <w:rPr>
          <w:rFonts w:ascii="Cambria" w:hAnsi="Cambria"/>
          <w:sz w:val="18"/>
          <w:szCs w:val="20"/>
          <w:lang w:val="es-VE"/>
        </w:rPr>
        <w:tab/>
      </w:r>
      <w:r w:rsidRPr="0038730F">
        <w:rPr>
          <w:rFonts w:ascii="Cambria" w:hAnsi="Cambria"/>
          <w:sz w:val="18"/>
          <w:szCs w:val="20"/>
          <w:lang w:val="es-VE"/>
        </w:rPr>
        <w:tab/>
      </w:r>
    </w:p>
    <w:p w:rsidR="00910616" w:rsidRPr="0038730F" w:rsidRDefault="00D87BCD" w:rsidP="00C2232B">
      <w:pPr>
        <w:tabs>
          <w:tab w:val="center" w:pos="5400"/>
        </w:tabs>
        <w:suppressAutoHyphens/>
        <w:jc w:val="center"/>
        <w:rPr>
          <w:rFonts w:ascii="Cambria" w:hAnsi="Cambria"/>
          <w:sz w:val="18"/>
          <w:szCs w:val="20"/>
          <w:lang w:val="es-VE"/>
        </w:rPr>
      </w:pPr>
      <w:r>
        <w:rPr>
          <w:rFonts w:ascii="Cambria" w:hAnsi="Cambria"/>
          <w:sz w:val="18"/>
          <w:szCs w:val="20"/>
          <w:lang w:val="es-VE"/>
        </w:rPr>
        <w:t>24 DE FEBRERO</w:t>
      </w:r>
      <w:r w:rsidR="00910616" w:rsidRPr="0038730F">
        <w:rPr>
          <w:rFonts w:ascii="Cambria" w:hAnsi="Cambria"/>
          <w:sz w:val="18"/>
          <w:szCs w:val="20"/>
          <w:lang w:val="es-VE"/>
        </w:rPr>
        <w:t xml:space="preserve"> DE 2018</w:t>
      </w:r>
    </w:p>
    <w:p w:rsidR="00910616" w:rsidRPr="00910616" w:rsidRDefault="00910616" w:rsidP="00910616">
      <w:pPr>
        <w:pStyle w:val="Heading1"/>
        <w:numPr>
          <w:ilvl w:val="0"/>
          <w:numId w:val="50"/>
        </w:numPr>
        <w:ind w:left="720" w:firstLine="0"/>
        <w:rPr>
          <w:rFonts w:ascii="Cambria" w:hAnsi="Cambria"/>
          <w:color w:val="auto"/>
          <w:sz w:val="20"/>
          <w:szCs w:val="20"/>
          <w:lang w:val="es-ES_tradnl"/>
        </w:rPr>
      </w:pPr>
      <w:bookmarkStart w:id="1" w:name="_Toc505532519"/>
      <w:bookmarkStart w:id="2" w:name="_Toc505936554"/>
      <w:r w:rsidRPr="00910616">
        <w:rPr>
          <w:rFonts w:ascii="Cambria" w:hAnsi="Cambria"/>
          <w:color w:val="auto"/>
          <w:sz w:val="20"/>
          <w:szCs w:val="20"/>
          <w:lang w:val="es-ES_tradnl"/>
        </w:rPr>
        <w:t>RESUMEN</w:t>
      </w:r>
      <w:bookmarkEnd w:id="1"/>
      <w:bookmarkEnd w:id="2"/>
      <w:r w:rsidRPr="00910616">
        <w:rPr>
          <w:rFonts w:ascii="Cambria" w:hAnsi="Cambria"/>
          <w:color w:val="auto"/>
          <w:sz w:val="20"/>
          <w:szCs w:val="20"/>
          <w:lang w:val="es-ES_tradnl"/>
        </w:rPr>
        <w:t xml:space="preserve"> </w:t>
      </w:r>
    </w:p>
    <w:p w:rsidR="00910616" w:rsidRPr="00910616" w:rsidRDefault="00910616" w:rsidP="00910616">
      <w:pPr>
        <w:suppressAutoHyphens/>
        <w:ind w:left="360"/>
        <w:rPr>
          <w:rFonts w:ascii="Cambria" w:hAnsi="Cambria"/>
          <w:b/>
          <w:sz w:val="20"/>
          <w:szCs w:val="20"/>
          <w:lang w:val="es-ES_tradnl"/>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910616">
        <w:rPr>
          <w:rFonts w:ascii="Cambria" w:hAnsi="Cambria"/>
          <w:sz w:val="20"/>
          <w:szCs w:val="20"/>
          <w:lang w:val="es-ES_tradnl"/>
        </w:rPr>
        <w:t xml:space="preserve">El 5 de diciembre de 2005 la Comisión Interamericana de Derechos Humanos (en adelante “la Comisión Interamericana”, “la Comisión” o “la CIDH”) recibió una petición presentada por el Centro por la Justicia y el Derecho Internacional, CEJIL y Daniel Urrutia </w:t>
      </w:r>
      <w:proofErr w:type="spellStart"/>
      <w:r w:rsidRPr="00910616">
        <w:rPr>
          <w:rFonts w:ascii="Cambria" w:hAnsi="Cambria"/>
          <w:sz w:val="20"/>
          <w:szCs w:val="20"/>
          <w:lang w:val="es-ES_tradnl"/>
        </w:rPr>
        <w:t>La</w:t>
      </w:r>
      <w:r w:rsidR="001E1ED6">
        <w:rPr>
          <w:rFonts w:ascii="Cambria" w:hAnsi="Cambria"/>
          <w:sz w:val="20"/>
          <w:szCs w:val="20"/>
          <w:lang w:val="es-ES_tradnl"/>
        </w:rPr>
        <w:t>u</w:t>
      </w:r>
      <w:r w:rsidRPr="00910616">
        <w:rPr>
          <w:rFonts w:ascii="Cambria" w:hAnsi="Cambria"/>
          <w:sz w:val="20"/>
          <w:szCs w:val="20"/>
          <w:lang w:val="es-ES_tradnl"/>
        </w:rPr>
        <w:t>breaux</w:t>
      </w:r>
      <w:proofErr w:type="spellEnd"/>
      <w:r w:rsidRPr="00910616">
        <w:rPr>
          <w:rFonts w:ascii="Cambria" w:hAnsi="Cambria"/>
          <w:sz w:val="20"/>
          <w:szCs w:val="20"/>
          <w:lang w:val="es-ES_tradnl"/>
        </w:rPr>
        <w:t xml:space="preserve"> (en adelante “la parte peticionaria”)</w:t>
      </w:r>
      <w:r w:rsidRPr="00910616">
        <w:rPr>
          <w:rFonts w:ascii="Cambria" w:hAnsi="Cambria"/>
          <w:sz w:val="20"/>
          <w:szCs w:val="20"/>
          <w:vertAlign w:val="superscript"/>
          <w:lang w:val="es-ES_tradnl"/>
        </w:rPr>
        <w:footnoteReference w:id="2"/>
      </w:r>
      <w:r w:rsidRPr="00910616">
        <w:rPr>
          <w:rFonts w:ascii="Cambria" w:hAnsi="Cambria"/>
          <w:sz w:val="20"/>
          <w:szCs w:val="20"/>
          <w:lang w:val="es-ES_tradnl"/>
        </w:rPr>
        <w:t xml:space="preserve"> en la cual se alega la responsabilidad internacional de Chile (en adelante “el Estado chileno”, “el Estado” o “Chile”) en perjuicio de Daniel Urrutia </w:t>
      </w:r>
      <w:proofErr w:type="spellStart"/>
      <w:r w:rsidRPr="00910616">
        <w:rPr>
          <w:rFonts w:ascii="Cambria" w:hAnsi="Cambria"/>
          <w:sz w:val="20"/>
          <w:szCs w:val="20"/>
          <w:lang w:val="es-ES_tradnl"/>
        </w:rPr>
        <w:t>La</w:t>
      </w:r>
      <w:r w:rsidR="001E1ED6">
        <w:rPr>
          <w:rFonts w:ascii="Cambria" w:hAnsi="Cambria"/>
          <w:sz w:val="20"/>
          <w:szCs w:val="20"/>
          <w:lang w:val="es-ES_tradnl"/>
        </w:rPr>
        <w:t>u</w:t>
      </w:r>
      <w:r w:rsidRPr="00910616">
        <w:rPr>
          <w:rFonts w:ascii="Cambria" w:hAnsi="Cambria"/>
          <w:sz w:val="20"/>
          <w:szCs w:val="20"/>
          <w:lang w:val="es-ES_tradnl"/>
        </w:rPr>
        <w:t>breaux</w:t>
      </w:r>
      <w:proofErr w:type="spellEnd"/>
      <w:r w:rsidRPr="00910616">
        <w:rPr>
          <w:rFonts w:ascii="Cambria" w:hAnsi="Cambria"/>
          <w:sz w:val="20"/>
          <w:szCs w:val="20"/>
          <w:vertAlign w:val="superscript"/>
          <w:lang w:val="es-ES_tradnl"/>
        </w:rPr>
        <w:footnoteReference w:id="3"/>
      </w:r>
      <w:r w:rsidRPr="00910616">
        <w:rPr>
          <w:rFonts w:ascii="Cambria" w:hAnsi="Cambria"/>
          <w:sz w:val="20"/>
          <w:szCs w:val="20"/>
          <w:lang w:val="es-ES_tradnl"/>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910616">
        <w:rPr>
          <w:rFonts w:ascii="Cambria" w:hAnsi="Cambria"/>
          <w:sz w:val="20"/>
          <w:szCs w:val="20"/>
          <w:lang w:val="es-VE"/>
        </w:rPr>
        <w:t>L</w:t>
      </w:r>
      <w:r w:rsidRPr="00910616">
        <w:rPr>
          <w:rFonts w:ascii="Cambria" w:hAnsi="Cambria"/>
          <w:sz w:val="20"/>
          <w:szCs w:val="20"/>
          <w:lang w:val="es-ES_tradnl"/>
        </w:rPr>
        <w:t>a Comisión aprobó el informe de admisibilidad No. 51/14 el 21 de julio de 2014</w:t>
      </w:r>
      <w:r w:rsidRPr="00910616">
        <w:rPr>
          <w:rStyle w:val="FootnoteReference"/>
          <w:rFonts w:ascii="Cambria" w:hAnsi="Cambria"/>
          <w:sz w:val="20"/>
          <w:szCs w:val="20"/>
          <w:lang w:val="es-ES_tradnl"/>
        </w:rPr>
        <w:footnoteReference w:id="4"/>
      </w:r>
      <w:r w:rsidRPr="00910616">
        <w:rPr>
          <w:rFonts w:ascii="Cambria" w:hAnsi="Cambria"/>
          <w:sz w:val="20"/>
          <w:szCs w:val="20"/>
          <w:lang w:val="es-ES_tradnl"/>
        </w:rPr>
        <w:t xml:space="preserve">. El 15 de agosto de 2014 la Comisión notificó dicho informe a las partes y se puso a su disposición a fin de llegar a una solución amistosa, sin que ambas partes manifestaran interés en dicho procedimiento. Las partes contaron con los plazos reglamentarios para presentar sus observaciones adicionales sobre el fondo. Toda la información recibida fue debidamente trasladada entre las partes.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La parte peticionaria alegó que el Estado violó el derecho a la libertad de expresión de la presunta víctima, quien se desempeñaba como Juez de Garantía en la Ciudad de Coquimbo, porque la Corte Suprema de Justicia de Chile le impuso una sanción disciplinaria como consecuencia de un trabajo académico presentado en el marco de un curso sobre derechos humanos en el que criticó las posturas que el Poder Judicial asumió durante la dictadura chilena. Sostuvo que el proceso disciplinario también incumplió con varias garantías del debido proceso, como el derecho de defensa, la imparcialidad de la autoridad disciplinaria, y el principio de presunción de inocencia.</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El Estado sostuvo que la presunta víctima fue sometida a un proceso administrativo dentro del Poder Judicial, en el cual se respetaron todas las garantías del debido proceso. En particular indicó que la sanción se impuso luego de llevar a cabo una investigación seria y que la presunta víctima contó con un recurso de apelación. </w:t>
      </w:r>
      <w:r w:rsidR="001E1ED6">
        <w:rPr>
          <w:rFonts w:ascii="Cambria" w:hAnsi="Cambria"/>
          <w:color w:val="000000" w:themeColor="text1"/>
          <w:sz w:val="20"/>
          <w:szCs w:val="20"/>
          <w:lang w:val="es-VE"/>
        </w:rPr>
        <w:t xml:space="preserve">Indicó, en consecuencia que el caso no presenta violaciones a los derechos del señor Urrutia. </w:t>
      </w:r>
    </w:p>
    <w:p w:rsidR="00910616" w:rsidRPr="00910616" w:rsidRDefault="00910616" w:rsidP="00910616">
      <w:pPr>
        <w:rPr>
          <w:rFonts w:ascii="Cambria" w:hAnsi="Cambria"/>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Con base en las determinaciones de hecho y de derecho, la Comisión Interamericana concluyó que el Estado chileno es responsable por la violación de los derechos consagrados en los artículos 8.1, 8.2 b), 8.2 c) (garantías judiciales), 9 (principio de legalidad), 13.2 (libertad de pensamiento y expresión) y 25.1 (protección judicial) de la Convención Americana sobre Derechos Humanos (en adelante  “</w:t>
      </w:r>
      <w:r w:rsidRPr="00910616">
        <w:rPr>
          <w:rFonts w:ascii="Cambria" w:hAnsi="Cambria"/>
          <w:sz w:val="20"/>
          <w:szCs w:val="20"/>
          <w:lang w:val="es-VE"/>
        </w:rPr>
        <w:t xml:space="preserve">la Convención Americana”  o “la Convención”), en relación con las obligaciones establecidas en los artículos 1.1 y 2 </w:t>
      </w:r>
      <w:r w:rsidRPr="00910616">
        <w:rPr>
          <w:rFonts w:ascii="Cambria" w:hAnsi="Cambria"/>
          <w:color w:val="000000" w:themeColor="text1"/>
          <w:sz w:val="20"/>
          <w:szCs w:val="20"/>
          <w:lang w:val="es-VE"/>
        </w:rPr>
        <w:t xml:space="preserve">del mismo instrumento, en perjuicio de Daniel Urrutia </w:t>
      </w:r>
      <w:proofErr w:type="spellStart"/>
      <w:r w:rsidRPr="00910616">
        <w:rPr>
          <w:rFonts w:ascii="Cambria" w:hAnsi="Cambria"/>
          <w:color w:val="000000" w:themeColor="text1"/>
          <w:sz w:val="20"/>
          <w:szCs w:val="20"/>
          <w:lang w:val="es-VE"/>
        </w:rPr>
        <w:t>La</w:t>
      </w:r>
      <w:r w:rsidR="001E1ED6">
        <w:rPr>
          <w:rFonts w:ascii="Cambria" w:hAnsi="Cambria"/>
          <w:color w:val="000000" w:themeColor="text1"/>
          <w:sz w:val="20"/>
          <w:szCs w:val="20"/>
          <w:lang w:val="es-VE"/>
        </w:rPr>
        <w:t>u</w:t>
      </w:r>
      <w:r w:rsidRPr="00910616">
        <w:rPr>
          <w:rFonts w:ascii="Cambria" w:hAnsi="Cambria"/>
          <w:color w:val="000000" w:themeColor="text1"/>
          <w:sz w:val="20"/>
          <w:szCs w:val="20"/>
          <w:lang w:val="es-VE"/>
        </w:rPr>
        <w:t>breaux</w:t>
      </w:r>
      <w:proofErr w:type="spellEnd"/>
      <w:r w:rsidRPr="00910616">
        <w:rPr>
          <w:rFonts w:ascii="Cambria" w:hAnsi="Cambria"/>
          <w:color w:val="000000" w:themeColor="text1"/>
          <w:sz w:val="20"/>
          <w:szCs w:val="20"/>
          <w:lang w:val="es-VE"/>
        </w:rPr>
        <w:t xml:space="preserve">. La Comisión formuló las recomendaciones respectivas. </w:t>
      </w:r>
    </w:p>
    <w:p w:rsidR="00910616" w:rsidRPr="00910616" w:rsidRDefault="00910616" w:rsidP="00910616">
      <w:pPr>
        <w:pStyle w:val="ListParagraph"/>
        <w:suppressAutoHyphens/>
        <w:ind w:left="1080"/>
        <w:rPr>
          <w:b/>
          <w:sz w:val="20"/>
          <w:szCs w:val="20"/>
          <w:lang w:val="es-ES_tradnl"/>
        </w:rPr>
      </w:pPr>
    </w:p>
    <w:p w:rsidR="00910616" w:rsidRPr="00910616" w:rsidRDefault="00910616" w:rsidP="00910616">
      <w:pPr>
        <w:pStyle w:val="ListParagraph"/>
        <w:suppressAutoHyphens/>
        <w:ind w:left="1080"/>
        <w:rPr>
          <w:b/>
          <w:sz w:val="20"/>
          <w:szCs w:val="20"/>
          <w:lang w:val="es-ES_tradnl"/>
        </w:rPr>
      </w:pPr>
    </w:p>
    <w:p w:rsidR="00910616" w:rsidRDefault="00910616" w:rsidP="00910616">
      <w:pPr>
        <w:suppressAutoHyphens/>
        <w:rPr>
          <w:rFonts w:ascii="Cambria" w:hAnsi="Cambria"/>
          <w:b/>
          <w:sz w:val="20"/>
          <w:szCs w:val="20"/>
          <w:lang w:val="es-ES_tradnl"/>
        </w:rPr>
      </w:pPr>
    </w:p>
    <w:p w:rsidR="004D2791" w:rsidRPr="00910616" w:rsidRDefault="004D2791" w:rsidP="00910616">
      <w:pPr>
        <w:suppressAutoHyphens/>
        <w:rPr>
          <w:rFonts w:ascii="Cambria" w:hAnsi="Cambria"/>
          <w:b/>
          <w:sz w:val="20"/>
          <w:szCs w:val="20"/>
          <w:lang w:val="es-ES_tradnl"/>
        </w:rPr>
      </w:pPr>
    </w:p>
    <w:p w:rsidR="00910616" w:rsidRPr="00910616" w:rsidRDefault="00910616" w:rsidP="00910616">
      <w:pPr>
        <w:pStyle w:val="Heading1"/>
        <w:keepLines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1440" w:hanging="810"/>
        <w:rPr>
          <w:rFonts w:ascii="Cambria" w:hAnsi="Cambria"/>
          <w:b w:val="0"/>
          <w:sz w:val="20"/>
          <w:szCs w:val="20"/>
          <w:lang w:val="es-ES_tradnl"/>
        </w:rPr>
      </w:pPr>
      <w:bookmarkStart w:id="3" w:name="_Toc505532520"/>
      <w:bookmarkStart w:id="4" w:name="_Toc505936555"/>
      <w:r w:rsidRPr="00910616">
        <w:rPr>
          <w:rFonts w:ascii="Cambria" w:hAnsi="Cambria"/>
          <w:color w:val="auto"/>
          <w:sz w:val="20"/>
          <w:szCs w:val="20"/>
          <w:lang w:val="es-CO"/>
        </w:rPr>
        <w:t>ALEGATOS DE LAS PARTES</w:t>
      </w:r>
      <w:bookmarkEnd w:id="3"/>
      <w:bookmarkEnd w:id="4"/>
    </w:p>
    <w:p w:rsidR="00910616" w:rsidRPr="00910616" w:rsidRDefault="00910616" w:rsidP="00910616">
      <w:pPr>
        <w:pStyle w:val="Heading2"/>
        <w:numPr>
          <w:ilvl w:val="0"/>
          <w:numId w:val="51"/>
        </w:numPr>
        <w:ind w:left="630" w:firstLine="0"/>
        <w:rPr>
          <w:rFonts w:ascii="Cambria" w:hAnsi="Cambria"/>
          <w:i w:val="0"/>
          <w:sz w:val="20"/>
          <w:szCs w:val="20"/>
          <w:lang w:val="es-VE"/>
        </w:rPr>
      </w:pPr>
      <w:bookmarkStart w:id="5" w:name="_Toc505532521"/>
      <w:bookmarkStart w:id="6" w:name="_Toc505936556"/>
      <w:r w:rsidRPr="00910616">
        <w:rPr>
          <w:rFonts w:ascii="Cambria" w:hAnsi="Cambria"/>
          <w:i w:val="0"/>
          <w:sz w:val="20"/>
          <w:szCs w:val="20"/>
          <w:lang w:val="es-VE"/>
        </w:rPr>
        <w:t>Parte peticionaria</w:t>
      </w:r>
      <w:bookmarkEnd w:id="5"/>
      <w:bookmarkEnd w:id="6"/>
      <w:r w:rsidRPr="00910616">
        <w:rPr>
          <w:rFonts w:ascii="Cambria" w:hAnsi="Cambria"/>
          <w:i w:val="0"/>
          <w:sz w:val="20"/>
          <w:szCs w:val="20"/>
          <w:lang w:val="es-VE"/>
        </w:rPr>
        <w:t xml:space="preserve"> </w:t>
      </w:r>
    </w:p>
    <w:p w:rsidR="00910616" w:rsidRPr="00910616" w:rsidRDefault="00910616" w:rsidP="00910616">
      <w:pPr>
        <w:suppressAutoHyphens/>
        <w:rPr>
          <w:rFonts w:ascii="Cambria" w:hAnsi="Cambria"/>
          <w:sz w:val="20"/>
          <w:szCs w:val="20"/>
          <w:lang w:val="es-ES_tradnl"/>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La presunta víctima refirió que el 2 de marzo de 2004, en su condición de Juez de Garantía de la ciudad de Ovalle, Cuarta Región de Chile, solicitó a la Corte Suprema de Chile, una comisión de servicios para asistir a la ciudad de Santiago a las clases presenciales del Diplomado en Derechos Humanos y Procesos de Democratización, dictado por el Centro de Derechos Humanos de la Universidad de Chile e</w:t>
      </w:r>
      <w:r w:rsidR="006F7E8E">
        <w:rPr>
          <w:rFonts w:ascii="Cambria" w:hAnsi="Cambria"/>
          <w:color w:val="000000" w:themeColor="text1"/>
          <w:sz w:val="20"/>
          <w:szCs w:val="20"/>
          <w:lang w:val="es-VE"/>
        </w:rPr>
        <w:t xml:space="preserve">n conjunto con el International </w:t>
      </w:r>
      <w:r w:rsidRPr="00910616">
        <w:rPr>
          <w:rFonts w:ascii="Cambria" w:hAnsi="Cambria"/>
          <w:color w:val="000000" w:themeColor="text1"/>
          <w:sz w:val="20"/>
          <w:szCs w:val="20"/>
          <w:lang w:val="es-VE"/>
        </w:rPr>
        <w:t xml:space="preserve">Center </w:t>
      </w:r>
      <w:proofErr w:type="spellStart"/>
      <w:r w:rsidRPr="00910616">
        <w:rPr>
          <w:rFonts w:ascii="Cambria" w:hAnsi="Cambria"/>
          <w:color w:val="000000" w:themeColor="text1"/>
          <w:sz w:val="20"/>
          <w:szCs w:val="20"/>
          <w:lang w:val="es-VE"/>
        </w:rPr>
        <w:t>for</w:t>
      </w:r>
      <w:proofErr w:type="spellEnd"/>
      <w:r w:rsidRPr="00910616">
        <w:rPr>
          <w:rFonts w:ascii="Cambria" w:hAnsi="Cambria"/>
          <w:color w:val="000000" w:themeColor="text1"/>
          <w:sz w:val="20"/>
          <w:szCs w:val="20"/>
          <w:lang w:val="es-VE"/>
        </w:rPr>
        <w:t xml:space="preserve"> </w:t>
      </w:r>
      <w:proofErr w:type="spellStart"/>
      <w:r w:rsidRPr="00910616">
        <w:rPr>
          <w:rFonts w:ascii="Cambria" w:hAnsi="Cambria"/>
          <w:color w:val="000000" w:themeColor="text1"/>
          <w:sz w:val="20"/>
          <w:szCs w:val="20"/>
          <w:lang w:val="es-VE"/>
        </w:rPr>
        <w:t>Transitional</w:t>
      </w:r>
      <w:proofErr w:type="spellEnd"/>
      <w:r w:rsidRPr="00910616">
        <w:rPr>
          <w:rFonts w:ascii="Cambria" w:hAnsi="Cambria"/>
          <w:color w:val="000000" w:themeColor="text1"/>
          <w:sz w:val="20"/>
          <w:szCs w:val="20"/>
          <w:lang w:val="es-VE"/>
        </w:rPr>
        <w:t xml:space="preserve"> </w:t>
      </w:r>
      <w:proofErr w:type="spellStart"/>
      <w:r w:rsidRPr="00910616">
        <w:rPr>
          <w:rFonts w:ascii="Cambria" w:hAnsi="Cambria"/>
          <w:color w:val="000000" w:themeColor="text1"/>
          <w:sz w:val="20"/>
          <w:szCs w:val="20"/>
          <w:lang w:val="es-VE"/>
        </w:rPr>
        <w:t>Justice</w:t>
      </w:r>
      <w:proofErr w:type="spellEnd"/>
      <w:r w:rsidRPr="00910616">
        <w:rPr>
          <w:rFonts w:ascii="Cambria" w:hAnsi="Cambria"/>
          <w:color w:val="000000" w:themeColor="text1"/>
          <w:sz w:val="20"/>
          <w:szCs w:val="20"/>
          <w:lang w:val="es-VE"/>
        </w:rPr>
        <w:t>.</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Indicó que el 8 de abril de 2004 la Corte Suprema de la República le otorgó el permiso correspondiente de acuerdo a lo establecido en el artículo 340 del Código Orgánico de Tribunales.</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Expuso que el 30 de noviembre de 2004 remitió ante la Corte Suprema el trabajo titulado “Propuesta de política pública de introducción del enfoque de Derechos Humanos en el trabajo del Poder Judicial de la República de Chile”, con el objeto de acreditar la terminación satisfactoria del Diplomado. </w:t>
      </w:r>
    </w:p>
    <w:p w:rsidR="00910616" w:rsidRPr="00910616" w:rsidRDefault="00910616" w:rsidP="00910616">
      <w:pPr>
        <w:pStyle w:val="ListParagraph"/>
        <w:rPr>
          <w:color w:val="000000" w:themeColor="text1"/>
          <w:sz w:val="20"/>
          <w:szCs w:val="20"/>
          <w:lang w:val="es-VE"/>
        </w:rPr>
      </w:pPr>
    </w:p>
    <w:p w:rsidR="00910616" w:rsidRPr="00910616" w:rsidRDefault="00645C48"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En cuanto a</w:t>
      </w:r>
      <w:r w:rsidR="00910616" w:rsidRPr="00910616">
        <w:rPr>
          <w:rFonts w:ascii="Cambria" w:hAnsi="Cambria"/>
          <w:color w:val="000000" w:themeColor="text1"/>
          <w:sz w:val="20"/>
          <w:szCs w:val="20"/>
          <w:lang w:val="es-VE"/>
        </w:rPr>
        <w:t xml:space="preserve">l contenido del documento, indicó que en el mismo hizo un análisis de la necesidad de modificar la estructura de la justicia en el país, planteó la reforma del régimen disciplinario por no cumplir con las garantías del debido proceso,  y propuso realizar la selección, promoción y capacitación de jueces bajo un nuevo modelo de administración de justicia comprometido con la defensa de los derechos humanos, de acuerdo con la etapa de transición por la que en esos momentos atravesaba el Estado. </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Adicionalmente, indicó que en el mencionado trabajo presentó propuestas de acción a cargo de la Corte Suprema, como la de </w:t>
      </w:r>
      <w:r w:rsidR="00645C48">
        <w:rPr>
          <w:rFonts w:ascii="Cambria" w:hAnsi="Cambria"/>
          <w:color w:val="000000" w:themeColor="text1"/>
          <w:sz w:val="20"/>
          <w:szCs w:val="20"/>
          <w:lang w:val="es-VE"/>
        </w:rPr>
        <w:t>reconocer las conclusiones del I</w:t>
      </w:r>
      <w:r w:rsidRPr="00910616">
        <w:rPr>
          <w:rFonts w:ascii="Cambria" w:hAnsi="Cambria"/>
          <w:color w:val="000000" w:themeColor="text1"/>
          <w:sz w:val="20"/>
          <w:szCs w:val="20"/>
          <w:lang w:val="es-VE"/>
        </w:rPr>
        <w:t>nforme de la Comisión Nacional de la Verdad y la Reconciliación y del Informe de la Comisión Nacional contra la Tortura; realizar una petición de perdón público a las víctimas de violaciones a los derechos humanos y a los funcionarios que por razón de su pensamiento político fueron expulsados de la judicatura; y refrendar un compromiso claro con las garantías de no repetición.</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Expuso que el 20 de diciembre de 2004 la Corte Suprema ordenó enviar a la Corte de Apelaciones de La Serena copia del mencionado trabajo con la nota “para su conocimiento y fines pertinentes”.</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Señaló que el 27 de diciembre de 2004, mediante oficio 6183, el Secretario de la Corte Suprema de Justicia le devolvió el trabajo antes enviado con la nota: “en razón de estimarse que en</w:t>
      </w:r>
      <w:r w:rsidR="00645C48">
        <w:rPr>
          <w:rFonts w:ascii="Cambria" w:hAnsi="Cambria"/>
          <w:color w:val="000000" w:themeColor="text1"/>
          <w:sz w:val="20"/>
          <w:szCs w:val="20"/>
          <w:lang w:val="es-VE"/>
        </w:rPr>
        <w:t xml:space="preserve"> el</w:t>
      </w:r>
      <w:r w:rsidRPr="00910616">
        <w:rPr>
          <w:rFonts w:ascii="Cambria" w:hAnsi="Cambria"/>
          <w:color w:val="000000" w:themeColor="text1"/>
          <w:sz w:val="20"/>
          <w:szCs w:val="20"/>
          <w:lang w:val="es-VE"/>
        </w:rPr>
        <w:t xml:space="preserve"> aludido informe se contienen apreciaciones inadecuadas para este tribunal. Lo que el Secretario de esta Corte Suprema cumple por disposición del señor Presidente”.</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Señaló que mediante escrito de 12 de enero de 2005 la Corte de Apelaciones de La Serena, mediante el oficio No. 87 le solicitó informar dentro del quinto día “acerca de los motivos que tuvo en consideració</w:t>
      </w:r>
      <w:r w:rsidR="00645C48">
        <w:rPr>
          <w:rFonts w:ascii="Cambria" w:hAnsi="Cambria"/>
          <w:color w:val="000000" w:themeColor="text1"/>
          <w:sz w:val="20"/>
          <w:szCs w:val="20"/>
          <w:lang w:val="es-VE"/>
        </w:rPr>
        <w:t xml:space="preserve">n para enviar a la </w:t>
      </w:r>
      <w:proofErr w:type="spellStart"/>
      <w:r w:rsidR="00645C48">
        <w:rPr>
          <w:rFonts w:ascii="Cambria" w:hAnsi="Cambria"/>
          <w:color w:val="000000" w:themeColor="text1"/>
          <w:sz w:val="20"/>
          <w:szCs w:val="20"/>
          <w:lang w:val="es-VE"/>
        </w:rPr>
        <w:t>Excma</w:t>
      </w:r>
      <w:proofErr w:type="spellEnd"/>
      <w:r w:rsidR="00645C48">
        <w:rPr>
          <w:rFonts w:ascii="Cambria" w:hAnsi="Cambria"/>
          <w:color w:val="000000" w:themeColor="text1"/>
          <w:sz w:val="20"/>
          <w:szCs w:val="20"/>
          <w:lang w:val="es-VE"/>
        </w:rPr>
        <w:t xml:space="preserve"> </w:t>
      </w:r>
      <w:r w:rsidRPr="00910616">
        <w:rPr>
          <w:rFonts w:ascii="Cambria" w:hAnsi="Cambria"/>
          <w:color w:val="000000" w:themeColor="text1"/>
          <w:sz w:val="20"/>
          <w:szCs w:val="20"/>
          <w:lang w:val="es-VE"/>
        </w:rPr>
        <w:t>Corte Suprema, copia de su informe” dentro de los “antecedentes administrativos AD-175-2004 y remitidos a esta Corte para los fines pertinentes”.</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Refirió que el 17 de enero de 2005 envío su respuesta en la que manifestó que “los motivos que se tuvieron en vista, por el juez que suscribe, er</w:t>
      </w:r>
      <w:r w:rsidR="00645C48">
        <w:rPr>
          <w:rFonts w:ascii="Cambria" w:hAnsi="Cambria"/>
          <w:color w:val="000000" w:themeColor="text1"/>
          <w:sz w:val="20"/>
          <w:szCs w:val="20"/>
          <w:lang w:val="es-VE"/>
        </w:rPr>
        <w:t xml:space="preserve">a acreditar ante la </w:t>
      </w:r>
      <w:proofErr w:type="spellStart"/>
      <w:r w:rsidR="00645C48">
        <w:rPr>
          <w:rFonts w:ascii="Cambria" w:hAnsi="Cambria"/>
          <w:color w:val="000000" w:themeColor="text1"/>
          <w:sz w:val="20"/>
          <w:szCs w:val="20"/>
          <w:lang w:val="es-VE"/>
        </w:rPr>
        <w:t>Excma</w:t>
      </w:r>
      <w:proofErr w:type="spellEnd"/>
      <w:r w:rsidRPr="00910616">
        <w:rPr>
          <w:rFonts w:ascii="Cambria" w:hAnsi="Cambria"/>
          <w:color w:val="000000" w:themeColor="text1"/>
          <w:sz w:val="20"/>
          <w:szCs w:val="20"/>
          <w:lang w:val="es-VE"/>
        </w:rPr>
        <w:t xml:space="preserve"> Corte Suprema el hecho de la realización del curso, la alta calificación obtenida y hacer entrega del producto final del estudio cometido, esto es el citado informe. Se hace presente que la producción del citado informe obedece a fines estrictamente académicos”.</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Mencionó que sin la realización de otras diligencias, el 31 de marzo de 2005 la Corte de Apelaciones de La Serena decidió sancionarlo con la medida disciplinaria de “censura por escrito”.  De acuerdo con lo referido por la parte peticionaria, la resolución consideró que el trabajo presentado “importa, </w:t>
      </w:r>
      <w:r w:rsidRPr="00910616">
        <w:rPr>
          <w:rFonts w:ascii="Cambria" w:hAnsi="Cambria"/>
          <w:color w:val="000000" w:themeColor="text1"/>
          <w:sz w:val="20"/>
          <w:szCs w:val="20"/>
          <w:lang w:val="es-VE"/>
        </w:rPr>
        <w:lastRenderedPageBreak/>
        <w:t xml:space="preserve">indudablemente, una manifestación de expresión desmedida e impropia de un juez de la República para referirse a actuaciones de sus superiores jerárquicos, violándose con ello el principio del respeto jerárquico que informa toda nuestra normativa estructural del Poder Judicial”. </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Señaló que en la decisión la Corte de Apelaciones refirió la existencia de “una violación a las normas prohibitivas contempladas en los numerales 1 y 4 del artículo 323 del Código Orgánico de Tribunales de Chile, que en su esencia impide a los funcionarios judiciales dirigir a autoridades censuras por sus actos o publicar, o atacar en cualquier forma, la conducta oficial de otros magistrados”.</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Indicó que el 5 de abril de 2005 interpuso un recurso de apelación contra tal resolución ante la Corte Suprema en el que señaló que de confirmarse la sanción impuesta, se establecerían restricciones a la crítica de los jueces sobre el examen de las prácticas o decisiones de la justicia en el pasado y reiteró que el propósito del trabajo era el de enviar una copia y acreditar los resultados del curso tomado durante la comisión de servicios concedida.</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Señaló que el 6 de mayo de 2005 la Suprema Corte emitió resolución en la que confirmó la providencia recurrida, reduciendo la sanción a una “amonestación privada”, al considerar que su intención no fue acreditar el resultado de la comisión de estudios concedida con un trabajo académico, sino criticar veladamente al máximo tribunal. El Pleno ordenó entonces tomar nota de la sanción en la hoja de vida de la presunta víctima.</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Indicó que la decisión del Pleno de la Corte no fue unánime pues se contó con el disenso de 6 de un total de 17 Ministros. Uno de los ministros disidentes señaló que “aunque no se concuerde con sus conclusiones, no corresponde aplicar sanción disciplinaria alguna al referido Magistrado por el trabajo realizado, pues de lo contrario se estarían sancionando las ideas”. Refirió que el 6 de junio de 2005 se le notificó la resolución de la Suprema Corte.</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Por otra parte, con posterioridad a la emisión del informe de admisibilidad, la presunta víctima informó acerca de otros procesos disciplinarios y presuntos actos de hostigamiento en su contra.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 </w:t>
      </w: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Refirió que ante dichas circunstancias solicitó un permiso sin goce de sueldo y se trasladó a México para llevar a cabo actividades vinculadas con su experiencia como juez en el sistema penal acusatorio chileno. Mencionó que su estancia tuvo una duración de tres años y nueve meses. Indicó que en febrero de 2012, agotadas sus opciones de renovación del permiso sin goce de sueldo se reintegró como Juez del Séptimo Juzgado de Garantías de Santiago, continuando con las labores propias de su cargo.</w:t>
      </w:r>
    </w:p>
    <w:p w:rsidR="00910616" w:rsidRPr="00910616" w:rsidRDefault="00910616" w:rsidP="00910616">
      <w:pPr>
        <w:rPr>
          <w:rFonts w:ascii="Cambria" w:hAnsi="Cambria"/>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Señaló que el 4 de septiembre de 2013 el Consejo de Defensa del Estado presentó un recurso en contra de una resolución emitida por la presunta víctima respecto del derecho al voto de las personas privadas de libertad. Indicó que dicho recurso fue presentado ante la Corte Suprema con el propósito de objetarla mediante un proceso disciplinario y no uno ordinario y solicitar la “adopción de medidas administrativas, directivas y correccionales que se estimaran necesarias, a fin de dejar sin efecto las órdenes y actuaciones” de la presunta víctima. La parte peticionaria informó que la resolución fue dejada </w:t>
      </w:r>
      <w:r w:rsidR="000E06F3">
        <w:rPr>
          <w:rFonts w:ascii="Cambria" w:hAnsi="Cambria"/>
          <w:color w:val="000000" w:themeColor="text1"/>
          <w:sz w:val="20"/>
          <w:szCs w:val="20"/>
          <w:lang w:val="es-VE"/>
        </w:rPr>
        <w:t>sin efecto, pero no se cuenta con información sobre si</w:t>
      </w:r>
      <w:r w:rsidRPr="00910616">
        <w:rPr>
          <w:rFonts w:ascii="Cambria" w:hAnsi="Cambria"/>
          <w:color w:val="000000" w:themeColor="text1"/>
          <w:sz w:val="20"/>
          <w:szCs w:val="20"/>
          <w:lang w:val="es-VE"/>
        </w:rPr>
        <w:t xml:space="preserve"> se le </w:t>
      </w:r>
      <w:r w:rsidR="000E06F3">
        <w:rPr>
          <w:rFonts w:ascii="Cambria" w:hAnsi="Cambria"/>
          <w:color w:val="000000" w:themeColor="text1"/>
          <w:sz w:val="20"/>
          <w:szCs w:val="20"/>
          <w:lang w:val="es-VE"/>
        </w:rPr>
        <w:t xml:space="preserve">impuso </w:t>
      </w:r>
      <w:r w:rsidRPr="00910616">
        <w:rPr>
          <w:rFonts w:ascii="Cambria" w:hAnsi="Cambria"/>
          <w:color w:val="000000" w:themeColor="text1"/>
          <w:sz w:val="20"/>
          <w:szCs w:val="20"/>
          <w:lang w:val="es-VE"/>
        </w:rPr>
        <w:t xml:space="preserve">una nueva sanción. </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Indicó que el presente caso debe ser tratado a la luz de su calidad de defensor </w:t>
      </w:r>
      <w:r w:rsidR="000E06F3">
        <w:rPr>
          <w:rFonts w:ascii="Cambria" w:hAnsi="Cambria"/>
          <w:color w:val="000000" w:themeColor="text1"/>
          <w:sz w:val="20"/>
          <w:szCs w:val="20"/>
          <w:lang w:val="es-VE"/>
        </w:rPr>
        <w:t xml:space="preserve">de </w:t>
      </w:r>
      <w:r w:rsidRPr="00910616">
        <w:rPr>
          <w:rFonts w:ascii="Cambria" w:hAnsi="Cambria"/>
          <w:color w:val="000000" w:themeColor="text1"/>
          <w:sz w:val="20"/>
          <w:szCs w:val="20"/>
          <w:lang w:val="es-VE"/>
        </w:rPr>
        <w:t xml:space="preserve">derechos humanos  y debe analizarse si las actuaciones del Estado han generado un efecto intimidador que pudiera multiplicarse en los demás miembros de la administración de justicia. </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En cuanto al derecho, argumentó que el Estado violó las</w:t>
      </w:r>
      <w:r w:rsidRPr="00910616">
        <w:rPr>
          <w:rFonts w:ascii="Cambria" w:hAnsi="Cambria"/>
          <w:b/>
          <w:color w:val="000000" w:themeColor="text1"/>
          <w:sz w:val="20"/>
          <w:szCs w:val="20"/>
          <w:lang w:val="es-VE"/>
        </w:rPr>
        <w:t xml:space="preserve"> garantías judiciales. </w:t>
      </w:r>
      <w:r w:rsidRPr="00910616">
        <w:rPr>
          <w:rFonts w:ascii="Cambria" w:hAnsi="Cambria"/>
          <w:sz w:val="20"/>
          <w:szCs w:val="20"/>
          <w:lang w:val="es-VE"/>
        </w:rPr>
        <w:t xml:space="preserve">En particular refirió que no se garantizó el derecho de defensa porque la comunicación de la Corte de Apelaciones de 12 de enero de 2005, mediante la que se le solicitó que en un plazo de cinco días informara sobre el motivo por el cual habría enviado copia de su trabajo de grado a la Corte Suprema, no contenía una notificación formal de inicio de diligencias disciplinarias ni tampoco una comunicación previa y detallada de los cargos en su contra. Refirió que únicamente se le concedió el término de cinco días para responder sin haber sido citado a una audiencia previa para que expusiera sus descargos, de conformidad con el artículo 536 del Código Orgánico </w:t>
      </w:r>
      <w:r w:rsidRPr="00910616">
        <w:rPr>
          <w:rFonts w:ascii="Cambria" w:hAnsi="Cambria"/>
          <w:sz w:val="20"/>
          <w:szCs w:val="20"/>
          <w:lang w:val="es-VE"/>
        </w:rPr>
        <w:lastRenderedPageBreak/>
        <w:t xml:space="preserve">de Tribunales. Asimismo, indicó que las decisiones sancionatorias no estaban adecuadamente motivadas. Añadió que el Estado incumplió con su </w:t>
      </w:r>
      <w:r w:rsidRPr="00910616">
        <w:rPr>
          <w:rFonts w:ascii="Cambria" w:hAnsi="Cambria"/>
          <w:b/>
          <w:sz w:val="20"/>
          <w:szCs w:val="20"/>
          <w:lang w:val="es-VE"/>
        </w:rPr>
        <w:t>obligación de adoptar disposiciones de derecho interno</w:t>
      </w:r>
      <w:r w:rsidRPr="00910616">
        <w:rPr>
          <w:rFonts w:ascii="Cambria" w:hAnsi="Cambria"/>
          <w:sz w:val="20"/>
          <w:szCs w:val="20"/>
          <w:lang w:val="es-VE"/>
        </w:rPr>
        <w:t xml:space="preserve"> porque el sistema de control disciplinario no cumple con las garantías del debido proceso.</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Argumentó que el Estado violó el </w:t>
      </w:r>
      <w:r w:rsidRPr="00910616">
        <w:rPr>
          <w:rFonts w:ascii="Cambria" w:hAnsi="Cambria"/>
          <w:b/>
          <w:color w:val="000000" w:themeColor="text1"/>
          <w:sz w:val="20"/>
          <w:szCs w:val="20"/>
          <w:lang w:val="es-VE"/>
        </w:rPr>
        <w:t>principio de legalidad</w:t>
      </w:r>
      <w:r w:rsidRPr="00910616">
        <w:rPr>
          <w:rFonts w:ascii="Cambria" w:hAnsi="Cambria"/>
          <w:color w:val="000000" w:themeColor="text1"/>
          <w:sz w:val="20"/>
          <w:szCs w:val="20"/>
          <w:lang w:val="es-VE"/>
        </w:rPr>
        <w:t xml:space="preserve"> porque la medida disciplinaria impuesta estuvo basada en una causal ampliamente ambigua, que además se interpretó de forma discrecional, lo cual genera la falta de previsibilidad de la conducta sancionada. </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Indicó que el Estado violó su derecho a la </w:t>
      </w:r>
      <w:r w:rsidRPr="00910616">
        <w:rPr>
          <w:rFonts w:ascii="Cambria" w:hAnsi="Cambria"/>
          <w:b/>
          <w:color w:val="000000" w:themeColor="text1"/>
          <w:sz w:val="20"/>
          <w:szCs w:val="20"/>
          <w:lang w:val="es-VE"/>
        </w:rPr>
        <w:t>libertad de pensamiento y de expresión</w:t>
      </w:r>
      <w:r w:rsidRPr="00910616">
        <w:rPr>
          <w:rFonts w:ascii="Cambria" w:hAnsi="Cambria"/>
          <w:color w:val="000000" w:themeColor="text1"/>
          <w:sz w:val="20"/>
          <w:szCs w:val="20"/>
          <w:lang w:val="es-VE"/>
        </w:rPr>
        <w:t xml:space="preserve"> porque el envío del trabajo titulado “Propuesta de Política Pública de Introducción del Enfoque de Derecho Humanos” constituye una forma de difusión o comunicación de sus ideas. Refirió que el Estado chileno, por conducto de su Poder Judicial, afectó la libre expresión de las ideas originadas en una labor de investigación y producción académica, mediante la imposición de una medida disciplinaria que causa un agravio en las posibilidades de la presunta víctima para acceder a una mejor posición en el escalafón judicial. Afirmó que la citada sanción constituye una censura y una restricción desmedida del derecho a la libertad de expresión.  Añadió que su trabajo académico contenía un tema de interés general, como lo es el papel del Poder Judicial durante la dictadura y que la sociedad chilena tiene derecho a conocer este tipo de información. </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Asimismo, indicó que se violó el derecho a la </w:t>
      </w:r>
      <w:r w:rsidRPr="00910616">
        <w:rPr>
          <w:rFonts w:ascii="Cambria" w:hAnsi="Cambria"/>
          <w:b/>
          <w:color w:val="000000" w:themeColor="text1"/>
          <w:sz w:val="20"/>
          <w:szCs w:val="20"/>
          <w:lang w:val="es-VE"/>
        </w:rPr>
        <w:t xml:space="preserve">protección judicial </w:t>
      </w:r>
      <w:r w:rsidRPr="00910616">
        <w:rPr>
          <w:rFonts w:ascii="Cambria" w:hAnsi="Cambria"/>
          <w:color w:val="000000" w:themeColor="text1"/>
          <w:sz w:val="20"/>
          <w:szCs w:val="20"/>
          <w:lang w:val="es-VE"/>
        </w:rPr>
        <w:t xml:space="preserve">en relación con la garantía de imparcialidad, porque no contó con un recurso efectivo para impugnar la decisión sancionatoria. Refirió que fue la Corte Suprema la que resolvió su recurso de apelación, y ésta ya había emitido opinión cuando les remitió el trabajo al indicar que el trabajo contenía “apreciaciones inadecuadas para este tribunal” y remitirlo a la Corte de Apelaciones de la Serena para iniciar la actuación disciplinaria.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Refirió que el Estado violó sus </w:t>
      </w:r>
      <w:r w:rsidRPr="00910616">
        <w:rPr>
          <w:rFonts w:ascii="Cambria" w:hAnsi="Cambria"/>
          <w:b/>
          <w:color w:val="000000" w:themeColor="text1"/>
          <w:sz w:val="20"/>
          <w:szCs w:val="20"/>
          <w:lang w:val="es-VE"/>
        </w:rPr>
        <w:t>derechos laborales</w:t>
      </w:r>
      <w:r w:rsidRPr="00910616">
        <w:rPr>
          <w:rFonts w:ascii="Cambria" w:hAnsi="Cambria"/>
          <w:color w:val="000000" w:themeColor="text1"/>
          <w:sz w:val="20"/>
          <w:szCs w:val="20"/>
          <w:lang w:val="es-VE"/>
        </w:rPr>
        <w:t xml:space="preserve"> porque la decisión de la Corte Suprema de 6 de mayo de 2005 quedó registrada en su hoja de vida, lo cual afectará sus posibilidades para ascender y mejorar su posición en el Poder Judicial. </w:t>
      </w:r>
    </w:p>
    <w:p w:rsidR="00910616" w:rsidRPr="00910616" w:rsidRDefault="00910616" w:rsidP="00910616">
      <w:pPr>
        <w:pStyle w:val="Heading2"/>
        <w:numPr>
          <w:ilvl w:val="0"/>
          <w:numId w:val="51"/>
        </w:numPr>
        <w:ind w:left="720" w:firstLine="0"/>
        <w:rPr>
          <w:rFonts w:ascii="Cambria" w:hAnsi="Cambria"/>
          <w:i w:val="0"/>
          <w:sz w:val="20"/>
          <w:szCs w:val="20"/>
        </w:rPr>
      </w:pPr>
      <w:bookmarkStart w:id="7" w:name="_Toc505532522"/>
      <w:bookmarkStart w:id="8" w:name="_Toc505936557"/>
      <w:r w:rsidRPr="00910616">
        <w:rPr>
          <w:rFonts w:ascii="Cambria" w:hAnsi="Cambria"/>
          <w:i w:val="0"/>
          <w:sz w:val="20"/>
          <w:szCs w:val="20"/>
        </w:rPr>
        <w:t>Estado</w:t>
      </w:r>
      <w:bookmarkEnd w:id="7"/>
      <w:bookmarkEnd w:id="8"/>
      <w:r w:rsidRPr="00910616">
        <w:rPr>
          <w:rFonts w:ascii="Cambria" w:hAnsi="Cambria"/>
          <w:i w:val="0"/>
          <w:sz w:val="20"/>
          <w:szCs w:val="20"/>
        </w:rPr>
        <w:t xml:space="preserve"> </w:t>
      </w:r>
    </w:p>
    <w:p w:rsidR="00910616" w:rsidRPr="00910616" w:rsidRDefault="00910616" w:rsidP="00910616">
      <w:pPr>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La respuesta del Estado se limita a </w:t>
      </w:r>
      <w:r w:rsidR="0015306C">
        <w:rPr>
          <w:rFonts w:ascii="Cambria" w:hAnsi="Cambria"/>
          <w:color w:val="000000" w:themeColor="text1"/>
          <w:sz w:val="20"/>
          <w:szCs w:val="20"/>
          <w:lang w:val="es-VE"/>
        </w:rPr>
        <w:t>una página, con anexos, en la cual únicamente se refirió al</w:t>
      </w:r>
      <w:r w:rsidRPr="00910616">
        <w:rPr>
          <w:rFonts w:ascii="Cambria" w:hAnsi="Cambria"/>
          <w:color w:val="000000" w:themeColor="text1"/>
          <w:sz w:val="20"/>
          <w:szCs w:val="20"/>
          <w:lang w:val="es-VE"/>
        </w:rPr>
        <w:t xml:space="preserve"> proceso disciplinario relacionado con el trabajo académico presentado por la presunt</w:t>
      </w:r>
      <w:r w:rsidR="0079478C">
        <w:rPr>
          <w:rFonts w:ascii="Cambria" w:hAnsi="Cambria"/>
          <w:color w:val="000000" w:themeColor="text1"/>
          <w:sz w:val="20"/>
          <w:szCs w:val="20"/>
          <w:lang w:val="es-VE"/>
        </w:rPr>
        <w:t>a víctima ante la Corte Suprema</w:t>
      </w:r>
      <w:r w:rsidR="00621303">
        <w:rPr>
          <w:rFonts w:ascii="Cambria" w:hAnsi="Cambria"/>
          <w:color w:val="000000" w:themeColor="text1"/>
          <w:sz w:val="20"/>
          <w:szCs w:val="20"/>
          <w:lang w:val="es-VE"/>
        </w:rPr>
        <w:t>, indicando que en dicho procedimiento esta</w:t>
      </w:r>
      <w:r w:rsidRPr="00910616">
        <w:rPr>
          <w:rFonts w:ascii="Cambria" w:hAnsi="Cambria"/>
          <w:color w:val="000000" w:themeColor="text1"/>
          <w:sz w:val="20"/>
          <w:szCs w:val="20"/>
          <w:lang w:val="es-VE"/>
        </w:rPr>
        <w:t xml:space="preserve"> tuvo la oportunidad de formular sus planteamientos, descargos y argumentos de defensa, y de apelar las resoluciones respectivas. Indicó que en dicho procedimiento se realizó una investigación seria para efectos de determinar si la presunta víctima incurrió o no en responsabilidad administrativa y se respetaron todas las garantías del debido proceso. </w:t>
      </w:r>
    </w:p>
    <w:p w:rsidR="00910616" w:rsidRPr="00910616" w:rsidRDefault="00910616" w:rsidP="00910616">
      <w:pPr>
        <w:rPr>
          <w:rFonts w:ascii="Cambria" w:hAnsi="Cambria"/>
          <w:color w:val="FF0000"/>
          <w:sz w:val="20"/>
          <w:szCs w:val="20"/>
          <w:lang w:val="es-AR"/>
        </w:rPr>
      </w:pPr>
    </w:p>
    <w:p w:rsidR="00910616" w:rsidRPr="00910616" w:rsidRDefault="00910616" w:rsidP="00910616">
      <w:pPr>
        <w:pStyle w:val="Heading1"/>
        <w:keepLines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1440" w:hanging="810"/>
        <w:rPr>
          <w:rFonts w:ascii="Cambria" w:hAnsi="Cambria"/>
          <w:b w:val="0"/>
          <w:sz w:val="20"/>
          <w:szCs w:val="20"/>
          <w:lang w:val="es-ES_tradnl"/>
        </w:rPr>
      </w:pPr>
      <w:bookmarkStart w:id="9" w:name="_Toc505532523"/>
      <w:bookmarkStart w:id="10" w:name="_Toc505936558"/>
      <w:r w:rsidRPr="00910616">
        <w:rPr>
          <w:rFonts w:ascii="Cambria" w:hAnsi="Cambria"/>
          <w:color w:val="auto"/>
          <w:sz w:val="20"/>
          <w:szCs w:val="20"/>
          <w:lang w:val="es-CO"/>
        </w:rPr>
        <w:t>DETERMINACIONES FÁCTICAS</w:t>
      </w:r>
      <w:bookmarkEnd w:id="9"/>
      <w:bookmarkEnd w:id="10"/>
    </w:p>
    <w:p w:rsidR="00910616" w:rsidRPr="00910616" w:rsidRDefault="00910616" w:rsidP="00910616">
      <w:pPr>
        <w:pStyle w:val="Heading2"/>
        <w:numPr>
          <w:ilvl w:val="0"/>
          <w:numId w:val="53"/>
        </w:numPr>
        <w:ind w:hanging="810"/>
        <w:rPr>
          <w:rFonts w:ascii="Cambria" w:hAnsi="Cambria"/>
          <w:i w:val="0"/>
          <w:sz w:val="20"/>
          <w:szCs w:val="20"/>
        </w:rPr>
      </w:pPr>
      <w:bookmarkStart w:id="11" w:name="_Toc505532524"/>
      <w:bookmarkStart w:id="12" w:name="_Toc505936559"/>
      <w:proofErr w:type="spellStart"/>
      <w:r w:rsidRPr="00910616">
        <w:rPr>
          <w:rFonts w:ascii="Cambria" w:hAnsi="Cambria"/>
          <w:i w:val="0"/>
          <w:sz w:val="20"/>
          <w:szCs w:val="20"/>
        </w:rPr>
        <w:t>Sobre</w:t>
      </w:r>
      <w:proofErr w:type="spellEnd"/>
      <w:r w:rsidRPr="00910616">
        <w:rPr>
          <w:rFonts w:ascii="Cambria" w:hAnsi="Cambria"/>
          <w:i w:val="0"/>
          <w:sz w:val="20"/>
          <w:szCs w:val="20"/>
        </w:rPr>
        <w:t xml:space="preserve"> Daniel </w:t>
      </w:r>
      <w:proofErr w:type="spellStart"/>
      <w:r w:rsidRPr="00910616">
        <w:rPr>
          <w:rFonts w:ascii="Cambria" w:hAnsi="Cambria"/>
          <w:i w:val="0"/>
          <w:sz w:val="20"/>
          <w:szCs w:val="20"/>
        </w:rPr>
        <w:t>Urrutia</w:t>
      </w:r>
      <w:proofErr w:type="spellEnd"/>
      <w:r w:rsidRPr="00910616">
        <w:rPr>
          <w:rFonts w:ascii="Cambria" w:hAnsi="Cambria"/>
          <w:i w:val="0"/>
          <w:sz w:val="20"/>
          <w:szCs w:val="20"/>
        </w:rPr>
        <w:t xml:space="preserve"> </w:t>
      </w:r>
      <w:proofErr w:type="spellStart"/>
      <w:r w:rsidRPr="00910616">
        <w:rPr>
          <w:rFonts w:ascii="Cambria" w:hAnsi="Cambria"/>
          <w:i w:val="0"/>
          <w:sz w:val="20"/>
          <w:szCs w:val="20"/>
        </w:rPr>
        <w:t>La</w:t>
      </w:r>
      <w:r w:rsidR="001E1ED6">
        <w:rPr>
          <w:rFonts w:ascii="Cambria" w:hAnsi="Cambria"/>
          <w:i w:val="0"/>
          <w:sz w:val="20"/>
          <w:szCs w:val="20"/>
        </w:rPr>
        <w:t>u</w:t>
      </w:r>
      <w:r w:rsidRPr="00910616">
        <w:rPr>
          <w:rFonts w:ascii="Cambria" w:hAnsi="Cambria"/>
          <w:i w:val="0"/>
          <w:sz w:val="20"/>
          <w:szCs w:val="20"/>
        </w:rPr>
        <w:t>breaux</w:t>
      </w:r>
      <w:bookmarkEnd w:id="11"/>
      <w:bookmarkEnd w:id="12"/>
      <w:proofErr w:type="spellEnd"/>
    </w:p>
    <w:p w:rsidR="00910616" w:rsidRPr="00910616" w:rsidRDefault="00910616" w:rsidP="00910616">
      <w:pPr>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Según consta en el expediente, el señor Daniel Urrutia </w:t>
      </w:r>
      <w:proofErr w:type="spellStart"/>
      <w:r w:rsidRPr="00910616">
        <w:rPr>
          <w:rFonts w:ascii="Cambria" w:hAnsi="Cambria"/>
          <w:color w:val="000000" w:themeColor="text1"/>
          <w:sz w:val="20"/>
          <w:szCs w:val="20"/>
          <w:lang w:val="es-VE"/>
        </w:rPr>
        <w:t>La</w:t>
      </w:r>
      <w:r w:rsidR="001E1ED6">
        <w:rPr>
          <w:rFonts w:ascii="Cambria" w:hAnsi="Cambria"/>
          <w:color w:val="000000" w:themeColor="text1"/>
          <w:sz w:val="20"/>
          <w:szCs w:val="20"/>
          <w:lang w:val="es-VE"/>
        </w:rPr>
        <w:t>u</w:t>
      </w:r>
      <w:r w:rsidRPr="00910616">
        <w:rPr>
          <w:rFonts w:ascii="Cambria" w:hAnsi="Cambria"/>
          <w:color w:val="000000" w:themeColor="text1"/>
          <w:sz w:val="20"/>
          <w:szCs w:val="20"/>
          <w:lang w:val="es-VE"/>
        </w:rPr>
        <w:t>breaux</w:t>
      </w:r>
      <w:proofErr w:type="spellEnd"/>
      <w:r w:rsidRPr="00910616">
        <w:rPr>
          <w:rFonts w:ascii="Cambria" w:hAnsi="Cambria"/>
          <w:color w:val="000000" w:themeColor="text1"/>
          <w:sz w:val="20"/>
          <w:szCs w:val="20"/>
          <w:lang w:val="es-VE"/>
        </w:rPr>
        <w:t xml:space="preserve"> inició su carrera judicial como Juez de Letras y Garantía en la ciudad de </w:t>
      </w:r>
      <w:proofErr w:type="spellStart"/>
      <w:r w:rsidRPr="00910616">
        <w:rPr>
          <w:rFonts w:ascii="Cambria" w:hAnsi="Cambria"/>
          <w:color w:val="000000" w:themeColor="text1"/>
          <w:sz w:val="20"/>
          <w:szCs w:val="20"/>
          <w:lang w:val="es-VE"/>
        </w:rPr>
        <w:t>Freirina</w:t>
      </w:r>
      <w:proofErr w:type="spellEnd"/>
      <w:r w:rsidRPr="00910616">
        <w:rPr>
          <w:rFonts w:ascii="Cambria" w:hAnsi="Cambria"/>
          <w:color w:val="000000" w:themeColor="text1"/>
          <w:sz w:val="20"/>
          <w:szCs w:val="20"/>
          <w:lang w:val="es-VE"/>
        </w:rPr>
        <w:t xml:space="preserve"> en el 2001, en la Tercera Región de Atacama. En enero de 2003 fue promovido a Juez de Garantía en la ciudad de Ovalle, en la Cuarta Región de Coquimbo</w:t>
      </w:r>
      <w:r w:rsidRPr="00910616">
        <w:rPr>
          <w:rFonts w:ascii="Cambria" w:hAnsi="Cambria"/>
          <w:color w:val="000000" w:themeColor="text1"/>
          <w:sz w:val="20"/>
          <w:szCs w:val="20"/>
          <w:vertAlign w:val="superscript"/>
          <w:lang w:val="es-VE"/>
        </w:rPr>
        <w:footnoteReference w:id="5"/>
      </w:r>
      <w:r w:rsidRPr="00910616">
        <w:rPr>
          <w:rFonts w:ascii="Cambria" w:hAnsi="Cambria"/>
          <w:color w:val="000000" w:themeColor="text1"/>
          <w:sz w:val="20"/>
          <w:szCs w:val="20"/>
          <w:lang w:val="es-VE"/>
        </w:rPr>
        <w:t>.</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En mayo de 2006 fue nombrado Juez del Séptimo Juzgado de Garantía en la ciudad de Santiago. Pertenece a la Asociación Nacional de Magistrados del Poder Judicial de Chile, en la que se desempeñó en dos periodos -2007 y 2013- como Coordinador de la Comisión de Derechos Humanos y Género</w:t>
      </w:r>
      <w:r w:rsidRPr="00910616">
        <w:rPr>
          <w:rFonts w:ascii="Cambria" w:hAnsi="Cambria"/>
          <w:color w:val="000000" w:themeColor="text1"/>
          <w:sz w:val="20"/>
          <w:szCs w:val="20"/>
          <w:vertAlign w:val="superscript"/>
          <w:lang w:val="es-VE"/>
        </w:rPr>
        <w:footnoteReference w:id="6"/>
      </w:r>
      <w:r w:rsidRPr="00910616">
        <w:rPr>
          <w:rFonts w:ascii="Cambria" w:hAnsi="Cambria"/>
          <w:color w:val="000000" w:themeColor="text1"/>
          <w:sz w:val="20"/>
          <w:szCs w:val="20"/>
          <w:lang w:val="es-VE"/>
        </w:rPr>
        <w:t>.</w:t>
      </w:r>
    </w:p>
    <w:p w:rsidR="004D2791" w:rsidRDefault="004D2791" w:rsidP="004D2791">
      <w:pPr>
        <w:pStyle w:val="ListParagraph"/>
        <w:rPr>
          <w:color w:val="000000" w:themeColor="text1"/>
          <w:sz w:val="20"/>
          <w:szCs w:val="20"/>
          <w:lang w:val="es-VE"/>
        </w:rPr>
      </w:pPr>
    </w:p>
    <w:p w:rsidR="004D2791" w:rsidRPr="00910616" w:rsidRDefault="004D2791" w:rsidP="004D2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910616" w:rsidRPr="00910616" w:rsidRDefault="00910616" w:rsidP="00910616">
      <w:pPr>
        <w:pStyle w:val="Heading2"/>
        <w:numPr>
          <w:ilvl w:val="0"/>
          <w:numId w:val="53"/>
        </w:numPr>
        <w:ind w:hanging="810"/>
        <w:rPr>
          <w:rFonts w:ascii="Cambria" w:hAnsi="Cambria"/>
          <w:i w:val="0"/>
          <w:sz w:val="20"/>
          <w:szCs w:val="20"/>
          <w:lang w:val="es-CO"/>
        </w:rPr>
      </w:pPr>
      <w:bookmarkStart w:id="13" w:name="_Toc505532525"/>
      <w:bookmarkStart w:id="14" w:name="_Toc505936560"/>
      <w:r w:rsidRPr="00910616">
        <w:rPr>
          <w:rFonts w:ascii="Cambria" w:hAnsi="Cambria"/>
          <w:i w:val="0"/>
          <w:sz w:val="20"/>
          <w:szCs w:val="20"/>
          <w:lang w:val="es-CO"/>
        </w:rPr>
        <w:t>Sobre el marco normativo relevante</w:t>
      </w:r>
      <w:bookmarkEnd w:id="13"/>
      <w:bookmarkEnd w:id="14"/>
    </w:p>
    <w:p w:rsidR="00910616" w:rsidRPr="00910616" w:rsidRDefault="00910616" w:rsidP="00910616">
      <w:pPr>
        <w:rPr>
          <w:rFonts w:ascii="Cambria" w:hAnsi="Cambria"/>
          <w:sz w:val="20"/>
          <w:szCs w:val="20"/>
          <w:lang w:val="es-CO"/>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La Constitución de Chile</w:t>
      </w:r>
      <w:r w:rsidRPr="00910616">
        <w:rPr>
          <w:rFonts w:ascii="Cambria" w:hAnsi="Cambria"/>
          <w:color w:val="000000" w:themeColor="text1"/>
          <w:sz w:val="20"/>
          <w:szCs w:val="20"/>
          <w:vertAlign w:val="superscript"/>
          <w:lang w:val="es-VE"/>
        </w:rPr>
        <w:footnoteReference w:id="7"/>
      </w:r>
      <w:r w:rsidRPr="00910616">
        <w:rPr>
          <w:rFonts w:ascii="Cambria" w:hAnsi="Cambria"/>
          <w:color w:val="000000" w:themeColor="text1"/>
          <w:sz w:val="20"/>
          <w:szCs w:val="20"/>
          <w:lang w:val="es-VE"/>
        </w:rPr>
        <w:t xml:space="preserve"> establecía en su artículo 79</w:t>
      </w:r>
      <w:r w:rsidRPr="00910616">
        <w:rPr>
          <w:rFonts w:ascii="Cambria" w:hAnsi="Cambria"/>
          <w:color w:val="000000" w:themeColor="text1"/>
          <w:sz w:val="20"/>
          <w:szCs w:val="20"/>
          <w:vertAlign w:val="superscript"/>
          <w:lang w:val="es-VE"/>
        </w:rPr>
        <w:footnoteReference w:id="8"/>
      </w:r>
      <w:r w:rsidRPr="00910616">
        <w:rPr>
          <w:rFonts w:ascii="Cambria" w:hAnsi="Cambria"/>
          <w:color w:val="000000" w:themeColor="text1"/>
          <w:sz w:val="20"/>
          <w:szCs w:val="20"/>
          <w:lang w:val="es-VE"/>
        </w:rPr>
        <w:t>:</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La Corte Suprema tiene la superintendencia directiva, correccional y económica de todos los tribunales de la nación.</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El Código Orgánico de Tribunales</w:t>
      </w:r>
      <w:r w:rsidRPr="00910616">
        <w:rPr>
          <w:rFonts w:ascii="Cambria" w:hAnsi="Cambria"/>
          <w:color w:val="000000" w:themeColor="text1"/>
          <w:sz w:val="20"/>
          <w:szCs w:val="20"/>
          <w:vertAlign w:val="superscript"/>
          <w:lang w:val="es-VE"/>
        </w:rPr>
        <w:footnoteReference w:id="9"/>
      </w:r>
      <w:r w:rsidRPr="00910616">
        <w:rPr>
          <w:rFonts w:ascii="Cambria" w:hAnsi="Cambria"/>
          <w:color w:val="000000" w:themeColor="text1"/>
          <w:sz w:val="20"/>
          <w:szCs w:val="20"/>
          <w:vertAlign w:val="superscript"/>
          <w:lang w:val="es-VE"/>
        </w:rPr>
        <w:t xml:space="preserve"> </w:t>
      </w:r>
      <w:r w:rsidRPr="00910616">
        <w:rPr>
          <w:rFonts w:ascii="Cambria" w:hAnsi="Cambria"/>
          <w:color w:val="000000" w:themeColor="text1"/>
          <w:sz w:val="20"/>
          <w:szCs w:val="20"/>
          <w:lang w:val="es-VE"/>
        </w:rPr>
        <w:t>establece,  en lo pertinente para  el presente caso:</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Artículo 323. Se prohíbe a los funcionarios judiciales:</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1°. Dirigir al Poder Ejecutivo, a funcionarios públicos o a corporaciones oficiales, felicitaciones o censuras por sus actos;</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y</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4°. Publicar, sin autorización del Presidente de la Corte Suprema, escritos en defensa de su conducta oficial o atacar en cualquier forma, la de otros jueces o magistrados.</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Art.535. Corresponde a las Cortes de Apelaciones mantener la disciplina judicial en todo el territorio de su respectiva  jurisdicción, velando inmediatamente la conducta ministerial de sus miembros y la de los jueces subalternos y haciéndoles cumplir todos los deberes que las leyes le imponen (…)</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 Art. 536. En virtud de la atribución de que habla el artículo anterior, las Cortes de Apelaciones oirán y despacharán sumariamente y sin forma de juicio las quejas que las partes agraviadas interpusieren contra los jueces de letras por cualesquiera faltas y abusos que cometieren en el ejercicio de sus funciones; y dictarán con previa audiencia del juez respectivo, las medidas convenientes para poner pronto remedio al mal que motiva la queja. </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Art. 537. Las faltas o abusos de que habla el artículo anterior podrán corregirlos las Cortes de Apelaciones por uno o más de los medios siguientes:</w:t>
      </w:r>
    </w:p>
    <w:p w:rsidR="00910616" w:rsidRPr="00910616" w:rsidRDefault="00910616" w:rsidP="0038730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firstLine="0"/>
        <w:jc w:val="both"/>
        <w:rPr>
          <w:color w:val="000000" w:themeColor="text1"/>
          <w:sz w:val="20"/>
          <w:szCs w:val="20"/>
          <w:lang w:val="es-VE"/>
        </w:rPr>
      </w:pPr>
      <w:r w:rsidRPr="00910616">
        <w:rPr>
          <w:color w:val="000000" w:themeColor="text1"/>
          <w:sz w:val="20"/>
          <w:szCs w:val="20"/>
          <w:lang w:val="es-VE"/>
        </w:rPr>
        <w:t xml:space="preserve">Amonestación privada </w:t>
      </w:r>
    </w:p>
    <w:p w:rsidR="00910616" w:rsidRPr="00910616" w:rsidRDefault="00910616" w:rsidP="0038730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firstLine="0"/>
        <w:jc w:val="both"/>
        <w:rPr>
          <w:color w:val="000000" w:themeColor="text1"/>
          <w:sz w:val="20"/>
          <w:szCs w:val="20"/>
          <w:lang w:val="es-VE"/>
        </w:rPr>
      </w:pPr>
      <w:r w:rsidRPr="00910616">
        <w:rPr>
          <w:color w:val="000000" w:themeColor="text1"/>
          <w:sz w:val="20"/>
          <w:szCs w:val="20"/>
          <w:lang w:val="es-VE"/>
        </w:rPr>
        <w:t>Censura por escrito (…)</w:t>
      </w:r>
      <w:r w:rsidR="0079478C">
        <w:rPr>
          <w:color w:val="000000" w:themeColor="text1"/>
          <w:sz w:val="20"/>
          <w:szCs w:val="20"/>
          <w:lang w:val="es-VE"/>
        </w:rPr>
        <w:t>.</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Artículo 337. Se presume de derecho, para todos los efectos legales, que un juez no tiene buen comportamiento en cualquiera de los casos siguientes: (…)</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2°. Si se dictaren en su contra medidas disciplinarias más de tres veces en el período de tres años; (…).</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Artículo 551. Las resoluciones que pronuncien los tribunales unipersonales y colegiados en el ejercicio de sus facultades disciplinarias, sólo serán susceptibles de recurso de apelación. (…)</w:t>
      </w:r>
    </w:p>
    <w:p w:rsidR="00910616" w:rsidRPr="00910616" w:rsidRDefault="00910616" w:rsidP="00910616">
      <w:pPr>
        <w:pStyle w:val="Heading2"/>
        <w:numPr>
          <w:ilvl w:val="0"/>
          <w:numId w:val="53"/>
        </w:numPr>
        <w:ind w:hanging="810"/>
        <w:rPr>
          <w:rFonts w:ascii="Cambria" w:hAnsi="Cambria"/>
          <w:i w:val="0"/>
          <w:sz w:val="20"/>
          <w:szCs w:val="20"/>
          <w:lang w:val="es-CO"/>
        </w:rPr>
      </w:pPr>
      <w:bookmarkStart w:id="15" w:name="_Toc505532526"/>
      <w:bookmarkStart w:id="16" w:name="_Toc505936561"/>
      <w:r w:rsidRPr="00910616">
        <w:rPr>
          <w:rFonts w:ascii="Cambria" w:hAnsi="Cambria"/>
          <w:i w:val="0"/>
          <w:sz w:val="20"/>
          <w:szCs w:val="20"/>
          <w:lang w:val="es-CO"/>
        </w:rPr>
        <w:t>Sobre el trabajo académico de la presunta víctima</w:t>
      </w:r>
      <w:bookmarkEnd w:id="15"/>
      <w:bookmarkEnd w:id="16"/>
    </w:p>
    <w:p w:rsidR="00910616" w:rsidRPr="00910616" w:rsidRDefault="00910616" w:rsidP="00910616">
      <w:pPr>
        <w:rPr>
          <w:rFonts w:ascii="Cambria" w:hAnsi="Cambria"/>
          <w:sz w:val="20"/>
          <w:szCs w:val="20"/>
          <w:lang w:val="es-CO"/>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Según consta en el expediente, el 8 de abril de 2004 la Corte Suprema de Justicia de Chile autorizó a la presunta víctima para asistir al Diplomado en Derechos Humanos y Procesos de Democratización dictado por el Centro de Derechos Humanos de la Facultad de Derecho de la Universidad de </w:t>
      </w:r>
      <w:r w:rsidRPr="00910616">
        <w:rPr>
          <w:rFonts w:ascii="Cambria" w:hAnsi="Cambria"/>
          <w:color w:val="000000" w:themeColor="text1"/>
          <w:sz w:val="20"/>
          <w:szCs w:val="20"/>
          <w:lang w:val="es-VE"/>
        </w:rPr>
        <w:lastRenderedPageBreak/>
        <w:t xml:space="preserve">Chile en conjunto con el International Center </w:t>
      </w:r>
      <w:proofErr w:type="spellStart"/>
      <w:r w:rsidRPr="00910616">
        <w:rPr>
          <w:rFonts w:ascii="Cambria" w:hAnsi="Cambria"/>
          <w:color w:val="000000" w:themeColor="text1"/>
          <w:sz w:val="20"/>
          <w:szCs w:val="20"/>
          <w:lang w:val="es-VE"/>
        </w:rPr>
        <w:t>for</w:t>
      </w:r>
      <w:proofErr w:type="spellEnd"/>
      <w:r w:rsidRPr="00910616">
        <w:rPr>
          <w:rFonts w:ascii="Cambria" w:hAnsi="Cambria"/>
          <w:color w:val="000000" w:themeColor="text1"/>
          <w:sz w:val="20"/>
          <w:szCs w:val="20"/>
          <w:lang w:val="es-VE"/>
        </w:rPr>
        <w:t xml:space="preserve"> </w:t>
      </w:r>
      <w:proofErr w:type="spellStart"/>
      <w:r w:rsidRPr="00910616">
        <w:rPr>
          <w:rFonts w:ascii="Cambria" w:hAnsi="Cambria"/>
          <w:color w:val="000000" w:themeColor="text1"/>
          <w:sz w:val="20"/>
          <w:szCs w:val="20"/>
          <w:lang w:val="es-VE"/>
        </w:rPr>
        <w:t>Transitional</w:t>
      </w:r>
      <w:proofErr w:type="spellEnd"/>
      <w:r w:rsidRPr="00910616">
        <w:rPr>
          <w:rFonts w:ascii="Cambria" w:hAnsi="Cambria"/>
          <w:color w:val="000000" w:themeColor="text1"/>
          <w:sz w:val="20"/>
          <w:szCs w:val="20"/>
          <w:lang w:val="es-VE"/>
        </w:rPr>
        <w:t xml:space="preserve"> </w:t>
      </w:r>
      <w:proofErr w:type="spellStart"/>
      <w:r w:rsidRPr="00910616">
        <w:rPr>
          <w:rFonts w:ascii="Cambria" w:hAnsi="Cambria"/>
          <w:color w:val="000000" w:themeColor="text1"/>
          <w:sz w:val="20"/>
          <w:szCs w:val="20"/>
          <w:lang w:val="es-VE"/>
        </w:rPr>
        <w:t>Justice</w:t>
      </w:r>
      <w:proofErr w:type="spellEnd"/>
      <w:r w:rsidRPr="00910616">
        <w:rPr>
          <w:rFonts w:ascii="Cambria" w:hAnsi="Cambria"/>
          <w:color w:val="000000" w:themeColor="text1"/>
          <w:sz w:val="20"/>
          <w:szCs w:val="20"/>
          <w:vertAlign w:val="superscript"/>
          <w:lang w:val="es-VE"/>
        </w:rPr>
        <w:footnoteReference w:id="10"/>
      </w:r>
      <w:r w:rsidRPr="00910616">
        <w:rPr>
          <w:rFonts w:ascii="Cambria" w:hAnsi="Cambria"/>
          <w:color w:val="000000" w:themeColor="text1"/>
          <w:sz w:val="20"/>
          <w:szCs w:val="20"/>
          <w:lang w:val="es-VE"/>
        </w:rPr>
        <w:t>, el cual se desarrolló del 29 de marzo al 10 de septiembre de 2004.</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El 30 de noviembre de 2004 la presunta víctima informó a la Suprema Corte que aprobó dicho diplomado, y remitió su trabajo final del mismo, titulado “Propuesta de Política Pública de introducción del enfoque de Derechos Humanos en el trabajo del Poder Judicial de la República de Chile”, con la nota “a objeto de ser puesto a disposición del pleno para los fines que se estimen pertinentes”</w:t>
      </w:r>
      <w:r w:rsidRPr="00910616">
        <w:rPr>
          <w:rFonts w:ascii="Cambria" w:hAnsi="Cambria"/>
          <w:color w:val="000000" w:themeColor="text1"/>
          <w:sz w:val="20"/>
          <w:szCs w:val="20"/>
          <w:vertAlign w:val="superscript"/>
          <w:lang w:val="es-VE"/>
        </w:rPr>
        <w:footnoteReference w:id="11"/>
      </w:r>
      <w:r w:rsidRPr="00910616">
        <w:rPr>
          <w:rFonts w:ascii="Cambria" w:hAnsi="Cambria"/>
          <w:color w:val="000000" w:themeColor="text1"/>
          <w:sz w:val="20"/>
          <w:szCs w:val="20"/>
          <w:lang w:val="es-VE"/>
        </w:rPr>
        <w:t xml:space="preserve">. </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Dicho trabajo proponía al Poder Judicial adoptar un enfoque de derechos humanos, y realizó una serie de críticas sobre su funcionamiento y específicamente sobre su rol durante el régimen militar chileno. En particular, en el trabajo la presunta víctima refirió que la Comisión de la Verdad y Reconciliación indicó que “el Poder Judicial no reaccionó con la suficiente energía frente a las violaciones a los derechos humanos, lo que unido a otros factores impidió que este Poder ejerciera una labor efectiva de protección de los derechos esenciales de las personas (…)” y que su actitud “produjo un agravamiento del proceso de violaciones sistemáticas a los derechos humanos lo cual se explica por la falta de protección a los casos denunciados, tanto como a la certeza de los organismos represivos que serían impunes sus actuaciones ilícitas”. </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 Tomando en cuenta lo dicho por la Comisión de la Verdad y </w:t>
      </w:r>
      <w:r w:rsidR="0079478C">
        <w:rPr>
          <w:rFonts w:ascii="Cambria" w:hAnsi="Cambria"/>
          <w:color w:val="000000" w:themeColor="text1"/>
          <w:sz w:val="20"/>
          <w:szCs w:val="20"/>
          <w:lang w:val="es-VE"/>
        </w:rPr>
        <w:t>Reconciliación, en dicho trabajo</w:t>
      </w:r>
      <w:r w:rsidRPr="00910616">
        <w:rPr>
          <w:rFonts w:ascii="Cambria" w:hAnsi="Cambria"/>
          <w:color w:val="000000" w:themeColor="text1"/>
          <w:sz w:val="20"/>
          <w:szCs w:val="20"/>
          <w:lang w:val="es-VE"/>
        </w:rPr>
        <w:t xml:space="preserve"> la presunta víctima indicó  lo siguiente:  </w:t>
      </w:r>
    </w:p>
    <w:p w:rsidR="00910616" w:rsidRPr="00910616" w:rsidRDefault="00910616" w:rsidP="00910616">
      <w:pPr>
        <w:pStyle w:val="ListParagraph"/>
        <w:rPr>
          <w:color w:val="000000" w:themeColor="text1"/>
          <w:sz w:val="20"/>
          <w:szCs w:val="20"/>
          <w:lang w:val="es-VE"/>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proofErr w:type="gramStart"/>
      <w:r w:rsidRPr="00910616">
        <w:rPr>
          <w:rFonts w:ascii="Cambria" w:hAnsi="Cambria"/>
          <w:color w:val="000000" w:themeColor="text1"/>
          <w:sz w:val="20"/>
          <w:szCs w:val="20"/>
          <w:lang w:val="es-VE"/>
        </w:rPr>
        <w:t>para</w:t>
      </w:r>
      <w:proofErr w:type="gramEnd"/>
      <w:r w:rsidRPr="00910616">
        <w:rPr>
          <w:rFonts w:ascii="Cambria" w:hAnsi="Cambria"/>
          <w:color w:val="000000" w:themeColor="text1"/>
          <w:sz w:val="20"/>
          <w:szCs w:val="20"/>
          <w:lang w:val="es-VE"/>
        </w:rPr>
        <w:t xml:space="preserve"> un efectivo reposicionamiento moral y ético del Poder Judicial como garante de los derechos de los ciudadanos, la máxima autoridad de gobierno del Poder Judicial tiene el deber moral, y existiendo la viabilidad política actual, de reconocer en forma clara y sin justificaciones la responsabilidad de éste poder del estado en las gravísimas violaciones a los derechos humanos vertidas en las conclusiones de la Comisión. Creemos honestamente que es la única manera de comenzar a recuperar la confianza de la comunidad nacional de la judicatura, perdida en la negra noche de los derechos humanos que significaron las violaciones a los derechos humanos durante el régimen militar</w:t>
      </w:r>
      <w:r w:rsidRPr="00910616">
        <w:rPr>
          <w:rFonts w:ascii="Cambria" w:hAnsi="Cambria"/>
          <w:color w:val="000000" w:themeColor="text1"/>
          <w:sz w:val="20"/>
          <w:szCs w:val="20"/>
          <w:vertAlign w:val="superscript"/>
          <w:lang w:val="es-VE"/>
        </w:rPr>
        <w:footnoteReference w:id="12"/>
      </w:r>
      <w:r w:rsidRPr="00910616">
        <w:rPr>
          <w:rFonts w:ascii="Cambria" w:hAnsi="Cambria"/>
          <w:color w:val="000000" w:themeColor="text1"/>
          <w:sz w:val="20"/>
          <w:szCs w:val="20"/>
          <w:lang w:val="es-VE"/>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Asimismo, la presunta víctima propuso que el Poder Judicial adopte las siguientes medidas: “a. reconocimiento por el pleno de la Corte Suprema, en un acto público de las conclusiones referentes al Poder Judicial señaladas por la Comisión Nacional de Verdad y Reconciliación y la Comisión Nacional sobre la Tortura. b. la petición de perdón pública a las más de 3000 víctimas de violaciones a los derechos humanos solo en forma de desaparecimiento y a sus familias y a la sociedad chilena como forma de reparación simbólica por la responsabilidad que en dichas violaciones le cabe al Poder Judicial. c. el reconocimiento en un acto público de los Funcionarios, Jueces, Relatores y Ministros exonerados del Poder Judicial por razón de su pensamiento político o de lo que otros pensaban que era su pensamiento político.  (…) d. compromiso claro con las garantías de no repetición (…) se propone la creación dentro de la Dirección de Estudios de la Corte Suprema de una Secretaría Especial encargada de poner en práctica y evaluar consecuentemente las medidas que aparezcan como necesarias para la introducción del enfoque de derechos humanos en el trabajo del Poder Judicial chileno”</w:t>
      </w:r>
      <w:r w:rsidRPr="00910616">
        <w:rPr>
          <w:rFonts w:ascii="Cambria" w:hAnsi="Cambria"/>
          <w:color w:val="000000" w:themeColor="text1"/>
          <w:sz w:val="20"/>
          <w:szCs w:val="20"/>
          <w:vertAlign w:val="superscript"/>
          <w:lang w:val="es-VE"/>
        </w:rPr>
        <w:footnoteReference w:id="13"/>
      </w:r>
      <w:r w:rsidRPr="00910616">
        <w:rPr>
          <w:rFonts w:ascii="Cambria" w:hAnsi="Cambria"/>
          <w:color w:val="000000" w:themeColor="text1"/>
          <w:sz w:val="20"/>
          <w:szCs w:val="20"/>
          <w:lang w:val="es-VE"/>
        </w:rPr>
        <w:t>.</w:t>
      </w:r>
    </w:p>
    <w:p w:rsidR="004D2791" w:rsidRDefault="004D2791" w:rsidP="004D2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4D2791" w:rsidRDefault="004D2791" w:rsidP="004D2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4D2791" w:rsidRDefault="004D2791" w:rsidP="004D2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4D2791" w:rsidRDefault="004D2791" w:rsidP="004D2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4D2791" w:rsidRPr="00910616" w:rsidRDefault="004D2791" w:rsidP="004D2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910616" w:rsidRPr="00910616" w:rsidRDefault="00910616" w:rsidP="00910616">
      <w:pPr>
        <w:pStyle w:val="Heading2"/>
        <w:numPr>
          <w:ilvl w:val="0"/>
          <w:numId w:val="53"/>
        </w:numPr>
        <w:ind w:hanging="810"/>
        <w:rPr>
          <w:rFonts w:ascii="Cambria" w:hAnsi="Cambria"/>
          <w:i w:val="0"/>
          <w:sz w:val="20"/>
          <w:szCs w:val="20"/>
          <w:lang w:val="es-CO"/>
        </w:rPr>
      </w:pPr>
      <w:r w:rsidRPr="00910616">
        <w:rPr>
          <w:rFonts w:ascii="Cambria" w:hAnsi="Cambria"/>
          <w:color w:val="000000" w:themeColor="text1"/>
          <w:sz w:val="20"/>
          <w:szCs w:val="20"/>
          <w:lang w:val="es-VE"/>
        </w:rPr>
        <w:t xml:space="preserve"> </w:t>
      </w:r>
      <w:bookmarkStart w:id="17" w:name="_Toc505532527"/>
      <w:bookmarkStart w:id="18" w:name="_Toc505936562"/>
      <w:r w:rsidRPr="00910616">
        <w:rPr>
          <w:rFonts w:ascii="Cambria" w:hAnsi="Cambria"/>
          <w:i w:val="0"/>
          <w:sz w:val="20"/>
          <w:szCs w:val="20"/>
          <w:lang w:val="es-CO"/>
        </w:rPr>
        <w:t>Sobre el proceso disciplinario iniciado contra la presunta víctima</w:t>
      </w:r>
      <w:bookmarkEnd w:id="17"/>
      <w:bookmarkEnd w:id="18"/>
      <w:r w:rsidRPr="00910616">
        <w:rPr>
          <w:rFonts w:ascii="Cambria" w:hAnsi="Cambria"/>
          <w:i w:val="0"/>
          <w:sz w:val="20"/>
          <w:szCs w:val="20"/>
          <w:lang w:val="es-CO"/>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El 22 de diciembre de 2004 el Secretario de la Corte Suprema remitió a la Corte de Apelaciones de La Serena “los antecedentes relativos a un informe enviado en su oportunidad a esta Corte, por don Daniel Urrutia </w:t>
      </w:r>
      <w:proofErr w:type="spellStart"/>
      <w:r w:rsidRPr="00910616">
        <w:rPr>
          <w:rFonts w:ascii="Cambria" w:hAnsi="Cambria"/>
          <w:color w:val="000000" w:themeColor="text1"/>
          <w:sz w:val="20"/>
          <w:szCs w:val="20"/>
          <w:lang w:val="es-VE"/>
        </w:rPr>
        <w:t>Laubreaux</w:t>
      </w:r>
      <w:proofErr w:type="spellEnd"/>
      <w:r w:rsidRPr="00910616">
        <w:rPr>
          <w:rFonts w:ascii="Cambria" w:hAnsi="Cambria"/>
          <w:color w:val="000000" w:themeColor="text1"/>
          <w:sz w:val="20"/>
          <w:szCs w:val="20"/>
          <w:lang w:val="es-VE"/>
        </w:rPr>
        <w:t>, Juez del Juzgado de Garantía de Ovalle”</w:t>
      </w:r>
      <w:r w:rsidRPr="00910616">
        <w:rPr>
          <w:rFonts w:ascii="Cambria" w:hAnsi="Cambria"/>
          <w:color w:val="000000" w:themeColor="text1"/>
          <w:sz w:val="20"/>
          <w:szCs w:val="20"/>
          <w:vertAlign w:val="superscript"/>
          <w:lang w:val="es-VE"/>
        </w:rPr>
        <w:footnoteReference w:id="14"/>
      </w:r>
      <w:r w:rsidRPr="00910616">
        <w:rPr>
          <w:rFonts w:ascii="Cambria" w:hAnsi="Cambria"/>
          <w:color w:val="000000" w:themeColor="text1"/>
          <w:sz w:val="20"/>
          <w:szCs w:val="20"/>
          <w:lang w:val="es-VE"/>
        </w:rPr>
        <w:t>.</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El 27 de diciembre de 2004, mediante escrito del Secretario de la Suprema Corte, se informó a la presunta víctima que “conforme a lo ordenado por el Tribunal Pleno de esta Corte, adjunto se devuelve el denominado 'informe final' que remitiera (…). Lo anterior en razón de estimarse que en el aludido informe se contienen apreciaciones inadecuadas e inaceptables para este tribunal. Lo que el Secretario de esta Corte Suprema cumple por disposición del señor Presidente”</w:t>
      </w:r>
      <w:r w:rsidRPr="00910616">
        <w:rPr>
          <w:rFonts w:ascii="Cambria" w:hAnsi="Cambria"/>
          <w:color w:val="000000" w:themeColor="text1"/>
          <w:sz w:val="20"/>
          <w:szCs w:val="20"/>
          <w:vertAlign w:val="superscript"/>
          <w:lang w:val="es-VE"/>
        </w:rPr>
        <w:footnoteReference w:id="15"/>
      </w:r>
      <w:r w:rsidRPr="00910616">
        <w:rPr>
          <w:rFonts w:ascii="Cambria" w:hAnsi="Cambria"/>
          <w:color w:val="000000" w:themeColor="text1"/>
          <w:sz w:val="20"/>
          <w:szCs w:val="20"/>
          <w:lang w:val="es-VE"/>
        </w:rPr>
        <w:t>.</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El 12 de enero de 2005 el presidente de la Corte de Apelaciones de La Serena remitió un oficio a la presunta víctima en el que señaló que “se ha ordenado oficiar a Ud.  a fin de pedir informe acerca de los motivos que tuvo en consideración para enviar a la</w:t>
      </w:r>
      <w:r w:rsidR="0079478C">
        <w:rPr>
          <w:rFonts w:ascii="Cambria" w:hAnsi="Cambria"/>
          <w:color w:val="000000" w:themeColor="text1"/>
          <w:sz w:val="20"/>
          <w:szCs w:val="20"/>
          <w:lang w:val="es-VE"/>
        </w:rPr>
        <w:t xml:space="preserve"> Excma.</w:t>
      </w:r>
      <w:r w:rsidRPr="00910616">
        <w:rPr>
          <w:rFonts w:ascii="Cambria" w:hAnsi="Cambria"/>
          <w:color w:val="000000" w:themeColor="text1"/>
          <w:sz w:val="20"/>
          <w:szCs w:val="20"/>
          <w:lang w:val="es-VE"/>
        </w:rPr>
        <w:t xml:space="preserve"> Corte Suprema, copia de su informe 'Propuesta de Política Pública de introducción del enfoque de Derechos Humanos en el trabajo del Poder Judicial de la República de Chile', el que fue </w:t>
      </w:r>
      <w:proofErr w:type="spellStart"/>
      <w:r w:rsidRPr="00910616">
        <w:rPr>
          <w:rFonts w:ascii="Cambria" w:hAnsi="Cambria"/>
          <w:color w:val="000000" w:themeColor="text1"/>
          <w:sz w:val="20"/>
          <w:szCs w:val="20"/>
          <w:lang w:val="es-VE"/>
        </w:rPr>
        <w:t>recepcionado</w:t>
      </w:r>
      <w:proofErr w:type="spellEnd"/>
      <w:r w:rsidRPr="00910616">
        <w:rPr>
          <w:rFonts w:ascii="Cambria" w:hAnsi="Cambria"/>
          <w:color w:val="000000" w:themeColor="text1"/>
          <w:sz w:val="20"/>
          <w:szCs w:val="20"/>
          <w:lang w:val="es-VE"/>
        </w:rPr>
        <w:t xml:space="preserve"> en ese Excmo. Tribunal en los antecedentes Administrativos AD-175-2004 y remitidos a esta Corte para los fines pertinentes, el que deberá ser evacuado dentro de quinto día (…)”</w:t>
      </w:r>
      <w:r w:rsidRPr="00910616">
        <w:rPr>
          <w:rFonts w:ascii="Cambria" w:hAnsi="Cambria"/>
          <w:color w:val="000000" w:themeColor="text1"/>
          <w:sz w:val="20"/>
          <w:szCs w:val="20"/>
          <w:vertAlign w:val="superscript"/>
          <w:lang w:val="es-VE"/>
        </w:rPr>
        <w:footnoteReference w:id="16"/>
      </w:r>
      <w:r w:rsidRPr="00910616">
        <w:rPr>
          <w:rFonts w:ascii="Cambria" w:hAnsi="Cambria"/>
          <w:color w:val="000000" w:themeColor="text1"/>
          <w:sz w:val="20"/>
          <w:szCs w:val="20"/>
          <w:lang w:val="es-VE"/>
        </w:rPr>
        <w:t>. Dicho oficio fue notificado a la presunta víctima el 13 de enero de 2005.</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El 17 de enero de 2005 la presunta víctima remitió el informe solicitado a la Corte de Apelaciones de La Serena y en él señaló: “los motivos que se tuvieron en vista, por el juez que suscribe, era acreditar, ante la Excma. Corte Suprema el hecho de la realización del curso, la alta calificación obtenida y hacer entrega del producto final del estudio cometido, esto es el citado informe. Se hace presente que la producción del citado informe obedece a fines estrictamente académicos”</w:t>
      </w:r>
      <w:r w:rsidRPr="00910616">
        <w:rPr>
          <w:rFonts w:ascii="Cambria" w:hAnsi="Cambria"/>
          <w:color w:val="000000" w:themeColor="text1"/>
          <w:sz w:val="20"/>
          <w:szCs w:val="20"/>
          <w:vertAlign w:val="superscript"/>
          <w:lang w:val="es-VE"/>
        </w:rPr>
        <w:footnoteReference w:id="17"/>
      </w:r>
      <w:r w:rsidRPr="00910616">
        <w:rPr>
          <w:rFonts w:ascii="Cambria" w:hAnsi="Cambria"/>
          <w:color w:val="000000" w:themeColor="text1"/>
          <w:sz w:val="20"/>
          <w:szCs w:val="20"/>
          <w:lang w:val="es-VE"/>
        </w:rPr>
        <w:t xml:space="preserve">. </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El 31 de marzo de 2005 la Corte de Apelaciones de La Serena impuso medida disciplinaria de censura por escrito en contra de la presunta víctima. En la decisión indicó que: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de la lectura del trabajo, aparece que su autor – Juez de la República – ha aprovechado tal vehículo para formular en ciertos acápites referidos a la actuación del poder judicial, juicios valóricos reprochando o censurando en forma concreta determinadas conductas, acciones o eventuales omisiones de sus superiores jerárquicos, llegando incluso a sostener que para un efectivo reposicionamiento moral y ético del Poder Judicial como garante de los derechos de los ciudadanos, su máxima autoridad de gobierno, léase Excma. Corte Suprema, tenía el deber moral de reconocer en forma clara y sin justificaciones, la responsabilidad de este poder en las violaciones de los derechos humanos, proponiendo, además, las medidas que, a su juicio, dicho Tribunal Superior de Justicia debería cumplir.</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 (…). El hecho de haber materializado el juez Urrutia </w:t>
      </w:r>
      <w:proofErr w:type="spellStart"/>
      <w:r w:rsidRPr="00910616">
        <w:rPr>
          <w:rFonts w:ascii="Cambria" w:hAnsi="Cambria"/>
          <w:color w:val="000000" w:themeColor="text1"/>
          <w:sz w:val="20"/>
          <w:szCs w:val="20"/>
          <w:lang w:val="es-VE"/>
        </w:rPr>
        <w:t>Laubreaux</w:t>
      </w:r>
      <w:proofErr w:type="spellEnd"/>
      <w:r w:rsidRPr="00910616">
        <w:rPr>
          <w:rFonts w:ascii="Cambria" w:hAnsi="Cambria"/>
          <w:color w:val="000000" w:themeColor="text1"/>
          <w:sz w:val="20"/>
          <w:szCs w:val="20"/>
          <w:lang w:val="es-VE"/>
        </w:rPr>
        <w:t xml:space="preserve">, su particular posición respecto de determinadas acciones y omisiones de su superior jerárquico, proponiéndoles incluso, para enmendar el criticado actuar, concretas actividades a seguir, valiéndose para tales manifestaciones de censura, de un trabajo que justifica haberlo elaborado dentro del ámbito académico, pero que especialmente hizo llegar a la Excma. Corte Suprema “a objeto </w:t>
      </w:r>
      <w:r w:rsidRPr="00910616">
        <w:rPr>
          <w:rFonts w:ascii="Cambria" w:hAnsi="Cambria"/>
          <w:color w:val="000000" w:themeColor="text1"/>
          <w:sz w:val="20"/>
          <w:szCs w:val="20"/>
          <w:lang w:val="es-VE"/>
        </w:rPr>
        <w:lastRenderedPageBreak/>
        <w:t>de ser puesto a disposición del pleno para los fines que estime pertinentes” importa, indudablemente, una manifestación de expresión desmedida e impropia de un juez de la República para referirse a actuaciones de sus superiores jerárquicos, violándose con ello el principio del respeto jerárquico que informa toda nuestra normativa estructural del Poder Judicial, y también, en rigor, una violación a las normas prohibitivas contemplada en los numerales 1 y 4 del artículo 323 del Código Orgánico de Tribunales, que en su esencia impide a los funcionarios judiciales dirigir a autoridades censuras por sus actos o publicar, o atacar en cualquier forma, la conducta oficial de otros jueces o magistrados.</w:t>
      </w:r>
    </w:p>
    <w:p w:rsidR="0031421C" w:rsidRDefault="0031421C" w:rsidP="0031421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910616" w:rsidRPr="0031421C" w:rsidRDefault="00910616" w:rsidP="0031421C">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31421C">
        <w:rPr>
          <w:rFonts w:ascii="Cambria" w:hAnsi="Cambria"/>
          <w:color w:val="000000" w:themeColor="text1"/>
          <w:sz w:val="20"/>
          <w:szCs w:val="20"/>
          <w:lang w:val="es-VE"/>
        </w:rPr>
        <w:t>La Corte de Apelaciones señaló que al ser de su competencia mantener la disciplina judicial, de acuerdo con el artículo 535 del Código Orgánico de Tribunales, “se impone al actual ju</w:t>
      </w:r>
      <w:r w:rsidR="00612F7C">
        <w:rPr>
          <w:rFonts w:ascii="Cambria" w:hAnsi="Cambria"/>
          <w:color w:val="000000" w:themeColor="text1"/>
          <w:sz w:val="20"/>
          <w:szCs w:val="20"/>
          <w:lang w:val="es-VE"/>
        </w:rPr>
        <w:t>ez del Juzgado de Garantía de</w:t>
      </w:r>
      <w:r w:rsidRPr="0031421C">
        <w:rPr>
          <w:rFonts w:ascii="Cambria" w:hAnsi="Cambria"/>
          <w:color w:val="000000" w:themeColor="text1"/>
          <w:sz w:val="20"/>
          <w:szCs w:val="20"/>
          <w:lang w:val="es-VE"/>
        </w:rPr>
        <w:t xml:space="preserve"> Coquimbo, don Daniel Urrutia </w:t>
      </w:r>
      <w:proofErr w:type="spellStart"/>
      <w:r w:rsidRPr="0031421C">
        <w:rPr>
          <w:rFonts w:ascii="Cambria" w:hAnsi="Cambria"/>
          <w:color w:val="000000" w:themeColor="text1"/>
          <w:sz w:val="20"/>
          <w:szCs w:val="20"/>
          <w:lang w:val="es-VE"/>
        </w:rPr>
        <w:t>Laubreaux</w:t>
      </w:r>
      <w:proofErr w:type="spellEnd"/>
      <w:r w:rsidRPr="0031421C">
        <w:rPr>
          <w:rFonts w:ascii="Cambria" w:hAnsi="Cambria"/>
          <w:color w:val="000000" w:themeColor="text1"/>
          <w:sz w:val="20"/>
          <w:szCs w:val="20"/>
          <w:lang w:val="es-VE"/>
        </w:rPr>
        <w:t xml:space="preserve"> la medida disciplinaria de </w:t>
      </w:r>
      <w:r w:rsidRPr="0031421C">
        <w:rPr>
          <w:rFonts w:ascii="Cambria" w:hAnsi="Cambria"/>
          <w:color w:val="000000" w:themeColor="text1"/>
          <w:sz w:val="20"/>
          <w:szCs w:val="20"/>
          <w:u w:val="single"/>
          <w:lang w:val="es-VE"/>
        </w:rPr>
        <w:t>censura por escrito</w:t>
      </w:r>
      <w:r w:rsidRPr="0031421C">
        <w:rPr>
          <w:rFonts w:ascii="Cambria" w:hAnsi="Cambria"/>
          <w:color w:val="000000" w:themeColor="text1"/>
          <w:sz w:val="20"/>
          <w:szCs w:val="20"/>
          <w:lang w:val="es-VE"/>
        </w:rPr>
        <w:t>”</w:t>
      </w:r>
      <w:r w:rsidRPr="00910616">
        <w:rPr>
          <w:rFonts w:ascii="Cambria" w:hAnsi="Cambria"/>
          <w:color w:val="000000" w:themeColor="text1"/>
          <w:sz w:val="20"/>
          <w:szCs w:val="20"/>
          <w:vertAlign w:val="superscript"/>
          <w:lang w:val="es-VE"/>
        </w:rPr>
        <w:footnoteReference w:id="18"/>
      </w:r>
      <w:r w:rsidRPr="0031421C">
        <w:rPr>
          <w:rFonts w:ascii="Cambria" w:hAnsi="Cambria"/>
          <w:color w:val="000000" w:themeColor="text1"/>
          <w:sz w:val="20"/>
          <w:szCs w:val="20"/>
          <w:lang w:val="es-VE"/>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El 5 de abril de 2005 la presunta víctima apeló la resolución de la Corte de Apelaciones del 31 de marzo de 2005 ante la Corte Suprema. En el escrito de impugnació</w:t>
      </w:r>
      <w:r w:rsidR="00612F7C">
        <w:rPr>
          <w:rFonts w:ascii="Cambria" w:hAnsi="Cambria"/>
          <w:color w:val="000000" w:themeColor="text1"/>
          <w:sz w:val="20"/>
          <w:szCs w:val="20"/>
          <w:lang w:val="es-VE"/>
        </w:rPr>
        <w:t>n la presunta víctima señaló que</w:t>
      </w:r>
      <w:r w:rsidRPr="00910616">
        <w:rPr>
          <w:rFonts w:ascii="Cambria" w:hAnsi="Cambria"/>
          <w:color w:val="000000" w:themeColor="text1"/>
          <w:sz w:val="20"/>
          <w:szCs w:val="20"/>
          <w:lang w:val="es-VE"/>
        </w:rPr>
        <w:t>: “el análisis que se realiza en el trabajo cuestionado, y que no ha sido publicado, no se refiere a ninguna autoridad en particular ni menos a autoridades presentes, sino que se emite de un juicio sobre el papel de la Corte Suprema como institución en un momento histórico determinado, recomenda</w:t>
      </w:r>
      <w:r w:rsidR="00F378EA">
        <w:rPr>
          <w:rFonts w:ascii="Cambria" w:hAnsi="Cambria"/>
          <w:color w:val="000000" w:themeColor="text1"/>
          <w:sz w:val="20"/>
          <w:szCs w:val="20"/>
          <w:lang w:val="es-VE"/>
        </w:rPr>
        <w:t>n</w:t>
      </w:r>
      <w:r w:rsidRPr="00910616">
        <w:rPr>
          <w:rFonts w:ascii="Cambria" w:hAnsi="Cambria"/>
          <w:color w:val="000000" w:themeColor="text1"/>
          <w:sz w:val="20"/>
          <w:szCs w:val="20"/>
          <w:lang w:val="es-VE"/>
        </w:rPr>
        <w:t xml:space="preserve">do y justificando académicamente que la </w:t>
      </w:r>
      <w:r w:rsidR="00612F7C" w:rsidRPr="00910616">
        <w:rPr>
          <w:rFonts w:ascii="Cambria" w:hAnsi="Cambria"/>
          <w:color w:val="000000" w:themeColor="text1"/>
          <w:sz w:val="20"/>
          <w:szCs w:val="20"/>
          <w:lang w:val="es-VE"/>
        </w:rPr>
        <w:t>Excma.</w:t>
      </w:r>
      <w:r w:rsidRPr="00910616">
        <w:rPr>
          <w:rFonts w:ascii="Cambria" w:hAnsi="Cambria"/>
          <w:color w:val="000000" w:themeColor="text1"/>
          <w:sz w:val="20"/>
          <w:szCs w:val="20"/>
          <w:lang w:val="es-VE"/>
        </w:rPr>
        <w:t>, Corte Suprema efectúe un reconocimiento moral (…)</w:t>
      </w:r>
      <w:r w:rsidRPr="00910616">
        <w:rPr>
          <w:rFonts w:ascii="Cambria" w:hAnsi="Cambria"/>
          <w:color w:val="000000" w:themeColor="text1"/>
          <w:sz w:val="20"/>
          <w:szCs w:val="20"/>
          <w:vertAlign w:val="superscript"/>
          <w:lang w:val="es-VE"/>
        </w:rPr>
        <w:footnoteReference w:id="19"/>
      </w:r>
      <w:r w:rsidRPr="00910616">
        <w:rPr>
          <w:rFonts w:ascii="Cambria" w:hAnsi="Cambria"/>
          <w:color w:val="000000" w:themeColor="text1"/>
          <w:sz w:val="20"/>
          <w:szCs w:val="20"/>
          <w:lang w:val="es-VE"/>
        </w:rPr>
        <w:t xml:space="preserve">”. </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De igual modo, la presunta víctima refirió que “de entender la restricción a la crítica que pesaría sobre los jueces del modo como lo ha entendido la </w:t>
      </w:r>
      <w:proofErr w:type="spellStart"/>
      <w:r w:rsidRPr="00910616">
        <w:rPr>
          <w:rFonts w:ascii="Cambria" w:hAnsi="Cambria"/>
          <w:color w:val="000000" w:themeColor="text1"/>
          <w:sz w:val="20"/>
          <w:szCs w:val="20"/>
          <w:lang w:val="es-VE"/>
        </w:rPr>
        <w:t>Iltma</w:t>
      </w:r>
      <w:proofErr w:type="spellEnd"/>
      <w:r w:rsidRPr="00910616">
        <w:rPr>
          <w:rFonts w:ascii="Cambria" w:hAnsi="Cambria"/>
          <w:color w:val="000000" w:themeColor="text1"/>
          <w:sz w:val="20"/>
          <w:szCs w:val="20"/>
          <w:lang w:val="es-VE"/>
        </w:rPr>
        <w:t>. Corte de Apelaciones de La Serena, ello supondría que quedaría fuera de la indagación intelectual y la crítica académica, que en el caso presente ni siquiera se hizo pública, el examen de las prácticas o decisiones de la justicia en el pasado”. En el escrito la presunta víctima solicitó la “revocación de la sanción disciplinaria de censura por escrito” y la absolución de dicha acusación</w:t>
      </w:r>
      <w:r w:rsidRPr="00910616">
        <w:rPr>
          <w:rFonts w:ascii="Cambria" w:hAnsi="Cambria"/>
          <w:color w:val="000000" w:themeColor="text1"/>
          <w:sz w:val="20"/>
          <w:szCs w:val="20"/>
          <w:vertAlign w:val="superscript"/>
          <w:lang w:val="es-VE"/>
        </w:rPr>
        <w:footnoteReference w:id="20"/>
      </w:r>
      <w:r w:rsidRPr="00910616">
        <w:rPr>
          <w:rFonts w:ascii="Cambria" w:hAnsi="Cambria"/>
          <w:color w:val="000000" w:themeColor="text1"/>
          <w:sz w:val="20"/>
          <w:szCs w:val="20"/>
          <w:lang w:val="es-VE"/>
        </w:rPr>
        <w:t>.</w:t>
      </w:r>
    </w:p>
    <w:p w:rsidR="00910616" w:rsidRPr="00910616" w:rsidRDefault="00910616" w:rsidP="00910616">
      <w:pPr>
        <w:pStyle w:val="ListParagraph"/>
        <w:rPr>
          <w:color w:val="000000" w:themeColor="text1"/>
          <w:sz w:val="20"/>
          <w:szCs w:val="20"/>
          <w:lang w:val="es-VE"/>
        </w:rPr>
      </w:pPr>
    </w:p>
    <w:p w:rsidR="005D6BD7"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El 6 de mayo de 2005 la Corte Suprema</w:t>
      </w:r>
      <w:r w:rsidR="005D6BD7">
        <w:rPr>
          <w:rFonts w:ascii="Cambria" w:hAnsi="Cambria"/>
          <w:color w:val="000000" w:themeColor="text1"/>
          <w:sz w:val="20"/>
          <w:szCs w:val="20"/>
          <w:lang w:val="es-VE"/>
        </w:rPr>
        <w:t xml:space="preserve"> </w:t>
      </w:r>
      <w:r w:rsidRPr="00910616">
        <w:rPr>
          <w:rFonts w:ascii="Cambria" w:hAnsi="Cambria"/>
          <w:color w:val="000000" w:themeColor="text1"/>
          <w:sz w:val="20"/>
          <w:szCs w:val="20"/>
          <w:lang w:val="es-VE"/>
        </w:rPr>
        <w:t>confirmó la resolución impugnada pero modificó la sanción a “amonestación privada”</w:t>
      </w:r>
      <w:r w:rsidRPr="00910616">
        <w:rPr>
          <w:rStyle w:val="FootnoteReference"/>
          <w:rFonts w:ascii="Cambria" w:hAnsi="Cambria"/>
          <w:sz w:val="20"/>
          <w:szCs w:val="20"/>
          <w:lang w:val="es-CO"/>
        </w:rPr>
        <w:t xml:space="preserve"> </w:t>
      </w:r>
      <w:r w:rsidRPr="00910616">
        <w:rPr>
          <w:rStyle w:val="FootnoteReference"/>
          <w:rFonts w:ascii="Cambria" w:hAnsi="Cambria"/>
          <w:sz w:val="20"/>
          <w:szCs w:val="20"/>
          <w:lang w:val="es-CO"/>
        </w:rPr>
        <w:footnoteReference w:id="21"/>
      </w:r>
      <w:r w:rsidR="005D6BD7">
        <w:rPr>
          <w:rFonts w:ascii="Cambria" w:hAnsi="Cambria"/>
          <w:color w:val="000000" w:themeColor="text1"/>
          <w:sz w:val="20"/>
          <w:szCs w:val="20"/>
          <w:lang w:val="es-VE"/>
        </w:rPr>
        <w:t xml:space="preserve"> y ordenó que se registre en la hoja de vida de la presunta víctima la sanción impuesta</w:t>
      </w:r>
      <w:r w:rsidR="005D6BD7" w:rsidRPr="00910616">
        <w:rPr>
          <w:rStyle w:val="FootnoteReference"/>
          <w:rFonts w:ascii="Cambria" w:hAnsi="Cambria"/>
          <w:sz w:val="20"/>
          <w:szCs w:val="20"/>
          <w:lang w:val="es-CO"/>
        </w:rPr>
        <w:footnoteReference w:id="22"/>
      </w:r>
      <w:r w:rsidR="005D6BD7">
        <w:rPr>
          <w:rFonts w:ascii="Cambria" w:hAnsi="Cambria"/>
          <w:color w:val="000000" w:themeColor="text1"/>
          <w:sz w:val="20"/>
          <w:szCs w:val="20"/>
          <w:lang w:val="es-VE"/>
        </w:rPr>
        <w:t xml:space="preserve">. </w:t>
      </w:r>
    </w:p>
    <w:p w:rsidR="005D6BD7" w:rsidRDefault="005D6BD7" w:rsidP="005D6BD7">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 En dicha decisión indicó que:</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que lo relevante en este caso no es el carácter académico que pueda atribuirse al trabajo realizado por el funcionario judicial de que se trata ni el hecho de que con su envío a este Tribunal, haya querido comprobarse el desempeño de la comisión de servicio autorizada por esta misma Corte. Lejos de ello, lo que se reprocha es la falta de tino, prudencia y moderación y elemental respeto y consideración que revelan tanto la pretensión de impartir instrucciones a la “máxima autoridad de gobierno del Poder Judicial”</w:t>
      </w:r>
      <w:r w:rsidR="00F378EA">
        <w:rPr>
          <w:rFonts w:ascii="Cambria" w:hAnsi="Cambria"/>
          <w:color w:val="000000" w:themeColor="text1"/>
          <w:sz w:val="20"/>
          <w:szCs w:val="20"/>
          <w:lang w:val="es-VE"/>
        </w:rPr>
        <w:t>- en palabras del autor- como la</w:t>
      </w:r>
      <w:r w:rsidRPr="00910616">
        <w:rPr>
          <w:rFonts w:ascii="Cambria" w:hAnsi="Cambria"/>
          <w:color w:val="000000" w:themeColor="text1"/>
          <w:sz w:val="20"/>
          <w:szCs w:val="20"/>
          <w:lang w:val="es-VE"/>
        </w:rPr>
        <w:t xml:space="preserve"> circunstancia de que en ese trabajo se contenga una crítica velada a esta Corte Suprema. </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lastRenderedPageBreak/>
        <w:t>(…) que en efecto, acerca de lo primero, la revisión de la monografía o trabajo- remitido por el juez aludido con el propósito “de ser puesto a disposición del pleno para los fines que se estimen pertinentes” –hace posible advertir que, a través suyo, tal funcionario judicial se permite afirmar que esta Corte Suprema tendría “el deber moral” de asumir una actitud determinada, precisando inclusive las medidas concretas que debiera llevar a cabo, todo ello, con miras a lograr, según su parecer, el “efectivo reposicionamiento moral y ético” de este Poder del Estado, como garante de los derechos de los ciudadanos. En cuanto a lo segundo, resulta indudable que de lo anterior dimana una censura, cuando menos implícita, a la máxima autoridad judicial, desde que, mediando el declarado objeto de hacer llegar esos planteamientos al Tribunal Pleno, no puede menos que concluirse que hubo la intención de representar el incumplimiento de un supuesto “deber moral”, reflejado en la omisión o carencia de las medidas concretas que se proponen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highlight w:val="yellow"/>
          <w:lang w:val="es-VE"/>
        </w:rPr>
      </w:pPr>
    </w:p>
    <w:p w:rsidR="0031421C" w:rsidRPr="0031421C" w:rsidRDefault="00910616" w:rsidP="0031421C">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La Corte Suprema concluyó que la conducta evidenciada importó vulnerar “la prohibición, que el artículo 323 No 4 del Código Orgánico de Tribunales impone a todos los funcionarios judiciales de atacar 'en cualquier forma' la conducta oficial de otros jueces o magistrados. Consecuentemente, con arreglo a lo establecido en el artículo 544 No. 8 del mismo Código, deben ejercerse en este caso las facultades disciplinarias correspondientes</w:t>
      </w:r>
      <w:r w:rsidR="007314EC">
        <w:rPr>
          <w:rFonts w:ascii="Cambria" w:hAnsi="Cambria"/>
          <w:color w:val="000000" w:themeColor="text1"/>
          <w:sz w:val="20"/>
          <w:szCs w:val="20"/>
          <w:lang w:val="es-VE"/>
        </w:rPr>
        <w:t>”</w:t>
      </w:r>
      <w:r w:rsidR="007314EC" w:rsidRPr="007314EC">
        <w:rPr>
          <w:rStyle w:val="FootnoteReference"/>
          <w:rFonts w:ascii="Cambria" w:hAnsi="Cambria"/>
          <w:sz w:val="20"/>
          <w:szCs w:val="20"/>
          <w:lang w:val="es-CO"/>
        </w:rPr>
        <w:t xml:space="preserve"> </w:t>
      </w:r>
      <w:r w:rsidR="007314EC" w:rsidRPr="00910616">
        <w:rPr>
          <w:rStyle w:val="FootnoteReference"/>
          <w:rFonts w:ascii="Cambria" w:hAnsi="Cambria"/>
          <w:sz w:val="20"/>
          <w:szCs w:val="20"/>
          <w:lang w:val="es-CO"/>
        </w:rPr>
        <w:footnoteReference w:id="23"/>
      </w:r>
      <w:r w:rsidR="007314EC">
        <w:rPr>
          <w:rFonts w:ascii="Cambria" w:hAnsi="Cambria"/>
          <w:color w:val="000000" w:themeColor="text1"/>
          <w:sz w:val="20"/>
          <w:szCs w:val="20"/>
          <w:lang w:val="es-VE"/>
        </w:rPr>
        <w:t>.  La Corte redujo la sanción</w:t>
      </w:r>
      <w:r w:rsidRPr="00910616">
        <w:rPr>
          <w:rFonts w:ascii="Cambria" w:hAnsi="Cambria"/>
          <w:color w:val="000000" w:themeColor="text1"/>
          <w:sz w:val="20"/>
          <w:szCs w:val="20"/>
          <w:lang w:val="es-VE"/>
        </w:rPr>
        <w:t xml:space="preserve"> a “amonestación privada” tomando en cuenta que “la entidad de la falta determinada puede tenerse por aminorada por la inexperiencia que denota el funcionario cuestionado (cuatro años de antigüedad), en lo que debe ser su conducta en relación con sus superiores jerárquicos (…)”. </w:t>
      </w:r>
    </w:p>
    <w:p w:rsidR="0031421C" w:rsidRDefault="0031421C" w:rsidP="0031421C">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La Comisión observa que seis </w:t>
      </w:r>
      <w:r w:rsidR="005D6BD7">
        <w:rPr>
          <w:rFonts w:ascii="Cambria" w:hAnsi="Cambria"/>
          <w:color w:val="000000" w:themeColor="text1"/>
          <w:sz w:val="20"/>
          <w:szCs w:val="20"/>
          <w:lang w:val="es-VE"/>
        </w:rPr>
        <w:t>de los diecisiete</w:t>
      </w:r>
      <w:r w:rsidR="00F3122D">
        <w:rPr>
          <w:rFonts w:ascii="Cambria" w:hAnsi="Cambria"/>
          <w:color w:val="000000" w:themeColor="text1"/>
          <w:sz w:val="20"/>
          <w:szCs w:val="20"/>
          <w:lang w:val="es-VE"/>
        </w:rPr>
        <w:t xml:space="preserve"> </w:t>
      </w:r>
      <w:r w:rsidRPr="00910616">
        <w:rPr>
          <w:rFonts w:ascii="Cambria" w:hAnsi="Cambria"/>
          <w:color w:val="000000" w:themeColor="text1"/>
          <w:sz w:val="20"/>
          <w:szCs w:val="20"/>
          <w:lang w:val="es-VE"/>
        </w:rPr>
        <w:t>ministros</w:t>
      </w:r>
      <w:r w:rsidR="005D6BD7">
        <w:rPr>
          <w:rFonts w:ascii="Cambria" w:hAnsi="Cambria"/>
          <w:color w:val="000000" w:themeColor="text1"/>
          <w:sz w:val="20"/>
          <w:szCs w:val="20"/>
          <w:lang w:val="es-VE"/>
        </w:rPr>
        <w:t xml:space="preserve"> que adoptaron la decisión,</w:t>
      </w:r>
      <w:r w:rsidRPr="00910616">
        <w:rPr>
          <w:rFonts w:ascii="Cambria" w:hAnsi="Cambria"/>
          <w:color w:val="000000" w:themeColor="text1"/>
          <w:sz w:val="20"/>
          <w:szCs w:val="20"/>
          <w:lang w:val="es-VE"/>
        </w:rPr>
        <w:t xml:space="preserve"> emitieron votos disidentes de la decisión mencionada. En particular, tres Ministros indicaron que:</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si bien el trabajo contiene críticas a la labor del Poder Judicial, y en especial a la Excma. Corte Suprema de la época por su actuación en el período que se inició el 11 de septiembre de 1973, y que se han reiterado en el tiempo por distinguidas personalidades, como las que constituyeron las denominadas 'Comisión </w:t>
      </w:r>
      <w:proofErr w:type="spellStart"/>
      <w:r w:rsidRPr="00910616">
        <w:rPr>
          <w:rFonts w:ascii="Cambria" w:hAnsi="Cambria"/>
          <w:color w:val="000000" w:themeColor="text1"/>
          <w:sz w:val="20"/>
          <w:szCs w:val="20"/>
          <w:lang w:val="es-VE"/>
        </w:rPr>
        <w:t>Rettig</w:t>
      </w:r>
      <w:proofErr w:type="spellEnd"/>
      <w:r w:rsidRPr="00910616">
        <w:rPr>
          <w:rFonts w:ascii="Cambria" w:hAnsi="Cambria"/>
          <w:color w:val="000000" w:themeColor="text1"/>
          <w:sz w:val="20"/>
          <w:szCs w:val="20"/>
          <w:lang w:val="es-VE"/>
        </w:rPr>
        <w:t xml:space="preserve">', y últimamente, la 'Comisión </w:t>
      </w:r>
      <w:proofErr w:type="spellStart"/>
      <w:r w:rsidRPr="00910616">
        <w:rPr>
          <w:rFonts w:ascii="Cambria" w:hAnsi="Cambria"/>
          <w:color w:val="000000" w:themeColor="text1"/>
          <w:sz w:val="20"/>
          <w:szCs w:val="20"/>
          <w:lang w:val="es-VE"/>
        </w:rPr>
        <w:t>Valech</w:t>
      </w:r>
      <w:proofErr w:type="spellEnd"/>
      <w:r w:rsidRPr="00910616">
        <w:rPr>
          <w:rFonts w:ascii="Cambria" w:hAnsi="Cambria"/>
          <w:color w:val="000000" w:themeColor="text1"/>
          <w:sz w:val="20"/>
          <w:szCs w:val="20"/>
          <w:lang w:val="es-VE"/>
        </w:rPr>
        <w:t>', cuyas conclusiones este Tribunal rechazó por Acuerdo de 9 de Diciembre de 2004, no es menos cierto que por la naturaleza del estudio, la circunstancia de que su autor lo remitió a su superior jerárquico que no le dio publicidad alguna, y el respeto que debe otorgarse a un trabajo de corte académico hecho para lograr la aprobación en un curso que trataba las materias del estudio y que fue autorizado por su superior jerárquico, y la garantía de la libertad de opinión establecida en la Constitución Política de la República, debe llegarse a la convicción que, aunque no se concuerde con sus conclusiones, no corresponde aplicar sanción disciplinaria alguna al referido Magistrado por el trabajo realizado, pues de lo contrario se estarían sancionando las ideas</w:t>
      </w:r>
      <w:r w:rsidRPr="00910616">
        <w:rPr>
          <w:rFonts w:ascii="Cambria" w:hAnsi="Cambria"/>
          <w:color w:val="000000" w:themeColor="text1"/>
          <w:sz w:val="20"/>
          <w:szCs w:val="20"/>
          <w:vertAlign w:val="superscript"/>
          <w:lang w:val="es-VE"/>
        </w:rPr>
        <w:footnoteReference w:id="24"/>
      </w:r>
      <w:r w:rsidRPr="00910616">
        <w:rPr>
          <w:rFonts w:ascii="Cambria" w:hAnsi="Cambria"/>
          <w:color w:val="000000" w:themeColor="text1"/>
          <w:sz w:val="20"/>
          <w:szCs w:val="20"/>
          <w:lang w:val="es-VE"/>
        </w:rPr>
        <w:t>.</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Asimismo, otros tres ministros emitieron consideraciones similares, estimando que los hechos objeto del proceso no son constitutivos de faltas disciplinarias</w:t>
      </w:r>
      <w:r w:rsidRPr="00910616">
        <w:rPr>
          <w:rStyle w:val="FootnoteReference"/>
          <w:rFonts w:ascii="Cambria" w:hAnsi="Cambria"/>
          <w:color w:val="000000" w:themeColor="text1"/>
          <w:sz w:val="20"/>
          <w:szCs w:val="20"/>
          <w:lang w:val="es-VE"/>
        </w:rPr>
        <w:footnoteReference w:id="25"/>
      </w:r>
      <w:r w:rsidRPr="00910616">
        <w:rPr>
          <w:rFonts w:ascii="Cambria" w:hAnsi="Cambria"/>
          <w:color w:val="000000" w:themeColor="text1"/>
          <w:sz w:val="20"/>
          <w:szCs w:val="20"/>
          <w:lang w:val="es-VE"/>
        </w:rPr>
        <w:t>.</w:t>
      </w:r>
    </w:p>
    <w:p w:rsidR="0031421C" w:rsidRDefault="0031421C" w:rsidP="0031421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31421C" w:rsidRDefault="0031421C" w:rsidP="0031421C">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La Comisión recuerda que las medidas disciplinarias se re</w:t>
      </w:r>
      <w:r w:rsidR="00F33E78">
        <w:rPr>
          <w:rFonts w:ascii="Cambria" w:hAnsi="Cambria"/>
          <w:color w:val="000000" w:themeColor="text1"/>
          <w:sz w:val="20"/>
          <w:szCs w:val="20"/>
          <w:lang w:val="es-VE"/>
        </w:rPr>
        <w:t>gistran en la hoja de vida de</w:t>
      </w:r>
      <w:r w:rsidR="006F7E8E">
        <w:rPr>
          <w:rFonts w:ascii="Cambria" w:hAnsi="Cambria"/>
          <w:color w:val="000000" w:themeColor="text1"/>
          <w:sz w:val="20"/>
          <w:szCs w:val="20"/>
          <w:lang w:val="es-VE"/>
        </w:rPr>
        <w:t xml:space="preserve"> las personas sancionadas</w:t>
      </w:r>
      <w:r>
        <w:rPr>
          <w:rFonts w:ascii="Cambria" w:hAnsi="Cambria"/>
          <w:color w:val="000000" w:themeColor="text1"/>
          <w:sz w:val="20"/>
          <w:szCs w:val="20"/>
          <w:lang w:val="es-VE"/>
        </w:rPr>
        <w:t>, y como se indicó</w:t>
      </w:r>
      <w:r w:rsidR="00F33E78">
        <w:rPr>
          <w:rFonts w:ascii="Cambria" w:hAnsi="Cambria"/>
          <w:color w:val="000000" w:themeColor="text1"/>
          <w:sz w:val="20"/>
          <w:szCs w:val="20"/>
          <w:lang w:val="es-VE"/>
        </w:rPr>
        <w:t>,</w:t>
      </w:r>
      <w:r>
        <w:rPr>
          <w:rFonts w:ascii="Cambria" w:hAnsi="Cambria"/>
          <w:color w:val="000000" w:themeColor="text1"/>
          <w:sz w:val="20"/>
          <w:szCs w:val="20"/>
          <w:lang w:val="es-VE"/>
        </w:rPr>
        <w:t xml:space="preserve"> el Código Orgán</w:t>
      </w:r>
      <w:r w:rsidR="00F33E78">
        <w:rPr>
          <w:rFonts w:ascii="Cambria" w:hAnsi="Cambria"/>
          <w:color w:val="000000" w:themeColor="text1"/>
          <w:sz w:val="20"/>
          <w:szCs w:val="20"/>
          <w:lang w:val="es-VE"/>
        </w:rPr>
        <w:t>ico de Tribunales establece la presunción de mal comportamiento de un juez cuando se han dictado medidas disciplinarias en su contra más de tres veces en el periodo de tres años.</w:t>
      </w:r>
      <w:bookmarkStart w:id="19" w:name="_Toc505532528"/>
    </w:p>
    <w:p w:rsidR="004D2791" w:rsidRPr="00F33E78" w:rsidRDefault="004D2791" w:rsidP="004D2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910616" w:rsidRPr="00910616" w:rsidRDefault="00910616" w:rsidP="00910616">
      <w:pPr>
        <w:pStyle w:val="Heading2"/>
        <w:numPr>
          <w:ilvl w:val="0"/>
          <w:numId w:val="53"/>
        </w:numPr>
        <w:ind w:hanging="810"/>
        <w:rPr>
          <w:rFonts w:ascii="Cambria" w:hAnsi="Cambria"/>
          <w:i w:val="0"/>
          <w:sz w:val="20"/>
          <w:szCs w:val="20"/>
          <w:lang w:val="es-CO"/>
        </w:rPr>
      </w:pPr>
      <w:bookmarkStart w:id="20" w:name="_Toc505936563"/>
      <w:r w:rsidRPr="00910616">
        <w:rPr>
          <w:rFonts w:ascii="Cambria" w:hAnsi="Cambria"/>
          <w:i w:val="0"/>
          <w:sz w:val="20"/>
          <w:szCs w:val="20"/>
          <w:lang w:val="es-CO"/>
        </w:rPr>
        <w:t>Otros procesos disciplinarios</w:t>
      </w:r>
      <w:bookmarkEnd w:id="19"/>
      <w:bookmarkEnd w:id="20"/>
      <w:r w:rsidRPr="00910616">
        <w:rPr>
          <w:rFonts w:ascii="Cambria" w:hAnsi="Cambria"/>
          <w:i w:val="0"/>
          <w:sz w:val="20"/>
          <w:szCs w:val="20"/>
          <w:lang w:val="es-CO"/>
        </w:rPr>
        <w:t xml:space="preserve"> </w:t>
      </w:r>
    </w:p>
    <w:p w:rsidR="00910616" w:rsidRPr="00910616" w:rsidRDefault="00910616" w:rsidP="00910616">
      <w:pPr>
        <w:rPr>
          <w:rFonts w:ascii="Cambria" w:hAnsi="Cambria"/>
          <w:sz w:val="20"/>
          <w:szCs w:val="20"/>
          <w:lang w:val="es-CO"/>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 xml:space="preserve">La Comisión observa que con posterioridad al informe de admisibilidad, la presunta víctima hizo referencia a otros procesos disciplinarios  y supuestos actos de hostigamiento que fueron iniciados en su contra por supuestamente ejercer su libertad de expresión.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10616" w:rsidRPr="00404F80" w:rsidRDefault="00910616" w:rsidP="00404F80">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Refirió que en 2006 la Corte de Apelaciones de Santiago le abrió un proceso disciplinario porque en junio de dicho año</w:t>
      </w:r>
      <w:r w:rsidR="007778BE">
        <w:rPr>
          <w:rFonts w:ascii="Cambria" w:hAnsi="Cambria"/>
          <w:color w:val="000000" w:themeColor="text1"/>
          <w:sz w:val="20"/>
          <w:szCs w:val="20"/>
          <w:lang w:val="es-VE"/>
        </w:rPr>
        <w:t xml:space="preserve">, a raíz de una denuncia de una persona privada de libertad en el Centro de Detención Preventiva Santiago I, realizó una visita extraordinaria a dicha cárcel y emitió un informe que luego se filtró a la prensa, en el que indicó que más de 100 personas privadas de su libertad dormían a la intemperie durante la temporada de invierno. Indicó que el objeto del proceso disciplinario fue determinar si contaba con facultades para realizar dicha visita. </w:t>
      </w:r>
      <w:r w:rsidRPr="00404F80">
        <w:rPr>
          <w:rFonts w:ascii="Cambria" w:hAnsi="Cambria"/>
          <w:color w:val="000000" w:themeColor="text1"/>
          <w:sz w:val="20"/>
          <w:szCs w:val="20"/>
          <w:lang w:val="es-VE"/>
        </w:rPr>
        <w:t>Indicó que  tras un año y medio fue absuelto, pero el pleno de dicha Corte lo instó a “ser más respetuosa del gobierno y de la propia Corte de Santiago”</w:t>
      </w:r>
      <w:r w:rsidRPr="00910616">
        <w:rPr>
          <w:rFonts w:ascii="Cambria" w:hAnsi="Cambria"/>
          <w:color w:val="000000" w:themeColor="text1"/>
          <w:sz w:val="20"/>
          <w:szCs w:val="20"/>
          <w:vertAlign w:val="superscript"/>
          <w:lang w:val="es-VE"/>
        </w:rPr>
        <w:footnoteReference w:id="26"/>
      </w:r>
      <w:r w:rsidRPr="00404F80">
        <w:rPr>
          <w:rFonts w:ascii="Cambria" w:hAnsi="Cambria"/>
          <w:color w:val="000000" w:themeColor="text1"/>
          <w:sz w:val="20"/>
          <w:szCs w:val="20"/>
          <w:lang w:val="es-VE"/>
        </w:rPr>
        <w:t>.</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Indicó que en mayo de 2008 la Corte de Apelaciones le inició un nuevo proceso, a raíz de una queja presentada por el Ministerio del Interior, luego de que re</w:t>
      </w:r>
      <w:r w:rsidR="00D76858">
        <w:rPr>
          <w:rFonts w:ascii="Cambria" w:hAnsi="Cambria"/>
          <w:color w:val="000000" w:themeColor="text1"/>
          <w:sz w:val="20"/>
          <w:szCs w:val="20"/>
          <w:lang w:val="es-VE"/>
        </w:rPr>
        <w:t xml:space="preserve">chazó las </w:t>
      </w:r>
      <w:r w:rsidRPr="00910616">
        <w:rPr>
          <w:rFonts w:ascii="Cambria" w:hAnsi="Cambria"/>
          <w:color w:val="000000" w:themeColor="text1"/>
          <w:sz w:val="20"/>
          <w:szCs w:val="20"/>
          <w:lang w:val="es-VE"/>
        </w:rPr>
        <w:t>querellas iniciadas en contra de estudiantes por supuestos delitos de desórdenes públicos en el marco de protestas estudiantiles, con el objeto de determinar si “había abdicado en su calidad de juez, al haberse convertido en un defensor de los manifestantes”. El proceso fue archivado con posterioridad</w:t>
      </w:r>
      <w:r w:rsidRPr="00910616">
        <w:rPr>
          <w:rFonts w:ascii="Cambria" w:hAnsi="Cambria"/>
          <w:color w:val="000000" w:themeColor="text1"/>
          <w:sz w:val="20"/>
          <w:szCs w:val="20"/>
          <w:vertAlign w:val="superscript"/>
          <w:lang w:val="es-VE"/>
        </w:rPr>
        <w:footnoteReference w:id="27"/>
      </w:r>
      <w:r w:rsidRPr="00910616">
        <w:rPr>
          <w:rFonts w:ascii="Cambria" w:hAnsi="Cambria"/>
          <w:color w:val="000000" w:themeColor="text1"/>
          <w:sz w:val="20"/>
          <w:szCs w:val="20"/>
          <w:lang w:val="es-VE"/>
        </w:rPr>
        <w:t>.</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Expresó que en junio de 2008 el Ministerio de Justicia presentó una queja ante el superior jerárquico de la presunta víctima, la Magistrada Presi</w:t>
      </w:r>
      <w:r w:rsidR="00D76858">
        <w:rPr>
          <w:rFonts w:ascii="Cambria" w:hAnsi="Cambria"/>
          <w:color w:val="000000" w:themeColor="text1"/>
          <w:sz w:val="20"/>
          <w:szCs w:val="20"/>
          <w:lang w:val="es-VE"/>
        </w:rPr>
        <w:t xml:space="preserve">denta de la Corte De Santiago, </w:t>
      </w:r>
      <w:r w:rsidRPr="00910616">
        <w:rPr>
          <w:rFonts w:ascii="Cambria" w:hAnsi="Cambria"/>
          <w:color w:val="000000" w:themeColor="text1"/>
          <w:sz w:val="20"/>
          <w:szCs w:val="20"/>
          <w:lang w:val="es-VE"/>
        </w:rPr>
        <w:t>alegando que la presunta víctima intentó realizar una visita a la cárcel de Santiago con una cámara de video, a fin de grabar las entrevistas con las personas privadas de libertad que habían denunciado anteriormente la comisión de posibles prácticas de tortura en su interior. Refirió que fue “recriminada” por su actuación por su superior jerárquico</w:t>
      </w:r>
      <w:r w:rsidRPr="00910616">
        <w:rPr>
          <w:rFonts w:ascii="Cambria" w:hAnsi="Cambria"/>
          <w:color w:val="000000" w:themeColor="text1"/>
          <w:sz w:val="20"/>
          <w:szCs w:val="20"/>
          <w:vertAlign w:val="superscript"/>
          <w:lang w:val="es-VE"/>
        </w:rPr>
        <w:footnoteReference w:id="28"/>
      </w:r>
      <w:r w:rsidRPr="00910616">
        <w:rPr>
          <w:rFonts w:ascii="Cambria" w:hAnsi="Cambria"/>
          <w:color w:val="000000" w:themeColor="text1"/>
          <w:sz w:val="20"/>
          <w:szCs w:val="20"/>
          <w:lang w:val="es-VE"/>
        </w:rPr>
        <w:t xml:space="preserve">. </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Indicó que denunció a la Magistrada Presidenta dentro de su informe sobre su visita al Centro de Detención, por haberle recomendado una actuación determinada, y que esta con posterioridad fue designada como Ministra de la Corte Suprema, y desde su posición, la magistrada buscó obtener tres sanciones en contra de la presunta víctima con el objeto de expulsarlo del Poder Judicial, debido a que conforme al Código Orgánico, queda vacante el cargo de un juez en caso de tres sanciones en el transcurso de tres años.  Refirió que en virtud de ello, solicitó permiso sin goce de salario, y se estableció en México por tres años y nueve meses, de abril de 2009 a enero de 2012, reincorporándose al Poder Judicial chileno en febrero de 2012.</w:t>
      </w:r>
    </w:p>
    <w:p w:rsidR="00910616" w:rsidRPr="00910616" w:rsidRDefault="00910616" w:rsidP="00910616">
      <w:pPr>
        <w:pStyle w:val="ListParagraph"/>
        <w:rPr>
          <w:color w:val="000000" w:themeColor="text1"/>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0616">
        <w:rPr>
          <w:rFonts w:ascii="Cambria" w:hAnsi="Cambria"/>
          <w:color w:val="000000" w:themeColor="text1"/>
          <w:sz w:val="20"/>
          <w:szCs w:val="20"/>
          <w:lang w:val="es-VE"/>
        </w:rPr>
        <w:t>Finalmente consta que el 22 de agosto de 2013 la presunta víctima adoptó una resolución en relación con el derecho al voto de personas p</w:t>
      </w:r>
      <w:r w:rsidR="00194400">
        <w:rPr>
          <w:rFonts w:ascii="Cambria" w:hAnsi="Cambria"/>
          <w:color w:val="000000" w:themeColor="text1"/>
          <w:sz w:val="20"/>
          <w:szCs w:val="20"/>
          <w:lang w:val="es-VE"/>
        </w:rPr>
        <w:t xml:space="preserve">rivadas de libertad, en la que ordenó </w:t>
      </w:r>
      <w:r w:rsidRPr="00910616">
        <w:rPr>
          <w:rFonts w:ascii="Cambria" w:hAnsi="Cambria"/>
          <w:color w:val="000000" w:themeColor="text1"/>
          <w:sz w:val="20"/>
          <w:szCs w:val="20"/>
          <w:lang w:val="es-VE"/>
        </w:rPr>
        <w:t>al Servicio Electoral que “arbitre los medios necesarios para que las y los ciudadanos sujetos a prisión preventiva, no acusados de este Séptimo Juzgado de Garantías de Santiago, puedan ejercer plenamente sus derechos políticos garantizados por nuestro ordenamiento, especialmente el voto en las próximas elecciones presidenciales”</w:t>
      </w:r>
      <w:r w:rsidRPr="00910616">
        <w:rPr>
          <w:rFonts w:ascii="Cambria" w:hAnsi="Cambria"/>
          <w:color w:val="000000" w:themeColor="text1"/>
          <w:sz w:val="20"/>
          <w:szCs w:val="20"/>
          <w:vertAlign w:val="superscript"/>
          <w:lang w:val="es-VE"/>
        </w:rPr>
        <w:footnoteReference w:id="29"/>
      </w:r>
      <w:r w:rsidRPr="00910616">
        <w:rPr>
          <w:rFonts w:ascii="Cambria" w:hAnsi="Cambria"/>
          <w:color w:val="000000" w:themeColor="text1"/>
          <w:sz w:val="20"/>
          <w:szCs w:val="20"/>
          <w:lang w:val="es-VE"/>
        </w:rPr>
        <w:t xml:space="preserve">.  </w:t>
      </w:r>
    </w:p>
    <w:p w:rsidR="00910616" w:rsidRPr="00910616" w:rsidRDefault="00910616" w:rsidP="00910616">
      <w:pPr>
        <w:pStyle w:val="ListParagraph"/>
        <w:rPr>
          <w:color w:val="000000" w:themeColor="text1"/>
          <w:sz w:val="20"/>
          <w:szCs w:val="20"/>
          <w:lang w:val="es-VE"/>
        </w:rPr>
      </w:pPr>
    </w:p>
    <w:p w:rsidR="00FF39B6" w:rsidRDefault="00194400" w:rsidP="00FF39B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Con posterioridad</w:t>
      </w:r>
      <w:r w:rsidR="00404F80">
        <w:rPr>
          <w:rFonts w:ascii="Cambria" w:hAnsi="Cambria"/>
          <w:color w:val="000000" w:themeColor="text1"/>
          <w:sz w:val="20"/>
          <w:szCs w:val="20"/>
          <w:lang w:val="es-VE"/>
        </w:rPr>
        <w:t xml:space="preserve">, </w:t>
      </w:r>
      <w:r w:rsidR="00910616" w:rsidRPr="00910616">
        <w:rPr>
          <w:rFonts w:ascii="Cambria" w:hAnsi="Cambria"/>
          <w:color w:val="000000" w:themeColor="text1"/>
          <w:sz w:val="20"/>
          <w:szCs w:val="20"/>
          <w:lang w:val="es-VE"/>
        </w:rPr>
        <w:t>el Consejo de Defensa</w:t>
      </w:r>
      <w:r w:rsidR="00412053">
        <w:rPr>
          <w:rFonts w:ascii="Cambria" w:hAnsi="Cambria"/>
          <w:color w:val="000000" w:themeColor="text1"/>
          <w:sz w:val="20"/>
          <w:szCs w:val="20"/>
          <w:lang w:val="es-VE"/>
        </w:rPr>
        <w:t xml:space="preserve"> del Estado</w:t>
      </w:r>
      <w:r w:rsidR="00910616" w:rsidRPr="00910616">
        <w:rPr>
          <w:rFonts w:ascii="Cambria" w:hAnsi="Cambria"/>
          <w:color w:val="000000" w:themeColor="text1"/>
          <w:sz w:val="20"/>
          <w:szCs w:val="20"/>
          <w:lang w:val="es-VE"/>
        </w:rPr>
        <w:t xml:space="preserve"> solicitó a la Suprema Corte la adopción de</w:t>
      </w:r>
      <w:r w:rsidR="00412053">
        <w:rPr>
          <w:rFonts w:ascii="Cambria" w:hAnsi="Cambria"/>
          <w:color w:val="000000" w:themeColor="text1"/>
          <w:sz w:val="20"/>
          <w:szCs w:val="20"/>
          <w:lang w:val="es-VE"/>
        </w:rPr>
        <w:t xml:space="preserve"> las medidas necesarias para dejar sin efecto las órdenes emitidas por la presunta víctima por estimar que carece de competencia para ellas. </w:t>
      </w:r>
    </w:p>
    <w:p w:rsidR="00FF39B6" w:rsidRPr="00FF39B6" w:rsidRDefault="00FF39B6" w:rsidP="00FF39B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FF39B6" w:rsidRDefault="00910616" w:rsidP="00D76858">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D76858">
        <w:rPr>
          <w:rFonts w:ascii="Cambria" w:hAnsi="Cambria"/>
          <w:color w:val="000000" w:themeColor="text1"/>
          <w:sz w:val="20"/>
          <w:szCs w:val="20"/>
          <w:lang w:val="es-VE"/>
        </w:rPr>
        <w:t>La decisión</w:t>
      </w:r>
      <w:r w:rsidR="00D76858">
        <w:rPr>
          <w:rFonts w:ascii="Cambria" w:hAnsi="Cambria"/>
          <w:color w:val="000000" w:themeColor="text1"/>
          <w:sz w:val="20"/>
          <w:szCs w:val="20"/>
          <w:lang w:val="es-VE"/>
        </w:rPr>
        <w:t xml:space="preserve"> de la presunta víctima</w:t>
      </w:r>
      <w:r w:rsidRPr="00D76858">
        <w:rPr>
          <w:rFonts w:ascii="Cambria" w:hAnsi="Cambria"/>
          <w:color w:val="000000" w:themeColor="text1"/>
          <w:sz w:val="20"/>
          <w:szCs w:val="20"/>
          <w:lang w:val="es-VE"/>
        </w:rPr>
        <w:t xml:space="preserve"> fue dejada sin efecto por la Corte de Apelaciones de Santiago el 7 de octubre de 2013 al estimarse que lo decidido por la presunta víctima ““se encuentra fuera del ámbito de su competencia, careciendo de facultades legales para ello”</w:t>
      </w:r>
      <w:r w:rsidRPr="00910616">
        <w:rPr>
          <w:rFonts w:ascii="Cambria" w:hAnsi="Cambria"/>
          <w:color w:val="000000" w:themeColor="text1"/>
          <w:sz w:val="20"/>
          <w:szCs w:val="20"/>
          <w:vertAlign w:val="superscript"/>
          <w:lang w:val="es-VE"/>
        </w:rPr>
        <w:footnoteReference w:id="30"/>
      </w:r>
      <w:r w:rsidRPr="00D76858">
        <w:rPr>
          <w:rFonts w:ascii="Cambria" w:hAnsi="Cambria"/>
          <w:color w:val="000000" w:themeColor="text1"/>
          <w:sz w:val="20"/>
          <w:szCs w:val="20"/>
          <w:lang w:val="es-VE"/>
        </w:rPr>
        <w:t>.</w:t>
      </w:r>
      <w:r w:rsidR="00F51021" w:rsidRPr="00D76858">
        <w:rPr>
          <w:rFonts w:ascii="Cambria" w:hAnsi="Cambria"/>
          <w:color w:val="000000" w:themeColor="text1"/>
          <w:sz w:val="20"/>
          <w:szCs w:val="20"/>
          <w:lang w:val="es-VE"/>
        </w:rPr>
        <w:t xml:space="preserve"> </w:t>
      </w:r>
      <w:r w:rsidR="00E34EEA">
        <w:rPr>
          <w:rFonts w:ascii="Cambria" w:hAnsi="Cambria"/>
          <w:color w:val="000000" w:themeColor="text1"/>
          <w:sz w:val="20"/>
          <w:szCs w:val="20"/>
          <w:lang w:val="es-VE"/>
        </w:rPr>
        <w:t xml:space="preserve"> </w:t>
      </w:r>
    </w:p>
    <w:p w:rsidR="00FF39B6" w:rsidRDefault="00FF39B6" w:rsidP="00FF39B6">
      <w:pPr>
        <w:pStyle w:val="ListParagraph"/>
        <w:rPr>
          <w:color w:val="000000" w:themeColor="text1"/>
          <w:sz w:val="20"/>
          <w:szCs w:val="20"/>
          <w:lang w:val="es-VE"/>
        </w:rPr>
      </w:pPr>
    </w:p>
    <w:p w:rsidR="00910616" w:rsidRPr="00910616" w:rsidRDefault="00910616" w:rsidP="00FF39B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8496B0" w:themeColor="text2" w:themeTint="99"/>
          <w:sz w:val="20"/>
          <w:szCs w:val="20"/>
          <w:lang w:val="es-VE"/>
        </w:rPr>
      </w:pPr>
    </w:p>
    <w:p w:rsidR="00121C28" w:rsidRPr="00121C28" w:rsidRDefault="00910616" w:rsidP="00121C28">
      <w:pPr>
        <w:pStyle w:val="Heading1"/>
        <w:keepLines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1440" w:hanging="810"/>
        <w:rPr>
          <w:rFonts w:ascii="Cambria" w:hAnsi="Cambria"/>
          <w:color w:val="auto"/>
          <w:sz w:val="20"/>
          <w:szCs w:val="20"/>
          <w:lang w:val="es-VE"/>
        </w:rPr>
      </w:pPr>
      <w:bookmarkStart w:id="21" w:name="_Toc477355360"/>
      <w:bookmarkStart w:id="22" w:name="_Toc480897202"/>
      <w:bookmarkStart w:id="23" w:name="_Toc484439858"/>
      <w:bookmarkStart w:id="24" w:name="_Toc505532529"/>
      <w:bookmarkStart w:id="25" w:name="_Toc505936564"/>
      <w:r w:rsidRPr="00910616">
        <w:rPr>
          <w:rFonts w:ascii="Cambria" w:hAnsi="Cambria"/>
          <w:color w:val="auto"/>
          <w:sz w:val="20"/>
          <w:szCs w:val="20"/>
          <w:lang w:val="es-CO"/>
        </w:rPr>
        <w:t>ANALISIS</w:t>
      </w:r>
      <w:r w:rsidRPr="00910616">
        <w:rPr>
          <w:rFonts w:ascii="Cambria" w:hAnsi="Cambria"/>
          <w:color w:val="auto"/>
          <w:sz w:val="20"/>
          <w:szCs w:val="20"/>
          <w:lang w:val="es-VE"/>
        </w:rPr>
        <w:t xml:space="preserve"> DE DERECHO</w:t>
      </w:r>
      <w:bookmarkEnd w:id="21"/>
      <w:bookmarkEnd w:id="22"/>
      <w:bookmarkEnd w:id="23"/>
      <w:bookmarkEnd w:id="24"/>
      <w:bookmarkEnd w:id="25"/>
    </w:p>
    <w:p w:rsidR="00910616" w:rsidRPr="00910616" w:rsidRDefault="00910616" w:rsidP="00910616">
      <w:pPr>
        <w:pStyle w:val="Heading2"/>
        <w:numPr>
          <w:ilvl w:val="0"/>
          <w:numId w:val="54"/>
        </w:numPr>
        <w:ind w:firstLine="0"/>
        <w:rPr>
          <w:rFonts w:ascii="Cambria" w:hAnsi="Cambria"/>
          <w:i w:val="0"/>
          <w:sz w:val="20"/>
          <w:szCs w:val="20"/>
          <w:lang w:val="es-ES"/>
        </w:rPr>
      </w:pPr>
      <w:bookmarkStart w:id="26" w:name="_Toc505532530"/>
      <w:bookmarkStart w:id="27" w:name="_Toc505936565"/>
      <w:bookmarkStart w:id="28" w:name="_Toc484439859"/>
      <w:r w:rsidRPr="00910616">
        <w:rPr>
          <w:rFonts w:ascii="Cambria" w:hAnsi="Cambria"/>
          <w:i w:val="0"/>
          <w:sz w:val="20"/>
          <w:szCs w:val="20"/>
          <w:lang w:val="es-ES"/>
        </w:rPr>
        <w:t>Cuestión previa</w:t>
      </w:r>
      <w:bookmarkEnd w:id="26"/>
      <w:bookmarkEnd w:id="27"/>
    </w:p>
    <w:p w:rsidR="00524F15" w:rsidRDefault="00524F15" w:rsidP="00910616">
      <w:pPr>
        <w:rPr>
          <w:rFonts w:ascii="Cambria" w:hAnsi="Cambria"/>
          <w:sz w:val="20"/>
          <w:szCs w:val="20"/>
          <w:lang w:val="es-ES"/>
        </w:rPr>
      </w:pPr>
    </w:p>
    <w:p w:rsidR="00524F15" w:rsidRPr="00524F15" w:rsidRDefault="00524F15"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lang w:val="es-ES"/>
        </w:rPr>
      </w:pPr>
      <w:r w:rsidRPr="00E5639F">
        <w:rPr>
          <w:rFonts w:ascii="Cambria" w:hAnsi="Cambria"/>
          <w:sz w:val="20"/>
          <w:szCs w:val="20"/>
          <w:lang w:val="es-CO"/>
        </w:rPr>
        <w:t xml:space="preserve">La Comisión hace notar que en la petición inicial la presunta víctima únicamente hizo referencia a la sanción disciplinaria que le fue impuesta como consecuencia del trabajo académico que remitió a la Corte Suprema tras finalizar el Diplomado en Derechos Humanos y Procesos de Democratización de la Universidad de Chile. Por dichos hechos, el 21 de julio de 2014, la CIDH declaró admisible la petición, a efecto del examen sobre la presunta violación </w:t>
      </w:r>
      <w:r w:rsidRPr="00E5639F">
        <w:rPr>
          <w:rFonts w:ascii="Cambria" w:hAnsi="Cambria"/>
          <w:sz w:val="20"/>
          <w:szCs w:val="20"/>
          <w:lang w:val="es-ES_tradnl"/>
        </w:rPr>
        <w:t xml:space="preserve">de los derechos de Daniel Urrutia consagrados en los artículos 8, 9, 13 y 25, en concordancia con los artículos 1.1 y 2 de dicho tratado. </w:t>
      </w:r>
      <w:r>
        <w:rPr>
          <w:rFonts w:ascii="Cambria" w:hAnsi="Cambria"/>
          <w:sz w:val="20"/>
          <w:szCs w:val="20"/>
          <w:lang w:val="es-ES_tradnl"/>
        </w:rPr>
        <w:t xml:space="preserve"> Con posterioridad a la aprobación del informe de admisibilidad, la presunta víctima hizo referencia a otros procesos disciplinarios que le fueron iniciados en el marco de su labor judicial. Tomando en cuenta que los mismos no fueron admitidos en el informe de admisibilidad, </w:t>
      </w:r>
      <w:r w:rsidR="00F06655">
        <w:rPr>
          <w:rFonts w:ascii="Cambria" w:hAnsi="Cambria"/>
          <w:sz w:val="20"/>
          <w:szCs w:val="20"/>
          <w:lang w:val="es-ES_tradnl"/>
        </w:rPr>
        <w:t xml:space="preserve">no guardan suficiente relación de conexidad con los hechos declarados admisibles, </w:t>
      </w:r>
      <w:r>
        <w:rPr>
          <w:rFonts w:ascii="Cambria" w:hAnsi="Cambria"/>
          <w:sz w:val="20"/>
          <w:szCs w:val="20"/>
          <w:lang w:val="es-ES_tradnl"/>
        </w:rPr>
        <w:t>y que la CIDH no cuenta con información probatoria suficiente sobre los mismos, en la presente sección la Comisión se referirá únicamente a los hechos contenidos en la petición inicial y que fueron admitidos por esta Comisión en su informe de 21 de julio de 2014.</w:t>
      </w:r>
    </w:p>
    <w:p w:rsidR="00524F15" w:rsidRDefault="00524F15" w:rsidP="00991836">
      <w:pPr>
        <w:pStyle w:val="Heading2"/>
        <w:numPr>
          <w:ilvl w:val="0"/>
          <w:numId w:val="54"/>
        </w:numPr>
        <w:ind w:firstLine="0"/>
        <w:rPr>
          <w:rFonts w:ascii="Cambria" w:hAnsi="Cambria"/>
          <w:i w:val="0"/>
          <w:sz w:val="20"/>
          <w:szCs w:val="20"/>
          <w:lang w:val="es-ES"/>
        </w:rPr>
      </w:pPr>
      <w:bookmarkStart w:id="29" w:name="_Toc505936566"/>
      <w:r>
        <w:rPr>
          <w:rFonts w:ascii="Cambria" w:hAnsi="Cambria"/>
          <w:i w:val="0"/>
          <w:sz w:val="20"/>
          <w:szCs w:val="20"/>
          <w:lang w:val="es-ES"/>
        </w:rPr>
        <w:t>Derechos a las garantías judiciales, principio de legalidad y protección judicial (Artículos 8, 9 y 25 de la Convención Americana)</w:t>
      </w:r>
      <w:bookmarkEnd w:id="29"/>
    </w:p>
    <w:p w:rsidR="00910616" w:rsidRPr="00C26D5E" w:rsidRDefault="006F7E8E" w:rsidP="00524F15">
      <w:pPr>
        <w:pStyle w:val="Heading3"/>
        <w:numPr>
          <w:ilvl w:val="0"/>
          <w:numId w:val="62"/>
        </w:numPr>
        <w:ind w:left="1440" w:hanging="810"/>
        <w:rPr>
          <w:rFonts w:ascii="Cambria" w:hAnsi="Cambria"/>
          <w:i/>
          <w:sz w:val="20"/>
          <w:szCs w:val="20"/>
          <w:lang w:val="es-ES"/>
        </w:rPr>
      </w:pPr>
      <w:bookmarkStart w:id="30" w:name="_Toc505936567"/>
      <w:r>
        <w:rPr>
          <w:rFonts w:ascii="Cambria" w:hAnsi="Cambria"/>
          <w:sz w:val="20"/>
          <w:szCs w:val="20"/>
          <w:lang w:val="es-ES"/>
        </w:rPr>
        <w:t>Consideraciones g</w:t>
      </w:r>
      <w:r w:rsidR="0058691F">
        <w:rPr>
          <w:rFonts w:ascii="Cambria" w:hAnsi="Cambria"/>
          <w:sz w:val="20"/>
          <w:szCs w:val="20"/>
          <w:lang w:val="es-ES"/>
        </w:rPr>
        <w:t>enerales sobre las garantías aplicables</w:t>
      </w:r>
      <w:bookmarkEnd w:id="30"/>
      <w:r w:rsidR="0058691F">
        <w:rPr>
          <w:rFonts w:ascii="Cambria" w:hAnsi="Cambria"/>
          <w:sz w:val="20"/>
          <w:szCs w:val="20"/>
          <w:lang w:val="es-ES"/>
        </w:rPr>
        <w:t xml:space="preserve"> </w:t>
      </w:r>
    </w:p>
    <w:p w:rsidR="00910616" w:rsidRPr="00524F15" w:rsidRDefault="00910616" w:rsidP="00910616">
      <w:pPr>
        <w:rPr>
          <w:rFonts w:ascii="Cambria" w:hAnsi="Cambria"/>
          <w:sz w:val="20"/>
          <w:szCs w:val="20"/>
          <w:lang w:val="es-ES"/>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eastAsia="es-ES"/>
        </w:rPr>
      </w:pPr>
      <w:r w:rsidRPr="00910616">
        <w:rPr>
          <w:rFonts w:ascii="Cambria" w:hAnsi="Cambria"/>
          <w:sz w:val="20"/>
          <w:szCs w:val="20"/>
          <w:lang w:val="es-CO"/>
        </w:rPr>
        <w:t>La Comisión recuerda que ambos órganos del sistema interamericano han indicado que las garantías establecidas en el artículo 8 de la Convención Americana,  no se limitan a procesos penales</w:t>
      </w:r>
      <w:r w:rsidRPr="00910616">
        <w:rPr>
          <w:rFonts w:ascii="Cambria" w:hAnsi="Cambria"/>
          <w:sz w:val="20"/>
          <w:szCs w:val="20"/>
          <w:lang w:val="es-ES" w:eastAsia="es-ES"/>
        </w:rPr>
        <w:t>, sino que aplican a procesos de otra naturaleza</w:t>
      </w:r>
      <w:r w:rsidRPr="00910616">
        <w:rPr>
          <w:rFonts w:ascii="Cambria" w:hAnsi="Cambria"/>
          <w:sz w:val="20"/>
          <w:szCs w:val="20"/>
          <w:vertAlign w:val="superscript"/>
          <w:lang w:eastAsia="es-ES"/>
        </w:rPr>
        <w:footnoteReference w:id="31"/>
      </w:r>
      <w:r w:rsidRPr="00910616">
        <w:rPr>
          <w:rFonts w:ascii="Cambria" w:hAnsi="Cambria"/>
          <w:sz w:val="20"/>
          <w:szCs w:val="20"/>
          <w:lang w:val="es-ES" w:eastAsia="es-ES"/>
        </w:rPr>
        <w:t xml:space="preserve">. Específicamente, cuando se trata de procesos sancionatorios, ambos órganos han indicado que aplican, análogamente, </w:t>
      </w:r>
      <w:r w:rsidR="00533385">
        <w:rPr>
          <w:rFonts w:ascii="Cambria" w:hAnsi="Cambria"/>
          <w:sz w:val="20"/>
          <w:szCs w:val="20"/>
          <w:lang w:val="es-ES" w:eastAsia="es-ES"/>
        </w:rPr>
        <w:t>las garantías establecidas en los artículos 8.1 y</w:t>
      </w:r>
      <w:r w:rsidRPr="00910616">
        <w:rPr>
          <w:rFonts w:ascii="Cambria" w:hAnsi="Cambria"/>
          <w:sz w:val="20"/>
          <w:szCs w:val="20"/>
          <w:lang w:val="es-ES" w:eastAsia="es-ES"/>
        </w:rPr>
        <w:t xml:space="preserve"> 8.2 de la Convención Americana</w:t>
      </w:r>
      <w:r w:rsidRPr="00910616">
        <w:rPr>
          <w:rFonts w:ascii="Cambria" w:hAnsi="Cambria"/>
          <w:sz w:val="20"/>
          <w:szCs w:val="20"/>
          <w:vertAlign w:val="superscript"/>
          <w:lang w:eastAsia="es-ES"/>
        </w:rPr>
        <w:footnoteReference w:id="32"/>
      </w:r>
      <w:r w:rsidR="00D97DF9">
        <w:rPr>
          <w:rFonts w:ascii="Cambria" w:hAnsi="Cambria"/>
          <w:sz w:val="20"/>
          <w:szCs w:val="20"/>
          <w:lang w:val="es-ES" w:eastAsia="es-ES"/>
        </w:rPr>
        <w:t xml:space="preserve">. </w:t>
      </w:r>
      <w:r w:rsidRPr="00910616">
        <w:rPr>
          <w:rFonts w:ascii="Cambria" w:hAnsi="Cambria"/>
          <w:sz w:val="20"/>
          <w:szCs w:val="20"/>
          <w:lang w:val="es-ES" w:eastAsia="es-ES"/>
        </w:rPr>
        <w:t xml:space="preserve">Tomando en cuenta que en el presente caso se impuso una sanción disciplinaria contra la presunta víctima como Juez del Juzgado de Garantía de Coquimbo,  resultan aplicables las garantías del debido proceso establecidas en el artículo 8.2 de la Convención.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 w:eastAsia="es-ES"/>
        </w:rPr>
      </w:pPr>
    </w:p>
    <w:p w:rsidR="00910616" w:rsidRPr="004D2791"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eastAsia="es-ES"/>
        </w:rPr>
      </w:pPr>
      <w:r w:rsidRPr="00910616">
        <w:rPr>
          <w:rFonts w:ascii="Cambria" w:hAnsi="Cambria"/>
          <w:sz w:val="20"/>
          <w:szCs w:val="20"/>
          <w:lang w:val="es-ES" w:eastAsia="es-ES"/>
        </w:rPr>
        <w:t xml:space="preserve">Por otra parte la CIDH destaca que los procesos disciplinarios en contra de operadores de justicia deben ejercerse de manera compatible con el principio de independencia judicial. </w:t>
      </w:r>
      <w:r w:rsidRPr="00910616">
        <w:rPr>
          <w:rFonts w:ascii="Cambria" w:hAnsi="Cambria"/>
          <w:sz w:val="20"/>
          <w:szCs w:val="20"/>
          <w:lang w:val="es-CO"/>
        </w:rPr>
        <w:t>Los órganos del sistema interamericano han interpretado el principio de independencia judicial en el sentido de incorporar las siguientes garantías: adecuado proceso de nombramiento, inamovilidad en el cargo y garantía contra presiones externas</w:t>
      </w:r>
      <w:r w:rsidRPr="00910616">
        <w:rPr>
          <w:rStyle w:val="FootnoteReference"/>
          <w:rFonts w:ascii="Cambria" w:hAnsi="Cambria"/>
          <w:sz w:val="20"/>
          <w:szCs w:val="20"/>
          <w:lang w:val="es-CO"/>
        </w:rPr>
        <w:footnoteReference w:id="33"/>
      </w:r>
      <w:r w:rsidRPr="00910616">
        <w:rPr>
          <w:rFonts w:ascii="Cambria" w:hAnsi="Cambria"/>
          <w:sz w:val="20"/>
          <w:szCs w:val="20"/>
          <w:lang w:val="es-CO"/>
        </w:rPr>
        <w:t xml:space="preserve">. </w:t>
      </w:r>
      <w:bookmarkStart w:id="31" w:name="_Toc497387320"/>
      <w:bookmarkStart w:id="32" w:name="_Toc497387323"/>
      <w:bookmarkEnd w:id="28"/>
    </w:p>
    <w:p w:rsidR="004D2791" w:rsidRDefault="004D2791" w:rsidP="004D2791">
      <w:pPr>
        <w:pStyle w:val="ListParagraph"/>
        <w:rPr>
          <w:sz w:val="20"/>
          <w:szCs w:val="20"/>
          <w:lang w:val="es-ES"/>
        </w:rPr>
      </w:pPr>
    </w:p>
    <w:p w:rsidR="004D2791" w:rsidRPr="00910616" w:rsidRDefault="004D2791" w:rsidP="004D2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eastAsia="es-ES"/>
        </w:rPr>
      </w:pPr>
    </w:p>
    <w:p w:rsidR="00910616" w:rsidRPr="00910616" w:rsidRDefault="00910616" w:rsidP="00524F15">
      <w:pPr>
        <w:pStyle w:val="Heading3"/>
        <w:numPr>
          <w:ilvl w:val="0"/>
          <w:numId w:val="62"/>
        </w:numPr>
        <w:ind w:left="1440" w:hanging="810"/>
        <w:rPr>
          <w:rFonts w:ascii="Cambria" w:hAnsi="Cambria"/>
          <w:i/>
          <w:sz w:val="20"/>
          <w:szCs w:val="20"/>
          <w:lang w:val="es-ES"/>
        </w:rPr>
      </w:pPr>
      <w:bookmarkStart w:id="33" w:name="_Toc505532532"/>
      <w:bookmarkStart w:id="34" w:name="_Toc505936568"/>
      <w:r w:rsidRPr="00910616">
        <w:rPr>
          <w:rFonts w:ascii="Cambria" w:hAnsi="Cambria"/>
          <w:sz w:val="20"/>
          <w:szCs w:val="20"/>
          <w:lang w:val="es-ES"/>
        </w:rPr>
        <w:t>Derecho a conocer previa y detalladamente la acusación formulada y de tener el tiempo y los medios adecuados para la defensa</w:t>
      </w:r>
      <w:r w:rsidRPr="00910616">
        <w:rPr>
          <w:rStyle w:val="FootnoteReference"/>
          <w:rFonts w:ascii="Cambria" w:hAnsi="Cambria"/>
          <w:sz w:val="20"/>
          <w:szCs w:val="20"/>
          <w:lang w:val="es-ES"/>
        </w:rPr>
        <w:footnoteReference w:id="34"/>
      </w:r>
      <w:bookmarkEnd w:id="33"/>
      <w:bookmarkEnd w:id="34"/>
    </w:p>
    <w:p w:rsidR="00910616" w:rsidRPr="00910616" w:rsidRDefault="00910616" w:rsidP="00910616">
      <w:pPr>
        <w:rPr>
          <w:rFonts w:ascii="Cambria" w:hAnsi="Cambria"/>
          <w:sz w:val="20"/>
          <w:szCs w:val="20"/>
          <w:lang w:val="es-ES"/>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910616">
        <w:rPr>
          <w:rFonts w:ascii="Cambria" w:hAnsi="Cambria"/>
          <w:sz w:val="20"/>
          <w:szCs w:val="20"/>
          <w:lang w:val="es-VE"/>
        </w:rPr>
        <w:t>L</w:t>
      </w:r>
      <w:r w:rsidRPr="00910616" w:rsidDel="00044636">
        <w:rPr>
          <w:rFonts w:ascii="Cambria" w:hAnsi="Cambria"/>
          <w:sz w:val="20"/>
          <w:szCs w:val="20"/>
          <w:lang w:val="es-VE"/>
        </w:rPr>
        <w:t xml:space="preserve">a </w:t>
      </w:r>
      <w:r w:rsidRPr="00910616" w:rsidDel="00044636">
        <w:rPr>
          <w:rFonts w:ascii="Cambria" w:hAnsi="Cambria"/>
          <w:sz w:val="20"/>
          <w:szCs w:val="20"/>
          <w:lang w:val="es-ES"/>
        </w:rPr>
        <w:t>Comisión</w:t>
      </w:r>
      <w:r w:rsidRPr="00910616" w:rsidDel="00044636">
        <w:rPr>
          <w:rFonts w:ascii="Cambria" w:hAnsi="Cambria"/>
          <w:sz w:val="20"/>
          <w:szCs w:val="20"/>
          <w:lang w:val="es-VE"/>
        </w:rPr>
        <w:t xml:space="preserve"> recuerda que</w:t>
      </w:r>
      <w:r w:rsidRPr="00910616">
        <w:rPr>
          <w:rFonts w:ascii="Cambria" w:hAnsi="Cambria"/>
          <w:sz w:val="20"/>
          <w:szCs w:val="20"/>
          <w:lang w:val="es-VE"/>
        </w:rPr>
        <w:t xml:space="preserve"> el derecho a la defensa </w:t>
      </w:r>
      <w:r w:rsidRPr="00910616" w:rsidDel="00044636">
        <w:rPr>
          <w:rFonts w:ascii="Cambria" w:hAnsi="Cambria"/>
          <w:sz w:val="20"/>
          <w:szCs w:val="20"/>
          <w:lang w:val="es-VE"/>
        </w:rPr>
        <w:t xml:space="preserve">implica que </w:t>
      </w:r>
      <w:r w:rsidRPr="00910616">
        <w:rPr>
          <w:rFonts w:ascii="Cambria" w:hAnsi="Cambria"/>
          <w:sz w:val="20"/>
          <w:szCs w:val="20"/>
          <w:lang w:val="es-ES"/>
        </w:rPr>
        <w:t xml:space="preserve">la persona sometida a un proceso, incluyendo uno de carácter administrativo, pueda defender sus intereses o derechos en forma efectiva y en “condiciones de igualdad procesal (…) </w:t>
      </w:r>
      <w:r w:rsidRPr="00910616">
        <w:rPr>
          <w:rFonts w:ascii="Cambria" w:hAnsi="Cambria"/>
          <w:sz w:val="20"/>
          <w:szCs w:val="20"/>
          <w:lang w:val="es-ES_tradnl"/>
        </w:rPr>
        <w:t>siendo plenamente informado de las acusaciones que se formulan en su contra</w:t>
      </w:r>
      <w:r w:rsidRPr="00910616">
        <w:rPr>
          <w:rStyle w:val="FootnoteReference"/>
          <w:rFonts w:ascii="Cambria" w:hAnsi="Cambria"/>
          <w:sz w:val="20"/>
          <w:szCs w:val="20"/>
        </w:rPr>
        <w:footnoteReference w:id="35"/>
      </w:r>
      <w:r w:rsidRPr="00910616">
        <w:rPr>
          <w:rFonts w:ascii="Cambria" w:hAnsi="Cambria"/>
          <w:sz w:val="20"/>
          <w:szCs w:val="20"/>
          <w:lang w:val="es-ES_tradnl"/>
        </w:rPr>
        <w:t xml:space="preserve">”. </w:t>
      </w:r>
      <w:r w:rsidRPr="00910616">
        <w:rPr>
          <w:rFonts w:ascii="Cambria" w:hAnsi="Cambria"/>
          <w:sz w:val="20"/>
          <w:szCs w:val="20"/>
          <w:lang w:val="es-ES" w:eastAsia="es-ES"/>
        </w:rPr>
        <w:t>Específicamente</w:t>
      </w:r>
      <w:r w:rsidRPr="00910616">
        <w:rPr>
          <w:rFonts w:ascii="Cambria" w:hAnsi="Cambria"/>
          <w:sz w:val="20"/>
          <w:szCs w:val="20"/>
          <w:lang w:val="es-CL"/>
        </w:rPr>
        <w:t xml:space="preserve"> respecto de los procedimientos disciplinarios de las y los jueces, la Corte Interamericana, siguiendo lo establecido en los Principios Básicos, ha señalado que la autoridad a cargo del proceso disciplinario debe conducirse conforme el procedimiento establecido para el efecto y permitir el ejercicio del derecho de defensa</w:t>
      </w:r>
      <w:r w:rsidRPr="00910616">
        <w:rPr>
          <w:rStyle w:val="FootnoteReference"/>
          <w:rFonts w:ascii="Cambria" w:hAnsi="Cambria"/>
          <w:sz w:val="20"/>
          <w:szCs w:val="20"/>
          <w:lang w:val="es-CL"/>
        </w:rPr>
        <w:footnoteReference w:id="36"/>
      </w:r>
      <w:r w:rsidRPr="00910616">
        <w:rPr>
          <w:rFonts w:ascii="Cambria" w:hAnsi="Cambria"/>
          <w:sz w:val="20"/>
          <w:szCs w:val="20"/>
          <w:lang w:val="es-CL"/>
        </w:rPr>
        <w:t>.</w:t>
      </w:r>
      <w:r w:rsidRPr="00910616">
        <w:rPr>
          <w:rFonts w:ascii="Cambria" w:hAnsi="Cambria"/>
          <w:sz w:val="20"/>
          <w:szCs w:val="20"/>
          <w:lang w:val="es-ES"/>
        </w:rPr>
        <w:t xml:space="preserve"> La Corte </w:t>
      </w:r>
      <w:r w:rsidRPr="00910616">
        <w:rPr>
          <w:rFonts w:ascii="Cambria" w:hAnsi="Cambria"/>
          <w:sz w:val="20"/>
          <w:szCs w:val="20"/>
          <w:lang w:val="es-VE"/>
        </w:rPr>
        <w:t xml:space="preserve">ha señalado que el derecho a la defensa debe necesariamente poder ejercerse desde que se señala a una persona como posible autor o partícipe de un hecho punible y sólo culmina cuando </w:t>
      </w:r>
      <w:r w:rsidRPr="00910616">
        <w:rPr>
          <w:rFonts w:ascii="Cambria" w:hAnsi="Cambria"/>
          <w:sz w:val="20"/>
          <w:szCs w:val="20"/>
          <w:lang w:val="es-ES"/>
        </w:rPr>
        <w:t>finaliza</w:t>
      </w:r>
      <w:r w:rsidRPr="00910616">
        <w:rPr>
          <w:rFonts w:ascii="Cambria" w:hAnsi="Cambria"/>
          <w:sz w:val="20"/>
          <w:szCs w:val="20"/>
          <w:lang w:val="es-VE"/>
        </w:rPr>
        <w:t xml:space="preserve"> el proceso</w:t>
      </w:r>
      <w:bookmarkStart w:id="35" w:name="_Ref247953326"/>
      <w:r w:rsidRPr="00910616">
        <w:rPr>
          <w:rStyle w:val="FootnoteReference"/>
          <w:rFonts w:ascii="Cambria" w:hAnsi="Cambria"/>
          <w:sz w:val="20"/>
          <w:szCs w:val="20"/>
        </w:rPr>
        <w:footnoteReference w:id="37"/>
      </w:r>
      <w:bookmarkEnd w:id="35"/>
      <w:r w:rsidRPr="00910616">
        <w:rPr>
          <w:rFonts w:ascii="Cambria" w:hAnsi="Cambria"/>
          <w:sz w:val="20"/>
          <w:szCs w:val="20"/>
          <w:lang w:val="es-VE"/>
        </w:rPr>
        <w:t>. Conforme a lo indicado anteriormente, esto resulta igualmente aplicable a procesos disciplinarios que comportan una sanción.</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910616">
        <w:rPr>
          <w:rFonts w:ascii="Cambria" w:hAnsi="Cambria"/>
          <w:sz w:val="20"/>
          <w:szCs w:val="20"/>
          <w:lang w:val="es-ES"/>
        </w:rPr>
        <w:t>En el presente caso, la CIDH observa que la presunta víctima nunca fue notificada que se había iniciado un procedimiento disciplinario en su contra. Al respecto, consta que el 12 de enero de 2005, la Corte de la Serena solicitó a la presunta víctima que informara el motivo por el cual envió copia de su trabajo académico a la Corte Suprema, sin embargo no le indicó que el requerimiento formaba parte de un proceso disciplinario ni menos la falta disciplinaria que se le imputaba. Sin tener conocimiento de lo anterior, el 17 de enero de 2005 la presunta víctima remitió el informe solicitado. El 31 de marzo de 2005 la Corte de Apelaciones de la Serena impuso medida disciplinaria de censura por escr</w:t>
      </w:r>
      <w:r w:rsidR="003E3E9D">
        <w:rPr>
          <w:rFonts w:ascii="Cambria" w:hAnsi="Cambria"/>
          <w:sz w:val="20"/>
          <w:szCs w:val="20"/>
          <w:lang w:val="es-ES"/>
        </w:rPr>
        <w:t>ito, y el 6 de mayo de 2005 la C</w:t>
      </w:r>
      <w:r w:rsidRPr="00910616">
        <w:rPr>
          <w:rFonts w:ascii="Cambria" w:hAnsi="Cambria"/>
          <w:sz w:val="20"/>
          <w:szCs w:val="20"/>
          <w:lang w:val="es-ES"/>
        </w:rPr>
        <w:t xml:space="preserve">orte Suprema confirmó la resolución, pero modificó la sanción a amonestación privada. La Comisión destaca adicionalmente, que conforme al artículo 536 del Código Orgánico de Tribunales, debió haber sido citado a una audiencia previa para exponer sus descargos, cuestión que tampoco ocurrió en el presente caso. </w:t>
      </w:r>
    </w:p>
    <w:p w:rsidR="00910616" w:rsidRPr="00910616" w:rsidRDefault="00910616" w:rsidP="00910616">
      <w:pPr>
        <w:pStyle w:val="ListParagraph"/>
        <w:rPr>
          <w:sz w:val="20"/>
          <w:szCs w:val="20"/>
          <w:lang w:val="es-ES"/>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910616">
        <w:rPr>
          <w:rFonts w:ascii="Cambria" w:hAnsi="Cambria"/>
          <w:sz w:val="20"/>
          <w:szCs w:val="20"/>
          <w:lang w:val="es-ES"/>
        </w:rPr>
        <w:t xml:space="preserve">De lo anterior se desprende que la presunta víctima no fue informada de que se le inició un proceso disciplinario, las razones del mismo o las causales disciplinarias que pudo haber infringido con su conducta, lo cual afectó no solamente su derecho a conocer previa y detalladamente de la acusación formulada, sino también su derecho a preparar una defensa adecuada ya que, por una parte, al formular su respuesta no lo hizo como una forma de defensa y, por otra parte, no se cumplió con el requisito de audiencia establecido legalmente.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rsid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910616">
        <w:rPr>
          <w:rFonts w:ascii="Cambria" w:hAnsi="Cambria"/>
          <w:sz w:val="20"/>
          <w:szCs w:val="20"/>
          <w:lang w:val="es-ES"/>
        </w:rPr>
        <w:t xml:space="preserve">En virtud de lo anterior, la CIDH concluye que el Estado violó los artículos 8.2 b) y 8.2 c) de la Convención  Americana en relación con el artículo 1.1 del mismo instrumento en perjuicio de Daniel Urrutia </w:t>
      </w:r>
      <w:proofErr w:type="spellStart"/>
      <w:r w:rsidRPr="00910616">
        <w:rPr>
          <w:rFonts w:ascii="Cambria" w:hAnsi="Cambria"/>
          <w:sz w:val="20"/>
          <w:szCs w:val="20"/>
          <w:lang w:val="es-ES"/>
        </w:rPr>
        <w:t>La</w:t>
      </w:r>
      <w:r w:rsidR="001E1ED6">
        <w:rPr>
          <w:rFonts w:ascii="Cambria" w:hAnsi="Cambria"/>
          <w:sz w:val="20"/>
          <w:szCs w:val="20"/>
          <w:lang w:val="es-ES"/>
        </w:rPr>
        <w:t>u</w:t>
      </w:r>
      <w:r w:rsidRPr="00910616">
        <w:rPr>
          <w:rFonts w:ascii="Cambria" w:hAnsi="Cambria"/>
          <w:sz w:val="20"/>
          <w:szCs w:val="20"/>
          <w:lang w:val="es-ES"/>
        </w:rPr>
        <w:t>breaux</w:t>
      </w:r>
      <w:proofErr w:type="spellEnd"/>
      <w:r w:rsidRPr="00910616">
        <w:rPr>
          <w:rFonts w:ascii="Cambria" w:hAnsi="Cambria"/>
          <w:sz w:val="20"/>
          <w:szCs w:val="20"/>
          <w:lang w:val="es-ES"/>
        </w:rPr>
        <w:t>.</w:t>
      </w:r>
    </w:p>
    <w:p w:rsidR="004D2791" w:rsidRDefault="004D2791" w:rsidP="004D2791">
      <w:pPr>
        <w:pStyle w:val="ListParagraph"/>
        <w:rPr>
          <w:sz w:val="20"/>
          <w:szCs w:val="20"/>
          <w:lang w:val="es-ES"/>
        </w:rPr>
      </w:pPr>
    </w:p>
    <w:p w:rsidR="004D2791" w:rsidRDefault="004D2791" w:rsidP="004D2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rsidR="004D2791" w:rsidRDefault="004D2791" w:rsidP="004D2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rsidR="004D2791" w:rsidRDefault="004D2791" w:rsidP="004D2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rsidR="004D2791" w:rsidRDefault="004D2791" w:rsidP="004D2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rsidR="004D2791" w:rsidRDefault="004D2791" w:rsidP="004D2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rsidR="004D2791" w:rsidRDefault="004D2791" w:rsidP="004D2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rsidR="004D2791" w:rsidRDefault="004D2791" w:rsidP="004D2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rsidR="004D2791" w:rsidRDefault="004D2791" w:rsidP="004D2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rsidR="00910616" w:rsidRPr="00910616" w:rsidRDefault="00910616" w:rsidP="00524F15">
      <w:pPr>
        <w:pStyle w:val="Heading3"/>
        <w:numPr>
          <w:ilvl w:val="0"/>
          <w:numId w:val="62"/>
        </w:numPr>
        <w:ind w:left="1440" w:hanging="810"/>
        <w:rPr>
          <w:rFonts w:ascii="Cambria" w:hAnsi="Cambria"/>
          <w:i/>
          <w:sz w:val="20"/>
          <w:szCs w:val="20"/>
          <w:lang w:val="es-ES"/>
        </w:rPr>
      </w:pPr>
      <w:bookmarkStart w:id="36" w:name="_Toc505532533"/>
      <w:bookmarkStart w:id="37" w:name="_Toc505936569"/>
      <w:r w:rsidRPr="00910616">
        <w:rPr>
          <w:rFonts w:ascii="Cambria" w:hAnsi="Cambria"/>
          <w:sz w:val="20"/>
          <w:szCs w:val="20"/>
          <w:lang w:val="es-ES"/>
        </w:rPr>
        <w:t>El derecho a contar con una autoridad disciplinaria imparcial</w:t>
      </w:r>
      <w:r w:rsidRPr="00910616">
        <w:rPr>
          <w:rStyle w:val="FootnoteReference"/>
          <w:rFonts w:ascii="Cambria" w:hAnsi="Cambria"/>
          <w:sz w:val="20"/>
          <w:szCs w:val="20"/>
          <w:lang w:val="es-ES"/>
        </w:rPr>
        <w:footnoteReference w:id="38"/>
      </w:r>
      <w:r w:rsidRPr="00910616">
        <w:rPr>
          <w:rFonts w:ascii="Cambria" w:hAnsi="Cambria"/>
          <w:sz w:val="20"/>
          <w:szCs w:val="20"/>
          <w:lang w:val="es-ES"/>
        </w:rPr>
        <w:t xml:space="preserve"> </w:t>
      </w:r>
      <w:bookmarkEnd w:id="31"/>
      <w:r w:rsidRPr="00910616">
        <w:rPr>
          <w:rFonts w:ascii="Cambria" w:hAnsi="Cambria"/>
          <w:sz w:val="20"/>
          <w:szCs w:val="20"/>
          <w:lang w:val="es-ES"/>
        </w:rPr>
        <w:t>y el derecho a la protección judicial</w:t>
      </w:r>
      <w:r w:rsidRPr="00910616">
        <w:rPr>
          <w:rFonts w:ascii="Cambria" w:hAnsi="Cambria"/>
          <w:sz w:val="20"/>
          <w:szCs w:val="20"/>
          <w:vertAlign w:val="superscript"/>
        </w:rPr>
        <w:footnoteReference w:id="39"/>
      </w:r>
      <w:bookmarkEnd w:id="36"/>
      <w:bookmarkEnd w:id="37"/>
      <w:r w:rsidRPr="00910616">
        <w:rPr>
          <w:rFonts w:ascii="Cambria" w:hAnsi="Cambria"/>
          <w:sz w:val="20"/>
          <w:szCs w:val="20"/>
          <w:lang w:val="es-ES"/>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sidRPr="00910616">
        <w:rPr>
          <w:rFonts w:ascii="Cambria" w:hAnsi="Cambria"/>
          <w:sz w:val="20"/>
          <w:szCs w:val="20"/>
          <w:lang w:val="es-ES"/>
        </w:rPr>
        <w:t>La</w:t>
      </w:r>
      <w:r w:rsidRPr="00910616">
        <w:rPr>
          <w:rFonts w:ascii="Cambria" w:hAnsi="Cambria"/>
          <w:sz w:val="20"/>
          <w:szCs w:val="20"/>
          <w:lang w:val="es-CO"/>
        </w:rPr>
        <w:t xml:space="preserve"> CIDH recuerda que las garantías de independencia, </w:t>
      </w:r>
      <w:r w:rsidRPr="00910616">
        <w:rPr>
          <w:rFonts w:ascii="Cambria" w:hAnsi="Cambria"/>
          <w:sz w:val="20"/>
          <w:szCs w:val="20"/>
          <w:lang w:val="es-VE" w:eastAsia="es-ES"/>
        </w:rPr>
        <w:t>competencia e imparcialidad deben ser satisfechas por las autoridades que tengan a su conocimiento los procesos disciplinarios, al constituir una función materialmente jurisdiccional y un presupuesto esencial del debido proceso, con independencia de que la autoridad disciplinaria no sea formalmente un tribunal”</w:t>
      </w:r>
      <w:r w:rsidRPr="00910616">
        <w:rPr>
          <w:rStyle w:val="FootnoteReference"/>
          <w:rFonts w:ascii="Cambria" w:hAnsi="Cambria"/>
          <w:sz w:val="20"/>
          <w:szCs w:val="20"/>
          <w:lang w:val="es-VE" w:eastAsia="es-ES"/>
        </w:rPr>
        <w:footnoteReference w:id="40"/>
      </w:r>
      <w:r w:rsidRPr="00910616">
        <w:rPr>
          <w:rFonts w:ascii="Cambria" w:hAnsi="Cambria"/>
          <w:sz w:val="20"/>
          <w:szCs w:val="20"/>
          <w:lang w:val="es-VE" w:eastAsia="es-ES"/>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CO"/>
        </w:rPr>
      </w:pPr>
    </w:p>
    <w:p w:rsidR="00910616" w:rsidRPr="00B03925" w:rsidRDefault="00910616" w:rsidP="00B0392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sidRPr="00910616">
        <w:rPr>
          <w:rFonts w:ascii="Cambria" w:hAnsi="Cambria"/>
          <w:sz w:val="20"/>
          <w:szCs w:val="20"/>
          <w:lang w:val="es-CL"/>
        </w:rPr>
        <w:t>Con</w:t>
      </w:r>
      <w:r w:rsidRPr="00910616">
        <w:rPr>
          <w:rFonts w:ascii="Cambria" w:hAnsi="Cambria"/>
          <w:sz w:val="20"/>
          <w:szCs w:val="20"/>
          <w:lang w:val="es-VE" w:eastAsia="es-ES"/>
        </w:rPr>
        <w:t xml:space="preserve"> respecto a la imparcialidad de la autoridad disciplinaria, la CIDH</w:t>
      </w:r>
      <w:r w:rsidR="003E3E9D">
        <w:rPr>
          <w:rFonts w:ascii="Cambria" w:hAnsi="Cambria"/>
          <w:sz w:val="20"/>
          <w:szCs w:val="20"/>
          <w:lang w:val="es-VE" w:eastAsia="es-ES"/>
        </w:rPr>
        <w:t xml:space="preserve"> ha señalado que</w:t>
      </w:r>
      <w:r w:rsidRPr="00910616">
        <w:rPr>
          <w:rFonts w:ascii="Cambria" w:hAnsi="Cambria"/>
          <w:sz w:val="20"/>
          <w:szCs w:val="20"/>
          <w:lang w:val="es-VE" w:eastAsia="es-ES"/>
        </w:rPr>
        <w:t xml:space="preserve"> esta </w:t>
      </w:r>
      <w:r w:rsidRPr="00910616">
        <w:rPr>
          <w:rFonts w:ascii="Cambria" w:hAnsi="Cambria"/>
          <w:sz w:val="20"/>
          <w:szCs w:val="20"/>
          <w:lang w:val="es-VE"/>
        </w:rPr>
        <w:t>exige que la autoridad que interviene se aproxime a los hechos careciendo, de manera subjetiva de todo prejuicio y, ofreciendo garantías suficientes de índole objetiva que permitan desterrar toda duda que el justiciable o la comunidad puedan albergar respecto de la ausencia de imparcialidad</w:t>
      </w:r>
      <w:r w:rsidRPr="00910616">
        <w:rPr>
          <w:rStyle w:val="FootnoteReference"/>
          <w:rFonts w:ascii="Cambria" w:hAnsi="Cambria"/>
          <w:sz w:val="20"/>
          <w:szCs w:val="20"/>
          <w:lang w:val="es-VE" w:eastAsia="es-ES"/>
        </w:rPr>
        <w:footnoteReference w:id="41"/>
      </w:r>
      <w:r w:rsidRPr="00910616">
        <w:rPr>
          <w:rFonts w:ascii="Cambria" w:hAnsi="Cambria"/>
          <w:sz w:val="20"/>
          <w:szCs w:val="20"/>
          <w:lang w:val="es-VE"/>
        </w:rPr>
        <w:t>. La imparcialidad del tribunal implica que sus integrantes no tengan un interés directo, una posición tomada, una preferencia por alguna de las partes y que no se encuentren involucrados en la controversia</w:t>
      </w:r>
      <w:r w:rsidRPr="00910616">
        <w:rPr>
          <w:rStyle w:val="FootnoteReference"/>
          <w:rFonts w:ascii="Cambria" w:hAnsi="Cambria"/>
          <w:sz w:val="20"/>
          <w:szCs w:val="20"/>
          <w:lang w:val="es-VE" w:eastAsia="es-ES"/>
        </w:rPr>
        <w:footnoteReference w:id="42"/>
      </w:r>
      <w:r w:rsidRPr="00910616">
        <w:rPr>
          <w:rFonts w:ascii="Cambria" w:hAnsi="Cambria"/>
          <w:sz w:val="20"/>
          <w:szCs w:val="20"/>
          <w:lang w:val="es-VE"/>
        </w:rPr>
        <w:t xml:space="preserve">. </w:t>
      </w:r>
      <w:r w:rsidR="00B03925" w:rsidRPr="00B03925">
        <w:rPr>
          <w:rFonts w:ascii="Cambria" w:hAnsi="Cambria"/>
          <w:sz w:val="20"/>
          <w:szCs w:val="20"/>
          <w:lang w:val="es-VE"/>
        </w:rPr>
        <w:t>El Sistema Interamericano al igual que el Tribunal Europeo</w:t>
      </w:r>
      <w:r w:rsidR="00B03925">
        <w:rPr>
          <w:rFonts w:ascii="Cambria" w:hAnsi="Cambria"/>
          <w:sz w:val="20"/>
          <w:szCs w:val="20"/>
          <w:lang w:val="es-VE"/>
        </w:rPr>
        <w:t>,</w:t>
      </w:r>
      <w:r w:rsidR="00B03925" w:rsidRPr="00B03925">
        <w:rPr>
          <w:rFonts w:ascii="Cambria" w:hAnsi="Cambria"/>
          <w:sz w:val="20"/>
          <w:szCs w:val="20"/>
          <w:lang w:val="es-VE"/>
        </w:rPr>
        <w:t xml:space="preserve"> han considerado que</w:t>
      </w:r>
      <w:r w:rsidRPr="00B03925">
        <w:rPr>
          <w:rFonts w:ascii="Cambria" w:hAnsi="Cambria"/>
          <w:sz w:val="20"/>
          <w:szCs w:val="20"/>
          <w:lang w:val="es-VE"/>
        </w:rPr>
        <w:t xml:space="preserve"> la imparcialidad personal o subjetiva se presume a menos que exista prueba en contrario. Por su parte, la denominada prueba objetiva consiste en determinar si la autoridad que realizó las funciones jurisdiccionales proporcionó elementos convincentes que permitan eliminar temores legítimos o fundadas sospechas de parcialidad sobre su persona”</w:t>
      </w:r>
      <w:r w:rsidRPr="00910616">
        <w:rPr>
          <w:rStyle w:val="FootnoteReference"/>
          <w:rFonts w:ascii="Cambria" w:hAnsi="Cambria"/>
          <w:sz w:val="20"/>
          <w:szCs w:val="20"/>
          <w:lang w:val="es-VE" w:eastAsia="es-ES"/>
        </w:rPr>
        <w:footnoteReference w:id="43"/>
      </w:r>
      <w:r w:rsidRPr="00B03925">
        <w:rPr>
          <w:rFonts w:ascii="Cambria" w:hAnsi="Cambria"/>
          <w:sz w:val="20"/>
          <w:szCs w:val="20"/>
          <w:lang w:val="es-VE"/>
        </w:rPr>
        <w:t>.</w:t>
      </w:r>
    </w:p>
    <w:p w:rsidR="00910616" w:rsidRPr="00910616" w:rsidRDefault="00910616" w:rsidP="00910616">
      <w:pPr>
        <w:rPr>
          <w:rFonts w:ascii="Cambria" w:hAnsi="Cambria"/>
          <w:sz w:val="20"/>
          <w:szCs w:val="20"/>
          <w:lang w:val="es-CO"/>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sidRPr="00910616">
        <w:rPr>
          <w:rFonts w:ascii="Cambria" w:hAnsi="Cambria"/>
          <w:sz w:val="20"/>
          <w:szCs w:val="20"/>
          <w:lang w:val="es-CO"/>
        </w:rPr>
        <w:t>Finalmente, la CIDH recuerda que el Estado está en la obligación general de proveer recursos judiciales efectivos a las personas que aleguen ser víctimas de violaciones de derechos humanos (artículo 25), los cuales deben ser sustanciados de conformidad con las reglas del debido proceso legal (artículo 8.1). Para que exista un recurso efectivo no basta con que esté pr</w:t>
      </w:r>
      <w:r w:rsidR="00E228EF">
        <w:rPr>
          <w:rFonts w:ascii="Cambria" w:hAnsi="Cambria"/>
          <w:sz w:val="20"/>
          <w:szCs w:val="20"/>
          <w:lang w:val="es-CO"/>
        </w:rPr>
        <w:t>evisto legalmente sino que debe</w:t>
      </w:r>
      <w:r w:rsidRPr="00910616">
        <w:rPr>
          <w:rFonts w:ascii="Cambria" w:hAnsi="Cambria"/>
          <w:sz w:val="20"/>
          <w:szCs w:val="20"/>
          <w:lang w:val="es-CO"/>
        </w:rPr>
        <w:t xml:space="preserve"> ser realmente idóneo para establecer si se ha incurrido en una violación a los derechos humanos, y proveer lo necesario para remediarla</w:t>
      </w:r>
      <w:r w:rsidRPr="00910616">
        <w:rPr>
          <w:rFonts w:ascii="Cambria" w:hAnsi="Cambria"/>
          <w:sz w:val="20"/>
          <w:szCs w:val="20"/>
          <w:vertAlign w:val="superscript"/>
        </w:rPr>
        <w:footnoteReference w:id="44"/>
      </w:r>
      <w:r w:rsidRPr="00910616">
        <w:rPr>
          <w:rFonts w:ascii="Cambria" w:hAnsi="Cambria"/>
          <w:sz w:val="20"/>
          <w:szCs w:val="20"/>
          <w:lang w:val="es-CO"/>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CO"/>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sidRPr="00910616">
        <w:rPr>
          <w:rFonts w:ascii="Cambria" w:eastAsia="Cambria" w:hAnsi="Cambria" w:cs="Cambria"/>
          <w:color w:val="000000"/>
          <w:sz w:val="20"/>
          <w:szCs w:val="20"/>
          <w:u w:color="000000"/>
          <w:lang w:val="es-CO" w:eastAsia="es-ES"/>
        </w:rPr>
        <w:t xml:space="preserve">La Comisión observa que en el presente caso, luego que la presunta víctima remitió el trabajo académico referido a la Corte Suprema,  dicha Corte lo remitió a la Corte de Apelaciones de la Serena. Asimismo, el 27 de diciembre de 2004 la Corte Suprema devolvió el trabajo a la presunta víctima “en razón de estimarse que en el aludido informe se contienen apreciaciones inadecuadas e inaceptables para este tribunal”. </w:t>
      </w:r>
    </w:p>
    <w:p w:rsidR="00910616" w:rsidRPr="00910616" w:rsidRDefault="00910616" w:rsidP="00910616">
      <w:pPr>
        <w:pStyle w:val="ListParagraph"/>
        <w:rPr>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sidRPr="00910616">
        <w:rPr>
          <w:rFonts w:ascii="Cambria" w:hAnsi="Cambria"/>
          <w:sz w:val="20"/>
          <w:szCs w:val="20"/>
          <w:lang w:val="es-VE"/>
        </w:rPr>
        <w:t xml:space="preserve">La CIDH recuerda que fue la misma Corte Suprema que ya había emitido el juicio de valor indicado sobre el contenido del trabajo, la que revisó en segunda instancia la sanción que se impuso a la presunta víctima, lo cual implica que dicho tribunal ya había tomado una posición sobre si la remisión del </w:t>
      </w:r>
      <w:r w:rsidRPr="00910616">
        <w:rPr>
          <w:rFonts w:ascii="Cambria" w:hAnsi="Cambria"/>
          <w:sz w:val="20"/>
          <w:szCs w:val="20"/>
          <w:lang w:val="es-VE"/>
        </w:rPr>
        <w:lastRenderedPageBreak/>
        <w:t xml:space="preserve">trabajo por la presunta víctima a la Corte Suprema ameritaba algún tipo de reproche. Por estas razones la CIDH estima que la Corte Suprema no reunía las condiciones de imparcialidad para decidir en segunda instancia sobre la procedencia o no de una sanción disciplinaria en contra de la presunta víctima.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sidRPr="00910616">
        <w:rPr>
          <w:rFonts w:ascii="Cambria" w:hAnsi="Cambria"/>
          <w:sz w:val="20"/>
          <w:szCs w:val="20"/>
          <w:lang w:val="es-VE"/>
        </w:rPr>
        <w:t xml:space="preserve">Asimismo, concluye que con ello se comprueba que la presunta víctima no contó con un recurso efectivo para revisar la decisión sancionatoria, de conformidad con las reglas de debido proceso. Además, la Comisión observa que la Corte Suprema de Justicia al momento de conocer el recurso de apelación, no protegió al señor Daniel Urrutia </w:t>
      </w:r>
      <w:proofErr w:type="spellStart"/>
      <w:r w:rsidRPr="00910616">
        <w:rPr>
          <w:rFonts w:ascii="Cambria" w:hAnsi="Cambria"/>
          <w:sz w:val="20"/>
          <w:szCs w:val="20"/>
          <w:lang w:val="es-VE"/>
        </w:rPr>
        <w:t>La</w:t>
      </w:r>
      <w:r w:rsidR="001E1ED6">
        <w:rPr>
          <w:rFonts w:ascii="Cambria" w:hAnsi="Cambria"/>
          <w:sz w:val="20"/>
          <w:szCs w:val="20"/>
          <w:lang w:val="es-VE"/>
        </w:rPr>
        <w:t>u</w:t>
      </w:r>
      <w:r w:rsidRPr="00910616">
        <w:rPr>
          <w:rFonts w:ascii="Cambria" w:hAnsi="Cambria"/>
          <w:sz w:val="20"/>
          <w:szCs w:val="20"/>
          <w:lang w:val="es-VE"/>
        </w:rPr>
        <w:t>breaux</w:t>
      </w:r>
      <w:proofErr w:type="spellEnd"/>
      <w:r w:rsidRPr="00910616">
        <w:rPr>
          <w:rFonts w:ascii="Cambria" w:hAnsi="Cambria"/>
          <w:sz w:val="20"/>
          <w:szCs w:val="20"/>
          <w:lang w:val="es-VE"/>
        </w:rPr>
        <w:t xml:space="preserve"> frente a la violación al derecho de defensa ya establecida, ni efectuó una debida ponderación entre las supuestas afectaciones que se de</w:t>
      </w:r>
      <w:r w:rsidR="00667FE4">
        <w:rPr>
          <w:rFonts w:ascii="Cambria" w:hAnsi="Cambria"/>
          <w:sz w:val="20"/>
          <w:szCs w:val="20"/>
          <w:lang w:val="es-VE"/>
        </w:rPr>
        <w:t>s</w:t>
      </w:r>
      <w:r w:rsidRPr="00910616">
        <w:rPr>
          <w:rFonts w:ascii="Cambria" w:hAnsi="Cambria"/>
          <w:sz w:val="20"/>
          <w:szCs w:val="20"/>
          <w:lang w:val="es-VE"/>
        </w:rPr>
        <w:t xml:space="preserve">prendían de su trabajo académico, frente a su derecho constitucional y convencional a la libertad de expresión. </w:t>
      </w:r>
    </w:p>
    <w:p w:rsidR="00910616" w:rsidRPr="00910616" w:rsidRDefault="00910616" w:rsidP="00910616">
      <w:pPr>
        <w:rPr>
          <w:rFonts w:ascii="Cambria" w:hAnsi="Cambria"/>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910616">
        <w:rPr>
          <w:rFonts w:ascii="Cambria" w:hAnsi="Cambria"/>
          <w:sz w:val="20"/>
          <w:szCs w:val="20"/>
          <w:lang w:val="es-VE"/>
        </w:rPr>
        <w:t xml:space="preserve">En virtud de lo indicado, la Comisión concluye que el Estado chileno es responsable por la violación de los derechos establecidos en los artículos 8.1 y 25.1 de la Convención Americana en relación con el artículo 1.1 del mismo instrumento, en perjuicio de Daniel Urrutia </w:t>
      </w:r>
      <w:proofErr w:type="spellStart"/>
      <w:r w:rsidRPr="00910616">
        <w:rPr>
          <w:rFonts w:ascii="Cambria" w:hAnsi="Cambria"/>
          <w:sz w:val="20"/>
          <w:szCs w:val="20"/>
          <w:lang w:val="es-VE"/>
        </w:rPr>
        <w:t>La</w:t>
      </w:r>
      <w:r w:rsidR="001E1ED6">
        <w:rPr>
          <w:rFonts w:ascii="Cambria" w:hAnsi="Cambria"/>
          <w:sz w:val="20"/>
          <w:szCs w:val="20"/>
          <w:lang w:val="es-VE"/>
        </w:rPr>
        <w:t>u</w:t>
      </w:r>
      <w:r w:rsidRPr="00910616">
        <w:rPr>
          <w:rFonts w:ascii="Cambria" w:hAnsi="Cambria"/>
          <w:sz w:val="20"/>
          <w:szCs w:val="20"/>
          <w:lang w:val="es-VE"/>
        </w:rPr>
        <w:t>breaux</w:t>
      </w:r>
      <w:proofErr w:type="spellEnd"/>
      <w:r w:rsidRPr="00910616">
        <w:rPr>
          <w:rFonts w:ascii="Cambria" w:hAnsi="Cambria"/>
          <w:sz w:val="20"/>
          <w:szCs w:val="20"/>
          <w:lang w:val="es-VE"/>
        </w:rPr>
        <w:t>.</w:t>
      </w:r>
      <w:bookmarkEnd w:id="32"/>
    </w:p>
    <w:p w:rsidR="00910616" w:rsidRPr="00910616" w:rsidRDefault="00910616" w:rsidP="00524F15">
      <w:pPr>
        <w:pStyle w:val="Heading3"/>
        <w:numPr>
          <w:ilvl w:val="0"/>
          <w:numId w:val="62"/>
        </w:numPr>
        <w:ind w:left="1440" w:hanging="810"/>
        <w:rPr>
          <w:rFonts w:ascii="Cambria" w:hAnsi="Cambria"/>
          <w:i/>
          <w:sz w:val="20"/>
          <w:szCs w:val="20"/>
          <w:lang w:val="es-ES"/>
        </w:rPr>
      </w:pPr>
      <w:bookmarkStart w:id="38" w:name="_Toc505532534"/>
      <w:bookmarkStart w:id="39" w:name="_Toc505936570"/>
      <w:r w:rsidRPr="00910616">
        <w:rPr>
          <w:rFonts w:ascii="Cambria" w:hAnsi="Cambria"/>
          <w:sz w:val="20"/>
          <w:szCs w:val="20"/>
          <w:lang w:val="es-ES"/>
        </w:rPr>
        <w:t>Principio de legalidad</w:t>
      </w:r>
      <w:bookmarkEnd w:id="38"/>
      <w:r w:rsidR="00524F15">
        <w:rPr>
          <w:rStyle w:val="FootnoteReference"/>
          <w:rFonts w:ascii="Cambria" w:hAnsi="Cambria"/>
          <w:sz w:val="20"/>
          <w:szCs w:val="20"/>
          <w:lang w:val="es-ES"/>
        </w:rPr>
        <w:footnoteReference w:id="45"/>
      </w:r>
      <w:bookmarkEnd w:id="39"/>
      <w:r w:rsidRPr="00910616">
        <w:rPr>
          <w:rFonts w:ascii="Cambria" w:hAnsi="Cambria"/>
          <w:sz w:val="20"/>
          <w:szCs w:val="20"/>
          <w:lang w:val="es-ES"/>
        </w:rPr>
        <w:t xml:space="preserve"> </w:t>
      </w:r>
    </w:p>
    <w:p w:rsidR="00910616" w:rsidRPr="00910616" w:rsidRDefault="00910616" w:rsidP="00910616">
      <w:pPr>
        <w:rPr>
          <w:rFonts w:ascii="Cambria" w:hAnsi="Cambria"/>
          <w:sz w:val="20"/>
          <w:szCs w:val="20"/>
          <w:lang w:val="es-ES"/>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sidRPr="00910616">
        <w:rPr>
          <w:rFonts w:ascii="Cambria" w:hAnsi="Cambria"/>
          <w:sz w:val="20"/>
          <w:szCs w:val="20"/>
          <w:lang w:val="es-CL"/>
        </w:rPr>
        <w:t>El</w:t>
      </w:r>
      <w:r w:rsidRPr="00910616">
        <w:rPr>
          <w:rFonts w:ascii="Cambria" w:hAnsi="Cambria" w:cs="Verdana"/>
          <w:sz w:val="20"/>
          <w:szCs w:val="20"/>
          <w:lang w:val="es-UY"/>
        </w:rPr>
        <w:t xml:space="preserve"> principio de legalidad reconocido en el artículo 9 de la Convención preside la actuación de los órganos del Estado cuando deriva del ejercicio de su poder punitivo</w:t>
      </w:r>
      <w:r w:rsidRPr="00910616">
        <w:rPr>
          <w:rFonts w:ascii="Cambria" w:hAnsi="Cambria" w:cs="Verdana"/>
          <w:sz w:val="20"/>
          <w:szCs w:val="20"/>
          <w:vertAlign w:val="superscript"/>
          <w:lang w:val="es-UY"/>
        </w:rPr>
        <w:footnoteReference w:id="46"/>
      </w:r>
      <w:r w:rsidRPr="00910616">
        <w:rPr>
          <w:rFonts w:ascii="Cambria" w:hAnsi="Cambria" w:cs="Verdana"/>
          <w:sz w:val="20"/>
          <w:szCs w:val="20"/>
          <w:lang w:val="es-UY"/>
        </w:rPr>
        <w:t>. Dicho principio es aplicable a los procesos disciplinarios que son “una expresión del poder punitivo del Estado” puesto que implican un menoscabo o alteración de los derechos de las personas como consecuencia de una conducta ilícita</w:t>
      </w:r>
      <w:r w:rsidRPr="00910616">
        <w:rPr>
          <w:rFonts w:ascii="Cambria" w:hAnsi="Cambria" w:cs="Verdana"/>
          <w:sz w:val="20"/>
          <w:szCs w:val="20"/>
          <w:vertAlign w:val="superscript"/>
          <w:lang w:val="es-UY"/>
        </w:rPr>
        <w:footnoteReference w:id="47"/>
      </w:r>
      <w:r w:rsidRPr="00910616">
        <w:rPr>
          <w:rFonts w:ascii="Cambria" w:hAnsi="Cambria" w:cs="Verdana"/>
          <w:sz w:val="20"/>
          <w:szCs w:val="20"/>
          <w:lang w:val="es-UY"/>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lang w:val="es-UY"/>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sidRPr="00910616">
        <w:rPr>
          <w:rFonts w:ascii="Cambria" w:hAnsi="Cambria" w:cs="Verdana"/>
          <w:sz w:val="20"/>
          <w:szCs w:val="20"/>
          <w:lang w:val="es-UY"/>
        </w:rPr>
        <w:t xml:space="preserve">La CIDH ha indicado que en el marco de procedimientos disciplinarios en contra de operadores de justicia </w:t>
      </w:r>
      <w:r w:rsidRPr="00910616">
        <w:rPr>
          <w:rFonts w:ascii="Cambria" w:hAnsi="Cambria"/>
          <w:sz w:val="20"/>
          <w:szCs w:val="20"/>
          <w:lang w:val="es-VE" w:eastAsia="es-ES"/>
        </w:rPr>
        <w:t>deben existir reglas claras en cuanto a las causales y procedimiento de separación del cargo de jueces y juezas, y su ausencia además de fomentar dudas sobre la independencia, puede dar lugar  a actuaciones arbitrarias de abuso de poder, con repercusiones directas en los derechos al debido proceso y a la legalidad</w:t>
      </w:r>
      <w:r w:rsidRPr="00910616">
        <w:rPr>
          <w:rFonts w:ascii="Cambria" w:hAnsi="Cambria"/>
          <w:sz w:val="20"/>
          <w:szCs w:val="20"/>
          <w:vertAlign w:val="superscript"/>
        </w:rPr>
        <w:footnoteReference w:id="48"/>
      </w:r>
      <w:r w:rsidRPr="00910616">
        <w:rPr>
          <w:rFonts w:ascii="Cambria" w:hAnsi="Cambria"/>
          <w:sz w:val="20"/>
          <w:szCs w:val="20"/>
          <w:lang w:val="es-VE" w:eastAsia="es-ES"/>
        </w:rPr>
        <w:t xml:space="preserve">.  </w:t>
      </w:r>
    </w:p>
    <w:p w:rsidR="00910616" w:rsidRPr="00910616" w:rsidRDefault="00910616" w:rsidP="00910616">
      <w:pPr>
        <w:pStyle w:val="ListParagraph"/>
        <w:rPr>
          <w:rFonts w:cs="Verdana"/>
          <w:sz w:val="20"/>
          <w:szCs w:val="20"/>
          <w:lang w:val="es-UY"/>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sidRPr="00910616">
        <w:rPr>
          <w:rFonts w:ascii="Cambria" w:hAnsi="Cambria" w:cs="Verdana"/>
          <w:sz w:val="20"/>
          <w:szCs w:val="20"/>
          <w:lang w:val="es-UY"/>
        </w:rPr>
        <w:t>Al respecto, l</w:t>
      </w:r>
      <w:r w:rsidRPr="00910616">
        <w:rPr>
          <w:rFonts w:ascii="Cambria" w:hAnsi="Cambria"/>
          <w:sz w:val="20"/>
          <w:szCs w:val="20"/>
          <w:lang w:val="es-VE" w:eastAsia="es-ES"/>
        </w:rPr>
        <w:t xml:space="preserve">a ley debe precisar de manera detallada las infracciones que pueden dar lugar a la imposición de medidas disciplinarias incluida la gravedad de la infracción y el tipo de medida disciplinaria que se aplicará en el caso de que se trate. La Corte Europea ha señalado al respecto en el caso </w:t>
      </w:r>
      <w:proofErr w:type="spellStart"/>
      <w:r w:rsidRPr="00910616">
        <w:rPr>
          <w:rFonts w:ascii="Cambria" w:hAnsi="Cambria"/>
          <w:sz w:val="20"/>
          <w:szCs w:val="20"/>
          <w:lang w:val="es-VE" w:eastAsia="es-ES"/>
        </w:rPr>
        <w:t>Maestri</w:t>
      </w:r>
      <w:proofErr w:type="spellEnd"/>
      <w:r w:rsidRPr="00910616">
        <w:rPr>
          <w:rFonts w:ascii="Cambria" w:hAnsi="Cambria"/>
          <w:sz w:val="20"/>
          <w:szCs w:val="20"/>
          <w:lang w:val="es-VE" w:eastAsia="es-ES"/>
        </w:rPr>
        <w:t xml:space="preserve"> v. Italia que el principio de legalidad no sólo se requiere que la causal disciplinaria tenga una base en el derecho interno, sino también a que la ley que la contenga sea accesible a las personas a las cuales se dirige y sea formulada con la suficiente precisión, para que puedan prever en un grado razonable tanto las circunstancias como las consecuencias que una determinada acción puede entrañar.</w:t>
      </w:r>
    </w:p>
    <w:p w:rsidR="00910616" w:rsidRPr="00910616" w:rsidRDefault="00910616" w:rsidP="00910616">
      <w:pPr>
        <w:pStyle w:val="ListParagraph"/>
        <w:rPr>
          <w:sz w:val="20"/>
          <w:szCs w:val="20"/>
          <w:lang w:val="es-VE"/>
        </w:rPr>
      </w:pPr>
    </w:p>
    <w:p w:rsidR="00910616" w:rsidRPr="00910616" w:rsidRDefault="00E228EF"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Pr>
          <w:rFonts w:ascii="Cambria" w:hAnsi="Cambria"/>
          <w:sz w:val="20"/>
          <w:szCs w:val="20"/>
          <w:lang w:val="es-VE" w:eastAsia="es-ES"/>
        </w:rPr>
        <w:t>En el contexto de independencia de jueces, l</w:t>
      </w:r>
      <w:r w:rsidR="00910616" w:rsidRPr="00910616">
        <w:rPr>
          <w:rFonts w:ascii="Cambria" w:hAnsi="Cambria"/>
          <w:sz w:val="20"/>
          <w:szCs w:val="20"/>
          <w:lang w:val="es-VE" w:eastAsia="es-ES"/>
        </w:rPr>
        <w:t>a Comisión ha referido que “las normas legales vagas o ambiguas que otorgan facultades discrecionales muy amplias a las autoridades son incompatibles con la Convención Americana, porque pueden sustentar potenciales actos de arbitrariedad por ejemplo que equivalgan a censura previa o que impongan responsabilidades desproporcionadas por la expresión de discursos protegidos por el tratado”</w:t>
      </w:r>
      <w:r w:rsidR="00910616" w:rsidRPr="00910616">
        <w:rPr>
          <w:rStyle w:val="FootnoteReference"/>
          <w:rFonts w:ascii="Cambria" w:hAnsi="Cambria"/>
          <w:sz w:val="20"/>
          <w:szCs w:val="20"/>
          <w:lang w:val="es-VE" w:eastAsia="es-ES"/>
        </w:rPr>
        <w:footnoteReference w:id="49"/>
      </w:r>
      <w:r w:rsidR="00910616" w:rsidRPr="00910616">
        <w:rPr>
          <w:rFonts w:ascii="Cambria" w:hAnsi="Cambria"/>
          <w:sz w:val="20"/>
          <w:szCs w:val="20"/>
          <w:lang w:val="es-VE" w:eastAsia="es-ES"/>
        </w:rPr>
        <w:t>.</w:t>
      </w:r>
    </w:p>
    <w:p w:rsidR="004D2791" w:rsidRDefault="004D2791" w:rsidP="00910616">
      <w:pPr>
        <w:pStyle w:val="ListParagraph"/>
        <w:rPr>
          <w:rFonts w:cs="Verdana"/>
          <w:sz w:val="20"/>
          <w:szCs w:val="20"/>
          <w:lang w:val="es-UY"/>
        </w:rPr>
      </w:pPr>
    </w:p>
    <w:p w:rsidR="004D2791" w:rsidRPr="00910616" w:rsidRDefault="004D2791" w:rsidP="00910616">
      <w:pPr>
        <w:pStyle w:val="ListParagraph"/>
        <w:rPr>
          <w:rFonts w:cs="Verdana"/>
          <w:sz w:val="20"/>
          <w:szCs w:val="20"/>
          <w:lang w:val="es-UY"/>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sidRPr="00910616">
        <w:rPr>
          <w:rFonts w:ascii="Cambria" w:hAnsi="Cambria" w:cs="Verdana"/>
          <w:sz w:val="20"/>
          <w:szCs w:val="20"/>
          <w:lang w:val="es-UY"/>
        </w:rPr>
        <w:t xml:space="preserve">En el caso López </w:t>
      </w:r>
      <w:proofErr w:type="spellStart"/>
      <w:r w:rsidRPr="00910616">
        <w:rPr>
          <w:rFonts w:ascii="Cambria" w:hAnsi="Cambria" w:cs="Verdana"/>
          <w:sz w:val="20"/>
          <w:szCs w:val="20"/>
          <w:lang w:val="es-UY"/>
        </w:rPr>
        <w:t>Lone</w:t>
      </w:r>
      <w:proofErr w:type="spellEnd"/>
      <w:r w:rsidRPr="00910616">
        <w:rPr>
          <w:rFonts w:ascii="Cambria" w:hAnsi="Cambria" w:cs="Verdana"/>
          <w:sz w:val="20"/>
          <w:szCs w:val="20"/>
          <w:lang w:val="es-UY"/>
        </w:rPr>
        <w:t>, la Corte Interamericana, refirió que “en materia disciplinaria es imposible codificar todo los supuestos por lo que al final siempre tiene que haber una cláusula relativamente abierta referida a deberes profesionales. Sin embargo, en estos supuestos y ante el uso de tipos disciplinarios abiertos o indeterminados, la motivación al momento de su aplicación es fundamental, pues corresponde al juzgador disciplinario, interpretar dichas normas respetando el principio de legalidad y observando la mayor rigurosidad para verificar la existencia de la conducta sancionable”</w:t>
      </w:r>
      <w:r w:rsidRPr="00910616">
        <w:rPr>
          <w:rFonts w:ascii="Cambria" w:hAnsi="Cambria" w:cs="Verdana"/>
          <w:sz w:val="20"/>
          <w:szCs w:val="20"/>
          <w:vertAlign w:val="superscript"/>
          <w:lang w:val="es-UY"/>
        </w:rPr>
        <w:footnoteReference w:id="50"/>
      </w:r>
      <w:r w:rsidRPr="00910616">
        <w:rPr>
          <w:rFonts w:ascii="Cambria" w:hAnsi="Cambria" w:cs="Verdana"/>
          <w:sz w:val="20"/>
          <w:szCs w:val="20"/>
          <w:lang w:val="es-UY"/>
        </w:rPr>
        <w:t xml:space="preserve">. </w:t>
      </w:r>
    </w:p>
    <w:p w:rsidR="00910616" w:rsidRPr="00910616" w:rsidRDefault="00910616" w:rsidP="00910616">
      <w:pPr>
        <w:rPr>
          <w:rFonts w:ascii="Cambria" w:hAnsi="Cambria"/>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sidRPr="00910616">
        <w:rPr>
          <w:rFonts w:ascii="Cambria" w:hAnsi="Cambria"/>
          <w:sz w:val="20"/>
          <w:szCs w:val="20"/>
          <w:lang w:val="es-VE"/>
        </w:rPr>
        <w:t xml:space="preserve">En el presente caso la Comisión recuerda que la presunta víctima fue sancionada con base en los numerales 1 y 4 del artículo 323 del Código Orgánico de Tribunales que prohíbe a los funcionarios judiciales respectivamente “dirigir al Poder ejecutivo, a funcionarios públicos o corporaciones oficiales, felicitaciones o censuras por sus actos” y “publicar, sin autorización del Presidente de la Corte Suprema, escritos en defensa de su conducta oficial o atacar en cualquier forma, la de otros jueces o magistrados”.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lang w:val="es-UY"/>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910616">
        <w:rPr>
          <w:rFonts w:ascii="Cambria" w:hAnsi="Cambria"/>
          <w:sz w:val="20"/>
          <w:szCs w:val="20"/>
          <w:lang w:val="es-VE"/>
        </w:rPr>
        <w:t>La CIDH destaca la excesiva amplitud del numeral 4 del artículo 323 sobre todo en la parte que indica atacar “en cualquier forma” la conducta de jueces o magistrados. La Comisión considera que esta causal es en sí misma incompatible con el principio de legalidad que, como se indicó, resulta aplicable al ámbito disciplinario y debe tener especial rigor cuando se trata de causales dis</w:t>
      </w:r>
      <w:r w:rsidR="00667FE4">
        <w:rPr>
          <w:rFonts w:ascii="Cambria" w:hAnsi="Cambria"/>
          <w:sz w:val="20"/>
          <w:szCs w:val="20"/>
          <w:lang w:val="es-VE"/>
        </w:rPr>
        <w:t>ciplinarias contra jueces y juez</w:t>
      </w:r>
      <w:r w:rsidRPr="00910616">
        <w:rPr>
          <w:rFonts w:ascii="Cambria" w:hAnsi="Cambria"/>
          <w:sz w:val="20"/>
          <w:szCs w:val="20"/>
          <w:lang w:val="es-VE"/>
        </w:rPr>
        <w:t xml:space="preserve">as, en atención al principio de independencia judicial.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VE"/>
        </w:rPr>
      </w:pPr>
    </w:p>
    <w:p w:rsidR="00910616" w:rsidRPr="00E228EF" w:rsidRDefault="00910616" w:rsidP="00E228EF">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910616">
        <w:rPr>
          <w:rFonts w:ascii="Cambria" w:hAnsi="Cambria"/>
          <w:sz w:val="20"/>
          <w:szCs w:val="20"/>
          <w:lang w:val="es-VE"/>
        </w:rPr>
        <w:t xml:space="preserve">La Comisión estima que dicha amplitud impidió que la presunta víctima </w:t>
      </w:r>
      <w:r w:rsidR="00E228EF">
        <w:rPr>
          <w:rFonts w:ascii="Cambria" w:hAnsi="Cambria"/>
          <w:sz w:val="20"/>
          <w:szCs w:val="20"/>
          <w:lang w:val="es-VE"/>
        </w:rPr>
        <w:t xml:space="preserve">tuviera claridad sobre lo requerido por la ley, </w:t>
      </w:r>
      <w:r w:rsidRPr="00E228EF">
        <w:rPr>
          <w:rFonts w:ascii="Cambria" w:hAnsi="Cambria"/>
          <w:sz w:val="20"/>
          <w:szCs w:val="20"/>
          <w:lang w:val="es-VE"/>
        </w:rPr>
        <w:t xml:space="preserve">pues no resulta razonable inferir que </w:t>
      </w:r>
      <w:r w:rsidR="00E228EF">
        <w:rPr>
          <w:rFonts w:ascii="Cambria" w:hAnsi="Cambria"/>
          <w:sz w:val="20"/>
          <w:szCs w:val="20"/>
          <w:lang w:val="es-VE"/>
        </w:rPr>
        <w:t>un análisis crítico sobre</w:t>
      </w:r>
      <w:r w:rsidRPr="00E228EF">
        <w:rPr>
          <w:rFonts w:ascii="Cambria" w:hAnsi="Cambria"/>
          <w:sz w:val="20"/>
          <w:szCs w:val="20"/>
          <w:lang w:val="es-VE"/>
        </w:rPr>
        <w:t xml:space="preserve"> la posición del Poder Judicial chileno durante el régimen militar, pueda calificarse como un ataque a los superiores. La Comisión no deja de notar que el documento no contiene ninguna agresión o calificativo ofensivo en contra de individuos pertenecientes a la Corte Suprema o al Poder Judicial. En ese sentido,  la Comisión subraya que la manera como está redactada la causal disciplinaria no solamente afectó la previsibilidad de las conductas que, conforme a la norma resultan reprochables, sino posibilitó que las autoridades disciplinarias contaran con un amplísimo margen de discrecionalidad para la calificación de lo que constituye un “ataque”.  </w:t>
      </w:r>
    </w:p>
    <w:p w:rsidR="00910616" w:rsidRPr="00910616" w:rsidRDefault="00910616" w:rsidP="00910616">
      <w:pPr>
        <w:rPr>
          <w:rFonts w:ascii="Cambria" w:hAnsi="Cambria"/>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UY" w:eastAsia="es-ES"/>
        </w:rPr>
      </w:pPr>
      <w:r w:rsidRPr="00910616">
        <w:rPr>
          <w:rFonts w:ascii="Cambria" w:hAnsi="Cambria"/>
          <w:sz w:val="20"/>
          <w:szCs w:val="20"/>
          <w:lang w:val="es-VE"/>
        </w:rPr>
        <w:t xml:space="preserve">En virtud de lo anterior, la CIDH estima que el Estado chileno violó el artículo 9 de la Convención Americana en relación con los artículos 1.1 y 2 del mismo instrumento en perjuicio de Daniel Urrutia </w:t>
      </w:r>
      <w:proofErr w:type="spellStart"/>
      <w:r w:rsidRPr="00910616">
        <w:rPr>
          <w:rFonts w:ascii="Cambria" w:hAnsi="Cambria"/>
          <w:sz w:val="20"/>
          <w:szCs w:val="20"/>
          <w:lang w:val="es-VE"/>
        </w:rPr>
        <w:t>La</w:t>
      </w:r>
      <w:r w:rsidR="001E1ED6">
        <w:rPr>
          <w:rFonts w:ascii="Cambria" w:hAnsi="Cambria"/>
          <w:sz w:val="20"/>
          <w:szCs w:val="20"/>
          <w:lang w:val="es-VE"/>
        </w:rPr>
        <w:t>u</w:t>
      </w:r>
      <w:r w:rsidRPr="00910616">
        <w:rPr>
          <w:rFonts w:ascii="Cambria" w:hAnsi="Cambria"/>
          <w:sz w:val="20"/>
          <w:szCs w:val="20"/>
          <w:lang w:val="es-VE"/>
        </w:rPr>
        <w:t>breaux</w:t>
      </w:r>
      <w:proofErr w:type="spellEnd"/>
      <w:r w:rsidRPr="00910616">
        <w:rPr>
          <w:rFonts w:ascii="Cambria" w:hAnsi="Cambria"/>
          <w:sz w:val="20"/>
          <w:szCs w:val="20"/>
          <w:lang w:val="es-VE"/>
        </w:rPr>
        <w:t>.</w:t>
      </w:r>
    </w:p>
    <w:p w:rsidR="00910616" w:rsidRPr="00A27208" w:rsidRDefault="00910616" w:rsidP="0058691F">
      <w:pPr>
        <w:pStyle w:val="Heading2"/>
        <w:numPr>
          <w:ilvl w:val="0"/>
          <w:numId w:val="54"/>
        </w:numPr>
        <w:ind w:firstLine="0"/>
        <w:rPr>
          <w:rFonts w:ascii="Cambria" w:hAnsi="Cambria"/>
          <w:sz w:val="20"/>
          <w:szCs w:val="20"/>
          <w:lang w:val="es-ES"/>
        </w:rPr>
      </w:pPr>
      <w:bookmarkStart w:id="40" w:name="_Toc505532535"/>
      <w:bookmarkStart w:id="41" w:name="_Toc505936571"/>
      <w:r w:rsidRPr="00A27208">
        <w:rPr>
          <w:rFonts w:ascii="Cambria" w:hAnsi="Cambria"/>
          <w:i w:val="0"/>
          <w:sz w:val="20"/>
          <w:szCs w:val="20"/>
          <w:lang w:val="es-ES"/>
        </w:rPr>
        <w:t>Libertad de pensamiento y expresión</w:t>
      </w:r>
      <w:r w:rsidRPr="00A27208">
        <w:rPr>
          <w:rStyle w:val="FootnoteReference"/>
          <w:rFonts w:ascii="Cambria" w:hAnsi="Cambria"/>
          <w:i w:val="0"/>
          <w:sz w:val="20"/>
          <w:szCs w:val="20"/>
          <w:lang w:val="es-ES"/>
        </w:rPr>
        <w:footnoteReference w:id="51"/>
      </w:r>
      <w:bookmarkEnd w:id="40"/>
      <w:bookmarkEnd w:id="41"/>
    </w:p>
    <w:p w:rsidR="00910616" w:rsidRPr="00910616" w:rsidRDefault="00910616" w:rsidP="00910616">
      <w:pPr>
        <w:rPr>
          <w:rFonts w:ascii="Cambria" w:hAnsi="Cambria"/>
          <w:sz w:val="20"/>
          <w:szCs w:val="20"/>
          <w:lang w:val="es-ES"/>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sidRPr="00910616">
        <w:rPr>
          <w:rFonts w:ascii="Cambria" w:hAnsi="Cambria" w:cs="Verdana"/>
          <w:sz w:val="20"/>
          <w:szCs w:val="20"/>
          <w:lang w:val="es-UY"/>
        </w:rPr>
        <w:t>La Comisión recuerda que la libertad de expresión es un derecho de toda persona, el cual debe ejercerse en condiciones de igualdad y no discriminación. Según ha señalado la jurisprudencia, la titularidad del derecho a la libertad de expresión consagrada en la Convención Americana no puede restringirse a determinada profesión o grupo de personas, ni al ámbito de la libertad de prensa. Esta perspectiva amplía de la titularidad del derecho incluye, por supuesto a los jueces, quienes no dejan de lado sus derechos fundamentales al asumir sus cargos sino que gozan, al igual que el resto de las personas, del derecho a la libertad de expresión</w:t>
      </w:r>
      <w:r w:rsidRPr="00910616">
        <w:rPr>
          <w:rStyle w:val="FootnoteReference"/>
          <w:rFonts w:ascii="Cambria" w:hAnsi="Cambria" w:cs="Verdana"/>
          <w:sz w:val="20"/>
          <w:szCs w:val="20"/>
          <w:lang w:val="es-UY"/>
        </w:rPr>
        <w:footnoteReference w:id="52"/>
      </w:r>
      <w:r w:rsidRPr="00910616">
        <w:rPr>
          <w:rFonts w:ascii="Cambria" w:hAnsi="Cambria" w:cs="Verdana"/>
          <w:sz w:val="20"/>
          <w:szCs w:val="20"/>
          <w:lang w:val="es-UY"/>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lang w:val="es-UY"/>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sidRPr="00910616">
        <w:rPr>
          <w:rFonts w:ascii="Cambria" w:hAnsi="Cambria" w:cs="Verdana"/>
          <w:sz w:val="20"/>
          <w:szCs w:val="20"/>
          <w:lang w:val="es-UY"/>
        </w:rPr>
        <w:t>La doctrina y jurisprudencia interamericana ha</w:t>
      </w:r>
      <w:r w:rsidR="00A11466">
        <w:rPr>
          <w:rFonts w:ascii="Cambria" w:hAnsi="Cambria" w:cs="Verdana"/>
          <w:sz w:val="20"/>
          <w:szCs w:val="20"/>
          <w:lang w:val="es-UY"/>
        </w:rPr>
        <w:t>n</w:t>
      </w:r>
      <w:r w:rsidRPr="00910616">
        <w:rPr>
          <w:rFonts w:ascii="Cambria" w:hAnsi="Cambria" w:cs="Verdana"/>
          <w:sz w:val="20"/>
          <w:szCs w:val="20"/>
          <w:lang w:val="es-UY"/>
        </w:rPr>
        <w:t xml:space="preserve"> admitido que el ejercicio del derecho a la libertad de expresión por parte de funcionarios públicos, específicamente jueces,  tiene ciertas connotaciones </w:t>
      </w:r>
      <w:r w:rsidRPr="00910616">
        <w:rPr>
          <w:rFonts w:ascii="Cambria" w:hAnsi="Cambria" w:cs="Verdana"/>
          <w:sz w:val="20"/>
          <w:szCs w:val="20"/>
          <w:lang w:val="es-UY"/>
        </w:rPr>
        <w:lastRenderedPageBreak/>
        <w:t xml:space="preserve">y características específicas y que este derecho puede </w:t>
      </w:r>
      <w:r w:rsidRPr="00910616">
        <w:rPr>
          <w:rFonts w:ascii="Cambria" w:hAnsi="Cambria"/>
          <w:sz w:val="20"/>
          <w:szCs w:val="20"/>
          <w:lang w:val="es-VE"/>
        </w:rPr>
        <w:t>ser restringido cuando afecte la independencia e imparcialidad que requieren en los casos en los cuales participan</w:t>
      </w:r>
      <w:r w:rsidRPr="00910616">
        <w:rPr>
          <w:rStyle w:val="FootnoteReference"/>
          <w:rFonts w:ascii="Cambria" w:hAnsi="Cambria"/>
          <w:sz w:val="20"/>
          <w:szCs w:val="20"/>
          <w:lang w:val="es-VE"/>
        </w:rPr>
        <w:footnoteReference w:id="53"/>
      </w:r>
      <w:r w:rsidRPr="00910616">
        <w:rPr>
          <w:rFonts w:ascii="Cambria" w:hAnsi="Cambria"/>
          <w:sz w:val="20"/>
          <w:szCs w:val="20"/>
          <w:lang w:val="es-VE"/>
        </w:rPr>
        <w:t xml:space="preserve">. </w:t>
      </w:r>
    </w:p>
    <w:p w:rsidR="00910616" w:rsidRPr="00910616" w:rsidRDefault="00910616" w:rsidP="00910616">
      <w:pPr>
        <w:pStyle w:val="ListParagraph"/>
        <w:rPr>
          <w:rFonts w:cs="Verdana"/>
          <w:sz w:val="20"/>
          <w:szCs w:val="20"/>
          <w:lang w:val="es-UY"/>
        </w:rPr>
      </w:pPr>
    </w:p>
    <w:p w:rsidR="00A27208" w:rsidRDefault="00A27208"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Pr>
          <w:rFonts w:ascii="Cambria" w:hAnsi="Cambria" w:cs="Verdana"/>
          <w:sz w:val="20"/>
          <w:szCs w:val="20"/>
          <w:lang w:val="es-UY"/>
        </w:rPr>
        <w:t xml:space="preserve">En el informe de fondo del caso Adriana Beatriz Gallo respecto de </w:t>
      </w:r>
      <w:r w:rsidR="005D3C08">
        <w:rPr>
          <w:rFonts w:ascii="Cambria" w:hAnsi="Cambria" w:cs="Verdana"/>
          <w:sz w:val="20"/>
          <w:szCs w:val="20"/>
          <w:lang w:val="es-UY"/>
        </w:rPr>
        <w:t>Argentina</w:t>
      </w:r>
      <w:r w:rsidR="006C6C49">
        <w:rPr>
          <w:rFonts w:ascii="Cambria" w:hAnsi="Cambria" w:cs="Verdana"/>
          <w:sz w:val="20"/>
          <w:szCs w:val="20"/>
          <w:lang w:val="es-UY"/>
        </w:rPr>
        <w:t xml:space="preserve">, la CIDH indicó </w:t>
      </w:r>
      <w:r>
        <w:rPr>
          <w:rFonts w:ascii="Cambria" w:hAnsi="Cambria" w:cs="Verdana"/>
          <w:sz w:val="20"/>
          <w:szCs w:val="20"/>
          <w:lang w:val="es-UY"/>
        </w:rPr>
        <w:t xml:space="preserve"> respecto de la libertad de expresi</w:t>
      </w:r>
      <w:r w:rsidR="0045511E">
        <w:rPr>
          <w:rFonts w:ascii="Cambria" w:hAnsi="Cambria" w:cs="Verdana"/>
          <w:sz w:val="20"/>
          <w:szCs w:val="20"/>
          <w:lang w:val="es-UY"/>
        </w:rPr>
        <w:t>ón de jueces</w:t>
      </w:r>
      <w:r w:rsidR="006C6C49">
        <w:rPr>
          <w:rFonts w:ascii="Cambria" w:hAnsi="Cambria" w:cs="Verdana"/>
          <w:sz w:val="20"/>
          <w:szCs w:val="20"/>
          <w:lang w:val="es-UY"/>
        </w:rPr>
        <w:t>,</w:t>
      </w:r>
      <w:r w:rsidR="0045511E">
        <w:rPr>
          <w:rFonts w:ascii="Cambria" w:hAnsi="Cambria" w:cs="Verdana"/>
          <w:sz w:val="20"/>
          <w:szCs w:val="20"/>
          <w:lang w:val="es-UY"/>
        </w:rPr>
        <w:t xml:space="preserve"> que el ejercicio pleno del derecho a expresar las propias ideas y opiniones y a circular la información disponible y la posibilidad de deliberar de manera abierta y desinhibida sobre los asuntos de interés público es condición indispensable para el adecuado funcionamiento de los regímenes democráticos. Por esta razón, las expresiones atinentes a asuntos de interés público gozan de mayor protección bajo la Convención Americana. Lo anterior implica que el Estado debe abstenerse con mayor rigor de establecer limitaciones a estas formas de expresión. Dada la importancia del control de la gestión pública a través de la libre expresión, cualquier restricción del debate político o de cuestiones de interés público presenta un muy reducido margen de actuación y deben ser estrictamente necesarias en una sociedad democrática. </w:t>
      </w:r>
    </w:p>
    <w:p w:rsidR="00A27208" w:rsidRDefault="00A27208" w:rsidP="00A27208">
      <w:pPr>
        <w:pStyle w:val="ListParagraph"/>
        <w:rPr>
          <w:rFonts w:cs="Verdana"/>
          <w:sz w:val="20"/>
          <w:szCs w:val="20"/>
          <w:lang w:val="es-UY"/>
        </w:rPr>
      </w:pPr>
    </w:p>
    <w:p w:rsidR="00C96CED" w:rsidRPr="009012AD" w:rsidRDefault="0045511E"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Pr>
          <w:rFonts w:ascii="Cambria" w:hAnsi="Cambria" w:cs="Verdana"/>
          <w:sz w:val="20"/>
          <w:szCs w:val="20"/>
          <w:lang w:val="es-UY"/>
        </w:rPr>
        <w:t xml:space="preserve">De igual forma, en el Caso López </w:t>
      </w:r>
      <w:proofErr w:type="spellStart"/>
      <w:r>
        <w:rPr>
          <w:rFonts w:ascii="Cambria" w:hAnsi="Cambria" w:cs="Verdana"/>
          <w:sz w:val="20"/>
          <w:szCs w:val="20"/>
          <w:lang w:val="es-UY"/>
        </w:rPr>
        <w:t>Lone</w:t>
      </w:r>
      <w:proofErr w:type="spellEnd"/>
      <w:r>
        <w:rPr>
          <w:rFonts w:ascii="Cambria" w:hAnsi="Cambria" w:cs="Verdana"/>
          <w:sz w:val="20"/>
          <w:szCs w:val="20"/>
          <w:lang w:val="es-UY"/>
        </w:rPr>
        <w:t>, l</w:t>
      </w:r>
      <w:r w:rsidR="00910616" w:rsidRPr="009012AD">
        <w:rPr>
          <w:rFonts w:ascii="Cambria" w:hAnsi="Cambria" w:cs="Verdana"/>
          <w:sz w:val="20"/>
          <w:szCs w:val="20"/>
          <w:lang w:val="es-UY"/>
        </w:rPr>
        <w:t>a Corte</w:t>
      </w:r>
      <w:r w:rsidR="00C96CED" w:rsidRPr="009012AD">
        <w:rPr>
          <w:rFonts w:ascii="Cambria" w:hAnsi="Cambria" w:cs="Verdana"/>
          <w:sz w:val="20"/>
          <w:szCs w:val="20"/>
          <w:lang w:val="es-UY"/>
        </w:rPr>
        <w:t xml:space="preserve"> Interamericana</w:t>
      </w:r>
      <w:r w:rsidR="00910616" w:rsidRPr="009012AD">
        <w:rPr>
          <w:rFonts w:ascii="Cambria" w:hAnsi="Cambria" w:cs="Verdana"/>
          <w:sz w:val="20"/>
          <w:szCs w:val="20"/>
          <w:lang w:val="es-UY"/>
        </w:rPr>
        <w:t xml:space="preserve"> </w:t>
      </w:r>
      <w:r w:rsidR="0029411E">
        <w:rPr>
          <w:rFonts w:ascii="Cambria" w:hAnsi="Cambria" w:cs="Verdana"/>
          <w:sz w:val="20"/>
          <w:szCs w:val="20"/>
          <w:lang w:val="es-UY"/>
        </w:rPr>
        <w:t>indicó</w:t>
      </w:r>
      <w:r w:rsidR="00910616" w:rsidRPr="009012AD">
        <w:rPr>
          <w:rFonts w:ascii="Cambria" w:hAnsi="Cambria" w:cs="Verdana"/>
          <w:sz w:val="20"/>
          <w:szCs w:val="20"/>
          <w:lang w:val="es-UY"/>
        </w:rPr>
        <w:t xml:space="preserve"> que la libertad de expresión, particularmente en asuntos de interés público “es una piedra angular en la existencia mism</w:t>
      </w:r>
      <w:r w:rsidR="00C96CED" w:rsidRPr="009012AD">
        <w:rPr>
          <w:rFonts w:ascii="Cambria" w:hAnsi="Cambria" w:cs="Verdana"/>
          <w:sz w:val="20"/>
          <w:szCs w:val="20"/>
          <w:lang w:val="es-UY"/>
        </w:rPr>
        <w:t>a de una sociedad democrática. Sin una efectiva garantía de la libertad de expresión se debilita el sistema democrático y sufren quebranto el pluralismo y la tolerancia; los mecanismos de control y denuncia ciudadana pueden volverse inoperantes, y en definitiva, se crea un campo fértil para que arraiguen sistemas autoritarios”</w:t>
      </w:r>
      <w:r w:rsidR="00C96CED" w:rsidRPr="009012AD">
        <w:rPr>
          <w:rStyle w:val="FootnoteReference"/>
          <w:rFonts w:ascii="Cambria" w:hAnsi="Cambria" w:cs="Verdana"/>
          <w:sz w:val="20"/>
          <w:szCs w:val="20"/>
          <w:lang w:val="es-UY"/>
        </w:rPr>
        <w:footnoteReference w:id="54"/>
      </w:r>
      <w:r w:rsidR="00C96CED" w:rsidRPr="009012AD">
        <w:rPr>
          <w:rFonts w:ascii="Cambria" w:hAnsi="Cambria" w:cs="Verdana"/>
          <w:sz w:val="20"/>
          <w:szCs w:val="20"/>
          <w:lang w:val="es-UY"/>
        </w:rPr>
        <w:t xml:space="preserve">. </w:t>
      </w:r>
      <w:r w:rsidR="000E1E4F">
        <w:rPr>
          <w:rFonts w:ascii="Cambria" w:hAnsi="Cambria" w:cs="Verdana"/>
          <w:sz w:val="20"/>
          <w:szCs w:val="20"/>
          <w:lang w:val="es-UY"/>
        </w:rPr>
        <w:t>El Tribunal también indicó que la defensa de la democracia no solo es el ejercicio de un derecho sino el cumplimiento de un deber</w:t>
      </w:r>
      <w:r w:rsidR="000E1E4F" w:rsidRPr="009012AD">
        <w:rPr>
          <w:rStyle w:val="FootnoteReference"/>
          <w:rFonts w:ascii="Cambria" w:hAnsi="Cambria" w:cs="Verdana"/>
          <w:sz w:val="20"/>
          <w:szCs w:val="20"/>
          <w:lang w:val="es-UY"/>
        </w:rPr>
        <w:footnoteReference w:id="55"/>
      </w:r>
      <w:r w:rsidR="000E1E4F">
        <w:rPr>
          <w:rFonts w:ascii="Cambria" w:hAnsi="Cambria" w:cs="Verdana"/>
          <w:sz w:val="20"/>
          <w:szCs w:val="20"/>
          <w:lang w:val="es-UY"/>
        </w:rPr>
        <w:t xml:space="preserve">. </w:t>
      </w:r>
    </w:p>
    <w:p w:rsidR="00C96CED" w:rsidRDefault="00C96CED" w:rsidP="00C96CED">
      <w:pPr>
        <w:pStyle w:val="ListParagraph"/>
        <w:rPr>
          <w:rFonts w:cs="Verdana"/>
          <w:sz w:val="20"/>
          <w:szCs w:val="20"/>
          <w:lang w:val="es-UY"/>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sidRPr="00910616">
        <w:rPr>
          <w:rFonts w:ascii="Cambria" w:hAnsi="Cambria" w:cs="Verdana"/>
          <w:sz w:val="20"/>
          <w:szCs w:val="20"/>
          <w:lang w:val="es-UY"/>
        </w:rPr>
        <w:t>En el mismo sentido</w:t>
      </w:r>
      <w:r w:rsidR="006C6C49">
        <w:rPr>
          <w:rFonts w:ascii="Cambria" w:hAnsi="Cambria" w:cs="Verdana"/>
          <w:sz w:val="20"/>
          <w:szCs w:val="20"/>
          <w:lang w:val="es-UY"/>
        </w:rPr>
        <w:t>,</w:t>
      </w:r>
      <w:r w:rsidRPr="00910616">
        <w:rPr>
          <w:rFonts w:ascii="Cambria" w:hAnsi="Cambria" w:cs="Verdana"/>
          <w:sz w:val="20"/>
          <w:szCs w:val="20"/>
          <w:lang w:val="es-UY"/>
        </w:rPr>
        <w:t xml:space="preserve"> la CIDH ha referido que la legítima protección de los principios de independencia e imparcialidad de la función judicial no puede significar la expectativa de acallar al juez respecto de todos los asuntos de relevancia pública sino que las limitaciones deben hacer un balance adecuado entre el derecho de expresión y el deber de reserva y prudencia de los jueces, necesaria para proteger la independencia y autonomía de su función</w:t>
      </w:r>
      <w:r w:rsidRPr="00910616">
        <w:rPr>
          <w:rStyle w:val="FootnoteReference"/>
          <w:rFonts w:ascii="Cambria" w:hAnsi="Cambria" w:cs="Verdana"/>
          <w:sz w:val="20"/>
          <w:szCs w:val="20"/>
          <w:lang w:val="es-UY"/>
        </w:rPr>
        <w:footnoteReference w:id="56"/>
      </w:r>
      <w:r w:rsidRPr="00910616">
        <w:rPr>
          <w:rFonts w:ascii="Cambria" w:hAnsi="Cambria" w:cs="Verdana"/>
          <w:sz w:val="20"/>
          <w:szCs w:val="20"/>
          <w:lang w:val="es-UY"/>
        </w:rPr>
        <w:t>. En su declaración conjunta de 2002, los relatores para la libertad de expresión de la ONU, la CIDH y la OSCE afirmaron que “el derecho de los jueces a la libertad de expresión y a formular comentarios sobre asuntos de interés público sólo debe estar sometido a restricciones claramente delimitadas conforme sea necesario para proteger su independencia e imparcialidad”</w:t>
      </w:r>
      <w:r w:rsidRPr="00910616">
        <w:rPr>
          <w:rStyle w:val="FootnoteReference"/>
          <w:rFonts w:ascii="Cambria" w:hAnsi="Cambria" w:cs="Verdana"/>
          <w:sz w:val="20"/>
          <w:szCs w:val="20"/>
          <w:lang w:val="es-UY"/>
        </w:rPr>
        <w:footnoteReference w:id="57"/>
      </w:r>
      <w:r w:rsidRPr="00910616">
        <w:rPr>
          <w:rFonts w:ascii="Cambria" w:hAnsi="Cambria" w:cs="Verdana"/>
          <w:sz w:val="20"/>
          <w:szCs w:val="20"/>
          <w:lang w:val="es-UY"/>
        </w:rPr>
        <w:t xml:space="preserve">. </w:t>
      </w:r>
    </w:p>
    <w:p w:rsidR="00910616" w:rsidRPr="00910616" w:rsidRDefault="00910616" w:rsidP="00910616">
      <w:pPr>
        <w:pStyle w:val="ListParagraph"/>
        <w:rPr>
          <w:sz w:val="20"/>
          <w:szCs w:val="20"/>
          <w:lang w:val="es-ES"/>
        </w:rPr>
      </w:pPr>
    </w:p>
    <w:p w:rsidR="00910616" w:rsidRPr="004D2791"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sidRPr="00910616">
        <w:rPr>
          <w:rFonts w:ascii="Cambria" w:hAnsi="Cambria"/>
          <w:sz w:val="20"/>
          <w:szCs w:val="20"/>
          <w:lang w:val="es-ES"/>
        </w:rPr>
        <w:t>Por su parte, los principios de Bangalore sobre la conducta judicial establecen que “un juez, como cualquier otro ciudadano, tiene derecho a la libertad de expresión y de creencias, derecho de asociación y de reunión pero, cuando ejerza los citados derechos y libertades, se comportará siempre de forma que preserve la dignidad de las funciones jurisdiccionales y la imparcialidad e independencia de la judicatura”</w:t>
      </w:r>
      <w:r w:rsidRPr="00910616">
        <w:rPr>
          <w:rStyle w:val="FootnoteReference"/>
          <w:rFonts w:ascii="Cambria" w:hAnsi="Cambria"/>
          <w:sz w:val="20"/>
          <w:szCs w:val="20"/>
          <w:lang w:val="es-ES"/>
        </w:rPr>
        <w:footnoteReference w:id="58"/>
      </w:r>
      <w:r w:rsidRPr="00910616">
        <w:rPr>
          <w:rFonts w:ascii="Cambria" w:hAnsi="Cambria"/>
          <w:sz w:val="20"/>
          <w:szCs w:val="20"/>
          <w:lang w:val="es-ES"/>
        </w:rPr>
        <w:t>.</w:t>
      </w:r>
      <w:r w:rsidRPr="00910616">
        <w:rPr>
          <w:rFonts w:ascii="Cambria" w:hAnsi="Cambria" w:cs="Verdana"/>
          <w:sz w:val="20"/>
          <w:szCs w:val="20"/>
          <w:lang w:val="es-UY"/>
        </w:rPr>
        <w:t xml:space="preserve"> </w:t>
      </w:r>
      <w:r w:rsidRPr="00910616">
        <w:rPr>
          <w:rFonts w:ascii="Cambria" w:hAnsi="Cambria"/>
          <w:sz w:val="20"/>
          <w:szCs w:val="20"/>
          <w:lang w:val="es-ES"/>
        </w:rPr>
        <w:t xml:space="preserve">Asimismo, los Principios Básicos de Naciones Unidas relativos a la </w:t>
      </w:r>
      <w:r w:rsidR="006C6C49">
        <w:rPr>
          <w:rFonts w:ascii="Cambria" w:hAnsi="Cambria"/>
          <w:sz w:val="20"/>
          <w:szCs w:val="20"/>
          <w:lang w:val="es-ES"/>
        </w:rPr>
        <w:t xml:space="preserve">Independencia de la Judicatura </w:t>
      </w:r>
      <w:r w:rsidRPr="00910616">
        <w:rPr>
          <w:rFonts w:ascii="Cambria" w:hAnsi="Cambria"/>
          <w:sz w:val="20"/>
          <w:szCs w:val="20"/>
          <w:lang w:val="es-ES"/>
        </w:rPr>
        <w:t>reconocen que (…) al igual que los demás ciudadanos, los miembros de la judicatura gozarán de las libertades de expresión, creencias, asociación y reunión, con la salvedad de que, en el ejercicio de esos derechos, los jueces se conducirán en todo momento de manera que preserv</w:t>
      </w:r>
      <w:r w:rsidR="006C6C49">
        <w:rPr>
          <w:rFonts w:ascii="Cambria" w:hAnsi="Cambria"/>
          <w:sz w:val="20"/>
          <w:szCs w:val="20"/>
          <w:lang w:val="es-ES"/>
        </w:rPr>
        <w:t xml:space="preserve">e la dignidad de sus funciones y </w:t>
      </w:r>
      <w:r w:rsidRPr="00910616">
        <w:rPr>
          <w:rFonts w:ascii="Cambria" w:hAnsi="Cambria"/>
          <w:sz w:val="20"/>
          <w:szCs w:val="20"/>
          <w:lang w:val="es-ES"/>
        </w:rPr>
        <w:t>la imparcialidad e independencia de la judicatura</w:t>
      </w:r>
      <w:r w:rsidRPr="00910616">
        <w:rPr>
          <w:rStyle w:val="FootnoteReference"/>
          <w:rFonts w:ascii="Cambria" w:hAnsi="Cambria"/>
          <w:sz w:val="20"/>
          <w:szCs w:val="20"/>
          <w:lang w:val="es-ES"/>
        </w:rPr>
        <w:footnoteReference w:id="59"/>
      </w:r>
      <w:r w:rsidRPr="00910616">
        <w:rPr>
          <w:rFonts w:ascii="Cambria" w:hAnsi="Cambria"/>
          <w:sz w:val="20"/>
          <w:szCs w:val="20"/>
          <w:lang w:val="es-ES"/>
        </w:rPr>
        <w:t xml:space="preserve">. </w:t>
      </w:r>
    </w:p>
    <w:p w:rsidR="004D2791" w:rsidRPr="00910616" w:rsidRDefault="004D2791" w:rsidP="004D2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Verdana"/>
          <w:sz w:val="20"/>
          <w:szCs w:val="20"/>
          <w:lang w:val="es-UY"/>
        </w:rPr>
      </w:pPr>
    </w:p>
    <w:p w:rsidR="00910616" w:rsidRPr="00910616" w:rsidRDefault="00577C49"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Pr>
          <w:rFonts w:ascii="Cambria" w:hAnsi="Cambria" w:cs="Verdana"/>
          <w:sz w:val="20"/>
          <w:szCs w:val="20"/>
          <w:lang w:val="es-UY"/>
        </w:rPr>
        <w:t xml:space="preserve">Asimismo, </w:t>
      </w:r>
      <w:r w:rsidR="00910616" w:rsidRPr="00910616">
        <w:rPr>
          <w:rFonts w:ascii="Cambria" w:hAnsi="Cambria"/>
          <w:sz w:val="20"/>
          <w:szCs w:val="20"/>
          <w:lang w:val="es-VE"/>
        </w:rPr>
        <w:t xml:space="preserve"> el Tribunal Europeo, en el caso </w:t>
      </w:r>
      <w:proofErr w:type="spellStart"/>
      <w:r w:rsidR="00910616" w:rsidRPr="00910616">
        <w:rPr>
          <w:rFonts w:ascii="Cambria" w:hAnsi="Cambria"/>
          <w:sz w:val="20"/>
          <w:szCs w:val="20"/>
          <w:lang w:val="es-VE"/>
        </w:rPr>
        <w:t>Baka</w:t>
      </w:r>
      <w:proofErr w:type="spellEnd"/>
      <w:r w:rsidR="00910616" w:rsidRPr="00910616">
        <w:rPr>
          <w:rFonts w:ascii="Cambria" w:hAnsi="Cambria"/>
          <w:sz w:val="20"/>
          <w:szCs w:val="20"/>
          <w:lang w:val="es-VE"/>
        </w:rPr>
        <w:t xml:space="preserve"> contra Hungría, indicó que “los asuntos que conciernen al funcionamiento del sistema judicial constituyen cuestiones de interés público, cuyo debate goza de la protección del artículo 10 de la Convención Europea de Derechos Humanos”</w:t>
      </w:r>
      <w:r w:rsidR="00910616" w:rsidRPr="00910616">
        <w:rPr>
          <w:rStyle w:val="FootnoteReference"/>
          <w:rFonts w:ascii="Cambria" w:hAnsi="Cambria"/>
          <w:sz w:val="20"/>
          <w:szCs w:val="20"/>
          <w:lang w:val="es-VE"/>
        </w:rPr>
        <w:t xml:space="preserve"> </w:t>
      </w:r>
      <w:r w:rsidR="00910616" w:rsidRPr="00910616">
        <w:rPr>
          <w:rStyle w:val="FootnoteReference"/>
          <w:rFonts w:ascii="Cambria" w:hAnsi="Cambria"/>
          <w:sz w:val="20"/>
          <w:szCs w:val="20"/>
          <w:lang w:val="es-VE"/>
        </w:rPr>
        <w:footnoteReference w:id="60"/>
      </w:r>
      <w:r w:rsidR="00910616" w:rsidRPr="00910616">
        <w:rPr>
          <w:rFonts w:ascii="Cambria" w:hAnsi="Cambria"/>
          <w:sz w:val="20"/>
          <w:szCs w:val="20"/>
          <w:lang w:val="es-VE"/>
        </w:rPr>
        <w:t xml:space="preserve">. Adicionalmente, en el caso </w:t>
      </w:r>
      <w:proofErr w:type="spellStart"/>
      <w:r w:rsidR="00910616" w:rsidRPr="00910616">
        <w:rPr>
          <w:rFonts w:ascii="Cambria" w:hAnsi="Cambria"/>
          <w:sz w:val="20"/>
          <w:szCs w:val="20"/>
          <w:lang w:val="es-VE"/>
        </w:rPr>
        <w:t>Kudeshkina</w:t>
      </w:r>
      <w:proofErr w:type="spellEnd"/>
      <w:r w:rsidR="00910616" w:rsidRPr="00910616">
        <w:rPr>
          <w:rFonts w:ascii="Cambria" w:hAnsi="Cambria"/>
          <w:sz w:val="20"/>
          <w:szCs w:val="20"/>
          <w:lang w:val="es-VE"/>
        </w:rPr>
        <w:t xml:space="preserve"> vs. </w:t>
      </w:r>
      <w:proofErr w:type="spellStart"/>
      <w:r w:rsidR="00910616" w:rsidRPr="00910616">
        <w:rPr>
          <w:rFonts w:ascii="Cambria" w:hAnsi="Cambria"/>
          <w:sz w:val="20"/>
          <w:szCs w:val="20"/>
          <w:lang w:val="es-VE"/>
        </w:rPr>
        <w:t>Russia</w:t>
      </w:r>
      <w:proofErr w:type="spellEnd"/>
      <w:r w:rsidR="00910616" w:rsidRPr="00910616">
        <w:rPr>
          <w:rFonts w:ascii="Cambria" w:hAnsi="Cambria"/>
          <w:sz w:val="20"/>
          <w:szCs w:val="20"/>
          <w:lang w:val="es-VE"/>
        </w:rPr>
        <w:t>, el Tribunal Europeo resolvió que la remoción de una jueza por haber realizado críticas públicas respecto de la falta de independenc</w:t>
      </w:r>
      <w:r w:rsidR="006C6C49">
        <w:rPr>
          <w:rFonts w:ascii="Cambria" w:hAnsi="Cambria"/>
          <w:sz w:val="20"/>
          <w:szCs w:val="20"/>
          <w:lang w:val="es-VE"/>
        </w:rPr>
        <w:t>ia del poder judicial violaba su</w:t>
      </w:r>
      <w:r w:rsidR="00910616" w:rsidRPr="00910616">
        <w:rPr>
          <w:rFonts w:ascii="Cambria" w:hAnsi="Cambria"/>
          <w:sz w:val="20"/>
          <w:szCs w:val="20"/>
          <w:lang w:val="es-VE"/>
        </w:rPr>
        <w:t xml:space="preserve"> derecho a </w:t>
      </w:r>
      <w:r w:rsidR="00DC5526">
        <w:rPr>
          <w:rFonts w:ascii="Cambria" w:hAnsi="Cambria"/>
          <w:sz w:val="20"/>
          <w:szCs w:val="20"/>
          <w:lang w:val="es-VE"/>
        </w:rPr>
        <w:t xml:space="preserve">la libertad de expresión </w:t>
      </w:r>
      <w:r w:rsidR="00910616" w:rsidRPr="00910616">
        <w:rPr>
          <w:rFonts w:ascii="Cambria" w:hAnsi="Cambria"/>
          <w:sz w:val="20"/>
          <w:szCs w:val="20"/>
          <w:lang w:val="es-VE"/>
        </w:rPr>
        <w:t>consagrado en el artículo 10 de la Convención Europea de Derechos Humanos. Si bien la Corte Europea reconoció que los jueces están sometidos a especiales deberes de recato en aquellos casos en los que la imparcialidad e independencia del Poder Judicial pueda ser puesta en duda, también consideró que el hecho que un determinado asunto tenga implicancias políticas “no es por sí solo motivo suficiente para prevenir a un juez emitir opinión sobre ese asunto”</w:t>
      </w:r>
      <w:r w:rsidR="00910616" w:rsidRPr="00910616">
        <w:rPr>
          <w:rStyle w:val="FootnoteReference"/>
          <w:rFonts w:ascii="Cambria" w:hAnsi="Cambria"/>
          <w:sz w:val="20"/>
          <w:szCs w:val="20"/>
          <w:lang w:val="es-VE"/>
        </w:rPr>
        <w:footnoteReference w:id="61"/>
      </w:r>
      <w:r w:rsidR="00910616" w:rsidRPr="00910616">
        <w:rPr>
          <w:rFonts w:ascii="Cambria" w:hAnsi="Cambria"/>
          <w:sz w:val="20"/>
          <w:szCs w:val="20"/>
          <w:lang w:val="es-VE"/>
        </w:rPr>
        <w:t xml:space="preserve">.  En su jurisprudencia, relacionada con sanciones a jueces por el ejercicio de la libertad de expresión, el Tribunal Europeo ha tomado en cuenta los siguientes elementos: </w:t>
      </w:r>
      <w:r w:rsidR="00910616" w:rsidRPr="00910616">
        <w:rPr>
          <w:rFonts w:ascii="Cambria" w:hAnsi="Cambria"/>
          <w:sz w:val="20"/>
          <w:szCs w:val="20"/>
          <w:lang w:val="es-ES"/>
        </w:rPr>
        <w:t xml:space="preserve">el cargo ostentado por el </w:t>
      </w:r>
      <w:proofErr w:type="spellStart"/>
      <w:r w:rsidR="00910616" w:rsidRPr="00910616">
        <w:rPr>
          <w:rFonts w:ascii="Cambria" w:hAnsi="Cambria"/>
          <w:sz w:val="20"/>
          <w:szCs w:val="20"/>
          <w:lang w:val="es-ES"/>
        </w:rPr>
        <w:t>aplicante</w:t>
      </w:r>
      <w:proofErr w:type="spellEnd"/>
      <w:r w:rsidR="00910616" w:rsidRPr="00910616">
        <w:rPr>
          <w:rFonts w:ascii="Cambria" w:hAnsi="Cambria"/>
          <w:sz w:val="20"/>
          <w:szCs w:val="20"/>
          <w:lang w:val="es-ES"/>
        </w:rPr>
        <w:t>; el contenido de las declaraciones impugnadas; el contexto en que las declaraciones fueron vertidas; y la naturaleza y severidad de las sanciones impuestas</w:t>
      </w:r>
      <w:r w:rsidR="00910616" w:rsidRPr="00910616">
        <w:rPr>
          <w:rStyle w:val="FootnoteReference"/>
          <w:rFonts w:ascii="Cambria" w:hAnsi="Cambria"/>
          <w:sz w:val="20"/>
          <w:szCs w:val="20"/>
          <w:lang w:val="es-VE"/>
        </w:rPr>
        <w:footnoteReference w:id="62"/>
      </w:r>
      <w:r w:rsidR="00910616" w:rsidRPr="00910616">
        <w:rPr>
          <w:rFonts w:ascii="Cambria" w:hAnsi="Cambria"/>
          <w:sz w:val="20"/>
          <w:szCs w:val="20"/>
          <w:lang w:val="es-ES"/>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lang w:val="es-UY"/>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sidRPr="00910616">
        <w:rPr>
          <w:rFonts w:ascii="Cambria" w:hAnsi="Cambria" w:cs="Verdana"/>
          <w:sz w:val="20"/>
          <w:szCs w:val="20"/>
          <w:lang w:val="es-UY"/>
        </w:rPr>
        <w:t>La jurisprudencia de la Comisión y la Corte Interamericana ha indicado que el establecimiento de limitaciones a la libertad de expresión debe ser de carácter excepcional y para que sea admisible debe estar sujeta al cumplimiento de tres condiciones básicas establecidas en el artículo 13.2 de la Convención: (a) la limitación debe estar definida en forma precisa y clara a través de una ley formal y material. La CIDH ha sostenido que las normas legales vagas o ambiguas que otorgan facultades discrecionales muy amplias a las autoridades son incompatibles con la Convención Americana, porque pueden sustentar potenciales actos de arbitrariedad que equivalgan a censura previa o que impongan responsabilidades desproporcionadas por la expresión de discursos protegidos por el tratado</w:t>
      </w:r>
      <w:r w:rsidRPr="00910616">
        <w:rPr>
          <w:rStyle w:val="FootnoteReference"/>
          <w:rFonts w:ascii="Cambria" w:hAnsi="Cambria" w:cs="Verdana"/>
          <w:sz w:val="20"/>
          <w:szCs w:val="20"/>
          <w:lang w:val="es-UY"/>
        </w:rPr>
        <w:footnoteReference w:id="63"/>
      </w:r>
      <w:r w:rsidRPr="00910616">
        <w:rPr>
          <w:rFonts w:ascii="Cambria" w:hAnsi="Cambria" w:cs="Verdana"/>
          <w:sz w:val="20"/>
          <w:szCs w:val="20"/>
          <w:lang w:val="es-UY"/>
        </w:rPr>
        <w:t>.  Por otra parte para admitir la legitimidad de una responsabilidad ulterior que restringe la libertad de expresión, no basta con que la misma esté consagrada de manera clara y precisa en una ley, sino q</w:t>
      </w:r>
      <w:r w:rsidR="00DC5526">
        <w:rPr>
          <w:rFonts w:ascii="Cambria" w:hAnsi="Cambria" w:cs="Verdana"/>
          <w:sz w:val="20"/>
          <w:szCs w:val="20"/>
          <w:lang w:val="es-UY"/>
        </w:rPr>
        <w:t xml:space="preserve">ue b) se exige determinar si </w:t>
      </w:r>
      <w:r w:rsidRPr="00910616">
        <w:rPr>
          <w:rFonts w:ascii="Cambria" w:hAnsi="Cambria" w:cs="Verdana"/>
          <w:sz w:val="20"/>
          <w:szCs w:val="20"/>
          <w:lang w:val="es-UY"/>
        </w:rPr>
        <w:t>el objetivo que persigue la restricción es legítimo y está justificado por la Convención Americana y c) es necesario en una sociedad democrática para el logro de los fines que se buscan, idónea para lograr el objetivo que se pretende, y estrictamente proporcional a la finalidad perseguida</w:t>
      </w:r>
      <w:r w:rsidRPr="00910616">
        <w:rPr>
          <w:rStyle w:val="FootnoteReference"/>
          <w:rFonts w:ascii="Cambria" w:hAnsi="Cambria" w:cs="Verdana"/>
          <w:sz w:val="20"/>
          <w:szCs w:val="20"/>
          <w:lang w:val="es-UY"/>
        </w:rPr>
        <w:footnoteReference w:id="64"/>
      </w:r>
      <w:r w:rsidRPr="00910616">
        <w:rPr>
          <w:rFonts w:ascii="Cambria" w:hAnsi="Cambria" w:cs="Verdana"/>
          <w:sz w:val="20"/>
          <w:szCs w:val="20"/>
          <w:lang w:val="es-UY"/>
        </w:rPr>
        <w:t>.</w:t>
      </w:r>
    </w:p>
    <w:p w:rsidR="00910616" w:rsidRPr="00910616" w:rsidRDefault="00910616" w:rsidP="00910616">
      <w:pPr>
        <w:rPr>
          <w:rFonts w:ascii="Cambria" w:hAnsi="Cambria"/>
          <w:sz w:val="20"/>
          <w:szCs w:val="20"/>
          <w:lang w:val="es-ES"/>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910616">
        <w:rPr>
          <w:rFonts w:ascii="Cambria" w:hAnsi="Cambria" w:cs="Verdana"/>
          <w:sz w:val="20"/>
          <w:szCs w:val="20"/>
          <w:lang w:val="es-UY"/>
        </w:rPr>
        <w:t xml:space="preserve">La Comisión observa que en el presente caso la presunta víctima fue sancionada disciplinariamente como consecuencia de las expresiones vertidas en el trabajo que remitió a la Corte Suprema de Justicia titulado “Propuesta de Política Pública de Introducción del enfoque de Derechos Humanos en el trabajo del Poder Judicial de la República de Chile”, específicamente su propuesta de que el Poder Judicial reconozca su responsabilidad en las violaciones de derechos humanos ocurridas durante el régimen militar y que efectúe un “reposicionamiento moral”.  En primera instancia se le impuso la sanción de “censura por escrito” y en segunda instancia se le modificó la sanción a “amonestación privada”.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910616">
        <w:rPr>
          <w:rFonts w:ascii="Cambria" w:hAnsi="Cambria"/>
          <w:sz w:val="20"/>
          <w:szCs w:val="20"/>
          <w:lang w:val="es-VE"/>
        </w:rPr>
        <w:t xml:space="preserve">En virtud de lo anterior, la CIDH observa que la presunta víctima fue sujeta a responsabilidades ulteriores por el ejercicio de su libertad de expresión, por lo que procederá a determinar si las restricciones cumplieron con los requisitos estipulados en el artículo 13.2 de la Convención Americana. </w:t>
      </w:r>
    </w:p>
    <w:p w:rsidR="00910616" w:rsidRDefault="00910616" w:rsidP="00910616">
      <w:pPr>
        <w:pStyle w:val="ListParagraph"/>
        <w:rPr>
          <w:sz w:val="20"/>
          <w:szCs w:val="20"/>
          <w:lang w:val="es-VE"/>
        </w:rPr>
      </w:pPr>
    </w:p>
    <w:p w:rsidR="004D2791" w:rsidRDefault="004D2791" w:rsidP="00910616">
      <w:pPr>
        <w:pStyle w:val="ListParagraph"/>
        <w:rPr>
          <w:sz w:val="20"/>
          <w:szCs w:val="20"/>
          <w:lang w:val="es-VE"/>
        </w:rPr>
      </w:pPr>
    </w:p>
    <w:p w:rsidR="004D2791" w:rsidRDefault="004D2791" w:rsidP="00910616">
      <w:pPr>
        <w:pStyle w:val="ListParagraph"/>
        <w:rPr>
          <w:sz w:val="20"/>
          <w:szCs w:val="20"/>
          <w:lang w:val="es-VE"/>
        </w:rPr>
      </w:pPr>
    </w:p>
    <w:p w:rsidR="004D2791" w:rsidRPr="00910616" w:rsidRDefault="004D2791" w:rsidP="00910616">
      <w:pPr>
        <w:pStyle w:val="ListParagraph"/>
        <w:rPr>
          <w:sz w:val="20"/>
          <w:szCs w:val="20"/>
          <w:lang w:val="es-VE"/>
        </w:rPr>
      </w:pPr>
    </w:p>
    <w:p w:rsidR="00910616" w:rsidRPr="00910616" w:rsidRDefault="00116FB1"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VE"/>
        </w:rPr>
        <w:t xml:space="preserve">En cuanto al </w:t>
      </w:r>
      <w:r w:rsidR="00910616" w:rsidRPr="00910616">
        <w:rPr>
          <w:rFonts w:ascii="Cambria" w:hAnsi="Cambria"/>
          <w:sz w:val="20"/>
          <w:szCs w:val="20"/>
          <w:lang w:val="es-VE"/>
        </w:rPr>
        <w:t xml:space="preserve">requisito de legalidad, la CIDH recuerda que en la sección anterior ya determinó que la causal disciplinaria aplicada a la presunta víctima no cumplió con el principio de legalidad, por lo que la sanción en este caso no cumple ni siquiera el primer paso del test ya descrito, lo que resulta suficiente para declarar que fue violatoria del derecho a la libertad de expresión del señor Urrutia </w:t>
      </w:r>
      <w:proofErr w:type="spellStart"/>
      <w:r w:rsidR="00910616" w:rsidRPr="00910616">
        <w:rPr>
          <w:rFonts w:ascii="Cambria" w:hAnsi="Cambria"/>
          <w:sz w:val="20"/>
          <w:szCs w:val="20"/>
          <w:lang w:val="es-VE"/>
        </w:rPr>
        <w:t>La</w:t>
      </w:r>
      <w:r w:rsidR="001E1ED6">
        <w:rPr>
          <w:rFonts w:ascii="Cambria" w:hAnsi="Cambria"/>
          <w:sz w:val="20"/>
          <w:szCs w:val="20"/>
          <w:lang w:val="es-VE"/>
        </w:rPr>
        <w:t>u</w:t>
      </w:r>
      <w:r w:rsidR="00910616" w:rsidRPr="00910616">
        <w:rPr>
          <w:rFonts w:ascii="Cambria" w:hAnsi="Cambria"/>
          <w:sz w:val="20"/>
          <w:szCs w:val="20"/>
          <w:lang w:val="es-VE"/>
        </w:rPr>
        <w:t>breaux</w:t>
      </w:r>
      <w:proofErr w:type="spellEnd"/>
      <w:r w:rsidR="00910616" w:rsidRPr="00910616">
        <w:rPr>
          <w:rFonts w:ascii="Cambria" w:hAnsi="Cambria"/>
          <w:sz w:val="20"/>
          <w:szCs w:val="20"/>
          <w:lang w:val="es-VE"/>
        </w:rPr>
        <w:t xml:space="preserve">.  Sin perjuicio de lo anterior, la CIDH estima oportuno exponer algunas consideraciones generales relacionadas con los otros elementos. </w:t>
      </w:r>
    </w:p>
    <w:p w:rsidR="00910616" w:rsidRPr="00910616" w:rsidRDefault="00910616" w:rsidP="00910616">
      <w:pPr>
        <w:pStyle w:val="ListParagraph"/>
        <w:rPr>
          <w:sz w:val="20"/>
          <w:szCs w:val="20"/>
          <w:lang w:val="es-VE"/>
        </w:rPr>
      </w:pPr>
    </w:p>
    <w:p w:rsidR="00406A9B" w:rsidRDefault="00C94635" w:rsidP="00C9463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VE"/>
        </w:rPr>
        <w:t xml:space="preserve">En relación con el fin legítimo de la restricción, la CIDH destaca que </w:t>
      </w:r>
      <w:r w:rsidR="00910616" w:rsidRPr="00C94635">
        <w:rPr>
          <w:rFonts w:ascii="Cambria" w:hAnsi="Cambria"/>
          <w:sz w:val="20"/>
          <w:szCs w:val="20"/>
          <w:lang w:val="es-VE"/>
        </w:rPr>
        <w:t xml:space="preserve">según se desprende del razonamiento de la Corte de Apelaciones de la Serena y de la Corte Suprema de Justicia, </w:t>
      </w:r>
      <w:r w:rsidR="00D245EF" w:rsidRPr="00C94635">
        <w:rPr>
          <w:rFonts w:ascii="Cambria" w:hAnsi="Cambria"/>
          <w:sz w:val="20"/>
          <w:szCs w:val="20"/>
          <w:lang w:val="es-VE"/>
        </w:rPr>
        <w:t xml:space="preserve">la restricción tenía por objeto garantizar el respeto a los superiores jerárquicos, o como indicaron literalmente “el </w:t>
      </w:r>
      <w:r w:rsidR="00910616" w:rsidRPr="00C94635">
        <w:rPr>
          <w:rFonts w:ascii="Cambria" w:hAnsi="Cambria"/>
          <w:sz w:val="20"/>
          <w:szCs w:val="20"/>
          <w:lang w:val="es-VE"/>
        </w:rPr>
        <w:t>principio del respeto jerárquico que informa toda nuestra normativa estructural del Poder Judicial”.</w:t>
      </w:r>
      <w:r w:rsidR="007229A7">
        <w:rPr>
          <w:rFonts w:ascii="Cambria" w:hAnsi="Cambria"/>
          <w:sz w:val="20"/>
          <w:szCs w:val="20"/>
          <w:lang w:val="es-VE"/>
        </w:rPr>
        <w:t xml:space="preserve"> </w:t>
      </w:r>
      <w:r w:rsidR="00E42723">
        <w:rPr>
          <w:rFonts w:ascii="Cambria" w:hAnsi="Cambria"/>
          <w:sz w:val="20"/>
          <w:szCs w:val="20"/>
          <w:lang w:val="es-VE"/>
        </w:rPr>
        <w:t xml:space="preserve">La Comisión considera que la finalidad perseguida de </w:t>
      </w:r>
      <w:r w:rsidR="00116FB1">
        <w:rPr>
          <w:rFonts w:ascii="Cambria" w:hAnsi="Cambria"/>
          <w:sz w:val="20"/>
          <w:szCs w:val="20"/>
          <w:lang w:val="es-VE"/>
        </w:rPr>
        <w:t>“</w:t>
      </w:r>
      <w:r w:rsidR="00C50881">
        <w:rPr>
          <w:rFonts w:ascii="Cambria" w:hAnsi="Cambria"/>
          <w:sz w:val="20"/>
          <w:szCs w:val="20"/>
          <w:lang w:val="es-VE"/>
        </w:rPr>
        <w:t>respeto jerárquico</w:t>
      </w:r>
      <w:r w:rsidR="00116FB1" w:rsidRPr="00116FB1">
        <w:rPr>
          <w:rFonts w:ascii="Cambria" w:hAnsi="Cambria"/>
          <w:sz w:val="20"/>
          <w:szCs w:val="20"/>
          <w:lang w:val="es-VE"/>
        </w:rPr>
        <w:t>”</w:t>
      </w:r>
      <w:r w:rsidR="00C50881" w:rsidRPr="00116FB1">
        <w:rPr>
          <w:rFonts w:ascii="Cambria" w:hAnsi="Cambria"/>
          <w:sz w:val="20"/>
          <w:szCs w:val="20"/>
          <w:lang w:val="es-VE"/>
        </w:rPr>
        <w:t xml:space="preserve">, no </w:t>
      </w:r>
      <w:r w:rsidR="00116FB1" w:rsidRPr="00116FB1">
        <w:rPr>
          <w:rFonts w:ascii="Cambria" w:hAnsi="Cambria"/>
          <w:sz w:val="20"/>
          <w:szCs w:val="20"/>
          <w:lang w:val="es-VE"/>
        </w:rPr>
        <w:t xml:space="preserve">puede entenderse como uno de los fines que el propio artículo 13.2 de la Convención Americana consagrada como legítimos para justificar la imposición de responsabilidades ulteriores, esto es: </w:t>
      </w:r>
      <w:r w:rsidR="00116FB1" w:rsidRPr="00C1595D">
        <w:rPr>
          <w:rFonts w:ascii="Cambria" w:hAnsi="Cambria"/>
          <w:sz w:val="20"/>
          <w:szCs w:val="20"/>
          <w:lang w:val="es-VE"/>
        </w:rPr>
        <w:t>a) el respeto a los derechos</w:t>
      </w:r>
      <w:r w:rsidR="00116FB1" w:rsidRPr="00116FB1">
        <w:rPr>
          <w:rFonts w:ascii="Cambria" w:hAnsi="Cambria"/>
          <w:sz w:val="20"/>
          <w:szCs w:val="20"/>
          <w:lang w:val="es-VE"/>
        </w:rPr>
        <w:t xml:space="preserve"> o a la reputación de los demás</w:t>
      </w:r>
      <w:r w:rsidR="00116FB1" w:rsidRPr="00C1595D">
        <w:rPr>
          <w:rFonts w:ascii="Cambria" w:hAnsi="Cambria"/>
          <w:sz w:val="20"/>
          <w:szCs w:val="20"/>
          <w:lang w:val="es-VE"/>
        </w:rPr>
        <w:t xml:space="preserve"> o; b) la protección de la seguridad nacional, el orden público o la salud o la moral públicas.</w:t>
      </w:r>
      <w:r w:rsidR="00C50881">
        <w:rPr>
          <w:rFonts w:ascii="Cambria" w:hAnsi="Cambria"/>
          <w:sz w:val="20"/>
          <w:szCs w:val="20"/>
          <w:lang w:val="es-VE"/>
        </w:rPr>
        <w:t xml:space="preserve">  </w:t>
      </w:r>
    </w:p>
    <w:p w:rsidR="00C50881" w:rsidRDefault="00C50881" w:rsidP="00C50881">
      <w:pPr>
        <w:pStyle w:val="ListParagraph"/>
        <w:rPr>
          <w:sz w:val="20"/>
          <w:szCs w:val="20"/>
          <w:lang w:val="es-VE"/>
        </w:rPr>
      </w:pPr>
    </w:p>
    <w:p w:rsidR="00AF391B" w:rsidRPr="00C50881" w:rsidRDefault="00C50881" w:rsidP="00C50881">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VE"/>
        </w:rPr>
        <w:t xml:space="preserve">Por otra parte, la CIDH observa que tampoco existe relación de medio a fin entre la restricción aplicada a la producción de un trabajo académico y la finalidad </w:t>
      </w:r>
      <w:r w:rsidR="00116FB1">
        <w:rPr>
          <w:rFonts w:ascii="Cambria" w:hAnsi="Cambria"/>
          <w:sz w:val="20"/>
          <w:szCs w:val="20"/>
          <w:lang w:val="es-VE"/>
        </w:rPr>
        <w:t xml:space="preserve">perseguida, de manera que el requisito de necesidad en una sociedad democrática, tampoco se encuentra cumplido. </w:t>
      </w:r>
      <w:r w:rsidR="00AF391B" w:rsidRPr="00C50881">
        <w:rPr>
          <w:rFonts w:ascii="Cambria" w:hAnsi="Cambria"/>
          <w:sz w:val="20"/>
          <w:szCs w:val="20"/>
          <w:lang w:val="es-VE"/>
        </w:rPr>
        <w:t xml:space="preserve">La Comisión resalta que el trabajo académico no se hizo público y contenía una crítica a la posición asumida </w:t>
      </w:r>
      <w:r w:rsidR="00910616" w:rsidRPr="00C50881">
        <w:rPr>
          <w:rFonts w:ascii="Cambria" w:hAnsi="Cambria"/>
          <w:sz w:val="20"/>
          <w:szCs w:val="20"/>
          <w:lang w:val="es-VE"/>
        </w:rPr>
        <w:t>por el Poder Judicial durante el régimen militar con la finalidad de introducir un enfoque de derechos humanos en el Poder Judicial, y una serie de propuestas al Poder Judicial p</w:t>
      </w:r>
      <w:r w:rsidR="00176828" w:rsidRPr="00C50881">
        <w:rPr>
          <w:rFonts w:ascii="Cambria" w:hAnsi="Cambria"/>
          <w:sz w:val="20"/>
          <w:szCs w:val="20"/>
          <w:lang w:val="es-VE"/>
        </w:rPr>
        <w:t>ara “reposicionar moralmente” su</w:t>
      </w:r>
      <w:r w:rsidR="00910616" w:rsidRPr="00C50881">
        <w:rPr>
          <w:rFonts w:ascii="Cambria" w:hAnsi="Cambria"/>
          <w:sz w:val="20"/>
          <w:szCs w:val="20"/>
          <w:lang w:val="es-VE"/>
        </w:rPr>
        <w:t xml:space="preserve"> posición y evitar la repetición de v</w:t>
      </w:r>
      <w:r w:rsidR="00AF391B" w:rsidRPr="00C50881">
        <w:rPr>
          <w:rFonts w:ascii="Cambria" w:hAnsi="Cambria"/>
          <w:sz w:val="20"/>
          <w:szCs w:val="20"/>
          <w:lang w:val="es-VE"/>
        </w:rPr>
        <w:t>iolaciones de derechos humanos</w:t>
      </w:r>
      <w:r w:rsidR="00116FB1">
        <w:rPr>
          <w:rFonts w:ascii="Cambria" w:hAnsi="Cambria"/>
          <w:sz w:val="20"/>
          <w:szCs w:val="20"/>
          <w:lang w:val="es-VE"/>
        </w:rPr>
        <w:t>. La Comisión considera que las opiniones y</w:t>
      </w:r>
      <w:r w:rsidR="00AF391B" w:rsidRPr="00C50881">
        <w:rPr>
          <w:rFonts w:ascii="Cambria" w:hAnsi="Cambria"/>
          <w:sz w:val="20"/>
          <w:szCs w:val="20"/>
          <w:lang w:val="es-VE"/>
        </w:rPr>
        <w:t xml:space="preserve"> expresiones </w:t>
      </w:r>
      <w:r w:rsidR="00116FB1">
        <w:rPr>
          <w:rFonts w:ascii="Cambria" w:hAnsi="Cambria"/>
          <w:sz w:val="20"/>
          <w:szCs w:val="20"/>
          <w:lang w:val="es-VE"/>
        </w:rPr>
        <w:t xml:space="preserve">contenidas en el trabajo académico son </w:t>
      </w:r>
      <w:r w:rsidR="00AF391B" w:rsidRPr="00C50881">
        <w:rPr>
          <w:rFonts w:ascii="Cambria" w:hAnsi="Cambria"/>
          <w:sz w:val="20"/>
          <w:szCs w:val="20"/>
          <w:lang w:val="es-VE"/>
        </w:rPr>
        <w:t>de interés público</w:t>
      </w:r>
      <w:r w:rsidR="00116FB1">
        <w:rPr>
          <w:rFonts w:ascii="Cambria" w:hAnsi="Cambria"/>
          <w:sz w:val="20"/>
          <w:szCs w:val="20"/>
          <w:lang w:val="es-VE"/>
        </w:rPr>
        <w:t xml:space="preserve"> y, por lo tanto, </w:t>
      </w:r>
      <w:r w:rsidR="00AF391B" w:rsidRPr="00C50881">
        <w:rPr>
          <w:rFonts w:ascii="Cambria" w:hAnsi="Cambria"/>
          <w:sz w:val="20"/>
          <w:szCs w:val="20"/>
          <w:lang w:val="es-VE"/>
        </w:rPr>
        <w:t>deben protegerse con mayor rigor en la media en que contribuyen al debate sobre la forma en la que el Poder Judicial puede responder a denuncias de graves violaciones de derechos humanos</w:t>
      </w:r>
      <w:r w:rsidR="00AF391B">
        <w:rPr>
          <w:rStyle w:val="FootnoteReference"/>
          <w:rFonts w:ascii="Cambria" w:hAnsi="Cambria"/>
          <w:sz w:val="20"/>
          <w:szCs w:val="20"/>
          <w:lang w:val="es-VE"/>
        </w:rPr>
        <w:footnoteReference w:id="65"/>
      </w:r>
      <w:r w:rsidR="00AF391B" w:rsidRPr="00C50881">
        <w:rPr>
          <w:rFonts w:ascii="Cambria" w:hAnsi="Cambria"/>
          <w:sz w:val="20"/>
          <w:szCs w:val="20"/>
          <w:lang w:val="es-VE"/>
        </w:rPr>
        <w:t>.</w:t>
      </w:r>
    </w:p>
    <w:p w:rsidR="00910616" w:rsidRPr="00910616" w:rsidRDefault="00910616" w:rsidP="009012A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VE"/>
        </w:rPr>
      </w:pPr>
    </w:p>
    <w:p w:rsidR="00910616" w:rsidRPr="00E2445C"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910616">
        <w:rPr>
          <w:rFonts w:ascii="Cambria" w:hAnsi="Cambria"/>
          <w:sz w:val="20"/>
          <w:szCs w:val="20"/>
          <w:lang w:val="es-VE"/>
        </w:rPr>
        <w:t xml:space="preserve">En virtud de lo anterior, la CIDH estima que el Estado chileno impuso una restricción arbitraria al ejercicio de la libertad de expresión, mediante la imposición de una responsabilidad ulterior que incumplió con los requisitos previstos en la Convención. Por lo anterior, la </w:t>
      </w:r>
      <w:r w:rsidR="006C6C49">
        <w:rPr>
          <w:rFonts w:ascii="Cambria" w:hAnsi="Cambria"/>
          <w:sz w:val="20"/>
          <w:szCs w:val="20"/>
          <w:lang w:val="es-VE"/>
        </w:rPr>
        <w:t xml:space="preserve"> CIDH </w:t>
      </w:r>
      <w:r w:rsidRPr="00910616">
        <w:rPr>
          <w:rFonts w:ascii="Cambria" w:hAnsi="Cambria"/>
          <w:sz w:val="20"/>
          <w:szCs w:val="20"/>
          <w:lang w:val="es-VE"/>
        </w:rPr>
        <w:t>concluye que el Estado violó el artículo 1</w:t>
      </w:r>
      <w:r w:rsidR="006C6C49">
        <w:rPr>
          <w:rFonts w:ascii="Cambria" w:hAnsi="Cambria"/>
          <w:sz w:val="20"/>
          <w:szCs w:val="20"/>
          <w:lang w:val="es-VE"/>
        </w:rPr>
        <w:t xml:space="preserve">3.2 de la Convención Americana </w:t>
      </w:r>
      <w:r w:rsidRPr="00910616">
        <w:rPr>
          <w:rFonts w:ascii="Cambria" w:hAnsi="Cambria"/>
          <w:sz w:val="20"/>
          <w:szCs w:val="20"/>
          <w:lang w:val="es-VE"/>
        </w:rPr>
        <w:t xml:space="preserve">en relación con los artículos 1.1 y 2 del mismo instrumento en perjuicio de Daniel Urrutia </w:t>
      </w:r>
      <w:proofErr w:type="spellStart"/>
      <w:r w:rsidRPr="00910616">
        <w:rPr>
          <w:rFonts w:ascii="Cambria" w:hAnsi="Cambria"/>
          <w:sz w:val="20"/>
          <w:szCs w:val="20"/>
          <w:lang w:val="es-VE"/>
        </w:rPr>
        <w:t>La</w:t>
      </w:r>
      <w:r w:rsidR="001E1ED6">
        <w:rPr>
          <w:rFonts w:ascii="Cambria" w:hAnsi="Cambria"/>
          <w:sz w:val="20"/>
          <w:szCs w:val="20"/>
          <w:lang w:val="es-VE"/>
        </w:rPr>
        <w:t>u</w:t>
      </w:r>
      <w:r w:rsidRPr="00910616">
        <w:rPr>
          <w:rFonts w:ascii="Cambria" w:hAnsi="Cambria"/>
          <w:sz w:val="20"/>
          <w:szCs w:val="20"/>
          <w:lang w:val="es-VE"/>
        </w:rPr>
        <w:t>breaux</w:t>
      </w:r>
      <w:proofErr w:type="spellEnd"/>
      <w:r w:rsidRPr="00910616">
        <w:rPr>
          <w:rFonts w:ascii="Cambria" w:hAnsi="Cambria"/>
          <w:sz w:val="20"/>
          <w:szCs w:val="20"/>
          <w:lang w:val="es-VE"/>
        </w:rPr>
        <w:t>.</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8496B0" w:themeColor="text2" w:themeTint="99"/>
          <w:sz w:val="20"/>
          <w:szCs w:val="20"/>
          <w:lang w:val="es-VE"/>
        </w:rPr>
      </w:pPr>
    </w:p>
    <w:p w:rsidR="00910616" w:rsidRPr="00910616" w:rsidRDefault="00910616" w:rsidP="00910616">
      <w:pPr>
        <w:pStyle w:val="Heading1"/>
        <w:keepLines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1440" w:hanging="810"/>
        <w:rPr>
          <w:rFonts w:ascii="Cambria" w:hAnsi="Cambria"/>
          <w:color w:val="8496B0" w:themeColor="text2" w:themeTint="99"/>
          <w:sz w:val="20"/>
          <w:szCs w:val="20"/>
          <w:lang w:val="es-CL"/>
        </w:rPr>
      </w:pPr>
      <w:bookmarkStart w:id="42" w:name="_Toc477355364"/>
      <w:bookmarkStart w:id="43" w:name="_Toc480897210"/>
      <w:bookmarkStart w:id="44" w:name="_Toc484439869"/>
      <w:bookmarkStart w:id="45" w:name="_Toc497387329"/>
      <w:bookmarkStart w:id="46" w:name="_Toc505532536"/>
      <w:bookmarkStart w:id="47" w:name="_Toc505936572"/>
      <w:r w:rsidRPr="00910616">
        <w:rPr>
          <w:rFonts w:ascii="Cambria" w:hAnsi="Cambria"/>
          <w:color w:val="auto"/>
          <w:sz w:val="20"/>
          <w:szCs w:val="20"/>
          <w:lang w:val="es-CO"/>
        </w:rPr>
        <w:t>CONCLUSIONES</w:t>
      </w:r>
      <w:bookmarkEnd w:id="42"/>
      <w:bookmarkEnd w:id="43"/>
      <w:bookmarkEnd w:id="44"/>
      <w:bookmarkEnd w:id="45"/>
      <w:r w:rsidRPr="00910616">
        <w:rPr>
          <w:rFonts w:ascii="Cambria" w:hAnsi="Cambria"/>
          <w:color w:val="auto"/>
          <w:sz w:val="20"/>
          <w:szCs w:val="20"/>
          <w:lang w:val="es-VE"/>
        </w:rPr>
        <w:t xml:space="preserve"> Y RECOMENDACIONES</w:t>
      </w:r>
      <w:bookmarkEnd w:id="46"/>
      <w:bookmarkEnd w:id="47"/>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8496B0" w:themeColor="text2" w:themeTint="99"/>
          <w:sz w:val="20"/>
          <w:szCs w:val="20"/>
          <w:lang w:val="es-VE"/>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sidRPr="00910616">
        <w:rPr>
          <w:rFonts w:ascii="Cambria" w:hAnsi="Cambria"/>
          <w:sz w:val="20"/>
          <w:szCs w:val="20"/>
          <w:lang w:val="es-CO"/>
        </w:rPr>
        <w:t xml:space="preserve">La Comisión concluye que el Estado chileno es responsable por la violación de los derechos establecidos en los artículos 8.1, 8.2 b), 8.2 c) (garantías judiciales), 9 (principio de legalidad), 13.2 (libertad de pensamiento y expresión) y 25.1 (protección judicial) de la Convención Americana sobre Derechos Humanos, en relación con las obligaciones establecidas en los artículos 1.1 y 2 del mismo instrumento.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sidRPr="00910616">
        <w:rPr>
          <w:rFonts w:ascii="Cambria" w:hAnsi="Cambria"/>
          <w:sz w:val="20"/>
          <w:szCs w:val="20"/>
          <w:lang w:val="es-CL"/>
        </w:rPr>
        <w:t xml:space="preserve">Con </w:t>
      </w:r>
      <w:r w:rsidRPr="00910616">
        <w:rPr>
          <w:rFonts w:ascii="Cambria" w:eastAsia="Times New Roman" w:hAnsi="Cambria"/>
          <w:sz w:val="20"/>
          <w:szCs w:val="20"/>
          <w:lang w:val="es-CL" w:eastAsia="es-ES"/>
        </w:rPr>
        <w:t>fundamento</w:t>
      </w:r>
      <w:r w:rsidRPr="00910616">
        <w:rPr>
          <w:rFonts w:ascii="Cambria" w:hAnsi="Cambria"/>
          <w:sz w:val="20"/>
          <w:szCs w:val="20"/>
          <w:lang w:val="es-CL"/>
        </w:rPr>
        <w:t xml:space="preserve"> en el análisis y las conclusiones del presente informe,</w:t>
      </w:r>
    </w:p>
    <w:p w:rsidR="00910616" w:rsidRPr="00910616" w:rsidRDefault="00910616" w:rsidP="00910616">
      <w:pPr>
        <w:ind w:firstLine="720"/>
        <w:jc w:val="both"/>
        <w:rPr>
          <w:rFonts w:ascii="Cambria" w:hAnsi="Cambria"/>
          <w:sz w:val="20"/>
          <w:szCs w:val="20"/>
          <w:lang w:val="es-ES"/>
        </w:rPr>
      </w:pPr>
    </w:p>
    <w:p w:rsidR="00910616" w:rsidRPr="00910616" w:rsidRDefault="00910616" w:rsidP="00910616">
      <w:pPr>
        <w:jc w:val="center"/>
        <w:rPr>
          <w:rFonts w:ascii="Cambria" w:hAnsi="Cambria"/>
          <w:sz w:val="20"/>
          <w:szCs w:val="20"/>
          <w:lang w:val="es-ES"/>
        </w:rPr>
      </w:pPr>
      <w:r w:rsidRPr="00910616">
        <w:rPr>
          <w:rFonts w:ascii="Cambria" w:hAnsi="Cambria"/>
          <w:b/>
          <w:bCs/>
          <w:sz w:val="20"/>
          <w:szCs w:val="20"/>
          <w:lang w:val="es-CL"/>
        </w:rPr>
        <w:t>LA COMISIÓN INTERAMERICANA DE DERECHOS HUMANOS RECOMIENDA AL ESTADO DE CHILE:</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8496B0" w:themeColor="text2" w:themeTint="99"/>
          <w:sz w:val="20"/>
          <w:szCs w:val="20"/>
          <w:lang w:val="es-CL"/>
        </w:rPr>
      </w:pPr>
    </w:p>
    <w:p w:rsidR="00910616" w:rsidRPr="00910616" w:rsidRDefault="00910616" w:rsidP="0038730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spacing w:val="-2"/>
          <w:sz w:val="20"/>
          <w:szCs w:val="20"/>
          <w:lang w:val="es-CO"/>
        </w:rPr>
      </w:pPr>
      <w:r w:rsidRPr="00910616">
        <w:rPr>
          <w:spacing w:val="-2"/>
          <w:sz w:val="20"/>
          <w:szCs w:val="20"/>
          <w:lang w:val="es-CO"/>
        </w:rPr>
        <w:t xml:space="preserve">Adoptar las medidas administrativas o de cualquier otra índole para dejar sin efecto, en todos sus extremos, la sanción impuesta a Daniel Urrutia </w:t>
      </w:r>
      <w:proofErr w:type="spellStart"/>
      <w:r w:rsidRPr="00910616">
        <w:rPr>
          <w:spacing w:val="-2"/>
          <w:sz w:val="20"/>
          <w:szCs w:val="20"/>
          <w:lang w:val="es-CO"/>
        </w:rPr>
        <w:t>La</w:t>
      </w:r>
      <w:r w:rsidR="001E1ED6">
        <w:rPr>
          <w:spacing w:val="-2"/>
          <w:sz w:val="20"/>
          <w:szCs w:val="20"/>
          <w:lang w:val="es-CO"/>
        </w:rPr>
        <w:t>u</w:t>
      </w:r>
      <w:r w:rsidRPr="00910616">
        <w:rPr>
          <w:spacing w:val="-2"/>
          <w:sz w:val="20"/>
          <w:szCs w:val="20"/>
          <w:lang w:val="es-CO"/>
        </w:rPr>
        <w:t>breaux</w:t>
      </w:r>
      <w:proofErr w:type="spellEnd"/>
      <w:r w:rsidRPr="00910616">
        <w:rPr>
          <w:spacing w:val="-2"/>
          <w:sz w:val="20"/>
          <w:szCs w:val="20"/>
          <w:lang w:val="es-CO"/>
        </w:rPr>
        <w:t xml:space="preserve">, incluida la eliminación de antecedentes en su hoja de vida o archivo ante el Poder Judicial. </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Cambria" w:hAnsi="Cambria"/>
          <w:spacing w:val="-2"/>
          <w:sz w:val="20"/>
          <w:szCs w:val="20"/>
          <w:lang w:val="es-CO"/>
        </w:rPr>
      </w:pPr>
    </w:p>
    <w:p w:rsidR="00910616" w:rsidRPr="00910616" w:rsidRDefault="00910616" w:rsidP="0038730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spacing w:val="-2"/>
          <w:sz w:val="20"/>
          <w:szCs w:val="20"/>
          <w:lang w:val="es-CO"/>
        </w:rPr>
      </w:pPr>
      <w:r w:rsidRPr="00910616">
        <w:rPr>
          <w:spacing w:val="-2"/>
          <w:sz w:val="20"/>
          <w:szCs w:val="20"/>
          <w:lang w:val="es-CO"/>
        </w:rPr>
        <w:t xml:space="preserve">Reparar integralmente las consecuencias de las violaciones declaradas en el presente informe, incluyendo tanto el daño material como el daño inmaterial, mediante medidas de compensación y satisfacción adecuadas.  </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Cambria" w:hAnsi="Cambria"/>
          <w:spacing w:val="-2"/>
          <w:sz w:val="20"/>
          <w:szCs w:val="20"/>
          <w:lang w:val="es-CO"/>
        </w:rPr>
      </w:pPr>
    </w:p>
    <w:p w:rsidR="009012AD" w:rsidRDefault="00910616" w:rsidP="009012A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spacing w:val="-2"/>
          <w:sz w:val="20"/>
          <w:szCs w:val="20"/>
          <w:lang w:val="es-CO"/>
        </w:rPr>
      </w:pPr>
      <w:r w:rsidRPr="0038730F">
        <w:rPr>
          <w:spacing w:val="-2"/>
          <w:sz w:val="20"/>
          <w:szCs w:val="20"/>
          <w:lang w:val="es-CO"/>
        </w:rPr>
        <w:t>Disponer medidas de no repetición, incluyendo la adecuación de la normativa interna para eliminar del ordenamiento jurídico la causal aplicada al presente caso y asegurar que las causales disciplinarias asociadas con el derecho a la libertad de expresión de jueces y juezas sean compatibles con el principio de legalidad y el derecho a la libertad de expresión en los términos ana</w:t>
      </w:r>
      <w:r w:rsidR="003A7A1A" w:rsidRPr="0038730F">
        <w:rPr>
          <w:spacing w:val="-2"/>
          <w:sz w:val="20"/>
          <w:szCs w:val="20"/>
          <w:lang w:val="es-CO"/>
        </w:rPr>
        <w:t>lizados en el presente informe.</w:t>
      </w:r>
    </w:p>
    <w:p w:rsidR="004D2791" w:rsidRDefault="004D2791" w:rsidP="004D2791">
      <w:pPr>
        <w:pStyle w:val="ListParagraph"/>
        <w:rPr>
          <w:rFonts w:eastAsia="Times New Roman"/>
          <w:sz w:val="20"/>
          <w:szCs w:val="20"/>
          <w:lang w:val="es-ES"/>
        </w:rPr>
      </w:pPr>
    </w:p>
    <w:p w:rsidR="004D2791" w:rsidRDefault="004D2791" w:rsidP="004D2791">
      <w:pPr>
        <w:ind w:firstLine="720"/>
        <w:jc w:val="both"/>
        <w:rPr>
          <w:rFonts w:ascii="Cambria" w:hAnsi="Cambria"/>
          <w:spacing w:val="-2"/>
          <w:sz w:val="20"/>
          <w:szCs w:val="20"/>
          <w:lang w:val="es-CL"/>
        </w:rPr>
      </w:pPr>
      <w:r>
        <w:rPr>
          <w:rFonts w:ascii="Cambria" w:hAnsi="Cambria"/>
          <w:spacing w:val="-2"/>
          <w:sz w:val="20"/>
          <w:szCs w:val="20"/>
          <w:lang w:val="es-CL"/>
        </w:rPr>
        <w:t xml:space="preserve">Aprobado por la Comisión Interamericana de Derechos Humanos en la ciudad de Bogotá, Colombia, a los 24 días del mes de febrero de 2018.  (Firmado): </w:t>
      </w:r>
      <w:proofErr w:type="spellStart"/>
      <w:r>
        <w:rPr>
          <w:rFonts w:ascii="Cambria" w:hAnsi="Cambria"/>
          <w:spacing w:val="-2"/>
          <w:sz w:val="20"/>
          <w:szCs w:val="20"/>
          <w:lang w:val="es-CL"/>
        </w:rPr>
        <w:t>Margarette</w:t>
      </w:r>
      <w:proofErr w:type="spellEnd"/>
      <w:r>
        <w:rPr>
          <w:rFonts w:ascii="Cambria" w:hAnsi="Cambria"/>
          <w:spacing w:val="-2"/>
          <w:sz w:val="20"/>
          <w:szCs w:val="20"/>
          <w:lang w:val="es-CL"/>
        </w:rPr>
        <w:t xml:space="preserve"> </w:t>
      </w:r>
      <w:proofErr w:type="spellStart"/>
      <w:r>
        <w:rPr>
          <w:rFonts w:ascii="Cambria" w:hAnsi="Cambria"/>
          <w:spacing w:val="-2"/>
          <w:sz w:val="20"/>
          <w:szCs w:val="20"/>
          <w:lang w:val="es-CL"/>
        </w:rPr>
        <w:t>May</w:t>
      </w:r>
      <w:proofErr w:type="spellEnd"/>
      <w:r>
        <w:rPr>
          <w:rFonts w:ascii="Cambria" w:hAnsi="Cambria"/>
          <w:spacing w:val="-2"/>
          <w:sz w:val="20"/>
          <w:szCs w:val="20"/>
          <w:lang w:val="es-CL"/>
        </w:rPr>
        <w:t xml:space="preserve"> </w:t>
      </w:r>
      <w:proofErr w:type="spellStart"/>
      <w:r>
        <w:rPr>
          <w:rFonts w:ascii="Cambria" w:hAnsi="Cambria"/>
          <w:spacing w:val="-2"/>
          <w:sz w:val="20"/>
          <w:szCs w:val="20"/>
          <w:lang w:val="es-CL"/>
        </w:rPr>
        <w:t>Macaulay</w:t>
      </w:r>
      <w:proofErr w:type="spellEnd"/>
      <w:r>
        <w:rPr>
          <w:rFonts w:ascii="Cambria" w:hAnsi="Cambria"/>
          <w:spacing w:val="-2"/>
          <w:sz w:val="20"/>
          <w:szCs w:val="20"/>
          <w:lang w:val="es-CL"/>
        </w:rPr>
        <w:t xml:space="preserve">, Presidenta; Esmeralda E. Arosemena Bernal de </w:t>
      </w:r>
      <w:proofErr w:type="spellStart"/>
      <w:r>
        <w:rPr>
          <w:rFonts w:ascii="Cambria" w:hAnsi="Cambria"/>
          <w:spacing w:val="-2"/>
          <w:sz w:val="20"/>
          <w:szCs w:val="20"/>
          <w:lang w:val="es-CL"/>
        </w:rPr>
        <w:t>Troitiño</w:t>
      </w:r>
      <w:proofErr w:type="spellEnd"/>
      <w:r>
        <w:rPr>
          <w:rFonts w:ascii="Cambria" w:hAnsi="Cambria"/>
          <w:spacing w:val="-2"/>
          <w:sz w:val="20"/>
          <w:szCs w:val="20"/>
          <w:lang w:val="es-CL"/>
        </w:rPr>
        <w:t xml:space="preserve">, Primera Vicepresidenta; Luis Ernesto Vargas Silva, Segundo Vicepresidente; Francisco José Eguiguren </w:t>
      </w:r>
      <w:proofErr w:type="spellStart"/>
      <w:r>
        <w:rPr>
          <w:rFonts w:ascii="Cambria" w:hAnsi="Cambria"/>
          <w:spacing w:val="-2"/>
          <w:sz w:val="20"/>
          <w:szCs w:val="20"/>
          <w:lang w:val="es-CL"/>
        </w:rPr>
        <w:t>Praeli</w:t>
      </w:r>
      <w:proofErr w:type="spellEnd"/>
      <w:r>
        <w:rPr>
          <w:rFonts w:ascii="Cambria" w:hAnsi="Cambria"/>
          <w:spacing w:val="-2"/>
          <w:sz w:val="20"/>
          <w:szCs w:val="20"/>
          <w:lang w:val="es-CL"/>
        </w:rPr>
        <w:t xml:space="preserve">, Joel Hernández García y </w:t>
      </w:r>
      <w:proofErr w:type="spellStart"/>
      <w:r>
        <w:rPr>
          <w:rFonts w:ascii="Cambria" w:hAnsi="Cambria"/>
          <w:spacing w:val="-2"/>
          <w:sz w:val="20"/>
          <w:szCs w:val="20"/>
          <w:lang w:val="es-CL"/>
        </w:rPr>
        <w:t>Flávia</w:t>
      </w:r>
      <w:proofErr w:type="spellEnd"/>
      <w:r>
        <w:rPr>
          <w:rFonts w:ascii="Cambria" w:hAnsi="Cambria"/>
          <w:spacing w:val="-2"/>
          <w:sz w:val="20"/>
          <w:szCs w:val="20"/>
          <w:lang w:val="es-CL"/>
        </w:rPr>
        <w:t xml:space="preserve"> </w:t>
      </w:r>
      <w:proofErr w:type="spellStart"/>
      <w:r>
        <w:rPr>
          <w:rFonts w:ascii="Cambria" w:hAnsi="Cambria"/>
          <w:spacing w:val="-2"/>
          <w:sz w:val="20"/>
          <w:szCs w:val="20"/>
          <w:lang w:val="es-CL"/>
        </w:rPr>
        <w:t>Piovesan</w:t>
      </w:r>
      <w:proofErr w:type="spellEnd"/>
      <w:r>
        <w:rPr>
          <w:rFonts w:ascii="Cambria" w:hAnsi="Cambria"/>
          <w:spacing w:val="-2"/>
          <w:sz w:val="20"/>
          <w:szCs w:val="20"/>
          <w:lang w:val="es-CL"/>
        </w:rPr>
        <w:t>, Miembros de la Comisión.</w:t>
      </w:r>
      <w:r>
        <w:rPr>
          <w:rFonts w:ascii="Cambria" w:hAnsi="Cambria"/>
          <w:sz w:val="20"/>
          <w:szCs w:val="20"/>
          <w:lang w:val="es-CL"/>
        </w:rPr>
        <w:t xml:space="preserve"> </w:t>
      </w:r>
    </w:p>
    <w:p w:rsidR="004D2791" w:rsidRDefault="004D2791" w:rsidP="004D2791">
      <w:pPr>
        <w:ind w:firstLine="720"/>
        <w:jc w:val="both"/>
        <w:rPr>
          <w:rFonts w:ascii="Cambria" w:eastAsia="Calibri" w:hAnsi="Cambria"/>
          <w:spacing w:val="-2"/>
          <w:sz w:val="20"/>
          <w:szCs w:val="20"/>
          <w:lang w:val="es-CL"/>
        </w:rPr>
      </w:pPr>
    </w:p>
    <w:p w:rsidR="004D2791" w:rsidRDefault="004D2791" w:rsidP="004D2791">
      <w:pPr>
        <w:ind w:firstLine="720"/>
        <w:jc w:val="both"/>
        <w:rPr>
          <w:rFonts w:ascii="Cambria" w:hAnsi="Cambria"/>
          <w:sz w:val="20"/>
          <w:szCs w:val="20"/>
          <w:lang w:val="es-CL"/>
        </w:rPr>
      </w:pPr>
      <w:r>
        <w:rPr>
          <w:rFonts w:ascii="Cambria" w:hAnsi="Cambria"/>
          <w:sz w:val="20"/>
          <w:szCs w:val="20"/>
          <w:lang w:val="es-CL"/>
        </w:rPr>
        <w:t xml:space="preserve">El que suscribe, </w:t>
      </w:r>
      <w:r>
        <w:rPr>
          <w:rFonts w:ascii="Cambria" w:hAnsi="Cambria"/>
          <w:spacing w:val="-2"/>
          <w:sz w:val="20"/>
          <w:szCs w:val="20"/>
          <w:lang w:val="es-SV"/>
        </w:rPr>
        <w:t>Mario López-</w:t>
      </w:r>
      <w:proofErr w:type="spellStart"/>
      <w:r>
        <w:rPr>
          <w:rFonts w:ascii="Cambria" w:hAnsi="Cambria"/>
          <w:spacing w:val="-2"/>
          <w:sz w:val="20"/>
          <w:szCs w:val="20"/>
          <w:lang w:val="es-SV"/>
        </w:rPr>
        <w:t>Garelli</w:t>
      </w:r>
      <w:proofErr w:type="spellEnd"/>
      <w:r>
        <w:rPr>
          <w:rFonts w:ascii="Cambria" w:hAnsi="Cambria"/>
          <w:sz w:val="20"/>
          <w:szCs w:val="20"/>
          <w:lang w:val="es-CL"/>
        </w:rPr>
        <w:t>, por autorización del Secretario Ejecutivo de la Comisión Interamericana de Derechos Humanos, de conformidad con el artículo 49 del Reglamento de la Comisión, certifica que es copia fiel del original depositado en los archivos de la Secretaría de la CIDH.</w:t>
      </w:r>
    </w:p>
    <w:p w:rsidR="004D2791" w:rsidRPr="006E26D1" w:rsidRDefault="004D2791" w:rsidP="004D2791">
      <w:pPr>
        <w:rPr>
          <w:rFonts w:ascii="Cambria" w:hAnsi="Cambria"/>
          <w:sz w:val="20"/>
          <w:szCs w:val="20"/>
          <w:lang w:val="es-CL"/>
        </w:rPr>
      </w:pPr>
    </w:p>
    <w:p w:rsidR="004D2791" w:rsidRPr="006E26D1" w:rsidRDefault="004D2791" w:rsidP="004D2791">
      <w:pPr>
        <w:jc w:val="both"/>
        <w:rPr>
          <w:rFonts w:ascii="Cambria" w:eastAsia="Times New Roman" w:hAnsi="Cambria"/>
          <w:sz w:val="20"/>
          <w:szCs w:val="20"/>
          <w:lang w:val="es-CL" w:eastAsia="es-ES"/>
        </w:rPr>
      </w:pPr>
    </w:p>
    <w:p w:rsidR="004D2791" w:rsidRPr="006E26D1" w:rsidRDefault="004D2791" w:rsidP="004D2791">
      <w:pPr>
        <w:jc w:val="both"/>
        <w:rPr>
          <w:rFonts w:ascii="Cambria" w:eastAsia="Times New Roman" w:hAnsi="Cambria"/>
          <w:sz w:val="20"/>
          <w:szCs w:val="20"/>
          <w:lang w:val="es-CL" w:eastAsia="es-ES"/>
        </w:rPr>
      </w:pPr>
    </w:p>
    <w:p w:rsidR="00441C2D" w:rsidRPr="006E26D1" w:rsidRDefault="00441C2D" w:rsidP="004D2791">
      <w:pPr>
        <w:jc w:val="both"/>
        <w:rPr>
          <w:rFonts w:ascii="Cambria" w:eastAsia="Times New Roman" w:hAnsi="Cambria"/>
          <w:sz w:val="20"/>
          <w:szCs w:val="20"/>
          <w:lang w:val="es-CL" w:eastAsia="es-ES"/>
        </w:rPr>
      </w:pPr>
    </w:p>
    <w:p w:rsidR="004D2791" w:rsidRPr="006E26D1" w:rsidRDefault="004D2791" w:rsidP="004D2791">
      <w:pPr>
        <w:rPr>
          <w:rFonts w:ascii="Cambria" w:hAnsi="Cambria"/>
          <w:sz w:val="20"/>
          <w:szCs w:val="20"/>
          <w:lang w:val="es-PE"/>
        </w:rPr>
      </w:pPr>
    </w:p>
    <w:p w:rsidR="004D2791" w:rsidRPr="006E26D1" w:rsidRDefault="004D2791" w:rsidP="004D2791">
      <w:pPr>
        <w:ind w:left="2160" w:firstLine="720"/>
        <w:jc w:val="center"/>
        <w:rPr>
          <w:rFonts w:ascii="Cambria" w:hAnsi="Cambria"/>
          <w:sz w:val="20"/>
          <w:szCs w:val="20"/>
          <w:lang w:val="es-PE"/>
        </w:rPr>
      </w:pPr>
      <w:r w:rsidRPr="006E26D1">
        <w:rPr>
          <w:rFonts w:ascii="Cambria" w:hAnsi="Cambria"/>
          <w:sz w:val="20"/>
          <w:szCs w:val="20"/>
          <w:lang w:val="es-PE"/>
        </w:rPr>
        <w:t>Mario López-</w:t>
      </w:r>
      <w:proofErr w:type="spellStart"/>
      <w:r w:rsidRPr="006E26D1">
        <w:rPr>
          <w:rFonts w:ascii="Cambria" w:hAnsi="Cambria"/>
          <w:sz w:val="20"/>
          <w:szCs w:val="20"/>
          <w:lang w:val="es-PE"/>
        </w:rPr>
        <w:t>Garelli</w:t>
      </w:r>
      <w:proofErr w:type="spellEnd"/>
    </w:p>
    <w:p w:rsidR="004D2791" w:rsidRPr="006E26D1" w:rsidRDefault="004D2791" w:rsidP="004D2791">
      <w:pPr>
        <w:ind w:left="2160" w:firstLine="720"/>
        <w:jc w:val="center"/>
        <w:rPr>
          <w:rFonts w:ascii="Cambria" w:hAnsi="Cambria"/>
          <w:sz w:val="20"/>
          <w:szCs w:val="20"/>
          <w:lang w:val="es-PE"/>
        </w:rPr>
      </w:pPr>
      <w:r w:rsidRPr="006E26D1">
        <w:rPr>
          <w:rFonts w:ascii="Cambria" w:hAnsi="Cambria"/>
          <w:sz w:val="20"/>
          <w:szCs w:val="20"/>
          <w:lang w:val="es-PE"/>
        </w:rPr>
        <w:t>Por autorización del Secretario Ejecutivo</w:t>
      </w:r>
    </w:p>
    <w:p w:rsidR="004D2791" w:rsidRPr="006E26D1" w:rsidRDefault="004D2791" w:rsidP="004D2791">
      <w:pPr>
        <w:jc w:val="both"/>
        <w:rPr>
          <w:rFonts w:ascii="Cambria" w:hAnsi="Cambria"/>
          <w:sz w:val="20"/>
          <w:szCs w:val="20"/>
          <w:lang w:val="es-PE"/>
        </w:rPr>
      </w:pPr>
    </w:p>
    <w:p w:rsidR="004D2791" w:rsidRPr="006E26D1" w:rsidRDefault="004D2791" w:rsidP="004D2791">
      <w:pPr>
        <w:rPr>
          <w:rFonts w:ascii="Cambria" w:hAnsi="Cambria"/>
          <w:sz w:val="20"/>
          <w:szCs w:val="20"/>
          <w:lang w:val="es-PE"/>
        </w:rPr>
      </w:pPr>
    </w:p>
    <w:p w:rsidR="004D2791" w:rsidRPr="006E26D1" w:rsidRDefault="004D2791" w:rsidP="004D279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spacing w:val="-2"/>
          <w:sz w:val="20"/>
          <w:szCs w:val="20"/>
          <w:lang w:val="es-PE"/>
        </w:rPr>
      </w:pPr>
      <w:bookmarkStart w:id="48" w:name="_GoBack"/>
      <w:bookmarkEnd w:id="48"/>
    </w:p>
    <w:sectPr w:rsidR="004D2791" w:rsidRPr="006E26D1" w:rsidSect="00612F7C">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57B" w:rsidRDefault="0079557B" w:rsidP="00910616">
      <w:r>
        <w:separator/>
      </w:r>
    </w:p>
  </w:endnote>
  <w:endnote w:type="continuationSeparator" w:id="0">
    <w:p w:rsidR="0079557B" w:rsidRDefault="0079557B" w:rsidP="0091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9557B" w:rsidRPr="00934A2C" w:rsidRDefault="0079557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E26D1">
          <w:rPr>
            <w:noProof/>
            <w:sz w:val="16"/>
            <w:szCs w:val="22"/>
          </w:rPr>
          <w:t>20</w:t>
        </w:r>
        <w:r w:rsidRPr="00934A2C">
          <w:rPr>
            <w:noProof/>
            <w:sz w:val="16"/>
            <w:szCs w:val="22"/>
          </w:rPr>
          <w:fldChar w:fldCharType="end"/>
        </w:r>
      </w:p>
    </w:sdtContent>
  </w:sdt>
  <w:p w:rsidR="0079557B" w:rsidRDefault="007955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7B" w:rsidRPr="00934A2C" w:rsidRDefault="0079557B">
    <w:pPr>
      <w:pStyle w:val="Footer"/>
      <w:jc w:val="center"/>
      <w:rPr>
        <w:sz w:val="16"/>
        <w:szCs w:val="22"/>
      </w:rPr>
    </w:pPr>
  </w:p>
  <w:p w:rsidR="0079557B" w:rsidRDefault="00795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57B" w:rsidRDefault="0079557B" w:rsidP="00910616">
      <w:r>
        <w:separator/>
      </w:r>
    </w:p>
  </w:footnote>
  <w:footnote w:type="continuationSeparator" w:id="0">
    <w:p w:rsidR="0079557B" w:rsidRDefault="0079557B" w:rsidP="00910616">
      <w:r>
        <w:continuationSeparator/>
      </w:r>
    </w:p>
  </w:footnote>
  <w:footnote w:id="1">
    <w:p w:rsidR="0079557B" w:rsidRPr="00FF3BD7" w:rsidRDefault="0079557B" w:rsidP="00FF3BD7">
      <w:pPr>
        <w:pStyle w:val="FootnoteText"/>
        <w:spacing w:after="120"/>
        <w:ind w:firstLine="720"/>
        <w:jc w:val="both"/>
        <w:rPr>
          <w:rFonts w:ascii="Cambria" w:hAnsi="Cambria"/>
          <w:sz w:val="16"/>
          <w:szCs w:val="16"/>
          <w:lang w:val="es-US"/>
        </w:rPr>
      </w:pPr>
      <w:r w:rsidRPr="00FF3BD7">
        <w:rPr>
          <w:rStyle w:val="FootnoteReference"/>
          <w:rFonts w:ascii="Cambria" w:hAnsi="Cambria"/>
          <w:sz w:val="16"/>
          <w:szCs w:val="16"/>
        </w:rPr>
        <w:footnoteRef/>
      </w:r>
      <w:r w:rsidRPr="00FF3BD7">
        <w:rPr>
          <w:rFonts w:ascii="Cambria" w:hAnsi="Cambria"/>
          <w:sz w:val="16"/>
          <w:szCs w:val="16"/>
          <w:lang w:val="es-US"/>
        </w:rPr>
        <w:t xml:space="preserve"> </w:t>
      </w:r>
      <w:r w:rsidRPr="00FF3BD7">
        <w:rPr>
          <w:rFonts w:ascii="Cambria" w:hAnsi="Cambria"/>
          <w:sz w:val="16"/>
          <w:szCs w:val="16"/>
          <w:lang w:val="es-CO"/>
        </w:rPr>
        <w:t xml:space="preserve">Conforme a lo dispuesto en el artículo 17.2 del Reglamento de la Comisión, </w:t>
      </w:r>
      <w:r>
        <w:rPr>
          <w:rFonts w:ascii="Cambria" w:hAnsi="Cambria"/>
          <w:sz w:val="16"/>
          <w:szCs w:val="16"/>
          <w:lang w:val="es-CO"/>
        </w:rPr>
        <w:t xml:space="preserve">la Comisionada Antonia </w:t>
      </w:r>
      <w:proofErr w:type="spellStart"/>
      <w:r>
        <w:rPr>
          <w:rFonts w:ascii="Cambria" w:hAnsi="Cambria"/>
          <w:sz w:val="16"/>
          <w:szCs w:val="16"/>
          <w:lang w:val="es-CO"/>
        </w:rPr>
        <w:t>Urrejola</w:t>
      </w:r>
      <w:proofErr w:type="spellEnd"/>
      <w:r>
        <w:rPr>
          <w:rFonts w:ascii="Cambria" w:hAnsi="Cambria"/>
          <w:sz w:val="16"/>
          <w:szCs w:val="16"/>
          <w:lang w:val="es-CO"/>
        </w:rPr>
        <w:t xml:space="preserve"> Noguera</w:t>
      </w:r>
      <w:r w:rsidRPr="00FF3BD7">
        <w:rPr>
          <w:rFonts w:ascii="Cambria" w:hAnsi="Cambria"/>
          <w:sz w:val="16"/>
          <w:szCs w:val="16"/>
          <w:lang w:val="es-CO"/>
        </w:rPr>
        <w:t xml:space="preserve">, de nacionalidad </w:t>
      </w:r>
      <w:r>
        <w:rPr>
          <w:rFonts w:ascii="Cambria" w:hAnsi="Cambria"/>
          <w:sz w:val="16"/>
          <w:szCs w:val="16"/>
          <w:lang w:val="es-CO"/>
        </w:rPr>
        <w:t>chilena</w:t>
      </w:r>
      <w:r w:rsidRPr="00FF3BD7">
        <w:rPr>
          <w:rFonts w:ascii="Cambria" w:hAnsi="Cambria"/>
          <w:sz w:val="16"/>
          <w:szCs w:val="16"/>
          <w:lang w:val="es-CO"/>
        </w:rPr>
        <w:t>, no participó en el debate ni en la decisión del presente cas</w:t>
      </w:r>
      <w:r w:rsidRPr="00FF3BD7">
        <w:rPr>
          <w:rFonts w:ascii="Cambria" w:hAnsi="Cambria"/>
          <w:color w:val="auto"/>
          <w:sz w:val="16"/>
          <w:szCs w:val="16"/>
          <w:lang w:val="es-CO"/>
        </w:rPr>
        <w:t xml:space="preserve">o. </w:t>
      </w:r>
      <w:r>
        <w:rPr>
          <w:rFonts w:ascii="Cambria" w:hAnsi="Cambria"/>
          <w:sz w:val="16"/>
          <w:szCs w:val="16"/>
          <w:lang w:val="es-US"/>
        </w:rPr>
        <w:tab/>
      </w:r>
    </w:p>
  </w:footnote>
  <w:footnote w:id="2">
    <w:p w:rsidR="0079557B" w:rsidRPr="00910616" w:rsidRDefault="0079557B" w:rsidP="00910616">
      <w:pPr>
        <w:pStyle w:val="FootnoteText"/>
        <w:ind w:firstLine="720"/>
        <w:jc w:val="both"/>
        <w:rPr>
          <w:rFonts w:ascii="Cambria" w:hAnsi="Cambria"/>
          <w:sz w:val="16"/>
          <w:szCs w:val="16"/>
          <w:lang w:val="es-US"/>
        </w:rPr>
      </w:pPr>
      <w:r w:rsidRPr="00910616">
        <w:rPr>
          <w:rStyle w:val="FootnoteReference"/>
          <w:rFonts w:ascii="Cambria" w:hAnsi="Cambria"/>
          <w:sz w:val="16"/>
          <w:szCs w:val="16"/>
        </w:rPr>
        <w:footnoteRef/>
      </w:r>
      <w:r w:rsidRPr="00910616">
        <w:rPr>
          <w:rFonts w:ascii="Cambria" w:hAnsi="Cambria"/>
          <w:sz w:val="16"/>
          <w:szCs w:val="16"/>
          <w:lang w:val="es-US"/>
        </w:rPr>
        <w:t xml:space="preserve"> Con posterioridad CEJIL a través de escrito del 13 de agosto de 2012 expresó su voluntad de cesar como parte peticionaria y representante, señalando como representante a IDHEAS. Por escrito del 18 de septiembre de 2013 Fabián Sánchez Matus fue designado por la presunta víctima como representante. Por escrito del 1º de septiembre de 2015 Javier Cruz Angulo </w:t>
      </w:r>
      <w:proofErr w:type="spellStart"/>
      <w:r w:rsidRPr="00910616">
        <w:rPr>
          <w:rFonts w:ascii="Cambria" w:hAnsi="Cambria"/>
          <w:sz w:val="16"/>
          <w:szCs w:val="16"/>
          <w:lang w:val="es-US"/>
        </w:rPr>
        <w:t>Nobara</w:t>
      </w:r>
      <w:proofErr w:type="spellEnd"/>
      <w:r w:rsidRPr="00910616">
        <w:rPr>
          <w:rFonts w:ascii="Cambria" w:hAnsi="Cambria"/>
          <w:sz w:val="16"/>
          <w:szCs w:val="16"/>
          <w:lang w:val="es-US"/>
        </w:rPr>
        <w:t xml:space="preserve"> y José Antonio Caballero Juárez fueron designados representantes. Finalmente, Fabián Sánchez Matus fue nuevamente designado como representante.</w:t>
      </w:r>
    </w:p>
  </w:footnote>
  <w:footnote w:id="3">
    <w:p w:rsidR="0079557B" w:rsidRPr="0015306C" w:rsidRDefault="0079557B" w:rsidP="0015306C">
      <w:pPr>
        <w:pStyle w:val="FootnoteText"/>
        <w:ind w:firstLine="720"/>
        <w:jc w:val="both"/>
        <w:rPr>
          <w:rFonts w:ascii="Cambria" w:hAnsi="Cambria"/>
          <w:sz w:val="16"/>
          <w:szCs w:val="16"/>
          <w:lang w:val="es-US"/>
        </w:rPr>
      </w:pPr>
      <w:r w:rsidRPr="00910616">
        <w:rPr>
          <w:rStyle w:val="FootnoteReference"/>
          <w:rFonts w:ascii="Cambria" w:hAnsi="Cambria"/>
          <w:sz w:val="16"/>
          <w:szCs w:val="16"/>
        </w:rPr>
        <w:footnoteRef/>
      </w:r>
      <w:r w:rsidRPr="00645C48">
        <w:rPr>
          <w:rStyle w:val="FootnoteReference"/>
          <w:rFonts w:ascii="Cambria" w:hAnsi="Cambria"/>
          <w:sz w:val="16"/>
          <w:szCs w:val="16"/>
          <w:vertAlign w:val="baseline"/>
          <w:lang w:val="es-US"/>
        </w:rPr>
        <w:t xml:space="preserve"> </w:t>
      </w:r>
      <w:r>
        <w:rPr>
          <w:rStyle w:val="FootnoteReference"/>
          <w:rFonts w:ascii="Cambria" w:hAnsi="Cambria"/>
          <w:sz w:val="16"/>
          <w:szCs w:val="16"/>
          <w:vertAlign w:val="baseline"/>
          <w:lang w:val="es-US"/>
        </w:rPr>
        <w:t xml:space="preserve">Por un error involuntario en el informe de admisibilidad No. 51/14 la CIDH identificó el nombre de la presunta víctima como Daniel Urrutia </w:t>
      </w:r>
      <w:proofErr w:type="spellStart"/>
      <w:r>
        <w:rPr>
          <w:rStyle w:val="FootnoteReference"/>
          <w:rFonts w:ascii="Cambria" w:hAnsi="Cambria"/>
          <w:sz w:val="16"/>
          <w:szCs w:val="16"/>
          <w:vertAlign w:val="baseline"/>
          <w:lang w:val="es-US"/>
        </w:rPr>
        <w:t>Labreaux</w:t>
      </w:r>
      <w:proofErr w:type="spellEnd"/>
      <w:r>
        <w:rPr>
          <w:rStyle w:val="FootnoteReference"/>
          <w:rFonts w:ascii="Cambria" w:hAnsi="Cambria"/>
          <w:sz w:val="16"/>
          <w:szCs w:val="16"/>
          <w:vertAlign w:val="baseline"/>
          <w:lang w:val="es-US"/>
        </w:rPr>
        <w:t xml:space="preserve"> en lugar de Daniel Urrutia </w:t>
      </w:r>
      <w:proofErr w:type="spellStart"/>
      <w:r>
        <w:rPr>
          <w:rStyle w:val="FootnoteReference"/>
          <w:rFonts w:ascii="Cambria" w:hAnsi="Cambria"/>
          <w:sz w:val="16"/>
          <w:szCs w:val="16"/>
          <w:vertAlign w:val="baseline"/>
          <w:lang w:val="es-US"/>
        </w:rPr>
        <w:t>Laubreaux</w:t>
      </w:r>
      <w:proofErr w:type="spellEnd"/>
      <w:r>
        <w:rPr>
          <w:rStyle w:val="FootnoteReference"/>
          <w:rFonts w:ascii="Cambria" w:hAnsi="Cambria"/>
          <w:sz w:val="16"/>
          <w:szCs w:val="16"/>
          <w:vertAlign w:val="baseline"/>
          <w:lang w:val="es-US"/>
        </w:rPr>
        <w:t>.</w:t>
      </w:r>
    </w:p>
  </w:footnote>
  <w:footnote w:id="4">
    <w:p w:rsidR="0079557B" w:rsidRPr="00910616" w:rsidRDefault="0079557B" w:rsidP="00910616">
      <w:pPr>
        <w:pStyle w:val="FootnoteText"/>
        <w:ind w:firstLine="720"/>
        <w:jc w:val="both"/>
        <w:rPr>
          <w:rFonts w:ascii="Cambria" w:hAnsi="Cambria"/>
          <w:sz w:val="16"/>
          <w:szCs w:val="16"/>
          <w:lang w:val="es-US"/>
        </w:rPr>
      </w:pPr>
      <w:r w:rsidRPr="00910616">
        <w:rPr>
          <w:rStyle w:val="FootnoteReference"/>
          <w:rFonts w:ascii="Cambria" w:hAnsi="Cambria"/>
          <w:color w:val="auto"/>
          <w:sz w:val="16"/>
          <w:szCs w:val="16"/>
        </w:rPr>
        <w:footnoteRef/>
      </w:r>
      <w:r w:rsidRPr="00524F15">
        <w:rPr>
          <w:rFonts w:ascii="Cambria" w:hAnsi="Cambria"/>
          <w:color w:val="auto"/>
          <w:sz w:val="16"/>
          <w:szCs w:val="16"/>
          <w:lang w:val="pt-BR"/>
        </w:rPr>
        <w:t xml:space="preserve"> </w:t>
      </w:r>
      <w:r w:rsidRPr="00524F15">
        <w:rPr>
          <w:rFonts w:ascii="Cambria" w:hAnsi="Cambria"/>
          <w:color w:val="auto"/>
          <w:sz w:val="16"/>
          <w:szCs w:val="16"/>
          <w:lang w:val="pt-BR"/>
        </w:rPr>
        <w:t xml:space="preserve">CIDH. Informe No. 51/14. Caso 12.955. Daniel Urrutia Labreaux. </w:t>
      </w:r>
      <w:r w:rsidRPr="00910616">
        <w:rPr>
          <w:rFonts w:ascii="Cambria" w:hAnsi="Cambria"/>
          <w:color w:val="auto"/>
          <w:sz w:val="16"/>
          <w:szCs w:val="16"/>
          <w:lang w:val="es-US"/>
        </w:rPr>
        <w:t xml:space="preserve">21 de julio de 2014. </w:t>
      </w:r>
    </w:p>
  </w:footnote>
  <w:footnote w:id="5">
    <w:p w:rsidR="0079557B" w:rsidRPr="00910616" w:rsidRDefault="0079557B" w:rsidP="00910616">
      <w:pPr>
        <w:pStyle w:val="FootnoteText"/>
        <w:ind w:firstLine="720"/>
        <w:jc w:val="both"/>
        <w:rPr>
          <w:rStyle w:val="FootnoteReference"/>
          <w:rFonts w:ascii="Cambria" w:hAnsi="Cambria"/>
          <w:sz w:val="16"/>
          <w:szCs w:val="16"/>
          <w:vertAlign w:val="baseline"/>
        </w:rPr>
      </w:pPr>
      <w:r w:rsidRPr="00910616">
        <w:rPr>
          <w:rStyle w:val="FootnoteReference"/>
          <w:rFonts w:ascii="Cambria" w:hAnsi="Cambria"/>
          <w:sz w:val="16"/>
          <w:szCs w:val="16"/>
        </w:rPr>
        <w:footnoteRef/>
      </w:r>
      <w:r w:rsidRPr="00645C48">
        <w:rPr>
          <w:rStyle w:val="FootnoteReference"/>
          <w:rFonts w:ascii="Cambria" w:hAnsi="Cambria"/>
          <w:sz w:val="16"/>
          <w:szCs w:val="16"/>
          <w:lang w:val="es-US"/>
        </w:rPr>
        <w:t xml:space="preserve"> </w:t>
      </w:r>
      <w:r w:rsidRPr="00645C48">
        <w:rPr>
          <w:rStyle w:val="FootnoteReference"/>
          <w:rFonts w:ascii="Cambria" w:hAnsi="Cambria"/>
          <w:sz w:val="16"/>
          <w:szCs w:val="16"/>
          <w:vertAlign w:val="baseline"/>
          <w:lang w:val="es-US"/>
        </w:rPr>
        <w:t>Escrito de parte peticionar</w:t>
      </w:r>
      <w:proofErr w:type="spellStart"/>
      <w:r w:rsidRPr="00910616">
        <w:rPr>
          <w:rStyle w:val="FootnoteReference"/>
          <w:rFonts w:ascii="Cambria" w:hAnsi="Cambria"/>
          <w:sz w:val="16"/>
          <w:szCs w:val="16"/>
          <w:vertAlign w:val="baseline"/>
        </w:rPr>
        <w:t>ia</w:t>
      </w:r>
      <w:proofErr w:type="spellEnd"/>
      <w:r w:rsidRPr="00910616">
        <w:rPr>
          <w:rStyle w:val="FootnoteReference"/>
          <w:rFonts w:ascii="Cambria" w:hAnsi="Cambria"/>
          <w:sz w:val="16"/>
          <w:szCs w:val="16"/>
          <w:vertAlign w:val="baseline"/>
        </w:rPr>
        <w:t xml:space="preserve"> con </w:t>
      </w:r>
      <w:proofErr w:type="spellStart"/>
      <w:r w:rsidRPr="00910616">
        <w:rPr>
          <w:rStyle w:val="FootnoteReference"/>
          <w:rFonts w:ascii="Cambria" w:hAnsi="Cambria"/>
          <w:sz w:val="16"/>
          <w:szCs w:val="16"/>
          <w:vertAlign w:val="baseline"/>
        </w:rPr>
        <w:t>observaciones</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sobre</w:t>
      </w:r>
      <w:proofErr w:type="spellEnd"/>
      <w:r w:rsidRPr="00910616">
        <w:rPr>
          <w:rStyle w:val="FootnoteReference"/>
          <w:rFonts w:ascii="Cambria" w:hAnsi="Cambria"/>
          <w:sz w:val="16"/>
          <w:szCs w:val="16"/>
          <w:vertAlign w:val="baseline"/>
        </w:rPr>
        <w:t xml:space="preserve"> el </w:t>
      </w:r>
      <w:proofErr w:type="spellStart"/>
      <w:r w:rsidRPr="00910616">
        <w:rPr>
          <w:rStyle w:val="FootnoteReference"/>
          <w:rFonts w:ascii="Cambria" w:hAnsi="Cambria"/>
          <w:sz w:val="16"/>
          <w:szCs w:val="16"/>
          <w:vertAlign w:val="baseline"/>
        </w:rPr>
        <w:t>fondo</w:t>
      </w:r>
      <w:proofErr w:type="spellEnd"/>
      <w:r w:rsidRPr="00910616">
        <w:rPr>
          <w:rStyle w:val="FootnoteReference"/>
          <w:rFonts w:ascii="Cambria" w:hAnsi="Cambria"/>
          <w:sz w:val="16"/>
          <w:szCs w:val="16"/>
          <w:vertAlign w:val="baseline"/>
        </w:rPr>
        <w:t xml:space="preserve"> del </w:t>
      </w:r>
      <w:proofErr w:type="spellStart"/>
      <w:r w:rsidRPr="00910616">
        <w:rPr>
          <w:rStyle w:val="FootnoteReference"/>
          <w:rFonts w:ascii="Cambria" w:hAnsi="Cambria"/>
          <w:sz w:val="16"/>
          <w:szCs w:val="16"/>
          <w:vertAlign w:val="baseline"/>
        </w:rPr>
        <w:t>caso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presentado</w:t>
      </w:r>
      <w:proofErr w:type="spellEnd"/>
      <w:r w:rsidRPr="00910616">
        <w:rPr>
          <w:rStyle w:val="FootnoteReference"/>
          <w:rFonts w:ascii="Cambria" w:hAnsi="Cambria"/>
          <w:sz w:val="16"/>
          <w:szCs w:val="16"/>
          <w:vertAlign w:val="baseline"/>
        </w:rPr>
        <w:t xml:space="preserve"> el 26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2014. </w:t>
      </w:r>
      <w:proofErr w:type="spellStart"/>
      <w:r w:rsidRPr="00910616">
        <w:rPr>
          <w:rStyle w:val="FootnoteReference"/>
          <w:rFonts w:ascii="Cambria" w:hAnsi="Cambria"/>
          <w:sz w:val="16"/>
          <w:szCs w:val="16"/>
          <w:vertAlign w:val="baseline"/>
        </w:rPr>
        <w:t>Información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adicional</w:t>
      </w:r>
      <w:proofErr w:type="spellEnd"/>
      <w:r w:rsidRPr="00910616">
        <w:rPr>
          <w:rStyle w:val="FootnoteReference"/>
          <w:rFonts w:ascii="Cambria" w:hAnsi="Cambria"/>
          <w:sz w:val="16"/>
          <w:szCs w:val="16"/>
          <w:vertAlign w:val="baseline"/>
        </w:rPr>
        <w:t xml:space="preserve"> a la </w:t>
      </w:r>
      <w:proofErr w:type="spellStart"/>
      <w:r w:rsidRPr="00910616">
        <w:rPr>
          <w:rStyle w:val="FootnoteReference"/>
          <w:rFonts w:ascii="Cambria" w:hAnsi="Cambria"/>
          <w:sz w:val="16"/>
          <w:szCs w:val="16"/>
          <w:vertAlign w:val="baseline"/>
        </w:rPr>
        <w:t>comunicación</w:t>
      </w:r>
      <w:proofErr w:type="spellEnd"/>
      <w:r w:rsidRPr="00910616">
        <w:rPr>
          <w:rStyle w:val="FootnoteReference"/>
          <w:rFonts w:ascii="Cambria" w:hAnsi="Cambria"/>
          <w:sz w:val="16"/>
          <w:szCs w:val="16"/>
          <w:vertAlign w:val="baseline"/>
        </w:rPr>
        <w:t xml:space="preserve"> del 18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2014.</w:t>
      </w:r>
    </w:p>
  </w:footnote>
  <w:footnote w:id="6">
    <w:p w:rsidR="0079557B" w:rsidRPr="00910616" w:rsidRDefault="0079557B" w:rsidP="00910616">
      <w:pPr>
        <w:pStyle w:val="FootnoteText"/>
        <w:ind w:firstLine="720"/>
        <w:jc w:val="both"/>
        <w:rPr>
          <w:rStyle w:val="FootnoteReference"/>
          <w:rFonts w:ascii="Cambria" w:hAnsi="Cambria"/>
          <w:sz w:val="16"/>
          <w:szCs w:val="16"/>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sidRPr="00910616">
        <w:rPr>
          <w:rStyle w:val="FootnoteReference"/>
          <w:rFonts w:ascii="Cambria" w:hAnsi="Cambria"/>
          <w:sz w:val="16"/>
          <w:szCs w:val="16"/>
          <w:vertAlign w:val="baseline"/>
        </w:rPr>
        <w:t>Escrito</w:t>
      </w:r>
      <w:proofErr w:type="spellEnd"/>
      <w:r w:rsidRPr="00910616">
        <w:rPr>
          <w:rStyle w:val="FootnoteReference"/>
          <w:rFonts w:ascii="Cambria" w:hAnsi="Cambria"/>
          <w:sz w:val="16"/>
          <w:szCs w:val="16"/>
          <w:vertAlign w:val="baseline"/>
        </w:rPr>
        <w:t xml:space="preserve"> de parte </w:t>
      </w:r>
      <w:proofErr w:type="spellStart"/>
      <w:r w:rsidRPr="00910616">
        <w:rPr>
          <w:rStyle w:val="FootnoteReference"/>
          <w:rFonts w:ascii="Cambria" w:hAnsi="Cambria"/>
          <w:sz w:val="16"/>
          <w:szCs w:val="16"/>
          <w:vertAlign w:val="baseline"/>
        </w:rPr>
        <w:t>peticionaria</w:t>
      </w:r>
      <w:proofErr w:type="spellEnd"/>
      <w:r w:rsidRPr="00910616">
        <w:rPr>
          <w:rStyle w:val="FootnoteReference"/>
          <w:rFonts w:ascii="Cambria" w:hAnsi="Cambria"/>
          <w:sz w:val="16"/>
          <w:szCs w:val="16"/>
          <w:vertAlign w:val="baseline"/>
        </w:rPr>
        <w:t xml:space="preserve"> con </w:t>
      </w:r>
      <w:proofErr w:type="spellStart"/>
      <w:r w:rsidRPr="00910616">
        <w:rPr>
          <w:rStyle w:val="FootnoteReference"/>
          <w:rFonts w:ascii="Cambria" w:hAnsi="Cambria"/>
          <w:sz w:val="16"/>
          <w:szCs w:val="16"/>
          <w:vertAlign w:val="baseline"/>
        </w:rPr>
        <w:t>observaciones</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sobre</w:t>
      </w:r>
      <w:proofErr w:type="spellEnd"/>
      <w:r w:rsidRPr="00910616">
        <w:rPr>
          <w:rStyle w:val="FootnoteReference"/>
          <w:rFonts w:ascii="Cambria" w:hAnsi="Cambria"/>
          <w:sz w:val="16"/>
          <w:szCs w:val="16"/>
          <w:vertAlign w:val="baseline"/>
        </w:rPr>
        <w:t xml:space="preserve"> el </w:t>
      </w:r>
      <w:proofErr w:type="spellStart"/>
      <w:r w:rsidRPr="00910616">
        <w:rPr>
          <w:rStyle w:val="FootnoteReference"/>
          <w:rFonts w:ascii="Cambria" w:hAnsi="Cambria"/>
          <w:sz w:val="16"/>
          <w:szCs w:val="16"/>
          <w:vertAlign w:val="baseline"/>
        </w:rPr>
        <w:t>fondo</w:t>
      </w:r>
      <w:proofErr w:type="spellEnd"/>
      <w:r w:rsidRPr="00910616">
        <w:rPr>
          <w:rStyle w:val="FootnoteReference"/>
          <w:rFonts w:ascii="Cambria" w:hAnsi="Cambria"/>
          <w:sz w:val="16"/>
          <w:szCs w:val="16"/>
          <w:vertAlign w:val="baseline"/>
        </w:rPr>
        <w:t xml:space="preserve"> del </w:t>
      </w:r>
      <w:proofErr w:type="spellStart"/>
      <w:r w:rsidRPr="00910616">
        <w:rPr>
          <w:rStyle w:val="FootnoteReference"/>
          <w:rFonts w:ascii="Cambria" w:hAnsi="Cambria"/>
          <w:sz w:val="16"/>
          <w:szCs w:val="16"/>
          <w:vertAlign w:val="baseline"/>
        </w:rPr>
        <w:t>caso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presentado</w:t>
      </w:r>
      <w:proofErr w:type="spellEnd"/>
      <w:r w:rsidRPr="00910616">
        <w:rPr>
          <w:rStyle w:val="FootnoteReference"/>
          <w:rFonts w:ascii="Cambria" w:hAnsi="Cambria"/>
          <w:sz w:val="16"/>
          <w:szCs w:val="16"/>
          <w:vertAlign w:val="baseline"/>
        </w:rPr>
        <w:t xml:space="preserve"> el 26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2014. </w:t>
      </w:r>
      <w:proofErr w:type="spellStart"/>
      <w:r w:rsidRPr="00910616">
        <w:rPr>
          <w:rStyle w:val="FootnoteReference"/>
          <w:rFonts w:ascii="Cambria" w:hAnsi="Cambria"/>
          <w:sz w:val="16"/>
          <w:szCs w:val="16"/>
          <w:vertAlign w:val="baseline"/>
        </w:rPr>
        <w:t>Información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adicional</w:t>
      </w:r>
      <w:proofErr w:type="spellEnd"/>
      <w:r w:rsidRPr="00910616">
        <w:rPr>
          <w:rStyle w:val="FootnoteReference"/>
          <w:rFonts w:ascii="Cambria" w:hAnsi="Cambria"/>
          <w:sz w:val="16"/>
          <w:szCs w:val="16"/>
          <w:vertAlign w:val="baseline"/>
        </w:rPr>
        <w:t xml:space="preserve"> a la </w:t>
      </w:r>
      <w:proofErr w:type="spellStart"/>
      <w:r w:rsidRPr="00910616">
        <w:rPr>
          <w:rStyle w:val="FootnoteReference"/>
          <w:rFonts w:ascii="Cambria" w:hAnsi="Cambria"/>
          <w:sz w:val="16"/>
          <w:szCs w:val="16"/>
          <w:vertAlign w:val="baseline"/>
        </w:rPr>
        <w:t>comunicación</w:t>
      </w:r>
      <w:proofErr w:type="spellEnd"/>
      <w:r w:rsidRPr="00910616">
        <w:rPr>
          <w:rStyle w:val="FootnoteReference"/>
          <w:rFonts w:ascii="Cambria" w:hAnsi="Cambria"/>
          <w:sz w:val="16"/>
          <w:szCs w:val="16"/>
          <w:vertAlign w:val="baseline"/>
        </w:rPr>
        <w:t xml:space="preserve"> del 18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2014.</w:t>
      </w:r>
    </w:p>
  </w:footnote>
  <w:footnote w:id="7">
    <w:p w:rsidR="0079557B" w:rsidRPr="00910616" w:rsidRDefault="0079557B" w:rsidP="00910616">
      <w:pPr>
        <w:pStyle w:val="FootnoteText"/>
        <w:ind w:firstLine="720"/>
        <w:jc w:val="both"/>
        <w:rPr>
          <w:rStyle w:val="FootnoteReference"/>
          <w:rFonts w:ascii="Cambria" w:hAnsi="Cambria"/>
          <w:sz w:val="16"/>
          <w:szCs w:val="16"/>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sidRPr="00910616">
        <w:rPr>
          <w:rStyle w:val="FootnoteReference"/>
          <w:rFonts w:ascii="Cambria" w:hAnsi="Cambria"/>
          <w:sz w:val="16"/>
          <w:szCs w:val="16"/>
          <w:vertAlign w:val="baseline"/>
        </w:rPr>
        <w:t>Promulgada</w:t>
      </w:r>
      <w:proofErr w:type="spellEnd"/>
      <w:r w:rsidRPr="00910616">
        <w:rPr>
          <w:rStyle w:val="FootnoteReference"/>
          <w:rFonts w:ascii="Cambria" w:hAnsi="Cambria"/>
          <w:sz w:val="16"/>
          <w:szCs w:val="16"/>
          <w:vertAlign w:val="baseline"/>
        </w:rPr>
        <w:t xml:space="preserve"> el 21 de </w:t>
      </w:r>
      <w:proofErr w:type="spellStart"/>
      <w:r w:rsidRPr="00910616">
        <w:rPr>
          <w:rStyle w:val="FootnoteReference"/>
          <w:rFonts w:ascii="Cambria" w:hAnsi="Cambria"/>
          <w:sz w:val="16"/>
          <w:szCs w:val="16"/>
          <w:vertAlign w:val="baseline"/>
        </w:rPr>
        <w:t>octubre</w:t>
      </w:r>
      <w:proofErr w:type="spellEnd"/>
      <w:r w:rsidRPr="00910616">
        <w:rPr>
          <w:rStyle w:val="FootnoteReference"/>
          <w:rFonts w:ascii="Cambria" w:hAnsi="Cambria"/>
          <w:sz w:val="16"/>
          <w:szCs w:val="16"/>
          <w:vertAlign w:val="baseline"/>
        </w:rPr>
        <w:t xml:space="preserve"> de 1980.</w:t>
      </w:r>
    </w:p>
  </w:footnote>
  <w:footnote w:id="8">
    <w:p w:rsidR="0079557B" w:rsidRPr="00910616" w:rsidRDefault="0079557B" w:rsidP="00910616">
      <w:pPr>
        <w:pStyle w:val="FootnoteText"/>
        <w:ind w:firstLine="720"/>
        <w:jc w:val="both"/>
        <w:rPr>
          <w:rStyle w:val="FootnoteReference"/>
          <w:rFonts w:ascii="Cambria" w:hAnsi="Cambria"/>
          <w:sz w:val="16"/>
          <w:szCs w:val="16"/>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r w:rsidRPr="00910616">
        <w:rPr>
          <w:rStyle w:val="FootnoteReference"/>
          <w:rFonts w:ascii="Cambria" w:hAnsi="Cambria"/>
          <w:sz w:val="16"/>
          <w:szCs w:val="16"/>
          <w:vertAlign w:val="baseline"/>
        </w:rPr>
        <w:t xml:space="preserve">El </w:t>
      </w:r>
      <w:proofErr w:type="spellStart"/>
      <w:r w:rsidRPr="00910616">
        <w:rPr>
          <w:rStyle w:val="FootnoteReference"/>
          <w:rFonts w:ascii="Cambria" w:hAnsi="Cambria"/>
          <w:sz w:val="16"/>
          <w:szCs w:val="16"/>
          <w:vertAlign w:val="baseline"/>
        </w:rPr>
        <w:t>contenido</w:t>
      </w:r>
      <w:proofErr w:type="spellEnd"/>
      <w:r w:rsidRPr="00910616">
        <w:rPr>
          <w:rStyle w:val="FootnoteReference"/>
          <w:rFonts w:ascii="Cambria" w:hAnsi="Cambria"/>
          <w:sz w:val="16"/>
          <w:szCs w:val="16"/>
          <w:vertAlign w:val="baseline"/>
        </w:rPr>
        <w:t xml:space="preserve"> de </w:t>
      </w:r>
      <w:proofErr w:type="spellStart"/>
      <w:r w:rsidRPr="00910616">
        <w:rPr>
          <w:rStyle w:val="FootnoteReference"/>
          <w:rFonts w:ascii="Cambria" w:hAnsi="Cambria"/>
          <w:sz w:val="16"/>
          <w:szCs w:val="16"/>
          <w:vertAlign w:val="baseline"/>
        </w:rPr>
        <w:t>este</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artículo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en</w:t>
      </w:r>
      <w:proofErr w:type="spellEnd"/>
      <w:r w:rsidRPr="00910616">
        <w:rPr>
          <w:rStyle w:val="FootnoteReference"/>
          <w:rFonts w:ascii="Cambria" w:hAnsi="Cambria"/>
          <w:sz w:val="16"/>
          <w:szCs w:val="16"/>
          <w:vertAlign w:val="baseline"/>
        </w:rPr>
        <w:t xml:space="preserve"> lo </w:t>
      </w:r>
      <w:proofErr w:type="spellStart"/>
      <w:r w:rsidRPr="00910616">
        <w:rPr>
          <w:rStyle w:val="FootnoteReference"/>
          <w:rFonts w:ascii="Cambria" w:hAnsi="Cambria"/>
          <w:sz w:val="16"/>
          <w:szCs w:val="16"/>
          <w:vertAlign w:val="baseline"/>
        </w:rPr>
        <w:t>conducente</w:t>
      </w:r>
      <w:proofErr w:type="spellEnd"/>
      <w:r w:rsidRPr="00910616">
        <w:rPr>
          <w:rStyle w:val="FootnoteReference"/>
          <w:rFonts w:ascii="Cambria" w:hAnsi="Cambria"/>
          <w:sz w:val="16"/>
          <w:szCs w:val="16"/>
          <w:vertAlign w:val="baseline"/>
        </w:rPr>
        <w:t xml:space="preserve"> para el </w:t>
      </w:r>
      <w:proofErr w:type="spellStart"/>
      <w:r w:rsidRPr="00910616">
        <w:rPr>
          <w:rStyle w:val="FootnoteReference"/>
          <w:rFonts w:ascii="Cambria" w:hAnsi="Cambria"/>
          <w:sz w:val="16"/>
          <w:szCs w:val="16"/>
          <w:vertAlign w:val="baseline"/>
        </w:rPr>
        <w:t>caso</w:t>
      </w:r>
      <w:proofErr w:type="spellEnd"/>
      <w:r w:rsidRPr="00910616">
        <w:rPr>
          <w:rStyle w:val="FootnoteReference"/>
          <w:rFonts w:ascii="Cambria" w:hAnsi="Cambria"/>
          <w:sz w:val="16"/>
          <w:szCs w:val="16"/>
          <w:vertAlign w:val="baseline"/>
        </w:rPr>
        <w:t xml:space="preserve">, se </w:t>
      </w:r>
      <w:proofErr w:type="spellStart"/>
      <w:r w:rsidRPr="00910616">
        <w:rPr>
          <w:rStyle w:val="FootnoteReference"/>
          <w:rFonts w:ascii="Cambria" w:hAnsi="Cambria"/>
          <w:sz w:val="16"/>
          <w:szCs w:val="16"/>
          <w:vertAlign w:val="baseline"/>
        </w:rPr>
        <w:t>encuentra</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previsto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en</w:t>
      </w:r>
      <w:proofErr w:type="spellEnd"/>
      <w:r w:rsidRPr="00910616">
        <w:rPr>
          <w:rStyle w:val="FootnoteReference"/>
          <w:rFonts w:ascii="Cambria" w:hAnsi="Cambria"/>
          <w:sz w:val="16"/>
          <w:szCs w:val="16"/>
          <w:vertAlign w:val="baseline"/>
        </w:rPr>
        <w:t xml:space="preserve"> el </w:t>
      </w:r>
      <w:proofErr w:type="spellStart"/>
      <w:r w:rsidRPr="00910616">
        <w:rPr>
          <w:rStyle w:val="FootnoteReference"/>
          <w:rFonts w:ascii="Cambria" w:hAnsi="Cambria"/>
          <w:sz w:val="16"/>
          <w:szCs w:val="16"/>
          <w:vertAlign w:val="baseline"/>
        </w:rPr>
        <w:t>texto</w:t>
      </w:r>
      <w:proofErr w:type="spellEnd"/>
      <w:r w:rsidRPr="00910616">
        <w:rPr>
          <w:rStyle w:val="FootnoteReference"/>
          <w:rFonts w:ascii="Cambria" w:hAnsi="Cambria"/>
          <w:sz w:val="16"/>
          <w:szCs w:val="16"/>
          <w:vertAlign w:val="baseline"/>
        </w:rPr>
        <w:t xml:space="preserve"> del </w:t>
      </w:r>
      <w:proofErr w:type="spellStart"/>
      <w:r w:rsidRPr="00910616">
        <w:rPr>
          <w:rStyle w:val="FootnoteReference"/>
          <w:rFonts w:ascii="Cambria" w:hAnsi="Cambria"/>
          <w:sz w:val="16"/>
          <w:szCs w:val="16"/>
          <w:vertAlign w:val="baseline"/>
        </w:rPr>
        <w:t>artículo</w:t>
      </w:r>
      <w:proofErr w:type="spellEnd"/>
      <w:r w:rsidRPr="00910616">
        <w:rPr>
          <w:rStyle w:val="FootnoteReference"/>
          <w:rFonts w:ascii="Cambria" w:hAnsi="Cambria"/>
          <w:sz w:val="16"/>
          <w:szCs w:val="16"/>
          <w:vertAlign w:val="baseline"/>
        </w:rPr>
        <w:t xml:space="preserve"> 82 </w:t>
      </w:r>
      <w:proofErr w:type="spellStart"/>
      <w:r w:rsidRPr="00910616">
        <w:rPr>
          <w:rStyle w:val="FootnoteReference"/>
          <w:rFonts w:ascii="Cambria" w:hAnsi="Cambria"/>
          <w:sz w:val="16"/>
          <w:szCs w:val="16"/>
          <w:vertAlign w:val="baseline"/>
        </w:rPr>
        <w:t>constitucional</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actualmente</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vigente</w:t>
      </w:r>
      <w:proofErr w:type="spellEnd"/>
      <w:r w:rsidRPr="00910616">
        <w:rPr>
          <w:rStyle w:val="FootnoteReference"/>
          <w:rFonts w:ascii="Cambria" w:hAnsi="Cambria"/>
          <w:sz w:val="16"/>
          <w:szCs w:val="16"/>
          <w:vertAlign w:val="baseline"/>
        </w:rPr>
        <w:t>.</w:t>
      </w:r>
    </w:p>
  </w:footnote>
  <w:footnote w:id="9">
    <w:p w:rsidR="0079557B" w:rsidRPr="00910616" w:rsidRDefault="0079557B" w:rsidP="00910616">
      <w:pPr>
        <w:pStyle w:val="FootnoteText"/>
        <w:ind w:firstLine="720"/>
        <w:jc w:val="both"/>
        <w:rPr>
          <w:rFonts w:ascii="Cambria" w:hAnsi="Cambria"/>
          <w:sz w:val="16"/>
          <w:szCs w:val="16"/>
          <w:lang w:val="es-CO"/>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r w:rsidRPr="00910616">
        <w:rPr>
          <w:rStyle w:val="FootnoteReference"/>
          <w:rFonts w:ascii="Cambria" w:hAnsi="Cambria"/>
          <w:sz w:val="16"/>
          <w:szCs w:val="16"/>
          <w:vertAlign w:val="baseline"/>
        </w:rPr>
        <w:t xml:space="preserve">Ley 7.421, </w:t>
      </w:r>
      <w:proofErr w:type="spellStart"/>
      <w:r w:rsidRPr="00910616">
        <w:rPr>
          <w:rStyle w:val="FootnoteReference"/>
          <w:rFonts w:ascii="Cambria" w:hAnsi="Cambria"/>
          <w:sz w:val="16"/>
          <w:szCs w:val="16"/>
          <w:vertAlign w:val="baseline"/>
        </w:rPr>
        <w:t>publicada</w:t>
      </w:r>
      <w:proofErr w:type="spellEnd"/>
      <w:r w:rsidRPr="00910616">
        <w:rPr>
          <w:rStyle w:val="FootnoteReference"/>
          <w:rFonts w:ascii="Cambria" w:hAnsi="Cambria"/>
          <w:sz w:val="16"/>
          <w:szCs w:val="16"/>
          <w:vertAlign w:val="baseline"/>
        </w:rPr>
        <w:t xml:space="preserve"> el 9 de </w:t>
      </w:r>
      <w:proofErr w:type="spellStart"/>
      <w:r w:rsidRPr="00910616">
        <w:rPr>
          <w:rStyle w:val="FootnoteReference"/>
          <w:rFonts w:ascii="Cambria" w:hAnsi="Cambria"/>
          <w:sz w:val="16"/>
          <w:szCs w:val="16"/>
          <w:vertAlign w:val="baseline"/>
        </w:rPr>
        <w:t>julio</w:t>
      </w:r>
      <w:proofErr w:type="spellEnd"/>
      <w:r w:rsidRPr="00910616">
        <w:rPr>
          <w:rStyle w:val="FootnoteReference"/>
          <w:rFonts w:ascii="Cambria" w:hAnsi="Cambria"/>
          <w:sz w:val="16"/>
          <w:szCs w:val="16"/>
          <w:vertAlign w:val="baseline"/>
        </w:rPr>
        <w:t xml:space="preserve"> de 1943.</w:t>
      </w:r>
    </w:p>
  </w:footnote>
  <w:footnote w:id="10">
    <w:p w:rsidR="0079557B" w:rsidRPr="00910616" w:rsidRDefault="0079557B" w:rsidP="00910616">
      <w:pPr>
        <w:pStyle w:val="FootnoteText"/>
        <w:ind w:firstLine="720"/>
        <w:jc w:val="both"/>
        <w:rPr>
          <w:rFonts w:ascii="Cambria" w:hAnsi="Cambria"/>
          <w:sz w:val="16"/>
          <w:szCs w:val="16"/>
          <w:lang w:val="es-CO"/>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w:t>
      </w:r>
      <w:r>
        <w:rPr>
          <w:rStyle w:val="FootnoteReference"/>
          <w:rFonts w:ascii="Cambria" w:hAnsi="Cambria"/>
          <w:sz w:val="16"/>
          <w:szCs w:val="16"/>
          <w:vertAlign w:val="baseline"/>
        </w:rPr>
        <w:t>1</w:t>
      </w:r>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Oficio</w:t>
      </w:r>
      <w:proofErr w:type="spellEnd"/>
      <w:r w:rsidRPr="00910616">
        <w:rPr>
          <w:rStyle w:val="FootnoteReference"/>
          <w:rFonts w:ascii="Cambria" w:hAnsi="Cambria"/>
          <w:sz w:val="16"/>
          <w:szCs w:val="16"/>
          <w:vertAlign w:val="baseline"/>
        </w:rPr>
        <w:t xml:space="preserve"> No. 3690 del 12 de </w:t>
      </w:r>
      <w:proofErr w:type="spellStart"/>
      <w:r w:rsidRPr="00910616">
        <w:rPr>
          <w:rStyle w:val="FootnoteReference"/>
          <w:rFonts w:ascii="Cambria" w:hAnsi="Cambria"/>
          <w:sz w:val="16"/>
          <w:szCs w:val="16"/>
          <w:vertAlign w:val="baseline"/>
        </w:rPr>
        <w:t>abril</w:t>
      </w:r>
      <w:proofErr w:type="spellEnd"/>
      <w:r w:rsidRPr="00910616">
        <w:rPr>
          <w:rStyle w:val="FootnoteReference"/>
          <w:rFonts w:ascii="Cambria" w:hAnsi="Cambria"/>
          <w:sz w:val="16"/>
          <w:szCs w:val="16"/>
          <w:vertAlign w:val="baseline"/>
        </w:rPr>
        <w:t xml:space="preserve"> de 2004 </w:t>
      </w:r>
      <w:proofErr w:type="spellStart"/>
      <w:r w:rsidRPr="00910616">
        <w:rPr>
          <w:rStyle w:val="FootnoteReference"/>
          <w:rFonts w:ascii="Cambria" w:hAnsi="Cambria"/>
          <w:sz w:val="16"/>
          <w:szCs w:val="16"/>
          <w:vertAlign w:val="baseline"/>
        </w:rPr>
        <w:t>dirigido</w:t>
      </w:r>
      <w:proofErr w:type="spellEnd"/>
      <w:r w:rsidRPr="00910616">
        <w:rPr>
          <w:rStyle w:val="FootnoteReference"/>
          <w:rFonts w:ascii="Cambria" w:hAnsi="Cambria"/>
          <w:sz w:val="16"/>
          <w:szCs w:val="16"/>
          <w:vertAlign w:val="baseline"/>
        </w:rPr>
        <w:t xml:space="preserve"> al Sr. </w:t>
      </w:r>
      <w:proofErr w:type="spellStart"/>
      <w:r w:rsidRPr="00910616">
        <w:rPr>
          <w:rStyle w:val="FootnoteReference"/>
          <w:rFonts w:ascii="Cambria" w:hAnsi="Cambria"/>
          <w:sz w:val="16"/>
          <w:szCs w:val="16"/>
          <w:vertAlign w:val="baseline"/>
        </w:rPr>
        <w:t>Juez</w:t>
      </w:r>
      <w:proofErr w:type="spellEnd"/>
      <w:r w:rsidRPr="00910616">
        <w:rPr>
          <w:rStyle w:val="FootnoteReference"/>
          <w:rFonts w:ascii="Cambria" w:hAnsi="Cambria"/>
          <w:sz w:val="16"/>
          <w:szCs w:val="16"/>
          <w:vertAlign w:val="baseline"/>
        </w:rPr>
        <w:t xml:space="preserve"> Daniel </w:t>
      </w:r>
      <w:proofErr w:type="spellStart"/>
      <w:r w:rsidRPr="00910616">
        <w:rPr>
          <w:rStyle w:val="FootnoteReference"/>
          <w:rFonts w:ascii="Cambria" w:hAnsi="Cambria"/>
          <w:sz w:val="16"/>
          <w:szCs w:val="16"/>
          <w:vertAlign w:val="baseline"/>
        </w:rPr>
        <w:t>Urrutia</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Laubreaux</w:t>
      </w:r>
      <w:proofErr w:type="spellEnd"/>
      <w:r w:rsidRPr="00910616">
        <w:rPr>
          <w:rStyle w:val="FootnoteReference"/>
          <w:rFonts w:ascii="Cambria" w:hAnsi="Cambria"/>
          <w:sz w:val="16"/>
          <w:szCs w:val="16"/>
          <w:vertAlign w:val="baseline"/>
        </w:rPr>
        <w:t xml:space="preserve"> y </w:t>
      </w:r>
      <w:proofErr w:type="spellStart"/>
      <w:r w:rsidRPr="00910616">
        <w:rPr>
          <w:rStyle w:val="FootnoteReference"/>
          <w:rFonts w:ascii="Cambria" w:hAnsi="Cambria"/>
          <w:sz w:val="16"/>
          <w:szCs w:val="16"/>
          <w:vertAlign w:val="baseline"/>
        </w:rPr>
        <w:t>suscrito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por</w:t>
      </w:r>
      <w:proofErr w:type="spellEnd"/>
      <w:r w:rsidRPr="00910616">
        <w:rPr>
          <w:rStyle w:val="FootnoteReference"/>
          <w:rFonts w:ascii="Cambria" w:hAnsi="Cambria"/>
          <w:sz w:val="16"/>
          <w:szCs w:val="16"/>
          <w:vertAlign w:val="baseline"/>
        </w:rPr>
        <w:t xml:space="preserve"> el </w:t>
      </w:r>
      <w:proofErr w:type="spellStart"/>
      <w:r w:rsidRPr="00910616">
        <w:rPr>
          <w:rStyle w:val="FootnoteReference"/>
          <w:rFonts w:ascii="Cambria" w:hAnsi="Cambria"/>
          <w:sz w:val="16"/>
          <w:szCs w:val="16"/>
          <w:vertAlign w:val="baseline"/>
        </w:rPr>
        <w:t>Secretario</w:t>
      </w:r>
      <w:proofErr w:type="spellEnd"/>
      <w:r w:rsidRPr="00910616">
        <w:rPr>
          <w:rStyle w:val="FootnoteReference"/>
          <w:rFonts w:ascii="Cambria" w:hAnsi="Cambria"/>
          <w:sz w:val="16"/>
          <w:szCs w:val="16"/>
          <w:vertAlign w:val="baseline"/>
        </w:rPr>
        <w:t xml:space="preserve"> de la Corte Suprema de Chile.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1 a la </w:t>
      </w:r>
      <w:proofErr w:type="spellStart"/>
      <w:r w:rsidRPr="00910616">
        <w:rPr>
          <w:rStyle w:val="FootnoteReference"/>
          <w:rFonts w:ascii="Cambria" w:hAnsi="Cambria"/>
          <w:sz w:val="16"/>
          <w:szCs w:val="16"/>
          <w:vertAlign w:val="baseline"/>
        </w:rPr>
        <w:t>petición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inicial</w:t>
      </w:r>
      <w:proofErr w:type="spellEnd"/>
      <w:r w:rsidRPr="00910616">
        <w:rPr>
          <w:rStyle w:val="FootnoteReference"/>
          <w:rFonts w:ascii="Cambria" w:hAnsi="Cambria"/>
          <w:sz w:val="16"/>
          <w:szCs w:val="16"/>
          <w:vertAlign w:val="baseline"/>
        </w:rPr>
        <w:t xml:space="preserve"> de 5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2005.</w:t>
      </w:r>
    </w:p>
  </w:footnote>
  <w:footnote w:id="11">
    <w:p w:rsidR="0079557B" w:rsidRPr="00910616" w:rsidRDefault="0079557B" w:rsidP="00910616">
      <w:pPr>
        <w:pStyle w:val="FootnoteText"/>
        <w:ind w:firstLine="720"/>
        <w:jc w:val="both"/>
        <w:rPr>
          <w:rFonts w:ascii="Cambria" w:hAnsi="Cambria"/>
          <w:sz w:val="16"/>
          <w:szCs w:val="16"/>
          <w:lang w:val="es-CO"/>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Pr>
          <w:rStyle w:val="FootnoteReference"/>
          <w:rFonts w:ascii="Cambria" w:hAnsi="Cambria"/>
          <w:sz w:val="16"/>
          <w:szCs w:val="16"/>
          <w:vertAlign w:val="baseline"/>
        </w:rPr>
        <w:t>Anexo</w:t>
      </w:r>
      <w:proofErr w:type="spellEnd"/>
      <w:r>
        <w:rPr>
          <w:rStyle w:val="FootnoteReference"/>
          <w:rFonts w:ascii="Cambria" w:hAnsi="Cambria"/>
          <w:sz w:val="16"/>
          <w:szCs w:val="16"/>
          <w:vertAlign w:val="baseline"/>
        </w:rPr>
        <w:t xml:space="preserve"> 2</w:t>
      </w:r>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Oficio</w:t>
      </w:r>
      <w:proofErr w:type="spellEnd"/>
      <w:r w:rsidRPr="00910616">
        <w:rPr>
          <w:rStyle w:val="FootnoteReference"/>
          <w:rFonts w:ascii="Cambria" w:hAnsi="Cambria"/>
          <w:sz w:val="16"/>
          <w:szCs w:val="16"/>
          <w:vertAlign w:val="baseline"/>
        </w:rPr>
        <w:t xml:space="preserve"> No. 242 del 30 de </w:t>
      </w:r>
      <w:proofErr w:type="spellStart"/>
      <w:r w:rsidRPr="00910616">
        <w:rPr>
          <w:rStyle w:val="FootnoteReference"/>
          <w:rFonts w:ascii="Cambria" w:hAnsi="Cambria"/>
          <w:sz w:val="16"/>
          <w:szCs w:val="16"/>
          <w:vertAlign w:val="baseline"/>
        </w:rPr>
        <w:t>noviembre</w:t>
      </w:r>
      <w:proofErr w:type="spellEnd"/>
      <w:r w:rsidRPr="00910616">
        <w:rPr>
          <w:rStyle w:val="FootnoteReference"/>
          <w:rFonts w:ascii="Cambria" w:hAnsi="Cambria"/>
          <w:sz w:val="16"/>
          <w:szCs w:val="16"/>
          <w:vertAlign w:val="baseline"/>
        </w:rPr>
        <w:t xml:space="preserve"> de 2004 </w:t>
      </w:r>
      <w:proofErr w:type="spellStart"/>
      <w:r w:rsidRPr="00910616">
        <w:rPr>
          <w:rStyle w:val="FootnoteReference"/>
          <w:rFonts w:ascii="Cambria" w:hAnsi="Cambria"/>
          <w:sz w:val="16"/>
          <w:szCs w:val="16"/>
          <w:vertAlign w:val="baseline"/>
        </w:rPr>
        <w:t>dirigido</w:t>
      </w:r>
      <w:proofErr w:type="spellEnd"/>
      <w:r w:rsidRPr="00910616">
        <w:rPr>
          <w:rStyle w:val="FootnoteReference"/>
          <w:rFonts w:ascii="Cambria" w:hAnsi="Cambria"/>
          <w:sz w:val="16"/>
          <w:szCs w:val="16"/>
          <w:vertAlign w:val="baseline"/>
        </w:rPr>
        <w:t xml:space="preserve"> al </w:t>
      </w:r>
      <w:proofErr w:type="spellStart"/>
      <w:r w:rsidRPr="00910616">
        <w:rPr>
          <w:rStyle w:val="FootnoteReference"/>
          <w:rFonts w:ascii="Cambria" w:hAnsi="Cambria"/>
          <w:sz w:val="16"/>
          <w:szCs w:val="16"/>
          <w:vertAlign w:val="baseline"/>
        </w:rPr>
        <w:t>Presidente</w:t>
      </w:r>
      <w:proofErr w:type="spellEnd"/>
      <w:r w:rsidRPr="00910616">
        <w:rPr>
          <w:rStyle w:val="FootnoteReference"/>
          <w:rFonts w:ascii="Cambria" w:hAnsi="Cambria"/>
          <w:sz w:val="16"/>
          <w:szCs w:val="16"/>
          <w:vertAlign w:val="baseline"/>
        </w:rPr>
        <w:t xml:space="preserve"> de la Corte Suprema y </w:t>
      </w:r>
      <w:proofErr w:type="spellStart"/>
      <w:r w:rsidRPr="00910616">
        <w:rPr>
          <w:rStyle w:val="FootnoteReference"/>
          <w:rFonts w:ascii="Cambria" w:hAnsi="Cambria"/>
          <w:sz w:val="16"/>
          <w:szCs w:val="16"/>
          <w:vertAlign w:val="baseline"/>
        </w:rPr>
        <w:t>suscrito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por</w:t>
      </w:r>
      <w:proofErr w:type="spellEnd"/>
      <w:r w:rsidRPr="00910616">
        <w:rPr>
          <w:rStyle w:val="FootnoteReference"/>
          <w:rFonts w:ascii="Cambria" w:hAnsi="Cambria"/>
          <w:sz w:val="16"/>
          <w:szCs w:val="16"/>
          <w:vertAlign w:val="baseline"/>
        </w:rPr>
        <w:t xml:space="preserve"> el </w:t>
      </w:r>
      <w:proofErr w:type="spellStart"/>
      <w:r w:rsidRPr="00910616">
        <w:rPr>
          <w:rStyle w:val="FootnoteReference"/>
          <w:rFonts w:ascii="Cambria" w:hAnsi="Cambria"/>
          <w:sz w:val="16"/>
          <w:szCs w:val="16"/>
          <w:vertAlign w:val="baseline"/>
        </w:rPr>
        <w:t>Juez</w:t>
      </w:r>
      <w:proofErr w:type="spellEnd"/>
      <w:r w:rsidRPr="00910616">
        <w:rPr>
          <w:rStyle w:val="FootnoteReference"/>
          <w:rFonts w:ascii="Cambria" w:hAnsi="Cambria"/>
          <w:sz w:val="16"/>
          <w:szCs w:val="16"/>
          <w:vertAlign w:val="baseline"/>
        </w:rPr>
        <w:t xml:space="preserve"> Daniel </w:t>
      </w:r>
      <w:proofErr w:type="spellStart"/>
      <w:r w:rsidRPr="00910616">
        <w:rPr>
          <w:rStyle w:val="FootnoteReference"/>
          <w:rFonts w:ascii="Cambria" w:hAnsi="Cambria"/>
          <w:sz w:val="16"/>
          <w:szCs w:val="16"/>
          <w:vertAlign w:val="baseline"/>
        </w:rPr>
        <w:t>Urrutia</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Laubreaux</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a las </w:t>
      </w:r>
      <w:proofErr w:type="spellStart"/>
      <w:r w:rsidRPr="00910616">
        <w:rPr>
          <w:rStyle w:val="FootnoteReference"/>
          <w:rFonts w:ascii="Cambria" w:hAnsi="Cambria"/>
          <w:sz w:val="16"/>
          <w:szCs w:val="16"/>
          <w:vertAlign w:val="baseline"/>
        </w:rPr>
        <w:t>observaciones</w:t>
      </w:r>
      <w:proofErr w:type="spellEnd"/>
      <w:r w:rsidRPr="00910616">
        <w:rPr>
          <w:rStyle w:val="FootnoteReference"/>
          <w:rFonts w:ascii="Cambria" w:hAnsi="Cambria"/>
          <w:sz w:val="16"/>
          <w:szCs w:val="16"/>
          <w:vertAlign w:val="baseline"/>
        </w:rPr>
        <w:t xml:space="preserve"> del Estado del 11 de </w:t>
      </w:r>
      <w:proofErr w:type="spellStart"/>
      <w:r w:rsidRPr="00910616">
        <w:rPr>
          <w:rStyle w:val="FootnoteReference"/>
          <w:rFonts w:ascii="Cambria" w:hAnsi="Cambria"/>
          <w:sz w:val="16"/>
          <w:szCs w:val="16"/>
          <w:vertAlign w:val="baseline"/>
        </w:rPr>
        <w:t>octubre</w:t>
      </w:r>
      <w:proofErr w:type="spellEnd"/>
      <w:r w:rsidRPr="00910616">
        <w:rPr>
          <w:rStyle w:val="FootnoteReference"/>
          <w:rFonts w:ascii="Cambria" w:hAnsi="Cambria"/>
          <w:sz w:val="16"/>
          <w:szCs w:val="16"/>
          <w:vertAlign w:val="baseline"/>
        </w:rPr>
        <w:t xml:space="preserve"> de 2016.</w:t>
      </w:r>
    </w:p>
  </w:footnote>
  <w:footnote w:id="12">
    <w:p w:rsidR="0079557B" w:rsidRPr="00910616" w:rsidRDefault="0079557B" w:rsidP="00910616">
      <w:pPr>
        <w:pStyle w:val="FootnoteText"/>
        <w:ind w:firstLine="720"/>
        <w:jc w:val="both"/>
        <w:rPr>
          <w:rStyle w:val="FootnoteReference"/>
          <w:rFonts w:ascii="Cambria" w:hAnsi="Cambria"/>
          <w:sz w:val="16"/>
          <w:szCs w:val="16"/>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Pr>
          <w:rStyle w:val="FootnoteReference"/>
          <w:rFonts w:ascii="Cambria" w:hAnsi="Cambria"/>
          <w:sz w:val="16"/>
          <w:szCs w:val="16"/>
          <w:vertAlign w:val="baseline"/>
        </w:rPr>
        <w:t>Anexo</w:t>
      </w:r>
      <w:proofErr w:type="spellEnd"/>
      <w:r>
        <w:rPr>
          <w:rStyle w:val="FootnoteReference"/>
          <w:rFonts w:ascii="Cambria" w:hAnsi="Cambria"/>
          <w:sz w:val="16"/>
          <w:szCs w:val="16"/>
          <w:vertAlign w:val="baseline"/>
        </w:rPr>
        <w:t xml:space="preserve"> 3</w:t>
      </w:r>
      <w:r w:rsidRPr="00910616">
        <w:rPr>
          <w:rStyle w:val="FootnoteReference"/>
          <w:rFonts w:ascii="Cambria" w:hAnsi="Cambria"/>
          <w:sz w:val="16"/>
          <w:szCs w:val="16"/>
          <w:vertAlign w:val="baseline"/>
        </w:rPr>
        <w:t>. “</w:t>
      </w:r>
      <w:proofErr w:type="spellStart"/>
      <w:r w:rsidRPr="00910616">
        <w:rPr>
          <w:rStyle w:val="FootnoteReference"/>
          <w:rFonts w:ascii="Cambria" w:hAnsi="Cambria"/>
          <w:sz w:val="16"/>
          <w:szCs w:val="16"/>
          <w:vertAlign w:val="baseline"/>
        </w:rPr>
        <w:t>Propuesta</w:t>
      </w:r>
      <w:proofErr w:type="spellEnd"/>
      <w:r w:rsidRPr="00910616">
        <w:rPr>
          <w:rStyle w:val="FootnoteReference"/>
          <w:rFonts w:ascii="Cambria" w:hAnsi="Cambria"/>
          <w:sz w:val="16"/>
          <w:szCs w:val="16"/>
          <w:vertAlign w:val="baseline"/>
        </w:rPr>
        <w:t xml:space="preserve"> de </w:t>
      </w:r>
      <w:proofErr w:type="spellStart"/>
      <w:r w:rsidRPr="00910616">
        <w:rPr>
          <w:rStyle w:val="FootnoteReference"/>
          <w:rFonts w:ascii="Cambria" w:hAnsi="Cambria"/>
          <w:sz w:val="16"/>
          <w:szCs w:val="16"/>
          <w:vertAlign w:val="baseline"/>
        </w:rPr>
        <w:t>Política</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Pública</w:t>
      </w:r>
      <w:proofErr w:type="spellEnd"/>
      <w:r w:rsidRPr="00910616">
        <w:rPr>
          <w:rStyle w:val="FootnoteReference"/>
          <w:rFonts w:ascii="Cambria" w:hAnsi="Cambria"/>
          <w:sz w:val="16"/>
          <w:szCs w:val="16"/>
          <w:vertAlign w:val="baseline"/>
        </w:rPr>
        <w:t xml:space="preserve"> de </w:t>
      </w:r>
      <w:proofErr w:type="spellStart"/>
      <w:r w:rsidRPr="00910616">
        <w:rPr>
          <w:rStyle w:val="FootnoteReference"/>
          <w:rFonts w:ascii="Cambria" w:hAnsi="Cambria"/>
          <w:sz w:val="16"/>
          <w:szCs w:val="16"/>
          <w:vertAlign w:val="baseline"/>
        </w:rPr>
        <w:t>introducción</w:t>
      </w:r>
      <w:proofErr w:type="spellEnd"/>
      <w:r w:rsidRPr="00910616">
        <w:rPr>
          <w:rStyle w:val="FootnoteReference"/>
          <w:rFonts w:ascii="Cambria" w:hAnsi="Cambria"/>
          <w:sz w:val="16"/>
          <w:szCs w:val="16"/>
          <w:vertAlign w:val="baseline"/>
        </w:rPr>
        <w:t xml:space="preserve"> del </w:t>
      </w:r>
      <w:proofErr w:type="spellStart"/>
      <w:r w:rsidRPr="00910616">
        <w:rPr>
          <w:rStyle w:val="FootnoteReference"/>
          <w:rFonts w:ascii="Cambria" w:hAnsi="Cambria"/>
          <w:sz w:val="16"/>
          <w:szCs w:val="16"/>
          <w:vertAlign w:val="baseline"/>
        </w:rPr>
        <w:t>enfoque</w:t>
      </w:r>
      <w:proofErr w:type="spellEnd"/>
      <w:r w:rsidRPr="00910616">
        <w:rPr>
          <w:rStyle w:val="FootnoteReference"/>
          <w:rFonts w:ascii="Cambria" w:hAnsi="Cambria"/>
          <w:sz w:val="16"/>
          <w:szCs w:val="16"/>
          <w:vertAlign w:val="baseline"/>
        </w:rPr>
        <w:t xml:space="preserve"> de Derechos </w:t>
      </w:r>
      <w:proofErr w:type="spellStart"/>
      <w:r w:rsidRPr="00910616">
        <w:rPr>
          <w:rStyle w:val="FootnoteReference"/>
          <w:rFonts w:ascii="Cambria" w:hAnsi="Cambria"/>
          <w:sz w:val="16"/>
          <w:szCs w:val="16"/>
          <w:vertAlign w:val="baseline"/>
        </w:rPr>
        <w:t>Humanos</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en</w:t>
      </w:r>
      <w:proofErr w:type="spellEnd"/>
      <w:r w:rsidRPr="00910616">
        <w:rPr>
          <w:rStyle w:val="FootnoteReference"/>
          <w:rFonts w:ascii="Cambria" w:hAnsi="Cambria"/>
          <w:sz w:val="16"/>
          <w:szCs w:val="16"/>
          <w:vertAlign w:val="baseline"/>
        </w:rPr>
        <w:t xml:space="preserve"> el </w:t>
      </w:r>
      <w:proofErr w:type="spellStart"/>
      <w:r w:rsidRPr="00910616">
        <w:rPr>
          <w:rStyle w:val="FootnoteReference"/>
          <w:rFonts w:ascii="Cambria" w:hAnsi="Cambria"/>
          <w:sz w:val="16"/>
          <w:szCs w:val="16"/>
          <w:vertAlign w:val="baseline"/>
        </w:rPr>
        <w:t>trabajo</w:t>
      </w:r>
      <w:proofErr w:type="spellEnd"/>
      <w:r w:rsidRPr="00910616">
        <w:rPr>
          <w:rStyle w:val="FootnoteReference"/>
          <w:rFonts w:ascii="Cambria" w:hAnsi="Cambria"/>
          <w:sz w:val="16"/>
          <w:szCs w:val="16"/>
          <w:vertAlign w:val="baseline"/>
        </w:rPr>
        <w:t xml:space="preserve"> del </w:t>
      </w:r>
      <w:proofErr w:type="spellStart"/>
      <w:r w:rsidRPr="00910616">
        <w:rPr>
          <w:rStyle w:val="FootnoteReference"/>
          <w:rFonts w:ascii="Cambria" w:hAnsi="Cambria"/>
          <w:sz w:val="16"/>
          <w:szCs w:val="16"/>
          <w:vertAlign w:val="baseline"/>
        </w:rPr>
        <w:t>Poder</w:t>
      </w:r>
      <w:proofErr w:type="spellEnd"/>
      <w:r w:rsidRPr="00910616">
        <w:rPr>
          <w:rStyle w:val="FootnoteReference"/>
          <w:rFonts w:ascii="Cambria" w:hAnsi="Cambria"/>
          <w:sz w:val="16"/>
          <w:szCs w:val="16"/>
          <w:vertAlign w:val="baseline"/>
        </w:rPr>
        <w:t xml:space="preserve"> Judicial de la </w:t>
      </w:r>
      <w:proofErr w:type="spellStart"/>
      <w:r w:rsidRPr="00910616">
        <w:rPr>
          <w:rStyle w:val="FootnoteReference"/>
          <w:rFonts w:ascii="Cambria" w:hAnsi="Cambria"/>
          <w:sz w:val="16"/>
          <w:szCs w:val="16"/>
          <w:vertAlign w:val="baseline"/>
        </w:rPr>
        <w:t>República</w:t>
      </w:r>
      <w:proofErr w:type="spellEnd"/>
      <w:r w:rsidRPr="00910616">
        <w:rPr>
          <w:rStyle w:val="FootnoteReference"/>
          <w:rFonts w:ascii="Cambria" w:hAnsi="Cambria"/>
          <w:sz w:val="16"/>
          <w:szCs w:val="16"/>
          <w:vertAlign w:val="baseline"/>
        </w:rPr>
        <w:t xml:space="preserve"> de Chile”.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2 a la </w:t>
      </w:r>
      <w:proofErr w:type="spellStart"/>
      <w:r w:rsidRPr="00910616">
        <w:rPr>
          <w:rStyle w:val="FootnoteReference"/>
          <w:rFonts w:ascii="Cambria" w:hAnsi="Cambria"/>
          <w:sz w:val="16"/>
          <w:szCs w:val="16"/>
          <w:vertAlign w:val="baseline"/>
        </w:rPr>
        <w:t>petición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inicial</w:t>
      </w:r>
      <w:proofErr w:type="spellEnd"/>
      <w:r w:rsidRPr="00910616">
        <w:rPr>
          <w:rStyle w:val="FootnoteReference"/>
          <w:rFonts w:ascii="Cambria" w:hAnsi="Cambria"/>
          <w:sz w:val="16"/>
          <w:szCs w:val="16"/>
          <w:vertAlign w:val="baseline"/>
        </w:rPr>
        <w:t xml:space="preserve"> de 5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2005 y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a las </w:t>
      </w:r>
      <w:proofErr w:type="spellStart"/>
      <w:r w:rsidRPr="00910616">
        <w:rPr>
          <w:rStyle w:val="FootnoteReference"/>
          <w:rFonts w:ascii="Cambria" w:hAnsi="Cambria"/>
          <w:sz w:val="16"/>
          <w:szCs w:val="16"/>
          <w:vertAlign w:val="baseline"/>
        </w:rPr>
        <w:t>observaciones</w:t>
      </w:r>
      <w:proofErr w:type="spellEnd"/>
      <w:r w:rsidRPr="00910616">
        <w:rPr>
          <w:rStyle w:val="FootnoteReference"/>
          <w:rFonts w:ascii="Cambria" w:hAnsi="Cambria"/>
          <w:sz w:val="16"/>
          <w:szCs w:val="16"/>
          <w:vertAlign w:val="baseline"/>
        </w:rPr>
        <w:t xml:space="preserve"> del Estado del 11 de </w:t>
      </w:r>
      <w:proofErr w:type="spellStart"/>
      <w:r w:rsidRPr="00910616">
        <w:rPr>
          <w:rStyle w:val="FootnoteReference"/>
          <w:rFonts w:ascii="Cambria" w:hAnsi="Cambria"/>
          <w:sz w:val="16"/>
          <w:szCs w:val="16"/>
          <w:vertAlign w:val="baseline"/>
        </w:rPr>
        <w:t>octubre</w:t>
      </w:r>
      <w:proofErr w:type="spellEnd"/>
      <w:r w:rsidRPr="00910616">
        <w:rPr>
          <w:rStyle w:val="FootnoteReference"/>
          <w:rFonts w:ascii="Cambria" w:hAnsi="Cambria"/>
          <w:sz w:val="16"/>
          <w:szCs w:val="16"/>
          <w:vertAlign w:val="baseline"/>
        </w:rPr>
        <w:t xml:space="preserve"> de 2016.</w:t>
      </w:r>
    </w:p>
  </w:footnote>
  <w:footnote w:id="13">
    <w:p w:rsidR="0079557B" w:rsidRPr="00910616" w:rsidRDefault="0079557B" w:rsidP="00910616">
      <w:pPr>
        <w:pStyle w:val="FootnoteText"/>
        <w:ind w:firstLine="720"/>
        <w:jc w:val="both"/>
        <w:rPr>
          <w:rStyle w:val="FootnoteReference"/>
          <w:rFonts w:ascii="Cambria" w:hAnsi="Cambria"/>
          <w:sz w:val="16"/>
          <w:szCs w:val="16"/>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Pr>
          <w:rStyle w:val="FootnoteReference"/>
          <w:rFonts w:ascii="Cambria" w:hAnsi="Cambria"/>
          <w:sz w:val="16"/>
          <w:szCs w:val="16"/>
          <w:vertAlign w:val="baseline"/>
        </w:rPr>
        <w:t>Anexo</w:t>
      </w:r>
      <w:proofErr w:type="spellEnd"/>
      <w:r>
        <w:rPr>
          <w:rStyle w:val="FootnoteReference"/>
          <w:rFonts w:ascii="Cambria" w:hAnsi="Cambria"/>
          <w:sz w:val="16"/>
          <w:szCs w:val="16"/>
          <w:vertAlign w:val="baseline"/>
        </w:rPr>
        <w:t xml:space="preserve"> 3</w:t>
      </w:r>
      <w:r w:rsidRPr="00910616">
        <w:rPr>
          <w:rStyle w:val="FootnoteReference"/>
          <w:rFonts w:ascii="Cambria" w:hAnsi="Cambria"/>
          <w:sz w:val="16"/>
          <w:szCs w:val="16"/>
          <w:vertAlign w:val="baseline"/>
        </w:rPr>
        <w:t>. “</w:t>
      </w:r>
      <w:proofErr w:type="spellStart"/>
      <w:r w:rsidRPr="00910616">
        <w:rPr>
          <w:rStyle w:val="FootnoteReference"/>
          <w:rFonts w:ascii="Cambria" w:hAnsi="Cambria"/>
          <w:sz w:val="16"/>
          <w:szCs w:val="16"/>
          <w:vertAlign w:val="baseline"/>
        </w:rPr>
        <w:t>Propuesta</w:t>
      </w:r>
      <w:proofErr w:type="spellEnd"/>
      <w:r w:rsidRPr="00910616">
        <w:rPr>
          <w:rStyle w:val="FootnoteReference"/>
          <w:rFonts w:ascii="Cambria" w:hAnsi="Cambria"/>
          <w:sz w:val="16"/>
          <w:szCs w:val="16"/>
          <w:vertAlign w:val="baseline"/>
        </w:rPr>
        <w:t xml:space="preserve"> de </w:t>
      </w:r>
      <w:proofErr w:type="spellStart"/>
      <w:r w:rsidRPr="00910616">
        <w:rPr>
          <w:rStyle w:val="FootnoteReference"/>
          <w:rFonts w:ascii="Cambria" w:hAnsi="Cambria"/>
          <w:sz w:val="16"/>
          <w:szCs w:val="16"/>
          <w:vertAlign w:val="baseline"/>
        </w:rPr>
        <w:t>Política</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Pública</w:t>
      </w:r>
      <w:proofErr w:type="spellEnd"/>
      <w:r w:rsidRPr="00910616">
        <w:rPr>
          <w:rStyle w:val="FootnoteReference"/>
          <w:rFonts w:ascii="Cambria" w:hAnsi="Cambria"/>
          <w:sz w:val="16"/>
          <w:szCs w:val="16"/>
          <w:vertAlign w:val="baseline"/>
        </w:rPr>
        <w:t xml:space="preserve"> de </w:t>
      </w:r>
      <w:proofErr w:type="spellStart"/>
      <w:r w:rsidRPr="00910616">
        <w:rPr>
          <w:rStyle w:val="FootnoteReference"/>
          <w:rFonts w:ascii="Cambria" w:hAnsi="Cambria"/>
          <w:sz w:val="16"/>
          <w:szCs w:val="16"/>
          <w:vertAlign w:val="baseline"/>
        </w:rPr>
        <w:t>introducción</w:t>
      </w:r>
      <w:proofErr w:type="spellEnd"/>
      <w:r w:rsidRPr="00910616">
        <w:rPr>
          <w:rStyle w:val="FootnoteReference"/>
          <w:rFonts w:ascii="Cambria" w:hAnsi="Cambria"/>
          <w:sz w:val="16"/>
          <w:szCs w:val="16"/>
          <w:vertAlign w:val="baseline"/>
        </w:rPr>
        <w:t xml:space="preserve"> del </w:t>
      </w:r>
      <w:proofErr w:type="spellStart"/>
      <w:r w:rsidRPr="00910616">
        <w:rPr>
          <w:rStyle w:val="FootnoteReference"/>
          <w:rFonts w:ascii="Cambria" w:hAnsi="Cambria"/>
          <w:sz w:val="16"/>
          <w:szCs w:val="16"/>
          <w:vertAlign w:val="baseline"/>
        </w:rPr>
        <w:t>enfoque</w:t>
      </w:r>
      <w:proofErr w:type="spellEnd"/>
      <w:r w:rsidRPr="00910616">
        <w:rPr>
          <w:rStyle w:val="FootnoteReference"/>
          <w:rFonts w:ascii="Cambria" w:hAnsi="Cambria"/>
          <w:sz w:val="16"/>
          <w:szCs w:val="16"/>
          <w:vertAlign w:val="baseline"/>
        </w:rPr>
        <w:t xml:space="preserve"> de Derechos </w:t>
      </w:r>
      <w:proofErr w:type="spellStart"/>
      <w:r w:rsidRPr="00910616">
        <w:rPr>
          <w:rStyle w:val="FootnoteReference"/>
          <w:rFonts w:ascii="Cambria" w:hAnsi="Cambria"/>
          <w:sz w:val="16"/>
          <w:szCs w:val="16"/>
          <w:vertAlign w:val="baseline"/>
        </w:rPr>
        <w:t>Humanos</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en</w:t>
      </w:r>
      <w:proofErr w:type="spellEnd"/>
      <w:r w:rsidRPr="00910616">
        <w:rPr>
          <w:rStyle w:val="FootnoteReference"/>
          <w:rFonts w:ascii="Cambria" w:hAnsi="Cambria"/>
          <w:sz w:val="16"/>
          <w:szCs w:val="16"/>
          <w:vertAlign w:val="baseline"/>
        </w:rPr>
        <w:t xml:space="preserve"> el </w:t>
      </w:r>
      <w:proofErr w:type="spellStart"/>
      <w:r w:rsidRPr="00910616">
        <w:rPr>
          <w:rStyle w:val="FootnoteReference"/>
          <w:rFonts w:ascii="Cambria" w:hAnsi="Cambria"/>
          <w:sz w:val="16"/>
          <w:szCs w:val="16"/>
          <w:vertAlign w:val="baseline"/>
        </w:rPr>
        <w:t>trabajo</w:t>
      </w:r>
      <w:proofErr w:type="spellEnd"/>
      <w:r w:rsidRPr="00910616">
        <w:rPr>
          <w:rStyle w:val="FootnoteReference"/>
          <w:rFonts w:ascii="Cambria" w:hAnsi="Cambria"/>
          <w:sz w:val="16"/>
          <w:szCs w:val="16"/>
          <w:vertAlign w:val="baseline"/>
        </w:rPr>
        <w:t xml:space="preserve"> del </w:t>
      </w:r>
      <w:proofErr w:type="spellStart"/>
      <w:r w:rsidRPr="00910616">
        <w:rPr>
          <w:rStyle w:val="FootnoteReference"/>
          <w:rFonts w:ascii="Cambria" w:hAnsi="Cambria"/>
          <w:sz w:val="16"/>
          <w:szCs w:val="16"/>
          <w:vertAlign w:val="baseline"/>
        </w:rPr>
        <w:t>Poder</w:t>
      </w:r>
      <w:proofErr w:type="spellEnd"/>
      <w:r w:rsidRPr="00910616">
        <w:rPr>
          <w:rStyle w:val="FootnoteReference"/>
          <w:rFonts w:ascii="Cambria" w:hAnsi="Cambria"/>
          <w:sz w:val="16"/>
          <w:szCs w:val="16"/>
          <w:vertAlign w:val="baseline"/>
        </w:rPr>
        <w:t xml:space="preserve"> Judicial de la </w:t>
      </w:r>
      <w:proofErr w:type="spellStart"/>
      <w:r w:rsidRPr="00910616">
        <w:rPr>
          <w:rStyle w:val="FootnoteReference"/>
          <w:rFonts w:ascii="Cambria" w:hAnsi="Cambria"/>
          <w:sz w:val="16"/>
          <w:szCs w:val="16"/>
          <w:vertAlign w:val="baseline"/>
        </w:rPr>
        <w:t>República</w:t>
      </w:r>
      <w:proofErr w:type="spellEnd"/>
      <w:r w:rsidRPr="00910616">
        <w:rPr>
          <w:rStyle w:val="FootnoteReference"/>
          <w:rFonts w:ascii="Cambria" w:hAnsi="Cambria"/>
          <w:sz w:val="16"/>
          <w:szCs w:val="16"/>
          <w:vertAlign w:val="baseline"/>
        </w:rPr>
        <w:t xml:space="preserve"> de Chile”.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2 a la </w:t>
      </w:r>
      <w:proofErr w:type="spellStart"/>
      <w:r w:rsidRPr="00910616">
        <w:rPr>
          <w:rStyle w:val="FootnoteReference"/>
          <w:rFonts w:ascii="Cambria" w:hAnsi="Cambria"/>
          <w:sz w:val="16"/>
          <w:szCs w:val="16"/>
          <w:vertAlign w:val="baseline"/>
        </w:rPr>
        <w:t>petición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inicial</w:t>
      </w:r>
      <w:proofErr w:type="spellEnd"/>
      <w:r w:rsidRPr="00910616">
        <w:rPr>
          <w:rStyle w:val="FootnoteReference"/>
          <w:rFonts w:ascii="Cambria" w:hAnsi="Cambria"/>
          <w:sz w:val="16"/>
          <w:szCs w:val="16"/>
          <w:vertAlign w:val="baseline"/>
        </w:rPr>
        <w:t xml:space="preserve"> de 5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2005.</w:t>
      </w:r>
    </w:p>
  </w:footnote>
  <w:footnote w:id="14">
    <w:p w:rsidR="0079557B" w:rsidRPr="00910616" w:rsidRDefault="0079557B" w:rsidP="00910616">
      <w:pPr>
        <w:pStyle w:val="FootnoteText"/>
        <w:ind w:firstLine="720"/>
        <w:jc w:val="both"/>
        <w:rPr>
          <w:rStyle w:val="FootnoteReference"/>
          <w:rFonts w:ascii="Cambria" w:hAnsi="Cambria"/>
          <w:sz w:val="16"/>
          <w:szCs w:val="16"/>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Pr>
          <w:rStyle w:val="FootnoteReference"/>
          <w:rFonts w:ascii="Cambria" w:hAnsi="Cambria"/>
          <w:sz w:val="16"/>
          <w:szCs w:val="16"/>
          <w:vertAlign w:val="baseline"/>
        </w:rPr>
        <w:t>Anexo</w:t>
      </w:r>
      <w:proofErr w:type="spellEnd"/>
      <w:r>
        <w:rPr>
          <w:rStyle w:val="FootnoteReference"/>
          <w:rFonts w:ascii="Cambria" w:hAnsi="Cambria"/>
          <w:sz w:val="16"/>
          <w:szCs w:val="16"/>
          <w:vertAlign w:val="baseline"/>
        </w:rPr>
        <w:t xml:space="preserve"> 4</w:t>
      </w:r>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Oficio</w:t>
      </w:r>
      <w:proofErr w:type="spellEnd"/>
      <w:r w:rsidRPr="00910616">
        <w:rPr>
          <w:rStyle w:val="FootnoteReference"/>
          <w:rFonts w:ascii="Cambria" w:hAnsi="Cambria"/>
          <w:sz w:val="16"/>
          <w:szCs w:val="16"/>
          <w:vertAlign w:val="baseline"/>
        </w:rPr>
        <w:t xml:space="preserve"> 6151, ANT. ADM. AD-175-2004 del 22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2004 </w:t>
      </w:r>
      <w:proofErr w:type="spellStart"/>
      <w:r w:rsidRPr="00910616">
        <w:rPr>
          <w:rStyle w:val="FootnoteReference"/>
          <w:rFonts w:ascii="Cambria" w:hAnsi="Cambria"/>
          <w:sz w:val="16"/>
          <w:szCs w:val="16"/>
          <w:vertAlign w:val="baseline"/>
        </w:rPr>
        <w:t>dirigido</w:t>
      </w:r>
      <w:proofErr w:type="spellEnd"/>
      <w:r w:rsidRPr="00910616">
        <w:rPr>
          <w:rStyle w:val="FootnoteReference"/>
          <w:rFonts w:ascii="Cambria" w:hAnsi="Cambria"/>
          <w:sz w:val="16"/>
          <w:szCs w:val="16"/>
          <w:vertAlign w:val="baseline"/>
        </w:rPr>
        <w:t xml:space="preserve"> al </w:t>
      </w:r>
      <w:proofErr w:type="spellStart"/>
      <w:r w:rsidRPr="00910616">
        <w:rPr>
          <w:rStyle w:val="FootnoteReference"/>
          <w:rFonts w:ascii="Cambria" w:hAnsi="Cambria"/>
          <w:sz w:val="16"/>
          <w:szCs w:val="16"/>
          <w:vertAlign w:val="baseline"/>
        </w:rPr>
        <w:t>presidente</w:t>
      </w:r>
      <w:proofErr w:type="spellEnd"/>
      <w:r w:rsidRPr="00910616">
        <w:rPr>
          <w:rStyle w:val="FootnoteReference"/>
          <w:rFonts w:ascii="Cambria" w:hAnsi="Cambria"/>
          <w:sz w:val="16"/>
          <w:szCs w:val="16"/>
          <w:vertAlign w:val="baseline"/>
        </w:rPr>
        <w:t xml:space="preserve"> Corte de </w:t>
      </w:r>
      <w:proofErr w:type="spellStart"/>
      <w:r w:rsidRPr="00910616">
        <w:rPr>
          <w:rStyle w:val="FootnoteReference"/>
          <w:rFonts w:ascii="Cambria" w:hAnsi="Cambria"/>
          <w:sz w:val="16"/>
          <w:szCs w:val="16"/>
          <w:vertAlign w:val="baseline"/>
        </w:rPr>
        <w:t>Apelaciones</w:t>
      </w:r>
      <w:proofErr w:type="spellEnd"/>
      <w:r w:rsidRPr="00910616">
        <w:rPr>
          <w:rStyle w:val="FootnoteReference"/>
          <w:rFonts w:ascii="Cambria" w:hAnsi="Cambria"/>
          <w:sz w:val="16"/>
          <w:szCs w:val="16"/>
          <w:vertAlign w:val="baseline"/>
        </w:rPr>
        <w:t xml:space="preserve"> de La Serena y </w:t>
      </w:r>
      <w:proofErr w:type="spellStart"/>
      <w:r w:rsidRPr="00910616">
        <w:rPr>
          <w:rStyle w:val="FootnoteReference"/>
          <w:rFonts w:ascii="Cambria" w:hAnsi="Cambria"/>
          <w:sz w:val="16"/>
          <w:szCs w:val="16"/>
          <w:vertAlign w:val="baseline"/>
        </w:rPr>
        <w:t>suscrito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por</w:t>
      </w:r>
      <w:proofErr w:type="spellEnd"/>
      <w:r w:rsidRPr="00910616">
        <w:rPr>
          <w:rStyle w:val="FootnoteReference"/>
          <w:rFonts w:ascii="Cambria" w:hAnsi="Cambria"/>
          <w:sz w:val="16"/>
          <w:szCs w:val="16"/>
          <w:vertAlign w:val="baseline"/>
        </w:rPr>
        <w:t xml:space="preserve"> el </w:t>
      </w:r>
      <w:proofErr w:type="spellStart"/>
      <w:r w:rsidRPr="00910616">
        <w:rPr>
          <w:rStyle w:val="FootnoteReference"/>
          <w:rFonts w:ascii="Cambria" w:hAnsi="Cambria"/>
          <w:sz w:val="16"/>
          <w:szCs w:val="16"/>
          <w:vertAlign w:val="baseline"/>
        </w:rPr>
        <w:t>secretario</w:t>
      </w:r>
      <w:proofErr w:type="spellEnd"/>
      <w:r w:rsidRPr="00910616">
        <w:rPr>
          <w:rStyle w:val="FootnoteReference"/>
          <w:rFonts w:ascii="Cambria" w:hAnsi="Cambria"/>
          <w:sz w:val="16"/>
          <w:szCs w:val="16"/>
          <w:vertAlign w:val="baseline"/>
        </w:rPr>
        <w:t xml:space="preserve"> de la Corte Suprema.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a las </w:t>
      </w:r>
      <w:proofErr w:type="spellStart"/>
      <w:r w:rsidRPr="00910616">
        <w:rPr>
          <w:rStyle w:val="FootnoteReference"/>
          <w:rFonts w:ascii="Cambria" w:hAnsi="Cambria"/>
          <w:sz w:val="16"/>
          <w:szCs w:val="16"/>
          <w:vertAlign w:val="baseline"/>
        </w:rPr>
        <w:t>observaciones</w:t>
      </w:r>
      <w:proofErr w:type="spellEnd"/>
      <w:r w:rsidRPr="00910616">
        <w:rPr>
          <w:rStyle w:val="FootnoteReference"/>
          <w:rFonts w:ascii="Cambria" w:hAnsi="Cambria"/>
          <w:sz w:val="16"/>
          <w:szCs w:val="16"/>
          <w:vertAlign w:val="baseline"/>
        </w:rPr>
        <w:t xml:space="preserve"> del Estado del 11 de </w:t>
      </w:r>
      <w:proofErr w:type="spellStart"/>
      <w:r w:rsidRPr="00910616">
        <w:rPr>
          <w:rStyle w:val="FootnoteReference"/>
          <w:rFonts w:ascii="Cambria" w:hAnsi="Cambria"/>
          <w:sz w:val="16"/>
          <w:szCs w:val="16"/>
          <w:vertAlign w:val="baseline"/>
        </w:rPr>
        <w:t>octubre</w:t>
      </w:r>
      <w:proofErr w:type="spellEnd"/>
      <w:r w:rsidRPr="00910616">
        <w:rPr>
          <w:rStyle w:val="FootnoteReference"/>
          <w:rFonts w:ascii="Cambria" w:hAnsi="Cambria"/>
          <w:sz w:val="16"/>
          <w:szCs w:val="16"/>
          <w:vertAlign w:val="baseline"/>
        </w:rPr>
        <w:t xml:space="preserve"> de 2016.</w:t>
      </w:r>
    </w:p>
  </w:footnote>
  <w:footnote w:id="15">
    <w:p w:rsidR="0079557B" w:rsidRPr="00910616" w:rsidRDefault="0079557B" w:rsidP="00910616">
      <w:pPr>
        <w:pStyle w:val="FootnoteText"/>
        <w:ind w:firstLine="720"/>
        <w:jc w:val="both"/>
        <w:rPr>
          <w:rStyle w:val="FootnoteReference"/>
          <w:rFonts w:ascii="Cambria" w:hAnsi="Cambria"/>
          <w:sz w:val="16"/>
          <w:szCs w:val="16"/>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Pr>
          <w:rStyle w:val="FootnoteReference"/>
          <w:rFonts w:ascii="Cambria" w:hAnsi="Cambria"/>
          <w:sz w:val="16"/>
          <w:szCs w:val="16"/>
          <w:vertAlign w:val="baseline"/>
        </w:rPr>
        <w:t>Anexo</w:t>
      </w:r>
      <w:proofErr w:type="spellEnd"/>
      <w:r>
        <w:rPr>
          <w:rStyle w:val="FootnoteReference"/>
          <w:rFonts w:ascii="Cambria" w:hAnsi="Cambria"/>
          <w:sz w:val="16"/>
          <w:szCs w:val="16"/>
          <w:vertAlign w:val="baseline"/>
        </w:rPr>
        <w:t xml:space="preserve"> 5</w:t>
      </w:r>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Oficio</w:t>
      </w:r>
      <w:proofErr w:type="spellEnd"/>
      <w:r w:rsidRPr="00910616">
        <w:rPr>
          <w:rStyle w:val="FootnoteReference"/>
          <w:rFonts w:ascii="Cambria" w:hAnsi="Cambria"/>
          <w:sz w:val="16"/>
          <w:szCs w:val="16"/>
          <w:vertAlign w:val="baseline"/>
        </w:rPr>
        <w:t xml:space="preserve"> No. 6183 del 27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2004 </w:t>
      </w:r>
      <w:proofErr w:type="spellStart"/>
      <w:r w:rsidRPr="00910616">
        <w:rPr>
          <w:rStyle w:val="FootnoteReference"/>
          <w:rFonts w:ascii="Cambria" w:hAnsi="Cambria"/>
          <w:sz w:val="16"/>
          <w:szCs w:val="16"/>
          <w:vertAlign w:val="baseline"/>
        </w:rPr>
        <w:t>dirigido</w:t>
      </w:r>
      <w:proofErr w:type="spellEnd"/>
      <w:r w:rsidRPr="00910616">
        <w:rPr>
          <w:rStyle w:val="FootnoteReference"/>
          <w:rFonts w:ascii="Cambria" w:hAnsi="Cambria"/>
          <w:sz w:val="16"/>
          <w:szCs w:val="16"/>
          <w:vertAlign w:val="baseline"/>
        </w:rPr>
        <w:t xml:space="preserve"> al Sr. </w:t>
      </w:r>
      <w:proofErr w:type="spellStart"/>
      <w:r w:rsidRPr="00910616">
        <w:rPr>
          <w:rStyle w:val="FootnoteReference"/>
          <w:rFonts w:ascii="Cambria" w:hAnsi="Cambria"/>
          <w:sz w:val="16"/>
          <w:szCs w:val="16"/>
          <w:vertAlign w:val="baseline"/>
        </w:rPr>
        <w:t>Juez</w:t>
      </w:r>
      <w:proofErr w:type="spellEnd"/>
      <w:r w:rsidRPr="00910616">
        <w:rPr>
          <w:rStyle w:val="FootnoteReference"/>
          <w:rFonts w:ascii="Cambria" w:hAnsi="Cambria"/>
          <w:sz w:val="16"/>
          <w:szCs w:val="16"/>
          <w:vertAlign w:val="baseline"/>
        </w:rPr>
        <w:t xml:space="preserve"> Daniel </w:t>
      </w:r>
      <w:proofErr w:type="spellStart"/>
      <w:r w:rsidRPr="00910616">
        <w:rPr>
          <w:rStyle w:val="FootnoteReference"/>
          <w:rFonts w:ascii="Cambria" w:hAnsi="Cambria"/>
          <w:sz w:val="16"/>
          <w:szCs w:val="16"/>
          <w:vertAlign w:val="baseline"/>
        </w:rPr>
        <w:t>Urrutia</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Laubreaux</w:t>
      </w:r>
      <w:proofErr w:type="spellEnd"/>
      <w:r w:rsidRPr="00910616">
        <w:rPr>
          <w:rStyle w:val="FootnoteReference"/>
          <w:rFonts w:ascii="Cambria" w:hAnsi="Cambria"/>
          <w:sz w:val="16"/>
          <w:szCs w:val="16"/>
          <w:vertAlign w:val="baseline"/>
        </w:rPr>
        <w:t xml:space="preserve"> y </w:t>
      </w:r>
      <w:proofErr w:type="spellStart"/>
      <w:r w:rsidRPr="00910616">
        <w:rPr>
          <w:rStyle w:val="FootnoteReference"/>
          <w:rFonts w:ascii="Cambria" w:hAnsi="Cambria"/>
          <w:sz w:val="16"/>
          <w:szCs w:val="16"/>
          <w:vertAlign w:val="baseline"/>
        </w:rPr>
        <w:t>suscrito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por</w:t>
      </w:r>
      <w:proofErr w:type="spellEnd"/>
      <w:r w:rsidRPr="00910616">
        <w:rPr>
          <w:rStyle w:val="FootnoteReference"/>
          <w:rFonts w:ascii="Cambria" w:hAnsi="Cambria"/>
          <w:sz w:val="16"/>
          <w:szCs w:val="16"/>
          <w:vertAlign w:val="baseline"/>
        </w:rPr>
        <w:t xml:space="preserve"> el </w:t>
      </w:r>
      <w:proofErr w:type="spellStart"/>
      <w:r w:rsidRPr="00910616">
        <w:rPr>
          <w:rStyle w:val="FootnoteReference"/>
          <w:rFonts w:ascii="Cambria" w:hAnsi="Cambria"/>
          <w:sz w:val="16"/>
          <w:szCs w:val="16"/>
          <w:vertAlign w:val="baseline"/>
        </w:rPr>
        <w:t>Secretario</w:t>
      </w:r>
      <w:proofErr w:type="spellEnd"/>
      <w:r w:rsidRPr="00910616">
        <w:rPr>
          <w:rStyle w:val="FootnoteReference"/>
          <w:rFonts w:ascii="Cambria" w:hAnsi="Cambria"/>
          <w:sz w:val="16"/>
          <w:szCs w:val="16"/>
          <w:vertAlign w:val="baseline"/>
        </w:rPr>
        <w:t xml:space="preserve"> de la Corte Suprema de Chile.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3 a la </w:t>
      </w:r>
      <w:proofErr w:type="spellStart"/>
      <w:r w:rsidRPr="00910616">
        <w:rPr>
          <w:rStyle w:val="FootnoteReference"/>
          <w:rFonts w:ascii="Cambria" w:hAnsi="Cambria"/>
          <w:sz w:val="16"/>
          <w:szCs w:val="16"/>
          <w:vertAlign w:val="baseline"/>
        </w:rPr>
        <w:t>petición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inicial</w:t>
      </w:r>
      <w:proofErr w:type="spellEnd"/>
      <w:r w:rsidRPr="00910616">
        <w:rPr>
          <w:rStyle w:val="FootnoteReference"/>
          <w:rFonts w:ascii="Cambria" w:hAnsi="Cambria"/>
          <w:sz w:val="16"/>
          <w:szCs w:val="16"/>
          <w:vertAlign w:val="baseline"/>
        </w:rPr>
        <w:t xml:space="preserve"> de 5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2005.</w:t>
      </w:r>
    </w:p>
  </w:footnote>
  <w:footnote w:id="16">
    <w:p w:rsidR="0079557B" w:rsidRPr="00910616" w:rsidRDefault="0079557B" w:rsidP="00910616">
      <w:pPr>
        <w:pStyle w:val="FootnoteText"/>
        <w:ind w:firstLine="720"/>
        <w:jc w:val="both"/>
        <w:rPr>
          <w:rStyle w:val="FootnoteReference"/>
          <w:rFonts w:ascii="Cambria" w:hAnsi="Cambria"/>
          <w:sz w:val="16"/>
          <w:szCs w:val="16"/>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Pr>
          <w:rStyle w:val="FootnoteReference"/>
          <w:rFonts w:ascii="Cambria" w:hAnsi="Cambria"/>
          <w:sz w:val="16"/>
          <w:szCs w:val="16"/>
          <w:vertAlign w:val="baseline"/>
        </w:rPr>
        <w:t>Anexo</w:t>
      </w:r>
      <w:proofErr w:type="spellEnd"/>
      <w:r>
        <w:rPr>
          <w:rStyle w:val="FootnoteReference"/>
          <w:rFonts w:ascii="Cambria" w:hAnsi="Cambria"/>
          <w:sz w:val="16"/>
          <w:szCs w:val="16"/>
          <w:vertAlign w:val="baseline"/>
        </w:rPr>
        <w:t xml:space="preserve"> 6.</w:t>
      </w:r>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Oficio</w:t>
      </w:r>
      <w:proofErr w:type="spellEnd"/>
      <w:r w:rsidRPr="00910616">
        <w:rPr>
          <w:rStyle w:val="FootnoteReference"/>
          <w:rFonts w:ascii="Cambria" w:hAnsi="Cambria"/>
          <w:sz w:val="16"/>
          <w:szCs w:val="16"/>
          <w:vertAlign w:val="baseline"/>
        </w:rPr>
        <w:t xml:space="preserve"> No. 87 del 12 de </w:t>
      </w:r>
      <w:proofErr w:type="spellStart"/>
      <w:r w:rsidRPr="00910616">
        <w:rPr>
          <w:rStyle w:val="FootnoteReference"/>
          <w:rFonts w:ascii="Cambria" w:hAnsi="Cambria"/>
          <w:sz w:val="16"/>
          <w:szCs w:val="16"/>
          <w:vertAlign w:val="baseline"/>
        </w:rPr>
        <w:t>enero</w:t>
      </w:r>
      <w:proofErr w:type="spellEnd"/>
      <w:r w:rsidRPr="00910616">
        <w:rPr>
          <w:rStyle w:val="FootnoteReference"/>
          <w:rFonts w:ascii="Cambria" w:hAnsi="Cambria"/>
          <w:sz w:val="16"/>
          <w:szCs w:val="16"/>
          <w:vertAlign w:val="baseline"/>
        </w:rPr>
        <w:t xml:space="preserve"> de 2005 </w:t>
      </w:r>
      <w:proofErr w:type="spellStart"/>
      <w:r w:rsidRPr="00910616">
        <w:rPr>
          <w:rStyle w:val="FootnoteReference"/>
          <w:rFonts w:ascii="Cambria" w:hAnsi="Cambria"/>
          <w:sz w:val="16"/>
          <w:szCs w:val="16"/>
          <w:vertAlign w:val="baseline"/>
        </w:rPr>
        <w:t>dirigido</w:t>
      </w:r>
      <w:proofErr w:type="spellEnd"/>
      <w:r w:rsidRPr="00910616">
        <w:rPr>
          <w:rStyle w:val="FootnoteReference"/>
          <w:rFonts w:ascii="Cambria" w:hAnsi="Cambria"/>
          <w:sz w:val="16"/>
          <w:szCs w:val="16"/>
          <w:vertAlign w:val="baseline"/>
        </w:rPr>
        <w:t xml:space="preserve"> al Sr. </w:t>
      </w:r>
      <w:proofErr w:type="spellStart"/>
      <w:r w:rsidRPr="00910616">
        <w:rPr>
          <w:rStyle w:val="FootnoteReference"/>
          <w:rFonts w:ascii="Cambria" w:hAnsi="Cambria"/>
          <w:sz w:val="16"/>
          <w:szCs w:val="16"/>
          <w:vertAlign w:val="baseline"/>
        </w:rPr>
        <w:t>Juez</w:t>
      </w:r>
      <w:proofErr w:type="spellEnd"/>
      <w:r w:rsidRPr="00910616">
        <w:rPr>
          <w:rStyle w:val="FootnoteReference"/>
          <w:rFonts w:ascii="Cambria" w:hAnsi="Cambria"/>
          <w:sz w:val="16"/>
          <w:szCs w:val="16"/>
          <w:vertAlign w:val="baseline"/>
        </w:rPr>
        <w:t xml:space="preserve"> Daniel </w:t>
      </w:r>
      <w:proofErr w:type="spellStart"/>
      <w:r w:rsidRPr="00910616">
        <w:rPr>
          <w:rStyle w:val="FootnoteReference"/>
          <w:rFonts w:ascii="Cambria" w:hAnsi="Cambria"/>
          <w:sz w:val="16"/>
          <w:szCs w:val="16"/>
          <w:vertAlign w:val="baseline"/>
        </w:rPr>
        <w:t>Urrutia</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Laubreaux</w:t>
      </w:r>
      <w:proofErr w:type="spellEnd"/>
      <w:r w:rsidRPr="00910616">
        <w:rPr>
          <w:rStyle w:val="FootnoteReference"/>
          <w:rFonts w:ascii="Cambria" w:hAnsi="Cambria"/>
          <w:sz w:val="16"/>
          <w:szCs w:val="16"/>
          <w:vertAlign w:val="baseline"/>
        </w:rPr>
        <w:t xml:space="preserve"> y </w:t>
      </w:r>
      <w:proofErr w:type="spellStart"/>
      <w:r w:rsidRPr="00910616">
        <w:rPr>
          <w:rStyle w:val="FootnoteReference"/>
          <w:rFonts w:ascii="Cambria" w:hAnsi="Cambria"/>
          <w:sz w:val="16"/>
          <w:szCs w:val="16"/>
          <w:vertAlign w:val="baseline"/>
        </w:rPr>
        <w:t>suscrito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por</w:t>
      </w:r>
      <w:proofErr w:type="spellEnd"/>
      <w:r w:rsidRPr="00910616">
        <w:rPr>
          <w:rStyle w:val="FootnoteReference"/>
          <w:rFonts w:ascii="Cambria" w:hAnsi="Cambria"/>
          <w:sz w:val="16"/>
          <w:szCs w:val="16"/>
          <w:vertAlign w:val="baseline"/>
        </w:rPr>
        <w:t xml:space="preserve"> el </w:t>
      </w:r>
      <w:proofErr w:type="spellStart"/>
      <w:r w:rsidRPr="00910616">
        <w:rPr>
          <w:rStyle w:val="FootnoteReference"/>
          <w:rFonts w:ascii="Cambria" w:hAnsi="Cambria"/>
          <w:sz w:val="16"/>
          <w:szCs w:val="16"/>
          <w:vertAlign w:val="baseline"/>
        </w:rPr>
        <w:t>Presidente</w:t>
      </w:r>
      <w:proofErr w:type="spellEnd"/>
      <w:r w:rsidRPr="00910616">
        <w:rPr>
          <w:rStyle w:val="FootnoteReference"/>
          <w:rFonts w:ascii="Cambria" w:hAnsi="Cambria"/>
          <w:sz w:val="16"/>
          <w:szCs w:val="16"/>
          <w:vertAlign w:val="baseline"/>
        </w:rPr>
        <w:t xml:space="preserve"> y </w:t>
      </w:r>
      <w:proofErr w:type="spellStart"/>
      <w:r w:rsidRPr="00910616">
        <w:rPr>
          <w:rStyle w:val="FootnoteReference"/>
          <w:rFonts w:ascii="Cambria" w:hAnsi="Cambria"/>
          <w:sz w:val="16"/>
          <w:szCs w:val="16"/>
          <w:vertAlign w:val="baseline"/>
        </w:rPr>
        <w:t>Secretario</w:t>
      </w:r>
      <w:proofErr w:type="spellEnd"/>
      <w:r w:rsidRPr="00910616">
        <w:rPr>
          <w:rStyle w:val="FootnoteReference"/>
          <w:rFonts w:ascii="Cambria" w:hAnsi="Cambria"/>
          <w:sz w:val="16"/>
          <w:szCs w:val="16"/>
          <w:vertAlign w:val="baseline"/>
        </w:rPr>
        <w:t xml:space="preserve"> de la Corte de </w:t>
      </w:r>
      <w:proofErr w:type="spellStart"/>
      <w:r w:rsidRPr="00910616">
        <w:rPr>
          <w:rStyle w:val="FootnoteReference"/>
          <w:rFonts w:ascii="Cambria" w:hAnsi="Cambria"/>
          <w:sz w:val="16"/>
          <w:szCs w:val="16"/>
          <w:vertAlign w:val="baseline"/>
        </w:rPr>
        <w:t>Apelaciones</w:t>
      </w:r>
      <w:proofErr w:type="spellEnd"/>
      <w:r w:rsidRPr="00910616">
        <w:rPr>
          <w:rStyle w:val="FootnoteReference"/>
          <w:rFonts w:ascii="Cambria" w:hAnsi="Cambria"/>
          <w:sz w:val="16"/>
          <w:szCs w:val="16"/>
          <w:vertAlign w:val="baseline"/>
        </w:rPr>
        <w:t xml:space="preserve"> de La Serena.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4 a la </w:t>
      </w:r>
      <w:proofErr w:type="spellStart"/>
      <w:r w:rsidRPr="00910616">
        <w:rPr>
          <w:rStyle w:val="FootnoteReference"/>
          <w:rFonts w:ascii="Cambria" w:hAnsi="Cambria"/>
          <w:sz w:val="16"/>
          <w:szCs w:val="16"/>
          <w:vertAlign w:val="baseline"/>
        </w:rPr>
        <w:t>petición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inicial</w:t>
      </w:r>
      <w:proofErr w:type="spellEnd"/>
      <w:r w:rsidRPr="00910616">
        <w:rPr>
          <w:rStyle w:val="FootnoteReference"/>
          <w:rFonts w:ascii="Cambria" w:hAnsi="Cambria"/>
          <w:sz w:val="16"/>
          <w:szCs w:val="16"/>
          <w:vertAlign w:val="baseline"/>
        </w:rPr>
        <w:t xml:space="preserve"> de 5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2005.</w:t>
      </w:r>
    </w:p>
  </w:footnote>
  <w:footnote w:id="17">
    <w:p w:rsidR="0079557B" w:rsidRPr="00910616" w:rsidRDefault="0079557B" w:rsidP="00910616">
      <w:pPr>
        <w:pStyle w:val="FootnoteText"/>
        <w:ind w:firstLine="720"/>
        <w:jc w:val="both"/>
        <w:rPr>
          <w:rStyle w:val="FootnoteReference"/>
          <w:rFonts w:ascii="Cambria" w:hAnsi="Cambria"/>
          <w:sz w:val="16"/>
          <w:szCs w:val="16"/>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Pr>
          <w:rStyle w:val="FootnoteReference"/>
          <w:rFonts w:ascii="Cambria" w:hAnsi="Cambria"/>
          <w:sz w:val="16"/>
          <w:szCs w:val="16"/>
          <w:vertAlign w:val="baseline"/>
        </w:rPr>
        <w:t>Anexo</w:t>
      </w:r>
      <w:proofErr w:type="spellEnd"/>
      <w:r>
        <w:rPr>
          <w:rStyle w:val="FootnoteReference"/>
          <w:rFonts w:ascii="Cambria" w:hAnsi="Cambria"/>
          <w:sz w:val="16"/>
          <w:szCs w:val="16"/>
          <w:vertAlign w:val="baseline"/>
        </w:rPr>
        <w:t xml:space="preserve"> 7</w:t>
      </w:r>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Informe</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relativo</w:t>
      </w:r>
      <w:proofErr w:type="spellEnd"/>
      <w:r w:rsidRPr="00910616">
        <w:rPr>
          <w:rStyle w:val="FootnoteReference"/>
          <w:rFonts w:ascii="Cambria" w:hAnsi="Cambria"/>
          <w:sz w:val="16"/>
          <w:szCs w:val="16"/>
          <w:vertAlign w:val="baseline"/>
        </w:rPr>
        <w:t xml:space="preserve"> a autos </w:t>
      </w:r>
      <w:proofErr w:type="spellStart"/>
      <w:r w:rsidRPr="00910616">
        <w:rPr>
          <w:rStyle w:val="FootnoteReference"/>
          <w:rFonts w:ascii="Cambria" w:hAnsi="Cambria"/>
          <w:sz w:val="16"/>
          <w:szCs w:val="16"/>
          <w:vertAlign w:val="baseline"/>
        </w:rPr>
        <w:t>administrativos</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rol</w:t>
      </w:r>
      <w:proofErr w:type="spellEnd"/>
      <w:r w:rsidRPr="00910616">
        <w:rPr>
          <w:rStyle w:val="FootnoteReference"/>
          <w:rFonts w:ascii="Cambria" w:hAnsi="Cambria"/>
          <w:sz w:val="16"/>
          <w:szCs w:val="16"/>
          <w:vertAlign w:val="baseline"/>
        </w:rPr>
        <w:t xml:space="preserve"> No. 679-2004, </w:t>
      </w:r>
      <w:proofErr w:type="spellStart"/>
      <w:r w:rsidRPr="00910616">
        <w:rPr>
          <w:rStyle w:val="FootnoteReference"/>
          <w:rFonts w:ascii="Cambria" w:hAnsi="Cambria"/>
          <w:sz w:val="16"/>
          <w:szCs w:val="16"/>
          <w:vertAlign w:val="baseline"/>
        </w:rPr>
        <w:t>fechado</w:t>
      </w:r>
      <w:proofErr w:type="spellEnd"/>
      <w:r w:rsidRPr="00910616">
        <w:rPr>
          <w:rStyle w:val="FootnoteReference"/>
          <w:rFonts w:ascii="Cambria" w:hAnsi="Cambria"/>
          <w:sz w:val="16"/>
          <w:szCs w:val="16"/>
          <w:vertAlign w:val="baseline"/>
        </w:rPr>
        <w:t xml:space="preserve"> el 17 de </w:t>
      </w:r>
      <w:proofErr w:type="spellStart"/>
      <w:r w:rsidRPr="00910616">
        <w:rPr>
          <w:rStyle w:val="FootnoteReference"/>
          <w:rFonts w:ascii="Cambria" w:hAnsi="Cambria"/>
          <w:sz w:val="16"/>
          <w:szCs w:val="16"/>
          <w:vertAlign w:val="baseline"/>
        </w:rPr>
        <w:t>enero</w:t>
      </w:r>
      <w:proofErr w:type="spellEnd"/>
      <w:r w:rsidRPr="00910616">
        <w:rPr>
          <w:rStyle w:val="FootnoteReference"/>
          <w:rFonts w:ascii="Cambria" w:hAnsi="Cambria"/>
          <w:sz w:val="16"/>
          <w:szCs w:val="16"/>
          <w:vertAlign w:val="baseline"/>
        </w:rPr>
        <w:t xml:space="preserve"> de 2005 y </w:t>
      </w:r>
      <w:proofErr w:type="spellStart"/>
      <w:r w:rsidRPr="00910616">
        <w:rPr>
          <w:rStyle w:val="FootnoteReference"/>
          <w:rFonts w:ascii="Cambria" w:hAnsi="Cambria"/>
          <w:sz w:val="16"/>
          <w:szCs w:val="16"/>
          <w:vertAlign w:val="baseline"/>
        </w:rPr>
        <w:t>suscrito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por</w:t>
      </w:r>
      <w:proofErr w:type="spellEnd"/>
      <w:r w:rsidRPr="00910616">
        <w:rPr>
          <w:rStyle w:val="FootnoteReference"/>
          <w:rFonts w:ascii="Cambria" w:hAnsi="Cambria"/>
          <w:sz w:val="16"/>
          <w:szCs w:val="16"/>
          <w:vertAlign w:val="baseline"/>
        </w:rPr>
        <w:t xml:space="preserve"> Daniel </w:t>
      </w:r>
      <w:proofErr w:type="spellStart"/>
      <w:r w:rsidRPr="00910616">
        <w:rPr>
          <w:rStyle w:val="FootnoteReference"/>
          <w:rFonts w:ascii="Cambria" w:hAnsi="Cambria"/>
          <w:sz w:val="16"/>
          <w:szCs w:val="16"/>
          <w:vertAlign w:val="baseline"/>
        </w:rPr>
        <w:t>Urrutia</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Laubreaux</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5 a la </w:t>
      </w:r>
      <w:proofErr w:type="spellStart"/>
      <w:r w:rsidRPr="00910616">
        <w:rPr>
          <w:rStyle w:val="FootnoteReference"/>
          <w:rFonts w:ascii="Cambria" w:hAnsi="Cambria"/>
          <w:sz w:val="16"/>
          <w:szCs w:val="16"/>
          <w:vertAlign w:val="baseline"/>
        </w:rPr>
        <w:t>petición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inicial</w:t>
      </w:r>
      <w:proofErr w:type="spellEnd"/>
      <w:r w:rsidRPr="00910616">
        <w:rPr>
          <w:rStyle w:val="FootnoteReference"/>
          <w:rFonts w:ascii="Cambria" w:hAnsi="Cambria"/>
          <w:sz w:val="16"/>
          <w:szCs w:val="16"/>
          <w:vertAlign w:val="baseline"/>
        </w:rPr>
        <w:t xml:space="preserve"> de 5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2005 y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a las </w:t>
      </w:r>
      <w:proofErr w:type="spellStart"/>
      <w:r w:rsidRPr="00910616">
        <w:rPr>
          <w:rStyle w:val="FootnoteReference"/>
          <w:rFonts w:ascii="Cambria" w:hAnsi="Cambria"/>
          <w:sz w:val="16"/>
          <w:szCs w:val="16"/>
          <w:vertAlign w:val="baseline"/>
        </w:rPr>
        <w:t>observaciones</w:t>
      </w:r>
      <w:proofErr w:type="spellEnd"/>
      <w:r w:rsidRPr="00910616">
        <w:rPr>
          <w:rStyle w:val="FootnoteReference"/>
          <w:rFonts w:ascii="Cambria" w:hAnsi="Cambria"/>
          <w:sz w:val="16"/>
          <w:szCs w:val="16"/>
          <w:vertAlign w:val="baseline"/>
        </w:rPr>
        <w:t xml:space="preserve"> del Estado del 11 de </w:t>
      </w:r>
      <w:proofErr w:type="spellStart"/>
      <w:r w:rsidRPr="00910616">
        <w:rPr>
          <w:rStyle w:val="FootnoteReference"/>
          <w:rFonts w:ascii="Cambria" w:hAnsi="Cambria"/>
          <w:sz w:val="16"/>
          <w:szCs w:val="16"/>
          <w:vertAlign w:val="baseline"/>
        </w:rPr>
        <w:t>octubre</w:t>
      </w:r>
      <w:proofErr w:type="spellEnd"/>
      <w:r w:rsidRPr="00910616">
        <w:rPr>
          <w:rStyle w:val="FootnoteReference"/>
          <w:rFonts w:ascii="Cambria" w:hAnsi="Cambria"/>
          <w:sz w:val="16"/>
          <w:szCs w:val="16"/>
          <w:vertAlign w:val="baseline"/>
        </w:rPr>
        <w:t xml:space="preserve"> de 2016.</w:t>
      </w:r>
    </w:p>
  </w:footnote>
  <w:footnote w:id="18">
    <w:p w:rsidR="0079557B" w:rsidRPr="00910616" w:rsidRDefault="0079557B" w:rsidP="00910616">
      <w:pPr>
        <w:pStyle w:val="FootnoteText"/>
        <w:ind w:firstLine="720"/>
        <w:jc w:val="both"/>
        <w:rPr>
          <w:rStyle w:val="FootnoteReference"/>
          <w:rFonts w:ascii="Cambria" w:hAnsi="Cambria"/>
          <w:sz w:val="16"/>
          <w:szCs w:val="16"/>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Pr>
          <w:rStyle w:val="FootnoteReference"/>
          <w:rFonts w:ascii="Cambria" w:hAnsi="Cambria"/>
          <w:sz w:val="16"/>
          <w:szCs w:val="16"/>
          <w:vertAlign w:val="baseline"/>
        </w:rPr>
        <w:t>Anexo</w:t>
      </w:r>
      <w:proofErr w:type="spellEnd"/>
      <w:r>
        <w:rPr>
          <w:rStyle w:val="FootnoteReference"/>
          <w:rFonts w:ascii="Cambria" w:hAnsi="Cambria"/>
          <w:sz w:val="16"/>
          <w:szCs w:val="16"/>
          <w:vertAlign w:val="baseline"/>
        </w:rPr>
        <w:t xml:space="preserve"> 8</w:t>
      </w:r>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Resolución</w:t>
      </w:r>
      <w:proofErr w:type="spellEnd"/>
      <w:r w:rsidRPr="00910616">
        <w:rPr>
          <w:rStyle w:val="FootnoteReference"/>
          <w:rFonts w:ascii="Cambria" w:hAnsi="Cambria"/>
          <w:sz w:val="16"/>
          <w:szCs w:val="16"/>
          <w:vertAlign w:val="baseline"/>
        </w:rPr>
        <w:t xml:space="preserve"> de la Corte de </w:t>
      </w:r>
      <w:proofErr w:type="spellStart"/>
      <w:r w:rsidRPr="00910616">
        <w:rPr>
          <w:rStyle w:val="FootnoteReference"/>
          <w:rFonts w:ascii="Cambria" w:hAnsi="Cambria"/>
          <w:sz w:val="16"/>
          <w:szCs w:val="16"/>
          <w:vertAlign w:val="baseline"/>
        </w:rPr>
        <w:t>Apelaciones</w:t>
      </w:r>
      <w:proofErr w:type="spellEnd"/>
      <w:r w:rsidRPr="00910616">
        <w:rPr>
          <w:rStyle w:val="FootnoteReference"/>
          <w:rFonts w:ascii="Cambria" w:hAnsi="Cambria"/>
          <w:sz w:val="16"/>
          <w:szCs w:val="16"/>
          <w:vertAlign w:val="baseline"/>
        </w:rPr>
        <w:t xml:space="preserve"> de La Serena del 31 de </w:t>
      </w:r>
      <w:proofErr w:type="spellStart"/>
      <w:r w:rsidRPr="00910616">
        <w:rPr>
          <w:rStyle w:val="FootnoteReference"/>
          <w:rFonts w:ascii="Cambria" w:hAnsi="Cambria"/>
          <w:sz w:val="16"/>
          <w:szCs w:val="16"/>
          <w:vertAlign w:val="baseline"/>
        </w:rPr>
        <w:t>marzo</w:t>
      </w:r>
      <w:proofErr w:type="spellEnd"/>
      <w:r w:rsidRPr="00910616">
        <w:rPr>
          <w:rStyle w:val="FootnoteReference"/>
          <w:rFonts w:ascii="Cambria" w:hAnsi="Cambria"/>
          <w:sz w:val="16"/>
          <w:szCs w:val="16"/>
          <w:vertAlign w:val="baseline"/>
        </w:rPr>
        <w:t xml:space="preserve"> de 2005, </w:t>
      </w:r>
      <w:proofErr w:type="spellStart"/>
      <w:r w:rsidRPr="00910616">
        <w:rPr>
          <w:rStyle w:val="FootnoteReference"/>
          <w:rFonts w:ascii="Cambria" w:hAnsi="Cambria"/>
          <w:sz w:val="16"/>
          <w:szCs w:val="16"/>
          <w:vertAlign w:val="baseline"/>
        </w:rPr>
        <w:t>rol</w:t>
      </w:r>
      <w:proofErr w:type="spellEnd"/>
      <w:r w:rsidRPr="00910616">
        <w:rPr>
          <w:rStyle w:val="FootnoteReference"/>
          <w:rFonts w:ascii="Cambria" w:hAnsi="Cambria"/>
          <w:sz w:val="16"/>
          <w:szCs w:val="16"/>
          <w:vertAlign w:val="baseline"/>
        </w:rPr>
        <w:t xml:space="preserve"> No. 679-2004.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6 a la </w:t>
      </w:r>
      <w:proofErr w:type="spellStart"/>
      <w:r w:rsidRPr="00910616">
        <w:rPr>
          <w:rStyle w:val="FootnoteReference"/>
          <w:rFonts w:ascii="Cambria" w:hAnsi="Cambria"/>
          <w:sz w:val="16"/>
          <w:szCs w:val="16"/>
          <w:vertAlign w:val="baseline"/>
        </w:rPr>
        <w:t>petición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inicial</w:t>
      </w:r>
      <w:proofErr w:type="spellEnd"/>
      <w:r w:rsidRPr="00910616">
        <w:rPr>
          <w:rStyle w:val="FootnoteReference"/>
          <w:rFonts w:ascii="Cambria" w:hAnsi="Cambria"/>
          <w:sz w:val="16"/>
          <w:szCs w:val="16"/>
          <w:vertAlign w:val="baseline"/>
        </w:rPr>
        <w:t xml:space="preserve"> de 5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2005 y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a las </w:t>
      </w:r>
      <w:proofErr w:type="spellStart"/>
      <w:r w:rsidRPr="00910616">
        <w:rPr>
          <w:rStyle w:val="FootnoteReference"/>
          <w:rFonts w:ascii="Cambria" w:hAnsi="Cambria"/>
          <w:sz w:val="16"/>
          <w:szCs w:val="16"/>
          <w:vertAlign w:val="baseline"/>
        </w:rPr>
        <w:t>observaciones</w:t>
      </w:r>
      <w:proofErr w:type="spellEnd"/>
      <w:r w:rsidRPr="00910616">
        <w:rPr>
          <w:rStyle w:val="FootnoteReference"/>
          <w:rFonts w:ascii="Cambria" w:hAnsi="Cambria"/>
          <w:sz w:val="16"/>
          <w:szCs w:val="16"/>
          <w:vertAlign w:val="baseline"/>
        </w:rPr>
        <w:t xml:space="preserve"> del Estado del 11 de </w:t>
      </w:r>
      <w:proofErr w:type="spellStart"/>
      <w:r w:rsidRPr="00910616">
        <w:rPr>
          <w:rStyle w:val="FootnoteReference"/>
          <w:rFonts w:ascii="Cambria" w:hAnsi="Cambria"/>
          <w:sz w:val="16"/>
          <w:szCs w:val="16"/>
          <w:vertAlign w:val="baseline"/>
        </w:rPr>
        <w:t>octubre</w:t>
      </w:r>
      <w:proofErr w:type="spellEnd"/>
      <w:r w:rsidRPr="00910616">
        <w:rPr>
          <w:rStyle w:val="FootnoteReference"/>
          <w:rFonts w:ascii="Cambria" w:hAnsi="Cambria"/>
          <w:sz w:val="16"/>
          <w:szCs w:val="16"/>
          <w:vertAlign w:val="baseline"/>
        </w:rPr>
        <w:t xml:space="preserve"> de 2016.</w:t>
      </w:r>
    </w:p>
  </w:footnote>
  <w:footnote w:id="19">
    <w:p w:rsidR="0079557B" w:rsidRPr="00910616" w:rsidRDefault="0079557B" w:rsidP="00910616">
      <w:pPr>
        <w:pStyle w:val="FootnoteText"/>
        <w:ind w:firstLine="720"/>
        <w:jc w:val="both"/>
        <w:rPr>
          <w:rStyle w:val="FootnoteReference"/>
          <w:rFonts w:ascii="Cambria" w:hAnsi="Cambria"/>
          <w:sz w:val="16"/>
          <w:szCs w:val="16"/>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Pr>
          <w:rStyle w:val="FootnoteReference"/>
          <w:rFonts w:ascii="Cambria" w:hAnsi="Cambria"/>
          <w:sz w:val="16"/>
          <w:szCs w:val="16"/>
          <w:vertAlign w:val="baseline"/>
        </w:rPr>
        <w:t>Anexo</w:t>
      </w:r>
      <w:proofErr w:type="spellEnd"/>
      <w:r>
        <w:rPr>
          <w:rStyle w:val="FootnoteReference"/>
          <w:rFonts w:ascii="Cambria" w:hAnsi="Cambria"/>
          <w:sz w:val="16"/>
          <w:szCs w:val="16"/>
          <w:vertAlign w:val="baseline"/>
        </w:rPr>
        <w:t xml:space="preserve"> 9</w:t>
      </w:r>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Escrito</w:t>
      </w:r>
      <w:proofErr w:type="spellEnd"/>
      <w:r w:rsidRPr="00910616">
        <w:rPr>
          <w:rStyle w:val="FootnoteReference"/>
          <w:rFonts w:ascii="Cambria" w:hAnsi="Cambria"/>
          <w:sz w:val="16"/>
          <w:szCs w:val="16"/>
          <w:vertAlign w:val="baseline"/>
        </w:rPr>
        <w:t xml:space="preserve"> de </w:t>
      </w:r>
      <w:proofErr w:type="spellStart"/>
      <w:r w:rsidRPr="00910616">
        <w:rPr>
          <w:rStyle w:val="FootnoteReference"/>
          <w:rFonts w:ascii="Cambria" w:hAnsi="Cambria"/>
          <w:sz w:val="16"/>
          <w:szCs w:val="16"/>
          <w:vertAlign w:val="baseline"/>
        </w:rPr>
        <w:t>apelación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presentado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por</w:t>
      </w:r>
      <w:proofErr w:type="spellEnd"/>
      <w:r w:rsidRPr="00910616">
        <w:rPr>
          <w:rStyle w:val="FootnoteReference"/>
          <w:rFonts w:ascii="Cambria" w:hAnsi="Cambria"/>
          <w:sz w:val="16"/>
          <w:szCs w:val="16"/>
          <w:vertAlign w:val="baseline"/>
        </w:rPr>
        <w:t xml:space="preserve"> Daniel </w:t>
      </w:r>
      <w:proofErr w:type="spellStart"/>
      <w:r w:rsidRPr="00910616">
        <w:rPr>
          <w:rStyle w:val="FootnoteReference"/>
          <w:rFonts w:ascii="Cambria" w:hAnsi="Cambria"/>
          <w:sz w:val="16"/>
          <w:szCs w:val="16"/>
          <w:vertAlign w:val="baseline"/>
        </w:rPr>
        <w:t>Urrutia</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Laubreaux</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en</w:t>
      </w:r>
      <w:proofErr w:type="spellEnd"/>
      <w:r w:rsidRPr="00910616">
        <w:rPr>
          <w:rStyle w:val="FootnoteReference"/>
          <w:rFonts w:ascii="Cambria" w:hAnsi="Cambria"/>
          <w:sz w:val="16"/>
          <w:szCs w:val="16"/>
          <w:vertAlign w:val="baseline"/>
        </w:rPr>
        <w:t xml:space="preserve"> contra de autos </w:t>
      </w:r>
      <w:proofErr w:type="spellStart"/>
      <w:r w:rsidRPr="00910616">
        <w:rPr>
          <w:rStyle w:val="FootnoteReference"/>
          <w:rFonts w:ascii="Cambria" w:hAnsi="Cambria"/>
          <w:sz w:val="16"/>
          <w:szCs w:val="16"/>
          <w:vertAlign w:val="baseline"/>
        </w:rPr>
        <w:t>administrativos</w:t>
      </w:r>
      <w:proofErr w:type="spellEnd"/>
      <w:r w:rsidRPr="00910616">
        <w:rPr>
          <w:rStyle w:val="FootnoteReference"/>
          <w:rFonts w:ascii="Cambria" w:hAnsi="Cambria"/>
          <w:sz w:val="16"/>
          <w:szCs w:val="16"/>
          <w:vertAlign w:val="baseline"/>
        </w:rPr>
        <w:t xml:space="preserve"> No. 679-2004.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7 a la </w:t>
      </w:r>
      <w:proofErr w:type="spellStart"/>
      <w:r w:rsidRPr="00910616">
        <w:rPr>
          <w:rStyle w:val="FootnoteReference"/>
          <w:rFonts w:ascii="Cambria" w:hAnsi="Cambria"/>
          <w:sz w:val="16"/>
          <w:szCs w:val="16"/>
          <w:vertAlign w:val="baseline"/>
        </w:rPr>
        <w:t>petición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inicial</w:t>
      </w:r>
      <w:proofErr w:type="spellEnd"/>
      <w:r w:rsidRPr="00910616">
        <w:rPr>
          <w:rStyle w:val="FootnoteReference"/>
          <w:rFonts w:ascii="Cambria" w:hAnsi="Cambria"/>
          <w:sz w:val="16"/>
          <w:szCs w:val="16"/>
          <w:vertAlign w:val="baseline"/>
        </w:rPr>
        <w:t xml:space="preserve"> de 5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2005 y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a las </w:t>
      </w:r>
      <w:proofErr w:type="spellStart"/>
      <w:r w:rsidRPr="00910616">
        <w:rPr>
          <w:rStyle w:val="FootnoteReference"/>
          <w:rFonts w:ascii="Cambria" w:hAnsi="Cambria"/>
          <w:sz w:val="16"/>
          <w:szCs w:val="16"/>
          <w:vertAlign w:val="baseline"/>
        </w:rPr>
        <w:t>observaciones</w:t>
      </w:r>
      <w:proofErr w:type="spellEnd"/>
      <w:r w:rsidRPr="00910616">
        <w:rPr>
          <w:rStyle w:val="FootnoteReference"/>
          <w:rFonts w:ascii="Cambria" w:hAnsi="Cambria"/>
          <w:sz w:val="16"/>
          <w:szCs w:val="16"/>
          <w:vertAlign w:val="baseline"/>
        </w:rPr>
        <w:t xml:space="preserve"> del Estado del 11 de </w:t>
      </w:r>
      <w:proofErr w:type="spellStart"/>
      <w:r w:rsidRPr="00910616">
        <w:rPr>
          <w:rStyle w:val="FootnoteReference"/>
          <w:rFonts w:ascii="Cambria" w:hAnsi="Cambria"/>
          <w:sz w:val="16"/>
          <w:szCs w:val="16"/>
          <w:vertAlign w:val="baseline"/>
        </w:rPr>
        <w:t>octubre</w:t>
      </w:r>
      <w:proofErr w:type="spellEnd"/>
      <w:r w:rsidRPr="00910616">
        <w:rPr>
          <w:rStyle w:val="FootnoteReference"/>
          <w:rFonts w:ascii="Cambria" w:hAnsi="Cambria"/>
          <w:sz w:val="16"/>
          <w:szCs w:val="16"/>
          <w:vertAlign w:val="baseline"/>
        </w:rPr>
        <w:t xml:space="preserve"> de 2016.</w:t>
      </w:r>
    </w:p>
  </w:footnote>
  <w:footnote w:id="20">
    <w:p w:rsidR="0079557B" w:rsidRPr="00910616" w:rsidRDefault="0079557B" w:rsidP="00910616">
      <w:pPr>
        <w:pStyle w:val="FootnoteText"/>
        <w:ind w:firstLine="720"/>
        <w:jc w:val="both"/>
        <w:rPr>
          <w:rStyle w:val="FootnoteReference"/>
          <w:rFonts w:ascii="Cambria" w:hAnsi="Cambria"/>
          <w:sz w:val="16"/>
          <w:szCs w:val="16"/>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Pr>
          <w:rStyle w:val="FootnoteReference"/>
          <w:rFonts w:ascii="Cambria" w:hAnsi="Cambria"/>
          <w:sz w:val="16"/>
          <w:szCs w:val="16"/>
          <w:vertAlign w:val="baseline"/>
        </w:rPr>
        <w:t>Anexo</w:t>
      </w:r>
      <w:proofErr w:type="spellEnd"/>
      <w:r>
        <w:rPr>
          <w:rStyle w:val="FootnoteReference"/>
          <w:rFonts w:ascii="Cambria" w:hAnsi="Cambria"/>
          <w:sz w:val="16"/>
          <w:szCs w:val="16"/>
          <w:vertAlign w:val="baseline"/>
        </w:rPr>
        <w:t xml:space="preserve"> 9</w:t>
      </w:r>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Escrito</w:t>
      </w:r>
      <w:proofErr w:type="spellEnd"/>
      <w:r w:rsidRPr="00910616">
        <w:rPr>
          <w:rStyle w:val="FootnoteReference"/>
          <w:rFonts w:ascii="Cambria" w:hAnsi="Cambria"/>
          <w:sz w:val="16"/>
          <w:szCs w:val="16"/>
          <w:vertAlign w:val="baseline"/>
        </w:rPr>
        <w:t xml:space="preserve"> de </w:t>
      </w:r>
      <w:proofErr w:type="spellStart"/>
      <w:r w:rsidRPr="00910616">
        <w:rPr>
          <w:rStyle w:val="FootnoteReference"/>
          <w:rFonts w:ascii="Cambria" w:hAnsi="Cambria"/>
          <w:sz w:val="16"/>
          <w:szCs w:val="16"/>
          <w:vertAlign w:val="baseline"/>
        </w:rPr>
        <w:t>apelación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presentado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por</w:t>
      </w:r>
      <w:proofErr w:type="spellEnd"/>
      <w:r w:rsidRPr="00910616">
        <w:rPr>
          <w:rStyle w:val="FootnoteReference"/>
          <w:rFonts w:ascii="Cambria" w:hAnsi="Cambria"/>
          <w:sz w:val="16"/>
          <w:szCs w:val="16"/>
          <w:vertAlign w:val="baseline"/>
        </w:rPr>
        <w:t xml:space="preserve"> Daniel </w:t>
      </w:r>
      <w:proofErr w:type="spellStart"/>
      <w:r w:rsidRPr="00910616">
        <w:rPr>
          <w:rStyle w:val="FootnoteReference"/>
          <w:rFonts w:ascii="Cambria" w:hAnsi="Cambria"/>
          <w:sz w:val="16"/>
          <w:szCs w:val="16"/>
          <w:vertAlign w:val="baseline"/>
        </w:rPr>
        <w:t>Urrutia</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Laubreaux</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en</w:t>
      </w:r>
      <w:proofErr w:type="spellEnd"/>
      <w:r w:rsidRPr="00910616">
        <w:rPr>
          <w:rStyle w:val="FootnoteReference"/>
          <w:rFonts w:ascii="Cambria" w:hAnsi="Cambria"/>
          <w:sz w:val="16"/>
          <w:szCs w:val="16"/>
          <w:vertAlign w:val="baseline"/>
        </w:rPr>
        <w:t xml:space="preserve"> contra de autos </w:t>
      </w:r>
      <w:proofErr w:type="spellStart"/>
      <w:r w:rsidRPr="00910616">
        <w:rPr>
          <w:rStyle w:val="FootnoteReference"/>
          <w:rFonts w:ascii="Cambria" w:hAnsi="Cambria"/>
          <w:sz w:val="16"/>
          <w:szCs w:val="16"/>
          <w:vertAlign w:val="baseline"/>
        </w:rPr>
        <w:t>administrativos</w:t>
      </w:r>
      <w:proofErr w:type="spellEnd"/>
      <w:r w:rsidRPr="00910616">
        <w:rPr>
          <w:rStyle w:val="FootnoteReference"/>
          <w:rFonts w:ascii="Cambria" w:hAnsi="Cambria"/>
          <w:sz w:val="16"/>
          <w:szCs w:val="16"/>
          <w:vertAlign w:val="baseline"/>
        </w:rPr>
        <w:t xml:space="preserve"> No. 679-2004.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7 a la </w:t>
      </w:r>
      <w:proofErr w:type="spellStart"/>
      <w:r w:rsidRPr="00910616">
        <w:rPr>
          <w:rStyle w:val="FootnoteReference"/>
          <w:rFonts w:ascii="Cambria" w:hAnsi="Cambria"/>
          <w:sz w:val="16"/>
          <w:szCs w:val="16"/>
          <w:vertAlign w:val="baseline"/>
        </w:rPr>
        <w:t>petición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inicial</w:t>
      </w:r>
      <w:proofErr w:type="spellEnd"/>
      <w:r w:rsidRPr="00910616">
        <w:rPr>
          <w:rStyle w:val="FootnoteReference"/>
          <w:rFonts w:ascii="Cambria" w:hAnsi="Cambria"/>
          <w:sz w:val="16"/>
          <w:szCs w:val="16"/>
          <w:vertAlign w:val="baseline"/>
        </w:rPr>
        <w:t xml:space="preserve"> de 5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2005 y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a las </w:t>
      </w:r>
      <w:proofErr w:type="spellStart"/>
      <w:r w:rsidRPr="00910616">
        <w:rPr>
          <w:rStyle w:val="FootnoteReference"/>
          <w:rFonts w:ascii="Cambria" w:hAnsi="Cambria"/>
          <w:sz w:val="16"/>
          <w:szCs w:val="16"/>
          <w:vertAlign w:val="baseline"/>
        </w:rPr>
        <w:t>observaciones</w:t>
      </w:r>
      <w:proofErr w:type="spellEnd"/>
      <w:r w:rsidRPr="00910616">
        <w:rPr>
          <w:rStyle w:val="FootnoteReference"/>
          <w:rFonts w:ascii="Cambria" w:hAnsi="Cambria"/>
          <w:sz w:val="16"/>
          <w:szCs w:val="16"/>
          <w:vertAlign w:val="baseline"/>
        </w:rPr>
        <w:t xml:space="preserve"> del Estado del 11 de </w:t>
      </w:r>
      <w:proofErr w:type="spellStart"/>
      <w:r w:rsidRPr="00910616">
        <w:rPr>
          <w:rStyle w:val="FootnoteReference"/>
          <w:rFonts w:ascii="Cambria" w:hAnsi="Cambria"/>
          <w:sz w:val="16"/>
          <w:szCs w:val="16"/>
          <w:vertAlign w:val="baseline"/>
        </w:rPr>
        <w:t>octubre</w:t>
      </w:r>
      <w:proofErr w:type="spellEnd"/>
      <w:r w:rsidRPr="00910616">
        <w:rPr>
          <w:rStyle w:val="FootnoteReference"/>
          <w:rFonts w:ascii="Cambria" w:hAnsi="Cambria"/>
          <w:sz w:val="16"/>
          <w:szCs w:val="16"/>
          <w:vertAlign w:val="baseline"/>
        </w:rPr>
        <w:t xml:space="preserve"> de 2016.</w:t>
      </w:r>
    </w:p>
  </w:footnote>
  <w:footnote w:id="21">
    <w:p w:rsidR="0079557B" w:rsidRPr="00910616" w:rsidRDefault="0079557B" w:rsidP="00910616">
      <w:pPr>
        <w:pStyle w:val="FootnoteText"/>
        <w:ind w:firstLine="720"/>
        <w:jc w:val="both"/>
        <w:rPr>
          <w:rFonts w:ascii="Cambria" w:hAnsi="Cambria"/>
          <w:sz w:val="16"/>
          <w:szCs w:val="16"/>
          <w:lang w:val="es-CO"/>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Pr>
          <w:rStyle w:val="FootnoteReference"/>
          <w:rFonts w:ascii="Cambria" w:hAnsi="Cambria"/>
          <w:sz w:val="16"/>
          <w:szCs w:val="16"/>
          <w:vertAlign w:val="baseline"/>
        </w:rPr>
        <w:t>Anexo</w:t>
      </w:r>
      <w:proofErr w:type="spellEnd"/>
      <w:r>
        <w:rPr>
          <w:rStyle w:val="FootnoteReference"/>
          <w:rFonts w:ascii="Cambria" w:hAnsi="Cambria"/>
          <w:sz w:val="16"/>
          <w:szCs w:val="16"/>
          <w:vertAlign w:val="baseline"/>
        </w:rPr>
        <w:t xml:space="preserve"> 10</w:t>
      </w:r>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Resolución</w:t>
      </w:r>
      <w:proofErr w:type="spellEnd"/>
      <w:r w:rsidRPr="00910616">
        <w:rPr>
          <w:rStyle w:val="FootnoteReference"/>
          <w:rFonts w:ascii="Cambria" w:hAnsi="Cambria"/>
          <w:sz w:val="16"/>
          <w:szCs w:val="16"/>
          <w:vertAlign w:val="baseline"/>
        </w:rPr>
        <w:t xml:space="preserve"> del 6 de mayo de 2005 de la Corte Suprema al </w:t>
      </w:r>
      <w:proofErr w:type="spellStart"/>
      <w:r w:rsidRPr="00910616">
        <w:rPr>
          <w:rStyle w:val="FootnoteReference"/>
          <w:rFonts w:ascii="Cambria" w:hAnsi="Cambria"/>
          <w:sz w:val="16"/>
          <w:szCs w:val="16"/>
          <w:vertAlign w:val="baseline"/>
        </w:rPr>
        <w:t>recurso</w:t>
      </w:r>
      <w:proofErr w:type="spellEnd"/>
      <w:r w:rsidRPr="00910616">
        <w:rPr>
          <w:rStyle w:val="FootnoteReference"/>
          <w:rFonts w:ascii="Cambria" w:hAnsi="Cambria"/>
          <w:sz w:val="16"/>
          <w:szCs w:val="16"/>
          <w:vertAlign w:val="baseline"/>
        </w:rPr>
        <w:t xml:space="preserve"> de </w:t>
      </w:r>
      <w:proofErr w:type="spellStart"/>
      <w:r w:rsidRPr="00910616">
        <w:rPr>
          <w:rStyle w:val="FootnoteReference"/>
          <w:rFonts w:ascii="Cambria" w:hAnsi="Cambria"/>
          <w:sz w:val="16"/>
          <w:szCs w:val="16"/>
          <w:vertAlign w:val="baseline"/>
        </w:rPr>
        <w:t>apelación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presentado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por</w:t>
      </w:r>
      <w:proofErr w:type="spellEnd"/>
      <w:r w:rsidRPr="00910616">
        <w:rPr>
          <w:rStyle w:val="FootnoteReference"/>
          <w:rFonts w:ascii="Cambria" w:hAnsi="Cambria"/>
          <w:sz w:val="16"/>
          <w:szCs w:val="16"/>
          <w:vertAlign w:val="baseline"/>
        </w:rPr>
        <w:t xml:space="preserve"> Daniel </w:t>
      </w:r>
      <w:proofErr w:type="spellStart"/>
      <w:r w:rsidRPr="00910616">
        <w:rPr>
          <w:rStyle w:val="FootnoteReference"/>
          <w:rFonts w:ascii="Cambria" w:hAnsi="Cambria"/>
          <w:sz w:val="16"/>
          <w:szCs w:val="16"/>
          <w:vertAlign w:val="baseline"/>
        </w:rPr>
        <w:t>Urrutia</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Laubreaux</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en</w:t>
      </w:r>
      <w:proofErr w:type="spellEnd"/>
      <w:r w:rsidRPr="00910616">
        <w:rPr>
          <w:rStyle w:val="FootnoteReference"/>
          <w:rFonts w:ascii="Cambria" w:hAnsi="Cambria"/>
          <w:sz w:val="16"/>
          <w:szCs w:val="16"/>
          <w:vertAlign w:val="baseline"/>
        </w:rPr>
        <w:t xml:space="preserve"> contra de autos </w:t>
      </w:r>
      <w:proofErr w:type="spellStart"/>
      <w:r w:rsidRPr="00910616">
        <w:rPr>
          <w:rStyle w:val="FootnoteReference"/>
          <w:rFonts w:ascii="Cambria" w:hAnsi="Cambria"/>
          <w:sz w:val="16"/>
          <w:szCs w:val="16"/>
          <w:vertAlign w:val="baseline"/>
        </w:rPr>
        <w:t>administrativos</w:t>
      </w:r>
      <w:proofErr w:type="spellEnd"/>
      <w:r w:rsidRPr="00910616">
        <w:rPr>
          <w:rStyle w:val="FootnoteReference"/>
          <w:rFonts w:ascii="Cambria" w:hAnsi="Cambria"/>
          <w:sz w:val="16"/>
          <w:szCs w:val="16"/>
          <w:vertAlign w:val="baseline"/>
        </w:rPr>
        <w:t xml:space="preserve"> No. 679-2004.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8 a la </w:t>
      </w:r>
      <w:proofErr w:type="spellStart"/>
      <w:r w:rsidRPr="00910616">
        <w:rPr>
          <w:rStyle w:val="FootnoteReference"/>
          <w:rFonts w:ascii="Cambria" w:hAnsi="Cambria"/>
          <w:sz w:val="16"/>
          <w:szCs w:val="16"/>
          <w:vertAlign w:val="baseline"/>
        </w:rPr>
        <w:t>petición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inicial</w:t>
      </w:r>
      <w:proofErr w:type="spellEnd"/>
      <w:r w:rsidRPr="00910616">
        <w:rPr>
          <w:rStyle w:val="FootnoteReference"/>
          <w:rFonts w:ascii="Cambria" w:hAnsi="Cambria"/>
          <w:sz w:val="16"/>
          <w:szCs w:val="16"/>
          <w:vertAlign w:val="baseline"/>
        </w:rPr>
        <w:t xml:space="preserve"> de 5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2005 y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a las </w:t>
      </w:r>
      <w:proofErr w:type="spellStart"/>
      <w:r w:rsidRPr="00910616">
        <w:rPr>
          <w:rStyle w:val="FootnoteReference"/>
          <w:rFonts w:ascii="Cambria" w:hAnsi="Cambria"/>
          <w:sz w:val="16"/>
          <w:szCs w:val="16"/>
          <w:vertAlign w:val="baseline"/>
        </w:rPr>
        <w:t>observaciones</w:t>
      </w:r>
      <w:proofErr w:type="spellEnd"/>
      <w:r w:rsidRPr="00910616">
        <w:rPr>
          <w:rStyle w:val="FootnoteReference"/>
          <w:rFonts w:ascii="Cambria" w:hAnsi="Cambria"/>
          <w:sz w:val="16"/>
          <w:szCs w:val="16"/>
          <w:vertAlign w:val="baseline"/>
        </w:rPr>
        <w:t xml:space="preserve"> del Estado del 11 de </w:t>
      </w:r>
      <w:proofErr w:type="spellStart"/>
      <w:r w:rsidRPr="00910616">
        <w:rPr>
          <w:rStyle w:val="FootnoteReference"/>
          <w:rFonts w:ascii="Cambria" w:hAnsi="Cambria"/>
          <w:sz w:val="16"/>
          <w:szCs w:val="16"/>
          <w:vertAlign w:val="baseline"/>
        </w:rPr>
        <w:t>octubre</w:t>
      </w:r>
      <w:proofErr w:type="spellEnd"/>
      <w:r w:rsidRPr="00910616">
        <w:rPr>
          <w:rStyle w:val="FootnoteReference"/>
          <w:rFonts w:ascii="Cambria" w:hAnsi="Cambria"/>
          <w:sz w:val="16"/>
          <w:szCs w:val="16"/>
          <w:vertAlign w:val="baseline"/>
        </w:rPr>
        <w:t xml:space="preserve"> de 2016.</w:t>
      </w:r>
    </w:p>
  </w:footnote>
  <w:footnote w:id="22">
    <w:p w:rsidR="0079557B" w:rsidRPr="00910616" w:rsidRDefault="0079557B" w:rsidP="005D6BD7">
      <w:pPr>
        <w:pStyle w:val="FootnoteText"/>
        <w:ind w:firstLine="720"/>
        <w:jc w:val="both"/>
        <w:rPr>
          <w:rFonts w:ascii="Cambria" w:hAnsi="Cambria"/>
          <w:sz w:val="16"/>
          <w:szCs w:val="16"/>
          <w:lang w:val="es-CO"/>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Pr>
          <w:rStyle w:val="FootnoteReference"/>
          <w:rFonts w:ascii="Cambria" w:hAnsi="Cambria"/>
          <w:sz w:val="16"/>
          <w:szCs w:val="16"/>
          <w:vertAlign w:val="baseline"/>
        </w:rPr>
        <w:t>Anexo</w:t>
      </w:r>
      <w:proofErr w:type="spellEnd"/>
      <w:r>
        <w:rPr>
          <w:rStyle w:val="FootnoteReference"/>
          <w:rFonts w:ascii="Cambria" w:hAnsi="Cambria"/>
          <w:sz w:val="16"/>
          <w:szCs w:val="16"/>
          <w:vertAlign w:val="baseline"/>
        </w:rPr>
        <w:t xml:space="preserve"> 10</w:t>
      </w:r>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Resolución</w:t>
      </w:r>
      <w:proofErr w:type="spellEnd"/>
      <w:r w:rsidRPr="00910616">
        <w:rPr>
          <w:rStyle w:val="FootnoteReference"/>
          <w:rFonts w:ascii="Cambria" w:hAnsi="Cambria"/>
          <w:sz w:val="16"/>
          <w:szCs w:val="16"/>
          <w:vertAlign w:val="baseline"/>
        </w:rPr>
        <w:t xml:space="preserve"> del 6 de mayo de 2005 de la Corte Suprema al </w:t>
      </w:r>
      <w:proofErr w:type="spellStart"/>
      <w:r w:rsidRPr="00910616">
        <w:rPr>
          <w:rStyle w:val="FootnoteReference"/>
          <w:rFonts w:ascii="Cambria" w:hAnsi="Cambria"/>
          <w:sz w:val="16"/>
          <w:szCs w:val="16"/>
          <w:vertAlign w:val="baseline"/>
        </w:rPr>
        <w:t>recurso</w:t>
      </w:r>
      <w:proofErr w:type="spellEnd"/>
      <w:r w:rsidRPr="00910616">
        <w:rPr>
          <w:rStyle w:val="FootnoteReference"/>
          <w:rFonts w:ascii="Cambria" w:hAnsi="Cambria"/>
          <w:sz w:val="16"/>
          <w:szCs w:val="16"/>
          <w:vertAlign w:val="baseline"/>
        </w:rPr>
        <w:t xml:space="preserve"> de </w:t>
      </w:r>
      <w:proofErr w:type="spellStart"/>
      <w:r w:rsidRPr="00910616">
        <w:rPr>
          <w:rStyle w:val="FootnoteReference"/>
          <w:rFonts w:ascii="Cambria" w:hAnsi="Cambria"/>
          <w:sz w:val="16"/>
          <w:szCs w:val="16"/>
          <w:vertAlign w:val="baseline"/>
        </w:rPr>
        <w:t>apelación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presentado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por</w:t>
      </w:r>
      <w:proofErr w:type="spellEnd"/>
      <w:r w:rsidRPr="00910616">
        <w:rPr>
          <w:rStyle w:val="FootnoteReference"/>
          <w:rFonts w:ascii="Cambria" w:hAnsi="Cambria"/>
          <w:sz w:val="16"/>
          <w:szCs w:val="16"/>
          <w:vertAlign w:val="baseline"/>
        </w:rPr>
        <w:t xml:space="preserve"> Daniel </w:t>
      </w:r>
      <w:proofErr w:type="spellStart"/>
      <w:r w:rsidRPr="00910616">
        <w:rPr>
          <w:rStyle w:val="FootnoteReference"/>
          <w:rFonts w:ascii="Cambria" w:hAnsi="Cambria"/>
          <w:sz w:val="16"/>
          <w:szCs w:val="16"/>
          <w:vertAlign w:val="baseline"/>
        </w:rPr>
        <w:t>Urrutia</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Laubreaux</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en</w:t>
      </w:r>
      <w:proofErr w:type="spellEnd"/>
      <w:r w:rsidRPr="00910616">
        <w:rPr>
          <w:rStyle w:val="FootnoteReference"/>
          <w:rFonts w:ascii="Cambria" w:hAnsi="Cambria"/>
          <w:sz w:val="16"/>
          <w:szCs w:val="16"/>
          <w:vertAlign w:val="baseline"/>
        </w:rPr>
        <w:t xml:space="preserve"> contra de autos </w:t>
      </w:r>
      <w:proofErr w:type="spellStart"/>
      <w:r w:rsidRPr="00910616">
        <w:rPr>
          <w:rStyle w:val="FootnoteReference"/>
          <w:rFonts w:ascii="Cambria" w:hAnsi="Cambria"/>
          <w:sz w:val="16"/>
          <w:szCs w:val="16"/>
          <w:vertAlign w:val="baseline"/>
        </w:rPr>
        <w:t>administrativos</w:t>
      </w:r>
      <w:proofErr w:type="spellEnd"/>
      <w:r w:rsidRPr="00910616">
        <w:rPr>
          <w:rStyle w:val="FootnoteReference"/>
          <w:rFonts w:ascii="Cambria" w:hAnsi="Cambria"/>
          <w:sz w:val="16"/>
          <w:szCs w:val="16"/>
          <w:vertAlign w:val="baseline"/>
        </w:rPr>
        <w:t xml:space="preserve"> No. 679-2004.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8 a la </w:t>
      </w:r>
      <w:proofErr w:type="spellStart"/>
      <w:r w:rsidRPr="00910616">
        <w:rPr>
          <w:rStyle w:val="FootnoteReference"/>
          <w:rFonts w:ascii="Cambria" w:hAnsi="Cambria"/>
          <w:sz w:val="16"/>
          <w:szCs w:val="16"/>
          <w:vertAlign w:val="baseline"/>
        </w:rPr>
        <w:t>petición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inicial</w:t>
      </w:r>
      <w:proofErr w:type="spellEnd"/>
      <w:r w:rsidRPr="00910616">
        <w:rPr>
          <w:rStyle w:val="FootnoteReference"/>
          <w:rFonts w:ascii="Cambria" w:hAnsi="Cambria"/>
          <w:sz w:val="16"/>
          <w:szCs w:val="16"/>
          <w:vertAlign w:val="baseline"/>
        </w:rPr>
        <w:t xml:space="preserve"> de 5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2005 y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a las </w:t>
      </w:r>
      <w:proofErr w:type="spellStart"/>
      <w:r w:rsidRPr="00910616">
        <w:rPr>
          <w:rStyle w:val="FootnoteReference"/>
          <w:rFonts w:ascii="Cambria" w:hAnsi="Cambria"/>
          <w:sz w:val="16"/>
          <w:szCs w:val="16"/>
          <w:vertAlign w:val="baseline"/>
        </w:rPr>
        <w:t>observaciones</w:t>
      </w:r>
      <w:proofErr w:type="spellEnd"/>
      <w:r w:rsidRPr="00910616">
        <w:rPr>
          <w:rStyle w:val="FootnoteReference"/>
          <w:rFonts w:ascii="Cambria" w:hAnsi="Cambria"/>
          <w:sz w:val="16"/>
          <w:szCs w:val="16"/>
          <w:vertAlign w:val="baseline"/>
        </w:rPr>
        <w:t xml:space="preserve"> del E</w:t>
      </w:r>
      <w:r>
        <w:rPr>
          <w:rStyle w:val="FootnoteReference"/>
          <w:rFonts w:ascii="Cambria" w:hAnsi="Cambria"/>
          <w:sz w:val="16"/>
          <w:szCs w:val="16"/>
          <w:vertAlign w:val="baseline"/>
        </w:rPr>
        <w:t xml:space="preserve">stado del 11 de </w:t>
      </w:r>
      <w:proofErr w:type="spellStart"/>
      <w:r>
        <w:rPr>
          <w:rStyle w:val="FootnoteReference"/>
          <w:rFonts w:ascii="Cambria" w:hAnsi="Cambria"/>
          <w:sz w:val="16"/>
          <w:szCs w:val="16"/>
          <w:vertAlign w:val="baseline"/>
        </w:rPr>
        <w:t>octubre</w:t>
      </w:r>
      <w:proofErr w:type="spellEnd"/>
      <w:r>
        <w:rPr>
          <w:rStyle w:val="FootnoteReference"/>
          <w:rFonts w:ascii="Cambria" w:hAnsi="Cambria"/>
          <w:sz w:val="16"/>
          <w:szCs w:val="16"/>
          <w:vertAlign w:val="baseline"/>
        </w:rPr>
        <w:t xml:space="preserve"> de 2016; </w:t>
      </w:r>
      <w:proofErr w:type="spellStart"/>
      <w:r>
        <w:rPr>
          <w:rStyle w:val="FootnoteReference"/>
          <w:rFonts w:ascii="Cambria" w:hAnsi="Cambria"/>
          <w:sz w:val="16"/>
          <w:szCs w:val="16"/>
          <w:vertAlign w:val="baseline"/>
        </w:rPr>
        <w:t>asimismo</w:t>
      </w:r>
      <w:proofErr w:type="spellEnd"/>
      <w:r>
        <w:rPr>
          <w:rStyle w:val="FootnoteReference"/>
          <w:rFonts w:ascii="Cambria" w:hAnsi="Cambria"/>
          <w:sz w:val="16"/>
          <w:szCs w:val="16"/>
          <w:vertAlign w:val="baseline"/>
        </w:rPr>
        <w:t xml:space="preserve"> </w:t>
      </w:r>
      <w:proofErr w:type="spellStart"/>
      <w:r>
        <w:rPr>
          <w:rStyle w:val="FootnoteReference"/>
          <w:rFonts w:ascii="Cambria" w:hAnsi="Cambria"/>
          <w:sz w:val="16"/>
          <w:szCs w:val="16"/>
          <w:vertAlign w:val="baseline"/>
        </w:rPr>
        <w:t>consta</w:t>
      </w:r>
      <w:proofErr w:type="spellEnd"/>
      <w:r>
        <w:rPr>
          <w:rStyle w:val="FootnoteReference"/>
          <w:rFonts w:ascii="Cambria" w:hAnsi="Cambria"/>
          <w:sz w:val="16"/>
          <w:szCs w:val="16"/>
          <w:vertAlign w:val="baseline"/>
        </w:rPr>
        <w:t xml:space="preserve"> </w:t>
      </w:r>
      <w:proofErr w:type="spellStart"/>
      <w:r>
        <w:rPr>
          <w:rStyle w:val="FootnoteReference"/>
          <w:rFonts w:ascii="Cambria" w:hAnsi="Cambria"/>
          <w:sz w:val="16"/>
          <w:szCs w:val="16"/>
          <w:vertAlign w:val="baseline"/>
        </w:rPr>
        <w:t>una</w:t>
      </w:r>
      <w:proofErr w:type="spellEnd"/>
      <w:r>
        <w:rPr>
          <w:rStyle w:val="FootnoteReference"/>
          <w:rFonts w:ascii="Cambria" w:hAnsi="Cambria"/>
          <w:sz w:val="16"/>
          <w:szCs w:val="16"/>
          <w:vertAlign w:val="baseline"/>
        </w:rPr>
        <w:t xml:space="preserve"> nota de 16 de mayo de 2005 </w:t>
      </w:r>
      <w:proofErr w:type="spellStart"/>
      <w:r>
        <w:rPr>
          <w:rStyle w:val="FootnoteReference"/>
          <w:rFonts w:ascii="Cambria" w:hAnsi="Cambria"/>
          <w:sz w:val="16"/>
          <w:szCs w:val="16"/>
          <w:vertAlign w:val="baseline"/>
        </w:rPr>
        <w:t>en</w:t>
      </w:r>
      <w:proofErr w:type="spellEnd"/>
      <w:r>
        <w:rPr>
          <w:rStyle w:val="FootnoteReference"/>
          <w:rFonts w:ascii="Cambria" w:hAnsi="Cambria"/>
          <w:sz w:val="16"/>
          <w:szCs w:val="16"/>
          <w:vertAlign w:val="baseline"/>
        </w:rPr>
        <w:t xml:space="preserve"> </w:t>
      </w:r>
      <w:proofErr w:type="spellStart"/>
      <w:r>
        <w:rPr>
          <w:rStyle w:val="FootnoteReference"/>
          <w:rFonts w:ascii="Cambria" w:hAnsi="Cambria"/>
          <w:sz w:val="16"/>
          <w:szCs w:val="16"/>
          <w:vertAlign w:val="baseline"/>
        </w:rPr>
        <w:t>donde</w:t>
      </w:r>
      <w:proofErr w:type="spellEnd"/>
      <w:r>
        <w:rPr>
          <w:rStyle w:val="FootnoteReference"/>
          <w:rFonts w:ascii="Cambria" w:hAnsi="Cambria"/>
          <w:sz w:val="16"/>
          <w:szCs w:val="16"/>
          <w:vertAlign w:val="baseline"/>
        </w:rPr>
        <w:t xml:space="preserve"> se </w:t>
      </w:r>
      <w:proofErr w:type="spellStart"/>
      <w:r>
        <w:rPr>
          <w:rStyle w:val="FootnoteReference"/>
          <w:rFonts w:ascii="Cambria" w:hAnsi="Cambria"/>
          <w:sz w:val="16"/>
          <w:szCs w:val="16"/>
          <w:vertAlign w:val="baseline"/>
        </w:rPr>
        <w:t>indica</w:t>
      </w:r>
      <w:proofErr w:type="spellEnd"/>
      <w:r>
        <w:rPr>
          <w:rStyle w:val="FootnoteReference"/>
          <w:rFonts w:ascii="Cambria" w:hAnsi="Cambria"/>
          <w:sz w:val="16"/>
          <w:szCs w:val="16"/>
          <w:vertAlign w:val="baseline"/>
        </w:rPr>
        <w:t xml:space="preserve"> “</w:t>
      </w:r>
      <w:proofErr w:type="spellStart"/>
      <w:r>
        <w:rPr>
          <w:rStyle w:val="FootnoteReference"/>
          <w:rFonts w:ascii="Cambria" w:hAnsi="Cambria"/>
          <w:sz w:val="16"/>
          <w:szCs w:val="16"/>
          <w:vertAlign w:val="baseline"/>
        </w:rPr>
        <w:t>dejo</w:t>
      </w:r>
      <w:proofErr w:type="spellEnd"/>
      <w:r>
        <w:rPr>
          <w:rStyle w:val="FootnoteReference"/>
          <w:rFonts w:ascii="Cambria" w:hAnsi="Cambria"/>
          <w:sz w:val="16"/>
          <w:szCs w:val="16"/>
          <w:vertAlign w:val="baseline"/>
        </w:rPr>
        <w:t xml:space="preserve"> </w:t>
      </w:r>
      <w:proofErr w:type="spellStart"/>
      <w:r>
        <w:rPr>
          <w:rStyle w:val="FootnoteReference"/>
          <w:rFonts w:ascii="Cambria" w:hAnsi="Cambria"/>
          <w:sz w:val="16"/>
          <w:szCs w:val="16"/>
          <w:vertAlign w:val="baseline"/>
        </w:rPr>
        <w:t>constancia</w:t>
      </w:r>
      <w:proofErr w:type="spellEnd"/>
      <w:r>
        <w:rPr>
          <w:rStyle w:val="FootnoteReference"/>
          <w:rFonts w:ascii="Cambria" w:hAnsi="Cambria"/>
          <w:sz w:val="16"/>
          <w:szCs w:val="16"/>
          <w:vertAlign w:val="baseline"/>
        </w:rPr>
        <w:t xml:space="preserve"> que, </w:t>
      </w:r>
      <w:proofErr w:type="spellStart"/>
      <w:r>
        <w:rPr>
          <w:rStyle w:val="FootnoteReference"/>
          <w:rFonts w:ascii="Cambria" w:hAnsi="Cambria"/>
          <w:sz w:val="16"/>
          <w:szCs w:val="16"/>
          <w:vertAlign w:val="baseline"/>
        </w:rPr>
        <w:t>en</w:t>
      </w:r>
      <w:proofErr w:type="spellEnd"/>
      <w:r>
        <w:rPr>
          <w:rStyle w:val="FootnoteReference"/>
          <w:rFonts w:ascii="Cambria" w:hAnsi="Cambria"/>
          <w:sz w:val="16"/>
          <w:szCs w:val="16"/>
          <w:vertAlign w:val="baseline"/>
        </w:rPr>
        <w:t xml:space="preserve"> </w:t>
      </w:r>
      <w:proofErr w:type="spellStart"/>
      <w:r>
        <w:rPr>
          <w:rStyle w:val="FootnoteReference"/>
          <w:rFonts w:ascii="Cambria" w:hAnsi="Cambria"/>
          <w:sz w:val="16"/>
          <w:szCs w:val="16"/>
          <w:vertAlign w:val="baseline"/>
        </w:rPr>
        <w:t>su</w:t>
      </w:r>
      <w:proofErr w:type="spellEnd"/>
      <w:r>
        <w:rPr>
          <w:rStyle w:val="FootnoteReference"/>
          <w:rFonts w:ascii="Cambria" w:hAnsi="Cambria"/>
          <w:sz w:val="16"/>
          <w:szCs w:val="16"/>
          <w:vertAlign w:val="baseline"/>
        </w:rPr>
        <w:t xml:space="preserve"> </w:t>
      </w:r>
      <w:proofErr w:type="spellStart"/>
      <w:r>
        <w:rPr>
          <w:rStyle w:val="FootnoteReference"/>
          <w:rFonts w:ascii="Cambria" w:hAnsi="Cambria"/>
          <w:sz w:val="16"/>
          <w:szCs w:val="16"/>
          <w:vertAlign w:val="baseline"/>
        </w:rPr>
        <w:t>oportunidad</w:t>
      </w:r>
      <w:proofErr w:type="spellEnd"/>
      <w:r>
        <w:rPr>
          <w:rStyle w:val="FootnoteReference"/>
          <w:rFonts w:ascii="Cambria" w:hAnsi="Cambria"/>
          <w:sz w:val="16"/>
          <w:szCs w:val="16"/>
          <w:vertAlign w:val="baseline"/>
        </w:rPr>
        <w:t xml:space="preserve">, se </w:t>
      </w:r>
      <w:proofErr w:type="spellStart"/>
      <w:r>
        <w:rPr>
          <w:rStyle w:val="FootnoteReference"/>
          <w:rFonts w:ascii="Cambria" w:hAnsi="Cambria"/>
          <w:sz w:val="16"/>
          <w:szCs w:val="16"/>
          <w:vertAlign w:val="baseline"/>
        </w:rPr>
        <w:t>registró</w:t>
      </w:r>
      <w:proofErr w:type="spellEnd"/>
      <w:r>
        <w:rPr>
          <w:rStyle w:val="FootnoteReference"/>
          <w:rFonts w:ascii="Cambria" w:hAnsi="Cambria"/>
          <w:sz w:val="16"/>
          <w:szCs w:val="16"/>
          <w:vertAlign w:val="baseline"/>
        </w:rPr>
        <w:t xml:space="preserve"> </w:t>
      </w:r>
      <w:proofErr w:type="spellStart"/>
      <w:r>
        <w:rPr>
          <w:rStyle w:val="FootnoteReference"/>
          <w:rFonts w:ascii="Cambria" w:hAnsi="Cambria"/>
          <w:sz w:val="16"/>
          <w:szCs w:val="16"/>
          <w:vertAlign w:val="baseline"/>
        </w:rPr>
        <w:t>en</w:t>
      </w:r>
      <w:proofErr w:type="spellEnd"/>
      <w:r>
        <w:rPr>
          <w:rStyle w:val="FootnoteReference"/>
          <w:rFonts w:ascii="Cambria" w:hAnsi="Cambria"/>
          <w:sz w:val="16"/>
          <w:szCs w:val="16"/>
          <w:vertAlign w:val="baseline"/>
        </w:rPr>
        <w:t xml:space="preserve"> la </w:t>
      </w:r>
      <w:proofErr w:type="spellStart"/>
      <w:r>
        <w:rPr>
          <w:rStyle w:val="FootnoteReference"/>
          <w:rFonts w:ascii="Cambria" w:hAnsi="Cambria"/>
          <w:sz w:val="16"/>
          <w:szCs w:val="16"/>
          <w:vertAlign w:val="baseline"/>
        </w:rPr>
        <w:t>hoja</w:t>
      </w:r>
      <w:proofErr w:type="spellEnd"/>
      <w:r>
        <w:rPr>
          <w:rStyle w:val="FootnoteReference"/>
          <w:rFonts w:ascii="Cambria" w:hAnsi="Cambria"/>
          <w:sz w:val="16"/>
          <w:szCs w:val="16"/>
          <w:vertAlign w:val="baseline"/>
        </w:rPr>
        <w:t xml:space="preserve"> de </w:t>
      </w:r>
      <w:proofErr w:type="spellStart"/>
      <w:r>
        <w:rPr>
          <w:rStyle w:val="FootnoteReference"/>
          <w:rFonts w:ascii="Cambria" w:hAnsi="Cambria"/>
          <w:sz w:val="16"/>
          <w:szCs w:val="16"/>
          <w:vertAlign w:val="baseline"/>
        </w:rPr>
        <w:t>vida</w:t>
      </w:r>
      <w:proofErr w:type="spellEnd"/>
      <w:r>
        <w:rPr>
          <w:rStyle w:val="FootnoteReference"/>
          <w:rFonts w:ascii="Cambria" w:hAnsi="Cambria"/>
          <w:sz w:val="16"/>
          <w:szCs w:val="16"/>
          <w:vertAlign w:val="baseline"/>
        </w:rPr>
        <w:t xml:space="preserve">, la </w:t>
      </w:r>
      <w:proofErr w:type="spellStart"/>
      <w:r>
        <w:rPr>
          <w:rStyle w:val="FootnoteReference"/>
          <w:rFonts w:ascii="Cambria" w:hAnsi="Cambria"/>
          <w:sz w:val="16"/>
          <w:szCs w:val="16"/>
          <w:vertAlign w:val="baseline"/>
        </w:rPr>
        <w:t>resolución</w:t>
      </w:r>
      <w:proofErr w:type="spellEnd"/>
      <w:r>
        <w:rPr>
          <w:rStyle w:val="FootnoteReference"/>
          <w:rFonts w:ascii="Cambria" w:hAnsi="Cambria"/>
          <w:sz w:val="16"/>
          <w:szCs w:val="16"/>
          <w:vertAlign w:val="baseline"/>
        </w:rPr>
        <w:t xml:space="preserve"> que </w:t>
      </w:r>
      <w:proofErr w:type="spellStart"/>
      <w:r>
        <w:rPr>
          <w:rStyle w:val="FootnoteReference"/>
          <w:rFonts w:ascii="Cambria" w:hAnsi="Cambria"/>
          <w:sz w:val="16"/>
          <w:szCs w:val="16"/>
          <w:vertAlign w:val="baseline"/>
        </w:rPr>
        <w:t>remueve</w:t>
      </w:r>
      <w:proofErr w:type="spellEnd"/>
      <w:r>
        <w:rPr>
          <w:rStyle w:val="FootnoteReference"/>
          <w:rFonts w:ascii="Cambria" w:hAnsi="Cambria"/>
          <w:sz w:val="16"/>
          <w:szCs w:val="16"/>
          <w:vertAlign w:val="baseline"/>
        </w:rPr>
        <w:t xml:space="preserve"> de </w:t>
      </w:r>
      <w:proofErr w:type="spellStart"/>
      <w:r>
        <w:rPr>
          <w:rStyle w:val="FootnoteReference"/>
          <w:rFonts w:ascii="Cambria" w:hAnsi="Cambria"/>
          <w:sz w:val="16"/>
          <w:szCs w:val="16"/>
          <w:vertAlign w:val="baseline"/>
        </w:rPr>
        <w:t>sus</w:t>
      </w:r>
      <w:proofErr w:type="spellEnd"/>
      <w:r>
        <w:rPr>
          <w:rStyle w:val="FootnoteReference"/>
          <w:rFonts w:ascii="Cambria" w:hAnsi="Cambria"/>
          <w:sz w:val="16"/>
          <w:szCs w:val="16"/>
          <w:vertAlign w:val="baseline"/>
        </w:rPr>
        <w:t xml:space="preserve"> </w:t>
      </w:r>
      <w:proofErr w:type="spellStart"/>
      <w:r>
        <w:rPr>
          <w:rStyle w:val="FootnoteReference"/>
          <w:rFonts w:ascii="Cambria" w:hAnsi="Cambria"/>
          <w:sz w:val="16"/>
          <w:szCs w:val="16"/>
          <w:vertAlign w:val="baseline"/>
        </w:rPr>
        <w:t>funciones</w:t>
      </w:r>
      <w:proofErr w:type="spellEnd"/>
      <w:r>
        <w:rPr>
          <w:rStyle w:val="FootnoteReference"/>
          <w:rFonts w:ascii="Cambria" w:hAnsi="Cambria"/>
          <w:sz w:val="16"/>
          <w:szCs w:val="16"/>
          <w:vertAlign w:val="baseline"/>
        </w:rPr>
        <w:t xml:space="preserve"> </w:t>
      </w:r>
      <w:proofErr w:type="spellStart"/>
      <w:r>
        <w:rPr>
          <w:rStyle w:val="FootnoteReference"/>
          <w:rFonts w:ascii="Cambria" w:hAnsi="Cambria"/>
          <w:sz w:val="16"/>
          <w:szCs w:val="16"/>
          <w:vertAlign w:val="baseline"/>
        </w:rPr>
        <w:t>medida</w:t>
      </w:r>
      <w:proofErr w:type="spellEnd"/>
      <w:r>
        <w:rPr>
          <w:rStyle w:val="FootnoteReference"/>
          <w:rFonts w:ascii="Cambria" w:hAnsi="Cambria"/>
          <w:sz w:val="16"/>
          <w:szCs w:val="16"/>
          <w:vertAlign w:val="baseline"/>
        </w:rPr>
        <w:t xml:space="preserve"> disciplinarian de </w:t>
      </w:r>
      <w:proofErr w:type="spellStart"/>
      <w:r>
        <w:rPr>
          <w:rStyle w:val="FootnoteReference"/>
          <w:rFonts w:ascii="Cambria" w:hAnsi="Cambria"/>
          <w:sz w:val="16"/>
          <w:szCs w:val="16"/>
          <w:vertAlign w:val="baseline"/>
        </w:rPr>
        <w:t>amonestación</w:t>
      </w:r>
      <w:proofErr w:type="spellEnd"/>
      <w:r>
        <w:rPr>
          <w:rStyle w:val="FootnoteReference"/>
          <w:rFonts w:ascii="Cambria" w:hAnsi="Cambria"/>
          <w:sz w:val="16"/>
          <w:szCs w:val="16"/>
          <w:vertAlign w:val="baseline"/>
        </w:rPr>
        <w:t xml:space="preserve"> </w:t>
      </w:r>
      <w:proofErr w:type="spellStart"/>
      <w:r>
        <w:rPr>
          <w:rStyle w:val="FootnoteReference"/>
          <w:rFonts w:ascii="Cambria" w:hAnsi="Cambria"/>
          <w:sz w:val="16"/>
          <w:szCs w:val="16"/>
          <w:vertAlign w:val="baseline"/>
        </w:rPr>
        <w:t>privada</w:t>
      </w:r>
      <w:proofErr w:type="spellEnd"/>
      <w:r>
        <w:rPr>
          <w:rStyle w:val="FootnoteReference"/>
          <w:rFonts w:ascii="Cambria" w:hAnsi="Cambria"/>
          <w:sz w:val="16"/>
          <w:szCs w:val="16"/>
          <w:vertAlign w:val="baseline"/>
        </w:rPr>
        <w:t xml:space="preserve"> </w:t>
      </w:r>
      <w:proofErr w:type="spellStart"/>
      <w:r>
        <w:rPr>
          <w:rStyle w:val="FootnoteReference"/>
          <w:rFonts w:ascii="Cambria" w:hAnsi="Cambria"/>
          <w:sz w:val="16"/>
          <w:szCs w:val="16"/>
          <w:vertAlign w:val="baseline"/>
        </w:rPr>
        <w:t>impuesta</w:t>
      </w:r>
      <w:proofErr w:type="spellEnd"/>
      <w:r>
        <w:rPr>
          <w:rStyle w:val="FootnoteReference"/>
          <w:rFonts w:ascii="Cambria" w:hAnsi="Cambria"/>
          <w:sz w:val="16"/>
          <w:szCs w:val="16"/>
          <w:vertAlign w:val="baseline"/>
        </w:rPr>
        <w:t xml:space="preserve"> a don Daniel </w:t>
      </w:r>
      <w:proofErr w:type="spellStart"/>
      <w:r>
        <w:rPr>
          <w:rStyle w:val="FootnoteReference"/>
          <w:rFonts w:ascii="Cambria" w:hAnsi="Cambria"/>
          <w:sz w:val="16"/>
          <w:szCs w:val="16"/>
          <w:vertAlign w:val="baseline"/>
        </w:rPr>
        <w:t>Urrutia</w:t>
      </w:r>
      <w:proofErr w:type="spellEnd"/>
      <w:r>
        <w:rPr>
          <w:rStyle w:val="FootnoteReference"/>
          <w:rFonts w:ascii="Cambria" w:hAnsi="Cambria"/>
          <w:sz w:val="16"/>
          <w:szCs w:val="16"/>
          <w:vertAlign w:val="baseline"/>
        </w:rPr>
        <w:t xml:space="preserve"> </w:t>
      </w:r>
      <w:proofErr w:type="spellStart"/>
      <w:r>
        <w:rPr>
          <w:rStyle w:val="FootnoteReference"/>
          <w:rFonts w:ascii="Cambria" w:hAnsi="Cambria"/>
          <w:sz w:val="16"/>
          <w:szCs w:val="16"/>
          <w:vertAlign w:val="baseline"/>
        </w:rPr>
        <w:t>Laubreaux</w:t>
      </w:r>
      <w:proofErr w:type="spellEnd"/>
      <w:r>
        <w:rPr>
          <w:rStyle w:val="FootnoteReference"/>
          <w:rFonts w:ascii="Cambria" w:hAnsi="Cambria"/>
          <w:sz w:val="16"/>
          <w:szCs w:val="16"/>
          <w:vertAlign w:val="baseline"/>
        </w:rPr>
        <w:t xml:space="preserve">, </w:t>
      </w:r>
      <w:proofErr w:type="spellStart"/>
      <w:r>
        <w:rPr>
          <w:rStyle w:val="FootnoteReference"/>
          <w:rFonts w:ascii="Cambria" w:hAnsi="Cambria"/>
          <w:sz w:val="16"/>
          <w:szCs w:val="16"/>
          <w:vertAlign w:val="baseline"/>
        </w:rPr>
        <w:t>Juez</w:t>
      </w:r>
      <w:proofErr w:type="spellEnd"/>
      <w:r>
        <w:rPr>
          <w:rStyle w:val="FootnoteReference"/>
          <w:rFonts w:ascii="Cambria" w:hAnsi="Cambria"/>
          <w:sz w:val="16"/>
          <w:szCs w:val="16"/>
          <w:vertAlign w:val="baseline"/>
        </w:rPr>
        <w:t xml:space="preserve"> del </w:t>
      </w:r>
      <w:proofErr w:type="spellStart"/>
      <w:r>
        <w:rPr>
          <w:rStyle w:val="FootnoteReference"/>
          <w:rFonts w:ascii="Cambria" w:hAnsi="Cambria"/>
          <w:sz w:val="16"/>
          <w:szCs w:val="16"/>
          <w:vertAlign w:val="baseline"/>
        </w:rPr>
        <w:t>Juzgado</w:t>
      </w:r>
      <w:proofErr w:type="spellEnd"/>
      <w:r>
        <w:rPr>
          <w:rStyle w:val="FootnoteReference"/>
          <w:rFonts w:ascii="Cambria" w:hAnsi="Cambria"/>
          <w:sz w:val="16"/>
          <w:szCs w:val="16"/>
          <w:vertAlign w:val="baseline"/>
        </w:rPr>
        <w:t xml:space="preserve"> de </w:t>
      </w:r>
      <w:proofErr w:type="spellStart"/>
      <w:r>
        <w:rPr>
          <w:rStyle w:val="FootnoteReference"/>
          <w:rFonts w:ascii="Cambria" w:hAnsi="Cambria"/>
          <w:sz w:val="16"/>
          <w:szCs w:val="16"/>
          <w:vertAlign w:val="baseline"/>
        </w:rPr>
        <w:t>Garantía</w:t>
      </w:r>
      <w:proofErr w:type="spellEnd"/>
      <w:r>
        <w:rPr>
          <w:rStyle w:val="FootnoteReference"/>
          <w:rFonts w:ascii="Cambria" w:hAnsi="Cambria"/>
          <w:sz w:val="16"/>
          <w:szCs w:val="16"/>
          <w:vertAlign w:val="baseline"/>
        </w:rPr>
        <w:t xml:space="preserve"> de </w:t>
      </w:r>
      <w:proofErr w:type="spellStart"/>
      <w:r>
        <w:rPr>
          <w:rStyle w:val="FootnoteReference"/>
          <w:rFonts w:ascii="Cambria" w:hAnsi="Cambria"/>
          <w:sz w:val="16"/>
          <w:szCs w:val="16"/>
          <w:vertAlign w:val="baseline"/>
        </w:rPr>
        <w:t>Ovalle</w:t>
      </w:r>
      <w:proofErr w:type="spellEnd"/>
      <w:r>
        <w:rPr>
          <w:rStyle w:val="FootnoteReference"/>
          <w:rFonts w:ascii="Cambria" w:hAnsi="Cambria"/>
          <w:sz w:val="16"/>
          <w:szCs w:val="16"/>
          <w:vertAlign w:val="baseline"/>
        </w:rPr>
        <w:t xml:space="preserve">. Santiago, </w:t>
      </w:r>
      <w:proofErr w:type="spellStart"/>
      <w:r>
        <w:rPr>
          <w:rStyle w:val="FootnoteReference"/>
          <w:rFonts w:ascii="Cambria" w:hAnsi="Cambria"/>
          <w:sz w:val="16"/>
          <w:szCs w:val="16"/>
          <w:vertAlign w:val="baseline"/>
        </w:rPr>
        <w:t>dieciséis</w:t>
      </w:r>
      <w:proofErr w:type="spellEnd"/>
      <w:r>
        <w:rPr>
          <w:rStyle w:val="FootnoteReference"/>
          <w:rFonts w:ascii="Cambria" w:hAnsi="Cambria"/>
          <w:sz w:val="16"/>
          <w:szCs w:val="16"/>
          <w:vertAlign w:val="baseline"/>
        </w:rPr>
        <w:t xml:space="preserve"> de mayo de dos mil </w:t>
      </w:r>
      <w:proofErr w:type="spellStart"/>
      <w:r>
        <w:rPr>
          <w:rStyle w:val="FootnoteReference"/>
          <w:rFonts w:ascii="Cambria" w:hAnsi="Cambria"/>
          <w:sz w:val="16"/>
          <w:szCs w:val="16"/>
          <w:vertAlign w:val="baseline"/>
        </w:rPr>
        <w:t>cinco</w:t>
      </w:r>
      <w:proofErr w:type="spellEnd"/>
      <w:r>
        <w:rPr>
          <w:rStyle w:val="FootnoteReference"/>
          <w:rFonts w:ascii="Cambria" w:hAnsi="Cambria"/>
          <w:sz w:val="16"/>
          <w:szCs w:val="16"/>
          <w:vertAlign w:val="baseline"/>
        </w:rPr>
        <w:t>. AD-218-2005.</w:t>
      </w:r>
    </w:p>
  </w:footnote>
  <w:footnote w:id="23">
    <w:p w:rsidR="0079557B" w:rsidRPr="00910616" w:rsidRDefault="0079557B" w:rsidP="007314EC">
      <w:pPr>
        <w:pStyle w:val="FootnoteText"/>
        <w:ind w:firstLine="720"/>
        <w:jc w:val="both"/>
        <w:rPr>
          <w:rFonts w:ascii="Cambria" w:hAnsi="Cambria"/>
          <w:sz w:val="16"/>
          <w:szCs w:val="16"/>
          <w:lang w:val="es-CO"/>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Pr>
          <w:rStyle w:val="FootnoteReference"/>
          <w:rFonts w:ascii="Cambria" w:hAnsi="Cambria"/>
          <w:sz w:val="16"/>
          <w:szCs w:val="16"/>
          <w:vertAlign w:val="baseline"/>
        </w:rPr>
        <w:t>Anexo</w:t>
      </w:r>
      <w:proofErr w:type="spellEnd"/>
      <w:r>
        <w:rPr>
          <w:rStyle w:val="FootnoteReference"/>
          <w:rFonts w:ascii="Cambria" w:hAnsi="Cambria"/>
          <w:sz w:val="16"/>
          <w:szCs w:val="16"/>
          <w:vertAlign w:val="baseline"/>
        </w:rPr>
        <w:t xml:space="preserve"> 10</w:t>
      </w:r>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Resolución</w:t>
      </w:r>
      <w:proofErr w:type="spellEnd"/>
      <w:r w:rsidRPr="00910616">
        <w:rPr>
          <w:rStyle w:val="FootnoteReference"/>
          <w:rFonts w:ascii="Cambria" w:hAnsi="Cambria"/>
          <w:sz w:val="16"/>
          <w:szCs w:val="16"/>
          <w:vertAlign w:val="baseline"/>
        </w:rPr>
        <w:t xml:space="preserve"> del 6 de mayo de 2005 de la Corte Suprema al </w:t>
      </w:r>
      <w:proofErr w:type="spellStart"/>
      <w:r w:rsidRPr="00910616">
        <w:rPr>
          <w:rStyle w:val="FootnoteReference"/>
          <w:rFonts w:ascii="Cambria" w:hAnsi="Cambria"/>
          <w:sz w:val="16"/>
          <w:szCs w:val="16"/>
          <w:vertAlign w:val="baseline"/>
        </w:rPr>
        <w:t>recurso</w:t>
      </w:r>
      <w:proofErr w:type="spellEnd"/>
      <w:r w:rsidRPr="00910616">
        <w:rPr>
          <w:rStyle w:val="FootnoteReference"/>
          <w:rFonts w:ascii="Cambria" w:hAnsi="Cambria"/>
          <w:sz w:val="16"/>
          <w:szCs w:val="16"/>
          <w:vertAlign w:val="baseline"/>
        </w:rPr>
        <w:t xml:space="preserve"> de </w:t>
      </w:r>
      <w:proofErr w:type="spellStart"/>
      <w:r w:rsidRPr="00910616">
        <w:rPr>
          <w:rStyle w:val="FootnoteReference"/>
          <w:rFonts w:ascii="Cambria" w:hAnsi="Cambria"/>
          <w:sz w:val="16"/>
          <w:szCs w:val="16"/>
          <w:vertAlign w:val="baseline"/>
        </w:rPr>
        <w:t>apelación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presentado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por</w:t>
      </w:r>
      <w:proofErr w:type="spellEnd"/>
      <w:r w:rsidRPr="00910616">
        <w:rPr>
          <w:rStyle w:val="FootnoteReference"/>
          <w:rFonts w:ascii="Cambria" w:hAnsi="Cambria"/>
          <w:sz w:val="16"/>
          <w:szCs w:val="16"/>
          <w:vertAlign w:val="baseline"/>
        </w:rPr>
        <w:t xml:space="preserve"> Daniel </w:t>
      </w:r>
      <w:proofErr w:type="spellStart"/>
      <w:r w:rsidRPr="00910616">
        <w:rPr>
          <w:rStyle w:val="FootnoteReference"/>
          <w:rFonts w:ascii="Cambria" w:hAnsi="Cambria"/>
          <w:sz w:val="16"/>
          <w:szCs w:val="16"/>
          <w:vertAlign w:val="baseline"/>
        </w:rPr>
        <w:t>Urrutia</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Laubreaux</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en</w:t>
      </w:r>
      <w:proofErr w:type="spellEnd"/>
      <w:r w:rsidRPr="00910616">
        <w:rPr>
          <w:rStyle w:val="FootnoteReference"/>
          <w:rFonts w:ascii="Cambria" w:hAnsi="Cambria"/>
          <w:sz w:val="16"/>
          <w:szCs w:val="16"/>
          <w:vertAlign w:val="baseline"/>
        </w:rPr>
        <w:t xml:space="preserve"> contra de autos </w:t>
      </w:r>
      <w:proofErr w:type="spellStart"/>
      <w:r w:rsidRPr="00910616">
        <w:rPr>
          <w:rStyle w:val="FootnoteReference"/>
          <w:rFonts w:ascii="Cambria" w:hAnsi="Cambria"/>
          <w:sz w:val="16"/>
          <w:szCs w:val="16"/>
          <w:vertAlign w:val="baseline"/>
        </w:rPr>
        <w:t>administrativos</w:t>
      </w:r>
      <w:proofErr w:type="spellEnd"/>
      <w:r w:rsidRPr="00910616">
        <w:rPr>
          <w:rStyle w:val="FootnoteReference"/>
          <w:rFonts w:ascii="Cambria" w:hAnsi="Cambria"/>
          <w:sz w:val="16"/>
          <w:szCs w:val="16"/>
          <w:vertAlign w:val="baseline"/>
        </w:rPr>
        <w:t xml:space="preserve"> No. 679-2004.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8 a la </w:t>
      </w:r>
      <w:proofErr w:type="spellStart"/>
      <w:r w:rsidRPr="00910616">
        <w:rPr>
          <w:rStyle w:val="FootnoteReference"/>
          <w:rFonts w:ascii="Cambria" w:hAnsi="Cambria"/>
          <w:sz w:val="16"/>
          <w:szCs w:val="16"/>
          <w:vertAlign w:val="baseline"/>
        </w:rPr>
        <w:t>petición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inicial</w:t>
      </w:r>
      <w:proofErr w:type="spellEnd"/>
      <w:r w:rsidRPr="00910616">
        <w:rPr>
          <w:rStyle w:val="FootnoteReference"/>
          <w:rFonts w:ascii="Cambria" w:hAnsi="Cambria"/>
          <w:sz w:val="16"/>
          <w:szCs w:val="16"/>
          <w:vertAlign w:val="baseline"/>
        </w:rPr>
        <w:t xml:space="preserve"> de 5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2005 y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a las </w:t>
      </w:r>
      <w:proofErr w:type="spellStart"/>
      <w:r w:rsidRPr="00910616">
        <w:rPr>
          <w:rStyle w:val="FootnoteReference"/>
          <w:rFonts w:ascii="Cambria" w:hAnsi="Cambria"/>
          <w:sz w:val="16"/>
          <w:szCs w:val="16"/>
          <w:vertAlign w:val="baseline"/>
        </w:rPr>
        <w:t>observaciones</w:t>
      </w:r>
      <w:proofErr w:type="spellEnd"/>
      <w:r w:rsidRPr="00910616">
        <w:rPr>
          <w:rStyle w:val="FootnoteReference"/>
          <w:rFonts w:ascii="Cambria" w:hAnsi="Cambria"/>
          <w:sz w:val="16"/>
          <w:szCs w:val="16"/>
          <w:vertAlign w:val="baseline"/>
        </w:rPr>
        <w:t xml:space="preserve"> del Estado del 11 de </w:t>
      </w:r>
      <w:proofErr w:type="spellStart"/>
      <w:r w:rsidRPr="00910616">
        <w:rPr>
          <w:rStyle w:val="FootnoteReference"/>
          <w:rFonts w:ascii="Cambria" w:hAnsi="Cambria"/>
          <w:sz w:val="16"/>
          <w:szCs w:val="16"/>
          <w:vertAlign w:val="baseline"/>
        </w:rPr>
        <w:t>octubre</w:t>
      </w:r>
      <w:proofErr w:type="spellEnd"/>
      <w:r w:rsidRPr="00910616">
        <w:rPr>
          <w:rStyle w:val="FootnoteReference"/>
          <w:rFonts w:ascii="Cambria" w:hAnsi="Cambria"/>
          <w:sz w:val="16"/>
          <w:szCs w:val="16"/>
          <w:vertAlign w:val="baseline"/>
        </w:rPr>
        <w:t xml:space="preserve"> de 2016.</w:t>
      </w:r>
    </w:p>
  </w:footnote>
  <w:footnote w:id="24">
    <w:p w:rsidR="0079557B" w:rsidRPr="00910616" w:rsidRDefault="0079557B" w:rsidP="00910616">
      <w:pPr>
        <w:pStyle w:val="FootnoteText"/>
        <w:ind w:firstLine="720"/>
        <w:jc w:val="both"/>
        <w:rPr>
          <w:rStyle w:val="FootnoteReference"/>
          <w:rFonts w:ascii="Cambria" w:hAnsi="Cambria"/>
          <w:sz w:val="16"/>
          <w:szCs w:val="16"/>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Pr>
          <w:rStyle w:val="FootnoteReference"/>
          <w:rFonts w:ascii="Cambria" w:hAnsi="Cambria"/>
          <w:sz w:val="16"/>
          <w:szCs w:val="16"/>
          <w:vertAlign w:val="baseline"/>
        </w:rPr>
        <w:t>Anexo</w:t>
      </w:r>
      <w:proofErr w:type="spellEnd"/>
      <w:r>
        <w:rPr>
          <w:rStyle w:val="FootnoteReference"/>
          <w:rFonts w:ascii="Cambria" w:hAnsi="Cambria"/>
          <w:sz w:val="16"/>
          <w:szCs w:val="16"/>
          <w:vertAlign w:val="baseline"/>
        </w:rPr>
        <w:t xml:space="preserve"> 10</w:t>
      </w:r>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Resolución</w:t>
      </w:r>
      <w:proofErr w:type="spellEnd"/>
      <w:r w:rsidRPr="00910616">
        <w:rPr>
          <w:rStyle w:val="FootnoteReference"/>
          <w:rFonts w:ascii="Cambria" w:hAnsi="Cambria"/>
          <w:sz w:val="16"/>
          <w:szCs w:val="16"/>
          <w:vertAlign w:val="baseline"/>
        </w:rPr>
        <w:t xml:space="preserve"> del 6 de mayo de 2005 de la Corte Suprema al </w:t>
      </w:r>
      <w:proofErr w:type="spellStart"/>
      <w:r w:rsidRPr="00910616">
        <w:rPr>
          <w:rStyle w:val="FootnoteReference"/>
          <w:rFonts w:ascii="Cambria" w:hAnsi="Cambria"/>
          <w:sz w:val="16"/>
          <w:szCs w:val="16"/>
          <w:vertAlign w:val="baseline"/>
        </w:rPr>
        <w:t>recurso</w:t>
      </w:r>
      <w:proofErr w:type="spellEnd"/>
      <w:r w:rsidRPr="00910616">
        <w:rPr>
          <w:rStyle w:val="FootnoteReference"/>
          <w:rFonts w:ascii="Cambria" w:hAnsi="Cambria"/>
          <w:sz w:val="16"/>
          <w:szCs w:val="16"/>
          <w:vertAlign w:val="baseline"/>
        </w:rPr>
        <w:t xml:space="preserve"> de </w:t>
      </w:r>
      <w:proofErr w:type="spellStart"/>
      <w:r w:rsidRPr="00910616">
        <w:rPr>
          <w:rStyle w:val="FootnoteReference"/>
          <w:rFonts w:ascii="Cambria" w:hAnsi="Cambria"/>
          <w:sz w:val="16"/>
          <w:szCs w:val="16"/>
          <w:vertAlign w:val="baseline"/>
        </w:rPr>
        <w:t>apelación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presentado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por</w:t>
      </w:r>
      <w:proofErr w:type="spellEnd"/>
      <w:r w:rsidRPr="00910616">
        <w:rPr>
          <w:rStyle w:val="FootnoteReference"/>
          <w:rFonts w:ascii="Cambria" w:hAnsi="Cambria"/>
          <w:sz w:val="16"/>
          <w:szCs w:val="16"/>
          <w:vertAlign w:val="baseline"/>
        </w:rPr>
        <w:t xml:space="preserve"> Daniel </w:t>
      </w:r>
      <w:proofErr w:type="spellStart"/>
      <w:r w:rsidRPr="00910616">
        <w:rPr>
          <w:rStyle w:val="FootnoteReference"/>
          <w:rFonts w:ascii="Cambria" w:hAnsi="Cambria"/>
          <w:sz w:val="16"/>
          <w:szCs w:val="16"/>
          <w:vertAlign w:val="baseline"/>
        </w:rPr>
        <w:t>Urrutia</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Laubreaux</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en</w:t>
      </w:r>
      <w:proofErr w:type="spellEnd"/>
      <w:r w:rsidRPr="00910616">
        <w:rPr>
          <w:rStyle w:val="FootnoteReference"/>
          <w:rFonts w:ascii="Cambria" w:hAnsi="Cambria"/>
          <w:sz w:val="16"/>
          <w:szCs w:val="16"/>
          <w:vertAlign w:val="baseline"/>
        </w:rPr>
        <w:t xml:space="preserve"> contra de autos </w:t>
      </w:r>
      <w:proofErr w:type="spellStart"/>
      <w:r w:rsidRPr="00910616">
        <w:rPr>
          <w:rStyle w:val="FootnoteReference"/>
          <w:rFonts w:ascii="Cambria" w:hAnsi="Cambria"/>
          <w:sz w:val="16"/>
          <w:szCs w:val="16"/>
          <w:vertAlign w:val="baseline"/>
        </w:rPr>
        <w:t>administrativos</w:t>
      </w:r>
      <w:proofErr w:type="spellEnd"/>
      <w:r w:rsidRPr="00910616">
        <w:rPr>
          <w:rStyle w:val="FootnoteReference"/>
          <w:rFonts w:ascii="Cambria" w:hAnsi="Cambria"/>
          <w:sz w:val="16"/>
          <w:szCs w:val="16"/>
          <w:vertAlign w:val="baseline"/>
        </w:rPr>
        <w:t xml:space="preserve"> No. 679-2004.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8 a la </w:t>
      </w:r>
      <w:proofErr w:type="spellStart"/>
      <w:r w:rsidRPr="00910616">
        <w:rPr>
          <w:rStyle w:val="FootnoteReference"/>
          <w:rFonts w:ascii="Cambria" w:hAnsi="Cambria"/>
          <w:sz w:val="16"/>
          <w:szCs w:val="16"/>
          <w:vertAlign w:val="baseline"/>
        </w:rPr>
        <w:t>petición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inicial</w:t>
      </w:r>
      <w:proofErr w:type="spellEnd"/>
      <w:r w:rsidRPr="00910616">
        <w:rPr>
          <w:rStyle w:val="FootnoteReference"/>
          <w:rFonts w:ascii="Cambria" w:hAnsi="Cambria"/>
          <w:sz w:val="16"/>
          <w:szCs w:val="16"/>
          <w:vertAlign w:val="baseline"/>
        </w:rPr>
        <w:t xml:space="preserve"> de 5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2005 y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a las </w:t>
      </w:r>
      <w:proofErr w:type="spellStart"/>
      <w:r w:rsidRPr="00910616">
        <w:rPr>
          <w:rStyle w:val="FootnoteReference"/>
          <w:rFonts w:ascii="Cambria" w:hAnsi="Cambria"/>
          <w:sz w:val="16"/>
          <w:szCs w:val="16"/>
          <w:vertAlign w:val="baseline"/>
        </w:rPr>
        <w:t>observaciones</w:t>
      </w:r>
      <w:proofErr w:type="spellEnd"/>
      <w:r w:rsidRPr="00910616">
        <w:rPr>
          <w:rStyle w:val="FootnoteReference"/>
          <w:rFonts w:ascii="Cambria" w:hAnsi="Cambria"/>
          <w:sz w:val="16"/>
          <w:szCs w:val="16"/>
          <w:vertAlign w:val="baseline"/>
        </w:rPr>
        <w:t xml:space="preserve"> del Estado del 11 de </w:t>
      </w:r>
      <w:proofErr w:type="spellStart"/>
      <w:r w:rsidRPr="00910616">
        <w:rPr>
          <w:rStyle w:val="FootnoteReference"/>
          <w:rFonts w:ascii="Cambria" w:hAnsi="Cambria"/>
          <w:sz w:val="16"/>
          <w:szCs w:val="16"/>
          <w:vertAlign w:val="baseline"/>
        </w:rPr>
        <w:t>octubre</w:t>
      </w:r>
      <w:proofErr w:type="spellEnd"/>
      <w:r w:rsidRPr="00910616">
        <w:rPr>
          <w:rStyle w:val="FootnoteReference"/>
          <w:rFonts w:ascii="Cambria" w:hAnsi="Cambria"/>
          <w:sz w:val="16"/>
          <w:szCs w:val="16"/>
          <w:vertAlign w:val="baseline"/>
        </w:rPr>
        <w:t xml:space="preserve"> de 2016.</w:t>
      </w:r>
    </w:p>
  </w:footnote>
  <w:footnote w:id="25">
    <w:p w:rsidR="0079557B" w:rsidRPr="00910616" w:rsidRDefault="0079557B" w:rsidP="00910616">
      <w:pPr>
        <w:pStyle w:val="FootnoteText"/>
        <w:ind w:firstLine="720"/>
        <w:jc w:val="both"/>
        <w:rPr>
          <w:rStyle w:val="FootnoteReference"/>
          <w:rFonts w:ascii="Cambria" w:hAnsi="Cambria"/>
          <w:sz w:val="16"/>
          <w:szCs w:val="16"/>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Pr>
          <w:rStyle w:val="FootnoteReference"/>
          <w:rFonts w:ascii="Cambria" w:hAnsi="Cambria"/>
          <w:sz w:val="16"/>
          <w:szCs w:val="16"/>
          <w:vertAlign w:val="baseline"/>
        </w:rPr>
        <w:t>Anexo</w:t>
      </w:r>
      <w:proofErr w:type="spellEnd"/>
      <w:r>
        <w:rPr>
          <w:rStyle w:val="FootnoteReference"/>
          <w:rFonts w:ascii="Cambria" w:hAnsi="Cambria"/>
          <w:sz w:val="16"/>
          <w:szCs w:val="16"/>
          <w:vertAlign w:val="baseline"/>
        </w:rPr>
        <w:t xml:space="preserve"> 10</w:t>
      </w:r>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Resolución</w:t>
      </w:r>
      <w:proofErr w:type="spellEnd"/>
      <w:r w:rsidRPr="00910616">
        <w:rPr>
          <w:rStyle w:val="FootnoteReference"/>
          <w:rFonts w:ascii="Cambria" w:hAnsi="Cambria"/>
          <w:sz w:val="16"/>
          <w:szCs w:val="16"/>
          <w:vertAlign w:val="baseline"/>
        </w:rPr>
        <w:t xml:space="preserve"> del 6 de mayo de 2005 de la Corte Suprema al </w:t>
      </w:r>
      <w:proofErr w:type="spellStart"/>
      <w:r w:rsidRPr="00910616">
        <w:rPr>
          <w:rStyle w:val="FootnoteReference"/>
          <w:rFonts w:ascii="Cambria" w:hAnsi="Cambria"/>
          <w:sz w:val="16"/>
          <w:szCs w:val="16"/>
          <w:vertAlign w:val="baseline"/>
        </w:rPr>
        <w:t>recurso</w:t>
      </w:r>
      <w:proofErr w:type="spellEnd"/>
      <w:r w:rsidRPr="00910616">
        <w:rPr>
          <w:rStyle w:val="FootnoteReference"/>
          <w:rFonts w:ascii="Cambria" w:hAnsi="Cambria"/>
          <w:sz w:val="16"/>
          <w:szCs w:val="16"/>
          <w:vertAlign w:val="baseline"/>
        </w:rPr>
        <w:t xml:space="preserve"> de </w:t>
      </w:r>
      <w:proofErr w:type="spellStart"/>
      <w:r w:rsidRPr="00910616">
        <w:rPr>
          <w:rStyle w:val="FootnoteReference"/>
          <w:rFonts w:ascii="Cambria" w:hAnsi="Cambria"/>
          <w:sz w:val="16"/>
          <w:szCs w:val="16"/>
          <w:vertAlign w:val="baseline"/>
        </w:rPr>
        <w:t>apelación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presentado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por</w:t>
      </w:r>
      <w:proofErr w:type="spellEnd"/>
      <w:r w:rsidRPr="00910616">
        <w:rPr>
          <w:rStyle w:val="FootnoteReference"/>
          <w:rFonts w:ascii="Cambria" w:hAnsi="Cambria"/>
          <w:sz w:val="16"/>
          <w:szCs w:val="16"/>
          <w:vertAlign w:val="baseline"/>
        </w:rPr>
        <w:t xml:space="preserve"> Daniel </w:t>
      </w:r>
      <w:proofErr w:type="spellStart"/>
      <w:r w:rsidRPr="00910616">
        <w:rPr>
          <w:rStyle w:val="FootnoteReference"/>
          <w:rFonts w:ascii="Cambria" w:hAnsi="Cambria"/>
          <w:sz w:val="16"/>
          <w:szCs w:val="16"/>
          <w:vertAlign w:val="baseline"/>
        </w:rPr>
        <w:t>Urrutia</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Laubreaux</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en</w:t>
      </w:r>
      <w:proofErr w:type="spellEnd"/>
      <w:r w:rsidRPr="00910616">
        <w:rPr>
          <w:rStyle w:val="FootnoteReference"/>
          <w:rFonts w:ascii="Cambria" w:hAnsi="Cambria"/>
          <w:sz w:val="16"/>
          <w:szCs w:val="16"/>
          <w:vertAlign w:val="baseline"/>
        </w:rPr>
        <w:t xml:space="preserve"> contra de autos </w:t>
      </w:r>
      <w:proofErr w:type="spellStart"/>
      <w:r w:rsidRPr="00910616">
        <w:rPr>
          <w:rStyle w:val="FootnoteReference"/>
          <w:rFonts w:ascii="Cambria" w:hAnsi="Cambria"/>
          <w:sz w:val="16"/>
          <w:szCs w:val="16"/>
          <w:vertAlign w:val="baseline"/>
        </w:rPr>
        <w:t>administrativos</w:t>
      </w:r>
      <w:proofErr w:type="spellEnd"/>
      <w:r w:rsidRPr="00910616">
        <w:rPr>
          <w:rStyle w:val="FootnoteReference"/>
          <w:rFonts w:ascii="Cambria" w:hAnsi="Cambria"/>
          <w:sz w:val="16"/>
          <w:szCs w:val="16"/>
          <w:vertAlign w:val="baseline"/>
        </w:rPr>
        <w:t xml:space="preserve"> No. 679-2004.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8 a la </w:t>
      </w:r>
      <w:proofErr w:type="spellStart"/>
      <w:r w:rsidRPr="00910616">
        <w:rPr>
          <w:rStyle w:val="FootnoteReference"/>
          <w:rFonts w:ascii="Cambria" w:hAnsi="Cambria"/>
          <w:sz w:val="16"/>
          <w:szCs w:val="16"/>
          <w:vertAlign w:val="baseline"/>
        </w:rPr>
        <w:t>petición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inicial</w:t>
      </w:r>
      <w:proofErr w:type="spellEnd"/>
      <w:r w:rsidRPr="00910616">
        <w:rPr>
          <w:rStyle w:val="FootnoteReference"/>
          <w:rFonts w:ascii="Cambria" w:hAnsi="Cambria"/>
          <w:sz w:val="16"/>
          <w:szCs w:val="16"/>
          <w:vertAlign w:val="baseline"/>
        </w:rPr>
        <w:t xml:space="preserve"> de 5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2005 y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a las </w:t>
      </w:r>
      <w:proofErr w:type="spellStart"/>
      <w:r w:rsidRPr="00910616">
        <w:rPr>
          <w:rStyle w:val="FootnoteReference"/>
          <w:rFonts w:ascii="Cambria" w:hAnsi="Cambria"/>
          <w:sz w:val="16"/>
          <w:szCs w:val="16"/>
          <w:vertAlign w:val="baseline"/>
        </w:rPr>
        <w:t>observaciones</w:t>
      </w:r>
      <w:proofErr w:type="spellEnd"/>
      <w:r w:rsidRPr="00910616">
        <w:rPr>
          <w:rStyle w:val="FootnoteReference"/>
          <w:rFonts w:ascii="Cambria" w:hAnsi="Cambria"/>
          <w:sz w:val="16"/>
          <w:szCs w:val="16"/>
          <w:vertAlign w:val="baseline"/>
        </w:rPr>
        <w:t xml:space="preserve"> del Estado del 11 de </w:t>
      </w:r>
      <w:proofErr w:type="spellStart"/>
      <w:r w:rsidRPr="00910616">
        <w:rPr>
          <w:rStyle w:val="FootnoteReference"/>
          <w:rFonts w:ascii="Cambria" w:hAnsi="Cambria"/>
          <w:sz w:val="16"/>
          <w:szCs w:val="16"/>
          <w:vertAlign w:val="baseline"/>
        </w:rPr>
        <w:t>octubre</w:t>
      </w:r>
      <w:proofErr w:type="spellEnd"/>
      <w:r w:rsidRPr="00910616">
        <w:rPr>
          <w:rStyle w:val="FootnoteReference"/>
          <w:rFonts w:ascii="Cambria" w:hAnsi="Cambria"/>
          <w:sz w:val="16"/>
          <w:szCs w:val="16"/>
          <w:vertAlign w:val="baseline"/>
        </w:rPr>
        <w:t xml:space="preserve"> de 2016.</w:t>
      </w:r>
    </w:p>
  </w:footnote>
  <w:footnote w:id="26">
    <w:p w:rsidR="0079557B" w:rsidRPr="00910616" w:rsidRDefault="0079557B" w:rsidP="004E6A4B">
      <w:pPr>
        <w:pStyle w:val="FootnoteText"/>
        <w:ind w:firstLine="630"/>
        <w:jc w:val="both"/>
        <w:rPr>
          <w:rStyle w:val="FootnoteReference"/>
          <w:rFonts w:ascii="Cambria" w:hAnsi="Cambria"/>
          <w:sz w:val="16"/>
          <w:szCs w:val="16"/>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sidRPr="00910616">
        <w:rPr>
          <w:rStyle w:val="FootnoteReference"/>
          <w:rFonts w:ascii="Cambria" w:hAnsi="Cambria"/>
          <w:sz w:val="16"/>
          <w:szCs w:val="16"/>
          <w:vertAlign w:val="baseline"/>
        </w:rPr>
        <w:t>Escrito</w:t>
      </w:r>
      <w:proofErr w:type="spellEnd"/>
      <w:r w:rsidRPr="00910616">
        <w:rPr>
          <w:rStyle w:val="FootnoteReference"/>
          <w:rFonts w:ascii="Cambria" w:hAnsi="Cambria"/>
          <w:sz w:val="16"/>
          <w:szCs w:val="16"/>
          <w:vertAlign w:val="baseline"/>
        </w:rPr>
        <w:t xml:space="preserve"> de parte </w:t>
      </w:r>
      <w:proofErr w:type="spellStart"/>
      <w:r w:rsidRPr="00910616">
        <w:rPr>
          <w:rStyle w:val="FootnoteReference"/>
          <w:rFonts w:ascii="Cambria" w:hAnsi="Cambria"/>
          <w:sz w:val="16"/>
          <w:szCs w:val="16"/>
          <w:vertAlign w:val="baseline"/>
        </w:rPr>
        <w:t>peticionaria</w:t>
      </w:r>
      <w:proofErr w:type="spellEnd"/>
      <w:r w:rsidRPr="00910616">
        <w:rPr>
          <w:rStyle w:val="FootnoteReference"/>
          <w:rFonts w:ascii="Cambria" w:hAnsi="Cambria"/>
          <w:sz w:val="16"/>
          <w:szCs w:val="16"/>
          <w:vertAlign w:val="baseline"/>
        </w:rPr>
        <w:t xml:space="preserve"> con </w:t>
      </w:r>
      <w:proofErr w:type="spellStart"/>
      <w:r w:rsidRPr="00910616">
        <w:rPr>
          <w:rStyle w:val="FootnoteReference"/>
          <w:rFonts w:ascii="Cambria" w:hAnsi="Cambria"/>
          <w:sz w:val="16"/>
          <w:szCs w:val="16"/>
          <w:vertAlign w:val="baseline"/>
        </w:rPr>
        <w:t>observaciones</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sobre</w:t>
      </w:r>
      <w:proofErr w:type="spellEnd"/>
      <w:r w:rsidRPr="00910616">
        <w:rPr>
          <w:rStyle w:val="FootnoteReference"/>
          <w:rFonts w:ascii="Cambria" w:hAnsi="Cambria"/>
          <w:sz w:val="16"/>
          <w:szCs w:val="16"/>
          <w:vertAlign w:val="baseline"/>
        </w:rPr>
        <w:t xml:space="preserve"> el </w:t>
      </w:r>
      <w:proofErr w:type="spellStart"/>
      <w:r w:rsidRPr="00910616">
        <w:rPr>
          <w:rStyle w:val="FootnoteReference"/>
          <w:rFonts w:ascii="Cambria" w:hAnsi="Cambria"/>
          <w:sz w:val="16"/>
          <w:szCs w:val="16"/>
          <w:vertAlign w:val="baseline"/>
        </w:rPr>
        <w:t>fondo</w:t>
      </w:r>
      <w:proofErr w:type="spellEnd"/>
      <w:r w:rsidRPr="00910616">
        <w:rPr>
          <w:rStyle w:val="FootnoteReference"/>
          <w:rFonts w:ascii="Cambria" w:hAnsi="Cambria"/>
          <w:sz w:val="16"/>
          <w:szCs w:val="16"/>
          <w:vertAlign w:val="baseline"/>
        </w:rPr>
        <w:t xml:space="preserve"> del </w:t>
      </w:r>
      <w:proofErr w:type="spellStart"/>
      <w:r w:rsidRPr="00910616">
        <w:rPr>
          <w:rStyle w:val="FootnoteReference"/>
          <w:rFonts w:ascii="Cambria" w:hAnsi="Cambria"/>
          <w:sz w:val="16"/>
          <w:szCs w:val="16"/>
          <w:vertAlign w:val="baseline"/>
        </w:rPr>
        <w:t>caso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presentado</w:t>
      </w:r>
      <w:proofErr w:type="spellEnd"/>
      <w:r w:rsidRPr="00910616">
        <w:rPr>
          <w:rStyle w:val="FootnoteReference"/>
          <w:rFonts w:ascii="Cambria" w:hAnsi="Cambria"/>
          <w:sz w:val="16"/>
          <w:szCs w:val="16"/>
          <w:vertAlign w:val="baseline"/>
        </w:rPr>
        <w:t xml:space="preserve"> el 26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2014. </w:t>
      </w:r>
      <w:proofErr w:type="spellStart"/>
      <w:r w:rsidRPr="00910616">
        <w:rPr>
          <w:rStyle w:val="FootnoteReference"/>
          <w:rFonts w:ascii="Cambria" w:hAnsi="Cambria"/>
          <w:sz w:val="16"/>
          <w:szCs w:val="16"/>
          <w:vertAlign w:val="baseline"/>
        </w:rPr>
        <w:t>Información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adicional</w:t>
      </w:r>
      <w:proofErr w:type="spellEnd"/>
      <w:r w:rsidRPr="00910616">
        <w:rPr>
          <w:rStyle w:val="FootnoteReference"/>
          <w:rFonts w:ascii="Cambria" w:hAnsi="Cambria"/>
          <w:sz w:val="16"/>
          <w:szCs w:val="16"/>
          <w:vertAlign w:val="baseline"/>
        </w:rPr>
        <w:t xml:space="preserve"> a la </w:t>
      </w:r>
      <w:proofErr w:type="spellStart"/>
      <w:r w:rsidRPr="00910616">
        <w:rPr>
          <w:rStyle w:val="FootnoteReference"/>
          <w:rFonts w:ascii="Cambria" w:hAnsi="Cambria"/>
          <w:sz w:val="16"/>
          <w:szCs w:val="16"/>
          <w:vertAlign w:val="baseline"/>
        </w:rPr>
        <w:t>comunicación</w:t>
      </w:r>
      <w:proofErr w:type="spellEnd"/>
      <w:r w:rsidRPr="00910616">
        <w:rPr>
          <w:rStyle w:val="FootnoteReference"/>
          <w:rFonts w:ascii="Cambria" w:hAnsi="Cambria"/>
          <w:sz w:val="16"/>
          <w:szCs w:val="16"/>
          <w:vertAlign w:val="baseline"/>
        </w:rPr>
        <w:t xml:space="preserve"> del 18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2014.</w:t>
      </w:r>
    </w:p>
  </w:footnote>
  <w:footnote w:id="27">
    <w:p w:rsidR="0079557B" w:rsidRPr="00910616" w:rsidRDefault="0079557B" w:rsidP="004E6A4B">
      <w:pPr>
        <w:pStyle w:val="FootnoteText"/>
        <w:ind w:firstLine="630"/>
        <w:jc w:val="both"/>
        <w:rPr>
          <w:rStyle w:val="FootnoteReference"/>
          <w:rFonts w:ascii="Cambria" w:hAnsi="Cambria"/>
          <w:sz w:val="16"/>
          <w:szCs w:val="16"/>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sidRPr="00910616">
        <w:rPr>
          <w:rStyle w:val="FootnoteReference"/>
          <w:rFonts w:ascii="Cambria" w:hAnsi="Cambria"/>
          <w:sz w:val="16"/>
          <w:szCs w:val="16"/>
          <w:vertAlign w:val="baseline"/>
        </w:rPr>
        <w:t>Escrito</w:t>
      </w:r>
      <w:proofErr w:type="spellEnd"/>
      <w:r w:rsidRPr="00910616">
        <w:rPr>
          <w:rStyle w:val="FootnoteReference"/>
          <w:rFonts w:ascii="Cambria" w:hAnsi="Cambria"/>
          <w:sz w:val="16"/>
          <w:szCs w:val="16"/>
          <w:vertAlign w:val="baseline"/>
        </w:rPr>
        <w:t xml:space="preserve"> de parte </w:t>
      </w:r>
      <w:proofErr w:type="spellStart"/>
      <w:r w:rsidRPr="00910616">
        <w:rPr>
          <w:rStyle w:val="FootnoteReference"/>
          <w:rFonts w:ascii="Cambria" w:hAnsi="Cambria"/>
          <w:sz w:val="16"/>
          <w:szCs w:val="16"/>
          <w:vertAlign w:val="baseline"/>
        </w:rPr>
        <w:t>peticionaria</w:t>
      </w:r>
      <w:proofErr w:type="spellEnd"/>
      <w:r w:rsidRPr="00910616">
        <w:rPr>
          <w:rStyle w:val="FootnoteReference"/>
          <w:rFonts w:ascii="Cambria" w:hAnsi="Cambria"/>
          <w:sz w:val="16"/>
          <w:szCs w:val="16"/>
          <w:vertAlign w:val="baseline"/>
        </w:rPr>
        <w:t xml:space="preserve"> con </w:t>
      </w:r>
      <w:proofErr w:type="spellStart"/>
      <w:r w:rsidRPr="00910616">
        <w:rPr>
          <w:rStyle w:val="FootnoteReference"/>
          <w:rFonts w:ascii="Cambria" w:hAnsi="Cambria"/>
          <w:sz w:val="16"/>
          <w:szCs w:val="16"/>
          <w:vertAlign w:val="baseline"/>
        </w:rPr>
        <w:t>observaciones</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sobre</w:t>
      </w:r>
      <w:proofErr w:type="spellEnd"/>
      <w:r w:rsidRPr="00910616">
        <w:rPr>
          <w:rStyle w:val="FootnoteReference"/>
          <w:rFonts w:ascii="Cambria" w:hAnsi="Cambria"/>
          <w:sz w:val="16"/>
          <w:szCs w:val="16"/>
          <w:vertAlign w:val="baseline"/>
        </w:rPr>
        <w:t xml:space="preserve"> el </w:t>
      </w:r>
      <w:proofErr w:type="spellStart"/>
      <w:r w:rsidRPr="00910616">
        <w:rPr>
          <w:rStyle w:val="FootnoteReference"/>
          <w:rFonts w:ascii="Cambria" w:hAnsi="Cambria"/>
          <w:sz w:val="16"/>
          <w:szCs w:val="16"/>
          <w:vertAlign w:val="baseline"/>
        </w:rPr>
        <w:t>fondo</w:t>
      </w:r>
      <w:proofErr w:type="spellEnd"/>
      <w:r w:rsidRPr="00910616">
        <w:rPr>
          <w:rStyle w:val="FootnoteReference"/>
          <w:rFonts w:ascii="Cambria" w:hAnsi="Cambria"/>
          <w:sz w:val="16"/>
          <w:szCs w:val="16"/>
          <w:vertAlign w:val="baseline"/>
        </w:rPr>
        <w:t xml:space="preserve"> del </w:t>
      </w:r>
      <w:proofErr w:type="spellStart"/>
      <w:r w:rsidRPr="00910616">
        <w:rPr>
          <w:rStyle w:val="FootnoteReference"/>
          <w:rFonts w:ascii="Cambria" w:hAnsi="Cambria"/>
          <w:sz w:val="16"/>
          <w:szCs w:val="16"/>
          <w:vertAlign w:val="baseline"/>
        </w:rPr>
        <w:t>caso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presentado</w:t>
      </w:r>
      <w:proofErr w:type="spellEnd"/>
      <w:r w:rsidRPr="00910616">
        <w:rPr>
          <w:rStyle w:val="FootnoteReference"/>
          <w:rFonts w:ascii="Cambria" w:hAnsi="Cambria"/>
          <w:sz w:val="16"/>
          <w:szCs w:val="16"/>
          <w:vertAlign w:val="baseline"/>
        </w:rPr>
        <w:t xml:space="preserve"> el 26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2014. </w:t>
      </w:r>
      <w:proofErr w:type="spellStart"/>
      <w:r w:rsidRPr="00910616">
        <w:rPr>
          <w:rStyle w:val="FootnoteReference"/>
          <w:rFonts w:ascii="Cambria" w:hAnsi="Cambria"/>
          <w:sz w:val="16"/>
          <w:szCs w:val="16"/>
          <w:vertAlign w:val="baseline"/>
        </w:rPr>
        <w:t>Información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adicional</w:t>
      </w:r>
      <w:proofErr w:type="spellEnd"/>
      <w:r w:rsidRPr="00910616">
        <w:rPr>
          <w:rStyle w:val="FootnoteReference"/>
          <w:rFonts w:ascii="Cambria" w:hAnsi="Cambria"/>
          <w:sz w:val="16"/>
          <w:szCs w:val="16"/>
          <w:vertAlign w:val="baseline"/>
        </w:rPr>
        <w:t xml:space="preserve"> a la </w:t>
      </w:r>
      <w:proofErr w:type="spellStart"/>
      <w:r w:rsidRPr="00910616">
        <w:rPr>
          <w:rStyle w:val="FootnoteReference"/>
          <w:rFonts w:ascii="Cambria" w:hAnsi="Cambria"/>
          <w:sz w:val="16"/>
          <w:szCs w:val="16"/>
          <w:vertAlign w:val="baseline"/>
        </w:rPr>
        <w:t>comunicación</w:t>
      </w:r>
      <w:proofErr w:type="spellEnd"/>
      <w:r w:rsidRPr="00910616">
        <w:rPr>
          <w:rStyle w:val="FootnoteReference"/>
          <w:rFonts w:ascii="Cambria" w:hAnsi="Cambria"/>
          <w:sz w:val="16"/>
          <w:szCs w:val="16"/>
          <w:vertAlign w:val="baseline"/>
        </w:rPr>
        <w:t xml:space="preserve"> del 18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2014.</w:t>
      </w:r>
    </w:p>
  </w:footnote>
  <w:footnote w:id="28">
    <w:p w:rsidR="0079557B" w:rsidRPr="00910616" w:rsidRDefault="0079557B" w:rsidP="004E6A4B">
      <w:pPr>
        <w:pStyle w:val="FootnoteText"/>
        <w:ind w:firstLine="630"/>
        <w:jc w:val="both"/>
        <w:rPr>
          <w:rStyle w:val="FootnoteReference"/>
          <w:rFonts w:ascii="Cambria" w:hAnsi="Cambria"/>
          <w:sz w:val="16"/>
          <w:szCs w:val="16"/>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sidRPr="00910616">
        <w:rPr>
          <w:rStyle w:val="FootnoteReference"/>
          <w:rFonts w:ascii="Cambria" w:hAnsi="Cambria"/>
          <w:sz w:val="16"/>
          <w:szCs w:val="16"/>
          <w:vertAlign w:val="baseline"/>
        </w:rPr>
        <w:t>Escrito</w:t>
      </w:r>
      <w:proofErr w:type="spellEnd"/>
      <w:r w:rsidRPr="00910616">
        <w:rPr>
          <w:rStyle w:val="FootnoteReference"/>
          <w:rFonts w:ascii="Cambria" w:hAnsi="Cambria"/>
          <w:sz w:val="16"/>
          <w:szCs w:val="16"/>
          <w:vertAlign w:val="baseline"/>
        </w:rPr>
        <w:t xml:space="preserve"> de parte </w:t>
      </w:r>
      <w:proofErr w:type="spellStart"/>
      <w:r w:rsidRPr="00910616">
        <w:rPr>
          <w:rStyle w:val="FootnoteReference"/>
          <w:rFonts w:ascii="Cambria" w:hAnsi="Cambria"/>
          <w:sz w:val="16"/>
          <w:szCs w:val="16"/>
          <w:vertAlign w:val="baseline"/>
        </w:rPr>
        <w:t>peticionaria</w:t>
      </w:r>
      <w:proofErr w:type="spellEnd"/>
      <w:r w:rsidRPr="00910616">
        <w:rPr>
          <w:rStyle w:val="FootnoteReference"/>
          <w:rFonts w:ascii="Cambria" w:hAnsi="Cambria"/>
          <w:sz w:val="16"/>
          <w:szCs w:val="16"/>
          <w:vertAlign w:val="baseline"/>
        </w:rPr>
        <w:t xml:space="preserve"> con </w:t>
      </w:r>
      <w:proofErr w:type="spellStart"/>
      <w:r w:rsidRPr="00910616">
        <w:rPr>
          <w:rStyle w:val="FootnoteReference"/>
          <w:rFonts w:ascii="Cambria" w:hAnsi="Cambria"/>
          <w:sz w:val="16"/>
          <w:szCs w:val="16"/>
          <w:vertAlign w:val="baseline"/>
        </w:rPr>
        <w:t>observaciones</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sobre</w:t>
      </w:r>
      <w:proofErr w:type="spellEnd"/>
      <w:r w:rsidRPr="00910616">
        <w:rPr>
          <w:rStyle w:val="FootnoteReference"/>
          <w:rFonts w:ascii="Cambria" w:hAnsi="Cambria"/>
          <w:sz w:val="16"/>
          <w:szCs w:val="16"/>
          <w:vertAlign w:val="baseline"/>
        </w:rPr>
        <w:t xml:space="preserve"> el </w:t>
      </w:r>
      <w:proofErr w:type="spellStart"/>
      <w:r w:rsidRPr="00910616">
        <w:rPr>
          <w:rStyle w:val="FootnoteReference"/>
          <w:rFonts w:ascii="Cambria" w:hAnsi="Cambria"/>
          <w:sz w:val="16"/>
          <w:szCs w:val="16"/>
          <w:vertAlign w:val="baseline"/>
        </w:rPr>
        <w:t>fondo</w:t>
      </w:r>
      <w:proofErr w:type="spellEnd"/>
      <w:r w:rsidRPr="00910616">
        <w:rPr>
          <w:rStyle w:val="FootnoteReference"/>
          <w:rFonts w:ascii="Cambria" w:hAnsi="Cambria"/>
          <w:sz w:val="16"/>
          <w:szCs w:val="16"/>
          <w:vertAlign w:val="baseline"/>
        </w:rPr>
        <w:t xml:space="preserve"> del </w:t>
      </w:r>
      <w:proofErr w:type="spellStart"/>
      <w:r w:rsidRPr="00910616">
        <w:rPr>
          <w:rStyle w:val="FootnoteReference"/>
          <w:rFonts w:ascii="Cambria" w:hAnsi="Cambria"/>
          <w:sz w:val="16"/>
          <w:szCs w:val="16"/>
          <w:vertAlign w:val="baseline"/>
        </w:rPr>
        <w:t>caso</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presentado</w:t>
      </w:r>
      <w:proofErr w:type="spellEnd"/>
      <w:r w:rsidRPr="00910616">
        <w:rPr>
          <w:rStyle w:val="FootnoteReference"/>
          <w:rFonts w:ascii="Cambria" w:hAnsi="Cambria"/>
          <w:sz w:val="16"/>
          <w:szCs w:val="16"/>
          <w:vertAlign w:val="baseline"/>
        </w:rPr>
        <w:t xml:space="preserve"> el 26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2014. </w:t>
      </w:r>
      <w:proofErr w:type="spellStart"/>
      <w:r w:rsidRPr="00910616">
        <w:rPr>
          <w:rStyle w:val="FootnoteReference"/>
          <w:rFonts w:ascii="Cambria" w:hAnsi="Cambria"/>
          <w:sz w:val="16"/>
          <w:szCs w:val="16"/>
          <w:vertAlign w:val="baseline"/>
        </w:rPr>
        <w:t>Información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adicional</w:t>
      </w:r>
      <w:proofErr w:type="spellEnd"/>
      <w:r w:rsidRPr="00910616">
        <w:rPr>
          <w:rStyle w:val="FootnoteReference"/>
          <w:rFonts w:ascii="Cambria" w:hAnsi="Cambria"/>
          <w:sz w:val="16"/>
          <w:szCs w:val="16"/>
          <w:vertAlign w:val="baseline"/>
        </w:rPr>
        <w:t xml:space="preserve"> a la </w:t>
      </w:r>
      <w:proofErr w:type="spellStart"/>
      <w:r w:rsidRPr="00910616">
        <w:rPr>
          <w:rStyle w:val="FootnoteReference"/>
          <w:rFonts w:ascii="Cambria" w:hAnsi="Cambria"/>
          <w:sz w:val="16"/>
          <w:szCs w:val="16"/>
          <w:vertAlign w:val="baseline"/>
        </w:rPr>
        <w:t>comunicación</w:t>
      </w:r>
      <w:proofErr w:type="spellEnd"/>
      <w:r w:rsidRPr="00910616">
        <w:rPr>
          <w:rStyle w:val="FootnoteReference"/>
          <w:rFonts w:ascii="Cambria" w:hAnsi="Cambria"/>
          <w:sz w:val="16"/>
          <w:szCs w:val="16"/>
          <w:vertAlign w:val="baseline"/>
        </w:rPr>
        <w:t xml:space="preserve"> del 18 de </w:t>
      </w:r>
      <w:proofErr w:type="spellStart"/>
      <w:r w:rsidRPr="00910616">
        <w:rPr>
          <w:rStyle w:val="FootnoteReference"/>
          <w:rFonts w:ascii="Cambria" w:hAnsi="Cambria"/>
          <w:sz w:val="16"/>
          <w:szCs w:val="16"/>
          <w:vertAlign w:val="baseline"/>
        </w:rPr>
        <w:t>diciembre</w:t>
      </w:r>
      <w:proofErr w:type="spellEnd"/>
      <w:r w:rsidRPr="00910616">
        <w:rPr>
          <w:rStyle w:val="FootnoteReference"/>
          <w:rFonts w:ascii="Cambria" w:hAnsi="Cambria"/>
          <w:sz w:val="16"/>
          <w:szCs w:val="16"/>
          <w:vertAlign w:val="baseline"/>
        </w:rPr>
        <w:t xml:space="preserve"> de 2014.</w:t>
      </w:r>
    </w:p>
  </w:footnote>
  <w:footnote w:id="29">
    <w:p w:rsidR="0079557B" w:rsidRPr="00910616" w:rsidRDefault="0079557B" w:rsidP="00910616">
      <w:pPr>
        <w:pStyle w:val="FootnoteText"/>
        <w:ind w:firstLine="630"/>
        <w:jc w:val="both"/>
        <w:rPr>
          <w:rFonts w:ascii="Cambria" w:hAnsi="Cambria"/>
          <w:sz w:val="16"/>
          <w:szCs w:val="16"/>
          <w:lang w:val="es-CO"/>
        </w:rPr>
      </w:pPr>
      <w:r w:rsidRPr="00910616">
        <w:rPr>
          <w:rStyle w:val="FootnoteReference"/>
          <w:rFonts w:ascii="Cambria" w:hAnsi="Cambria"/>
          <w:sz w:val="16"/>
          <w:szCs w:val="16"/>
        </w:rPr>
        <w:footnoteRef/>
      </w:r>
      <w:r w:rsidRPr="00910616">
        <w:rPr>
          <w:rStyle w:val="FootnoteReference"/>
          <w:rFonts w:ascii="Cambria" w:hAnsi="Cambria"/>
          <w:sz w:val="16"/>
          <w:szCs w:val="16"/>
        </w:rPr>
        <w:t xml:space="preserve"> </w:t>
      </w:r>
      <w:proofErr w:type="spellStart"/>
      <w:r>
        <w:rPr>
          <w:rStyle w:val="FootnoteReference"/>
          <w:rFonts w:ascii="Cambria" w:hAnsi="Cambria"/>
          <w:sz w:val="16"/>
          <w:szCs w:val="16"/>
          <w:vertAlign w:val="baseline"/>
        </w:rPr>
        <w:t>Anexo</w:t>
      </w:r>
      <w:proofErr w:type="spellEnd"/>
      <w:r>
        <w:rPr>
          <w:rStyle w:val="FootnoteReference"/>
          <w:rFonts w:ascii="Cambria" w:hAnsi="Cambria"/>
          <w:sz w:val="16"/>
          <w:szCs w:val="16"/>
          <w:vertAlign w:val="baseline"/>
        </w:rPr>
        <w:t xml:space="preserve"> 11</w:t>
      </w:r>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Resolución</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rol</w:t>
      </w:r>
      <w:proofErr w:type="spellEnd"/>
      <w:r w:rsidRPr="00910616">
        <w:rPr>
          <w:rStyle w:val="FootnoteReference"/>
          <w:rFonts w:ascii="Cambria" w:hAnsi="Cambria"/>
          <w:sz w:val="16"/>
          <w:szCs w:val="16"/>
          <w:vertAlign w:val="baseline"/>
        </w:rPr>
        <w:t xml:space="preserve"> AD-1170-2013 de Daniel </w:t>
      </w:r>
      <w:proofErr w:type="spellStart"/>
      <w:r w:rsidRPr="00910616">
        <w:rPr>
          <w:rStyle w:val="FootnoteReference"/>
          <w:rFonts w:ascii="Cambria" w:hAnsi="Cambria"/>
          <w:sz w:val="16"/>
          <w:szCs w:val="16"/>
          <w:vertAlign w:val="baseline"/>
        </w:rPr>
        <w:t>Urrutia</w:t>
      </w:r>
      <w:proofErr w:type="spellEnd"/>
      <w:r w:rsidRPr="00910616">
        <w:rPr>
          <w:rStyle w:val="FootnoteReference"/>
          <w:rFonts w:ascii="Cambria" w:hAnsi="Cambria"/>
          <w:sz w:val="16"/>
          <w:szCs w:val="16"/>
          <w:vertAlign w:val="baseline"/>
        </w:rPr>
        <w:t xml:space="preserve"> </w:t>
      </w:r>
      <w:proofErr w:type="spellStart"/>
      <w:r w:rsidRPr="00910616">
        <w:rPr>
          <w:rStyle w:val="FootnoteReference"/>
          <w:rFonts w:ascii="Cambria" w:hAnsi="Cambria"/>
          <w:sz w:val="16"/>
          <w:szCs w:val="16"/>
          <w:vertAlign w:val="baseline"/>
        </w:rPr>
        <w:t>Labreaux</w:t>
      </w:r>
      <w:proofErr w:type="spellEnd"/>
      <w:r w:rsidRPr="00910616">
        <w:rPr>
          <w:rStyle w:val="FootnoteReference"/>
          <w:rFonts w:ascii="Cambria" w:hAnsi="Cambria"/>
          <w:sz w:val="16"/>
          <w:szCs w:val="16"/>
          <w:vertAlign w:val="baseline"/>
        </w:rPr>
        <w:t xml:space="preserve"> del 23 de </w:t>
      </w:r>
      <w:proofErr w:type="spellStart"/>
      <w:r w:rsidRPr="00910616">
        <w:rPr>
          <w:rStyle w:val="FootnoteReference"/>
          <w:rFonts w:ascii="Cambria" w:hAnsi="Cambria"/>
          <w:sz w:val="16"/>
          <w:szCs w:val="16"/>
          <w:vertAlign w:val="baseline"/>
        </w:rPr>
        <w:t>agosto</w:t>
      </w:r>
      <w:proofErr w:type="spellEnd"/>
      <w:r w:rsidRPr="00910616">
        <w:rPr>
          <w:rStyle w:val="FootnoteReference"/>
          <w:rFonts w:ascii="Cambria" w:hAnsi="Cambria"/>
          <w:sz w:val="16"/>
          <w:szCs w:val="16"/>
          <w:vertAlign w:val="baseline"/>
        </w:rPr>
        <w:t xml:space="preserve"> de 2013. </w:t>
      </w:r>
      <w:proofErr w:type="spellStart"/>
      <w:r w:rsidRPr="00910616">
        <w:rPr>
          <w:rStyle w:val="FootnoteReference"/>
          <w:rFonts w:ascii="Cambria" w:hAnsi="Cambria"/>
          <w:sz w:val="16"/>
          <w:szCs w:val="16"/>
          <w:vertAlign w:val="baseline"/>
        </w:rPr>
        <w:t>Anexo</w:t>
      </w:r>
      <w:proofErr w:type="spellEnd"/>
      <w:r w:rsidRPr="00910616">
        <w:rPr>
          <w:rStyle w:val="FootnoteReference"/>
          <w:rFonts w:ascii="Cambria" w:hAnsi="Cambria"/>
          <w:sz w:val="16"/>
          <w:szCs w:val="16"/>
          <w:vertAlign w:val="baseline"/>
        </w:rPr>
        <w:t xml:space="preserve"> a las </w:t>
      </w:r>
      <w:proofErr w:type="spellStart"/>
      <w:r w:rsidRPr="00910616">
        <w:rPr>
          <w:rStyle w:val="FootnoteReference"/>
          <w:rFonts w:ascii="Cambria" w:hAnsi="Cambria"/>
          <w:sz w:val="16"/>
          <w:szCs w:val="16"/>
          <w:vertAlign w:val="baseline"/>
        </w:rPr>
        <w:t>observaciones</w:t>
      </w:r>
      <w:proofErr w:type="spellEnd"/>
      <w:r w:rsidRPr="00910616">
        <w:rPr>
          <w:rStyle w:val="FootnoteReference"/>
          <w:rFonts w:ascii="Cambria" w:hAnsi="Cambria"/>
          <w:sz w:val="16"/>
          <w:szCs w:val="16"/>
          <w:vertAlign w:val="baseline"/>
        </w:rPr>
        <w:t xml:space="preserve"> del Estado del 11 de </w:t>
      </w:r>
      <w:proofErr w:type="spellStart"/>
      <w:r w:rsidRPr="00910616">
        <w:rPr>
          <w:rStyle w:val="FootnoteReference"/>
          <w:rFonts w:ascii="Cambria" w:hAnsi="Cambria"/>
          <w:sz w:val="16"/>
          <w:szCs w:val="16"/>
          <w:vertAlign w:val="baseline"/>
        </w:rPr>
        <w:t>octubre</w:t>
      </w:r>
      <w:proofErr w:type="spellEnd"/>
      <w:r w:rsidRPr="00910616">
        <w:rPr>
          <w:rStyle w:val="FootnoteReference"/>
          <w:rFonts w:ascii="Cambria" w:hAnsi="Cambria"/>
          <w:sz w:val="16"/>
          <w:szCs w:val="16"/>
          <w:vertAlign w:val="baseline"/>
        </w:rPr>
        <w:t xml:space="preserve"> de 2016.</w:t>
      </w:r>
    </w:p>
  </w:footnote>
  <w:footnote w:id="30">
    <w:p w:rsidR="0079557B" w:rsidRPr="00910616" w:rsidRDefault="0079557B" w:rsidP="00910616">
      <w:pPr>
        <w:pStyle w:val="FootnoteText"/>
        <w:ind w:firstLine="630"/>
        <w:jc w:val="both"/>
        <w:rPr>
          <w:rFonts w:ascii="Cambria" w:hAnsi="Cambria"/>
          <w:sz w:val="16"/>
          <w:szCs w:val="16"/>
          <w:lang w:val="es-CO"/>
        </w:rPr>
      </w:pPr>
      <w:r w:rsidRPr="00910616">
        <w:rPr>
          <w:rStyle w:val="FootnoteReference"/>
          <w:rFonts w:ascii="Cambria" w:hAnsi="Cambria"/>
          <w:sz w:val="16"/>
          <w:szCs w:val="16"/>
        </w:rPr>
        <w:footnoteRef/>
      </w:r>
      <w:r w:rsidR="00DE0FB9">
        <w:rPr>
          <w:rFonts w:ascii="Cambria" w:hAnsi="Cambria"/>
          <w:sz w:val="16"/>
          <w:szCs w:val="16"/>
          <w:lang w:val="es-CO"/>
        </w:rPr>
        <w:t xml:space="preserve"> Anexo 12</w:t>
      </w:r>
      <w:r w:rsidRPr="00910616">
        <w:rPr>
          <w:rFonts w:ascii="Cambria" w:hAnsi="Cambria"/>
          <w:sz w:val="16"/>
          <w:szCs w:val="16"/>
          <w:lang w:val="es-CO"/>
        </w:rPr>
        <w:t>. Oficio No 187-2.013 del 11 de noviembre de 2013 de la Corte de Apelaciones de Santiago  dirigido al Presidente de la Suprema Corte. Anexo a las observaciones del Estado del 11 de octubre de 2016.</w:t>
      </w:r>
    </w:p>
  </w:footnote>
  <w:footnote w:id="31">
    <w:p w:rsidR="0079557B" w:rsidRPr="00910616" w:rsidRDefault="0079557B" w:rsidP="00910616">
      <w:pPr>
        <w:pStyle w:val="FootnoteText"/>
        <w:ind w:firstLine="630"/>
        <w:jc w:val="both"/>
        <w:rPr>
          <w:rFonts w:ascii="Cambria" w:hAnsi="Cambria"/>
          <w:sz w:val="16"/>
          <w:szCs w:val="16"/>
          <w:lang w:val="es-ES"/>
        </w:rPr>
      </w:pPr>
      <w:r w:rsidRPr="00910616">
        <w:rPr>
          <w:rStyle w:val="FootnoteReference"/>
          <w:rFonts w:ascii="Cambria" w:hAnsi="Cambria"/>
          <w:sz w:val="16"/>
          <w:szCs w:val="16"/>
        </w:rPr>
        <w:footnoteRef/>
      </w:r>
      <w:r w:rsidRPr="00910616">
        <w:rPr>
          <w:rFonts w:ascii="Cambria" w:hAnsi="Cambria"/>
          <w:sz w:val="16"/>
          <w:szCs w:val="16"/>
          <w:lang w:val="es-ES"/>
        </w:rPr>
        <w:t xml:space="preserve"> CIDH, Informe No. 65/11, Caso 12.600, Fondo, Hugo Quintana Coello y otros “Magistrados de la Corte Suprema de Justicia”, Ecuador, 31 de marzo de 2011, párr. 102; Corte IDH. </w:t>
      </w:r>
      <w:hyperlink r:id="rId1" w:history="1">
        <w:r w:rsidRPr="00910616">
          <w:rPr>
            <w:rStyle w:val="Hyperlink"/>
            <w:rFonts w:ascii="Cambria" w:hAnsi="Cambria" w:cs="Arial"/>
            <w:color w:val="auto"/>
            <w:sz w:val="16"/>
            <w:szCs w:val="16"/>
            <w:shd w:val="clear" w:color="auto" w:fill="FFFFFF"/>
            <w:lang w:val="es-ES"/>
          </w:rPr>
          <w:t>Caso Baena Ricardo y otros Vs. Panamá. Fondo, Reparaciones y Costas. Sentencia de 2 de febrero de 2001. Serie C No. 72</w:t>
        </w:r>
      </w:hyperlink>
      <w:r w:rsidRPr="00910616">
        <w:rPr>
          <w:rFonts w:ascii="Cambria" w:hAnsi="Cambria"/>
          <w:sz w:val="16"/>
          <w:szCs w:val="16"/>
          <w:lang w:val="es-ES"/>
        </w:rPr>
        <w:t xml:space="preserve">, </w:t>
      </w:r>
      <w:proofErr w:type="spellStart"/>
      <w:r w:rsidRPr="00910616">
        <w:rPr>
          <w:rFonts w:ascii="Cambria" w:hAnsi="Cambria"/>
          <w:sz w:val="16"/>
          <w:szCs w:val="16"/>
          <w:lang w:val="es-ES"/>
        </w:rPr>
        <w:t>párrs</w:t>
      </w:r>
      <w:proofErr w:type="spellEnd"/>
      <w:r w:rsidRPr="00910616">
        <w:rPr>
          <w:rFonts w:ascii="Cambria" w:hAnsi="Cambria"/>
          <w:sz w:val="16"/>
          <w:szCs w:val="16"/>
          <w:lang w:val="es-ES"/>
        </w:rPr>
        <w:t xml:space="preserve">. 126-127; </w:t>
      </w:r>
      <w:hyperlink r:id="rId2" w:history="1">
        <w:r w:rsidRPr="00910616">
          <w:rPr>
            <w:rStyle w:val="Hyperlink"/>
            <w:rFonts w:ascii="Cambria" w:hAnsi="Cambria" w:cs="Arial"/>
            <w:color w:val="auto"/>
            <w:sz w:val="16"/>
            <w:szCs w:val="16"/>
            <w:shd w:val="clear" w:color="auto" w:fill="FFFFFF"/>
            <w:lang w:val="es-ES"/>
          </w:rPr>
          <w:t>Caso del Tribunal Constitucional Vs. Perú. Fondo, Reparaciones y Costas. Sentencia de 31 de enero de 2001. Serie C No. 71</w:t>
        </w:r>
      </w:hyperlink>
      <w:r w:rsidRPr="00910616">
        <w:rPr>
          <w:rFonts w:ascii="Cambria" w:hAnsi="Cambria"/>
          <w:sz w:val="16"/>
          <w:szCs w:val="16"/>
          <w:lang w:val="es-ES"/>
        </w:rPr>
        <w:t xml:space="preserve">, </w:t>
      </w:r>
      <w:proofErr w:type="spellStart"/>
      <w:r w:rsidRPr="00910616">
        <w:rPr>
          <w:rFonts w:ascii="Cambria" w:hAnsi="Cambria"/>
          <w:sz w:val="16"/>
          <w:szCs w:val="16"/>
          <w:lang w:val="es-ES"/>
        </w:rPr>
        <w:t>párrs</w:t>
      </w:r>
      <w:proofErr w:type="spellEnd"/>
      <w:r w:rsidRPr="00910616">
        <w:rPr>
          <w:rFonts w:ascii="Cambria" w:hAnsi="Cambria"/>
          <w:sz w:val="16"/>
          <w:szCs w:val="16"/>
          <w:lang w:val="es-ES"/>
        </w:rPr>
        <w:t xml:space="preserve">. 69-70; y </w:t>
      </w:r>
      <w:hyperlink r:id="rId3" w:history="1">
        <w:r w:rsidRPr="00910616">
          <w:rPr>
            <w:rStyle w:val="Hyperlink"/>
            <w:rFonts w:ascii="Cambria" w:hAnsi="Cambria" w:cs="Arial"/>
            <w:color w:val="auto"/>
            <w:sz w:val="16"/>
            <w:szCs w:val="16"/>
            <w:shd w:val="clear" w:color="auto" w:fill="FFFFFF"/>
            <w:lang w:val="es-ES"/>
          </w:rPr>
          <w:t>Caso López Mendoza Vs. Venezuela. Fondo Reparaciones y Costas. Sentencia de 1 de septiembre de 2011 Serie C No. 233</w:t>
        </w:r>
      </w:hyperlink>
      <w:r w:rsidRPr="00910616">
        <w:rPr>
          <w:rFonts w:ascii="Cambria" w:hAnsi="Cambria"/>
          <w:sz w:val="16"/>
          <w:szCs w:val="16"/>
          <w:lang w:val="es-ES"/>
        </w:rPr>
        <w:t xml:space="preserve">, párr. 111. </w:t>
      </w:r>
    </w:p>
  </w:footnote>
  <w:footnote w:id="32">
    <w:p w:rsidR="0079557B" w:rsidRPr="00910616" w:rsidRDefault="0079557B" w:rsidP="00910616">
      <w:pPr>
        <w:pStyle w:val="FootnoteText"/>
        <w:ind w:firstLine="630"/>
        <w:jc w:val="both"/>
        <w:rPr>
          <w:rFonts w:ascii="Cambria" w:hAnsi="Cambria"/>
          <w:sz w:val="16"/>
          <w:szCs w:val="16"/>
          <w:lang w:val="es-ES"/>
        </w:rPr>
      </w:pPr>
      <w:r w:rsidRPr="00910616">
        <w:rPr>
          <w:rStyle w:val="FootnoteReference"/>
          <w:rFonts w:ascii="Cambria" w:hAnsi="Cambria"/>
          <w:sz w:val="16"/>
          <w:szCs w:val="16"/>
        </w:rPr>
        <w:footnoteRef/>
      </w:r>
      <w:r w:rsidRPr="00910616">
        <w:rPr>
          <w:rFonts w:ascii="Cambria" w:hAnsi="Cambria"/>
          <w:sz w:val="16"/>
          <w:szCs w:val="16"/>
          <w:lang w:val="es-ES"/>
        </w:rPr>
        <w:t xml:space="preserve"> CIDH. El Acceso a la Justicia como Garantía de los Derechos Económicos, Sociales y Culturales. Estudio de los Estándares Fijados por el Sistema Interamericano de Derechos Humanos. </w:t>
      </w:r>
      <w:r w:rsidRPr="00910616">
        <w:rPr>
          <w:rFonts w:ascii="Cambria" w:hAnsi="Cambria"/>
          <w:sz w:val="16"/>
          <w:szCs w:val="16"/>
          <w:lang w:val="es-ES_tradnl"/>
        </w:rPr>
        <w:t>OEA/</w:t>
      </w:r>
      <w:proofErr w:type="spellStart"/>
      <w:r w:rsidRPr="00910616">
        <w:rPr>
          <w:rFonts w:ascii="Cambria" w:hAnsi="Cambria"/>
          <w:sz w:val="16"/>
          <w:szCs w:val="16"/>
          <w:lang w:val="es-ES_tradnl"/>
        </w:rPr>
        <w:t>Ser.L</w:t>
      </w:r>
      <w:proofErr w:type="spellEnd"/>
      <w:r w:rsidRPr="00910616">
        <w:rPr>
          <w:rFonts w:ascii="Cambria" w:hAnsi="Cambria"/>
          <w:sz w:val="16"/>
          <w:szCs w:val="16"/>
          <w:lang w:val="es-ES_tradnl"/>
        </w:rPr>
        <w:t xml:space="preserve">/V/II.129. 7 de septiembre de 2007, </w:t>
      </w:r>
      <w:proofErr w:type="spellStart"/>
      <w:r w:rsidRPr="00910616">
        <w:rPr>
          <w:rFonts w:ascii="Cambria" w:hAnsi="Cambria"/>
          <w:sz w:val="16"/>
          <w:szCs w:val="16"/>
          <w:lang w:val="es-ES_tradnl"/>
        </w:rPr>
        <w:t>párrs</w:t>
      </w:r>
      <w:proofErr w:type="spellEnd"/>
      <w:r w:rsidRPr="00910616">
        <w:rPr>
          <w:rFonts w:ascii="Cambria" w:hAnsi="Cambria"/>
          <w:sz w:val="16"/>
          <w:szCs w:val="16"/>
          <w:lang w:val="es-ES_tradnl"/>
        </w:rPr>
        <w:t xml:space="preserve">. 98-123; y Caso No. 12.828, Informe 112/12, Marcel </w:t>
      </w:r>
      <w:proofErr w:type="spellStart"/>
      <w:r w:rsidRPr="00910616">
        <w:rPr>
          <w:rFonts w:ascii="Cambria" w:hAnsi="Cambria"/>
          <w:sz w:val="16"/>
          <w:szCs w:val="16"/>
          <w:lang w:val="es-ES_tradnl"/>
        </w:rPr>
        <w:t>Granier</w:t>
      </w:r>
      <w:proofErr w:type="spellEnd"/>
      <w:r w:rsidRPr="00910616">
        <w:rPr>
          <w:rFonts w:ascii="Cambria" w:hAnsi="Cambria"/>
          <w:sz w:val="16"/>
          <w:szCs w:val="16"/>
          <w:lang w:val="es-ES_tradnl"/>
        </w:rPr>
        <w:t xml:space="preserve"> y otros, Venezuela, Fondo, 9 de noviembre de 2012, párr. 188; </w:t>
      </w:r>
      <w:r w:rsidRPr="00910616">
        <w:rPr>
          <w:rFonts w:ascii="Cambria" w:hAnsi="Cambria"/>
          <w:sz w:val="16"/>
          <w:szCs w:val="16"/>
          <w:lang w:val="es-ES"/>
        </w:rPr>
        <w:t xml:space="preserve">Corte IDH. </w:t>
      </w:r>
      <w:hyperlink r:id="rId4" w:history="1">
        <w:r w:rsidRPr="00910616">
          <w:rPr>
            <w:rStyle w:val="Hyperlink"/>
            <w:rFonts w:ascii="Cambria" w:hAnsi="Cambria" w:cs="Arial"/>
            <w:color w:val="auto"/>
            <w:sz w:val="16"/>
            <w:szCs w:val="16"/>
            <w:shd w:val="clear" w:color="auto" w:fill="FFFFFF"/>
            <w:lang w:val="es-ES"/>
          </w:rPr>
          <w:t>Caso Baena Ricardo y otros Vs. Panamá. Fondo, Reparaciones y Costas. Sentencia de 2 de febrero de 2001. Serie C No. 72</w:t>
        </w:r>
      </w:hyperlink>
      <w:r w:rsidRPr="00910616">
        <w:rPr>
          <w:rFonts w:ascii="Cambria" w:hAnsi="Cambria"/>
          <w:sz w:val="16"/>
          <w:szCs w:val="16"/>
          <w:lang w:val="es-ES"/>
        </w:rPr>
        <w:t xml:space="preserve">, </w:t>
      </w:r>
      <w:proofErr w:type="spellStart"/>
      <w:r w:rsidRPr="00910616">
        <w:rPr>
          <w:rFonts w:ascii="Cambria" w:hAnsi="Cambria"/>
          <w:sz w:val="16"/>
          <w:szCs w:val="16"/>
          <w:lang w:val="es-ES"/>
        </w:rPr>
        <w:t>párrs</w:t>
      </w:r>
      <w:proofErr w:type="spellEnd"/>
      <w:r w:rsidRPr="00910616">
        <w:rPr>
          <w:rFonts w:ascii="Cambria" w:hAnsi="Cambria"/>
          <w:sz w:val="16"/>
          <w:szCs w:val="16"/>
          <w:lang w:val="es-ES"/>
        </w:rPr>
        <w:t>. 126-127.</w:t>
      </w:r>
    </w:p>
  </w:footnote>
  <w:footnote w:id="33">
    <w:p w:rsidR="0079557B" w:rsidRPr="00910616" w:rsidRDefault="0079557B" w:rsidP="00910616">
      <w:pPr>
        <w:ind w:firstLine="630"/>
        <w:jc w:val="both"/>
        <w:rPr>
          <w:rFonts w:ascii="Cambria" w:eastAsia="Times New Roman" w:hAnsi="Cambria"/>
          <w:sz w:val="16"/>
          <w:szCs w:val="16"/>
          <w:lang w:val="es-MX"/>
        </w:rPr>
      </w:pPr>
      <w:r w:rsidRPr="00910616">
        <w:rPr>
          <w:rStyle w:val="FootnoteReference"/>
          <w:rFonts w:ascii="Cambria" w:hAnsi="Cambria"/>
          <w:sz w:val="16"/>
          <w:szCs w:val="16"/>
        </w:rPr>
        <w:footnoteRef/>
      </w:r>
      <w:r w:rsidRPr="00910616">
        <w:rPr>
          <w:rFonts w:ascii="Cambria" w:hAnsi="Cambria"/>
          <w:sz w:val="16"/>
          <w:szCs w:val="16"/>
          <w:lang w:val="es-MX"/>
        </w:rPr>
        <w:t xml:space="preserve">CIDH, Informe sobre las Garantías para la Independencia de las y los Operadores de Justicia. Hacia el fortalecimiento del acceso a la justicia y el estado de derecho en las Américas,  5 de diciembre de 2013, </w:t>
      </w:r>
      <w:proofErr w:type="spellStart"/>
      <w:r w:rsidRPr="00910616">
        <w:rPr>
          <w:rFonts w:ascii="Cambria" w:hAnsi="Cambria"/>
          <w:sz w:val="16"/>
          <w:szCs w:val="16"/>
          <w:lang w:val="es-MX"/>
        </w:rPr>
        <w:t>párrs</w:t>
      </w:r>
      <w:proofErr w:type="spellEnd"/>
      <w:r w:rsidRPr="00910616">
        <w:rPr>
          <w:rFonts w:ascii="Cambria" w:hAnsi="Cambria"/>
          <w:sz w:val="16"/>
          <w:szCs w:val="16"/>
          <w:lang w:val="es-MX"/>
        </w:rPr>
        <w:t xml:space="preserve">. 56, 109 y 184, </w:t>
      </w:r>
      <w:r w:rsidRPr="00910616">
        <w:rPr>
          <w:rFonts w:ascii="Cambria" w:eastAsia="Times New Roman" w:hAnsi="Cambria"/>
          <w:bCs/>
          <w:sz w:val="16"/>
          <w:szCs w:val="16"/>
          <w:shd w:val="clear" w:color="auto" w:fill="FFFFFF"/>
          <w:lang w:val="es-MX"/>
        </w:rPr>
        <w:t xml:space="preserve">Corte IDH. Caso López </w:t>
      </w:r>
      <w:proofErr w:type="spellStart"/>
      <w:r w:rsidRPr="00910616">
        <w:rPr>
          <w:rFonts w:ascii="Cambria" w:eastAsia="Times New Roman" w:hAnsi="Cambria"/>
          <w:bCs/>
          <w:sz w:val="16"/>
          <w:szCs w:val="16"/>
          <w:shd w:val="clear" w:color="auto" w:fill="FFFFFF"/>
          <w:lang w:val="es-MX"/>
        </w:rPr>
        <w:t>Lone</w:t>
      </w:r>
      <w:proofErr w:type="spellEnd"/>
      <w:r w:rsidRPr="00910616">
        <w:rPr>
          <w:rFonts w:ascii="Cambria" w:eastAsia="Times New Roman" w:hAnsi="Cambria"/>
          <w:bCs/>
          <w:sz w:val="16"/>
          <w:szCs w:val="16"/>
          <w:shd w:val="clear" w:color="auto" w:fill="FFFFFF"/>
          <w:lang w:val="es-MX"/>
        </w:rPr>
        <w:t xml:space="preserve"> y otros Vs. Honduras. Excepción Preliminar, Fondo, Reparaciones y Costas. Sentencia de 5 de octubre de 2015. Serie C No. 302, párr. 191.</w:t>
      </w:r>
    </w:p>
  </w:footnote>
  <w:footnote w:id="34">
    <w:p w:rsidR="0079557B" w:rsidRPr="00910616" w:rsidRDefault="0079557B" w:rsidP="00910616">
      <w:pPr>
        <w:pStyle w:val="FootnoteText"/>
        <w:ind w:firstLine="630"/>
        <w:rPr>
          <w:rFonts w:ascii="Cambria" w:hAnsi="Cambria"/>
          <w:sz w:val="16"/>
          <w:szCs w:val="16"/>
          <w:lang w:val="es-VE"/>
        </w:rPr>
      </w:pPr>
      <w:r w:rsidRPr="00910616">
        <w:rPr>
          <w:rStyle w:val="FootnoteReference"/>
          <w:rFonts w:ascii="Cambria" w:hAnsi="Cambria"/>
          <w:sz w:val="16"/>
          <w:szCs w:val="16"/>
        </w:rPr>
        <w:footnoteRef/>
      </w:r>
      <w:r w:rsidRPr="00910616">
        <w:rPr>
          <w:rFonts w:ascii="Cambria" w:hAnsi="Cambria"/>
          <w:sz w:val="16"/>
          <w:szCs w:val="16"/>
          <w:lang w:val="es-VE"/>
        </w:rPr>
        <w:t xml:space="preserve"> El artículo 8.2 establece en lo pertinente que: 2. Toda persona inculpada de delito tiene derecho a que se presuma su inocencia mientras no se establezca legalmente su culpabilidad. Durante el proceso, toda persona tiene derecho, en plena igualdad, a las siguientes garantías mínimas: b) comunicación previa y detallada al inculpado de la acusación formulada; c) concesión al inculpado del tiempo y de los medios adecuados para la preparación de su defensa. </w:t>
      </w:r>
    </w:p>
  </w:footnote>
  <w:footnote w:id="35">
    <w:p w:rsidR="0079557B" w:rsidRPr="00910616" w:rsidRDefault="0079557B" w:rsidP="00910616">
      <w:pPr>
        <w:ind w:firstLine="630"/>
        <w:jc w:val="both"/>
        <w:rPr>
          <w:rFonts w:ascii="Cambria" w:hAnsi="Cambria"/>
          <w:sz w:val="16"/>
          <w:szCs w:val="16"/>
          <w:lang w:val="es-VE"/>
        </w:rPr>
      </w:pPr>
      <w:r w:rsidRPr="00910616">
        <w:rPr>
          <w:rStyle w:val="FootnoteReference"/>
          <w:rFonts w:ascii="Cambria" w:hAnsi="Cambria"/>
          <w:sz w:val="16"/>
          <w:szCs w:val="16"/>
        </w:rPr>
        <w:footnoteRef/>
      </w:r>
      <w:r w:rsidRPr="00910616">
        <w:rPr>
          <w:rFonts w:ascii="Cambria" w:hAnsi="Cambria"/>
          <w:sz w:val="16"/>
          <w:szCs w:val="16"/>
          <w:lang w:val="es-ES"/>
        </w:rPr>
        <w:t xml:space="preserve"> Corte IDH. Condición Jurídica y Derechos de los Migrantes Indocumentados. Opinión Consultiva OC-18/03 de 17 de septiembre  de 2003. Serie A No. 18. párr. </w:t>
      </w:r>
      <w:r w:rsidRPr="00910616">
        <w:rPr>
          <w:rFonts w:ascii="Cambria" w:hAnsi="Cambria"/>
          <w:sz w:val="16"/>
          <w:szCs w:val="16"/>
          <w:lang w:val="es-VE"/>
        </w:rPr>
        <w:t>117.</w:t>
      </w:r>
    </w:p>
  </w:footnote>
  <w:footnote w:id="36">
    <w:p w:rsidR="0079557B" w:rsidRPr="00910616" w:rsidRDefault="0079557B" w:rsidP="00910616">
      <w:pPr>
        <w:pStyle w:val="FootnoteText"/>
        <w:ind w:firstLine="630"/>
        <w:rPr>
          <w:rFonts w:ascii="Cambria" w:hAnsi="Cambria"/>
          <w:sz w:val="16"/>
          <w:szCs w:val="16"/>
          <w:lang w:val="es-VE"/>
        </w:rPr>
      </w:pPr>
      <w:r w:rsidRPr="00910616">
        <w:rPr>
          <w:rStyle w:val="FootnoteReference"/>
          <w:rFonts w:ascii="Cambria" w:hAnsi="Cambria"/>
          <w:sz w:val="16"/>
          <w:szCs w:val="16"/>
        </w:rPr>
        <w:footnoteRef/>
      </w:r>
      <w:r w:rsidRPr="00910616">
        <w:rPr>
          <w:rFonts w:ascii="Cambria" w:hAnsi="Cambria"/>
          <w:sz w:val="16"/>
          <w:szCs w:val="16"/>
          <w:lang w:val="es-VE"/>
        </w:rPr>
        <w:t xml:space="preserve"> CIDH, Informe No. 103/13, Caso 12.816, Informe de Fondo, </w:t>
      </w:r>
      <w:proofErr w:type="spellStart"/>
      <w:r w:rsidRPr="00910616">
        <w:rPr>
          <w:rFonts w:ascii="Cambria" w:hAnsi="Cambria"/>
          <w:sz w:val="16"/>
          <w:szCs w:val="16"/>
          <w:lang w:val="es-VE"/>
        </w:rPr>
        <w:t>Adan</w:t>
      </w:r>
      <w:proofErr w:type="spellEnd"/>
      <w:r w:rsidRPr="00910616">
        <w:rPr>
          <w:rFonts w:ascii="Cambria" w:hAnsi="Cambria"/>
          <w:sz w:val="16"/>
          <w:szCs w:val="16"/>
          <w:lang w:val="es-VE"/>
        </w:rPr>
        <w:t xml:space="preserve"> Guillermo López </w:t>
      </w:r>
      <w:proofErr w:type="spellStart"/>
      <w:r w:rsidRPr="00910616">
        <w:rPr>
          <w:rFonts w:ascii="Cambria" w:hAnsi="Cambria"/>
          <w:sz w:val="16"/>
          <w:szCs w:val="16"/>
          <w:lang w:val="es-VE"/>
        </w:rPr>
        <w:t>Lone</w:t>
      </w:r>
      <w:proofErr w:type="spellEnd"/>
      <w:r w:rsidRPr="00910616">
        <w:rPr>
          <w:rFonts w:ascii="Cambria" w:hAnsi="Cambria"/>
          <w:sz w:val="16"/>
          <w:szCs w:val="16"/>
          <w:lang w:val="es-VE"/>
        </w:rPr>
        <w:t xml:space="preserve"> y otros, Honduras, párr.143.</w:t>
      </w:r>
      <w:r w:rsidRPr="00910616">
        <w:rPr>
          <w:rFonts w:ascii="Cambria" w:hAnsi="Cambria"/>
          <w:sz w:val="16"/>
          <w:szCs w:val="16"/>
          <w:lang w:val="es-VE"/>
        </w:rPr>
        <w:tab/>
      </w:r>
    </w:p>
  </w:footnote>
  <w:footnote w:id="37">
    <w:p w:rsidR="0079557B" w:rsidRPr="00910616" w:rsidRDefault="0079557B" w:rsidP="00910616">
      <w:pPr>
        <w:ind w:firstLine="630"/>
        <w:jc w:val="both"/>
        <w:rPr>
          <w:rFonts w:ascii="Cambria" w:hAnsi="Cambria"/>
          <w:sz w:val="16"/>
          <w:szCs w:val="16"/>
          <w:lang w:val="es-VE"/>
        </w:rPr>
      </w:pPr>
      <w:r w:rsidRPr="00910616">
        <w:rPr>
          <w:rStyle w:val="FootnoteReference"/>
          <w:rFonts w:ascii="Cambria" w:hAnsi="Cambria"/>
          <w:sz w:val="16"/>
          <w:szCs w:val="16"/>
        </w:rPr>
        <w:footnoteRef/>
      </w:r>
      <w:r w:rsidRPr="00910616">
        <w:rPr>
          <w:rFonts w:ascii="Cambria" w:hAnsi="Cambria"/>
          <w:sz w:val="16"/>
          <w:szCs w:val="16"/>
          <w:lang w:val="pt-BR"/>
        </w:rPr>
        <w:t xml:space="preserve"> </w:t>
      </w:r>
      <w:r w:rsidRPr="00910616">
        <w:rPr>
          <w:rFonts w:ascii="Cambria" w:hAnsi="Cambria"/>
          <w:sz w:val="16"/>
          <w:szCs w:val="16"/>
          <w:lang w:val="pt-BR"/>
        </w:rPr>
        <w:t xml:space="preserve">Corte IDH, </w:t>
      </w:r>
      <w:r w:rsidRPr="00910616">
        <w:rPr>
          <w:rFonts w:ascii="Cambria" w:hAnsi="Cambria"/>
          <w:bCs/>
          <w:sz w:val="16"/>
          <w:szCs w:val="16"/>
          <w:lang w:val="pt-BR"/>
        </w:rPr>
        <w:t xml:space="preserve">Caso Barreto Leiva Vs. </w:t>
      </w:r>
      <w:r w:rsidRPr="00910616">
        <w:rPr>
          <w:rFonts w:ascii="Cambria" w:hAnsi="Cambria"/>
          <w:bCs/>
          <w:sz w:val="16"/>
          <w:szCs w:val="16"/>
          <w:lang w:val="es-VE"/>
        </w:rPr>
        <w:t>Venezuela.</w:t>
      </w:r>
      <w:r w:rsidRPr="00910616">
        <w:rPr>
          <w:rFonts w:ascii="Cambria" w:hAnsi="Cambria"/>
          <w:b/>
          <w:bCs/>
          <w:sz w:val="16"/>
          <w:szCs w:val="16"/>
          <w:lang w:val="es-VE"/>
        </w:rPr>
        <w:t xml:space="preserve"> </w:t>
      </w:r>
      <w:r w:rsidRPr="00910616">
        <w:rPr>
          <w:rFonts w:ascii="Cambria" w:hAnsi="Cambria"/>
          <w:sz w:val="16"/>
          <w:szCs w:val="16"/>
          <w:lang w:val="es-VE"/>
        </w:rPr>
        <w:t>Fondo, Reparaciones y Costas. Sentencia de 17 de noviembre de 2009. Serie C No. 206. Párr. 29. Citando mutatis mutandis Corte IDH, Caso Suárez Rosero Vs. Ecuador. Sentencia de 12 de noviembre de 1997. Serie C No. 35, párr. 71; y Caso Heliodoro Portugal Vs. Panamá. Excepciones Preliminares, Fondo, Reparaciones y Costas. Sentencia de 12 de agosto de 2008. Serie C No. 186, párr. 148.</w:t>
      </w:r>
    </w:p>
  </w:footnote>
  <w:footnote w:id="38">
    <w:p w:rsidR="0079557B" w:rsidRPr="00910616" w:rsidRDefault="0079557B" w:rsidP="004E6A4B">
      <w:pPr>
        <w:pStyle w:val="FootnoteText"/>
        <w:ind w:firstLine="630"/>
        <w:rPr>
          <w:rFonts w:ascii="Cambria" w:hAnsi="Cambria"/>
          <w:sz w:val="16"/>
          <w:szCs w:val="16"/>
          <w:lang w:val="es-VE"/>
        </w:rPr>
      </w:pPr>
      <w:r w:rsidRPr="00910616">
        <w:rPr>
          <w:rStyle w:val="FootnoteReference"/>
          <w:rFonts w:ascii="Cambria" w:hAnsi="Cambria"/>
          <w:sz w:val="16"/>
          <w:szCs w:val="16"/>
        </w:rPr>
        <w:footnoteRef/>
      </w:r>
      <w:r w:rsidRPr="00910616">
        <w:rPr>
          <w:rFonts w:ascii="Cambria" w:hAnsi="Cambria"/>
          <w:sz w:val="16"/>
          <w:szCs w:val="16"/>
          <w:lang w:val="es-VE"/>
        </w:rPr>
        <w:t xml:space="preserve">El artículo 8.1 de la Convención Americana establece </w:t>
      </w:r>
      <w:proofErr w:type="gramStart"/>
      <w:r w:rsidRPr="00910616">
        <w:rPr>
          <w:rFonts w:ascii="Cambria" w:hAnsi="Cambria"/>
          <w:sz w:val="16"/>
          <w:szCs w:val="16"/>
          <w:lang w:val="es-VE"/>
        </w:rPr>
        <w:t>que :</w:t>
      </w:r>
      <w:proofErr w:type="gramEnd"/>
      <w:r w:rsidRPr="00910616">
        <w:rPr>
          <w:rFonts w:ascii="Cambria" w:hAnsi="Cambria"/>
          <w:sz w:val="16"/>
          <w:szCs w:val="16"/>
          <w:lang w:val="es-VE"/>
        </w:rPr>
        <w:t xml:space="preserve"> </w:t>
      </w:r>
      <w:r w:rsidRPr="00910616">
        <w:rPr>
          <w:rFonts w:ascii="Cambria" w:hAnsi="Cambria" w:cs="Tahoma"/>
          <w:sz w:val="16"/>
          <w:szCs w:val="16"/>
          <w:lang w:val="es-CO"/>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39">
    <w:p w:rsidR="0079557B" w:rsidRPr="00910616" w:rsidRDefault="0079557B" w:rsidP="004E6A4B">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jc w:val="both"/>
        <w:rPr>
          <w:rFonts w:ascii="Cambria" w:hAnsi="Cambria"/>
          <w:sz w:val="16"/>
          <w:szCs w:val="16"/>
          <w:lang w:val="es-VE"/>
        </w:rPr>
      </w:pPr>
      <w:r>
        <w:rPr>
          <w:rFonts w:ascii="Cambria" w:hAnsi="Cambria"/>
          <w:sz w:val="16"/>
          <w:szCs w:val="16"/>
          <w:lang w:val="es-VE"/>
        </w:rPr>
        <w:tab/>
      </w:r>
      <w:r w:rsidRPr="00910616">
        <w:rPr>
          <w:rStyle w:val="FootnoteReference"/>
          <w:rFonts w:ascii="Cambria" w:hAnsi="Cambria"/>
          <w:sz w:val="16"/>
          <w:szCs w:val="16"/>
        </w:rPr>
        <w:footnoteRef/>
      </w:r>
      <w:r w:rsidRPr="00910616">
        <w:rPr>
          <w:rFonts w:ascii="Cambria" w:hAnsi="Cambria"/>
          <w:sz w:val="16"/>
          <w:szCs w:val="16"/>
          <w:lang w:val="es-VE"/>
        </w:rPr>
        <w:t xml:space="preserve"> </w:t>
      </w:r>
      <w:r w:rsidRPr="00910616">
        <w:rPr>
          <w:rFonts w:ascii="Cambria" w:hAnsi="Cambria"/>
          <w:sz w:val="16"/>
          <w:szCs w:val="16"/>
          <w:lang w:val="es-AR"/>
        </w:rPr>
        <w:t>El artículo 25.1 de la Convención estipula que:</w:t>
      </w:r>
      <w:r w:rsidRPr="00910616">
        <w:rPr>
          <w:rFonts w:ascii="Cambria" w:hAnsi="Cambria"/>
          <w:sz w:val="16"/>
          <w:szCs w:val="16"/>
          <w:lang w:val="es-VE"/>
        </w:rPr>
        <w:t xml:space="preserve"> </w:t>
      </w:r>
      <w:r w:rsidRPr="00910616">
        <w:rPr>
          <w:rFonts w:ascii="Cambria" w:eastAsia="Times New Roman" w:hAnsi="Cambria"/>
          <w:sz w:val="16"/>
          <w:szCs w:val="16"/>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40">
    <w:p w:rsidR="0079557B" w:rsidRPr="00910616" w:rsidRDefault="0079557B" w:rsidP="00121C28">
      <w:pPr>
        <w:pStyle w:val="FootnoteText"/>
        <w:ind w:firstLine="630"/>
        <w:jc w:val="both"/>
        <w:rPr>
          <w:rFonts w:ascii="Cambria" w:hAnsi="Cambria"/>
          <w:sz w:val="16"/>
          <w:szCs w:val="16"/>
          <w:lang w:val="es-VE"/>
        </w:rPr>
      </w:pPr>
      <w:r w:rsidRPr="00910616">
        <w:rPr>
          <w:rStyle w:val="FootnoteReference"/>
          <w:rFonts w:ascii="Cambria" w:hAnsi="Cambria"/>
          <w:sz w:val="16"/>
          <w:szCs w:val="16"/>
        </w:rPr>
        <w:footnoteRef/>
      </w:r>
      <w:r w:rsidRPr="00910616">
        <w:rPr>
          <w:rStyle w:val="FootnoteReference"/>
          <w:rFonts w:ascii="Cambria" w:hAnsi="Cambria"/>
          <w:sz w:val="16"/>
          <w:szCs w:val="16"/>
          <w:lang w:val="es-VE"/>
        </w:rPr>
        <w:t xml:space="preserve"> </w:t>
      </w:r>
      <w:r w:rsidRPr="00910616">
        <w:rPr>
          <w:rFonts w:ascii="Cambria" w:hAnsi="Cambria"/>
          <w:sz w:val="16"/>
          <w:szCs w:val="16"/>
          <w:lang w:val="es-VE"/>
        </w:rPr>
        <w:t>CIDH, Garantías para la independencia de las y los operadores de justicia. Hacia el fortalecimiento del acceso a la justicia y el estado de derecho en las Américas, OEA/</w:t>
      </w:r>
      <w:proofErr w:type="spellStart"/>
      <w:r w:rsidRPr="00910616">
        <w:rPr>
          <w:rFonts w:ascii="Cambria" w:hAnsi="Cambria"/>
          <w:sz w:val="16"/>
          <w:szCs w:val="16"/>
          <w:lang w:val="es-VE"/>
        </w:rPr>
        <w:t>ser.L</w:t>
      </w:r>
      <w:proofErr w:type="spellEnd"/>
      <w:r w:rsidRPr="00910616">
        <w:rPr>
          <w:rFonts w:ascii="Cambria" w:hAnsi="Cambria"/>
          <w:sz w:val="16"/>
          <w:szCs w:val="16"/>
          <w:lang w:val="es-VE"/>
        </w:rPr>
        <w:t>/V/II.Doc.44, 5 de diciembre de 2013, párr. 188.</w:t>
      </w:r>
    </w:p>
  </w:footnote>
  <w:footnote w:id="41">
    <w:p w:rsidR="0079557B" w:rsidRPr="00910616" w:rsidRDefault="0079557B" w:rsidP="004E6A4B">
      <w:pPr>
        <w:pStyle w:val="FootnoteText"/>
        <w:ind w:firstLine="720"/>
        <w:jc w:val="both"/>
        <w:rPr>
          <w:rFonts w:ascii="Cambria" w:hAnsi="Cambria"/>
          <w:sz w:val="16"/>
          <w:szCs w:val="16"/>
          <w:lang w:val="es-VE"/>
        </w:rPr>
      </w:pPr>
      <w:r w:rsidRPr="00910616">
        <w:rPr>
          <w:rStyle w:val="FootnoteReference"/>
          <w:rFonts w:ascii="Cambria" w:hAnsi="Cambria"/>
          <w:sz w:val="16"/>
          <w:szCs w:val="16"/>
        </w:rPr>
        <w:footnoteRef/>
      </w:r>
      <w:r w:rsidRPr="00910616">
        <w:rPr>
          <w:rStyle w:val="FootnoteReference"/>
          <w:rFonts w:ascii="Cambria" w:hAnsi="Cambria"/>
          <w:sz w:val="16"/>
          <w:szCs w:val="16"/>
          <w:lang w:val="es-VE"/>
        </w:rPr>
        <w:t xml:space="preserve"> </w:t>
      </w:r>
      <w:r w:rsidRPr="00910616">
        <w:rPr>
          <w:rFonts w:ascii="Cambria" w:hAnsi="Cambria"/>
          <w:sz w:val="16"/>
          <w:szCs w:val="16"/>
          <w:lang w:val="es-VE"/>
        </w:rPr>
        <w:t>CIDH, Garantías para la independencia de las y los operadores de justicia. Hacia el fortalecimiento del acceso a la justicia y el estado de derecho en las Américas, OEA/</w:t>
      </w:r>
      <w:proofErr w:type="spellStart"/>
      <w:r w:rsidRPr="00910616">
        <w:rPr>
          <w:rFonts w:ascii="Cambria" w:hAnsi="Cambria"/>
          <w:sz w:val="16"/>
          <w:szCs w:val="16"/>
          <w:lang w:val="es-VE"/>
        </w:rPr>
        <w:t>ser.L</w:t>
      </w:r>
      <w:proofErr w:type="spellEnd"/>
      <w:r w:rsidRPr="00910616">
        <w:rPr>
          <w:rFonts w:ascii="Cambria" w:hAnsi="Cambria"/>
          <w:sz w:val="16"/>
          <w:szCs w:val="16"/>
          <w:lang w:val="es-VE"/>
        </w:rPr>
        <w:t>/V/II.Doc.44, 5 de diciembre de 2013, párr. 200.</w:t>
      </w:r>
    </w:p>
  </w:footnote>
  <w:footnote w:id="42">
    <w:p w:rsidR="0079557B" w:rsidRPr="00910616" w:rsidRDefault="0079557B" w:rsidP="00910616">
      <w:pPr>
        <w:pStyle w:val="FootnoteText"/>
        <w:ind w:firstLine="720"/>
        <w:jc w:val="both"/>
        <w:rPr>
          <w:rFonts w:ascii="Cambria" w:hAnsi="Cambria"/>
          <w:sz w:val="16"/>
          <w:szCs w:val="16"/>
          <w:lang w:val="es-VE"/>
        </w:rPr>
      </w:pPr>
      <w:r w:rsidRPr="00910616">
        <w:rPr>
          <w:rStyle w:val="FootnoteReference"/>
          <w:rFonts w:ascii="Cambria" w:hAnsi="Cambria"/>
          <w:sz w:val="16"/>
          <w:szCs w:val="16"/>
        </w:rPr>
        <w:footnoteRef/>
      </w:r>
      <w:r w:rsidRPr="00910616">
        <w:rPr>
          <w:rFonts w:ascii="Cambria" w:hAnsi="Cambria"/>
          <w:sz w:val="16"/>
          <w:szCs w:val="16"/>
          <w:lang w:val="es-VE"/>
        </w:rPr>
        <w:t xml:space="preserve"> CIDH, Informe No. 103/13, Caso 12.816, Fondo, Adán Guillermo Lopez </w:t>
      </w:r>
      <w:proofErr w:type="spellStart"/>
      <w:r w:rsidRPr="00910616">
        <w:rPr>
          <w:rFonts w:ascii="Cambria" w:hAnsi="Cambria"/>
          <w:sz w:val="16"/>
          <w:szCs w:val="16"/>
          <w:lang w:val="es-VE"/>
        </w:rPr>
        <w:t>Lone</w:t>
      </w:r>
      <w:proofErr w:type="spellEnd"/>
      <w:r w:rsidRPr="00910616">
        <w:rPr>
          <w:rFonts w:ascii="Cambria" w:hAnsi="Cambria"/>
          <w:sz w:val="16"/>
          <w:szCs w:val="16"/>
          <w:lang w:val="es-VE"/>
        </w:rPr>
        <w:t xml:space="preserve"> y otros, Honduras, 5 de noviembre de 2013, párr.136.</w:t>
      </w:r>
    </w:p>
  </w:footnote>
  <w:footnote w:id="43">
    <w:p w:rsidR="0079557B" w:rsidRPr="00910616" w:rsidRDefault="0079557B" w:rsidP="00910616">
      <w:pPr>
        <w:pStyle w:val="FootnoteText"/>
        <w:ind w:firstLine="720"/>
        <w:jc w:val="both"/>
        <w:rPr>
          <w:rFonts w:ascii="Cambria" w:hAnsi="Cambria"/>
          <w:sz w:val="16"/>
          <w:szCs w:val="16"/>
          <w:lang w:val="es-VE"/>
        </w:rPr>
      </w:pPr>
      <w:r w:rsidRPr="00910616">
        <w:rPr>
          <w:rStyle w:val="FootnoteReference"/>
          <w:rFonts w:ascii="Cambria" w:hAnsi="Cambria"/>
          <w:sz w:val="16"/>
          <w:szCs w:val="16"/>
        </w:rPr>
        <w:footnoteRef/>
      </w:r>
      <w:r w:rsidRPr="00910616">
        <w:rPr>
          <w:rStyle w:val="FootnoteReference"/>
          <w:rFonts w:ascii="Cambria" w:hAnsi="Cambria"/>
          <w:sz w:val="16"/>
          <w:szCs w:val="16"/>
          <w:lang w:val="es-VE"/>
        </w:rPr>
        <w:t xml:space="preserve"> </w:t>
      </w:r>
      <w:r w:rsidRPr="00910616">
        <w:rPr>
          <w:rFonts w:ascii="Cambria" w:hAnsi="Cambria"/>
          <w:sz w:val="16"/>
          <w:szCs w:val="16"/>
          <w:lang w:val="es-VE"/>
        </w:rPr>
        <w:t>CIDH, Garantías para la independencia de las y los operadores de justicia. Hacia el fortalecimiento del acceso a la justicia y el estado de derecho en las Américas, OEA/</w:t>
      </w:r>
      <w:proofErr w:type="spellStart"/>
      <w:r w:rsidRPr="00910616">
        <w:rPr>
          <w:rFonts w:ascii="Cambria" w:hAnsi="Cambria"/>
          <w:sz w:val="16"/>
          <w:szCs w:val="16"/>
          <w:lang w:val="es-VE"/>
        </w:rPr>
        <w:t>ser.L</w:t>
      </w:r>
      <w:proofErr w:type="spellEnd"/>
      <w:r w:rsidRPr="00910616">
        <w:rPr>
          <w:rFonts w:ascii="Cambria" w:hAnsi="Cambria"/>
          <w:sz w:val="16"/>
          <w:szCs w:val="16"/>
          <w:lang w:val="es-VE"/>
        </w:rPr>
        <w:t>/V/II.Doc.44, 5 de diciembre de 2013, párr. 200.</w:t>
      </w:r>
    </w:p>
  </w:footnote>
  <w:footnote w:id="44">
    <w:p w:rsidR="0079557B" w:rsidRPr="00910616" w:rsidRDefault="0079557B" w:rsidP="00910616">
      <w:pPr>
        <w:tabs>
          <w:tab w:val="left" w:pos="180"/>
          <w:tab w:val="left" w:pos="900"/>
          <w:tab w:val="left" w:pos="1080"/>
        </w:tabs>
        <w:ind w:firstLine="720"/>
        <w:jc w:val="both"/>
        <w:rPr>
          <w:rFonts w:ascii="Cambria" w:hAnsi="Cambria"/>
          <w:sz w:val="16"/>
          <w:szCs w:val="16"/>
          <w:lang w:val="es-CO"/>
        </w:rPr>
      </w:pPr>
      <w:r w:rsidRPr="00910616">
        <w:rPr>
          <w:rStyle w:val="FootnoteReference"/>
          <w:rFonts w:ascii="Cambria" w:hAnsi="Cambria"/>
          <w:sz w:val="16"/>
          <w:szCs w:val="16"/>
        </w:rPr>
        <w:footnoteRef/>
      </w:r>
      <w:r w:rsidRPr="00910616">
        <w:rPr>
          <w:rFonts w:ascii="Cambria" w:hAnsi="Cambria"/>
          <w:color w:val="000000"/>
          <w:sz w:val="16"/>
          <w:szCs w:val="16"/>
          <w:lang w:val="es-CO"/>
        </w:rPr>
        <w:t xml:space="preserve">Corte IDH, </w:t>
      </w:r>
      <w:r w:rsidRPr="00910616">
        <w:rPr>
          <w:rFonts w:ascii="Cambria" w:hAnsi="Cambria"/>
          <w:bCs/>
          <w:color w:val="000000"/>
          <w:sz w:val="16"/>
          <w:szCs w:val="16"/>
          <w:lang w:val="es-CO"/>
        </w:rPr>
        <w:t xml:space="preserve">Caso Trabajadores Cesados del Congreso (Aguado Alfaro y otros). </w:t>
      </w:r>
      <w:r w:rsidRPr="00910616">
        <w:rPr>
          <w:rFonts w:ascii="Cambria" w:hAnsi="Cambria"/>
          <w:color w:val="000000"/>
          <w:sz w:val="16"/>
          <w:szCs w:val="16"/>
          <w:lang w:val="es-CO"/>
        </w:rPr>
        <w:t xml:space="preserve">Sentencia sobre Excepciones Preliminares, Fondo, Reparaciones y Costas. Sentencia de 24 de Noviembre de 2006. Serie C No. 158. Párr. 125; Corte IDH, </w:t>
      </w:r>
      <w:r w:rsidRPr="00910616">
        <w:rPr>
          <w:rFonts w:ascii="Cambria" w:hAnsi="Cambria"/>
          <w:bCs/>
          <w:color w:val="000000"/>
          <w:sz w:val="16"/>
          <w:szCs w:val="16"/>
          <w:lang w:val="es-CO"/>
        </w:rPr>
        <w:t xml:space="preserve">Caso Comunidad Indígena </w:t>
      </w:r>
      <w:proofErr w:type="spellStart"/>
      <w:r w:rsidRPr="00910616">
        <w:rPr>
          <w:rFonts w:ascii="Cambria" w:hAnsi="Cambria"/>
          <w:bCs/>
          <w:color w:val="000000"/>
          <w:sz w:val="16"/>
          <w:szCs w:val="16"/>
          <w:lang w:val="es-CO"/>
        </w:rPr>
        <w:t>Yakye</w:t>
      </w:r>
      <w:proofErr w:type="spellEnd"/>
      <w:r w:rsidRPr="00910616">
        <w:rPr>
          <w:rFonts w:ascii="Cambria" w:hAnsi="Cambria"/>
          <w:bCs/>
          <w:color w:val="000000"/>
          <w:sz w:val="16"/>
          <w:szCs w:val="16"/>
          <w:lang w:val="es-CO"/>
        </w:rPr>
        <w:t xml:space="preserve"> Axa. </w:t>
      </w:r>
      <w:r w:rsidRPr="00910616">
        <w:rPr>
          <w:rFonts w:ascii="Cambria" w:hAnsi="Cambria"/>
          <w:color w:val="000000"/>
          <w:sz w:val="16"/>
          <w:szCs w:val="16"/>
          <w:lang w:val="es-CO"/>
        </w:rPr>
        <w:t>Sentencia 17 de junio de 2005. Serie C No. 125</w:t>
      </w:r>
      <w:r w:rsidRPr="00910616">
        <w:rPr>
          <w:rFonts w:ascii="Cambria" w:hAnsi="Cambria"/>
          <w:sz w:val="16"/>
          <w:szCs w:val="16"/>
          <w:lang w:val="es-CO"/>
        </w:rPr>
        <w:t xml:space="preserve">. Párr.  61; </w:t>
      </w:r>
      <w:r w:rsidRPr="00910616">
        <w:rPr>
          <w:rFonts w:ascii="Cambria" w:hAnsi="Cambria"/>
          <w:color w:val="000000"/>
          <w:sz w:val="16"/>
          <w:szCs w:val="16"/>
          <w:lang w:val="es-CO"/>
        </w:rPr>
        <w:t xml:space="preserve">Corte IDH, </w:t>
      </w:r>
      <w:r w:rsidRPr="00910616">
        <w:rPr>
          <w:rFonts w:ascii="Cambria" w:hAnsi="Cambria"/>
          <w:bCs/>
          <w:color w:val="000000"/>
          <w:sz w:val="16"/>
          <w:szCs w:val="16"/>
          <w:lang w:val="es-CO"/>
        </w:rPr>
        <w:t xml:space="preserve">Caso "Cinco Pensionistas". </w:t>
      </w:r>
      <w:r w:rsidRPr="00910616">
        <w:rPr>
          <w:rFonts w:ascii="Cambria" w:hAnsi="Cambria"/>
          <w:color w:val="000000"/>
          <w:sz w:val="16"/>
          <w:szCs w:val="16"/>
          <w:lang w:val="es-CO"/>
        </w:rPr>
        <w:t>Sentencia de 28 de febrero de 2003. Serie C No. 98</w:t>
      </w:r>
      <w:r w:rsidRPr="00910616">
        <w:rPr>
          <w:rFonts w:ascii="Cambria" w:hAnsi="Cambria"/>
          <w:sz w:val="16"/>
          <w:szCs w:val="16"/>
          <w:lang w:val="es-CO"/>
        </w:rPr>
        <w:t>. Párr. 136.</w:t>
      </w:r>
    </w:p>
  </w:footnote>
  <w:footnote w:id="45">
    <w:p w:rsidR="0079557B" w:rsidRPr="00524F15" w:rsidRDefault="0079557B" w:rsidP="00524F15">
      <w:pPr>
        <w:pStyle w:val="FootnoteText"/>
        <w:ind w:firstLine="720"/>
        <w:rPr>
          <w:rFonts w:ascii="Cambria" w:hAnsi="Cambria"/>
          <w:sz w:val="16"/>
          <w:szCs w:val="16"/>
          <w:lang w:val="es-VE"/>
        </w:rPr>
      </w:pPr>
      <w:r w:rsidRPr="00524F15">
        <w:rPr>
          <w:rStyle w:val="FootnoteReference"/>
          <w:rFonts w:ascii="Cambria" w:hAnsi="Cambria"/>
          <w:sz w:val="16"/>
          <w:szCs w:val="16"/>
        </w:rPr>
        <w:footnoteRef/>
      </w:r>
      <w:r w:rsidRPr="00524F15">
        <w:rPr>
          <w:rFonts w:ascii="Cambria" w:hAnsi="Cambria"/>
          <w:sz w:val="16"/>
          <w:szCs w:val="16"/>
          <w:lang w:val="es-VE"/>
        </w:rPr>
        <w:t xml:space="preserve"> El artículo 9 de la Convención Americana establece que </w:t>
      </w:r>
      <w:r w:rsidRPr="00524F15">
        <w:rPr>
          <w:rFonts w:ascii="Cambria" w:hAnsi="Cambria" w:cs="Tahoma"/>
          <w:sz w:val="16"/>
          <w:szCs w:val="16"/>
          <w:lang w:val="es-VE"/>
        </w:rPr>
        <w:t>nadie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w:t>
      </w:r>
    </w:p>
  </w:footnote>
  <w:footnote w:id="46">
    <w:p w:rsidR="0079557B" w:rsidRPr="00910616" w:rsidRDefault="0079557B" w:rsidP="00910616">
      <w:pPr>
        <w:ind w:firstLine="720"/>
        <w:jc w:val="both"/>
        <w:rPr>
          <w:rFonts w:ascii="Cambria" w:hAnsi="Cambria"/>
          <w:sz w:val="16"/>
          <w:szCs w:val="16"/>
          <w:lang w:val="es-CO"/>
        </w:rPr>
      </w:pPr>
      <w:r w:rsidRPr="00910616">
        <w:rPr>
          <w:rStyle w:val="FootnoteReference"/>
          <w:rFonts w:ascii="Cambria" w:hAnsi="Cambria"/>
          <w:sz w:val="16"/>
          <w:szCs w:val="16"/>
        </w:rPr>
        <w:footnoteRef/>
      </w:r>
      <w:r w:rsidRPr="00910616">
        <w:rPr>
          <w:rFonts w:ascii="Cambria" w:hAnsi="Cambria"/>
          <w:sz w:val="16"/>
          <w:szCs w:val="16"/>
          <w:lang w:val="es-VE"/>
        </w:rPr>
        <w:t xml:space="preserve"> CIDH, Criminalización de la labor de las defensoras y los defensores de derechos humanos, OEA/</w:t>
      </w:r>
      <w:proofErr w:type="spellStart"/>
      <w:r w:rsidRPr="00910616">
        <w:rPr>
          <w:rFonts w:ascii="Cambria" w:hAnsi="Cambria"/>
          <w:sz w:val="16"/>
          <w:szCs w:val="16"/>
          <w:lang w:val="es-VE"/>
        </w:rPr>
        <w:t>Ser.L</w:t>
      </w:r>
      <w:proofErr w:type="spellEnd"/>
      <w:r w:rsidRPr="00910616">
        <w:rPr>
          <w:rFonts w:ascii="Cambria" w:hAnsi="Cambria"/>
          <w:sz w:val="16"/>
          <w:szCs w:val="16"/>
          <w:lang w:val="es-VE"/>
        </w:rPr>
        <w:t>/V/Doc.49/15, 31 de diciembre de 2015, párr. 253.</w:t>
      </w:r>
    </w:p>
  </w:footnote>
  <w:footnote w:id="47">
    <w:p w:rsidR="0079557B" w:rsidRPr="00910616" w:rsidRDefault="0079557B" w:rsidP="00910616">
      <w:pPr>
        <w:pStyle w:val="FootnoteText"/>
        <w:tabs>
          <w:tab w:val="num" w:pos="0"/>
        </w:tabs>
        <w:ind w:firstLine="720"/>
        <w:jc w:val="both"/>
        <w:rPr>
          <w:rFonts w:ascii="Cambria" w:hAnsi="Cambria"/>
          <w:sz w:val="16"/>
          <w:szCs w:val="16"/>
          <w:lang w:val="es-VE"/>
        </w:rPr>
      </w:pPr>
      <w:r w:rsidRPr="00910616">
        <w:rPr>
          <w:rStyle w:val="FootnoteReference"/>
          <w:rFonts w:ascii="Cambria" w:hAnsi="Cambria"/>
          <w:sz w:val="16"/>
          <w:szCs w:val="16"/>
        </w:rPr>
        <w:footnoteRef/>
      </w:r>
      <w:r w:rsidRPr="00910616">
        <w:rPr>
          <w:rFonts w:ascii="Cambria" w:hAnsi="Cambria"/>
          <w:sz w:val="16"/>
          <w:szCs w:val="16"/>
          <w:lang w:val="es-VE"/>
        </w:rPr>
        <w:t xml:space="preserve"> Corte IDH, Caso López </w:t>
      </w:r>
      <w:proofErr w:type="spellStart"/>
      <w:r w:rsidRPr="00910616">
        <w:rPr>
          <w:rFonts w:ascii="Cambria" w:hAnsi="Cambria"/>
          <w:sz w:val="16"/>
          <w:szCs w:val="16"/>
          <w:lang w:val="es-VE"/>
        </w:rPr>
        <w:t>Lone</w:t>
      </w:r>
      <w:proofErr w:type="spellEnd"/>
      <w:r w:rsidRPr="00910616">
        <w:rPr>
          <w:rFonts w:ascii="Cambria" w:hAnsi="Cambria"/>
          <w:sz w:val="16"/>
          <w:szCs w:val="16"/>
          <w:lang w:val="es-VE"/>
        </w:rPr>
        <w:t xml:space="preserve"> y otros Vs. </w:t>
      </w:r>
      <w:r w:rsidRPr="00910616">
        <w:rPr>
          <w:rFonts w:ascii="Cambria" w:hAnsi="Cambria"/>
          <w:sz w:val="16"/>
          <w:szCs w:val="16"/>
          <w:lang w:val="es-CO"/>
        </w:rPr>
        <w:t xml:space="preserve">Honduras. </w:t>
      </w:r>
      <w:r w:rsidRPr="00910616">
        <w:rPr>
          <w:rFonts w:ascii="Cambria" w:hAnsi="Cambria"/>
          <w:sz w:val="16"/>
          <w:szCs w:val="16"/>
          <w:lang w:val="es-VE"/>
        </w:rPr>
        <w:t xml:space="preserve">Excepción Preliminar, Fondo, Reparaciones y Costas. Sentencia de 05 de octubre de 2015. Serie C No. 302, párr. 257 y Caso Maldonado Ordoñez Vs. </w:t>
      </w:r>
      <w:r w:rsidRPr="00910616">
        <w:rPr>
          <w:rFonts w:ascii="Cambria" w:hAnsi="Cambria"/>
          <w:sz w:val="16"/>
          <w:szCs w:val="16"/>
          <w:lang w:val="es-CO"/>
        </w:rPr>
        <w:t xml:space="preserve">Guatemala. </w:t>
      </w:r>
      <w:r w:rsidRPr="00910616">
        <w:rPr>
          <w:rFonts w:ascii="Cambria" w:hAnsi="Cambria"/>
          <w:sz w:val="16"/>
          <w:szCs w:val="16"/>
          <w:lang w:val="es-VE"/>
        </w:rPr>
        <w:t xml:space="preserve">Excepción Preliminar, Fondo, Reparaciones y Costas. Sentencia de 3 de mayo de 2016. Serie C No. 311, párr. 89. </w:t>
      </w:r>
      <w:r w:rsidRPr="00910616">
        <w:rPr>
          <w:rFonts w:ascii="Cambria" w:hAnsi="Cambria"/>
          <w:sz w:val="16"/>
          <w:szCs w:val="16"/>
          <w:lang w:val="es-US"/>
        </w:rPr>
        <w:t xml:space="preserve">Corte IDH. </w:t>
      </w:r>
      <w:r w:rsidRPr="00910616">
        <w:rPr>
          <w:rFonts w:ascii="Cambria" w:hAnsi="Cambria"/>
          <w:bCs/>
          <w:sz w:val="16"/>
          <w:szCs w:val="16"/>
          <w:lang w:val="es-AR"/>
        </w:rPr>
        <w:t xml:space="preserve">Caso Baena Ricardo y otros Vs. Panamá. </w:t>
      </w:r>
      <w:r w:rsidRPr="00910616">
        <w:rPr>
          <w:rFonts w:ascii="Cambria" w:hAnsi="Cambria"/>
          <w:sz w:val="16"/>
          <w:szCs w:val="16"/>
          <w:lang w:val="es-AR"/>
        </w:rPr>
        <w:t xml:space="preserve">Fondo, Reparaciones y Costas. Sentencia de 2 de febrero de 2001. Serie C No. 72, </w:t>
      </w:r>
      <w:proofErr w:type="spellStart"/>
      <w:r w:rsidRPr="00910616">
        <w:rPr>
          <w:rFonts w:ascii="Cambria" w:hAnsi="Cambria"/>
          <w:sz w:val="16"/>
          <w:szCs w:val="16"/>
          <w:lang w:val="es-AR"/>
        </w:rPr>
        <w:t>párrs</w:t>
      </w:r>
      <w:proofErr w:type="spellEnd"/>
      <w:r w:rsidRPr="00910616">
        <w:rPr>
          <w:rFonts w:ascii="Cambria" w:hAnsi="Cambria"/>
          <w:sz w:val="16"/>
          <w:szCs w:val="16"/>
          <w:lang w:val="es-AR"/>
        </w:rPr>
        <w:t>. 106 y 108.</w:t>
      </w:r>
    </w:p>
  </w:footnote>
  <w:footnote w:id="48">
    <w:p w:rsidR="0079557B" w:rsidRPr="00910616" w:rsidRDefault="0079557B" w:rsidP="00910616">
      <w:pPr>
        <w:pStyle w:val="FootnoteText"/>
        <w:ind w:firstLine="720"/>
        <w:rPr>
          <w:rFonts w:ascii="Cambria" w:hAnsi="Cambria"/>
          <w:sz w:val="16"/>
          <w:szCs w:val="16"/>
          <w:lang w:val="es-VE"/>
        </w:rPr>
      </w:pPr>
      <w:r w:rsidRPr="00910616">
        <w:rPr>
          <w:rStyle w:val="FootnoteReference"/>
          <w:rFonts w:ascii="Cambria" w:hAnsi="Cambria"/>
          <w:sz w:val="16"/>
          <w:szCs w:val="16"/>
        </w:rPr>
        <w:footnoteRef/>
      </w:r>
      <w:r w:rsidRPr="00910616">
        <w:rPr>
          <w:rStyle w:val="FootnoteReference"/>
          <w:rFonts w:ascii="Cambria" w:hAnsi="Cambria"/>
          <w:sz w:val="16"/>
          <w:szCs w:val="16"/>
          <w:lang w:val="es-VE"/>
        </w:rPr>
        <w:t xml:space="preserve"> </w:t>
      </w:r>
      <w:r w:rsidRPr="00910616">
        <w:rPr>
          <w:rFonts w:ascii="Cambria" w:hAnsi="Cambria"/>
          <w:sz w:val="16"/>
          <w:szCs w:val="16"/>
          <w:lang w:val="es-VE"/>
        </w:rPr>
        <w:t>CIDH, Garantías para la independencia de las y los operadores de justicia. Hacia el fortalecimiento del acceso a la justicia y el estado de derecho en las Américas, OEA/</w:t>
      </w:r>
      <w:proofErr w:type="spellStart"/>
      <w:r w:rsidRPr="00910616">
        <w:rPr>
          <w:rFonts w:ascii="Cambria" w:hAnsi="Cambria"/>
          <w:sz w:val="16"/>
          <w:szCs w:val="16"/>
          <w:lang w:val="es-VE"/>
        </w:rPr>
        <w:t>ser.L</w:t>
      </w:r>
      <w:proofErr w:type="spellEnd"/>
      <w:r w:rsidRPr="00910616">
        <w:rPr>
          <w:rFonts w:ascii="Cambria" w:hAnsi="Cambria"/>
          <w:sz w:val="16"/>
          <w:szCs w:val="16"/>
          <w:lang w:val="es-VE"/>
        </w:rPr>
        <w:t>/V/II.Doc.44, 5 de diciembre de 2013, párr. 206 y 207.</w:t>
      </w:r>
    </w:p>
  </w:footnote>
  <w:footnote w:id="49">
    <w:p w:rsidR="0079557B" w:rsidRPr="00910616" w:rsidRDefault="0079557B" w:rsidP="00910616">
      <w:pPr>
        <w:pStyle w:val="FootnoteText"/>
        <w:ind w:firstLine="720"/>
        <w:rPr>
          <w:rFonts w:ascii="Cambria" w:hAnsi="Cambria"/>
          <w:b/>
          <w:sz w:val="16"/>
          <w:szCs w:val="16"/>
          <w:lang w:val="es-ES_tradnl"/>
        </w:rPr>
      </w:pPr>
      <w:r w:rsidRPr="00910616">
        <w:rPr>
          <w:rStyle w:val="FootnoteReference"/>
          <w:rFonts w:ascii="Cambria" w:hAnsi="Cambria"/>
          <w:sz w:val="16"/>
          <w:szCs w:val="16"/>
        </w:rPr>
        <w:footnoteRef/>
      </w:r>
      <w:r w:rsidRPr="00910616">
        <w:rPr>
          <w:rFonts w:ascii="Cambria" w:hAnsi="Cambria"/>
          <w:b/>
          <w:sz w:val="16"/>
          <w:szCs w:val="16"/>
          <w:lang w:val="es-VE"/>
        </w:rPr>
        <w:t xml:space="preserve"> </w:t>
      </w:r>
      <w:r w:rsidRPr="00910616">
        <w:rPr>
          <w:rStyle w:val="Strong"/>
          <w:rFonts w:ascii="Cambria" w:hAnsi="Cambria"/>
          <w:b w:val="0"/>
          <w:sz w:val="16"/>
          <w:szCs w:val="16"/>
          <w:shd w:val="clear" w:color="auto" w:fill="FFFFFF"/>
          <w:lang w:val="es-ES"/>
        </w:rPr>
        <w:t>CIDH, Garantías para la independencia de las y los operadores de justicia. Hacia el fortalecimiento del acceso a la justicia y el estado de derecho en las Américas, OEA/</w:t>
      </w:r>
      <w:proofErr w:type="spellStart"/>
      <w:r w:rsidRPr="00910616">
        <w:rPr>
          <w:rStyle w:val="Strong"/>
          <w:rFonts w:ascii="Cambria" w:hAnsi="Cambria"/>
          <w:b w:val="0"/>
          <w:sz w:val="16"/>
          <w:szCs w:val="16"/>
          <w:shd w:val="clear" w:color="auto" w:fill="FFFFFF"/>
          <w:lang w:val="es-ES"/>
        </w:rPr>
        <w:t>Ser.L</w:t>
      </w:r>
      <w:proofErr w:type="spellEnd"/>
      <w:r w:rsidRPr="00910616">
        <w:rPr>
          <w:rStyle w:val="Strong"/>
          <w:rFonts w:ascii="Cambria" w:hAnsi="Cambria"/>
          <w:b w:val="0"/>
          <w:sz w:val="16"/>
          <w:szCs w:val="16"/>
          <w:shd w:val="clear" w:color="auto" w:fill="FFFFFF"/>
          <w:lang w:val="es-ES"/>
        </w:rPr>
        <w:t>/V/II.Doc.44, 5 de diciembre de 2013, párr.209.</w:t>
      </w:r>
    </w:p>
  </w:footnote>
  <w:footnote w:id="50">
    <w:p w:rsidR="0079557B" w:rsidRPr="00910616" w:rsidRDefault="005824D6" w:rsidP="005824D6">
      <w:pPr>
        <w:pStyle w:val="FootnoteText"/>
        <w:tabs>
          <w:tab w:val="num" w:pos="0"/>
        </w:tabs>
        <w:ind w:firstLine="630"/>
        <w:jc w:val="both"/>
        <w:rPr>
          <w:rFonts w:ascii="Cambria" w:hAnsi="Cambria"/>
          <w:sz w:val="16"/>
          <w:szCs w:val="16"/>
          <w:lang w:val="es-VE"/>
        </w:rPr>
      </w:pPr>
      <w:r>
        <w:rPr>
          <w:rFonts w:ascii="Cambria" w:hAnsi="Cambria"/>
          <w:sz w:val="16"/>
          <w:szCs w:val="16"/>
          <w:lang w:val="es-VE"/>
        </w:rPr>
        <w:t xml:space="preserve"> </w:t>
      </w:r>
      <w:r w:rsidR="0079557B" w:rsidRPr="00910616">
        <w:rPr>
          <w:rStyle w:val="FootnoteReference"/>
          <w:rFonts w:ascii="Cambria" w:hAnsi="Cambria"/>
          <w:sz w:val="16"/>
          <w:szCs w:val="16"/>
        </w:rPr>
        <w:footnoteRef/>
      </w:r>
      <w:r w:rsidR="0079557B" w:rsidRPr="00910616">
        <w:rPr>
          <w:rFonts w:ascii="Cambria" w:hAnsi="Cambria"/>
          <w:sz w:val="16"/>
          <w:szCs w:val="16"/>
          <w:lang w:val="es-VE"/>
        </w:rPr>
        <w:t xml:space="preserve"> Corte IDH, Caso López </w:t>
      </w:r>
      <w:proofErr w:type="spellStart"/>
      <w:r w:rsidR="0079557B" w:rsidRPr="00910616">
        <w:rPr>
          <w:rFonts w:ascii="Cambria" w:hAnsi="Cambria"/>
          <w:sz w:val="16"/>
          <w:szCs w:val="16"/>
          <w:lang w:val="es-VE"/>
        </w:rPr>
        <w:t>Lone</w:t>
      </w:r>
      <w:proofErr w:type="spellEnd"/>
      <w:r w:rsidR="0079557B" w:rsidRPr="00910616">
        <w:rPr>
          <w:rFonts w:ascii="Cambria" w:hAnsi="Cambria"/>
          <w:sz w:val="16"/>
          <w:szCs w:val="16"/>
          <w:lang w:val="es-VE"/>
        </w:rPr>
        <w:t xml:space="preserve"> y otros Vs. </w:t>
      </w:r>
      <w:r w:rsidR="0079557B" w:rsidRPr="00910616">
        <w:rPr>
          <w:rFonts w:ascii="Cambria" w:hAnsi="Cambria"/>
          <w:sz w:val="16"/>
          <w:szCs w:val="16"/>
          <w:lang w:val="es-CO"/>
        </w:rPr>
        <w:t xml:space="preserve">Honduras. </w:t>
      </w:r>
      <w:r w:rsidR="0079557B" w:rsidRPr="00910616">
        <w:rPr>
          <w:rFonts w:ascii="Cambria" w:hAnsi="Cambria"/>
          <w:sz w:val="16"/>
          <w:szCs w:val="16"/>
          <w:lang w:val="es-VE"/>
        </w:rPr>
        <w:t>Excepción Preliminar, Fondo, Reparaciones y Costas. Sentencia de 05 de octubre de 2015. Serie C No. 302, párr. 271</w:t>
      </w:r>
      <w:r w:rsidR="0079557B" w:rsidRPr="00910616">
        <w:rPr>
          <w:rFonts w:ascii="Cambria" w:hAnsi="Cambria"/>
          <w:sz w:val="16"/>
          <w:szCs w:val="16"/>
          <w:lang w:val="es-AR"/>
        </w:rPr>
        <w:t xml:space="preserve">. </w:t>
      </w:r>
    </w:p>
  </w:footnote>
  <w:footnote w:id="51">
    <w:p w:rsidR="0079557B" w:rsidRPr="00910616" w:rsidRDefault="0079557B" w:rsidP="00910616">
      <w:pPr>
        <w:pStyle w:val="FootnoteText"/>
        <w:ind w:firstLine="634"/>
        <w:rPr>
          <w:rFonts w:ascii="Cambria" w:hAnsi="Cambria"/>
          <w:sz w:val="16"/>
          <w:szCs w:val="16"/>
          <w:lang w:val="es-VE"/>
        </w:rPr>
      </w:pPr>
      <w:r w:rsidRPr="00910616">
        <w:rPr>
          <w:rStyle w:val="FootnoteReference"/>
          <w:rFonts w:ascii="Cambria" w:hAnsi="Cambria"/>
          <w:sz w:val="16"/>
          <w:szCs w:val="16"/>
        </w:rPr>
        <w:footnoteRef/>
      </w:r>
      <w:r>
        <w:rPr>
          <w:rFonts w:ascii="Cambria" w:hAnsi="Cambria"/>
          <w:sz w:val="16"/>
          <w:szCs w:val="16"/>
          <w:lang w:val="es-VE"/>
        </w:rPr>
        <w:t xml:space="preserve"> El artículo 13.2 de la C</w:t>
      </w:r>
      <w:r w:rsidRPr="00910616">
        <w:rPr>
          <w:rFonts w:ascii="Cambria" w:hAnsi="Cambria"/>
          <w:sz w:val="16"/>
          <w:szCs w:val="16"/>
          <w:lang w:val="es-VE"/>
        </w:rPr>
        <w:t xml:space="preserve">onvención Americana establece que el ejercicio del derecho previsto en el inciso precedente no puede estar sujeto a previa censura sino a responsabilidades ulteriores, las que debe estar expresamente fijadas por la ley y ser necesarias para asegurar: a) el respeto a los derechos o a la reputación de los demás, o; b) la protección de la seguridad nacional, el orden público o la salud o la moral públicas.  </w:t>
      </w:r>
    </w:p>
  </w:footnote>
  <w:footnote w:id="52">
    <w:p w:rsidR="0079557B" w:rsidRPr="00910616" w:rsidRDefault="0079557B" w:rsidP="00910616">
      <w:pPr>
        <w:pStyle w:val="FootnoteText"/>
        <w:ind w:firstLine="634"/>
        <w:rPr>
          <w:rFonts w:ascii="Cambria" w:hAnsi="Cambria"/>
          <w:sz w:val="16"/>
          <w:szCs w:val="16"/>
          <w:lang w:val="es-VE"/>
        </w:rPr>
      </w:pPr>
      <w:r w:rsidRPr="00910616">
        <w:rPr>
          <w:rStyle w:val="FootnoteReference"/>
          <w:rFonts w:ascii="Cambria" w:hAnsi="Cambria"/>
          <w:sz w:val="16"/>
          <w:szCs w:val="16"/>
        </w:rPr>
        <w:footnoteRef/>
      </w:r>
      <w:r w:rsidRPr="00910616">
        <w:rPr>
          <w:rFonts w:ascii="Cambria" w:hAnsi="Cambria"/>
          <w:sz w:val="16"/>
          <w:szCs w:val="16"/>
          <w:lang w:val="es-VE"/>
        </w:rPr>
        <w:t xml:space="preserve"> CIDH,  Informe no. 103/13, Caso 12.816, Informe de Fondo, Adán Guillermo López </w:t>
      </w:r>
      <w:proofErr w:type="spellStart"/>
      <w:r w:rsidRPr="00910616">
        <w:rPr>
          <w:rFonts w:ascii="Cambria" w:hAnsi="Cambria"/>
          <w:sz w:val="16"/>
          <w:szCs w:val="16"/>
          <w:lang w:val="es-VE"/>
        </w:rPr>
        <w:t>Lone</w:t>
      </w:r>
      <w:proofErr w:type="spellEnd"/>
      <w:r w:rsidRPr="00910616">
        <w:rPr>
          <w:rFonts w:ascii="Cambria" w:hAnsi="Cambria"/>
          <w:sz w:val="16"/>
          <w:szCs w:val="16"/>
          <w:lang w:val="es-VE"/>
        </w:rPr>
        <w:t xml:space="preserve"> y otros, Honduras</w:t>
      </w:r>
      <w:r>
        <w:rPr>
          <w:rFonts w:ascii="Cambria" w:hAnsi="Cambria"/>
          <w:sz w:val="16"/>
          <w:szCs w:val="16"/>
          <w:lang w:val="es-VE"/>
        </w:rPr>
        <w:t xml:space="preserve">, </w:t>
      </w:r>
      <w:r w:rsidRPr="00910616">
        <w:rPr>
          <w:rFonts w:ascii="Cambria" w:hAnsi="Cambria"/>
          <w:sz w:val="16"/>
          <w:szCs w:val="16"/>
          <w:lang w:val="es-VE"/>
        </w:rPr>
        <w:t>OEA/</w:t>
      </w:r>
      <w:proofErr w:type="spellStart"/>
      <w:r w:rsidRPr="00910616">
        <w:rPr>
          <w:rFonts w:ascii="Cambria" w:hAnsi="Cambria"/>
          <w:sz w:val="16"/>
          <w:szCs w:val="16"/>
          <w:lang w:val="es-VE"/>
        </w:rPr>
        <w:t>Ser.L</w:t>
      </w:r>
      <w:proofErr w:type="spellEnd"/>
      <w:r w:rsidRPr="00910616">
        <w:rPr>
          <w:rFonts w:ascii="Cambria" w:hAnsi="Cambria"/>
          <w:sz w:val="16"/>
          <w:szCs w:val="16"/>
          <w:lang w:val="es-VE"/>
        </w:rPr>
        <w:t>/V/II.149, Doc.27, 5 de noviembre de 2013, párr.201.</w:t>
      </w:r>
      <w:r w:rsidRPr="00910616">
        <w:rPr>
          <w:rFonts w:ascii="Cambria" w:hAnsi="Cambria"/>
          <w:sz w:val="16"/>
          <w:szCs w:val="16"/>
          <w:lang w:val="es-VE"/>
        </w:rPr>
        <w:tab/>
      </w:r>
    </w:p>
  </w:footnote>
  <w:footnote w:id="53">
    <w:p w:rsidR="0079557B" w:rsidRPr="009012AD" w:rsidRDefault="0079557B" w:rsidP="00910616">
      <w:pPr>
        <w:pStyle w:val="FootnoteText"/>
        <w:ind w:firstLine="634"/>
        <w:rPr>
          <w:rFonts w:ascii="Cambria" w:hAnsi="Cambria"/>
          <w:sz w:val="16"/>
          <w:szCs w:val="16"/>
          <w:lang w:val="es-ES_tradnl"/>
        </w:rPr>
      </w:pPr>
      <w:r w:rsidRPr="009012AD">
        <w:rPr>
          <w:rStyle w:val="FootnoteReference"/>
          <w:rFonts w:ascii="Cambria" w:hAnsi="Cambria"/>
          <w:sz w:val="16"/>
          <w:szCs w:val="16"/>
        </w:rPr>
        <w:footnoteRef/>
      </w:r>
      <w:r w:rsidRPr="009012AD">
        <w:rPr>
          <w:rFonts w:ascii="Cambria" w:hAnsi="Cambria"/>
          <w:sz w:val="16"/>
          <w:szCs w:val="16"/>
          <w:lang w:val="es-VE"/>
        </w:rPr>
        <w:t xml:space="preserve"> CIDH, Garantías para la independencia de las y los operadores de justicia. Hacia el fortalecimiento del acceso a la justicia y el Estado de Derecho en las Américas, OEA/</w:t>
      </w:r>
      <w:proofErr w:type="spellStart"/>
      <w:r w:rsidRPr="009012AD">
        <w:rPr>
          <w:rFonts w:ascii="Cambria" w:hAnsi="Cambria"/>
          <w:sz w:val="16"/>
          <w:szCs w:val="16"/>
          <w:lang w:val="es-VE"/>
        </w:rPr>
        <w:t>Ser.L</w:t>
      </w:r>
      <w:proofErr w:type="spellEnd"/>
      <w:r w:rsidRPr="009012AD">
        <w:rPr>
          <w:rFonts w:ascii="Cambria" w:hAnsi="Cambria"/>
          <w:sz w:val="16"/>
          <w:szCs w:val="16"/>
          <w:lang w:val="es-VE"/>
        </w:rPr>
        <w:t xml:space="preserve">/V/II.Doc.44, 5 de diciembre de 2013; ver también CIDH, Informe No. 43/15, Caso 12.632. Fondo (Publicación). Adriana Beatriz Gallo, Ana María Careaga y Silvia </w:t>
      </w:r>
      <w:proofErr w:type="spellStart"/>
      <w:r w:rsidRPr="009012AD">
        <w:rPr>
          <w:rFonts w:ascii="Cambria" w:hAnsi="Cambria"/>
          <w:sz w:val="16"/>
          <w:szCs w:val="16"/>
          <w:lang w:val="es-VE"/>
        </w:rPr>
        <w:t>Maluf</w:t>
      </w:r>
      <w:proofErr w:type="spellEnd"/>
      <w:r w:rsidRPr="009012AD">
        <w:rPr>
          <w:rFonts w:ascii="Cambria" w:hAnsi="Cambria"/>
          <w:sz w:val="16"/>
          <w:szCs w:val="16"/>
          <w:lang w:val="es-VE"/>
        </w:rPr>
        <w:t xml:space="preserve"> de </w:t>
      </w:r>
      <w:proofErr w:type="spellStart"/>
      <w:r w:rsidRPr="009012AD">
        <w:rPr>
          <w:rFonts w:ascii="Cambria" w:hAnsi="Cambria"/>
          <w:sz w:val="16"/>
          <w:szCs w:val="16"/>
          <w:lang w:val="es-VE"/>
        </w:rPr>
        <w:t>Christin</w:t>
      </w:r>
      <w:proofErr w:type="spellEnd"/>
      <w:r w:rsidRPr="009012AD">
        <w:rPr>
          <w:rFonts w:ascii="Cambria" w:hAnsi="Cambria"/>
          <w:sz w:val="16"/>
          <w:szCs w:val="16"/>
          <w:lang w:val="es-VE"/>
        </w:rPr>
        <w:t>. Argentina, 28 de julio de 2015, párr.234.</w:t>
      </w:r>
    </w:p>
  </w:footnote>
  <w:footnote w:id="54">
    <w:p w:rsidR="0079557B" w:rsidRPr="009012AD" w:rsidRDefault="0079557B" w:rsidP="00C96CED">
      <w:pPr>
        <w:pStyle w:val="FootnoteText"/>
        <w:ind w:firstLine="634"/>
        <w:rPr>
          <w:lang w:val="es-VE"/>
        </w:rPr>
      </w:pPr>
      <w:r w:rsidRPr="00121C28">
        <w:rPr>
          <w:rStyle w:val="FootnoteReference"/>
          <w:rFonts w:ascii="Cambria" w:hAnsi="Cambria"/>
          <w:sz w:val="16"/>
          <w:szCs w:val="16"/>
        </w:rPr>
        <w:footnoteRef/>
      </w:r>
      <w:r w:rsidRPr="009012AD">
        <w:rPr>
          <w:lang w:val="es-VE"/>
        </w:rPr>
        <w:t xml:space="preserve"> </w:t>
      </w:r>
      <w:r w:rsidRPr="009012AD">
        <w:rPr>
          <w:rFonts w:ascii="Cambria" w:hAnsi="Cambria"/>
          <w:sz w:val="16"/>
          <w:szCs w:val="16"/>
          <w:lang w:val="es-VE"/>
        </w:rPr>
        <w:t xml:space="preserve">Corte IDH, Caso López </w:t>
      </w:r>
      <w:proofErr w:type="spellStart"/>
      <w:r w:rsidRPr="009012AD">
        <w:rPr>
          <w:rFonts w:ascii="Cambria" w:hAnsi="Cambria"/>
          <w:sz w:val="16"/>
          <w:szCs w:val="16"/>
          <w:lang w:val="es-VE"/>
        </w:rPr>
        <w:t>Lone</w:t>
      </w:r>
      <w:proofErr w:type="spellEnd"/>
      <w:r w:rsidRPr="009012AD">
        <w:rPr>
          <w:rFonts w:ascii="Cambria" w:hAnsi="Cambria"/>
          <w:sz w:val="16"/>
          <w:szCs w:val="16"/>
          <w:lang w:val="es-VE"/>
        </w:rPr>
        <w:t xml:space="preserve"> y otros vs. Honduras, Excepción Preliminar, Fondo, Reparaciones y Costas. Sentencia de 5 de octubre de 2015. Serie C No. 302, </w:t>
      </w:r>
      <w:proofErr w:type="spellStart"/>
      <w:r w:rsidRPr="009012AD">
        <w:rPr>
          <w:rFonts w:ascii="Cambria" w:hAnsi="Cambria"/>
          <w:sz w:val="16"/>
          <w:szCs w:val="16"/>
          <w:lang w:val="es-VE"/>
        </w:rPr>
        <w:t>párrs</w:t>
      </w:r>
      <w:proofErr w:type="spellEnd"/>
      <w:r w:rsidRPr="009012AD">
        <w:rPr>
          <w:rFonts w:ascii="Cambria" w:hAnsi="Cambria"/>
          <w:sz w:val="16"/>
          <w:szCs w:val="16"/>
          <w:lang w:val="es-VE"/>
        </w:rPr>
        <w:t>. 165.</w:t>
      </w:r>
    </w:p>
  </w:footnote>
  <w:footnote w:id="55">
    <w:p w:rsidR="000E1E4F" w:rsidRPr="009012AD" w:rsidRDefault="000E1E4F" w:rsidP="000E1E4F">
      <w:pPr>
        <w:pStyle w:val="FootnoteText"/>
        <w:ind w:firstLine="634"/>
        <w:rPr>
          <w:lang w:val="es-VE"/>
        </w:rPr>
      </w:pPr>
      <w:r w:rsidRPr="00121C28">
        <w:rPr>
          <w:rStyle w:val="FootnoteReference"/>
          <w:rFonts w:ascii="Cambria" w:hAnsi="Cambria"/>
          <w:sz w:val="16"/>
          <w:szCs w:val="16"/>
        </w:rPr>
        <w:footnoteRef/>
      </w:r>
      <w:r w:rsidRPr="009012AD">
        <w:rPr>
          <w:lang w:val="es-VE"/>
        </w:rPr>
        <w:t xml:space="preserve"> </w:t>
      </w:r>
      <w:r w:rsidRPr="009012AD">
        <w:rPr>
          <w:rFonts w:ascii="Cambria" w:hAnsi="Cambria"/>
          <w:sz w:val="16"/>
          <w:szCs w:val="16"/>
          <w:lang w:val="es-VE"/>
        </w:rPr>
        <w:t xml:space="preserve">Corte IDH, Caso López </w:t>
      </w:r>
      <w:proofErr w:type="spellStart"/>
      <w:r w:rsidRPr="009012AD">
        <w:rPr>
          <w:rFonts w:ascii="Cambria" w:hAnsi="Cambria"/>
          <w:sz w:val="16"/>
          <w:szCs w:val="16"/>
          <w:lang w:val="es-VE"/>
        </w:rPr>
        <w:t>Lone</w:t>
      </w:r>
      <w:proofErr w:type="spellEnd"/>
      <w:r w:rsidRPr="009012AD">
        <w:rPr>
          <w:rFonts w:ascii="Cambria" w:hAnsi="Cambria"/>
          <w:sz w:val="16"/>
          <w:szCs w:val="16"/>
          <w:lang w:val="es-VE"/>
        </w:rPr>
        <w:t xml:space="preserve"> y otros vs. Honduras, Excepción Preliminar, Fondo, Reparaciones y Costas. Sentencia de 5 de octubre de 2</w:t>
      </w:r>
      <w:r>
        <w:rPr>
          <w:rFonts w:ascii="Cambria" w:hAnsi="Cambria"/>
          <w:sz w:val="16"/>
          <w:szCs w:val="16"/>
          <w:lang w:val="es-VE"/>
        </w:rPr>
        <w:t>015. Serie C No. 302, párr. 148</w:t>
      </w:r>
      <w:r w:rsidRPr="009012AD">
        <w:rPr>
          <w:rFonts w:ascii="Cambria" w:hAnsi="Cambria"/>
          <w:sz w:val="16"/>
          <w:szCs w:val="16"/>
          <w:lang w:val="es-VE"/>
        </w:rPr>
        <w:t>.</w:t>
      </w:r>
    </w:p>
  </w:footnote>
  <w:footnote w:id="56">
    <w:p w:rsidR="0079557B" w:rsidRPr="00910616" w:rsidRDefault="0079557B" w:rsidP="00910616">
      <w:pPr>
        <w:pStyle w:val="FootnoteText"/>
        <w:ind w:firstLine="634"/>
        <w:rPr>
          <w:rFonts w:ascii="Cambria" w:hAnsi="Cambria"/>
          <w:sz w:val="16"/>
          <w:szCs w:val="16"/>
          <w:lang w:val="es-VE"/>
        </w:rPr>
      </w:pPr>
      <w:r w:rsidRPr="009012AD">
        <w:rPr>
          <w:rStyle w:val="FootnoteReference"/>
          <w:rFonts w:ascii="Cambria" w:hAnsi="Cambria"/>
          <w:sz w:val="16"/>
          <w:szCs w:val="16"/>
        </w:rPr>
        <w:footnoteRef/>
      </w:r>
      <w:r w:rsidRPr="009012AD">
        <w:rPr>
          <w:rFonts w:ascii="Cambria" w:hAnsi="Cambria"/>
          <w:sz w:val="16"/>
          <w:szCs w:val="16"/>
          <w:lang w:val="es-VE"/>
        </w:rPr>
        <w:t xml:space="preserve"> Corte IDH, Caso López </w:t>
      </w:r>
      <w:proofErr w:type="spellStart"/>
      <w:r w:rsidRPr="009012AD">
        <w:rPr>
          <w:rFonts w:ascii="Cambria" w:hAnsi="Cambria"/>
          <w:sz w:val="16"/>
          <w:szCs w:val="16"/>
          <w:lang w:val="es-VE"/>
        </w:rPr>
        <w:t>Lone</w:t>
      </w:r>
      <w:proofErr w:type="spellEnd"/>
      <w:r w:rsidRPr="009012AD">
        <w:rPr>
          <w:rFonts w:ascii="Cambria" w:hAnsi="Cambria"/>
          <w:sz w:val="16"/>
          <w:szCs w:val="16"/>
          <w:lang w:val="es-VE"/>
        </w:rPr>
        <w:t xml:space="preserve"> y otros vs. Honduras, Excepción Preliminar, Fondo, Reparaciones y Costas. Sentencia de 5 de octubre de 2015. Serie C No. 302, </w:t>
      </w:r>
      <w:proofErr w:type="spellStart"/>
      <w:r w:rsidRPr="009012AD">
        <w:rPr>
          <w:rFonts w:ascii="Cambria" w:hAnsi="Cambria"/>
          <w:sz w:val="16"/>
          <w:szCs w:val="16"/>
          <w:lang w:val="es-VE"/>
        </w:rPr>
        <w:t>párrs</w:t>
      </w:r>
      <w:proofErr w:type="spellEnd"/>
      <w:r w:rsidRPr="009012AD">
        <w:rPr>
          <w:rFonts w:ascii="Cambria" w:hAnsi="Cambria"/>
          <w:sz w:val="16"/>
          <w:szCs w:val="16"/>
          <w:lang w:val="es-VE"/>
        </w:rPr>
        <w:t>. 157 y 163.</w:t>
      </w:r>
      <w:r w:rsidRPr="00910616">
        <w:rPr>
          <w:rFonts w:ascii="Cambria" w:hAnsi="Cambria"/>
          <w:sz w:val="16"/>
          <w:szCs w:val="16"/>
          <w:lang w:val="es-VE"/>
        </w:rPr>
        <w:t xml:space="preserve"> </w:t>
      </w:r>
    </w:p>
  </w:footnote>
  <w:footnote w:id="57">
    <w:p w:rsidR="0079557B" w:rsidRPr="00910616" w:rsidRDefault="006E26D1" w:rsidP="00C96CED">
      <w:pPr>
        <w:pStyle w:val="FootnoteText"/>
        <w:ind w:firstLine="634"/>
        <w:rPr>
          <w:rFonts w:ascii="Cambria" w:hAnsi="Cambria"/>
          <w:sz w:val="16"/>
          <w:szCs w:val="16"/>
          <w:lang w:val="es-VE"/>
        </w:rPr>
      </w:pPr>
      <w:hyperlink r:id="rId5" w:history="1">
        <w:r w:rsidR="0079557B" w:rsidRPr="00910616">
          <w:rPr>
            <w:rStyle w:val="Hyperlink"/>
            <w:rFonts w:ascii="Cambria" w:hAnsi="Cambria"/>
            <w:sz w:val="16"/>
            <w:szCs w:val="16"/>
            <w:vertAlign w:val="superscript"/>
          </w:rPr>
          <w:footnoteRef/>
        </w:r>
        <w:r w:rsidR="0079557B" w:rsidRPr="00910616">
          <w:rPr>
            <w:rStyle w:val="Hyperlink"/>
            <w:rFonts w:ascii="Cambria" w:hAnsi="Cambria"/>
            <w:sz w:val="16"/>
            <w:szCs w:val="16"/>
            <w:lang w:val="es-VE"/>
          </w:rPr>
          <w:t xml:space="preserve"> Declaración conjunta del Relator Especial de la ONU sobre la Libertad de Opinión y Expresión, el Representante de la OSCE sobre la Libertad de Prensa y el Relator Especial de la OEA sobre Libertad de Expresión</w:t>
        </w:r>
      </w:hyperlink>
      <w:r w:rsidR="0079557B" w:rsidRPr="00910616">
        <w:rPr>
          <w:rFonts w:ascii="Cambria" w:hAnsi="Cambria"/>
          <w:sz w:val="16"/>
          <w:szCs w:val="16"/>
          <w:lang w:val="es-VE"/>
        </w:rPr>
        <w:t xml:space="preserve">, 2002. </w:t>
      </w:r>
    </w:p>
  </w:footnote>
  <w:footnote w:id="58">
    <w:p w:rsidR="0079557B" w:rsidRPr="00910616" w:rsidRDefault="0079557B" w:rsidP="003D3CF5">
      <w:pPr>
        <w:pStyle w:val="FootnoteText"/>
        <w:ind w:firstLine="634"/>
        <w:rPr>
          <w:rFonts w:ascii="Cambria" w:hAnsi="Cambria"/>
          <w:sz w:val="16"/>
          <w:szCs w:val="16"/>
          <w:lang w:val="es-VE"/>
        </w:rPr>
      </w:pPr>
      <w:r w:rsidRPr="00910616">
        <w:rPr>
          <w:rStyle w:val="FootnoteReference"/>
          <w:rFonts w:ascii="Cambria" w:hAnsi="Cambria"/>
          <w:sz w:val="16"/>
          <w:szCs w:val="16"/>
        </w:rPr>
        <w:footnoteRef/>
      </w:r>
      <w:r w:rsidRPr="00910616">
        <w:rPr>
          <w:rFonts w:ascii="Cambria" w:hAnsi="Cambria"/>
          <w:sz w:val="16"/>
          <w:szCs w:val="16"/>
          <w:lang w:val="es-VE"/>
        </w:rPr>
        <w:t xml:space="preserve"> </w:t>
      </w:r>
      <w:hyperlink r:id="rId6" w:history="1">
        <w:r w:rsidRPr="00910616">
          <w:rPr>
            <w:rStyle w:val="Hyperlink"/>
            <w:rFonts w:ascii="Cambria" w:hAnsi="Cambria"/>
            <w:sz w:val="16"/>
            <w:szCs w:val="16"/>
            <w:lang w:val="es-VE"/>
          </w:rPr>
          <w:t>Principios de Bangalore sobre la conducta judicial</w:t>
        </w:r>
      </w:hyperlink>
      <w:r w:rsidRPr="00910616">
        <w:rPr>
          <w:rFonts w:ascii="Cambria" w:hAnsi="Cambria"/>
          <w:sz w:val="16"/>
          <w:szCs w:val="16"/>
          <w:lang w:val="es-VE"/>
        </w:rPr>
        <w:t xml:space="preserve">, 2002; Ver también  Oficina de las Naciones Unidas contra la Droga y el Delito, </w:t>
      </w:r>
      <w:hyperlink r:id="rId7" w:history="1">
        <w:r w:rsidRPr="00910616">
          <w:rPr>
            <w:rStyle w:val="Hyperlink"/>
            <w:rFonts w:ascii="Cambria" w:hAnsi="Cambria"/>
            <w:sz w:val="16"/>
            <w:szCs w:val="16"/>
            <w:lang w:val="es-VE"/>
          </w:rPr>
          <w:t>Comentario relativo a los Principios de Bangalore sobre la conducta judicial</w:t>
        </w:r>
      </w:hyperlink>
      <w:r w:rsidRPr="00910616">
        <w:rPr>
          <w:rFonts w:ascii="Cambria" w:hAnsi="Cambria"/>
          <w:sz w:val="16"/>
          <w:szCs w:val="16"/>
          <w:lang w:val="es-VE"/>
        </w:rPr>
        <w:t xml:space="preserve">, 2013. </w:t>
      </w:r>
    </w:p>
  </w:footnote>
  <w:footnote w:id="59">
    <w:p w:rsidR="0079557B" w:rsidRPr="00910616" w:rsidRDefault="0079557B" w:rsidP="00910616">
      <w:pPr>
        <w:pStyle w:val="FootnoteText"/>
        <w:ind w:firstLine="634"/>
        <w:rPr>
          <w:rFonts w:ascii="Cambria" w:hAnsi="Cambria"/>
          <w:sz w:val="16"/>
          <w:szCs w:val="16"/>
          <w:lang w:val="es-VE"/>
        </w:rPr>
      </w:pPr>
      <w:r w:rsidRPr="00910616">
        <w:rPr>
          <w:rStyle w:val="FootnoteReference"/>
          <w:rFonts w:ascii="Cambria" w:hAnsi="Cambria"/>
          <w:sz w:val="16"/>
          <w:szCs w:val="16"/>
        </w:rPr>
        <w:footnoteRef/>
      </w:r>
      <w:r w:rsidRPr="00910616">
        <w:rPr>
          <w:rFonts w:ascii="Cambria" w:hAnsi="Cambria"/>
          <w:sz w:val="16"/>
          <w:szCs w:val="16"/>
          <w:lang w:val="es-VE"/>
        </w:rPr>
        <w:t xml:space="preserve"> Principio 8, Principios Básicos de las Naciones Unidas Relativos a la Independencia de la Judicatura adoptados por el Séptimo Congreso de las Naciones Unidas sobre Prevención del Delito y Tratamiento del Delincuente, celebrado en Milán, Italia, del 26 de agosto</w:t>
      </w:r>
      <w:r w:rsidR="005824D6">
        <w:rPr>
          <w:rFonts w:ascii="Cambria" w:hAnsi="Cambria"/>
          <w:sz w:val="16"/>
          <w:szCs w:val="16"/>
          <w:lang w:val="es-VE"/>
        </w:rPr>
        <w:t>.</w:t>
      </w:r>
      <w:r w:rsidRPr="00910616">
        <w:rPr>
          <w:rFonts w:ascii="Cambria" w:hAnsi="Cambria"/>
          <w:sz w:val="16"/>
          <w:szCs w:val="16"/>
          <w:lang w:val="es-VE"/>
        </w:rPr>
        <w:t xml:space="preserve"> al 6 de septiembre de 1985, y confirmados por la Asamblea General en sus resoluciones 40/32 del 29 de noviembre de 1985 y 40/146 del 13 de diciembre de 1985. </w:t>
      </w:r>
      <w:r w:rsidRPr="00910616">
        <w:rPr>
          <w:rFonts w:ascii="Cambria" w:hAnsi="Cambria"/>
          <w:sz w:val="16"/>
          <w:szCs w:val="16"/>
          <w:lang w:val="es-VE"/>
        </w:rPr>
        <w:tab/>
      </w:r>
      <w:r w:rsidRPr="00910616">
        <w:rPr>
          <w:rFonts w:ascii="Cambria" w:hAnsi="Cambria"/>
          <w:sz w:val="16"/>
          <w:szCs w:val="16"/>
          <w:lang w:val="es-VE"/>
        </w:rPr>
        <w:tab/>
      </w:r>
    </w:p>
  </w:footnote>
  <w:footnote w:id="60">
    <w:p w:rsidR="0079557B" w:rsidRPr="00910616" w:rsidRDefault="0079557B" w:rsidP="00910616">
      <w:pPr>
        <w:pStyle w:val="NormalWeb"/>
        <w:spacing w:before="0" w:beforeAutospacing="0" w:after="0" w:afterAutospacing="0"/>
        <w:ind w:firstLine="634"/>
        <w:rPr>
          <w:rFonts w:ascii="Cambria" w:hAnsi="Cambria"/>
          <w:sz w:val="16"/>
          <w:szCs w:val="16"/>
          <w:lang w:val="es-VE"/>
        </w:rPr>
      </w:pPr>
      <w:r w:rsidRPr="00910616">
        <w:rPr>
          <w:rStyle w:val="FootnoteReference"/>
          <w:rFonts w:ascii="Cambria" w:hAnsi="Cambria"/>
          <w:sz w:val="16"/>
          <w:szCs w:val="16"/>
        </w:rPr>
        <w:footnoteRef/>
      </w:r>
      <w:r w:rsidRPr="00910616">
        <w:rPr>
          <w:rFonts w:ascii="Cambria" w:hAnsi="Cambria"/>
          <w:sz w:val="16"/>
          <w:szCs w:val="16"/>
          <w:lang w:val="es-VE"/>
        </w:rPr>
        <w:t xml:space="preserve"> Tribunal Europeo de Derechos Humanos, Case of </w:t>
      </w:r>
      <w:proofErr w:type="spellStart"/>
      <w:r w:rsidRPr="00910616">
        <w:rPr>
          <w:rFonts w:ascii="Cambria" w:hAnsi="Cambria"/>
          <w:sz w:val="16"/>
          <w:szCs w:val="16"/>
          <w:lang w:val="es-VE"/>
        </w:rPr>
        <w:t>Baka</w:t>
      </w:r>
      <w:proofErr w:type="spellEnd"/>
      <w:r w:rsidRPr="00910616">
        <w:rPr>
          <w:rFonts w:ascii="Cambria" w:hAnsi="Cambria"/>
          <w:sz w:val="16"/>
          <w:szCs w:val="16"/>
          <w:lang w:val="es-VE"/>
        </w:rPr>
        <w:t xml:space="preserve"> v. </w:t>
      </w:r>
      <w:proofErr w:type="spellStart"/>
      <w:r w:rsidRPr="00910616">
        <w:rPr>
          <w:rFonts w:ascii="Cambria" w:hAnsi="Cambria"/>
          <w:sz w:val="16"/>
          <w:szCs w:val="16"/>
          <w:lang w:val="es-VE"/>
        </w:rPr>
        <w:t>Hungary</w:t>
      </w:r>
      <w:proofErr w:type="spellEnd"/>
      <w:r w:rsidRPr="00910616">
        <w:rPr>
          <w:rFonts w:ascii="Cambria" w:hAnsi="Cambria"/>
          <w:sz w:val="16"/>
          <w:szCs w:val="16"/>
          <w:lang w:val="es-VE"/>
        </w:rPr>
        <w:t xml:space="preserve">, </w:t>
      </w:r>
      <w:proofErr w:type="spellStart"/>
      <w:r w:rsidRPr="00910616">
        <w:rPr>
          <w:rFonts w:ascii="Cambria" w:hAnsi="Cambria"/>
          <w:sz w:val="16"/>
          <w:szCs w:val="16"/>
          <w:lang w:val="es-VE"/>
        </w:rPr>
        <w:t>Application</w:t>
      </w:r>
      <w:proofErr w:type="spellEnd"/>
      <w:r w:rsidRPr="00910616">
        <w:rPr>
          <w:rFonts w:ascii="Cambria" w:hAnsi="Cambria"/>
          <w:sz w:val="16"/>
          <w:szCs w:val="16"/>
          <w:lang w:val="es-VE"/>
        </w:rPr>
        <w:t xml:space="preserve"> no 20261/15, decisión del 23 de junio de 2016, párr.159.</w:t>
      </w:r>
    </w:p>
  </w:footnote>
  <w:footnote w:id="61">
    <w:p w:rsidR="0079557B" w:rsidRPr="00910616" w:rsidRDefault="0079557B" w:rsidP="00910616">
      <w:pPr>
        <w:pStyle w:val="NormalWeb"/>
        <w:spacing w:before="0" w:beforeAutospacing="0" w:after="0" w:afterAutospacing="0"/>
        <w:ind w:firstLine="634"/>
        <w:rPr>
          <w:rFonts w:ascii="Cambria" w:hAnsi="Cambria"/>
          <w:sz w:val="16"/>
          <w:szCs w:val="16"/>
          <w:lang w:val="es-VE"/>
        </w:rPr>
      </w:pPr>
      <w:r w:rsidRPr="00910616">
        <w:rPr>
          <w:rStyle w:val="FootnoteReference"/>
          <w:rFonts w:ascii="Cambria" w:hAnsi="Cambria"/>
          <w:sz w:val="16"/>
          <w:szCs w:val="16"/>
        </w:rPr>
        <w:footnoteRef/>
      </w:r>
      <w:r w:rsidRPr="00910616">
        <w:rPr>
          <w:rFonts w:ascii="Cambria" w:hAnsi="Cambria"/>
          <w:sz w:val="16"/>
          <w:szCs w:val="16"/>
          <w:lang w:val="es-VE"/>
        </w:rPr>
        <w:t xml:space="preserve"> Tribunal Europeo de Derechos Humanos</w:t>
      </w:r>
      <w:r w:rsidRPr="00910616">
        <w:rPr>
          <w:rFonts w:ascii="Cambria" w:hAnsi="Cambria"/>
          <w:i/>
          <w:iCs/>
          <w:sz w:val="16"/>
          <w:szCs w:val="16"/>
          <w:lang w:val="es-VE"/>
        </w:rPr>
        <w:t xml:space="preserve">, Case of </w:t>
      </w:r>
      <w:proofErr w:type="spellStart"/>
      <w:r w:rsidRPr="00910616">
        <w:rPr>
          <w:rFonts w:ascii="Cambria" w:hAnsi="Cambria"/>
          <w:i/>
          <w:iCs/>
          <w:sz w:val="16"/>
          <w:szCs w:val="16"/>
          <w:lang w:val="es-VE"/>
        </w:rPr>
        <w:t>Kudeshina</w:t>
      </w:r>
      <w:proofErr w:type="spellEnd"/>
      <w:r w:rsidRPr="00910616">
        <w:rPr>
          <w:rFonts w:ascii="Cambria" w:hAnsi="Cambria"/>
          <w:i/>
          <w:iCs/>
          <w:sz w:val="16"/>
          <w:szCs w:val="16"/>
          <w:lang w:val="es-VE"/>
        </w:rPr>
        <w:t xml:space="preserve"> vs. </w:t>
      </w:r>
      <w:proofErr w:type="spellStart"/>
      <w:r w:rsidRPr="00910616">
        <w:rPr>
          <w:rFonts w:ascii="Cambria" w:hAnsi="Cambria"/>
          <w:i/>
          <w:iCs/>
          <w:sz w:val="16"/>
          <w:szCs w:val="16"/>
          <w:lang w:val="es-VE"/>
        </w:rPr>
        <w:t>Russia</w:t>
      </w:r>
      <w:proofErr w:type="spellEnd"/>
      <w:r w:rsidRPr="00910616">
        <w:rPr>
          <w:rFonts w:ascii="Cambria" w:hAnsi="Cambria"/>
          <w:sz w:val="16"/>
          <w:szCs w:val="16"/>
          <w:lang w:val="es-VE"/>
        </w:rPr>
        <w:t xml:space="preserve">, </w:t>
      </w:r>
      <w:proofErr w:type="spellStart"/>
      <w:r w:rsidRPr="00910616">
        <w:rPr>
          <w:rFonts w:ascii="Cambria" w:hAnsi="Cambria"/>
          <w:sz w:val="16"/>
          <w:szCs w:val="16"/>
          <w:lang w:val="es-VE"/>
        </w:rPr>
        <w:t>decisión</w:t>
      </w:r>
      <w:proofErr w:type="spellEnd"/>
      <w:r w:rsidRPr="00910616">
        <w:rPr>
          <w:rFonts w:ascii="Cambria" w:hAnsi="Cambria"/>
          <w:sz w:val="16"/>
          <w:szCs w:val="16"/>
          <w:lang w:val="es-VE"/>
        </w:rPr>
        <w:t xml:space="preserve"> del 26 de febrero de 2009, párr.86 y </w:t>
      </w:r>
      <w:proofErr w:type="spellStart"/>
      <w:r w:rsidRPr="00910616">
        <w:rPr>
          <w:rFonts w:ascii="Cambria" w:hAnsi="Cambria"/>
          <w:sz w:val="16"/>
          <w:szCs w:val="16"/>
          <w:lang w:val="es-VE"/>
        </w:rPr>
        <w:t>ss</w:t>
      </w:r>
      <w:proofErr w:type="spellEnd"/>
      <w:r w:rsidRPr="00910616">
        <w:rPr>
          <w:rFonts w:ascii="Cambria" w:hAnsi="Cambria"/>
          <w:sz w:val="16"/>
          <w:szCs w:val="16"/>
          <w:lang w:val="es-VE"/>
        </w:rPr>
        <w:t xml:space="preserve">; ver también Tribunal Europeo de Derechos Humanos, Case of </w:t>
      </w:r>
      <w:proofErr w:type="spellStart"/>
      <w:r w:rsidRPr="00910616">
        <w:rPr>
          <w:rFonts w:ascii="Cambria" w:hAnsi="Cambria"/>
          <w:sz w:val="16"/>
          <w:szCs w:val="16"/>
          <w:lang w:val="es-VE"/>
        </w:rPr>
        <w:t>Baka</w:t>
      </w:r>
      <w:proofErr w:type="spellEnd"/>
      <w:r w:rsidRPr="00910616">
        <w:rPr>
          <w:rFonts w:ascii="Cambria" w:hAnsi="Cambria"/>
          <w:sz w:val="16"/>
          <w:szCs w:val="16"/>
          <w:lang w:val="es-VE"/>
        </w:rPr>
        <w:t xml:space="preserve"> v. </w:t>
      </w:r>
      <w:proofErr w:type="spellStart"/>
      <w:r w:rsidRPr="00910616">
        <w:rPr>
          <w:rFonts w:ascii="Cambria" w:hAnsi="Cambria"/>
          <w:sz w:val="16"/>
          <w:szCs w:val="16"/>
          <w:lang w:val="es-VE"/>
        </w:rPr>
        <w:t>Hungary</w:t>
      </w:r>
      <w:proofErr w:type="spellEnd"/>
      <w:r w:rsidRPr="00910616">
        <w:rPr>
          <w:rFonts w:ascii="Cambria" w:hAnsi="Cambria"/>
          <w:sz w:val="16"/>
          <w:szCs w:val="16"/>
          <w:lang w:val="es-VE"/>
        </w:rPr>
        <w:t xml:space="preserve">, </w:t>
      </w:r>
      <w:proofErr w:type="spellStart"/>
      <w:r w:rsidRPr="00910616">
        <w:rPr>
          <w:rFonts w:ascii="Cambria" w:hAnsi="Cambria"/>
          <w:sz w:val="16"/>
          <w:szCs w:val="16"/>
          <w:lang w:val="es-VE"/>
        </w:rPr>
        <w:t>Application</w:t>
      </w:r>
      <w:proofErr w:type="spellEnd"/>
      <w:r w:rsidRPr="00910616">
        <w:rPr>
          <w:rFonts w:ascii="Cambria" w:hAnsi="Cambria"/>
          <w:sz w:val="16"/>
          <w:szCs w:val="16"/>
          <w:lang w:val="es-VE"/>
        </w:rPr>
        <w:t xml:space="preserve"> no 20261/15, decisión del 23 de junio de 2016, párr.159.</w:t>
      </w:r>
    </w:p>
  </w:footnote>
  <w:footnote w:id="62">
    <w:p w:rsidR="0079557B" w:rsidRPr="00910616" w:rsidRDefault="0079557B" w:rsidP="00910616">
      <w:pPr>
        <w:pStyle w:val="NormalWeb"/>
        <w:spacing w:before="0" w:beforeAutospacing="0" w:after="0" w:afterAutospacing="0"/>
        <w:ind w:firstLine="634"/>
        <w:rPr>
          <w:rFonts w:ascii="Cambria" w:hAnsi="Cambria"/>
          <w:sz w:val="16"/>
          <w:szCs w:val="16"/>
          <w:lang w:val="es-VE"/>
        </w:rPr>
      </w:pPr>
      <w:r w:rsidRPr="00910616">
        <w:rPr>
          <w:rStyle w:val="FootnoteReference"/>
          <w:rFonts w:ascii="Cambria" w:hAnsi="Cambria"/>
          <w:sz w:val="16"/>
          <w:szCs w:val="16"/>
        </w:rPr>
        <w:footnoteRef/>
      </w:r>
      <w:r w:rsidRPr="00910616">
        <w:rPr>
          <w:rFonts w:ascii="Cambria" w:hAnsi="Cambria"/>
          <w:sz w:val="16"/>
          <w:szCs w:val="16"/>
          <w:lang w:val="es-VE"/>
        </w:rPr>
        <w:t xml:space="preserve"> Tribunal Europeo de Derechos Humanos, Case of </w:t>
      </w:r>
      <w:proofErr w:type="spellStart"/>
      <w:r w:rsidRPr="00910616">
        <w:rPr>
          <w:rFonts w:ascii="Cambria" w:hAnsi="Cambria"/>
          <w:sz w:val="16"/>
          <w:szCs w:val="16"/>
          <w:lang w:val="es-VE"/>
        </w:rPr>
        <w:t>Baka</w:t>
      </w:r>
      <w:proofErr w:type="spellEnd"/>
      <w:r w:rsidRPr="00910616">
        <w:rPr>
          <w:rFonts w:ascii="Cambria" w:hAnsi="Cambria"/>
          <w:sz w:val="16"/>
          <w:szCs w:val="16"/>
          <w:lang w:val="es-VE"/>
        </w:rPr>
        <w:t xml:space="preserve"> v. </w:t>
      </w:r>
      <w:proofErr w:type="spellStart"/>
      <w:r w:rsidRPr="00910616">
        <w:rPr>
          <w:rFonts w:ascii="Cambria" w:hAnsi="Cambria"/>
          <w:sz w:val="16"/>
          <w:szCs w:val="16"/>
          <w:lang w:val="es-VE"/>
        </w:rPr>
        <w:t>Hungary</w:t>
      </w:r>
      <w:proofErr w:type="spellEnd"/>
      <w:r w:rsidRPr="00910616">
        <w:rPr>
          <w:rFonts w:ascii="Cambria" w:hAnsi="Cambria"/>
          <w:sz w:val="16"/>
          <w:szCs w:val="16"/>
          <w:lang w:val="es-VE"/>
        </w:rPr>
        <w:t xml:space="preserve">, </w:t>
      </w:r>
      <w:proofErr w:type="spellStart"/>
      <w:r w:rsidRPr="00910616">
        <w:rPr>
          <w:rFonts w:ascii="Cambria" w:hAnsi="Cambria"/>
          <w:sz w:val="16"/>
          <w:szCs w:val="16"/>
          <w:lang w:val="es-VE"/>
        </w:rPr>
        <w:t>Application</w:t>
      </w:r>
      <w:proofErr w:type="spellEnd"/>
      <w:r w:rsidRPr="00910616">
        <w:rPr>
          <w:rFonts w:ascii="Cambria" w:hAnsi="Cambria"/>
          <w:sz w:val="16"/>
          <w:szCs w:val="16"/>
          <w:lang w:val="es-VE"/>
        </w:rPr>
        <w:t xml:space="preserve"> no 20261/15, decisión del 23 de junio de 2016, párr.159; ver también Tribunal Europeo de Derechos Humanos, Case of </w:t>
      </w:r>
      <w:proofErr w:type="spellStart"/>
      <w:r w:rsidRPr="00910616">
        <w:rPr>
          <w:rFonts w:ascii="Cambria" w:hAnsi="Cambria"/>
          <w:sz w:val="16"/>
          <w:szCs w:val="16"/>
          <w:lang w:val="es-VE"/>
        </w:rPr>
        <w:t>wille</w:t>
      </w:r>
      <w:proofErr w:type="spellEnd"/>
      <w:r w:rsidRPr="00910616">
        <w:rPr>
          <w:rFonts w:ascii="Cambria" w:hAnsi="Cambria"/>
          <w:sz w:val="16"/>
          <w:szCs w:val="16"/>
          <w:lang w:val="es-VE"/>
        </w:rPr>
        <w:t xml:space="preserve"> v. Liechtenstein, decisión 28 de octubre de 1999,   párr.63.</w:t>
      </w:r>
    </w:p>
  </w:footnote>
  <w:footnote w:id="63">
    <w:p w:rsidR="0079557B" w:rsidRPr="00910616" w:rsidRDefault="0079557B" w:rsidP="00910616">
      <w:pPr>
        <w:pStyle w:val="FootnoteText"/>
        <w:ind w:firstLine="634"/>
        <w:rPr>
          <w:rFonts w:ascii="Cambria" w:hAnsi="Cambria"/>
          <w:sz w:val="16"/>
          <w:szCs w:val="16"/>
          <w:lang w:val="es-VE"/>
        </w:rPr>
      </w:pPr>
      <w:r w:rsidRPr="00910616">
        <w:rPr>
          <w:rStyle w:val="FootnoteReference"/>
          <w:rFonts w:ascii="Cambria" w:hAnsi="Cambria"/>
          <w:sz w:val="16"/>
          <w:szCs w:val="16"/>
        </w:rPr>
        <w:footnoteRef/>
      </w:r>
      <w:r w:rsidRPr="00910616">
        <w:rPr>
          <w:rFonts w:ascii="Cambria" w:hAnsi="Cambria"/>
          <w:sz w:val="16"/>
          <w:szCs w:val="16"/>
          <w:lang w:val="es-VE"/>
        </w:rPr>
        <w:t xml:space="preserve"> CIDH, Informe de la Relatoría Especial para la Libertad de Expresión 2009, OEA/</w:t>
      </w:r>
      <w:proofErr w:type="spellStart"/>
      <w:r w:rsidRPr="00910616">
        <w:rPr>
          <w:rFonts w:ascii="Cambria" w:hAnsi="Cambria"/>
          <w:sz w:val="16"/>
          <w:szCs w:val="16"/>
          <w:lang w:val="es-VE"/>
        </w:rPr>
        <w:t>Ser.L</w:t>
      </w:r>
      <w:proofErr w:type="spellEnd"/>
      <w:r w:rsidRPr="00910616">
        <w:rPr>
          <w:rFonts w:ascii="Cambria" w:hAnsi="Cambria"/>
          <w:sz w:val="16"/>
          <w:szCs w:val="16"/>
          <w:lang w:val="es-VE"/>
        </w:rPr>
        <w:t xml:space="preserve">/V/II.Doc. 51, 30 de diciembre de 2009, cap. III, párr. 71.  </w:t>
      </w:r>
    </w:p>
  </w:footnote>
  <w:footnote w:id="64">
    <w:p w:rsidR="0079557B" w:rsidRPr="00910616" w:rsidRDefault="0079557B" w:rsidP="00910616">
      <w:pPr>
        <w:pStyle w:val="FootnoteText"/>
        <w:ind w:firstLine="634"/>
        <w:rPr>
          <w:rFonts w:ascii="Cambria" w:hAnsi="Cambria"/>
          <w:sz w:val="16"/>
          <w:szCs w:val="16"/>
          <w:lang w:val="es-VE"/>
        </w:rPr>
      </w:pPr>
      <w:r w:rsidRPr="00910616">
        <w:rPr>
          <w:rStyle w:val="FootnoteReference"/>
          <w:rFonts w:ascii="Cambria" w:hAnsi="Cambria"/>
          <w:sz w:val="16"/>
          <w:szCs w:val="16"/>
        </w:rPr>
        <w:footnoteRef/>
      </w:r>
      <w:r w:rsidRPr="00910616">
        <w:rPr>
          <w:rFonts w:ascii="Cambria" w:hAnsi="Cambria"/>
          <w:sz w:val="16"/>
          <w:szCs w:val="16"/>
          <w:lang w:val="es-VE"/>
        </w:rPr>
        <w:t xml:space="preserve"> CIDH, Informe No 103/13, Caso 12.816, Informe de Fondo, Adán Guillermo Lopez </w:t>
      </w:r>
      <w:proofErr w:type="spellStart"/>
      <w:r w:rsidRPr="00910616">
        <w:rPr>
          <w:rFonts w:ascii="Cambria" w:hAnsi="Cambria"/>
          <w:sz w:val="16"/>
          <w:szCs w:val="16"/>
          <w:lang w:val="es-VE"/>
        </w:rPr>
        <w:t>Lone</w:t>
      </w:r>
      <w:proofErr w:type="spellEnd"/>
      <w:r w:rsidRPr="00910616">
        <w:rPr>
          <w:rFonts w:ascii="Cambria" w:hAnsi="Cambria"/>
          <w:sz w:val="16"/>
          <w:szCs w:val="16"/>
          <w:lang w:val="es-VE"/>
        </w:rPr>
        <w:t xml:space="preserve"> y otros, Honduras, párr.207.  </w:t>
      </w:r>
    </w:p>
  </w:footnote>
  <w:footnote w:id="65">
    <w:p w:rsidR="0079557B" w:rsidRPr="009A2A3D" w:rsidRDefault="0079557B" w:rsidP="00AF391B">
      <w:pPr>
        <w:pStyle w:val="FootnoteText"/>
        <w:ind w:firstLine="634"/>
        <w:rPr>
          <w:rFonts w:ascii="Cambria" w:hAnsi="Cambria"/>
          <w:sz w:val="16"/>
          <w:szCs w:val="16"/>
          <w:lang w:val="es-VE"/>
        </w:rPr>
      </w:pPr>
      <w:r w:rsidRPr="009A2A3D">
        <w:rPr>
          <w:rStyle w:val="FootnoteReference"/>
          <w:rFonts w:ascii="Cambria" w:hAnsi="Cambria"/>
          <w:sz w:val="16"/>
          <w:szCs w:val="16"/>
        </w:rPr>
        <w:footnoteRef/>
      </w:r>
      <w:r w:rsidRPr="009A2A3D">
        <w:rPr>
          <w:rFonts w:ascii="Cambria" w:hAnsi="Cambria"/>
          <w:sz w:val="16"/>
          <w:szCs w:val="16"/>
          <w:lang w:val="es-VE"/>
        </w:rPr>
        <w:t>Relatoría Especial para la Libertad de Expresión, CIDH, Marco Jurídico Interamericano sobre el Derecho a la Libertad de Expresión, OEA/</w:t>
      </w:r>
      <w:proofErr w:type="spellStart"/>
      <w:r w:rsidRPr="009A2A3D">
        <w:rPr>
          <w:rFonts w:ascii="Cambria" w:hAnsi="Cambria"/>
          <w:sz w:val="16"/>
          <w:szCs w:val="16"/>
          <w:lang w:val="es-VE"/>
        </w:rPr>
        <w:t>Ser.L</w:t>
      </w:r>
      <w:proofErr w:type="spellEnd"/>
      <w:r w:rsidRPr="009A2A3D">
        <w:rPr>
          <w:rFonts w:ascii="Cambria" w:hAnsi="Cambria"/>
          <w:sz w:val="16"/>
          <w:szCs w:val="16"/>
          <w:lang w:val="es-VE"/>
        </w:rPr>
        <w:t>/V/II CIDH/RELE/INF.2/09, 30 de diciembre de 2009, párr.35.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7B" w:rsidRDefault="0079557B" w:rsidP="00612F7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9557B" w:rsidRDefault="007955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7B" w:rsidRDefault="0079557B" w:rsidP="00612F7C">
    <w:pPr>
      <w:pStyle w:val="Header"/>
      <w:tabs>
        <w:tab w:val="clear" w:pos="4320"/>
        <w:tab w:val="clear" w:pos="8640"/>
      </w:tabs>
      <w:jc w:val="center"/>
      <w:rPr>
        <w:sz w:val="22"/>
        <w:szCs w:val="22"/>
      </w:rPr>
    </w:pPr>
    <w:r>
      <w:rPr>
        <w:noProof/>
        <w:sz w:val="22"/>
        <w:szCs w:val="22"/>
      </w:rPr>
      <w:drawing>
        <wp:inline distT="0" distB="0" distL="0" distR="0" wp14:anchorId="1DF73DFB" wp14:editId="3111960F">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79557B" w:rsidRPr="00EC7D62" w:rsidRDefault="006E26D1" w:rsidP="00612F7C">
    <w:pPr>
      <w:pStyle w:val="Header"/>
      <w:tabs>
        <w:tab w:val="clear" w:pos="4320"/>
        <w:tab w:val="clear" w:pos="8640"/>
      </w:tabs>
      <w:jc w:val="center"/>
      <w:rPr>
        <w:sz w:val="22"/>
        <w:szCs w:val="22"/>
      </w:rPr>
    </w:pPr>
    <w:r>
      <w:rPr>
        <w:sz w:val="22"/>
        <w:szCs w:val="22"/>
      </w:rPr>
      <w:pict w14:anchorId="0AB6890E">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F821033"/>
    <w:multiLevelType w:val="hybridMultilevel"/>
    <w:tmpl w:val="3CE0E556"/>
    <w:lvl w:ilvl="0" w:tplc="18921E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5A0DE6"/>
    <w:multiLevelType w:val="hybridMultilevel"/>
    <w:tmpl w:val="22A8F092"/>
    <w:lvl w:ilvl="0" w:tplc="DC568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2D2435C"/>
    <w:multiLevelType w:val="hybridMultilevel"/>
    <w:tmpl w:val="9B48A204"/>
    <w:lvl w:ilvl="0" w:tplc="0E7C1B1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1A6D01A2"/>
    <w:multiLevelType w:val="hybridMultilevel"/>
    <w:tmpl w:val="9068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1B68F9"/>
    <w:multiLevelType w:val="hybridMultilevel"/>
    <w:tmpl w:val="3CE0E556"/>
    <w:lvl w:ilvl="0" w:tplc="18921E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AC6B45"/>
    <w:multiLevelType w:val="hybridMultilevel"/>
    <w:tmpl w:val="6DB64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72A0BA1"/>
    <w:multiLevelType w:val="hybridMultilevel"/>
    <w:tmpl w:val="212CD888"/>
    <w:lvl w:ilvl="0" w:tplc="55AAEE92">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1A63FFB"/>
    <w:multiLevelType w:val="hybridMultilevel"/>
    <w:tmpl w:val="D2F24990"/>
    <w:lvl w:ilvl="0" w:tplc="8FD2EE1A">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55225E1"/>
    <w:multiLevelType w:val="hybridMultilevel"/>
    <w:tmpl w:val="983A6A8E"/>
    <w:lvl w:ilvl="0" w:tplc="512A35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D37D07"/>
    <w:multiLevelType w:val="hybridMultilevel"/>
    <w:tmpl w:val="236C4CE2"/>
    <w:lvl w:ilvl="0" w:tplc="FB28CA9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357DB9"/>
    <w:multiLevelType w:val="hybridMultilevel"/>
    <w:tmpl w:val="AC023C82"/>
    <w:lvl w:ilvl="0" w:tplc="A394012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D7D4B9D"/>
    <w:multiLevelType w:val="hybridMultilevel"/>
    <w:tmpl w:val="961E8CC4"/>
    <w:lvl w:ilvl="0" w:tplc="9E0CAF0C">
      <w:start w:val="1"/>
      <w:numFmt w:val="decimal"/>
      <w:lvlText w:val="%1."/>
      <w:lvlJc w:val="left"/>
      <w:pPr>
        <w:ind w:left="90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7F42E44"/>
    <w:multiLevelType w:val="hybridMultilevel"/>
    <w:tmpl w:val="D0504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6"/>
  </w:num>
  <w:num w:numId="3">
    <w:abstractNumId w:val="56"/>
  </w:num>
  <w:num w:numId="4">
    <w:abstractNumId w:val="24"/>
  </w:num>
  <w:num w:numId="5">
    <w:abstractNumId w:val="51"/>
  </w:num>
  <w:num w:numId="6">
    <w:abstractNumId w:val="30"/>
  </w:num>
  <w:num w:numId="7">
    <w:abstractNumId w:val="9"/>
  </w:num>
  <w:num w:numId="8">
    <w:abstractNumId w:val="20"/>
  </w:num>
  <w:num w:numId="9">
    <w:abstractNumId w:val="46"/>
  </w:num>
  <w:num w:numId="10">
    <w:abstractNumId w:val="0"/>
  </w:num>
  <w:num w:numId="11">
    <w:abstractNumId w:val="41"/>
  </w:num>
  <w:num w:numId="12">
    <w:abstractNumId w:val="43"/>
  </w:num>
  <w:num w:numId="13">
    <w:abstractNumId w:val="48"/>
  </w:num>
  <w:num w:numId="14">
    <w:abstractNumId w:val="1"/>
  </w:num>
  <w:num w:numId="15">
    <w:abstractNumId w:val="2"/>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1"/>
  </w:num>
  <w:num w:numId="26">
    <w:abstractNumId w:val="22"/>
  </w:num>
  <w:num w:numId="27">
    <w:abstractNumId w:val="25"/>
  </w:num>
  <w:num w:numId="28">
    <w:abstractNumId w:val="26"/>
  </w:num>
  <w:num w:numId="29">
    <w:abstractNumId w:val="27"/>
  </w:num>
  <w:num w:numId="30">
    <w:abstractNumId w:val="29"/>
  </w:num>
  <w:num w:numId="31">
    <w:abstractNumId w:val="31"/>
  </w:num>
  <w:num w:numId="32">
    <w:abstractNumId w:val="32"/>
  </w:num>
  <w:num w:numId="33">
    <w:abstractNumId w:val="34"/>
  </w:num>
  <w:num w:numId="34">
    <w:abstractNumId w:val="35"/>
  </w:num>
  <w:num w:numId="35">
    <w:abstractNumId w:val="36"/>
  </w:num>
  <w:num w:numId="36">
    <w:abstractNumId w:val="38"/>
  </w:num>
  <w:num w:numId="37">
    <w:abstractNumId w:val="39"/>
  </w:num>
  <w:num w:numId="38">
    <w:abstractNumId w:val="40"/>
  </w:num>
  <w:num w:numId="39">
    <w:abstractNumId w:val="44"/>
  </w:num>
  <w:num w:numId="40">
    <w:abstractNumId w:val="45"/>
  </w:num>
  <w:num w:numId="41">
    <w:abstractNumId w:val="50"/>
  </w:num>
  <w:num w:numId="42">
    <w:abstractNumId w:val="52"/>
  </w:num>
  <w:num w:numId="43">
    <w:abstractNumId w:val="53"/>
  </w:num>
  <w:num w:numId="44">
    <w:abstractNumId w:val="55"/>
  </w:num>
  <w:num w:numId="45">
    <w:abstractNumId w:val="57"/>
  </w:num>
  <w:num w:numId="46">
    <w:abstractNumId w:val="58"/>
  </w:num>
  <w:num w:numId="47">
    <w:abstractNumId w:val="59"/>
  </w:num>
  <w:num w:numId="48">
    <w:abstractNumId w:val="60"/>
  </w:num>
  <w:num w:numId="49">
    <w:abstractNumId w:val="61"/>
  </w:num>
  <w:num w:numId="50">
    <w:abstractNumId w:val="28"/>
  </w:num>
  <w:num w:numId="51">
    <w:abstractNumId w:val="19"/>
  </w:num>
  <w:num w:numId="52">
    <w:abstractNumId w:val="49"/>
  </w:num>
  <w:num w:numId="53">
    <w:abstractNumId w:val="4"/>
  </w:num>
  <w:num w:numId="54">
    <w:abstractNumId w:val="33"/>
  </w:num>
  <w:num w:numId="55">
    <w:abstractNumId w:val="23"/>
  </w:num>
  <w:num w:numId="56">
    <w:abstractNumId w:val="7"/>
  </w:num>
  <w:num w:numId="57">
    <w:abstractNumId w:val="47"/>
  </w:num>
  <w:num w:numId="58">
    <w:abstractNumId w:val="54"/>
  </w:num>
  <w:num w:numId="59">
    <w:abstractNumId w:val="8"/>
  </w:num>
  <w:num w:numId="60">
    <w:abstractNumId w:val="42"/>
  </w:num>
  <w:num w:numId="61">
    <w:abstractNumId w:val="5"/>
  </w:num>
  <w:num w:numId="62">
    <w:abstractNumId w:val="37"/>
  </w:num>
  <w:numIdMacAtCleanup w:val="5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ia Serrano">
    <w15:presenceInfo w15:providerId="Windows Live" w15:userId="54b24af38b9fab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16"/>
    <w:rsid w:val="0000556E"/>
    <w:rsid w:val="00043250"/>
    <w:rsid w:val="00061F15"/>
    <w:rsid w:val="000917B5"/>
    <w:rsid w:val="000E06F3"/>
    <w:rsid w:val="000E1E4F"/>
    <w:rsid w:val="000E5D8F"/>
    <w:rsid w:val="000E720E"/>
    <w:rsid w:val="00116FB1"/>
    <w:rsid w:val="00121C28"/>
    <w:rsid w:val="00127B60"/>
    <w:rsid w:val="0015306C"/>
    <w:rsid w:val="00176828"/>
    <w:rsid w:val="00194400"/>
    <w:rsid w:val="001E1ED6"/>
    <w:rsid w:val="00270995"/>
    <w:rsid w:val="002909E4"/>
    <w:rsid w:val="0029411E"/>
    <w:rsid w:val="0031421C"/>
    <w:rsid w:val="0033182B"/>
    <w:rsid w:val="0038730F"/>
    <w:rsid w:val="003A7A1A"/>
    <w:rsid w:val="003C616B"/>
    <w:rsid w:val="003D3CF5"/>
    <w:rsid w:val="003E3E9D"/>
    <w:rsid w:val="003F6E7D"/>
    <w:rsid w:val="00404F80"/>
    <w:rsid w:val="00406A9B"/>
    <w:rsid w:val="00412053"/>
    <w:rsid w:val="00441C2D"/>
    <w:rsid w:val="0045511E"/>
    <w:rsid w:val="00463D9A"/>
    <w:rsid w:val="004D2791"/>
    <w:rsid w:val="004E6A4B"/>
    <w:rsid w:val="004F0062"/>
    <w:rsid w:val="004F04D6"/>
    <w:rsid w:val="00524F15"/>
    <w:rsid w:val="00533385"/>
    <w:rsid w:val="00577C49"/>
    <w:rsid w:val="005824D6"/>
    <w:rsid w:val="0058691F"/>
    <w:rsid w:val="0059541B"/>
    <w:rsid w:val="005D3C08"/>
    <w:rsid w:val="005D6BD7"/>
    <w:rsid w:val="005E66F0"/>
    <w:rsid w:val="00612F7C"/>
    <w:rsid w:val="00621303"/>
    <w:rsid w:val="00635DEB"/>
    <w:rsid w:val="00645C48"/>
    <w:rsid w:val="00663F26"/>
    <w:rsid w:val="00667FE4"/>
    <w:rsid w:val="00693DD8"/>
    <w:rsid w:val="006C6C49"/>
    <w:rsid w:val="006D0024"/>
    <w:rsid w:val="006E26D1"/>
    <w:rsid w:val="006F7E8E"/>
    <w:rsid w:val="007229A7"/>
    <w:rsid w:val="007314EC"/>
    <w:rsid w:val="007759E5"/>
    <w:rsid w:val="007778BE"/>
    <w:rsid w:val="0079478C"/>
    <w:rsid w:val="0079557B"/>
    <w:rsid w:val="007D19E9"/>
    <w:rsid w:val="007E3EF0"/>
    <w:rsid w:val="00821178"/>
    <w:rsid w:val="00890735"/>
    <w:rsid w:val="008C762D"/>
    <w:rsid w:val="009012AD"/>
    <w:rsid w:val="00910616"/>
    <w:rsid w:val="009207BC"/>
    <w:rsid w:val="0097794E"/>
    <w:rsid w:val="00991836"/>
    <w:rsid w:val="009A2A3D"/>
    <w:rsid w:val="009B583B"/>
    <w:rsid w:val="00A11466"/>
    <w:rsid w:val="00A27208"/>
    <w:rsid w:val="00A27C5C"/>
    <w:rsid w:val="00A71D3F"/>
    <w:rsid w:val="00AD76F6"/>
    <w:rsid w:val="00AF391B"/>
    <w:rsid w:val="00B03925"/>
    <w:rsid w:val="00B467A0"/>
    <w:rsid w:val="00B530C2"/>
    <w:rsid w:val="00BC7AA2"/>
    <w:rsid w:val="00BF2762"/>
    <w:rsid w:val="00C1595D"/>
    <w:rsid w:val="00C2232B"/>
    <w:rsid w:val="00C26D5E"/>
    <w:rsid w:val="00C32C02"/>
    <w:rsid w:val="00C50881"/>
    <w:rsid w:val="00C54AEC"/>
    <w:rsid w:val="00C6646D"/>
    <w:rsid w:val="00C9320A"/>
    <w:rsid w:val="00C94635"/>
    <w:rsid w:val="00C96CED"/>
    <w:rsid w:val="00CF1AF8"/>
    <w:rsid w:val="00D05DF2"/>
    <w:rsid w:val="00D22D24"/>
    <w:rsid w:val="00D22D27"/>
    <w:rsid w:val="00D245EF"/>
    <w:rsid w:val="00D34873"/>
    <w:rsid w:val="00D66420"/>
    <w:rsid w:val="00D76858"/>
    <w:rsid w:val="00D87BCD"/>
    <w:rsid w:val="00D92BFB"/>
    <w:rsid w:val="00D97DF9"/>
    <w:rsid w:val="00DA2AC0"/>
    <w:rsid w:val="00DB3136"/>
    <w:rsid w:val="00DB6326"/>
    <w:rsid w:val="00DC134E"/>
    <w:rsid w:val="00DC3C20"/>
    <w:rsid w:val="00DC5526"/>
    <w:rsid w:val="00DD1CAC"/>
    <w:rsid w:val="00DE0FB9"/>
    <w:rsid w:val="00DE4BFC"/>
    <w:rsid w:val="00DF3A9B"/>
    <w:rsid w:val="00E228EF"/>
    <w:rsid w:val="00E2445C"/>
    <w:rsid w:val="00E34EEA"/>
    <w:rsid w:val="00E42723"/>
    <w:rsid w:val="00E744D0"/>
    <w:rsid w:val="00E83A9A"/>
    <w:rsid w:val="00EA57D4"/>
    <w:rsid w:val="00EE353D"/>
    <w:rsid w:val="00F06655"/>
    <w:rsid w:val="00F3122D"/>
    <w:rsid w:val="00F33E78"/>
    <w:rsid w:val="00F378EA"/>
    <w:rsid w:val="00F51021"/>
    <w:rsid w:val="00F9751F"/>
    <w:rsid w:val="00FB498A"/>
    <w:rsid w:val="00FC78B5"/>
    <w:rsid w:val="00FF39B6"/>
    <w:rsid w:val="00FF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0616"/>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91061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91061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91061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616"/>
    <w:rPr>
      <w:rFonts w:asciiTheme="majorHAnsi" w:eastAsiaTheme="majorEastAsia" w:hAnsiTheme="majorHAnsi" w:cstheme="majorBidi"/>
      <w:b/>
      <w:bCs/>
      <w:color w:val="2E74B5" w:themeColor="accent1" w:themeShade="BF"/>
      <w:sz w:val="28"/>
      <w:szCs w:val="28"/>
      <w:bdr w:val="nil"/>
    </w:rPr>
  </w:style>
  <w:style w:type="character" w:customStyle="1" w:styleId="Heading2Char">
    <w:name w:val="Heading 2 Char"/>
    <w:basedOn w:val="DefaultParagraphFont"/>
    <w:link w:val="Heading2"/>
    <w:uiPriority w:val="9"/>
    <w:rsid w:val="00910616"/>
    <w:rPr>
      <w:rFonts w:ascii="Arial" w:eastAsia="Times New Roman" w:hAnsi="Arial" w:cs="Arial"/>
      <w:b/>
      <w:bCs/>
      <w:i/>
      <w:iCs/>
      <w:sz w:val="28"/>
      <w:szCs w:val="28"/>
    </w:rPr>
  </w:style>
  <w:style w:type="character" w:customStyle="1" w:styleId="Heading3Char">
    <w:name w:val="Heading 3 Char"/>
    <w:basedOn w:val="DefaultParagraphFont"/>
    <w:link w:val="Heading3"/>
    <w:rsid w:val="00910616"/>
    <w:rPr>
      <w:rFonts w:ascii="Arial" w:eastAsia="Times New Roman" w:hAnsi="Arial" w:cs="Arial"/>
      <w:b/>
      <w:bCs/>
      <w:sz w:val="26"/>
      <w:szCs w:val="26"/>
    </w:rPr>
  </w:style>
  <w:style w:type="character" w:styleId="Hyperlink">
    <w:name w:val="Hyperlink"/>
    <w:uiPriority w:val="99"/>
    <w:rsid w:val="00910616"/>
    <w:rPr>
      <w:u w:val="single"/>
    </w:rPr>
  </w:style>
  <w:style w:type="paragraph" w:customStyle="1" w:styleId="Cabeceraypie">
    <w:name w:val="Cabecera y pie"/>
    <w:rsid w:val="00910616"/>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910616"/>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910616"/>
    <w:rPr>
      <w:rFonts w:ascii="Cambria" w:eastAsia="Cambria" w:hAnsi="Cambria" w:cs="Cambria"/>
      <w:color w:val="000000"/>
      <w:u w:color="000000"/>
      <w:bdr w:val="nil"/>
      <w:lang w:eastAsia="es-ES"/>
    </w:rPr>
  </w:style>
  <w:style w:type="paragraph" w:customStyle="1" w:styleId="Cuerpo">
    <w:name w:val="Cuerpo"/>
    <w:rsid w:val="00910616"/>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910616"/>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910616"/>
    <w:rPr>
      <w:rFonts w:ascii="Times New Roman" w:eastAsia="Times New Roman" w:hAnsi="Times New Roman" w:cs="Times New Roman"/>
      <w:color w:val="000000"/>
      <w:u w:color="000000"/>
      <w:bdr w:val="nil"/>
      <w:lang w:val="es-ES_tradnl" w:eastAsia="es-ES"/>
    </w:rPr>
  </w:style>
  <w:style w:type="paragraph" w:styleId="ListParagraph">
    <w:name w:val="List Paragraph"/>
    <w:aliases w:val="Párrafo de lista1,List Paragraph1,Colorful List - Accent 11,List Paragraph11,List Paragraph2"/>
    <w:link w:val="ListParagraphChar"/>
    <w:uiPriority w:val="34"/>
    <w:qFormat/>
    <w:rsid w:val="00910616"/>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numbering" w:customStyle="1" w:styleId="List0">
    <w:name w:val="List 0"/>
    <w:basedOn w:val="Estiloimportado1"/>
    <w:rsid w:val="00910616"/>
    <w:pPr>
      <w:numPr>
        <w:numId w:val="31"/>
      </w:numPr>
    </w:pPr>
  </w:style>
  <w:style w:type="numbering" w:customStyle="1" w:styleId="Estiloimportado1">
    <w:name w:val="Estilo importado 1"/>
    <w:rsid w:val="00910616"/>
  </w:style>
  <w:style w:type="numbering" w:customStyle="1" w:styleId="List1">
    <w:name w:val="List 1"/>
    <w:basedOn w:val="Estiloimportado2"/>
    <w:rsid w:val="00910616"/>
    <w:pPr>
      <w:numPr>
        <w:numId w:val="1"/>
      </w:numPr>
    </w:pPr>
  </w:style>
  <w:style w:type="numbering" w:customStyle="1" w:styleId="Estiloimportado2">
    <w:name w:val="Estilo importado 2"/>
    <w:rsid w:val="00910616"/>
  </w:style>
  <w:style w:type="numbering" w:customStyle="1" w:styleId="List21">
    <w:name w:val="List 21"/>
    <w:basedOn w:val="Estiloimportado3"/>
    <w:rsid w:val="00910616"/>
    <w:pPr>
      <w:numPr>
        <w:numId w:val="38"/>
      </w:numPr>
    </w:pPr>
  </w:style>
  <w:style w:type="numbering" w:customStyle="1" w:styleId="Estiloimportado3">
    <w:name w:val="Estilo importado 3"/>
    <w:rsid w:val="00910616"/>
  </w:style>
  <w:style w:type="numbering" w:customStyle="1" w:styleId="List31">
    <w:name w:val="List 31"/>
    <w:basedOn w:val="Estiloimportado4"/>
    <w:rsid w:val="00910616"/>
    <w:pPr>
      <w:numPr>
        <w:numId w:val="44"/>
      </w:numPr>
    </w:pPr>
  </w:style>
  <w:style w:type="numbering" w:customStyle="1" w:styleId="Estiloimportado4">
    <w:name w:val="Estilo importado 4"/>
    <w:rsid w:val="00910616"/>
  </w:style>
  <w:style w:type="numbering" w:customStyle="1" w:styleId="List41">
    <w:name w:val="List 41"/>
    <w:basedOn w:val="Estiloimportado5"/>
    <w:rsid w:val="00910616"/>
    <w:pPr>
      <w:numPr>
        <w:numId w:val="2"/>
      </w:numPr>
    </w:pPr>
  </w:style>
  <w:style w:type="numbering" w:customStyle="1" w:styleId="Estiloimportado5">
    <w:name w:val="Estilo importado 5"/>
    <w:rsid w:val="00910616"/>
  </w:style>
  <w:style w:type="numbering" w:customStyle="1" w:styleId="List51">
    <w:name w:val="List 51"/>
    <w:basedOn w:val="Estiloimportado6"/>
    <w:rsid w:val="00910616"/>
    <w:pPr>
      <w:numPr>
        <w:numId w:val="33"/>
      </w:numPr>
    </w:pPr>
  </w:style>
  <w:style w:type="numbering" w:customStyle="1" w:styleId="Estiloimportado6">
    <w:name w:val="Estilo importado 6"/>
    <w:rsid w:val="00910616"/>
  </w:style>
  <w:style w:type="numbering" w:customStyle="1" w:styleId="List6">
    <w:name w:val="List 6"/>
    <w:basedOn w:val="Estiloimportado7"/>
    <w:rsid w:val="00910616"/>
    <w:pPr>
      <w:numPr>
        <w:numId w:val="3"/>
      </w:numPr>
    </w:pPr>
  </w:style>
  <w:style w:type="numbering" w:customStyle="1" w:styleId="Estiloimportado7">
    <w:name w:val="Estilo importado 7"/>
    <w:rsid w:val="00910616"/>
  </w:style>
  <w:style w:type="numbering" w:customStyle="1" w:styleId="List7">
    <w:name w:val="List 7"/>
    <w:basedOn w:val="Estiloimportado8"/>
    <w:rsid w:val="00910616"/>
    <w:pPr>
      <w:numPr>
        <w:numId w:val="4"/>
      </w:numPr>
    </w:pPr>
  </w:style>
  <w:style w:type="numbering" w:customStyle="1" w:styleId="Estiloimportado8">
    <w:name w:val="Estilo importado 8"/>
    <w:rsid w:val="00910616"/>
  </w:style>
  <w:style w:type="numbering" w:customStyle="1" w:styleId="List8">
    <w:name w:val="List 8"/>
    <w:basedOn w:val="Estiloimportado9"/>
    <w:rsid w:val="00910616"/>
    <w:pPr>
      <w:numPr>
        <w:numId w:val="5"/>
      </w:numPr>
    </w:pPr>
  </w:style>
  <w:style w:type="numbering" w:customStyle="1" w:styleId="Estiloimportado9">
    <w:name w:val="Estilo importado 9"/>
    <w:rsid w:val="00910616"/>
  </w:style>
  <w:style w:type="numbering" w:customStyle="1" w:styleId="List9">
    <w:name w:val="List 9"/>
    <w:basedOn w:val="Estiloimportado10"/>
    <w:rsid w:val="00910616"/>
    <w:pPr>
      <w:numPr>
        <w:numId w:val="22"/>
      </w:numPr>
    </w:pPr>
  </w:style>
  <w:style w:type="numbering" w:customStyle="1" w:styleId="Estiloimportado10">
    <w:name w:val="Estilo importado 10"/>
    <w:rsid w:val="00910616"/>
  </w:style>
  <w:style w:type="numbering" w:customStyle="1" w:styleId="List10">
    <w:name w:val="List 10"/>
    <w:basedOn w:val="Estiloimportado11"/>
    <w:rsid w:val="00910616"/>
    <w:pPr>
      <w:numPr>
        <w:numId w:val="6"/>
      </w:numPr>
    </w:pPr>
  </w:style>
  <w:style w:type="numbering" w:customStyle="1" w:styleId="Estiloimportado11">
    <w:name w:val="Estilo importado 11"/>
    <w:rsid w:val="00910616"/>
  </w:style>
  <w:style w:type="numbering" w:customStyle="1" w:styleId="List11">
    <w:name w:val="List 11"/>
    <w:basedOn w:val="Estiloimportado12"/>
    <w:rsid w:val="00910616"/>
    <w:pPr>
      <w:numPr>
        <w:numId w:val="7"/>
      </w:numPr>
    </w:pPr>
  </w:style>
  <w:style w:type="numbering" w:customStyle="1" w:styleId="Estiloimportado12">
    <w:name w:val="Estilo importado 12"/>
    <w:rsid w:val="00910616"/>
  </w:style>
  <w:style w:type="numbering" w:customStyle="1" w:styleId="List12">
    <w:name w:val="List 12"/>
    <w:basedOn w:val="Estiloimportado13"/>
    <w:rsid w:val="00910616"/>
    <w:pPr>
      <w:numPr>
        <w:numId w:val="36"/>
      </w:numPr>
    </w:pPr>
  </w:style>
  <w:style w:type="numbering" w:customStyle="1" w:styleId="Estiloimportado13">
    <w:name w:val="Estilo importado 13"/>
    <w:rsid w:val="00910616"/>
  </w:style>
  <w:style w:type="numbering" w:customStyle="1" w:styleId="List13">
    <w:name w:val="List 13"/>
    <w:basedOn w:val="Estiloimportado14"/>
    <w:rsid w:val="00910616"/>
    <w:pPr>
      <w:numPr>
        <w:numId w:val="42"/>
      </w:numPr>
    </w:pPr>
  </w:style>
  <w:style w:type="numbering" w:customStyle="1" w:styleId="Estiloimportado14">
    <w:name w:val="Estilo importado 14"/>
    <w:rsid w:val="00910616"/>
  </w:style>
  <w:style w:type="numbering" w:customStyle="1" w:styleId="List14">
    <w:name w:val="List 14"/>
    <w:basedOn w:val="Estiloimportado15"/>
    <w:rsid w:val="00910616"/>
    <w:pPr>
      <w:numPr>
        <w:numId w:val="17"/>
      </w:numPr>
    </w:pPr>
  </w:style>
  <w:style w:type="numbering" w:customStyle="1" w:styleId="Estiloimportado15">
    <w:name w:val="Estilo importado 15"/>
    <w:rsid w:val="00910616"/>
  </w:style>
  <w:style w:type="numbering" w:customStyle="1" w:styleId="List15">
    <w:name w:val="List 15"/>
    <w:basedOn w:val="Estiloimportado16"/>
    <w:rsid w:val="00910616"/>
    <w:pPr>
      <w:numPr>
        <w:numId w:val="16"/>
      </w:numPr>
    </w:pPr>
  </w:style>
  <w:style w:type="numbering" w:customStyle="1" w:styleId="Estiloimportado16">
    <w:name w:val="Estilo importado 16"/>
    <w:rsid w:val="00910616"/>
  </w:style>
  <w:style w:type="numbering" w:customStyle="1" w:styleId="List16">
    <w:name w:val="List 16"/>
    <w:basedOn w:val="Estiloimportado16"/>
    <w:rsid w:val="00910616"/>
    <w:pPr>
      <w:numPr>
        <w:numId w:val="10"/>
      </w:numPr>
    </w:pPr>
  </w:style>
  <w:style w:type="numbering" w:customStyle="1" w:styleId="List17">
    <w:name w:val="List 17"/>
    <w:basedOn w:val="Estiloimportado17"/>
    <w:rsid w:val="00910616"/>
    <w:pPr>
      <w:numPr>
        <w:numId w:val="25"/>
      </w:numPr>
    </w:pPr>
  </w:style>
  <w:style w:type="numbering" w:customStyle="1" w:styleId="Estiloimportado17">
    <w:name w:val="Estilo importado 17"/>
    <w:rsid w:val="00910616"/>
  </w:style>
  <w:style w:type="numbering" w:customStyle="1" w:styleId="List18">
    <w:name w:val="List 18"/>
    <w:basedOn w:val="Estiloimportado18"/>
    <w:rsid w:val="00910616"/>
    <w:pPr>
      <w:numPr>
        <w:numId w:val="27"/>
      </w:numPr>
    </w:pPr>
  </w:style>
  <w:style w:type="numbering" w:customStyle="1" w:styleId="Estiloimportado18">
    <w:name w:val="Estilo importado 18"/>
    <w:rsid w:val="00910616"/>
  </w:style>
  <w:style w:type="numbering" w:customStyle="1" w:styleId="List19">
    <w:name w:val="List 19"/>
    <w:basedOn w:val="Estiloimportado10"/>
    <w:rsid w:val="00910616"/>
    <w:pPr>
      <w:numPr>
        <w:numId w:val="19"/>
      </w:numPr>
    </w:pPr>
  </w:style>
  <w:style w:type="numbering" w:customStyle="1" w:styleId="List20">
    <w:name w:val="List 20"/>
    <w:basedOn w:val="Estiloimportado12"/>
    <w:rsid w:val="00910616"/>
    <w:pPr>
      <w:numPr>
        <w:numId w:val="43"/>
      </w:numPr>
    </w:pPr>
  </w:style>
  <w:style w:type="numbering" w:customStyle="1" w:styleId="Estiloimportado19">
    <w:name w:val="Estilo importado 19"/>
    <w:rsid w:val="00910616"/>
  </w:style>
  <w:style w:type="numbering" w:customStyle="1" w:styleId="List22">
    <w:name w:val="List 22"/>
    <w:basedOn w:val="Estiloimportado19"/>
    <w:rsid w:val="00910616"/>
    <w:pPr>
      <w:numPr>
        <w:numId w:val="28"/>
      </w:numPr>
    </w:pPr>
  </w:style>
  <w:style w:type="numbering" w:customStyle="1" w:styleId="List23">
    <w:name w:val="List 23"/>
    <w:basedOn w:val="Estiloimportado19"/>
    <w:rsid w:val="00910616"/>
    <w:pPr>
      <w:numPr>
        <w:numId w:val="18"/>
      </w:numPr>
    </w:pPr>
  </w:style>
  <w:style w:type="numbering" w:customStyle="1" w:styleId="List24">
    <w:name w:val="List 24"/>
    <w:basedOn w:val="Estiloimportado20"/>
    <w:rsid w:val="00910616"/>
    <w:pPr>
      <w:numPr>
        <w:numId w:val="13"/>
      </w:numPr>
    </w:pPr>
  </w:style>
  <w:style w:type="numbering" w:customStyle="1" w:styleId="Estiloimportado20">
    <w:name w:val="Estilo importado 20"/>
    <w:rsid w:val="00910616"/>
  </w:style>
  <w:style w:type="numbering" w:customStyle="1" w:styleId="List25">
    <w:name w:val="List 25"/>
    <w:basedOn w:val="Estiloimportado21"/>
    <w:rsid w:val="00910616"/>
    <w:pPr>
      <w:numPr>
        <w:numId w:val="15"/>
      </w:numPr>
    </w:pPr>
  </w:style>
  <w:style w:type="numbering" w:customStyle="1" w:styleId="Estiloimportado21">
    <w:name w:val="Estilo importado 21"/>
    <w:rsid w:val="00910616"/>
  </w:style>
  <w:style w:type="numbering" w:customStyle="1" w:styleId="List26">
    <w:name w:val="List 26"/>
    <w:basedOn w:val="Estiloimportado22"/>
    <w:rsid w:val="00910616"/>
    <w:pPr>
      <w:numPr>
        <w:numId w:val="48"/>
      </w:numPr>
    </w:pPr>
  </w:style>
  <w:style w:type="numbering" w:customStyle="1" w:styleId="Estiloimportado22">
    <w:name w:val="Estilo importado 22"/>
    <w:rsid w:val="00910616"/>
  </w:style>
  <w:style w:type="numbering" w:customStyle="1" w:styleId="List27">
    <w:name w:val="List 27"/>
    <w:basedOn w:val="Estiloimportado23"/>
    <w:rsid w:val="00910616"/>
    <w:pPr>
      <w:numPr>
        <w:numId w:val="41"/>
      </w:numPr>
    </w:pPr>
  </w:style>
  <w:style w:type="numbering" w:customStyle="1" w:styleId="Estiloimportado23">
    <w:name w:val="Estilo importado 23"/>
    <w:rsid w:val="00910616"/>
  </w:style>
  <w:style w:type="numbering" w:customStyle="1" w:styleId="List28">
    <w:name w:val="List 28"/>
    <w:basedOn w:val="Estiloimportado24"/>
    <w:rsid w:val="00910616"/>
    <w:pPr>
      <w:numPr>
        <w:numId w:val="30"/>
      </w:numPr>
    </w:pPr>
  </w:style>
  <w:style w:type="numbering" w:customStyle="1" w:styleId="Estiloimportado24">
    <w:name w:val="Estilo importado 24"/>
    <w:rsid w:val="00910616"/>
  </w:style>
  <w:style w:type="numbering" w:customStyle="1" w:styleId="List29">
    <w:name w:val="List 29"/>
    <w:basedOn w:val="Estiloimportado25"/>
    <w:rsid w:val="00910616"/>
    <w:pPr>
      <w:numPr>
        <w:numId w:val="34"/>
      </w:numPr>
    </w:pPr>
  </w:style>
  <w:style w:type="numbering" w:customStyle="1" w:styleId="Estiloimportado25">
    <w:name w:val="Estilo importado 25"/>
    <w:rsid w:val="00910616"/>
  </w:style>
  <w:style w:type="numbering" w:customStyle="1" w:styleId="List30">
    <w:name w:val="List 30"/>
    <w:basedOn w:val="Estiloimportado26"/>
    <w:rsid w:val="00910616"/>
    <w:pPr>
      <w:numPr>
        <w:numId w:val="32"/>
      </w:numPr>
    </w:pPr>
  </w:style>
  <w:style w:type="numbering" w:customStyle="1" w:styleId="Estiloimportado26">
    <w:name w:val="Estilo importado 26"/>
    <w:rsid w:val="00910616"/>
  </w:style>
  <w:style w:type="numbering" w:customStyle="1" w:styleId="Estiloimportado27">
    <w:name w:val="Estilo importado 27"/>
    <w:rsid w:val="00910616"/>
  </w:style>
  <w:style w:type="numbering" w:customStyle="1" w:styleId="List32">
    <w:name w:val="List 32"/>
    <w:basedOn w:val="Estiloimportado28"/>
    <w:rsid w:val="00910616"/>
    <w:pPr>
      <w:numPr>
        <w:numId w:val="47"/>
      </w:numPr>
    </w:pPr>
  </w:style>
  <w:style w:type="numbering" w:customStyle="1" w:styleId="Estiloimportado28">
    <w:name w:val="Estilo importado 28"/>
    <w:rsid w:val="00910616"/>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910616"/>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rsid w:val="00910616"/>
    <w:rPr>
      <w:rFonts w:ascii="Calibri" w:eastAsia="Calibri" w:hAnsi="Calibri" w:cs="Calibri"/>
      <w:color w:val="000000"/>
      <w:sz w:val="20"/>
      <w:szCs w:val="20"/>
      <w:u w:color="000000"/>
      <w:bdr w:val="nil"/>
      <w:lang w:eastAsia="es-ES"/>
    </w:rPr>
  </w:style>
  <w:style w:type="numbering" w:customStyle="1" w:styleId="List33">
    <w:name w:val="List 33"/>
    <w:basedOn w:val="Estiloimportado29"/>
    <w:rsid w:val="00910616"/>
    <w:pPr>
      <w:numPr>
        <w:numId w:val="26"/>
      </w:numPr>
    </w:pPr>
  </w:style>
  <w:style w:type="numbering" w:customStyle="1" w:styleId="Estiloimportado29">
    <w:name w:val="Estilo importado 29"/>
    <w:rsid w:val="00910616"/>
  </w:style>
  <w:style w:type="numbering" w:customStyle="1" w:styleId="List34">
    <w:name w:val="List 34"/>
    <w:basedOn w:val="Estiloimportado30"/>
    <w:rsid w:val="00910616"/>
    <w:pPr>
      <w:numPr>
        <w:numId w:val="11"/>
      </w:numPr>
    </w:pPr>
  </w:style>
  <w:style w:type="numbering" w:customStyle="1" w:styleId="Estiloimportado30">
    <w:name w:val="Estilo importado 30"/>
    <w:rsid w:val="00910616"/>
  </w:style>
  <w:style w:type="numbering" w:customStyle="1" w:styleId="List35">
    <w:name w:val="List 35"/>
    <w:basedOn w:val="Estiloimportado31"/>
    <w:rsid w:val="00910616"/>
    <w:pPr>
      <w:numPr>
        <w:numId w:val="8"/>
      </w:numPr>
    </w:pPr>
  </w:style>
  <w:style w:type="numbering" w:customStyle="1" w:styleId="Estiloimportado31">
    <w:name w:val="Estilo importado 31"/>
    <w:rsid w:val="00910616"/>
  </w:style>
  <w:style w:type="numbering" w:customStyle="1" w:styleId="List36">
    <w:name w:val="List 36"/>
    <w:basedOn w:val="Estiloimportado32"/>
    <w:rsid w:val="00910616"/>
    <w:pPr>
      <w:numPr>
        <w:numId w:val="14"/>
      </w:numPr>
    </w:pPr>
  </w:style>
  <w:style w:type="numbering" w:customStyle="1" w:styleId="Estiloimportado32">
    <w:name w:val="Estilo importado 32"/>
    <w:rsid w:val="00910616"/>
  </w:style>
  <w:style w:type="numbering" w:customStyle="1" w:styleId="List37">
    <w:name w:val="List 37"/>
    <w:basedOn w:val="Estiloimportado33"/>
    <w:rsid w:val="00910616"/>
    <w:pPr>
      <w:numPr>
        <w:numId w:val="46"/>
      </w:numPr>
    </w:pPr>
  </w:style>
  <w:style w:type="numbering" w:customStyle="1" w:styleId="Estiloimportado33">
    <w:name w:val="Estilo importado 33"/>
    <w:rsid w:val="00910616"/>
  </w:style>
  <w:style w:type="numbering" w:customStyle="1" w:styleId="List38">
    <w:name w:val="List 38"/>
    <w:basedOn w:val="Estiloimportado34"/>
    <w:rsid w:val="00910616"/>
    <w:pPr>
      <w:numPr>
        <w:numId w:val="35"/>
      </w:numPr>
    </w:pPr>
  </w:style>
  <w:style w:type="numbering" w:customStyle="1" w:styleId="Estiloimportado34">
    <w:name w:val="Estilo importado 34"/>
    <w:rsid w:val="00910616"/>
  </w:style>
  <w:style w:type="numbering" w:customStyle="1" w:styleId="List39">
    <w:name w:val="List 39"/>
    <w:basedOn w:val="Estiloimportado35"/>
    <w:rsid w:val="00910616"/>
    <w:pPr>
      <w:numPr>
        <w:numId w:val="45"/>
      </w:numPr>
    </w:pPr>
  </w:style>
  <w:style w:type="numbering" w:customStyle="1" w:styleId="Estiloimportado35">
    <w:name w:val="Estilo importado 35"/>
    <w:rsid w:val="00910616"/>
  </w:style>
  <w:style w:type="numbering" w:customStyle="1" w:styleId="List40">
    <w:name w:val="List 40"/>
    <w:basedOn w:val="Estiloimportado36"/>
    <w:rsid w:val="00910616"/>
    <w:pPr>
      <w:numPr>
        <w:numId w:val="21"/>
      </w:numPr>
    </w:pPr>
  </w:style>
  <w:style w:type="numbering" w:customStyle="1" w:styleId="Estiloimportado36">
    <w:name w:val="Estilo importado 36"/>
    <w:rsid w:val="00910616"/>
  </w:style>
  <w:style w:type="numbering" w:customStyle="1" w:styleId="Estiloimportado37">
    <w:name w:val="Estilo importado 37"/>
    <w:rsid w:val="00910616"/>
  </w:style>
  <w:style w:type="numbering" w:customStyle="1" w:styleId="List42">
    <w:name w:val="List 42"/>
    <w:basedOn w:val="Estiloimportado12"/>
    <w:rsid w:val="00910616"/>
    <w:pPr>
      <w:numPr>
        <w:numId w:val="12"/>
      </w:numPr>
    </w:pPr>
  </w:style>
  <w:style w:type="numbering" w:customStyle="1" w:styleId="List43">
    <w:name w:val="List 43"/>
    <w:basedOn w:val="Estiloimportado38"/>
    <w:rsid w:val="00910616"/>
    <w:pPr>
      <w:numPr>
        <w:numId w:val="23"/>
      </w:numPr>
    </w:pPr>
  </w:style>
  <w:style w:type="numbering" w:customStyle="1" w:styleId="Estiloimportado38">
    <w:name w:val="Estilo importado 38"/>
    <w:rsid w:val="00910616"/>
  </w:style>
  <w:style w:type="numbering" w:customStyle="1" w:styleId="List44">
    <w:name w:val="List 44"/>
    <w:basedOn w:val="Estiloimportado39"/>
    <w:rsid w:val="00910616"/>
    <w:pPr>
      <w:numPr>
        <w:numId w:val="40"/>
      </w:numPr>
    </w:pPr>
  </w:style>
  <w:style w:type="numbering" w:customStyle="1" w:styleId="Estiloimportado39">
    <w:name w:val="Estilo importado 39"/>
    <w:rsid w:val="00910616"/>
  </w:style>
  <w:style w:type="numbering" w:customStyle="1" w:styleId="List45">
    <w:name w:val="List 45"/>
    <w:basedOn w:val="Estiloimportado40"/>
    <w:rsid w:val="00910616"/>
    <w:pPr>
      <w:numPr>
        <w:numId w:val="20"/>
      </w:numPr>
    </w:pPr>
  </w:style>
  <w:style w:type="numbering" w:customStyle="1" w:styleId="Estiloimportado40">
    <w:name w:val="Estilo importado 40"/>
    <w:rsid w:val="00910616"/>
  </w:style>
  <w:style w:type="numbering" w:customStyle="1" w:styleId="List46">
    <w:name w:val="List 46"/>
    <w:basedOn w:val="Estiloimportado41"/>
    <w:rsid w:val="00910616"/>
    <w:pPr>
      <w:numPr>
        <w:numId w:val="24"/>
      </w:numPr>
    </w:pPr>
  </w:style>
  <w:style w:type="numbering" w:customStyle="1" w:styleId="Estiloimportado41">
    <w:name w:val="Estilo importado 41"/>
    <w:rsid w:val="00910616"/>
  </w:style>
  <w:style w:type="numbering" w:customStyle="1" w:styleId="List47">
    <w:name w:val="List 47"/>
    <w:basedOn w:val="Estiloimportado42"/>
    <w:rsid w:val="00910616"/>
    <w:pPr>
      <w:numPr>
        <w:numId w:val="29"/>
      </w:numPr>
    </w:pPr>
  </w:style>
  <w:style w:type="numbering" w:customStyle="1" w:styleId="Estiloimportado42">
    <w:name w:val="Estilo importado 42"/>
    <w:rsid w:val="00910616"/>
  </w:style>
  <w:style w:type="numbering" w:customStyle="1" w:styleId="List48">
    <w:name w:val="List 48"/>
    <w:basedOn w:val="Estiloimportado43"/>
    <w:rsid w:val="00910616"/>
    <w:pPr>
      <w:numPr>
        <w:numId w:val="49"/>
      </w:numPr>
    </w:pPr>
  </w:style>
  <w:style w:type="numbering" w:customStyle="1" w:styleId="Estiloimportado43">
    <w:name w:val="Estilo importado 43"/>
    <w:rsid w:val="00910616"/>
  </w:style>
  <w:style w:type="numbering" w:customStyle="1" w:styleId="List49">
    <w:name w:val="List 49"/>
    <w:basedOn w:val="Estiloimportado44"/>
    <w:rsid w:val="00910616"/>
    <w:pPr>
      <w:numPr>
        <w:numId w:val="39"/>
      </w:numPr>
    </w:pPr>
  </w:style>
  <w:style w:type="numbering" w:customStyle="1" w:styleId="Estiloimportado44">
    <w:name w:val="Estilo importado 44"/>
    <w:rsid w:val="00910616"/>
  </w:style>
  <w:style w:type="numbering" w:customStyle="1" w:styleId="List50">
    <w:name w:val="List 50"/>
    <w:basedOn w:val="Estiloimportado45"/>
    <w:rsid w:val="00910616"/>
    <w:pPr>
      <w:numPr>
        <w:numId w:val="37"/>
      </w:numPr>
    </w:pPr>
  </w:style>
  <w:style w:type="numbering" w:customStyle="1" w:styleId="Estiloimportado45">
    <w:name w:val="Estilo importado 45"/>
    <w:rsid w:val="00910616"/>
  </w:style>
  <w:style w:type="numbering" w:customStyle="1" w:styleId="Estiloimportado46">
    <w:name w:val="Estilo importado 46"/>
    <w:rsid w:val="00910616"/>
  </w:style>
  <w:style w:type="numbering" w:customStyle="1" w:styleId="List52">
    <w:name w:val="List 52"/>
    <w:basedOn w:val="Estiloimportado1"/>
    <w:rsid w:val="00910616"/>
    <w:pPr>
      <w:numPr>
        <w:numId w:val="9"/>
      </w:numPr>
    </w:pPr>
  </w:style>
  <w:style w:type="paragraph" w:styleId="BalloonText">
    <w:name w:val="Balloon Text"/>
    <w:basedOn w:val="Normal"/>
    <w:link w:val="BalloonTextChar"/>
    <w:uiPriority w:val="99"/>
    <w:semiHidden/>
    <w:unhideWhenUsed/>
    <w:rsid w:val="00910616"/>
    <w:rPr>
      <w:rFonts w:ascii="Tahoma" w:hAnsi="Tahoma" w:cs="Tahoma"/>
      <w:sz w:val="16"/>
      <w:szCs w:val="16"/>
    </w:rPr>
  </w:style>
  <w:style w:type="character" w:customStyle="1" w:styleId="BalloonTextChar">
    <w:name w:val="Balloon Text Char"/>
    <w:basedOn w:val="DefaultParagraphFont"/>
    <w:link w:val="BalloonText"/>
    <w:uiPriority w:val="99"/>
    <w:semiHidden/>
    <w:rsid w:val="00910616"/>
    <w:rPr>
      <w:rFonts w:ascii="Tahoma" w:eastAsia="Arial Unicode MS" w:hAnsi="Tahoma" w:cs="Tahoma"/>
      <w:sz w:val="16"/>
      <w:szCs w:val="16"/>
      <w:bdr w:val="nil"/>
    </w:rPr>
  </w:style>
  <w:style w:type="paragraph" w:styleId="Header">
    <w:name w:val="header"/>
    <w:aliases w:val="encabezado"/>
    <w:basedOn w:val="Normal"/>
    <w:link w:val="HeaderChar"/>
    <w:rsid w:val="0091061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910616"/>
    <w:rPr>
      <w:rFonts w:ascii="Univers" w:eastAsia="Times New Roman" w:hAnsi="Univers" w:cs="Univers"/>
    </w:rPr>
  </w:style>
  <w:style w:type="table" w:styleId="MediumShading1-Accent1">
    <w:name w:val="Medium Shading 1 Accent 1"/>
    <w:basedOn w:val="TableNormal"/>
    <w:uiPriority w:val="63"/>
    <w:rsid w:val="00910616"/>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910616"/>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910616"/>
    <w:pPr>
      <w:tabs>
        <w:tab w:val="left" w:pos="1440"/>
        <w:tab w:val="right" w:leader="dot" w:pos="9350"/>
      </w:tabs>
      <w:spacing w:after="100"/>
    </w:pPr>
    <w:rPr>
      <w:rFonts w:asciiTheme="majorHAnsi" w:hAnsiTheme="majorHAnsi"/>
      <w:b/>
      <w:noProof/>
      <w:sz w:val="20"/>
      <w:szCs w:val="20"/>
      <w:lang w:val="es-ES_tradnl"/>
    </w:rPr>
  </w:style>
  <w:style w:type="paragraph" w:styleId="TOC3">
    <w:name w:val="toc 3"/>
    <w:basedOn w:val="Normal"/>
    <w:next w:val="Normal"/>
    <w:autoRedefine/>
    <w:uiPriority w:val="39"/>
    <w:unhideWhenUsed/>
    <w:rsid w:val="00910616"/>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910616"/>
    <w:pPr>
      <w:spacing w:after="100"/>
      <w:ind w:left="720"/>
    </w:pPr>
  </w:style>
  <w:style w:type="character" w:styleId="PageNumber">
    <w:name w:val="page number"/>
    <w:basedOn w:val="DefaultParagraphFont"/>
    <w:rsid w:val="00910616"/>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910616"/>
    <w:rPr>
      <w:vertAlign w:val="superscript"/>
    </w:rPr>
  </w:style>
  <w:style w:type="paragraph" w:styleId="BodyTextIndent2">
    <w:name w:val="Body Text Indent 2"/>
    <w:basedOn w:val="Normal"/>
    <w:link w:val="BodyTextIndent2Char"/>
    <w:uiPriority w:val="99"/>
    <w:semiHidden/>
    <w:unhideWhenUsed/>
    <w:rsid w:val="00910616"/>
    <w:pPr>
      <w:spacing w:after="120" w:line="480" w:lineRule="auto"/>
      <w:ind w:left="360"/>
    </w:pPr>
  </w:style>
  <w:style w:type="character" w:customStyle="1" w:styleId="BodyTextIndent2Char">
    <w:name w:val="Body Text Indent 2 Char"/>
    <w:basedOn w:val="DefaultParagraphFont"/>
    <w:link w:val="BodyTextIndent2"/>
    <w:uiPriority w:val="99"/>
    <w:semiHidden/>
    <w:rsid w:val="00910616"/>
    <w:rPr>
      <w:rFonts w:ascii="Times New Roman" w:eastAsia="Arial Unicode MS" w:hAnsi="Times New Roman" w:cs="Times New Roman"/>
      <w:bdr w:val="nil"/>
    </w:rPr>
  </w:style>
  <w:style w:type="paragraph" w:styleId="BodyText">
    <w:name w:val="Body Text"/>
    <w:basedOn w:val="Normal"/>
    <w:link w:val="BodyTextChar"/>
    <w:uiPriority w:val="99"/>
    <w:semiHidden/>
    <w:unhideWhenUsed/>
    <w:rsid w:val="00910616"/>
    <w:pPr>
      <w:spacing w:after="120"/>
    </w:pPr>
  </w:style>
  <w:style w:type="character" w:customStyle="1" w:styleId="BodyTextChar">
    <w:name w:val="Body Text Char"/>
    <w:basedOn w:val="DefaultParagraphFont"/>
    <w:link w:val="BodyText"/>
    <w:uiPriority w:val="99"/>
    <w:semiHidden/>
    <w:rsid w:val="00910616"/>
    <w:rPr>
      <w:rFonts w:ascii="Times New Roman" w:eastAsia="Arial Unicode MS" w:hAnsi="Times New Roman" w:cs="Times New Roman"/>
      <w:bdr w:val="nil"/>
    </w:rPr>
  </w:style>
  <w:style w:type="paragraph" w:customStyle="1" w:styleId="Default">
    <w:name w:val="Default"/>
    <w:link w:val="DefaultChar"/>
    <w:rsid w:val="00910616"/>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9106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910616"/>
    <w:rPr>
      <w:rFonts w:ascii="Times New Roman" w:eastAsia="Times New Roman" w:hAnsi="Times New Roman" w:cs="Times New Roman"/>
    </w:rPr>
  </w:style>
  <w:style w:type="character" w:customStyle="1" w:styleId="DefaultChar">
    <w:name w:val="Default Char"/>
    <w:link w:val="Default"/>
    <w:rsid w:val="00910616"/>
    <w:rPr>
      <w:rFonts w:ascii="Times New Roman" w:eastAsia="Times New Roman" w:hAnsi="Times New Roman" w:cs="Times New Roman"/>
      <w:color w:val="000000"/>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1061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91061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910616"/>
    <w:rPr>
      <w:rFonts w:ascii="Cambria" w:eastAsia="Cambria" w:hAnsi="Cambria" w:cs="Cambria"/>
      <w:color w:val="000000"/>
      <w:u w:color="000000"/>
      <w:bdr w:val="nil"/>
      <w:lang w:eastAsia="es-ES"/>
    </w:rPr>
  </w:style>
  <w:style w:type="character" w:styleId="CommentReference">
    <w:name w:val="annotation reference"/>
    <w:basedOn w:val="DefaultParagraphFont"/>
    <w:uiPriority w:val="99"/>
    <w:semiHidden/>
    <w:unhideWhenUsed/>
    <w:rsid w:val="00910616"/>
    <w:rPr>
      <w:sz w:val="16"/>
      <w:szCs w:val="16"/>
    </w:rPr>
  </w:style>
  <w:style w:type="paragraph" w:styleId="CommentText">
    <w:name w:val="annotation text"/>
    <w:basedOn w:val="Normal"/>
    <w:link w:val="CommentTextChar"/>
    <w:uiPriority w:val="99"/>
    <w:semiHidden/>
    <w:unhideWhenUsed/>
    <w:rsid w:val="00910616"/>
    <w:rPr>
      <w:sz w:val="20"/>
      <w:szCs w:val="20"/>
    </w:rPr>
  </w:style>
  <w:style w:type="character" w:customStyle="1" w:styleId="CommentTextChar">
    <w:name w:val="Comment Text Char"/>
    <w:basedOn w:val="DefaultParagraphFont"/>
    <w:link w:val="CommentText"/>
    <w:uiPriority w:val="99"/>
    <w:semiHidden/>
    <w:rsid w:val="00910616"/>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910616"/>
    <w:rPr>
      <w:b/>
      <w:bCs/>
    </w:rPr>
  </w:style>
  <w:style w:type="character" w:customStyle="1" w:styleId="CommentSubjectChar">
    <w:name w:val="Comment Subject Char"/>
    <w:basedOn w:val="CommentTextChar"/>
    <w:link w:val="CommentSubject"/>
    <w:uiPriority w:val="99"/>
    <w:semiHidden/>
    <w:rsid w:val="00910616"/>
    <w:rPr>
      <w:rFonts w:ascii="Times New Roman" w:eastAsia="Arial Unicode MS" w:hAnsi="Times New Roman" w:cs="Times New Roman"/>
      <w:b/>
      <w:bCs/>
      <w:sz w:val="20"/>
      <w:szCs w:val="20"/>
      <w:bdr w:val="nil"/>
    </w:rPr>
  </w:style>
  <w:style w:type="paragraph" w:styleId="NormalWeb">
    <w:name w:val="Normal (Web)"/>
    <w:basedOn w:val="Normal"/>
    <w:uiPriority w:val="99"/>
    <w:unhideWhenUsed/>
    <w:rsid w:val="009106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HAnsi" w:hAnsi="Times"/>
      <w:sz w:val="20"/>
      <w:szCs w:val="20"/>
      <w:bdr w:val="none" w:sz="0" w:space="0" w:color="auto"/>
    </w:rPr>
  </w:style>
  <w:style w:type="character" w:styleId="Strong">
    <w:name w:val="Strong"/>
    <w:uiPriority w:val="22"/>
    <w:qFormat/>
    <w:rsid w:val="00910616"/>
    <w:rPr>
      <w:b/>
      <w:bCs/>
    </w:rPr>
  </w:style>
  <w:style w:type="paragraph" w:styleId="TOCHeading">
    <w:name w:val="TOC Heading"/>
    <w:basedOn w:val="Heading1"/>
    <w:next w:val="Normal"/>
    <w:uiPriority w:val="39"/>
    <w:semiHidden/>
    <w:unhideWhenUsed/>
    <w:qFormat/>
    <w:rsid w:val="0091061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customStyle="1" w:styleId="1">
    <w:name w:val="1"/>
    <w:basedOn w:val="Normal"/>
    <w:uiPriority w:val="99"/>
    <w:rsid w:val="0091061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0616"/>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91061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91061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91061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616"/>
    <w:rPr>
      <w:rFonts w:asciiTheme="majorHAnsi" w:eastAsiaTheme="majorEastAsia" w:hAnsiTheme="majorHAnsi" w:cstheme="majorBidi"/>
      <w:b/>
      <w:bCs/>
      <w:color w:val="2E74B5" w:themeColor="accent1" w:themeShade="BF"/>
      <w:sz w:val="28"/>
      <w:szCs w:val="28"/>
      <w:bdr w:val="nil"/>
    </w:rPr>
  </w:style>
  <w:style w:type="character" w:customStyle="1" w:styleId="Heading2Char">
    <w:name w:val="Heading 2 Char"/>
    <w:basedOn w:val="DefaultParagraphFont"/>
    <w:link w:val="Heading2"/>
    <w:uiPriority w:val="9"/>
    <w:rsid w:val="00910616"/>
    <w:rPr>
      <w:rFonts w:ascii="Arial" w:eastAsia="Times New Roman" w:hAnsi="Arial" w:cs="Arial"/>
      <w:b/>
      <w:bCs/>
      <w:i/>
      <w:iCs/>
      <w:sz w:val="28"/>
      <w:szCs w:val="28"/>
    </w:rPr>
  </w:style>
  <w:style w:type="character" w:customStyle="1" w:styleId="Heading3Char">
    <w:name w:val="Heading 3 Char"/>
    <w:basedOn w:val="DefaultParagraphFont"/>
    <w:link w:val="Heading3"/>
    <w:rsid w:val="00910616"/>
    <w:rPr>
      <w:rFonts w:ascii="Arial" w:eastAsia="Times New Roman" w:hAnsi="Arial" w:cs="Arial"/>
      <w:b/>
      <w:bCs/>
      <w:sz w:val="26"/>
      <w:szCs w:val="26"/>
    </w:rPr>
  </w:style>
  <w:style w:type="character" w:styleId="Hyperlink">
    <w:name w:val="Hyperlink"/>
    <w:uiPriority w:val="99"/>
    <w:rsid w:val="00910616"/>
    <w:rPr>
      <w:u w:val="single"/>
    </w:rPr>
  </w:style>
  <w:style w:type="paragraph" w:customStyle="1" w:styleId="Cabeceraypie">
    <w:name w:val="Cabecera y pie"/>
    <w:rsid w:val="00910616"/>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910616"/>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910616"/>
    <w:rPr>
      <w:rFonts w:ascii="Cambria" w:eastAsia="Cambria" w:hAnsi="Cambria" w:cs="Cambria"/>
      <w:color w:val="000000"/>
      <w:u w:color="000000"/>
      <w:bdr w:val="nil"/>
      <w:lang w:eastAsia="es-ES"/>
    </w:rPr>
  </w:style>
  <w:style w:type="paragraph" w:customStyle="1" w:styleId="Cuerpo">
    <w:name w:val="Cuerpo"/>
    <w:rsid w:val="00910616"/>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910616"/>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910616"/>
    <w:rPr>
      <w:rFonts w:ascii="Times New Roman" w:eastAsia="Times New Roman" w:hAnsi="Times New Roman" w:cs="Times New Roman"/>
      <w:color w:val="000000"/>
      <w:u w:color="000000"/>
      <w:bdr w:val="nil"/>
      <w:lang w:val="es-ES_tradnl" w:eastAsia="es-ES"/>
    </w:rPr>
  </w:style>
  <w:style w:type="paragraph" w:styleId="ListParagraph">
    <w:name w:val="List Paragraph"/>
    <w:aliases w:val="Párrafo de lista1,List Paragraph1,Colorful List - Accent 11,List Paragraph11,List Paragraph2"/>
    <w:link w:val="ListParagraphChar"/>
    <w:uiPriority w:val="34"/>
    <w:qFormat/>
    <w:rsid w:val="00910616"/>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numbering" w:customStyle="1" w:styleId="List0">
    <w:name w:val="List 0"/>
    <w:basedOn w:val="Estiloimportado1"/>
    <w:rsid w:val="00910616"/>
    <w:pPr>
      <w:numPr>
        <w:numId w:val="31"/>
      </w:numPr>
    </w:pPr>
  </w:style>
  <w:style w:type="numbering" w:customStyle="1" w:styleId="Estiloimportado1">
    <w:name w:val="Estilo importado 1"/>
    <w:rsid w:val="00910616"/>
  </w:style>
  <w:style w:type="numbering" w:customStyle="1" w:styleId="List1">
    <w:name w:val="List 1"/>
    <w:basedOn w:val="Estiloimportado2"/>
    <w:rsid w:val="00910616"/>
    <w:pPr>
      <w:numPr>
        <w:numId w:val="1"/>
      </w:numPr>
    </w:pPr>
  </w:style>
  <w:style w:type="numbering" w:customStyle="1" w:styleId="Estiloimportado2">
    <w:name w:val="Estilo importado 2"/>
    <w:rsid w:val="00910616"/>
  </w:style>
  <w:style w:type="numbering" w:customStyle="1" w:styleId="List21">
    <w:name w:val="List 21"/>
    <w:basedOn w:val="Estiloimportado3"/>
    <w:rsid w:val="00910616"/>
    <w:pPr>
      <w:numPr>
        <w:numId w:val="38"/>
      </w:numPr>
    </w:pPr>
  </w:style>
  <w:style w:type="numbering" w:customStyle="1" w:styleId="Estiloimportado3">
    <w:name w:val="Estilo importado 3"/>
    <w:rsid w:val="00910616"/>
  </w:style>
  <w:style w:type="numbering" w:customStyle="1" w:styleId="List31">
    <w:name w:val="List 31"/>
    <w:basedOn w:val="Estiloimportado4"/>
    <w:rsid w:val="00910616"/>
    <w:pPr>
      <w:numPr>
        <w:numId w:val="44"/>
      </w:numPr>
    </w:pPr>
  </w:style>
  <w:style w:type="numbering" w:customStyle="1" w:styleId="Estiloimportado4">
    <w:name w:val="Estilo importado 4"/>
    <w:rsid w:val="00910616"/>
  </w:style>
  <w:style w:type="numbering" w:customStyle="1" w:styleId="List41">
    <w:name w:val="List 41"/>
    <w:basedOn w:val="Estiloimportado5"/>
    <w:rsid w:val="00910616"/>
    <w:pPr>
      <w:numPr>
        <w:numId w:val="2"/>
      </w:numPr>
    </w:pPr>
  </w:style>
  <w:style w:type="numbering" w:customStyle="1" w:styleId="Estiloimportado5">
    <w:name w:val="Estilo importado 5"/>
    <w:rsid w:val="00910616"/>
  </w:style>
  <w:style w:type="numbering" w:customStyle="1" w:styleId="List51">
    <w:name w:val="List 51"/>
    <w:basedOn w:val="Estiloimportado6"/>
    <w:rsid w:val="00910616"/>
    <w:pPr>
      <w:numPr>
        <w:numId w:val="33"/>
      </w:numPr>
    </w:pPr>
  </w:style>
  <w:style w:type="numbering" w:customStyle="1" w:styleId="Estiloimportado6">
    <w:name w:val="Estilo importado 6"/>
    <w:rsid w:val="00910616"/>
  </w:style>
  <w:style w:type="numbering" w:customStyle="1" w:styleId="List6">
    <w:name w:val="List 6"/>
    <w:basedOn w:val="Estiloimportado7"/>
    <w:rsid w:val="00910616"/>
    <w:pPr>
      <w:numPr>
        <w:numId w:val="3"/>
      </w:numPr>
    </w:pPr>
  </w:style>
  <w:style w:type="numbering" w:customStyle="1" w:styleId="Estiloimportado7">
    <w:name w:val="Estilo importado 7"/>
    <w:rsid w:val="00910616"/>
  </w:style>
  <w:style w:type="numbering" w:customStyle="1" w:styleId="List7">
    <w:name w:val="List 7"/>
    <w:basedOn w:val="Estiloimportado8"/>
    <w:rsid w:val="00910616"/>
    <w:pPr>
      <w:numPr>
        <w:numId w:val="4"/>
      </w:numPr>
    </w:pPr>
  </w:style>
  <w:style w:type="numbering" w:customStyle="1" w:styleId="Estiloimportado8">
    <w:name w:val="Estilo importado 8"/>
    <w:rsid w:val="00910616"/>
  </w:style>
  <w:style w:type="numbering" w:customStyle="1" w:styleId="List8">
    <w:name w:val="List 8"/>
    <w:basedOn w:val="Estiloimportado9"/>
    <w:rsid w:val="00910616"/>
    <w:pPr>
      <w:numPr>
        <w:numId w:val="5"/>
      </w:numPr>
    </w:pPr>
  </w:style>
  <w:style w:type="numbering" w:customStyle="1" w:styleId="Estiloimportado9">
    <w:name w:val="Estilo importado 9"/>
    <w:rsid w:val="00910616"/>
  </w:style>
  <w:style w:type="numbering" w:customStyle="1" w:styleId="List9">
    <w:name w:val="List 9"/>
    <w:basedOn w:val="Estiloimportado10"/>
    <w:rsid w:val="00910616"/>
    <w:pPr>
      <w:numPr>
        <w:numId w:val="22"/>
      </w:numPr>
    </w:pPr>
  </w:style>
  <w:style w:type="numbering" w:customStyle="1" w:styleId="Estiloimportado10">
    <w:name w:val="Estilo importado 10"/>
    <w:rsid w:val="00910616"/>
  </w:style>
  <w:style w:type="numbering" w:customStyle="1" w:styleId="List10">
    <w:name w:val="List 10"/>
    <w:basedOn w:val="Estiloimportado11"/>
    <w:rsid w:val="00910616"/>
    <w:pPr>
      <w:numPr>
        <w:numId w:val="6"/>
      </w:numPr>
    </w:pPr>
  </w:style>
  <w:style w:type="numbering" w:customStyle="1" w:styleId="Estiloimportado11">
    <w:name w:val="Estilo importado 11"/>
    <w:rsid w:val="00910616"/>
  </w:style>
  <w:style w:type="numbering" w:customStyle="1" w:styleId="List11">
    <w:name w:val="List 11"/>
    <w:basedOn w:val="Estiloimportado12"/>
    <w:rsid w:val="00910616"/>
    <w:pPr>
      <w:numPr>
        <w:numId w:val="7"/>
      </w:numPr>
    </w:pPr>
  </w:style>
  <w:style w:type="numbering" w:customStyle="1" w:styleId="Estiloimportado12">
    <w:name w:val="Estilo importado 12"/>
    <w:rsid w:val="00910616"/>
  </w:style>
  <w:style w:type="numbering" w:customStyle="1" w:styleId="List12">
    <w:name w:val="List 12"/>
    <w:basedOn w:val="Estiloimportado13"/>
    <w:rsid w:val="00910616"/>
    <w:pPr>
      <w:numPr>
        <w:numId w:val="36"/>
      </w:numPr>
    </w:pPr>
  </w:style>
  <w:style w:type="numbering" w:customStyle="1" w:styleId="Estiloimportado13">
    <w:name w:val="Estilo importado 13"/>
    <w:rsid w:val="00910616"/>
  </w:style>
  <w:style w:type="numbering" w:customStyle="1" w:styleId="List13">
    <w:name w:val="List 13"/>
    <w:basedOn w:val="Estiloimportado14"/>
    <w:rsid w:val="00910616"/>
    <w:pPr>
      <w:numPr>
        <w:numId w:val="42"/>
      </w:numPr>
    </w:pPr>
  </w:style>
  <w:style w:type="numbering" w:customStyle="1" w:styleId="Estiloimportado14">
    <w:name w:val="Estilo importado 14"/>
    <w:rsid w:val="00910616"/>
  </w:style>
  <w:style w:type="numbering" w:customStyle="1" w:styleId="List14">
    <w:name w:val="List 14"/>
    <w:basedOn w:val="Estiloimportado15"/>
    <w:rsid w:val="00910616"/>
    <w:pPr>
      <w:numPr>
        <w:numId w:val="17"/>
      </w:numPr>
    </w:pPr>
  </w:style>
  <w:style w:type="numbering" w:customStyle="1" w:styleId="Estiloimportado15">
    <w:name w:val="Estilo importado 15"/>
    <w:rsid w:val="00910616"/>
  </w:style>
  <w:style w:type="numbering" w:customStyle="1" w:styleId="List15">
    <w:name w:val="List 15"/>
    <w:basedOn w:val="Estiloimportado16"/>
    <w:rsid w:val="00910616"/>
    <w:pPr>
      <w:numPr>
        <w:numId w:val="16"/>
      </w:numPr>
    </w:pPr>
  </w:style>
  <w:style w:type="numbering" w:customStyle="1" w:styleId="Estiloimportado16">
    <w:name w:val="Estilo importado 16"/>
    <w:rsid w:val="00910616"/>
  </w:style>
  <w:style w:type="numbering" w:customStyle="1" w:styleId="List16">
    <w:name w:val="List 16"/>
    <w:basedOn w:val="Estiloimportado16"/>
    <w:rsid w:val="00910616"/>
    <w:pPr>
      <w:numPr>
        <w:numId w:val="10"/>
      </w:numPr>
    </w:pPr>
  </w:style>
  <w:style w:type="numbering" w:customStyle="1" w:styleId="List17">
    <w:name w:val="List 17"/>
    <w:basedOn w:val="Estiloimportado17"/>
    <w:rsid w:val="00910616"/>
    <w:pPr>
      <w:numPr>
        <w:numId w:val="25"/>
      </w:numPr>
    </w:pPr>
  </w:style>
  <w:style w:type="numbering" w:customStyle="1" w:styleId="Estiloimportado17">
    <w:name w:val="Estilo importado 17"/>
    <w:rsid w:val="00910616"/>
  </w:style>
  <w:style w:type="numbering" w:customStyle="1" w:styleId="List18">
    <w:name w:val="List 18"/>
    <w:basedOn w:val="Estiloimportado18"/>
    <w:rsid w:val="00910616"/>
    <w:pPr>
      <w:numPr>
        <w:numId w:val="27"/>
      </w:numPr>
    </w:pPr>
  </w:style>
  <w:style w:type="numbering" w:customStyle="1" w:styleId="Estiloimportado18">
    <w:name w:val="Estilo importado 18"/>
    <w:rsid w:val="00910616"/>
  </w:style>
  <w:style w:type="numbering" w:customStyle="1" w:styleId="List19">
    <w:name w:val="List 19"/>
    <w:basedOn w:val="Estiloimportado10"/>
    <w:rsid w:val="00910616"/>
    <w:pPr>
      <w:numPr>
        <w:numId w:val="19"/>
      </w:numPr>
    </w:pPr>
  </w:style>
  <w:style w:type="numbering" w:customStyle="1" w:styleId="List20">
    <w:name w:val="List 20"/>
    <w:basedOn w:val="Estiloimportado12"/>
    <w:rsid w:val="00910616"/>
    <w:pPr>
      <w:numPr>
        <w:numId w:val="43"/>
      </w:numPr>
    </w:pPr>
  </w:style>
  <w:style w:type="numbering" w:customStyle="1" w:styleId="Estiloimportado19">
    <w:name w:val="Estilo importado 19"/>
    <w:rsid w:val="00910616"/>
  </w:style>
  <w:style w:type="numbering" w:customStyle="1" w:styleId="List22">
    <w:name w:val="List 22"/>
    <w:basedOn w:val="Estiloimportado19"/>
    <w:rsid w:val="00910616"/>
    <w:pPr>
      <w:numPr>
        <w:numId w:val="28"/>
      </w:numPr>
    </w:pPr>
  </w:style>
  <w:style w:type="numbering" w:customStyle="1" w:styleId="List23">
    <w:name w:val="List 23"/>
    <w:basedOn w:val="Estiloimportado19"/>
    <w:rsid w:val="00910616"/>
    <w:pPr>
      <w:numPr>
        <w:numId w:val="18"/>
      </w:numPr>
    </w:pPr>
  </w:style>
  <w:style w:type="numbering" w:customStyle="1" w:styleId="List24">
    <w:name w:val="List 24"/>
    <w:basedOn w:val="Estiloimportado20"/>
    <w:rsid w:val="00910616"/>
    <w:pPr>
      <w:numPr>
        <w:numId w:val="13"/>
      </w:numPr>
    </w:pPr>
  </w:style>
  <w:style w:type="numbering" w:customStyle="1" w:styleId="Estiloimportado20">
    <w:name w:val="Estilo importado 20"/>
    <w:rsid w:val="00910616"/>
  </w:style>
  <w:style w:type="numbering" w:customStyle="1" w:styleId="List25">
    <w:name w:val="List 25"/>
    <w:basedOn w:val="Estiloimportado21"/>
    <w:rsid w:val="00910616"/>
    <w:pPr>
      <w:numPr>
        <w:numId w:val="15"/>
      </w:numPr>
    </w:pPr>
  </w:style>
  <w:style w:type="numbering" w:customStyle="1" w:styleId="Estiloimportado21">
    <w:name w:val="Estilo importado 21"/>
    <w:rsid w:val="00910616"/>
  </w:style>
  <w:style w:type="numbering" w:customStyle="1" w:styleId="List26">
    <w:name w:val="List 26"/>
    <w:basedOn w:val="Estiloimportado22"/>
    <w:rsid w:val="00910616"/>
    <w:pPr>
      <w:numPr>
        <w:numId w:val="48"/>
      </w:numPr>
    </w:pPr>
  </w:style>
  <w:style w:type="numbering" w:customStyle="1" w:styleId="Estiloimportado22">
    <w:name w:val="Estilo importado 22"/>
    <w:rsid w:val="00910616"/>
  </w:style>
  <w:style w:type="numbering" w:customStyle="1" w:styleId="List27">
    <w:name w:val="List 27"/>
    <w:basedOn w:val="Estiloimportado23"/>
    <w:rsid w:val="00910616"/>
    <w:pPr>
      <w:numPr>
        <w:numId w:val="41"/>
      </w:numPr>
    </w:pPr>
  </w:style>
  <w:style w:type="numbering" w:customStyle="1" w:styleId="Estiloimportado23">
    <w:name w:val="Estilo importado 23"/>
    <w:rsid w:val="00910616"/>
  </w:style>
  <w:style w:type="numbering" w:customStyle="1" w:styleId="List28">
    <w:name w:val="List 28"/>
    <w:basedOn w:val="Estiloimportado24"/>
    <w:rsid w:val="00910616"/>
    <w:pPr>
      <w:numPr>
        <w:numId w:val="30"/>
      </w:numPr>
    </w:pPr>
  </w:style>
  <w:style w:type="numbering" w:customStyle="1" w:styleId="Estiloimportado24">
    <w:name w:val="Estilo importado 24"/>
    <w:rsid w:val="00910616"/>
  </w:style>
  <w:style w:type="numbering" w:customStyle="1" w:styleId="List29">
    <w:name w:val="List 29"/>
    <w:basedOn w:val="Estiloimportado25"/>
    <w:rsid w:val="00910616"/>
    <w:pPr>
      <w:numPr>
        <w:numId w:val="34"/>
      </w:numPr>
    </w:pPr>
  </w:style>
  <w:style w:type="numbering" w:customStyle="1" w:styleId="Estiloimportado25">
    <w:name w:val="Estilo importado 25"/>
    <w:rsid w:val="00910616"/>
  </w:style>
  <w:style w:type="numbering" w:customStyle="1" w:styleId="List30">
    <w:name w:val="List 30"/>
    <w:basedOn w:val="Estiloimportado26"/>
    <w:rsid w:val="00910616"/>
    <w:pPr>
      <w:numPr>
        <w:numId w:val="32"/>
      </w:numPr>
    </w:pPr>
  </w:style>
  <w:style w:type="numbering" w:customStyle="1" w:styleId="Estiloimportado26">
    <w:name w:val="Estilo importado 26"/>
    <w:rsid w:val="00910616"/>
  </w:style>
  <w:style w:type="numbering" w:customStyle="1" w:styleId="Estiloimportado27">
    <w:name w:val="Estilo importado 27"/>
    <w:rsid w:val="00910616"/>
  </w:style>
  <w:style w:type="numbering" w:customStyle="1" w:styleId="List32">
    <w:name w:val="List 32"/>
    <w:basedOn w:val="Estiloimportado28"/>
    <w:rsid w:val="00910616"/>
    <w:pPr>
      <w:numPr>
        <w:numId w:val="47"/>
      </w:numPr>
    </w:pPr>
  </w:style>
  <w:style w:type="numbering" w:customStyle="1" w:styleId="Estiloimportado28">
    <w:name w:val="Estilo importado 28"/>
    <w:rsid w:val="00910616"/>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910616"/>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rsid w:val="00910616"/>
    <w:rPr>
      <w:rFonts w:ascii="Calibri" w:eastAsia="Calibri" w:hAnsi="Calibri" w:cs="Calibri"/>
      <w:color w:val="000000"/>
      <w:sz w:val="20"/>
      <w:szCs w:val="20"/>
      <w:u w:color="000000"/>
      <w:bdr w:val="nil"/>
      <w:lang w:eastAsia="es-ES"/>
    </w:rPr>
  </w:style>
  <w:style w:type="numbering" w:customStyle="1" w:styleId="List33">
    <w:name w:val="List 33"/>
    <w:basedOn w:val="Estiloimportado29"/>
    <w:rsid w:val="00910616"/>
    <w:pPr>
      <w:numPr>
        <w:numId w:val="26"/>
      </w:numPr>
    </w:pPr>
  </w:style>
  <w:style w:type="numbering" w:customStyle="1" w:styleId="Estiloimportado29">
    <w:name w:val="Estilo importado 29"/>
    <w:rsid w:val="00910616"/>
  </w:style>
  <w:style w:type="numbering" w:customStyle="1" w:styleId="List34">
    <w:name w:val="List 34"/>
    <w:basedOn w:val="Estiloimportado30"/>
    <w:rsid w:val="00910616"/>
    <w:pPr>
      <w:numPr>
        <w:numId w:val="11"/>
      </w:numPr>
    </w:pPr>
  </w:style>
  <w:style w:type="numbering" w:customStyle="1" w:styleId="Estiloimportado30">
    <w:name w:val="Estilo importado 30"/>
    <w:rsid w:val="00910616"/>
  </w:style>
  <w:style w:type="numbering" w:customStyle="1" w:styleId="List35">
    <w:name w:val="List 35"/>
    <w:basedOn w:val="Estiloimportado31"/>
    <w:rsid w:val="00910616"/>
    <w:pPr>
      <w:numPr>
        <w:numId w:val="8"/>
      </w:numPr>
    </w:pPr>
  </w:style>
  <w:style w:type="numbering" w:customStyle="1" w:styleId="Estiloimportado31">
    <w:name w:val="Estilo importado 31"/>
    <w:rsid w:val="00910616"/>
  </w:style>
  <w:style w:type="numbering" w:customStyle="1" w:styleId="List36">
    <w:name w:val="List 36"/>
    <w:basedOn w:val="Estiloimportado32"/>
    <w:rsid w:val="00910616"/>
    <w:pPr>
      <w:numPr>
        <w:numId w:val="14"/>
      </w:numPr>
    </w:pPr>
  </w:style>
  <w:style w:type="numbering" w:customStyle="1" w:styleId="Estiloimportado32">
    <w:name w:val="Estilo importado 32"/>
    <w:rsid w:val="00910616"/>
  </w:style>
  <w:style w:type="numbering" w:customStyle="1" w:styleId="List37">
    <w:name w:val="List 37"/>
    <w:basedOn w:val="Estiloimportado33"/>
    <w:rsid w:val="00910616"/>
    <w:pPr>
      <w:numPr>
        <w:numId w:val="46"/>
      </w:numPr>
    </w:pPr>
  </w:style>
  <w:style w:type="numbering" w:customStyle="1" w:styleId="Estiloimportado33">
    <w:name w:val="Estilo importado 33"/>
    <w:rsid w:val="00910616"/>
  </w:style>
  <w:style w:type="numbering" w:customStyle="1" w:styleId="List38">
    <w:name w:val="List 38"/>
    <w:basedOn w:val="Estiloimportado34"/>
    <w:rsid w:val="00910616"/>
    <w:pPr>
      <w:numPr>
        <w:numId w:val="35"/>
      </w:numPr>
    </w:pPr>
  </w:style>
  <w:style w:type="numbering" w:customStyle="1" w:styleId="Estiloimportado34">
    <w:name w:val="Estilo importado 34"/>
    <w:rsid w:val="00910616"/>
  </w:style>
  <w:style w:type="numbering" w:customStyle="1" w:styleId="List39">
    <w:name w:val="List 39"/>
    <w:basedOn w:val="Estiloimportado35"/>
    <w:rsid w:val="00910616"/>
    <w:pPr>
      <w:numPr>
        <w:numId w:val="45"/>
      </w:numPr>
    </w:pPr>
  </w:style>
  <w:style w:type="numbering" w:customStyle="1" w:styleId="Estiloimportado35">
    <w:name w:val="Estilo importado 35"/>
    <w:rsid w:val="00910616"/>
  </w:style>
  <w:style w:type="numbering" w:customStyle="1" w:styleId="List40">
    <w:name w:val="List 40"/>
    <w:basedOn w:val="Estiloimportado36"/>
    <w:rsid w:val="00910616"/>
    <w:pPr>
      <w:numPr>
        <w:numId w:val="21"/>
      </w:numPr>
    </w:pPr>
  </w:style>
  <w:style w:type="numbering" w:customStyle="1" w:styleId="Estiloimportado36">
    <w:name w:val="Estilo importado 36"/>
    <w:rsid w:val="00910616"/>
  </w:style>
  <w:style w:type="numbering" w:customStyle="1" w:styleId="Estiloimportado37">
    <w:name w:val="Estilo importado 37"/>
    <w:rsid w:val="00910616"/>
  </w:style>
  <w:style w:type="numbering" w:customStyle="1" w:styleId="List42">
    <w:name w:val="List 42"/>
    <w:basedOn w:val="Estiloimportado12"/>
    <w:rsid w:val="00910616"/>
    <w:pPr>
      <w:numPr>
        <w:numId w:val="12"/>
      </w:numPr>
    </w:pPr>
  </w:style>
  <w:style w:type="numbering" w:customStyle="1" w:styleId="List43">
    <w:name w:val="List 43"/>
    <w:basedOn w:val="Estiloimportado38"/>
    <w:rsid w:val="00910616"/>
    <w:pPr>
      <w:numPr>
        <w:numId w:val="23"/>
      </w:numPr>
    </w:pPr>
  </w:style>
  <w:style w:type="numbering" w:customStyle="1" w:styleId="Estiloimportado38">
    <w:name w:val="Estilo importado 38"/>
    <w:rsid w:val="00910616"/>
  </w:style>
  <w:style w:type="numbering" w:customStyle="1" w:styleId="List44">
    <w:name w:val="List 44"/>
    <w:basedOn w:val="Estiloimportado39"/>
    <w:rsid w:val="00910616"/>
    <w:pPr>
      <w:numPr>
        <w:numId w:val="40"/>
      </w:numPr>
    </w:pPr>
  </w:style>
  <w:style w:type="numbering" w:customStyle="1" w:styleId="Estiloimportado39">
    <w:name w:val="Estilo importado 39"/>
    <w:rsid w:val="00910616"/>
  </w:style>
  <w:style w:type="numbering" w:customStyle="1" w:styleId="List45">
    <w:name w:val="List 45"/>
    <w:basedOn w:val="Estiloimportado40"/>
    <w:rsid w:val="00910616"/>
    <w:pPr>
      <w:numPr>
        <w:numId w:val="20"/>
      </w:numPr>
    </w:pPr>
  </w:style>
  <w:style w:type="numbering" w:customStyle="1" w:styleId="Estiloimportado40">
    <w:name w:val="Estilo importado 40"/>
    <w:rsid w:val="00910616"/>
  </w:style>
  <w:style w:type="numbering" w:customStyle="1" w:styleId="List46">
    <w:name w:val="List 46"/>
    <w:basedOn w:val="Estiloimportado41"/>
    <w:rsid w:val="00910616"/>
    <w:pPr>
      <w:numPr>
        <w:numId w:val="24"/>
      </w:numPr>
    </w:pPr>
  </w:style>
  <w:style w:type="numbering" w:customStyle="1" w:styleId="Estiloimportado41">
    <w:name w:val="Estilo importado 41"/>
    <w:rsid w:val="00910616"/>
  </w:style>
  <w:style w:type="numbering" w:customStyle="1" w:styleId="List47">
    <w:name w:val="List 47"/>
    <w:basedOn w:val="Estiloimportado42"/>
    <w:rsid w:val="00910616"/>
    <w:pPr>
      <w:numPr>
        <w:numId w:val="29"/>
      </w:numPr>
    </w:pPr>
  </w:style>
  <w:style w:type="numbering" w:customStyle="1" w:styleId="Estiloimportado42">
    <w:name w:val="Estilo importado 42"/>
    <w:rsid w:val="00910616"/>
  </w:style>
  <w:style w:type="numbering" w:customStyle="1" w:styleId="List48">
    <w:name w:val="List 48"/>
    <w:basedOn w:val="Estiloimportado43"/>
    <w:rsid w:val="00910616"/>
    <w:pPr>
      <w:numPr>
        <w:numId w:val="49"/>
      </w:numPr>
    </w:pPr>
  </w:style>
  <w:style w:type="numbering" w:customStyle="1" w:styleId="Estiloimportado43">
    <w:name w:val="Estilo importado 43"/>
    <w:rsid w:val="00910616"/>
  </w:style>
  <w:style w:type="numbering" w:customStyle="1" w:styleId="List49">
    <w:name w:val="List 49"/>
    <w:basedOn w:val="Estiloimportado44"/>
    <w:rsid w:val="00910616"/>
    <w:pPr>
      <w:numPr>
        <w:numId w:val="39"/>
      </w:numPr>
    </w:pPr>
  </w:style>
  <w:style w:type="numbering" w:customStyle="1" w:styleId="Estiloimportado44">
    <w:name w:val="Estilo importado 44"/>
    <w:rsid w:val="00910616"/>
  </w:style>
  <w:style w:type="numbering" w:customStyle="1" w:styleId="List50">
    <w:name w:val="List 50"/>
    <w:basedOn w:val="Estiloimportado45"/>
    <w:rsid w:val="00910616"/>
    <w:pPr>
      <w:numPr>
        <w:numId w:val="37"/>
      </w:numPr>
    </w:pPr>
  </w:style>
  <w:style w:type="numbering" w:customStyle="1" w:styleId="Estiloimportado45">
    <w:name w:val="Estilo importado 45"/>
    <w:rsid w:val="00910616"/>
  </w:style>
  <w:style w:type="numbering" w:customStyle="1" w:styleId="Estiloimportado46">
    <w:name w:val="Estilo importado 46"/>
    <w:rsid w:val="00910616"/>
  </w:style>
  <w:style w:type="numbering" w:customStyle="1" w:styleId="List52">
    <w:name w:val="List 52"/>
    <w:basedOn w:val="Estiloimportado1"/>
    <w:rsid w:val="00910616"/>
    <w:pPr>
      <w:numPr>
        <w:numId w:val="9"/>
      </w:numPr>
    </w:pPr>
  </w:style>
  <w:style w:type="paragraph" w:styleId="BalloonText">
    <w:name w:val="Balloon Text"/>
    <w:basedOn w:val="Normal"/>
    <w:link w:val="BalloonTextChar"/>
    <w:uiPriority w:val="99"/>
    <w:semiHidden/>
    <w:unhideWhenUsed/>
    <w:rsid w:val="00910616"/>
    <w:rPr>
      <w:rFonts w:ascii="Tahoma" w:hAnsi="Tahoma" w:cs="Tahoma"/>
      <w:sz w:val="16"/>
      <w:szCs w:val="16"/>
    </w:rPr>
  </w:style>
  <w:style w:type="character" w:customStyle="1" w:styleId="BalloonTextChar">
    <w:name w:val="Balloon Text Char"/>
    <w:basedOn w:val="DefaultParagraphFont"/>
    <w:link w:val="BalloonText"/>
    <w:uiPriority w:val="99"/>
    <w:semiHidden/>
    <w:rsid w:val="00910616"/>
    <w:rPr>
      <w:rFonts w:ascii="Tahoma" w:eastAsia="Arial Unicode MS" w:hAnsi="Tahoma" w:cs="Tahoma"/>
      <w:sz w:val="16"/>
      <w:szCs w:val="16"/>
      <w:bdr w:val="nil"/>
    </w:rPr>
  </w:style>
  <w:style w:type="paragraph" w:styleId="Header">
    <w:name w:val="header"/>
    <w:aliases w:val="encabezado"/>
    <w:basedOn w:val="Normal"/>
    <w:link w:val="HeaderChar"/>
    <w:rsid w:val="0091061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910616"/>
    <w:rPr>
      <w:rFonts w:ascii="Univers" w:eastAsia="Times New Roman" w:hAnsi="Univers" w:cs="Univers"/>
    </w:rPr>
  </w:style>
  <w:style w:type="table" w:styleId="MediumShading1-Accent1">
    <w:name w:val="Medium Shading 1 Accent 1"/>
    <w:basedOn w:val="TableNormal"/>
    <w:uiPriority w:val="63"/>
    <w:rsid w:val="00910616"/>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910616"/>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910616"/>
    <w:pPr>
      <w:tabs>
        <w:tab w:val="left" w:pos="1440"/>
        <w:tab w:val="right" w:leader="dot" w:pos="9350"/>
      </w:tabs>
      <w:spacing w:after="100"/>
    </w:pPr>
    <w:rPr>
      <w:rFonts w:asciiTheme="majorHAnsi" w:hAnsiTheme="majorHAnsi"/>
      <w:b/>
      <w:noProof/>
      <w:sz w:val="20"/>
      <w:szCs w:val="20"/>
      <w:lang w:val="es-ES_tradnl"/>
    </w:rPr>
  </w:style>
  <w:style w:type="paragraph" w:styleId="TOC3">
    <w:name w:val="toc 3"/>
    <w:basedOn w:val="Normal"/>
    <w:next w:val="Normal"/>
    <w:autoRedefine/>
    <w:uiPriority w:val="39"/>
    <w:unhideWhenUsed/>
    <w:rsid w:val="00910616"/>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910616"/>
    <w:pPr>
      <w:spacing w:after="100"/>
      <w:ind w:left="720"/>
    </w:pPr>
  </w:style>
  <w:style w:type="character" w:styleId="PageNumber">
    <w:name w:val="page number"/>
    <w:basedOn w:val="DefaultParagraphFont"/>
    <w:rsid w:val="00910616"/>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910616"/>
    <w:rPr>
      <w:vertAlign w:val="superscript"/>
    </w:rPr>
  </w:style>
  <w:style w:type="paragraph" w:styleId="BodyTextIndent2">
    <w:name w:val="Body Text Indent 2"/>
    <w:basedOn w:val="Normal"/>
    <w:link w:val="BodyTextIndent2Char"/>
    <w:uiPriority w:val="99"/>
    <w:semiHidden/>
    <w:unhideWhenUsed/>
    <w:rsid w:val="00910616"/>
    <w:pPr>
      <w:spacing w:after="120" w:line="480" w:lineRule="auto"/>
      <w:ind w:left="360"/>
    </w:pPr>
  </w:style>
  <w:style w:type="character" w:customStyle="1" w:styleId="BodyTextIndent2Char">
    <w:name w:val="Body Text Indent 2 Char"/>
    <w:basedOn w:val="DefaultParagraphFont"/>
    <w:link w:val="BodyTextIndent2"/>
    <w:uiPriority w:val="99"/>
    <w:semiHidden/>
    <w:rsid w:val="00910616"/>
    <w:rPr>
      <w:rFonts w:ascii="Times New Roman" w:eastAsia="Arial Unicode MS" w:hAnsi="Times New Roman" w:cs="Times New Roman"/>
      <w:bdr w:val="nil"/>
    </w:rPr>
  </w:style>
  <w:style w:type="paragraph" w:styleId="BodyText">
    <w:name w:val="Body Text"/>
    <w:basedOn w:val="Normal"/>
    <w:link w:val="BodyTextChar"/>
    <w:uiPriority w:val="99"/>
    <w:semiHidden/>
    <w:unhideWhenUsed/>
    <w:rsid w:val="00910616"/>
    <w:pPr>
      <w:spacing w:after="120"/>
    </w:pPr>
  </w:style>
  <w:style w:type="character" w:customStyle="1" w:styleId="BodyTextChar">
    <w:name w:val="Body Text Char"/>
    <w:basedOn w:val="DefaultParagraphFont"/>
    <w:link w:val="BodyText"/>
    <w:uiPriority w:val="99"/>
    <w:semiHidden/>
    <w:rsid w:val="00910616"/>
    <w:rPr>
      <w:rFonts w:ascii="Times New Roman" w:eastAsia="Arial Unicode MS" w:hAnsi="Times New Roman" w:cs="Times New Roman"/>
      <w:bdr w:val="nil"/>
    </w:rPr>
  </w:style>
  <w:style w:type="paragraph" w:customStyle="1" w:styleId="Default">
    <w:name w:val="Default"/>
    <w:link w:val="DefaultChar"/>
    <w:rsid w:val="00910616"/>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9106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910616"/>
    <w:rPr>
      <w:rFonts w:ascii="Times New Roman" w:eastAsia="Times New Roman" w:hAnsi="Times New Roman" w:cs="Times New Roman"/>
    </w:rPr>
  </w:style>
  <w:style w:type="character" w:customStyle="1" w:styleId="DefaultChar">
    <w:name w:val="Default Char"/>
    <w:link w:val="Default"/>
    <w:rsid w:val="00910616"/>
    <w:rPr>
      <w:rFonts w:ascii="Times New Roman" w:eastAsia="Times New Roman" w:hAnsi="Times New Roman" w:cs="Times New Roman"/>
      <w:color w:val="000000"/>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1061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91061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910616"/>
    <w:rPr>
      <w:rFonts w:ascii="Cambria" w:eastAsia="Cambria" w:hAnsi="Cambria" w:cs="Cambria"/>
      <w:color w:val="000000"/>
      <w:u w:color="000000"/>
      <w:bdr w:val="nil"/>
      <w:lang w:eastAsia="es-ES"/>
    </w:rPr>
  </w:style>
  <w:style w:type="character" w:styleId="CommentReference">
    <w:name w:val="annotation reference"/>
    <w:basedOn w:val="DefaultParagraphFont"/>
    <w:uiPriority w:val="99"/>
    <w:semiHidden/>
    <w:unhideWhenUsed/>
    <w:rsid w:val="00910616"/>
    <w:rPr>
      <w:sz w:val="16"/>
      <w:szCs w:val="16"/>
    </w:rPr>
  </w:style>
  <w:style w:type="paragraph" w:styleId="CommentText">
    <w:name w:val="annotation text"/>
    <w:basedOn w:val="Normal"/>
    <w:link w:val="CommentTextChar"/>
    <w:uiPriority w:val="99"/>
    <w:semiHidden/>
    <w:unhideWhenUsed/>
    <w:rsid w:val="00910616"/>
    <w:rPr>
      <w:sz w:val="20"/>
      <w:szCs w:val="20"/>
    </w:rPr>
  </w:style>
  <w:style w:type="character" w:customStyle="1" w:styleId="CommentTextChar">
    <w:name w:val="Comment Text Char"/>
    <w:basedOn w:val="DefaultParagraphFont"/>
    <w:link w:val="CommentText"/>
    <w:uiPriority w:val="99"/>
    <w:semiHidden/>
    <w:rsid w:val="00910616"/>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910616"/>
    <w:rPr>
      <w:b/>
      <w:bCs/>
    </w:rPr>
  </w:style>
  <w:style w:type="character" w:customStyle="1" w:styleId="CommentSubjectChar">
    <w:name w:val="Comment Subject Char"/>
    <w:basedOn w:val="CommentTextChar"/>
    <w:link w:val="CommentSubject"/>
    <w:uiPriority w:val="99"/>
    <w:semiHidden/>
    <w:rsid w:val="00910616"/>
    <w:rPr>
      <w:rFonts w:ascii="Times New Roman" w:eastAsia="Arial Unicode MS" w:hAnsi="Times New Roman" w:cs="Times New Roman"/>
      <w:b/>
      <w:bCs/>
      <w:sz w:val="20"/>
      <w:szCs w:val="20"/>
      <w:bdr w:val="nil"/>
    </w:rPr>
  </w:style>
  <w:style w:type="paragraph" w:styleId="NormalWeb">
    <w:name w:val="Normal (Web)"/>
    <w:basedOn w:val="Normal"/>
    <w:uiPriority w:val="99"/>
    <w:unhideWhenUsed/>
    <w:rsid w:val="009106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HAnsi" w:hAnsi="Times"/>
      <w:sz w:val="20"/>
      <w:szCs w:val="20"/>
      <w:bdr w:val="none" w:sz="0" w:space="0" w:color="auto"/>
    </w:rPr>
  </w:style>
  <w:style w:type="character" w:styleId="Strong">
    <w:name w:val="Strong"/>
    <w:uiPriority w:val="22"/>
    <w:qFormat/>
    <w:rsid w:val="00910616"/>
    <w:rPr>
      <w:b/>
      <w:bCs/>
    </w:rPr>
  </w:style>
  <w:style w:type="paragraph" w:styleId="TOCHeading">
    <w:name w:val="TOC Heading"/>
    <w:basedOn w:val="Heading1"/>
    <w:next w:val="Normal"/>
    <w:uiPriority w:val="39"/>
    <w:semiHidden/>
    <w:unhideWhenUsed/>
    <w:qFormat/>
    <w:rsid w:val="0091061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customStyle="1" w:styleId="1">
    <w:name w:val="1"/>
    <w:basedOn w:val="Normal"/>
    <w:uiPriority w:val="99"/>
    <w:rsid w:val="0091061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7" Type="http://schemas.openxmlformats.org/officeDocument/2006/relationships/hyperlink" Target="https://www.unodc.org/documents/corruption/Publications/2012/V1380121-SPAN_eBook.pdf" TargetMode="External"/><Relationship Id="rId2"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1"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6" Type="http://schemas.openxmlformats.org/officeDocument/2006/relationships/hyperlink" Target="https://www.justiciacordoba.gob.ar/EticaJudicial/Doc/Reglas-Bangalore.pdf" TargetMode="External"/><Relationship Id="rId5" Type="http://schemas.openxmlformats.org/officeDocument/2006/relationships/hyperlink" Target="http://www.oas.org/es/cidh/expresion/showarticle.asp?artID=87&amp;lID=2" TargetMode="External"/><Relationship Id="rId4"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6A074-3A19-4F76-843A-AC7E78E4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9496</Words>
  <Characters>54129</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Serrano</dc:creator>
  <cp:lastModifiedBy>%username%</cp:lastModifiedBy>
  <cp:revision>3</cp:revision>
  <cp:lastPrinted>2018-04-05T16:35:00Z</cp:lastPrinted>
  <dcterms:created xsi:type="dcterms:W3CDTF">2018-04-05T16:35:00Z</dcterms:created>
  <dcterms:modified xsi:type="dcterms:W3CDTF">2018-12-04T17:24:00Z</dcterms:modified>
</cp:coreProperties>
</file>