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92FEEB1" wp14:editId="3EE4FF3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1C7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21F2DF4" wp14:editId="75F736C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Default="00CA05C6" w:rsidP="00AE5488">
                            <w:r>
                              <w:rPr>
                                <w:noProof/>
                              </w:rPr>
                              <w:drawing>
                                <wp:inline distT="0" distB="0" distL="0" distR="0" wp14:anchorId="268D82FE" wp14:editId="1DE7239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F2DF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A05C6" w:rsidRDefault="00CA05C6" w:rsidP="00AE5488">
                      <w:r>
                        <w:rPr>
                          <w:noProof/>
                        </w:rPr>
                        <w:drawing>
                          <wp:inline distT="0" distB="0" distL="0" distR="0" wp14:anchorId="268D82FE" wp14:editId="1DE7239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53FA377" wp14:editId="756EB43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Pr="000158FD" w:rsidRDefault="00CA05C6"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A5621A">
                              <w:rPr>
                                <w:rFonts w:asciiTheme="majorHAnsi" w:hAnsiTheme="majorHAnsi" w:cs="Arial"/>
                                <w:b/>
                                <w:bCs/>
                                <w:color w:val="0D0D0D" w:themeColor="text1" w:themeTint="F2"/>
                                <w:sz w:val="36"/>
                                <w:szCs w:val="40"/>
                                <w:lang w:val="pt-BR"/>
                              </w:rPr>
                              <w:t>.</w:t>
                            </w:r>
                            <w:r w:rsidRPr="00A5621A">
                              <w:rPr>
                                <w:rFonts w:asciiTheme="majorHAnsi" w:hAnsiTheme="majorHAnsi" w:cs="Arial"/>
                                <w:b/>
                                <w:bCs/>
                                <w:color w:val="0D0D0D" w:themeColor="text1" w:themeTint="F2"/>
                                <w:sz w:val="36"/>
                                <w:szCs w:val="22"/>
                                <w:lang w:val="pt-BR"/>
                              </w:rPr>
                              <w:t xml:space="preserve"> 107/18</w:t>
                            </w:r>
                          </w:p>
                          <w:p w:rsidR="00CA05C6" w:rsidRPr="000158FD" w:rsidRDefault="00CA05C6"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13.039</w:t>
                            </w:r>
                          </w:p>
                          <w:p w:rsidR="00CA05C6" w:rsidRPr="0010736F" w:rsidRDefault="00CA05C6"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p>
                          <w:p w:rsidR="00CA05C6" w:rsidRPr="0010736F" w:rsidRDefault="00CA05C6" w:rsidP="00997BC5">
                            <w:pPr>
                              <w:spacing w:line="276" w:lineRule="auto"/>
                              <w:rPr>
                                <w:rFonts w:asciiTheme="majorHAnsi" w:hAnsiTheme="majorHAnsi" w:cs="Arial"/>
                                <w:color w:val="0D0D0D" w:themeColor="text1" w:themeTint="F2"/>
                                <w:szCs w:val="22"/>
                                <w:lang w:val="es-ES_tradnl"/>
                              </w:rPr>
                            </w:pPr>
                            <w:bookmarkStart w:id="0" w:name="_ftnref1"/>
                          </w:p>
                          <w:p w:rsidR="00CA05C6" w:rsidRPr="0010736F" w:rsidRDefault="00CA05C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MARTINA REBECA VERA ROJAS</w:t>
                            </w:r>
                          </w:p>
                          <w:bookmarkEnd w:id="0"/>
                          <w:p w:rsidR="00CA05C6" w:rsidRPr="0010736F" w:rsidRDefault="00CA05C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CA05C6" w:rsidRPr="00AE5488" w:rsidRDefault="00CA05C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FA37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A05C6" w:rsidRPr="000158FD" w:rsidRDefault="00CA05C6"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A5621A">
                        <w:rPr>
                          <w:rFonts w:asciiTheme="majorHAnsi" w:hAnsiTheme="majorHAnsi" w:cs="Arial"/>
                          <w:b/>
                          <w:bCs/>
                          <w:color w:val="0D0D0D" w:themeColor="text1" w:themeTint="F2"/>
                          <w:sz w:val="36"/>
                          <w:szCs w:val="40"/>
                          <w:lang w:val="pt-BR"/>
                        </w:rPr>
                        <w:t>.</w:t>
                      </w:r>
                      <w:r w:rsidRPr="00A5621A">
                        <w:rPr>
                          <w:rFonts w:asciiTheme="majorHAnsi" w:hAnsiTheme="majorHAnsi" w:cs="Arial"/>
                          <w:b/>
                          <w:bCs/>
                          <w:color w:val="0D0D0D" w:themeColor="text1" w:themeTint="F2"/>
                          <w:sz w:val="36"/>
                          <w:szCs w:val="22"/>
                          <w:lang w:val="pt-BR"/>
                        </w:rPr>
                        <w:t xml:space="preserve"> 107/18</w:t>
                      </w:r>
                    </w:p>
                    <w:p w:rsidR="00CA05C6" w:rsidRPr="000158FD" w:rsidRDefault="00CA05C6"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13.039</w:t>
                      </w:r>
                    </w:p>
                    <w:p w:rsidR="00CA05C6" w:rsidRPr="0010736F" w:rsidRDefault="00CA05C6"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p>
                    <w:p w:rsidR="00CA05C6" w:rsidRPr="0010736F" w:rsidRDefault="00CA05C6" w:rsidP="00997BC5">
                      <w:pPr>
                        <w:spacing w:line="276" w:lineRule="auto"/>
                        <w:rPr>
                          <w:rFonts w:asciiTheme="majorHAnsi" w:hAnsiTheme="majorHAnsi" w:cs="Arial"/>
                          <w:color w:val="0D0D0D" w:themeColor="text1" w:themeTint="F2"/>
                          <w:szCs w:val="22"/>
                          <w:lang w:val="es-ES_tradnl"/>
                        </w:rPr>
                      </w:pPr>
                      <w:bookmarkStart w:id="1" w:name="_ftnref1"/>
                    </w:p>
                    <w:p w:rsidR="00CA05C6" w:rsidRPr="0010736F" w:rsidRDefault="00CA05C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MARTINA REBECA VERA ROJAS</w:t>
                      </w:r>
                    </w:p>
                    <w:bookmarkEnd w:id="1"/>
                    <w:p w:rsidR="00CA05C6" w:rsidRPr="0010736F" w:rsidRDefault="00CA05C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CA05C6" w:rsidRPr="00AE5488" w:rsidRDefault="00CA05C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3058837" wp14:editId="764769C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Pr="004E2649" w:rsidRDefault="00CA05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CA05C6" w:rsidRPr="004E2649" w:rsidRDefault="00CA05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124</w:t>
                            </w:r>
                          </w:p>
                          <w:p w:rsidR="00CA05C6" w:rsidRPr="007C756A" w:rsidRDefault="00CA05C6"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 octubre</w:t>
                            </w:r>
                            <w:r w:rsidRPr="009D6F04">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18</w:t>
                            </w:r>
                          </w:p>
                          <w:p w:rsidR="00CA05C6" w:rsidRPr="007C756A" w:rsidRDefault="00CA05C6"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883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A05C6" w:rsidRPr="004E2649" w:rsidRDefault="00CA05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CA05C6" w:rsidRPr="004E2649" w:rsidRDefault="00CA05C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124</w:t>
                      </w:r>
                    </w:p>
                    <w:p w:rsidR="00CA05C6" w:rsidRPr="007C756A" w:rsidRDefault="00CA05C6"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 octubre</w:t>
                      </w:r>
                      <w:r w:rsidRPr="009D6F04">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18</w:t>
                      </w:r>
                    </w:p>
                    <w:p w:rsidR="00CA05C6" w:rsidRPr="007C756A" w:rsidRDefault="00CA05C6"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CB252FC" wp14:editId="502656E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Pr="00890650" w:rsidRDefault="00CA05C6"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Sesión No. 2137</w:t>
                            </w:r>
                            <w:r w:rsidRPr="00A5621A">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5</w:t>
                            </w:r>
                            <w:r w:rsidRPr="00A5621A">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A5621A">
                              <w:rPr>
                                <w:rFonts w:asciiTheme="majorHAnsi" w:hAnsiTheme="majorHAnsi"/>
                                <w:color w:val="0D0D0D" w:themeColor="text1" w:themeTint="F2"/>
                                <w:sz w:val="18"/>
                                <w:szCs w:val="20"/>
                                <w:lang w:val="es-ES"/>
                              </w:rPr>
                              <w:t xml:space="preserve"> de 2018</w:t>
                            </w:r>
                            <w:r w:rsidRPr="00A5621A">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169</w:t>
                            </w:r>
                            <w:r w:rsidRPr="00A5621A">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A5621A">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Ordinario de S</w:t>
                            </w:r>
                            <w:r w:rsidRPr="00A5621A">
                              <w:rPr>
                                <w:rFonts w:asciiTheme="majorHAnsi" w:hAnsiTheme="majorHAnsi" w:cs="Univers"/>
                                <w:color w:val="0D0D0D" w:themeColor="text1" w:themeTint="F2"/>
                                <w:sz w:val="18"/>
                                <w:szCs w:val="20"/>
                                <w:lang w:val="es-ES_tradnl"/>
                              </w:rPr>
                              <w:t>esiones</w:t>
                            </w:r>
                          </w:p>
                          <w:p w:rsidR="00CA05C6" w:rsidRPr="00167A34" w:rsidRDefault="00CA05C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52F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A05C6" w:rsidRPr="00890650" w:rsidRDefault="00CA05C6"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Sesión No. 2137</w:t>
                      </w:r>
                      <w:r w:rsidRPr="00A5621A">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5</w:t>
                      </w:r>
                      <w:r w:rsidRPr="00A5621A">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A5621A">
                        <w:rPr>
                          <w:rFonts w:asciiTheme="majorHAnsi" w:hAnsiTheme="majorHAnsi"/>
                          <w:color w:val="0D0D0D" w:themeColor="text1" w:themeTint="F2"/>
                          <w:sz w:val="18"/>
                          <w:szCs w:val="20"/>
                          <w:lang w:val="es-ES"/>
                        </w:rPr>
                        <w:t xml:space="preserve"> de 2018</w:t>
                      </w:r>
                      <w:r w:rsidRPr="00A5621A">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169</w:t>
                      </w:r>
                      <w:r w:rsidRPr="00A5621A">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A5621A">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Ordinario de S</w:t>
                      </w:r>
                      <w:r w:rsidRPr="00A5621A">
                        <w:rPr>
                          <w:rFonts w:asciiTheme="majorHAnsi" w:hAnsiTheme="majorHAnsi" w:cs="Univers"/>
                          <w:color w:val="0D0D0D" w:themeColor="text1" w:themeTint="F2"/>
                          <w:sz w:val="18"/>
                          <w:szCs w:val="20"/>
                          <w:lang w:val="es-ES_tradnl"/>
                        </w:rPr>
                        <w:t>esiones</w:t>
                      </w:r>
                    </w:p>
                    <w:p w:rsidR="00CA05C6" w:rsidRPr="00167A34" w:rsidRDefault="00CA05C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9E0AF16" wp14:editId="6BA9D0A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Default="00CA05C6" w:rsidP="00113F73">
                            <w:pPr>
                              <w:spacing w:line="276" w:lineRule="auto"/>
                              <w:rPr>
                                <w:rFonts w:asciiTheme="majorHAnsi" w:hAnsiTheme="majorHAnsi"/>
                                <w:color w:val="595959" w:themeColor="text1" w:themeTint="A6"/>
                                <w:sz w:val="18"/>
                                <w:szCs w:val="18"/>
                                <w:lang w:val="pt-BR"/>
                              </w:rPr>
                            </w:pPr>
                            <w:r w:rsidRPr="00BE73C3">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107</w:t>
                            </w:r>
                            <w:r w:rsidRPr="00BE73C3">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 Caso 13</w:t>
                            </w:r>
                            <w:r w:rsidRPr="00BE73C3">
                              <w:rPr>
                                <w:rFonts w:asciiTheme="majorHAnsi" w:hAnsiTheme="majorHAnsi"/>
                                <w:color w:val="595959" w:themeColor="text1" w:themeTint="A6"/>
                                <w:sz w:val="18"/>
                                <w:szCs w:val="18"/>
                                <w:lang w:val="pt-BR"/>
                              </w:rPr>
                              <w:t xml:space="preserve">.039. Fondo. </w:t>
                            </w:r>
                            <w:r w:rsidRPr="009D6F04">
                              <w:rPr>
                                <w:rFonts w:asciiTheme="majorHAnsi" w:hAnsiTheme="majorHAnsi"/>
                                <w:color w:val="595959" w:themeColor="text1" w:themeTint="A6"/>
                                <w:sz w:val="18"/>
                                <w:szCs w:val="18"/>
                                <w:lang w:val="pt-BR"/>
                              </w:rPr>
                              <w:t>Mar</w:t>
                            </w:r>
                            <w:r>
                              <w:rPr>
                                <w:rFonts w:asciiTheme="majorHAnsi" w:hAnsiTheme="majorHAnsi"/>
                                <w:color w:val="595959" w:themeColor="text1" w:themeTint="A6"/>
                                <w:sz w:val="18"/>
                                <w:szCs w:val="18"/>
                                <w:lang w:val="pt-BR"/>
                              </w:rPr>
                              <w:t>tina Rebecca Vera Rojas. Chile.</w:t>
                            </w:r>
                          </w:p>
                          <w:p w:rsidR="00CA05C6" w:rsidRPr="007C756A" w:rsidRDefault="00CA05C6" w:rsidP="00113F73">
                            <w:pPr>
                              <w:spacing w:line="276" w:lineRule="auto"/>
                              <w:rPr>
                                <w:rFonts w:asciiTheme="majorHAnsi" w:hAnsiTheme="majorHAnsi"/>
                                <w:color w:val="595959" w:themeColor="text1" w:themeTint="A6"/>
                                <w:sz w:val="18"/>
                                <w:szCs w:val="18"/>
                                <w:lang w:val="es-US"/>
                              </w:rPr>
                            </w:pPr>
                            <w:r>
                              <w:rPr>
                                <w:rFonts w:asciiTheme="majorHAnsi" w:hAnsiTheme="majorHAnsi"/>
                                <w:color w:val="595959" w:themeColor="text1" w:themeTint="A6"/>
                                <w:sz w:val="18"/>
                                <w:szCs w:val="18"/>
                                <w:lang w:val="pt-BR"/>
                              </w:rPr>
                              <w:t>5 de octubre de 2018</w:t>
                            </w:r>
                            <w:r w:rsidRPr="00B37F9C">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0AF1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A05C6" w:rsidRDefault="00CA05C6" w:rsidP="00113F73">
                      <w:pPr>
                        <w:spacing w:line="276" w:lineRule="auto"/>
                        <w:rPr>
                          <w:rFonts w:asciiTheme="majorHAnsi" w:hAnsiTheme="majorHAnsi"/>
                          <w:color w:val="595959" w:themeColor="text1" w:themeTint="A6"/>
                          <w:sz w:val="18"/>
                          <w:szCs w:val="18"/>
                          <w:lang w:val="pt-BR"/>
                        </w:rPr>
                      </w:pPr>
                      <w:r w:rsidRPr="00BE73C3">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107</w:t>
                      </w:r>
                      <w:r w:rsidRPr="00BE73C3">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 Caso 13</w:t>
                      </w:r>
                      <w:r w:rsidRPr="00BE73C3">
                        <w:rPr>
                          <w:rFonts w:asciiTheme="majorHAnsi" w:hAnsiTheme="majorHAnsi"/>
                          <w:color w:val="595959" w:themeColor="text1" w:themeTint="A6"/>
                          <w:sz w:val="18"/>
                          <w:szCs w:val="18"/>
                          <w:lang w:val="pt-BR"/>
                        </w:rPr>
                        <w:t xml:space="preserve">.039. Fondo. </w:t>
                      </w:r>
                      <w:r w:rsidRPr="009D6F04">
                        <w:rPr>
                          <w:rFonts w:asciiTheme="majorHAnsi" w:hAnsiTheme="majorHAnsi"/>
                          <w:color w:val="595959" w:themeColor="text1" w:themeTint="A6"/>
                          <w:sz w:val="18"/>
                          <w:szCs w:val="18"/>
                          <w:lang w:val="pt-BR"/>
                        </w:rPr>
                        <w:t>Mar</w:t>
                      </w:r>
                      <w:r>
                        <w:rPr>
                          <w:rFonts w:asciiTheme="majorHAnsi" w:hAnsiTheme="majorHAnsi"/>
                          <w:color w:val="595959" w:themeColor="text1" w:themeTint="A6"/>
                          <w:sz w:val="18"/>
                          <w:szCs w:val="18"/>
                          <w:lang w:val="pt-BR"/>
                        </w:rPr>
                        <w:t>tina Rebecca Vera Rojas. Chile.</w:t>
                      </w:r>
                    </w:p>
                    <w:p w:rsidR="00CA05C6" w:rsidRPr="007C756A" w:rsidRDefault="00CA05C6" w:rsidP="00113F73">
                      <w:pPr>
                        <w:spacing w:line="276" w:lineRule="auto"/>
                        <w:rPr>
                          <w:rFonts w:asciiTheme="majorHAnsi" w:hAnsiTheme="majorHAnsi"/>
                          <w:color w:val="595959" w:themeColor="text1" w:themeTint="A6"/>
                          <w:sz w:val="18"/>
                          <w:szCs w:val="18"/>
                          <w:lang w:val="es-US"/>
                        </w:rPr>
                      </w:pPr>
                      <w:r>
                        <w:rPr>
                          <w:rFonts w:asciiTheme="majorHAnsi" w:hAnsiTheme="majorHAnsi"/>
                          <w:color w:val="595959" w:themeColor="text1" w:themeTint="A6"/>
                          <w:sz w:val="18"/>
                          <w:szCs w:val="18"/>
                          <w:lang w:val="pt-BR"/>
                        </w:rPr>
                        <w:t>5 de octubre de 2018</w:t>
                      </w:r>
                      <w:r w:rsidRPr="00B37F9C">
                        <w:rPr>
                          <w:rFonts w:asciiTheme="majorHAnsi" w:hAnsiTheme="majorHAnsi"/>
                          <w:color w:val="595959" w:themeColor="text1" w:themeTint="A6"/>
                          <w:sz w:val="18"/>
                          <w:szCs w:val="18"/>
                          <w:lang w:val="es-U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CB6ABEC" wp14:editId="36EE765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Pr="00D72DC6" w:rsidRDefault="00CA05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74D1F1D" wp14:editId="74AF6B68">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ABE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A05C6" w:rsidRPr="00D72DC6" w:rsidRDefault="00CA05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74D1F1D" wp14:editId="74AF6B68">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53EE050" wp14:editId="08304EC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5C6" w:rsidRPr="004B7EB6" w:rsidRDefault="00CA05C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E05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A05C6" w:rsidRPr="004B7EB6" w:rsidRDefault="00CA05C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722C9F" w:rsidRPr="00BE73C3" w:rsidRDefault="009F526E" w:rsidP="00CA05C6">
      <w:pPr>
        <w:tabs>
          <w:tab w:val="center" w:pos="5400"/>
        </w:tabs>
        <w:suppressAutoHyphens/>
        <w:jc w:val="center"/>
        <w:rPr>
          <w:rFonts w:asciiTheme="majorHAnsi" w:hAnsiTheme="majorHAnsi"/>
          <w:b/>
          <w:sz w:val="18"/>
          <w:szCs w:val="20"/>
          <w:lang w:val="pt-BR"/>
        </w:rPr>
      </w:pPr>
      <w:r>
        <w:rPr>
          <w:rFonts w:asciiTheme="majorHAnsi" w:hAnsiTheme="majorHAnsi"/>
          <w:b/>
          <w:sz w:val="18"/>
          <w:szCs w:val="20"/>
          <w:lang w:val="pt-BR"/>
        </w:rPr>
        <w:t>INFORME No. 107</w:t>
      </w:r>
      <w:r w:rsidR="007C756A" w:rsidRPr="00BE73C3">
        <w:rPr>
          <w:rFonts w:asciiTheme="majorHAnsi" w:hAnsiTheme="majorHAnsi"/>
          <w:b/>
          <w:sz w:val="18"/>
          <w:szCs w:val="20"/>
          <w:lang w:val="pt-BR"/>
        </w:rPr>
        <w:t>/</w:t>
      </w:r>
      <w:r w:rsidR="002A4555">
        <w:rPr>
          <w:rFonts w:asciiTheme="majorHAnsi" w:hAnsiTheme="majorHAnsi"/>
          <w:b/>
          <w:sz w:val="18"/>
          <w:szCs w:val="20"/>
          <w:lang w:val="pt-BR"/>
        </w:rPr>
        <w:t>18</w:t>
      </w:r>
    </w:p>
    <w:p w:rsidR="00722C9F" w:rsidRPr="00BE73C3" w:rsidRDefault="00722C9F" w:rsidP="00CA05C6">
      <w:pPr>
        <w:tabs>
          <w:tab w:val="center" w:pos="5400"/>
        </w:tabs>
        <w:suppressAutoHyphens/>
        <w:jc w:val="center"/>
        <w:rPr>
          <w:rFonts w:asciiTheme="majorHAnsi" w:hAnsiTheme="majorHAnsi"/>
          <w:b/>
          <w:sz w:val="18"/>
          <w:szCs w:val="20"/>
          <w:lang w:val="pt-BR"/>
        </w:rPr>
      </w:pPr>
      <w:r w:rsidRPr="00BE73C3">
        <w:rPr>
          <w:rFonts w:asciiTheme="majorHAnsi" w:hAnsiTheme="majorHAnsi"/>
          <w:b/>
          <w:sz w:val="18"/>
          <w:szCs w:val="20"/>
          <w:lang w:val="pt-BR"/>
        </w:rPr>
        <w:t xml:space="preserve">CASO </w:t>
      </w:r>
      <w:r w:rsidR="009D6F04" w:rsidRPr="00BE73C3">
        <w:rPr>
          <w:rFonts w:asciiTheme="majorHAnsi" w:hAnsiTheme="majorHAnsi"/>
          <w:b/>
          <w:sz w:val="18"/>
          <w:szCs w:val="20"/>
          <w:lang w:val="pt-BR"/>
        </w:rPr>
        <w:t>13.039</w:t>
      </w:r>
    </w:p>
    <w:p w:rsidR="00722C9F" w:rsidRPr="00BE73C3" w:rsidRDefault="00F805FB" w:rsidP="00CA05C6">
      <w:pPr>
        <w:tabs>
          <w:tab w:val="center" w:pos="5400"/>
        </w:tabs>
        <w:suppressAutoHyphens/>
        <w:jc w:val="center"/>
        <w:rPr>
          <w:rFonts w:asciiTheme="majorHAnsi" w:hAnsiTheme="majorHAnsi"/>
          <w:sz w:val="18"/>
          <w:szCs w:val="20"/>
          <w:lang w:val="pt-BR"/>
        </w:rPr>
      </w:pPr>
      <w:r w:rsidRPr="00BE73C3">
        <w:rPr>
          <w:rFonts w:asciiTheme="majorHAnsi" w:hAnsiTheme="majorHAnsi"/>
          <w:sz w:val="18"/>
          <w:szCs w:val="20"/>
          <w:lang w:val="pt-BR"/>
        </w:rPr>
        <w:t>FONDO</w:t>
      </w:r>
    </w:p>
    <w:p w:rsidR="00722C9F" w:rsidRPr="00471529" w:rsidRDefault="009D6F04" w:rsidP="00CA05C6">
      <w:pPr>
        <w:tabs>
          <w:tab w:val="center" w:pos="5400"/>
        </w:tabs>
        <w:suppressAutoHyphens/>
        <w:jc w:val="center"/>
        <w:rPr>
          <w:rFonts w:asciiTheme="majorHAnsi" w:hAnsiTheme="majorHAnsi"/>
          <w:sz w:val="18"/>
          <w:szCs w:val="20"/>
          <w:lang w:val="pt-BR"/>
        </w:rPr>
      </w:pPr>
      <w:r w:rsidRPr="00471529">
        <w:rPr>
          <w:rFonts w:asciiTheme="majorHAnsi" w:hAnsiTheme="majorHAnsi"/>
          <w:sz w:val="18"/>
          <w:szCs w:val="20"/>
          <w:lang w:val="pt-BR"/>
        </w:rPr>
        <w:t>M</w:t>
      </w:r>
      <w:r w:rsidR="00471529" w:rsidRPr="00471529">
        <w:rPr>
          <w:rFonts w:asciiTheme="majorHAnsi" w:hAnsiTheme="majorHAnsi"/>
          <w:sz w:val="18"/>
          <w:szCs w:val="20"/>
          <w:lang w:val="pt-BR"/>
        </w:rPr>
        <w:t>ARTINA REBEC</w:t>
      </w:r>
      <w:r w:rsidRPr="00471529">
        <w:rPr>
          <w:rFonts w:asciiTheme="majorHAnsi" w:hAnsiTheme="majorHAnsi"/>
          <w:sz w:val="18"/>
          <w:szCs w:val="20"/>
          <w:lang w:val="pt-BR"/>
        </w:rPr>
        <w:t>A VERA ROJAS</w:t>
      </w:r>
    </w:p>
    <w:p w:rsidR="0070697F" w:rsidRPr="00C505E4" w:rsidRDefault="009D6F04" w:rsidP="00CA05C6">
      <w:pPr>
        <w:tabs>
          <w:tab w:val="center" w:pos="5400"/>
        </w:tabs>
        <w:suppressAutoHyphens/>
        <w:jc w:val="center"/>
        <w:rPr>
          <w:rFonts w:asciiTheme="majorHAnsi" w:hAnsiTheme="majorHAnsi"/>
          <w:sz w:val="18"/>
          <w:szCs w:val="20"/>
        </w:rPr>
      </w:pPr>
      <w:r w:rsidRPr="00C505E4">
        <w:rPr>
          <w:rFonts w:asciiTheme="majorHAnsi" w:hAnsiTheme="majorHAnsi"/>
          <w:sz w:val="18"/>
          <w:szCs w:val="20"/>
        </w:rPr>
        <w:t>CHILE</w:t>
      </w:r>
    </w:p>
    <w:p w:rsidR="00722C9F" w:rsidRDefault="00B4527A" w:rsidP="00CA05C6">
      <w:pPr>
        <w:tabs>
          <w:tab w:val="center" w:pos="5400"/>
        </w:tabs>
        <w:suppressAutoHyphens/>
        <w:jc w:val="center"/>
        <w:rPr>
          <w:rFonts w:asciiTheme="majorHAnsi" w:hAnsiTheme="majorHAnsi"/>
          <w:sz w:val="18"/>
          <w:szCs w:val="20"/>
        </w:rPr>
      </w:pPr>
      <w:r>
        <w:rPr>
          <w:rFonts w:asciiTheme="majorHAnsi" w:hAnsiTheme="majorHAnsi"/>
          <w:sz w:val="18"/>
          <w:szCs w:val="20"/>
        </w:rPr>
        <w:t>5 DE OCTUBRE DE 2018</w:t>
      </w:r>
    </w:p>
    <w:p w:rsidR="00722C9F" w:rsidRPr="00C505E4" w:rsidRDefault="00722C9F" w:rsidP="00722C9F">
      <w:pPr>
        <w:tabs>
          <w:tab w:val="center" w:pos="5400"/>
        </w:tabs>
        <w:suppressAutoHyphens/>
        <w:spacing w:line="276" w:lineRule="auto"/>
        <w:jc w:val="center"/>
        <w:rPr>
          <w:rFonts w:asciiTheme="majorHAnsi" w:hAnsiTheme="majorHAnsi"/>
          <w:sz w:val="18"/>
          <w:szCs w:val="20"/>
        </w:rPr>
      </w:pPr>
    </w:p>
    <w:p w:rsidR="00722C9F" w:rsidRPr="009D0D65" w:rsidRDefault="00722C9F" w:rsidP="00722C9F">
      <w:pPr>
        <w:tabs>
          <w:tab w:val="center" w:pos="5400"/>
        </w:tabs>
        <w:suppressAutoHyphens/>
        <w:spacing w:line="276" w:lineRule="auto"/>
        <w:jc w:val="center"/>
        <w:rPr>
          <w:rFonts w:asciiTheme="majorHAnsi" w:hAnsiTheme="majorHAnsi"/>
          <w:b/>
          <w:sz w:val="20"/>
          <w:szCs w:val="20"/>
        </w:rPr>
      </w:pPr>
      <w:r w:rsidRPr="009D0D65">
        <w:rPr>
          <w:rFonts w:asciiTheme="majorHAnsi" w:hAnsiTheme="majorHAnsi"/>
          <w:b/>
          <w:sz w:val="20"/>
          <w:szCs w:val="20"/>
        </w:rPr>
        <w:t>ÍNDICE</w:t>
      </w:r>
    </w:p>
    <w:sdt>
      <w:sdtPr>
        <w:rPr>
          <w:rFonts w:ascii="Times New Roman" w:eastAsia="Arial Unicode MS" w:hAnsi="Times New Roman" w:cs="Times New Roman"/>
          <w:b w:val="0"/>
          <w:bCs w:val="0"/>
          <w:sz w:val="24"/>
          <w:szCs w:val="20"/>
          <w:bdr w:val="nil"/>
          <w:lang w:eastAsia="en-US"/>
        </w:rPr>
        <w:id w:val="1619567012"/>
        <w:docPartObj>
          <w:docPartGallery w:val="Table of Contents"/>
          <w:docPartUnique/>
        </w:docPartObj>
      </w:sdtPr>
      <w:sdtEndPr>
        <w:rPr>
          <w:noProof/>
          <w:szCs w:val="24"/>
        </w:rPr>
      </w:sdtEndPr>
      <w:sdtContent>
        <w:p w:rsidR="00C505E4" w:rsidRPr="00F5400E" w:rsidRDefault="00C505E4">
          <w:pPr>
            <w:pStyle w:val="TOCHeading"/>
            <w:rPr>
              <w:szCs w:val="20"/>
            </w:rPr>
          </w:pPr>
        </w:p>
        <w:p w:rsidR="00CA05C6" w:rsidRPr="00CA05C6" w:rsidRDefault="00C505E4">
          <w:pPr>
            <w:pStyle w:val="TOC1"/>
            <w:rPr>
              <w:rFonts w:asciiTheme="majorHAnsi" w:eastAsiaTheme="minorEastAsia" w:hAnsiTheme="majorHAnsi" w:cstheme="minorBidi"/>
              <w:noProof/>
              <w:sz w:val="20"/>
              <w:szCs w:val="20"/>
              <w:bdr w:val="none" w:sz="0" w:space="0" w:color="auto"/>
            </w:rPr>
          </w:pPr>
          <w:r w:rsidRPr="00B4527A">
            <w:rPr>
              <w:rFonts w:asciiTheme="majorHAnsi" w:hAnsiTheme="majorHAnsi"/>
              <w:sz w:val="20"/>
              <w:szCs w:val="20"/>
            </w:rPr>
            <w:fldChar w:fldCharType="begin"/>
          </w:r>
          <w:r w:rsidRPr="00B4527A">
            <w:rPr>
              <w:rFonts w:asciiTheme="majorHAnsi" w:hAnsiTheme="majorHAnsi"/>
              <w:sz w:val="20"/>
              <w:szCs w:val="20"/>
            </w:rPr>
            <w:instrText xml:space="preserve"> TOC \o "1-3" \h \z \u </w:instrText>
          </w:r>
          <w:r w:rsidRPr="00B4527A">
            <w:rPr>
              <w:rFonts w:asciiTheme="majorHAnsi" w:hAnsiTheme="majorHAnsi"/>
              <w:sz w:val="20"/>
              <w:szCs w:val="20"/>
            </w:rPr>
            <w:fldChar w:fldCharType="separate"/>
          </w:r>
          <w:hyperlink w:anchor="_Toc531880112" w:history="1">
            <w:r w:rsidR="00CA05C6" w:rsidRPr="00CA05C6">
              <w:rPr>
                <w:rStyle w:val="Hyperlink"/>
                <w:rFonts w:asciiTheme="majorHAnsi" w:hAnsiTheme="majorHAnsi"/>
                <w:noProof/>
                <w:sz w:val="20"/>
                <w:szCs w:val="20"/>
              </w:rPr>
              <w:t>I.</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b/>
                <w:noProof/>
                <w:sz w:val="20"/>
                <w:szCs w:val="20"/>
              </w:rPr>
              <w:t>RESUMEN</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_Toc531880112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2</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13" w:history="1">
            <w:r w:rsidR="00CA05C6" w:rsidRPr="00CA05C6">
              <w:rPr>
                <w:rStyle w:val="Hyperlink"/>
                <w:rFonts w:asciiTheme="majorHAnsi" w:hAnsiTheme="majorHAnsi"/>
                <w:noProof/>
                <w:sz w:val="20"/>
                <w:szCs w:val="20"/>
                <w:lang w:val="es-ES_tradnl"/>
              </w:rPr>
              <w:t>II.</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b/>
                <w:noProof/>
                <w:sz w:val="20"/>
                <w:szCs w:val="20"/>
                <w:lang w:val="es-ES_tradnl"/>
              </w:rPr>
              <w:t>ALEGATOS DE LAS PARTES</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_Toc531880113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3</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14" w:history="1">
            <w:r w:rsidR="00CA05C6" w:rsidRPr="00CA05C6">
              <w:rPr>
                <w:rStyle w:val="Hyperlink"/>
                <w:rFonts w:asciiTheme="majorHAnsi" w:hAnsiTheme="majorHAnsi"/>
                <w:noProof/>
                <w:sz w:val="20"/>
                <w:szCs w:val="20"/>
                <w:lang w:val="es-ES_tradnl"/>
              </w:rPr>
              <w:t>A.</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Parte peticionaria</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_Toc531880114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3</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15" w:history="1">
            <w:r w:rsidR="00CA05C6" w:rsidRPr="00CA05C6">
              <w:rPr>
                <w:rStyle w:val="Hyperlink"/>
                <w:rFonts w:asciiTheme="majorHAnsi" w:hAnsiTheme="majorHAnsi"/>
                <w:noProof/>
                <w:sz w:val="20"/>
                <w:szCs w:val="20"/>
              </w:rPr>
              <w:t>B.</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rPr>
              <w:t>Estado</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_Toc531880115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4</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16" w:history="1">
            <w:r w:rsidR="00CA05C6" w:rsidRPr="00CA05C6">
              <w:rPr>
                <w:rStyle w:val="Hyperlink"/>
                <w:rFonts w:asciiTheme="majorHAnsi" w:hAnsiTheme="majorHAnsi"/>
                <w:noProof/>
                <w:sz w:val="20"/>
                <w:szCs w:val="20"/>
                <w:lang w:val="es-ES_tradnl"/>
              </w:rPr>
              <w:t>III.</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b/>
                <w:noProof/>
                <w:sz w:val="20"/>
                <w:szCs w:val="20"/>
                <w:lang w:val="es-ES_tradnl"/>
              </w:rPr>
              <w:t>DETERMINACIONES DE HECHO</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_Toc531880116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5</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17" w:history="1">
            <w:r w:rsidR="00CA05C6" w:rsidRPr="00CA05C6">
              <w:rPr>
                <w:rStyle w:val="Hyperlink"/>
                <w:rFonts w:asciiTheme="majorHAnsi" w:hAnsiTheme="majorHAnsi"/>
                <w:noProof/>
                <w:sz w:val="20"/>
                <w:szCs w:val="20"/>
                <w:lang w:val="es-ES_tradnl"/>
              </w:rPr>
              <w:t>A.</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Antecedentes</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_Toc531880117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5</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18" w:history="1">
            <w:r w:rsidR="00CA05C6" w:rsidRPr="00CA05C6">
              <w:rPr>
                <w:rStyle w:val="Hyperlink"/>
                <w:rFonts w:asciiTheme="majorHAnsi" w:hAnsiTheme="majorHAnsi"/>
                <w:noProof/>
                <w:sz w:val="20"/>
                <w:szCs w:val="20"/>
                <w:lang w:val="es-ES_tradnl"/>
              </w:rPr>
              <w:t>B.</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Hechos del caso</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_Toc531880118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6</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19" w:history="1">
            <w:r w:rsidR="00CA05C6" w:rsidRPr="00CA05C6">
              <w:rPr>
                <w:rStyle w:val="Hyperlink"/>
                <w:rFonts w:asciiTheme="majorHAnsi" w:hAnsiTheme="majorHAnsi"/>
                <w:noProof/>
                <w:sz w:val="20"/>
                <w:szCs w:val="20"/>
                <w:lang w:val="es-ES_tradnl"/>
              </w:rPr>
              <w:t>1.</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Sobre la niña Martina, su diagnóstico y situación actual</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_Toc531880119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6</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0" w:history="1">
            <w:r w:rsidR="00CA05C6" w:rsidRPr="00CA05C6">
              <w:rPr>
                <w:rStyle w:val="Hyperlink"/>
                <w:rFonts w:asciiTheme="majorHAnsi" w:hAnsiTheme="majorHAnsi"/>
                <w:noProof/>
                <w:sz w:val="20"/>
                <w:szCs w:val="20"/>
                <w:lang w:val="es-ES_tradnl"/>
              </w:rPr>
              <w:t>2.</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Inicio del régimen de hospitalización domiciliaria y levantamiento del mismo</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_Toc531880120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7</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1" w:history="1">
            <w:r w:rsidR="00CA05C6" w:rsidRPr="00CA05C6">
              <w:rPr>
                <w:rStyle w:val="Hyperlink"/>
                <w:rFonts w:asciiTheme="majorHAnsi" w:hAnsiTheme="majorHAnsi"/>
                <w:noProof/>
                <w:sz w:val="20"/>
                <w:szCs w:val="20"/>
                <w:lang w:val="es-ES_tradnl"/>
              </w:rPr>
              <w:t>3.</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La acción de protección</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_Toc531880121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9</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2" w:history="1">
            <w:r w:rsidR="00CA05C6" w:rsidRPr="00CA05C6">
              <w:rPr>
                <w:rStyle w:val="Hyperlink"/>
                <w:rFonts w:asciiTheme="majorHAnsi" w:hAnsiTheme="majorHAnsi"/>
                <w:noProof/>
                <w:sz w:val="20"/>
                <w:szCs w:val="20"/>
                <w:lang w:val="es-ES_tradnl"/>
              </w:rPr>
              <w:t>4.</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El proceso ante la Superintendencia de Salud</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_Toc531880122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9</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3" w:history="1">
            <w:r w:rsidR="00CA05C6" w:rsidRPr="00CA05C6">
              <w:rPr>
                <w:rStyle w:val="Hyperlink"/>
                <w:rFonts w:asciiTheme="majorHAnsi" w:hAnsiTheme="majorHAnsi"/>
                <w:noProof/>
                <w:sz w:val="20"/>
                <w:szCs w:val="20"/>
                <w:lang w:val="es-ES_tradnl"/>
              </w:rPr>
              <w:t>5.</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_tradnl"/>
              </w:rPr>
              <w:t>La situación posterior a la reinstalación del régimen de hospitalización domiciliaria</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_Toc531880123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11</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24" w:history="1">
            <w:r w:rsidR="00CA05C6" w:rsidRPr="00CA05C6">
              <w:rPr>
                <w:rStyle w:val="Hyperlink"/>
                <w:rFonts w:asciiTheme="majorHAnsi" w:hAnsiTheme="majorHAnsi"/>
                <w:noProof/>
                <w:sz w:val="20"/>
                <w:szCs w:val="20"/>
                <w:lang w:val="es-ES_tradnl"/>
              </w:rPr>
              <w:t>IV.</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b/>
                <w:noProof/>
                <w:sz w:val="20"/>
                <w:szCs w:val="20"/>
                <w:lang w:val="es-ES_tradnl"/>
              </w:rPr>
              <w:t>ANÁLISIS DE DERECHO</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_Toc531880124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11</w:t>
            </w:r>
            <w:r w:rsidR="00CA05C6" w:rsidRPr="00CA05C6">
              <w:rPr>
                <w:rFonts w:asciiTheme="majorHAnsi" w:hAnsiTheme="majorHAnsi"/>
                <w:noProof/>
                <w:webHidden/>
                <w:sz w:val="20"/>
                <w:szCs w:val="20"/>
              </w:rPr>
              <w:fldChar w:fldCharType="end"/>
            </w:r>
          </w:hyperlink>
        </w:p>
        <w:p w:rsidR="00CA05C6" w:rsidRPr="00CA05C6" w:rsidRDefault="006C2F5A">
          <w:pPr>
            <w:pStyle w:val="TOC2"/>
            <w:rPr>
              <w:rFonts w:asciiTheme="majorHAnsi" w:eastAsiaTheme="minorEastAsia" w:hAnsiTheme="majorHAnsi" w:cstheme="minorBidi"/>
              <w:noProof/>
              <w:sz w:val="20"/>
              <w:szCs w:val="20"/>
              <w:bdr w:val="none" w:sz="0" w:space="0" w:color="auto"/>
            </w:rPr>
          </w:pPr>
          <w:hyperlink w:anchor="_Toc531880125" w:history="1">
            <w:r w:rsidR="00CA05C6" w:rsidRPr="00CA05C6">
              <w:rPr>
                <w:rStyle w:val="Hyperlink"/>
                <w:rFonts w:asciiTheme="majorHAnsi" w:hAnsiTheme="majorHAnsi"/>
                <w:noProof/>
                <w:sz w:val="20"/>
                <w:szCs w:val="20"/>
                <w:lang w:val="es-ES"/>
              </w:rPr>
              <w:t>A.</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Derechos a la salud y a la seguridad social (artículo 26), derecho a la vida (artículo 4.1), derecho a la integridad (artículo 5.1) y derechos de la niñez (artículo 19) en relación</w:t>
            </w:r>
            <w:r w:rsidR="00CA05C6" w:rsidRPr="00CA05C6">
              <w:rPr>
                <w:rStyle w:val="Hyperlink"/>
                <w:rFonts w:asciiTheme="majorHAnsi" w:hAnsiTheme="majorHAnsi"/>
                <w:noProof/>
                <w:sz w:val="20"/>
                <w:szCs w:val="20"/>
                <w:lang w:val="es-ES_tradnl"/>
              </w:rPr>
              <w:t xml:space="preserve"> las obligaciones de garantía y de adoptar disposiciones de derecho interno de los artículos 1.1 y 2 de la Convención Americana</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_Toc531880125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11</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6" w:history="1">
            <w:r w:rsidR="00CA05C6" w:rsidRPr="00CA05C6">
              <w:rPr>
                <w:rStyle w:val="Hyperlink"/>
                <w:rFonts w:asciiTheme="majorHAnsi" w:hAnsiTheme="majorHAnsi"/>
                <w:noProof/>
                <w:sz w:val="20"/>
                <w:szCs w:val="20"/>
                <w:lang w:val="es-ES"/>
              </w:rPr>
              <w:t>1.</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Consideraciones generales sobre atribución de responsabilidad</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_Toc531880126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11</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27" w:history="1">
            <w:r w:rsidR="00CA05C6" w:rsidRPr="00CA05C6">
              <w:rPr>
                <w:rStyle w:val="Hyperlink"/>
                <w:rFonts w:asciiTheme="majorHAnsi" w:hAnsiTheme="majorHAnsi"/>
                <w:noProof/>
                <w:sz w:val="20"/>
                <w:szCs w:val="20"/>
                <w:lang w:val="es-US"/>
              </w:rPr>
              <w:t>46.</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eastAsia="Cambria" w:hAnsiTheme="majorHAnsi"/>
                <w:noProof/>
                <w:sz w:val="20"/>
                <w:szCs w:val="20"/>
                <w:lang w:val="es-US"/>
              </w:rPr>
              <w:t>A lo largo del trabajo de la Comisión y la Corte, se han definido los contenidos de las obligaciones de</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_Toc531880127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11</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8" w:history="1">
            <w:r w:rsidR="00CA05C6" w:rsidRPr="00CA05C6">
              <w:rPr>
                <w:rStyle w:val="Hyperlink"/>
                <w:rFonts w:asciiTheme="majorHAnsi" w:hAnsiTheme="majorHAnsi"/>
                <w:noProof/>
                <w:sz w:val="20"/>
                <w:szCs w:val="20"/>
                <w:lang w:val="es-ES"/>
              </w:rPr>
              <w:t>2.</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Consideraciones generales sobre el artículo 26 y los derechos a la salud y seguridad social</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_Toc531880128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12</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29" w:history="1">
            <w:r w:rsidR="00CA05C6" w:rsidRPr="00CA05C6">
              <w:rPr>
                <w:rStyle w:val="Hyperlink"/>
                <w:rFonts w:asciiTheme="majorHAnsi" w:hAnsiTheme="majorHAnsi"/>
                <w:noProof/>
                <w:snapToGrid w:val="0"/>
                <w:sz w:val="20"/>
                <w:szCs w:val="20"/>
                <w:lang w:val="es-CO"/>
              </w:rPr>
              <w:t>3.</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Estándares generales sobre la relación entre el derecho a la salud con el derecho a la vida, la integridad personal y derechos de la niñez</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_Toc531880129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16</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30" w:history="1">
            <w:r w:rsidR="00CA05C6" w:rsidRPr="00CA05C6">
              <w:rPr>
                <w:rStyle w:val="Hyperlink"/>
                <w:rFonts w:asciiTheme="majorHAnsi" w:hAnsiTheme="majorHAnsi"/>
                <w:noProof/>
                <w:sz w:val="20"/>
                <w:szCs w:val="20"/>
                <w:lang w:val="es-ES"/>
              </w:rPr>
              <w:t>4.</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Análisis del caso de Martina Vera Rojas en su condición de niña con discapacidad</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_Toc531880130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17</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31" w:history="1">
            <w:r w:rsidR="00CA05C6" w:rsidRPr="00CA05C6">
              <w:rPr>
                <w:rStyle w:val="Hyperlink"/>
                <w:rFonts w:asciiTheme="majorHAnsi" w:hAnsiTheme="majorHAnsi"/>
                <w:noProof/>
                <w:sz w:val="20"/>
                <w:szCs w:val="20"/>
                <w:lang w:val="es-ES"/>
              </w:rPr>
              <w:t>5.</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Conclusión</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_Toc531880131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19</w:t>
            </w:r>
            <w:r w:rsidR="00CA05C6" w:rsidRPr="00CA05C6">
              <w:rPr>
                <w:rFonts w:asciiTheme="majorHAnsi" w:hAnsiTheme="majorHAnsi"/>
                <w:noProof/>
                <w:webHidden/>
                <w:sz w:val="20"/>
                <w:szCs w:val="20"/>
              </w:rPr>
              <w:fldChar w:fldCharType="end"/>
            </w:r>
          </w:hyperlink>
        </w:p>
        <w:p w:rsidR="00CA05C6" w:rsidRPr="00CA05C6" w:rsidRDefault="006C2F5A">
          <w:pPr>
            <w:pStyle w:val="TOC2"/>
            <w:rPr>
              <w:rFonts w:asciiTheme="majorHAnsi" w:eastAsiaTheme="minorEastAsia" w:hAnsiTheme="majorHAnsi" w:cstheme="minorBidi"/>
              <w:noProof/>
              <w:sz w:val="20"/>
              <w:szCs w:val="20"/>
              <w:bdr w:val="none" w:sz="0" w:space="0" w:color="auto"/>
            </w:rPr>
          </w:pPr>
          <w:hyperlink w:anchor="_Toc531880132" w:history="1">
            <w:r w:rsidR="00CA05C6" w:rsidRPr="00CA05C6">
              <w:rPr>
                <w:rStyle w:val="Hyperlink"/>
                <w:rFonts w:asciiTheme="majorHAnsi" w:hAnsiTheme="majorHAnsi"/>
                <w:noProof/>
                <w:sz w:val="20"/>
                <w:szCs w:val="20"/>
                <w:lang w:val="es-ES"/>
              </w:rPr>
              <w:t>B.</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El derecho a las garantías judiciales y la protección judicial (artículos 8.1 y 25.1) y los derechos de los niños (artículo 19) en relación con el artículo 1.1 y 2 de la Convención Americana</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_Toc531880132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20</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33" w:history="1">
            <w:r w:rsidR="00CA05C6" w:rsidRPr="00CA05C6">
              <w:rPr>
                <w:rStyle w:val="Hyperlink"/>
                <w:rFonts w:asciiTheme="majorHAnsi" w:hAnsiTheme="majorHAnsi"/>
                <w:noProof/>
                <w:sz w:val="20"/>
                <w:szCs w:val="20"/>
                <w:lang w:val="es-ES"/>
              </w:rPr>
              <w:t>1.</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Consideraciones generales</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_Toc531880133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20</w:t>
            </w:r>
            <w:r w:rsidR="00CA05C6" w:rsidRPr="00CA05C6">
              <w:rPr>
                <w:rFonts w:asciiTheme="majorHAnsi" w:hAnsiTheme="majorHAnsi"/>
                <w:noProof/>
                <w:webHidden/>
                <w:sz w:val="20"/>
                <w:szCs w:val="20"/>
              </w:rPr>
              <w:fldChar w:fldCharType="end"/>
            </w:r>
          </w:hyperlink>
        </w:p>
        <w:p w:rsidR="00CA05C6" w:rsidRPr="00CA05C6" w:rsidRDefault="006C2F5A">
          <w:pPr>
            <w:pStyle w:val="TOC3"/>
            <w:rPr>
              <w:rFonts w:asciiTheme="majorHAnsi" w:eastAsiaTheme="minorEastAsia" w:hAnsiTheme="majorHAnsi" w:cstheme="minorBidi"/>
              <w:noProof/>
              <w:sz w:val="20"/>
              <w:szCs w:val="20"/>
              <w:bdr w:val="none" w:sz="0" w:space="0" w:color="auto"/>
            </w:rPr>
          </w:pPr>
          <w:hyperlink w:anchor="_Toc531880134" w:history="1">
            <w:r w:rsidR="00CA05C6" w:rsidRPr="00CA05C6">
              <w:rPr>
                <w:rStyle w:val="Hyperlink"/>
                <w:rFonts w:asciiTheme="majorHAnsi" w:hAnsiTheme="majorHAnsi"/>
                <w:noProof/>
                <w:sz w:val="20"/>
                <w:szCs w:val="20"/>
                <w:lang w:val="es-ES"/>
              </w:rPr>
              <w:t>2.</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Análisis del caso</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_Toc531880134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21</w:t>
            </w:r>
            <w:r w:rsidR="00CA05C6" w:rsidRPr="00CA05C6">
              <w:rPr>
                <w:rFonts w:asciiTheme="majorHAnsi" w:hAnsiTheme="majorHAnsi"/>
                <w:noProof/>
                <w:webHidden/>
                <w:sz w:val="20"/>
                <w:szCs w:val="20"/>
              </w:rPr>
              <w:fldChar w:fldCharType="end"/>
            </w:r>
          </w:hyperlink>
        </w:p>
        <w:p w:rsidR="00CA05C6" w:rsidRPr="00CA05C6" w:rsidRDefault="006C2F5A">
          <w:pPr>
            <w:pStyle w:val="TOC2"/>
            <w:rPr>
              <w:rFonts w:asciiTheme="majorHAnsi" w:eastAsiaTheme="minorEastAsia" w:hAnsiTheme="majorHAnsi" w:cstheme="minorBidi"/>
              <w:noProof/>
              <w:sz w:val="20"/>
              <w:szCs w:val="20"/>
              <w:bdr w:val="none" w:sz="0" w:space="0" w:color="auto"/>
            </w:rPr>
          </w:pPr>
          <w:hyperlink w:anchor="_Toc531880135" w:history="1">
            <w:r w:rsidR="00CA05C6" w:rsidRPr="00CA05C6">
              <w:rPr>
                <w:rStyle w:val="Hyperlink"/>
                <w:rFonts w:asciiTheme="majorHAnsi" w:hAnsiTheme="majorHAnsi"/>
                <w:noProof/>
                <w:sz w:val="20"/>
                <w:szCs w:val="20"/>
                <w:lang w:val="es-ES"/>
              </w:rPr>
              <w:t>C.</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noProof/>
                <w:sz w:val="20"/>
                <w:szCs w:val="20"/>
                <w:lang w:val="es-ES"/>
              </w:rPr>
              <w:t>El derecho a la integridad personal del señor Vera y la señora Rojas (artículo 5.1)  en relación con el artículo 1.1 de la Convención Americana</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_Toc531880135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23</w:t>
            </w:r>
            <w:r w:rsidR="00CA05C6" w:rsidRPr="00CA05C6">
              <w:rPr>
                <w:rFonts w:asciiTheme="majorHAnsi" w:hAnsiTheme="majorHAnsi"/>
                <w:noProof/>
                <w:webHidden/>
                <w:sz w:val="20"/>
                <w:szCs w:val="20"/>
              </w:rPr>
              <w:fldChar w:fldCharType="end"/>
            </w:r>
          </w:hyperlink>
        </w:p>
        <w:p w:rsidR="00CA05C6" w:rsidRPr="00CA05C6" w:rsidRDefault="006C2F5A">
          <w:pPr>
            <w:pStyle w:val="TOC1"/>
            <w:rPr>
              <w:rFonts w:asciiTheme="majorHAnsi" w:eastAsiaTheme="minorEastAsia" w:hAnsiTheme="majorHAnsi" w:cstheme="minorBidi"/>
              <w:noProof/>
              <w:sz w:val="20"/>
              <w:szCs w:val="20"/>
              <w:bdr w:val="none" w:sz="0" w:space="0" w:color="auto"/>
            </w:rPr>
          </w:pPr>
          <w:hyperlink w:anchor="_Toc531880136" w:history="1">
            <w:r w:rsidR="00CA05C6" w:rsidRPr="00CA05C6">
              <w:rPr>
                <w:rStyle w:val="Hyperlink"/>
                <w:rFonts w:asciiTheme="majorHAnsi" w:hAnsiTheme="majorHAnsi"/>
                <w:noProof/>
                <w:sz w:val="20"/>
                <w:szCs w:val="20"/>
                <w:lang w:val="es-ES_tradnl"/>
              </w:rPr>
              <w:t>V.</w:t>
            </w:r>
            <w:r w:rsidR="00CA05C6" w:rsidRPr="00CA05C6">
              <w:rPr>
                <w:rFonts w:asciiTheme="majorHAnsi" w:eastAsiaTheme="minorEastAsia" w:hAnsiTheme="majorHAnsi" w:cstheme="minorBidi"/>
                <w:noProof/>
                <w:sz w:val="20"/>
                <w:szCs w:val="20"/>
                <w:bdr w:val="none" w:sz="0" w:space="0" w:color="auto"/>
              </w:rPr>
              <w:tab/>
            </w:r>
            <w:r w:rsidR="00CA05C6" w:rsidRPr="00CA05C6">
              <w:rPr>
                <w:rStyle w:val="Hyperlink"/>
                <w:rFonts w:asciiTheme="majorHAnsi" w:hAnsiTheme="majorHAnsi"/>
                <w:b/>
                <w:noProof/>
                <w:sz w:val="20"/>
                <w:szCs w:val="20"/>
                <w:lang w:val="es-ES_tradnl"/>
              </w:rPr>
              <w:t>CONCLUSIONES Y RECOMENDACIONES</w:t>
            </w:r>
            <w:r w:rsidR="00CA05C6" w:rsidRPr="00CA05C6">
              <w:rPr>
                <w:rFonts w:asciiTheme="majorHAnsi" w:hAnsiTheme="majorHAnsi"/>
                <w:noProof/>
                <w:webHidden/>
                <w:sz w:val="20"/>
                <w:szCs w:val="20"/>
              </w:rPr>
              <w:tab/>
            </w:r>
            <w:r w:rsidR="00CA05C6" w:rsidRPr="00CA05C6">
              <w:rPr>
                <w:rFonts w:asciiTheme="majorHAnsi" w:hAnsiTheme="majorHAnsi"/>
                <w:noProof/>
                <w:webHidden/>
                <w:sz w:val="20"/>
                <w:szCs w:val="20"/>
              </w:rPr>
              <w:fldChar w:fldCharType="begin"/>
            </w:r>
            <w:r w:rsidR="00CA05C6" w:rsidRPr="00CA05C6">
              <w:rPr>
                <w:rFonts w:asciiTheme="majorHAnsi" w:hAnsiTheme="majorHAnsi"/>
                <w:noProof/>
                <w:webHidden/>
                <w:sz w:val="20"/>
                <w:szCs w:val="20"/>
              </w:rPr>
              <w:instrText xml:space="preserve"> PAGEREF _Toc531880136 \h </w:instrText>
            </w:r>
            <w:r w:rsidR="00CA05C6" w:rsidRPr="00CA05C6">
              <w:rPr>
                <w:rFonts w:asciiTheme="majorHAnsi" w:hAnsiTheme="majorHAnsi"/>
                <w:noProof/>
                <w:webHidden/>
                <w:sz w:val="20"/>
                <w:szCs w:val="20"/>
              </w:rPr>
            </w:r>
            <w:r w:rsidR="00CA05C6" w:rsidRPr="00CA05C6">
              <w:rPr>
                <w:rFonts w:asciiTheme="majorHAnsi" w:hAnsiTheme="majorHAnsi"/>
                <w:noProof/>
                <w:webHidden/>
                <w:sz w:val="20"/>
                <w:szCs w:val="20"/>
              </w:rPr>
              <w:fldChar w:fldCharType="separate"/>
            </w:r>
            <w:r w:rsidR="00BC667C">
              <w:rPr>
                <w:rFonts w:asciiTheme="majorHAnsi" w:hAnsiTheme="majorHAnsi"/>
                <w:noProof/>
                <w:webHidden/>
                <w:sz w:val="20"/>
                <w:szCs w:val="20"/>
              </w:rPr>
              <w:t>23</w:t>
            </w:r>
            <w:r w:rsidR="00CA05C6" w:rsidRPr="00CA05C6">
              <w:rPr>
                <w:rFonts w:asciiTheme="majorHAnsi" w:hAnsiTheme="majorHAnsi"/>
                <w:noProof/>
                <w:webHidden/>
                <w:sz w:val="20"/>
                <w:szCs w:val="20"/>
              </w:rPr>
              <w:fldChar w:fldCharType="end"/>
            </w:r>
          </w:hyperlink>
        </w:p>
        <w:p w:rsidR="00C505E4" w:rsidRDefault="00C505E4">
          <w:r w:rsidRPr="00B4527A">
            <w:rPr>
              <w:rFonts w:asciiTheme="majorHAnsi" w:hAnsiTheme="majorHAnsi"/>
              <w:b/>
              <w:bCs/>
              <w:noProof/>
              <w:sz w:val="20"/>
              <w:szCs w:val="20"/>
            </w:rPr>
            <w:fldChar w:fldCharType="end"/>
          </w:r>
        </w:p>
      </w:sdtContent>
    </w:sdt>
    <w:p w:rsidR="008D768D" w:rsidRPr="00C505E4" w:rsidRDefault="008D768D" w:rsidP="006125C3">
      <w:pPr>
        <w:tabs>
          <w:tab w:val="center" w:pos="5400"/>
        </w:tabs>
        <w:suppressAutoHyphens/>
        <w:spacing w:line="276" w:lineRule="auto"/>
        <w:rPr>
          <w:rFonts w:asciiTheme="majorHAnsi" w:hAnsiTheme="majorHAnsi"/>
          <w:sz w:val="20"/>
          <w:szCs w:val="20"/>
        </w:rPr>
      </w:pPr>
    </w:p>
    <w:p w:rsidR="00E909AA" w:rsidRDefault="00E909AA" w:rsidP="00E909AA">
      <w:pPr>
        <w:suppressAutoHyphens/>
        <w:rPr>
          <w:rFonts w:asciiTheme="majorHAnsi" w:hAnsiTheme="majorHAnsi"/>
          <w:b/>
          <w:sz w:val="20"/>
          <w:szCs w:val="20"/>
        </w:rPr>
      </w:pPr>
    </w:p>
    <w:p w:rsidR="00CA05C6" w:rsidRPr="00C505E4" w:rsidRDefault="00CA05C6" w:rsidP="00E909AA">
      <w:pPr>
        <w:suppressAutoHyphens/>
        <w:rPr>
          <w:rFonts w:asciiTheme="majorHAnsi" w:hAnsiTheme="majorHAnsi"/>
          <w:b/>
          <w:sz w:val="20"/>
          <w:szCs w:val="20"/>
        </w:rPr>
      </w:pPr>
    </w:p>
    <w:p w:rsidR="00722C9F" w:rsidRDefault="00722C9F" w:rsidP="00B4527A">
      <w:pPr>
        <w:tabs>
          <w:tab w:val="center" w:pos="5400"/>
        </w:tabs>
        <w:suppressAutoHyphens/>
        <w:spacing w:line="276" w:lineRule="auto"/>
        <w:rPr>
          <w:rFonts w:asciiTheme="majorHAnsi" w:hAnsiTheme="majorHAnsi"/>
          <w:b/>
          <w:sz w:val="20"/>
          <w:szCs w:val="20"/>
          <w:lang w:val="es-ES_tradnl"/>
        </w:rPr>
      </w:pPr>
    </w:p>
    <w:p w:rsidR="00722C9F" w:rsidRPr="00BE73C3" w:rsidRDefault="007C756A" w:rsidP="00CA05C6">
      <w:pPr>
        <w:tabs>
          <w:tab w:val="center" w:pos="5400"/>
        </w:tabs>
        <w:suppressAutoHyphens/>
        <w:jc w:val="center"/>
        <w:rPr>
          <w:rFonts w:asciiTheme="majorHAnsi" w:hAnsiTheme="majorHAnsi"/>
          <w:b/>
          <w:sz w:val="18"/>
          <w:szCs w:val="20"/>
          <w:lang w:val="pt-BR"/>
        </w:rPr>
      </w:pPr>
      <w:r w:rsidRPr="00C505E4">
        <w:rPr>
          <w:rFonts w:asciiTheme="majorHAnsi" w:hAnsiTheme="majorHAnsi"/>
          <w:b/>
          <w:sz w:val="18"/>
          <w:szCs w:val="20"/>
          <w:lang w:val="pt-BR"/>
        </w:rPr>
        <w:t xml:space="preserve">INFORME No. </w:t>
      </w:r>
      <w:r w:rsidR="00680ED2">
        <w:rPr>
          <w:rFonts w:asciiTheme="majorHAnsi" w:hAnsiTheme="majorHAnsi"/>
          <w:b/>
          <w:sz w:val="18"/>
          <w:szCs w:val="20"/>
          <w:lang w:val="pt-BR"/>
        </w:rPr>
        <w:t>107/</w:t>
      </w:r>
      <w:r w:rsidR="002A4555">
        <w:rPr>
          <w:rFonts w:asciiTheme="majorHAnsi" w:hAnsiTheme="majorHAnsi"/>
          <w:b/>
          <w:sz w:val="18"/>
          <w:szCs w:val="20"/>
          <w:lang w:val="pt-BR"/>
        </w:rPr>
        <w:t>18</w:t>
      </w:r>
    </w:p>
    <w:p w:rsidR="00722C9F" w:rsidRPr="00BE73C3" w:rsidRDefault="00722C9F" w:rsidP="00CA05C6">
      <w:pPr>
        <w:tabs>
          <w:tab w:val="center" w:pos="5400"/>
        </w:tabs>
        <w:suppressAutoHyphens/>
        <w:jc w:val="center"/>
        <w:rPr>
          <w:rFonts w:asciiTheme="majorHAnsi" w:hAnsiTheme="majorHAnsi"/>
          <w:b/>
          <w:sz w:val="18"/>
          <w:szCs w:val="20"/>
          <w:lang w:val="pt-BR"/>
        </w:rPr>
      </w:pPr>
      <w:r w:rsidRPr="00BE73C3">
        <w:rPr>
          <w:rFonts w:asciiTheme="majorHAnsi" w:hAnsiTheme="majorHAnsi"/>
          <w:b/>
          <w:sz w:val="18"/>
          <w:szCs w:val="20"/>
          <w:lang w:val="pt-BR"/>
        </w:rPr>
        <w:t xml:space="preserve">CASO </w:t>
      </w:r>
      <w:r w:rsidR="009D6F04" w:rsidRPr="00BE73C3">
        <w:rPr>
          <w:rFonts w:asciiTheme="majorHAnsi" w:hAnsiTheme="majorHAnsi"/>
          <w:b/>
          <w:sz w:val="18"/>
          <w:szCs w:val="20"/>
          <w:lang w:val="pt-BR"/>
        </w:rPr>
        <w:t>13</w:t>
      </w:r>
      <w:r w:rsidRPr="00BE73C3">
        <w:rPr>
          <w:rFonts w:asciiTheme="majorHAnsi" w:hAnsiTheme="majorHAnsi"/>
          <w:b/>
          <w:sz w:val="18"/>
          <w:szCs w:val="20"/>
          <w:lang w:val="pt-BR"/>
        </w:rPr>
        <w:t>.</w:t>
      </w:r>
      <w:r w:rsidR="009D6F04" w:rsidRPr="00BE73C3">
        <w:rPr>
          <w:rFonts w:asciiTheme="majorHAnsi" w:hAnsiTheme="majorHAnsi"/>
          <w:b/>
          <w:sz w:val="18"/>
          <w:szCs w:val="20"/>
          <w:lang w:val="pt-BR"/>
        </w:rPr>
        <w:t>039</w:t>
      </w:r>
    </w:p>
    <w:p w:rsidR="00722C9F" w:rsidRPr="00BE73C3" w:rsidRDefault="007C756A" w:rsidP="00CA05C6">
      <w:pPr>
        <w:tabs>
          <w:tab w:val="center" w:pos="5400"/>
        </w:tabs>
        <w:suppressAutoHyphens/>
        <w:jc w:val="center"/>
        <w:rPr>
          <w:rFonts w:asciiTheme="majorHAnsi" w:hAnsiTheme="majorHAnsi"/>
          <w:sz w:val="18"/>
          <w:szCs w:val="20"/>
          <w:lang w:val="pt-BR"/>
        </w:rPr>
      </w:pPr>
      <w:r w:rsidRPr="00BE73C3">
        <w:rPr>
          <w:rFonts w:asciiTheme="majorHAnsi" w:hAnsiTheme="majorHAnsi"/>
          <w:sz w:val="18"/>
          <w:szCs w:val="20"/>
          <w:lang w:val="pt-BR"/>
        </w:rPr>
        <w:t>FONDO</w:t>
      </w:r>
    </w:p>
    <w:p w:rsidR="00722C9F" w:rsidRPr="005A77AE" w:rsidRDefault="00471529" w:rsidP="00CA05C6">
      <w:pPr>
        <w:tabs>
          <w:tab w:val="center" w:pos="5400"/>
        </w:tabs>
        <w:suppressAutoHyphens/>
        <w:jc w:val="center"/>
        <w:rPr>
          <w:rFonts w:asciiTheme="majorHAnsi" w:hAnsiTheme="majorHAnsi"/>
          <w:sz w:val="18"/>
          <w:szCs w:val="20"/>
          <w:lang w:val="pt-BR"/>
        </w:rPr>
      </w:pPr>
      <w:r>
        <w:rPr>
          <w:rFonts w:asciiTheme="majorHAnsi" w:hAnsiTheme="majorHAnsi"/>
          <w:sz w:val="18"/>
          <w:szCs w:val="20"/>
          <w:lang w:val="pt-BR"/>
        </w:rPr>
        <w:t>MARTINA REBE</w:t>
      </w:r>
      <w:r w:rsidR="005A77AE" w:rsidRPr="005A77AE">
        <w:rPr>
          <w:rFonts w:asciiTheme="majorHAnsi" w:hAnsiTheme="majorHAnsi"/>
          <w:sz w:val="18"/>
          <w:szCs w:val="20"/>
          <w:lang w:val="pt-BR"/>
        </w:rPr>
        <w:t>CA VERA ROJAS</w:t>
      </w:r>
    </w:p>
    <w:p w:rsidR="00722C9F" w:rsidRPr="005A77AE" w:rsidRDefault="005A77AE" w:rsidP="00CA05C6">
      <w:pPr>
        <w:tabs>
          <w:tab w:val="center" w:pos="5400"/>
        </w:tabs>
        <w:suppressAutoHyphens/>
        <w:jc w:val="center"/>
        <w:rPr>
          <w:rFonts w:asciiTheme="majorHAnsi" w:hAnsiTheme="majorHAnsi"/>
          <w:sz w:val="18"/>
          <w:szCs w:val="20"/>
          <w:lang w:val="pt-BR"/>
        </w:rPr>
      </w:pPr>
      <w:r w:rsidRPr="005A77AE">
        <w:rPr>
          <w:rFonts w:asciiTheme="majorHAnsi" w:hAnsiTheme="majorHAnsi"/>
          <w:sz w:val="18"/>
          <w:szCs w:val="20"/>
          <w:lang w:val="pt-BR"/>
        </w:rPr>
        <w:t>CHILE</w:t>
      </w:r>
      <w:r w:rsidR="005C4CA5">
        <w:rPr>
          <w:rStyle w:val="FootnoteReference"/>
          <w:rFonts w:asciiTheme="majorHAnsi" w:hAnsiTheme="majorHAnsi"/>
          <w:sz w:val="18"/>
          <w:szCs w:val="20"/>
          <w:lang w:val="es-ES_tradnl"/>
        </w:rPr>
        <w:footnoteReference w:id="2"/>
      </w:r>
    </w:p>
    <w:p w:rsidR="00722C9F" w:rsidRDefault="00B37F9C" w:rsidP="00CA05C6">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5 DE OCTUBRE DE 2018</w:t>
      </w:r>
    </w:p>
    <w:p w:rsidR="005937F1" w:rsidRDefault="005937F1" w:rsidP="005937F1">
      <w:pPr>
        <w:pStyle w:val="ListParagraph"/>
        <w:suppressAutoHyphens/>
        <w:ind w:left="1440"/>
        <w:rPr>
          <w:rFonts w:asciiTheme="majorHAnsi" w:hAnsiTheme="majorHAnsi"/>
          <w:b/>
          <w:sz w:val="20"/>
          <w:szCs w:val="20"/>
          <w:lang w:val="es-ES_tradnl"/>
        </w:rPr>
      </w:pPr>
    </w:p>
    <w:p w:rsidR="00D12193" w:rsidRPr="00C505E4" w:rsidRDefault="00D12193" w:rsidP="00C505E4">
      <w:pPr>
        <w:pStyle w:val="Heading1"/>
      </w:pPr>
      <w:bookmarkStart w:id="2" w:name="_Toc531880112"/>
      <w:r w:rsidRPr="00C505E4">
        <w:t>RESUMEN</w:t>
      </w:r>
      <w:bookmarkEnd w:id="2"/>
    </w:p>
    <w:p w:rsidR="005C4CA5" w:rsidRDefault="005C4CA5" w:rsidP="005C4CA5">
      <w:pPr>
        <w:suppressAutoHyphens/>
        <w:ind w:left="360"/>
        <w:rPr>
          <w:rFonts w:asciiTheme="majorHAnsi" w:hAnsiTheme="majorHAnsi"/>
          <w:b/>
          <w:sz w:val="20"/>
          <w:szCs w:val="20"/>
          <w:lang w:val="es-ES_tradnl"/>
        </w:rPr>
      </w:pPr>
    </w:p>
    <w:p w:rsidR="009014A4" w:rsidRDefault="005C4CA5"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014A4">
        <w:rPr>
          <w:rFonts w:ascii="Cambria" w:hAnsi="Cambria"/>
          <w:color w:val="000000" w:themeColor="text1"/>
          <w:sz w:val="20"/>
          <w:szCs w:val="20"/>
          <w:lang w:val="es-VE"/>
        </w:rPr>
        <w:t xml:space="preserve">El </w:t>
      </w:r>
      <w:r w:rsidR="00893321">
        <w:rPr>
          <w:rFonts w:ascii="Cambria" w:hAnsi="Cambria"/>
          <w:color w:val="000000" w:themeColor="text1"/>
          <w:sz w:val="20"/>
          <w:szCs w:val="20"/>
          <w:lang w:val="es-VE"/>
        </w:rPr>
        <w:t>4</w:t>
      </w:r>
      <w:r w:rsidRPr="009014A4">
        <w:rPr>
          <w:rFonts w:ascii="Cambria" w:hAnsi="Cambria"/>
          <w:color w:val="000000" w:themeColor="text1"/>
          <w:sz w:val="20"/>
          <w:szCs w:val="20"/>
          <w:lang w:val="es-VE"/>
        </w:rPr>
        <w:t xml:space="preserve"> de </w:t>
      </w:r>
      <w:r w:rsidR="00893321">
        <w:rPr>
          <w:rFonts w:ascii="Cambria" w:hAnsi="Cambria"/>
          <w:color w:val="000000" w:themeColor="text1"/>
          <w:sz w:val="20"/>
          <w:szCs w:val="20"/>
          <w:lang w:val="es-VE"/>
        </w:rPr>
        <w:t>noviembre</w:t>
      </w:r>
      <w:r w:rsidRPr="009014A4">
        <w:rPr>
          <w:rFonts w:ascii="Cambria" w:hAnsi="Cambria"/>
          <w:color w:val="000000" w:themeColor="text1"/>
          <w:sz w:val="20"/>
          <w:szCs w:val="20"/>
          <w:lang w:val="es-VE"/>
        </w:rPr>
        <w:t xml:space="preserve"> de </w:t>
      </w:r>
      <w:r w:rsidR="00893321">
        <w:rPr>
          <w:rFonts w:ascii="Cambria" w:hAnsi="Cambria"/>
          <w:color w:val="000000" w:themeColor="text1"/>
          <w:sz w:val="20"/>
          <w:szCs w:val="20"/>
          <w:lang w:val="es-VE"/>
        </w:rPr>
        <w:t>2011</w:t>
      </w:r>
      <w:r w:rsidRPr="009014A4">
        <w:rPr>
          <w:rFonts w:ascii="Cambria" w:hAnsi="Cambria"/>
          <w:color w:val="000000" w:themeColor="text1"/>
          <w:sz w:val="20"/>
          <w:szCs w:val="20"/>
          <w:lang w:val="es-VE"/>
        </w:rPr>
        <w:t xml:space="preserve"> la Comisión Interamericana de Derechos Humanos (en adelante “la Comisión Interamericana”, “la Comisión” o “la CIDH”) recibió una petición presentada por </w:t>
      </w:r>
      <w:r w:rsidR="00893321">
        <w:rPr>
          <w:rFonts w:ascii="Cambria" w:hAnsi="Cambria"/>
          <w:color w:val="000000" w:themeColor="text1"/>
          <w:sz w:val="20"/>
          <w:szCs w:val="20"/>
          <w:lang w:val="es-VE"/>
        </w:rPr>
        <w:t>Karinna Fernández Neira</w:t>
      </w:r>
      <w:r w:rsidR="00DE775A">
        <w:rPr>
          <w:rFonts w:ascii="Cambria" w:hAnsi="Cambria"/>
          <w:color w:val="000000" w:themeColor="text1"/>
          <w:sz w:val="20"/>
          <w:szCs w:val="20"/>
          <w:lang w:val="es-VE"/>
        </w:rPr>
        <w:t>, Boris Paredes Bustos, Carolina Andrea del Pilar Rojas Farías y Ramiro Álvaro Vera Luza</w:t>
      </w:r>
      <w:r w:rsidRPr="009014A4">
        <w:rPr>
          <w:rFonts w:ascii="Cambria" w:hAnsi="Cambria"/>
          <w:color w:val="000000" w:themeColor="text1"/>
          <w:sz w:val="20"/>
          <w:szCs w:val="20"/>
          <w:lang w:val="es-VE"/>
        </w:rPr>
        <w:t xml:space="preserve"> (en adelante “la parte peticionaria”)</w:t>
      </w:r>
      <w:r>
        <w:rPr>
          <w:rStyle w:val="FootnoteReference"/>
          <w:rFonts w:ascii="Cambria" w:hAnsi="Cambria"/>
          <w:color w:val="000000" w:themeColor="text1"/>
          <w:sz w:val="20"/>
          <w:szCs w:val="20"/>
          <w:lang w:val="es-VE"/>
        </w:rPr>
        <w:footnoteReference w:id="3"/>
      </w:r>
      <w:r w:rsidRPr="009014A4">
        <w:rPr>
          <w:rFonts w:ascii="Cambria" w:hAnsi="Cambria"/>
          <w:color w:val="000000" w:themeColor="text1"/>
          <w:sz w:val="20"/>
          <w:szCs w:val="20"/>
          <w:lang w:val="es-VE"/>
        </w:rPr>
        <w:t xml:space="preserve"> en la cual se alega la responsabilidad internacional de </w:t>
      </w:r>
      <w:r w:rsidR="00DE775A">
        <w:rPr>
          <w:rFonts w:ascii="Cambria" w:hAnsi="Cambria"/>
          <w:color w:val="000000" w:themeColor="text1"/>
          <w:sz w:val="20"/>
          <w:szCs w:val="20"/>
          <w:lang w:val="es-VE"/>
        </w:rPr>
        <w:t>la República de Chile</w:t>
      </w:r>
      <w:r w:rsidRPr="009014A4">
        <w:rPr>
          <w:rFonts w:ascii="Cambria" w:hAnsi="Cambria"/>
          <w:color w:val="000000" w:themeColor="text1"/>
          <w:sz w:val="20"/>
          <w:szCs w:val="20"/>
          <w:lang w:val="es-VE"/>
        </w:rPr>
        <w:t xml:space="preserve"> (en adelante “el Estado </w:t>
      </w:r>
      <w:r w:rsidR="00DE775A">
        <w:rPr>
          <w:rFonts w:ascii="Cambria" w:hAnsi="Cambria"/>
          <w:color w:val="000000" w:themeColor="text1"/>
          <w:sz w:val="20"/>
          <w:szCs w:val="20"/>
          <w:lang w:val="es-VE"/>
        </w:rPr>
        <w:t>chileno</w:t>
      </w:r>
      <w:r w:rsidRPr="009014A4">
        <w:rPr>
          <w:rFonts w:ascii="Cambria" w:hAnsi="Cambria"/>
          <w:color w:val="000000" w:themeColor="text1"/>
          <w:sz w:val="20"/>
          <w:szCs w:val="20"/>
          <w:lang w:val="es-VE"/>
        </w:rPr>
        <w:t>”, “el Estado” o “</w:t>
      </w:r>
      <w:r w:rsidR="00DE775A">
        <w:rPr>
          <w:rFonts w:ascii="Cambria" w:hAnsi="Cambria"/>
          <w:color w:val="000000" w:themeColor="text1"/>
          <w:sz w:val="20"/>
          <w:szCs w:val="20"/>
          <w:lang w:val="es-VE"/>
        </w:rPr>
        <w:t>Chile</w:t>
      </w:r>
      <w:r w:rsidRPr="009014A4">
        <w:rPr>
          <w:rFonts w:ascii="Cambria" w:hAnsi="Cambria"/>
          <w:color w:val="000000" w:themeColor="text1"/>
          <w:sz w:val="20"/>
          <w:szCs w:val="20"/>
          <w:lang w:val="es-VE"/>
        </w:rPr>
        <w:t xml:space="preserve">”) en perjuicio </w:t>
      </w:r>
      <w:r w:rsidRPr="00DE775A">
        <w:rPr>
          <w:rFonts w:ascii="Cambria" w:hAnsi="Cambria"/>
          <w:sz w:val="20"/>
          <w:szCs w:val="20"/>
          <w:lang w:val="es-VE"/>
        </w:rPr>
        <w:t xml:space="preserve">de </w:t>
      </w:r>
      <w:r w:rsidR="00471529">
        <w:rPr>
          <w:rFonts w:ascii="Cambria" w:hAnsi="Cambria"/>
          <w:sz w:val="20"/>
          <w:szCs w:val="20"/>
          <w:lang w:val="es-VE"/>
        </w:rPr>
        <w:t>Martina Rebe</w:t>
      </w:r>
      <w:r w:rsidR="00DE775A" w:rsidRPr="00DE775A">
        <w:rPr>
          <w:rFonts w:ascii="Cambria" w:hAnsi="Cambria"/>
          <w:sz w:val="20"/>
          <w:szCs w:val="20"/>
          <w:lang w:val="es-VE"/>
        </w:rPr>
        <w:t>ca Vera Rojas</w:t>
      </w:r>
      <w:r w:rsidR="003D46C7">
        <w:rPr>
          <w:rFonts w:ascii="Cambria" w:hAnsi="Cambria"/>
          <w:sz w:val="20"/>
          <w:szCs w:val="20"/>
          <w:lang w:val="es-VE"/>
        </w:rPr>
        <w:t xml:space="preserve">, su madre, Carolina Andrea del Pilar Rojas Faría y su padre, Ramiro Álvaro Vera Luza. </w:t>
      </w:r>
    </w:p>
    <w:p w:rsidR="009014A4"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9014A4" w:rsidRPr="009014A4" w:rsidRDefault="009014A4"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014A4">
        <w:rPr>
          <w:rFonts w:ascii="Cambria" w:hAnsi="Cambria"/>
          <w:color w:val="000000" w:themeColor="text1"/>
          <w:sz w:val="20"/>
          <w:szCs w:val="20"/>
          <w:lang w:val="es-VE"/>
        </w:rPr>
        <w:t>L</w:t>
      </w:r>
      <w:r w:rsidRPr="009014A4">
        <w:rPr>
          <w:rFonts w:ascii="Cambria" w:hAnsi="Cambria"/>
          <w:sz w:val="20"/>
          <w:szCs w:val="20"/>
          <w:lang w:val="es-ES_tradnl"/>
        </w:rPr>
        <w:t xml:space="preserve">a Comisión aprobó el informe de admisibilidad No. </w:t>
      </w:r>
      <w:r w:rsidR="005A77AE">
        <w:rPr>
          <w:rFonts w:ascii="Cambria" w:hAnsi="Cambria"/>
          <w:sz w:val="20"/>
          <w:szCs w:val="20"/>
          <w:lang w:val="es-ES_tradnl"/>
        </w:rPr>
        <w:t>44</w:t>
      </w:r>
      <w:r w:rsidRPr="009014A4">
        <w:rPr>
          <w:rFonts w:ascii="Cambria" w:hAnsi="Cambria"/>
          <w:sz w:val="20"/>
          <w:szCs w:val="20"/>
          <w:lang w:val="es-ES_tradnl"/>
        </w:rPr>
        <w:t>/</w:t>
      </w:r>
      <w:r w:rsidR="005A77AE">
        <w:rPr>
          <w:rFonts w:ascii="Cambria" w:hAnsi="Cambria"/>
          <w:sz w:val="20"/>
          <w:szCs w:val="20"/>
          <w:lang w:val="es-ES_tradnl"/>
        </w:rPr>
        <w:t>16</w:t>
      </w:r>
      <w:r w:rsidRPr="009014A4">
        <w:rPr>
          <w:rFonts w:ascii="Cambria" w:hAnsi="Cambria"/>
          <w:sz w:val="20"/>
          <w:szCs w:val="20"/>
          <w:lang w:val="es-ES_tradnl"/>
        </w:rPr>
        <w:t xml:space="preserve"> el </w:t>
      </w:r>
      <w:r w:rsidR="005A77AE">
        <w:rPr>
          <w:rFonts w:ascii="Cambria" w:hAnsi="Cambria"/>
          <w:sz w:val="20"/>
          <w:szCs w:val="20"/>
          <w:lang w:val="es-ES_tradnl"/>
        </w:rPr>
        <w:t>4</w:t>
      </w:r>
      <w:r w:rsidRPr="009014A4">
        <w:rPr>
          <w:rFonts w:ascii="Cambria" w:hAnsi="Cambria"/>
          <w:sz w:val="20"/>
          <w:szCs w:val="20"/>
          <w:lang w:val="es-ES_tradnl"/>
        </w:rPr>
        <w:t xml:space="preserve"> de </w:t>
      </w:r>
      <w:r w:rsidR="005A77AE">
        <w:rPr>
          <w:rFonts w:ascii="Cambria" w:hAnsi="Cambria"/>
          <w:sz w:val="20"/>
          <w:szCs w:val="20"/>
          <w:lang w:val="es-ES_tradnl"/>
        </w:rPr>
        <w:t>noviembre</w:t>
      </w:r>
      <w:r w:rsidRPr="009014A4">
        <w:rPr>
          <w:rFonts w:ascii="Cambria" w:hAnsi="Cambria"/>
          <w:sz w:val="20"/>
          <w:szCs w:val="20"/>
          <w:lang w:val="es-ES_tradnl"/>
        </w:rPr>
        <w:t xml:space="preserve"> de </w:t>
      </w:r>
      <w:r w:rsidR="005A77AE">
        <w:rPr>
          <w:rFonts w:ascii="Cambria" w:hAnsi="Cambria"/>
          <w:sz w:val="20"/>
          <w:szCs w:val="20"/>
          <w:lang w:val="es-ES_tradnl"/>
        </w:rPr>
        <w:t>2016</w:t>
      </w:r>
      <w:r w:rsidRPr="001265CE">
        <w:rPr>
          <w:rStyle w:val="FootnoteReference"/>
          <w:rFonts w:ascii="Cambria" w:hAnsi="Cambria"/>
          <w:sz w:val="20"/>
          <w:szCs w:val="20"/>
          <w:lang w:val="es-ES_tradnl"/>
        </w:rPr>
        <w:footnoteReference w:id="4"/>
      </w:r>
      <w:r w:rsidR="00AF7988">
        <w:rPr>
          <w:rFonts w:ascii="Cambria" w:hAnsi="Cambria"/>
          <w:sz w:val="20"/>
          <w:szCs w:val="20"/>
          <w:lang w:val="es-ES_tradnl"/>
        </w:rPr>
        <w:t xml:space="preserve">. </w:t>
      </w:r>
      <w:r w:rsidRPr="009014A4">
        <w:rPr>
          <w:rFonts w:ascii="Cambria" w:hAnsi="Cambria"/>
          <w:sz w:val="20"/>
          <w:szCs w:val="20"/>
          <w:lang w:val="es-ES_tradnl"/>
        </w:rPr>
        <w:t xml:space="preserve">El </w:t>
      </w:r>
      <w:r w:rsidR="005A77AE">
        <w:rPr>
          <w:rFonts w:ascii="Cambria" w:hAnsi="Cambria"/>
          <w:sz w:val="20"/>
          <w:szCs w:val="20"/>
          <w:lang w:val="es-ES_tradnl"/>
        </w:rPr>
        <w:t>7</w:t>
      </w:r>
      <w:r w:rsidRPr="009014A4">
        <w:rPr>
          <w:rFonts w:ascii="Cambria" w:hAnsi="Cambria"/>
          <w:sz w:val="20"/>
          <w:szCs w:val="20"/>
          <w:lang w:val="es-ES_tradnl"/>
        </w:rPr>
        <w:t xml:space="preserve"> de </w:t>
      </w:r>
      <w:r w:rsidR="005A77AE">
        <w:rPr>
          <w:rFonts w:ascii="Cambria" w:hAnsi="Cambria"/>
          <w:sz w:val="20"/>
          <w:szCs w:val="20"/>
          <w:lang w:val="es-ES_tradnl"/>
        </w:rPr>
        <w:t>noviembre</w:t>
      </w:r>
      <w:r w:rsidRPr="009014A4">
        <w:rPr>
          <w:rFonts w:ascii="Cambria" w:hAnsi="Cambria"/>
          <w:sz w:val="20"/>
          <w:szCs w:val="20"/>
          <w:lang w:val="es-ES_tradnl"/>
        </w:rPr>
        <w:t xml:space="preserve"> de </w:t>
      </w:r>
      <w:r w:rsidR="005A77AE">
        <w:rPr>
          <w:rFonts w:ascii="Cambria" w:hAnsi="Cambria"/>
          <w:sz w:val="20"/>
          <w:szCs w:val="20"/>
          <w:lang w:val="es-ES_tradnl"/>
        </w:rPr>
        <w:t>2016</w:t>
      </w:r>
      <w:r w:rsidRPr="009014A4">
        <w:rPr>
          <w:rFonts w:ascii="Cambria" w:hAnsi="Cambria"/>
          <w:sz w:val="20"/>
          <w:szCs w:val="20"/>
          <w:lang w:val="es-ES_tradnl"/>
        </w:rPr>
        <w:t xml:space="preserve"> la Comisión notificó dicho informe a las partes y se puso a su disposición a fin de llegar a una solución amistosa</w:t>
      </w:r>
      <w:r w:rsidR="00386D2D">
        <w:rPr>
          <w:rFonts w:ascii="Cambria" w:hAnsi="Cambria"/>
          <w:sz w:val="20"/>
          <w:szCs w:val="20"/>
          <w:lang w:val="es-ES_tradnl"/>
        </w:rPr>
        <w:t xml:space="preserve">. </w:t>
      </w:r>
      <w:r w:rsidRPr="009014A4">
        <w:rPr>
          <w:rFonts w:ascii="Cambria" w:hAnsi="Cambria"/>
          <w:sz w:val="20"/>
          <w:szCs w:val="20"/>
          <w:lang w:val="es-ES_tradnl"/>
        </w:rPr>
        <w:t>Las partes contaron con los plazos reglamentarios para presentar sus observaciones adicionales sobre el fondo.</w:t>
      </w:r>
      <w:r w:rsidR="00254D3A">
        <w:rPr>
          <w:rFonts w:ascii="Cambria" w:hAnsi="Cambria"/>
          <w:sz w:val="20"/>
          <w:szCs w:val="20"/>
          <w:lang w:val="es-ES_tradnl"/>
        </w:rPr>
        <w:t xml:space="preserve"> </w:t>
      </w:r>
      <w:r w:rsidRPr="009014A4">
        <w:rPr>
          <w:rFonts w:ascii="Cambria" w:hAnsi="Cambria"/>
          <w:sz w:val="20"/>
          <w:szCs w:val="20"/>
          <w:lang w:val="es-ES_tradnl"/>
        </w:rPr>
        <w:t>Toda la información recibida fue debidamente trasladada entre las partes</w:t>
      </w:r>
      <w:r w:rsidR="00413CCE">
        <w:rPr>
          <w:rStyle w:val="FootnoteReference"/>
          <w:rFonts w:ascii="Cambria" w:hAnsi="Cambria"/>
          <w:sz w:val="20"/>
          <w:szCs w:val="20"/>
          <w:lang w:val="es-ES_tradnl"/>
        </w:rPr>
        <w:footnoteReference w:id="5"/>
      </w:r>
      <w:r w:rsidRPr="009014A4">
        <w:rPr>
          <w:rFonts w:ascii="Cambria" w:hAnsi="Cambria"/>
          <w:sz w:val="20"/>
          <w:szCs w:val="20"/>
          <w:lang w:val="es-ES_tradnl"/>
        </w:rPr>
        <w:t>.</w:t>
      </w:r>
    </w:p>
    <w:p w:rsidR="009014A4"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VE"/>
        </w:rPr>
      </w:pPr>
    </w:p>
    <w:p w:rsidR="005C4CA5" w:rsidRPr="00365DC7" w:rsidRDefault="005C4CA5"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La</w:t>
      </w:r>
      <w:r w:rsidR="003D46C7">
        <w:rPr>
          <w:rFonts w:ascii="Cambria" w:hAnsi="Cambria"/>
          <w:color w:val="000000" w:themeColor="text1"/>
          <w:sz w:val="20"/>
          <w:szCs w:val="20"/>
          <w:lang w:val="es-VE"/>
        </w:rPr>
        <w:t xml:space="preserve"> parte peticionaria alegó que </w:t>
      </w:r>
      <w:r w:rsidR="00825056">
        <w:rPr>
          <w:rFonts w:ascii="Cambria" w:hAnsi="Cambria"/>
          <w:color w:val="000000" w:themeColor="text1"/>
          <w:sz w:val="20"/>
          <w:szCs w:val="20"/>
          <w:lang w:val="es-VE"/>
        </w:rPr>
        <w:t>el Estado incumplió sus obligaciones internacion</w:t>
      </w:r>
      <w:r w:rsidR="00352594">
        <w:rPr>
          <w:rFonts w:ascii="Cambria" w:hAnsi="Cambria"/>
          <w:color w:val="000000" w:themeColor="text1"/>
          <w:sz w:val="20"/>
          <w:szCs w:val="20"/>
          <w:lang w:val="es-VE"/>
        </w:rPr>
        <w:t>al</w:t>
      </w:r>
      <w:r w:rsidR="00825056">
        <w:rPr>
          <w:rFonts w:ascii="Cambria" w:hAnsi="Cambria"/>
          <w:color w:val="000000" w:themeColor="text1"/>
          <w:sz w:val="20"/>
          <w:szCs w:val="20"/>
          <w:lang w:val="es-VE"/>
        </w:rPr>
        <w:t xml:space="preserve">es </w:t>
      </w:r>
      <w:r w:rsidR="00022C79">
        <w:rPr>
          <w:rFonts w:ascii="Cambria" w:hAnsi="Cambria"/>
          <w:color w:val="000000" w:themeColor="text1"/>
          <w:sz w:val="20"/>
          <w:szCs w:val="20"/>
          <w:lang w:val="es-VE"/>
        </w:rPr>
        <w:t xml:space="preserve">respecto de </w:t>
      </w:r>
      <w:r w:rsidR="00825056">
        <w:rPr>
          <w:rFonts w:ascii="Cambria" w:hAnsi="Cambria"/>
          <w:color w:val="000000" w:themeColor="text1"/>
          <w:sz w:val="20"/>
          <w:szCs w:val="20"/>
          <w:lang w:val="es-VE"/>
        </w:rPr>
        <w:t>la vida e integridad de la niña Martina</w:t>
      </w:r>
      <w:r w:rsidR="00E87053">
        <w:rPr>
          <w:rFonts w:ascii="Cambria" w:hAnsi="Cambria"/>
          <w:color w:val="000000" w:themeColor="text1"/>
          <w:sz w:val="20"/>
          <w:szCs w:val="20"/>
          <w:lang w:val="es-VE"/>
        </w:rPr>
        <w:t xml:space="preserve">, diagnosticada con el síndrome de Leigh, </w:t>
      </w:r>
      <w:r w:rsidR="00B53608">
        <w:rPr>
          <w:rFonts w:ascii="Cambria" w:hAnsi="Cambria"/>
          <w:color w:val="000000" w:themeColor="text1"/>
          <w:sz w:val="20"/>
          <w:szCs w:val="20"/>
          <w:lang w:val="es-VE"/>
        </w:rPr>
        <w:t>por permitir</w:t>
      </w:r>
      <w:r w:rsidR="006952F1">
        <w:rPr>
          <w:rFonts w:ascii="Cambria" w:hAnsi="Cambria"/>
          <w:color w:val="000000" w:themeColor="text1"/>
          <w:sz w:val="20"/>
          <w:szCs w:val="20"/>
          <w:lang w:val="es-VE"/>
        </w:rPr>
        <w:t xml:space="preserve"> y</w:t>
      </w:r>
      <w:r w:rsidR="00B53608">
        <w:rPr>
          <w:rFonts w:ascii="Cambria" w:hAnsi="Cambria"/>
          <w:color w:val="000000" w:themeColor="text1"/>
          <w:sz w:val="20"/>
          <w:szCs w:val="20"/>
          <w:lang w:val="es-VE"/>
        </w:rPr>
        <w:t xml:space="preserve"> judicialmente</w:t>
      </w:r>
      <w:r w:rsidR="00022C79">
        <w:rPr>
          <w:rFonts w:ascii="Cambria" w:hAnsi="Cambria"/>
          <w:color w:val="000000" w:themeColor="text1"/>
          <w:sz w:val="20"/>
          <w:szCs w:val="20"/>
          <w:lang w:val="es-VE"/>
        </w:rPr>
        <w:t xml:space="preserve"> validar</w:t>
      </w:r>
      <w:r w:rsidR="00B53608">
        <w:rPr>
          <w:rFonts w:ascii="Cambria" w:hAnsi="Cambria"/>
          <w:color w:val="000000" w:themeColor="text1"/>
          <w:sz w:val="20"/>
          <w:szCs w:val="20"/>
          <w:lang w:val="es-VE"/>
        </w:rPr>
        <w:t xml:space="preserve"> la </w:t>
      </w:r>
      <w:r w:rsidR="00825056">
        <w:rPr>
          <w:rFonts w:ascii="Cambria" w:hAnsi="Cambria"/>
          <w:color w:val="000000" w:themeColor="text1"/>
          <w:sz w:val="20"/>
          <w:szCs w:val="20"/>
          <w:lang w:val="es-VE"/>
        </w:rPr>
        <w:t xml:space="preserve">finalización </w:t>
      </w:r>
      <w:r w:rsidR="00B53608">
        <w:rPr>
          <w:rFonts w:ascii="Cambria" w:hAnsi="Cambria"/>
          <w:color w:val="000000" w:themeColor="text1"/>
          <w:sz w:val="20"/>
          <w:szCs w:val="20"/>
          <w:lang w:val="es-VE"/>
        </w:rPr>
        <w:t xml:space="preserve">unilateral y arbitraria </w:t>
      </w:r>
      <w:r w:rsidR="00825056">
        <w:rPr>
          <w:rFonts w:ascii="Cambria" w:hAnsi="Cambria"/>
          <w:color w:val="000000" w:themeColor="text1"/>
          <w:sz w:val="20"/>
          <w:szCs w:val="20"/>
          <w:lang w:val="es-VE"/>
        </w:rPr>
        <w:t>del régimen de “hospitalización domiciliaria”</w:t>
      </w:r>
      <w:r w:rsidR="00B53608">
        <w:rPr>
          <w:rFonts w:ascii="Cambria" w:hAnsi="Cambria"/>
          <w:color w:val="000000" w:themeColor="text1"/>
          <w:sz w:val="20"/>
          <w:szCs w:val="20"/>
          <w:lang w:val="es-VE"/>
        </w:rPr>
        <w:t xml:space="preserve"> por parte de </w:t>
      </w:r>
      <w:r w:rsidR="00FA3237">
        <w:rPr>
          <w:rFonts w:ascii="Cambria" w:hAnsi="Cambria"/>
          <w:color w:val="000000" w:themeColor="text1"/>
          <w:sz w:val="20"/>
          <w:szCs w:val="20"/>
          <w:lang w:val="es-VE"/>
        </w:rPr>
        <w:t>su aseguradora de</w:t>
      </w:r>
      <w:r w:rsidR="00B53608">
        <w:rPr>
          <w:rFonts w:ascii="Cambria" w:hAnsi="Cambria"/>
          <w:color w:val="000000" w:themeColor="text1"/>
          <w:sz w:val="20"/>
          <w:szCs w:val="20"/>
          <w:lang w:val="es-VE"/>
        </w:rPr>
        <w:t xml:space="preserve"> salud</w:t>
      </w:r>
      <w:r w:rsidR="00E87053">
        <w:rPr>
          <w:rFonts w:ascii="Cambria" w:hAnsi="Cambria"/>
          <w:color w:val="000000" w:themeColor="text1"/>
          <w:sz w:val="20"/>
          <w:szCs w:val="20"/>
          <w:lang w:val="es-VE"/>
        </w:rPr>
        <w:t xml:space="preserve">, servicio que resulta esencial para </w:t>
      </w:r>
      <w:r w:rsidR="00374DD1">
        <w:rPr>
          <w:rFonts w:ascii="Cambria" w:hAnsi="Cambria"/>
          <w:color w:val="000000" w:themeColor="text1"/>
          <w:sz w:val="20"/>
          <w:szCs w:val="20"/>
          <w:lang w:val="es-VE"/>
        </w:rPr>
        <w:t xml:space="preserve">la supervivencia de </w:t>
      </w:r>
      <w:r w:rsidR="00E87053">
        <w:rPr>
          <w:rFonts w:ascii="Cambria" w:hAnsi="Cambria"/>
          <w:color w:val="000000" w:themeColor="text1"/>
          <w:sz w:val="20"/>
          <w:szCs w:val="20"/>
          <w:lang w:val="es-VE"/>
        </w:rPr>
        <w:t xml:space="preserve">personas con dicho </w:t>
      </w:r>
      <w:r w:rsidR="002F6E18">
        <w:rPr>
          <w:rFonts w:ascii="Cambria" w:hAnsi="Cambria"/>
          <w:color w:val="000000" w:themeColor="text1"/>
          <w:sz w:val="20"/>
          <w:szCs w:val="20"/>
          <w:lang w:val="es-VE"/>
        </w:rPr>
        <w:t>síndrome</w:t>
      </w:r>
      <w:r w:rsidR="00E87053">
        <w:rPr>
          <w:rFonts w:ascii="Cambria" w:hAnsi="Cambria"/>
          <w:color w:val="000000" w:themeColor="text1"/>
          <w:sz w:val="20"/>
          <w:szCs w:val="20"/>
          <w:lang w:val="es-VE"/>
        </w:rPr>
        <w:t>.</w:t>
      </w:r>
      <w:r w:rsidR="00352594">
        <w:rPr>
          <w:rFonts w:ascii="Cambria" w:hAnsi="Cambria"/>
          <w:color w:val="000000" w:themeColor="text1"/>
          <w:sz w:val="20"/>
          <w:szCs w:val="20"/>
          <w:lang w:val="es-VE"/>
        </w:rPr>
        <w:t xml:space="preserve"> </w:t>
      </w:r>
      <w:r w:rsidR="00022C79">
        <w:rPr>
          <w:rFonts w:ascii="Cambria" w:hAnsi="Cambria"/>
          <w:color w:val="000000" w:themeColor="text1"/>
          <w:sz w:val="20"/>
          <w:szCs w:val="20"/>
          <w:lang w:val="es-VE"/>
        </w:rPr>
        <w:t>I</w:t>
      </w:r>
      <w:r w:rsidR="00E87053">
        <w:rPr>
          <w:rFonts w:ascii="Cambria" w:hAnsi="Cambria"/>
          <w:color w:val="000000" w:themeColor="text1"/>
          <w:sz w:val="20"/>
          <w:szCs w:val="20"/>
          <w:lang w:val="es-VE"/>
        </w:rPr>
        <w:t>ndicó que l</w:t>
      </w:r>
      <w:r w:rsidR="009424FA">
        <w:rPr>
          <w:rFonts w:ascii="Cambria" w:hAnsi="Cambria"/>
          <w:color w:val="000000" w:themeColor="text1"/>
          <w:sz w:val="20"/>
          <w:szCs w:val="20"/>
          <w:lang w:val="es-VE"/>
        </w:rPr>
        <w:t xml:space="preserve">a Corte Suprema de Justicia </w:t>
      </w:r>
      <w:r w:rsidR="005D0975">
        <w:rPr>
          <w:rFonts w:ascii="Cambria" w:hAnsi="Cambria"/>
          <w:color w:val="000000" w:themeColor="text1"/>
          <w:sz w:val="20"/>
          <w:szCs w:val="20"/>
          <w:lang w:val="es-VE"/>
        </w:rPr>
        <w:t xml:space="preserve">(en </w:t>
      </w:r>
      <w:r w:rsidR="005D0975" w:rsidRPr="00365DC7">
        <w:rPr>
          <w:rFonts w:ascii="Cambria" w:hAnsi="Cambria"/>
          <w:color w:val="000000" w:themeColor="text1"/>
          <w:sz w:val="20"/>
          <w:szCs w:val="20"/>
          <w:lang w:val="es-VE"/>
        </w:rPr>
        <w:t xml:space="preserve">adelante “la CSJ”) </w:t>
      </w:r>
      <w:r w:rsidR="009424FA" w:rsidRPr="00365DC7">
        <w:rPr>
          <w:rFonts w:ascii="Cambria" w:hAnsi="Cambria"/>
          <w:color w:val="000000" w:themeColor="text1"/>
          <w:sz w:val="20"/>
          <w:szCs w:val="20"/>
          <w:lang w:val="es-VE"/>
        </w:rPr>
        <w:t xml:space="preserve">sentenció </w:t>
      </w:r>
      <w:r w:rsidR="00E87053" w:rsidRPr="00365DC7">
        <w:rPr>
          <w:rFonts w:ascii="Cambria" w:hAnsi="Cambria"/>
          <w:color w:val="000000" w:themeColor="text1"/>
          <w:sz w:val="20"/>
          <w:szCs w:val="20"/>
          <w:lang w:val="es-VE"/>
        </w:rPr>
        <w:t>a favor de la prestadora de salud sin tomar en consideración la especial posición de garante respec</w:t>
      </w:r>
      <w:r w:rsidR="002F6E18" w:rsidRPr="00365DC7">
        <w:rPr>
          <w:rFonts w:ascii="Cambria" w:hAnsi="Cambria"/>
          <w:color w:val="000000" w:themeColor="text1"/>
          <w:sz w:val="20"/>
          <w:szCs w:val="20"/>
          <w:lang w:val="es-VE"/>
        </w:rPr>
        <w:t>to de los derechos de la niñez</w:t>
      </w:r>
      <w:r w:rsidR="00F53B29" w:rsidRPr="00365DC7">
        <w:rPr>
          <w:rFonts w:ascii="Cambria" w:hAnsi="Cambria"/>
          <w:color w:val="000000" w:themeColor="text1"/>
          <w:sz w:val="20"/>
          <w:szCs w:val="20"/>
          <w:lang w:val="es-VE"/>
        </w:rPr>
        <w:t xml:space="preserve"> y de las personas con discapacidad</w:t>
      </w:r>
      <w:r w:rsidR="00E87053" w:rsidRPr="00365DC7">
        <w:rPr>
          <w:rFonts w:ascii="Cambria" w:hAnsi="Cambria"/>
          <w:color w:val="000000" w:themeColor="text1"/>
          <w:sz w:val="20"/>
          <w:szCs w:val="20"/>
          <w:lang w:val="es-VE"/>
        </w:rPr>
        <w:t xml:space="preserve"> ni los derechos sociales</w:t>
      </w:r>
      <w:r w:rsidR="002F6E18" w:rsidRPr="00365DC7">
        <w:rPr>
          <w:rFonts w:ascii="Cambria" w:hAnsi="Cambria"/>
          <w:color w:val="000000" w:themeColor="text1"/>
          <w:sz w:val="20"/>
          <w:szCs w:val="20"/>
          <w:lang w:val="es-VE"/>
        </w:rPr>
        <w:t xml:space="preserve"> de la presunta víctima.</w:t>
      </w:r>
      <w:r w:rsidR="006952F1" w:rsidRPr="00365DC7">
        <w:rPr>
          <w:rFonts w:ascii="Cambria" w:hAnsi="Cambria"/>
          <w:color w:val="000000" w:themeColor="text1"/>
          <w:sz w:val="20"/>
          <w:szCs w:val="20"/>
          <w:lang w:val="es-VE"/>
        </w:rPr>
        <w:t xml:space="preserve"> Alegó también que los hechos se enmarcan en un contexto de </w:t>
      </w:r>
      <w:r w:rsidR="00022C79" w:rsidRPr="00365DC7">
        <w:rPr>
          <w:rFonts w:ascii="Cambria" w:hAnsi="Cambria"/>
          <w:color w:val="000000" w:themeColor="text1"/>
          <w:sz w:val="20"/>
          <w:szCs w:val="20"/>
          <w:lang w:val="es-VE"/>
        </w:rPr>
        <w:t xml:space="preserve">falta de </w:t>
      </w:r>
      <w:r w:rsidR="006952F1" w:rsidRPr="00365DC7">
        <w:rPr>
          <w:rFonts w:ascii="Cambria" w:hAnsi="Cambria"/>
          <w:color w:val="000000" w:themeColor="text1"/>
          <w:sz w:val="20"/>
          <w:szCs w:val="20"/>
          <w:lang w:val="es-VE"/>
        </w:rPr>
        <w:t>regulación en materia de salud que resulta incompatible con la Convención Americana.</w:t>
      </w:r>
    </w:p>
    <w:p w:rsidR="005C4CA5" w:rsidRPr="00365DC7" w:rsidRDefault="005C4CA5" w:rsidP="005C4C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1B344F" w:rsidRPr="00D93D2D" w:rsidRDefault="00374DD1"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365DC7">
        <w:rPr>
          <w:rFonts w:ascii="Cambria" w:hAnsi="Cambria"/>
          <w:color w:val="000000" w:themeColor="text1"/>
          <w:sz w:val="20"/>
          <w:szCs w:val="20"/>
          <w:lang w:val="es-VE"/>
        </w:rPr>
        <w:t xml:space="preserve">El Estado alegó </w:t>
      </w:r>
      <w:r w:rsidR="00E02AD0" w:rsidRPr="00365DC7">
        <w:rPr>
          <w:rFonts w:ascii="Cambria" w:hAnsi="Cambria"/>
          <w:color w:val="000000" w:themeColor="text1"/>
          <w:sz w:val="20"/>
          <w:szCs w:val="20"/>
          <w:lang w:val="es-VE"/>
        </w:rPr>
        <w:t>que no es responsable de</w:t>
      </w:r>
      <w:r w:rsidR="00E02AD0" w:rsidRPr="00D93D2D">
        <w:rPr>
          <w:rFonts w:ascii="Cambria" w:hAnsi="Cambria"/>
          <w:color w:val="000000" w:themeColor="text1"/>
          <w:sz w:val="20"/>
          <w:szCs w:val="20"/>
          <w:lang w:val="es-VE"/>
        </w:rPr>
        <w:t xml:space="preserve"> las mencionadas vulneraciones </w:t>
      </w:r>
      <w:r w:rsidR="00E435DD" w:rsidRPr="00D93D2D">
        <w:rPr>
          <w:rFonts w:ascii="Cambria" w:hAnsi="Cambria"/>
          <w:color w:val="000000" w:themeColor="text1"/>
          <w:sz w:val="20"/>
          <w:szCs w:val="20"/>
          <w:lang w:val="es-VE"/>
        </w:rPr>
        <w:t>dado que las afec</w:t>
      </w:r>
      <w:r w:rsidR="00D93D2D">
        <w:rPr>
          <w:rFonts w:ascii="Cambria" w:hAnsi="Cambria"/>
          <w:color w:val="000000" w:themeColor="text1"/>
          <w:sz w:val="20"/>
          <w:szCs w:val="20"/>
          <w:lang w:val="es-VE"/>
        </w:rPr>
        <w:t xml:space="preserve">taciones a </w:t>
      </w:r>
      <w:r w:rsidR="00022C79">
        <w:rPr>
          <w:rFonts w:ascii="Cambria" w:hAnsi="Cambria"/>
          <w:color w:val="000000" w:themeColor="text1"/>
          <w:sz w:val="20"/>
          <w:szCs w:val="20"/>
          <w:lang w:val="es-VE"/>
        </w:rPr>
        <w:t>la</w:t>
      </w:r>
      <w:r w:rsidR="00D93D2D">
        <w:rPr>
          <w:rFonts w:ascii="Cambria" w:hAnsi="Cambria"/>
          <w:color w:val="000000" w:themeColor="text1"/>
          <w:sz w:val="20"/>
          <w:szCs w:val="20"/>
          <w:lang w:val="es-VE"/>
        </w:rPr>
        <w:t xml:space="preserve"> vida e integridad</w:t>
      </w:r>
      <w:r w:rsidR="00022C79">
        <w:rPr>
          <w:rFonts w:ascii="Cambria" w:hAnsi="Cambria"/>
          <w:color w:val="000000" w:themeColor="text1"/>
          <w:sz w:val="20"/>
          <w:szCs w:val="20"/>
          <w:lang w:val="es-VE"/>
        </w:rPr>
        <w:t xml:space="preserve"> de la presunta víctima</w:t>
      </w:r>
      <w:r w:rsidR="00D93D2D">
        <w:rPr>
          <w:rFonts w:ascii="Cambria" w:hAnsi="Cambria"/>
          <w:color w:val="000000" w:themeColor="text1"/>
          <w:sz w:val="20"/>
          <w:szCs w:val="20"/>
          <w:lang w:val="es-VE"/>
        </w:rPr>
        <w:t xml:space="preserve"> </w:t>
      </w:r>
      <w:r w:rsidR="00471529">
        <w:rPr>
          <w:rFonts w:ascii="Cambria" w:hAnsi="Cambria"/>
          <w:color w:val="000000" w:themeColor="text1"/>
          <w:sz w:val="20"/>
          <w:szCs w:val="20"/>
          <w:lang w:val="es-VE"/>
        </w:rPr>
        <w:t>s</w:t>
      </w:r>
      <w:r w:rsidR="00471529" w:rsidRPr="00D93D2D">
        <w:rPr>
          <w:rFonts w:ascii="Cambria" w:hAnsi="Cambria"/>
          <w:color w:val="000000" w:themeColor="text1"/>
          <w:sz w:val="20"/>
          <w:szCs w:val="20"/>
          <w:lang w:val="es-VE"/>
        </w:rPr>
        <w:t>on</w:t>
      </w:r>
      <w:r w:rsidR="00E435DD" w:rsidRPr="00D93D2D">
        <w:rPr>
          <w:rFonts w:ascii="Cambria" w:hAnsi="Cambria"/>
          <w:color w:val="000000" w:themeColor="text1"/>
          <w:sz w:val="20"/>
          <w:szCs w:val="20"/>
          <w:lang w:val="es-VE"/>
        </w:rPr>
        <w:t xml:space="preserve"> causadas por </w:t>
      </w:r>
      <w:r w:rsidR="00022C79">
        <w:rPr>
          <w:rFonts w:ascii="Cambria" w:hAnsi="Cambria"/>
          <w:color w:val="000000" w:themeColor="text1"/>
          <w:sz w:val="20"/>
          <w:szCs w:val="20"/>
          <w:lang w:val="es-VE"/>
        </w:rPr>
        <w:t>su</w:t>
      </w:r>
      <w:r w:rsidR="00E435DD" w:rsidRPr="00D93D2D">
        <w:rPr>
          <w:rFonts w:ascii="Cambria" w:hAnsi="Cambria"/>
          <w:color w:val="000000" w:themeColor="text1"/>
          <w:sz w:val="20"/>
          <w:szCs w:val="20"/>
          <w:lang w:val="es-VE"/>
        </w:rPr>
        <w:t xml:space="preserve"> enfermedad degenerat</w:t>
      </w:r>
      <w:r w:rsidR="001B344F" w:rsidRPr="00D93D2D">
        <w:rPr>
          <w:rFonts w:ascii="Cambria" w:hAnsi="Cambria"/>
          <w:color w:val="000000" w:themeColor="text1"/>
          <w:sz w:val="20"/>
          <w:szCs w:val="20"/>
          <w:lang w:val="es-VE"/>
        </w:rPr>
        <w:t xml:space="preserve">iva y no por un agente estatal. </w:t>
      </w:r>
      <w:r w:rsidR="00022C79">
        <w:rPr>
          <w:rFonts w:ascii="Cambria" w:hAnsi="Cambria"/>
          <w:color w:val="000000" w:themeColor="text1"/>
          <w:sz w:val="20"/>
          <w:szCs w:val="20"/>
          <w:lang w:val="es-VE"/>
        </w:rPr>
        <w:t>I</w:t>
      </w:r>
      <w:r w:rsidR="001B344F" w:rsidRPr="00D93D2D">
        <w:rPr>
          <w:rFonts w:ascii="Cambria" w:hAnsi="Cambria"/>
          <w:color w:val="000000" w:themeColor="text1"/>
          <w:sz w:val="20"/>
          <w:szCs w:val="20"/>
          <w:lang w:val="es-VE"/>
        </w:rPr>
        <w:t>ndicó que</w:t>
      </w:r>
      <w:r w:rsidR="00022C79">
        <w:rPr>
          <w:rFonts w:ascii="Cambria" w:hAnsi="Cambria"/>
          <w:color w:val="000000" w:themeColor="text1"/>
          <w:sz w:val="20"/>
          <w:szCs w:val="20"/>
          <w:lang w:val="es-VE"/>
        </w:rPr>
        <w:t xml:space="preserve"> las</w:t>
      </w:r>
      <w:r w:rsidR="001B344F" w:rsidRPr="00D93D2D">
        <w:rPr>
          <w:rFonts w:ascii="Cambria" w:hAnsi="Cambria"/>
          <w:color w:val="000000" w:themeColor="text1"/>
          <w:sz w:val="20"/>
          <w:szCs w:val="20"/>
          <w:lang w:val="es-VE"/>
        </w:rPr>
        <w:t xml:space="preserve"> </w:t>
      </w:r>
      <w:r w:rsidR="00FA3237">
        <w:rPr>
          <w:rFonts w:ascii="Cambria" w:hAnsi="Cambria"/>
          <w:color w:val="000000" w:themeColor="text1"/>
          <w:sz w:val="20"/>
          <w:szCs w:val="20"/>
          <w:lang w:val="es-VE"/>
        </w:rPr>
        <w:t>aseguradoras</w:t>
      </w:r>
      <w:r w:rsidR="001B344F" w:rsidRPr="00D93D2D">
        <w:rPr>
          <w:rFonts w:ascii="Cambria" w:hAnsi="Cambria"/>
          <w:color w:val="000000" w:themeColor="text1"/>
          <w:sz w:val="20"/>
          <w:szCs w:val="20"/>
          <w:lang w:val="es-VE"/>
        </w:rPr>
        <w:t xml:space="preserve"> de salud son reguladas y supervisadas por el Estado de modo tal que</w:t>
      </w:r>
      <w:r w:rsidR="00D93D2D">
        <w:rPr>
          <w:rFonts w:ascii="Cambria" w:hAnsi="Cambria"/>
          <w:color w:val="000000" w:themeColor="text1"/>
          <w:sz w:val="20"/>
          <w:szCs w:val="20"/>
          <w:lang w:val="es-VE"/>
        </w:rPr>
        <w:t xml:space="preserve"> sí</w:t>
      </w:r>
      <w:r w:rsidR="001B344F" w:rsidRPr="00D93D2D">
        <w:rPr>
          <w:rFonts w:ascii="Cambria" w:hAnsi="Cambria"/>
          <w:color w:val="000000" w:themeColor="text1"/>
          <w:sz w:val="20"/>
          <w:szCs w:val="20"/>
          <w:lang w:val="es-VE"/>
        </w:rPr>
        <w:t xml:space="preserve"> ha garantizado el acceso de la niña Martina al tratamiento correspondiente. </w:t>
      </w:r>
      <w:r w:rsidR="005D0975" w:rsidRPr="00D93D2D">
        <w:rPr>
          <w:rFonts w:ascii="Cambria" w:hAnsi="Cambria"/>
          <w:color w:val="000000" w:themeColor="text1"/>
          <w:sz w:val="20"/>
          <w:szCs w:val="20"/>
          <w:lang w:val="es-VE"/>
        </w:rPr>
        <w:t xml:space="preserve">Aseguró que pese a la sentencia negativa emanada de la CSJ, la Superintendencia de Salud, ordenó a la </w:t>
      </w:r>
      <w:r w:rsidR="00FA3237">
        <w:rPr>
          <w:rFonts w:ascii="Cambria" w:hAnsi="Cambria"/>
          <w:color w:val="000000" w:themeColor="text1"/>
          <w:sz w:val="20"/>
          <w:szCs w:val="20"/>
          <w:lang w:val="es-VE"/>
        </w:rPr>
        <w:t>aseguradora</w:t>
      </w:r>
      <w:r w:rsidR="005D0975" w:rsidRPr="00D93D2D">
        <w:rPr>
          <w:rFonts w:ascii="Cambria" w:hAnsi="Cambria"/>
          <w:color w:val="000000" w:themeColor="text1"/>
          <w:sz w:val="20"/>
          <w:szCs w:val="20"/>
          <w:lang w:val="es-VE"/>
        </w:rPr>
        <w:t xml:space="preserve"> de salud que mantenga </w:t>
      </w:r>
      <w:r w:rsidR="00D93D2D" w:rsidRPr="00D93D2D">
        <w:rPr>
          <w:rFonts w:ascii="Cambria" w:hAnsi="Cambria"/>
          <w:color w:val="000000" w:themeColor="text1"/>
          <w:sz w:val="20"/>
          <w:szCs w:val="20"/>
          <w:lang w:val="es-VE"/>
        </w:rPr>
        <w:t>la “hospitalización domiciliaria”, por lo que se salvaguardó la vida,</w:t>
      </w:r>
      <w:r w:rsidR="00D93D2D">
        <w:rPr>
          <w:rFonts w:ascii="Cambria" w:hAnsi="Cambria"/>
          <w:color w:val="000000" w:themeColor="text1"/>
          <w:sz w:val="20"/>
          <w:szCs w:val="20"/>
          <w:lang w:val="es-VE"/>
        </w:rPr>
        <w:t xml:space="preserve"> integridad y</w:t>
      </w:r>
      <w:r w:rsidR="00D93D2D" w:rsidRPr="00D93D2D">
        <w:rPr>
          <w:rFonts w:ascii="Cambria" w:hAnsi="Cambria"/>
          <w:color w:val="000000" w:themeColor="text1"/>
          <w:sz w:val="20"/>
          <w:szCs w:val="20"/>
          <w:lang w:val="es-VE"/>
        </w:rPr>
        <w:t xml:space="preserve"> salud</w:t>
      </w:r>
      <w:r w:rsidR="00D93D2D">
        <w:rPr>
          <w:rFonts w:ascii="Cambria" w:hAnsi="Cambria"/>
          <w:color w:val="000000" w:themeColor="text1"/>
          <w:sz w:val="20"/>
          <w:szCs w:val="20"/>
          <w:lang w:val="es-VE"/>
        </w:rPr>
        <w:t xml:space="preserve"> en su calidad de garante especial de los derechos de la niñez</w:t>
      </w:r>
      <w:r w:rsidR="00D93D2D" w:rsidRPr="00D93D2D">
        <w:rPr>
          <w:rFonts w:ascii="Cambria" w:hAnsi="Cambria"/>
          <w:color w:val="000000" w:themeColor="text1"/>
          <w:sz w:val="20"/>
          <w:szCs w:val="20"/>
          <w:lang w:val="es-VE"/>
        </w:rPr>
        <w:t xml:space="preserve">; garantizando </w:t>
      </w:r>
      <w:r w:rsidR="00D93D2D">
        <w:rPr>
          <w:rFonts w:ascii="Cambria" w:hAnsi="Cambria"/>
          <w:color w:val="000000" w:themeColor="text1"/>
          <w:sz w:val="20"/>
          <w:szCs w:val="20"/>
          <w:lang w:val="es-VE"/>
        </w:rPr>
        <w:t>también</w:t>
      </w:r>
      <w:r w:rsidR="00022C79">
        <w:rPr>
          <w:rFonts w:ascii="Cambria" w:hAnsi="Cambria"/>
          <w:color w:val="000000" w:themeColor="text1"/>
          <w:sz w:val="20"/>
          <w:szCs w:val="20"/>
          <w:lang w:val="es-VE"/>
        </w:rPr>
        <w:t xml:space="preserve"> el derecho a </w:t>
      </w:r>
      <w:r w:rsidR="00D93D2D" w:rsidRPr="00D93D2D">
        <w:rPr>
          <w:rFonts w:ascii="Cambria" w:hAnsi="Cambria"/>
          <w:color w:val="000000" w:themeColor="text1"/>
          <w:sz w:val="20"/>
          <w:szCs w:val="20"/>
          <w:lang w:val="es-VE"/>
        </w:rPr>
        <w:t>la protección judicial</w:t>
      </w:r>
      <w:r w:rsidR="00D93D2D">
        <w:rPr>
          <w:rFonts w:ascii="Cambria" w:hAnsi="Cambria"/>
          <w:color w:val="000000" w:themeColor="text1"/>
          <w:sz w:val="20"/>
          <w:szCs w:val="20"/>
          <w:lang w:val="es-VE"/>
        </w:rPr>
        <w:t>.</w:t>
      </w:r>
    </w:p>
    <w:p w:rsidR="005C4CA5" w:rsidRDefault="005C4CA5" w:rsidP="005C4CA5">
      <w:pPr>
        <w:pStyle w:val="ListParagraph"/>
        <w:rPr>
          <w:color w:val="000000" w:themeColor="text1"/>
          <w:sz w:val="20"/>
          <w:szCs w:val="20"/>
          <w:lang w:val="es-VE"/>
        </w:rPr>
      </w:pPr>
    </w:p>
    <w:p w:rsidR="007C756A" w:rsidRDefault="005C4CA5"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0D39BB">
        <w:rPr>
          <w:rFonts w:ascii="Cambria" w:hAnsi="Cambria"/>
          <w:color w:val="000000" w:themeColor="text1"/>
          <w:sz w:val="20"/>
          <w:szCs w:val="20"/>
          <w:lang w:val="es-VE"/>
        </w:rPr>
        <w:t>Con base en las determinaciones de hecho y de derecho, la Comisión Interamericana concluyó que</w:t>
      </w:r>
      <w:r w:rsidR="00A814FA" w:rsidRPr="000D39BB">
        <w:rPr>
          <w:rFonts w:ascii="Cambria" w:hAnsi="Cambria"/>
          <w:color w:val="000000" w:themeColor="text1"/>
          <w:sz w:val="20"/>
          <w:szCs w:val="20"/>
          <w:lang w:val="es-VE"/>
        </w:rPr>
        <w:t xml:space="preserve"> </w:t>
      </w:r>
      <w:r w:rsidRPr="000D39BB">
        <w:rPr>
          <w:rFonts w:ascii="Cambria" w:hAnsi="Cambria"/>
          <w:color w:val="000000" w:themeColor="text1"/>
          <w:sz w:val="20"/>
          <w:szCs w:val="20"/>
          <w:lang w:val="es-VE"/>
        </w:rPr>
        <w:t xml:space="preserve">el Estado es responsable por </w:t>
      </w:r>
      <w:r w:rsidR="00686E68" w:rsidRPr="000D39BB">
        <w:rPr>
          <w:rFonts w:ascii="Cambria" w:hAnsi="Cambria"/>
          <w:color w:val="000000" w:themeColor="text1"/>
          <w:sz w:val="20"/>
          <w:szCs w:val="20"/>
          <w:lang w:val="es-VE"/>
        </w:rPr>
        <w:t>la violación de los artículos 4.1</w:t>
      </w:r>
      <w:r w:rsidRPr="000D39BB">
        <w:rPr>
          <w:rFonts w:ascii="Cambria" w:hAnsi="Cambria"/>
          <w:color w:val="000000" w:themeColor="text1"/>
          <w:sz w:val="20"/>
          <w:szCs w:val="20"/>
          <w:lang w:val="es-VE"/>
        </w:rPr>
        <w:t xml:space="preserve"> (</w:t>
      </w:r>
      <w:r w:rsidR="00686E68" w:rsidRPr="000D39BB">
        <w:rPr>
          <w:rFonts w:ascii="Cambria" w:hAnsi="Cambria"/>
          <w:color w:val="000000" w:themeColor="text1"/>
          <w:sz w:val="20"/>
          <w:szCs w:val="20"/>
          <w:lang w:val="es-VE"/>
        </w:rPr>
        <w:t>derecho a la vida), 5.1 (derecho a la integridad), 19 (derechos de los niños), 26 (derecho</w:t>
      </w:r>
      <w:r w:rsidR="00B665D2">
        <w:rPr>
          <w:rFonts w:ascii="Cambria" w:hAnsi="Cambria"/>
          <w:color w:val="000000" w:themeColor="text1"/>
          <w:sz w:val="20"/>
          <w:szCs w:val="20"/>
          <w:lang w:val="es-VE"/>
        </w:rPr>
        <w:t>s</w:t>
      </w:r>
      <w:r w:rsidR="00686E68" w:rsidRPr="000D39BB">
        <w:rPr>
          <w:rFonts w:ascii="Cambria" w:hAnsi="Cambria"/>
          <w:color w:val="000000" w:themeColor="text1"/>
          <w:sz w:val="20"/>
          <w:szCs w:val="20"/>
          <w:lang w:val="es-VE"/>
        </w:rPr>
        <w:t xml:space="preserve"> </w:t>
      </w:r>
      <w:r w:rsidR="00B665D2">
        <w:rPr>
          <w:rFonts w:ascii="Cambria" w:hAnsi="Cambria"/>
          <w:color w:val="000000" w:themeColor="text1"/>
          <w:sz w:val="20"/>
          <w:szCs w:val="20"/>
          <w:lang w:val="es-VE"/>
        </w:rPr>
        <w:t>económicos, sociales y culturales</w:t>
      </w:r>
      <w:r w:rsidR="00686E68" w:rsidRPr="000D39BB">
        <w:rPr>
          <w:rFonts w:ascii="Cambria" w:hAnsi="Cambria"/>
          <w:color w:val="000000" w:themeColor="text1"/>
          <w:sz w:val="20"/>
          <w:szCs w:val="20"/>
          <w:lang w:val="es-VE"/>
        </w:rPr>
        <w:t xml:space="preserve">); y 8.1 y 25.1. (garantías judiciales y protección judicial); </w:t>
      </w:r>
      <w:r w:rsidRPr="000D39BB">
        <w:rPr>
          <w:rFonts w:ascii="Cambria" w:hAnsi="Cambria"/>
          <w:color w:val="000000" w:themeColor="text1"/>
          <w:sz w:val="20"/>
          <w:szCs w:val="20"/>
          <w:lang w:val="es-VE"/>
        </w:rPr>
        <w:t>de la Convención Americana sobre Derechos Humanos (en adelante  “la Convención Americana”</w:t>
      </w:r>
      <w:r w:rsidR="008217E6" w:rsidRPr="000D39BB">
        <w:rPr>
          <w:rFonts w:ascii="Cambria" w:hAnsi="Cambria"/>
          <w:color w:val="000000" w:themeColor="text1"/>
          <w:sz w:val="20"/>
          <w:szCs w:val="20"/>
          <w:lang w:val="es-VE"/>
        </w:rPr>
        <w:t xml:space="preserve"> </w:t>
      </w:r>
      <w:r w:rsidRPr="000D39BB">
        <w:rPr>
          <w:rFonts w:ascii="Cambria" w:hAnsi="Cambria"/>
          <w:color w:val="000000" w:themeColor="text1"/>
          <w:sz w:val="20"/>
          <w:szCs w:val="20"/>
          <w:lang w:val="es-VE"/>
        </w:rPr>
        <w:t xml:space="preserve">o “la </w:t>
      </w:r>
      <w:r w:rsidRPr="000D39BB">
        <w:rPr>
          <w:rFonts w:ascii="Cambria" w:hAnsi="Cambria"/>
          <w:sz w:val="20"/>
          <w:szCs w:val="20"/>
          <w:lang w:val="es-VE"/>
        </w:rPr>
        <w:t xml:space="preserve">Convención”), en relación con las </w:t>
      </w:r>
      <w:r w:rsidR="00686E68" w:rsidRPr="000D39BB">
        <w:rPr>
          <w:rFonts w:ascii="Cambria" w:hAnsi="Cambria"/>
          <w:sz w:val="20"/>
          <w:szCs w:val="20"/>
          <w:lang w:val="es-VE"/>
        </w:rPr>
        <w:t xml:space="preserve">obligaciones establecidas en </w:t>
      </w:r>
      <w:r w:rsidRPr="000D39BB">
        <w:rPr>
          <w:rFonts w:ascii="Cambria" w:hAnsi="Cambria"/>
          <w:sz w:val="20"/>
          <w:szCs w:val="20"/>
          <w:lang w:val="es-VE"/>
        </w:rPr>
        <w:t>los artícul</w:t>
      </w:r>
      <w:r w:rsidR="00686E68" w:rsidRPr="000D39BB">
        <w:rPr>
          <w:rFonts w:ascii="Cambria" w:hAnsi="Cambria"/>
          <w:sz w:val="20"/>
          <w:szCs w:val="20"/>
          <w:lang w:val="es-VE"/>
        </w:rPr>
        <w:t>os</w:t>
      </w:r>
      <w:r w:rsidRPr="000D39BB">
        <w:rPr>
          <w:rFonts w:ascii="Cambria" w:hAnsi="Cambria"/>
          <w:sz w:val="20"/>
          <w:szCs w:val="20"/>
          <w:lang w:val="es-VE"/>
        </w:rPr>
        <w:t xml:space="preserve"> </w:t>
      </w:r>
      <w:r w:rsidR="00686E68" w:rsidRPr="000D39BB">
        <w:rPr>
          <w:rFonts w:ascii="Cambria" w:hAnsi="Cambria"/>
          <w:sz w:val="20"/>
          <w:szCs w:val="20"/>
          <w:lang w:val="es-VE"/>
        </w:rPr>
        <w:t xml:space="preserve">1.1 y </w:t>
      </w:r>
      <w:r w:rsidRPr="000D39BB">
        <w:rPr>
          <w:rFonts w:ascii="Cambria" w:hAnsi="Cambria"/>
          <w:sz w:val="20"/>
          <w:szCs w:val="20"/>
          <w:lang w:val="es-VE"/>
        </w:rPr>
        <w:t xml:space="preserve">2 del mismo instrumento. La Comisión formuló las recomendaciones respectivas. </w:t>
      </w:r>
    </w:p>
    <w:p w:rsidR="00680ED2" w:rsidRDefault="00680ED2" w:rsidP="00680ED2">
      <w:pPr>
        <w:pStyle w:val="ListParagraph"/>
        <w:rPr>
          <w:sz w:val="20"/>
          <w:szCs w:val="20"/>
          <w:lang w:val="es-VE"/>
        </w:rPr>
      </w:pPr>
    </w:p>
    <w:p w:rsidR="00D12193" w:rsidRPr="00E909AA" w:rsidRDefault="00D12193" w:rsidP="00C505E4">
      <w:pPr>
        <w:pStyle w:val="Heading1"/>
        <w:rPr>
          <w:lang w:val="es-ES_tradnl"/>
        </w:rPr>
      </w:pPr>
      <w:bookmarkStart w:id="3" w:name="_Toc531880113"/>
      <w:r w:rsidRPr="00E909AA">
        <w:rPr>
          <w:lang w:val="es-ES_tradnl"/>
        </w:rPr>
        <w:t>ALEGATOS DE LAS PARTES</w:t>
      </w:r>
      <w:bookmarkEnd w:id="3"/>
    </w:p>
    <w:p w:rsidR="00D83D73" w:rsidRDefault="00D83D73" w:rsidP="00D83D73">
      <w:pPr>
        <w:pStyle w:val="ListParagraph"/>
        <w:suppressAutoHyphens/>
        <w:ind w:left="1440"/>
        <w:rPr>
          <w:rFonts w:asciiTheme="majorHAnsi" w:hAnsiTheme="majorHAnsi"/>
          <w:b/>
          <w:sz w:val="20"/>
          <w:szCs w:val="20"/>
          <w:lang w:val="es-ES_tradnl"/>
        </w:rPr>
      </w:pPr>
    </w:p>
    <w:p w:rsidR="00D12193" w:rsidRPr="00C87FF4" w:rsidRDefault="00C87FF4" w:rsidP="00F5400E">
      <w:pPr>
        <w:pStyle w:val="Heading1"/>
        <w:numPr>
          <w:ilvl w:val="0"/>
          <w:numId w:val="57"/>
        </w:numPr>
        <w:rPr>
          <w:lang w:val="es-ES_tradnl"/>
        </w:rPr>
      </w:pPr>
      <w:bookmarkStart w:id="4" w:name="_Toc531880114"/>
      <w:r>
        <w:rPr>
          <w:lang w:val="es-ES_tradnl"/>
        </w:rPr>
        <w:t>Parte peticionaria</w:t>
      </w:r>
      <w:bookmarkEnd w:id="4"/>
    </w:p>
    <w:p w:rsidR="00361415" w:rsidRDefault="00361415" w:rsidP="00361415">
      <w:pPr>
        <w:suppressAutoHyphens/>
        <w:rPr>
          <w:rFonts w:asciiTheme="majorHAnsi" w:hAnsiTheme="majorHAnsi"/>
          <w:sz w:val="20"/>
          <w:szCs w:val="20"/>
          <w:lang w:val="es-ES_tradnl"/>
        </w:rPr>
      </w:pPr>
    </w:p>
    <w:p w:rsidR="00FD5F26" w:rsidRDefault="007A627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 xml:space="preserve">Indicó que </w:t>
      </w:r>
      <w:r w:rsidR="00471529" w:rsidRPr="00FD5F26">
        <w:rPr>
          <w:rFonts w:ascii="Cambria" w:hAnsi="Cambria"/>
          <w:color w:val="000000" w:themeColor="text1"/>
          <w:sz w:val="20"/>
          <w:szCs w:val="20"/>
          <w:lang w:val="es-ES"/>
        </w:rPr>
        <w:t xml:space="preserve">Martina Rebecca Vera Rojas </w:t>
      </w:r>
      <w:r w:rsidR="002E7679" w:rsidRPr="00FD5F26">
        <w:rPr>
          <w:rFonts w:ascii="Cambria" w:hAnsi="Cambria"/>
          <w:color w:val="000000" w:themeColor="text1"/>
          <w:sz w:val="20"/>
          <w:szCs w:val="20"/>
          <w:lang w:val="es-ES"/>
        </w:rPr>
        <w:t>fue diagnosticada con el síndrome de Leigh</w:t>
      </w:r>
      <w:r w:rsidR="00D36B5A">
        <w:rPr>
          <w:rFonts w:ascii="Cambria" w:hAnsi="Cambria"/>
          <w:color w:val="000000" w:themeColor="text1"/>
          <w:sz w:val="20"/>
          <w:szCs w:val="20"/>
          <w:lang w:val="es-ES"/>
        </w:rPr>
        <w:t xml:space="preserve"> en</w:t>
      </w:r>
      <w:r w:rsidR="002E7679" w:rsidRPr="00FD5F26">
        <w:rPr>
          <w:rFonts w:ascii="Cambria" w:hAnsi="Cambria"/>
          <w:color w:val="000000" w:themeColor="text1"/>
          <w:sz w:val="20"/>
          <w:szCs w:val="20"/>
          <w:lang w:val="es-ES"/>
        </w:rPr>
        <w:t xml:space="preserve"> el año 2007</w:t>
      </w:r>
      <w:r w:rsidR="00D36B5A">
        <w:rPr>
          <w:rFonts w:ascii="Cambria" w:hAnsi="Cambria"/>
          <w:color w:val="000000" w:themeColor="text1"/>
          <w:sz w:val="20"/>
          <w:szCs w:val="20"/>
          <w:lang w:val="es-ES"/>
        </w:rPr>
        <w:t>,</w:t>
      </w:r>
      <w:r w:rsidR="002E7679" w:rsidRPr="00FD5F26">
        <w:rPr>
          <w:rFonts w:ascii="Cambria" w:hAnsi="Cambria"/>
          <w:color w:val="000000" w:themeColor="text1"/>
          <w:sz w:val="20"/>
          <w:szCs w:val="20"/>
          <w:lang w:val="es-ES"/>
        </w:rPr>
        <w:t xml:space="preserve"> </w:t>
      </w:r>
      <w:r w:rsidR="008D0E16">
        <w:rPr>
          <w:rFonts w:ascii="Cambria" w:hAnsi="Cambria"/>
          <w:color w:val="000000" w:themeColor="text1"/>
          <w:sz w:val="20"/>
          <w:szCs w:val="20"/>
          <w:lang w:val="es-ES"/>
        </w:rPr>
        <w:t>a los</w:t>
      </w:r>
      <w:r w:rsidR="002E7679" w:rsidRPr="00FD5F26">
        <w:rPr>
          <w:rFonts w:ascii="Cambria" w:hAnsi="Cambria"/>
          <w:color w:val="000000" w:themeColor="text1"/>
          <w:sz w:val="20"/>
          <w:szCs w:val="20"/>
          <w:lang w:val="es-ES"/>
        </w:rPr>
        <w:t xml:space="preserve"> ocho meses de vida. </w:t>
      </w:r>
      <w:r w:rsidR="00D36B5A">
        <w:rPr>
          <w:rFonts w:ascii="Cambria" w:hAnsi="Cambria"/>
          <w:color w:val="000000" w:themeColor="text1"/>
          <w:sz w:val="20"/>
          <w:szCs w:val="20"/>
          <w:lang w:val="es-ES"/>
        </w:rPr>
        <w:t xml:space="preserve">Narró que para ese momento </w:t>
      </w:r>
      <w:r w:rsidR="00B81612" w:rsidRPr="00FD5F26">
        <w:rPr>
          <w:rFonts w:ascii="Cambria" w:hAnsi="Cambria"/>
          <w:color w:val="000000" w:themeColor="text1"/>
          <w:sz w:val="20"/>
          <w:szCs w:val="20"/>
          <w:lang w:val="es-ES"/>
        </w:rPr>
        <w:t>la familia se encontraba bajo la cobe</w:t>
      </w:r>
      <w:r w:rsidR="0009798E">
        <w:rPr>
          <w:rFonts w:ascii="Cambria" w:hAnsi="Cambria"/>
          <w:color w:val="000000" w:themeColor="text1"/>
          <w:sz w:val="20"/>
          <w:szCs w:val="20"/>
          <w:lang w:val="es-ES"/>
        </w:rPr>
        <w:t xml:space="preserve">rtura de un </w:t>
      </w:r>
      <w:r w:rsidR="00FA3237">
        <w:rPr>
          <w:rFonts w:ascii="Cambria" w:hAnsi="Cambria"/>
          <w:color w:val="000000" w:themeColor="text1"/>
          <w:sz w:val="20"/>
          <w:szCs w:val="20"/>
          <w:lang w:val="es-ES"/>
        </w:rPr>
        <w:t>seguro</w:t>
      </w:r>
      <w:r w:rsidR="0009798E">
        <w:rPr>
          <w:rFonts w:ascii="Cambria" w:hAnsi="Cambria"/>
          <w:color w:val="000000" w:themeColor="text1"/>
          <w:sz w:val="20"/>
          <w:szCs w:val="20"/>
          <w:lang w:val="es-ES"/>
        </w:rPr>
        <w:t xml:space="preserve"> de salud contratado </w:t>
      </w:r>
      <w:r w:rsidR="00D36B5A">
        <w:rPr>
          <w:rFonts w:ascii="Cambria" w:hAnsi="Cambria"/>
          <w:color w:val="000000" w:themeColor="text1"/>
          <w:sz w:val="20"/>
          <w:szCs w:val="20"/>
          <w:lang w:val="es-ES"/>
        </w:rPr>
        <w:t xml:space="preserve">con </w:t>
      </w:r>
      <w:r w:rsidR="00FA3237">
        <w:rPr>
          <w:rFonts w:ascii="Cambria" w:hAnsi="Cambria"/>
          <w:color w:val="000000" w:themeColor="text1"/>
          <w:sz w:val="20"/>
          <w:szCs w:val="20"/>
          <w:lang w:val="es-ES"/>
        </w:rPr>
        <w:t>una</w:t>
      </w:r>
      <w:r w:rsidR="0009798E">
        <w:rPr>
          <w:rFonts w:ascii="Cambria" w:hAnsi="Cambria"/>
          <w:color w:val="000000" w:themeColor="text1"/>
          <w:sz w:val="20"/>
          <w:szCs w:val="20"/>
          <w:lang w:val="es-ES"/>
        </w:rPr>
        <w:t xml:space="preserve"> </w:t>
      </w:r>
      <w:r w:rsidR="00B81612" w:rsidRPr="00FD5F26">
        <w:rPr>
          <w:rFonts w:ascii="Cambria" w:hAnsi="Cambria"/>
          <w:color w:val="000000" w:themeColor="text1"/>
          <w:sz w:val="20"/>
          <w:szCs w:val="20"/>
          <w:lang w:val="es-ES"/>
        </w:rPr>
        <w:t>Institución de Salud Previsional denominada MasVida S.A. (en adelante “la Isapre”)</w:t>
      </w:r>
      <w:r w:rsidR="00BB0035" w:rsidRPr="00FD5F26">
        <w:rPr>
          <w:rFonts w:ascii="Cambria" w:hAnsi="Cambria"/>
          <w:color w:val="000000" w:themeColor="text1"/>
          <w:sz w:val="20"/>
          <w:szCs w:val="20"/>
          <w:lang w:val="es-ES"/>
        </w:rPr>
        <w:t xml:space="preserve"> que incluía una cobertura especial para enfermedades catastróficas (en adelante “la CAEC”).  </w:t>
      </w:r>
      <w:r w:rsidR="00D36B5A">
        <w:rPr>
          <w:rFonts w:ascii="Cambria" w:hAnsi="Cambria"/>
          <w:color w:val="000000" w:themeColor="text1"/>
          <w:sz w:val="20"/>
          <w:szCs w:val="20"/>
          <w:lang w:val="es-ES"/>
        </w:rPr>
        <w:t>Señaló que a</w:t>
      </w:r>
      <w:r w:rsidR="00BB0035" w:rsidRPr="00FD5F26">
        <w:rPr>
          <w:rFonts w:ascii="Cambria" w:hAnsi="Cambria"/>
          <w:color w:val="000000" w:themeColor="text1"/>
          <w:sz w:val="20"/>
          <w:szCs w:val="20"/>
          <w:lang w:val="es-ES"/>
        </w:rPr>
        <w:t>ctiva</w:t>
      </w:r>
      <w:r w:rsidR="00850A2B">
        <w:rPr>
          <w:rFonts w:ascii="Cambria" w:hAnsi="Cambria"/>
          <w:color w:val="000000" w:themeColor="text1"/>
          <w:sz w:val="20"/>
          <w:szCs w:val="20"/>
          <w:lang w:val="es-ES"/>
        </w:rPr>
        <w:t>da</w:t>
      </w:r>
      <w:r w:rsidR="00BB0035" w:rsidRPr="00FD5F26">
        <w:rPr>
          <w:rFonts w:ascii="Cambria" w:hAnsi="Cambria"/>
          <w:color w:val="000000" w:themeColor="text1"/>
          <w:sz w:val="20"/>
          <w:szCs w:val="20"/>
          <w:lang w:val="es-ES"/>
        </w:rPr>
        <w:t xml:space="preserve"> la CAEC, la presunta víctima comenzó a </w:t>
      </w:r>
      <w:r w:rsidR="00156A7F">
        <w:rPr>
          <w:rFonts w:ascii="Cambria" w:hAnsi="Cambria"/>
          <w:color w:val="000000" w:themeColor="text1"/>
          <w:sz w:val="20"/>
          <w:szCs w:val="20"/>
          <w:lang w:val="es-ES"/>
        </w:rPr>
        <w:t xml:space="preserve">contar con </w:t>
      </w:r>
      <w:r w:rsidR="00BB0035" w:rsidRPr="00FD5F26">
        <w:rPr>
          <w:rFonts w:ascii="Cambria" w:hAnsi="Cambria"/>
          <w:color w:val="000000" w:themeColor="text1"/>
          <w:sz w:val="20"/>
          <w:szCs w:val="20"/>
          <w:lang w:val="es-ES"/>
        </w:rPr>
        <w:t xml:space="preserve">el régimen de hospitalización domiciliaria (en adelante “el </w:t>
      </w:r>
      <w:r w:rsidR="007F7BE0" w:rsidRPr="00FD5F26">
        <w:rPr>
          <w:rFonts w:ascii="Cambria" w:hAnsi="Cambria"/>
          <w:color w:val="000000" w:themeColor="text1"/>
          <w:sz w:val="20"/>
          <w:szCs w:val="20"/>
          <w:lang w:val="es-ES"/>
        </w:rPr>
        <w:t>R</w:t>
      </w:r>
      <w:r w:rsidR="00BB0035" w:rsidRPr="00FD5F26">
        <w:rPr>
          <w:rFonts w:ascii="Cambria" w:hAnsi="Cambria"/>
          <w:color w:val="000000" w:themeColor="text1"/>
          <w:sz w:val="20"/>
          <w:szCs w:val="20"/>
          <w:lang w:val="es-ES"/>
        </w:rPr>
        <w:t>HD”)</w:t>
      </w:r>
      <w:r w:rsidR="008D0E16">
        <w:rPr>
          <w:rFonts w:ascii="Cambria" w:hAnsi="Cambria"/>
          <w:color w:val="000000" w:themeColor="text1"/>
          <w:sz w:val="20"/>
          <w:szCs w:val="20"/>
          <w:lang w:val="es-ES"/>
        </w:rPr>
        <w:t xml:space="preserve"> necesario para su condición</w:t>
      </w:r>
      <w:r w:rsidR="00BB0035" w:rsidRPr="00FD5F26">
        <w:rPr>
          <w:rFonts w:ascii="Cambria" w:hAnsi="Cambria"/>
          <w:color w:val="000000" w:themeColor="text1"/>
          <w:sz w:val="20"/>
          <w:szCs w:val="20"/>
          <w:lang w:val="es-ES"/>
        </w:rPr>
        <w:t>.</w:t>
      </w:r>
      <w:r w:rsidR="00CE66BE" w:rsidRPr="00FD5F26">
        <w:rPr>
          <w:rFonts w:ascii="Cambria" w:hAnsi="Cambria"/>
          <w:color w:val="000000" w:themeColor="text1"/>
          <w:sz w:val="20"/>
          <w:szCs w:val="20"/>
          <w:lang w:val="es-ES"/>
        </w:rPr>
        <w:t xml:space="preserve"> </w:t>
      </w:r>
      <w:r w:rsidR="00156A7F">
        <w:rPr>
          <w:rFonts w:ascii="Cambria" w:hAnsi="Cambria"/>
          <w:color w:val="000000" w:themeColor="text1"/>
          <w:sz w:val="20"/>
          <w:szCs w:val="20"/>
          <w:lang w:val="es-ES"/>
        </w:rPr>
        <w:t>Agregó que el</w:t>
      </w:r>
      <w:r w:rsidR="00CE66BE" w:rsidRPr="00FD5F26">
        <w:rPr>
          <w:rFonts w:ascii="Cambria" w:hAnsi="Cambria"/>
          <w:color w:val="000000" w:themeColor="text1"/>
          <w:sz w:val="20"/>
          <w:szCs w:val="20"/>
          <w:lang w:val="es-ES"/>
        </w:rPr>
        <w:t xml:space="preserve"> 13 de octubre</w:t>
      </w:r>
      <w:r w:rsidR="007F7BE0" w:rsidRPr="00FD5F26">
        <w:rPr>
          <w:rFonts w:ascii="Cambria" w:hAnsi="Cambria"/>
          <w:color w:val="000000" w:themeColor="text1"/>
          <w:sz w:val="20"/>
          <w:szCs w:val="20"/>
          <w:lang w:val="es-ES"/>
        </w:rPr>
        <w:t xml:space="preserve"> de 2010, la Isapre, sobre la base de un instrumento normativo de carácter administrativo, </w:t>
      </w:r>
      <w:r w:rsidR="00156A7F">
        <w:rPr>
          <w:rFonts w:ascii="Cambria" w:hAnsi="Cambria"/>
          <w:color w:val="000000" w:themeColor="text1"/>
          <w:sz w:val="20"/>
          <w:szCs w:val="20"/>
          <w:lang w:val="es-ES"/>
        </w:rPr>
        <w:t xml:space="preserve">le </w:t>
      </w:r>
      <w:r w:rsidR="007F7BE0" w:rsidRPr="00FD5F26">
        <w:rPr>
          <w:rFonts w:ascii="Cambria" w:hAnsi="Cambria"/>
          <w:color w:val="000000" w:themeColor="text1"/>
          <w:sz w:val="20"/>
          <w:szCs w:val="20"/>
          <w:lang w:val="es-ES"/>
        </w:rPr>
        <w:t xml:space="preserve">retiró el RHD bajo el entendido de que la presunta víctima ya no era elegible para acceder al mismo por tratarse de una condición </w:t>
      </w:r>
      <w:r w:rsidR="00B83CBB">
        <w:rPr>
          <w:rFonts w:ascii="Cambria" w:hAnsi="Cambria"/>
          <w:color w:val="000000" w:themeColor="text1"/>
          <w:sz w:val="20"/>
          <w:szCs w:val="20"/>
          <w:lang w:val="es-ES"/>
        </w:rPr>
        <w:t xml:space="preserve">que fue recalificada como </w:t>
      </w:r>
      <w:r w:rsidR="007F7BE0" w:rsidRPr="00FD5F26">
        <w:rPr>
          <w:rFonts w:ascii="Cambria" w:hAnsi="Cambria"/>
          <w:color w:val="000000" w:themeColor="text1"/>
          <w:sz w:val="20"/>
          <w:szCs w:val="20"/>
          <w:lang w:val="es-ES"/>
        </w:rPr>
        <w:t xml:space="preserve">crónica, cuya cobertura se encontraba excluida. </w:t>
      </w:r>
    </w:p>
    <w:p w:rsidR="00FD5F26" w:rsidRDefault="00FD5F26" w:rsidP="00FD5F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ES"/>
        </w:rPr>
      </w:pPr>
    </w:p>
    <w:p w:rsidR="00FD5F26" w:rsidRDefault="00156A7F"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 xml:space="preserve">Según la parte peticionaria, el padre y la madre </w:t>
      </w:r>
      <w:r w:rsidR="00FD5F26">
        <w:rPr>
          <w:rFonts w:ascii="Cambria" w:hAnsi="Cambria"/>
          <w:color w:val="000000" w:themeColor="text1"/>
          <w:sz w:val="20"/>
          <w:szCs w:val="20"/>
          <w:lang w:val="es-ES"/>
        </w:rPr>
        <w:t xml:space="preserve">de la presunta víctima </w:t>
      </w:r>
      <w:r w:rsidR="00761B8A">
        <w:rPr>
          <w:rFonts w:ascii="Cambria" w:hAnsi="Cambria"/>
          <w:color w:val="000000" w:themeColor="text1"/>
          <w:sz w:val="20"/>
          <w:szCs w:val="20"/>
          <w:lang w:val="es-ES"/>
        </w:rPr>
        <w:t xml:space="preserve">interpusieron una acción de protección </w:t>
      </w:r>
      <w:r w:rsidR="00B632BE">
        <w:rPr>
          <w:rFonts w:ascii="Cambria" w:hAnsi="Cambria"/>
          <w:color w:val="000000" w:themeColor="text1"/>
          <w:sz w:val="20"/>
          <w:szCs w:val="20"/>
          <w:lang w:val="es-ES"/>
        </w:rPr>
        <w:t>que</w:t>
      </w:r>
      <w:r w:rsidR="005274EE">
        <w:rPr>
          <w:rFonts w:ascii="Cambria" w:hAnsi="Cambria"/>
          <w:color w:val="000000" w:themeColor="text1"/>
          <w:sz w:val="20"/>
          <w:szCs w:val="20"/>
          <w:lang w:val="es-ES"/>
        </w:rPr>
        <w:t xml:space="preserve"> llegó a la</w:t>
      </w:r>
      <w:r w:rsidR="001A107B">
        <w:rPr>
          <w:rFonts w:ascii="Cambria" w:hAnsi="Cambria"/>
          <w:color w:val="000000" w:themeColor="text1"/>
          <w:sz w:val="20"/>
          <w:szCs w:val="20"/>
          <w:lang w:val="es-ES"/>
        </w:rPr>
        <w:t xml:space="preserve"> CSJ</w:t>
      </w:r>
      <w:r>
        <w:rPr>
          <w:rFonts w:ascii="Cambria" w:hAnsi="Cambria"/>
          <w:color w:val="000000" w:themeColor="text1"/>
          <w:sz w:val="20"/>
          <w:szCs w:val="20"/>
          <w:lang w:val="es-ES"/>
        </w:rPr>
        <w:t>,</w:t>
      </w:r>
      <w:r w:rsidR="001A107B">
        <w:rPr>
          <w:rFonts w:ascii="Cambria" w:hAnsi="Cambria"/>
          <w:color w:val="000000" w:themeColor="text1"/>
          <w:sz w:val="20"/>
          <w:szCs w:val="20"/>
          <w:lang w:val="es-ES"/>
        </w:rPr>
        <w:t xml:space="preserve"> </w:t>
      </w:r>
      <w:r>
        <w:rPr>
          <w:rFonts w:ascii="Cambria" w:hAnsi="Cambria"/>
          <w:color w:val="000000" w:themeColor="text1"/>
          <w:sz w:val="20"/>
          <w:szCs w:val="20"/>
          <w:lang w:val="es-ES"/>
        </w:rPr>
        <w:t xml:space="preserve">la cual </w:t>
      </w:r>
      <w:r w:rsidR="001A107B">
        <w:rPr>
          <w:rFonts w:ascii="Cambria" w:hAnsi="Cambria"/>
          <w:color w:val="000000" w:themeColor="text1"/>
          <w:sz w:val="20"/>
          <w:szCs w:val="20"/>
          <w:lang w:val="es-ES"/>
        </w:rPr>
        <w:t>revocó la</w:t>
      </w:r>
      <w:r>
        <w:rPr>
          <w:rFonts w:ascii="Cambria" w:hAnsi="Cambria"/>
          <w:color w:val="000000" w:themeColor="text1"/>
          <w:sz w:val="20"/>
          <w:szCs w:val="20"/>
          <w:lang w:val="es-ES"/>
        </w:rPr>
        <w:t xml:space="preserve"> decisión de</w:t>
      </w:r>
      <w:r w:rsidR="001A107B">
        <w:rPr>
          <w:rFonts w:ascii="Cambria" w:hAnsi="Cambria"/>
          <w:color w:val="000000" w:themeColor="text1"/>
          <w:sz w:val="20"/>
          <w:szCs w:val="20"/>
          <w:lang w:val="es-ES"/>
        </w:rPr>
        <w:t xml:space="preserve"> primera instancia y determinó</w:t>
      </w:r>
      <w:r w:rsidR="00850A2B">
        <w:rPr>
          <w:rFonts w:ascii="Cambria" w:hAnsi="Cambria"/>
          <w:color w:val="000000" w:themeColor="text1"/>
          <w:sz w:val="20"/>
          <w:szCs w:val="20"/>
          <w:lang w:val="es-ES"/>
        </w:rPr>
        <w:t xml:space="preserve">, el 9 de mayo de 2011, </w:t>
      </w:r>
      <w:r w:rsidR="001A107B">
        <w:rPr>
          <w:rFonts w:ascii="Cambria" w:hAnsi="Cambria"/>
          <w:color w:val="000000" w:themeColor="text1"/>
          <w:sz w:val="20"/>
          <w:szCs w:val="20"/>
          <w:lang w:val="es-ES"/>
        </w:rPr>
        <w:t>que el retiro del RHD era legal</w:t>
      </w:r>
      <w:r w:rsidR="00850A2B">
        <w:rPr>
          <w:rFonts w:ascii="Cambria" w:hAnsi="Cambria"/>
          <w:color w:val="000000" w:themeColor="text1"/>
          <w:sz w:val="20"/>
          <w:szCs w:val="20"/>
          <w:lang w:val="es-ES"/>
        </w:rPr>
        <w:t xml:space="preserve">, </w:t>
      </w:r>
      <w:r w:rsidR="00DF0153">
        <w:rPr>
          <w:rFonts w:ascii="Cambria" w:hAnsi="Cambria"/>
          <w:color w:val="000000" w:themeColor="text1"/>
          <w:sz w:val="20"/>
          <w:szCs w:val="20"/>
          <w:lang w:val="es-ES"/>
        </w:rPr>
        <w:t>por lo que el mismo día</w:t>
      </w:r>
      <w:r>
        <w:rPr>
          <w:rFonts w:ascii="Cambria" w:hAnsi="Cambria"/>
          <w:color w:val="000000" w:themeColor="text1"/>
          <w:sz w:val="20"/>
          <w:szCs w:val="20"/>
          <w:lang w:val="es-ES"/>
        </w:rPr>
        <w:t xml:space="preserve"> se dio fin al </w:t>
      </w:r>
      <w:r w:rsidR="00DF0153">
        <w:rPr>
          <w:rFonts w:ascii="Cambria" w:hAnsi="Cambria"/>
          <w:color w:val="000000" w:themeColor="text1"/>
          <w:sz w:val="20"/>
          <w:szCs w:val="20"/>
          <w:lang w:val="es-ES"/>
        </w:rPr>
        <w:t>mencionado régimen.</w:t>
      </w:r>
      <w:r w:rsidR="001A107B">
        <w:rPr>
          <w:rFonts w:ascii="Cambria" w:hAnsi="Cambria"/>
          <w:color w:val="000000" w:themeColor="text1"/>
          <w:sz w:val="20"/>
          <w:szCs w:val="20"/>
          <w:lang w:val="es-ES"/>
        </w:rPr>
        <w:t xml:space="preserve"> </w:t>
      </w:r>
      <w:r>
        <w:rPr>
          <w:rFonts w:ascii="Cambria" w:hAnsi="Cambria"/>
          <w:color w:val="000000" w:themeColor="text1"/>
          <w:sz w:val="20"/>
          <w:szCs w:val="20"/>
          <w:lang w:val="es-ES"/>
        </w:rPr>
        <w:t xml:space="preserve">Agregó que </w:t>
      </w:r>
      <w:r w:rsidR="00DF0153">
        <w:rPr>
          <w:rFonts w:ascii="Cambria" w:hAnsi="Cambria"/>
          <w:color w:val="000000" w:themeColor="text1"/>
          <w:sz w:val="20"/>
          <w:szCs w:val="20"/>
          <w:lang w:val="es-ES"/>
        </w:rPr>
        <w:t xml:space="preserve">en </w:t>
      </w:r>
      <w:r w:rsidR="00B83CBB">
        <w:rPr>
          <w:rFonts w:ascii="Cambria" w:hAnsi="Cambria"/>
          <w:color w:val="000000" w:themeColor="text1"/>
          <w:sz w:val="20"/>
          <w:szCs w:val="20"/>
          <w:lang w:val="es-ES"/>
        </w:rPr>
        <w:t>diciembre</w:t>
      </w:r>
      <w:r w:rsidR="00DF0153">
        <w:rPr>
          <w:rFonts w:ascii="Cambria" w:hAnsi="Cambria"/>
          <w:color w:val="000000" w:themeColor="text1"/>
          <w:sz w:val="20"/>
          <w:szCs w:val="20"/>
          <w:lang w:val="es-ES"/>
        </w:rPr>
        <w:t xml:space="preserve"> de 2011 la familia </w:t>
      </w:r>
      <w:r w:rsidR="00B83CBB">
        <w:rPr>
          <w:rFonts w:ascii="Cambria" w:hAnsi="Cambria"/>
          <w:color w:val="000000" w:themeColor="text1"/>
          <w:sz w:val="20"/>
          <w:szCs w:val="20"/>
          <w:lang w:val="es-ES"/>
        </w:rPr>
        <w:t xml:space="preserve">inició un proceso </w:t>
      </w:r>
      <w:r w:rsidR="00585653">
        <w:rPr>
          <w:rFonts w:ascii="Cambria" w:hAnsi="Cambria"/>
          <w:color w:val="000000" w:themeColor="text1"/>
          <w:sz w:val="20"/>
          <w:szCs w:val="20"/>
          <w:lang w:val="es-ES"/>
        </w:rPr>
        <w:t xml:space="preserve">de arbitraje </w:t>
      </w:r>
      <w:r w:rsidR="00B83CBB">
        <w:rPr>
          <w:rFonts w:ascii="Cambria" w:hAnsi="Cambria"/>
          <w:color w:val="000000" w:themeColor="text1"/>
          <w:sz w:val="20"/>
          <w:szCs w:val="20"/>
          <w:lang w:val="es-ES"/>
        </w:rPr>
        <w:t>ante la Superintendencia de Salud (en adelante “la Superintendencia”)</w:t>
      </w:r>
      <w:r w:rsidR="00585653">
        <w:rPr>
          <w:rFonts w:ascii="Cambria" w:hAnsi="Cambria"/>
          <w:color w:val="000000" w:themeColor="text1"/>
          <w:sz w:val="20"/>
          <w:szCs w:val="20"/>
          <w:lang w:val="es-ES"/>
        </w:rPr>
        <w:t>, órgano que resolvió</w:t>
      </w:r>
      <w:r w:rsidR="0052601D">
        <w:rPr>
          <w:rFonts w:ascii="Cambria" w:hAnsi="Cambria"/>
          <w:color w:val="000000" w:themeColor="text1"/>
          <w:sz w:val="20"/>
          <w:szCs w:val="20"/>
          <w:lang w:val="es-ES"/>
        </w:rPr>
        <w:t xml:space="preserve"> </w:t>
      </w:r>
      <w:r w:rsidR="00585653">
        <w:rPr>
          <w:rFonts w:ascii="Cambria" w:hAnsi="Cambria"/>
          <w:color w:val="000000" w:themeColor="text1"/>
          <w:sz w:val="20"/>
          <w:szCs w:val="20"/>
          <w:lang w:val="es-ES"/>
        </w:rPr>
        <w:t>a favor de la presunta víctima, el 27 de agosto de 2012. La parte peticionaria indicó que tras la reinstalación del RHD, la vida de la familia se ha transformado “en una continua contienda para que su hija pueda contar con el servicio que la mantiene con vida”</w:t>
      </w:r>
      <w:r w:rsidR="00811F93">
        <w:rPr>
          <w:rFonts w:ascii="Cambria" w:hAnsi="Cambria"/>
          <w:color w:val="000000" w:themeColor="text1"/>
          <w:sz w:val="20"/>
          <w:szCs w:val="20"/>
          <w:lang w:val="es-ES"/>
        </w:rPr>
        <w:t>, dado que periódicamente deben iniciar procedimientos para evitar la terminación de los servicios de salud</w:t>
      </w:r>
      <w:r w:rsidR="00585653">
        <w:rPr>
          <w:rFonts w:ascii="Cambria" w:hAnsi="Cambria"/>
          <w:color w:val="000000" w:themeColor="text1"/>
          <w:sz w:val="20"/>
          <w:szCs w:val="20"/>
          <w:lang w:val="es-ES"/>
        </w:rPr>
        <w:t>.</w:t>
      </w:r>
    </w:p>
    <w:p w:rsidR="00585653" w:rsidRDefault="00585653" w:rsidP="00585653">
      <w:pPr>
        <w:pStyle w:val="ListParagraph"/>
        <w:rPr>
          <w:color w:val="000000" w:themeColor="text1"/>
          <w:sz w:val="20"/>
          <w:szCs w:val="20"/>
          <w:lang w:val="es-ES"/>
        </w:rPr>
      </w:pPr>
    </w:p>
    <w:p w:rsidR="006009AE" w:rsidRDefault="0058565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sidRPr="00394072">
        <w:rPr>
          <w:rFonts w:ascii="Cambria" w:hAnsi="Cambria"/>
          <w:color w:val="000000" w:themeColor="text1"/>
          <w:sz w:val="20"/>
          <w:szCs w:val="20"/>
          <w:lang w:val="es-ES"/>
        </w:rPr>
        <w:t xml:space="preserve">Alegó que </w:t>
      </w:r>
      <w:r w:rsidR="00BE73C3" w:rsidRPr="00394072">
        <w:rPr>
          <w:rFonts w:ascii="Cambria" w:hAnsi="Cambria"/>
          <w:color w:val="000000" w:themeColor="text1"/>
          <w:sz w:val="20"/>
          <w:szCs w:val="20"/>
          <w:lang w:val="es-ES"/>
        </w:rPr>
        <w:t xml:space="preserve">el Estado vulneró los derechos a la vida, integridad y salud, además de su obligación de adoptar medidas especiales para Martina Vera Rojas en su calidad de niña con discapacidad, </w:t>
      </w:r>
      <w:r w:rsidR="00F114CD" w:rsidRPr="00394072">
        <w:rPr>
          <w:rFonts w:ascii="Cambria" w:hAnsi="Cambria"/>
          <w:color w:val="000000" w:themeColor="text1"/>
          <w:sz w:val="20"/>
          <w:szCs w:val="20"/>
          <w:lang w:val="es-ES"/>
        </w:rPr>
        <w:t>al convalidar a través de la CSJ la decisión de</w:t>
      </w:r>
      <w:r w:rsidR="00556F88">
        <w:rPr>
          <w:rFonts w:ascii="Cambria" w:hAnsi="Cambria"/>
          <w:color w:val="000000" w:themeColor="text1"/>
          <w:sz w:val="20"/>
          <w:szCs w:val="20"/>
          <w:lang w:val="es-ES"/>
        </w:rPr>
        <w:t xml:space="preserve"> la</w:t>
      </w:r>
      <w:r w:rsidR="00F114CD" w:rsidRPr="00394072">
        <w:rPr>
          <w:rFonts w:ascii="Cambria" w:hAnsi="Cambria"/>
          <w:color w:val="000000" w:themeColor="text1"/>
          <w:sz w:val="20"/>
          <w:szCs w:val="20"/>
          <w:lang w:val="es-ES"/>
        </w:rPr>
        <w:t xml:space="preserve"> Isapre de retirar, arbitrariamente y sin justificación legal, el RHD. </w:t>
      </w:r>
      <w:r w:rsidR="006009AE" w:rsidRPr="00394072">
        <w:rPr>
          <w:rFonts w:ascii="Cambria" w:hAnsi="Cambria"/>
          <w:color w:val="000000" w:themeColor="text1"/>
          <w:sz w:val="20"/>
          <w:szCs w:val="20"/>
          <w:lang w:val="es-ES"/>
        </w:rPr>
        <w:t>Asimismo, indicó que el diseño del sistema de salud</w:t>
      </w:r>
      <w:r w:rsidR="00BE16CB">
        <w:rPr>
          <w:rFonts w:ascii="Cambria" w:hAnsi="Cambria"/>
          <w:color w:val="000000" w:themeColor="text1"/>
          <w:sz w:val="20"/>
          <w:szCs w:val="20"/>
          <w:lang w:val="es-ES"/>
        </w:rPr>
        <w:t>, susceptible a arbitrariedades y falta de regulación</w:t>
      </w:r>
      <w:r w:rsidR="006009AE" w:rsidRPr="00394072">
        <w:rPr>
          <w:rFonts w:ascii="Cambria" w:hAnsi="Cambria"/>
          <w:color w:val="000000" w:themeColor="text1"/>
          <w:sz w:val="20"/>
          <w:szCs w:val="20"/>
          <w:lang w:val="es-ES"/>
        </w:rPr>
        <w:t>, generó un problema de accesibilidad a los servicios de salud por parte de la presunta víctima que es atribuible a Chile</w:t>
      </w:r>
      <w:r w:rsidR="00394072" w:rsidRPr="00394072">
        <w:rPr>
          <w:rFonts w:ascii="Cambria" w:hAnsi="Cambria"/>
          <w:color w:val="000000" w:themeColor="text1"/>
          <w:sz w:val="20"/>
          <w:szCs w:val="20"/>
          <w:lang w:val="es-ES"/>
        </w:rPr>
        <w:t xml:space="preserve">. </w:t>
      </w:r>
      <w:r w:rsidR="00394072">
        <w:rPr>
          <w:rFonts w:ascii="Cambria" w:hAnsi="Cambria"/>
          <w:color w:val="000000" w:themeColor="text1"/>
          <w:sz w:val="20"/>
          <w:szCs w:val="20"/>
          <w:lang w:val="es-ES"/>
        </w:rPr>
        <w:t xml:space="preserve">Reiteró que esta falta </w:t>
      </w:r>
      <w:r w:rsidR="00394072" w:rsidRPr="00394072">
        <w:rPr>
          <w:rFonts w:ascii="Cambria" w:hAnsi="Cambria"/>
          <w:color w:val="000000" w:themeColor="text1"/>
          <w:sz w:val="20"/>
          <w:szCs w:val="20"/>
          <w:lang w:val="es-ES"/>
        </w:rPr>
        <w:t>de acceso</w:t>
      </w:r>
      <w:r w:rsidR="00394072">
        <w:rPr>
          <w:rFonts w:ascii="Cambria" w:hAnsi="Cambria"/>
          <w:color w:val="000000" w:themeColor="text1"/>
          <w:sz w:val="20"/>
          <w:szCs w:val="20"/>
          <w:lang w:val="es-ES"/>
        </w:rPr>
        <w:t xml:space="preserve"> </w:t>
      </w:r>
      <w:r w:rsidR="00394072" w:rsidRPr="00394072">
        <w:rPr>
          <w:rFonts w:ascii="Cambria" w:hAnsi="Cambria"/>
          <w:color w:val="000000" w:themeColor="text1"/>
          <w:sz w:val="20"/>
          <w:szCs w:val="20"/>
          <w:lang w:val="es-ES"/>
        </w:rPr>
        <w:t>de la niña Martina</w:t>
      </w:r>
      <w:r w:rsidR="00394072">
        <w:rPr>
          <w:rFonts w:ascii="Cambria" w:hAnsi="Cambria"/>
          <w:color w:val="000000" w:themeColor="text1"/>
          <w:sz w:val="20"/>
          <w:szCs w:val="20"/>
          <w:lang w:val="es-ES"/>
        </w:rPr>
        <w:t xml:space="preserve"> </w:t>
      </w:r>
      <w:r w:rsidR="00394072" w:rsidRPr="00394072">
        <w:rPr>
          <w:rFonts w:ascii="Cambria" w:hAnsi="Cambria"/>
          <w:color w:val="000000" w:themeColor="text1"/>
          <w:sz w:val="20"/>
          <w:szCs w:val="20"/>
          <w:lang w:val="es-ES"/>
        </w:rPr>
        <w:t xml:space="preserve">a ciertos procedimientos de salud, como paciente con el síndrome de Leigh, </w:t>
      </w:r>
      <w:r w:rsidR="00A266B4">
        <w:rPr>
          <w:rFonts w:ascii="Cambria" w:hAnsi="Cambria"/>
          <w:color w:val="000000" w:themeColor="text1"/>
          <w:sz w:val="20"/>
          <w:szCs w:val="20"/>
          <w:lang w:val="es-ES"/>
        </w:rPr>
        <w:t xml:space="preserve">la expuso a un grave riesgo contra su vida e integridad. </w:t>
      </w:r>
    </w:p>
    <w:p w:rsidR="00394072" w:rsidRPr="00394072" w:rsidRDefault="00394072" w:rsidP="0039407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ES"/>
        </w:rPr>
      </w:pPr>
    </w:p>
    <w:p w:rsidR="006009AE" w:rsidRDefault="00795A4D"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Señaló que el Estado vulneró el derecho a la integridad de</w:t>
      </w:r>
      <w:r w:rsidR="00A266B4">
        <w:rPr>
          <w:rFonts w:ascii="Cambria" w:hAnsi="Cambria"/>
          <w:color w:val="000000" w:themeColor="text1"/>
          <w:sz w:val="20"/>
          <w:szCs w:val="20"/>
          <w:lang w:val="es-ES"/>
        </w:rPr>
        <w:t xml:space="preserve"> la madre y el padre </w:t>
      </w:r>
      <w:r w:rsidR="00BE16CB">
        <w:rPr>
          <w:rFonts w:ascii="Cambria" w:hAnsi="Cambria"/>
          <w:color w:val="000000" w:themeColor="text1"/>
          <w:sz w:val="20"/>
          <w:szCs w:val="20"/>
          <w:lang w:val="es-ES"/>
        </w:rPr>
        <w:t>de la presunta víctima</w:t>
      </w:r>
      <w:r w:rsidR="00A266B4">
        <w:rPr>
          <w:rFonts w:ascii="Cambria" w:hAnsi="Cambria"/>
          <w:color w:val="000000" w:themeColor="text1"/>
          <w:sz w:val="20"/>
          <w:szCs w:val="20"/>
          <w:lang w:val="es-ES"/>
        </w:rPr>
        <w:t xml:space="preserve"> pues </w:t>
      </w:r>
      <w:r w:rsidR="00BE16CB">
        <w:rPr>
          <w:rFonts w:ascii="Cambria" w:hAnsi="Cambria"/>
          <w:color w:val="000000" w:themeColor="text1"/>
          <w:sz w:val="20"/>
          <w:szCs w:val="20"/>
          <w:lang w:val="es-ES"/>
        </w:rPr>
        <w:t>al aceptar e</w:t>
      </w:r>
      <w:r>
        <w:rPr>
          <w:rFonts w:ascii="Cambria" w:hAnsi="Cambria"/>
          <w:color w:val="000000" w:themeColor="text1"/>
          <w:sz w:val="20"/>
          <w:szCs w:val="20"/>
          <w:lang w:val="es-ES"/>
        </w:rPr>
        <w:t>l retir</w:t>
      </w:r>
      <w:r w:rsidR="00A266B4">
        <w:rPr>
          <w:rFonts w:ascii="Cambria" w:hAnsi="Cambria"/>
          <w:color w:val="000000" w:themeColor="text1"/>
          <w:sz w:val="20"/>
          <w:szCs w:val="20"/>
          <w:lang w:val="es-ES"/>
        </w:rPr>
        <w:t>o</w:t>
      </w:r>
      <w:r>
        <w:rPr>
          <w:rFonts w:ascii="Cambria" w:hAnsi="Cambria"/>
          <w:color w:val="000000" w:themeColor="text1"/>
          <w:sz w:val="20"/>
          <w:szCs w:val="20"/>
          <w:lang w:val="es-ES"/>
        </w:rPr>
        <w:t xml:space="preserve"> </w:t>
      </w:r>
      <w:r w:rsidR="00A266B4">
        <w:rPr>
          <w:rFonts w:ascii="Cambria" w:hAnsi="Cambria"/>
          <w:color w:val="000000" w:themeColor="text1"/>
          <w:sz w:val="20"/>
          <w:szCs w:val="20"/>
          <w:lang w:val="es-ES"/>
        </w:rPr>
        <w:t>d</w:t>
      </w:r>
      <w:r>
        <w:rPr>
          <w:rFonts w:ascii="Cambria" w:hAnsi="Cambria"/>
          <w:color w:val="000000" w:themeColor="text1"/>
          <w:sz w:val="20"/>
          <w:szCs w:val="20"/>
          <w:lang w:val="es-ES"/>
        </w:rPr>
        <w:t xml:space="preserve">el RHD a su hija, </w:t>
      </w:r>
      <w:r w:rsidR="00A266B4">
        <w:rPr>
          <w:rFonts w:ascii="Cambria" w:hAnsi="Cambria"/>
          <w:color w:val="000000" w:themeColor="text1"/>
          <w:sz w:val="20"/>
          <w:szCs w:val="20"/>
          <w:lang w:val="es-ES"/>
        </w:rPr>
        <w:t xml:space="preserve">les causó </w:t>
      </w:r>
      <w:r>
        <w:rPr>
          <w:rFonts w:ascii="Cambria" w:hAnsi="Cambria"/>
          <w:color w:val="000000" w:themeColor="text1"/>
          <w:sz w:val="20"/>
          <w:szCs w:val="20"/>
          <w:lang w:val="es-ES"/>
        </w:rPr>
        <w:t>sufrimientos y estrés post-traumático crónico, por la incertidumbre respecto de la supervivencia de</w:t>
      </w:r>
      <w:r w:rsidR="00A266B4">
        <w:rPr>
          <w:rFonts w:ascii="Cambria" w:hAnsi="Cambria"/>
          <w:color w:val="000000" w:themeColor="text1"/>
          <w:sz w:val="20"/>
          <w:szCs w:val="20"/>
          <w:lang w:val="es-ES"/>
        </w:rPr>
        <w:t xml:space="preserve"> la niña p</w:t>
      </w:r>
      <w:r>
        <w:rPr>
          <w:rFonts w:ascii="Cambria" w:hAnsi="Cambria"/>
          <w:color w:val="000000" w:themeColor="text1"/>
          <w:sz w:val="20"/>
          <w:szCs w:val="20"/>
          <w:lang w:val="es-ES"/>
        </w:rPr>
        <w:t xml:space="preserve">or la falta de acceso a su tratamiento. </w:t>
      </w:r>
    </w:p>
    <w:p w:rsidR="00795A4D" w:rsidRDefault="00795A4D" w:rsidP="00795A4D">
      <w:pPr>
        <w:pStyle w:val="ListParagraph"/>
        <w:rPr>
          <w:color w:val="000000" w:themeColor="text1"/>
          <w:sz w:val="20"/>
          <w:szCs w:val="20"/>
          <w:lang w:val="es-ES"/>
        </w:rPr>
      </w:pPr>
    </w:p>
    <w:p w:rsidR="00795A4D" w:rsidRDefault="008D3DD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Indicó</w:t>
      </w:r>
      <w:r w:rsidR="00795A4D">
        <w:rPr>
          <w:rFonts w:ascii="Cambria" w:hAnsi="Cambria"/>
          <w:color w:val="000000" w:themeColor="text1"/>
          <w:sz w:val="20"/>
          <w:szCs w:val="20"/>
          <w:lang w:val="es-ES"/>
        </w:rPr>
        <w:t xml:space="preserve"> que </w:t>
      </w:r>
      <w:r>
        <w:rPr>
          <w:rFonts w:ascii="Cambria" w:hAnsi="Cambria"/>
          <w:color w:val="000000" w:themeColor="text1"/>
          <w:sz w:val="20"/>
          <w:szCs w:val="20"/>
          <w:lang w:val="es-ES"/>
        </w:rPr>
        <w:t xml:space="preserve">el Estado, a través de la sentencia de la CSJ, </w:t>
      </w:r>
      <w:r w:rsidR="00795A4D">
        <w:rPr>
          <w:rFonts w:ascii="Cambria" w:hAnsi="Cambria"/>
          <w:color w:val="000000" w:themeColor="text1"/>
          <w:sz w:val="20"/>
          <w:szCs w:val="20"/>
          <w:lang w:val="es-ES"/>
        </w:rPr>
        <w:t xml:space="preserve">no </w:t>
      </w:r>
      <w:r>
        <w:rPr>
          <w:rFonts w:ascii="Cambria" w:hAnsi="Cambria"/>
          <w:color w:val="000000" w:themeColor="text1"/>
          <w:sz w:val="20"/>
          <w:szCs w:val="20"/>
          <w:lang w:val="es-ES"/>
        </w:rPr>
        <w:t>actuó con la debida diligencia dentro de un plazo razonable</w:t>
      </w:r>
      <w:r w:rsidR="00EE3963">
        <w:rPr>
          <w:rFonts w:ascii="Cambria" w:hAnsi="Cambria"/>
          <w:color w:val="000000" w:themeColor="text1"/>
          <w:sz w:val="20"/>
          <w:szCs w:val="20"/>
          <w:lang w:val="es-ES"/>
        </w:rPr>
        <w:t xml:space="preserve"> y</w:t>
      </w:r>
      <w:r w:rsidR="00D13A0F">
        <w:rPr>
          <w:rFonts w:ascii="Cambria" w:hAnsi="Cambria"/>
          <w:color w:val="000000" w:themeColor="text1"/>
          <w:sz w:val="20"/>
          <w:szCs w:val="20"/>
          <w:lang w:val="es-ES"/>
        </w:rPr>
        <w:t xml:space="preserve"> </w:t>
      </w:r>
      <w:r w:rsidR="007D3E9E">
        <w:rPr>
          <w:rFonts w:ascii="Cambria" w:hAnsi="Cambria"/>
          <w:color w:val="000000" w:themeColor="text1"/>
          <w:sz w:val="20"/>
          <w:szCs w:val="20"/>
          <w:lang w:val="es-ES"/>
        </w:rPr>
        <w:t xml:space="preserve">que </w:t>
      </w:r>
      <w:r>
        <w:rPr>
          <w:rFonts w:ascii="Cambria" w:hAnsi="Cambria"/>
          <w:color w:val="000000" w:themeColor="text1"/>
          <w:sz w:val="20"/>
          <w:szCs w:val="20"/>
          <w:lang w:val="es-ES"/>
        </w:rPr>
        <w:t xml:space="preserve">la </w:t>
      </w:r>
      <w:r w:rsidR="007D3E9E">
        <w:rPr>
          <w:rFonts w:ascii="Cambria" w:hAnsi="Cambria"/>
          <w:color w:val="000000" w:themeColor="text1"/>
          <w:sz w:val="20"/>
          <w:szCs w:val="20"/>
          <w:lang w:val="es-ES"/>
        </w:rPr>
        <w:t xml:space="preserve">decisión </w:t>
      </w:r>
      <w:r>
        <w:rPr>
          <w:rFonts w:ascii="Cambria" w:hAnsi="Cambria"/>
          <w:color w:val="000000" w:themeColor="text1"/>
          <w:sz w:val="20"/>
          <w:szCs w:val="20"/>
          <w:lang w:val="es-ES"/>
        </w:rPr>
        <w:t xml:space="preserve">judicial </w:t>
      </w:r>
      <w:r w:rsidR="007D3E9E">
        <w:rPr>
          <w:rFonts w:ascii="Cambria" w:hAnsi="Cambria"/>
          <w:color w:val="000000" w:themeColor="text1"/>
          <w:sz w:val="20"/>
          <w:szCs w:val="20"/>
          <w:lang w:val="es-ES"/>
        </w:rPr>
        <w:t xml:space="preserve">no consideró en su motivación la condición de niña </w:t>
      </w:r>
      <w:r w:rsidR="00D13A0F">
        <w:rPr>
          <w:rFonts w:ascii="Cambria" w:hAnsi="Cambria"/>
          <w:color w:val="000000" w:themeColor="text1"/>
          <w:sz w:val="20"/>
          <w:szCs w:val="20"/>
          <w:lang w:val="es-ES"/>
        </w:rPr>
        <w:t xml:space="preserve">de la presunta víctima </w:t>
      </w:r>
      <w:r w:rsidR="00B01F4F">
        <w:rPr>
          <w:rFonts w:ascii="Cambria" w:hAnsi="Cambria"/>
          <w:color w:val="000000" w:themeColor="text1"/>
          <w:sz w:val="20"/>
          <w:szCs w:val="20"/>
          <w:lang w:val="es-ES"/>
        </w:rPr>
        <w:t xml:space="preserve">y </w:t>
      </w:r>
      <w:r w:rsidR="00B01F4F" w:rsidRPr="00365DC7">
        <w:rPr>
          <w:rFonts w:ascii="Cambria" w:hAnsi="Cambria"/>
          <w:color w:val="000000" w:themeColor="text1"/>
          <w:sz w:val="20"/>
          <w:szCs w:val="20"/>
          <w:lang w:val="es-ES"/>
        </w:rPr>
        <w:t xml:space="preserve">que durante el trámite procesal </w:t>
      </w:r>
      <w:r w:rsidR="000A1FBC" w:rsidRPr="00365DC7">
        <w:rPr>
          <w:rFonts w:ascii="Cambria" w:hAnsi="Cambria"/>
          <w:color w:val="000000" w:themeColor="text1"/>
          <w:sz w:val="20"/>
          <w:szCs w:val="20"/>
          <w:lang w:val="es-ES"/>
        </w:rPr>
        <w:t xml:space="preserve">ante dicha Corte no pudieron presentar argumentos dado que esa instancia judicial no contempla </w:t>
      </w:r>
      <w:r w:rsidR="00CB7D41" w:rsidRPr="00365DC7">
        <w:rPr>
          <w:rFonts w:ascii="Cambria" w:hAnsi="Cambria"/>
          <w:color w:val="000000" w:themeColor="text1"/>
          <w:sz w:val="20"/>
          <w:szCs w:val="20"/>
          <w:lang w:val="es-ES"/>
        </w:rPr>
        <w:t xml:space="preserve">tal </w:t>
      </w:r>
      <w:r w:rsidR="000A1FBC" w:rsidRPr="00365DC7">
        <w:rPr>
          <w:rFonts w:ascii="Cambria" w:hAnsi="Cambria"/>
          <w:color w:val="000000" w:themeColor="text1"/>
          <w:sz w:val="20"/>
          <w:szCs w:val="20"/>
          <w:lang w:val="es-ES"/>
        </w:rPr>
        <w:t>posibilidad</w:t>
      </w:r>
      <w:r w:rsidR="00CB7D41" w:rsidRPr="00365DC7">
        <w:rPr>
          <w:rFonts w:ascii="Cambria" w:hAnsi="Cambria"/>
          <w:color w:val="000000" w:themeColor="text1"/>
          <w:sz w:val="20"/>
          <w:szCs w:val="20"/>
          <w:lang w:val="es-ES"/>
        </w:rPr>
        <w:t xml:space="preserve">. </w:t>
      </w:r>
      <w:r w:rsidR="000A1FBC" w:rsidRPr="00365DC7">
        <w:rPr>
          <w:rFonts w:ascii="Cambria" w:hAnsi="Cambria"/>
          <w:color w:val="000000" w:themeColor="text1"/>
          <w:sz w:val="20"/>
          <w:szCs w:val="20"/>
          <w:lang w:val="es-ES"/>
        </w:rPr>
        <w:t>Señaló</w:t>
      </w:r>
      <w:r w:rsidR="007D3E9E" w:rsidRPr="00365DC7">
        <w:rPr>
          <w:rFonts w:ascii="Cambria" w:hAnsi="Cambria"/>
          <w:color w:val="000000" w:themeColor="text1"/>
          <w:sz w:val="20"/>
          <w:szCs w:val="20"/>
          <w:lang w:val="es-ES"/>
        </w:rPr>
        <w:t xml:space="preserve"> que se vulneró </w:t>
      </w:r>
      <w:r w:rsidR="00EE3963" w:rsidRPr="00365DC7">
        <w:rPr>
          <w:rFonts w:ascii="Cambria" w:hAnsi="Cambria"/>
          <w:color w:val="000000" w:themeColor="text1"/>
          <w:sz w:val="20"/>
          <w:szCs w:val="20"/>
          <w:lang w:val="es-ES"/>
        </w:rPr>
        <w:t>la garantía de imparcialidad</w:t>
      </w:r>
      <w:r w:rsidR="007D3E9E" w:rsidRPr="00365DC7">
        <w:rPr>
          <w:rFonts w:ascii="Cambria" w:hAnsi="Cambria"/>
          <w:color w:val="000000" w:themeColor="text1"/>
          <w:sz w:val="20"/>
          <w:szCs w:val="20"/>
          <w:lang w:val="es-ES"/>
        </w:rPr>
        <w:t xml:space="preserve"> p</w:t>
      </w:r>
      <w:r w:rsidR="00EE3963" w:rsidRPr="00365DC7">
        <w:rPr>
          <w:rFonts w:ascii="Cambria" w:hAnsi="Cambria"/>
          <w:color w:val="000000" w:themeColor="text1"/>
          <w:sz w:val="20"/>
          <w:szCs w:val="20"/>
          <w:lang w:val="es-ES"/>
        </w:rPr>
        <w:t>ues</w:t>
      </w:r>
      <w:r w:rsidR="007D3E9E" w:rsidRPr="00365DC7">
        <w:rPr>
          <w:rFonts w:ascii="Cambria" w:hAnsi="Cambria"/>
          <w:color w:val="000000" w:themeColor="text1"/>
          <w:sz w:val="20"/>
          <w:szCs w:val="20"/>
          <w:lang w:val="es-ES"/>
        </w:rPr>
        <w:t xml:space="preserve"> la Sala se conformó con la figura de un “abogado integrante” </w:t>
      </w:r>
      <w:r w:rsidR="00D13A0F" w:rsidRPr="00365DC7">
        <w:rPr>
          <w:rFonts w:ascii="Cambria" w:hAnsi="Cambria"/>
          <w:color w:val="000000" w:themeColor="text1"/>
          <w:sz w:val="20"/>
          <w:szCs w:val="20"/>
          <w:lang w:val="es-ES"/>
        </w:rPr>
        <w:t xml:space="preserve">con </w:t>
      </w:r>
      <w:r w:rsidR="007D3E9E" w:rsidRPr="00365DC7">
        <w:rPr>
          <w:rFonts w:ascii="Cambria" w:hAnsi="Cambria"/>
          <w:color w:val="000000" w:themeColor="text1"/>
          <w:sz w:val="20"/>
          <w:szCs w:val="20"/>
          <w:lang w:val="es-ES"/>
        </w:rPr>
        <w:t>conflictos de interés a favor de la Isapre. Por lo anterior, alegó la v</w:t>
      </w:r>
      <w:r w:rsidR="00EE3963" w:rsidRPr="00365DC7">
        <w:rPr>
          <w:rFonts w:ascii="Cambria" w:hAnsi="Cambria"/>
          <w:color w:val="000000" w:themeColor="text1"/>
          <w:sz w:val="20"/>
          <w:szCs w:val="20"/>
          <w:lang w:val="es-ES"/>
        </w:rPr>
        <w:t>iolación</w:t>
      </w:r>
      <w:r w:rsidR="00EE3963">
        <w:rPr>
          <w:rFonts w:ascii="Cambria" w:hAnsi="Cambria"/>
          <w:color w:val="000000" w:themeColor="text1"/>
          <w:sz w:val="20"/>
          <w:szCs w:val="20"/>
          <w:lang w:val="es-ES"/>
        </w:rPr>
        <w:t xml:space="preserve"> a las garantías judiciales y protección judicial. </w:t>
      </w:r>
    </w:p>
    <w:p w:rsidR="00ED566D" w:rsidRDefault="00ED566D" w:rsidP="00ED566D">
      <w:pPr>
        <w:pStyle w:val="ListParagraph"/>
        <w:rPr>
          <w:color w:val="000000" w:themeColor="text1"/>
          <w:sz w:val="20"/>
          <w:szCs w:val="20"/>
          <w:lang w:val="es-ES"/>
        </w:rPr>
      </w:pPr>
    </w:p>
    <w:p w:rsidR="00ED566D" w:rsidRDefault="00EE396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 xml:space="preserve">Alegó </w:t>
      </w:r>
      <w:r w:rsidR="00ED566D">
        <w:rPr>
          <w:rFonts w:ascii="Cambria" w:hAnsi="Cambria"/>
          <w:color w:val="000000" w:themeColor="text1"/>
          <w:sz w:val="20"/>
          <w:szCs w:val="20"/>
          <w:lang w:val="es-ES"/>
        </w:rPr>
        <w:t xml:space="preserve">que Chile </w:t>
      </w:r>
      <w:r w:rsidR="008D3DD7">
        <w:rPr>
          <w:rFonts w:ascii="Cambria" w:hAnsi="Cambria"/>
          <w:color w:val="000000" w:themeColor="text1"/>
          <w:sz w:val="20"/>
          <w:szCs w:val="20"/>
          <w:lang w:val="es-ES"/>
        </w:rPr>
        <w:t xml:space="preserve">vulneró </w:t>
      </w:r>
      <w:r>
        <w:rPr>
          <w:rFonts w:ascii="Cambria" w:hAnsi="Cambria"/>
          <w:color w:val="000000" w:themeColor="text1"/>
          <w:sz w:val="20"/>
          <w:szCs w:val="20"/>
          <w:lang w:val="es-ES"/>
        </w:rPr>
        <w:t xml:space="preserve">su obligación de </w:t>
      </w:r>
      <w:r w:rsidR="008D3DD7">
        <w:rPr>
          <w:rFonts w:ascii="Cambria" w:hAnsi="Cambria"/>
          <w:color w:val="000000" w:themeColor="text1"/>
          <w:sz w:val="20"/>
          <w:szCs w:val="20"/>
          <w:lang w:val="es-ES"/>
        </w:rPr>
        <w:t xml:space="preserve">desarrollo progresivo </w:t>
      </w:r>
      <w:r w:rsidR="00795805">
        <w:rPr>
          <w:rFonts w:ascii="Cambria" w:hAnsi="Cambria"/>
          <w:color w:val="000000" w:themeColor="text1"/>
          <w:sz w:val="20"/>
          <w:szCs w:val="20"/>
          <w:lang w:val="es-ES"/>
        </w:rPr>
        <w:t xml:space="preserve">del derecho a la salud dado que </w:t>
      </w:r>
      <w:r w:rsidR="003308BB">
        <w:rPr>
          <w:rFonts w:ascii="Cambria" w:hAnsi="Cambria"/>
          <w:color w:val="000000" w:themeColor="text1"/>
          <w:sz w:val="20"/>
          <w:szCs w:val="20"/>
          <w:lang w:val="es-ES"/>
        </w:rPr>
        <w:t xml:space="preserve">no ha garantizado que </w:t>
      </w:r>
      <w:r w:rsidR="00795805">
        <w:rPr>
          <w:rFonts w:ascii="Cambria" w:hAnsi="Cambria"/>
          <w:color w:val="000000" w:themeColor="text1"/>
          <w:sz w:val="20"/>
          <w:szCs w:val="20"/>
          <w:lang w:val="es-ES"/>
        </w:rPr>
        <w:t xml:space="preserve">las empresas </w:t>
      </w:r>
      <w:r w:rsidR="003308BB">
        <w:rPr>
          <w:rFonts w:ascii="Cambria" w:hAnsi="Cambria"/>
          <w:color w:val="000000" w:themeColor="text1"/>
          <w:sz w:val="20"/>
          <w:szCs w:val="20"/>
          <w:lang w:val="es-ES"/>
        </w:rPr>
        <w:t xml:space="preserve">prestadoras, en el esquema privatizado extendido, adecuen su normativa y acciones a las normas nacionales e internacionales para </w:t>
      </w:r>
      <w:r>
        <w:rPr>
          <w:rFonts w:ascii="Cambria" w:hAnsi="Cambria"/>
          <w:color w:val="000000" w:themeColor="text1"/>
          <w:sz w:val="20"/>
          <w:szCs w:val="20"/>
          <w:lang w:val="es-ES"/>
        </w:rPr>
        <w:t xml:space="preserve">asegurar </w:t>
      </w:r>
      <w:r w:rsidR="003308BB">
        <w:rPr>
          <w:rFonts w:ascii="Cambria" w:hAnsi="Cambria"/>
          <w:color w:val="000000" w:themeColor="text1"/>
          <w:sz w:val="20"/>
          <w:szCs w:val="20"/>
          <w:lang w:val="es-ES"/>
        </w:rPr>
        <w:t xml:space="preserve">el derecho a la salud. </w:t>
      </w:r>
    </w:p>
    <w:p w:rsidR="00ED566D" w:rsidRDefault="00ED566D" w:rsidP="00ED566D">
      <w:pPr>
        <w:pStyle w:val="ListParagraph"/>
        <w:rPr>
          <w:color w:val="000000" w:themeColor="text1"/>
          <w:sz w:val="20"/>
          <w:szCs w:val="20"/>
          <w:lang w:val="es-ES"/>
        </w:rPr>
      </w:pPr>
    </w:p>
    <w:p w:rsidR="005E6296" w:rsidRDefault="00611EC5"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 xml:space="preserve">Resaltó </w:t>
      </w:r>
      <w:r w:rsidR="00ED566D">
        <w:rPr>
          <w:rFonts w:ascii="Cambria" w:hAnsi="Cambria"/>
          <w:color w:val="000000" w:themeColor="text1"/>
          <w:sz w:val="20"/>
          <w:szCs w:val="20"/>
          <w:lang w:val="es-ES"/>
        </w:rPr>
        <w:t>la existencia de un contexto en el cu</w:t>
      </w:r>
      <w:r>
        <w:rPr>
          <w:rFonts w:ascii="Cambria" w:hAnsi="Cambria"/>
          <w:color w:val="000000" w:themeColor="text1"/>
          <w:sz w:val="20"/>
          <w:szCs w:val="20"/>
          <w:lang w:val="es-ES"/>
        </w:rPr>
        <w:t>a</w:t>
      </w:r>
      <w:r w:rsidR="00ED566D">
        <w:rPr>
          <w:rFonts w:ascii="Cambria" w:hAnsi="Cambria"/>
          <w:color w:val="000000" w:themeColor="text1"/>
          <w:sz w:val="20"/>
          <w:szCs w:val="20"/>
          <w:lang w:val="es-ES"/>
        </w:rPr>
        <w:t>l el acceso a los servicios de salud se encuentra marcado</w:t>
      </w:r>
      <w:r>
        <w:rPr>
          <w:rFonts w:ascii="Cambria" w:hAnsi="Cambria"/>
          <w:color w:val="000000" w:themeColor="text1"/>
          <w:sz w:val="20"/>
          <w:szCs w:val="20"/>
          <w:lang w:val="es-ES"/>
        </w:rPr>
        <w:t xml:space="preserve"> por</w:t>
      </w:r>
      <w:r w:rsidR="00ED566D">
        <w:rPr>
          <w:rFonts w:ascii="Cambria" w:hAnsi="Cambria"/>
          <w:color w:val="000000" w:themeColor="text1"/>
          <w:sz w:val="20"/>
          <w:szCs w:val="20"/>
          <w:lang w:val="es-ES"/>
        </w:rPr>
        <w:t xml:space="preserve"> </w:t>
      </w:r>
      <w:r w:rsidR="00CB7234">
        <w:rPr>
          <w:rFonts w:ascii="Cambria" w:hAnsi="Cambria"/>
          <w:color w:val="000000" w:themeColor="text1"/>
          <w:sz w:val="20"/>
          <w:szCs w:val="20"/>
          <w:lang w:val="es-ES"/>
        </w:rPr>
        <w:t>la desvaloración de los derechos</w:t>
      </w:r>
      <w:r w:rsidR="009041C9">
        <w:rPr>
          <w:rFonts w:ascii="Cambria" w:hAnsi="Cambria"/>
          <w:color w:val="000000" w:themeColor="text1"/>
          <w:sz w:val="20"/>
          <w:szCs w:val="20"/>
          <w:lang w:val="es-ES"/>
        </w:rPr>
        <w:t xml:space="preserve"> sociales como la salud y</w:t>
      </w:r>
      <w:r w:rsidR="00CB7234">
        <w:rPr>
          <w:rFonts w:ascii="Cambria" w:hAnsi="Cambria"/>
          <w:color w:val="000000" w:themeColor="text1"/>
          <w:sz w:val="20"/>
          <w:szCs w:val="20"/>
          <w:lang w:val="es-ES"/>
        </w:rPr>
        <w:t xml:space="preserve"> la falta de adecuación normativa a estándares internacionales en </w:t>
      </w:r>
      <w:r>
        <w:rPr>
          <w:rFonts w:ascii="Cambria" w:hAnsi="Cambria"/>
          <w:color w:val="000000" w:themeColor="text1"/>
          <w:sz w:val="20"/>
          <w:szCs w:val="20"/>
          <w:lang w:val="es-ES"/>
        </w:rPr>
        <w:t>la</w:t>
      </w:r>
      <w:r w:rsidR="00CB7234">
        <w:rPr>
          <w:rFonts w:ascii="Cambria" w:hAnsi="Cambria"/>
          <w:color w:val="000000" w:themeColor="text1"/>
          <w:sz w:val="20"/>
          <w:szCs w:val="20"/>
          <w:lang w:val="es-ES"/>
        </w:rPr>
        <w:t xml:space="preserve"> materia.</w:t>
      </w:r>
      <w:r w:rsidR="000A1FBC">
        <w:rPr>
          <w:rFonts w:ascii="Cambria" w:hAnsi="Cambria"/>
          <w:color w:val="000000" w:themeColor="text1"/>
          <w:sz w:val="20"/>
          <w:szCs w:val="20"/>
          <w:lang w:val="es-ES"/>
        </w:rPr>
        <w:t xml:space="preserve"> R</w:t>
      </w:r>
      <w:r w:rsidR="00CB7234">
        <w:rPr>
          <w:rFonts w:ascii="Cambria" w:hAnsi="Cambria"/>
          <w:color w:val="000000" w:themeColor="text1"/>
          <w:sz w:val="20"/>
          <w:szCs w:val="20"/>
          <w:lang w:val="es-ES"/>
        </w:rPr>
        <w:t xml:space="preserve">eclamó </w:t>
      </w:r>
      <w:r w:rsidR="00F91E84">
        <w:rPr>
          <w:rFonts w:ascii="Cambria" w:hAnsi="Cambria"/>
          <w:color w:val="000000" w:themeColor="text1"/>
          <w:sz w:val="20"/>
          <w:szCs w:val="20"/>
          <w:lang w:val="es-ES"/>
        </w:rPr>
        <w:t>que el acceso a la salud se ve determinado por la rentabilidad de la</w:t>
      </w:r>
      <w:r w:rsidR="00BE16CB">
        <w:rPr>
          <w:rFonts w:ascii="Cambria" w:hAnsi="Cambria"/>
          <w:color w:val="000000" w:themeColor="text1"/>
          <w:sz w:val="20"/>
          <w:szCs w:val="20"/>
          <w:lang w:val="es-ES"/>
        </w:rPr>
        <w:t>s</w:t>
      </w:r>
      <w:r w:rsidR="00F91E84">
        <w:rPr>
          <w:rFonts w:ascii="Cambria" w:hAnsi="Cambria"/>
          <w:color w:val="000000" w:themeColor="text1"/>
          <w:sz w:val="20"/>
          <w:szCs w:val="20"/>
          <w:lang w:val="es-ES"/>
        </w:rPr>
        <w:t xml:space="preserve"> </w:t>
      </w:r>
      <w:r w:rsidR="00BE16CB">
        <w:rPr>
          <w:rFonts w:ascii="Cambria" w:hAnsi="Cambria"/>
          <w:color w:val="000000" w:themeColor="text1"/>
          <w:sz w:val="20"/>
          <w:szCs w:val="20"/>
          <w:lang w:val="es-ES"/>
        </w:rPr>
        <w:t>Isapres</w:t>
      </w:r>
      <w:r w:rsidR="00F91E84">
        <w:rPr>
          <w:rFonts w:ascii="Cambria" w:hAnsi="Cambria"/>
          <w:color w:val="000000" w:themeColor="text1"/>
          <w:sz w:val="20"/>
          <w:szCs w:val="20"/>
          <w:lang w:val="es-ES"/>
        </w:rPr>
        <w:t>, lo que genera situaciones abusivas y cambios unilaterales en las condiciones contractuales</w:t>
      </w:r>
      <w:r>
        <w:rPr>
          <w:rFonts w:ascii="Cambria" w:hAnsi="Cambria"/>
          <w:color w:val="000000" w:themeColor="text1"/>
          <w:sz w:val="20"/>
          <w:szCs w:val="20"/>
          <w:lang w:val="es-ES"/>
        </w:rPr>
        <w:t xml:space="preserve"> </w:t>
      </w:r>
      <w:r w:rsidR="00F91E84">
        <w:rPr>
          <w:rFonts w:ascii="Cambria" w:hAnsi="Cambria"/>
          <w:color w:val="000000" w:themeColor="text1"/>
          <w:sz w:val="20"/>
          <w:szCs w:val="20"/>
          <w:lang w:val="es-ES"/>
        </w:rPr>
        <w:t>que no son fiscalizadas ni reguladas por el Estado, generando una carga desmedida en los pacientes</w:t>
      </w:r>
      <w:r w:rsidR="009041C9">
        <w:rPr>
          <w:rFonts w:ascii="Cambria" w:hAnsi="Cambria"/>
          <w:color w:val="000000" w:themeColor="text1"/>
          <w:sz w:val="20"/>
          <w:szCs w:val="20"/>
          <w:lang w:val="es-ES"/>
        </w:rPr>
        <w:t xml:space="preserve"> quienes tienen que enfrentar procesos judiciales contra las prestadoras del servicio.</w:t>
      </w:r>
    </w:p>
    <w:p w:rsidR="005E6296" w:rsidRDefault="005E6296" w:rsidP="005E6296">
      <w:pPr>
        <w:pStyle w:val="ListParagraph"/>
        <w:rPr>
          <w:color w:val="000000" w:themeColor="text1"/>
          <w:sz w:val="20"/>
          <w:szCs w:val="20"/>
          <w:lang w:val="es-ES"/>
        </w:rPr>
      </w:pPr>
    </w:p>
    <w:p w:rsidR="00680ED2" w:rsidRDefault="00680ED2" w:rsidP="005E6296">
      <w:pPr>
        <w:pStyle w:val="ListParagraph"/>
        <w:rPr>
          <w:color w:val="000000" w:themeColor="text1"/>
          <w:sz w:val="20"/>
          <w:szCs w:val="20"/>
          <w:lang w:val="es-ES"/>
        </w:rPr>
      </w:pPr>
    </w:p>
    <w:p w:rsidR="005E6296" w:rsidRPr="005E6296" w:rsidRDefault="005E6296" w:rsidP="005E62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ES"/>
        </w:rPr>
      </w:pPr>
    </w:p>
    <w:p w:rsidR="00527DA3" w:rsidRPr="00795A4D" w:rsidRDefault="00527DA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ES"/>
        </w:rPr>
      </w:pPr>
      <w:r>
        <w:rPr>
          <w:rFonts w:ascii="Cambria" w:hAnsi="Cambria"/>
          <w:color w:val="000000" w:themeColor="text1"/>
          <w:sz w:val="20"/>
          <w:szCs w:val="20"/>
          <w:lang w:val="es-ES"/>
        </w:rPr>
        <w:t>La Comisión da cuenta de que la parte peticionaria alegó la vulneración del derecho a la familia</w:t>
      </w:r>
      <w:r w:rsidR="00403B27">
        <w:rPr>
          <w:rFonts w:ascii="Cambria" w:hAnsi="Cambria"/>
          <w:color w:val="000000" w:themeColor="text1"/>
          <w:sz w:val="20"/>
          <w:szCs w:val="20"/>
          <w:lang w:val="es-ES"/>
        </w:rPr>
        <w:t xml:space="preserve">. </w:t>
      </w:r>
      <w:r w:rsidR="00634378">
        <w:rPr>
          <w:rFonts w:ascii="Cambria" w:hAnsi="Cambria"/>
          <w:color w:val="000000" w:themeColor="text1"/>
          <w:sz w:val="20"/>
          <w:szCs w:val="20"/>
          <w:lang w:val="es-ES"/>
        </w:rPr>
        <w:t xml:space="preserve">En tanto </w:t>
      </w:r>
      <w:r w:rsidR="00885B11">
        <w:rPr>
          <w:rFonts w:ascii="Cambria" w:hAnsi="Cambria"/>
          <w:color w:val="000000" w:themeColor="text1"/>
          <w:sz w:val="20"/>
          <w:szCs w:val="20"/>
          <w:lang w:val="es-ES"/>
        </w:rPr>
        <w:t xml:space="preserve">se trata de argumentos respecto de un derecho declarado inadmisible, </w:t>
      </w:r>
      <w:r w:rsidR="00634378">
        <w:rPr>
          <w:rFonts w:ascii="Cambria" w:hAnsi="Cambria"/>
          <w:color w:val="000000" w:themeColor="text1"/>
          <w:sz w:val="20"/>
          <w:szCs w:val="20"/>
          <w:lang w:val="es-ES"/>
        </w:rPr>
        <w:t xml:space="preserve">la Comisión no los considerará en el análisis del fondo de este asunto. </w:t>
      </w:r>
    </w:p>
    <w:p w:rsidR="00166189" w:rsidRDefault="00166189" w:rsidP="001661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ES"/>
        </w:rPr>
      </w:pPr>
    </w:p>
    <w:p w:rsidR="00D12193" w:rsidRPr="00C87FF4" w:rsidRDefault="00C87FF4" w:rsidP="00F5400E">
      <w:pPr>
        <w:pStyle w:val="Heading1"/>
        <w:numPr>
          <w:ilvl w:val="0"/>
          <w:numId w:val="57"/>
        </w:numPr>
      </w:pPr>
      <w:bookmarkStart w:id="5" w:name="_Toc531880115"/>
      <w:r>
        <w:t>Estado</w:t>
      </w:r>
      <w:bookmarkEnd w:id="5"/>
    </w:p>
    <w:p w:rsidR="007C756A" w:rsidRDefault="007C756A" w:rsidP="00CC63CF">
      <w:pPr>
        <w:suppressAutoHyphens/>
        <w:rPr>
          <w:rFonts w:asciiTheme="majorHAnsi" w:hAnsiTheme="majorHAnsi"/>
          <w:sz w:val="20"/>
          <w:szCs w:val="20"/>
          <w:lang w:val="es-ES_tradnl"/>
        </w:rPr>
      </w:pPr>
    </w:p>
    <w:p w:rsidR="00966B0A" w:rsidRDefault="0056566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El Estado ne</w:t>
      </w:r>
      <w:r w:rsidR="00787A83">
        <w:rPr>
          <w:rFonts w:ascii="Cambria" w:hAnsi="Cambria"/>
          <w:color w:val="000000" w:themeColor="text1"/>
          <w:sz w:val="20"/>
          <w:szCs w:val="20"/>
          <w:lang w:val="es-VE"/>
        </w:rPr>
        <w:t>gó las</w:t>
      </w:r>
      <w:r w:rsidR="00F67204">
        <w:rPr>
          <w:rFonts w:ascii="Cambria" w:hAnsi="Cambria"/>
          <w:color w:val="000000" w:themeColor="text1"/>
          <w:sz w:val="20"/>
          <w:szCs w:val="20"/>
          <w:lang w:val="es-VE"/>
        </w:rPr>
        <w:t xml:space="preserve"> vulneraciones </w:t>
      </w:r>
      <w:r w:rsidR="001F3157">
        <w:rPr>
          <w:rFonts w:ascii="Cambria" w:hAnsi="Cambria"/>
          <w:color w:val="000000" w:themeColor="text1"/>
          <w:sz w:val="20"/>
          <w:szCs w:val="20"/>
          <w:lang w:val="es-VE"/>
        </w:rPr>
        <w:t>de</w:t>
      </w:r>
      <w:r w:rsidR="00F67204">
        <w:rPr>
          <w:rFonts w:ascii="Cambria" w:hAnsi="Cambria"/>
          <w:color w:val="000000" w:themeColor="text1"/>
          <w:sz w:val="20"/>
          <w:szCs w:val="20"/>
          <w:lang w:val="es-VE"/>
        </w:rPr>
        <w:t xml:space="preserve"> la vida e integridad respecto de Martina Vera Rojas</w:t>
      </w:r>
      <w:r w:rsidR="00AB1BFF">
        <w:rPr>
          <w:rFonts w:ascii="Cambria" w:hAnsi="Cambria"/>
          <w:color w:val="000000" w:themeColor="text1"/>
          <w:sz w:val="20"/>
          <w:szCs w:val="20"/>
          <w:lang w:val="es-VE"/>
        </w:rPr>
        <w:t xml:space="preserve"> dado</w:t>
      </w:r>
      <w:r w:rsidR="005C6449">
        <w:rPr>
          <w:rFonts w:ascii="Cambria" w:hAnsi="Cambria"/>
          <w:color w:val="000000" w:themeColor="text1"/>
          <w:sz w:val="20"/>
          <w:szCs w:val="20"/>
          <w:lang w:val="es-VE"/>
        </w:rPr>
        <w:t xml:space="preserve"> que su condición es resultado de una enfermedad</w:t>
      </w:r>
      <w:r w:rsidR="00BE16CB">
        <w:rPr>
          <w:rFonts w:ascii="Cambria" w:hAnsi="Cambria"/>
          <w:color w:val="000000" w:themeColor="text1"/>
          <w:sz w:val="20"/>
          <w:szCs w:val="20"/>
          <w:lang w:val="es-VE"/>
        </w:rPr>
        <w:t xml:space="preserve"> que no </w:t>
      </w:r>
      <w:r w:rsidR="0050430D">
        <w:rPr>
          <w:rFonts w:ascii="Cambria" w:hAnsi="Cambria"/>
          <w:color w:val="000000" w:themeColor="text1"/>
          <w:sz w:val="20"/>
          <w:szCs w:val="20"/>
          <w:lang w:val="es-VE"/>
        </w:rPr>
        <w:t xml:space="preserve">le </w:t>
      </w:r>
      <w:r w:rsidR="00BE16CB">
        <w:rPr>
          <w:rFonts w:ascii="Cambria" w:hAnsi="Cambria"/>
          <w:color w:val="000000" w:themeColor="text1"/>
          <w:sz w:val="20"/>
          <w:szCs w:val="20"/>
          <w:lang w:val="es-VE"/>
        </w:rPr>
        <w:t>es</w:t>
      </w:r>
      <w:r w:rsidR="005C6449">
        <w:rPr>
          <w:rFonts w:ascii="Cambria" w:hAnsi="Cambria"/>
          <w:color w:val="000000" w:themeColor="text1"/>
          <w:sz w:val="20"/>
          <w:szCs w:val="20"/>
          <w:lang w:val="es-VE"/>
        </w:rPr>
        <w:t xml:space="preserve"> atribuible. Asimismo, indicó que respetó y garantizó la salud de la presunta v</w:t>
      </w:r>
      <w:r w:rsidR="0058744E">
        <w:rPr>
          <w:rFonts w:ascii="Cambria" w:hAnsi="Cambria"/>
          <w:color w:val="000000" w:themeColor="text1"/>
          <w:sz w:val="20"/>
          <w:szCs w:val="20"/>
          <w:lang w:val="es-VE"/>
        </w:rPr>
        <w:t>íctima dado que el Estado cuenta con normativa y planes de regulación y fiscalización de l</w:t>
      </w:r>
      <w:r w:rsidR="00BE16CB">
        <w:rPr>
          <w:rFonts w:ascii="Cambria" w:hAnsi="Cambria"/>
          <w:color w:val="000000" w:themeColor="text1"/>
          <w:sz w:val="20"/>
          <w:szCs w:val="20"/>
          <w:lang w:val="es-VE"/>
        </w:rPr>
        <w:t>as aseguradoras</w:t>
      </w:r>
      <w:r w:rsidR="0058744E">
        <w:rPr>
          <w:rFonts w:ascii="Cambria" w:hAnsi="Cambria"/>
          <w:color w:val="000000" w:themeColor="text1"/>
          <w:sz w:val="20"/>
          <w:szCs w:val="20"/>
          <w:lang w:val="es-VE"/>
        </w:rPr>
        <w:t xml:space="preserve"> de salud, </w:t>
      </w:r>
      <w:r w:rsidR="00BF03E3">
        <w:rPr>
          <w:rFonts w:ascii="Cambria" w:hAnsi="Cambria"/>
          <w:color w:val="000000" w:themeColor="text1"/>
          <w:sz w:val="20"/>
          <w:szCs w:val="20"/>
          <w:lang w:val="es-VE"/>
        </w:rPr>
        <w:t xml:space="preserve">lo </w:t>
      </w:r>
      <w:r w:rsidR="0058744E">
        <w:rPr>
          <w:rFonts w:ascii="Cambria" w:hAnsi="Cambria"/>
          <w:color w:val="000000" w:themeColor="text1"/>
          <w:sz w:val="20"/>
          <w:szCs w:val="20"/>
          <w:lang w:val="es-VE"/>
        </w:rPr>
        <w:t xml:space="preserve">que incluye la </w:t>
      </w:r>
      <w:r w:rsidR="00BE16CB">
        <w:rPr>
          <w:rFonts w:ascii="Cambria" w:hAnsi="Cambria"/>
          <w:color w:val="000000" w:themeColor="text1"/>
          <w:sz w:val="20"/>
          <w:szCs w:val="20"/>
          <w:lang w:val="es-VE"/>
        </w:rPr>
        <w:t>creación de</w:t>
      </w:r>
      <w:r w:rsidR="00141440">
        <w:rPr>
          <w:rFonts w:ascii="Cambria" w:hAnsi="Cambria"/>
          <w:color w:val="000000" w:themeColor="text1"/>
          <w:sz w:val="20"/>
          <w:szCs w:val="20"/>
          <w:lang w:val="es-VE"/>
        </w:rPr>
        <w:t xml:space="preserve"> </w:t>
      </w:r>
      <w:r w:rsidR="00BE16CB">
        <w:rPr>
          <w:rFonts w:ascii="Cambria" w:hAnsi="Cambria"/>
          <w:color w:val="000000" w:themeColor="text1"/>
          <w:sz w:val="20"/>
          <w:szCs w:val="20"/>
          <w:lang w:val="es-VE"/>
        </w:rPr>
        <w:t>l</w:t>
      </w:r>
      <w:r w:rsidR="00141440">
        <w:rPr>
          <w:rFonts w:ascii="Cambria" w:hAnsi="Cambria"/>
          <w:color w:val="000000" w:themeColor="text1"/>
          <w:sz w:val="20"/>
          <w:szCs w:val="20"/>
          <w:lang w:val="es-VE"/>
        </w:rPr>
        <w:t>a propia</w:t>
      </w:r>
      <w:r w:rsidR="00BE16CB">
        <w:rPr>
          <w:rFonts w:ascii="Cambria" w:hAnsi="Cambria"/>
          <w:color w:val="000000" w:themeColor="text1"/>
          <w:sz w:val="20"/>
          <w:szCs w:val="20"/>
          <w:lang w:val="es-VE"/>
        </w:rPr>
        <w:t xml:space="preserve"> </w:t>
      </w:r>
      <w:r w:rsidR="0058744E">
        <w:rPr>
          <w:rFonts w:ascii="Cambria" w:hAnsi="Cambria"/>
          <w:color w:val="000000" w:themeColor="text1"/>
          <w:sz w:val="20"/>
          <w:szCs w:val="20"/>
          <w:lang w:val="es-VE"/>
        </w:rPr>
        <w:t xml:space="preserve">CAEC. Indicó que la calificación de una enfermedad como “crónica” recae sobre </w:t>
      </w:r>
      <w:r w:rsidR="008D1454">
        <w:rPr>
          <w:rFonts w:ascii="Cambria" w:hAnsi="Cambria"/>
          <w:color w:val="000000" w:themeColor="text1"/>
          <w:sz w:val="20"/>
          <w:szCs w:val="20"/>
          <w:lang w:val="es-VE"/>
        </w:rPr>
        <w:t>la Isapre y que</w:t>
      </w:r>
      <w:r w:rsidR="00BF03E3">
        <w:rPr>
          <w:rFonts w:ascii="Cambria" w:hAnsi="Cambria"/>
          <w:color w:val="000000" w:themeColor="text1"/>
          <w:sz w:val="20"/>
          <w:szCs w:val="20"/>
          <w:lang w:val="es-VE"/>
        </w:rPr>
        <w:t>,</w:t>
      </w:r>
      <w:r w:rsidR="008D1454">
        <w:rPr>
          <w:rFonts w:ascii="Cambria" w:hAnsi="Cambria"/>
          <w:color w:val="000000" w:themeColor="text1"/>
          <w:sz w:val="20"/>
          <w:szCs w:val="20"/>
          <w:lang w:val="es-VE"/>
        </w:rPr>
        <w:t xml:space="preserve"> </w:t>
      </w:r>
      <w:r w:rsidR="00556B68">
        <w:rPr>
          <w:rFonts w:ascii="Cambria" w:hAnsi="Cambria"/>
          <w:color w:val="000000" w:themeColor="text1"/>
          <w:sz w:val="20"/>
          <w:szCs w:val="20"/>
          <w:lang w:val="es-VE"/>
        </w:rPr>
        <w:t>ante el desacuerdo existen vías de re</w:t>
      </w:r>
      <w:r w:rsidR="007D17A7">
        <w:rPr>
          <w:rFonts w:ascii="Cambria" w:hAnsi="Cambria"/>
          <w:color w:val="000000" w:themeColor="text1"/>
          <w:sz w:val="20"/>
          <w:szCs w:val="20"/>
          <w:lang w:val="es-VE"/>
        </w:rPr>
        <w:t xml:space="preserve">clamo ante la Superintendencia o la justicia ordinaria. </w:t>
      </w:r>
    </w:p>
    <w:p w:rsidR="00966B0A" w:rsidRDefault="00966B0A" w:rsidP="00966B0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556B68" w:rsidRPr="00F37D1A" w:rsidRDefault="00BF03E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Alegó </w:t>
      </w:r>
      <w:r w:rsidR="007D17A7" w:rsidRPr="007D17A7">
        <w:rPr>
          <w:rFonts w:ascii="Cambria" w:hAnsi="Cambria"/>
          <w:color w:val="000000" w:themeColor="text1"/>
          <w:sz w:val="20"/>
          <w:szCs w:val="20"/>
          <w:lang w:val="es-VE"/>
        </w:rPr>
        <w:t>que la parte peticionaria no</w:t>
      </w:r>
      <w:r>
        <w:rPr>
          <w:rFonts w:ascii="Cambria" w:hAnsi="Cambria"/>
          <w:color w:val="000000" w:themeColor="text1"/>
          <w:sz w:val="20"/>
          <w:szCs w:val="20"/>
          <w:lang w:val="es-VE"/>
        </w:rPr>
        <w:t xml:space="preserve"> señaló</w:t>
      </w:r>
      <w:r w:rsidR="007D17A7" w:rsidRPr="007D17A7">
        <w:rPr>
          <w:rFonts w:ascii="Cambria" w:hAnsi="Cambria"/>
          <w:color w:val="000000" w:themeColor="text1"/>
          <w:sz w:val="20"/>
          <w:szCs w:val="20"/>
          <w:lang w:val="es-VE"/>
        </w:rPr>
        <w:t xml:space="preserve"> de modo explícito </w:t>
      </w:r>
      <w:r w:rsidR="007D17A7">
        <w:rPr>
          <w:rFonts w:ascii="Cambria" w:hAnsi="Cambria"/>
          <w:color w:val="000000" w:themeColor="text1"/>
          <w:sz w:val="20"/>
          <w:szCs w:val="20"/>
          <w:lang w:val="es-VE"/>
        </w:rPr>
        <w:t>qué norma adoptada por el Estado es contraria a la Convención, por lo que no existe</w:t>
      </w:r>
      <w:r>
        <w:rPr>
          <w:rFonts w:ascii="Cambria" w:hAnsi="Cambria"/>
          <w:color w:val="000000" w:themeColor="text1"/>
          <w:sz w:val="20"/>
          <w:szCs w:val="20"/>
          <w:lang w:val="es-VE"/>
        </w:rPr>
        <w:t>n</w:t>
      </w:r>
      <w:r w:rsidR="007D17A7">
        <w:rPr>
          <w:rFonts w:ascii="Cambria" w:hAnsi="Cambria"/>
          <w:color w:val="000000" w:themeColor="text1"/>
          <w:sz w:val="20"/>
          <w:szCs w:val="20"/>
          <w:lang w:val="es-VE"/>
        </w:rPr>
        <w:t xml:space="preserve"> fundamentos para alegar la vulneración del deber de adoptar disposiciones </w:t>
      </w:r>
      <w:r w:rsidR="00DB5D83">
        <w:rPr>
          <w:rFonts w:ascii="Cambria" w:hAnsi="Cambria"/>
          <w:color w:val="000000" w:themeColor="text1"/>
          <w:sz w:val="20"/>
          <w:szCs w:val="20"/>
          <w:lang w:val="es-VE"/>
        </w:rPr>
        <w:t>en relación con los derechos a la</w:t>
      </w:r>
      <w:r w:rsidR="00966B0A">
        <w:rPr>
          <w:rFonts w:ascii="Cambria" w:hAnsi="Cambria"/>
          <w:color w:val="000000" w:themeColor="text1"/>
          <w:sz w:val="20"/>
          <w:szCs w:val="20"/>
          <w:lang w:val="es-VE"/>
        </w:rPr>
        <w:t xml:space="preserve"> vida </w:t>
      </w:r>
      <w:r w:rsidR="00EB5D0B">
        <w:rPr>
          <w:rFonts w:ascii="Cambria" w:hAnsi="Cambria"/>
          <w:color w:val="000000" w:themeColor="text1"/>
          <w:sz w:val="20"/>
          <w:szCs w:val="20"/>
          <w:lang w:val="es-VE"/>
        </w:rPr>
        <w:t xml:space="preserve">e </w:t>
      </w:r>
      <w:r w:rsidR="00966B0A">
        <w:rPr>
          <w:rFonts w:ascii="Cambria" w:hAnsi="Cambria"/>
          <w:color w:val="000000" w:themeColor="text1"/>
          <w:sz w:val="20"/>
          <w:szCs w:val="20"/>
          <w:lang w:val="es-VE"/>
        </w:rPr>
        <w:t>integridad. A</w:t>
      </w:r>
      <w:r w:rsidR="00922587">
        <w:rPr>
          <w:rFonts w:ascii="Cambria" w:hAnsi="Cambria"/>
          <w:color w:val="000000" w:themeColor="text1"/>
          <w:sz w:val="20"/>
          <w:szCs w:val="20"/>
          <w:lang w:val="es-VE"/>
        </w:rPr>
        <w:t>l</w:t>
      </w:r>
      <w:r w:rsidR="00966B0A">
        <w:rPr>
          <w:rFonts w:ascii="Cambria" w:hAnsi="Cambria"/>
          <w:color w:val="000000" w:themeColor="text1"/>
          <w:sz w:val="20"/>
          <w:szCs w:val="20"/>
          <w:lang w:val="es-VE"/>
        </w:rPr>
        <w:t xml:space="preserve"> respecto el Estado señaló “que </w:t>
      </w:r>
      <w:r w:rsidR="00966B0A" w:rsidRPr="00F37D1A">
        <w:rPr>
          <w:rFonts w:ascii="Cambria" w:hAnsi="Cambria"/>
          <w:color w:val="000000" w:themeColor="text1"/>
          <w:sz w:val="20"/>
          <w:szCs w:val="20"/>
          <w:lang w:val="es-VE"/>
        </w:rPr>
        <w:t xml:space="preserve">ha desarrollado tanto legislación como institucionalidad </w:t>
      </w:r>
      <w:r w:rsidR="002504B4" w:rsidRPr="00F37D1A">
        <w:rPr>
          <w:rFonts w:ascii="Cambria" w:hAnsi="Cambria"/>
          <w:color w:val="000000" w:themeColor="text1"/>
          <w:sz w:val="20"/>
          <w:szCs w:val="20"/>
          <w:lang w:val="es-VE"/>
        </w:rPr>
        <w:t xml:space="preserve">en pos de respetar y garantizar la protección de las niñas, niños y adolescentes”. </w:t>
      </w:r>
    </w:p>
    <w:p w:rsidR="007500E6" w:rsidRPr="00F37D1A" w:rsidRDefault="007500E6" w:rsidP="007500E6">
      <w:pPr>
        <w:pStyle w:val="ListParagraph"/>
        <w:rPr>
          <w:color w:val="000000" w:themeColor="text1"/>
          <w:sz w:val="20"/>
          <w:szCs w:val="20"/>
          <w:lang w:val="es-VE"/>
        </w:rPr>
      </w:pPr>
    </w:p>
    <w:p w:rsidR="007500E6" w:rsidRPr="00F37D1A" w:rsidRDefault="007500E6"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F37D1A">
        <w:rPr>
          <w:rFonts w:ascii="Cambria" w:hAnsi="Cambria"/>
          <w:color w:val="000000" w:themeColor="text1"/>
          <w:sz w:val="20"/>
          <w:szCs w:val="20"/>
          <w:lang w:val="es-VE"/>
        </w:rPr>
        <w:t xml:space="preserve">Señaló que garantizó el derecho a la justicia para la reclamación de decisiones adoptadas por las Isapres con el proceso arbitral ante la Superintendencia </w:t>
      </w:r>
      <w:r w:rsidR="00D05850" w:rsidRPr="00F37D1A">
        <w:rPr>
          <w:rFonts w:ascii="Cambria" w:hAnsi="Cambria"/>
          <w:color w:val="000000" w:themeColor="text1"/>
          <w:sz w:val="20"/>
          <w:szCs w:val="20"/>
          <w:lang w:val="es-VE"/>
        </w:rPr>
        <w:t xml:space="preserve">de Salud que goza de instancia probatoria y garantía de doble instancia. Agregó que pese a que la acción de protección en el presente caso tuvo un resultado negativo, la activación de esta jurisdicción no extinguió el derecho de la presunta víctima ante la Superintendencia, la que finalmente le dio la razón en su reclamación. </w:t>
      </w:r>
    </w:p>
    <w:p w:rsidR="002504B4" w:rsidRDefault="002504B4" w:rsidP="002504B4">
      <w:pPr>
        <w:pStyle w:val="ListParagraph"/>
        <w:rPr>
          <w:color w:val="000000" w:themeColor="text1"/>
          <w:sz w:val="20"/>
          <w:szCs w:val="20"/>
          <w:lang w:val="es-VE"/>
        </w:rPr>
      </w:pPr>
    </w:p>
    <w:p w:rsidR="002504B4" w:rsidRDefault="002504B4"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Señaló que Chile ha manifestado su voluntad expresa de no brindar competencia</w:t>
      </w:r>
      <w:r w:rsidR="00EB5D0B">
        <w:rPr>
          <w:rFonts w:ascii="Cambria" w:hAnsi="Cambria"/>
          <w:color w:val="000000" w:themeColor="text1"/>
          <w:sz w:val="20"/>
          <w:szCs w:val="20"/>
          <w:lang w:val="es-VE"/>
        </w:rPr>
        <w:t>s</w:t>
      </w:r>
      <w:r>
        <w:rPr>
          <w:rFonts w:ascii="Cambria" w:hAnsi="Cambria"/>
          <w:color w:val="000000" w:themeColor="text1"/>
          <w:sz w:val="20"/>
          <w:szCs w:val="20"/>
          <w:lang w:val="es-VE"/>
        </w:rPr>
        <w:t xml:space="preserve"> a organismos internacionales con relación a los derechos económicos, sociales y culturales</w:t>
      </w:r>
      <w:r w:rsidR="00737294">
        <w:rPr>
          <w:rFonts w:ascii="Cambria" w:hAnsi="Cambria"/>
          <w:color w:val="000000" w:themeColor="text1"/>
          <w:sz w:val="20"/>
          <w:szCs w:val="20"/>
          <w:lang w:val="es-VE"/>
        </w:rPr>
        <w:t xml:space="preserve">. Asimismo, indicó que no existe </w:t>
      </w:r>
      <w:r w:rsidR="00922587">
        <w:rPr>
          <w:rFonts w:ascii="Cambria" w:hAnsi="Cambria"/>
          <w:color w:val="000000" w:themeColor="text1"/>
          <w:sz w:val="20"/>
          <w:szCs w:val="20"/>
          <w:lang w:val="es-VE"/>
        </w:rPr>
        <w:t xml:space="preserve">consentimiento </w:t>
      </w:r>
      <w:r w:rsidR="00737294">
        <w:rPr>
          <w:rFonts w:ascii="Cambria" w:hAnsi="Cambria"/>
          <w:color w:val="000000" w:themeColor="text1"/>
          <w:sz w:val="20"/>
          <w:szCs w:val="20"/>
          <w:lang w:val="es-VE"/>
        </w:rPr>
        <w:t>en el sistema interamericano para el litigio de casos en relación con el derecho a la salud y el derecho a la seguridad social, y que el argumento de la “in</w:t>
      </w:r>
      <w:r w:rsidR="003277CF">
        <w:rPr>
          <w:rFonts w:ascii="Cambria" w:hAnsi="Cambria"/>
          <w:color w:val="000000" w:themeColor="text1"/>
          <w:sz w:val="20"/>
          <w:szCs w:val="20"/>
          <w:lang w:val="es-VE"/>
        </w:rPr>
        <w:t>di</w:t>
      </w:r>
      <w:r w:rsidR="00737294">
        <w:rPr>
          <w:rFonts w:ascii="Cambria" w:hAnsi="Cambria"/>
          <w:color w:val="000000" w:themeColor="text1"/>
          <w:sz w:val="20"/>
          <w:szCs w:val="20"/>
          <w:lang w:val="es-VE"/>
        </w:rPr>
        <w:t xml:space="preserve">visibilidad de los derechos humanos” no es suficiente para alegar vulneraciones al derecho a la salud. </w:t>
      </w:r>
      <w:r w:rsidR="00922587">
        <w:rPr>
          <w:rFonts w:ascii="Cambria" w:hAnsi="Cambria"/>
          <w:color w:val="000000" w:themeColor="text1"/>
          <w:sz w:val="20"/>
          <w:szCs w:val="20"/>
          <w:lang w:val="es-VE"/>
        </w:rPr>
        <w:t xml:space="preserve">Concluyó señalando que Chile “apoya la justiciabilidad de los DESC vía conexión con los derechos civiles y políticos, mas no reconoce la competencia de los órganos de protección del SIDH para declarar la vulneración del Art. 26 de la CADH en forma directa”. </w:t>
      </w:r>
    </w:p>
    <w:p w:rsidR="00954E23" w:rsidRDefault="00954E23" w:rsidP="00954E23">
      <w:pPr>
        <w:pStyle w:val="ListParagraph"/>
        <w:rPr>
          <w:color w:val="000000" w:themeColor="text1"/>
          <w:sz w:val="20"/>
          <w:szCs w:val="20"/>
          <w:lang w:val="es-VE"/>
        </w:rPr>
      </w:pPr>
    </w:p>
    <w:p w:rsidR="00BA05ED" w:rsidRPr="00EB5D26" w:rsidRDefault="00954E2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FF0000"/>
          <w:sz w:val="20"/>
          <w:szCs w:val="20"/>
          <w:lang w:val="es-AR"/>
        </w:rPr>
      </w:pPr>
      <w:r w:rsidRPr="00BA05ED">
        <w:rPr>
          <w:rFonts w:ascii="Cambria" w:hAnsi="Cambria"/>
          <w:color w:val="000000" w:themeColor="text1"/>
          <w:sz w:val="20"/>
          <w:szCs w:val="20"/>
          <w:lang w:val="es-VE"/>
        </w:rPr>
        <w:t xml:space="preserve">Alegó que el desarrollo del sistema de salud chileno “ha sido progresivo y permanente y esto es posible verificarlo a través de la adopción de diversas medidas vinculadas con las siguientes materias: (i) infraestructura; (ii) cobertura y derechos de las personas usuarias del sistema de salud; y (iii) presupuesto” y que su sistema de salud se encuentra entre los más eficientes del mundo. </w:t>
      </w:r>
      <w:r w:rsidR="009B5CB2" w:rsidRPr="00BA05ED">
        <w:rPr>
          <w:rFonts w:ascii="Cambria" w:hAnsi="Cambria"/>
          <w:color w:val="000000" w:themeColor="text1"/>
          <w:sz w:val="20"/>
          <w:szCs w:val="20"/>
          <w:lang w:val="es-VE"/>
        </w:rPr>
        <w:t>Reiteró los diferentes órganos, leyes  y políticas respecto de sistema de salud en general, indicando la “voluntad estatal de garantizar progresivamente el derecho a la salud a través de medidas legislativas que aseguran la impartición de una atención de salud de forma oportuna y sin discriminación a todas las personas que residen en el territorio nacional, de conformidad a los tratados internacionales que han sido ratific</w:t>
      </w:r>
      <w:r w:rsidR="00BA05ED" w:rsidRPr="00BA05ED">
        <w:rPr>
          <w:rFonts w:ascii="Cambria" w:hAnsi="Cambria"/>
          <w:color w:val="000000" w:themeColor="text1"/>
          <w:sz w:val="20"/>
          <w:szCs w:val="20"/>
          <w:lang w:val="es-VE"/>
        </w:rPr>
        <w:t xml:space="preserve">ados y se encuentran vigentes”. </w:t>
      </w:r>
      <w:r w:rsidR="00BA05ED" w:rsidRPr="00BA05ED">
        <w:rPr>
          <w:rFonts w:asciiTheme="majorHAnsi" w:hAnsiTheme="majorHAnsi"/>
          <w:sz w:val="20"/>
          <w:szCs w:val="20"/>
          <w:lang w:val="es-ES_tradnl"/>
        </w:rPr>
        <w:t>Señaló los instrumentos e instituciones que considera que forman parte de su política nacional de salud y mencionó que en el sistema de salud chileno, en su faceta pública, ha tenido un desarrollo progresivo y permanente a través de medidas vinculadas con la infraestructura, cobertura y derechos de las personas usuarias del sistema de salud y presupuesto. Asimismo, señaló que desde la reforma de salud de 2005, se adoptó la Ley 19.966 sobre Garantías Explícitas en Salud (CAEC-GES), la Ley 20.584 que regula los derechos y deberes respecto al acceso a información sobre su situación clínica. Adicionalmente, el Estado también señaló que existe un Plan de Acceso Universal a Garantías Explícitas en Salud (AUGE) que establece un grupo de enfermedades que deben ser cubiertas por todos los seguros, un Sistema de Protección Financiera para diagnósticos y tratamientos de alto costo, así como la definición de estándares de calidad para prestadores de salud, entre otras medidas para mejorar la atención de la salud de su población</w:t>
      </w:r>
      <w:r w:rsidR="00EB5D26">
        <w:rPr>
          <w:rFonts w:asciiTheme="majorHAnsi" w:hAnsiTheme="majorHAnsi"/>
          <w:sz w:val="20"/>
          <w:szCs w:val="20"/>
          <w:lang w:val="es-ES_tradnl"/>
        </w:rPr>
        <w:t>.</w:t>
      </w:r>
    </w:p>
    <w:p w:rsidR="00EB5D26" w:rsidRDefault="00EB5D26" w:rsidP="00EB5D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5E6296" w:rsidRDefault="005E6296" w:rsidP="00EB5D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5E6296" w:rsidRDefault="005E6296" w:rsidP="00EB5D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5E6296" w:rsidRDefault="005E6296" w:rsidP="00EB5D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D12193" w:rsidRDefault="00D12193" w:rsidP="00C505E4">
      <w:pPr>
        <w:pStyle w:val="Heading1"/>
        <w:rPr>
          <w:lang w:val="es-ES_tradnl"/>
        </w:rPr>
      </w:pPr>
      <w:bookmarkStart w:id="6" w:name="_Toc531880116"/>
      <w:r w:rsidRPr="00E909AA">
        <w:rPr>
          <w:lang w:val="es-ES_tradnl"/>
        </w:rPr>
        <w:t>DETERMINACIONES DE HECHO</w:t>
      </w:r>
      <w:bookmarkEnd w:id="6"/>
    </w:p>
    <w:p w:rsidR="007C756A" w:rsidRDefault="007C756A" w:rsidP="00815021">
      <w:pPr>
        <w:rPr>
          <w:rFonts w:asciiTheme="majorHAnsi" w:hAnsiTheme="majorHAnsi"/>
          <w:b/>
          <w:sz w:val="20"/>
          <w:szCs w:val="20"/>
          <w:lang w:val="es-ES_tradnl"/>
        </w:rPr>
      </w:pPr>
    </w:p>
    <w:p w:rsidR="00815021" w:rsidRDefault="00D47930" w:rsidP="00F5400E">
      <w:pPr>
        <w:pStyle w:val="Heading1"/>
        <w:numPr>
          <w:ilvl w:val="0"/>
          <w:numId w:val="58"/>
        </w:numPr>
        <w:rPr>
          <w:lang w:val="es-ES_tradnl"/>
        </w:rPr>
      </w:pPr>
      <w:bookmarkStart w:id="7" w:name="_Toc531880117"/>
      <w:r>
        <w:rPr>
          <w:lang w:val="es-ES_tradnl"/>
        </w:rPr>
        <w:t>Antecedentes</w:t>
      </w:r>
      <w:bookmarkEnd w:id="7"/>
    </w:p>
    <w:p w:rsidR="00C65A69" w:rsidRDefault="00C65A69" w:rsidP="00C65A6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1F07F1" w:rsidRDefault="004F12D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 </w:t>
      </w:r>
      <w:r w:rsidR="00221DE3">
        <w:rPr>
          <w:rFonts w:ascii="Cambria" w:hAnsi="Cambria"/>
          <w:color w:val="000000" w:themeColor="text1"/>
          <w:sz w:val="20"/>
          <w:szCs w:val="20"/>
          <w:lang w:val="es-VE"/>
        </w:rPr>
        <w:t xml:space="preserve">De acuerdo con la información aportada por las partes, el sistema de salud chileno se </w:t>
      </w:r>
      <w:r w:rsidR="00DA1086">
        <w:rPr>
          <w:rFonts w:ascii="Cambria" w:hAnsi="Cambria"/>
          <w:color w:val="000000" w:themeColor="text1"/>
          <w:sz w:val="20"/>
          <w:szCs w:val="20"/>
          <w:lang w:val="es-VE"/>
        </w:rPr>
        <w:t>compone</w:t>
      </w:r>
      <w:r w:rsidR="00221DE3">
        <w:rPr>
          <w:rFonts w:ascii="Cambria" w:hAnsi="Cambria"/>
          <w:color w:val="000000" w:themeColor="text1"/>
          <w:sz w:val="20"/>
          <w:szCs w:val="20"/>
          <w:lang w:val="es-VE"/>
        </w:rPr>
        <w:t xml:space="preserve"> </w:t>
      </w:r>
      <w:r w:rsidR="00DA1086">
        <w:rPr>
          <w:rFonts w:ascii="Cambria" w:hAnsi="Cambria"/>
          <w:color w:val="000000" w:themeColor="text1"/>
          <w:sz w:val="20"/>
          <w:szCs w:val="20"/>
          <w:lang w:val="es-VE"/>
        </w:rPr>
        <w:t>de</w:t>
      </w:r>
      <w:r w:rsidR="00221DE3">
        <w:rPr>
          <w:rFonts w:ascii="Cambria" w:hAnsi="Cambria"/>
          <w:color w:val="000000" w:themeColor="text1"/>
          <w:sz w:val="20"/>
          <w:szCs w:val="20"/>
          <w:lang w:val="es-VE"/>
        </w:rPr>
        <w:t xml:space="preserve"> </w:t>
      </w:r>
      <w:r w:rsidR="004D43E4">
        <w:rPr>
          <w:rFonts w:ascii="Cambria" w:hAnsi="Cambria"/>
          <w:color w:val="000000" w:themeColor="text1"/>
          <w:sz w:val="20"/>
          <w:szCs w:val="20"/>
          <w:lang w:val="es-VE"/>
        </w:rPr>
        <w:t>aseguradora</w:t>
      </w:r>
      <w:r w:rsidR="006C36C8">
        <w:rPr>
          <w:rFonts w:ascii="Cambria" w:hAnsi="Cambria"/>
          <w:color w:val="000000" w:themeColor="text1"/>
          <w:sz w:val="20"/>
          <w:szCs w:val="20"/>
          <w:lang w:val="es-VE"/>
        </w:rPr>
        <w:t xml:space="preserve">s y </w:t>
      </w:r>
      <w:r w:rsidR="00221DE3">
        <w:rPr>
          <w:rFonts w:ascii="Cambria" w:hAnsi="Cambria"/>
          <w:color w:val="000000" w:themeColor="text1"/>
          <w:sz w:val="20"/>
          <w:szCs w:val="20"/>
          <w:lang w:val="es-VE"/>
        </w:rPr>
        <w:t>prestador</w:t>
      </w:r>
      <w:r w:rsidR="004D43E4">
        <w:rPr>
          <w:rFonts w:ascii="Cambria" w:hAnsi="Cambria"/>
          <w:color w:val="000000" w:themeColor="text1"/>
          <w:sz w:val="20"/>
          <w:szCs w:val="20"/>
          <w:lang w:val="es-VE"/>
        </w:rPr>
        <w:t>a</w:t>
      </w:r>
      <w:r w:rsidR="00221DE3">
        <w:rPr>
          <w:rFonts w:ascii="Cambria" w:hAnsi="Cambria"/>
          <w:color w:val="000000" w:themeColor="text1"/>
          <w:sz w:val="20"/>
          <w:szCs w:val="20"/>
          <w:lang w:val="es-VE"/>
        </w:rPr>
        <w:t>s del servicio</w:t>
      </w:r>
      <w:r w:rsidR="006C36C8">
        <w:rPr>
          <w:rFonts w:ascii="Cambria" w:hAnsi="Cambria"/>
          <w:color w:val="000000" w:themeColor="text1"/>
          <w:sz w:val="20"/>
          <w:szCs w:val="20"/>
          <w:lang w:val="es-VE"/>
        </w:rPr>
        <w:t>, cuya</w:t>
      </w:r>
      <w:r w:rsidR="00221DE3">
        <w:rPr>
          <w:rFonts w:ascii="Cambria" w:hAnsi="Cambria"/>
          <w:color w:val="000000" w:themeColor="text1"/>
          <w:sz w:val="20"/>
          <w:szCs w:val="20"/>
          <w:lang w:val="es-VE"/>
        </w:rPr>
        <w:t xml:space="preserve"> naturaleza puede </w:t>
      </w:r>
      <w:r w:rsidR="00DA1086">
        <w:rPr>
          <w:rFonts w:ascii="Cambria" w:hAnsi="Cambria"/>
          <w:color w:val="000000" w:themeColor="text1"/>
          <w:sz w:val="20"/>
          <w:szCs w:val="20"/>
          <w:lang w:val="es-VE"/>
        </w:rPr>
        <w:t xml:space="preserve">ser </w:t>
      </w:r>
      <w:r w:rsidR="00221DE3">
        <w:rPr>
          <w:rFonts w:ascii="Cambria" w:hAnsi="Cambria"/>
          <w:color w:val="000000" w:themeColor="text1"/>
          <w:sz w:val="20"/>
          <w:szCs w:val="20"/>
          <w:lang w:val="es-VE"/>
        </w:rPr>
        <w:t>p</w:t>
      </w:r>
      <w:r w:rsidR="00120762">
        <w:rPr>
          <w:rFonts w:ascii="Cambria" w:hAnsi="Cambria"/>
          <w:color w:val="000000" w:themeColor="text1"/>
          <w:sz w:val="20"/>
          <w:szCs w:val="20"/>
          <w:lang w:val="es-VE"/>
        </w:rPr>
        <w:t>ública</w:t>
      </w:r>
      <w:r w:rsidR="00221DE3">
        <w:rPr>
          <w:rFonts w:ascii="Cambria" w:hAnsi="Cambria"/>
          <w:color w:val="000000" w:themeColor="text1"/>
          <w:sz w:val="20"/>
          <w:szCs w:val="20"/>
          <w:lang w:val="es-VE"/>
        </w:rPr>
        <w:t xml:space="preserve"> o privad</w:t>
      </w:r>
      <w:r w:rsidR="00120762">
        <w:rPr>
          <w:rFonts w:ascii="Cambria" w:hAnsi="Cambria"/>
          <w:color w:val="000000" w:themeColor="text1"/>
          <w:sz w:val="20"/>
          <w:szCs w:val="20"/>
          <w:lang w:val="es-VE"/>
        </w:rPr>
        <w:t>a</w:t>
      </w:r>
      <w:r w:rsidR="00221DE3">
        <w:rPr>
          <w:rFonts w:ascii="Cambria" w:hAnsi="Cambria"/>
          <w:color w:val="000000" w:themeColor="text1"/>
          <w:sz w:val="20"/>
          <w:szCs w:val="20"/>
          <w:lang w:val="es-VE"/>
        </w:rPr>
        <w:t xml:space="preserve">. </w:t>
      </w:r>
      <w:r w:rsidR="00120762">
        <w:rPr>
          <w:rFonts w:ascii="Cambria" w:hAnsi="Cambria"/>
          <w:color w:val="000000" w:themeColor="text1"/>
          <w:sz w:val="20"/>
          <w:szCs w:val="20"/>
          <w:lang w:val="es-VE"/>
        </w:rPr>
        <w:t>En el caso de las aseguradoras privadas, la</w:t>
      </w:r>
      <w:r w:rsidR="004D43E4">
        <w:rPr>
          <w:rFonts w:ascii="Cambria" w:hAnsi="Cambria"/>
          <w:color w:val="000000" w:themeColor="text1"/>
          <w:sz w:val="20"/>
          <w:szCs w:val="20"/>
          <w:lang w:val="es-VE"/>
        </w:rPr>
        <w:t>s</w:t>
      </w:r>
      <w:r w:rsidR="00120762">
        <w:rPr>
          <w:rFonts w:ascii="Cambria" w:hAnsi="Cambria"/>
          <w:color w:val="000000" w:themeColor="text1"/>
          <w:sz w:val="20"/>
          <w:szCs w:val="20"/>
          <w:lang w:val="es-VE"/>
        </w:rPr>
        <w:t xml:space="preserve"> Isapres son entidades habilitadas para recibir las contribuciones provenientes de las </w:t>
      </w:r>
      <w:r w:rsidR="00122107">
        <w:rPr>
          <w:rFonts w:ascii="Cambria" w:hAnsi="Cambria"/>
          <w:color w:val="000000" w:themeColor="text1"/>
          <w:sz w:val="20"/>
          <w:szCs w:val="20"/>
          <w:lang w:val="es-VE"/>
        </w:rPr>
        <w:t>cotizaciones obligatorias de salud (7%  de la remuneración) y que se encuentran bajo la supervisión de la Superintendencia</w:t>
      </w:r>
      <w:r w:rsidR="00DA1086">
        <w:rPr>
          <w:rFonts w:ascii="Cambria" w:hAnsi="Cambria"/>
          <w:color w:val="000000" w:themeColor="text1"/>
          <w:sz w:val="20"/>
          <w:szCs w:val="20"/>
          <w:lang w:val="es-VE"/>
        </w:rPr>
        <w:t xml:space="preserve"> de Salud</w:t>
      </w:r>
      <w:r w:rsidR="008F6534">
        <w:rPr>
          <w:rStyle w:val="FootnoteReference"/>
          <w:rFonts w:ascii="Cambria" w:hAnsi="Cambria"/>
          <w:color w:val="000000" w:themeColor="text1"/>
          <w:sz w:val="20"/>
          <w:szCs w:val="20"/>
          <w:lang w:val="es-VE"/>
        </w:rPr>
        <w:footnoteReference w:id="6"/>
      </w:r>
      <w:r w:rsidR="00122107">
        <w:rPr>
          <w:rFonts w:ascii="Cambria" w:hAnsi="Cambria"/>
          <w:color w:val="000000" w:themeColor="text1"/>
          <w:sz w:val="20"/>
          <w:szCs w:val="20"/>
          <w:lang w:val="es-VE"/>
        </w:rPr>
        <w:t xml:space="preserve">. </w:t>
      </w:r>
      <w:r w:rsidR="008F6534" w:rsidRPr="00403F57">
        <w:rPr>
          <w:rFonts w:ascii="Cambria" w:hAnsi="Cambria"/>
          <w:color w:val="000000" w:themeColor="text1"/>
          <w:sz w:val="20"/>
          <w:szCs w:val="20"/>
          <w:lang w:val="es-VE"/>
        </w:rPr>
        <w:t xml:space="preserve">La parte peticionaria alegó que </w:t>
      </w:r>
      <w:r w:rsidR="008F6534">
        <w:rPr>
          <w:rFonts w:ascii="Cambria" w:hAnsi="Cambria"/>
          <w:color w:val="000000" w:themeColor="text1"/>
          <w:sz w:val="20"/>
          <w:szCs w:val="20"/>
          <w:lang w:val="es-VE"/>
        </w:rPr>
        <w:t xml:space="preserve">los sistemas de regulación y fiscalización del </w:t>
      </w:r>
      <w:r w:rsidR="008F6534" w:rsidRPr="00403F57">
        <w:rPr>
          <w:rFonts w:ascii="Cambria" w:hAnsi="Cambria"/>
          <w:color w:val="000000" w:themeColor="text1"/>
          <w:sz w:val="20"/>
          <w:szCs w:val="20"/>
          <w:lang w:val="es-VE"/>
        </w:rPr>
        <w:t xml:space="preserve">sistema </w:t>
      </w:r>
      <w:r w:rsidR="008F6534">
        <w:rPr>
          <w:rFonts w:ascii="Cambria" w:hAnsi="Cambria"/>
          <w:color w:val="000000" w:themeColor="text1"/>
          <w:sz w:val="20"/>
          <w:szCs w:val="20"/>
          <w:lang w:val="es-VE"/>
        </w:rPr>
        <w:t xml:space="preserve">privado </w:t>
      </w:r>
      <w:r w:rsidR="008F6534" w:rsidRPr="00403F57">
        <w:rPr>
          <w:rFonts w:ascii="Cambria" w:hAnsi="Cambria"/>
          <w:color w:val="000000" w:themeColor="text1"/>
          <w:sz w:val="20"/>
          <w:szCs w:val="20"/>
          <w:lang w:val="es-VE"/>
        </w:rPr>
        <w:t xml:space="preserve">de salud </w:t>
      </w:r>
      <w:r w:rsidR="008F6534">
        <w:rPr>
          <w:rFonts w:ascii="Cambria" w:hAnsi="Cambria"/>
          <w:color w:val="000000" w:themeColor="text1"/>
          <w:sz w:val="20"/>
          <w:szCs w:val="20"/>
          <w:lang w:val="es-VE"/>
        </w:rPr>
        <w:t>no aseguran el disfrute adecuado de</w:t>
      </w:r>
      <w:r w:rsidR="00601010">
        <w:rPr>
          <w:rFonts w:ascii="Cambria" w:hAnsi="Cambria"/>
          <w:color w:val="000000" w:themeColor="text1"/>
          <w:sz w:val="20"/>
          <w:szCs w:val="20"/>
          <w:lang w:val="es-VE"/>
        </w:rPr>
        <w:t xml:space="preserve"> </w:t>
      </w:r>
      <w:r w:rsidR="00E37FB2">
        <w:rPr>
          <w:rFonts w:ascii="Cambria" w:hAnsi="Cambria"/>
          <w:color w:val="000000" w:themeColor="text1"/>
          <w:sz w:val="20"/>
          <w:szCs w:val="20"/>
          <w:lang w:val="es-VE"/>
        </w:rPr>
        <w:t xml:space="preserve">los </w:t>
      </w:r>
      <w:r w:rsidR="00601010">
        <w:rPr>
          <w:rFonts w:ascii="Cambria" w:hAnsi="Cambria"/>
          <w:color w:val="000000" w:themeColor="text1"/>
          <w:sz w:val="20"/>
          <w:szCs w:val="20"/>
          <w:lang w:val="es-VE"/>
        </w:rPr>
        <w:t>servicios de salud</w:t>
      </w:r>
      <w:r w:rsidR="00E37FB2">
        <w:rPr>
          <w:rFonts w:ascii="Cambria" w:hAnsi="Cambria"/>
          <w:color w:val="000000" w:themeColor="text1"/>
          <w:sz w:val="20"/>
          <w:szCs w:val="20"/>
          <w:lang w:val="es-VE"/>
        </w:rPr>
        <w:t xml:space="preserve">, permitiendo </w:t>
      </w:r>
      <w:r w:rsidR="008F6534">
        <w:rPr>
          <w:rFonts w:ascii="Cambria" w:hAnsi="Cambria"/>
          <w:color w:val="000000" w:themeColor="text1"/>
          <w:sz w:val="20"/>
          <w:szCs w:val="20"/>
          <w:lang w:val="es-VE"/>
        </w:rPr>
        <w:t xml:space="preserve">que los derechos de los pacientes </w:t>
      </w:r>
      <w:r w:rsidR="00E37FB2">
        <w:rPr>
          <w:rFonts w:ascii="Cambria" w:hAnsi="Cambria"/>
          <w:color w:val="000000" w:themeColor="text1"/>
          <w:sz w:val="20"/>
          <w:szCs w:val="20"/>
          <w:lang w:val="es-VE"/>
        </w:rPr>
        <w:t xml:space="preserve">estén </w:t>
      </w:r>
      <w:r w:rsidR="008F6534">
        <w:rPr>
          <w:rFonts w:ascii="Cambria" w:hAnsi="Cambria"/>
          <w:color w:val="000000" w:themeColor="text1"/>
          <w:sz w:val="20"/>
          <w:szCs w:val="20"/>
          <w:lang w:val="es-VE"/>
        </w:rPr>
        <w:t xml:space="preserve"> subordinados a los intereses económicos de las Isapres</w:t>
      </w:r>
      <w:r w:rsidR="00A5588D">
        <w:rPr>
          <w:rStyle w:val="FootnoteReference"/>
          <w:rFonts w:ascii="Cambria" w:hAnsi="Cambria"/>
          <w:color w:val="000000" w:themeColor="text1"/>
          <w:sz w:val="20"/>
          <w:szCs w:val="20"/>
          <w:lang w:val="es-VE"/>
        </w:rPr>
        <w:footnoteReference w:id="7"/>
      </w:r>
      <w:r w:rsidR="008F6534">
        <w:rPr>
          <w:rFonts w:ascii="Cambria" w:hAnsi="Cambria"/>
          <w:color w:val="000000" w:themeColor="text1"/>
          <w:sz w:val="20"/>
          <w:szCs w:val="20"/>
          <w:lang w:val="es-VE"/>
        </w:rPr>
        <w:t xml:space="preserve">. </w:t>
      </w:r>
    </w:p>
    <w:p w:rsidR="00FD66DE" w:rsidRDefault="00FD66DE" w:rsidP="00FD66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EC292F" w:rsidRDefault="00FD66DE"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Por su lado, el Estado señaló que “cuenta con un sistema nacional de salud, regulado ampliamente, tanto</w:t>
      </w:r>
      <w:r w:rsidR="00D75D29">
        <w:rPr>
          <w:rFonts w:ascii="Cambria" w:hAnsi="Cambria"/>
          <w:color w:val="000000" w:themeColor="text1"/>
          <w:sz w:val="20"/>
          <w:szCs w:val="20"/>
          <w:lang w:val="es-VE"/>
        </w:rPr>
        <w:t xml:space="preserve"> en</w:t>
      </w:r>
      <w:r>
        <w:rPr>
          <w:rFonts w:ascii="Cambria" w:hAnsi="Cambria"/>
          <w:color w:val="000000" w:themeColor="text1"/>
          <w:sz w:val="20"/>
          <w:szCs w:val="20"/>
          <w:lang w:val="es-VE"/>
        </w:rPr>
        <w:t xml:space="preserve"> su área p</w:t>
      </w:r>
      <w:r w:rsidR="00D75D29">
        <w:rPr>
          <w:rFonts w:ascii="Cambria" w:hAnsi="Cambria"/>
          <w:color w:val="000000" w:themeColor="text1"/>
          <w:sz w:val="20"/>
          <w:szCs w:val="20"/>
          <w:lang w:val="es-VE"/>
        </w:rPr>
        <w:t>ública</w:t>
      </w:r>
      <w:r>
        <w:rPr>
          <w:rFonts w:ascii="Cambria" w:hAnsi="Cambria"/>
          <w:color w:val="000000" w:themeColor="text1"/>
          <w:sz w:val="20"/>
          <w:szCs w:val="20"/>
          <w:lang w:val="es-VE"/>
        </w:rPr>
        <w:t xml:space="preserve"> como privada”. </w:t>
      </w:r>
      <w:r w:rsidR="00EC292F">
        <w:rPr>
          <w:rFonts w:ascii="Cambria" w:hAnsi="Cambria"/>
          <w:color w:val="000000" w:themeColor="text1"/>
          <w:sz w:val="20"/>
          <w:szCs w:val="20"/>
          <w:lang w:val="es-VE"/>
        </w:rPr>
        <w:t>Este sistema “</w:t>
      </w:r>
      <w:r w:rsidR="0065027A">
        <w:rPr>
          <w:rFonts w:ascii="Cambria" w:hAnsi="Cambria"/>
          <w:color w:val="000000" w:themeColor="text1"/>
          <w:sz w:val="20"/>
          <w:szCs w:val="20"/>
          <w:lang w:val="es-VE"/>
        </w:rPr>
        <w:t>cuenta</w:t>
      </w:r>
      <w:r w:rsidR="00EC292F">
        <w:rPr>
          <w:rFonts w:ascii="Cambria" w:hAnsi="Cambria"/>
          <w:color w:val="000000" w:themeColor="text1"/>
          <w:sz w:val="20"/>
          <w:szCs w:val="20"/>
          <w:lang w:val="es-VE"/>
        </w:rPr>
        <w:t xml:space="preserve"> con la Superintendencia de Salud encargada de proteger y promover los derechos en salud de las personas</w:t>
      </w:r>
      <w:r w:rsidR="0065027A">
        <w:rPr>
          <w:rFonts w:ascii="Cambria" w:hAnsi="Cambria"/>
          <w:color w:val="000000" w:themeColor="text1"/>
          <w:sz w:val="20"/>
          <w:szCs w:val="20"/>
          <w:lang w:val="es-VE"/>
        </w:rPr>
        <w:t>” y con “l</w:t>
      </w:r>
      <w:r w:rsidR="00EC292F">
        <w:rPr>
          <w:rFonts w:ascii="Cambria" w:hAnsi="Cambria"/>
          <w:color w:val="000000" w:themeColor="text1"/>
          <w:sz w:val="20"/>
          <w:szCs w:val="20"/>
          <w:lang w:val="es-VE"/>
        </w:rPr>
        <w:t>a Intendencia de Fondos y Seguros Previsionales de salud [la que] fiscaliza que (…) [las] Isapres cumplan con otorgar a sus usuario</w:t>
      </w:r>
      <w:r w:rsidR="005E6296">
        <w:rPr>
          <w:rFonts w:ascii="Cambria" w:hAnsi="Cambria"/>
          <w:color w:val="000000" w:themeColor="text1"/>
          <w:sz w:val="20"/>
          <w:szCs w:val="20"/>
          <w:lang w:val="es-VE"/>
        </w:rPr>
        <w:t xml:space="preserve">s los derechos establecidos en </w:t>
      </w:r>
      <w:r w:rsidR="00EC292F">
        <w:rPr>
          <w:rFonts w:ascii="Cambria" w:hAnsi="Cambria"/>
          <w:color w:val="000000" w:themeColor="text1"/>
          <w:sz w:val="20"/>
          <w:szCs w:val="20"/>
          <w:lang w:val="es-VE"/>
        </w:rPr>
        <w:t>ley”</w:t>
      </w:r>
      <w:r w:rsidR="00EC292F">
        <w:rPr>
          <w:rStyle w:val="FootnoteReference"/>
          <w:rFonts w:ascii="Cambria" w:hAnsi="Cambria"/>
          <w:color w:val="000000" w:themeColor="text1"/>
          <w:sz w:val="20"/>
          <w:szCs w:val="20"/>
          <w:lang w:val="es-VE"/>
        </w:rPr>
        <w:footnoteReference w:id="8"/>
      </w:r>
      <w:r w:rsidR="00EC292F">
        <w:rPr>
          <w:rFonts w:ascii="Cambria" w:hAnsi="Cambria"/>
          <w:color w:val="000000" w:themeColor="text1"/>
          <w:sz w:val="20"/>
          <w:szCs w:val="20"/>
          <w:lang w:val="es-VE"/>
        </w:rPr>
        <w:t>.</w:t>
      </w:r>
      <w:r w:rsidR="00DA57FA">
        <w:rPr>
          <w:rFonts w:ascii="Cambria" w:hAnsi="Cambria"/>
          <w:color w:val="000000" w:themeColor="text1"/>
          <w:sz w:val="20"/>
          <w:szCs w:val="20"/>
          <w:lang w:val="es-VE"/>
        </w:rPr>
        <w:t xml:space="preserve"> </w:t>
      </w:r>
      <w:r w:rsidR="0087706F">
        <w:rPr>
          <w:rFonts w:ascii="Cambria" w:hAnsi="Cambria"/>
          <w:color w:val="000000" w:themeColor="text1"/>
          <w:sz w:val="20"/>
          <w:szCs w:val="20"/>
          <w:lang w:val="es-VE"/>
        </w:rPr>
        <w:t xml:space="preserve">Según </w:t>
      </w:r>
      <w:r w:rsidR="00ED48C9">
        <w:rPr>
          <w:rFonts w:ascii="Cambria" w:hAnsi="Cambria"/>
          <w:color w:val="000000" w:themeColor="text1"/>
          <w:sz w:val="20"/>
          <w:szCs w:val="20"/>
          <w:lang w:val="es-VE"/>
        </w:rPr>
        <w:t>el Estado</w:t>
      </w:r>
      <w:r w:rsidR="0087706F">
        <w:rPr>
          <w:rFonts w:ascii="Cambria" w:hAnsi="Cambria"/>
          <w:color w:val="000000" w:themeColor="text1"/>
          <w:sz w:val="20"/>
          <w:szCs w:val="20"/>
          <w:lang w:val="es-VE"/>
        </w:rPr>
        <w:t>, el sistema de salud gozaría de amplia cobertura y se encontraría calificado como uno de los más eficientes según calificadoras internacionales</w:t>
      </w:r>
      <w:r w:rsidR="0087706F">
        <w:rPr>
          <w:rStyle w:val="FootnoteReference"/>
          <w:rFonts w:ascii="Cambria" w:hAnsi="Cambria"/>
          <w:color w:val="000000" w:themeColor="text1"/>
          <w:sz w:val="20"/>
          <w:szCs w:val="20"/>
          <w:lang w:val="es-VE"/>
        </w:rPr>
        <w:footnoteReference w:id="9"/>
      </w:r>
      <w:r w:rsidR="0087706F">
        <w:rPr>
          <w:rFonts w:ascii="Cambria" w:hAnsi="Cambria"/>
          <w:color w:val="000000" w:themeColor="text1"/>
          <w:sz w:val="20"/>
          <w:szCs w:val="20"/>
          <w:lang w:val="es-VE"/>
        </w:rPr>
        <w:t xml:space="preserve">. </w:t>
      </w:r>
    </w:p>
    <w:p w:rsidR="0065027A" w:rsidRPr="00EC292F" w:rsidRDefault="0065027A" w:rsidP="0065027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5A619D" w:rsidRPr="00177E17" w:rsidRDefault="00177E1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De lo afirmado por ambas partes, l</w:t>
      </w:r>
      <w:r w:rsidR="0065027A">
        <w:rPr>
          <w:rFonts w:ascii="Cambria" w:hAnsi="Cambria"/>
          <w:color w:val="000000" w:themeColor="text1"/>
          <w:sz w:val="20"/>
          <w:szCs w:val="20"/>
          <w:lang w:val="es-VE"/>
        </w:rPr>
        <w:t xml:space="preserve">a Comisión </w:t>
      </w:r>
      <w:r w:rsidR="00ED48C9">
        <w:rPr>
          <w:rFonts w:ascii="Cambria" w:hAnsi="Cambria"/>
          <w:color w:val="000000" w:themeColor="text1"/>
          <w:sz w:val="20"/>
          <w:szCs w:val="20"/>
          <w:lang w:val="es-VE"/>
        </w:rPr>
        <w:t>observa</w:t>
      </w:r>
      <w:r w:rsidR="0065027A">
        <w:rPr>
          <w:rFonts w:ascii="Cambria" w:hAnsi="Cambria"/>
          <w:color w:val="000000" w:themeColor="text1"/>
          <w:sz w:val="20"/>
          <w:szCs w:val="20"/>
          <w:lang w:val="es-VE"/>
        </w:rPr>
        <w:t xml:space="preserve"> que el seguro de</w:t>
      </w:r>
      <w:r w:rsidR="003277CF">
        <w:rPr>
          <w:rFonts w:ascii="Cambria" w:hAnsi="Cambria"/>
          <w:color w:val="000000" w:themeColor="text1"/>
          <w:sz w:val="20"/>
          <w:szCs w:val="20"/>
          <w:lang w:val="es-VE"/>
        </w:rPr>
        <w:t xml:space="preserve"> salud</w:t>
      </w:r>
      <w:r w:rsidR="0065027A">
        <w:rPr>
          <w:rFonts w:ascii="Cambria" w:hAnsi="Cambria"/>
          <w:color w:val="000000" w:themeColor="text1"/>
          <w:sz w:val="20"/>
          <w:szCs w:val="20"/>
          <w:lang w:val="es-VE"/>
        </w:rPr>
        <w:t xml:space="preserve"> incluye </w:t>
      </w:r>
      <w:r w:rsidR="00565A8D">
        <w:rPr>
          <w:rFonts w:ascii="Cambria" w:hAnsi="Cambria"/>
          <w:color w:val="000000" w:themeColor="text1"/>
          <w:sz w:val="20"/>
          <w:szCs w:val="20"/>
          <w:lang w:val="es-VE"/>
        </w:rPr>
        <w:t xml:space="preserve">la opción adicional de contratación de </w:t>
      </w:r>
      <w:r w:rsidR="0065027A">
        <w:rPr>
          <w:rFonts w:ascii="Cambria" w:hAnsi="Cambria"/>
          <w:color w:val="000000" w:themeColor="text1"/>
          <w:sz w:val="20"/>
          <w:szCs w:val="20"/>
          <w:lang w:val="es-VE"/>
        </w:rPr>
        <w:t>una cobertura especial por enfermedades catastróficas, que supone el pago de una contraprestación adicional. La activación de</w:t>
      </w:r>
      <w:r w:rsidR="00141440">
        <w:rPr>
          <w:rFonts w:ascii="Cambria" w:hAnsi="Cambria"/>
          <w:color w:val="000000" w:themeColor="text1"/>
          <w:sz w:val="20"/>
          <w:szCs w:val="20"/>
          <w:lang w:val="es-VE"/>
        </w:rPr>
        <w:t xml:space="preserve"> </w:t>
      </w:r>
      <w:r w:rsidR="0065027A">
        <w:rPr>
          <w:rFonts w:ascii="Cambria" w:hAnsi="Cambria"/>
          <w:color w:val="000000" w:themeColor="text1"/>
          <w:sz w:val="20"/>
          <w:szCs w:val="20"/>
          <w:lang w:val="es-VE"/>
        </w:rPr>
        <w:t>l</w:t>
      </w:r>
      <w:r w:rsidR="00141440">
        <w:rPr>
          <w:rFonts w:ascii="Cambria" w:hAnsi="Cambria"/>
          <w:color w:val="000000" w:themeColor="text1"/>
          <w:sz w:val="20"/>
          <w:szCs w:val="20"/>
          <w:lang w:val="es-VE"/>
        </w:rPr>
        <w:t>a</w:t>
      </w:r>
      <w:r w:rsidR="0065027A">
        <w:rPr>
          <w:rFonts w:ascii="Cambria" w:hAnsi="Cambria"/>
          <w:color w:val="000000" w:themeColor="text1"/>
          <w:sz w:val="20"/>
          <w:szCs w:val="20"/>
          <w:lang w:val="es-VE"/>
        </w:rPr>
        <w:t xml:space="preserve"> CAEC requiere que la enfermedad no sea calificad</w:t>
      </w:r>
      <w:r w:rsidR="00565A8D">
        <w:rPr>
          <w:rFonts w:ascii="Cambria" w:hAnsi="Cambria"/>
          <w:color w:val="000000" w:themeColor="text1"/>
          <w:sz w:val="20"/>
          <w:szCs w:val="20"/>
          <w:lang w:val="es-VE"/>
        </w:rPr>
        <w:t>a, por la Isapre, como una enfermedad crónica</w:t>
      </w:r>
      <w:r>
        <w:rPr>
          <w:rFonts w:ascii="Cambria" w:hAnsi="Cambria"/>
          <w:color w:val="000000" w:themeColor="text1"/>
          <w:sz w:val="20"/>
          <w:szCs w:val="20"/>
          <w:lang w:val="es-VE"/>
        </w:rPr>
        <w:t>, tal como lo dispone l</w:t>
      </w:r>
      <w:r w:rsidR="005A619D" w:rsidRPr="00177E17">
        <w:rPr>
          <w:rFonts w:asciiTheme="majorHAnsi" w:hAnsiTheme="majorHAnsi"/>
          <w:sz w:val="20"/>
          <w:szCs w:val="20"/>
          <w:lang w:val="es-ES_tradnl"/>
        </w:rPr>
        <w:t>a Circular No. 7 de la Superintendencia de Salud,</w:t>
      </w:r>
      <w:r w:rsidR="00510BE2">
        <w:rPr>
          <w:rFonts w:asciiTheme="majorHAnsi" w:hAnsiTheme="majorHAnsi"/>
          <w:sz w:val="20"/>
          <w:szCs w:val="20"/>
          <w:lang w:val="es-ES_tradnl"/>
        </w:rPr>
        <w:t xml:space="preserve"> que </w:t>
      </w:r>
      <w:r w:rsidR="005A619D" w:rsidRPr="00177E17">
        <w:rPr>
          <w:rFonts w:asciiTheme="majorHAnsi" w:hAnsiTheme="majorHAnsi"/>
          <w:sz w:val="20"/>
          <w:szCs w:val="20"/>
          <w:lang w:val="es-ES_tradnl"/>
        </w:rPr>
        <w:t xml:space="preserve">en su parte pertinente </w:t>
      </w:r>
      <w:r w:rsidR="00510BE2">
        <w:rPr>
          <w:rFonts w:asciiTheme="majorHAnsi" w:hAnsiTheme="majorHAnsi"/>
          <w:sz w:val="20"/>
          <w:szCs w:val="20"/>
          <w:lang w:val="es-ES_tradnl"/>
        </w:rPr>
        <w:t xml:space="preserve">establece </w:t>
      </w:r>
      <w:r w:rsidR="005A619D" w:rsidRPr="00177E17">
        <w:rPr>
          <w:rFonts w:asciiTheme="majorHAnsi" w:hAnsiTheme="majorHAnsi"/>
          <w:sz w:val="20"/>
          <w:szCs w:val="20"/>
          <w:lang w:val="es-ES_tradnl"/>
        </w:rPr>
        <w:t xml:space="preserve">lo siguiente: </w:t>
      </w:r>
    </w:p>
    <w:p w:rsidR="005A619D" w:rsidRPr="00177E17" w:rsidRDefault="005A619D" w:rsidP="005A61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
          <w:sz w:val="20"/>
          <w:szCs w:val="20"/>
          <w:lang w:val="es-VE"/>
        </w:rPr>
      </w:pPr>
    </w:p>
    <w:p w:rsidR="005A619D" w:rsidRDefault="005A619D" w:rsidP="00177E1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Theme="majorHAnsi" w:hAnsiTheme="majorHAnsi"/>
          <w:sz w:val="20"/>
          <w:szCs w:val="20"/>
          <w:lang w:val="es-ES_tradnl"/>
        </w:rPr>
      </w:pPr>
      <w:r>
        <w:rPr>
          <w:rFonts w:asciiTheme="majorHAnsi" w:hAnsiTheme="majorHAnsi"/>
          <w:sz w:val="20"/>
          <w:szCs w:val="20"/>
          <w:lang w:val="es-ES_tradnl"/>
        </w:rPr>
        <w:t>10.- DE LA HOSPITALIZACIÓN DOMICILIARIA:</w:t>
      </w:r>
    </w:p>
    <w:p w:rsidR="005A619D" w:rsidRDefault="005A619D" w:rsidP="005A61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Theme="majorHAnsi" w:hAnsiTheme="majorHAnsi"/>
          <w:sz w:val="20"/>
          <w:szCs w:val="20"/>
          <w:lang w:val="es-ES_tradnl"/>
        </w:rPr>
      </w:pPr>
      <w:r w:rsidRPr="0063745C">
        <w:rPr>
          <w:rFonts w:asciiTheme="majorHAnsi" w:hAnsiTheme="majorHAnsi"/>
          <w:sz w:val="20"/>
          <w:szCs w:val="20"/>
          <w:lang w:val="es-ES_tradnl"/>
        </w:rPr>
        <w:t xml:space="preserve">Esta cobertura procederá respecto de la Hospitalización Domiciliaria, previa solicitud a la Isapre y derivación por parte de ésta </w:t>
      </w:r>
      <w:r w:rsidRPr="00F37D1A">
        <w:rPr>
          <w:rFonts w:asciiTheme="majorHAnsi" w:hAnsiTheme="majorHAnsi"/>
          <w:sz w:val="20"/>
          <w:szCs w:val="20"/>
          <w:lang w:val="es-ES_tradnl"/>
        </w:rPr>
        <w:t>a u</w:t>
      </w:r>
      <w:r w:rsidR="00177E17" w:rsidRPr="00F37D1A">
        <w:rPr>
          <w:rFonts w:asciiTheme="majorHAnsi" w:hAnsiTheme="majorHAnsi"/>
          <w:sz w:val="20"/>
          <w:szCs w:val="20"/>
          <w:lang w:val="es-ES_tradnl"/>
        </w:rPr>
        <w:t>n</w:t>
      </w:r>
      <w:r w:rsidRPr="00F37D1A">
        <w:rPr>
          <w:rFonts w:asciiTheme="majorHAnsi" w:hAnsiTheme="majorHAnsi"/>
          <w:sz w:val="20"/>
          <w:szCs w:val="20"/>
          <w:lang w:val="es-ES_tradnl"/>
        </w:rPr>
        <w:t xml:space="preserve"> prestador designado por ella. Para este efecto debe dar cumplimiento a todas las siguientes condiciones</w:t>
      </w:r>
      <w:r w:rsidRPr="0063745C">
        <w:rPr>
          <w:rFonts w:asciiTheme="majorHAnsi" w:hAnsiTheme="majorHAnsi"/>
          <w:sz w:val="20"/>
          <w:szCs w:val="20"/>
          <w:lang w:val="es-ES_tradnl"/>
        </w:rPr>
        <w:t xml:space="preserve">: (…) </w:t>
      </w:r>
      <w:r>
        <w:rPr>
          <w:rFonts w:asciiTheme="majorHAnsi" w:hAnsiTheme="majorHAnsi"/>
          <w:sz w:val="20"/>
          <w:szCs w:val="20"/>
          <w:lang w:val="es-ES_tradnl"/>
        </w:rPr>
        <w:sym w:font="Symbol" w:char="F0B7"/>
      </w:r>
      <w:r>
        <w:rPr>
          <w:rFonts w:asciiTheme="majorHAnsi" w:hAnsiTheme="majorHAnsi"/>
          <w:sz w:val="20"/>
          <w:szCs w:val="20"/>
          <w:lang w:val="es-ES_tradnl"/>
        </w:rPr>
        <w:t xml:space="preserve"> se excluyen los tratamientos de enfermedades crónicas y tratamientos de antibióticos.</w:t>
      </w:r>
    </w:p>
    <w:p w:rsidR="001F07F1" w:rsidRDefault="001F07F1" w:rsidP="005A61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717989" w:rsidRPr="00717989" w:rsidRDefault="005A619D"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E</w:t>
      </w:r>
      <w:r w:rsidR="0065027A">
        <w:rPr>
          <w:rFonts w:ascii="Cambria" w:hAnsi="Cambria"/>
          <w:color w:val="000000" w:themeColor="text1"/>
          <w:sz w:val="20"/>
          <w:szCs w:val="20"/>
          <w:lang w:val="es-VE"/>
        </w:rPr>
        <w:t xml:space="preserve">l Estado señaló que </w:t>
      </w:r>
      <w:r w:rsidR="00BC2C5A">
        <w:rPr>
          <w:rFonts w:ascii="Cambria" w:hAnsi="Cambria"/>
          <w:color w:val="000000" w:themeColor="text1"/>
          <w:sz w:val="20"/>
          <w:szCs w:val="20"/>
          <w:lang w:val="es-VE"/>
        </w:rPr>
        <w:t xml:space="preserve">“el otorgamiento </w:t>
      </w:r>
      <w:r w:rsidR="00907369">
        <w:rPr>
          <w:rFonts w:ascii="Cambria" w:hAnsi="Cambria"/>
          <w:color w:val="000000" w:themeColor="text1"/>
          <w:sz w:val="20"/>
          <w:szCs w:val="20"/>
          <w:lang w:val="es-VE"/>
        </w:rPr>
        <w:t xml:space="preserve">o </w:t>
      </w:r>
      <w:r w:rsidR="00907369" w:rsidRPr="00F37D1A">
        <w:rPr>
          <w:rFonts w:ascii="Cambria" w:hAnsi="Cambria"/>
          <w:color w:val="000000" w:themeColor="text1"/>
          <w:sz w:val="20"/>
          <w:szCs w:val="20"/>
          <w:lang w:val="es-VE"/>
        </w:rPr>
        <w:t xml:space="preserve">negativa de las coberturas pactadas por parte de las </w:t>
      </w:r>
      <w:r w:rsidR="00DA1086" w:rsidRPr="00F37D1A">
        <w:rPr>
          <w:rFonts w:ascii="Cambria" w:hAnsi="Cambria"/>
          <w:color w:val="000000" w:themeColor="text1"/>
          <w:sz w:val="20"/>
          <w:szCs w:val="20"/>
          <w:lang w:val="es-VE"/>
        </w:rPr>
        <w:t>Isapres</w:t>
      </w:r>
      <w:r w:rsidR="00907369" w:rsidRPr="00F37D1A">
        <w:rPr>
          <w:rFonts w:ascii="Cambria" w:hAnsi="Cambria"/>
          <w:color w:val="000000" w:themeColor="text1"/>
          <w:sz w:val="20"/>
          <w:szCs w:val="20"/>
          <w:lang w:val="es-VE"/>
        </w:rPr>
        <w:t xml:space="preserve"> puede ser revisado, y revocado, por [la] Superintendencia</w:t>
      </w:r>
      <w:r w:rsidR="00177E17" w:rsidRPr="00F37D1A">
        <w:rPr>
          <w:rFonts w:ascii="Cambria" w:hAnsi="Cambria"/>
          <w:color w:val="000000" w:themeColor="text1"/>
          <w:sz w:val="20"/>
          <w:szCs w:val="20"/>
          <w:lang w:val="es-VE"/>
        </w:rPr>
        <w:t>”</w:t>
      </w:r>
      <w:r w:rsidR="00907369" w:rsidRPr="00F37D1A">
        <w:rPr>
          <w:rFonts w:ascii="Cambria" w:hAnsi="Cambria"/>
          <w:color w:val="000000" w:themeColor="text1"/>
          <w:sz w:val="20"/>
          <w:szCs w:val="20"/>
          <w:lang w:val="es-VE"/>
        </w:rPr>
        <w:t xml:space="preserve">. El modelo de solución de controversias se encuentra establecido en el artículo 117 del Decreto No. 1 de 2005, según el cual “la Superintendencia, a través del Intendente de Fondos y Seguros Previsionales de Salud, quien actuará en calidad de </w:t>
      </w:r>
      <w:r w:rsidR="00501DAC" w:rsidRPr="00F37D1A">
        <w:rPr>
          <w:rFonts w:ascii="Cambria" w:hAnsi="Cambria"/>
          <w:color w:val="000000" w:themeColor="text1"/>
          <w:sz w:val="20"/>
          <w:szCs w:val="20"/>
          <w:lang w:val="es-VE"/>
        </w:rPr>
        <w:t>“</w:t>
      </w:r>
      <w:r w:rsidR="00907369" w:rsidRPr="00F37D1A">
        <w:rPr>
          <w:rFonts w:ascii="Cambria" w:hAnsi="Cambria"/>
          <w:color w:val="000000" w:themeColor="text1"/>
          <w:sz w:val="20"/>
          <w:szCs w:val="20"/>
          <w:lang w:val="es-VE"/>
        </w:rPr>
        <w:t>árbitro arbitrador</w:t>
      </w:r>
      <w:r w:rsidR="00501DAC" w:rsidRPr="00F37D1A">
        <w:rPr>
          <w:rFonts w:ascii="Cambria" w:hAnsi="Cambria"/>
          <w:color w:val="000000" w:themeColor="text1"/>
          <w:sz w:val="20"/>
          <w:szCs w:val="20"/>
          <w:lang w:val="es-VE"/>
        </w:rPr>
        <w:t>”</w:t>
      </w:r>
      <w:r w:rsidR="00907369" w:rsidRPr="00F37D1A">
        <w:rPr>
          <w:rFonts w:ascii="Cambria" w:hAnsi="Cambria"/>
          <w:color w:val="000000" w:themeColor="text1"/>
          <w:sz w:val="20"/>
          <w:szCs w:val="20"/>
          <w:lang w:val="es-VE"/>
        </w:rPr>
        <w:t xml:space="preserve">, </w:t>
      </w:r>
      <w:r w:rsidR="0025331D" w:rsidRPr="00F37D1A">
        <w:rPr>
          <w:rFonts w:ascii="Cambria" w:hAnsi="Cambria"/>
          <w:color w:val="000000" w:themeColor="text1"/>
          <w:sz w:val="20"/>
          <w:szCs w:val="20"/>
          <w:lang w:val="es-VE"/>
        </w:rPr>
        <w:t>resolverá</w:t>
      </w:r>
      <w:r w:rsidR="00907369" w:rsidRPr="00F37D1A">
        <w:rPr>
          <w:rFonts w:ascii="Cambria" w:hAnsi="Cambria"/>
          <w:color w:val="000000" w:themeColor="text1"/>
          <w:sz w:val="20"/>
          <w:szCs w:val="20"/>
          <w:lang w:val="es-VE"/>
        </w:rPr>
        <w:t xml:space="preserve"> las </w:t>
      </w:r>
      <w:r w:rsidR="0025331D" w:rsidRPr="00F37D1A">
        <w:rPr>
          <w:rFonts w:ascii="Cambria" w:hAnsi="Cambria"/>
          <w:color w:val="000000" w:themeColor="text1"/>
          <w:sz w:val="20"/>
          <w:szCs w:val="20"/>
          <w:lang w:val="es-VE"/>
        </w:rPr>
        <w:t>controversias</w:t>
      </w:r>
      <w:r w:rsidR="00907369" w:rsidRPr="00F37D1A">
        <w:rPr>
          <w:rFonts w:ascii="Cambria" w:hAnsi="Cambria"/>
          <w:color w:val="000000" w:themeColor="text1"/>
          <w:sz w:val="20"/>
          <w:szCs w:val="20"/>
          <w:lang w:val="es-VE"/>
        </w:rPr>
        <w:t xml:space="preserve"> que </w:t>
      </w:r>
      <w:r w:rsidR="0025331D" w:rsidRPr="00F37D1A">
        <w:rPr>
          <w:rFonts w:ascii="Cambria" w:hAnsi="Cambria"/>
          <w:color w:val="000000" w:themeColor="text1"/>
          <w:sz w:val="20"/>
          <w:szCs w:val="20"/>
          <w:lang w:val="es-VE"/>
        </w:rPr>
        <w:t>surjan</w:t>
      </w:r>
      <w:r w:rsidR="00907369" w:rsidRPr="00F37D1A">
        <w:rPr>
          <w:rFonts w:ascii="Cambria" w:hAnsi="Cambria"/>
          <w:color w:val="000000" w:themeColor="text1"/>
          <w:sz w:val="20"/>
          <w:szCs w:val="20"/>
          <w:lang w:val="es-VE"/>
        </w:rPr>
        <w:t xml:space="preserve"> entre las [Isapre] y sus cotizantes o beneficiarios, siempre que queden </w:t>
      </w:r>
      <w:r w:rsidR="0025331D" w:rsidRPr="00F37D1A">
        <w:rPr>
          <w:rFonts w:ascii="Cambria" w:hAnsi="Cambria"/>
          <w:color w:val="000000" w:themeColor="text1"/>
          <w:sz w:val="20"/>
          <w:szCs w:val="20"/>
          <w:lang w:val="es-VE"/>
        </w:rPr>
        <w:t>dentro</w:t>
      </w:r>
      <w:r w:rsidR="00907369" w:rsidRPr="00F37D1A">
        <w:rPr>
          <w:rFonts w:ascii="Cambria" w:hAnsi="Cambria"/>
          <w:color w:val="000000" w:themeColor="text1"/>
          <w:sz w:val="20"/>
          <w:szCs w:val="20"/>
          <w:lang w:val="es-VE"/>
        </w:rPr>
        <w:t xml:space="preserve"> de la esfera de supervigilancia y control</w:t>
      </w:r>
      <w:r w:rsidR="00907369">
        <w:rPr>
          <w:rFonts w:ascii="Cambria" w:hAnsi="Cambria"/>
          <w:color w:val="000000" w:themeColor="text1"/>
          <w:sz w:val="20"/>
          <w:szCs w:val="20"/>
          <w:lang w:val="es-VE"/>
        </w:rPr>
        <w:t xml:space="preserve"> que le compete a la Superintendencia, y sin perjuicio de que el </w:t>
      </w:r>
      <w:r w:rsidR="0025331D">
        <w:rPr>
          <w:rFonts w:ascii="Cambria" w:hAnsi="Cambria"/>
          <w:color w:val="000000" w:themeColor="text1"/>
          <w:sz w:val="20"/>
          <w:szCs w:val="20"/>
          <w:lang w:val="es-VE"/>
        </w:rPr>
        <w:t>afiliado</w:t>
      </w:r>
      <w:r w:rsidR="00907369">
        <w:rPr>
          <w:rFonts w:ascii="Cambria" w:hAnsi="Cambria"/>
          <w:color w:val="000000" w:themeColor="text1"/>
          <w:sz w:val="20"/>
          <w:szCs w:val="20"/>
          <w:lang w:val="es-VE"/>
        </w:rPr>
        <w:t xml:space="preserve"> </w:t>
      </w:r>
      <w:r w:rsidR="0025331D">
        <w:rPr>
          <w:rFonts w:ascii="Cambria" w:hAnsi="Cambria"/>
          <w:color w:val="000000" w:themeColor="text1"/>
          <w:sz w:val="20"/>
          <w:szCs w:val="20"/>
          <w:lang w:val="es-VE"/>
        </w:rPr>
        <w:t>pueda</w:t>
      </w:r>
      <w:r w:rsidR="00907369">
        <w:rPr>
          <w:rFonts w:ascii="Cambria" w:hAnsi="Cambria"/>
          <w:color w:val="000000" w:themeColor="text1"/>
          <w:sz w:val="20"/>
          <w:szCs w:val="20"/>
          <w:lang w:val="es-VE"/>
        </w:rPr>
        <w:t xml:space="preserve"> optar por recurr</w:t>
      </w:r>
      <w:r w:rsidR="0025331D">
        <w:rPr>
          <w:rFonts w:ascii="Cambria" w:hAnsi="Cambria"/>
          <w:color w:val="000000" w:themeColor="text1"/>
          <w:sz w:val="20"/>
          <w:szCs w:val="20"/>
          <w:lang w:val="es-VE"/>
        </w:rPr>
        <w:t>ir a la instancia a la que refiere el artículo 120</w:t>
      </w:r>
      <w:r w:rsidR="00DA1086">
        <w:rPr>
          <w:rStyle w:val="FootnoteReference"/>
          <w:rFonts w:ascii="Cambria" w:hAnsi="Cambria"/>
          <w:color w:val="000000" w:themeColor="text1"/>
          <w:sz w:val="20"/>
          <w:szCs w:val="20"/>
          <w:lang w:val="es-VE"/>
        </w:rPr>
        <w:footnoteReference w:id="10"/>
      </w:r>
      <w:r w:rsidR="0025331D">
        <w:rPr>
          <w:rFonts w:ascii="Cambria" w:hAnsi="Cambria"/>
          <w:color w:val="000000" w:themeColor="text1"/>
          <w:sz w:val="20"/>
          <w:szCs w:val="20"/>
          <w:lang w:val="es-VE"/>
        </w:rPr>
        <w:t xml:space="preserve"> o a la justicia ordinaria”</w:t>
      </w:r>
      <w:r w:rsidR="00DA1086">
        <w:rPr>
          <w:rStyle w:val="FootnoteReference"/>
          <w:rFonts w:ascii="Cambria" w:hAnsi="Cambria"/>
          <w:color w:val="000000" w:themeColor="text1"/>
          <w:sz w:val="20"/>
          <w:szCs w:val="20"/>
          <w:lang w:val="es-VE"/>
        </w:rPr>
        <w:footnoteReference w:id="11"/>
      </w:r>
      <w:r w:rsidR="00717989">
        <w:rPr>
          <w:rFonts w:ascii="Cambria" w:hAnsi="Cambria"/>
          <w:color w:val="000000" w:themeColor="text1"/>
          <w:sz w:val="20"/>
          <w:szCs w:val="20"/>
          <w:lang w:val="es-VE"/>
        </w:rPr>
        <w:t xml:space="preserve">. Asimismo, el Estado también señaló que en contra de la resolución </w:t>
      </w:r>
      <w:r w:rsidR="0087706F">
        <w:rPr>
          <w:rFonts w:ascii="Cambria" w:hAnsi="Cambria"/>
          <w:color w:val="000000" w:themeColor="text1"/>
          <w:sz w:val="20"/>
          <w:szCs w:val="20"/>
          <w:lang w:val="es-VE"/>
        </w:rPr>
        <w:t>de la Superintendencia se puede interponer un recurso especial de reposición, e incluso un recurso de apelación ante el Superintendent</w:t>
      </w:r>
      <w:r w:rsidR="00501DAC">
        <w:rPr>
          <w:rFonts w:ascii="Cambria" w:hAnsi="Cambria"/>
          <w:color w:val="000000" w:themeColor="text1"/>
          <w:sz w:val="20"/>
          <w:szCs w:val="20"/>
          <w:lang w:val="es-VE"/>
        </w:rPr>
        <w:t>e de Salud, quien resuelve como “</w:t>
      </w:r>
      <w:r w:rsidR="0087706F">
        <w:rPr>
          <w:rFonts w:ascii="Cambria" w:hAnsi="Cambria"/>
          <w:color w:val="000000" w:themeColor="text1"/>
          <w:sz w:val="20"/>
          <w:szCs w:val="20"/>
          <w:lang w:val="es-VE"/>
        </w:rPr>
        <w:t>árbitro arbitrador</w:t>
      </w:r>
      <w:r w:rsidR="00501DAC">
        <w:rPr>
          <w:rFonts w:ascii="Cambria" w:hAnsi="Cambria"/>
          <w:color w:val="000000" w:themeColor="text1"/>
          <w:sz w:val="20"/>
          <w:szCs w:val="20"/>
          <w:lang w:val="es-VE"/>
        </w:rPr>
        <w:t>”</w:t>
      </w:r>
      <w:r w:rsidR="0087706F">
        <w:rPr>
          <w:rFonts w:ascii="Cambria" w:hAnsi="Cambria"/>
          <w:color w:val="000000" w:themeColor="text1"/>
          <w:sz w:val="20"/>
          <w:szCs w:val="20"/>
          <w:lang w:val="es-VE"/>
        </w:rPr>
        <w:t xml:space="preserve">. </w:t>
      </w:r>
    </w:p>
    <w:p w:rsidR="0065027A" w:rsidRDefault="0065027A" w:rsidP="0065027A">
      <w:pPr>
        <w:pStyle w:val="ListParagraph"/>
        <w:rPr>
          <w:color w:val="000000" w:themeColor="text1"/>
          <w:sz w:val="20"/>
          <w:szCs w:val="20"/>
          <w:lang w:val="es-VE"/>
        </w:rPr>
      </w:pPr>
    </w:p>
    <w:p w:rsidR="0065027A" w:rsidRDefault="00D4167D"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L</w:t>
      </w:r>
      <w:r w:rsidR="007F4B71">
        <w:rPr>
          <w:rFonts w:ascii="Cambria" w:hAnsi="Cambria"/>
          <w:color w:val="000000" w:themeColor="text1"/>
          <w:sz w:val="20"/>
          <w:szCs w:val="20"/>
          <w:lang w:val="es-VE"/>
        </w:rPr>
        <w:t>a parte p</w:t>
      </w:r>
      <w:r>
        <w:rPr>
          <w:rFonts w:ascii="Cambria" w:hAnsi="Cambria"/>
          <w:color w:val="000000" w:themeColor="text1"/>
          <w:sz w:val="20"/>
          <w:szCs w:val="20"/>
          <w:lang w:val="es-VE"/>
        </w:rPr>
        <w:t>eticionari</w:t>
      </w:r>
      <w:r w:rsidR="007F4B71">
        <w:rPr>
          <w:rFonts w:ascii="Cambria" w:hAnsi="Cambria"/>
          <w:color w:val="000000" w:themeColor="text1"/>
          <w:sz w:val="20"/>
          <w:szCs w:val="20"/>
          <w:lang w:val="es-VE"/>
        </w:rPr>
        <w:t>a</w:t>
      </w:r>
      <w:r>
        <w:rPr>
          <w:rFonts w:ascii="Cambria" w:hAnsi="Cambria"/>
          <w:color w:val="000000" w:themeColor="text1"/>
          <w:sz w:val="20"/>
          <w:szCs w:val="20"/>
          <w:lang w:val="es-VE"/>
        </w:rPr>
        <w:t>, indic</w:t>
      </w:r>
      <w:r w:rsidR="006F260A">
        <w:rPr>
          <w:rFonts w:ascii="Cambria" w:hAnsi="Cambria"/>
          <w:color w:val="000000" w:themeColor="text1"/>
          <w:sz w:val="20"/>
          <w:szCs w:val="20"/>
          <w:lang w:val="es-VE"/>
        </w:rPr>
        <w:t>ó</w:t>
      </w:r>
      <w:r>
        <w:rPr>
          <w:rFonts w:ascii="Cambria" w:hAnsi="Cambria"/>
          <w:color w:val="000000" w:themeColor="text1"/>
          <w:sz w:val="20"/>
          <w:szCs w:val="20"/>
          <w:lang w:val="es-VE"/>
        </w:rPr>
        <w:t xml:space="preserve"> que l</w:t>
      </w:r>
      <w:r w:rsidR="0039034B">
        <w:rPr>
          <w:rFonts w:ascii="Cambria" w:hAnsi="Cambria"/>
          <w:color w:val="000000" w:themeColor="text1"/>
          <w:sz w:val="20"/>
          <w:szCs w:val="20"/>
          <w:lang w:val="es-VE"/>
        </w:rPr>
        <w:t>as Isapres “actúan en la mayor desregulación sin que exista un marco normativo que regule y sancione su actuar arbitrario”. E</w:t>
      </w:r>
      <w:r w:rsidR="006F260A">
        <w:rPr>
          <w:rFonts w:ascii="Cambria" w:hAnsi="Cambria"/>
          <w:color w:val="000000" w:themeColor="text1"/>
          <w:sz w:val="20"/>
          <w:szCs w:val="20"/>
          <w:lang w:val="es-VE"/>
        </w:rPr>
        <w:t xml:space="preserve">sta falta de </w:t>
      </w:r>
      <w:r w:rsidR="0039034B">
        <w:rPr>
          <w:rFonts w:ascii="Cambria" w:hAnsi="Cambria"/>
          <w:color w:val="000000" w:themeColor="text1"/>
          <w:sz w:val="20"/>
          <w:szCs w:val="20"/>
          <w:lang w:val="es-VE"/>
        </w:rPr>
        <w:t xml:space="preserve">regulación, según la parte peticionaria, </w:t>
      </w:r>
      <w:r w:rsidR="008F6534">
        <w:rPr>
          <w:rFonts w:ascii="Cambria" w:hAnsi="Cambria"/>
          <w:color w:val="000000" w:themeColor="text1"/>
          <w:sz w:val="20"/>
          <w:szCs w:val="20"/>
          <w:lang w:val="es-VE"/>
        </w:rPr>
        <w:t>genera una carga desproporcional en los pacientes, quienes se ven en la necesidad de activar mecanismos de solución de controversias litigiosos para la exigencia del cumplimiento de sus derechos</w:t>
      </w:r>
      <w:r w:rsidR="001F07F1">
        <w:rPr>
          <w:rStyle w:val="FootnoteReference"/>
          <w:rFonts w:ascii="Cambria" w:hAnsi="Cambria"/>
          <w:color w:val="000000" w:themeColor="text1"/>
          <w:sz w:val="20"/>
          <w:szCs w:val="20"/>
          <w:lang w:val="es-VE"/>
        </w:rPr>
        <w:footnoteReference w:id="12"/>
      </w:r>
      <w:r w:rsidR="008F6534">
        <w:rPr>
          <w:rFonts w:ascii="Cambria" w:hAnsi="Cambria"/>
          <w:color w:val="000000" w:themeColor="text1"/>
          <w:sz w:val="20"/>
          <w:szCs w:val="20"/>
          <w:lang w:val="es-VE"/>
        </w:rPr>
        <w:t>.</w:t>
      </w:r>
    </w:p>
    <w:p w:rsidR="00510BE2" w:rsidRDefault="00510BE2" w:rsidP="00510BE2">
      <w:pPr>
        <w:pStyle w:val="ListParagraph"/>
        <w:rPr>
          <w:color w:val="000000" w:themeColor="text1"/>
          <w:sz w:val="20"/>
          <w:szCs w:val="20"/>
          <w:lang w:val="es-VE"/>
        </w:rPr>
      </w:pPr>
    </w:p>
    <w:p w:rsidR="00510BE2" w:rsidRDefault="00510BE2" w:rsidP="00510BE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403F57" w:rsidRPr="006668C8" w:rsidRDefault="006B2F20"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EF286F">
        <w:rPr>
          <w:rFonts w:ascii="Cambria" w:hAnsi="Cambria"/>
          <w:color w:val="000000" w:themeColor="text1"/>
          <w:sz w:val="20"/>
          <w:szCs w:val="20"/>
          <w:lang w:val="es-VE"/>
        </w:rPr>
        <w:t xml:space="preserve">En esta línea, </w:t>
      </w:r>
      <w:r w:rsidR="00EF286F" w:rsidRPr="00EF286F">
        <w:rPr>
          <w:rFonts w:ascii="Cambria" w:hAnsi="Cambria"/>
          <w:color w:val="000000" w:themeColor="text1"/>
          <w:sz w:val="20"/>
          <w:szCs w:val="20"/>
          <w:lang w:val="es-VE"/>
        </w:rPr>
        <w:t>la parte peticionaria</w:t>
      </w:r>
      <w:r w:rsidRPr="00EF286F">
        <w:rPr>
          <w:rFonts w:ascii="Cambria" w:hAnsi="Cambria"/>
          <w:color w:val="000000" w:themeColor="text1"/>
          <w:sz w:val="20"/>
          <w:szCs w:val="20"/>
          <w:lang w:val="es-VE"/>
        </w:rPr>
        <w:t xml:space="preserve"> </w:t>
      </w:r>
      <w:r w:rsidR="00717989">
        <w:rPr>
          <w:rFonts w:ascii="Cambria" w:hAnsi="Cambria"/>
          <w:color w:val="000000" w:themeColor="text1"/>
          <w:sz w:val="20"/>
          <w:szCs w:val="20"/>
          <w:lang w:val="es-VE"/>
        </w:rPr>
        <w:t xml:space="preserve">indicó </w:t>
      </w:r>
      <w:r w:rsidRPr="00EF286F">
        <w:rPr>
          <w:rFonts w:ascii="Cambria" w:hAnsi="Cambria"/>
          <w:color w:val="000000" w:themeColor="text1"/>
          <w:sz w:val="20"/>
          <w:szCs w:val="20"/>
          <w:lang w:val="es-VE"/>
        </w:rPr>
        <w:t xml:space="preserve">que “el número de acciones [judiciales] </w:t>
      </w:r>
      <w:r w:rsidR="00DA1086">
        <w:rPr>
          <w:rFonts w:ascii="Cambria" w:hAnsi="Cambria"/>
          <w:color w:val="000000" w:themeColor="text1"/>
          <w:sz w:val="20"/>
          <w:szCs w:val="20"/>
          <w:lang w:val="es-VE"/>
        </w:rPr>
        <w:t>presentadas contra las Isapres</w:t>
      </w:r>
      <w:r w:rsidR="00EF286F" w:rsidRPr="00EF286F">
        <w:rPr>
          <w:rFonts w:ascii="Cambria" w:hAnsi="Cambria"/>
          <w:color w:val="000000" w:themeColor="text1"/>
          <w:sz w:val="20"/>
          <w:szCs w:val="20"/>
          <w:lang w:val="es-VE"/>
        </w:rPr>
        <w:t xml:space="preserve"> que unilateralmente varían los planes de salud constituyó el principal ingreso de causas en las Cortes de Apelaciones del país durante el año 2010, según el </w:t>
      </w:r>
      <w:r w:rsidR="00EF286F" w:rsidRPr="00EF286F">
        <w:rPr>
          <w:rFonts w:ascii="Cambria" w:hAnsi="Cambria"/>
          <w:i/>
          <w:color w:val="000000" w:themeColor="text1"/>
          <w:sz w:val="20"/>
          <w:szCs w:val="20"/>
          <w:lang w:val="es-VE"/>
        </w:rPr>
        <w:t>Informe de la Comisión Asesora Presidencial en Salud</w:t>
      </w:r>
      <w:r w:rsidR="00EF286F" w:rsidRPr="00EF286F">
        <w:rPr>
          <w:rFonts w:ascii="Cambria" w:hAnsi="Cambria"/>
          <w:color w:val="000000" w:themeColor="text1"/>
          <w:sz w:val="20"/>
          <w:szCs w:val="20"/>
          <w:lang w:val="es-VE"/>
        </w:rPr>
        <w:t>, diciembre 2010 (…)”</w:t>
      </w:r>
      <w:r w:rsidR="00EF286F">
        <w:rPr>
          <w:rStyle w:val="FootnoteReference"/>
          <w:rFonts w:ascii="Cambria" w:hAnsi="Cambria"/>
          <w:color w:val="000000" w:themeColor="text1"/>
          <w:sz w:val="20"/>
          <w:szCs w:val="20"/>
          <w:lang w:val="es-VE"/>
        </w:rPr>
        <w:footnoteReference w:id="13"/>
      </w:r>
      <w:r w:rsidR="00A5588D">
        <w:rPr>
          <w:rFonts w:ascii="Cambria" w:hAnsi="Cambria"/>
          <w:color w:val="000000" w:themeColor="text1"/>
          <w:sz w:val="20"/>
          <w:szCs w:val="20"/>
          <w:lang w:val="es-VE"/>
        </w:rPr>
        <w:t>.</w:t>
      </w:r>
      <w:r w:rsidR="005D3C97">
        <w:rPr>
          <w:rFonts w:ascii="Cambria" w:hAnsi="Cambria"/>
          <w:color w:val="000000" w:themeColor="text1"/>
          <w:sz w:val="20"/>
          <w:szCs w:val="20"/>
          <w:lang w:val="es-VE"/>
        </w:rPr>
        <w:t xml:space="preserve"> </w:t>
      </w:r>
      <w:r w:rsidR="00403F57" w:rsidRPr="00EF286F">
        <w:rPr>
          <w:rFonts w:ascii="Cambria" w:hAnsi="Cambria"/>
          <w:color w:val="000000" w:themeColor="text1"/>
          <w:sz w:val="20"/>
          <w:szCs w:val="20"/>
          <w:lang w:val="es-VE"/>
        </w:rPr>
        <w:t>Asimismo, señal</w:t>
      </w:r>
      <w:r w:rsidR="00B32442">
        <w:rPr>
          <w:rFonts w:ascii="Cambria" w:hAnsi="Cambria"/>
          <w:color w:val="000000" w:themeColor="text1"/>
          <w:sz w:val="20"/>
          <w:szCs w:val="20"/>
          <w:lang w:val="es-VE"/>
        </w:rPr>
        <w:t>ó</w:t>
      </w:r>
      <w:r w:rsidR="00403F57" w:rsidRPr="00EF286F">
        <w:rPr>
          <w:rFonts w:ascii="Cambria" w:hAnsi="Cambria"/>
          <w:color w:val="000000" w:themeColor="text1"/>
          <w:sz w:val="20"/>
          <w:szCs w:val="20"/>
          <w:lang w:val="es-VE"/>
        </w:rPr>
        <w:t xml:space="preserve"> que el mercado </w:t>
      </w:r>
      <w:r w:rsidR="00DB5D83" w:rsidRPr="00EF286F">
        <w:rPr>
          <w:rFonts w:ascii="Cambria" w:hAnsi="Cambria"/>
          <w:color w:val="000000" w:themeColor="text1"/>
          <w:sz w:val="20"/>
          <w:szCs w:val="20"/>
          <w:lang w:val="es-VE"/>
        </w:rPr>
        <w:t xml:space="preserve">relacionado con las aseguradoras </w:t>
      </w:r>
      <w:r w:rsidR="00403F57" w:rsidRPr="00EF286F">
        <w:rPr>
          <w:rFonts w:ascii="Cambria" w:hAnsi="Cambria"/>
          <w:color w:val="000000" w:themeColor="text1"/>
          <w:sz w:val="20"/>
          <w:szCs w:val="20"/>
          <w:lang w:val="es-VE"/>
        </w:rPr>
        <w:t xml:space="preserve">se ve marcado por </w:t>
      </w:r>
      <w:r w:rsidR="00DB5DBC">
        <w:rPr>
          <w:rFonts w:ascii="Cambria" w:hAnsi="Cambria"/>
          <w:color w:val="000000" w:themeColor="text1"/>
          <w:sz w:val="20"/>
          <w:szCs w:val="20"/>
          <w:lang w:val="es-VE"/>
        </w:rPr>
        <w:t>conflictos de</w:t>
      </w:r>
      <w:r w:rsidR="00403F57" w:rsidRPr="00EF286F">
        <w:rPr>
          <w:rFonts w:ascii="Cambria" w:hAnsi="Cambria"/>
          <w:color w:val="000000" w:themeColor="text1"/>
          <w:sz w:val="20"/>
          <w:szCs w:val="20"/>
          <w:lang w:val="es-VE"/>
        </w:rPr>
        <w:t xml:space="preserve"> interés</w:t>
      </w:r>
      <w:r w:rsidR="00DB5D83" w:rsidRPr="00EF286F">
        <w:rPr>
          <w:rFonts w:ascii="Cambria" w:hAnsi="Cambria"/>
          <w:color w:val="000000" w:themeColor="text1"/>
          <w:sz w:val="20"/>
          <w:szCs w:val="20"/>
          <w:lang w:val="es-VE"/>
        </w:rPr>
        <w:t>, que influye</w:t>
      </w:r>
      <w:r w:rsidR="00315B04">
        <w:rPr>
          <w:rFonts w:ascii="Cambria" w:hAnsi="Cambria"/>
          <w:color w:val="000000" w:themeColor="text1"/>
          <w:sz w:val="20"/>
          <w:szCs w:val="20"/>
          <w:lang w:val="es-VE"/>
        </w:rPr>
        <w:t>n</w:t>
      </w:r>
      <w:r w:rsidR="00DB5D83" w:rsidRPr="00EF286F">
        <w:rPr>
          <w:rFonts w:ascii="Cambria" w:hAnsi="Cambria"/>
          <w:color w:val="000000" w:themeColor="text1"/>
          <w:sz w:val="20"/>
          <w:szCs w:val="20"/>
          <w:lang w:val="es-VE"/>
        </w:rPr>
        <w:t xml:space="preserve"> en el acceso de servicios, lo que se revela en la llamada “integración vertical” del sistema. Según un informe </w:t>
      </w:r>
      <w:r w:rsidR="00221DE3" w:rsidRPr="00EF286F">
        <w:rPr>
          <w:rFonts w:ascii="Cambria" w:hAnsi="Cambria"/>
          <w:color w:val="000000" w:themeColor="text1"/>
          <w:sz w:val="20"/>
          <w:szCs w:val="20"/>
          <w:lang w:val="es-VE"/>
        </w:rPr>
        <w:t>incorporado al expediente “(</w:t>
      </w:r>
      <w:r w:rsidR="00501DAC">
        <w:rPr>
          <w:rFonts w:ascii="Cambria" w:hAnsi="Cambria"/>
          <w:color w:val="000000" w:themeColor="text1"/>
          <w:sz w:val="20"/>
          <w:szCs w:val="20"/>
          <w:lang w:val="es-VE"/>
        </w:rPr>
        <w:t>…</w:t>
      </w:r>
      <w:r w:rsidR="00221DE3" w:rsidRPr="00EF286F">
        <w:rPr>
          <w:rFonts w:ascii="Cambria" w:hAnsi="Cambria"/>
          <w:color w:val="000000" w:themeColor="text1"/>
          <w:sz w:val="20"/>
          <w:szCs w:val="20"/>
          <w:lang w:val="es-VE"/>
        </w:rPr>
        <w:t>) en Chile las Isapre controlador</w:t>
      </w:r>
      <w:r w:rsidR="00501DAC">
        <w:rPr>
          <w:rFonts w:ascii="Cambria" w:hAnsi="Cambria"/>
          <w:color w:val="000000" w:themeColor="text1"/>
          <w:sz w:val="20"/>
          <w:szCs w:val="20"/>
          <w:lang w:val="es-VE"/>
        </w:rPr>
        <w:t>a</w:t>
      </w:r>
      <w:r w:rsidR="00221DE3" w:rsidRPr="00EF286F">
        <w:rPr>
          <w:rFonts w:ascii="Cambria" w:hAnsi="Cambria"/>
          <w:color w:val="000000" w:themeColor="text1"/>
          <w:sz w:val="20"/>
          <w:szCs w:val="20"/>
          <w:lang w:val="es-VE"/>
        </w:rPr>
        <w:t>s del m</w:t>
      </w:r>
      <w:r w:rsidR="00717989">
        <w:rPr>
          <w:rFonts w:ascii="Cambria" w:hAnsi="Cambria"/>
          <w:color w:val="000000" w:themeColor="text1"/>
          <w:sz w:val="20"/>
          <w:szCs w:val="20"/>
          <w:lang w:val="es-VE"/>
        </w:rPr>
        <w:t>e</w:t>
      </w:r>
      <w:r w:rsidR="00221DE3" w:rsidRPr="00EF286F">
        <w:rPr>
          <w:rFonts w:ascii="Cambria" w:hAnsi="Cambria"/>
          <w:color w:val="000000" w:themeColor="text1"/>
          <w:sz w:val="20"/>
          <w:szCs w:val="20"/>
          <w:lang w:val="es-VE"/>
        </w:rPr>
        <w:t xml:space="preserve">rcado en general forman parte de grandes </w:t>
      </w:r>
      <w:r w:rsidR="00221DE3" w:rsidRPr="00EF286F">
        <w:rPr>
          <w:rFonts w:ascii="Cambria" w:hAnsi="Cambria"/>
          <w:i/>
          <w:color w:val="000000" w:themeColor="text1"/>
          <w:sz w:val="20"/>
          <w:szCs w:val="20"/>
          <w:lang w:val="es-VE"/>
        </w:rPr>
        <w:t>holdings</w:t>
      </w:r>
      <w:r w:rsidR="00221DE3" w:rsidRPr="00EF286F">
        <w:rPr>
          <w:rFonts w:ascii="Cambria" w:hAnsi="Cambria"/>
          <w:color w:val="000000" w:themeColor="text1"/>
          <w:sz w:val="20"/>
          <w:szCs w:val="20"/>
          <w:lang w:val="es-VE"/>
        </w:rPr>
        <w:t xml:space="preserve"> que albergan a las aseguradoras y también a prestadores directos de acciones de salud, como las clínicas o laboratorios. Por ley, las Isapre tiene</w:t>
      </w:r>
      <w:r w:rsidR="003277CF">
        <w:rPr>
          <w:rFonts w:ascii="Cambria" w:hAnsi="Cambria"/>
          <w:color w:val="000000" w:themeColor="text1"/>
          <w:sz w:val="20"/>
          <w:szCs w:val="20"/>
          <w:lang w:val="es-VE"/>
        </w:rPr>
        <w:t>n el fin exclusivo de financi</w:t>
      </w:r>
      <w:r w:rsidR="00B32442">
        <w:rPr>
          <w:rFonts w:ascii="Cambria" w:hAnsi="Cambria"/>
          <w:color w:val="000000" w:themeColor="text1"/>
          <w:sz w:val="20"/>
          <w:szCs w:val="20"/>
          <w:lang w:val="es-VE"/>
        </w:rPr>
        <w:t>a</w:t>
      </w:r>
      <w:r w:rsidR="003277CF">
        <w:rPr>
          <w:rFonts w:ascii="Cambria" w:hAnsi="Cambria"/>
          <w:color w:val="000000" w:themeColor="text1"/>
          <w:sz w:val="20"/>
          <w:szCs w:val="20"/>
          <w:lang w:val="es-VE"/>
        </w:rPr>
        <w:t>r</w:t>
      </w:r>
      <w:r w:rsidR="00221DE3" w:rsidRPr="00EF286F">
        <w:rPr>
          <w:rFonts w:ascii="Cambria" w:hAnsi="Cambria"/>
          <w:color w:val="000000" w:themeColor="text1"/>
          <w:sz w:val="20"/>
          <w:szCs w:val="20"/>
          <w:lang w:val="es-VE"/>
        </w:rPr>
        <w:t xml:space="preserve"> prestaciones de salud, no otorgarlas ni participar en su administración. En suma, se prohíbe la integración vertical, como una forma de impulsar la libre competencia y evitar </w:t>
      </w:r>
      <w:r w:rsidR="00221DE3" w:rsidRPr="006668C8">
        <w:rPr>
          <w:rFonts w:ascii="Cambria" w:hAnsi="Cambria"/>
          <w:color w:val="000000" w:themeColor="text1"/>
          <w:sz w:val="20"/>
          <w:szCs w:val="20"/>
          <w:lang w:val="es-VE"/>
        </w:rPr>
        <w:t>abusos”</w:t>
      </w:r>
      <w:r w:rsidR="00AC0A3F" w:rsidRPr="006668C8">
        <w:rPr>
          <w:rStyle w:val="FootnoteReference"/>
          <w:rFonts w:ascii="Cambria" w:hAnsi="Cambria"/>
          <w:color w:val="000000" w:themeColor="text1"/>
          <w:sz w:val="20"/>
          <w:szCs w:val="20"/>
          <w:lang w:val="es-VE"/>
        </w:rPr>
        <w:footnoteReference w:id="14"/>
      </w:r>
      <w:r w:rsidR="00AC0A3F" w:rsidRPr="006668C8">
        <w:rPr>
          <w:rFonts w:ascii="Cambria" w:hAnsi="Cambria"/>
          <w:color w:val="000000" w:themeColor="text1"/>
          <w:sz w:val="20"/>
          <w:szCs w:val="20"/>
          <w:lang w:val="es-VE"/>
        </w:rPr>
        <w:t>.</w:t>
      </w:r>
    </w:p>
    <w:p w:rsidR="00AC0A3F" w:rsidRPr="006668C8" w:rsidRDefault="00AC0A3F" w:rsidP="00AC0A3F">
      <w:pPr>
        <w:pStyle w:val="ListParagraph"/>
        <w:rPr>
          <w:color w:val="000000" w:themeColor="text1"/>
          <w:sz w:val="20"/>
          <w:szCs w:val="20"/>
          <w:lang w:val="es-VE"/>
        </w:rPr>
      </w:pPr>
    </w:p>
    <w:p w:rsidR="00F73D63" w:rsidRDefault="00BC2C5A"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6668C8">
        <w:rPr>
          <w:rFonts w:ascii="Cambria" w:hAnsi="Cambria"/>
          <w:color w:val="000000" w:themeColor="text1"/>
          <w:sz w:val="20"/>
          <w:szCs w:val="20"/>
          <w:lang w:val="es-VE"/>
        </w:rPr>
        <w:t xml:space="preserve">De la información </w:t>
      </w:r>
      <w:r w:rsidR="00B32442" w:rsidRPr="006668C8">
        <w:rPr>
          <w:rFonts w:ascii="Cambria" w:hAnsi="Cambria"/>
          <w:color w:val="000000" w:themeColor="text1"/>
          <w:sz w:val="20"/>
          <w:szCs w:val="20"/>
          <w:lang w:val="es-VE"/>
        </w:rPr>
        <w:t xml:space="preserve">disponible, </w:t>
      </w:r>
      <w:r w:rsidRPr="006668C8">
        <w:rPr>
          <w:rFonts w:ascii="Cambria" w:hAnsi="Cambria"/>
          <w:color w:val="000000" w:themeColor="text1"/>
          <w:sz w:val="20"/>
          <w:szCs w:val="20"/>
          <w:lang w:val="es-VE"/>
        </w:rPr>
        <w:t>la CIDH no</w:t>
      </w:r>
      <w:r w:rsidR="006668C8" w:rsidRPr="006668C8">
        <w:rPr>
          <w:rFonts w:ascii="Cambria" w:hAnsi="Cambria"/>
          <w:color w:val="000000" w:themeColor="text1"/>
          <w:sz w:val="20"/>
          <w:szCs w:val="20"/>
          <w:lang w:val="es-VE"/>
        </w:rPr>
        <w:t xml:space="preserve"> identifica </w:t>
      </w:r>
      <w:r w:rsidRPr="006668C8">
        <w:rPr>
          <w:rFonts w:ascii="Cambria" w:hAnsi="Cambria"/>
          <w:color w:val="000000" w:themeColor="text1"/>
          <w:sz w:val="20"/>
          <w:szCs w:val="20"/>
          <w:lang w:val="es-VE"/>
        </w:rPr>
        <w:t xml:space="preserve">un contexto de </w:t>
      </w:r>
      <w:r w:rsidR="00B32442" w:rsidRPr="006668C8">
        <w:rPr>
          <w:rFonts w:ascii="Cambria" w:hAnsi="Cambria"/>
          <w:color w:val="000000" w:themeColor="text1"/>
          <w:sz w:val="20"/>
          <w:szCs w:val="20"/>
          <w:lang w:val="es-VE"/>
        </w:rPr>
        <w:t xml:space="preserve">falta de </w:t>
      </w:r>
      <w:r w:rsidRPr="006668C8">
        <w:rPr>
          <w:rFonts w:ascii="Cambria" w:hAnsi="Cambria"/>
          <w:color w:val="000000" w:themeColor="text1"/>
          <w:sz w:val="20"/>
          <w:szCs w:val="20"/>
          <w:lang w:val="es-VE"/>
        </w:rPr>
        <w:t xml:space="preserve">regulación en materia de salud con la generalidad </w:t>
      </w:r>
      <w:r w:rsidR="00717989" w:rsidRPr="006668C8">
        <w:rPr>
          <w:rFonts w:ascii="Cambria" w:hAnsi="Cambria"/>
          <w:color w:val="000000" w:themeColor="text1"/>
          <w:sz w:val="20"/>
          <w:szCs w:val="20"/>
          <w:lang w:val="es-VE"/>
        </w:rPr>
        <w:t>expresad</w:t>
      </w:r>
      <w:r w:rsidR="00315B04">
        <w:rPr>
          <w:rFonts w:ascii="Cambria" w:hAnsi="Cambria"/>
          <w:color w:val="000000" w:themeColor="text1"/>
          <w:sz w:val="20"/>
          <w:szCs w:val="20"/>
          <w:lang w:val="es-VE"/>
        </w:rPr>
        <w:t>o</w:t>
      </w:r>
      <w:r w:rsidRPr="006668C8">
        <w:rPr>
          <w:rFonts w:ascii="Cambria" w:hAnsi="Cambria"/>
          <w:color w:val="000000" w:themeColor="text1"/>
          <w:sz w:val="20"/>
          <w:szCs w:val="20"/>
          <w:lang w:val="es-VE"/>
        </w:rPr>
        <w:t xml:space="preserve"> por l</w:t>
      </w:r>
      <w:r w:rsidR="00717989" w:rsidRPr="006668C8">
        <w:rPr>
          <w:rFonts w:ascii="Cambria" w:hAnsi="Cambria"/>
          <w:color w:val="000000" w:themeColor="text1"/>
          <w:sz w:val="20"/>
          <w:szCs w:val="20"/>
          <w:lang w:val="es-VE"/>
        </w:rPr>
        <w:t>a parte peticionaria</w:t>
      </w:r>
      <w:r w:rsidRPr="006668C8">
        <w:rPr>
          <w:rFonts w:ascii="Cambria" w:hAnsi="Cambria"/>
          <w:color w:val="000000" w:themeColor="text1"/>
          <w:sz w:val="20"/>
          <w:szCs w:val="20"/>
          <w:lang w:val="es-VE"/>
        </w:rPr>
        <w:t xml:space="preserve">. </w:t>
      </w:r>
      <w:r w:rsidR="00B32442" w:rsidRPr="006668C8">
        <w:rPr>
          <w:rFonts w:ascii="Cambria" w:hAnsi="Cambria"/>
          <w:color w:val="000000" w:themeColor="text1"/>
          <w:sz w:val="20"/>
          <w:szCs w:val="20"/>
          <w:lang w:val="es-VE"/>
        </w:rPr>
        <w:t>Si</w:t>
      </w:r>
      <w:r w:rsidRPr="006668C8">
        <w:rPr>
          <w:rFonts w:ascii="Cambria" w:hAnsi="Cambria"/>
          <w:color w:val="000000" w:themeColor="text1"/>
          <w:sz w:val="20"/>
          <w:szCs w:val="20"/>
          <w:lang w:val="es-VE"/>
        </w:rPr>
        <w:t xml:space="preserve">n perjuicio de lo anterior, </w:t>
      </w:r>
      <w:r w:rsidR="00B32442" w:rsidRPr="006668C8">
        <w:rPr>
          <w:rFonts w:ascii="Cambria" w:hAnsi="Cambria"/>
          <w:color w:val="000000" w:themeColor="text1"/>
          <w:sz w:val="20"/>
          <w:szCs w:val="20"/>
          <w:lang w:val="es-VE"/>
        </w:rPr>
        <w:t xml:space="preserve">del expediente </w:t>
      </w:r>
      <w:r w:rsidR="00597666" w:rsidRPr="006668C8">
        <w:rPr>
          <w:rFonts w:ascii="Cambria" w:hAnsi="Cambria"/>
          <w:color w:val="000000" w:themeColor="text1"/>
          <w:sz w:val="20"/>
          <w:szCs w:val="20"/>
          <w:lang w:val="es-VE"/>
        </w:rPr>
        <w:t xml:space="preserve">surge que </w:t>
      </w:r>
      <w:r w:rsidR="00A5588D" w:rsidRPr="006668C8">
        <w:rPr>
          <w:rFonts w:ascii="Cambria" w:hAnsi="Cambria"/>
          <w:color w:val="000000" w:themeColor="text1"/>
          <w:sz w:val="20"/>
          <w:szCs w:val="20"/>
          <w:lang w:val="es-VE"/>
        </w:rPr>
        <w:t>ante la</w:t>
      </w:r>
      <w:r w:rsidR="00A5588D">
        <w:rPr>
          <w:rFonts w:ascii="Cambria" w:hAnsi="Cambria"/>
          <w:color w:val="000000" w:themeColor="text1"/>
          <w:sz w:val="20"/>
          <w:szCs w:val="20"/>
          <w:lang w:val="es-VE"/>
        </w:rPr>
        <w:t xml:space="preserve"> ocurrencia de una desavenencia entre l</w:t>
      </w:r>
      <w:r w:rsidR="00B33D08">
        <w:rPr>
          <w:rFonts w:ascii="Cambria" w:hAnsi="Cambria"/>
          <w:color w:val="000000" w:themeColor="text1"/>
          <w:sz w:val="20"/>
          <w:szCs w:val="20"/>
          <w:lang w:val="es-VE"/>
        </w:rPr>
        <w:t>a</w:t>
      </w:r>
      <w:r w:rsidR="00A5588D">
        <w:rPr>
          <w:rFonts w:ascii="Cambria" w:hAnsi="Cambria"/>
          <w:color w:val="000000" w:themeColor="text1"/>
          <w:sz w:val="20"/>
          <w:szCs w:val="20"/>
          <w:lang w:val="es-VE"/>
        </w:rPr>
        <w:t>s</w:t>
      </w:r>
      <w:r w:rsidR="00B33D08">
        <w:rPr>
          <w:rFonts w:ascii="Cambria" w:hAnsi="Cambria"/>
          <w:color w:val="000000" w:themeColor="text1"/>
          <w:sz w:val="20"/>
          <w:szCs w:val="20"/>
          <w:lang w:val="es-VE"/>
        </w:rPr>
        <w:t xml:space="preserve"> personas</w:t>
      </w:r>
      <w:r w:rsidR="00A5588D">
        <w:rPr>
          <w:rFonts w:ascii="Cambria" w:hAnsi="Cambria"/>
          <w:color w:val="000000" w:themeColor="text1"/>
          <w:sz w:val="20"/>
          <w:szCs w:val="20"/>
          <w:lang w:val="es-VE"/>
        </w:rPr>
        <w:t xml:space="preserve"> asegurados y la Isapre</w:t>
      </w:r>
      <w:r w:rsidR="007017AC">
        <w:rPr>
          <w:rFonts w:ascii="Cambria" w:hAnsi="Cambria"/>
          <w:color w:val="000000" w:themeColor="text1"/>
          <w:sz w:val="20"/>
          <w:szCs w:val="20"/>
          <w:lang w:val="es-VE"/>
        </w:rPr>
        <w:t xml:space="preserve"> existe un sistema estándar </w:t>
      </w:r>
      <w:r w:rsidR="00A5588D">
        <w:rPr>
          <w:rFonts w:ascii="Cambria" w:hAnsi="Cambria"/>
          <w:color w:val="000000" w:themeColor="text1"/>
          <w:sz w:val="20"/>
          <w:szCs w:val="20"/>
          <w:lang w:val="es-VE"/>
        </w:rPr>
        <w:t xml:space="preserve">de solución </w:t>
      </w:r>
      <w:r w:rsidR="007017AC">
        <w:rPr>
          <w:rFonts w:ascii="Cambria" w:hAnsi="Cambria"/>
          <w:color w:val="000000" w:themeColor="text1"/>
          <w:sz w:val="20"/>
          <w:szCs w:val="20"/>
          <w:lang w:val="es-VE"/>
        </w:rPr>
        <w:t xml:space="preserve">de </w:t>
      </w:r>
      <w:r w:rsidR="007017AC" w:rsidRPr="006668C8">
        <w:rPr>
          <w:rFonts w:ascii="Cambria" w:hAnsi="Cambria"/>
          <w:color w:val="000000" w:themeColor="text1"/>
          <w:sz w:val="20"/>
          <w:szCs w:val="20"/>
          <w:lang w:val="es-VE"/>
        </w:rPr>
        <w:t>controversia</w:t>
      </w:r>
      <w:r w:rsidR="00B32442" w:rsidRPr="006668C8">
        <w:rPr>
          <w:rFonts w:ascii="Cambria" w:hAnsi="Cambria"/>
          <w:color w:val="000000" w:themeColor="text1"/>
          <w:sz w:val="20"/>
          <w:szCs w:val="20"/>
          <w:lang w:val="es-VE"/>
        </w:rPr>
        <w:t>s</w:t>
      </w:r>
      <w:r w:rsidR="007017AC" w:rsidRPr="006668C8">
        <w:rPr>
          <w:rFonts w:ascii="Cambria" w:hAnsi="Cambria"/>
          <w:color w:val="000000" w:themeColor="text1"/>
          <w:sz w:val="20"/>
          <w:szCs w:val="20"/>
          <w:lang w:val="es-VE"/>
        </w:rPr>
        <w:t xml:space="preserve"> previsto en Chile que se activa </w:t>
      </w:r>
      <w:r w:rsidR="005D2C99" w:rsidRPr="006668C8">
        <w:rPr>
          <w:rFonts w:ascii="Cambria" w:hAnsi="Cambria"/>
          <w:color w:val="000000" w:themeColor="text1"/>
          <w:sz w:val="20"/>
          <w:szCs w:val="20"/>
          <w:lang w:val="es-VE"/>
        </w:rPr>
        <w:t>por acción de</w:t>
      </w:r>
      <w:r w:rsidR="00B33D08">
        <w:rPr>
          <w:rFonts w:ascii="Cambria" w:hAnsi="Cambria"/>
          <w:color w:val="000000" w:themeColor="text1"/>
          <w:sz w:val="20"/>
          <w:szCs w:val="20"/>
          <w:lang w:val="es-VE"/>
        </w:rPr>
        <w:t xml:space="preserve"> </w:t>
      </w:r>
      <w:r w:rsidR="005D2C99" w:rsidRPr="006668C8">
        <w:rPr>
          <w:rFonts w:ascii="Cambria" w:hAnsi="Cambria"/>
          <w:color w:val="000000" w:themeColor="text1"/>
          <w:sz w:val="20"/>
          <w:szCs w:val="20"/>
          <w:lang w:val="es-VE"/>
        </w:rPr>
        <w:t>l</w:t>
      </w:r>
      <w:r w:rsidR="00B33D08">
        <w:rPr>
          <w:rFonts w:ascii="Cambria" w:hAnsi="Cambria"/>
          <w:color w:val="000000" w:themeColor="text1"/>
          <w:sz w:val="20"/>
          <w:szCs w:val="20"/>
          <w:lang w:val="es-VE"/>
        </w:rPr>
        <w:t>a</w:t>
      </w:r>
      <w:r w:rsidR="005D2C99" w:rsidRPr="006668C8">
        <w:rPr>
          <w:rFonts w:ascii="Cambria" w:hAnsi="Cambria"/>
          <w:color w:val="000000" w:themeColor="text1"/>
          <w:sz w:val="20"/>
          <w:szCs w:val="20"/>
          <w:lang w:val="es-VE"/>
        </w:rPr>
        <w:t xml:space="preserve"> </w:t>
      </w:r>
      <w:r w:rsidR="00B33D08">
        <w:rPr>
          <w:rFonts w:ascii="Cambria" w:hAnsi="Cambria"/>
          <w:color w:val="000000" w:themeColor="text1"/>
          <w:sz w:val="20"/>
          <w:szCs w:val="20"/>
          <w:lang w:val="es-VE"/>
        </w:rPr>
        <w:t xml:space="preserve">persona </w:t>
      </w:r>
      <w:r w:rsidR="005D2C99" w:rsidRPr="006668C8">
        <w:rPr>
          <w:rFonts w:ascii="Cambria" w:hAnsi="Cambria"/>
          <w:color w:val="000000" w:themeColor="text1"/>
          <w:sz w:val="20"/>
          <w:szCs w:val="20"/>
          <w:lang w:val="es-VE"/>
        </w:rPr>
        <w:t>asegurad</w:t>
      </w:r>
      <w:r w:rsidR="00B33D08">
        <w:rPr>
          <w:rFonts w:ascii="Cambria" w:hAnsi="Cambria"/>
          <w:color w:val="000000" w:themeColor="text1"/>
          <w:sz w:val="20"/>
          <w:szCs w:val="20"/>
          <w:lang w:val="es-VE"/>
        </w:rPr>
        <w:t>a</w:t>
      </w:r>
      <w:r w:rsidR="005D2C99" w:rsidRPr="006668C8">
        <w:rPr>
          <w:rFonts w:ascii="Cambria" w:hAnsi="Cambria"/>
          <w:color w:val="000000" w:themeColor="text1"/>
          <w:sz w:val="20"/>
          <w:szCs w:val="20"/>
          <w:lang w:val="es-VE"/>
        </w:rPr>
        <w:t xml:space="preserve"> </w:t>
      </w:r>
      <w:r w:rsidR="00B32442" w:rsidRPr="006668C8">
        <w:rPr>
          <w:rFonts w:ascii="Cambria" w:hAnsi="Cambria"/>
          <w:color w:val="000000" w:themeColor="text1"/>
          <w:sz w:val="20"/>
          <w:szCs w:val="20"/>
          <w:lang w:val="es-VE"/>
        </w:rPr>
        <w:t xml:space="preserve">frente a </w:t>
      </w:r>
      <w:r w:rsidR="007017AC" w:rsidRPr="006668C8">
        <w:rPr>
          <w:rFonts w:ascii="Cambria" w:hAnsi="Cambria"/>
          <w:color w:val="000000" w:themeColor="text1"/>
          <w:sz w:val="20"/>
          <w:szCs w:val="20"/>
          <w:lang w:val="es-VE"/>
        </w:rPr>
        <w:t>alguna posible</w:t>
      </w:r>
      <w:r w:rsidR="00A5588D" w:rsidRPr="006668C8">
        <w:rPr>
          <w:rFonts w:ascii="Cambria" w:hAnsi="Cambria"/>
          <w:color w:val="000000" w:themeColor="text1"/>
          <w:sz w:val="20"/>
          <w:szCs w:val="20"/>
          <w:lang w:val="es-VE"/>
        </w:rPr>
        <w:t xml:space="preserve"> afectación al servicio de salud</w:t>
      </w:r>
      <w:r w:rsidR="007E40A5" w:rsidRPr="006668C8">
        <w:rPr>
          <w:rStyle w:val="FootnoteReference"/>
          <w:rFonts w:ascii="Cambria" w:hAnsi="Cambria"/>
          <w:color w:val="000000" w:themeColor="text1"/>
          <w:sz w:val="20"/>
          <w:szCs w:val="20"/>
          <w:lang w:val="es-VE"/>
        </w:rPr>
        <w:footnoteReference w:id="15"/>
      </w:r>
      <w:r w:rsidR="007E40A5" w:rsidRPr="006668C8">
        <w:rPr>
          <w:rFonts w:ascii="Cambria" w:hAnsi="Cambria"/>
          <w:color w:val="000000" w:themeColor="text1"/>
          <w:sz w:val="20"/>
          <w:szCs w:val="20"/>
          <w:lang w:val="es-VE"/>
        </w:rPr>
        <w:t xml:space="preserve">. </w:t>
      </w:r>
      <w:r w:rsidR="00F73D63" w:rsidRPr="006668C8">
        <w:rPr>
          <w:rFonts w:ascii="Cambria" w:hAnsi="Cambria"/>
          <w:color w:val="000000" w:themeColor="text1"/>
          <w:sz w:val="20"/>
          <w:szCs w:val="20"/>
          <w:lang w:val="es-VE"/>
        </w:rPr>
        <w:t>A</w:t>
      </w:r>
      <w:r w:rsidR="005D2C99" w:rsidRPr="006668C8">
        <w:rPr>
          <w:rFonts w:ascii="Cambria" w:hAnsi="Cambria"/>
          <w:color w:val="000000" w:themeColor="text1"/>
          <w:sz w:val="20"/>
          <w:szCs w:val="20"/>
          <w:lang w:val="es-VE"/>
        </w:rPr>
        <w:t>simismo, la Comisión encuentra que el retiro de</w:t>
      </w:r>
      <w:r w:rsidR="00141440" w:rsidRPr="006668C8">
        <w:rPr>
          <w:rFonts w:ascii="Cambria" w:hAnsi="Cambria"/>
          <w:color w:val="000000" w:themeColor="text1"/>
          <w:sz w:val="20"/>
          <w:szCs w:val="20"/>
          <w:lang w:val="es-VE"/>
        </w:rPr>
        <w:t xml:space="preserve"> </w:t>
      </w:r>
      <w:r w:rsidR="005D2C99" w:rsidRPr="006668C8">
        <w:rPr>
          <w:rFonts w:ascii="Cambria" w:hAnsi="Cambria"/>
          <w:color w:val="000000" w:themeColor="text1"/>
          <w:sz w:val="20"/>
          <w:szCs w:val="20"/>
          <w:lang w:val="es-VE"/>
        </w:rPr>
        <w:t>l</w:t>
      </w:r>
      <w:r w:rsidR="00141440" w:rsidRPr="006668C8">
        <w:rPr>
          <w:rFonts w:ascii="Cambria" w:hAnsi="Cambria"/>
          <w:color w:val="000000" w:themeColor="text1"/>
          <w:sz w:val="20"/>
          <w:szCs w:val="20"/>
          <w:lang w:val="es-VE"/>
        </w:rPr>
        <w:t>a</w:t>
      </w:r>
      <w:r w:rsidR="005D2C99" w:rsidRPr="006668C8">
        <w:rPr>
          <w:rFonts w:ascii="Cambria" w:hAnsi="Cambria"/>
          <w:color w:val="000000" w:themeColor="text1"/>
          <w:sz w:val="20"/>
          <w:szCs w:val="20"/>
          <w:lang w:val="es-VE"/>
        </w:rPr>
        <w:t xml:space="preserve"> CAEC responde a una decisión de la Isapre por la sola</w:t>
      </w:r>
      <w:r w:rsidR="005D2C99">
        <w:rPr>
          <w:rFonts w:ascii="Cambria" w:hAnsi="Cambria"/>
          <w:color w:val="000000" w:themeColor="text1"/>
          <w:sz w:val="20"/>
          <w:szCs w:val="20"/>
          <w:lang w:val="es-VE"/>
        </w:rPr>
        <w:t xml:space="preserve"> determinación de que la dolencia sufrida por la persona asegurada es crónica. La Comisión encuentra que ante</w:t>
      </w:r>
      <w:r w:rsidR="00C513D7">
        <w:rPr>
          <w:rFonts w:ascii="Cambria" w:hAnsi="Cambria"/>
          <w:color w:val="000000" w:themeColor="text1"/>
          <w:sz w:val="20"/>
          <w:szCs w:val="20"/>
          <w:lang w:val="es-VE"/>
        </w:rPr>
        <w:t xml:space="preserve"> una situación puntual, como la de la presunta víctima, de</w:t>
      </w:r>
      <w:r w:rsidR="005D2C99">
        <w:rPr>
          <w:rFonts w:ascii="Cambria" w:hAnsi="Cambria"/>
          <w:color w:val="000000" w:themeColor="text1"/>
          <w:sz w:val="20"/>
          <w:szCs w:val="20"/>
          <w:lang w:val="es-VE"/>
        </w:rPr>
        <w:t xml:space="preserve"> levantamiento de</w:t>
      </w:r>
      <w:r w:rsidR="00141440">
        <w:rPr>
          <w:rFonts w:ascii="Cambria" w:hAnsi="Cambria"/>
          <w:color w:val="000000" w:themeColor="text1"/>
          <w:sz w:val="20"/>
          <w:szCs w:val="20"/>
          <w:lang w:val="es-VE"/>
        </w:rPr>
        <w:t xml:space="preserve"> </w:t>
      </w:r>
      <w:r w:rsidR="005D2C99">
        <w:rPr>
          <w:rFonts w:ascii="Cambria" w:hAnsi="Cambria"/>
          <w:color w:val="000000" w:themeColor="text1"/>
          <w:sz w:val="20"/>
          <w:szCs w:val="20"/>
          <w:lang w:val="es-VE"/>
        </w:rPr>
        <w:t>l</w:t>
      </w:r>
      <w:r w:rsidR="00141440">
        <w:rPr>
          <w:rFonts w:ascii="Cambria" w:hAnsi="Cambria"/>
          <w:color w:val="000000" w:themeColor="text1"/>
          <w:sz w:val="20"/>
          <w:szCs w:val="20"/>
          <w:lang w:val="es-VE"/>
        </w:rPr>
        <w:t>a</w:t>
      </w:r>
      <w:r w:rsidR="005D2C99">
        <w:rPr>
          <w:rFonts w:ascii="Cambria" w:hAnsi="Cambria"/>
          <w:color w:val="000000" w:themeColor="text1"/>
          <w:sz w:val="20"/>
          <w:szCs w:val="20"/>
          <w:lang w:val="es-VE"/>
        </w:rPr>
        <w:t xml:space="preserve"> CAEC</w:t>
      </w:r>
      <w:r w:rsidR="009675FE">
        <w:rPr>
          <w:rFonts w:ascii="Cambria" w:hAnsi="Cambria"/>
          <w:color w:val="000000" w:themeColor="text1"/>
          <w:sz w:val="20"/>
          <w:szCs w:val="20"/>
          <w:lang w:val="es-VE"/>
        </w:rPr>
        <w:t xml:space="preserve">, </w:t>
      </w:r>
      <w:r w:rsidR="005D2C99">
        <w:rPr>
          <w:rFonts w:ascii="Cambria" w:hAnsi="Cambria"/>
          <w:color w:val="000000" w:themeColor="text1"/>
          <w:sz w:val="20"/>
          <w:szCs w:val="20"/>
          <w:lang w:val="es-VE"/>
        </w:rPr>
        <w:t>el asegurado tiene que recurrir a algún tipo de mecanismo contencioso</w:t>
      </w:r>
      <w:r w:rsidR="00D524BD">
        <w:rPr>
          <w:rFonts w:ascii="Cambria" w:hAnsi="Cambria"/>
          <w:color w:val="000000" w:themeColor="text1"/>
          <w:sz w:val="20"/>
          <w:szCs w:val="20"/>
          <w:lang w:val="es-VE"/>
        </w:rPr>
        <w:t xml:space="preserve"> tras</w:t>
      </w:r>
      <w:r w:rsidR="00D47930">
        <w:rPr>
          <w:rFonts w:ascii="Cambria" w:hAnsi="Cambria"/>
          <w:color w:val="000000" w:themeColor="text1"/>
          <w:sz w:val="20"/>
          <w:szCs w:val="20"/>
          <w:lang w:val="es-VE"/>
        </w:rPr>
        <w:t xml:space="preserve"> la terminación de la cobertura de </w:t>
      </w:r>
      <w:r w:rsidR="005D2C99">
        <w:rPr>
          <w:rFonts w:ascii="Cambria" w:hAnsi="Cambria"/>
          <w:color w:val="000000" w:themeColor="text1"/>
          <w:sz w:val="20"/>
          <w:szCs w:val="20"/>
          <w:lang w:val="es-VE"/>
        </w:rPr>
        <w:t xml:space="preserve">salud. </w:t>
      </w:r>
    </w:p>
    <w:p w:rsidR="00A41DF1" w:rsidRDefault="00A41DF1">
      <w:pPr>
        <w:rPr>
          <w:rFonts w:asciiTheme="majorHAnsi" w:hAnsiTheme="majorHAnsi"/>
          <w:sz w:val="20"/>
          <w:szCs w:val="20"/>
          <w:lang w:val="es-ES_tradnl"/>
        </w:rPr>
      </w:pPr>
    </w:p>
    <w:p w:rsidR="002A12A5" w:rsidRPr="00C87FF4" w:rsidRDefault="002A12A5" w:rsidP="00F5400E">
      <w:pPr>
        <w:pStyle w:val="Heading1"/>
        <w:numPr>
          <w:ilvl w:val="0"/>
          <w:numId w:val="58"/>
        </w:numPr>
        <w:rPr>
          <w:szCs w:val="20"/>
          <w:lang w:val="es-ES_tradnl"/>
        </w:rPr>
      </w:pPr>
      <w:bookmarkStart w:id="8" w:name="_Toc531880118"/>
      <w:r w:rsidRPr="00C87FF4">
        <w:rPr>
          <w:szCs w:val="20"/>
          <w:lang w:val="es-ES_tradnl"/>
        </w:rPr>
        <w:t>Hechos del caso</w:t>
      </w:r>
      <w:bookmarkEnd w:id="8"/>
    </w:p>
    <w:p w:rsidR="002A12A5" w:rsidRDefault="002A12A5" w:rsidP="003A0A58">
      <w:pPr>
        <w:ind w:left="720"/>
        <w:jc w:val="both"/>
        <w:rPr>
          <w:rFonts w:asciiTheme="majorHAnsi" w:hAnsiTheme="majorHAnsi"/>
          <w:b/>
          <w:sz w:val="20"/>
          <w:szCs w:val="20"/>
          <w:lang w:val="es-ES_tradnl"/>
        </w:rPr>
      </w:pPr>
    </w:p>
    <w:p w:rsidR="00D83D73" w:rsidRPr="003A0A58" w:rsidRDefault="002A12A5" w:rsidP="00C87FF4">
      <w:pPr>
        <w:pStyle w:val="Heading3"/>
        <w:rPr>
          <w:lang w:val="es-ES_tradnl"/>
        </w:rPr>
      </w:pPr>
      <w:bookmarkStart w:id="9" w:name="_Toc531880119"/>
      <w:r>
        <w:rPr>
          <w:lang w:val="es-ES_tradnl"/>
        </w:rPr>
        <w:t>Sobre la niña Martina, su diagnóstico y situación actual</w:t>
      </w:r>
      <w:bookmarkEnd w:id="9"/>
    </w:p>
    <w:p w:rsidR="006430E0" w:rsidRDefault="006430E0" w:rsidP="006430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rsidR="00A41DF1" w:rsidRDefault="00A41DF1"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En agosto de 2006 la pareja conformada por el señor Vera y la señora Rojas adoptó a Martina Vera Rojas cuando tenía tres meses de vida. A la edad de ocho meses la niña Vera fue diagnosticada con el síndrome de Leigh.</w:t>
      </w:r>
      <w:r w:rsidR="00A72D8F">
        <w:rPr>
          <w:rFonts w:asciiTheme="majorHAnsi" w:hAnsiTheme="majorHAnsi"/>
          <w:sz w:val="20"/>
          <w:szCs w:val="20"/>
          <w:lang w:val="es-ES_tradnl"/>
        </w:rPr>
        <w:t xml:space="preserve"> </w:t>
      </w:r>
      <w:r w:rsidR="00F967DE">
        <w:rPr>
          <w:rFonts w:asciiTheme="majorHAnsi" w:hAnsiTheme="majorHAnsi"/>
          <w:sz w:val="20"/>
          <w:szCs w:val="20"/>
          <w:lang w:val="es-ES_tradnl"/>
        </w:rPr>
        <w:t>Según la parte peticionaria, e</w:t>
      </w:r>
      <w:r w:rsidRPr="00A72D8F">
        <w:rPr>
          <w:rFonts w:asciiTheme="majorHAnsi" w:hAnsiTheme="majorHAnsi"/>
          <w:sz w:val="20"/>
          <w:szCs w:val="20"/>
          <w:lang w:val="es-ES_tradnl"/>
        </w:rPr>
        <w:t>l síndrome de Leigh es “una enfermedad neurológica de origen genético, progresiva y degenerati</w:t>
      </w:r>
      <w:r w:rsidR="00A72D8F" w:rsidRPr="00A72D8F">
        <w:rPr>
          <w:rFonts w:asciiTheme="majorHAnsi" w:hAnsiTheme="majorHAnsi"/>
          <w:sz w:val="20"/>
          <w:szCs w:val="20"/>
          <w:lang w:val="es-ES_tradnl"/>
        </w:rPr>
        <w:t>v</w:t>
      </w:r>
      <w:r w:rsidRPr="00A72D8F">
        <w:rPr>
          <w:rFonts w:asciiTheme="majorHAnsi" w:hAnsiTheme="majorHAnsi"/>
          <w:sz w:val="20"/>
          <w:szCs w:val="20"/>
          <w:lang w:val="es-ES_tradnl"/>
        </w:rPr>
        <w:t>a, caracterizada por lesiones en el tálamo, cerebelo, corteza cerebral y la médula espinal. Se trata de una enfermedad que</w:t>
      </w:r>
      <w:r w:rsidR="00A72D8F" w:rsidRPr="00A72D8F">
        <w:rPr>
          <w:rFonts w:asciiTheme="majorHAnsi" w:hAnsiTheme="majorHAnsi"/>
          <w:sz w:val="20"/>
          <w:szCs w:val="20"/>
          <w:lang w:val="es-ES_tradnl"/>
        </w:rPr>
        <w:t xml:space="preserve"> no tiene tratamiento para evitar su progresión</w:t>
      </w:r>
      <w:r w:rsidR="006430E0">
        <w:rPr>
          <w:rFonts w:asciiTheme="majorHAnsi" w:hAnsiTheme="majorHAnsi"/>
          <w:sz w:val="20"/>
          <w:szCs w:val="20"/>
          <w:lang w:val="es-ES_tradnl"/>
        </w:rPr>
        <w:t xml:space="preserve"> y los pacientes que la padecen solo pueden recibir tratamientos paliativos</w:t>
      </w:r>
      <w:r w:rsidR="00A72D8F" w:rsidRPr="00A72D8F">
        <w:rPr>
          <w:rFonts w:asciiTheme="majorHAnsi" w:hAnsiTheme="majorHAnsi"/>
          <w:sz w:val="20"/>
          <w:szCs w:val="20"/>
          <w:lang w:val="es-ES_tradnl"/>
        </w:rPr>
        <w:t>”</w:t>
      </w:r>
      <w:r w:rsidR="00A72D8F">
        <w:rPr>
          <w:rStyle w:val="FootnoteReference"/>
          <w:rFonts w:asciiTheme="majorHAnsi" w:hAnsiTheme="majorHAnsi"/>
          <w:sz w:val="20"/>
          <w:szCs w:val="20"/>
          <w:lang w:val="es-ES_tradnl"/>
        </w:rPr>
        <w:footnoteReference w:id="16"/>
      </w:r>
      <w:r w:rsidR="00A72D8F" w:rsidRPr="00A72D8F">
        <w:rPr>
          <w:rFonts w:asciiTheme="majorHAnsi" w:hAnsiTheme="majorHAnsi"/>
          <w:sz w:val="20"/>
          <w:szCs w:val="20"/>
          <w:lang w:val="es-ES_tradnl"/>
        </w:rPr>
        <w:t>.</w:t>
      </w:r>
      <w:r w:rsidR="006430E0">
        <w:rPr>
          <w:rFonts w:asciiTheme="majorHAnsi" w:hAnsiTheme="majorHAnsi"/>
          <w:sz w:val="20"/>
          <w:szCs w:val="20"/>
          <w:lang w:val="es-ES_tradnl"/>
        </w:rPr>
        <w:t xml:space="preserve"> La parte peticionaria también indicó que “los pacientes que poseen esta enfermedad mueren mayoritariamente antes de los 6 años de edad, solo un 27% superan la muerte temprana”</w:t>
      </w:r>
      <w:r w:rsidR="00922858">
        <w:rPr>
          <w:rFonts w:asciiTheme="majorHAnsi" w:hAnsiTheme="majorHAnsi"/>
          <w:sz w:val="20"/>
          <w:szCs w:val="20"/>
          <w:lang w:val="es-ES_tradnl"/>
        </w:rPr>
        <w:t xml:space="preserve">, </w:t>
      </w:r>
      <w:r w:rsidR="00F967DE">
        <w:rPr>
          <w:rFonts w:asciiTheme="majorHAnsi" w:hAnsiTheme="majorHAnsi"/>
          <w:sz w:val="20"/>
          <w:szCs w:val="20"/>
          <w:lang w:val="es-ES_tradnl"/>
        </w:rPr>
        <w:t xml:space="preserve">lo cual </w:t>
      </w:r>
      <w:r w:rsidR="00922858">
        <w:rPr>
          <w:rFonts w:asciiTheme="majorHAnsi" w:hAnsiTheme="majorHAnsi"/>
          <w:sz w:val="20"/>
          <w:szCs w:val="20"/>
          <w:lang w:val="es-ES_tradnl"/>
        </w:rPr>
        <w:t xml:space="preserve">está determinado por “la aplicación de terapias kinesiológicas, diagnósticos frecuentes y prolongados cuidados que incluyan apoyos nutricionales, terapias respiratorias, cocteles mitocondriales, terapias que deben ser provistas por un mismo centro </w:t>
      </w:r>
      <w:r w:rsidR="00AF6FE7">
        <w:rPr>
          <w:rFonts w:asciiTheme="majorHAnsi" w:hAnsiTheme="majorHAnsi"/>
          <w:sz w:val="20"/>
          <w:szCs w:val="20"/>
          <w:lang w:val="es-ES_tradnl"/>
        </w:rPr>
        <w:t>terapéutico”</w:t>
      </w:r>
      <w:r w:rsidR="00922858">
        <w:rPr>
          <w:rStyle w:val="FootnoteReference"/>
          <w:rFonts w:asciiTheme="majorHAnsi" w:hAnsiTheme="majorHAnsi"/>
          <w:sz w:val="20"/>
          <w:szCs w:val="20"/>
          <w:lang w:val="es-ES_tradnl"/>
        </w:rPr>
        <w:footnoteReference w:id="17"/>
      </w:r>
      <w:r w:rsidR="00922858">
        <w:rPr>
          <w:rFonts w:asciiTheme="majorHAnsi" w:hAnsiTheme="majorHAnsi"/>
          <w:sz w:val="20"/>
          <w:szCs w:val="20"/>
          <w:lang w:val="es-ES_tradnl"/>
        </w:rPr>
        <w:t xml:space="preserve">.  </w:t>
      </w:r>
    </w:p>
    <w:p w:rsidR="00922858" w:rsidRDefault="00922858" w:rsidP="009228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rsidR="00315B04" w:rsidRDefault="00B4034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6668C8">
        <w:rPr>
          <w:rFonts w:asciiTheme="majorHAnsi" w:hAnsiTheme="majorHAnsi"/>
          <w:sz w:val="20"/>
          <w:szCs w:val="20"/>
          <w:lang w:val="es-ES_tradnl"/>
        </w:rPr>
        <w:t>Según la información más recien</w:t>
      </w:r>
      <w:r w:rsidR="00315B04">
        <w:rPr>
          <w:rFonts w:asciiTheme="majorHAnsi" w:hAnsiTheme="majorHAnsi"/>
          <w:sz w:val="20"/>
          <w:szCs w:val="20"/>
          <w:lang w:val="es-ES_tradnl"/>
        </w:rPr>
        <w:t xml:space="preserve">te, </w:t>
      </w:r>
      <w:r w:rsidR="00922858" w:rsidRPr="006668C8">
        <w:rPr>
          <w:rFonts w:asciiTheme="majorHAnsi" w:hAnsiTheme="majorHAnsi"/>
          <w:sz w:val="20"/>
          <w:szCs w:val="20"/>
          <w:lang w:val="es-ES_tradnl"/>
        </w:rPr>
        <w:t>la niña Martina ya perdió la audición, la visi</w:t>
      </w:r>
      <w:r w:rsidR="00AF6FE7" w:rsidRPr="006668C8">
        <w:rPr>
          <w:rFonts w:asciiTheme="majorHAnsi" w:hAnsiTheme="majorHAnsi"/>
          <w:sz w:val="20"/>
          <w:szCs w:val="20"/>
          <w:lang w:val="es-ES_tradnl"/>
        </w:rPr>
        <w:t>ón, su</w:t>
      </w:r>
      <w:r w:rsidR="00922858" w:rsidRPr="006668C8">
        <w:rPr>
          <w:rFonts w:asciiTheme="majorHAnsi" w:hAnsiTheme="majorHAnsi"/>
          <w:sz w:val="20"/>
          <w:szCs w:val="20"/>
          <w:lang w:val="es-ES_tradnl"/>
        </w:rPr>
        <w:t xml:space="preserve"> sistema motor se encuentra comprometido, respira a través de una traqueotomía y se le suministran </w:t>
      </w:r>
      <w:r w:rsidR="00AF6FE7" w:rsidRPr="006668C8">
        <w:rPr>
          <w:rFonts w:asciiTheme="majorHAnsi" w:hAnsiTheme="majorHAnsi"/>
          <w:sz w:val="20"/>
          <w:szCs w:val="20"/>
          <w:lang w:val="es-ES_tradnl"/>
        </w:rPr>
        <w:t xml:space="preserve">alimentos y medicamentos </w:t>
      </w:r>
      <w:r w:rsidR="00922858" w:rsidRPr="006668C8">
        <w:rPr>
          <w:rFonts w:asciiTheme="majorHAnsi" w:hAnsiTheme="majorHAnsi"/>
          <w:sz w:val="20"/>
          <w:szCs w:val="20"/>
          <w:lang w:val="es-ES_tradnl"/>
        </w:rPr>
        <w:t>a través de una gastrostom</w:t>
      </w:r>
      <w:r w:rsidR="00AF6FE7" w:rsidRPr="006668C8">
        <w:rPr>
          <w:rFonts w:asciiTheme="majorHAnsi" w:hAnsiTheme="majorHAnsi"/>
          <w:sz w:val="20"/>
          <w:szCs w:val="20"/>
          <w:lang w:val="es-ES_tradnl"/>
        </w:rPr>
        <w:t>ía</w:t>
      </w:r>
      <w:r w:rsidR="009B764B" w:rsidRPr="006668C8">
        <w:rPr>
          <w:rStyle w:val="FootnoteReference"/>
          <w:rFonts w:asciiTheme="majorHAnsi" w:hAnsiTheme="majorHAnsi"/>
          <w:sz w:val="20"/>
          <w:szCs w:val="20"/>
          <w:lang w:val="es-ES_tradnl"/>
        </w:rPr>
        <w:footnoteReference w:id="18"/>
      </w:r>
      <w:r w:rsidR="00AF6FE7" w:rsidRPr="006668C8">
        <w:rPr>
          <w:rFonts w:asciiTheme="majorHAnsi" w:hAnsiTheme="majorHAnsi"/>
          <w:sz w:val="20"/>
          <w:szCs w:val="20"/>
          <w:lang w:val="es-ES_tradnl"/>
        </w:rPr>
        <w:t xml:space="preserve">. La niña Martina, junto con sus padres, reside en la ciudad de Arica, en el norte de Chile. El señor Vera declara </w:t>
      </w:r>
      <w:r w:rsidR="00AE3F02" w:rsidRPr="006668C8">
        <w:rPr>
          <w:rFonts w:asciiTheme="majorHAnsi" w:hAnsiTheme="majorHAnsi"/>
          <w:sz w:val="20"/>
          <w:szCs w:val="20"/>
          <w:lang w:val="es-ES_tradnl"/>
        </w:rPr>
        <w:t>tener un problema</w:t>
      </w:r>
      <w:r w:rsidR="00AE3F02">
        <w:rPr>
          <w:rFonts w:asciiTheme="majorHAnsi" w:hAnsiTheme="majorHAnsi"/>
          <w:sz w:val="20"/>
          <w:szCs w:val="20"/>
          <w:lang w:val="es-ES_tradnl"/>
        </w:rPr>
        <w:t xml:space="preserve"> de hipertensión nocturna, que le ha generado problemas en la visión y la señora Rojas indica que la familia sufre de un estrés constante</w:t>
      </w:r>
      <w:r w:rsidR="00A24A7D">
        <w:rPr>
          <w:rStyle w:val="FootnoteReference"/>
          <w:rFonts w:asciiTheme="majorHAnsi" w:hAnsiTheme="majorHAnsi"/>
          <w:sz w:val="20"/>
          <w:szCs w:val="20"/>
          <w:lang w:val="es-ES_tradnl"/>
        </w:rPr>
        <w:footnoteReference w:id="19"/>
      </w:r>
      <w:r w:rsidR="00AE3F02">
        <w:rPr>
          <w:rFonts w:asciiTheme="majorHAnsi" w:hAnsiTheme="majorHAnsi"/>
          <w:sz w:val="20"/>
          <w:szCs w:val="20"/>
          <w:lang w:val="es-ES_tradnl"/>
        </w:rPr>
        <w:t>.</w:t>
      </w:r>
    </w:p>
    <w:p w:rsidR="00315B04" w:rsidRDefault="00315B04" w:rsidP="00315B04">
      <w:pPr>
        <w:pStyle w:val="ListParagraph"/>
        <w:rPr>
          <w:rFonts w:asciiTheme="majorHAnsi" w:hAnsiTheme="majorHAnsi"/>
          <w:sz w:val="20"/>
          <w:szCs w:val="20"/>
          <w:lang w:val="es-ES_tradnl"/>
        </w:rPr>
      </w:pPr>
    </w:p>
    <w:p w:rsidR="00AF6FE7" w:rsidRDefault="00AE3F02" w:rsidP="00315B0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r>
        <w:rPr>
          <w:rFonts w:asciiTheme="majorHAnsi" w:hAnsiTheme="majorHAnsi"/>
          <w:sz w:val="20"/>
          <w:szCs w:val="20"/>
          <w:lang w:val="es-ES_tradnl"/>
        </w:rPr>
        <w:t xml:space="preserve"> </w:t>
      </w:r>
    </w:p>
    <w:p w:rsidR="004D195F" w:rsidRDefault="00E82AE4" w:rsidP="00C87FF4">
      <w:pPr>
        <w:pStyle w:val="Heading3"/>
        <w:rPr>
          <w:lang w:val="es-ES_tradnl"/>
        </w:rPr>
      </w:pPr>
      <w:bookmarkStart w:id="10" w:name="_Toc531880120"/>
      <w:r w:rsidRPr="002772D9">
        <w:rPr>
          <w:lang w:val="es-ES_tradnl"/>
        </w:rPr>
        <w:t>Inici</w:t>
      </w:r>
      <w:r w:rsidR="006D2135">
        <w:rPr>
          <w:lang w:val="es-ES_tradnl"/>
        </w:rPr>
        <w:t>o</w:t>
      </w:r>
      <w:r>
        <w:rPr>
          <w:lang w:val="es-ES_tradnl"/>
        </w:rPr>
        <w:t xml:space="preserve"> del régimen de hospitalización domiciliaria y levantamiento del mismo</w:t>
      </w:r>
      <w:bookmarkEnd w:id="10"/>
    </w:p>
    <w:p w:rsidR="00F7171D" w:rsidRDefault="00F7171D" w:rsidP="00F7171D">
      <w:pPr>
        <w:pStyle w:val="ListParagraph"/>
        <w:ind w:left="1080"/>
        <w:rPr>
          <w:rFonts w:asciiTheme="majorHAnsi" w:hAnsiTheme="majorHAnsi"/>
          <w:b/>
          <w:color w:val="auto"/>
          <w:sz w:val="20"/>
          <w:szCs w:val="20"/>
          <w:lang w:val="es-ES_tradnl"/>
        </w:rPr>
      </w:pPr>
    </w:p>
    <w:p w:rsidR="00784178" w:rsidRDefault="00782418"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Tal como ya se indicó</w:t>
      </w:r>
      <w:r w:rsidR="006D2135">
        <w:rPr>
          <w:rFonts w:asciiTheme="majorHAnsi" w:hAnsiTheme="majorHAnsi"/>
          <w:sz w:val="20"/>
          <w:szCs w:val="20"/>
          <w:lang w:val="es-ES_tradnl"/>
        </w:rPr>
        <w:t xml:space="preserve">, </w:t>
      </w:r>
      <w:r>
        <w:rPr>
          <w:rFonts w:asciiTheme="majorHAnsi" w:hAnsiTheme="majorHAnsi"/>
          <w:sz w:val="20"/>
          <w:szCs w:val="20"/>
          <w:lang w:val="es-ES_tradnl"/>
        </w:rPr>
        <w:t xml:space="preserve">a los ocho </w:t>
      </w:r>
      <w:r w:rsidR="00827E7C">
        <w:rPr>
          <w:rFonts w:asciiTheme="majorHAnsi" w:hAnsiTheme="majorHAnsi"/>
          <w:sz w:val="20"/>
          <w:szCs w:val="20"/>
          <w:lang w:val="es-ES_tradnl"/>
        </w:rPr>
        <w:t>meses de vida</w:t>
      </w:r>
      <w:r w:rsidR="006D2135">
        <w:rPr>
          <w:rFonts w:asciiTheme="majorHAnsi" w:hAnsiTheme="majorHAnsi"/>
          <w:sz w:val="20"/>
          <w:szCs w:val="20"/>
          <w:lang w:val="es-ES_tradnl"/>
        </w:rPr>
        <w:t xml:space="preserve"> la</w:t>
      </w:r>
      <w:r w:rsidR="00827E7C">
        <w:rPr>
          <w:rFonts w:asciiTheme="majorHAnsi" w:hAnsiTheme="majorHAnsi"/>
          <w:sz w:val="20"/>
          <w:szCs w:val="20"/>
          <w:lang w:val="es-ES_tradnl"/>
        </w:rPr>
        <w:t xml:space="preserve"> salud </w:t>
      </w:r>
      <w:r w:rsidR="006D2135">
        <w:rPr>
          <w:rFonts w:asciiTheme="majorHAnsi" w:hAnsiTheme="majorHAnsi"/>
          <w:sz w:val="20"/>
          <w:szCs w:val="20"/>
          <w:lang w:val="es-ES_tradnl"/>
        </w:rPr>
        <w:t xml:space="preserve">de la niña Martina </w:t>
      </w:r>
      <w:r w:rsidR="00827E7C">
        <w:rPr>
          <w:rFonts w:asciiTheme="majorHAnsi" w:hAnsiTheme="majorHAnsi"/>
          <w:sz w:val="20"/>
          <w:szCs w:val="20"/>
          <w:lang w:val="es-ES_tradnl"/>
        </w:rPr>
        <w:t xml:space="preserve">comenzó a deteriorarse. </w:t>
      </w:r>
      <w:r w:rsidR="00584586" w:rsidRPr="00FE7F7D">
        <w:rPr>
          <w:rFonts w:asciiTheme="majorHAnsi" w:hAnsiTheme="majorHAnsi"/>
          <w:sz w:val="20"/>
          <w:szCs w:val="20"/>
          <w:lang w:val="es-ES_tradnl"/>
        </w:rPr>
        <w:t>No existe</w:t>
      </w:r>
      <w:r w:rsidR="006D2135">
        <w:rPr>
          <w:rFonts w:asciiTheme="majorHAnsi" w:hAnsiTheme="majorHAnsi"/>
          <w:sz w:val="20"/>
          <w:szCs w:val="20"/>
          <w:lang w:val="es-ES_tradnl"/>
        </w:rPr>
        <w:t xml:space="preserve"> controversia en cuanto a que </w:t>
      </w:r>
      <w:r w:rsidR="00584586" w:rsidRPr="00FE7F7D">
        <w:rPr>
          <w:rFonts w:asciiTheme="majorHAnsi" w:hAnsiTheme="majorHAnsi"/>
          <w:sz w:val="20"/>
          <w:szCs w:val="20"/>
          <w:lang w:val="es-ES_tradnl"/>
        </w:rPr>
        <w:t xml:space="preserve">la presunta víctima </w:t>
      </w:r>
      <w:r w:rsidR="00F7171D" w:rsidRPr="00FE7F7D">
        <w:rPr>
          <w:rFonts w:asciiTheme="majorHAnsi" w:hAnsiTheme="majorHAnsi"/>
          <w:sz w:val="20"/>
          <w:szCs w:val="20"/>
          <w:lang w:val="es-ES_tradnl"/>
        </w:rPr>
        <w:t xml:space="preserve">padece el síndrome de Leigh, tal como lo acreditan los informes médicos </w:t>
      </w:r>
      <w:r w:rsidR="009D6D4A">
        <w:rPr>
          <w:rFonts w:asciiTheme="majorHAnsi" w:hAnsiTheme="majorHAnsi"/>
          <w:sz w:val="20"/>
          <w:szCs w:val="20"/>
          <w:lang w:val="es-ES_tradnl"/>
        </w:rPr>
        <w:t>incorporados</w:t>
      </w:r>
      <w:r w:rsidR="00F7171D" w:rsidRPr="00FE7F7D">
        <w:rPr>
          <w:rFonts w:asciiTheme="majorHAnsi" w:hAnsiTheme="majorHAnsi"/>
          <w:sz w:val="20"/>
          <w:szCs w:val="20"/>
          <w:lang w:val="es-ES_tradnl"/>
        </w:rPr>
        <w:t xml:space="preserve"> al expediente</w:t>
      </w:r>
      <w:r w:rsidR="00F7171D">
        <w:rPr>
          <w:rStyle w:val="FootnoteReference"/>
          <w:rFonts w:asciiTheme="majorHAnsi" w:hAnsiTheme="majorHAnsi"/>
          <w:sz w:val="20"/>
          <w:szCs w:val="20"/>
          <w:lang w:val="es-ES_tradnl"/>
        </w:rPr>
        <w:footnoteReference w:id="20"/>
      </w:r>
      <w:r w:rsidR="00F7171D" w:rsidRPr="00FE7F7D">
        <w:rPr>
          <w:rFonts w:asciiTheme="majorHAnsi" w:hAnsiTheme="majorHAnsi"/>
          <w:sz w:val="20"/>
          <w:szCs w:val="20"/>
          <w:lang w:val="es-ES_tradnl"/>
        </w:rPr>
        <w:t>.</w:t>
      </w:r>
      <w:r w:rsidR="00FE7F7D">
        <w:rPr>
          <w:rFonts w:asciiTheme="majorHAnsi" w:hAnsiTheme="majorHAnsi"/>
          <w:sz w:val="20"/>
          <w:szCs w:val="20"/>
          <w:lang w:val="es-ES_tradnl"/>
        </w:rPr>
        <w:t xml:space="preserve"> El </w:t>
      </w:r>
      <w:r w:rsidR="009D6D4A">
        <w:rPr>
          <w:rFonts w:asciiTheme="majorHAnsi" w:hAnsiTheme="majorHAnsi"/>
          <w:sz w:val="20"/>
          <w:szCs w:val="20"/>
          <w:lang w:val="es-ES_tradnl"/>
        </w:rPr>
        <w:t xml:space="preserve">padre </w:t>
      </w:r>
      <w:r w:rsidR="00FE7F7D">
        <w:rPr>
          <w:rFonts w:asciiTheme="majorHAnsi" w:hAnsiTheme="majorHAnsi"/>
          <w:sz w:val="20"/>
          <w:szCs w:val="20"/>
          <w:lang w:val="es-ES_tradnl"/>
        </w:rPr>
        <w:t xml:space="preserve">de la </w:t>
      </w:r>
      <w:r w:rsidR="009D6D4A">
        <w:rPr>
          <w:rFonts w:asciiTheme="majorHAnsi" w:hAnsiTheme="majorHAnsi"/>
          <w:sz w:val="20"/>
          <w:szCs w:val="20"/>
          <w:lang w:val="es-ES_tradnl"/>
        </w:rPr>
        <w:t xml:space="preserve">niña Martina </w:t>
      </w:r>
      <w:r w:rsidR="007401DF">
        <w:rPr>
          <w:rFonts w:asciiTheme="majorHAnsi" w:hAnsiTheme="majorHAnsi"/>
          <w:sz w:val="20"/>
          <w:szCs w:val="20"/>
          <w:lang w:val="es-ES_tradnl"/>
        </w:rPr>
        <w:t xml:space="preserve">contrató con la Isapre un seguro de salud </w:t>
      </w:r>
      <w:r w:rsidR="006D2135">
        <w:rPr>
          <w:rFonts w:asciiTheme="majorHAnsi" w:hAnsiTheme="majorHAnsi"/>
          <w:sz w:val="20"/>
          <w:szCs w:val="20"/>
          <w:lang w:val="es-ES_tradnl"/>
        </w:rPr>
        <w:t xml:space="preserve">en </w:t>
      </w:r>
      <w:r w:rsidR="007401DF">
        <w:rPr>
          <w:rFonts w:asciiTheme="majorHAnsi" w:hAnsiTheme="majorHAnsi"/>
          <w:sz w:val="20"/>
          <w:szCs w:val="20"/>
          <w:lang w:val="es-ES_tradnl"/>
        </w:rPr>
        <w:t>el año 2007</w:t>
      </w:r>
      <w:r w:rsidR="007401DF">
        <w:rPr>
          <w:rStyle w:val="FootnoteReference"/>
          <w:rFonts w:asciiTheme="majorHAnsi" w:hAnsiTheme="majorHAnsi"/>
          <w:sz w:val="20"/>
          <w:szCs w:val="20"/>
          <w:lang w:val="es-ES_tradnl"/>
        </w:rPr>
        <w:footnoteReference w:id="21"/>
      </w:r>
      <w:r w:rsidR="00827E7C">
        <w:rPr>
          <w:rFonts w:asciiTheme="majorHAnsi" w:hAnsiTheme="majorHAnsi"/>
          <w:sz w:val="20"/>
          <w:szCs w:val="20"/>
          <w:lang w:val="es-ES_tradnl"/>
        </w:rPr>
        <w:t>.</w:t>
      </w:r>
    </w:p>
    <w:p w:rsidR="00FE7F7D" w:rsidRDefault="00FE7F7D" w:rsidP="00FE7F7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rsidR="00587601" w:rsidRDefault="00CB496B"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Tras su diagnóstico, la parte peticionaria indicó que durante su estado más crítico, fue </w:t>
      </w:r>
      <w:r w:rsidR="00322BE5">
        <w:rPr>
          <w:rFonts w:asciiTheme="majorHAnsi" w:hAnsiTheme="majorHAnsi"/>
          <w:sz w:val="20"/>
          <w:szCs w:val="20"/>
          <w:lang w:val="es-ES_tradnl"/>
        </w:rPr>
        <w:t xml:space="preserve">trasladada de Arica a Santiago de Chile, donde fue internada y </w:t>
      </w:r>
      <w:r>
        <w:rPr>
          <w:rFonts w:asciiTheme="majorHAnsi" w:hAnsiTheme="majorHAnsi"/>
          <w:sz w:val="20"/>
          <w:szCs w:val="20"/>
          <w:lang w:val="es-ES_tradnl"/>
        </w:rPr>
        <w:t>alimentada con un suplemento especial</w:t>
      </w:r>
      <w:r w:rsidR="006D2135">
        <w:rPr>
          <w:rFonts w:asciiTheme="majorHAnsi" w:hAnsiTheme="majorHAnsi"/>
          <w:sz w:val="20"/>
          <w:szCs w:val="20"/>
          <w:lang w:val="es-ES_tradnl"/>
        </w:rPr>
        <w:t xml:space="preserve"> que </w:t>
      </w:r>
      <w:r>
        <w:rPr>
          <w:rFonts w:asciiTheme="majorHAnsi" w:hAnsiTheme="majorHAnsi"/>
          <w:sz w:val="20"/>
          <w:szCs w:val="20"/>
          <w:lang w:val="es-ES_tradnl"/>
        </w:rPr>
        <w:t xml:space="preserve"> estaba mal </w:t>
      </w:r>
      <w:r w:rsidR="009B764B">
        <w:rPr>
          <w:rFonts w:asciiTheme="majorHAnsi" w:hAnsiTheme="majorHAnsi"/>
          <w:sz w:val="20"/>
          <w:szCs w:val="20"/>
          <w:lang w:val="es-ES_tradnl"/>
        </w:rPr>
        <w:t>etiquetado</w:t>
      </w:r>
      <w:r w:rsidR="00322BE5">
        <w:rPr>
          <w:rFonts w:asciiTheme="majorHAnsi" w:hAnsiTheme="majorHAnsi"/>
          <w:sz w:val="20"/>
          <w:szCs w:val="20"/>
          <w:lang w:val="es-ES_tradnl"/>
        </w:rPr>
        <w:t xml:space="preserve"> afectando más su salud</w:t>
      </w:r>
      <w:r w:rsidR="00322BE5">
        <w:rPr>
          <w:rStyle w:val="FootnoteReference"/>
          <w:rFonts w:asciiTheme="majorHAnsi" w:hAnsiTheme="majorHAnsi"/>
          <w:sz w:val="20"/>
          <w:szCs w:val="20"/>
          <w:lang w:val="es-ES_tradnl"/>
        </w:rPr>
        <w:footnoteReference w:id="22"/>
      </w:r>
      <w:r w:rsidR="00322BE5">
        <w:rPr>
          <w:rFonts w:asciiTheme="majorHAnsi" w:hAnsiTheme="majorHAnsi"/>
          <w:sz w:val="20"/>
          <w:szCs w:val="20"/>
          <w:lang w:val="es-ES_tradnl"/>
        </w:rPr>
        <w:t>. En septiem</w:t>
      </w:r>
      <w:r w:rsidR="00141440">
        <w:rPr>
          <w:rFonts w:asciiTheme="majorHAnsi" w:hAnsiTheme="majorHAnsi"/>
          <w:sz w:val="20"/>
          <w:szCs w:val="20"/>
          <w:lang w:val="es-ES_tradnl"/>
        </w:rPr>
        <w:t>bre de 2007 la familia activó la</w:t>
      </w:r>
      <w:r w:rsidR="00322BE5">
        <w:rPr>
          <w:rFonts w:asciiTheme="majorHAnsi" w:hAnsiTheme="majorHAnsi"/>
          <w:sz w:val="20"/>
          <w:szCs w:val="20"/>
          <w:lang w:val="es-ES_tradnl"/>
        </w:rPr>
        <w:t xml:space="preserve"> CAEC </w:t>
      </w:r>
      <w:r w:rsidR="00F35BCA">
        <w:rPr>
          <w:rFonts w:asciiTheme="majorHAnsi" w:hAnsiTheme="majorHAnsi"/>
          <w:sz w:val="20"/>
          <w:szCs w:val="20"/>
          <w:lang w:val="es-ES_tradnl"/>
        </w:rPr>
        <w:t xml:space="preserve">por lo que la niña Martina fue trasladada de regreso a Arica donde fue sometida al RHD. De acuerdo con los informes médicos incorporados al expediente, el RHD ha sido esencial para mantener la calidad de vida de la niña Martina. </w:t>
      </w:r>
      <w:r w:rsidR="00587601">
        <w:rPr>
          <w:rFonts w:asciiTheme="majorHAnsi" w:hAnsiTheme="majorHAnsi"/>
          <w:sz w:val="20"/>
          <w:szCs w:val="20"/>
          <w:lang w:val="es-ES_tradnl"/>
        </w:rPr>
        <w:t xml:space="preserve">Al respecto, </w:t>
      </w:r>
      <w:r w:rsidR="00705AF3">
        <w:rPr>
          <w:rFonts w:asciiTheme="majorHAnsi" w:hAnsiTheme="majorHAnsi"/>
          <w:sz w:val="20"/>
          <w:szCs w:val="20"/>
          <w:lang w:val="es-ES_tradnl"/>
        </w:rPr>
        <w:t xml:space="preserve">un informe médico señala que </w:t>
      </w:r>
      <w:r w:rsidR="00012FAB">
        <w:rPr>
          <w:rFonts w:asciiTheme="majorHAnsi" w:hAnsiTheme="majorHAnsi"/>
          <w:sz w:val="20"/>
          <w:szCs w:val="20"/>
          <w:lang w:val="es-ES_tradnl"/>
        </w:rPr>
        <w:t>“llama la atención su buen estado nutricional y general, difícil de lograr en estos pacientes, lo que demuestra una efectiva realización de terapias y un buen cuidado por parte de</w:t>
      </w:r>
      <w:r w:rsidR="00DB5A3D">
        <w:rPr>
          <w:rFonts w:asciiTheme="majorHAnsi" w:hAnsiTheme="majorHAnsi"/>
          <w:sz w:val="20"/>
          <w:szCs w:val="20"/>
          <w:lang w:val="es-ES_tradnl"/>
        </w:rPr>
        <w:t xml:space="preserve"> [la]</w:t>
      </w:r>
      <w:r w:rsidR="00012FAB">
        <w:rPr>
          <w:rFonts w:asciiTheme="majorHAnsi" w:hAnsiTheme="majorHAnsi"/>
          <w:sz w:val="20"/>
          <w:szCs w:val="20"/>
          <w:lang w:val="es-ES_tradnl"/>
        </w:rPr>
        <w:t xml:space="preserve"> familia y personal de salud”</w:t>
      </w:r>
      <w:r w:rsidR="00012FAB">
        <w:rPr>
          <w:rStyle w:val="FootnoteReference"/>
          <w:rFonts w:asciiTheme="majorHAnsi" w:hAnsiTheme="majorHAnsi"/>
          <w:sz w:val="20"/>
          <w:szCs w:val="20"/>
          <w:lang w:val="es-ES_tradnl"/>
        </w:rPr>
        <w:footnoteReference w:id="23"/>
      </w:r>
      <w:r w:rsidR="00587601">
        <w:rPr>
          <w:rFonts w:asciiTheme="majorHAnsi" w:hAnsiTheme="majorHAnsi"/>
          <w:sz w:val="20"/>
          <w:szCs w:val="20"/>
          <w:lang w:val="es-ES_tradnl"/>
        </w:rPr>
        <w:t>.</w:t>
      </w:r>
      <w:r w:rsidR="00705AF3">
        <w:rPr>
          <w:rFonts w:asciiTheme="majorHAnsi" w:hAnsiTheme="majorHAnsi"/>
          <w:sz w:val="20"/>
          <w:szCs w:val="20"/>
          <w:lang w:val="es-ES_tradnl"/>
        </w:rPr>
        <w:t xml:space="preserve"> </w:t>
      </w:r>
      <w:r w:rsidR="00587601">
        <w:rPr>
          <w:rFonts w:asciiTheme="majorHAnsi" w:hAnsiTheme="majorHAnsi"/>
          <w:sz w:val="20"/>
          <w:szCs w:val="20"/>
          <w:lang w:val="es-ES_tradnl"/>
        </w:rPr>
        <w:t>Ot</w:t>
      </w:r>
      <w:r w:rsidR="00705AF3">
        <w:rPr>
          <w:rFonts w:asciiTheme="majorHAnsi" w:hAnsiTheme="majorHAnsi"/>
          <w:sz w:val="20"/>
          <w:szCs w:val="20"/>
          <w:lang w:val="es-ES_tradnl"/>
        </w:rPr>
        <w:t>ro informe indicó</w:t>
      </w:r>
      <w:r w:rsidR="00587601">
        <w:rPr>
          <w:rFonts w:asciiTheme="majorHAnsi" w:hAnsiTheme="majorHAnsi"/>
          <w:sz w:val="20"/>
          <w:szCs w:val="20"/>
          <w:lang w:val="es-ES_tradnl"/>
        </w:rPr>
        <w:t xml:space="preserve"> que</w:t>
      </w:r>
      <w:r w:rsidR="00705AF3">
        <w:rPr>
          <w:rFonts w:asciiTheme="majorHAnsi" w:hAnsiTheme="majorHAnsi"/>
          <w:sz w:val="20"/>
          <w:szCs w:val="20"/>
          <w:lang w:val="es-ES_tradnl"/>
        </w:rPr>
        <w:t xml:space="preserve"> “los conceptos modernos de la medicina están orientados claramente a que este tipo de </w:t>
      </w:r>
      <w:r w:rsidR="00705AF3" w:rsidRPr="00765C7A">
        <w:rPr>
          <w:rFonts w:asciiTheme="majorHAnsi" w:hAnsiTheme="majorHAnsi"/>
          <w:sz w:val="20"/>
          <w:szCs w:val="20"/>
          <w:lang w:val="es-ES_tradnl"/>
        </w:rPr>
        <w:t>paciente, sea derivado a una hospitalizaci</w:t>
      </w:r>
      <w:r w:rsidR="0089327C" w:rsidRPr="00765C7A">
        <w:rPr>
          <w:rFonts w:asciiTheme="majorHAnsi" w:hAnsiTheme="majorHAnsi"/>
          <w:sz w:val="20"/>
          <w:szCs w:val="20"/>
          <w:lang w:val="es-ES_tradnl"/>
        </w:rPr>
        <w:t>ón domiciliaria. Este es un hecho y la experiencia a nivel público</w:t>
      </w:r>
      <w:r w:rsidR="0089327C">
        <w:rPr>
          <w:rFonts w:asciiTheme="majorHAnsi" w:hAnsiTheme="majorHAnsi"/>
          <w:sz w:val="20"/>
          <w:szCs w:val="20"/>
          <w:lang w:val="es-ES_tradnl"/>
        </w:rPr>
        <w:t xml:space="preserve"> como privado es más que abundante, por tanto, enviar a Martina a un centro hospitalario va en contra de todos los conceptos recomendados por los especialistas”</w:t>
      </w:r>
      <w:r w:rsidR="0089327C">
        <w:rPr>
          <w:rStyle w:val="FootnoteReference"/>
          <w:rFonts w:asciiTheme="majorHAnsi" w:hAnsiTheme="majorHAnsi"/>
          <w:sz w:val="20"/>
          <w:szCs w:val="20"/>
          <w:lang w:val="es-ES_tradnl"/>
        </w:rPr>
        <w:footnoteReference w:id="24"/>
      </w:r>
      <w:r w:rsidR="00765C7A">
        <w:rPr>
          <w:rFonts w:asciiTheme="majorHAnsi" w:hAnsiTheme="majorHAnsi"/>
          <w:sz w:val="20"/>
          <w:szCs w:val="20"/>
          <w:lang w:val="es-ES_tradnl"/>
        </w:rPr>
        <w:t>.</w:t>
      </w:r>
      <w:r w:rsidR="00587601">
        <w:rPr>
          <w:rFonts w:asciiTheme="majorHAnsi" w:hAnsiTheme="majorHAnsi"/>
          <w:sz w:val="20"/>
          <w:szCs w:val="20"/>
          <w:lang w:val="es-ES_tradnl"/>
        </w:rPr>
        <w:t xml:space="preserve"> </w:t>
      </w:r>
      <w:r w:rsidR="00765C7A">
        <w:rPr>
          <w:rFonts w:asciiTheme="majorHAnsi" w:hAnsiTheme="majorHAnsi"/>
          <w:sz w:val="20"/>
          <w:szCs w:val="20"/>
          <w:lang w:val="es-ES_tradnl"/>
        </w:rPr>
        <w:t>E</w:t>
      </w:r>
      <w:r w:rsidR="00592FFA">
        <w:rPr>
          <w:rFonts w:asciiTheme="majorHAnsi" w:hAnsiTheme="majorHAnsi"/>
          <w:sz w:val="20"/>
          <w:szCs w:val="20"/>
          <w:lang w:val="es-ES_tradnl"/>
        </w:rPr>
        <w:t>l RHD</w:t>
      </w:r>
      <w:r w:rsidR="007C4095">
        <w:rPr>
          <w:rFonts w:asciiTheme="majorHAnsi" w:hAnsiTheme="majorHAnsi"/>
          <w:sz w:val="20"/>
          <w:szCs w:val="20"/>
          <w:lang w:val="es-ES_tradnl"/>
        </w:rPr>
        <w:t>,</w:t>
      </w:r>
      <w:r w:rsidR="00592FFA">
        <w:rPr>
          <w:rFonts w:asciiTheme="majorHAnsi" w:hAnsiTheme="majorHAnsi"/>
          <w:sz w:val="20"/>
          <w:szCs w:val="20"/>
          <w:lang w:val="es-ES_tradnl"/>
        </w:rPr>
        <w:t xml:space="preserve"> para la atención de la niña Martina</w:t>
      </w:r>
      <w:r w:rsidR="007C4095">
        <w:rPr>
          <w:rFonts w:asciiTheme="majorHAnsi" w:hAnsiTheme="majorHAnsi"/>
          <w:sz w:val="20"/>
          <w:szCs w:val="20"/>
          <w:lang w:val="es-ES_tradnl"/>
        </w:rPr>
        <w:t xml:space="preserve">, </w:t>
      </w:r>
      <w:r w:rsidR="00592FFA">
        <w:rPr>
          <w:rFonts w:asciiTheme="majorHAnsi" w:hAnsiTheme="majorHAnsi"/>
          <w:sz w:val="20"/>
          <w:szCs w:val="20"/>
          <w:lang w:val="es-ES_tradnl"/>
        </w:rPr>
        <w:t xml:space="preserve">incluye los siguientes equipos y servicios: </w:t>
      </w:r>
      <w:r w:rsidR="00765C7A">
        <w:rPr>
          <w:rFonts w:asciiTheme="majorHAnsi" w:hAnsiTheme="majorHAnsi"/>
          <w:sz w:val="20"/>
          <w:szCs w:val="20"/>
          <w:lang w:val="es-ES_tradnl"/>
        </w:rPr>
        <w:t>“ventilador mecánico, cama especial, colchón antiescaras, monitores de saturación, motor de aspiraci</w:t>
      </w:r>
      <w:r w:rsidR="00D93C96">
        <w:rPr>
          <w:rFonts w:asciiTheme="majorHAnsi" w:hAnsiTheme="majorHAnsi"/>
          <w:sz w:val="20"/>
          <w:szCs w:val="20"/>
          <w:lang w:val="es-ES_tradnl"/>
        </w:rPr>
        <w:t>ón de secreciones, Martina además está con traqueotomía y gastrostomía. Los prestadores locales consisten en un kinesiólogo, dos enfermeras, tres auxiliares paramédicos y un médico”</w:t>
      </w:r>
      <w:r w:rsidR="00D93C96">
        <w:rPr>
          <w:rStyle w:val="FootnoteReference"/>
          <w:rFonts w:asciiTheme="majorHAnsi" w:hAnsiTheme="majorHAnsi"/>
          <w:sz w:val="20"/>
          <w:szCs w:val="20"/>
          <w:lang w:val="es-ES_tradnl"/>
        </w:rPr>
        <w:footnoteReference w:id="25"/>
      </w:r>
      <w:r w:rsidR="005C21FB">
        <w:rPr>
          <w:rFonts w:asciiTheme="majorHAnsi" w:hAnsiTheme="majorHAnsi"/>
          <w:sz w:val="20"/>
          <w:szCs w:val="20"/>
          <w:lang w:val="es-ES_tradnl"/>
        </w:rPr>
        <w:t xml:space="preserve">. </w:t>
      </w:r>
    </w:p>
    <w:p w:rsidR="00587601" w:rsidRDefault="00587601" w:rsidP="007C409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rsidR="006F5327" w:rsidRDefault="005C21FB"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La parte peticionaria indic</w:t>
      </w:r>
      <w:r w:rsidR="005C60B0">
        <w:rPr>
          <w:rFonts w:asciiTheme="majorHAnsi" w:hAnsiTheme="majorHAnsi"/>
          <w:sz w:val="20"/>
          <w:szCs w:val="20"/>
          <w:lang w:val="es-ES_tradnl"/>
        </w:rPr>
        <w:t>ó</w:t>
      </w:r>
      <w:r>
        <w:rPr>
          <w:rFonts w:asciiTheme="majorHAnsi" w:hAnsiTheme="majorHAnsi"/>
          <w:sz w:val="20"/>
          <w:szCs w:val="20"/>
          <w:lang w:val="es-ES_tradnl"/>
        </w:rPr>
        <w:t xml:space="preserve"> que el 13 de octubre</w:t>
      </w:r>
      <w:r w:rsidR="00592FFA">
        <w:rPr>
          <w:rFonts w:asciiTheme="majorHAnsi" w:hAnsiTheme="majorHAnsi"/>
          <w:sz w:val="20"/>
          <w:szCs w:val="20"/>
          <w:lang w:val="es-ES_tradnl"/>
        </w:rPr>
        <w:t xml:space="preserve"> de 2010</w:t>
      </w:r>
      <w:r>
        <w:rPr>
          <w:rFonts w:asciiTheme="majorHAnsi" w:hAnsiTheme="majorHAnsi"/>
          <w:sz w:val="20"/>
          <w:szCs w:val="20"/>
          <w:lang w:val="es-ES_tradnl"/>
        </w:rPr>
        <w:t xml:space="preserve"> la Isapre envió una carta a la familia comunicándoles</w:t>
      </w:r>
      <w:r w:rsidR="00622C76">
        <w:rPr>
          <w:rFonts w:asciiTheme="majorHAnsi" w:hAnsiTheme="majorHAnsi"/>
          <w:sz w:val="20"/>
          <w:szCs w:val="20"/>
          <w:lang w:val="es-ES_tradnl"/>
        </w:rPr>
        <w:t xml:space="preserve"> la terminaci</w:t>
      </w:r>
      <w:r w:rsidR="00592FFA">
        <w:rPr>
          <w:rFonts w:asciiTheme="majorHAnsi" w:hAnsiTheme="majorHAnsi"/>
          <w:sz w:val="20"/>
          <w:szCs w:val="20"/>
          <w:lang w:val="es-ES_tradnl"/>
        </w:rPr>
        <w:t xml:space="preserve">ón del RHD </w:t>
      </w:r>
      <w:r w:rsidR="006F5327">
        <w:rPr>
          <w:rFonts w:asciiTheme="majorHAnsi" w:hAnsiTheme="majorHAnsi"/>
          <w:sz w:val="20"/>
          <w:szCs w:val="20"/>
          <w:lang w:val="es-ES_tradnl"/>
        </w:rPr>
        <w:t xml:space="preserve">hacia el 28 de octubre de 2010 </w:t>
      </w:r>
      <w:r w:rsidR="00110F1F">
        <w:rPr>
          <w:rFonts w:asciiTheme="majorHAnsi" w:hAnsiTheme="majorHAnsi"/>
          <w:sz w:val="20"/>
          <w:szCs w:val="20"/>
          <w:lang w:val="es-ES_tradnl"/>
        </w:rPr>
        <w:t>dado que el “comité GES-CAEC, instancia superior de la Isapre (…) basados en el peritaje del Dr. Rodrigo Var</w:t>
      </w:r>
      <w:r w:rsidR="000F0D06">
        <w:rPr>
          <w:rFonts w:asciiTheme="majorHAnsi" w:hAnsiTheme="majorHAnsi"/>
          <w:sz w:val="20"/>
          <w:szCs w:val="20"/>
          <w:lang w:val="es-ES_tradnl"/>
        </w:rPr>
        <w:t>[g]</w:t>
      </w:r>
      <w:r w:rsidR="00110F1F">
        <w:rPr>
          <w:rFonts w:asciiTheme="majorHAnsi" w:hAnsiTheme="majorHAnsi"/>
          <w:sz w:val="20"/>
          <w:szCs w:val="20"/>
          <w:lang w:val="es-ES_tradnl"/>
        </w:rPr>
        <w:t>as Saavedra, que refiere que el estado de [la niña Martina] es progresivo e irrecuperable”</w:t>
      </w:r>
      <w:r w:rsidR="00592FFA">
        <w:rPr>
          <w:rFonts w:asciiTheme="majorHAnsi" w:hAnsiTheme="majorHAnsi"/>
          <w:sz w:val="20"/>
          <w:szCs w:val="20"/>
          <w:lang w:val="es-ES_tradnl"/>
        </w:rPr>
        <w:t xml:space="preserve"> </w:t>
      </w:r>
      <w:r w:rsidR="00263EF0">
        <w:rPr>
          <w:rFonts w:asciiTheme="majorHAnsi" w:hAnsiTheme="majorHAnsi"/>
          <w:sz w:val="20"/>
          <w:szCs w:val="20"/>
          <w:lang w:val="es-ES_tradnl"/>
        </w:rPr>
        <w:t xml:space="preserve">se consideró que la condición de la niña era “crónica” y por lo tanto se encontraba excluida del RHD conforme al artículo </w:t>
      </w:r>
      <w:r w:rsidR="00110F1F">
        <w:rPr>
          <w:rFonts w:asciiTheme="majorHAnsi" w:hAnsiTheme="majorHAnsi"/>
          <w:sz w:val="20"/>
          <w:szCs w:val="20"/>
          <w:lang w:val="es-ES_tradnl"/>
        </w:rPr>
        <w:t xml:space="preserve">I, punto 10, </w:t>
      </w:r>
      <w:r w:rsidR="00263EF0">
        <w:rPr>
          <w:rFonts w:asciiTheme="majorHAnsi" w:hAnsiTheme="majorHAnsi"/>
          <w:sz w:val="20"/>
          <w:szCs w:val="20"/>
          <w:lang w:val="es-ES_tradnl"/>
        </w:rPr>
        <w:t xml:space="preserve">de la Circular No. 7 </w:t>
      </w:r>
      <w:r w:rsidR="00110F1F">
        <w:rPr>
          <w:rFonts w:asciiTheme="majorHAnsi" w:hAnsiTheme="majorHAnsi"/>
          <w:sz w:val="20"/>
          <w:szCs w:val="20"/>
          <w:lang w:val="es-ES_tradnl"/>
        </w:rPr>
        <w:t xml:space="preserve">indicando que “en </w:t>
      </w:r>
      <w:r w:rsidR="004C2B54">
        <w:rPr>
          <w:rFonts w:asciiTheme="majorHAnsi" w:hAnsiTheme="majorHAnsi"/>
          <w:sz w:val="20"/>
          <w:szCs w:val="20"/>
          <w:lang w:val="es-ES_tradnl"/>
        </w:rPr>
        <w:t>caso de que Martina, por alguna complicación requiera internación en un centro asistencial, se le designa como prestador al Hospital de Arica, modalidad y atención institucional”</w:t>
      </w:r>
      <w:r w:rsidR="004C2B54">
        <w:rPr>
          <w:rStyle w:val="FootnoteReference"/>
          <w:rFonts w:asciiTheme="majorHAnsi" w:hAnsiTheme="majorHAnsi"/>
          <w:sz w:val="20"/>
          <w:szCs w:val="20"/>
          <w:lang w:val="es-ES_tradnl"/>
        </w:rPr>
        <w:footnoteReference w:id="26"/>
      </w:r>
      <w:r w:rsidR="004C2B54">
        <w:rPr>
          <w:rFonts w:asciiTheme="majorHAnsi" w:hAnsiTheme="majorHAnsi"/>
          <w:sz w:val="20"/>
          <w:szCs w:val="20"/>
          <w:lang w:val="es-ES_tradnl"/>
        </w:rPr>
        <w:t>.</w:t>
      </w:r>
      <w:r w:rsidR="00831B71">
        <w:rPr>
          <w:rFonts w:asciiTheme="majorHAnsi" w:hAnsiTheme="majorHAnsi"/>
          <w:sz w:val="20"/>
          <w:szCs w:val="20"/>
          <w:lang w:val="es-ES_tradnl"/>
        </w:rPr>
        <w:t xml:space="preserve"> </w:t>
      </w:r>
      <w:r w:rsidR="006F5327">
        <w:rPr>
          <w:rFonts w:asciiTheme="majorHAnsi" w:hAnsiTheme="majorHAnsi"/>
          <w:sz w:val="20"/>
          <w:szCs w:val="20"/>
          <w:lang w:val="es-ES_tradnl"/>
        </w:rPr>
        <w:t>Esta determinación de</w:t>
      </w:r>
      <w:r w:rsidR="005C60B0">
        <w:rPr>
          <w:rFonts w:asciiTheme="majorHAnsi" w:hAnsiTheme="majorHAnsi"/>
          <w:sz w:val="20"/>
          <w:szCs w:val="20"/>
          <w:lang w:val="es-ES_tradnl"/>
        </w:rPr>
        <w:t xml:space="preserve">l carácter crónico </w:t>
      </w:r>
      <w:r w:rsidR="006F5327">
        <w:rPr>
          <w:rFonts w:asciiTheme="majorHAnsi" w:hAnsiTheme="majorHAnsi"/>
          <w:sz w:val="20"/>
          <w:szCs w:val="20"/>
          <w:lang w:val="es-ES_tradnl"/>
        </w:rPr>
        <w:t>de su condición fue una conclusión de la propia Isapre a partir de un peritaje médico</w:t>
      </w:r>
      <w:r w:rsidR="008B3692">
        <w:rPr>
          <w:rFonts w:asciiTheme="majorHAnsi" w:hAnsiTheme="majorHAnsi"/>
          <w:sz w:val="20"/>
          <w:szCs w:val="20"/>
          <w:lang w:val="es-ES_tradnl"/>
        </w:rPr>
        <w:t>,</w:t>
      </w:r>
      <w:r w:rsidR="006F5327">
        <w:rPr>
          <w:rFonts w:asciiTheme="majorHAnsi" w:hAnsiTheme="majorHAnsi"/>
          <w:sz w:val="20"/>
          <w:szCs w:val="20"/>
          <w:lang w:val="es-ES_tradnl"/>
        </w:rPr>
        <w:t xml:space="preserve"> en los siguientes términos</w:t>
      </w:r>
      <w:r w:rsidR="009D2256">
        <w:rPr>
          <w:rStyle w:val="FootnoteReference"/>
          <w:rFonts w:asciiTheme="majorHAnsi" w:hAnsiTheme="majorHAnsi"/>
          <w:sz w:val="20"/>
          <w:szCs w:val="20"/>
          <w:lang w:val="es-ES_tradnl"/>
        </w:rPr>
        <w:footnoteReference w:id="27"/>
      </w:r>
      <w:r w:rsidR="006F5327">
        <w:rPr>
          <w:rFonts w:asciiTheme="majorHAnsi" w:hAnsiTheme="majorHAnsi"/>
          <w:sz w:val="20"/>
          <w:szCs w:val="20"/>
          <w:lang w:val="es-ES_tradnl"/>
        </w:rPr>
        <w:t xml:space="preserve">: </w:t>
      </w:r>
    </w:p>
    <w:p w:rsidR="006F5327" w:rsidRDefault="006F5327" w:rsidP="008E32ED">
      <w:pPr>
        <w:pStyle w:val="ListParagraph"/>
        <w:rPr>
          <w:rFonts w:asciiTheme="majorHAnsi" w:hAnsiTheme="majorHAnsi"/>
          <w:sz w:val="20"/>
          <w:szCs w:val="20"/>
          <w:lang w:val="es-ES_tradnl"/>
        </w:rPr>
      </w:pPr>
    </w:p>
    <w:p w:rsidR="00765C7A" w:rsidRPr="009D2256" w:rsidRDefault="009D2256" w:rsidP="009D22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rFonts w:asciiTheme="majorHAnsi" w:hAnsiTheme="majorHAnsi"/>
          <w:sz w:val="18"/>
          <w:szCs w:val="20"/>
          <w:lang w:val="es-ES_tradnl"/>
        </w:rPr>
      </w:pPr>
      <w:r>
        <w:rPr>
          <w:rFonts w:asciiTheme="majorHAnsi" w:hAnsiTheme="majorHAnsi"/>
          <w:sz w:val="20"/>
          <w:szCs w:val="20"/>
          <w:lang w:val="es-ES_tradnl"/>
        </w:rPr>
        <w:t xml:space="preserve">5. </w:t>
      </w:r>
      <w:r w:rsidR="006F5327">
        <w:rPr>
          <w:rFonts w:asciiTheme="majorHAnsi" w:hAnsiTheme="majorHAnsi"/>
          <w:sz w:val="20"/>
          <w:szCs w:val="20"/>
          <w:lang w:val="es-ES_tradnl"/>
        </w:rPr>
        <w:t xml:space="preserve">(…) de acuerdo con el peritaje del Dr. Rodrigo Vargas Saavedra, neurocirujano, de fecha 30 de septiembre de 2010, solo otorgaría CAEC a la hospitalización </w:t>
      </w:r>
      <w:r>
        <w:rPr>
          <w:rFonts w:asciiTheme="majorHAnsi" w:hAnsiTheme="majorHAnsi"/>
          <w:sz w:val="20"/>
          <w:szCs w:val="20"/>
          <w:lang w:val="es-ES_tradnl"/>
        </w:rPr>
        <w:t>domiciliaria</w:t>
      </w:r>
      <w:r w:rsidR="006F5327">
        <w:rPr>
          <w:rFonts w:asciiTheme="majorHAnsi" w:hAnsiTheme="majorHAnsi"/>
          <w:sz w:val="20"/>
          <w:szCs w:val="20"/>
          <w:lang w:val="es-ES_tradnl"/>
        </w:rPr>
        <w:t xml:space="preserve"> de la menor Marina Vera hasta el 28 de octubre de 2010, toda vez que las prestaciones otorgadas derivan de una patolog</w:t>
      </w:r>
      <w:r>
        <w:rPr>
          <w:rFonts w:asciiTheme="majorHAnsi" w:hAnsiTheme="majorHAnsi"/>
          <w:sz w:val="20"/>
          <w:szCs w:val="20"/>
          <w:lang w:val="es-ES_tradnl"/>
        </w:rPr>
        <w:t xml:space="preserve">ía crónica (…) En efecto el referido profesional indicó en su informe lo siguiente: ‘por la historia clínica y análisis de exámenes realizados para su </w:t>
      </w:r>
      <w:r w:rsidR="00781A94">
        <w:rPr>
          <w:rFonts w:asciiTheme="majorHAnsi" w:hAnsiTheme="majorHAnsi"/>
          <w:sz w:val="20"/>
          <w:szCs w:val="20"/>
          <w:lang w:val="es-ES_tradnl"/>
        </w:rPr>
        <w:t>diagnóstico</w:t>
      </w:r>
      <w:r>
        <w:rPr>
          <w:rFonts w:asciiTheme="majorHAnsi" w:hAnsiTheme="majorHAnsi"/>
          <w:sz w:val="20"/>
          <w:szCs w:val="20"/>
          <w:lang w:val="es-ES_tradnl"/>
        </w:rPr>
        <w:t>, su evolución y estado neurológico actual, debo concluir que el daño de Martina es grave e irrecuperable presentando un pronóstico ominoso (…)’ por lo que fue posible concluir que la enfermedad (…) es crónica</w:t>
      </w:r>
      <w:r w:rsidR="00831B71">
        <w:rPr>
          <w:rFonts w:asciiTheme="majorHAnsi" w:hAnsiTheme="majorHAnsi"/>
          <w:sz w:val="20"/>
          <w:szCs w:val="20"/>
          <w:lang w:val="es-ES_tradnl"/>
        </w:rPr>
        <w:t>.</w:t>
      </w:r>
    </w:p>
    <w:p w:rsidR="00012FAB" w:rsidRDefault="00012FAB" w:rsidP="00012FAB">
      <w:pPr>
        <w:pStyle w:val="ListParagraph"/>
        <w:rPr>
          <w:rFonts w:asciiTheme="majorHAnsi" w:hAnsiTheme="majorHAnsi"/>
          <w:sz w:val="20"/>
          <w:szCs w:val="20"/>
          <w:lang w:val="es-ES_tradnl"/>
        </w:rPr>
      </w:pPr>
    </w:p>
    <w:p w:rsidR="00747D8D" w:rsidRPr="0098308F" w:rsidRDefault="00781A94"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Respecto del razonamiento</w:t>
      </w:r>
      <w:r w:rsidR="0098308F">
        <w:rPr>
          <w:rFonts w:asciiTheme="majorHAnsi" w:hAnsiTheme="majorHAnsi"/>
          <w:sz w:val="20"/>
          <w:szCs w:val="20"/>
          <w:lang w:val="es-ES_tradnl"/>
        </w:rPr>
        <w:t xml:space="preserve"> anterior, la parte peticionaria</w:t>
      </w:r>
      <w:r>
        <w:rPr>
          <w:rFonts w:asciiTheme="majorHAnsi" w:hAnsiTheme="majorHAnsi"/>
          <w:sz w:val="20"/>
          <w:szCs w:val="20"/>
          <w:lang w:val="es-ES_tradnl"/>
        </w:rPr>
        <w:t xml:space="preserve"> incluyó en el expediente un</w:t>
      </w:r>
      <w:r w:rsidR="00201EBF">
        <w:rPr>
          <w:rFonts w:asciiTheme="majorHAnsi" w:hAnsiTheme="majorHAnsi"/>
          <w:sz w:val="20"/>
          <w:szCs w:val="20"/>
          <w:lang w:val="es-ES_tradnl"/>
        </w:rPr>
        <w:t xml:space="preserve">o de sus escritos en </w:t>
      </w:r>
      <w:r>
        <w:rPr>
          <w:rFonts w:asciiTheme="majorHAnsi" w:hAnsiTheme="majorHAnsi"/>
          <w:sz w:val="20"/>
          <w:szCs w:val="20"/>
          <w:lang w:val="es-ES_tradnl"/>
        </w:rPr>
        <w:t xml:space="preserve">el litigio arbitral, </w:t>
      </w:r>
      <w:r w:rsidR="00201EBF">
        <w:rPr>
          <w:rFonts w:asciiTheme="majorHAnsi" w:hAnsiTheme="majorHAnsi"/>
          <w:sz w:val="20"/>
          <w:szCs w:val="20"/>
          <w:lang w:val="es-ES_tradnl"/>
        </w:rPr>
        <w:t xml:space="preserve">en el que rechaza </w:t>
      </w:r>
      <w:r>
        <w:rPr>
          <w:rFonts w:asciiTheme="majorHAnsi" w:hAnsiTheme="majorHAnsi"/>
          <w:sz w:val="20"/>
          <w:szCs w:val="20"/>
          <w:lang w:val="es-ES_tradnl"/>
        </w:rPr>
        <w:t>la interpretación de la Isapre</w:t>
      </w:r>
      <w:r w:rsidR="005A2D1A">
        <w:rPr>
          <w:rFonts w:asciiTheme="majorHAnsi" w:hAnsiTheme="majorHAnsi"/>
          <w:sz w:val="20"/>
          <w:szCs w:val="20"/>
          <w:lang w:val="es-ES_tradnl"/>
        </w:rPr>
        <w:t xml:space="preserve"> conforme a la cual </w:t>
      </w:r>
      <w:r>
        <w:rPr>
          <w:rFonts w:asciiTheme="majorHAnsi" w:hAnsiTheme="majorHAnsi"/>
          <w:sz w:val="20"/>
          <w:szCs w:val="20"/>
          <w:lang w:val="es-ES_tradnl"/>
        </w:rPr>
        <w:t xml:space="preserve">el peritaje del doctor Vargas estaba orientado a la determinación de la cronicidad de la enfermedad o no, sino que era un informe de </w:t>
      </w:r>
      <w:r w:rsidR="00201EBF">
        <w:rPr>
          <w:rFonts w:asciiTheme="majorHAnsi" w:hAnsiTheme="majorHAnsi"/>
          <w:sz w:val="20"/>
          <w:szCs w:val="20"/>
          <w:lang w:val="es-ES_tradnl"/>
        </w:rPr>
        <w:t xml:space="preserve">las </w:t>
      </w:r>
      <w:r>
        <w:rPr>
          <w:rFonts w:asciiTheme="majorHAnsi" w:hAnsiTheme="majorHAnsi"/>
          <w:sz w:val="20"/>
          <w:szCs w:val="20"/>
          <w:lang w:val="es-ES_tradnl"/>
        </w:rPr>
        <w:t>condiciones de la niña Martina en el que no se utiliza la palabra “crónico” en ningún momento</w:t>
      </w:r>
      <w:r>
        <w:rPr>
          <w:rStyle w:val="FootnoteReference"/>
          <w:rFonts w:asciiTheme="majorHAnsi" w:hAnsiTheme="majorHAnsi"/>
          <w:sz w:val="20"/>
          <w:szCs w:val="20"/>
          <w:lang w:val="es-ES_tradnl"/>
        </w:rPr>
        <w:footnoteReference w:id="28"/>
      </w:r>
      <w:r>
        <w:rPr>
          <w:rFonts w:asciiTheme="majorHAnsi" w:hAnsiTheme="majorHAnsi"/>
          <w:sz w:val="20"/>
          <w:szCs w:val="20"/>
          <w:lang w:val="es-ES_tradnl"/>
        </w:rPr>
        <w:t xml:space="preserve">. </w:t>
      </w:r>
      <w:r w:rsidR="00747D8D">
        <w:rPr>
          <w:rFonts w:asciiTheme="majorHAnsi" w:hAnsiTheme="majorHAnsi"/>
          <w:sz w:val="20"/>
          <w:szCs w:val="20"/>
          <w:lang w:val="es-ES_tradnl"/>
        </w:rPr>
        <w:t xml:space="preserve">De hecho, </w:t>
      </w:r>
      <w:r w:rsidR="00201EBF">
        <w:rPr>
          <w:rFonts w:asciiTheme="majorHAnsi" w:hAnsiTheme="majorHAnsi"/>
          <w:sz w:val="20"/>
          <w:szCs w:val="20"/>
          <w:lang w:val="es-ES_tradnl"/>
        </w:rPr>
        <w:t xml:space="preserve">como se detalla más adelante, </w:t>
      </w:r>
      <w:r w:rsidR="00747D8D">
        <w:rPr>
          <w:rFonts w:asciiTheme="majorHAnsi" w:hAnsiTheme="majorHAnsi"/>
          <w:sz w:val="20"/>
          <w:szCs w:val="20"/>
          <w:lang w:val="es-ES_tradnl"/>
        </w:rPr>
        <w:t>en su declaración en el proceso arbitral, el mencionado doctor niega el carácter crónico del síndrome de Leigh</w:t>
      </w:r>
      <w:r w:rsidR="00F755B3">
        <w:rPr>
          <w:rStyle w:val="FootnoteReference"/>
          <w:rFonts w:asciiTheme="majorHAnsi" w:hAnsiTheme="majorHAnsi"/>
          <w:sz w:val="20"/>
          <w:szCs w:val="20"/>
          <w:lang w:val="es-ES_tradnl"/>
        </w:rPr>
        <w:footnoteReference w:id="29"/>
      </w:r>
      <w:r w:rsidR="00953444">
        <w:rPr>
          <w:rFonts w:asciiTheme="majorHAnsi" w:hAnsiTheme="majorHAnsi"/>
          <w:sz w:val="20"/>
          <w:szCs w:val="20"/>
          <w:lang w:val="es-ES_tradnl"/>
        </w:rPr>
        <w:t>.</w:t>
      </w:r>
    </w:p>
    <w:p w:rsidR="003F0638" w:rsidRDefault="003F0638" w:rsidP="003F0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rsidR="003F0638" w:rsidRDefault="00565A8D"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El Estado señaló que </w:t>
      </w:r>
      <w:r>
        <w:rPr>
          <w:rFonts w:ascii="Cambria" w:hAnsi="Cambria"/>
          <w:color w:val="000000" w:themeColor="text1"/>
          <w:sz w:val="20"/>
          <w:szCs w:val="20"/>
          <w:lang w:val="es-VE"/>
        </w:rPr>
        <w:t>“no existe un procedimiento único y especial para que las instituciones asegurador</w:t>
      </w:r>
      <w:r w:rsidR="00953444">
        <w:rPr>
          <w:rFonts w:ascii="Cambria" w:hAnsi="Cambria"/>
          <w:color w:val="000000" w:themeColor="text1"/>
          <w:sz w:val="20"/>
          <w:szCs w:val="20"/>
          <w:lang w:val="es-VE"/>
        </w:rPr>
        <w:t>a</w:t>
      </w:r>
      <w:r>
        <w:rPr>
          <w:rFonts w:ascii="Cambria" w:hAnsi="Cambria"/>
          <w:color w:val="000000" w:themeColor="text1"/>
          <w:sz w:val="20"/>
          <w:szCs w:val="20"/>
          <w:lang w:val="es-VE"/>
        </w:rPr>
        <w:t xml:space="preserve">s puedan efectuar la declaración de que una determinada enfermedad tiene el carácter de crónico, pero dado que el financiamiento de enfermedades catastróficas obedece, en parte, a la necesidad de las Isapres de controlar los costos del tratamiento de este tipo de enfermedades, </w:t>
      </w:r>
      <w:r w:rsidR="00953444">
        <w:rPr>
          <w:rFonts w:ascii="Cambria" w:hAnsi="Cambria"/>
          <w:color w:val="000000" w:themeColor="text1"/>
          <w:sz w:val="20"/>
          <w:szCs w:val="20"/>
          <w:lang w:val="es-VE"/>
        </w:rPr>
        <w:t>s</w:t>
      </w:r>
      <w:r>
        <w:rPr>
          <w:rFonts w:ascii="Cambria" w:hAnsi="Cambria"/>
          <w:color w:val="000000" w:themeColor="text1"/>
          <w:sz w:val="20"/>
          <w:szCs w:val="20"/>
          <w:lang w:val="es-VE"/>
        </w:rPr>
        <w:t>on éstas las que evalúan cada caso y determinan, basadas en los antecedente</w:t>
      </w:r>
      <w:r w:rsidR="00953444">
        <w:rPr>
          <w:rFonts w:ascii="Cambria" w:hAnsi="Cambria"/>
          <w:color w:val="000000" w:themeColor="text1"/>
          <w:sz w:val="20"/>
          <w:szCs w:val="20"/>
          <w:lang w:val="es-VE"/>
        </w:rPr>
        <w:t>s</w:t>
      </w:r>
      <w:r>
        <w:rPr>
          <w:rFonts w:ascii="Cambria" w:hAnsi="Cambria"/>
          <w:color w:val="000000" w:themeColor="text1"/>
          <w:sz w:val="20"/>
          <w:szCs w:val="20"/>
          <w:lang w:val="es-VE"/>
        </w:rPr>
        <w:t xml:space="preserve"> médicos del caso, si procede que cierta enfermedad sea declarada como crónica”. Asimismo, indicó que “dicha declaración [de que una enfermedad es crónica] debe est</w:t>
      </w:r>
      <w:r w:rsidR="00A64533">
        <w:rPr>
          <w:rFonts w:ascii="Cambria" w:hAnsi="Cambria"/>
          <w:color w:val="000000" w:themeColor="text1"/>
          <w:sz w:val="20"/>
          <w:szCs w:val="20"/>
          <w:lang w:val="es-VE"/>
        </w:rPr>
        <w:t xml:space="preserve">ar fundamentada médicamente, </w:t>
      </w:r>
      <w:r>
        <w:rPr>
          <w:rFonts w:ascii="Cambria" w:hAnsi="Cambria"/>
          <w:color w:val="000000" w:themeColor="text1"/>
          <w:sz w:val="20"/>
          <w:szCs w:val="20"/>
          <w:lang w:val="es-VE"/>
        </w:rPr>
        <w:t>por lo que (…) puede ser reclamada ante la Superintendencia”</w:t>
      </w:r>
      <w:r>
        <w:rPr>
          <w:rStyle w:val="FootnoteReference"/>
          <w:rFonts w:ascii="Cambria" w:hAnsi="Cambria"/>
          <w:color w:val="000000" w:themeColor="text1"/>
          <w:sz w:val="20"/>
          <w:szCs w:val="20"/>
          <w:lang w:val="es-VE"/>
        </w:rPr>
        <w:footnoteReference w:id="30"/>
      </w:r>
      <w:r>
        <w:rPr>
          <w:rFonts w:ascii="Cambria" w:hAnsi="Cambria"/>
          <w:color w:val="000000" w:themeColor="text1"/>
          <w:sz w:val="20"/>
          <w:szCs w:val="20"/>
          <w:lang w:val="es-VE"/>
        </w:rPr>
        <w:t>.</w:t>
      </w:r>
    </w:p>
    <w:p w:rsidR="003F0638" w:rsidRDefault="003F0638" w:rsidP="003F0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rsidR="00F13812" w:rsidRDefault="00121BC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N</w:t>
      </w:r>
      <w:r w:rsidR="003F0638">
        <w:rPr>
          <w:rFonts w:asciiTheme="majorHAnsi" w:hAnsiTheme="majorHAnsi"/>
          <w:sz w:val="20"/>
          <w:szCs w:val="20"/>
          <w:lang w:val="es-ES_tradnl"/>
        </w:rPr>
        <w:t xml:space="preserve">o existe </w:t>
      </w:r>
      <w:r>
        <w:rPr>
          <w:rFonts w:asciiTheme="majorHAnsi" w:hAnsiTheme="majorHAnsi"/>
          <w:sz w:val="20"/>
          <w:szCs w:val="20"/>
          <w:lang w:val="es-ES_tradnl"/>
        </w:rPr>
        <w:t xml:space="preserve">controversia sobre el </w:t>
      </w:r>
      <w:r w:rsidR="003F0638">
        <w:rPr>
          <w:rFonts w:asciiTheme="majorHAnsi" w:hAnsiTheme="majorHAnsi"/>
          <w:sz w:val="20"/>
          <w:szCs w:val="20"/>
          <w:lang w:val="es-ES_tradnl"/>
        </w:rPr>
        <w:t>inici</w:t>
      </w:r>
      <w:r>
        <w:rPr>
          <w:rFonts w:asciiTheme="majorHAnsi" w:hAnsiTheme="majorHAnsi"/>
          <w:sz w:val="20"/>
          <w:szCs w:val="20"/>
          <w:lang w:val="es-ES_tradnl"/>
        </w:rPr>
        <w:t>o de</w:t>
      </w:r>
      <w:r w:rsidR="003F0638">
        <w:rPr>
          <w:rFonts w:asciiTheme="majorHAnsi" w:hAnsiTheme="majorHAnsi"/>
          <w:sz w:val="20"/>
          <w:szCs w:val="20"/>
          <w:lang w:val="es-ES_tradnl"/>
        </w:rPr>
        <w:t xml:space="preserve"> una etapa litigiosa que desencadenó dos tramas procesales</w:t>
      </w:r>
      <w:r w:rsidR="00A236BF">
        <w:rPr>
          <w:rFonts w:asciiTheme="majorHAnsi" w:hAnsiTheme="majorHAnsi"/>
          <w:sz w:val="20"/>
          <w:szCs w:val="20"/>
          <w:lang w:val="es-ES_tradnl"/>
        </w:rPr>
        <w:t xml:space="preserve"> consecutivas</w:t>
      </w:r>
      <w:r w:rsidR="0054039B">
        <w:rPr>
          <w:rFonts w:asciiTheme="majorHAnsi" w:hAnsiTheme="majorHAnsi"/>
          <w:sz w:val="20"/>
          <w:szCs w:val="20"/>
          <w:lang w:val="es-ES_tradnl"/>
        </w:rPr>
        <w:t xml:space="preserve">, una a través de una acción </w:t>
      </w:r>
      <w:r>
        <w:rPr>
          <w:rFonts w:asciiTheme="majorHAnsi" w:hAnsiTheme="majorHAnsi"/>
          <w:sz w:val="20"/>
          <w:szCs w:val="20"/>
          <w:lang w:val="es-ES_tradnl"/>
        </w:rPr>
        <w:t xml:space="preserve">judicial </w:t>
      </w:r>
      <w:r w:rsidR="0054039B">
        <w:rPr>
          <w:rFonts w:asciiTheme="majorHAnsi" w:hAnsiTheme="majorHAnsi"/>
          <w:sz w:val="20"/>
          <w:szCs w:val="20"/>
          <w:lang w:val="es-ES_tradnl"/>
        </w:rPr>
        <w:t>de protección</w:t>
      </w:r>
      <w:r>
        <w:rPr>
          <w:rFonts w:asciiTheme="majorHAnsi" w:hAnsiTheme="majorHAnsi"/>
          <w:sz w:val="20"/>
          <w:szCs w:val="20"/>
          <w:lang w:val="es-ES_tradnl"/>
        </w:rPr>
        <w:t>,</w:t>
      </w:r>
      <w:r w:rsidR="0054039B">
        <w:rPr>
          <w:rFonts w:asciiTheme="majorHAnsi" w:hAnsiTheme="majorHAnsi"/>
          <w:sz w:val="20"/>
          <w:szCs w:val="20"/>
          <w:lang w:val="es-ES_tradnl"/>
        </w:rPr>
        <w:t xml:space="preserve"> y otra a través de una demanda ante la Superintendencia de Salud</w:t>
      </w:r>
      <w:r>
        <w:rPr>
          <w:rFonts w:asciiTheme="majorHAnsi" w:hAnsiTheme="majorHAnsi"/>
          <w:sz w:val="20"/>
          <w:szCs w:val="20"/>
          <w:lang w:val="es-ES_tradnl"/>
        </w:rPr>
        <w:t>, las cuales</w:t>
      </w:r>
      <w:r w:rsidR="00A64533">
        <w:rPr>
          <w:rFonts w:asciiTheme="majorHAnsi" w:hAnsiTheme="majorHAnsi"/>
          <w:sz w:val="20"/>
          <w:szCs w:val="20"/>
          <w:lang w:val="es-ES_tradnl"/>
        </w:rPr>
        <w:t xml:space="preserve"> se describirán en detalle </w:t>
      </w:r>
      <w:r w:rsidR="0054039B">
        <w:rPr>
          <w:rFonts w:asciiTheme="majorHAnsi" w:hAnsiTheme="majorHAnsi"/>
          <w:sz w:val="20"/>
          <w:szCs w:val="20"/>
          <w:lang w:val="es-ES_tradnl"/>
        </w:rPr>
        <w:t>más adelante</w:t>
      </w:r>
      <w:r w:rsidR="00A236BF">
        <w:rPr>
          <w:rFonts w:asciiTheme="majorHAnsi" w:hAnsiTheme="majorHAnsi"/>
          <w:sz w:val="20"/>
          <w:szCs w:val="20"/>
          <w:lang w:val="es-ES_tradnl"/>
        </w:rPr>
        <w:t xml:space="preserve">. Cabe indicar que </w:t>
      </w:r>
      <w:r w:rsidR="0054039B">
        <w:rPr>
          <w:rFonts w:asciiTheme="majorHAnsi" w:hAnsiTheme="majorHAnsi"/>
          <w:sz w:val="20"/>
          <w:szCs w:val="20"/>
          <w:lang w:val="es-ES_tradnl"/>
        </w:rPr>
        <w:t xml:space="preserve">la acción de protección concluyó con </w:t>
      </w:r>
      <w:r w:rsidR="003F0638">
        <w:rPr>
          <w:rFonts w:asciiTheme="majorHAnsi" w:hAnsiTheme="majorHAnsi"/>
          <w:sz w:val="20"/>
          <w:szCs w:val="20"/>
          <w:lang w:val="es-ES_tradnl"/>
        </w:rPr>
        <w:t>sentencia de la CSJ de 9 de mayo de 2011, en la que se convalidó la terminación del RHD</w:t>
      </w:r>
      <w:r w:rsidR="00A236BF">
        <w:rPr>
          <w:rStyle w:val="FootnoteReference"/>
          <w:rFonts w:asciiTheme="majorHAnsi" w:hAnsiTheme="majorHAnsi"/>
          <w:sz w:val="20"/>
          <w:szCs w:val="20"/>
          <w:lang w:val="es-ES_tradnl"/>
        </w:rPr>
        <w:footnoteReference w:id="31"/>
      </w:r>
      <w:r w:rsidR="003F0638">
        <w:rPr>
          <w:rFonts w:asciiTheme="majorHAnsi" w:hAnsiTheme="majorHAnsi"/>
          <w:sz w:val="20"/>
          <w:szCs w:val="20"/>
          <w:lang w:val="es-ES_tradnl"/>
        </w:rPr>
        <w:t xml:space="preserve">. </w:t>
      </w:r>
      <w:r>
        <w:rPr>
          <w:rFonts w:asciiTheme="majorHAnsi" w:hAnsiTheme="majorHAnsi"/>
          <w:sz w:val="20"/>
          <w:szCs w:val="20"/>
          <w:lang w:val="es-ES_tradnl"/>
        </w:rPr>
        <w:t xml:space="preserve">Luego, </w:t>
      </w:r>
      <w:r w:rsidR="00F13812">
        <w:rPr>
          <w:rFonts w:asciiTheme="majorHAnsi" w:hAnsiTheme="majorHAnsi"/>
          <w:sz w:val="20"/>
          <w:szCs w:val="20"/>
          <w:lang w:val="es-ES_tradnl"/>
        </w:rPr>
        <w:t xml:space="preserve">el proceso ante </w:t>
      </w:r>
      <w:r w:rsidR="0054039B">
        <w:rPr>
          <w:rFonts w:asciiTheme="majorHAnsi" w:hAnsiTheme="majorHAnsi"/>
          <w:sz w:val="20"/>
          <w:szCs w:val="20"/>
          <w:lang w:val="es-ES_tradnl"/>
        </w:rPr>
        <w:t xml:space="preserve">la Superintendencia concluyó el 27 </w:t>
      </w:r>
      <w:r w:rsidR="00F13812">
        <w:rPr>
          <w:rFonts w:asciiTheme="majorHAnsi" w:hAnsiTheme="majorHAnsi"/>
          <w:sz w:val="20"/>
          <w:szCs w:val="20"/>
          <w:lang w:val="es-ES_tradnl"/>
        </w:rPr>
        <w:t>de agosto de 2012, con la decisión del Superintendente de reanudar el RHD a favor de la niña Martina</w:t>
      </w:r>
      <w:r w:rsidR="00F13812">
        <w:rPr>
          <w:rStyle w:val="FootnoteReference"/>
          <w:rFonts w:asciiTheme="majorHAnsi" w:hAnsiTheme="majorHAnsi"/>
          <w:sz w:val="20"/>
          <w:szCs w:val="20"/>
          <w:lang w:val="es-ES_tradnl"/>
        </w:rPr>
        <w:footnoteReference w:id="32"/>
      </w:r>
      <w:r w:rsidR="00F13812">
        <w:rPr>
          <w:rFonts w:asciiTheme="majorHAnsi" w:hAnsiTheme="majorHAnsi"/>
          <w:sz w:val="20"/>
          <w:szCs w:val="20"/>
          <w:lang w:val="es-ES_tradnl"/>
        </w:rPr>
        <w:t xml:space="preserve">. </w:t>
      </w:r>
      <w:r w:rsidR="00607111">
        <w:rPr>
          <w:rFonts w:asciiTheme="majorHAnsi" w:hAnsiTheme="majorHAnsi"/>
          <w:sz w:val="20"/>
          <w:szCs w:val="20"/>
          <w:lang w:val="es-ES_tradnl"/>
        </w:rPr>
        <w:t>En suma, la Comisión observa que la familia de la presunta víctima se vio envuelta en proceso litigiosos entre el 13 de octubre de 2010 y el 27 de agosto de 2012</w:t>
      </w:r>
      <w:r w:rsidR="00ED6957">
        <w:rPr>
          <w:rFonts w:asciiTheme="majorHAnsi" w:hAnsiTheme="majorHAnsi"/>
          <w:sz w:val="20"/>
          <w:szCs w:val="20"/>
          <w:lang w:val="es-ES_tradnl"/>
        </w:rPr>
        <w:t xml:space="preserve">. </w:t>
      </w:r>
    </w:p>
    <w:p w:rsidR="0098308F" w:rsidRDefault="0098308F" w:rsidP="0098308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rsidR="0098308F" w:rsidRDefault="00A6453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Tras la activación de la CAEC, </w:t>
      </w:r>
      <w:r w:rsidR="0098308F">
        <w:rPr>
          <w:rFonts w:asciiTheme="majorHAnsi" w:hAnsiTheme="majorHAnsi"/>
          <w:sz w:val="20"/>
          <w:szCs w:val="20"/>
          <w:lang w:val="es-ES_tradnl"/>
        </w:rPr>
        <w:t>la niña Martina gozó por tres años</w:t>
      </w:r>
      <w:r>
        <w:rPr>
          <w:rFonts w:asciiTheme="majorHAnsi" w:hAnsiTheme="majorHAnsi"/>
          <w:sz w:val="20"/>
          <w:szCs w:val="20"/>
          <w:lang w:val="es-ES_tradnl"/>
        </w:rPr>
        <w:t xml:space="preserve">, o ciclos contractuales, </w:t>
      </w:r>
      <w:r w:rsidR="0098308F">
        <w:rPr>
          <w:rFonts w:asciiTheme="majorHAnsi" w:hAnsiTheme="majorHAnsi"/>
          <w:sz w:val="20"/>
          <w:szCs w:val="20"/>
          <w:lang w:val="es-ES_tradnl"/>
        </w:rPr>
        <w:t xml:space="preserve">del RHD. Dicho régimen fue levantado por las razones explicadas anteriormente y restablecido a través de un proceso ante la Superintendencia, dando como resultado que </w:t>
      </w:r>
      <w:r w:rsidR="00607111">
        <w:rPr>
          <w:rFonts w:asciiTheme="majorHAnsi" w:hAnsiTheme="majorHAnsi"/>
          <w:sz w:val="20"/>
          <w:szCs w:val="20"/>
          <w:lang w:val="es-ES_tradnl"/>
        </w:rPr>
        <w:t>entre el 9 de mayo de 2011 y el 27 de agosto de 2012 la familia “se vio forzada a restringir al mínimo los elementos que permitieron la subsistencia de Martina, y costearlos con base a soluciones que esforzadamente reunieron”</w:t>
      </w:r>
      <w:r w:rsidR="00607111">
        <w:rPr>
          <w:rStyle w:val="FootnoteReference"/>
          <w:rFonts w:asciiTheme="majorHAnsi" w:hAnsiTheme="majorHAnsi"/>
          <w:sz w:val="20"/>
          <w:szCs w:val="20"/>
          <w:lang w:val="es-ES_tradnl"/>
        </w:rPr>
        <w:footnoteReference w:id="33"/>
      </w:r>
      <w:r w:rsidR="00607111">
        <w:rPr>
          <w:rFonts w:asciiTheme="majorHAnsi" w:hAnsiTheme="majorHAnsi"/>
          <w:sz w:val="20"/>
          <w:szCs w:val="20"/>
          <w:lang w:val="es-ES_tradnl"/>
        </w:rPr>
        <w:t>.</w:t>
      </w:r>
    </w:p>
    <w:p w:rsidR="00607111" w:rsidRDefault="00607111" w:rsidP="006071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rsidR="00607111" w:rsidRDefault="00607111"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 xml:space="preserve">En términos de </w:t>
      </w:r>
      <w:r w:rsidR="00295144">
        <w:rPr>
          <w:rFonts w:asciiTheme="majorHAnsi" w:hAnsiTheme="majorHAnsi"/>
          <w:sz w:val="20"/>
          <w:szCs w:val="20"/>
          <w:lang w:val="es-ES_tradnl"/>
        </w:rPr>
        <w:t>económicos</w:t>
      </w:r>
      <w:r>
        <w:rPr>
          <w:rFonts w:asciiTheme="majorHAnsi" w:hAnsiTheme="majorHAnsi"/>
          <w:sz w:val="20"/>
          <w:szCs w:val="20"/>
          <w:lang w:val="es-ES_tradnl"/>
        </w:rPr>
        <w:t>, la parte peticionaria indicó que el costo mensual del plan básico de salud es de USD 203.00 y el costo anual de</w:t>
      </w:r>
      <w:r w:rsidR="00141440">
        <w:rPr>
          <w:rFonts w:asciiTheme="majorHAnsi" w:hAnsiTheme="majorHAnsi"/>
          <w:sz w:val="20"/>
          <w:szCs w:val="20"/>
          <w:lang w:val="es-ES_tradnl"/>
        </w:rPr>
        <w:t xml:space="preserve"> </w:t>
      </w:r>
      <w:r>
        <w:rPr>
          <w:rFonts w:asciiTheme="majorHAnsi" w:hAnsiTheme="majorHAnsi"/>
          <w:sz w:val="20"/>
          <w:szCs w:val="20"/>
          <w:lang w:val="es-ES_tradnl"/>
        </w:rPr>
        <w:t>l</w:t>
      </w:r>
      <w:r w:rsidR="00141440">
        <w:rPr>
          <w:rFonts w:asciiTheme="majorHAnsi" w:hAnsiTheme="majorHAnsi"/>
          <w:sz w:val="20"/>
          <w:szCs w:val="20"/>
          <w:lang w:val="es-ES_tradnl"/>
        </w:rPr>
        <w:t>a</w:t>
      </w:r>
      <w:r>
        <w:rPr>
          <w:rFonts w:asciiTheme="majorHAnsi" w:hAnsiTheme="majorHAnsi"/>
          <w:sz w:val="20"/>
          <w:szCs w:val="20"/>
          <w:lang w:val="es-ES_tradnl"/>
        </w:rPr>
        <w:t xml:space="preserve"> CAEC es de USD</w:t>
      </w:r>
      <w:r w:rsidR="00194110">
        <w:rPr>
          <w:rFonts w:asciiTheme="majorHAnsi" w:hAnsiTheme="majorHAnsi"/>
          <w:sz w:val="20"/>
          <w:szCs w:val="20"/>
          <w:lang w:val="es-ES_tradnl"/>
        </w:rPr>
        <w:t xml:space="preserve"> 4</w:t>
      </w:r>
      <w:r>
        <w:rPr>
          <w:rFonts w:asciiTheme="majorHAnsi" w:hAnsiTheme="majorHAnsi"/>
          <w:sz w:val="20"/>
          <w:szCs w:val="20"/>
          <w:lang w:val="es-ES_tradnl"/>
        </w:rPr>
        <w:t>887.00. Tras el fallo de la CSJ</w:t>
      </w:r>
      <w:r w:rsidR="00194110">
        <w:rPr>
          <w:rFonts w:asciiTheme="majorHAnsi" w:hAnsiTheme="majorHAnsi"/>
          <w:sz w:val="20"/>
          <w:szCs w:val="20"/>
          <w:lang w:val="es-ES_tradnl"/>
        </w:rPr>
        <w:t>, y el retiro de</w:t>
      </w:r>
      <w:r w:rsidR="00141440">
        <w:rPr>
          <w:rFonts w:asciiTheme="majorHAnsi" w:hAnsiTheme="majorHAnsi"/>
          <w:sz w:val="20"/>
          <w:szCs w:val="20"/>
          <w:lang w:val="es-ES_tradnl"/>
        </w:rPr>
        <w:t>l RHD</w:t>
      </w:r>
      <w:r w:rsidR="00194110">
        <w:rPr>
          <w:rFonts w:asciiTheme="majorHAnsi" w:hAnsiTheme="majorHAnsi"/>
          <w:sz w:val="20"/>
          <w:szCs w:val="20"/>
          <w:lang w:val="es-ES_tradnl"/>
        </w:rPr>
        <w:t>, la cobertura de la niña Martina quedó restringida a U</w:t>
      </w:r>
      <w:r w:rsidR="00A64533">
        <w:rPr>
          <w:rFonts w:asciiTheme="majorHAnsi" w:hAnsiTheme="majorHAnsi"/>
          <w:sz w:val="20"/>
          <w:szCs w:val="20"/>
          <w:lang w:val="es-ES_tradnl"/>
        </w:rPr>
        <w:t xml:space="preserve">SD 92192.00 anuales, es decir una cobertura de </w:t>
      </w:r>
      <w:r w:rsidR="00194110">
        <w:rPr>
          <w:rFonts w:asciiTheme="majorHAnsi" w:hAnsiTheme="majorHAnsi"/>
          <w:sz w:val="20"/>
          <w:szCs w:val="20"/>
          <w:lang w:val="es-ES_tradnl"/>
        </w:rPr>
        <w:t xml:space="preserve"> USD 7682.00 me</w:t>
      </w:r>
      <w:r w:rsidR="00A64533">
        <w:rPr>
          <w:rFonts w:asciiTheme="majorHAnsi" w:hAnsiTheme="majorHAnsi"/>
          <w:sz w:val="20"/>
          <w:szCs w:val="20"/>
          <w:lang w:val="es-ES_tradnl"/>
        </w:rPr>
        <w:t>nsuales. De</w:t>
      </w:r>
      <w:r w:rsidR="00194110">
        <w:rPr>
          <w:rFonts w:asciiTheme="majorHAnsi" w:hAnsiTheme="majorHAnsi"/>
          <w:sz w:val="20"/>
          <w:szCs w:val="20"/>
          <w:lang w:val="es-ES_tradnl"/>
        </w:rPr>
        <w:t xml:space="preserve"> acuerdo con lo relatado, el costo mensual del RHD es de USD 12392.00. La Comisión encuentra que la diferencia aritmética entre el costo del RHD y la cobertura después del retiro de</w:t>
      </w:r>
      <w:r w:rsidR="00141440">
        <w:rPr>
          <w:rFonts w:asciiTheme="majorHAnsi" w:hAnsiTheme="majorHAnsi"/>
          <w:sz w:val="20"/>
          <w:szCs w:val="20"/>
          <w:lang w:val="es-ES_tradnl"/>
        </w:rPr>
        <w:t xml:space="preserve"> </w:t>
      </w:r>
      <w:r w:rsidR="00194110">
        <w:rPr>
          <w:rFonts w:asciiTheme="majorHAnsi" w:hAnsiTheme="majorHAnsi"/>
          <w:sz w:val="20"/>
          <w:szCs w:val="20"/>
          <w:lang w:val="es-ES_tradnl"/>
        </w:rPr>
        <w:t>l</w:t>
      </w:r>
      <w:r w:rsidR="00141440">
        <w:rPr>
          <w:rFonts w:asciiTheme="majorHAnsi" w:hAnsiTheme="majorHAnsi"/>
          <w:sz w:val="20"/>
          <w:szCs w:val="20"/>
          <w:lang w:val="es-ES_tradnl"/>
        </w:rPr>
        <w:t>a</w:t>
      </w:r>
      <w:r w:rsidR="00194110">
        <w:rPr>
          <w:rFonts w:asciiTheme="majorHAnsi" w:hAnsiTheme="majorHAnsi"/>
          <w:sz w:val="20"/>
          <w:szCs w:val="20"/>
          <w:lang w:val="es-ES_tradnl"/>
        </w:rPr>
        <w:t xml:space="preserve"> CAEC, es de USD 4710.00. La parte peticionario indicó que esta diferencia fue cubierta por un beneficio especial otorgado por la empleadora del señor Vera, supeditado a su permanencia en dicho trabajo y con una duración restringida</w:t>
      </w:r>
      <w:r w:rsidR="00194110">
        <w:rPr>
          <w:rStyle w:val="FootnoteReference"/>
          <w:rFonts w:asciiTheme="majorHAnsi" w:hAnsiTheme="majorHAnsi"/>
          <w:sz w:val="20"/>
          <w:szCs w:val="20"/>
          <w:lang w:val="es-ES_tradnl"/>
        </w:rPr>
        <w:footnoteReference w:id="34"/>
      </w:r>
      <w:r w:rsidR="00194110">
        <w:rPr>
          <w:rFonts w:asciiTheme="majorHAnsi" w:hAnsiTheme="majorHAnsi"/>
          <w:sz w:val="20"/>
          <w:szCs w:val="20"/>
          <w:lang w:val="es-ES_tradnl"/>
        </w:rPr>
        <w:t xml:space="preserve">. El Estado no presentó información al respecto. </w:t>
      </w:r>
    </w:p>
    <w:p w:rsidR="00194110" w:rsidRDefault="00194110" w:rsidP="001941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rsidR="0098308F" w:rsidRDefault="00194110"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Pr>
          <w:rFonts w:asciiTheme="majorHAnsi" w:hAnsiTheme="majorHAnsi"/>
          <w:sz w:val="20"/>
          <w:szCs w:val="20"/>
          <w:lang w:val="es-ES_tradnl"/>
        </w:rPr>
        <w:t>De acuerdo con la parte peticionaria, el cuadro de salud la niña Martina se vio agravado durante el período anteriormente referido</w:t>
      </w:r>
      <w:r w:rsidR="008F6DD3">
        <w:rPr>
          <w:rFonts w:asciiTheme="majorHAnsi" w:hAnsiTheme="majorHAnsi"/>
          <w:sz w:val="20"/>
          <w:szCs w:val="20"/>
          <w:lang w:val="es-ES_tradnl"/>
        </w:rPr>
        <w:t xml:space="preserve">, lo que se manifestó en el </w:t>
      </w:r>
      <w:r>
        <w:rPr>
          <w:rFonts w:asciiTheme="majorHAnsi" w:hAnsiTheme="majorHAnsi"/>
          <w:sz w:val="20"/>
          <w:szCs w:val="20"/>
          <w:lang w:val="es-ES_tradnl"/>
        </w:rPr>
        <w:t>“aumento en la frecuencia y duración de sus obstrucciones a nivel respiratorio, las cuales son cada vez más difíciles d</w:t>
      </w:r>
      <w:r w:rsidR="00ED6957">
        <w:rPr>
          <w:rFonts w:asciiTheme="majorHAnsi" w:hAnsiTheme="majorHAnsi"/>
          <w:sz w:val="20"/>
          <w:szCs w:val="20"/>
          <w:lang w:val="es-ES_tradnl"/>
        </w:rPr>
        <w:t>e controlar; peligrosa disminución de sus procesos digestivos; evidente retroceso en sus limitadas facultades de comunicación y relación con el entorno</w:t>
      </w:r>
      <w:r w:rsidR="00BA05ED">
        <w:rPr>
          <w:rFonts w:asciiTheme="majorHAnsi" w:hAnsiTheme="majorHAnsi"/>
          <w:sz w:val="20"/>
          <w:szCs w:val="20"/>
          <w:lang w:val="es-ES_tradnl"/>
        </w:rPr>
        <w:t>”</w:t>
      </w:r>
      <w:r w:rsidR="00BA05ED">
        <w:rPr>
          <w:rStyle w:val="FootnoteReference"/>
          <w:rFonts w:asciiTheme="majorHAnsi" w:hAnsiTheme="majorHAnsi"/>
          <w:sz w:val="20"/>
          <w:szCs w:val="20"/>
          <w:lang w:val="es-ES_tradnl"/>
        </w:rPr>
        <w:footnoteReference w:id="35"/>
      </w:r>
      <w:r w:rsidR="00ED6957">
        <w:rPr>
          <w:rFonts w:asciiTheme="majorHAnsi" w:hAnsiTheme="majorHAnsi"/>
          <w:sz w:val="20"/>
          <w:szCs w:val="20"/>
          <w:lang w:val="es-ES_tradnl"/>
        </w:rPr>
        <w:t xml:space="preserve">. Asimismo, la parte peticionaria aportó un cuadro comparativo de los servicios de salud perdidos y reducidos en las diferentes etapas del litigio, del cual destaca que los gastos de medicamentos, instrumental médico y paramédico pasó a ser cubierto directamente por la familia y que los equipos (ventilador, aspirador, ambú pediátrico y saturador) también tuvieron que ser adquiridos por la familia. El Estado no presentó información al respecto. </w:t>
      </w:r>
    </w:p>
    <w:p w:rsidR="00A64533" w:rsidRPr="000D5AAA" w:rsidRDefault="00A64533" w:rsidP="00B02F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rsidR="006269EA" w:rsidRPr="00B67AD6" w:rsidRDefault="00EF3399" w:rsidP="00C87FF4">
      <w:pPr>
        <w:pStyle w:val="Heading3"/>
        <w:rPr>
          <w:lang w:val="es-ES_tradnl"/>
        </w:rPr>
      </w:pPr>
      <w:bookmarkStart w:id="11" w:name="_Toc531880121"/>
      <w:r w:rsidRPr="00B67AD6">
        <w:rPr>
          <w:lang w:val="es-ES_tradnl"/>
        </w:rPr>
        <w:t>La acción de protección</w:t>
      </w:r>
      <w:bookmarkEnd w:id="11"/>
    </w:p>
    <w:p w:rsidR="00EF3399" w:rsidRPr="00EF3399" w:rsidRDefault="00EF3399" w:rsidP="00EF3399">
      <w:pPr>
        <w:ind w:left="720"/>
        <w:rPr>
          <w:rFonts w:asciiTheme="majorHAnsi" w:hAnsiTheme="majorHAnsi"/>
          <w:b/>
          <w:sz w:val="20"/>
          <w:szCs w:val="20"/>
          <w:lang w:val="es-ES_tradnl"/>
        </w:rPr>
      </w:pPr>
    </w:p>
    <w:p w:rsidR="0098308F" w:rsidRPr="002B59CC" w:rsidRDefault="006269EA"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De la información aportada por las partes se desprende que tras la comunicación de la suspensión del servicio</w:t>
      </w:r>
      <w:r w:rsidR="002B59CC">
        <w:rPr>
          <w:rFonts w:asciiTheme="majorHAnsi" w:hAnsiTheme="majorHAnsi"/>
          <w:sz w:val="20"/>
          <w:szCs w:val="20"/>
          <w:lang w:val="es-ES_tradnl"/>
        </w:rPr>
        <w:t xml:space="preserve">, la familia de la niña Martina </w:t>
      </w:r>
      <w:r>
        <w:rPr>
          <w:rFonts w:asciiTheme="majorHAnsi" w:hAnsiTheme="majorHAnsi"/>
          <w:sz w:val="20"/>
          <w:szCs w:val="20"/>
          <w:lang w:val="es-ES_tradnl"/>
        </w:rPr>
        <w:t>decidió interponer un</w:t>
      </w:r>
      <w:r w:rsidR="002753CB">
        <w:rPr>
          <w:rFonts w:asciiTheme="majorHAnsi" w:hAnsiTheme="majorHAnsi"/>
          <w:sz w:val="20"/>
          <w:szCs w:val="20"/>
          <w:lang w:val="es-ES_tradnl"/>
        </w:rPr>
        <w:t>a</w:t>
      </w:r>
      <w:r>
        <w:rPr>
          <w:rFonts w:asciiTheme="majorHAnsi" w:hAnsiTheme="majorHAnsi"/>
          <w:sz w:val="20"/>
          <w:szCs w:val="20"/>
          <w:lang w:val="es-ES_tradnl"/>
        </w:rPr>
        <w:t xml:space="preserve"> acción de protección</w:t>
      </w:r>
      <w:r w:rsidR="002B59CC">
        <w:rPr>
          <w:rFonts w:asciiTheme="majorHAnsi" w:hAnsiTheme="majorHAnsi"/>
          <w:sz w:val="20"/>
          <w:szCs w:val="20"/>
          <w:lang w:val="es-ES_tradnl"/>
        </w:rPr>
        <w:t>, el 26 de octubre de 2010</w:t>
      </w:r>
      <w:r w:rsidR="00EF3399">
        <w:rPr>
          <w:rStyle w:val="FootnoteReference"/>
          <w:rFonts w:asciiTheme="majorHAnsi" w:hAnsiTheme="majorHAnsi"/>
          <w:sz w:val="20"/>
          <w:szCs w:val="20"/>
          <w:lang w:val="es-ES_tradnl"/>
        </w:rPr>
        <w:footnoteReference w:id="36"/>
      </w:r>
      <w:r w:rsidR="002B59CC">
        <w:rPr>
          <w:rFonts w:asciiTheme="majorHAnsi" w:hAnsiTheme="majorHAnsi"/>
          <w:sz w:val="20"/>
          <w:szCs w:val="20"/>
          <w:lang w:val="es-ES_tradnl"/>
        </w:rPr>
        <w:t xml:space="preserve">, </w:t>
      </w:r>
      <w:r w:rsidR="003112E1">
        <w:rPr>
          <w:rFonts w:asciiTheme="majorHAnsi" w:hAnsiTheme="majorHAnsi"/>
          <w:sz w:val="20"/>
          <w:szCs w:val="20"/>
          <w:lang w:val="es-ES_tradnl"/>
        </w:rPr>
        <w:t>por la vulne</w:t>
      </w:r>
      <w:r w:rsidR="0046524E">
        <w:rPr>
          <w:rFonts w:asciiTheme="majorHAnsi" w:hAnsiTheme="majorHAnsi"/>
          <w:sz w:val="20"/>
          <w:szCs w:val="20"/>
          <w:lang w:val="es-ES_tradnl"/>
        </w:rPr>
        <w:t xml:space="preserve">ración del derecho de propiedad, a la vida y la integridad física. </w:t>
      </w:r>
      <w:r w:rsidR="003112E1">
        <w:rPr>
          <w:rFonts w:asciiTheme="majorHAnsi" w:hAnsiTheme="majorHAnsi"/>
          <w:sz w:val="20"/>
          <w:szCs w:val="20"/>
          <w:lang w:val="es-ES_tradnl"/>
        </w:rPr>
        <w:t xml:space="preserve">La Isapre contestó la </w:t>
      </w:r>
      <w:r w:rsidR="002B59CC">
        <w:rPr>
          <w:rFonts w:asciiTheme="majorHAnsi" w:hAnsiTheme="majorHAnsi"/>
          <w:sz w:val="20"/>
          <w:szCs w:val="20"/>
          <w:lang w:val="es-ES_tradnl"/>
        </w:rPr>
        <w:t>demanda</w:t>
      </w:r>
      <w:r w:rsidR="003112E1">
        <w:rPr>
          <w:rFonts w:asciiTheme="majorHAnsi" w:hAnsiTheme="majorHAnsi"/>
          <w:sz w:val="20"/>
          <w:szCs w:val="20"/>
          <w:lang w:val="es-ES_tradnl"/>
        </w:rPr>
        <w:t xml:space="preserve"> señalando que el cambio de la modalidad de prestación de </w:t>
      </w:r>
      <w:r w:rsidR="00141440">
        <w:rPr>
          <w:rFonts w:asciiTheme="majorHAnsi" w:hAnsiTheme="majorHAnsi"/>
          <w:sz w:val="20"/>
          <w:szCs w:val="20"/>
          <w:lang w:val="es-ES_tradnl"/>
        </w:rPr>
        <w:t xml:space="preserve">la </w:t>
      </w:r>
      <w:r w:rsidR="003112E1">
        <w:rPr>
          <w:rFonts w:asciiTheme="majorHAnsi" w:hAnsiTheme="majorHAnsi"/>
          <w:sz w:val="20"/>
          <w:szCs w:val="20"/>
          <w:lang w:val="es-ES_tradnl"/>
        </w:rPr>
        <w:t>CAEC era legal y que, a partir del peritaje del doctor Vargas en que indicaba que la condición de la niña Martina era progresiva e irrecuperable, la RHD no era aplicable, ya que se tra</w:t>
      </w:r>
      <w:r w:rsidR="002B59CC">
        <w:rPr>
          <w:rFonts w:asciiTheme="majorHAnsi" w:hAnsiTheme="majorHAnsi"/>
          <w:sz w:val="20"/>
          <w:szCs w:val="20"/>
          <w:lang w:val="es-ES_tradnl"/>
        </w:rPr>
        <w:t xml:space="preserve">taba de una enfermedad crónica. </w:t>
      </w:r>
      <w:r w:rsidR="002753CB">
        <w:rPr>
          <w:rFonts w:asciiTheme="majorHAnsi" w:hAnsiTheme="majorHAnsi"/>
          <w:sz w:val="20"/>
          <w:szCs w:val="20"/>
          <w:lang w:val="es-ES_tradnl"/>
        </w:rPr>
        <w:t>L</w:t>
      </w:r>
      <w:r w:rsidR="002B59CC">
        <w:rPr>
          <w:rFonts w:asciiTheme="majorHAnsi" w:hAnsiTheme="majorHAnsi"/>
          <w:sz w:val="20"/>
          <w:szCs w:val="20"/>
          <w:lang w:val="es-ES_tradnl"/>
        </w:rPr>
        <w:t>a Isapre t</w:t>
      </w:r>
      <w:r w:rsidR="00141440">
        <w:rPr>
          <w:rFonts w:asciiTheme="majorHAnsi" w:hAnsiTheme="majorHAnsi"/>
          <w:sz w:val="20"/>
          <w:szCs w:val="20"/>
          <w:lang w:val="es-ES_tradnl"/>
        </w:rPr>
        <w:t xml:space="preserve">ambién señaló que la </w:t>
      </w:r>
      <w:r w:rsidR="002B59CC">
        <w:rPr>
          <w:rFonts w:asciiTheme="majorHAnsi" w:hAnsiTheme="majorHAnsi"/>
          <w:sz w:val="20"/>
          <w:szCs w:val="20"/>
          <w:lang w:val="es-ES_tradnl"/>
        </w:rPr>
        <w:t xml:space="preserve">CAEC </w:t>
      </w:r>
      <w:r w:rsidR="008B3F9A">
        <w:rPr>
          <w:rFonts w:asciiTheme="majorHAnsi" w:hAnsiTheme="majorHAnsi"/>
          <w:sz w:val="20"/>
          <w:szCs w:val="20"/>
          <w:lang w:val="es-ES_tradnl"/>
        </w:rPr>
        <w:t xml:space="preserve">no </w:t>
      </w:r>
      <w:r w:rsidR="002B59CC">
        <w:rPr>
          <w:rFonts w:asciiTheme="majorHAnsi" w:hAnsiTheme="majorHAnsi"/>
          <w:sz w:val="20"/>
          <w:szCs w:val="20"/>
          <w:lang w:val="es-ES_tradnl"/>
        </w:rPr>
        <w:t xml:space="preserve">se había desactivado por completo, </w:t>
      </w:r>
      <w:r w:rsidR="008B3F9A">
        <w:rPr>
          <w:rFonts w:asciiTheme="majorHAnsi" w:hAnsiTheme="majorHAnsi"/>
          <w:sz w:val="20"/>
          <w:szCs w:val="20"/>
          <w:lang w:val="es-ES_tradnl"/>
        </w:rPr>
        <w:t xml:space="preserve">sino que </w:t>
      </w:r>
      <w:r w:rsidR="002B59CC">
        <w:rPr>
          <w:rFonts w:asciiTheme="majorHAnsi" w:hAnsiTheme="majorHAnsi"/>
          <w:sz w:val="20"/>
          <w:szCs w:val="20"/>
          <w:lang w:val="es-ES_tradnl"/>
        </w:rPr>
        <w:t xml:space="preserve">solo que se </w:t>
      </w:r>
      <w:r w:rsidR="00141440">
        <w:rPr>
          <w:rFonts w:asciiTheme="majorHAnsi" w:hAnsiTheme="majorHAnsi"/>
          <w:sz w:val="20"/>
          <w:szCs w:val="20"/>
          <w:lang w:val="es-ES_tradnl"/>
        </w:rPr>
        <w:t>excluía el RHD</w:t>
      </w:r>
      <w:r w:rsidR="008B3F9A">
        <w:rPr>
          <w:rFonts w:asciiTheme="majorHAnsi" w:hAnsiTheme="majorHAnsi"/>
          <w:sz w:val="20"/>
          <w:szCs w:val="20"/>
          <w:lang w:val="es-ES_tradnl"/>
        </w:rPr>
        <w:t>; y</w:t>
      </w:r>
      <w:r w:rsidR="00141440">
        <w:rPr>
          <w:rFonts w:asciiTheme="majorHAnsi" w:hAnsiTheme="majorHAnsi"/>
          <w:sz w:val="20"/>
          <w:szCs w:val="20"/>
          <w:lang w:val="es-ES_tradnl"/>
        </w:rPr>
        <w:t xml:space="preserve"> que el acceso a la </w:t>
      </w:r>
      <w:r w:rsidR="002B59CC">
        <w:rPr>
          <w:rFonts w:asciiTheme="majorHAnsi" w:hAnsiTheme="majorHAnsi"/>
          <w:sz w:val="20"/>
          <w:szCs w:val="20"/>
          <w:lang w:val="es-ES_tradnl"/>
        </w:rPr>
        <w:t>CAEC no es un “derecho adquirido” dado que su acceso se renueva anualmente</w:t>
      </w:r>
      <w:r w:rsidR="002B59CC">
        <w:rPr>
          <w:rStyle w:val="FootnoteReference"/>
          <w:rFonts w:asciiTheme="majorHAnsi" w:hAnsiTheme="majorHAnsi"/>
          <w:sz w:val="20"/>
          <w:szCs w:val="20"/>
          <w:lang w:val="es-ES_tradnl"/>
        </w:rPr>
        <w:footnoteReference w:id="37"/>
      </w:r>
      <w:r w:rsidR="002B59CC">
        <w:rPr>
          <w:rFonts w:asciiTheme="majorHAnsi" w:hAnsiTheme="majorHAnsi"/>
          <w:sz w:val="20"/>
          <w:szCs w:val="20"/>
          <w:lang w:val="es-ES_tradnl"/>
        </w:rPr>
        <w:t xml:space="preserve">. </w:t>
      </w:r>
    </w:p>
    <w:p w:rsidR="002B59CC" w:rsidRPr="002B59CC" w:rsidRDefault="002B59CC" w:rsidP="002B59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
          <w:sz w:val="20"/>
          <w:szCs w:val="20"/>
          <w:lang w:val="es-ES_tradnl"/>
        </w:rPr>
      </w:pPr>
    </w:p>
    <w:p w:rsidR="002B59CC" w:rsidRPr="007558A9" w:rsidRDefault="002B59C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 xml:space="preserve">El 26 de enero de 2011, la Corte de Apelaciones de Concepción </w:t>
      </w:r>
      <w:r w:rsidR="007558A9">
        <w:rPr>
          <w:rFonts w:asciiTheme="majorHAnsi" w:hAnsiTheme="majorHAnsi"/>
          <w:sz w:val="20"/>
          <w:szCs w:val="20"/>
          <w:lang w:val="es-ES_tradnl"/>
        </w:rPr>
        <w:t xml:space="preserve">(en adelante “la CAC”) </w:t>
      </w:r>
      <w:r>
        <w:rPr>
          <w:rFonts w:asciiTheme="majorHAnsi" w:hAnsiTheme="majorHAnsi"/>
          <w:sz w:val="20"/>
          <w:szCs w:val="20"/>
          <w:lang w:val="es-ES_tradnl"/>
        </w:rPr>
        <w:t xml:space="preserve">resolvió </w:t>
      </w:r>
      <w:r w:rsidR="0046524E">
        <w:rPr>
          <w:rFonts w:asciiTheme="majorHAnsi" w:hAnsiTheme="majorHAnsi"/>
          <w:sz w:val="20"/>
          <w:szCs w:val="20"/>
          <w:lang w:val="es-ES_tradnl"/>
        </w:rPr>
        <w:t xml:space="preserve">haciendo a lugar el reclamo de la familia, tomando en consideración que el tratamiento hospitalario conlleva a riesgos de </w:t>
      </w:r>
      <w:r w:rsidR="007558A9">
        <w:rPr>
          <w:rFonts w:asciiTheme="majorHAnsi" w:hAnsiTheme="majorHAnsi"/>
          <w:sz w:val="20"/>
          <w:szCs w:val="20"/>
          <w:lang w:val="es-ES_tradnl"/>
        </w:rPr>
        <w:t>infecciones intrahospitalarias por lo que el cambio de modalidad de la atención “no encuentra explicación racional”, que la ISAPRE no debe entender que la exclusión del RHD en enfermedades crónicas, como lo señala Circular No.7, es aplicable cuando la vida y salud dependen del mismo</w:t>
      </w:r>
      <w:r w:rsidR="008B3F9A">
        <w:rPr>
          <w:rFonts w:asciiTheme="majorHAnsi" w:hAnsiTheme="majorHAnsi"/>
          <w:sz w:val="20"/>
          <w:szCs w:val="20"/>
          <w:lang w:val="es-ES_tradnl"/>
        </w:rPr>
        <w:t>;</w:t>
      </w:r>
      <w:r w:rsidR="007558A9">
        <w:rPr>
          <w:rFonts w:asciiTheme="majorHAnsi" w:hAnsiTheme="majorHAnsi"/>
          <w:sz w:val="20"/>
          <w:szCs w:val="20"/>
          <w:lang w:val="es-ES_tradnl"/>
        </w:rPr>
        <w:t xml:space="preserve"> y que no se acreditó un cambio en las circunstancias para justificar la sustitución del RHD</w:t>
      </w:r>
      <w:r w:rsidR="007558A9">
        <w:rPr>
          <w:rStyle w:val="FootnoteReference"/>
          <w:rFonts w:asciiTheme="majorHAnsi" w:hAnsiTheme="majorHAnsi"/>
          <w:sz w:val="20"/>
          <w:szCs w:val="20"/>
          <w:lang w:val="es-ES_tradnl"/>
        </w:rPr>
        <w:footnoteReference w:id="38"/>
      </w:r>
      <w:r w:rsidR="007558A9">
        <w:rPr>
          <w:rFonts w:asciiTheme="majorHAnsi" w:hAnsiTheme="majorHAnsi"/>
          <w:sz w:val="20"/>
          <w:szCs w:val="20"/>
          <w:lang w:val="es-ES_tradnl"/>
        </w:rPr>
        <w:t xml:space="preserve">. </w:t>
      </w:r>
    </w:p>
    <w:p w:rsidR="007558A9" w:rsidRDefault="007558A9" w:rsidP="007558A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F2052F" w:rsidRPr="00184CCA" w:rsidRDefault="007558A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sidRPr="00A20152">
        <w:rPr>
          <w:rFonts w:asciiTheme="majorHAnsi" w:hAnsiTheme="majorHAnsi"/>
          <w:sz w:val="20"/>
          <w:szCs w:val="20"/>
          <w:lang w:val="es-ES_tradnl"/>
        </w:rPr>
        <w:t xml:space="preserve">La Isapre apeló el fallo de la CAC </w:t>
      </w:r>
      <w:r w:rsidR="008B3F9A">
        <w:rPr>
          <w:rFonts w:asciiTheme="majorHAnsi" w:hAnsiTheme="majorHAnsi"/>
          <w:sz w:val="20"/>
          <w:szCs w:val="20"/>
          <w:lang w:val="es-ES_tradnl"/>
        </w:rPr>
        <w:t xml:space="preserve">alegando </w:t>
      </w:r>
      <w:r w:rsidR="00A20152" w:rsidRPr="00A20152">
        <w:rPr>
          <w:rFonts w:asciiTheme="majorHAnsi" w:hAnsiTheme="majorHAnsi"/>
          <w:sz w:val="20"/>
          <w:szCs w:val="20"/>
          <w:lang w:val="es-ES_tradnl"/>
        </w:rPr>
        <w:t>que legalmente el RHD no aplica pa</w:t>
      </w:r>
      <w:r w:rsidR="00141440">
        <w:rPr>
          <w:rFonts w:asciiTheme="majorHAnsi" w:hAnsiTheme="majorHAnsi"/>
          <w:sz w:val="20"/>
          <w:szCs w:val="20"/>
          <w:lang w:val="es-ES_tradnl"/>
        </w:rPr>
        <w:t>ra enfermedades crónicas, que la</w:t>
      </w:r>
      <w:r w:rsidR="00A20152" w:rsidRPr="00A20152">
        <w:rPr>
          <w:rFonts w:asciiTheme="majorHAnsi" w:hAnsiTheme="majorHAnsi"/>
          <w:sz w:val="20"/>
          <w:szCs w:val="20"/>
          <w:lang w:val="es-ES_tradnl"/>
        </w:rPr>
        <w:t xml:space="preserve"> CAEC no es un derecho adquirido y que el acceso al RHD es restringido y excepcional</w:t>
      </w:r>
      <w:r w:rsidR="00A20152">
        <w:rPr>
          <w:rStyle w:val="FootnoteReference"/>
          <w:rFonts w:asciiTheme="majorHAnsi" w:hAnsiTheme="majorHAnsi"/>
          <w:sz w:val="20"/>
          <w:szCs w:val="20"/>
          <w:lang w:val="es-ES_tradnl"/>
        </w:rPr>
        <w:footnoteReference w:id="39"/>
      </w:r>
      <w:r w:rsidR="006D5F4E">
        <w:rPr>
          <w:rFonts w:asciiTheme="majorHAnsi" w:hAnsiTheme="majorHAnsi"/>
          <w:sz w:val="20"/>
          <w:szCs w:val="20"/>
          <w:lang w:val="es-ES_tradnl"/>
        </w:rPr>
        <w:t xml:space="preserve">. La </w:t>
      </w:r>
      <w:r w:rsidR="00A20152" w:rsidRPr="00A20152">
        <w:rPr>
          <w:rFonts w:asciiTheme="majorHAnsi" w:hAnsiTheme="majorHAnsi"/>
          <w:sz w:val="20"/>
          <w:szCs w:val="20"/>
          <w:lang w:val="es-ES_tradnl"/>
        </w:rPr>
        <w:t>C</w:t>
      </w:r>
      <w:r w:rsidR="006D5F4E">
        <w:rPr>
          <w:rFonts w:asciiTheme="majorHAnsi" w:hAnsiTheme="majorHAnsi"/>
          <w:sz w:val="20"/>
          <w:szCs w:val="20"/>
          <w:lang w:val="es-ES_tradnl"/>
        </w:rPr>
        <w:t>S</w:t>
      </w:r>
      <w:r w:rsidR="00A20152" w:rsidRPr="00A20152">
        <w:rPr>
          <w:rFonts w:asciiTheme="majorHAnsi" w:hAnsiTheme="majorHAnsi"/>
          <w:sz w:val="20"/>
          <w:szCs w:val="20"/>
          <w:lang w:val="es-ES_tradnl"/>
        </w:rPr>
        <w:t>J resolvió revocando el fallo de</w:t>
      </w:r>
      <w:r w:rsidR="00A64533">
        <w:rPr>
          <w:rFonts w:asciiTheme="majorHAnsi" w:hAnsiTheme="majorHAnsi"/>
          <w:sz w:val="20"/>
          <w:szCs w:val="20"/>
          <w:lang w:val="es-ES_tradnl"/>
        </w:rPr>
        <w:t xml:space="preserve"> </w:t>
      </w:r>
      <w:r w:rsidR="00A20152" w:rsidRPr="00A20152">
        <w:rPr>
          <w:rFonts w:asciiTheme="majorHAnsi" w:hAnsiTheme="majorHAnsi"/>
          <w:sz w:val="20"/>
          <w:szCs w:val="20"/>
          <w:lang w:val="es-ES_tradnl"/>
        </w:rPr>
        <w:t>l</w:t>
      </w:r>
      <w:r w:rsidR="00A64533">
        <w:rPr>
          <w:rFonts w:asciiTheme="majorHAnsi" w:hAnsiTheme="majorHAnsi"/>
          <w:sz w:val="20"/>
          <w:szCs w:val="20"/>
          <w:lang w:val="es-ES_tradnl"/>
        </w:rPr>
        <w:t>a</w:t>
      </w:r>
      <w:r w:rsidR="00A20152" w:rsidRPr="00A20152">
        <w:rPr>
          <w:rFonts w:asciiTheme="majorHAnsi" w:hAnsiTheme="majorHAnsi"/>
          <w:sz w:val="20"/>
          <w:szCs w:val="20"/>
          <w:lang w:val="es-ES_tradnl"/>
        </w:rPr>
        <w:t xml:space="preserve"> CAC</w:t>
      </w:r>
      <w:r w:rsidR="00A20152">
        <w:rPr>
          <w:rFonts w:asciiTheme="majorHAnsi" w:hAnsiTheme="majorHAnsi"/>
          <w:sz w:val="20"/>
          <w:szCs w:val="20"/>
          <w:lang w:val="es-ES_tradnl"/>
        </w:rPr>
        <w:t xml:space="preserve"> y dando la razón</w:t>
      </w:r>
      <w:r w:rsidR="00A64533">
        <w:rPr>
          <w:rFonts w:asciiTheme="majorHAnsi" w:hAnsiTheme="majorHAnsi"/>
          <w:sz w:val="20"/>
          <w:szCs w:val="20"/>
          <w:lang w:val="es-ES_tradnl"/>
        </w:rPr>
        <w:t xml:space="preserve"> a</w:t>
      </w:r>
      <w:r w:rsidR="00A20152">
        <w:rPr>
          <w:rFonts w:asciiTheme="majorHAnsi" w:hAnsiTheme="majorHAnsi"/>
          <w:sz w:val="20"/>
          <w:szCs w:val="20"/>
          <w:lang w:val="es-ES_tradnl"/>
        </w:rPr>
        <w:t xml:space="preserve"> la Isapre el 9 de mayo de 2011. La </w:t>
      </w:r>
      <w:r w:rsidR="006D5F4E">
        <w:rPr>
          <w:rFonts w:asciiTheme="majorHAnsi" w:hAnsiTheme="majorHAnsi"/>
          <w:sz w:val="20"/>
          <w:szCs w:val="20"/>
          <w:lang w:val="es-ES_tradnl"/>
        </w:rPr>
        <w:t>CSJ arribó a esta conclusión dado que “en lo concerniente a la llamada hospitalización domiciliaria -Circular IF No. 7 (…)-esta modalidad de prestación médica no procede tratándose de enfermedades crónicas, condición que reviste la patología que sufre la paciente” por lo que “la Isapre (…) ha podido legítimamente negar la aplicación del seguro catastrófico, pues ha actuado bajo el amparo de las normas que regulan el otorgamiento de este beneficio excepcional”</w:t>
      </w:r>
      <w:r w:rsidR="006D5F4E">
        <w:rPr>
          <w:rStyle w:val="FootnoteReference"/>
          <w:rFonts w:asciiTheme="majorHAnsi" w:hAnsiTheme="majorHAnsi"/>
          <w:sz w:val="20"/>
          <w:szCs w:val="20"/>
          <w:lang w:val="es-ES_tradnl"/>
        </w:rPr>
        <w:footnoteReference w:id="40"/>
      </w:r>
      <w:r w:rsidR="006D5F4E">
        <w:rPr>
          <w:rFonts w:asciiTheme="majorHAnsi" w:hAnsiTheme="majorHAnsi"/>
          <w:sz w:val="20"/>
          <w:szCs w:val="20"/>
          <w:lang w:val="es-ES_tradnl"/>
        </w:rPr>
        <w:t xml:space="preserve">. </w:t>
      </w:r>
    </w:p>
    <w:p w:rsidR="00F2052F" w:rsidRPr="00A20152" w:rsidRDefault="00F2052F" w:rsidP="00184C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E82AE4" w:rsidRDefault="00E82AE4" w:rsidP="00C87FF4">
      <w:pPr>
        <w:pStyle w:val="Heading3"/>
        <w:rPr>
          <w:lang w:val="es-ES_tradnl"/>
        </w:rPr>
      </w:pPr>
      <w:bookmarkStart w:id="12" w:name="_Toc531880122"/>
      <w:r>
        <w:rPr>
          <w:lang w:val="es-ES_tradnl"/>
        </w:rPr>
        <w:t>El proceso ante la Superintendencia de Salud</w:t>
      </w:r>
      <w:bookmarkEnd w:id="12"/>
    </w:p>
    <w:p w:rsidR="00E82AE4" w:rsidRDefault="00E82AE4" w:rsidP="00E82AE4">
      <w:pPr>
        <w:pStyle w:val="ListParagraph"/>
        <w:rPr>
          <w:rFonts w:asciiTheme="majorHAnsi" w:hAnsiTheme="majorHAnsi"/>
          <w:b/>
          <w:color w:val="auto"/>
          <w:sz w:val="20"/>
          <w:szCs w:val="20"/>
          <w:lang w:val="es-ES_tradnl"/>
        </w:rPr>
      </w:pPr>
    </w:p>
    <w:p w:rsidR="00184CCA" w:rsidRPr="00052EB4" w:rsidRDefault="00001DF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El 10 de enero de 2012, la parte peticionari</w:t>
      </w:r>
      <w:r w:rsidR="00E63766">
        <w:rPr>
          <w:rFonts w:asciiTheme="majorHAnsi" w:hAnsiTheme="majorHAnsi"/>
          <w:sz w:val="20"/>
          <w:szCs w:val="20"/>
          <w:lang w:val="es-ES_tradnl"/>
        </w:rPr>
        <w:t>a</w:t>
      </w:r>
      <w:r>
        <w:rPr>
          <w:rFonts w:asciiTheme="majorHAnsi" w:hAnsiTheme="majorHAnsi"/>
          <w:sz w:val="20"/>
          <w:szCs w:val="20"/>
          <w:lang w:val="es-ES_tradnl"/>
        </w:rPr>
        <w:t xml:space="preserve"> interpuso una demanda ante la Superintendencia </w:t>
      </w:r>
      <w:r w:rsidR="00890548">
        <w:rPr>
          <w:rFonts w:asciiTheme="majorHAnsi" w:hAnsiTheme="majorHAnsi"/>
          <w:sz w:val="20"/>
          <w:szCs w:val="20"/>
          <w:lang w:val="es-ES_tradnl"/>
        </w:rPr>
        <w:t>para la reinstalación del RHD</w:t>
      </w:r>
      <w:r w:rsidR="00890548">
        <w:rPr>
          <w:rStyle w:val="FootnoteReference"/>
          <w:rFonts w:asciiTheme="majorHAnsi" w:hAnsiTheme="majorHAnsi"/>
          <w:sz w:val="20"/>
          <w:szCs w:val="20"/>
          <w:lang w:val="es-ES_tradnl"/>
        </w:rPr>
        <w:footnoteReference w:id="41"/>
      </w:r>
      <w:r w:rsidR="00890548">
        <w:rPr>
          <w:rFonts w:asciiTheme="majorHAnsi" w:hAnsiTheme="majorHAnsi"/>
          <w:sz w:val="20"/>
          <w:szCs w:val="20"/>
          <w:lang w:val="es-ES_tradnl"/>
        </w:rPr>
        <w:t xml:space="preserve">. </w:t>
      </w:r>
      <w:r w:rsidR="002A13C1">
        <w:rPr>
          <w:rFonts w:asciiTheme="majorHAnsi" w:hAnsiTheme="majorHAnsi"/>
          <w:sz w:val="20"/>
          <w:szCs w:val="20"/>
          <w:lang w:val="es-ES_tradnl"/>
        </w:rPr>
        <w:t>La Isapre contestó la demanda, el 11 de enero de 2012, reivindicando la legalidad del levantamiento del RHD por la cronicidad de la condición de la niña Martina</w:t>
      </w:r>
      <w:r w:rsidR="00052EB4">
        <w:rPr>
          <w:rStyle w:val="FootnoteReference"/>
          <w:rFonts w:asciiTheme="majorHAnsi" w:hAnsiTheme="majorHAnsi"/>
          <w:sz w:val="20"/>
          <w:szCs w:val="20"/>
          <w:lang w:val="es-ES_tradnl"/>
        </w:rPr>
        <w:footnoteReference w:id="42"/>
      </w:r>
      <w:r w:rsidR="002A13C1">
        <w:rPr>
          <w:rFonts w:asciiTheme="majorHAnsi" w:hAnsiTheme="majorHAnsi"/>
          <w:sz w:val="20"/>
          <w:szCs w:val="20"/>
          <w:lang w:val="es-ES_tradnl"/>
        </w:rPr>
        <w:t xml:space="preserve">. La parte peticionaria </w:t>
      </w:r>
      <w:r w:rsidR="00DA00D9">
        <w:rPr>
          <w:rFonts w:asciiTheme="majorHAnsi" w:hAnsiTheme="majorHAnsi"/>
          <w:sz w:val="20"/>
          <w:szCs w:val="20"/>
          <w:lang w:val="es-ES_tradnl"/>
        </w:rPr>
        <w:t xml:space="preserve">alegó en respuesta que </w:t>
      </w:r>
      <w:r w:rsidR="002A13C1">
        <w:rPr>
          <w:rFonts w:asciiTheme="majorHAnsi" w:hAnsiTheme="majorHAnsi"/>
          <w:sz w:val="20"/>
          <w:szCs w:val="20"/>
          <w:lang w:val="es-ES_tradnl"/>
        </w:rPr>
        <w:t xml:space="preserve">la Isapre no tomó en consideración las protecciones especiales del derecho internacional, relacionadas con el derecho a la vida, integridad, salud, niñez y personas con discapacidad que regulan la materia, y que de acuerdo con el Tribunal Constitucional, las Isapres tienen la obligación de </w:t>
      </w:r>
      <w:r w:rsidR="00052EB4">
        <w:rPr>
          <w:rFonts w:asciiTheme="majorHAnsi" w:hAnsiTheme="majorHAnsi"/>
          <w:sz w:val="20"/>
          <w:szCs w:val="20"/>
          <w:lang w:val="es-ES_tradnl"/>
        </w:rPr>
        <w:t>respetar y proteger los derechos, entre otros argumentos</w:t>
      </w:r>
      <w:r w:rsidR="00DA00D9">
        <w:rPr>
          <w:rFonts w:asciiTheme="majorHAnsi" w:hAnsiTheme="majorHAnsi"/>
          <w:sz w:val="20"/>
          <w:szCs w:val="20"/>
          <w:lang w:val="es-ES_tradnl"/>
        </w:rPr>
        <w:t xml:space="preserve"> ya descritos</w:t>
      </w:r>
      <w:r w:rsidR="00052EB4">
        <w:rPr>
          <w:rStyle w:val="FootnoteReference"/>
          <w:rFonts w:asciiTheme="majorHAnsi" w:hAnsiTheme="majorHAnsi"/>
          <w:sz w:val="20"/>
          <w:szCs w:val="20"/>
          <w:lang w:val="es-ES_tradnl"/>
        </w:rPr>
        <w:footnoteReference w:id="43"/>
      </w:r>
      <w:r w:rsidR="00052EB4">
        <w:rPr>
          <w:rFonts w:asciiTheme="majorHAnsi" w:hAnsiTheme="majorHAnsi"/>
          <w:sz w:val="20"/>
          <w:szCs w:val="20"/>
          <w:lang w:val="es-ES_tradnl"/>
        </w:rPr>
        <w:t xml:space="preserve">. </w:t>
      </w:r>
    </w:p>
    <w:p w:rsidR="00052EB4" w:rsidRDefault="00052EB4" w:rsidP="00052E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680ED2" w:rsidRDefault="00680ED2" w:rsidP="00052E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052EB4" w:rsidRPr="00FD3387" w:rsidRDefault="00052EB4"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 xml:space="preserve">Tras </w:t>
      </w:r>
      <w:r w:rsidR="00FC338B">
        <w:rPr>
          <w:rFonts w:asciiTheme="majorHAnsi" w:hAnsiTheme="majorHAnsi"/>
          <w:sz w:val="20"/>
          <w:szCs w:val="20"/>
          <w:lang w:val="es-ES_tradnl"/>
        </w:rPr>
        <w:t>el debate sobre cuestiones probatorias</w:t>
      </w:r>
      <w:r>
        <w:rPr>
          <w:rStyle w:val="FootnoteReference"/>
          <w:rFonts w:asciiTheme="majorHAnsi" w:hAnsiTheme="majorHAnsi"/>
          <w:sz w:val="20"/>
          <w:szCs w:val="20"/>
          <w:lang w:val="es-ES_tradnl"/>
        </w:rPr>
        <w:footnoteReference w:id="44"/>
      </w:r>
      <w:r>
        <w:rPr>
          <w:rFonts w:asciiTheme="majorHAnsi" w:hAnsiTheme="majorHAnsi"/>
          <w:sz w:val="20"/>
          <w:szCs w:val="20"/>
          <w:lang w:val="es-ES_tradnl"/>
        </w:rPr>
        <w:t xml:space="preserve">, </w:t>
      </w:r>
      <w:r w:rsidR="0016411B">
        <w:rPr>
          <w:rFonts w:asciiTheme="majorHAnsi" w:hAnsiTheme="majorHAnsi"/>
          <w:sz w:val="20"/>
          <w:szCs w:val="20"/>
          <w:lang w:val="es-ES_tradnl"/>
        </w:rPr>
        <w:t>el 3 de marzo de 2012 se tomaron los testimonios a los testigos. La Comisión toma nota de que el doctor Vargas</w:t>
      </w:r>
      <w:r w:rsidR="0016411B">
        <w:rPr>
          <w:rStyle w:val="FootnoteReference"/>
          <w:rFonts w:asciiTheme="majorHAnsi" w:hAnsiTheme="majorHAnsi"/>
          <w:sz w:val="20"/>
          <w:szCs w:val="20"/>
          <w:lang w:val="es-ES_tradnl"/>
        </w:rPr>
        <w:footnoteReference w:id="45"/>
      </w:r>
      <w:r w:rsidR="0016411B">
        <w:rPr>
          <w:rFonts w:asciiTheme="majorHAnsi" w:hAnsiTheme="majorHAnsi"/>
          <w:sz w:val="20"/>
          <w:szCs w:val="20"/>
          <w:lang w:val="es-ES_tradnl"/>
        </w:rPr>
        <w:t>, quien habría suscrito el peritaje del cu</w:t>
      </w:r>
      <w:r w:rsidR="00FC338B">
        <w:rPr>
          <w:rFonts w:asciiTheme="majorHAnsi" w:hAnsiTheme="majorHAnsi"/>
          <w:sz w:val="20"/>
          <w:szCs w:val="20"/>
          <w:lang w:val="es-ES_tradnl"/>
        </w:rPr>
        <w:t>a</w:t>
      </w:r>
      <w:r w:rsidR="0016411B">
        <w:rPr>
          <w:rFonts w:asciiTheme="majorHAnsi" w:hAnsiTheme="majorHAnsi"/>
          <w:sz w:val="20"/>
          <w:szCs w:val="20"/>
          <w:lang w:val="es-ES_tradnl"/>
        </w:rPr>
        <w:t>l se dedujo la cronicidad de la condición de la niña Martina, negó tal deducción e indicó que el tratamiento recomendando es el RHD y no la internación hospitalaria. En el mismo sentido, consta la declaración del doctor Darrigrande</w:t>
      </w:r>
      <w:r w:rsidR="0016411B">
        <w:rPr>
          <w:rStyle w:val="FootnoteReference"/>
          <w:rFonts w:asciiTheme="majorHAnsi" w:hAnsiTheme="majorHAnsi"/>
          <w:sz w:val="20"/>
          <w:szCs w:val="20"/>
          <w:lang w:val="es-ES_tradnl"/>
        </w:rPr>
        <w:footnoteReference w:id="46"/>
      </w:r>
      <w:r w:rsidR="0016411B">
        <w:rPr>
          <w:rFonts w:asciiTheme="majorHAnsi" w:hAnsiTheme="majorHAnsi"/>
          <w:sz w:val="20"/>
          <w:szCs w:val="20"/>
          <w:lang w:val="es-ES_tradnl"/>
        </w:rPr>
        <w:t>, médico tratante, y del kinesiólogo Berríos</w:t>
      </w:r>
      <w:r w:rsidR="0016411B">
        <w:rPr>
          <w:rStyle w:val="FootnoteReference"/>
          <w:rFonts w:asciiTheme="majorHAnsi" w:hAnsiTheme="majorHAnsi"/>
          <w:sz w:val="20"/>
          <w:szCs w:val="20"/>
          <w:lang w:val="es-ES_tradnl"/>
        </w:rPr>
        <w:footnoteReference w:id="47"/>
      </w:r>
      <w:r w:rsidR="0016411B">
        <w:rPr>
          <w:rFonts w:asciiTheme="majorHAnsi" w:hAnsiTheme="majorHAnsi"/>
          <w:sz w:val="20"/>
          <w:szCs w:val="20"/>
          <w:lang w:val="es-ES_tradnl"/>
        </w:rPr>
        <w:t xml:space="preserve">. </w:t>
      </w:r>
    </w:p>
    <w:p w:rsidR="00FD3387" w:rsidRDefault="00FD3387" w:rsidP="00FD33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FD3387" w:rsidRPr="00FD3387" w:rsidRDefault="00FD33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El 3 de abril de 2012 el Instituto Nacional de Derechos Humanos de Chile se apersonó en el proceso para indicar que “debe restablecer[se] la atención médica domiciliaria, ya que la suspensión implica una afectación de derechos fundamentales, dejando en un</w:t>
      </w:r>
      <w:r w:rsidR="00FB66C7">
        <w:rPr>
          <w:rFonts w:asciiTheme="majorHAnsi" w:hAnsiTheme="majorHAnsi"/>
          <w:sz w:val="20"/>
          <w:szCs w:val="20"/>
          <w:lang w:val="es-ES_tradnl"/>
        </w:rPr>
        <w:t>a</w:t>
      </w:r>
      <w:r>
        <w:rPr>
          <w:rFonts w:asciiTheme="majorHAnsi" w:hAnsiTheme="majorHAnsi"/>
          <w:sz w:val="20"/>
          <w:szCs w:val="20"/>
          <w:lang w:val="es-ES_tradnl"/>
        </w:rPr>
        <w:t xml:space="preserve"> grave situación de vulnerabilidad a los menores (…) en especial se ven afectados los siguientes derechos: 1. derecho a la salud (…) 2. Derechos a la salud de niños y niñas”.</w:t>
      </w:r>
      <w:r>
        <w:rPr>
          <w:rStyle w:val="FootnoteReference"/>
          <w:rFonts w:asciiTheme="majorHAnsi" w:hAnsiTheme="majorHAnsi"/>
          <w:sz w:val="20"/>
          <w:szCs w:val="20"/>
          <w:lang w:val="es-ES_tradnl"/>
        </w:rPr>
        <w:footnoteReference w:id="48"/>
      </w:r>
    </w:p>
    <w:p w:rsidR="00FD3387" w:rsidRDefault="00FD3387" w:rsidP="00FD33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FD3387" w:rsidRPr="00AE6F9C" w:rsidRDefault="00EA51B5"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El 19 de abril de 2012, la Jueza Arbitra resolvió fallando a favor de la reinstalación del RHD a la niña Martina. De acuerdo con su decisión, el régimen hospitalario no era viable ni recomendable, no obstante el carácter crónico de su enfermedad, ya que dado el cuadro de salud de la paciente, su reinstitucionalización resultaba evidente y el hospital designado para la atención no estaba preparado para el internamiento de larga duración, por lo que la Isapre tendría que trasladar a la paciente a otra región, lo que terminaría generando más costos. Además indicó que el RHD era más favorable a la salud de la paciente</w:t>
      </w:r>
      <w:r>
        <w:rPr>
          <w:rStyle w:val="FootnoteReference"/>
          <w:rFonts w:asciiTheme="majorHAnsi" w:hAnsiTheme="majorHAnsi"/>
          <w:sz w:val="20"/>
          <w:szCs w:val="20"/>
          <w:lang w:val="es-ES_tradnl"/>
        </w:rPr>
        <w:footnoteReference w:id="49"/>
      </w:r>
      <w:r>
        <w:rPr>
          <w:rFonts w:asciiTheme="majorHAnsi" w:hAnsiTheme="majorHAnsi"/>
          <w:sz w:val="20"/>
          <w:szCs w:val="20"/>
          <w:lang w:val="es-ES_tradnl"/>
        </w:rPr>
        <w:t xml:space="preserve">. </w:t>
      </w:r>
    </w:p>
    <w:p w:rsidR="00AE6F9C" w:rsidRDefault="00AE6F9C" w:rsidP="00AE6F9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rsidR="004178F5" w:rsidRPr="00FF2D4F" w:rsidRDefault="001D7432"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La Isapre interpuso un recurso de reposición</w:t>
      </w:r>
      <w:r>
        <w:rPr>
          <w:rStyle w:val="FootnoteReference"/>
          <w:rFonts w:asciiTheme="majorHAnsi" w:hAnsiTheme="majorHAnsi"/>
          <w:sz w:val="20"/>
          <w:szCs w:val="20"/>
          <w:lang w:val="es-ES_tradnl"/>
        </w:rPr>
        <w:footnoteReference w:id="50"/>
      </w:r>
      <w:r>
        <w:rPr>
          <w:rFonts w:asciiTheme="majorHAnsi" w:hAnsiTheme="majorHAnsi"/>
          <w:sz w:val="20"/>
          <w:szCs w:val="20"/>
          <w:lang w:val="es-ES_tradnl"/>
        </w:rPr>
        <w:t xml:space="preserve"> y la parte peticionaria contestó dicho recurso</w:t>
      </w:r>
      <w:r>
        <w:rPr>
          <w:rStyle w:val="FootnoteReference"/>
          <w:rFonts w:asciiTheme="majorHAnsi" w:hAnsiTheme="majorHAnsi"/>
          <w:sz w:val="20"/>
          <w:szCs w:val="20"/>
          <w:lang w:val="es-ES_tradnl"/>
        </w:rPr>
        <w:footnoteReference w:id="51"/>
      </w:r>
      <w:r w:rsidR="003E3ABC">
        <w:rPr>
          <w:rFonts w:asciiTheme="majorHAnsi" w:hAnsiTheme="majorHAnsi"/>
          <w:sz w:val="20"/>
          <w:szCs w:val="20"/>
          <w:lang w:val="es-ES_tradnl"/>
        </w:rPr>
        <w:t>. L</w:t>
      </w:r>
      <w:r>
        <w:rPr>
          <w:rFonts w:asciiTheme="majorHAnsi" w:hAnsiTheme="majorHAnsi"/>
          <w:sz w:val="20"/>
          <w:szCs w:val="20"/>
          <w:lang w:val="es-ES_tradnl"/>
        </w:rPr>
        <w:t>a Jueza Arbitra confirmó su sentencia el 1</w:t>
      </w:r>
      <w:r w:rsidR="00C33D0E">
        <w:rPr>
          <w:rFonts w:asciiTheme="majorHAnsi" w:hAnsiTheme="majorHAnsi"/>
          <w:sz w:val="20"/>
          <w:szCs w:val="20"/>
          <w:lang w:val="es-ES_tradnl"/>
        </w:rPr>
        <w:t>2 de junio de 2012</w:t>
      </w:r>
      <w:r w:rsidR="00C33D0E">
        <w:rPr>
          <w:rStyle w:val="FootnoteReference"/>
          <w:rFonts w:asciiTheme="majorHAnsi" w:hAnsiTheme="majorHAnsi"/>
          <w:sz w:val="20"/>
          <w:szCs w:val="20"/>
          <w:lang w:val="es-ES_tradnl"/>
        </w:rPr>
        <w:footnoteReference w:id="52"/>
      </w:r>
      <w:r w:rsidR="00C33D0E">
        <w:rPr>
          <w:rFonts w:asciiTheme="majorHAnsi" w:hAnsiTheme="majorHAnsi"/>
          <w:sz w:val="20"/>
          <w:szCs w:val="20"/>
          <w:lang w:val="es-ES_tradnl"/>
        </w:rPr>
        <w:t>, resaltando que según su criterio “la restricción que establecen las condiciones de la CAEC en orden a excluir d</w:t>
      </w:r>
      <w:r w:rsidR="00397959">
        <w:rPr>
          <w:rFonts w:asciiTheme="majorHAnsi" w:hAnsiTheme="majorHAnsi"/>
          <w:sz w:val="20"/>
          <w:szCs w:val="20"/>
          <w:lang w:val="es-ES_tradnl"/>
        </w:rPr>
        <w:t>e</w:t>
      </w:r>
      <w:r w:rsidR="00C33D0E">
        <w:rPr>
          <w:rFonts w:asciiTheme="majorHAnsi" w:hAnsiTheme="majorHAnsi"/>
          <w:sz w:val="20"/>
          <w:szCs w:val="20"/>
          <w:lang w:val="es-ES_tradnl"/>
        </w:rPr>
        <w:t xml:space="preserve"> dicho beneficio a la </w:t>
      </w:r>
      <w:r w:rsidR="00C33D0E" w:rsidRPr="007C174C">
        <w:rPr>
          <w:rFonts w:asciiTheme="majorHAnsi" w:hAnsiTheme="majorHAnsi"/>
          <w:sz w:val="20"/>
          <w:szCs w:val="20"/>
          <w:lang w:val="es-ES_tradnl"/>
        </w:rPr>
        <w:t xml:space="preserve">hospitalización domiciliaria, otorgándole a esta solo la cobertura del plan de salud, se hace insostenible para </w:t>
      </w:r>
      <w:r w:rsidR="00612D6C" w:rsidRPr="007C174C">
        <w:rPr>
          <w:rFonts w:asciiTheme="majorHAnsi" w:hAnsiTheme="majorHAnsi"/>
          <w:sz w:val="20"/>
          <w:szCs w:val="20"/>
          <w:lang w:val="es-ES_tradnl"/>
        </w:rPr>
        <w:t>e</w:t>
      </w:r>
      <w:r w:rsidR="00C33D0E" w:rsidRPr="007C174C">
        <w:rPr>
          <w:rFonts w:asciiTheme="majorHAnsi" w:hAnsiTheme="majorHAnsi"/>
          <w:sz w:val="20"/>
          <w:szCs w:val="20"/>
          <w:lang w:val="es-ES_tradnl"/>
        </w:rPr>
        <w:t>l afiliado la mantención</w:t>
      </w:r>
      <w:r w:rsidR="00C33D0E">
        <w:rPr>
          <w:rFonts w:asciiTheme="majorHAnsi" w:hAnsiTheme="majorHAnsi"/>
          <w:sz w:val="20"/>
          <w:szCs w:val="20"/>
          <w:lang w:val="es-ES_tradnl"/>
        </w:rPr>
        <w:t xml:space="preserve"> de dicha alternativa de tratamiento en el tiempo, obligándolo a acudir a la hospitalización tradicional, que resulta más onerosa para ambas partes”</w:t>
      </w:r>
      <w:r w:rsidR="00C33D0E">
        <w:rPr>
          <w:rStyle w:val="FootnoteReference"/>
          <w:rFonts w:asciiTheme="majorHAnsi" w:hAnsiTheme="majorHAnsi"/>
          <w:sz w:val="20"/>
          <w:szCs w:val="20"/>
          <w:lang w:val="es-ES_tradnl"/>
        </w:rPr>
        <w:footnoteReference w:id="53"/>
      </w:r>
      <w:r w:rsidR="00C33D0E">
        <w:rPr>
          <w:rFonts w:asciiTheme="majorHAnsi" w:hAnsiTheme="majorHAnsi"/>
          <w:sz w:val="20"/>
          <w:szCs w:val="20"/>
          <w:lang w:val="es-ES_tradnl"/>
        </w:rPr>
        <w:t xml:space="preserve">. La Isapre dedujo recurso </w:t>
      </w:r>
      <w:r w:rsidR="00612D6C">
        <w:rPr>
          <w:rFonts w:asciiTheme="majorHAnsi" w:hAnsiTheme="majorHAnsi"/>
          <w:sz w:val="20"/>
          <w:szCs w:val="20"/>
          <w:lang w:val="es-ES_tradnl"/>
        </w:rPr>
        <w:t xml:space="preserve">de </w:t>
      </w:r>
      <w:r w:rsidR="00C33D0E">
        <w:rPr>
          <w:rFonts w:asciiTheme="majorHAnsi" w:hAnsiTheme="majorHAnsi"/>
          <w:sz w:val="20"/>
          <w:szCs w:val="20"/>
          <w:lang w:val="es-ES_tradnl"/>
        </w:rPr>
        <w:t>apelación</w:t>
      </w:r>
      <w:r w:rsidR="001D2E04">
        <w:rPr>
          <w:rStyle w:val="FootnoteReference"/>
          <w:rFonts w:asciiTheme="majorHAnsi" w:hAnsiTheme="majorHAnsi"/>
          <w:sz w:val="20"/>
          <w:szCs w:val="20"/>
          <w:lang w:val="es-ES_tradnl"/>
        </w:rPr>
        <w:footnoteReference w:id="54"/>
      </w:r>
      <w:r w:rsidR="001C70B7">
        <w:rPr>
          <w:rFonts w:asciiTheme="majorHAnsi" w:hAnsiTheme="majorHAnsi"/>
          <w:sz w:val="20"/>
          <w:szCs w:val="20"/>
          <w:lang w:val="es-ES_tradnl"/>
        </w:rPr>
        <w:t xml:space="preserve"> y el</w:t>
      </w:r>
      <w:r w:rsidR="001D2E04">
        <w:rPr>
          <w:rFonts w:asciiTheme="majorHAnsi" w:hAnsiTheme="majorHAnsi"/>
          <w:sz w:val="20"/>
          <w:szCs w:val="20"/>
          <w:lang w:val="es-ES_tradnl"/>
        </w:rPr>
        <w:t xml:space="preserve"> 27 de agosto de 2012, el Juez Arbitro, Superintendente de Salud, resolvió a favor de la niña Martina. </w:t>
      </w:r>
      <w:r w:rsidR="006E6A19">
        <w:rPr>
          <w:rFonts w:asciiTheme="majorHAnsi" w:hAnsiTheme="majorHAnsi"/>
          <w:sz w:val="20"/>
          <w:szCs w:val="20"/>
          <w:lang w:val="es-ES_tradnl"/>
        </w:rPr>
        <w:t xml:space="preserve">El Juez Arbitro consideró que puede “fundar su fallo en principios de prudencia y equidad, para dar a cada parte lo que merece, pudiendo apartarse de las normas vigentes, con el fin de lograr una solución justa” y “que no está en discusión el carácter crónico o no de la patología que afecta a </w:t>
      </w:r>
      <w:r w:rsidR="000D1948">
        <w:rPr>
          <w:rFonts w:asciiTheme="majorHAnsi" w:hAnsiTheme="majorHAnsi"/>
          <w:sz w:val="20"/>
          <w:szCs w:val="20"/>
          <w:lang w:val="es-ES_tradnl"/>
        </w:rPr>
        <w:t xml:space="preserve">[la niña Martina], cuestión que el Tribunal reconoce </w:t>
      </w:r>
      <w:r w:rsidR="00FF2D4F">
        <w:rPr>
          <w:rFonts w:asciiTheme="majorHAnsi" w:hAnsiTheme="majorHAnsi"/>
          <w:sz w:val="20"/>
          <w:szCs w:val="20"/>
          <w:lang w:val="es-ES_tradnl"/>
        </w:rPr>
        <w:t>expresamente</w:t>
      </w:r>
      <w:r w:rsidR="000D1948">
        <w:rPr>
          <w:rFonts w:asciiTheme="majorHAnsi" w:hAnsiTheme="majorHAnsi"/>
          <w:sz w:val="20"/>
          <w:szCs w:val="20"/>
          <w:lang w:val="es-ES_tradnl"/>
        </w:rPr>
        <w:t xml:space="preserve"> y, por lo tanto, si bien en principio, de acuerdo a las normas que regulan la hospitalización domiciliaria en el marco de la CAEC, dicha patología quedaría excluida </w:t>
      </w:r>
      <w:r w:rsidR="00FF2D4F">
        <w:rPr>
          <w:rFonts w:asciiTheme="majorHAnsi" w:hAnsiTheme="majorHAnsi"/>
          <w:sz w:val="20"/>
          <w:szCs w:val="20"/>
          <w:lang w:val="es-ES_tradnl"/>
        </w:rPr>
        <w:t>por</w:t>
      </w:r>
      <w:r w:rsidR="000D1948">
        <w:rPr>
          <w:rFonts w:asciiTheme="majorHAnsi" w:hAnsiTheme="majorHAnsi"/>
          <w:sz w:val="20"/>
          <w:szCs w:val="20"/>
          <w:lang w:val="es-ES_tradnl"/>
        </w:rPr>
        <w:t xml:space="preserve"> dicho carácter, en el presente caso se han tomado en consideración las especialísimas circunstancias</w:t>
      </w:r>
      <w:r w:rsidR="00FA782B">
        <w:rPr>
          <w:rFonts w:asciiTheme="majorHAnsi" w:hAnsiTheme="majorHAnsi"/>
          <w:sz w:val="20"/>
          <w:szCs w:val="20"/>
          <w:lang w:val="es-ES_tradnl"/>
        </w:rPr>
        <w:t>”</w:t>
      </w:r>
      <w:r w:rsidR="000D1948">
        <w:rPr>
          <w:rFonts w:asciiTheme="majorHAnsi" w:hAnsiTheme="majorHAnsi"/>
          <w:sz w:val="20"/>
          <w:szCs w:val="20"/>
          <w:lang w:val="es-ES_tradnl"/>
        </w:rPr>
        <w:t xml:space="preserve"> para resolver que la Isapre Masvi</w:t>
      </w:r>
      <w:r w:rsidR="00FF2D4F">
        <w:rPr>
          <w:rFonts w:asciiTheme="majorHAnsi" w:hAnsiTheme="majorHAnsi"/>
          <w:sz w:val="20"/>
          <w:szCs w:val="20"/>
          <w:lang w:val="es-ES_tradnl"/>
        </w:rPr>
        <w:t>d</w:t>
      </w:r>
      <w:r w:rsidR="000D1948">
        <w:rPr>
          <w:rFonts w:asciiTheme="majorHAnsi" w:hAnsiTheme="majorHAnsi"/>
          <w:sz w:val="20"/>
          <w:szCs w:val="20"/>
          <w:lang w:val="es-ES_tradnl"/>
        </w:rPr>
        <w:t>a S.A. deba continuar otorgando dicho benefici</w:t>
      </w:r>
      <w:r w:rsidR="00FA782B">
        <w:rPr>
          <w:rFonts w:asciiTheme="majorHAnsi" w:hAnsiTheme="majorHAnsi"/>
          <w:sz w:val="20"/>
          <w:szCs w:val="20"/>
          <w:lang w:val="es-ES_tradnl"/>
        </w:rPr>
        <w:t>o</w:t>
      </w:r>
      <w:r w:rsidR="000D1948">
        <w:rPr>
          <w:rStyle w:val="FootnoteReference"/>
          <w:rFonts w:asciiTheme="majorHAnsi" w:hAnsiTheme="majorHAnsi"/>
          <w:sz w:val="20"/>
          <w:szCs w:val="20"/>
          <w:lang w:val="es-ES_tradnl"/>
        </w:rPr>
        <w:footnoteReference w:id="55"/>
      </w:r>
      <w:r w:rsidR="000D1948">
        <w:rPr>
          <w:rFonts w:asciiTheme="majorHAnsi" w:hAnsiTheme="majorHAnsi"/>
          <w:sz w:val="20"/>
          <w:szCs w:val="20"/>
          <w:lang w:val="es-ES_tradnl"/>
        </w:rPr>
        <w:t xml:space="preserve">. </w:t>
      </w:r>
      <w:r w:rsidR="006E6A19">
        <w:rPr>
          <w:rFonts w:asciiTheme="majorHAnsi" w:hAnsiTheme="majorHAnsi"/>
          <w:sz w:val="20"/>
          <w:szCs w:val="20"/>
          <w:lang w:val="es-ES_tradnl"/>
        </w:rPr>
        <w:t xml:space="preserve">  </w:t>
      </w:r>
    </w:p>
    <w:p w:rsidR="00001DF3" w:rsidRPr="00763DF5" w:rsidRDefault="00001DF3" w:rsidP="00001DF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rsidR="00E82AE4" w:rsidRDefault="00E82AE4" w:rsidP="00C87FF4">
      <w:pPr>
        <w:pStyle w:val="Heading3"/>
        <w:rPr>
          <w:lang w:val="es-ES_tradnl"/>
        </w:rPr>
      </w:pPr>
      <w:bookmarkStart w:id="13" w:name="_Toc531880123"/>
      <w:r>
        <w:rPr>
          <w:lang w:val="es-ES_tradnl"/>
        </w:rPr>
        <w:t>La situación posterior a la reinstalación del régimen de hospitalización domiciliaria</w:t>
      </w:r>
      <w:bookmarkEnd w:id="13"/>
      <w:r>
        <w:rPr>
          <w:lang w:val="es-ES_tradnl"/>
        </w:rPr>
        <w:t xml:space="preserve"> </w:t>
      </w:r>
    </w:p>
    <w:p w:rsidR="004A2A9F" w:rsidRPr="004A2A9F" w:rsidRDefault="004A2A9F" w:rsidP="004A2A9F">
      <w:pPr>
        <w:ind w:left="720"/>
        <w:rPr>
          <w:rFonts w:asciiTheme="majorHAnsi" w:hAnsiTheme="majorHAnsi"/>
          <w:b/>
          <w:sz w:val="20"/>
          <w:szCs w:val="20"/>
          <w:lang w:val="es-ES_tradnl"/>
        </w:rPr>
      </w:pPr>
    </w:p>
    <w:p w:rsidR="000632F8" w:rsidRPr="004A2A9F" w:rsidRDefault="00FF2D4F"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Pr>
          <w:rFonts w:asciiTheme="majorHAnsi" w:hAnsiTheme="majorHAnsi"/>
          <w:sz w:val="20"/>
          <w:szCs w:val="20"/>
          <w:lang w:val="es-ES_tradnl"/>
        </w:rPr>
        <w:t>La parte peticionaria ha remitido a la Comisión varias comunicaciones señalando que después de la reinstalación del RHD, la nueva prestadora de salud no mantiene la misma calidad de atención que la niña Martina recib</w:t>
      </w:r>
      <w:r w:rsidR="00634378">
        <w:rPr>
          <w:rFonts w:asciiTheme="majorHAnsi" w:hAnsiTheme="majorHAnsi"/>
          <w:sz w:val="20"/>
          <w:szCs w:val="20"/>
          <w:lang w:val="es-ES_tradnl"/>
        </w:rPr>
        <w:t>ía antes</w:t>
      </w:r>
      <w:r w:rsidR="00CC270E">
        <w:rPr>
          <w:rStyle w:val="FootnoteReference"/>
          <w:rFonts w:asciiTheme="majorHAnsi" w:hAnsiTheme="majorHAnsi"/>
          <w:sz w:val="20"/>
          <w:szCs w:val="20"/>
          <w:lang w:val="es-ES_tradnl"/>
        </w:rPr>
        <w:footnoteReference w:id="56"/>
      </w:r>
      <w:r w:rsidR="00634378">
        <w:rPr>
          <w:rFonts w:asciiTheme="majorHAnsi" w:hAnsiTheme="majorHAnsi"/>
          <w:sz w:val="20"/>
          <w:szCs w:val="20"/>
          <w:lang w:val="es-ES_tradnl"/>
        </w:rPr>
        <w:t xml:space="preserve"> y que</w:t>
      </w:r>
      <w:r w:rsidR="0025612A">
        <w:rPr>
          <w:rFonts w:asciiTheme="majorHAnsi" w:hAnsiTheme="majorHAnsi"/>
          <w:sz w:val="20"/>
          <w:szCs w:val="20"/>
          <w:lang w:val="es-ES_tradnl"/>
        </w:rPr>
        <w:t xml:space="preserve"> la familia tiene que comunicarse con la Isapr</w:t>
      </w:r>
      <w:r w:rsidR="00ED256F">
        <w:rPr>
          <w:rFonts w:asciiTheme="majorHAnsi" w:hAnsiTheme="majorHAnsi"/>
          <w:sz w:val="20"/>
          <w:szCs w:val="20"/>
          <w:lang w:val="es-ES_tradnl"/>
        </w:rPr>
        <w:t xml:space="preserve">e </w:t>
      </w:r>
      <w:r w:rsidR="004A2A9F">
        <w:rPr>
          <w:rFonts w:asciiTheme="majorHAnsi" w:hAnsiTheme="majorHAnsi"/>
          <w:sz w:val="20"/>
          <w:szCs w:val="20"/>
          <w:lang w:val="es-ES_tradnl"/>
        </w:rPr>
        <w:t>o la Superintendencia</w:t>
      </w:r>
      <w:r w:rsidR="004A2A9F">
        <w:rPr>
          <w:rStyle w:val="FootnoteReference"/>
          <w:rFonts w:asciiTheme="majorHAnsi" w:hAnsiTheme="majorHAnsi"/>
          <w:sz w:val="20"/>
          <w:szCs w:val="20"/>
          <w:lang w:val="es-ES_tradnl"/>
        </w:rPr>
        <w:footnoteReference w:id="57"/>
      </w:r>
      <w:r w:rsidR="004A2A9F">
        <w:rPr>
          <w:rFonts w:asciiTheme="majorHAnsi" w:hAnsiTheme="majorHAnsi"/>
          <w:sz w:val="20"/>
          <w:szCs w:val="20"/>
          <w:lang w:val="es-ES_tradnl"/>
        </w:rPr>
        <w:t xml:space="preserve"> </w:t>
      </w:r>
      <w:r w:rsidR="00ED256F">
        <w:rPr>
          <w:rFonts w:asciiTheme="majorHAnsi" w:hAnsiTheme="majorHAnsi"/>
          <w:sz w:val="20"/>
          <w:szCs w:val="20"/>
          <w:lang w:val="es-ES_tradnl"/>
        </w:rPr>
        <w:t xml:space="preserve">por cambios o terminaciones de componentes del RHD que temen que podría llevar a un nuevo intento de levantamiento del </w:t>
      </w:r>
      <w:r w:rsidR="00397959">
        <w:rPr>
          <w:rFonts w:asciiTheme="majorHAnsi" w:hAnsiTheme="majorHAnsi"/>
          <w:sz w:val="20"/>
          <w:szCs w:val="20"/>
          <w:lang w:val="es-ES_tradnl"/>
        </w:rPr>
        <w:t>mencionado régimen. Así, comunicó</w:t>
      </w:r>
      <w:r w:rsidR="00ED256F">
        <w:rPr>
          <w:rFonts w:asciiTheme="majorHAnsi" w:hAnsiTheme="majorHAnsi"/>
          <w:sz w:val="20"/>
          <w:szCs w:val="20"/>
          <w:lang w:val="es-ES_tradnl"/>
        </w:rPr>
        <w:t xml:space="preserve"> a la CIDH que el 5 de abril de 2016 </w:t>
      </w:r>
      <w:r w:rsidR="000632F8">
        <w:rPr>
          <w:rFonts w:asciiTheme="majorHAnsi" w:hAnsiTheme="majorHAnsi"/>
          <w:sz w:val="20"/>
          <w:szCs w:val="20"/>
          <w:lang w:val="es-ES_tradnl"/>
        </w:rPr>
        <w:t>informó a la</w:t>
      </w:r>
      <w:r w:rsidR="00ED256F">
        <w:rPr>
          <w:rFonts w:asciiTheme="majorHAnsi" w:hAnsiTheme="majorHAnsi"/>
          <w:sz w:val="20"/>
          <w:szCs w:val="20"/>
          <w:lang w:val="es-ES_tradnl"/>
        </w:rPr>
        <w:t xml:space="preserve"> </w:t>
      </w:r>
      <w:r w:rsidR="000632F8">
        <w:rPr>
          <w:rFonts w:asciiTheme="majorHAnsi" w:hAnsiTheme="majorHAnsi"/>
          <w:sz w:val="20"/>
          <w:szCs w:val="20"/>
          <w:lang w:val="es-ES_tradnl"/>
        </w:rPr>
        <w:t>Superintendencia</w:t>
      </w:r>
      <w:r w:rsidR="000632F8">
        <w:rPr>
          <w:rStyle w:val="FootnoteReference"/>
          <w:rFonts w:asciiTheme="majorHAnsi" w:hAnsiTheme="majorHAnsi"/>
          <w:sz w:val="20"/>
          <w:szCs w:val="20"/>
          <w:lang w:val="es-ES_tradnl"/>
        </w:rPr>
        <w:footnoteReference w:id="58"/>
      </w:r>
      <w:r w:rsidR="00ED256F">
        <w:rPr>
          <w:rFonts w:asciiTheme="majorHAnsi" w:hAnsiTheme="majorHAnsi"/>
          <w:sz w:val="20"/>
          <w:szCs w:val="20"/>
          <w:lang w:val="es-ES_tradnl"/>
        </w:rPr>
        <w:t xml:space="preserve"> </w:t>
      </w:r>
      <w:r w:rsidR="000632F8">
        <w:rPr>
          <w:rFonts w:asciiTheme="majorHAnsi" w:hAnsiTheme="majorHAnsi"/>
          <w:sz w:val="20"/>
          <w:szCs w:val="20"/>
          <w:lang w:val="es-ES_tradnl"/>
        </w:rPr>
        <w:t xml:space="preserve">su preocupación sobre </w:t>
      </w:r>
      <w:r w:rsidR="00ED256F">
        <w:rPr>
          <w:rFonts w:asciiTheme="majorHAnsi" w:hAnsiTheme="majorHAnsi"/>
          <w:sz w:val="20"/>
          <w:szCs w:val="20"/>
          <w:lang w:val="es-ES_tradnl"/>
        </w:rPr>
        <w:t xml:space="preserve">una comunicación intimidante en el que se informaba sobre una cita con una fisioterapista, indicando que “la Isapre está facultada para evaluar periódicamente el </w:t>
      </w:r>
      <w:r w:rsidR="000632F8">
        <w:rPr>
          <w:rFonts w:asciiTheme="majorHAnsi" w:hAnsiTheme="majorHAnsi"/>
          <w:sz w:val="20"/>
          <w:szCs w:val="20"/>
          <w:lang w:val="es-ES_tradnl"/>
        </w:rPr>
        <w:t>cumplimiento</w:t>
      </w:r>
      <w:r w:rsidR="00ED256F">
        <w:rPr>
          <w:rFonts w:asciiTheme="majorHAnsi" w:hAnsiTheme="majorHAnsi"/>
          <w:sz w:val="20"/>
          <w:szCs w:val="20"/>
          <w:lang w:val="es-ES_tradnl"/>
        </w:rPr>
        <w:t xml:space="preserve"> de las condiciones que ameritan la hospitalización domiciliaria”</w:t>
      </w:r>
      <w:r w:rsidR="00ED256F">
        <w:rPr>
          <w:rStyle w:val="FootnoteReference"/>
          <w:rFonts w:asciiTheme="majorHAnsi" w:hAnsiTheme="majorHAnsi"/>
          <w:sz w:val="20"/>
          <w:szCs w:val="20"/>
          <w:lang w:val="es-ES_tradnl"/>
        </w:rPr>
        <w:footnoteReference w:id="59"/>
      </w:r>
      <w:r w:rsidR="000632F8">
        <w:rPr>
          <w:rFonts w:asciiTheme="majorHAnsi" w:hAnsiTheme="majorHAnsi"/>
          <w:sz w:val="20"/>
          <w:szCs w:val="20"/>
          <w:lang w:val="es-ES_tradnl"/>
        </w:rPr>
        <w:t>.</w:t>
      </w:r>
    </w:p>
    <w:p w:rsidR="000632F8" w:rsidRPr="00E82AE4" w:rsidRDefault="000632F8" w:rsidP="00C505E4">
      <w:pPr>
        <w:pStyle w:val="Heading1"/>
        <w:numPr>
          <w:ilvl w:val="0"/>
          <w:numId w:val="0"/>
        </w:numPr>
        <w:ind w:left="720"/>
        <w:rPr>
          <w:lang w:val="es-ES_tradnl"/>
        </w:rPr>
      </w:pPr>
    </w:p>
    <w:p w:rsidR="00D12193" w:rsidRPr="00F90BC6" w:rsidRDefault="001869D4" w:rsidP="00C505E4">
      <w:pPr>
        <w:pStyle w:val="Heading1"/>
        <w:rPr>
          <w:lang w:val="es-ES_tradnl"/>
        </w:rPr>
      </w:pPr>
      <w:bookmarkStart w:id="14" w:name="_Toc531880124"/>
      <w:r w:rsidRPr="00F90BC6">
        <w:rPr>
          <w:lang w:val="es-ES_tradnl"/>
        </w:rPr>
        <w:t>ANÁLISIS DE DERECHO</w:t>
      </w:r>
      <w:bookmarkEnd w:id="14"/>
    </w:p>
    <w:p w:rsidR="007C756A" w:rsidRPr="000C57B3" w:rsidRDefault="007C756A" w:rsidP="00F902EB">
      <w:pPr>
        <w:suppressAutoHyphens/>
        <w:rPr>
          <w:rFonts w:asciiTheme="majorHAnsi" w:hAnsiTheme="majorHAnsi"/>
          <w:b/>
          <w:sz w:val="20"/>
          <w:szCs w:val="20"/>
          <w:lang w:val="es-ES_tradnl"/>
        </w:rPr>
      </w:pPr>
    </w:p>
    <w:p w:rsidR="003A1175" w:rsidRPr="000C57B3" w:rsidRDefault="001869D4" w:rsidP="00C87FF4">
      <w:pPr>
        <w:pStyle w:val="Heading2"/>
        <w:rPr>
          <w:lang w:val="es-ES"/>
        </w:rPr>
      </w:pPr>
      <w:bookmarkStart w:id="15" w:name="_Toc485650798"/>
      <w:bookmarkStart w:id="16" w:name="_Toc531880125"/>
      <w:r w:rsidRPr="000C57B3">
        <w:rPr>
          <w:lang w:val="es-ES"/>
        </w:rPr>
        <w:t>Derecho</w:t>
      </w:r>
      <w:r w:rsidR="00B665D2">
        <w:rPr>
          <w:lang w:val="es-ES"/>
        </w:rPr>
        <w:t>s</w:t>
      </w:r>
      <w:r w:rsidRPr="000C57B3">
        <w:rPr>
          <w:lang w:val="es-ES"/>
        </w:rPr>
        <w:t xml:space="preserve"> a </w:t>
      </w:r>
      <w:r w:rsidR="000B7002" w:rsidRPr="000C57B3">
        <w:rPr>
          <w:lang w:val="es-ES"/>
        </w:rPr>
        <w:t xml:space="preserve">la </w:t>
      </w:r>
      <w:r w:rsidR="003A1175" w:rsidRPr="000C57B3">
        <w:rPr>
          <w:lang w:val="es-ES"/>
        </w:rPr>
        <w:t>salud</w:t>
      </w:r>
      <w:r w:rsidR="00B665D2">
        <w:rPr>
          <w:lang w:val="es-ES"/>
        </w:rPr>
        <w:t xml:space="preserve"> y </w:t>
      </w:r>
      <w:r w:rsidR="00B33D08">
        <w:rPr>
          <w:lang w:val="es-ES"/>
        </w:rPr>
        <w:t xml:space="preserve">a la </w:t>
      </w:r>
      <w:r w:rsidR="00B665D2">
        <w:rPr>
          <w:lang w:val="es-ES"/>
        </w:rPr>
        <w:t>seguridad social</w:t>
      </w:r>
      <w:r w:rsidR="00B53FCD" w:rsidRPr="000C57B3">
        <w:rPr>
          <w:rStyle w:val="FootnoteReference"/>
          <w:b w:val="0"/>
          <w:szCs w:val="20"/>
          <w:lang w:val="es-ES"/>
        </w:rPr>
        <w:footnoteReference w:id="60"/>
      </w:r>
      <w:r w:rsidR="00B53FCD" w:rsidRPr="000C57B3">
        <w:rPr>
          <w:lang w:val="es-ES"/>
        </w:rPr>
        <w:t xml:space="preserve"> (artículo 26),</w:t>
      </w:r>
      <w:r w:rsidR="003A1175" w:rsidRPr="000C57B3">
        <w:rPr>
          <w:lang w:val="es-ES"/>
        </w:rPr>
        <w:t xml:space="preserve"> </w:t>
      </w:r>
      <w:r w:rsidR="000C57B3">
        <w:rPr>
          <w:lang w:val="es-ES"/>
        </w:rPr>
        <w:t xml:space="preserve">derecho a la </w:t>
      </w:r>
      <w:r w:rsidR="000B7002" w:rsidRPr="000C57B3">
        <w:rPr>
          <w:lang w:val="es-ES"/>
        </w:rPr>
        <w:t>vida</w:t>
      </w:r>
      <w:r w:rsidR="004D6618" w:rsidRPr="000C57B3">
        <w:rPr>
          <w:rStyle w:val="FootnoteReference"/>
          <w:b w:val="0"/>
          <w:szCs w:val="20"/>
          <w:lang w:val="es-ES"/>
        </w:rPr>
        <w:footnoteReference w:id="61"/>
      </w:r>
      <w:r w:rsidRPr="000C57B3">
        <w:rPr>
          <w:lang w:val="es-ES"/>
        </w:rPr>
        <w:t xml:space="preserve"> (</w:t>
      </w:r>
      <w:r w:rsidR="000B7002" w:rsidRPr="000C57B3">
        <w:rPr>
          <w:lang w:val="es-ES"/>
        </w:rPr>
        <w:t>artículo 4.1</w:t>
      </w:r>
      <w:r w:rsidRPr="000C57B3">
        <w:rPr>
          <w:lang w:val="es-ES"/>
        </w:rPr>
        <w:t>)</w:t>
      </w:r>
      <w:r w:rsidR="000C57B3">
        <w:rPr>
          <w:lang w:val="es-ES"/>
        </w:rPr>
        <w:t>, derecho a la</w:t>
      </w:r>
      <w:r w:rsidRPr="000C57B3">
        <w:rPr>
          <w:lang w:val="es-ES"/>
        </w:rPr>
        <w:t xml:space="preserve"> </w:t>
      </w:r>
      <w:r w:rsidR="000B7002" w:rsidRPr="000C57B3">
        <w:rPr>
          <w:lang w:val="es-ES"/>
        </w:rPr>
        <w:t>integridad</w:t>
      </w:r>
      <w:r w:rsidR="00A47F0C" w:rsidRPr="000C57B3">
        <w:rPr>
          <w:vertAlign w:val="superscript"/>
        </w:rPr>
        <w:footnoteReference w:id="62"/>
      </w:r>
      <w:r w:rsidRPr="000C57B3">
        <w:rPr>
          <w:lang w:val="es-ES"/>
        </w:rPr>
        <w:t xml:space="preserve"> </w:t>
      </w:r>
      <w:r w:rsidR="00A22225" w:rsidRPr="000C57B3">
        <w:rPr>
          <w:lang w:val="es-ES"/>
        </w:rPr>
        <w:t>(artículo 5</w:t>
      </w:r>
      <w:r w:rsidR="00B53FCD" w:rsidRPr="000C57B3">
        <w:rPr>
          <w:lang w:val="es-ES"/>
        </w:rPr>
        <w:t>.1</w:t>
      </w:r>
      <w:r w:rsidR="00A22225" w:rsidRPr="000C57B3">
        <w:rPr>
          <w:lang w:val="es-ES"/>
        </w:rPr>
        <w:t>)</w:t>
      </w:r>
      <w:bookmarkEnd w:id="15"/>
      <w:r w:rsidR="00A47F0C" w:rsidRPr="000C57B3">
        <w:rPr>
          <w:lang w:val="es-ES"/>
        </w:rPr>
        <w:t xml:space="preserve"> </w:t>
      </w:r>
      <w:r w:rsidR="000C57B3">
        <w:rPr>
          <w:lang w:val="es-ES"/>
        </w:rPr>
        <w:t xml:space="preserve">y </w:t>
      </w:r>
      <w:r w:rsidR="000C57B3" w:rsidRPr="000C57B3">
        <w:rPr>
          <w:lang w:val="es-ES"/>
        </w:rPr>
        <w:t>derechos de</w:t>
      </w:r>
      <w:r w:rsidR="00A44654">
        <w:rPr>
          <w:lang w:val="es-ES"/>
        </w:rPr>
        <w:t xml:space="preserve"> </w:t>
      </w:r>
      <w:r w:rsidR="000C57B3" w:rsidRPr="000C57B3">
        <w:rPr>
          <w:lang w:val="es-ES"/>
        </w:rPr>
        <w:t>l</w:t>
      </w:r>
      <w:r w:rsidR="00A44654">
        <w:rPr>
          <w:lang w:val="es-ES"/>
        </w:rPr>
        <w:t>a niñez</w:t>
      </w:r>
      <w:r w:rsidR="000C57B3" w:rsidRPr="000C57B3">
        <w:rPr>
          <w:vertAlign w:val="superscript"/>
        </w:rPr>
        <w:footnoteReference w:id="63"/>
      </w:r>
      <w:r w:rsidR="000C57B3" w:rsidRPr="000C57B3">
        <w:rPr>
          <w:lang w:val="es-ES"/>
        </w:rPr>
        <w:t xml:space="preserve"> (artículo 19) </w:t>
      </w:r>
      <w:r w:rsidRPr="000C57B3">
        <w:rPr>
          <w:lang w:val="es-ES"/>
        </w:rPr>
        <w:t>en relación</w:t>
      </w:r>
      <w:r w:rsidRPr="000C57B3">
        <w:rPr>
          <w:lang w:val="es-ES_tradnl"/>
        </w:rPr>
        <w:t xml:space="preserve"> </w:t>
      </w:r>
      <w:r w:rsidR="00ED7921">
        <w:rPr>
          <w:lang w:val="es-ES_tradnl"/>
        </w:rPr>
        <w:t xml:space="preserve">las obligaciones de </w:t>
      </w:r>
      <w:r w:rsidR="000F31B7">
        <w:rPr>
          <w:lang w:val="es-ES_tradnl"/>
        </w:rPr>
        <w:t xml:space="preserve">garantía y de adoptar disposiciones de derecho interno </w:t>
      </w:r>
      <w:r w:rsidR="00ED7921">
        <w:rPr>
          <w:lang w:val="es-ES_tradnl"/>
        </w:rPr>
        <w:t>de</w:t>
      </w:r>
      <w:r w:rsidR="000F31B7">
        <w:rPr>
          <w:lang w:val="es-ES_tradnl"/>
        </w:rPr>
        <w:t xml:space="preserve"> </w:t>
      </w:r>
      <w:r w:rsidR="00ED7921">
        <w:rPr>
          <w:lang w:val="es-ES_tradnl"/>
        </w:rPr>
        <w:t>l</w:t>
      </w:r>
      <w:r w:rsidR="000F31B7">
        <w:rPr>
          <w:lang w:val="es-ES_tradnl"/>
        </w:rPr>
        <w:t>os</w:t>
      </w:r>
      <w:r w:rsidR="00ED7921">
        <w:rPr>
          <w:lang w:val="es-ES_tradnl"/>
        </w:rPr>
        <w:t xml:space="preserve"> artículo</w:t>
      </w:r>
      <w:r w:rsidR="004F516B">
        <w:rPr>
          <w:lang w:val="es-ES_tradnl"/>
        </w:rPr>
        <w:t>s</w:t>
      </w:r>
      <w:r w:rsidRPr="000C57B3">
        <w:rPr>
          <w:lang w:val="es-ES_tradnl"/>
        </w:rPr>
        <w:t xml:space="preserve"> 1.1</w:t>
      </w:r>
      <w:r w:rsidR="00BA461E" w:rsidRPr="000C57B3">
        <w:rPr>
          <w:rStyle w:val="FootnoteReference"/>
          <w:b w:val="0"/>
          <w:szCs w:val="20"/>
          <w:lang w:val="es-ES"/>
        </w:rPr>
        <w:footnoteReference w:id="64"/>
      </w:r>
      <w:r w:rsidR="00ED7921">
        <w:rPr>
          <w:lang w:val="es-ES_tradnl"/>
        </w:rPr>
        <w:t xml:space="preserve"> y </w:t>
      </w:r>
      <w:r w:rsidRPr="000C57B3">
        <w:rPr>
          <w:lang w:val="es-ES_tradnl"/>
        </w:rPr>
        <w:t>2</w:t>
      </w:r>
      <w:r w:rsidR="00BA461E" w:rsidRPr="000C57B3">
        <w:rPr>
          <w:rStyle w:val="FootnoteReference"/>
          <w:b w:val="0"/>
          <w:szCs w:val="20"/>
          <w:lang w:val="es-ES"/>
        </w:rPr>
        <w:footnoteReference w:id="65"/>
      </w:r>
      <w:r w:rsidR="00ED7921">
        <w:rPr>
          <w:lang w:val="es-ES_tradnl"/>
        </w:rPr>
        <w:t xml:space="preserve"> </w:t>
      </w:r>
      <w:r w:rsidRPr="000C57B3">
        <w:rPr>
          <w:lang w:val="es-ES_tradnl"/>
        </w:rPr>
        <w:t>de la Convención Americana</w:t>
      </w:r>
      <w:bookmarkEnd w:id="16"/>
    </w:p>
    <w:p w:rsidR="00A47F0C" w:rsidRPr="00F40148" w:rsidRDefault="00A47F0C" w:rsidP="00A47F0C">
      <w:pPr>
        <w:pStyle w:val="ListParagraph"/>
        <w:ind w:left="1440"/>
        <w:jc w:val="both"/>
        <w:rPr>
          <w:b/>
          <w:color w:val="auto"/>
          <w:sz w:val="20"/>
          <w:szCs w:val="20"/>
          <w:lang w:val="es-ES"/>
        </w:rPr>
      </w:pPr>
    </w:p>
    <w:p w:rsidR="00A93518" w:rsidRPr="00C87FF4" w:rsidRDefault="001F4E48" w:rsidP="00F5400E">
      <w:pPr>
        <w:pStyle w:val="Heading3"/>
        <w:numPr>
          <w:ilvl w:val="0"/>
          <w:numId w:val="61"/>
        </w:numPr>
        <w:rPr>
          <w:lang w:val="es-ES"/>
        </w:rPr>
      </w:pPr>
      <w:bookmarkStart w:id="17" w:name="_Toc531880126"/>
      <w:r w:rsidRPr="00C87FF4">
        <w:rPr>
          <w:lang w:val="es-ES"/>
        </w:rPr>
        <w:t>Consideraciones generales sobre atribución de responsabilidad</w:t>
      </w:r>
      <w:bookmarkEnd w:id="17"/>
    </w:p>
    <w:p w:rsidR="00A93518" w:rsidRDefault="00A93518" w:rsidP="00E759F1">
      <w:pPr>
        <w:jc w:val="both"/>
        <w:rPr>
          <w:rFonts w:asciiTheme="majorHAnsi" w:hAnsiTheme="majorHAnsi"/>
          <w:b/>
          <w:sz w:val="20"/>
          <w:szCs w:val="20"/>
          <w:lang w:val="es-ES"/>
        </w:rPr>
      </w:pPr>
    </w:p>
    <w:p w:rsidR="00E76F5C" w:rsidRPr="00F5400E" w:rsidRDefault="00E76F5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bdr w:val="none" w:sz="0" w:space="0" w:color="auto"/>
          <w:lang w:val="es-US"/>
        </w:rPr>
      </w:pPr>
      <w:bookmarkStart w:id="18" w:name="_Toc531770512"/>
      <w:bookmarkStart w:id="19" w:name="_Toc531880127"/>
      <w:r w:rsidRPr="00F5400E">
        <w:rPr>
          <w:rStyle w:val="Heading1Char"/>
          <w:rFonts w:ascii="Cambria" w:eastAsia="Cambria" w:hAnsi="Cambria"/>
          <w:b w:val="0"/>
          <w:sz w:val="20"/>
          <w:szCs w:val="20"/>
          <w:lang w:val="es-US"/>
        </w:rPr>
        <w:t>A lo largo del trabajo de la Comisión y la Corte, se han definido los contenidos de las obligaciones de</w:t>
      </w:r>
      <w:bookmarkEnd w:id="18"/>
      <w:bookmarkEnd w:id="19"/>
      <w:r w:rsidRPr="00F5400E">
        <w:rPr>
          <w:rStyle w:val="Heading1Char"/>
          <w:rFonts w:ascii="Cambria" w:eastAsia="Cambria" w:hAnsi="Cambria"/>
          <w:b w:val="0"/>
          <w:sz w:val="20"/>
          <w:szCs w:val="20"/>
          <w:lang w:val="es-US"/>
        </w:rPr>
        <w:t xml:space="preserve"> </w:t>
      </w:r>
      <w:r w:rsidRPr="00F5400E">
        <w:rPr>
          <w:rFonts w:ascii="Cambria" w:hAnsi="Cambria" w:cs="Arial"/>
          <w:sz w:val="20"/>
          <w:szCs w:val="20"/>
          <w:lang w:val="es-ES"/>
        </w:rPr>
        <w:t>respeto</w:t>
      </w:r>
      <w:r w:rsidRPr="00F5400E">
        <w:rPr>
          <w:rStyle w:val="Heading1Char"/>
          <w:rFonts w:ascii="Cambria" w:eastAsia="Cambria" w:hAnsi="Cambria"/>
          <w:b w:val="0"/>
          <w:sz w:val="20"/>
          <w:szCs w:val="20"/>
          <w:lang w:val="es-US"/>
        </w:rPr>
        <w:t xml:space="preserve"> y de garantía conforme al artículo 1.1 de la Convención. Sobre la obligación de respeto, la Corte indicó que “c</w:t>
      </w:r>
      <w:r w:rsidRPr="00F5400E">
        <w:rPr>
          <w:rFonts w:ascii="Cambria" w:hAnsi="Cambria" w:cs="Verdana"/>
          <w:sz w:val="20"/>
          <w:szCs w:val="20"/>
          <w:lang w:val="es-US"/>
        </w:rPr>
        <w:t xml:space="preserve">onforme al artículo 1.1 es ilícita toda forma de ejercicio del poder público </w:t>
      </w:r>
      <w:r w:rsidRPr="00F5400E">
        <w:rPr>
          <w:rStyle w:val="Heading1Char"/>
          <w:rFonts w:ascii="Cambria" w:eastAsia="Cambria" w:hAnsi="Cambria"/>
          <w:b w:val="0"/>
          <w:sz w:val="20"/>
          <w:szCs w:val="20"/>
          <w:lang w:val="es-US"/>
        </w:rPr>
        <w:t>que</w:t>
      </w:r>
      <w:r w:rsidRPr="00F5400E">
        <w:rPr>
          <w:rFonts w:ascii="Cambria" w:hAnsi="Cambria" w:cs="Verdana"/>
          <w:sz w:val="20"/>
          <w:szCs w:val="20"/>
          <w:lang w:val="es-US"/>
        </w:rPr>
        <w:t xml:space="preserv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r w:rsidRPr="00F5400E">
        <w:rPr>
          <w:rStyle w:val="FootnoteReference"/>
          <w:rFonts w:ascii="Cambria" w:hAnsi="Cambria"/>
          <w:sz w:val="20"/>
          <w:szCs w:val="20"/>
          <w:lang w:val="es-US"/>
        </w:rPr>
        <w:footnoteReference w:id="66"/>
      </w:r>
      <w:r w:rsidRPr="00F5400E">
        <w:rPr>
          <w:rFonts w:ascii="Cambria" w:hAnsi="Cambria" w:cs="Verdana"/>
          <w:sz w:val="20"/>
          <w:szCs w:val="20"/>
          <w:lang w:val="es-US"/>
        </w:rPr>
        <w:t>.</w:t>
      </w:r>
      <w:r w:rsidRPr="00F5400E">
        <w:rPr>
          <w:rFonts w:ascii="Cambria" w:hAnsi="Cambria"/>
          <w:sz w:val="20"/>
          <w:szCs w:val="20"/>
          <w:bdr w:val="none" w:sz="0" w:space="0" w:color="auto"/>
          <w:lang w:val="es-US"/>
        </w:rPr>
        <w:t xml:space="preserve"> </w:t>
      </w:r>
      <w:r w:rsidRPr="00F5400E">
        <w:rPr>
          <w:rFonts w:ascii="Cambria" w:hAnsi="Cambria" w:cs="Verdana"/>
          <w:sz w:val="20"/>
          <w:szCs w:val="20"/>
          <w:lang w:val="es-US"/>
        </w:rPr>
        <w:t>En cuanto a la obligación de garantía,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F5400E">
        <w:rPr>
          <w:rStyle w:val="FootnoteReference"/>
          <w:rFonts w:ascii="Cambria" w:hAnsi="Cambria"/>
          <w:sz w:val="20"/>
          <w:szCs w:val="20"/>
          <w:lang w:val="es-US"/>
        </w:rPr>
        <w:footnoteReference w:id="67"/>
      </w:r>
      <w:r w:rsidRPr="00F5400E">
        <w:rPr>
          <w:rFonts w:ascii="Cambria" w:hAnsi="Cambria" w:cs="Verdana"/>
          <w:sz w:val="20"/>
          <w:szCs w:val="20"/>
          <w:lang w:val="es-US"/>
        </w:rPr>
        <w:t xml:space="preserve">. </w:t>
      </w:r>
    </w:p>
    <w:p w:rsidR="00E76F5C" w:rsidRPr="00B93244" w:rsidRDefault="00E76F5C" w:rsidP="00E76F5C">
      <w:pPr>
        <w:tabs>
          <w:tab w:val="left" w:pos="1440"/>
        </w:tabs>
        <w:ind w:left="630"/>
        <w:jc w:val="both"/>
        <w:rPr>
          <w:rFonts w:ascii="Calibri" w:hAnsi="Calibri"/>
          <w:sz w:val="20"/>
          <w:szCs w:val="20"/>
          <w:lang w:val="es-US"/>
        </w:rPr>
      </w:pPr>
    </w:p>
    <w:p w:rsidR="00E76F5C" w:rsidRPr="00397959" w:rsidRDefault="00E76F5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bdr w:val="none" w:sz="0" w:space="0" w:color="auto"/>
          <w:lang w:val="es-US"/>
        </w:rPr>
      </w:pPr>
      <w:r w:rsidRPr="00397959">
        <w:rPr>
          <w:rFonts w:ascii="Cambria" w:hAnsi="Cambria" w:cs="Verdana"/>
          <w:sz w:val="20"/>
          <w:szCs w:val="20"/>
          <w:lang w:val="es-US"/>
        </w:rPr>
        <w:t xml:space="preserve">Por su parte la Comisión ha indicado que una violación de los derechos humanos </w:t>
      </w:r>
      <w:r w:rsidRPr="00397959">
        <w:rPr>
          <w:rFonts w:ascii="Cambria" w:hAnsi="Cambria"/>
          <w:sz w:val="20"/>
          <w:szCs w:val="20"/>
          <w:lang w:val="es-UY"/>
        </w:rPr>
        <w:t>protegidos por la Convención puede comprometer la responsabilidad internacional de un Estado parte sea porque la violación es perpetrada por sus propios agentes o bien</w:t>
      </w:r>
      <w:r w:rsidRPr="00397959">
        <w:rPr>
          <w:rFonts w:ascii="Cambria" w:hAnsi="Cambria"/>
          <w:b/>
          <w:sz w:val="20"/>
          <w:szCs w:val="20"/>
          <w:lang w:val="es-UY"/>
        </w:rPr>
        <w:t xml:space="preserve"> </w:t>
      </w:r>
      <w:r w:rsidRPr="00397959">
        <w:rPr>
          <w:rFonts w:ascii="Cambria" w:hAnsi="Cambria"/>
          <w:sz w:val="20"/>
          <w:szCs w:val="20"/>
          <w:lang w:val="es-UY"/>
        </w:rPr>
        <w:t>-aunque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ha contado con la participación, el apoyo o la tolerancia de agentes estatales o ha resultado del incumplimiento, por parte del Estado, de su obligación de prevenir razonablemente las violaciones de los derechos humanos, de investigar seriamente a efecto de identificar y sancionar a los responsables y reparar adecuadamente a la víctima o sus familiares por los perjuicios causados</w:t>
      </w:r>
      <w:r w:rsidRPr="00A64328">
        <w:rPr>
          <w:rStyle w:val="FootnoteReference"/>
          <w:rFonts w:ascii="Cambria" w:hAnsi="Cambria"/>
          <w:sz w:val="20"/>
          <w:szCs w:val="20"/>
          <w:lang w:val="es-UY"/>
        </w:rPr>
        <w:footnoteReference w:id="68"/>
      </w:r>
      <w:r w:rsidRPr="00397959">
        <w:rPr>
          <w:rFonts w:ascii="Cambria" w:hAnsi="Cambria"/>
          <w:sz w:val="20"/>
          <w:szCs w:val="20"/>
          <w:lang w:val="es-UY"/>
        </w:rPr>
        <w:t>.</w:t>
      </w:r>
    </w:p>
    <w:p w:rsidR="00E76F5C" w:rsidRDefault="00E76F5C" w:rsidP="00E76F5C">
      <w:pPr>
        <w:pStyle w:val="ListParagraph"/>
        <w:rPr>
          <w:rFonts w:cs="Verdana"/>
          <w:sz w:val="20"/>
          <w:szCs w:val="20"/>
          <w:lang w:val="es-US"/>
        </w:rPr>
      </w:pPr>
    </w:p>
    <w:p w:rsidR="00E76F5C" w:rsidRPr="00827E7C" w:rsidRDefault="00E76F5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S"/>
        </w:rPr>
      </w:pPr>
      <w:r>
        <w:rPr>
          <w:rFonts w:ascii="Cambria" w:hAnsi="Cambria" w:cs="Verdana"/>
          <w:sz w:val="20"/>
          <w:szCs w:val="20"/>
          <w:lang w:val="es-ES"/>
        </w:rPr>
        <w:t>En lo relevante para el presente caso, la Corte ha encontrado que existe un deber de regular y fiscalizar</w:t>
      </w:r>
      <w:r>
        <w:rPr>
          <w:rStyle w:val="FootnoteReference"/>
          <w:rFonts w:ascii="Cambria" w:hAnsi="Cambria" w:cs="Verdana"/>
          <w:sz w:val="20"/>
          <w:szCs w:val="20"/>
          <w:lang w:val="es-ES"/>
        </w:rPr>
        <w:footnoteReference w:id="69"/>
      </w:r>
      <w:r>
        <w:rPr>
          <w:rFonts w:ascii="Cambria" w:hAnsi="Cambria" w:cs="Verdana"/>
          <w:sz w:val="20"/>
          <w:szCs w:val="20"/>
          <w:lang w:val="es-ES"/>
        </w:rPr>
        <w:t xml:space="preserve"> a las entidades que </w:t>
      </w:r>
      <w:r w:rsidRPr="000F31B7">
        <w:rPr>
          <w:rFonts w:ascii="Cambria" w:hAnsi="Cambria" w:cs="Verdana"/>
          <w:sz w:val="20"/>
          <w:szCs w:val="20"/>
          <w:lang w:val="es-ES"/>
        </w:rPr>
        <w:t>prestan los s</w:t>
      </w:r>
      <w:r w:rsidR="00214C2F">
        <w:rPr>
          <w:rFonts w:ascii="Cambria" w:hAnsi="Cambria" w:cs="Verdana"/>
          <w:sz w:val="20"/>
          <w:szCs w:val="20"/>
          <w:lang w:val="es-ES"/>
        </w:rPr>
        <w:t>-</w:t>
      </w:r>
      <w:r w:rsidRPr="000F31B7">
        <w:rPr>
          <w:rFonts w:ascii="Cambria" w:hAnsi="Cambria" w:cs="Verdana"/>
          <w:sz w:val="20"/>
          <w:szCs w:val="20"/>
          <w:lang w:val="es-ES"/>
        </w:rPr>
        <w:t xml:space="preserve">ervicios de salud. Aunque sus pronunciamientos han estado concentrados en los prestadores directos de los servicios de salud, como </w:t>
      </w:r>
      <w:r w:rsidR="00EA105A" w:rsidRPr="00FC5CB1">
        <w:rPr>
          <w:rFonts w:ascii="Cambria" w:hAnsi="Cambria" w:cs="Verdana"/>
          <w:sz w:val="20"/>
          <w:szCs w:val="20"/>
          <w:lang w:val="es-ES"/>
        </w:rPr>
        <w:t>clínicas</w:t>
      </w:r>
      <w:r w:rsidR="00FC5CB1">
        <w:rPr>
          <w:rStyle w:val="FootnoteReference"/>
          <w:rFonts w:ascii="Cambria" w:hAnsi="Cambria" w:cs="Verdana"/>
          <w:sz w:val="20"/>
          <w:szCs w:val="20"/>
          <w:lang w:val="es-ES"/>
        </w:rPr>
        <w:footnoteReference w:id="70"/>
      </w:r>
      <w:r w:rsidR="00EA105A" w:rsidRPr="00FC5CB1">
        <w:rPr>
          <w:rFonts w:ascii="Cambria" w:hAnsi="Cambria" w:cs="Verdana"/>
          <w:sz w:val="20"/>
          <w:szCs w:val="20"/>
          <w:lang w:val="es-ES"/>
        </w:rPr>
        <w:t>,</w:t>
      </w:r>
      <w:r w:rsidR="00EA105A">
        <w:rPr>
          <w:rFonts w:ascii="Cambria" w:hAnsi="Cambria" w:cs="Verdana"/>
          <w:sz w:val="20"/>
          <w:szCs w:val="20"/>
          <w:lang w:val="es-ES"/>
        </w:rPr>
        <w:t xml:space="preserve"> </w:t>
      </w:r>
      <w:r w:rsidRPr="000F31B7">
        <w:rPr>
          <w:rFonts w:ascii="Cambria" w:hAnsi="Cambria" w:cs="Verdana"/>
          <w:sz w:val="20"/>
          <w:szCs w:val="20"/>
          <w:lang w:val="es-ES"/>
        </w:rPr>
        <w:t>bancos de sangre</w:t>
      </w:r>
      <w:r w:rsidRPr="000F31B7">
        <w:rPr>
          <w:rStyle w:val="FootnoteReference"/>
          <w:rFonts w:ascii="Cambria" w:hAnsi="Cambria" w:cs="Verdana"/>
          <w:sz w:val="20"/>
          <w:szCs w:val="20"/>
          <w:lang w:val="es-ES"/>
        </w:rPr>
        <w:footnoteReference w:id="71"/>
      </w:r>
      <w:r w:rsidRPr="000F31B7">
        <w:rPr>
          <w:rFonts w:ascii="Cambria" w:hAnsi="Cambria" w:cs="Verdana"/>
          <w:sz w:val="20"/>
          <w:szCs w:val="20"/>
          <w:lang w:val="es-ES"/>
        </w:rPr>
        <w:t xml:space="preserve"> o instituciones psiquiátricas</w:t>
      </w:r>
      <w:r w:rsidRPr="000F31B7">
        <w:rPr>
          <w:rStyle w:val="FootnoteReference"/>
          <w:rFonts w:ascii="Cambria" w:hAnsi="Cambria" w:cs="Verdana"/>
          <w:sz w:val="20"/>
          <w:szCs w:val="20"/>
          <w:lang w:val="es-ES"/>
        </w:rPr>
        <w:footnoteReference w:id="72"/>
      </w:r>
      <w:r w:rsidRPr="000F31B7">
        <w:rPr>
          <w:rFonts w:ascii="Cambria" w:hAnsi="Cambria" w:cs="Verdana"/>
          <w:sz w:val="20"/>
          <w:szCs w:val="20"/>
          <w:lang w:val="es-ES"/>
        </w:rPr>
        <w:t xml:space="preserve">, la Comisión considera que estas obligaciones pueden extenderse a las empresas privadas de seguros que conforme a sus funciones puedan incidir en el derecho a la salud y a la vida e integridad de las personas bajo la jurisdicción del Estado. En el presente caso, </w:t>
      </w:r>
      <w:r w:rsidRPr="000F31B7">
        <w:rPr>
          <w:rFonts w:ascii="Cambria" w:hAnsi="Cambria" w:cs="Verdana"/>
          <w:sz w:val="20"/>
          <w:szCs w:val="20"/>
          <w:lang w:val="es-US"/>
        </w:rPr>
        <w:t xml:space="preserve">las Isapres son entidades de derecho privado de acuerdo con la normativa interna pero, conforme se describió en los hechos probados, tienen atribuidas funciones que pueden ser determinantes respecto de los servicios de salud que una persona puede </w:t>
      </w:r>
      <w:r>
        <w:rPr>
          <w:rFonts w:ascii="Cambria" w:hAnsi="Cambria" w:cs="Verdana"/>
          <w:sz w:val="20"/>
          <w:szCs w:val="20"/>
          <w:lang w:val="es-US"/>
        </w:rPr>
        <w:t>recibir</w:t>
      </w:r>
      <w:r w:rsidRPr="000F31B7">
        <w:rPr>
          <w:rFonts w:ascii="Cambria" w:hAnsi="Cambria" w:cs="Verdana"/>
          <w:sz w:val="20"/>
          <w:szCs w:val="20"/>
          <w:lang w:val="es-US"/>
        </w:rPr>
        <w:t xml:space="preserve">. Si bien las Isapres como aseguradoras no prestan el servicio de salud directamente, son las encargadas de la administración de las contribuciones para que el paciente reciba la mencionada prestación. En ese sentido, no es posible entender la prestación final de salud sin la intervención de las Isapres en esta rama del sistema de salud chileno. </w:t>
      </w:r>
      <w:r w:rsidR="00EA105A">
        <w:rPr>
          <w:rFonts w:ascii="Cambria" w:hAnsi="Cambria" w:cs="Verdana"/>
          <w:sz w:val="20"/>
          <w:szCs w:val="20"/>
          <w:lang w:val="es-US"/>
        </w:rPr>
        <w:t>Por lo anterior</w:t>
      </w:r>
      <w:r w:rsidRPr="000F31B7">
        <w:rPr>
          <w:rFonts w:ascii="Cambria" w:hAnsi="Cambria" w:cs="Verdana"/>
          <w:sz w:val="20"/>
          <w:szCs w:val="20"/>
          <w:lang w:val="es-US"/>
        </w:rPr>
        <w:t xml:space="preserve">, </w:t>
      </w:r>
      <w:r w:rsidRPr="000F31B7">
        <w:rPr>
          <w:rFonts w:ascii="Cambria" w:hAnsi="Cambria" w:cs="Verdana"/>
          <w:sz w:val="20"/>
          <w:szCs w:val="20"/>
          <w:lang w:val="es-ES"/>
        </w:rPr>
        <w:t>“si bien los Estados pueden delegar su prestación, a través de la llamada tercerización, mantienen la titularidad de la obligación de proveer los servicios públicos</w:t>
      </w:r>
      <w:r w:rsidRPr="00827E7C">
        <w:rPr>
          <w:rFonts w:ascii="Cambria" w:hAnsi="Cambria" w:cs="Verdana"/>
          <w:sz w:val="20"/>
          <w:szCs w:val="20"/>
          <w:lang w:val="es-ES"/>
        </w:rPr>
        <w:t xml:space="preserve"> y de proteger el bien público respectivo (…)” fiscalizando su ejecución y garantizando la protección efectiva de derechos humanos, así como el acceso a los servicios sin discriminación y de la forma más efectiva posible</w:t>
      </w:r>
      <w:r>
        <w:rPr>
          <w:rStyle w:val="FootnoteReference"/>
          <w:rFonts w:ascii="Cambria" w:hAnsi="Cambria" w:cs="Verdana"/>
          <w:sz w:val="20"/>
          <w:szCs w:val="20"/>
          <w:lang w:val="es-ES"/>
        </w:rPr>
        <w:footnoteReference w:id="73"/>
      </w:r>
      <w:r w:rsidRPr="00827E7C">
        <w:rPr>
          <w:rFonts w:ascii="Cambria" w:hAnsi="Cambria" w:cs="Verdana"/>
          <w:sz w:val="20"/>
          <w:szCs w:val="20"/>
          <w:lang w:val="es-ES"/>
        </w:rPr>
        <w:t>.</w:t>
      </w:r>
    </w:p>
    <w:p w:rsidR="00E76F5C" w:rsidRDefault="00E76F5C" w:rsidP="00E76F5C">
      <w:pPr>
        <w:pStyle w:val="ListParagraph"/>
        <w:rPr>
          <w:rFonts w:cs="Verdana"/>
          <w:sz w:val="20"/>
          <w:szCs w:val="20"/>
          <w:lang w:val="es-ES"/>
        </w:rPr>
      </w:pPr>
    </w:p>
    <w:p w:rsidR="00E76F5C" w:rsidRPr="00597DD4" w:rsidRDefault="00E76F5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S"/>
        </w:rPr>
      </w:pPr>
      <w:r>
        <w:rPr>
          <w:rFonts w:ascii="Cambria" w:hAnsi="Cambria" w:cs="Verdana"/>
          <w:sz w:val="20"/>
          <w:szCs w:val="20"/>
          <w:lang w:val="es-ES"/>
        </w:rPr>
        <w:t xml:space="preserve">En el presente caso, la Comisión encuentra que la Isapre Masvida S.A., entidad privada, fue autorizada por el Estado para la administración de las cotizaciones de los trabajadores en materia de salud para su atención final en redes de atención clínica, bajo la supervisión de la Superintendencia de Salud. Por consiguiente, la Comisión analizará los actos de la Isapre en relación con la decisión del retiro del RHD a la luz de los deberes de regulación y fiscalización en cabeza del Estado, en los términos descritos. Esto incluye la respuesta brindada mediante los procedimientos internos a través de los cuales la familia reclamó el retiro del RHD.  </w:t>
      </w:r>
    </w:p>
    <w:p w:rsidR="00E759F1" w:rsidRPr="00E759F1" w:rsidRDefault="00E759F1" w:rsidP="00E759F1">
      <w:pPr>
        <w:jc w:val="both"/>
        <w:rPr>
          <w:rFonts w:asciiTheme="majorHAnsi" w:hAnsiTheme="majorHAnsi"/>
          <w:b/>
          <w:sz w:val="20"/>
          <w:szCs w:val="20"/>
          <w:lang w:val="es-ES"/>
        </w:rPr>
      </w:pPr>
    </w:p>
    <w:p w:rsidR="00F40148" w:rsidRDefault="003A1175" w:rsidP="00C87FF4">
      <w:pPr>
        <w:pStyle w:val="Heading3"/>
        <w:rPr>
          <w:lang w:val="es-ES"/>
        </w:rPr>
      </w:pPr>
      <w:bookmarkStart w:id="20" w:name="_Toc531880128"/>
      <w:r w:rsidRPr="00F40148">
        <w:rPr>
          <w:lang w:val="es-ES"/>
        </w:rPr>
        <w:t xml:space="preserve">Consideraciones generales sobre </w:t>
      </w:r>
      <w:r w:rsidR="00394F64">
        <w:rPr>
          <w:lang w:val="es-ES"/>
        </w:rPr>
        <w:t xml:space="preserve">el artículo 26 y </w:t>
      </w:r>
      <w:r w:rsidR="0079757E">
        <w:rPr>
          <w:lang w:val="es-ES"/>
        </w:rPr>
        <w:t>los</w:t>
      </w:r>
      <w:r w:rsidR="00394F64">
        <w:rPr>
          <w:lang w:val="es-ES"/>
        </w:rPr>
        <w:t xml:space="preserve"> derecho</w:t>
      </w:r>
      <w:r w:rsidR="0079757E">
        <w:rPr>
          <w:lang w:val="es-ES"/>
        </w:rPr>
        <w:t>s</w:t>
      </w:r>
      <w:r w:rsidR="00394F64">
        <w:rPr>
          <w:lang w:val="es-ES"/>
        </w:rPr>
        <w:t xml:space="preserve"> a la salud</w:t>
      </w:r>
      <w:r w:rsidR="0079757E">
        <w:rPr>
          <w:lang w:val="es-ES"/>
        </w:rPr>
        <w:t xml:space="preserve"> y seguridad social</w:t>
      </w:r>
      <w:bookmarkEnd w:id="20"/>
    </w:p>
    <w:p w:rsidR="00B63C20" w:rsidRPr="00B67AD6" w:rsidRDefault="00B63C20" w:rsidP="00B63C20">
      <w:pPr>
        <w:tabs>
          <w:tab w:val="left" w:pos="1440"/>
        </w:tabs>
        <w:jc w:val="both"/>
        <w:rPr>
          <w:rStyle w:val="Heading1Char"/>
          <w:rFonts w:eastAsia="Cambria"/>
          <w:b w:val="0"/>
          <w:sz w:val="20"/>
          <w:szCs w:val="20"/>
          <w:lang w:val="es-ES"/>
        </w:rPr>
      </w:pPr>
    </w:p>
    <w:p w:rsidR="00324887" w:rsidRPr="00502F6F"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MX"/>
        </w:rPr>
      </w:pPr>
      <w:r w:rsidRPr="00502F6F">
        <w:rPr>
          <w:rFonts w:ascii="Cambria" w:hAnsi="Cambria"/>
          <w:sz w:val="20"/>
          <w:szCs w:val="20"/>
          <w:lang w:val="es-MX"/>
        </w:rPr>
        <w:t xml:space="preserve">El </w:t>
      </w:r>
      <w:r w:rsidRPr="0080639E">
        <w:rPr>
          <w:rFonts w:ascii="Cambria" w:hAnsi="Cambria"/>
          <w:sz w:val="20"/>
          <w:szCs w:val="20"/>
          <w:lang w:val="es-US"/>
        </w:rPr>
        <w:t>artículo</w:t>
      </w:r>
      <w:r w:rsidRPr="00502F6F">
        <w:rPr>
          <w:rFonts w:ascii="Cambria" w:hAnsi="Cambria"/>
          <w:sz w:val="20"/>
          <w:szCs w:val="20"/>
          <w:lang w:val="es-MX"/>
        </w:rPr>
        <w:t xml:space="preserve"> 26 de la Convención Americana establece una obligación en cabeza de los Estados partes, de </w:t>
      </w:r>
      <w:r w:rsidRPr="00502F6F">
        <w:rPr>
          <w:rFonts w:ascii="Cambria" w:hAnsi="Cambria"/>
          <w:sz w:val="20"/>
          <w:szCs w:val="20"/>
          <w:lang w:val="es-AR"/>
        </w:rPr>
        <w:t>procurar</w:t>
      </w:r>
      <w:r w:rsidRPr="00502F6F">
        <w:rPr>
          <w:rFonts w:ascii="Cambria" w:hAnsi="Cambria"/>
          <w:sz w:val="20"/>
          <w:szCs w:val="20"/>
          <w:lang w:val="es-MX"/>
        </w:rPr>
        <w:t xml:space="preserve"> el desarrollo progresivo de los derechos que dicha norma contiene.  Aunque </w:t>
      </w:r>
      <w:r w:rsidRPr="00502F6F">
        <w:rPr>
          <w:rFonts w:ascii="Cambria" w:hAnsi="Cambria" w:cs="Arial"/>
          <w:snapToGrid w:val="0"/>
          <w:sz w:val="20"/>
          <w:szCs w:val="20"/>
          <w:lang w:val="es-CO"/>
        </w:rPr>
        <w:t>ambos órganos del sistema interamericano</w:t>
      </w:r>
      <w:r w:rsidRPr="00502F6F">
        <w:rPr>
          <w:rStyle w:val="FootnoteReference"/>
          <w:rFonts w:ascii="Cambria" w:hAnsi="Cambria" w:cs="Arial"/>
          <w:snapToGrid w:val="0"/>
          <w:sz w:val="20"/>
          <w:szCs w:val="20"/>
          <w:lang w:val="es-CO"/>
        </w:rPr>
        <w:footnoteReference w:id="74"/>
      </w:r>
      <w:r w:rsidRPr="00502F6F">
        <w:rPr>
          <w:rFonts w:ascii="Cambria" w:hAnsi="Cambria" w:cs="Arial"/>
          <w:snapToGrid w:val="0"/>
          <w:sz w:val="20"/>
          <w:szCs w:val="20"/>
          <w:lang w:val="es-CO"/>
        </w:rPr>
        <w:t xml:space="preserve"> han reafirmado su competencia para pronunciarse sobre posibles violaciones del artículo 26 </w:t>
      </w:r>
      <w:r w:rsidRPr="00502F6F">
        <w:rPr>
          <w:rFonts w:ascii="Cambria" w:eastAsia="Batang" w:hAnsi="Cambria"/>
          <w:sz w:val="20"/>
          <w:szCs w:val="20"/>
          <w:bdr w:val="none" w:sz="0" w:space="0" w:color="auto"/>
          <w:lang w:val="es-UY"/>
        </w:rPr>
        <w:t>de</w:t>
      </w:r>
      <w:r w:rsidRPr="00502F6F">
        <w:rPr>
          <w:rFonts w:ascii="Cambria" w:hAnsi="Cambria" w:cs="Arial"/>
          <w:snapToGrid w:val="0"/>
          <w:sz w:val="20"/>
          <w:szCs w:val="20"/>
          <w:lang w:val="es-CO"/>
        </w:rPr>
        <w:t xml:space="preserve"> la Convención Americana en el marco del sistema de peticiones y casos individuales, </w:t>
      </w:r>
      <w:r w:rsidRPr="00502F6F">
        <w:rPr>
          <w:rFonts w:ascii="Cambria" w:hAnsi="Cambria"/>
          <w:sz w:val="20"/>
          <w:szCs w:val="20"/>
          <w:lang w:val="es-MX"/>
        </w:rPr>
        <w:t xml:space="preserve">esta disposición había sido materia de poco desarrollo en la jurisprudencia del sistema interamericano relativa a casos contenciosos. En sus pronunciamientos sobre la materia, la Corte ha enfatizado la </w:t>
      </w:r>
      <w:r w:rsidRPr="00502F6F">
        <w:rPr>
          <w:rFonts w:ascii="Cambria" w:hAnsi="Cambria" w:cs="Arial"/>
          <w:snapToGrid w:val="0"/>
          <w:sz w:val="20"/>
          <w:szCs w:val="20"/>
          <w:lang w:val="es-CO"/>
        </w:rPr>
        <w:t>interdependencia e indivisibilidad de los derechos económicos, sociales y culturales respecto de los derechos civiles y políticos</w:t>
      </w:r>
      <w:r w:rsidRPr="00502F6F">
        <w:rPr>
          <w:rStyle w:val="FootnoteReference"/>
          <w:rFonts w:ascii="Cambria" w:hAnsi="Cambria" w:cs="Arial"/>
          <w:snapToGrid w:val="0"/>
          <w:sz w:val="20"/>
          <w:szCs w:val="20"/>
          <w:lang w:val="es-CO"/>
        </w:rPr>
        <w:footnoteReference w:id="75"/>
      </w:r>
      <w:r w:rsidRPr="00502F6F">
        <w:rPr>
          <w:rFonts w:ascii="Cambria" w:hAnsi="Cambria" w:cs="Arial"/>
          <w:snapToGrid w:val="0"/>
          <w:sz w:val="20"/>
          <w:szCs w:val="20"/>
          <w:lang w:val="es-CO"/>
        </w:rPr>
        <w:t>.</w:t>
      </w:r>
    </w:p>
    <w:p w:rsidR="00324887" w:rsidRPr="00502F6F" w:rsidRDefault="00324887" w:rsidP="0032488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MX"/>
        </w:rPr>
      </w:pPr>
    </w:p>
    <w:p w:rsidR="00324887" w:rsidRPr="00502F6F"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lang w:val="es-CO"/>
        </w:rPr>
      </w:pPr>
      <w:r w:rsidRPr="00502F6F">
        <w:rPr>
          <w:rFonts w:ascii="Cambria" w:hAnsi="Cambria" w:cs="Arial"/>
          <w:snapToGrid w:val="0"/>
          <w:sz w:val="20"/>
          <w:szCs w:val="20"/>
          <w:lang w:val="es-CO"/>
        </w:rPr>
        <w:t xml:space="preserve">La Comisión reconoce que la interpretación del artículo 26 de la Convención y la determinación concreta de su </w:t>
      </w:r>
      <w:r w:rsidRPr="00502F6F">
        <w:rPr>
          <w:rFonts w:ascii="Cambria" w:hAnsi="Cambria"/>
          <w:sz w:val="20"/>
          <w:szCs w:val="20"/>
          <w:lang w:val="es-MX"/>
        </w:rPr>
        <w:t>alcance</w:t>
      </w:r>
      <w:r w:rsidRPr="00502F6F">
        <w:rPr>
          <w:rFonts w:ascii="Cambria" w:hAnsi="Cambria" w:cs="Arial"/>
          <w:snapToGrid w:val="0"/>
          <w:sz w:val="20"/>
          <w:szCs w:val="20"/>
          <w:lang w:val="es-CO"/>
        </w:rPr>
        <w:t xml:space="preserve"> y contenido puede revestir ciertas complejidades interpretativas. En ese sentido, </w:t>
      </w:r>
      <w:r w:rsidRPr="00502F6F">
        <w:rPr>
          <w:rFonts w:ascii="Cambria" w:hAnsi="Cambria"/>
          <w:sz w:val="20"/>
          <w:szCs w:val="20"/>
          <w:lang w:val="es-MX"/>
        </w:rPr>
        <w:t xml:space="preserve">la Comisión considera necesario desarrollar algunos de sus pronunciamientos anteriores al respecto, específicamente, en cuanto a la que considera una metodología adecuada de análisis que toma en cuenta el texto de la norma, pero lo interpreta de manera consistente con los desarrollos que en la materia se han efectuado a nivel internacional y que resultan de gran utilidad para desentrañar su alcance y contenido. </w:t>
      </w:r>
    </w:p>
    <w:p w:rsidR="00324887" w:rsidRDefault="00324887" w:rsidP="0032488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720" w:firstLine="0"/>
        <w:jc w:val="both"/>
        <w:rPr>
          <w:rFonts w:ascii="Cambria" w:hAnsi="Cambria"/>
          <w:sz w:val="20"/>
          <w:szCs w:val="20"/>
          <w:lang w:val="es-MX"/>
        </w:rPr>
      </w:pPr>
    </w:p>
    <w:p w:rsidR="00324887"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MX"/>
        </w:rPr>
      </w:pPr>
      <w:r w:rsidRPr="00502F6F">
        <w:rPr>
          <w:rFonts w:ascii="Cambria" w:hAnsi="Cambria"/>
          <w:sz w:val="20"/>
          <w:szCs w:val="20"/>
          <w:lang w:val="es-MX"/>
        </w:rPr>
        <w:t>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w:t>
      </w:r>
    </w:p>
    <w:p w:rsidR="00324887" w:rsidRPr="00502F6F" w:rsidRDefault="00324887" w:rsidP="0032488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MX"/>
        </w:rPr>
      </w:pPr>
    </w:p>
    <w:p w:rsidR="00A46F5B"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MX"/>
        </w:rPr>
      </w:pPr>
      <w:r w:rsidRPr="00502F6F">
        <w:rPr>
          <w:rFonts w:ascii="Cambria" w:hAnsi="Cambria"/>
          <w:sz w:val="20"/>
          <w:szCs w:val="20"/>
          <w:lang w:val="es-MX"/>
        </w:rPr>
        <w:t>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naturaleza y alcance de las obligaciones exigibles al Estado bajo los artículos 1.1, 2 y 26 de la Convención, así como los contenidos del derecho de que se trate, como se efectuará más adelante.</w:t>
      </w:r>
    </w:p>
    <w:p w:rsidR="00A46F5B" w:rsidRDefault="00A46F5B" w:rsidP="00B67AD6">
      <w:pPr>
        <w:pStyle w:val="ListParagraph"/>
        <w:rPr>
          <w:sz w:val="20"/>
          <w:szCs w:val="20"/>
          <w:lang w:val="es-MX"/>
        </w:rPr>
      </w:pPr>
    </w:p>
    <w:p w:rsidR="00841689"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MX"/>
        </w:rPr>
      </w:pPr>
      <w:r w:rsidRPr="00502F6F">
        <w:rPr>
          <w:rFonts w:ascii="Cambria" w:hAnsi="Cambria"/>
          <w:sz w:val="20"/>
          <w:szCs w:val="20"/>
          <w:lang w:val="es-MX"/>
        </w:rPr>
        <w:t xml:space="preserve"> Para establecer los criterios que permitan derivar derechos específicos de la Carta de la OEA, determinar su contenido y las obligaciones de los Estados en relación con ellos, es que el artículo 29 de la CADH adquiere relevancia en tanto que establece los parámetros de las reglas generales de interpretación de dicho tratado. En ese sentido, de acuerdo con dicho artículo la interpretación de las disposiciones de la CADH no podrán limitar ni suprimir derechos reconocidos por la normativa interna de los Estados o por cualquier otro tratado del que este sea parte, ni excluir los efectos de la Declaración Americana sobre Derechos y Deberes del Hombre u </w:t>
      </w:r>
      <w:r w:rsidRPr="00324887">
        <w:rPr>
          <w:rFonts w:ascii="Cambria" w:eastAsia="Batang" w:hAnsi="Cambria"/>
          <w:sz w:val="20"/>
          <w:szCs w:val="20"/>
          <w:lang w:val="es-UY"/>
        </w:rPr>
        <w:t>otros</w:t>
      </w:r>
      <w:r w:rsidRPr="00502F6F">
        <w:rPr>
          <w:rFonts w:ascii="Cambria" w:hAnsi="Cambria"/>
          <w:sz w:val="20"/>
          <w:szCs w:val="20"/>
          <w:lang w:val="es-MX"/>
        </w:rPr>
        <w:t xml:space="preserve"> actos internacionales de la misma naturaleza. La disposición recepta así el principio “pro persona” en el sistema interamericano y ofrece una herramienta clave para la efectiva protección de todos los derechos humanos reconocidos en las Constituciones de los Estados Parte, como en los instrumentos interamericanos o universales de derechos humanos ratificados por los mismos</w:t>
      </w:r>
      <w:r w:rsidR="00841689">
        <w:rPr>
          <w:rFonts w:ascii="Cambria" w:hAnsi="Cambria"/>
          <w:sz w:val="20"/>
          <w:szCs w:val="20"/>
          <w:lang w:val="es-MX"/>
        </w:rPr>
        <w:t>.</w:t>
      </w:r>
    </w:p>
    <w:p w:rsidR="00841689" w:rsidRPr="00502F6F" w:rsidRDefault="00841689" w:rsidP="00B67A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rsidR="00324887" w:rsidRPr="00502F6F"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PE"/>
        </w:rPr>
      </w:pPr>
      <w:r w:rsidRPr="00502F6F">
        <w:rPr>
          <w:rFonts w:ascii="Cambria" w:hAnsi="Cambria"/>
          <w:sz w:val="20"/>
          <w:szCs w:val="20"/>
          <w:lang w:val="es-MX"/>
        </w:rPr>
        <w:t xml:space="preserve">A partir de la interpretación integral que el artículo 26 requiere a la luz de las disposiciones del artículo 29, la Comisión considera pertinente referirse a las obligaciones que se desprenden del artículo 26 de la Convención Americana y que pueden ser materia de pronunciamiento por parte de los órganos del sistema interamericano en el marco de casos contenciosos. </w:t>
      </w:r>
      <w:r w:rsidRPr="00502F6F">
        <w:rPr>
          <w:rFonts w:ascii="Cambria" w:hAnsi="Cambria"/>
          <w:sz w:val="20"/>
          <w:szCs w:val="20"/>
          <w:lang w:val="es-AR"/>
        </w:rPr>
        <w:t>Al respecto, para el caso específico</w:t>
      </w:r>
      <w:r>
        <w:rPr>
          <w:rFonts w:ascii="Cambria" w:hAnsi="Cambria"/>
          <w:sz w:val="20"/>
          <w:szCs w:val="20"/>
          <w:lang w:val="es-AR"/>
        </w:rPr>
        <w:t xml:space="preserve"> y tomando en cuenta que el Estado no es parte del </w:t>
      </w:r>
      <w:r w:rsidRPr="00502F6F">
        <w:rPr>
          <w:rFonts w:ascii="Cambria" w:eastAsia="Batang" w:hAnsi="Cambria"/>
          <w:sz w:val="20"/>
          <w:szCs w:val="20"/>
          <w:lang w:val="es-UY"/>
        </w:rPr>
        <w:t>Protocolo adicional a la Convención Americana en materia de Derechos Económicos, Sociales y Culturales o “</w:t>
      </w:r>
      <w:r w:rsidRPr="00502F6F">
        <w:rPr>
          <w:rFonts w:ascii="Cambria" w:hAnsi="Cambria"/>
          <w:sz w:val="20"/>
          <w:szCs w:val="20"/>
          <w:lang w:val="es-AR"/>
        </w:rPr>
        <w:t>Protocolo de San Salvado</w:t>
      </w:r>
      <w:bookmarkStart w:id="21" w:name="_ftnref43"/>
      <w:r w:rsidRPr="00502F6F">
        <w:rPr>
          <w:rFonts w:ascii="Cambria" w:hAnsi="Cambria"/>
          <w:sz w:val="20"/>
          <w:szCs w:val="20"/>
          <w:lang w:val="es-AR"/>
        </w:rPr>
        <w:t>r</w:t>
      </w:r>
      <w:bookmarkEnd w:id="21"/>
      <w:r w:rsidRPr="00502F6F">
        <w:rPr>
          <w:rFonts w:ascii="Cambria" w:hAnsi="Cambria"/>
          <w:sz w:val="20"/>
          <w:szCs w:val="20"/>
          <w:lang w:val="es-AR"/>
        </w:rPr>
        <w:t>”</w:t>
      </w:r>
      <w:r w:rsidR="004B2044">
        <w:rPr>
          <w:rFonts w:ascii="Cambria" w:hAnsi="Cambria"/>
          <w:sz w:val="20"/>
          <w:szCs w:val="20"/>
          <w:lang w:val="es-AR"/>
        </w:rPr>
        <w:t>,</w:t>
      </w:r>
      <w:r>
        <w:rPr>
          <w:rFonts w:ascii="Cambria" w:hAnsi="Cambria"/>
          <w:sz w:val="20"/>
          <w:szCs w:val="20"/>
          <w:lang w:val="es-AR"/>
        </w:rPr>
        <w:t xml:space="preserve"> </w:t>
      </w:r>
      <w:r w:rsidRPr="00502F6F">
        <w:rPr>
          <w:rFonts w:ascii="Cambria" w:hAnsi="Cambria"/>
          <w:sz w:val="20"/>
          <w:szCs w:val="20"/>
          <w:lang w:val="es-AR"/>
        </w:rPr>
        <w:t xml:space="preserve">el Pacto Internacional de Derechos Económicos, Sociales y Culturales </w:t>
      </w:r>
      <w:r w:rsidR="00A46F5B">
        <w:rPr>
          <w:rFonts w:ascii="Cambria" w:hAnsi="Cambria"/>
          <w:sz w:val="20"/>
          <w:szCs w:val="20"/>
          <w:lang w:val="es-AR"/>
        </w:rPr>
        <w:t xml:space="preserve">es relevante en tanto </w:t>
      </w:r>
      <w:r w:rsidRPr="00502F6F">
        <w:rPr>
          <w:rFonts w:ascii="Cambria" w:hAnsi="Cambria"/>
          <w:sz w:val="20"/>
          <w:szCs w:val="20"/>
          <w:lang w:val="es-AR"/>
        </w:rPr>
        <w:t>contempla en su artículo 2.1</w:t>
      </w:r>
      <w:r w:rsidRPr="00502F6F">
        <w:rPr>
          <w:rStyle w:val="FootnoteReference"/>
          <w:rFonts w:ascii="Cambria" w:hAnsi="Cambria"/>
          <w:sz w:val="20"/>
          <w:szCs w:val="20"/>
          <w:lang w:val="es-AR"/>
        </w:rPr>
        <w:footnoteReference w:id="76"/>
      </w:r>
      <w:r w:rsidRPr="00502F6F">
        <w:rPr>
          <w:rFonts w:ascii="Cambria" w:hAnsi="Cambria"/>
          <w:sz w:val="20"/>
          <w:szCs w:val="20"/>
          <w:lang w:val="es-AR"/>
        </w:rPr>
        <w:t xml:space="preserve"> disposiciones similares a las del artículo 26 de la Convención Americana.</w:t>
      </w:r>
      <w:r w:rsidRPr="00502F6F">
        <w:rPr>
          <w:rFonts w:ascii="Cambria" w:hAnsi="Cambria"/>
          <w:sz w:val="20"/>
          <w:szCs w:val="20"/>
          <w:lang w:val="es-ES"/>
        </w:rPr>
        <w:t> </w:t>
      </w:r>
      <w:r w:rsidRPr="00502F6F">
        <w:rPr>
          <w:rFonts w:ascii="Cambria" w:hAnsi="Cambria"/>
          <w:sz w:val="20"/>
          <w:szCs w:val="20"/>
          <w:lang w:val="es-AR"/>
        </w:rPr>
        <w:t>La Comisión ya ha acudido a los pronunciamientos del Comité de Derechos Económicos, Sociales y Culturales, en cuanto a la noción de progresividad y al alcance de las obligaciones que se desprenden de la misma</w:t>
      </w:r>
      <w:r w:rsidRPr="00502F6F">
        <w:rPr>
          <w:rStyle w:val="FootnoteReference"/>
          <w:rFonts w:ascii="Cambria" w:hAnsi="Cambria"/>
          <w:sz w:val="20"/>
          <w:szCs w:val="20"/>
          <w:lang w:val="es-AR"/>
        </w:rPr>
        <w:footnoteReference w:id="77"/>
      </w:r>
      <w:r w:rsidR="00FC000E">
        <w:rPr>
          <w:rFonts w:ascii="Cambria" w:hAnsi="Cambria"/>
          <w:sz w:val="20"/>
          <w:szCs w:val="20"/>
          <w:lang w:val="es-AR"/>
        </w:rPr>
        <w:t>, así</w:t>
      </w:r>
      <w:r w:rsidR="00FB0C9D">
        <w:rPr>
          <w:rFonts w:ascii="Cambria" w:hAnsi="Cambria"/>
          <w:sz w:val="20"/>
          <w:szCs w:val="20"/>
          <w:lang w:val="es-AR"/>
        </w:rPr>
        <w:t xml:space="preserve"> subraya</w:t>
      </w:r>
      <w:r w:rsidR="00FC000E">
        <w:rPr>
          <w:rFonts w:ascii="Cambria" w:hAnsi="Cambria"/>
          <w:sz w:val="20"/>
          <w:szCs w:val="20"/>
          <w:lang w:val="es-AR"/>
        </w:rPr>
        <w:t xml:space="preserve"> </w:t>
      </w:r>
      <w:r w:rsidR="00FB0C9D">
        <w:rPr>
          <w:rFonts w:ascii="Cambria" w:hAnsi="Cambria"/>
          <w:sz w:val="20"/>
          <w:szCs w:val="20"/>
          <w:lang w:val="es-AR"/>
        </w:rPr>
        <w:t>que dicho concepto no priva de todo contenido significativ</w:t>
      </w:r>
      <w:r w:rsidR="00A46F5B">
        <w:rPr>
          <w:rFonts w:ascii="Cambria" w:hAnsi="Cambria"/>
          <w:sz w:val="20"/>
          <w:szCs w:val="20"/>
          <w:lang w:val="es-AR"/>
        </w:rPr>
        <w:t>o a las obligaciones del Estado;</w:t>
      </w:r>
      <w:r w:rsidR="00FB0C9D">
        <w:rPr>
          <w:rFonts w:ascii="Cambria" w:hAnsi="Cambria"/>
          <w:sz w:val="20"/>
          <w:szCs w:val="20"/>
          <w:lang w:val="es-AR"/>
        </w:rPr>
        <w:t xml:space="preserve"> </w:t>
      </w:r>
      <w:r w:rsidR="00FC000E">
        <w:rPr>
          <w:rFonts w:ascii="Cambria" w:hAnsi="Cambria"/>
          <w:sz w:val="20"/>
          <w:szCs w:val="20"/>
          <w:lang w:val="es-AR"/>
        </w:rPr>
        <w:t>por el contrario</w:t>
      </w:r>
      <w:r w:rsidR="00A46F5B">
        <w:rPr>
          <w:rFonts w:ascii="Cambria" w:hAnsi="Cambria"/>
          <w:sz w:val="20"/>
          <w:szCs w:val="20"/>
          <w:lang w:val="es-AR"/>
        </w:rPr>
        <w:t>,</w:t>
      </w:r>
      <w:r w:rsidR="00FC000E">
        <w:rPr>
          <w:rFonts w:ascii="Cambria" w:hAnsi="Cambria"/>
          <w:sz w:val="20"/>
          <w:szCs w:val="20"/>
          <w:lang w:val="es-AR"/>
        </w:rPr>
        <w:t xml:space="preserve"> se le debe interpretar a la luz del objetivo general del tratado con miras a la plena efectividad de los derechos involucrados</w:t>
      </w:r>
      <w:r w:rsidRPr="00502F6F">
        <w:rPr>
          <w:rStyle w:val="FootnoteReference"/>
          <w:rFonts w:ascii="Cambria" w:hAnsi="Cambria"/>
          <w:sz w:val="20"/>
          <w:szCs w:val="20"/>
          <w:lang w:val="es-ES_tradnl"/>
        </w:rPr>
        <w:footnoteReference w:id="78"/>
      </w:r>
      <w:r w:rsidRPr="00502F6F">
        <w:rPr>
          <w:rFonts w:ascii="Cambria" w:hAnsi="Cambria"/>
          <w:sz w:val="20"/>
          <w:szCs w:val="20"/>
          <w:lang w:val="es-ES_tradnl"/>
        </w:rPr>
        <w:t>.</w:t>
      </w:r>
    </w:p>
    <w:p w:rsidR="00324887" w:rsidRPr="00502F6F" w:rsidRDefault="00324887" w:rsidP="00324887">
      <w:pPr>
        <w:jc w:val="both"/>
        <w:rPr>
          <w:rFonts w:ascii="Cambria" w:hAnsi="Cambria"/>
          <w:sz w:val="20"/>
          <w:szCs w:val="20"/>
          <w:lang w:val="es-PE"/>
        </w:rPr>
      </w:pPr>
    </w:p>
    <w:p w:rsidR="00324887" w:rsidRPr="00502F6F"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lang w:val="es-CO"/>
        </w:rPr>
      </w:pPr>
      <w:r w:rsidRPr="00502F6F">
        <w:rPr>
          <w:rFonts w:ascii="Cambria" w:hAnsi="Cambria" w:cs="Arial"/>
          <w:snapToGrid w:val="0"/>
          <w:sz w:val="20"/>
          <w:szCs w:val="20"/>
          <w:lang w:val="es-CO"/>
        </w:rPr>
        <w:t xml:space="preserve">A la luz de lo anteriormente descrito puede </w:t>
      </w:r>
      <w:r w:rsidRPr="00502F6F">
        <w:rPr>
          <w:rFonts w:ascii="Cambria" w:hAnsi="Cambria"/>
          <w:sz w:val="20"/>
          <w:szCs w:val="20"/>
          <w:lang w:val="es-AR"/>
        </w:rPr>
        <w:t>afirmarse</w:t>
      </w:r>
      <w:r w:rsidRPr="00502F6F">
        <w:rPr>
          <w:rFonts w:ascii="Cambria" w:hAnsi="Cambria" w:cs="Arial"/>
          <w:snapToGrid w:val="0"/>
          <w:sz w:val="20"/>
          <w:szCs w:val="20"/>
          <w:lang w:val="es-CO"/>
        </w:rPr>
        <w:t xml:space="preserve"> que la Comisión entiende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pasos o adoptar medidas para </w:t>
      </w:r>
      <w:r w:rsidRPr="00502F6F">
        <w:rPr>
          <w:rFonts w:ascii="Cambria" w:hAnsi="Cambria" w:cs="Helvetica"/>
          <w:sz w:val="20"/>
          <w:szCs w:val="20"/>
          <w:lang w:val="es-CO" w:bidi="en-US"/>
        </w:rPr>
        <w:t>lograr</w:t>
      </w:r>
      <w:r w:rsidRPr="00502F6F">
        <w:rPr>
          <w:rFonts w:ascii="Cambria" w:hAnsi="Cambria"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p>
    <w:p w:rsidR="00324887" w:rsidRPr="00502F6F" w:rsidRDefault="00324887" w:rsidP="003248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napToGrid w:val="0"/>
          <w:sz w:val="20"/>
          <w:szCs w:val="20"/>
          <w:lang w:val="es-CO"/>
        </w:rPr>
      </w:pPr>
    </w:p>
    <w:p w:rsidR="003F5D46" w:rsidRPr="00B67AD6"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lang w:val="es-CO"/>
        </w:rPr>
      </w:pPr>
      <w:r w:rsidRPr="00502F6F">
        <w:rPr>
          <w:rFonts w:ascii="Cambria" w:hAnsi="Cambria" w:cs="Arial"/>
          <w:snapToGrid w:val="0"/>
          <w:sz w:val="20"/>
          <w:szCs w:val="20"/>
          <w:lang w:val="es-CO"/>
        </w:rPr>
        <w:t>En relación con los componentes exigibles e inmediatos de la obligación de dar pasos o adoptar medidas, el Comité DESC ha indicado, por ejemplo, que la</w:t>
      </w:r>
      <w:r w:rsidRPr="00502F6F">
        <w:rPr>
          <w:rFonts w:ascii="Cambria" w:hAnsi="Cambria"/>
          <w:sz w:val="20"/>
          <w:szCs w:val="20"/>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502F6F">
        <w:rPr>
          <w:rFonts w:ascii="Cambria" w:hAnsi="Cambria" w:cs="Arial"/>
          <w:sz w:val="20"/>
          <w:szCs w:val="20"/>
          <w:shd w:val="clear" w:color="auto" w:fill="FFFFFF"/>
          <w:lang w:val="es-PE"/>
        </w:rPr>
        <w:t xml:space="preserve">deliberadas, concretas y orientadas lo más claramente posible a su cumplimiento. El Estado además tiene obligaciones básicas que deben satisfacer niveles esenciales de tales derechos, las cuales no están sujetas al desarrollo </w:t>
      </w:r>
      <w:r w:rsidRPr="00324887">
        <w:rPr>
          <w:rFonts w:ascii="Cambria" w:hAnsi="Cambria"/>
          <w:sz w:val="20"/>
          <w:szCs w:val="20"/>
          <w:lang w:val="es-ES"/>
        </w:rPr>
        <w:t>progresivo</w:t>
      </w:r>
      <w:r w:rsidRPr="00502F6F">
        <w:rPr>
          <w:rFonts w:ascii="Cambria" w:hAnsi="Cambria" w:cs="Arial"/>
          <w:sz w:val="20"/>
          <w:szCs w:val="20"/>
          <w:shd w:val="clear" w:color="auto" w:fill="FFFFFF"/>
          <w:lang w:val="es-PE"/>
        </w:rPr>
        <w:t xml:space="preserve"> sino que son de carácter inmediato</w:t>
      </w:r>
      <w:r w:rsidRPr="00502F6F">
        <w:rPr>
          <w:rStyle w:val="FootnoteReference"/>
          <w:rFonts w:ascii="Cambria" w:hAnsi="Cambria" w:cs="Arial"/>
          <w:snapToGrid w:val="0"/>
          <w:sz w:val="20"/>
          <w:szCs w:val="20"/>
          <w:lang w:val="es-CO"/>
        </w:rPr>
        <w:footnoteReference w:id="79"/>
      </w:r>
      <w:r w:rsidRPr="00502F6F">
        <w:rPr>
          <w:rFonts w:ascii="Cambria" w:hAnsi="Cambria" w:cs="Arial"/>
          <w:sz w:val="20"/>
          <w:szCs w:val="20"/>
          <w:shd w:val="clear" w:color="auto" w:fill="FFFFFF"/>
          <w:lang w:val="es-PE"/>
        </w:rPr>
        <w:t>.</w:t>
      </w:r>
      <w:r w:rsidR="003F5D46">
        <w:rPr>
          <w:rFonts w:ascii="Cambria" w:hAnsi="Cambria" w:cs="Arial"/>
          <w:sz w:val="20"/>
          <w:szCs w:val="20"/>
          <w:shd w:val="clear" w:color="auto" w:fill="FFFFFF"/>
          <w:lang w:val="es-PE"/>
        </w:rPr>
        <w:t xml:space="preserve"> </w:t>
      </w:r>
    </w:p>
    <w:p w:rsidR="003F5D46" w:rsidRDefault="003F5D46" w:rsidP="00B67AD6">
      <w:pPr>
        <w:pStyle w:val="ListParagraph"/>
        <w:rPr>
          <w:sz w:val="20"/>
          <w:szCs w:val="20"/>
          <w:highlight w:val="green"/>
          <w:lang w:val="es-PE"/>
        </w:rPr>
      </w:pPr>
    </w:p>
    <w:p w:rsidR="00324887" w:rsidRPr="00841689" w:rsidRDefault="003F5D46"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lang w:val="es-CO"/>
        </w:rPr>
      </w:pPr>
      <w:r w:rsidRPr="00B67AD6">
        <w:rPr>
          <w:rFonts w:ascii="Cambria" w:hAnsi="Cambria"/>
          <w:sz w:val="20"/>
          <w:szCs w:val="20"/>
          <w:lang w:val="es-PE"/>
        </w:rPr>
        <w:t xml:space="preserve">Asimismo, la CIDH entiende que a la luz del deber de garantía previsto en el artículo 1.1 de la CADH y la interpretación que sobre el mismo han hecho los órganos del </w:t>
      </w:r>
      <w:r w:rsidR="00F82B5B">
        <w:rPr>
          <w:rFonts w:ascii="Cambria" w:hAnsi="Cambria"/>
          <w:sz w:val="20"/>
          <w:szCs w:val="20"/>
          <w:lang w:val="es-PE"/>
        </w:rPr>
        <w:t>s</w:t>
      </w:r>
      <w:r w:rsidRPr="00B67AD6">
        <w:rPr>
          <w:rFonts w:ascii="Cambria" w:hAnsi="Cambria"/>
          <w:sz w:val="20"/>
          <w:szCs w:val="20"/>
          <w:lang w:val="es-PE"/>
        </w:rPr>
        <w:t xml:space="preserve">istema </w:t>
      </w:r>
      <w:r w:rsidR="00F82B5B">
        <w:rPr>
          <w:rFonts w:ascii="Cambria" w:hAnsi="Cambria"/>
          <w:sz w:val="20"/>
          <w:szCs w:val="20"/>
          <w:lang w:val="es-PE"/>
        </w:rPr>
        <w:t>i</w:t>
      </w:r>
      <w:r w:rsidRPr="00B67AD6">
        <w:rPr>
          <w:rFonts w:ascii="Cambria" w:hAnsi="Cambria"/>
          <w:sz w:val="20"/>
          <w:szCs w:val="20"/>
          <w:lang w:val="es-PE"/>
        </w:rPr>
        <w:t xml:space="preserve">nteramericano, los Estados partes deben </w:t>
      </w:r>
      <w:r w:rsidRPr="00B67AD6">
        <w:rPr>
          <w:rFonts w:ascii="Cambria" w:eastAsia="Batang" w:hAnsi="Cambria"/>
          <w:sz w:val="20"/>
          <w:szCs w:val="20"/>
          <w:lang w:val="es-UY"/>
        </w:rPr>
        <w:t>prevenir</w:t>
      </w:r>
      <w:r w:rsidRPr="00B67AD6">
        <w:rPr>
          <w:rFonts w:ascii="Cambria" w:hAnsi="Cambria"/>
          <w:sz w:val="20"/>
          <w:szCs w:val="20"/>
          <w:lang w:val="es-PE"/>
        </w:rPr>
        <w:t xml:space="preserve"> </w:t>
      </w:r>
      <w:r w:rsidR="00A46F5B">
        <w:rPr>
          <w:rFonts w:ascii="Cambria" w:hAnsi="Cambria"/>
          <w:sz w:val="20"/>
          <w:szCs w:val="20"/>
          <w:lang w:val="es-PE"/>
        </w:rPr>
        <w:t xml:space="preserve">razonablemente </w:t>
      </w:r>
      <w:r w:rsidRPr="00B67AD6">
        <w:rPr>
          <w:rFonts w:ascii="Cambria" w:hAnsi="Cambria"/>
          <w:sz w:val="20"/>
          <w:szCs w:val="20"/>
          <w:lang w:val="es-PE"/>
        </w:rPr>
        <w:t>la conculcación de los derechos contenidos en el artículo 26 en el contexto de las actividades empresariales.</w:t>
      </w:r>
      <w:r w:rsidR="00841689">
        <w:rPr>
          <w:rFonts w:ascii="Cambria" w:hAnsi="Cambria"/>
          <w:sz w:val="20"/>
          <w:szCs w:val="20"/>
          <w:lang w:val="es-PE"/>
        </w:rPr>
        <w:t xml:space="preserve"> Lo anterior</w:t>
      </w:r>
      <w:r w:rsidRPr="00B67AD6">
        <w:rPr>
          <w:rFonts w:ascii="Cambria" w:hAnsi="Cambria"/>
          <w:sz w:val="20"/>
          <w:szCs w:val="20"/>
          <w:lang w:val="es-PE"/>
        </w:rPr>
        <w:t xml:space="preserve"> incluye adoptar un marco jurídico que permita asegurar la protección de dichos derechos y que proporcione acceso efectivo a recursos para las víctimas de tales violaciones. Entre las acciones que aseguren un marco jurídico adecuado, el Estado deberá exigir que las empresas </w:t>
      </w:r>
      <w:r w:rsidR="00841689" w:rsidRPr="00B67AD6">
        <w:rPr>
          <w:rFonts w:ascii="Cambria" w:hAnsi="Cambria"/>
          <w:sz w:val="20"/>
          <w:szCs w:val="20"/>
          <w:lang w:val="es-PE"/>
        </w:rPr>
        <w:t xml:space="preserve">bajo su jurisdicción </w:t>
      </w:r>
      <w:r w:rsidRPr="00B67AD6">
        <w:rPr>
          <w:rFonts w:ascii="Cambria" w:hAnsi="Cambria"/>
          <w:sz w:val="20"/>
          <w:szCs w:val="20"/>
          <w:lang w:val="es-PE"/>
        </w:rPr>
        <w:t>ejerzan la diligencia debida en materia de derechos humanos a fin de identificar, prevenir y mitigar los riesgos de vulneración de los derechos en el marco de sus actividades</w:t>
      </w:r>
      <w:r w:rsidRPr="00B67AD6">
        <w:rPr>
          <w:rStyle w:val="FootnoteReference"/>
          <w:rFonts w:ascii="Cambria" w:hAnsi="Cambria"/>
          <w:sz w:val="20"/>
          <w:szCs w:val="20"/>
          <w:lang w:val="es-PE"/>
        </w:rPr>
        <w:footnoteReference w:id="80"/>
      </w:r>
      <w:r w:rsidRPr="00B67AD6">
        <w:rPr>
          <w:rFonts w:ascii="Cambria" w:hAnsi="Cambria"/>
          <w:sz w:val="20"/>
          <w:szCs w:val="20"/>
          <w:lang w:val="es-PE"/>
        </w:rPr>
        <w:t>.</w:t>
      </w:r>
    </w:p>
    <w:p w:rsidR="00324887" w:rsidRPr="00502F6F" w:rsidRDefault="00324887" w:rsidP="0032488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Arial"/>
          <w:snapToGrid w:val="0"/>
          <w:sz w:val="20"/>
          <w:szCs w:val="20"/>
          <w:lang w:val="es-CO"/>
        </w:rPr>
      </w:pPr>
    </w:p>
    <w:p w:rsidR="00324887" w:rsidRPr="00B16F59" w:rsidRDefault="0032488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
        </w:rPr>
      </w:pPr>
      <w:r w:rsidRPr="00502F6F">
        <w:rPr>
          <w:rFonts w:ascii="Cambria" w:hAnsi="Cambria"/>
          <w:sz w:val="20"/>
          <w:szCs w:val="20"/>
          <w:lang w:val="es-ES"/>
        </w:rPr>
        <w:t xml:space="preserve">Finalmente, los órganos del sistema interamericano han hecho hincapié en el deber de los Estados de adoptar medidas para asegurar la igualdad real entre las personas y combatir la discriminación histórica o </w:t>
      </w:r>
      <w:r w:rsidRPr="00502F6F">
        <w:rPr>
          <w:rFonts w:ascii="Cambria" w:hAnsi="Cambria"/>
          <w:i/>
          <w:sz w:val="20"/>
          <w:szCs w:val="20"/>
          <w:lang w:val="es-ES"/>
        </w:rPr>
        <w:t>de facto</w:t>
      </w:r>
      <w:r w:rsidRPr="00502F6F">
        <w:rPr>
          <w:rFonts w:ascii="Cambria" w:hAnsi="Cambria"/>
          <w:sz w:val="20"/>
          <w:szCs w:val="20"/>
          <w:lang w:val="es-ES"/>
        </w:rPr>
        <w:t xml:space="preserve"> ejercida en contra de una variedad de grupos sociales. La Comisión ha señalado que la implementación de medidas positivas son necesarias para garantizar el ejercicio de los derechos de personas vinculadas a grupos que sufren desigualdades estructurales o han sido víctima de procesos históricos de exclusión</w:t>
      </w:r>
      <w:r w:rsidRPr="00502F6F">
        <w:rPr>
          <w:rStyle w:val="FootnoteReference"/>
          <w:rFonts w:ascii="Cambria" w:hAnsi="Cambria"/>
          <w:sz w:val="20"/>
          <w:szCs w:val="20"/>
        </w:rPr>
        <w:footnoteReference w:id="81"/>
      </w:r>
      <w:r w:rsidRPr="00B16F59">
        <w:rPr>
          <w:rFonts w:ascii="Cambria" w:hAnsi="Cambria"/>
          <w:sz w:val="20"/>
          <w:szCs w:val="20"/>
          <w:lang w:val="es-ES"/>
        </w:rPr>
        <w:t xml:space="preserve">. En la misma línea, la </w:t>
      </w:r>
      <w:r w:rsidRPr="00502F6F">
        <w:rPr>
          <w:rFonts w:ascii="Cambria" w:hAnsi="Cambria"/>
          <w:sz w:val="20"/>
          <w:szCs w:val="20"/>
          <w:lang w:val="es-AR"/>
        </w:rPr>
        <w:t xml:space="preserve">Corte ha establecido que los Estados están obligados a adoptar medidas positivas para revertir o </w:t>
      </w:r>
      <w:r w:rsidRPr="00502F6F">
        <w:rPr>
          <w:rFonts w:ascii="Cambria" w:hAnsi="Cambria"/>
          <w:sz w:val="20"/>
          <w:szCs w:val="20"/>
          <w:lang w:val="es-ES"/>
        </w:rPr>
        <w:t>cambiar</w:t>
      </w:r>
      <w:r w:rsidRPr="00502F6F">
        <w:rPr>
          <w:rFonts w:ascii="Cambria" w:hAnsi="Cambria"/>
          <w:sz w:val="20"/>
          <w:szCs w:val="20"/>
          <w:lang w:val="es-AR"/>
        </w:rPr>
        <w:t xml:space="preserve">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Pr="00502F6F">
        <w:rPr>
          <w:rStyle w:val="FootnoteReference"/>
          <w:rFonts w:ascii="Cambria" w:hAnsi="Cambria"/>
          <w:sz w:val="20"/>
          <w:szCs w:val="20"/>
          <w:lang w:val="es-AR"/>
        </w:rPr>
        <w:footnoteReference w:id="82"/>
      </w:r>
      <w:r w:rsidRPr="00502F6F">
        <w:rPr>
          <w:rFonts w:ascii="Cambria" w:hAnsi="Cambria"/>
          <w:sz w:val="20"/>
          <w:szCs w:val="20"/>
          <w:lang w:val="es-AR"/>
        </w:rPr>
        <w:t>.</w:t>
      </w:r>
    </w:p>
    <w:p w:rsidR="00324887" w:rsidRDefault="00324887" w:rsidP="00324887">
      <w:pPr>
        <w:rPr>
          <w:lang w:val="es-ES_tradnl"/>
        </w:rPr>
      </w:pPr>
    </w:p>
    <w:p w:rsidR="00B665D2" w:rsidRPr="00B665D2" w:rsidRDefault="00797F2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PE"/>
        </w:rPr>
      </w:pPr>
      <w:r w:rsidRPr="00680ED2">
        <w:rPr>
          <w:rFonts w:ascii="Cambria" w:hAnsi="Cambria"/>
          <w:sz w:val="20"/>
          <w:szCs w:val="20"/>
          <w:lang w:val="es-PE"/>
        </w:rPr>
        <w:t xml:space="preserve">En aplicación de los anteriores parámetros al presente caso, la Comisión empieza destacando que </w:t>
      </w:r>
      <w:r w:rsidRPr="00680ED2">
        <w:rPr>
          <w:rFonts w:ascii="Cambria" w:hAnsi="Cambria"/>
          <w:sz w:val="20"/>
          <w:szCs w:val="20"/>
          <w:lang w:val="es-ES"/>
        </w:rPr>
        <w:t>el artículo 45 de la Carta de la OEA incorpora referencias a</w:t>
      </w:r>
      <w:r w:rsidR="0079757E" w:rsidRPr="00680ED2">
        <w:rPr>
          <w:rFonts w:ascii="Cambria" w:hAnsi="Cambria"/>
          <w:sz w:val="20"/>
          <w:szCs w:val="20"/>
          <w:lang w:val="es-ES"/>
        </w:rPr>
        <w:t xml:space="preserve"> </w:t>
      </w:r>
      <w:r w:rsidRPr="00680ED2">
        <w:rPr>
          <w:rFonts w:ascii="Cambria" w:hAnsi="Cambria"/>
          <w:sz w:val="20"/>
          <w:szCs w:val="20"/>
          <w:lang w:val="es-ES"/>
        </w:rPr>
        <w:t>l</w:t>
      </w:r>
      <w:r w:rsidR="0079757E" w:rsidRPr="00680ED2">
        <w:rPr>
          <w:rFonts w:ascii="Cambria" w:hAnsi="Cambria"/>
          <w:sz w:val="20"/>
          <w:szCs w:val="20"/>
          <w:lang w:val="es-ES"/>
        </w:rPr>
        <w:t>os</w:t>
      </w:r>
      <w:r w:rsidRPr="00680ED2">
        <w:rPr>
          <w:rFonts w:ascii="Cambria" w:hAnsi="Cambria"/>
          <w:sz w:val="20"/>
          <w:szCs w:val="20"/>
          <w:lang w:val="es-ES"/>
        </w:rPr>
        <w:t xml:space="preserve"> derecho</w:t>
      </w:r>
      <w:r w:rsidR="0079757E" w:rsidRPr="00680ED2">
        <w:rPr>
          <w:rFonts w:ascii="Cambria" w:hAnsi="Cambria"/>
          <w:sz w:val="20"/>
          <w:szCs w:val="20"/>
          <w:lang w:val="es-ES"/>
        </w:rPr>
        <w:t>s</w:t>
      </w:r>
      <w:r w:rsidRPr="00680ED2">
        <w:rPr>
          <w:rFonts w:ascii="Cambria" w:hAnsi="Cambria"/>
          <w:sz w:val="20"/>
          <w:szCs w:val="20"/>
          <w:lang w:val="es-ES"/>
        </w:rPr>
        <w:t xml:space="preserve"> a la salud</w:t>
      </w:r>
      <w:r w:rsidR="0079757E" w:rsidRPr="00680ED2">
        <w:rPr>
          <w:rFonts w:ascii="Cambria" w:hAnsi="Cambria"/>
          <w:sz w:val="20"/>
          <w:szCs w:val="20"/>
          <w:lang w:val="es-ES"/>
        </w:rPr>
        <w:t xml:space="preserve"> y </w:t>
      </w:r>
      <w:r w:rsidR="00B33D08" w:rsidRPr="00680ED2">
        <w:rPr>
          <w:rFonts w:ascii="Cambria" w:hAnsi="Cambria"/>
          <w:sz w:val="20"/>
          <w:szCs w:val="20"/>
          <w:lang w:val="es-ES"/>
        </w:rPr>
        <w:t xml:space="preserve">a la </w:t>
      </w:r>
      <w:r w:rsidR="0079757E" w:rsidRPr="00680ED2">
        <w:rPr>
          <w:rFonts w:ascii="Cambria" w:hAnsi="Cambria"/>
          <w:sz w:val="20"/>
          <w:szCs w:val="20"/>
          <w:lang w:val="es-ES"/>
        </w:rPr>
        <w:t>seguridad social</w:t>
      </w:r>
      <w:r w:rsidR="00F82B5B" w:rsidRPr="00680ED2">
        <w:rPr>
          <w:rFonts w:ascii="Cambria" w:hAnsi="Cambria"/>
          <w:sz w:val="20"/>
          <w:szCs w:val="20"/>
          <w:lang w:val="es-ES"/>
        </w:rPr>
        <w:t>.</w:t>
      </w:r>
      <w:r w:rsidR="00F82B5B">
        <w:rPr>
          <w:rFonts w:ascii="Cambria" w:hAnsi="Cambria"/>
          <w:sz w:val="20"/>
          <w:szCs w:val="20"/>
          <w:lang w:val="es-ES"/>
        </w:rPr>
        <w:t xml:space="preserve"> El artículo 34. </w:t>
      </w:r>
      <w:r>
        <w:rPr>
          <w:rFonts w:ascii="Cambria" w:hAnsi="Cambria"/>
          <w:sz w:val="20"/>
          <w:szCs w:val="20"/>
          <w:lang w:val="es-ES"/>
        </w:rPr>
        <w:t xml:space="preserve">i) del mismo instrumento también subraya el rol del Estado en la “defensa del potencial humano mediante la extensión y aplicación de los modernos conocimientos de la ciencia médica”, subrayando con ello la importancia de la garantía de la salud para el desarrollo integral de la persona. </w:t>
      </w:r>
      <w:r w:rsidRPr="00D774DC">
        <w:rPr>
          <w:rFonts w:ascii="Cambria" w:hAnsi="Cambria"/>
          <w:sz w:val="20"/>
          <w:szCs w:val="20"/>
          <w:lang w:val="es-ES"/>
        </w:rPr>
        <w:t xml:space="preserve"> Asimismo, el artículo XI de la Declaración Americana </w:t>
      </w:r>
      <w:r w:rsidR="00D46DA1">
        <w:rPr>
          <w:rFonts w:ascii="Cambria" w:hAnsi="Cambria"/>
          <w:sz w:val="20"/>
          <w:szCs w:val="20"/>
          <w:lang w:val="es-ES"/>
        </w:rPr>
        <w:t>y 12 del PIDESC incorporan este derecho</w:t>
      </w:r>
      <w:r w:rsidRPr="00D774DC">
        <w:rPr>
          <w:rFonts w:ascii="Cambria" w:hAnsi="Cambria"/>
          <w:sz w:val="20"/>
          <w:szCs w:val="20"/>
          <w:lang w:val="es-ES"/>
        </w:rPr>
        <w:t xml:space="preserve">. </w:t>
      </w:r>
      <w:r w:rsidR="0079757E">
        <w:rPr>
          <w:rFonts w:ascii="Cambria" w:hAnsi="Cambria"/>
          <w:sz w:val="20"/>
          <w:szCs w:val="20"/>
          <w:lang w:val="es-ES"/>
        </w:rPr>
        <w:t>En cuanto al derecho a la seguridad social, este se de</w:t>
      </w:r>
      <w:r w:rsidR="00916E89">
        <w:rPr>
          <w:rFonts w:ascii="Cambria" w:hAnsi="Cambria"/>
          <w:sz w:val="20"/>
          <w:szCs w:val="20"/>
          <w:lang w:val="es-ES"/>
        </w:rPr>
        <w:t>riva</w:t>
      </w:r>
      <w:r w:rsidR="0079757E">
        <w:rPr>
          <w:rFonts w:ascii="Cambria" w:hAnsi="Cambria"/>
          <w:sz w:val="20"/>
          <w:szCs w:val="20"/>
          <w:lang w:val="es-ES"/>
        </w:rPr>
        <w:t xml:space="preserve"> de</w:t>
      </w:r>
      <w:r w:rsidR="00916E89">
        <w:rPr>
          <w:rFonts w:ascii="Cambria" w:hAnsi="Cambria"/>
          <w:sz w:val="20"/>
          <w:szCs w:val="20"/>
          <w:lang w:val="es-ES"/>
        </w:rPr>
        <w:t>l artículo</w:t>
      </w:r>
      <w:r w:rsidR="0079757E">
        <w:rPr>
          <w:rFonts w:ascii="Cambria" w:hAnsi="Cambria"/>
          <w:sz w:val="20"/>
          <w:szCs w:val="20"/>
          <w:lang w:val="es-ES"/>
        </w:rPr>
        <w:t xml:space="preserve"> 45 </w:t>
      </w:r>
      <w:r w:rsidR="00916E89">
        <w:rPr>
          <w:rFonts w:ascii="Cambria" w:hAnsi="Cambria"/>
          <w:sz w:val="20"/>
          <w:szCs w:val="20"/>
          <w:lang w:val="es-ES"/>
        </w:rPr>
        <w:t xml:space="preserve">incisos </w:t>
      </w:r>
      <w:r w:rsidR="0079757E">
        <w:rPr>
          <w:rFonts w:ascii="Cambria" w:hAnsi="Cambria"/>
          <w:sz w:val="20"/>
          <w:szCs w:val="20"/>
          <w:lang w:val="es-ES"/>
        </w:rPr>
        <w:t>b) y h) de la Carta de la OEA</w:t>
      </w:r>
      <w:r w:rsidR="00916E89">
        <w:rPr>
          <w:rFonts w:ascii="Cambria" w:hAnsi="Cambria"/>
          <w:sz w:val="20"/>
          <w:szCs w:val="20"/>
          <w:lang w:val="es-ES"/>
        </w:rPr>
        <w:t xml:space="preserve">, los cuales establecen respectivamente la </w:t>
      </w:r>
      <w:r w:rsidR="00D46DA1">
        <w:rPr>
          <w:rFonts w:ascii="Cambria" w:hAnsi="Cambria"/>
          <w:sz w:val="20"/>
          <w:szCs w:val="20"/>
          <w:lang w:val="es-ES"/>
        </w:rPr>
        <w:t>protección contra</w:t>
      </w:r>
      <w:r w:rsidR="00916E89">
        <w:rPr>
          <w:rFonts w:ascii="Cambria" w:hAnsi="Cambria"/>
          <w:sz w:val="20"/>
          <w:szCs w:val="20"/>
          <w:lang w:val="es-ES"/>
        </w:rPr>
        <w:t xml:space="preserve"> imprevistos o riesgos sociales en relación al trabajo y la necesidad de desarrollar una política eficiente de seguridad social</w:t>
      </w:r>
      <w:r w:rsidR="0079757E">
        <w:rPr>
          <w:rFonts w:ascii="Cambria" w:hAnsi="Cambria"/>
          <w:sz w:val="20"/>
          <w:szCs w:val="20"/>
          <w:lang w:val="es-ES"/>
        </w:rPr>
        <w:t xml:space="preserve">. A su vez, de manera más general el artículo 46 se refiere a la labor de armonización sobre normativa de seguridad social a nivel regional. </w:t>
      </w:r>
      <w:r w:rsidR="00D46DA1">
        <w:rPr>
          <w:rFonts w:ascii="Cambria" w:hAnsi="Cambria"/>
          <w:sz w:val="20"/>
          <w:szCs w:val="20"/>
          <w:lang w:val="es-ES"/>
        </w:rPr>
        <w:t>Por su parte, l</w:t>
      </w:r>
      <w:r w:rsidR="0079757E">
        <w:rPr>
          <w:rFonts w:ascii="Cambria" w:hAnsi="Cambria"/>
          <w:sz w:val="20"/>
          <w:szCs w:val="20"/>
          <w:lang w:val="es-ES"/>
        </w:rPr>
        <w:t>a Declaración Americana recoge este mismo derecho en su artículo XVI</w:t>
      </w:r>
      <w:r w:rsidR="00916E89">
        <w:rPr>
          <w:rFonts w:ascii="Cambria" w:hAnsi="Cambria"/>
          <w:sz w:val="20"/>
          <w:szCs w:val="20"/>
          <w:lang w:val="es-ES"/>
        </w:rPr>
        <w:t xml:space="preserve"> y el PIDESC en </w:t>
      </w:r>
      <w:r w:rsidR="00D46DA1">
        <w:rPr>
          <w:rFonts w:ascii="Cambria" w:hAnsi="Cambria"/>
          <w:sz w:val="20"/>
          <w:szCs w:val="20"/>
          <w:lang w:val="es-ES"/>
        </w:rPr>
        <w:t xml:space="preserve">su </w:t>
      </w:r>
      <w:r w:rsidR="00916E89">
        <w:rPr>
          <w:rFonts w:ascii="Cambria" w:hAnsi="Cambria"/>
          <w:sz w:val="20"/>
          <w:szCs w:val="20"/>
          <w:lang w:val="es-ES"/>
        </w:rPr>
        <w:t>artículo 9</w:t>
      </w:r>
      <w:r w:rsidRPr="00916E89">
        <w:rPr>
          <w:rFonts w:ascii="Cambria" w:hAnsi="Cambria"/>
          <w:sz w:val="20"/>
          <w:szCs w:val="20"/>
          <w:lang w:val="es-ES"/>
        </w:rPr>
        <w:t>. Como ya se ha indicado, recurrir a otros</w:t>
      </w:r>
      <w:r w:rsidRPr="00D46DA1">
        <w:rPr>
          <w:rFonts w:ascii="Cambria" w:hAnsi="Cambria"/>
          <w:sz w:val="20"/>
          <w:szCs w:val="20"/>
          <w:lang w:val="es-ES"/>
        </w:rPr>
        <w:t xml:space="preserve"> instrumentos internacionales puede ser necesario para señalar la derivación de un derecho a partir de una medida u objetivo de política pública incluidas en una norma de carácter económico, social, cultural, educativo o científico de la Carta de la OEA</w:t>
      </w:r>
      <w:r w:rsidRPr="005F616A">
        <w:rPr>
          <w:rStyle w:val="FootnoteReference"/>
          <w:rFonts w:ascii="Cambria" w:hAnsi="Cambria"/>
          <w:sz w:val="20"/>
          <w:szCs w:val="20"/>
          <w:lang w:val="es-ES"/>
        </w:rPr>
        <w:footnoteReference w:id="83"/>
      </w:r>
      <w:r w:rsidRPr="00916E89">
        <w:rPr>
          <w:rFonts w:ascii="Cambria" w:hAnsi="Cambria"/>
          <w:sz w:val="20"/>
          <w:szCs w:val="20"/>
          <w:lang w:val="es-ES"/>
        </w:rPr>
        <w:t>.</w:t>
      </w:r>
    </w:p>
    <w:p w:rsidR="00B665D2" w:rsidRDefault="00B665D2" w:rsidP="00B665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PE"/>
        </w:rPr>
      </w:pPr>
    </w:p>
    <w:p w:rsidR="00B665D2" w:rsidRPr="00B665D2" w:rsidRDefault="00E478F0"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PE"/>
        </w:rPr>
      </w:pPr>
      <w:r w:rsidRPr="00B665D2">
        <w:rPr>
          <w:rFonts w:ascii="Cambria" w:eastAsia="Batang" w:hAnsi="Cambria"/>
          <w:sz w:val="20"/>
          <w:szCs w:val="20"/>
          <w:lang w:val="es-UY"/>
        </w:rPr>
        <w:t xml:space="preserve">De lo anterior, la Comisión considera claro que </w:t>
      </w:r>
      <w:r w:rsidR="00D46DA1" w:rsidRPr="00B665D2">
        <w:rPr>
          <w:rFonts w:ascii="Cambria" w:eastAsia="Batang" w:hAnsi="Cambria"/>
          <w:sz w:val="20"/>
          <w:szCs w:val="20"/>
          <w:lang w:val="es-UY"/>
        </w:rPr>
        <w:t>los</w:t>
      </w:r>
      <w:r w:rsidRPr="00B665D2">
        <w:rPr>
          <w:rFonts w:ascii="Cambria" w:eastAsia="Batang" w:hAnsi="Cambria"/>
          <w:sz w:val="20"/>
          <w:szCs w:val="20"/>
          <w:lang w:val="es-UY"/>
        </w:rPr>
        <w:t xml:space="preserve"> derecho</w:t>
      </w:r>
      <w:r w:rsidR="00D46DA1" w:rsidRPr="00B665D2">
        <w:rPr>
          <w:rFonts w:ascii="Cambria" w:eastAsia="Batang" w:hAnsi="Cambria"/>
          <w:sz w:val="20"/>
          <w:szCs w:val="20"/>
          <w:lang w:val="es-UY"/>
        </w:rPr>
        <w:t>s</w:t>
      </w:r>
      <w:r w:rsidRPr="00B665D2">
        <w:rPr>
          <w:rFonts w:ascii="Cambria" w:eastAsia="Batang" w:hAnsi="Cambria"/>
          <w:sz w:val="20"/>
          <w:szCs w:val="20"/>
          <w:lang w:val="es-UY"/>
        </w:rPr>
        <w:t xml:space="preserve"> a la salud </w:t>
      </w:r>
      <w:r w:rsidR="00D46DA1" w:rsidRPr="00B665D2">
        <w:rPr>
          <w:rFonts w:ascii="Cambria" w:eastAsia="Batang" w:hAnsi="Cambria"/>
          <w:sz w:val="20"/>
          <w:szCs w:val="20"/>
          <w:lang w:val="es-UY"/>
        </w:rPr>
        <w:t xml:space="preserve">y seguridad social </w:t>
      </w:r>
      <w:r w:rsidRPr="00B665D2">
        <w:rPr>
          <w:rFonts w:ascii="Cambria" w:eastAsia="Batang" w:hAnsi="Cambria"/>
          <w:sz w:val="20"/>
          <w:szCs w:val="20"/>
          <w:lang w:val="es-UY"/>
        </w:rPr>
        <w:t>constituye</w:t>
      </w:r>
      <w:r w:rsidR="00D46DA1" w:rsidRPr="00B665D2">
        <w:rPr>
          <w:rFonts w:ascii="Cambria" w:eastAsia="Batang" w:hAnsi="Cambria"/>
          <w:sz w:val="20"/>
          <w:szCs w:val="20"/>
          <w:lang w:val="es-UY"/>
        </w:rPr>
        <w:t>n</w:t>
      </w:r>
      <w:r w:rsidRPr="00B665D2">
        <w:rPr>
          <w:rFonts w:ascii="Cambria" w:eastAsia="Batang" w:hAnsi="Cambria"/>
          <w:sz w:val="20"/>
          <w:szCs w:val="20"/>
          <w:lang w:val="es-UY"/>
        </w:rPr>
        <w:t xml:space="preserve"> una</w:t>
      </w:r>
      <w:r w:rsidR="00D46DA1" w:rsidRPr="00B665D2">
        <w:rPr>
          <w:rFonts w:ascii="Cambria" w:eastAsia="Batang" w:hAnsi="Cambria"/>
          <w:sz w:val="20"/>
          <w:szCs w:val="20"/>
          <w:lang w:val="es-UY"/>
        </w:rPr>
        <w:t>s</w:t>
      </w:r>
      <w:r w:rsidRPr="00B665D2">
        <w:rPr>
          <w:rFonts w:ascii="Cambria" w:eastAsia="Batang" w:hAnsi="Cambria"/>
          <w:sz w:val="20"/>
          <w:szCs w:val="20"/>
          <w:lang w:val="es-UY"/>
        </w:rPr>
        <w:t xml:space="preserve"> de las normas económicas y sociales mencionadas en el artículo 26 de la Convención y, en ese sentido, los Estados partes se encuentran en la obligación de procurar el desarrollo progresivo de</w:t>
      </w:r>
      <w:r w:rsidR="00D46DA1" w:rsidRPr="00B665D2">
        <w:rPr>
          <w:rFonts w:ascii="Cambria" w:eastAsia="Batang" w:hAnsi="Cambria"/>
          <w:sz w:val="20"/>
          <w:szCs w:val="20"/>
          <w:lang w:val="es-UY"/>
        </w:rPr>
        <w:t xml:space="preserve"> </w:t>
      </w:r>
      <w:r w:rsidRPr="00B665D2">
        <w:rPr>
          <w:rFonts w:ascii="Cambria" w:eastAsia="Batang" w:hAnsi="Cambria"/>
          <w:sz w:val="20"/>
          <w:szCs w:val="20"/>
          <w:lang w:val="es-UY"/>
        </w:rPr>
        <w:t>l</w:t>
      </w:r>
      <w:r w:rsidR="00D46DA1" w:rsidRPr="00B665D2">
        <w:rPr>
          <w:rFonts w:ascii="Cambria" w:eastAsia="Batang" w:hAnsi="Cambria"/>
          <w:sz w:val="20"/>
          <w:szCs w:val="20"/>
          <w:lang w:val="es-UY"/>
        </w:rPr>
        <w:t>os</w:t>
      </w:r>
      <w:r w:rsidRPr="00B665D2">
        <w:rPr>
          <w:rFonts w:ascii="Cambria" w:eastAsia="Batang" w:hAnsi="Cambria"/>
          <w:sz w:val="20"/>
          <w:szCs w:val="20"/>
          <w:lang w:val="es-UY"/>
        </w:rPr>
        <w:t xml:space="preserve"> mismo</w:t>
      </w:r>
      <w:r w:rsidR="00D46DA1" w:rsidRPr="00B665D2">
        <w:rPr>
          <w:rFonts w:ascii="Cambria" w:eastAsia="Batang" w:hAnsi="Cambria"/>
          <w:sz w:val="20"/>
          <w:szCs w:val="20"/>
          <w:lang w:val="es-UY"/>
        </w:rPr>
        <w:t>s</w:t>
      </w:r>
      <w:r w:rsidRPr="00B665D2">
        <w:rPr>
          <w:rFonts w:ascii="Cambria" w:eastAsia="Batang" w:hAnsi="Cambria"/>
          <w:sz w:val="20"/>
          <w:szCs w:val="20"/>
          <w:lang w:val="es-UY"/>
        </w:rPr>
        <w:t>, así como de respetar, garantizar y adoptar las medidas necesarias para hacer efectivo tal</w:t>
      </w:r>
      <w:r w:rsidR="00D46DA1" w:rsidRPr="00B665D2">
        <w:rPr>
          <w:rFonts w:ascii="Cambria" w:eastAsia="Batang" w:hAnsi="Cambria"/>
          <w:sz w:val="20"/>
          <w:szCs w:val="20"/>
          <w:lang w:val="es-UY"/>
        </w:rPr>
        <w:t>es</w:t>
      </w:r>
      <w:r w:rsidRPr="00B665D2">
        <w:rPr>
          <w:rFonts w:ascii="Cambria" w:eastAsia="Batang" w:hAnsi="Cambria"/>
          <w:sz w:val="20"/>
          <w:szCs w:val="20"/>
          <w:lang w:val="es-UY"/>
        </w:rPr>
        <w:t xml:space="preserve"> derecho</w:t>
      </w:r>
      <w:r w:rsidR="00D46DA1" w:rsidRPr="00B665D2">
        <w:rPr>
          <w:rFonts w:ascii="Cambria" w:eastAsia="Batang" w:hAnsi="Cambria"/>
          <w:sz w:val="20"/>
          <w:szCs w:val="20"/>
          <w:lang w:val="es-UY"/>
        </w:rPr>
        <w:t>s</w:t>
      </w:r>
      <w:r w:rsidRPr="00B665D2">
        <w:rPr>
          <w:rFonts w:ascii="Cambria" w:eastAsia="Batang" w:hAnsi="Cambria"/>
          <w:sz w:val="20"/>
          <w:szCs w:val="20"/>
          <w:lang w:val="es-UY"/>
        </w:rPr>
        <w:t>.</w:t>
      </w:r>
    </w:p>
    <w:p w:rsidR="00B665D2" w:rsidRDefault="00B665D2" w:rsidP="00B665D2">
      <w:pPr>
        <w:pStyle w:val="ListParagraph"/>
        <w:rPr>
          <w:sz w:val="20"/>
          <w:szCs w:val="20"/>
          <w:lang w:val="es-PE"/>
        </w:rPr>
      </w:pPr>
    </w:p>
    <w:p w:rsidR="00E5676C" w:rsidRPr="00B665D2" w:rsidRDefault="00B665D2"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PE"/>
        </w:rPr>
      </w:pPr>
      <w:r w:rsidRPr="00B665D2">
        <w:rPr>
          <w:rFonts w:ascii="Cambria" w:eastAsia="Batang" w:hAnsi="Cambria"/>
          <w:sz w:val="20"/>
          <w:szCs w:val="20"/>
          <w:lang w:val="es-UY"/>
        </w:rPr>
        <w:t>Sobre los contenidos del derecho a la salud,</w:t>
      </w:r>
      <w:r w:rsidRPr="00B665D2">
        <w:rPr>
          <w:rFonts w:ascii="Cambria" w:hAnsi="Cambria" w:cs="Arial"/>
          <w:snapToGrid w:val="0"/>
          <w:sz w:val="20"/>
          <w:szCs w:val="20"/>
          <w:lang w:val="es-CO"/>
        </w:rPr>
        <w:t xml:space="preserve"> en sintonía con el </w:t>
      </w:r>
      <w:r w:rsidRPr="00B665D2">
        <w:rPr>
          <w:rFonts w:ascii="Cambria" w:hAnsi="Cambria" w:cs="Arial"/>
          <w:i/>
          <w:snapToGrid w:val="0"/>
          <w:sz w:val="20"/>
          <w:szCs w:val="20"/>
          <w:lang w:val="es-CO"/>
        </w:rPr>
        <w:t>corpus iuris</w:t>
      </w:r>
      <w:r w:rsidRPr="00B665D2">
        <w:rPr>
          <w:rFonts w:ascii="Cambria" w:hAnsi="Cambria" w:cs="Arial"/>
          <w:snapToGrid w:val="0"/>
          <w:sz w:val="20"/>
          <w:szCs w:val="20"/>
          <w:lang w:val="es-CO"/>
        </w:rPr>
        <w:t xml:space="preserve"> internacional relativo al derecho a la salud identificado por la </w:t>
      </w:r>
      <w:r w:rsidRPr="00B665D2">
        <w:rPr>
          <w:rFonts w:ascii="Cambria" w:eastAsia="Batang" w:hAnsi="Cambria"/>
          <w:sz w:val="20"/>
          <w:szCs w:val="20"/>
          <w:lang w:val="es-UY"/>
        </w:rPr>
        <w:t>Corte</w:t>
      </w:r>
      <w:r w:rsidRPr="00B665D2">
        <w:rPr>
          <w:rStyle w:val="FootnoteReference"/>
          <w:rFonts w:ascii="Cambria" w:hAnsi="Cambria" w:cs="Arial"/>
          <w:snapToGrid w:val="0"/>
          <w:sz w:val="20"/>
          <w:szCs w:val="20"/>
          <w:lang w:val="es-CO"/>
        </w:rPr>
        <w:footnoteReference w:id="84"/>
      </w:r>
      <w:r w:rsidRPr="00B665D2">
        <w:rPr>
          <w:rFonts w:ascii="Cambria" w:hAnsi="Cambria" w:cs="Arial"/>
          <w:snapToGrid w:val="0"/>
          <w:sz w:val="20"/>
          <w:szCs w:val="20"/>
          <w:lang w:val="es-CO"/>
        </w:rPr>
        <w:t>, en el presente caso es posible derivar los estándares aplicables a partir del desarrollo de los alcances del derecho al disfrute del más alto nivel posible de salud. De acuerdo con el  PIDESC “</w:t>
      </w:r>
      <w:r w:rsidRPr="00B665D2">
        <w:rPr>
          <w:rFonts w:ascii="Cambria" w:hAnsi="Cambria" w:cs="Arial"/>
          <w:snapToGrid w:val="0"/>
          <w:sz w:val="20"/>
          <w:szCs w:val="20"/>
          <w:lang w:val="es-ES"/>
        </w:rPr>
        <w:t>los Estados Partes en el presente Pacto reconocen el derecho de toda persona al disfrute del más alto nivel posible de salud física y mental”</w:t>
      </w:r>
      <w:r w:rsidRPr="00B665D2">
        <w:rPr>
          <w:rStyle w:val="FootnoteReference"/>
          <w:rFonts w:ascii="Cambria" w:hAnsi="Cambria" w:cs="Arial"/>
          <w:snapToGrid w:val="0"/>
          <w:sz w:val="20"/>
          <w:szCs w:val="20"/>
          <w:lang w:val="es-ES"/>
        </w:rPr>
        <w:footnoteReference w:id="85"/>
      </w:r>
      <w:r w:rsidRPr="00B665D2">
        <w:rPr>
          <w:rFonts w:ascii="Cambria" w:hAnsi="Cambria" w:cs="Arial"/>
          <w:snapToGrid w:val="0"/>
          <w:sz w:val="20"/>
          <w:szCs w:val="20"/>
          <w:lang w:val="es-ES"/>
        </w:rPr>
        <w:t xml:space="preserve"> y establece que entre las medidas que deberán adoptar los Estados para asegurar la plena efectividad de este derecho, se encuentra “la creación de condiciones que aseguren a todos asistencia médica y servicios médicos en caso de enfermedad”</w:t>
      </w:r>
      <w:r w:rsidRPr="00B665D2">
        <w:rPr>
          <w:rStyle w:val="FootnoteReference"/>
          <w:rFonts w:ascii="Cambria" w:hAnsi="Cambria" w:cs="Arial"/>
          <w:snapToGrid w:val="0"/>
          <w:sz w:val="20"/>
          <w:szCs w:val="20"/>
          <w:lang w:val="es-ES"/>
        </w:rPr>
        <w:footnoteReference w:id="86"/>
      </w:r>
      <w:r w:rsidRPr="00B665D2">
        <w:rPr>
          <w:rFonts w:ascii="Cambria" w:hAnsi="Cambria" w:cs="Arial"/>
          <w:snapToGrid w:val="0"/>
          <w:sz w:val="20"/>
          <w:szCs w:val="20"/>
          <w:lang w:val="es-ES"/>
        </w:rPr>
        <w:t xml:space="preserve">. </w:t>
      </w:r>
    </w:p>
    <w:p w:rsidR="00E5676C" w:rsidRDefault="00E5676C" w:rsidP="00E5676C">
      <w:pPr>
        <w:pStyle w:val="ListParagraph"/>
        <w:rPr>
          <w:rFonts w:eastAsia="Batang"/>
          <w:sz w:val="20"/>
          <w:szCs w:val="20"/>
          <w:lang w:val="es-UY"/>
        </w:rPr>
      </w:pPr>
    </w:p>
    <w:p w:rsidR="00617116" w:rsidRDefault="00EC1F54"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PE"/>
        </w:rPr>
      </w:pPr>
      <w:r>
        <w:rPr>
          <w:rFonts w:ascii="Cambria" w:eastAsia="Batang" w:hAnsi="Cambria"/>
          <w:sz w:val="20"/>
          <w:szCs w:val="20"/>
          <w:lang w:val="es-UY"/>
        </w:rPr>
        <w:t xml:space="preserve">Por su parte, </w:t>
      </w:r>
      <w:r>
        <w:rPr>
          <w:rFonts w:ascii="Cambria" w:hAnsi="Cambria"/>
          <w:sz w:val="20"/>
          <w:szCs w:val="20"/>
          <w:lang w:val="es-ES"/>
        </w:rPr>
        <w:t>e</w:t>
      </w:r>
      <w:r w:rsidR="00617116" w:rsidRPr="00E235DC">
        <w:rPr>
          <w:rFonts w:ascii="Cambria" w:hAnsi="Cambria"/>
          <w:sz w:val="20"/>
          <w:szCs w:val="20"/>
          <w:lang w:val="es-ES"/>
        </w:rPr>
        <w:t xml:space="preserve">l Comité de Derechos Económicos, Sociales y Culturales ha señalado que </w:t>
      </w:r>
      <w:r w:rsidR="00617116" w:rsidRPr="00E235DC">
        <w:rPr>
          <w:rFonts w:ascii="Cambria" w:hAnsi="Cambria"/>
          <w:sz w:val="20"/>
          <w:szCs w:val="20"/>
          <w:bdr w:val="none" w:sz="0" w:space="0" w:color="auto"/>
          <w:lang w:val="es-ES"/>
        </w:rPr>
        <w:t>todos</w:t>
      </w:r>
      <w:r w:rsidR="00617116" w:rsidRPr="00E235DC">
        <w:rPr>
          <w:rFonts w:ascii="Cambria" w:hAnsi="Cambria"/>
          <w:sz w:val="20"/>
          <w:szCs w:val="20"/>
          <w:lang w:val="es-ES"/>
        </w:rPr>
        <w:t xml:space="preserve"> los servicios, bienes e instalaciones de salud deben cumplir con requisitos de disponibilidad, </w:t>
      </w:r>
      <w:r w:rsidR="00617116" w:rsidRPr="00852B06">
        <w:rPr>
          <w:rFonts w:ascii="Cambria" w:eastAsia="Batang" w:hAnsi="Cambria"/>
          <w:sz w:val="20"/>
          <w:szCs w:val="20"/>
          <w:lang w:val="es-UY"/>
        </w:rPr>
        <w:t>accesibilidad</w:t>
      </w:r>
      <w:r w:rsidR="00617116" w:rsidRPr="00E235DC">
        <w:rPr>
          <w:rFonts w:ascii="Cambria" w:hAnsi="Cambria"/>
          <w:sz w:val="20"/>
          <w:szCs w:val="20"/>
          <w:lang w:val="es-ES"/>
        </w:rPr>
        <w:t>, aceptabilidad y calidad</w:t>
      </w:r>
      <w:r w:rsidR="00617116" w:rsidRPr="00D774DC">
        <w:rPr>
          <w:rStyle w:val="FootnoteReference"/>
          <w:rFonts w:ascii="Cambria" w:hAnsi="Cambria"/>
          <w:sz w:val="20"/>
          <w:szCs w:val="20"/>
          <w:lang w:val="es-ES"/>
        </w:rPr>
        <w:footnoteReference w:id="87"/>
      </w:r>
      <w:r w:rsidR="00617116" w:rsidRPr="00D774DC">
        <w:rPr>
          <w:rFonts w:ascii="Cambria" w:hAnsi="Cambria"/>
          <w:sz w:val="20"/>
          <w:szCs w:val="20"/>
          <w:lang w:val="es-ES"/>
        </w:rPr>
        <w:t>.</w:t>
      </w:r>
      <w:r>
        <w:rPr>
          <w:rFonts w:ascii="Cambria" w:hAnsi="Cambria"/>
          <w:sz w:val="20"/>
          <w:szCs w:val="20"/>
          <w:lang w:val="es-ES"/>
        </w:rPr>
        <w:t xml:space="preserve"> Tanto la Comisión como la Corte han tomado en cuenta estos conceptos y los ha</w:t>
      </w:r>
      <w:r w:rsidR="00605238">
        <w:rPr>
          <w:rFonts w:ascii="Cambria" w:hAnsi="Cambria"/>
          <w:sz w:val="20"/>
          <w:szCs w:val="20"/>
          <w:lang w:val="es-ES"/>
        </w:rPr>
        <w:t>n</w:t>
      </w:r>
      <w:r>
        <w:rPr>
          <w:rFonts w:ascii="Cambria" w:hAnsi="Cambria"/>
          <w:sz w:val="20"/>
          <w:szCs w:val="20"/>
          <w:lang w:val="es-ES"/>
        </w:rPr>
        <w:t xml:space="preserve"> incorporado al análisis de diversos casos</w:t>
      </w:r>
      <w:r w:rsidR="00DE4B10">
        <w:rPr>
          <w:rStyle w:val="FootnoteReference"/>
          <w:rFonts w:ascii="Cambria" w:hAnsi="Cambria"/>
          <w:sz w:val="20"/>
          <w:szCs w:val="20"/>
          <w:lang w:val="es-ES"/>
        </w:rPr>
        <w:footnoteReference w:id="88"/>
      </w:r>
      <w:r>
        <w:rPr>
          <w:rFonts w:ascii="Cambria" w:hAnsi="Cambria"/>
          <w:sz w:val="20"/>
          <w:szCs w:val="20"/>
          <w:lang w:val="es-ES"/>
        </w:rPr>
        <w:t>.</w:t>
      </w:r>
    </w:p>
    <w:p w:rsidR="0034255C" w:rsidRDefault="0034255C" w:rsidP="00560BD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680ED2" w:rsidRPr="0034255C" w:rsidRDefault="00680ED2" w:rsidP="00560BD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rsidR="000A3398" w:rsidRPr="00B67AD6" w:rsidRDefault="0034255C"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34255C">
        <w:rPr>
          <w:rFonts w:ascii="Cambria" w:hAnsi="Cambria"/>
          <w:sz w:val="20"/>
          <w:szCs w:val="20"/>
          <w:lang w:val="es-ES"/>
        </w:rPr>
        <w:t xml:space="preserve">Asimismo, el Comité DESC </w:t>
      </w:r>
      <w:r w:rsidR="00E5676C">
        <w:rPr>
          <w:rFonts w:ascii="Cambria" w:hAnsi="Cambria"/>
          <w:sz w:val="20"/>
          <w:szCs w:val="20"/>
          <w:lang w:val="es-ES"/>
        </w:rPr>
        <w:t xml:space="preserve">ha indicado </w:t>
      </w:r>
      <w:r w:rsidRPr="0034255C">
        <w:rPr>
          <w:rFonts w:ascii="Cambria" w:hAnsi="Cambria"/>
          <w:sz w:val="20"/>
          <w:szCs w:val="20"/>
          <w:lang w:val="es-ES"/>
        </w:rPr>
        <w:t xml:space="preserve">que, en consonancia con la Convención del Niño, </w:t>
      </w:r>
      <w:r>
        <w:rPr>
          <w:rFonts w:ascii="Cambria" w:hAnsi="Cambria"/>
          <w:sz w:val="20"/>
          <w:szCs w:val="20"/>
          <w:lang w:val="es-ES"/>
        </w:rPr>
        <w:t>los niños</w:t>
      </w:r>
      <w:r w:rsidR="00DB186A">
        <w:rPr>
          <w:rFonts w:ascii="Cambria" w:hAnsi="Cambria"/>
          <w:sz w:val="20"/>
          <w:szCs w:val="20"/>
          <w:lang w:val="es-ES"/>
        </w:rPr>
        <w:t xml:space="preserve"> y niñas</w:t>
      </w:r>
      <w:r>
        <w:rPr>
          <w:rFonts w:ascii="Cambria" w:hAnsi="Cambria"/>
          <w:sz w:val="20"/>
          <w:szCs w:val="20"/>
          <w:lang w:val="es-ES"/>
        </w:rPr>
        <w:t xml:space="preserve"> tienen derecho al disfrute del más alto nivel posible de salud y al acceso a centros de tratamiento de enfermedades”, y que </w:t>
      </w:r>
      <w:r w:rsidRPr="0034255C">
        <w:rPr>
          <w:rFonts w:ascii="Cambria" w:hAnsi="Cambria"/>
          <w:sz w:val="20"/>
          <w:szCs w:val="20"/>
          <w:lang w:val="es-ES"/>
        </w:rPr>
        <w:t>“la consideración primordial en todos los programas y pol</w:t>
      </w:r>
      <w:r>
        <w:rPr>
          <w:rFonts w:ascii="Cambria" w:hAnsi="Cambria"/>
          <w:sz w:val="20"/>
          <w:szCs w:val="20"/>
          <w:lang w:val="es-ES"/>
        </w:rPr>
        <w:t>íticas con miras a garantiza</w:t>
      </w:r>
      <w:r w:rsidRPr="0034255C">
        <w:rPr>
          <w:rFonts w:ascii="Cambria" w:hAnsi="Cambria"/>
          <w:sz w:val="20"/>
          <w:szCs w:val="20"/>
          <w:lang w:val="es-ES"/>
        </w:rPr>
        <w:t>r el derecho a la salud del niño y el adolescente será el interés superior del niño y el adolescente”</w:t>
      </w:r>
      <w:r>
        <w:rPr>
          <w:rStyle w:val="FootnoteReference"/>
          <w:rFonts w:ascii="Cambria" w:hAnsi="Cambria"/>
          <w:sz w:val="20"/>
          <w:szCs w:val="20"/>
          <w:lang w:val="es-ES"/>
        </w:rPr>
        <w:footnoteReference w:id="89"/>
      </w:r>
      <w:r w:rsidRPr="0034255C">
        <w:rPr>
          <w:rFonts w:ascii="Cambria" w:hAnsi="Cambria"/>
          <w:sz w:val="20"/>
          <w:szCs w:val="20"/>
          <w:lang w:val="es-ES"/>
        </w:rPr>
        <w:t xml:space="preserve">. </w:t>
      </w:r>
      <w:r w:rsidR="003E5B4A">
        <w:rPr>
          <w:rFonts w:ascii="Cambria" w:hAnsi="Cambria"/>
          <w:sz w:val="20"/>
          <w:szCs w:val="20"/>
          <w:lang w:val="es-ES"/>
        </w:rPr>
        <w:t>L</w:t>
      </w:r>
      <w:r w:rsidR="00BE728F" w:rsidRPr="00E01AFF">
        <w:rPr>
          <w:rFonts w:ascii="Cambria" w:hAnsi="Cambria"/>
          <w:sz w:val="20"/>
          <w:szCs w:val="20"/>
          <w:lang w:val="es-ES"/>
        </w:rPr>
        <w:t>a O</w:t>
      </w:r>
      <w:r w:rsidR="00E01AFF">
        <w:rPr>
          <w:rFonts w:ascii="Cambria" w:hAnsi="Cambria"/>
          <w:sz w:val="20"/>
          <w:szCs w:val="20"/>
          <w:lang w:val="es-ES"/>
        </w:rPr>
        <w:t>bservación General No. 14 indica</w:t>
      </w:r>
      <w:r w:rsidR="00BE728F" w:rsidRPr="00E01AFF">
        <w:rPr>
          <w:rFonts w:ascii="Cambria" w:hAnsi="Cambria"/>
          <w:sz w:val="20"/>
          <w:szCs w:val="20"/>
          <w:lang w:val="es-ES"/>
        </w:rPr>
        <w:t xml:space="preserve"> también que la creación de condiciones que aseguren</w:t>
      </w:r>
      <w:r w:rsidR="001F7552" w:rsidRPr="00E01AFF">
        <w:rPr>
          <w:rFonts w:ascii="Cambria" w:hAnsi="Cambria"/>
          <w:sz w:val="20"/>
          <w:szCs w:val="20"/>
          <w:lang w:val="es-ES"/>
        </w:rPr>
        <w:t>,</w:t>
      </w:r>
      <w:r w:rsidR="00BE728F" w:rsidRPr="00E01AFF">
        <w:rPr>
          <w:rFonts w:ascii="Cambria" w:hAnsi="Cambria"/>
          <w:sz w:val="20"/>
          <w:szCs w:val="20"/>
          <w:lang w:val="es-ES"/>
        </w:rPr>
        <w:t xml:space="preserve"> a todos</w:t>
      </w:r>
      <w:r w:rsidR="001F7552" w:rsidRPr="00E01AFF">
        <w:rPr>
          <w:rFonts w:ascii="Cambria" w:hAnsi="Cambria"/>
          <w:sz w:val="20"/>
          <w:szCs w:val="20"/>
          <w:lang w:val="es-ES"/>
        </w:rPr>
        <w:t>,</w:t>
      </w:r>
      <w:r w:rsidR="00BE728F" w:rsidRPr="00E01AFF">
        <w:rPr>
          <w:rFonts w:ascii="Cambria" w:hAnsi="Cambria"/>
          <w:sz w:val="20"/>
          <w:szCs w:val="20"/>
          <w:lang w:val="es-ES"/>
        </w:rPr>
        <w:t xml:space="preserve"> asistencia médica y servicios médicos en caso de enfermedad, “(…) incluye el acceso igual y oportuno a los servicios de salud básicos preventivos, curativos y de rehabilitación</w:t>
      </w:r>
      <w:r w:rsidR="00830347" w:rsidRPr="00E01AFF">
        <w:rPr>
          <w:rFonts w:ascii="Cambria" w:hAnsi="Cambria"/>
          <w:sz w:val="20"/>
          <w:szCs w:val="20"/>
          <w:lang w:val="es-ES"/>
        </w:rPr>
        <w:t xml:space="preserve">, </w:t>
      </w:r>
      <w:r w:rsidR="00BE728F" w:rsidRPr="00E01AFF">
        <w:rPr>
          <w:rFonts w:ascii="Cambria" w:hAnsi="Cambria"/>
          <w:sz w:val="20"/>
          <w:szCs w:val="20"/>
          <w:lang w:val="es-ES"/>
        </w:rPr>
        <w:t>(…)</w:t>
      </w:r>
      <w:r w:rsidR="00830347" w:rsidRPr="00E01AFF">
        <w:rPr>
          <w:rFonts w:ascii="Cambria" w:hAnsi="Cambria"/>
          <w:sz w:val="20"/>
          <w:szCs w:val="20"/>
          <w:lang w:val="es-ES"/>
        </w:rPr>
        <w:t xml:space="preserve"> </w:t>
      </w:r>
      <w:r w:rsidR="00BE728F" w:rsidRPr="00E01AFF">
        <w:rPr>
          <w:rFonts w:ascii="Cambria" w:hAnsi="Cambria"/>
          <w:sz w:val="20"/>
          <w:szCs w:val="20"/>
          <w:lang w:val="es-ES"/>
        </w:rPr>
        <w:t xml:space="preserve">tratamiento apropiado de enfermedades, afecciones, lesiones y </w:t>
      </w:r>
      <w:r w:rsidR="00830347" w:rsidRPr="00E01AFF">
        <w:rPr>
          <w:rFonts w:ascii="Cambria" w:hAnsi="Cambria"/>
          <w:sz w:val="20"/>
          <w:szCs w:val="20"/>
          <w:lang w:val="es-ES"/>
        </w:rPr>
        <w:t>discapacidades frecuentes (…)”</w:t>
      </w:r>
      <w:r w:rsidR="00830347">
        <w:rPr>
          <w:rStyle w:val="FootnoteReference"/>
          <w:rFonts w:ascii="Cambria" w:hAnsi="Cambria"/>
          <w:sz w:val="20"/>
          <w:szCs w:val="20"/>
          <w:lang w:val="es-ES"/>
        </w:rPr>
        <w:footnoteReference w:id="90"/>
      </w:r>
      <w:r w:rsidR="00423718" w:rsidRPr="00E01AFF">
        <w:rPr>
          <w:rFonts w:ascii="Cambria" w:hAnsi="Cambria"/>
          <w:sz w:val="20"/>
          <w:szCs w:val="20"/>
          <w:lang w:val="es-ES"/>
        </w:rPr>
        <w:t>.</w:t>
      </w:r>
      <w:r w:rsidR="000A3398">
        <w:rPr>
          <w:rFonts w:ascii="Cambria" w:hAnsi="Cambria"/>
          <w:sz w:val="20"/>
          <w:szCs w:val="20"/>
          <w:lang w:val="es-ES"/>
        </w:rPr>
        <w:t xml:space="preserve"> </w:t>
      </w:r>
      <w:r w:rsidR="003E5B4A" w:rsidRPr="00B67AD6">
        <w:rPr>
          <w:rFonts w:asciiTheme="majorHAnsi" w:hAnsiTheme="majorHAnsi"/>
          <w:sz w:val="20"/>
          <w:szCs w:val="20"/>
          <w:lang w:val="es-ES"/>
        </w:rPr>
        <w:t>Finalmente, e</w:t>
      </w:r>
      <w:r w:rsidR="003E5B4A" w:rsidRPr="00B67AD6">
        <w:rPr>
          <w:rFonts w:asciiTheme="majorHAnsi" w:hAnsiTheme="majorHAnsi"/>
          <w:color w:val="000000"/>
          <w:sz w:val="20"/>
          <w:szCs w:val="20"/>
          <w:lang w:val="es-ES"/>
        </w:rPr>
        <w:t>l Comité de los Derechos del Niño reconoce la existencia de una amplia gama de agentes no estatales que intervienen en el goce de la salud infantil y</w:t>
      </w:r>
      <w:r w:rsidR="00043E3E" w:rsidRPr="00043E3E">
        <w:rPr>
          <w:rFonts w:asciiTheme="majorHAnsi" w:hAnsiTheme="majorHAnsi"/>
          <w:color w:val="000000"/>
          <w:sz w:val="20"/>
          <w:szCs w:val="20"/>
          <w:lang w:val="es-ES"/>
        </w:rPr>
        <w:t xml:space="preserve"> los factores que la determinan</w:t>
      </w:r>
      <w:r w:rsidR="00043E3E">
        <w:rPr>
          <w:rFonts w:asciiTheme="majorHAnsi" w:hAnsiTheme="majorHAnsi"/>
          <w:color w:val="000000"/>
          <w:sz w:val="20"/>
          <w:szCs w:val="20"/>
          <w:lang w:val="es-ES"/>
        </w:rPr>
        <w:t>;</w:t>
      </w:r>
      <w:r w:rsidR="003E5B4A" w:rsidRPr="00B67AD6">
        <w:rPr>
          <w:rFonts w:asciiTheme="majorHAnsi" w:hAnsiTheme="majorHAnsi"/>
          <w:color w:val="000000"/>
          <w:sz w:val="20"/>
          <w:szCs w:val="20"/>
          <w:lang w:val="es-ES"/>
        </w:rPr>
        <w:t xml:space="preserve"> en particular establece que los Estados deben velar por que todos ellos reconozcan, respeten y hagan efectivas sus responsabilidades ante el niño o niña, aplicando, cuando sea necesario, procedimientos de diligencia debida</w:t>
      </w:r>
      <w:r w:rsidR="003E5B4A">
        <w:rPr>
          <w:rStyle w:val="FootnoteReference"/>
          <w:rFonts w:asciiTheme="majorHAnsi" w:hAnsiTheme="majorHAnsi"/>
          <w:color w:val="000000"/>
          <w:sz w:val="20"/>
          <w:szCs w:val="20"/>
          <w:lang w:val="es-ES"/>
        </w:rPr>
        <w:footnoteReference w:id="91"/>
      </w:r>
      <w:r w:rsidR="003E5B4A" w:rsidRPr="00B67AD6">
        <w:rPr>
          <w:rFonts w:asciiTheme="majorHAnsi" w:hAnsiTheme="majorHAnsi"/>
          <w:color w:val="000000"/>
          <w:sz w:val="20"/>
          <w:szCs w:val="20"/>
          <w:lang w:val="es-ES"/>
        </w:rPr>
        <w:t>.</w:t>
      </w:r>
    </w:p>
    <w:p w:rsidR="000A3398" w:rsidRPr="003E5B4A" w:rsidRDefault="000A3398" w:rsidP="00B67AD6">
      <w:pPr>
        <w:pStyle w:val="ListParagraph"/>
        <w:rPr>
          <w:rFonts w:cs="Arial"/>
          <w:sz w:val="20"/>
          <w:szCs w:val="20"/>
          <w:bdr w:val="none" w:sz="0" w:space="0" w:color="auto"/>
          <w:lang w:val="es-PE"/>
        </w:rPr>
      </w:pPr>
    </w:p>
    <w:p w:rsidR="000A3398" w:rsidRPr="00B67AD6" w:rsidRDefault="000A3398"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
        </w:rPr>
      </w:pPr>
      <w:r>
        <w:rPr>
          <w:rFonts w:ascii="Cambria" w:hAnsi="Cambria" w:cs="Arial"/>
          <w:sz w:val="20"/>
          <w:szCs w:val="20"/>
          <w:bdr w:val="none" w:sz="0" w:space="0" w:color="auto"/>
          <w:lang w:val="es-PE"/>
        </w:rPr>
        <w:t>Sobre el contenido</w:t>
      </w:r>
      <w:r w:rsidRPr="000A3398">
        <w:rPr>
          <w:rFonts w:ascii="Cambria" w:hAnsi="Cambria" w:cs="Arial"/>
          <w:sz w:val="20"/>
          <w:szCs w:val="20"/>
          <w:bdr w:val="none" w:sz="0" w:space="0" w:color="auto"/>
          <w:lang w:val="es-PE"/>
        </w:rPr>
        <w:t xml:space="preserve"> del derecho a la seguridad social, e</w:t>
      </w:r>
      <w:r w:rsidR="00481B81">
        <w:rPr>
          <w:rFonts w:ascii="Cambria" w:hAnsi="Cambria" w:cs="Arial"/>
          <w:sz w:val="20"/>
          <w:szCs w:val="20"/>
          <w:bdr w:val="none" w:sz="0" w:space="0" w:color="auto"/>
          <w:lang w:val="es-PE"/>
        </w:rPr>
        <w:t>ste incluye</w:t>
      </w:r>
      <w:r>
        <w:rPr>
          <w:rFonts w:ascii="Cambria" w:hAnsi="Cambria" w:cs="Arial"/>
          <w:sz w:val="20"/>
          <w:szCs w:val="20"/>
          <w:bdr w:val="none" w:sz="0" w:space="0" w:color="auto"/>
          <w:lang w:val="es-PE"/>
        </w:rPr>
        <w:t xml:space="preserve"> </w:t>
      </w:r>
      <w:r w:rsidRPr="000A3398">
        <w:rPr>
          <w:rFonts w:ascii="Cambria" w:eastAsia="Batang" w:hAnsi="Cambria"/>
          <w:color w:val="000000"/>
          <w:sz w:val="20"/>
          <w:szCs w:val="20"/>
          <w:u w:color="000000"/>
          <w:lang w:val="es-UY" w:eastAsia="es-ES"/>
        </w:rPr>
        <w:t>la consideración de su estrecha relación con otros derechos</w:t>
      </w:r>
      <w:r>
        <w:rPr>
          <w:rFonts w:ascii="Cambria" w:eastAsia="Batang" w:hAnsi="Cambria"/>
          <w:color w:val="000000"/>
          <w:sz w:val="20"/>
          <w:szCs w:val="20"/>
          <w:u w:color="000000"/>
          <w:lang w:val="es-UY" w:eastAsia="es-ES"/>
        </w:rPr>
        <w:t>, como e</w:t>
      </w:r>
      <w:r w:rsidR="00481B81">
        <w:rPr>
          <w:rFonts w:ascii="Cambria" w:eastAsia="Batang" w:hAnsi="Cambria"/>
          <w:color w:val="000000"/>
          <w:sz w:val="20"/>
          <w:szCs w:val="20"/>
          <w:u w:color="000000"/>
          <w:lang w:val="es-UY" w:eastAsia="es-ES"/>
        </w:rPr>
        <w:t>s e</w:t>
      </w:r>
      <w:r>
        <w:rPr>
          <w:rFonts w:ascii="Cambria" w:eastAsia="Batang" w:hAnsi="Cambria"/>
          <w:color w:val="000000"/>
          <w:sz w:val="20"/>
          <w:szCs w:val="20"/>
          <w:u w:color="000000"/>
          <w:lang w:val="es-UY" w:eastAsia="es-ES"/>
        </w:rPr>
        <w:t>l</w:t>
      </w:r>
      <w:r w:rsidR="00481B81">
        <w:rPr>
          <w:rFonts w:ascii="Cambria" w:eastAsia="Batang" w:hAnsi="Cambria"/>
          <w:color w:val="000000"/>
          <w:sz w:val="20"/>
          <w:szCs w:val="20"/>
          <w:u w:color="000000"/>
          <w:lang w:val="es-UY" w:eastAsia="es-ES"/>
        </w:rPr>
        <w:t xml:space="preserve"> caso del</w:t>
      </w:r>
      <w:r>
        <w:rPr>
          <w:rFonts w:ascii="Cambria" w:eastAsia="Batang" w:hAnsi="Cambria"/>
          <w:color w:val="000000"/>
          <w:sz w:val="20"/>
          <w:szCs w:val="20"/>
          <w:u w:color="000000"/>
          <w:lang w:val="es-UY" w:eastAsia="es-ES"/>
        </w:rPr>
        <w:t xml:space="preserve"> derecho a la salud</w:t>
      </w:r>
      <w:r w:rsidR="00481B81">
        <w:rPr>
          <w:rFonts w:ascii="Cambria" w:eastAsia="Batang" w:hAnsi="Cambria"/>
          <w:color w:val="000000"/>
          <w:sz w:val="20"/>
          <w:szCs w:val="20"/>
          <w:u w:color="000000"/>
          <w:lang w:val="es-UY" w:eastAsia="es-ES"/>
        </w:rPr>
        <w:t xml:space="preserve">; y que </w:t>
      </w:r>
      <w:r w:rsidR="00481B81">
        <w:rPr>
          <w:rFonts w:asciiTheme="majorHAnsi" w:hAnsiTheme="majorHAnsi"/>
          <w:color w:val="000000"/>
          <w:sz w:val="20"/>
          <w:szCs w:val="20"/>
          <w:lang w:val="es-ES"/>
        </w:rPr>
        <w:t>l</w:t>
      </w:r>
      <w:r w:rsidRPr="00B67AD6">
        <w:rPr>
          <w:rFonts w:asciiTheme="majorHAnsi" w:hAnsiTheme="majorHAnsi"/>
          <w:color w:val="000000"/>
          <w:sz w:val="20"/>
          <w:szCs w:val="20"/>
          <w:lang w:val="es-ES"/>
        </w:rPr>
        <w:t xml:space="preserve">a supresión, reducción o suspensión de las prestaciones </w:t>
      </w:r>
      <w:r w:rsidR="00481B81">
        <w:rPr>
          <w:rFonts w:asciiTheme="majorHAnsi" w:hAnsiTheme="majorHAnsi"/>
          <w:color w:val="000000"/>
          <w:sz w:val="20"/>
          <w:szCs w:val="20"/>
          <w:lang w:val="es-ES"/>
        </w:rPr>
        <w:t xml:space="preserve">a que se tenga derecho </w:t>
      </w:r>
      <w:r w:rsidRPr="00B67AD6">
        <w:rPr>
          <w:rFonts w:asciiTheme="majorHAnsi" w:hAnsiTheme="majorHAnsi"/>
          <w:color w:val="000000"/>
          <w:sz w:val="20"/>
          <w:szCs w:val="20"/>
          <w:lang w:val="es-ES"/>
        </w:rPr>
        <w:t>debe ser limitada, basarse en motivos razonables y estar prevista en la legislación nacional</w:t>
      </w:r>
      <w:r>
        <w:rPr>
          <w:rStyle w:val="FootnoteReference"/>
          <w:rFonts w:ascii="Cambria" w:eastAsia="Batang" w:hAnsi="Cambria"/>
          <w:sz w:val="20"/>
          <w:szCs w:val="20"/>
          <w:lang w:val="es-UY"/>
        </w:rPr>
        <w:footnoteReference w:id="92"/>
      </w:r>
      <w:r w:rsidR="00481B81">
        <w:rPr>
          <w:rFonts w:asciiTheme="majorHAnsi" w:hAnsiTheme="majorHAnsi"/>
          <w:color w:val="000000"/>
          <w:sz w:val="20"/>
          <w:szCs w:val="20"/>
          <w:lang w:val="es-ES"/>
        </w:rPr>
        <w:t xml:space="preserve">. Además, el Estado mantiene la responsabilidad de regular y fiscalizar el sistema de seguridad social cuando son terceros quienes administran los planes </w:t>
      </w:r>
      <w:r w:rsidR="00C53A3E">
        <w:rPr>
          <w:rFonts w:asciiTheme="majorHAnsi" w:hAnsiTheme="majorHAnsi"/>
          <w:color w:val="000000"/>
          <w:sz w:val="20"/>
          <w:szCs w:val="20"/>
          <w:lang w:val="es-ES"/>
        </w:rPr>
        <w:t xml:space="preserve">de aseguramiento </w:t>
      </w:r>
      <w:r w:rsidR="00481B81">
        <w:rPr>
          <w:rFonts w:asciiTheme="majorHAnsi" w:hAnsiTheme="majorHAnsi"/>
          <w:color w:val="000000"/>
          <w:sz w:val="20"/>
          <w:szCs w:val="20"/>
          <w:lang w:val="es-ES"/>
        </w:rPr>
        <w:t xml:space="preserve">así como de </w:t>
      </w:r>
      <w:r w:rsidR="00C53A3E">
        <w:rPr>
          <w:rFonts w:asciiTheme="majorHAnsi" w:hAnsiTheme="majorHAnsi"/>
          <w:color w:val="000000"/>
          <w:sz w:val="20"/>
          <w:szCs w:val="20"/>
          <w:lang w:val="es-ES"/>
        </w:rPr>
        <w:t>garantizar</w:t>
      </w:r>
      <w:r w:rsidR="00481B81" w:rsidRPr="00B67AD6">
        <w:rPr>
          <w:rFonts w:ascii="Cambria" w:hAnsi="Cambria"/>
          <w:color w:val="000000"/>
          <w:sz w:val="20"/>
          <w:szCs w:val="20"/>
          <w:lang w:val="es-ES"/>
        </w:rPr>
        <w:t xml:space="preserve"> razonablemente que los agentes del sector privado no vulneren este der</w:t>
      </w:r>
      <w:r w:rsidR="00043E3E">
        <w:rPr>
          <w:rFonts w:ascii="Cambria" w:hAnsi="Cambria"/>
          <w:color w:val="000000"/>
          <w:sz w:val="20"/>
          <w:szCs w:val="20"/>
          <w:lang w:val="es-ES"/>
        </w:rPr>
        <w:t>echo,</w:t>
      </w:r>
      <w:r w:rsidR="00481B81" w:rsidRPr="00B67AD6">
        <w:rPr>
          <w:rFonts w:ascii="Cambria" w:hAnsi="Cambria"/>
          <w:color w:val="000000"/>
          <w:sz w:val="20"/>
          <w:szCs w:val="20"/>
          <w:lang w:val="es-ES"/>
        </w:rPr>
        <w:t xml:space="preserve"> incluyendo</w:t>
      </w:r>
      <w:r w:rsidR="00043E3E">
        <w:rPr>
          <w:rFonts w:ascii="Cambria" w:hAnsi="Cambria"/>
          <w:color w:val="000000"/>
          <w:sz w:val="20"/>
          <w:szCs w:val="20"/>
          <w:lang w:val="es-ES"/>
        </w:rPr>
        <w:t xml:space="preserve"> </w:t>
      </w:r>
      <w:r w:rsidR="00481B81" w:rsidRPr="00B67AD6">
        <w:rPr>
          <w:rFonts w:ascii="Cambria" w:hAnsi="Cambria"/>
          <w:color w:val="000000"/>
          <w:sz w:val="20"/>
          <w:szCs w:val="20"/>
          <w:lang w:val="es-ES"/>
        </w:rPr>
        <w:t>una legislación marco, una supervisión independiente, una auténtica participación pública y la imposición de sanciones en caso de incumplimiento</w:t>
      </w:r>
      <w:r w:rsidR="00481B81">
        <w:rPr>
          <w:rStyle w:val="FootnoteReference"/>
          <w:rFonts w:ascii="Cambria" w:hAnsi="Cambria"/>
          <w:color w:val="000000"/>
          <w:sz w:val="20"/>
          <w:szCs w:val="20"/>
          <w:lang w:val="es-ES"/>
        </w:rPr>
        <w:footnoteReference w:id="93"/>
      </w:r>
      <w:r w:rsidRPr="000A3398">
        <w:rPr>
          <w:rFonts w:ascii="Cambria" w:eastAsia="Batang" w:hAnsi="Cambria"/>
          <w:sz w:val="20"/>
          <w:szCs w:val="20"/>
          <w:lang w:val="es-UY"/>
        </w:rPr>
        <w:t>.</w:t>
      </w:r>
      <w:r w:rsidR="00541FB1">
        <w:rPr>
          <w:rFonts w:ascii="Cambria" w:eastAsia="Batang" w:hAnsi="Cambria"/>
          <w:sz w:val="20"/>
          <w:szCs w:val="20"/>
          <w:lang w:val="es-UY"/>
        </w:rPr>
        <w:t xml:space="preserve"> </w:t>
      </w:r>
      <w:r w:rsidR="00541FB1" w:rsidRPr="00B67AD6">
        <w:rPr>
          <w:rFonts w:ascii="Cambria" w:hAnsi="Cambria"/>
          <w:sz w:val="20"/>
          <w:szCs w:val="20"/>
          <w:lang w:val="es-ES"/>
        </w:rPr>
        <w:t xml:space="preserve">Asimismo, la CIDH reconoce que el seguro social desde un enfoque de la salud aumenta el uso de los centros, bienes y servicios de salud, promueve la igualdad de acceso y puede permitirse niveles más altos de protección financiera para </w:t>
      </w:r>
      <w:r w:rsidR="00541FB1">
        <w:rPr>
          <w:rFonts w:ascii="Cambria" w:hAnsi="Cambria"/>
          <w:sz w:val="20"/>
          <w:szCs w:val="20"/>
          <w:lang w:val="es-ES"/>
        </w:rPr>
        <w:t>quienes se encuentran normalmente excluidos</w:t>
      </w:r>
      <w:r w:rsidR="001E7A13">
        <w:rPr>
          <w:rFonts w:ascii="Cambria" w:hAnsi="Cambria"/>
          <w:sz w:val="20"/>
          <w:szCs w:val="20"/>
          <w:lang w:val="es-ES"/>
        </w:rPr>
        <w:t>,</w:t>
      </w:r>
      <w:r w:rsidR="00541FB1">
        <w:rPr>
          <w:rFonts w:ascii="Cambria" w:hAnsi="Cambria"/>
          <w:sz w:val="20"/>
          <w:szCs w:val="20"/>
          <w:lang w:val="es-ES"/>
        </w:rPr>
        <w:t xml:space="preserve"> como pueden ser niños o niñas con discapacidad</w:t>
      </w:r>
      <w:r w:rsidR="00541FB1" w:rsidRPr="00B67AD6">
        <w:rPr>
          <w:rFonts w:ascii="Cambria" w:hAnsi="Cambria"/>
          <w:sz w:val="20"/>
          <w:szCs w:val="20"/>
          <w:lang w:val="es-ES"/>
        </w:rPr>
        <w:t>.</w:t>
      </w:r>
      <w:r w:rsidR="00541FB1" w:rsidRPr="00915526">
        <w:rPr>
          <w:rFonts w:ascii="Cambria" w:eastAsia="Batang" w:hAnsi="Cambria"/>
          <w:sz w:val="20"/>
          <w:szCs w:val="20"/>
          <w:lang w:val="es-UY"/>
        </w:rPr>
        <w:t xml:space="preserve">  D</w:t>
      </w:r>
      <w:r w:rsidR="00541FB1" w:rsidRPr="0068244A">
        <w:rPr>
          <w:rFonts w:ascii="Cambria" w:eastAsia="Batang" w:hAnsi="Cambria"/>
          <w:sz w:val="20"/>
          <w:szCs w:val="20"/>
          <w:lang w:val="es-UY"/>
        </w:rPr>
        <w:t xml:space="preserve">e este modo, para que los programas </w:t>
      </w:r>
      <w:r w:rsidR="00541FB1">
        <w:rPr>
          <w:rFonts w:ascii="Cambria" w:eastAsia="Batang" w:hAnsi="Cambria"/>
          <w:sz w:val="20"/>
          <w:szCs w:val="20"/>
          <w:lang w:val="es-UY"/>
        </w:rPr>
        <w:t xml:space="preserve">públicos o privados </w:t>
      </w:r>
      <w:r w:rsidR="00541FB1" w:rsidRPr="0068244A">
        <w:rPr>
          <w:rFonts w:ascii="Cambria" w:eastAsia="Batang" w:hAnsi="Cambria"/>
          <w:sz w:val="20"/>
          <w:szCs w:val="20"/>
          <w:lang w:val="es-UY"/>
        </w:rPr>
        <w:t xml:space="preserve">de seguro social relativos a la salud tengan un enfoque basado en dicho derecho su diseño y alcance no solo deben tener en cuenta la capacidad financiera </w:t>
      </w:r>
      <w:r w:rsidR="00541FB1" w:rsidRPr="00B67AD6">
        <w:rPr>
          <w:rFonts w:ascii="Cambria" w:hAnsi="Cambria"/>
          <w:sz w:val="20"/>
          <w:szCs w:val="20"/>
          <w:lang w:val="es-ES"/>
        </w:rPr>
        <w:t>y la situación laboral de las poblaciones receptoras</w:t>
      </w:r>
      <w:r w:rsidR="00541FB1" w:rsidRPr="00915526">
        <w:rPr>
          <w:rFonts w:ascii="Cambria" w:eastAsia="Batang" w:hAnsi="Cambria"/>
          <w:sz w:val="20"/>
          <w:szCs w:val="20"/>
          <w:lang w:val="es-UY"/>
        </w:rPr>
        <w:t xml:space="preserve">, sino </w:t>
      </w:r>
      <w:r w:rsidR="00C54EF9">
        <w:rPr>
          <w:rFonts w:ascii="Cambria" w:eastAsia="Batang" w:hAnsi="Cambria"/>
          <w:sz w:val="20"/>
          <w:szCs w:val="20"/>
          <w:lang w:val="es-UY"/>
        </w:rPr>
        <w:t>las</w:t>
      </w:r>
      <w:r w:rsidR="00541FB1" w:rsidRPr="00B67AD6">
        <w:rPr>
          <w:rFonts w:ascii="Cambria" w:hAnsi="Cambria"/>
          <w:sz w:val="20"/>
          <w:szCs w:val="20"/>
          <w:lang w:val="es-ES"/>
        </w:rPr>
        <w:t xml:space="preserve"> necesidades específicas de salud</w:t>
      </w:r>
      <w:r w:rsidR="00C54EF9">
        <w:rPr>
          <w:rFonts w:ascii="Cambria" w:hAnsi="Cambria"/>
          <w:sz w:val="20"/>
          <w:szCs w:val="20"/>
          <w:lang w:val="es-ES"/>
        </w:rPr>
        <w:t xml:space="preserve"> de quienes </w:t>
      </w:r>
      <w:r w:rsidR="00043E3E">
        <w:rPr>
          <w:rFonts w:ascii="Cambria" w:hAnsi="Cambria"/>
          <w:sz w:val="20"/>
          <w:szCs w:val="20"/>
          <w:lang w:val="es-ES"/>
        </w:rPr>
        <w:t xml:space="preserve">se </w:t>
      </w:r>
      <w:r w:rsidR="00C54EF9">
        <w:rPr>
          <w:rFonts w:ascii="Cambria" w:hAnsi="Cambria"/>
          <w:sz w:val="20"/>
          <w:szCs w:val="20"/>
          <w:lang w:val="es-ES"/>
        </w:rPr>
        <w:t>beneficia</w:t>
      </w:r>
      <w:r w:rsidR="00043E3E">
        <w:rPr>
          <w:rFonts w:ascii="Cambria" w:hAnsi="Cambria"/>
          <w:sz w:val="20"/>
          <w:szCs w:val="20"/>
          <w:lang w:val="es-ES"/>
        </w:rPr>
        <w:t>n</w:t>
      </w:r>
      <w:r w:rsidR="00541FB1" w:rsidRPr="00B84353">
        <w:rPr>
          <w:rStyle w:val="FootnoteReference"/>
          <w:rFonts w:ascii="Cambria" w:hAnsi="Cambria"/>
          <w:sz w:val="20"/>
          <w:szCs w:val="20"/>
        </w:rPr>
        <w:footnoteReference w:id="94"/>
      </w:r>
      <w:r w:rsidR="00C54EF9">
        <w:rPr>
          <w:rFonts w:ascii="Cambria" w:hAnsi="Cambria"/>
          <w:sz w:val="20"/>
          <w:szCs w:val="20"/>
          <w:lang w:val="es-ES"/>
        </w:rPr>
        <w:t>.</w:t>
      </w:r>
    </w:p>
    <w:p w:rsidR="00394F64" w:rsidRPr="001F7552" w:rsidRDefault="00394F64" w:rsidP="00C87FF4">
      <w:pPr>
        <w:pStyle w:val="Heading3"/>
        <w:numPr>
          <w:ilvl w:val="0"/>
          <w:numId w:val="0"/>
        </w:numPr>
        <w:ind w:left="720"/>
        <w:rPr>
          <w:snapToGrid w:val="0"/>
          <w:lang w:val="es-ES"/>
        </w:rPr>
      </w:pPr>
    </w:p>
    <w:p w:rsidR="00B63C20" w:rsidRDefault="00394F64" w:rsidP="00C87FF4">
      <w:pPr>
        <w:pStyle w:val="Heading3"/>
        <w:rPr>
          <w:snapToGrid w:val="0"/>
          <w:lang w:val="es-CO"/>
        </w:rPr>
      </w:pPr>
      <w:bookmarkStart w:id="22" w:name="_Toc531880129"/>
      <w:r>
        <w:rPr>
          <w:rFonts w:asciiTheme="majorHAnsi" w:hAnsiTheme="majorHAnsi"/>
          <w:lang w:val="es-ES"/>
        </w:rPr>
        <w:t>Estándares generales sobre la relación entre el derecho a la salud con el derecho a la vida</w:t>
      </w:r>
      <w:r w:rsidR="004B70EB">
        <w:rPr>
          <w:rFonts w:asciiTheme="majorHAnsi" w:hAnsiTheme="majorHAnsi"/>
          <w:lang w:val="es-ES"/>
        </w:rPr>
        <w:t xml:space="preserve">, </w:t>
      </w:r>
      <w:r w:rsidR="00094EA0">
        <w:rPr>
          <w:rFonts w:asciiTheme="majorHAnsi" w:hAnsiTheme="majorHAnsi"/>
          <w:lang w:val="es-ES"/>
        </w:rPr>
        <w:t>la integridad personal y derechos de la</w:t>
      </w:r>
      <w:r w:rsidR="00560BD0">
        <w:rPr>
          <w:rFonts w:asciiTheme="majorHAnsi" w:hAnsiTheme="majorHAnsi"/>
          <w:lang w:val="es-ES"/>
        </w:rPr>
        <w:t xml:space="preserve"> niñez</w:t>
      </w:r>
      <w:bookmarkEnd w:id="22"/>
      <w:r w:rsidR="00094EA0">
        <w:rPr>
          <w:rFonts w:asciiTheme="majorHAnsi" w:hAnsiTheme="majorHAnsi"/>
          <w:lang w:val="es-ES"/>
        </w:rPr>
        <w:t xml:space="preserve"> </w:t>
      </w:r>
    </w:p>
    <w:p w:rsidR="00394F64" w:rsidRDefault="00394F64" w:rsidP="00394F6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CO"/>
        </w:rPr>
      </w:pPr>
    </w:p>
    <w:p w:rsidR="001B2EF5" w:rsidRPr="001D3585" w:rsidRDefault="001B2EF5"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sidRPr="001D3585">
        <w:rPr>
          <w:rFonts w:ascii="Cambria" w:hAnsi="Cambria" w:cs="Verdana"/>
          <w:sz w:val="20"/>
          <w:szCs w:val="20"/>
          <w:lang w:val="es-ES" w:eastAsia="es-ES_tradnl"/>
        </w:rPr>
        <w:t>T</w:t>
      </w:r>
      <w:r w:rsidR="00FD6FAB" w:rsidRPr="001D3585">
        <w:rPr>
          <w:rFonts w:ascii="Cambria" w:hAnsi="Cambria" w:cs="Verdana"/>
          <w:sz w:val="20"/>
          <w:szCs w:val="20"/>
          <w:lang w:val="es-ES" w:eastAsia="es-ES_tradnl"/>
        </w:rPr>
        <w:t>anto la CIDH como la Corte se han pronunciado sobre la relación existente entre los derechos a la vida e integridad personal y el derecho a la salud</w:t>
      </w:r>
      <w:r w:rsidR="00FD6FAB" w:rsidRPr="001D3585">
        <w:rPr>
          <w:rStyle w:val="FootnoteReference"/>
          <w:rFonts w:ascii="Cambria" w:hAnsi="Cambria" w:cs="Verdana"/>
          <w:sz w:val="20"/>
          <w:szCs w:val="20"/>
          <w:lang w:val="es-ES" w:eastAsia="es-ES_tradnl"/>
        </w:rPr>
        <w:footnoteReference w:id="95"/>
      </w:r>
      <w:r w:rsidR="00FD6FAB" w:rsidRPr="001D3585">
        <w:rPr>
          <w:rFonts w:ascii="Cambria" w:hAnsi="Cambria" w:cs="Verdana"/>
          <w:sz w:val="20"/>
          <w:szCs w:val="20"/>
          <w:lang w:val="es-ES" w:eastAsia="es-ES_tradnl"/>
        </w:rPr>
        <w:t xml:space="preserve"> y l</w:t>
      </w:r>
      <w:r w:rsidR="00FD6FAB" w:rsidRPr="001D3585">
        <w:rPr>
          <w:rFonts w:ascii="Cambria" w:hAnsi="Cambria"/>
          <w:sz w:val="20"/>
          <w:szCs w:val="20"/>
          <w:lang w:val="es-ES"/>
        </w:rPr>
        <w:t>a Corte Interamericana ha interpretado en reiteradas oportunidades que los derechos a la vida e integridad personal se hallan directa e inmediatamente vinculados con la atención a la salud humana</w:t>
      </w:r>
      <w:r w:rsidR="00FD6FAB" w:rsidRPr="001D3585">
        <w:rPr>
          <w:rStyle w:val="FootnoteReference"/>
          <w:rFonts w:ascii="Cambria" w:hAnsi="Cambria"/>
          <w:sz w:val="20"/>
          <w:szCs w:val="20"/>
          <w:lang w:val="es-ES"/>
        </w:rPr>
        <w:footnoteReference w:id="96"/>
      </w:r>
      <w:r w:rsidR="00FD6FAB" w:rsidRPr="001D3585">
        <w:rPr>
          <w:rStyle w:val="FootnoteReference"/>
          <w:rFonts w:ascii="Cambria" w:hAnsi="Cambria"/>
          <w:sz w:val="20"/>
          <w:szCs w:val="20"/>
          <w:lang w:val="es-ES"/>
        </w:rPr>
        <w:t xml:space="preserve"> </w:t>
      </w:r>
      <w:r w:rsidR="00FD6FAB" w:rsidRPr="001D3585">
        <w:rPr>
          <w:rFonts w:ascii="Cambria" w:hAnsi="Cambria"/>
          <w:sz w:val="20"/>
          <w:szCs w:val="20"/>
          <w:lang w:val="es-ES"/>
        </w:rPr>
        <w:t>y que “la falta de atención médica adecuada” puede conllevar a su vulneración</w:t>
      </w:r>
      <w:r w:rsidR="00FD6FAB" w:rsidRPr="001D3585">
        <w:rPr>
          <w:rStyle w:val="FootnoteReference"/>
          <w:rFonts w:ascii="Cambria" w:hAnsi="Cambria" w:cs="Verdana"/>
          <w:sz w:val="20"/>
          <w:szCs w:val="20"/>
          <w:lang w:val="es-ES"/>
        </w:rPr>
        <w:footnoteReference w:id="97"/>
      </w:r>
      <w:r w:rsidR="00FD6FAB" w:rsidRPr="001D3585">
        <w:rPr>
          <w:rFonts w:ascii="Cambria" w:hAnsi="Cambria"/>
          <w:sz w:val="20"/>
          <w:szCs w:val="20"/>
          <w:lang w:val="es-ES"/>
        </w:rPr>
        <w:t xml:space="preserve">. </w:t>
      </w:r>
      <w:r w:rsidR="00022308" w:rsidRPr="001D3585">
        <w:rPr>
          <w:rFonts w:ascii="Cambria" w:hAnsi="Cambria" w:cs="Verdana"/>
          <w:sz w:val="20"/>
          <w:szCs w:val="20"/>
          <w:lang w:val="es-ES" w:eastAsia="es-ES_tradnl"/>
        </w:rPr>
        <w:t>Asimismo, ambos órganos han señalado que los Estados son responsables de regular con carácter permanente la prestación de los servicios y la ejecución de los programa</w:t>
      </w:r>
      <w:r w:rsidR="007460E8">
        <w:rPr>
          <w:rFonts w:ascii="Cambria" w:hAnsi="Cambria" w:cs="Verdana"/>
          <w:sz w:val="20"/>
          <w:szCs w:val="20"/>
          <w:lang w:val="es-ES" w:eastAsia="es-ES_tradnl"/>
        </w:rPr>
        <w:t xml:space="preserve">s nacionales relativos al logro </w:t>
      </w:r>
      <w:r w:rsidR="00022308" w:rsidRPr="001D3585">
        <w:rPr>
          <w:rFonts w:ascii="Cambria" w:hAnsi="Cambria" w:cs="Verdana"/>
          <w:sz w:val="20"/>
          <w:szCs w:val="20"/>
          <w:lang w:val="es-ES" w:eastAsia="es-ES_tradnl"/>
        </w:rPr>
        <w:t>de una prestación de servicios de salud públicos de calidad, de tal manera que disuada cualquier amenaza al derecho a la vida y a la integridad física de las personas sometidas a tratamiento de salud</w:t>
      </w:r>
      <w:r w:rsidR="00022308" w:rsidRPr="001D3585">
        <w:rPr>
          <w:rFonts w:ascii="Cambria" w:hAnsi="Cambria" w:cs="Verdana"/>
          <w:sz w:val="20"/>
          <w:szCs w:val="20"/>
          <w:vertAlign w:val="superscript"/>
          <w:lang w:val="es-ES" w:eastAsia="es-ES_tradnl"/>
        </w:rPr>
        <w:footnoteReference w:id="98"/>
      </w:r>
      <w:r w:rsidR="00022308" w:rsidRPr="001D3585">
        <w:rPr>
          <w:rFonts w:ascii="Cambria" w:hAnsi="Cambria" w:cs="Verdana"/>
          <w:sz w:val="20"/>
          <w:szCs w:val="20"/>
          <w:lang w:val="es-ES" w:eastAsia="es-ES_tradnl"/>
        </w:rPr>
        <w:t>.</w:t>
      </w:r>
    </w:p>
    <w:p w:rsidR="001D3585" w:rsidRPr="001D3585" w:rsidRDefault="001D3585" w:rsidP="001D358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val="es-CO" w:eastAsia="es-ES_tradnl"/>
        </w:rPr>
      </w:pPr>
    </w:p>
    <w:p w:rsidR="00394F64" w:rsidRPr="001D3585" w:rsidRDefault="00072ED2"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ES" w:eastAsia="es-ES_tradnl"/>
        </w:rPr>
      </w:pPr>
      <w:r>
        <w:rPr>
          <w:rFonts w:ascii="Cambria" w:hAnsi="Cambria"/>
          <w:sz w:val="20"/>
          <w:szCs w:val="20"/>
          <w:lang w:val="es-ES"/>
        </w:rPr>
        <w:t>L</w:t>
      </w:r>
      <w:r w:rsidR="004B70EB" w:rsidRPr="001D3585">
        <w:rPr>
          <w:rFonts w:ascii="Cambria" w:hAnsi="Cambria"/>
          <w:sz w:val="20"/>
          <w:szCs w:val="20"/>
          <w:lang w:val="es-ES"/>
        </w:rPr>
        <w:t>a Corte ha señalado que</w:t>
      </w:r>
      <w:r w:rsidR="001B2EF5" w:rsidRPr="001D3585">
        <w:rPr>
          <w:rFonts w:ascii="Cambria" w:hAnsi="Cambria"/>
          <w:sz w:val="20"/>
          <w:szCs w:val="20"/>
          <w:lang w:val="es-ES"/>
        </w:rPr>
        <w:t xml:space="preserve"> </w:t>
      </w:r>
      <w:r w:rsidR="001B2EF5" w:rsidRPr="001D3585">
        <w:rPr>
          <w:rFonts w:ascii="Cambria" w:hAnsi="Cambria" w:cs="Verdana"/>
          <w:sz w:val="20"/>
          <w:szCs w:val="20"/>
          <w:lang w:val="es-ES" w:eastAsia="es-ES_tradnl"/>
        </w:rPr>
        <w:t>“el derecho fundamental a la vida comprende (…) también el derecho a que no se le impida el acceso a las condiciones que le garanticen una existencia digna”</w:t>
      </w:r>
      <w:r w:rsidR="001B2EF5" w:rsidRPr="001D3585">
        <w:rPr>
          <w:rStyle w:val="FootnoteReference"/>
          <w:rFonts w:ascii="Cambria" w:hAnsi="Cambria"/>
          <w:sz w:val="20"/>
          <w:szCs w:val="20"/>
        </w:rPr>
        <w:footnoteReference w:id="99"/>
      </w:r>
      <w:r w:rsidR="004B70EB" w:rsidRPr="001D3585">
        <w:rPr>
          <w:rFonts w:ascii="Cambria" w:hAnsi="Cambria" w:cs="Verdana"/>
          <w:sz w:val="20"/>
          <w:szCs w:val="20"/>
          <w:lang w:val="es-ES" w:eastAsia="es-ES_tradnl"/>
        </w:rPr>
        <w:t xml:space="preserve">, lo que jurisprudencialmente ha incluido también </w:t>
      </w:r>
      <w:r w:rsidR="00394F64" w:rsidRPr="001D3585">
        <w:rPr>
          <w:rFonts w:ascii="Cambria" w:hAnsi="Cambria" w:cs="Verdana"/>
          <w:sz w:val="20"/>
          <w:szCs w:val="20"/>
          <w:lang w:val="es-ES" w:eastAsia="es-ES_tradnl"/>
        </w:rPr>
        <w:t>la provisión de, entre otros aspectos, de servicios de salud</w:t>
      </w:r>
      <w:r w:rsidR="00394F64" w:rsidRPr="001D3585">
        <w:rPr>
          <w:rStyle w:val="FootnoteReference"/>
          <w:rFonts w:ascii="Cambria" w:hAnsi="Cambria" w:cs="Verdana"/>
          <w:sz w:val="20"/>
          <w:szCs w:val="20"/>
          <w:lang w:eastAsia="es-ES_tradnl"/>
        </w:rPr>
        <w:footnoteReference w:id="100"/>
      </w:r>
      <w:r w:rsidR="00394F64" w:rsidRPr="001D3585">
        <w:rPr>
          <w:rFonts w:ascii="Cambria" w:hAnsi="Cambria" w:cs="Verdana"/>
          <w:sz w:val="20"/>
          <w:szCs w:val="20"/>
          <w:lang w:val="es-ES" w:eastAsia="es-ES_tradnl"/>
        </w:rPr>
        <w:t>.</w:t>
      </w:r>
    </w:p>
    <w:p w:rsidR="007A5E59" w:rsidRDefault="007A5E59" w:rsidP="00394F64">
      <w:pPr>
        <w:tabs>
          <w:tab w:val="left" w:pos="3899"/>
        </w:tabs>
        <w:jc w:val="both"/>
        <w:rPr>
          <w:rFonts w:ascii="Cambria" w:hAnsi="Cambria" w:cs="Verdana"/>
          <w:sz w:val="20"/>
          <w:szCs w:val="20"/>
          <w:lang w:val="es-ES" w:eastAsia="es-ES_tradnl"/>
        </w:rPr>
      </w:pPr>
    </w:p>
    <w:p w:rsidR="00801051" w:rsidRDefault="009F6B96"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ES" w:eastAsia="es-ES_tradnl"/>
        </w:rPr>
      </w:pPr>
      <w:r>
        <w:rPr>
          <w:rFonts w:ascii="Cambria" w:hAnsi="Cambria" w:cs="Verdana"/>
          <w:sz w:val="20"/>
          <w:szCs w:val="20"/>
          <w:lang w:val="es-ES" w:eastAsia="es-ES_tradnl"/>
        </w:rPr>
        <w:t>La Comisión también encuentra que la regulaci</w:t>
      </w:r>
      <w:r w:rsidR="00253052">
        <w:rPr>
          <w:rFonts w:ascii="Cambria" w:hAnsi="Cambria" w:cs="Verdana"/>
          <w:sz w:val="20"/>
          <w:szCs w:val="20"/>
          <w:lang w:val="es-ES" w:eastAsia="es-ES_tradnl"/>
        </w:rPr>
        <w:t>ón y control de la</w:t>
      </w:r>
      <w:r>
        <w:rPr>
          <w:rFonts w:ascii="Cambria" w:hAnsi="Cambria" w:cs="Verdana"/>
          <w:sz w:val="20"/>
          <w:szCs w:val="20"/>
          <w:lang w:val="es-ES" w:eastAsia="es-ES_tradnl"/>
        </w:rPr>
        <w:t xml:space="preserve"> cobertura de tratamientos, a través de sistemas </w:t>
      </w:r>
      <w:r w:rsidR="00253052">
        <w:rPr>
          <w:rFonts w:ascii="Cambria" w:hAnsi="Cambria" w:cs="Verdana"/>
          <w:sz w:val="20"/>
          <w:szCs w:val="20"/>
          <w:lang w:val="es-ES" w:eastAsia="es-ES_tradnl"/>
        </w:rPr>
        <w:t>de financiamiento público o privado</w:t>
      </w:r>
      <w:r>
        <w:rPr>
          <w:rFonts w:ascii="Cambria" w:hAnsi="Cambria" w:cs="Verdana"/>
          <w:sz w:val="20"/>
          <w:szCs w:val="20"/>
          <w:lang w:val="es-ES" w:eastAsia="es-ES_tradnl"/>
        </w:rPr>
        <w:t>, deben tomar en consideración la situación especial de los niños</w:t>
      </w:r>
      <w:r w:rsidR="00BA6362">
        <w:rPr>
          <w:rFonts w:ascii="Cambria" w:hAnsi="Cambria" w:cs="Verdana"/>
          <w:sz w:val="20"/>
          <w:szCs w:val="20"/>
          <w:lang w:val="es-ES" w:eastAsia="es-ES_tradnl"/>
        </w:rPr>
        <w:t xml:space="preserve"> y niñas</w:t>
      </w:r>
      <w:r>
        <w:rPr>
          <w:rFonts w:ascii="Cambria" w:hAnsi="Cambria" w:cs="Verdana"/>
          <w:sz w:val="20"/>
          <w:szCs w:val="20"/>
          <w:lang w:val="es-ES" w:eastAsia="es-ES_tradnl"/>
        </w:rPr>
        <w:t xml:space="preserve"> con discapacidad. En estos términos, </w:t>
      </w:r>
      <w:r w:rsidR="00801051">
        <w:rPr>
          <w:rFonts w:ascii="Cambria" w:hAnsi="Cambria" w:cs="Verdana"/>
          <w:sz w:val="20"/>
          <w:szCs w:val="20"/>
          <w:lang w:val="es-ES" w:eastAsia="es-ES_tradnl"/>
        </w:rPr>
        <w:t xml:space="preserve">en el marco de una medida cautelar sobre una niña con discapacidad, </w:t>
      </w:r>
      <w:r>
        <w:rPr>
          <w:rFonts w:ascii="Cambria" w:hAnsi="Cambria" w:cs="Verdana"/>
          <w:sz w:val="20"/>
          <w:szCs w:val="20"/>
          <w:lang w:val="es-ES" w:eastAsia="es-ES_tradnl"/>
        </w:rPr>
        <w:t>la Comisión ha logrado establecer</w:t>
      </w:r>
      <w:r w:rsidR="00801051">
        <w:rPr>
          <w:rFonts w:ascii="Cambria" w:hAnsi="Cambria" w:cs="Verdana"/>
          <w:sz w:val="20"/>
          <w:szCs w:val="20"/>
          <w:lang w:val="es-ES" w:eastAsia="es-ES_tradnl"/>
        </w:rPr>
        <w:t xml:space="preserve"> </w:t>
      </w:r>
      <w:r w:rsidR="00801051">
        <w:rPr>
          <w:rFonts w:ascii="Cambria" w:hAnsi="Cambria" w:cs="Verdana"/>
          <w:i/>
          <w:sz w:val="20"/>
          <w:szCs w:val="20"/>
          <w:lang w:val="es-ES" w:eastAsia="es-ES_tradnl"/>
        </w:rPr>
        <w:t>prima facie</w:t>
      </w:r>
      <w:r>
        <w:rPr>
          <w:rFonts w:ascii="Cambria" w:hAnsi="Cambria" w:cs="Verdana"/>
          <w:sz w:val="20"/>
          <w:szCs w:val="20"/>
          <w:lang w:val="es-ES" w:eastAsia="es-ES_tradnl"/>
        </w:rPr>
        <w:t xml:space="preserve"> que </w:t>
      </w:r>
      <w:r w:rsidR="000618B7">
        <w:rPr>
          <w:rFonts w:ascii="Cambria" w:hAnsi="Cambria" w:cs="Verdana"/>
          <w:sz w:val="20"/>
          <w:szCs w:val="20"/>
          <w:lang w:val="es-ES" w:eastAsia="es-ES_tradnl"/>
        </w:rPr>
        <w:t xml:space="preserve">el estado de salud y </w:t>
      </w:r>
      <w:r>
        <w:rPr>
          <w:rFonts w:ascii="Cambria" w:hAnsi="Cambria" w:cs="Verdana"/>
          <w:sz w:val="20"/>
          <w:szCs w:val="20"/>
          <w:lang w:val="es-ES" w:eastAsia="es-ES_tradnl"/>
        </w:rPr>
        <w:t xml:space="preserve">la falta de </w:t>
      </w:r>
      <w:r w:rsidR="002D1FE5">
        <w:rPr>
          <w:rFonts w:ascii="Cambria" w:hAnsi="Cambria" w:cs="Verdana"/>
          <w:sz w:val="20"/>
          <w:szCs w:val="20"/>
          <w:lang w:val="es-ES" w:eastAsia="es-ES_tradnl"/>
        </w:rPr>
        <w:t>apoyos</w:t>
      </w:r>
      <w:r>
        <w:rPr>
          <w:rFonts w:ascii="Cambria" w:hAnsi="Cambria" w:cs="Verdana"/>
          <w:sz w:val="20"/>
          <w:szCs w:val="20"/>
          <w:lang w:val="es-ES" w:eastAsia="es-ES_tradnl"/>
        </w:rPr>
        <w:t xml:space="preserve"> integrales </w:t>
      </w:r>
      <w:r w:rsidR="000618B7">
        <w:rPr>
          <w:rFonts w:ascii="Cambria" w:hAnsi="Cambria" w:cs="Verdana"/>
          <w:sz w:val="20"/>
          <w:szCs w:val="20"/>
          <w:lang w:val="es-ES" w:eastAsia="es-ES_tradnl"/>
        </w:rPr>
        <w:t>podrían poner en riesgo e</w:t>
      </w:r>
      <w:r>
        <w:rPr>
          <w:rFonts w:ascii="Cambria" w:hAnsi="Cambria" w:cs="Verdana"/>
          <w:sz w:val="20"/>
          <w:szCs w:val="20"/>
          <w:lang w:val="es-ES" w:eastAsia="es-ES_tradnl"/>
        </w:rPr>
        <w:t>l derecho a la vida e integridad</w:t>
      </w:r>
      <w:r w:rsidR="000618B7">
        <w:rPr>
          <w:rStyle w:val="FootnoteReference"/>
          <w:rFonts w:ascii="Cambria" w:hAnsi="Cambria" w:cs="Verdana"/>
          <w:sz w:val="20"/>
          <w:szCs w:val="20"/>
          <w:lang w:val="es-ES" w:eastAsia="es-ES_tradnl"/>
        </w:rPr>
        <w:footnoteReference w:id="101"/>
      </w:r>
      <w:r>
        <w:rPr>
          <w:rFonts w:ascii="Cambria" w:hAnsi="Cambria" w:cs="Verdana"/>
          <w:sz w:val="20"/>
          <w:szCs w:val="20"/>
          <w:lang w:val="es-ES" w:eastAsia="es-ES_tradnl"/>
        </w:rPr>
        <w:t xml:space="preserve">. </w:t>
      </w:r>
      <w:r w:rsidR="00801051">
        <w:rPr>
          <w:rFonts w:ascii="Cambria" w:hAnsi="Cambria" w:cs="Verdana"/>
          <w:sz w:val="20"/>
          <w:szCs w:val="20"/>
          <w:lang w:val="es-ES" w:eastAsia="es-ES_tradnl"/>
        </w:rPr>
        <w:t>En esta línea, la CIDH observa que el desarrollo de los derechos de niños</w:t>
      </w:r>
      <w:r w:rsidR="00BA6362">
        <w:rPr>
          <w:rFonts w:ascii="Cambria" w:hAnsi="Cambria" w:cs="Verdana"/>
          <w:sz w:val="20"/>
          <w:szCs w:val="20"/>
          <w:lang w:val="es-ES" w:eastAsia="es-ES_tradnl"/>
        </w:rPr>
        <w:t xml:space="preserve"> y niñas</w:t>
      </w:r>
      <w:r w:rsidR="00801051">
        <w:rPr>
          <w:rFonts w:ascii="Cambria" w:hAnsi="Cambria" w:cs="Verdana"/>
          <w:sz w:val="20"/>
          <w:szCs w:val="20"/>
          <w:lang w:val="es-ES" w:eastAsia="es-ES_tradnl"/>
        </w:rPr>
        <w:t xml:space="preserve"> con discapacidad</w:t>
      </w:r>
      <w:r w:rsidR="00253052">
        <w:rPr>
          <w:rFonts w:ascii="Cambria" w:hAnsi="Cambria" w:cs="Verdana"/>
          <w:sz w:val="20"/>
          <w:szCs w:val="20"/>
          <w:lang w:val="es-ES" w:eastAsia="es-ES_tradnl"/>
        </w:rPr>
        <w:t xml:space="preserve"> reconoce el derecho a vivir de forma independiente y a ser incluido</w:t>
      </w:r>
      <w:r w:rsidR="00563EE8">
        <w:rPr>
          <w:rFonts w:ascii="Cambria" w:hAnsi="Cambria" w:cs="Verdana"/>
          <w:sz w:val="20"/>
          <w:szCs w:val="20"/>
          <w:lang w:val="es-ES" w:eastAsia="es-ES_tradnl"/>
        </w:rPr>
        <w:t>s</w:t>
      </w:r>
      <w:r w:rsidR="00253052">
        <w:rPr>
          <w:rFonts w:ascii="Cambria" w:hAnsi="Cambria" w:cs="Verdana"/>
          <w:sz w:val="20"/>
          <w:szCs w:val="20"/>
          <w:lang w:val="es-ES" w:eastAsia="es-ES_tradnl"/>
        </w:rPr>
        <w:t xml:space="preserve"> en la comunidad, lo que implica el derecho a crecer </w:t>
      </w:r>
      <w:r w:rsidR="002D1FE5">
        <w:rPr>
          <w:rFonts w:ascii="Cambria" w:hAnsi="Cambria" w:cs="Verdana"/>
          <w:sz w:val="20"/>
          <w:szCs w:val="20"/>
          <w:lang w:val="es-ES" w:eastAsia="es-ES_tradnl"/>
        </w:rPr>
        <w:t>en el entorno familiar</w:t>
      </w:r>
      <w:r w:rsidR="00253052">
        <w:rPr>
          <w:rFonts w:ascii="Cambria" w:hAnsi="Cambria" w:cs="Verdana"/>
          <w:sz w:val="20"/>
          <w:szCs w:val="20"/>
          <w:lang w:val="es-ES" w:eastAsia="es-ES_tradnl"/>
        </w:rPr>
        <w:t xml:space="preserve">, así como “la existencia de servicios de apoyo adecuados y que tengan en cuenta la edad para las niñas y niños con discapacidad </w:t>
      </w:r>
      <w:r w:rsidR="002D1FE5">
        <w:rPr>
          <w:rFonts w:ascii="Cambria" w:hAnsi="Cambria" w:cs="Verdana"/>
          <w:sz w:val="20"/>
          <w:szCs w:val="20"/>
          <w:lang w:val="es-ES" w:eastAsia="es-ES_tradnl"/>
        </w:rPr>
        <w:t>resulta indispensable para que puedan disfrutar de sus derechos humanos en igualdad de condiciones”</w:t>
      </w:r>
      <w:r w:rsidR="002D1FE5">
        <w:rPr>
          <w:rStyle w:val="FootnoteReference"/>
          <w:rFonts w:ascii="Cambria" w:hAnsi="Cambria" w:cs="Verdana"/>
          <w:sz w:val="20"/>
          <w:szCs w:val="20"/>
          <w:lang w:val="es-ES" w:eastAsia="es-ES_tradnl"/>
        </w:rPr>
        <w:footnoteReference w:id="102"/>
      </w:r>
      <w:r w:rsidR="002D1FE5">
        <w:rPr>
          <w:rFonts w:ascii="Cambria" w:hAnsi="Cambria" w:cs="Verdana"/>
          <w:sz w:val="20"/>
          <w:szCs w:val="20"/>
          <w:lang w:val="es-ES" w:eastAsia="es-ES_tradnl"/>
        </w:rPr>
        <w:t xml:space="preserve">. </w:t>
      </w:r>
    </w:p>
    <w:p w:rsidR="00801051" w:rsidRPr="00801051" w:rsidRDefault="00801051" w:rsidP="008010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ES" w:eastAsia="es-ES_tradnl"/>
        </w:rPr>
      </w:pPr>
    </w:p>
    <w:p w:rsidR="003A1175" w:rsidRDefault="00BA6362" w:rsidP="00C87FF4">
      <w:pPr>
        <w:pStyle w:val="Heading3"/>
        <w:rPr>
          <w:lang w:val="es-ES"/>
        </w:rPr>
      </w:pPr>
      <w:bookmarkStart w:id="23" w:name="_Toc531880130"/>
      <w:r>
        <w:rPr>
          <w:lang w:val="es-ES"/>
        </w:rPr>
        <w:t xml:space="preserve">Análisis del caso </w:t>
      </w:r>
      <w:r w:rsidR="00801051" w:rsidRPr="00801051">
        <w:rPr>
          <w:lang w:val="es-ES"/>
        </w:rPr>
        <w:t>de Martina Vera Rojas</w:t>
      </w:r>
      <w:r w:rsidR="00801051">
        <w:rPr>
          <w:lang w:val="es-ES"/>
        </w:rPr>
        <w:t xml:space="preserve"> </w:t>
      </w:r>
      <w:r w:rsidR="00EC1F54">
        <w:rPr>
          <w:lang w:val="es-ES"/>
        </w:rPr>
        <w:t xml:space="preserve">en su condición de </w:t>
      </w:r>
      <w:r w:rsidR="00801051">
        <w:rPr>
          <w:lang w:val="es-ES"/>
        </w:rPr>
        <w:t>niña con discapacidad</w:t>
      </w:r>
      <w:bookmarkEnd w:id="23"/>
    </w:p>
    <w:p w:rsidR="00801051" w:rsidRPr="00801051" w:rsidRDefault="00801051" w:rsidP="00801051">
      <w:pPr>
        <w:ind w:left="1080"/>
        <w:jc w:val="both"/>
        <w:rPr>
          <w:rFonts w:asciiTheme="majorHAnsi" w:hAnsiTheme="majorHAnsi"/>
          <w:b/>
          <w:sz w:val="20"/>
          <w:szCs w:val="20"/>
          <w:lang w:val="es-ES"/>
        </w:rPr>
      </w:pPr>
    </w:p>
    <w:p w:rsidR="007E02EF" w:rsidRPr="00FF31F1" w:rsidRDefault="00E01AFF"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sidRPr="00FF31F1">
        <w:rPr>
          <w:rFonts w:ascii="Cambria" w:hAnsi="Cambria" w:cs="Verdana"/>
          <w:sz w:val="20"/>
          <w:szCs w:val="20"/>
          <w:lang w:val="es-CO" w:eastAsia="es-ES_tradnl"/>
        </w:rPr>
        <w:t>En el presente caso la Comisi</w:t>
      </w:r>
      <w:r w:rsidR="007E02EF" w:rsidRPr="00FF31F1">
        <w:rPr>
          <w:rFonts w:ascii="Cambria" w:hAnsi="Cambria" w:cs="Verdana"/>
          <w:sz w:val="20"/>
          <w:szCs w:val="20"/>
          <w:lang w:val="es-CO" w:eastAsia="es-ES_tradnl"/>
        </w:rPr>
        <w:t>ón analizará la</w:t>
      </w:r>
      <w:r w:rsidR="00315F3D" w:rsidRPr="00FF31F1">
        <w:rPr>
          <w:rFonts w:ascii="Cambria" w:hAnsi="Cambria" w:cs="Verdana"/>
          <w:sz w:val="20"/>
          <w:szCs w:val="20"/>
          <w:lang w:val="es-CO" w:eastAsia="es-ES_tradnl"/>
        </w:rPr>
        <w:t>s</w:t>
      </w:r>
      <w:r w:rsidR="007E02EF" w:rsidRPr="00FF31F1">
        <w:rPr>
          <w:rFonts w:ascii="Cambria" w:hAnsi="Cambria" w:cs="Verdana"/>
          <w:sz w:val="20"/>
          <w:szCs w:val="20"/>
          <w:lang w:val="es-CO" w:eastAsia="es-ES_tradnl"/>
        </w:rPr>
        <w:t xml:space="preserve"> posibles afectaciones del derecho a la salud</w:t>
      </w:r>
      <w:r w:rsidR="00B063E3">
        <w:rPr>
          <w:rFonts w:ascii="Cambria" w:hAnsi="Cambria" w:cs="Verdana"/>
          <w:sz w:val="20"/>
          <w:szCs w:val="20"/>
          <w:lang w:val="es-CO" w:eastAsia="es-ES_tradnl"/>
        </w:rPr>
        <w:t xml:space="preserve">, </w:t>
      </w:r>
      <w:r w:rsidR="0086148E">
        <w:rPr>
          <w:rFonts w:ascii="Cambria" w:hAnsi="Cambria" w:cs="Verdana"/>
          <w:sz w:val="20"/>
          <w:szCs w:val="20"/>
          <w:lang w:val="es-CO" w:eastAsia="es-ES_tradnl"/>
        </w:rPr>
        <w:t xml:space="preserve">seguridad social, </w:t>
      </w:r>
      <w:r w:rsidR="00B063E3">
        <w:rPr>
          <w:rFonts w:ascii="Cambria" w:hAnsi="Cambria" w:cs="Verdana"/>
          <w:sz w:val="20"/>
          <w:szCs w:val="20"/>
          <w:lang w:val="es-CO" w:eastAsia="es-ES_tradnl"/>
        </w:rPr>
        <w:t>vida e integridad personal,</w:t>
      </w:r>
      <w:r w:rsidR="00315F3D" w:rsidRPr="00FF31F1">
        <w:rPr>
          <w:rFonts w:ascii="Cambria" w:hAnsi="Cambria" w:cs="Verdana"/>
          <w:sz w:val="20"/>
          <w:szCs w:val="20"/>
          <w:lang w:val="es-CO" w:eastAsia="es-ES_tradnl"/>
        </w:rPr>
        <w:t xml:space="preserve"> a partir de la regulación del</w:t>
      </w:r>
      <w:r w:rsidR="007E02EF" w:rsidRPr="00FF31F1">
        <w:rPr>
          <w:rFonts w:ascii="Cambria" w:hAnsi="Cambria" w:cs="Verdana"/>
          <w:sz w:val="20"/>
          <w:szCs w:val="20"/>
          <w:lang w:val="es-CO" w:eastAsia="es-ES_tradnl"/>
        </w:rPr>
        <w:t xml:space="preserve"> </w:t>
      </w:r>
      <w:r w:rsidR="00315F3D" w:rsidRPr="00FF31F1">
        <w:rPr>
          <w:rFonts w:ascii="Cambria" w:hAnsi="Cambria" w:cs="Verdana"/>
          <w:sz w:val="20"/>
          <w:szCs w:val="20"/>
          <w:lang w:val="es-CO" w:eastAsia="es-ES_tradnl"/>
        </w:rPr>
        <w:t xml:space="preserve">retiro del régimen de hospitalización domiciliaria, </w:t>
      </w:r>
      <w:r w:rsidR="000A1A22">
        <w:rPr>
          <w:rFonts w:ascii="Cambria" w:hAnsi="Cambria" w:cs="Verdana"/>
          <w:sz w:val="20"/>
          <w:szCs w:val="20"/>
          <w:lang w:val="es-CO" w:eastAsia="es-ES_tradnl"/>
        </w:rPr>
        <w:t xml:space="preserve">los </w:t>
      </w:r>
      <w:r w:rsidR="007E02EF" w:rsidRPr="00FF31F1">
        <w:rPr>
          <w:rFonts w:ascii="Cambria" w:hAnsi="Cambria" w:cs="Verdana"/>
          <w:sz w:val="20"/>
          <w:szCs w:val="20"/>
          <w:lang w:val="es-CO" w:eastAsia="es-ES_tradnl"/>
        </w:rPr>
        <w:t>sistema</w:t>
      </w:r>
      <w:r w:rsidR="000A1A22">
        <w:rPr>
          <w:rFonts w:ascii="Cambria" w:hAnsi="Cambria" w:cs="Verdana"/>
          <w:sz w:val="20"/>
          <w:szCs w:val="20"/>
          <w:lang w:val="es-CO" w:eastAsia="es-ES_tradnl"/>
        </w:rPr>
        <w:t>s</w:t>
      </w:r>
      <w:r w:rsidR="007E02EF" w:rsidRPr="00FF31F1">
        <w:rPr>
          <w:rFonts w:ascii="Cambria" w:hAnsi="Cambria" w:cs="Verdana"/>
          <w:sz w:val="20"/>
          <w:szCs w:val="20"/>
          <w:lang w:val="es-CO" w:eastAsia="es-ES_tradnl"/>
        </w:rPr>
        <w:t xml:space="preserve"> de reclamos para el restablecimiento del tr</w:t>
      </w:r>
      <w:r w:rsidR="00F96349" w:rsidRPr="00FF31F1">
        <w:rPr>
          <w:rFonts w:ascii="Cambria" w:hAnsi="Cambria" w:cs="Verdana"/>
          <w:sz w:val="20"/>
          <w:szCs w:val="20"/>
          <w:lang w:val="es-CO" w:eastAsia="es-ES_tradnl"/>
        </w:rPr>
        <w:t>atamiento para la niña Martina</w:t>
      </w:r>
      <w:r w:rsidR="000A1A22">
        <w:rPr>
          <w:rFonts w:ascii="Cambria" w:hAnsi="Cambria" w:cs="Verdana"/>
          <w:sz w:val="20"/>
          <w:szCs w:val="20"/>
          <w:lang w:val="es-CO" w:eastAsia="es-ES_tradnl"/>
        </w:rPr>
        <w:t xml:space="preserve"> y las respuestas recibidas ante tales reclamos.</w:t>
      </w:r>
      <w:r w:rsidR="00F96349" w:rsidRPr="00FF31F1">
        <w:rPr>
          <w:rFonts w:ascii="Cambria" w:hAnsi="Cambria" w:cs="Verdana"/>
          <w:sz w:val="20"/>
          <w:szCs w:val="20"/>
          <w:lang w:val="es-CO" w:eastAsia="es-ES_tradnl"/>
        </w:rPr>
        <w:t xml:space="preserve"> </w:t>
      </w:r>
    </w:p>
    <w:p w:rsidR="00F96349" w:rsidRPr="00FF31F1" w:rsidRDefault="00F96349" w:rsidP="00F9634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val="es-CO" w:eastAsia="es-ES_tradnl"/>
        </w:rPr>
      </w:pPr>
    </w:p>
    <w:p w:rsidR="00CF7DAA" w:rsidRDefault="00CF7DAA"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Pr>
          <w:rFonts w:ascii="Cambria" w:hAnsi="Cambria" w:cs="Verdana"/>
          <w:sz w:val="20"/>
          <w:szCs w:val="20"/>
          <w:lang w:val="es-CO" w:eastAsia="es-ES_tradnl"/>
        </w:rPr>
        <w:t xml:space="preserve">Como se estableció en los hechos probados, </w:t>
      </w:r>
      <w:r w:rsidR="00F96349" w:rsidRPr="00FF31F1">
        <w:rPr>
          <w:rFonts w:ascii="Cambria" w:hAnsi="Cambria" w:cs="Verdana"/>
          <w:sz w:val="20"/>
          <w:szCs w:val="20"/>
          <w:lang w:val="es-CO" w:eastAsia="es-ES_tradnl"/>
        </w:rPr>
        <w:t>la Isapre determinó que la enfermedad de Martina Vera R</w:t>
      </w:r>
      <w:r>
        <w:rPr>
          <w:rFonts w:ascii="Cambria" w:hAnsi="Cambria" w:cs="Verdana"/>
          <w:sz w:val="20"/>
          <w:szCs w:val="20"/>
          <w:lang w:val="es-CO" w:eastAsia="es-ES_tradnl"/>
        </w:rPr>
        <w:t>ojas era una enfermedad crónica y, por lo tanto,</w:t>
      </w:r>
      <w:r w:rsidR="00F96349" w:rsidRPr="00FF31F1">
        <w:rPr>
          <w:rFonts w:ascii="Cambria" w:hAnsi="Cambria" w:cs="Verdana"/>
          <w:sz w:val="20"/>
          <w:szCs w:val="20"/>
          <w:lang w:val="es-CO" w:eastAsia="es-ES_tradnl"/>
        </w:rPr>
        <w:t xml:space="preserve"> basánd</w:t>
      </w:r>
      <w:r w:rsidR="00801051">
        <w:rPr>
          <w:rFonts w:ascii="Cambria" w:hAnsi="Cambria" w:cs="Verdana"/>
          <w:sz w:val="20"/>
          <w:szCs w:val="20"/>
          <w:lang w:val="es-CO" w:eastAsia="es-ES_tradnl"/>
        </w:rPr>
        <w:t>ose en la Circular No. 7</w:t>
      </w:r>
      <w:r w:rsidR="00F96349" w:rsidRPr="00FF31F1">
        <w:rPr>
          <w:rFonts w:ascii="Cambria" w:hAnsi="Cambria" w:cs="Verdana"/>
          <w:sz w:val="20"/>
          <w:szCs w:val="20"/>
          <w:lang w:val="es-CO" w:eastAsia="es-ES_tradnl"/>
        </w:rPr>
        <w:t xml:space="preserve">, decidió que era procedente la suspensión del RHD. </w:t>
      </w:r>
    </w:p>
    <w:p w:rsidR="00CF7DAA" w:rsidRDefault="00CF7DAA" w:rsidP="00CF7DAA">
      <w:pPr>
        <w:pStyle w:val="ListParagraph"/>
        <w:rPr>
          <w:rFonts w:cs="Verdana"/>
          <w:sz w:val="20"/>
          <w:szCs w:val="20"/>
          <w:lang w:val="es-CO" w:eastAsia="es-ES_tradnl"/>
        </w:rPr>
      </w:pPr>
    </w:p>
    <w:p w:rsidR="00660AC6" w:rsidRDefault="002156C8"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Pr>
          <w:rFonts w:ascii="Cambria" w:hAnsi="Cambria" w:cs="Verdana"/>
          <w:sz w:val="20"/>
          <w:szCs w:val="20"/>
          <w:lang w:val="es-CO" w:eastAsia="es-ES_tradnl"/>
        </w:rPr>
        <w:t>L</w:t>
      </w:r>
      <w:r w:rsidR="00F96349" w:rsidRPr="00FF31F1">
        <w:rPr>
          <w:rFonts w:ascii="Cambria" w:hAnsi="Cambria" w:cs="Verdana"/>
          <w:sz w:val="20"/>
          <w:szCs w:val="20"/>
          <w:lang w:val="es-CO" w:eastAsia="es-ES_tradnl"/>
        </w:rPr>
        <w:t>a Comisión considera</w:t>
      </w:r>
      <w:r w:rsidR="00F3063D">
        <w:rPr>
          <w:rFonts w:ascii="Cambria" w:hAnsi="Cambria" w:cs="Verdana"/>
          <w:sz w:val="20"/>
          <w:szCs w:val="20"/>
          <w:lang w:val="es-CO" w:eastAsia="es-ES_tradnl"/>
        </w:rPr>
        <w:t xml:space="preserve">, </w:t>
      </w:r>
      <w:r w:rsidR="00F96349" w:rsidRPr="00FF31F1">
        <w:rPr>
          <w:rFonts w:ascii="Cambria" w:hAnsi="Cambria" w:cs="Verdana"/>
          <w:sz w:val="20"/>
          <w:szCs w:val="20"/>
          <w:lang w:val="es-CO" w:eastAsia="es-ES_tradnl"/>
        </w:rPr>
        <w:t xml:space="preserve">que en función del derecho </w:t>
      </w:r>
      <w:r w:rsidR="00C8491D">
        <w:rPr>
          <w:rFonts w:ascii="Cambria" w:hAnsi="Cambria" w:cs="Verdana"/>
          <w:sz w:val="20"/>
          <w:szCs w:val="20"/>
          <w:lang w:val="es-CO" w:eastAsia="es-ES_tradnl"/>
        </w:rPr>
        <w:t xml:space="preserve">a la salud, </w:t>
      </w:r>
      <w:r w:rsidR="00F96349" w:rsidRPr="00FF31F1">
        <w:rPr>
          <w:rFonts w:ascii="Cambria" w:hAnsi="Cambria" w:cs="Verdana"/>
          <w:sz w:val="20"/>
          <w:szCs w:val="20"/>
          <w:lang w:val="es-CO" w:eastAsia="es-ES_tradnl"/>
        </w:rPr>
        <w:t xml:space="preserve">la regulación y fiscalización de los aspectos que gobiernan los sistemas de salud, no solo en la prestación </w:t>
      </w:r>
      <w:r w:rsidR="007A733F" w:rsidRPr="00FF31F1">
        <w:rPr>
          <w:rFonts w:ascii="Cambria" w:hAnsi="Cambria" w:cs="Verdana"/>
          <w:sz w:val="20"/>
          <w:szCs w:val="20"/>
          <w:lang w:val="es-CO" w:eastAsia="es-ES_tradnl"/>
        </w:rPr>
        <w:t xml:space="preserve">final </w:t>
      </w:r>
      <w:r w:rsidR="00F96349" w:rsidRPr="00FF31F1">
        <w:rPr>
          <w:rFonts w:ascii="Cambria" w:hAnsi="Cambria" w:cs="Verdana"/>
          <w:sz w:val="20"/>
          <w:szCs w:val="20"/>
          <w:lang w:val="es-CO" w:eastAsia="es-ES_tradnl"/>
        </w:rPr>
        <w:t xml:space="preserve">del servicio, sino también en </w:t>
      </w:r>
      <w:r w:rsidR="007A733F" w:rsidRPr="00FF31F1">
        <w:rPr>
          <w:rFonts w:ascii="Cambria" w:hAnsi="Cambria" w:cs="Verdana"/>
          <w:sz w:val="20"/>
          <w:szCs w:val="20"/>
          <w:lang w:val="es-CO" w:eastAsia="es-ES_tradnl"/>
        </w:rPr>
        <w:t>el diseño del financiamiento del mismo a través de aseguradoras privadas, es una prerrogativa del Estado</w:t>
      </w:r>
      <w:r w:rsidR="00A24437" w:rsidRPr="00FF31F1">
        <w:rPr>
          <w:rFonts w:ascii="Cambria" w:hAnsi="Cambria" w:cs="Verdana"/>
          <w:sz w:val="20"/>
          <w:szCs w:val="20"/>
          <w:lang w:val="es-CO" w:eastAsia="es-ES_tradnl"/>
        </w:rPr>
        <w:t xml:space="preserve"> que debe ser entendida </w:t>
      </w:r>
      <w:r w:rsidR="00A24437" w:rsidRPr="00FF31F1">
        <w:rPr>
          <w:rFonts w:ascii="Cambria" w:hAnsi="Cambria" w:cs="Arial"/>
          <w:snapToGrid w:val="0"/>
          <w:sz w:val="20"/>
          <w:szCs w:val="20"/>
          <w:lang w:val="es-ES"/>
        </w:rPr>
        <w:t>como parte de sus obligaciones en la creación de condiciones que aseguren a todos asistencia médica y servicios médicos en caso de enfermedad</w:t>
      </w:r>
      <w:r w:rsidR="007A733F" w:rsidRPr="00FF31F1">
        <w:rPr>
          <w:rFonts w:ascii="Cambria" w:hAnsi="Cambria" w:cs="Verdana"/>
          <w:sz w:val="20"/>
          <w:szCs w:val="20"/>
          <w:lang w:val="es-CO" w:eastAsia="es-ES_tradnl"/>
        </w:rPr>
        <w:t xml:space="preserve">. </w:t>
      </w:r>
      <w:r w:rsidR="0086148E">
        <w:rPr>
          <w:rFonts w:ascii="Cambria" w:hAnsi="Cambria" w:cs="Verdana"/>
          <w:sz w:val="20"/>
          <w:szCs w:val="20"/>
          <w:lang w:val="es-CO" w:eastAsia="es-ES_tradnl"/>
        </w:rPr>
        <w:t>Para la CIDH</w:t>
      </w:r>
      <w:r w:rsidR="00605238">
        <w:rPr>
          <w:rFonts w:ascii="Cambria" w:hAnsi="Cambria" w:cs="Verdana"/>
          <w:sz w:val="20"/>
          <w:szCs w:val="20"/>
          <w:lang w:val="es-CO" w:eastAsia="es-ES_tradnl"/>
        </w:rPr>
        <w:t>,</w:t>
      </w:r>
      <w:r w:rsidR="00B77AF8" w:rsidRPr="00D21CD9">
        <w:rPr>
          <w:rFonts w:ascii="Cambria" w:hAnsi="Cambria" w:cs="Arial"/>
          <w:sz w:val="20"/>
          <w:szCs w:val="20"/>
          <w:lang w:val="es-CO" w:eastAsia="es-ES_tradnl"/>
        </w:rPr>
        <w:t xml:space="preserve"> es</w:t>
      </w:r>
      <w:r w:rsidR="00660AC6">
        <w:rPr>
          <w:rFonts w:ascii="Cambria" w:hAnsi="Cambria" w:cs="Arial"/>
          <w:sz w:val="20"/>
          <w:szCs w:val="20"/>
          <w:lang w:val="es-CO" w:eastAsia="es-ES_tradnl"/>
        </w:rPr>
        <w:t>ta faceta</w:t>
      </w:r>
      <w:r w:rsidR="00B77AF8" w:rsidRPr="00D21CD9">
        <w:rPr>
          <w:rFonts w:ascii="Cambria" w:hAnsi="Cambria" w:cs="Arial"/>
          <w:sz w:val="20"/>
          <w:szCs w:val="20"/>
          <w:lang w:val="es-CO" w:eastAsia="es-ES_tradnl"/>
        </w:rPr>
        <w:t xml:space="preserve"> </w:t>
      </w:r>
      <w:r w:rsidR="00660AC6">
        <w:rPr>
          <w:rFonts w:ascii="Cambria" w:hAnsi="Cambria" w:cs="Arial"/>
          <w:sz w:val="20"/>
          <w:szCs w:val="20"/>
          <w:lang w:val="es-CO" w:eastAsia="es-ES_tradnl"/>
        </w:rPr>
        <w:t>evidencia la indivisibilidad e interdependencia d</w:t>
      </w:r>
      <w:r w:rsidR="00B77AF8" w:rsidRPr="00D21CD9">
        <w:rPr>
          <w:rFonts w:ascii="Cambria" w:hAnsi="Cambria" w:cs="Arial"/>
          <w:sz w:val="20"/>
          <w:szCs w:val="20"/>
          <w:lang w:val="es-CO" w:eastAsia="es-ES_tradnl"/>
        </w:rPr>
        <w:t xml:space="preserve">el derecho a la seguridad social </w:t>
      </w:r>
      <w:r w:rsidR="00B77AF8" w:rsidRPr="00660AC6">
        <w:rPr>
          <w:rFonts w:ascii="Cambria" w:hAnsi="Cambria" w:cs="Arial"/>
          <w:sz w:val="20"/>
          <w:szCs w:val="20"/>
          <w:lang w:val="es-CO" w:eastAsia="es-ES_tradnl"/>
        </w:rPr>
        <w:t xml:space="preserve">relativo a los planes de sanidad </w:t>
      </w:r>
      <w:r w:rsidR="00660AC6">
        <w:rPr>
          <w:rFonts w:ascii="Cambria" w:hAnsi="Cambria" w:cs="Arial"/>
          <w:sz w:val="20"/>
          <w:szCs w:val="20"/>
          <w:lang w:val="es-CO" w:eastAsia="es-ES_tradnl"/>
        </w:rPr>
        <w:t xml:space="preserve">y el derecho a la salud, en donde el primero </w:t>
      </w:r>
      <w:r w:rsidR="00B77AF8" w:rsidRPr="00660AC6">
        <w:rPr>
          <w:rFonts w:ascii="Cambria" w:hAnsi="Cambria" w:cs="Arial"/>
          <w:sz w:val="20"/>
          <w:szCs w:val="20"/>
          <w:lang w:val="es-CO" w:eastAsia="es-ES_tradnl"/>
        </w:rPr>
        <w:t xml:space="preserve">adquiere un carácter instrumental o de procedimiento para satisfacer el contenido del </w:t>
      </w:r>
      <w:r w:rsidR="00660AC6">
        <w:rPr>
          <w:rFonts w:ascii="Cambria" w:hAnsi="Cambria" w:cs="Arial"/>
          <w:sz w:val="20"/>
          <w:szCs w:val="20"/>
          <w:lang w:val="es-CO" w:eastAsia="es-ES_tradnl"/>
        </w:rPr>
        <w:t>segundo.</w:t>
      </w:r>
      <w:r w:rsidR="00B77AF8" w:rsidRPr="00660AC6">
        <w:rPr>
          <w:rFonts w:ascii="Cambria" w:hAnsi="Cambria" w:cs="Arial"/>
          <w:sz w:val="20"/>
          <w:szCs w:val="20"/>
          <w:lang w:val="es-CO" w:eastAsia="es-ES_tradnl"/>
        </w:rPr>
        <w:t xml:space="preserve"> </w:t>
      </w:r>
      <w:r w:rsidR="00660AC6">
        <w:rPr>
          <w:rFonts w:ascii="Cambria" w:hAnsi="Cambria" w:cs="Arial"/>
          <w:sz w:val="20"/>
          <w:szCs w:val="20"/>
          <w:lang w:val="es-CO" w:eastAsia="es-ES_tradnl"/>
        </w:rPr>
        <w:t>C</w:t>
      </w:r>
      <w:r w:rsidR="00B77AF8" w:rsidRPr="00660AC6">
        <w:rPr>
          <w:rFonts w:ascii="Cambria" w:hAnsi="Cambria" w:cs="Arial"/>
          <w:sz w:val="20"/>
          <w:szCs w:val="20"/>
          <w:lang w:val="es-CO" w:eastAsia="es-ES_tradnl"/>
        </w:rPr>
        <w:t xml:space="preserve">uando estos </w:t>
      </w:r>
      <w:r w:rsidR="00660AC6">
        <w:rPr>
          <w:rFonts w:ascii="Cambria" w:hAnsi="Cambria" w:cs="Arial"/>
          <w:sz w:val="20"/>
          <w:szCs w:val="20"/>
          <w:lang w:val="es-CO" w:eastAsia="es-ES_tradnl"/>
        </w:rPr>
        <w:t xml:space="preserve">planes </w:t>
      </w:r>
      <w:r w:rsidR="00B77AF8" w:rsidRPr="00660AC6">
        <w:rPr>
          <w:rFonts w:ascii="Cambria" w:hAnsi="Cambria" w:cs="Arial"/>
          <w:sz w:val="20"/>
          <w:szCs w:val="20"/>
          <w:lang w:val="es-CO" w:eastAsia="es-ES_tradnl"/>
        </w:rPr>
        <w:t xml:space="preserve">son </w:t>
      </w:r>
      <w:r w:rsidR="001B296D" w:rsidRPr="00660AC6">
        <w:rPr>
          <w:rFonts w:ascii="Cambria" w:hAnsi="Cambria" w:cs="Arial"/>
          <w:sz w:val="20"/>
          <w:szCs w:val="20"/>
          <w:lang w:val="es-CO" w:eastAsia="es-ES_tradnl"/>
        </w:rPr>
        <w:t xml:space="preserve">manejados </w:t>
      </w:r>
      <w:r w:rsidR="00B77AF8" w:rsidRPr="00660AC6">
        <w:rPr>
          <w:rFonts w:ascii="Cambria" w:hAnsi="Cambria" w:cs="Arial"/>
          <w:sz w:val="20"/>
          <w:szCs w:val="20"/>
          <w:lang w:val="es-CO" w:eastAsia="es-ES_tradnl"/>
        </w:rPr>
        <w:t>por empresas privadas, el Estado tiene la obligación de ase</w:t>
      </w:r>
      <w:r w:rsidR="001B296D" w:rsidRPr="00660AC6">
        <w:rPr>
          <w:rFonts w:ascii="Cambria" w:hAnsi="Cambria" w:cs="Arial"/>
          <w:sz w:val="20"/>
          <w:szCs w:val="20"/>
          <w:lang w:val="es-CO" w:eastAsia="es-ES_tradnl"/>
        </w:rPr>
        <w:t>gurar que el diseño y administración de los seguros médicos tengan en cuenta los elementos de</w:t>
      </w:r>
      <w:r w:rsidR="00660AC6">
        <w:rPr>
          <w:rFonts w:ascii="Cambria" w:hAnsi="Cambria" w:cs="Arial"/>
          <w:sz w:val="20"/>
          <w:szCs w:val="20"/>
          <w:lang w:val="es-CO" w:eastAsia="es-ES_tradnl"/>
        </w:rPr>
        <w:t xml:space="preserve"> los</w:t>
      </w:r>
      <w:r w:rsidR="001B296D" w:rsidRPr="00660AC6">
        <w:rPr>
          <w:rFonts w:ascii="Cambria" w:hAnsi="Cambria" w:cs="Arial"/>
          <w:sz w:val="20"/>
          <w:szCs w:val="20"/>
          <w:lang w:val="es-CO" w:eastAsia="es-ES_tradnl"/>
        </w:rPr>
        <w:t xml:space="preserve"> derecho</w:t>
      </w:r>
      <w:r w:rsidR="00660AC6">
        <w:rPr>
          <w:rFonts w:ascii="Cambria" w:hAnsi="Cambria" w:cs="Arial"/>
          <w:sz w:val="20"/>
          <w:szCs w:val="20"/>
          <w:lang w:val="es-CO" w:eastAsia="es-ES_tradnl"/>
        </w:rPr>
        <w:t>s</w:t>
      </w:r>
      <w:r w:rsidR="001B296D" w:rsidRPr="00660AC6">
        <w:rPr>
          <w:rFonts w:ascii="Cambria" w:hAnsi="Cambria" w:cs="Arial"/>
          <w:sz w:val="20"/>
          <w:szCs w:val="20"/>
          <w:lang w:val="es-CO" w:eastAsia="es-ES_tradnl"/>
        </w:rPr>
        <w:t xml:space="preserve"> a la seguridad social</w:t>
      </w:r>
      <w:r w:rsidR="00660AC6">
        <w:rPr>
          <w:rFonts w:ascii="Cambria" w:hAnsi="Cambria" w:cs="Arial"/>
          <w:sz w:val="20"/>
          <w:szCs w:val="20"/>
          <w:lang w:val="es-CO" w:eastAsia="es-ES_tradnl"/>
        </w:rPr>
        <w:t xml:space="preserve"> y a la salud</w:t>
      </w:r>
      <w:r w:rsidR="00D21CD9" w:rsidRPr="00660AC6">
        <w:rPr>
          <w:rFonts w:ascii="Cambria" w:hAnsi="Cambria" w:cs="Arial"/>
          <w:sz w:val="20"/>
          <w:szCs w:val="20"/>
          <w:lang w:val="es-CO" w:eastAsia="es-ES_tradnl"/>
        </w:rPr>
        <w:t>.</w:t>
      </w:r>
      <w:r w:rsidR="00EE3B73" w:rsidRPr="00660AC6">
        <w:rPr>
          <w:rFonts w:ascii="Cambria" w:hAnsi="Cambria" w:cs="Arial"/>
          <w:sz w:val="20"/>
          <w:szCs w:val="20"/>
          <w:lang w:val="es-CO" w:eastAsia="es-ES_tradnl"/>
        </w:rPr>
        <w:t xml:space="preserve"> </w:t>
      </w:r>
      <w:r w:rsidR="0079757E">
        <w:rPr>
          <w:rFonts w:ascii="Cambria" w:hAnsi="Cambria" w:cs="Arial"/>
          <w:sz w:val="20"/>
          <w:szCs w:val="20"/>
          <w:lang w:val="es-CO" w:eastAsia="es-ES_tradnl"/>
        </w:rPr>
        <w:t xml:space="preserve">De allí que de </w:t>
      </w:r>
      <w:r w:rsidR="00D21CD9">
        <w:rPr>
          <w:rFonts w:ascii="Cambria" w:hAnsi="Cambria" w:cs="Arial"/>
          <w:sz w:val="20"/>
          <w:szCs w:val="20"/>
          <w:lang w:val="es-CO" w:eastAsia="es-ES_tradnl"/>
        </w:rPr>
        <w:t>la</w:t>
      </w:r>
      <w:r w:rsidR="00D21CD9" w:rsidRPr="00D21CD9">
        <w:rPr>
          <w:rFonts w:ascii="Cambria" w:hAnsi="Cambria" w:cs="Arial"/>
          <w:sz w:val="20"/>
          <w:szCs w:val="20"/>
          <w:lang w:val="es-CO" w:eastAsia="es-ES_tradnl"/>
        </w:rPr>
        <w:t xml:space="preserve"> obligación estatal </w:t>
      </w:r>
      <w:r w:rsidR="00D21CD9" w:rsidRPr="00B67AD6">
        <w:rPr>
          <w:rFonts w:ascii="Cambria" w:hAnsi="Cambria" w:cs="Arial"/>
          <w:sz w:val="20"/>
          <w:szCs w:val="20"/>
          <w:lang w:val="es-ES"/>
        </w:rPr>
        <w:t>de asegurar la efec</w:t>
      </w:r>
      <w:r w:rsidR="00D21CD9" w:rsidRPr="00D21CD9">
        <w:rPr>
          <w:rFonts w:ascii="Cambria" w:hAnsi="Cambria" w:cs="Arial"/>
          <w:sz w:val="20"/>
          <w:szCs w:val="20"/>
          <w:lang w:val="es-ES"/>
        </w:rPr>
        <w:t>tividad de los derechos humanos</w:t>
      </w:r>
      <w:r w:rsidR="00D21CD9" w:rsidRPr="00B67AD6">
        <w:rPr>
          <w:rFonts w:ascii="Cambria" w:hAnsi="Cambria" w:cs="Arial"/>
          <w:sz w:val="20"/>
          <w:szCs w:val="20"/>
          <w:lang w:val="es-ES"/>
        </w:rPr>
        <w:t xml:space="preserve"> se </w:t>
      </w:r>
      <w:r w:rsidR="0079757E">
        <w:rPr>
          <w:rFonts w:ascii="Cambria" w:hAnsi="Cambria" w:cs="Arial"/>
          <w:sz w:val="20"/>
          <w:szCs w:val="20"/>
          <w:lang w:val="es-ES"/>
        </w:rPr>
        <w:t xml:space="preserve">proyecten </w:t>
      </w:r>
      <w:r w:rsidR="00D21CD9" w:rsidRPr="00B67AD6">
        <w:rPr>
          <w:rFonts w:ascii="Cambria" w:hAnsi="Cambria" w:cs="Arial"/>
          <w:sz w:val="20"/>
          <w:szCs w:val="20"/>
          <w:lang w:val="es-ES"/>
        </w:rPr>
        <w:t xml:space="preserve">efectos en las relaciones entre particulares, </w:t>
      </w:r>
      <w:r w:rsidR="00D21CD9" w:rsidRPr="00D21CD9">
        <w:rPr>
          <w:rFonts w:ascii="Cambria" w:hAnsi="Cambria" w:cs="Arial"/>
          <w:sz w:val="20"/>
          <w:szCs w:val="20"/>
          <w:lang w:val="es-CO" w:eastAsia="es-ES_tradnl"/>
        </w:rPr>
        <w:t xml:space="preserve">quienes por consecuencia tienen la obligación de respetar </w:t>
      </w:r>
      <w:r w:rsidR="00D21CD9">
        <w:rPr>
          <w:rFonts w:ascii="Cambria" w:hAnsi="Cambria" w:cs="Arial"/>
          <w:sz w:val="20"/>
          <w:szCs w:val="20"/>
          <w:lang w:val="es-CO" w:eastAsia="es-ES_tradnl"/>
        </w:rPr>
        <w:t>estos;</w:t>
      </w:r>
      <w:r w:rsidR="00D21CD9" w:rsidRPr="00D21CD9">
        <w:rPr>
          <w:rFonts w:ascii="Cambria" w:hAnsi="Cambria" w:cs="Arial"/>
          <w:sz w:val="20"/>
          <w:szCs w:val="20"/>
          <w:lang w:val="es-CO" w:eastAsia="es-ES_tradnl"/>
        </w:rPr>
        <w:t xml:space="preserve"> es decir</w:t>
      </w:r>
      <w:r w:rsidR="00D21CD9">
        <w:rPr>
          <w:rFonts w:ascii="Cambria" w:hAnsi="Cambria" w:cs="Arial"/>
          <w:sz w:val="20"/>
          <w:szCs w:val="20"/>
          <w:lang w:val="es-CO" w:eastAsia="es-ES_tradnl"/>
        </w:rPr>
        <w:t>,</w:t>
      </w:r>
      <w:r w:rsidR="00D21CD9" w:rsidRPr="00D21CD9">
        <w:rPr>
          <w:rFonts w:ascii="Cambria" w:hAnsi="Cambria" w:cs="Arial"/>
          <w:sz w:val="20"/>
          <w:szCs w:val="20"/>
          <w:lang w:val="es-CO" w:eastAsia="es-ES_tradnl"/>
        </w:rPr>
        <w:t xml:space="preserve"> </w:t>
      </w:r>
      <w:r w:rsidR="00660AC6">
        <w:rPr>
          <w:rFonts w:ascii="Cambria" w:hAnsi="Cambria" w:cs="Arial"/>
          <w:sz w:val="20"/>
          <w:szCs w:val="20"/>
          <w:lang w:val="es-CO" w:eastAsia="es-ES_tradnl"/>
        </w:rPr>
        <w:t>respecto</w:t>
      </w:r>
      <w:r w:rsidR="00D21CD9" w:rsidRPr="00D21CD9">
        <w:rPr>
          <w:rFonts w:ascii="Cambria" w:hAnsi="Cambria" w:cs="Arial"/>
          <w:sz w:val="20"/>
          <w:szCs w:val="20"/>
          <w:lang w:val="es-CO" w:eastAsia="es-ES_tradnl"/>
        </w:rPr>
        <w:t xml:space="preserve"> de empresas aseguradoras</w:t>
      </w:r>
      <w:r w:rsidR="00D21CD9">
        <w:rPr>
          <w:rFonts w:ascii="Cambria" w:hAnsi="Cambria" w:cs="Arial"/>
          <w:sz w:val="20"/>
          <w:szCs w:val="20"/>
          <w:lang w:val="es-CO" w:eastAsia="es-ES_tradnl"/>
        </w:rPr>
        <w:t>,</w:t>
      </w:r>
      <w:r w:rsidR="00660AC6">
        <w:rPr>
          <w:rFonts w:ascii="Cambria" w:hAnsi="Cambria" w:cs="Arial"/>
          <w:sz w:val="20"/>
          <w:szCs w:val="20"/>
          <w:lang w:val="es-CO" w:eastAsia="es-ES_tradnl"/>
        </w:rPr>
        <w:t xml:space="preserve"> por ejemplo,</w:t>
      </w:r>
      <w:r w:rsidR="00D21CD9" w:rsidRPr="00D21CD9">
        <w:rPr>
          <w:rFonts w:ascii="Cambria" w:hAnsi="Cambria" w:cs="Arial"/>
          <w:sz w:val="20"/>
          <w:szCs w:val="20"/>
          <w:lang w:val="es-CO" w:eastAsia="es-ES_tradnl"/>
        </w:rPr>
        <w:t xml:space="preserve"> </w:t>
      </w:r>
      <w:r w:rsidR="00EE3B73" w:rsidRPr="00D21CD9">
        <w:rPr>
          <w:rFonts w:ascii="Cambria" w:hAnsi="Cambria" w:cs="Arial"/>
          <w:sz w:val="20"/>
          <w:szCs w:val="20"/>
          <w:lang w:val="es-CO" w:eastAsia="es-ES_tradnl"/>
        </w:rPr>
        <w:t xml:space="preserve">la búsqueda de rentabilidad y ganancia económica </w:t>
      </w:r>
      <w:r w:rsidR="0086148E">
        <w:rPr>
          <w:rFonts w:ascii="Cambria" w:hAnsi="Cambria" w:cs="Arial"/>
          <w:sz w:val="20"/>
          <w:szCs w:val="20"/>
          <w:lang w:val="es-CO" w:eastAsia="es-ES_tradnl"/>
        </w:rPr>
        <w:t xml:space="preserve">en el sistema de seguros médicos </w:t>
      </w:r>
      <w:r w:rsidR="00EE3B73" w:rsidRPr="00D21CD9">
        <w:rPr>
          <w:rFonts w:ascii="Cambria" w:hAnsi="Cambria" w:cs="Arial"/>
          <w:sz w:val="20"/>
          <w:szCs w:val="20"/>
          <w:lang w:val="es-CO" w:eastAsia="es-ES_tradnl"/>
        </w:rPr>
        <w:t xml:space="preserve">no debe </w:t>
      </w:r>
      <w:r w:rsidR="004471C7">
        <w:rPr>
          <w:rFonts w:ascii="Cambria" w:hAnsi="Cambria" w:cs="Arial"/>
          <w:sz w:val="20"/>
          <w:szCs w:val="20"/>
          <w:lang w:val="es-CO" w:eastAsia="es-ES_tradnl"/>
        </w:rPr>
        <w:t>anular</w:t>
      </w:r>
      <w:r w:rsidR="00D21CD9">
        <w:rPr>
          <w:rFonts w:ascii="Cambria" w:hAnsi="Cambria" w:cs="Arial"/>
          <w:sz w:val="20"/>
          <w:szCs w:val="20"/>
          <w:lang w:val="es-CO" w:eastAsia="es-ES_tradnl"/>
        </w:rPr>
        <w:t xml:space="preserve"> el goce </w:t>
      </w:r>
      <w:r w:rsidR="00660AC6">
        <w:rPr>
          <w:rFonts w:ascii="Cambria" w:hAnsi="Cambria" w:cs="Arial"/>
          <w:sz w:val="20"/>
          <w:szCs w:val="20"/>
          <w:lang w:val="es-CO" w:eastAsia="es-ES_tradnl"/>
        </w:rPr>
        <w:t>de los derechos protegidos por la Convención Americana</w:t>
      </w:r>
      <w:r w:rsidR="001B296D" w:rsidRPr="00D21CD9">
        <w:rPr>
          <w:rFonts w:ascii="Cambria" w:hAnsi="Cambria" w:cs="Arial"/>
          <w:sz w:val="20"/>
          <w:szCs w:val="20"/>
          <w:lang w:val="es-CO" w:eastAsia="es-ES_tradnl"/>
        </w:rPr>
        <w:t>.</w:t>
      </w:r>
      <w:r w:rsidR="001B296D">
        <w:rPr>
          <w:rFonts w:ascii="Cambria" w:hAnsi="Cambria" w:cs="Verdana"/>
          <w:sz w:val="20"/>
          <w:szCs w:val="20"/>
          <w:lang w:val="es-CO" w:eastAsia="es-ES_tradnl"/>
        </w:rPr>
        <w:t xml:space="preserve"> </w:t>
      </w:r>
    </w:p>
    <w:p w:rsidR="00660AC6" w:rsidRDefault="00660AC6" w:rsidP="00B67A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val="es-CO" w:eastAsia="es-ES_tradnl"/>
        </w:rPr>
      </w:pPr>
    </w:p>
    <w:p w:rsidR="00680ED2" w:rsidRDefault="00680ED2" w:rsidP="00B67A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val="es-CO" w:eastAsia="es-ES_tradnl"/>
        </w:rPr>
      </w:pPr>
    </w:p>
    <w:p w:rsidR="00F96349" w:rsidRPr="00FF31F1" w:rsidRDefault="002156C8"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Pr>
          <w:rFonts w:ascii="Cambria" w:hAnsi="Cambria" w:cs="Verdana"/>
          <w:sz w:val="20"/>
          <w:szCs w:val="20"/>
          <w:lang w:val="es-CO" w:eastAsia="es-ES_tradnl"/>
        </w:rPr>
        <w:t xml:space="preserve">En el caso, </w:t>
      </w:r>
      <w:r w:rsidR="00A24437" w:rsidRPr="00FF31F1">
        <w:rPr>
          <w:rFonts w:ascii="Cambria" w:hAnsi="Cambria" w:cs="Verdana"/>
          <w:sz w:val="20"/>
          <w:szCs w:val="20"/>
          <w:lang w:val="es-CO" w:eastAsia="es-ES_tradnl"/>
        </w:rPr>
        <w:t>por su naturaleza, la enfermedad de la niña Martina se encontraba bajo una cobertura especial para enfermedades catastróficas, que precisamente est</w:t>
      </w:r>
      <w:r w:rsidR="00EC7A66">
        <w:rPr>
          <w:rFonts w:ascii="Cambria" w:hAnsi="Cambria" w:cs="Verdana"/>
          <w:sz w:val="20"/>
          <w:szCs w:val="20"/>
          <w:lang w:val="es-CO" w:eastAsia="es-ES_tradnl"/>
        </w:rPr>
        <w:t>aba</w:t>
      </w:r>
      <w:r w:rsidR="000A235A">
        <w:rPr>
          <w:rFonts w:ascii="Cambria" w:hAnsi="Cambria" w:cs="Verdana"/>
          <w:sz w:val="20"/>
          <w:szCs w:val="20"/>
          <w:lang w:val="es-CO" w:eastAsia="es-ES_tradnl"/>
        </w:rPr>
        <w:t xml:space="preserve"> diseñada</w:t>
      </w:r>
      <w:r w:rsidR="00A24437" w:rsidRPr="00FF31F1">
        <w:rPr>
          <w:rFonts w:ascii="Cambria" w:hAnsi="Cambria" w:cs="Verdana"/>
          <w:sz w:val="20"/>
          <w:szCs w:val="20"/>
          <w:lang w:val="es-CO" w:eastAsia="es-ES_tradnl"/>
        </w:rPr>
        <w:t xml:space="preserve"> para enfermedades complejas y costosas.</w:t>
      </w:r>
      <w:r w:rsidR="00474DA4">
        <w:rPr>
          <w:rFonts w:ascii="Cambria" w:hAnsi="Cambria" w:cs="Verdana"/>
          <w:sz w:val="20"/>
          <w:szCs w:val="20"/>
          <w:lang w:val="es-CO" w:eastAsia="es-ES_tradnl"/>
        </w:rPr>
        <w:t xml:space="preserve"> Esta cobertura, le permitió contar con los servicios de salud que, conforme a la información disponible, eran los idóneos para atender su grave condición de salud, reducir riesgos de mayores afectaciones y procurar una vida digna en la mayor medida posible. </w:t>
      </w:r>
    </w:p>
    <w:p w:rsidR="00AD334F" w:rsidRPr="00FF31F1" w:rsidRDefault="00AD334F" w:rsidP="00AD334F">
      <w:pPr>
        <w:pStyle w:val="ListParagraph"/>
        <w:rPr>
          <w:rFonts w:cs="Verdana"/>
          <w:sz w:val="20"/>
          <w:szCs w:val="20"/>
          <w:lang w:val="es-CO" w:eastAsia="es-ES_tradnl"/>
        </w:rPr>
      </w:pPr>
    </w:p>
    <w:p w:rsidR="00474DA4" w:rsidRDefault="00AD334F"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sidRPr="00FF31F1">
        <w:rPr>
          <w:rFonts w:ascii="Cambria" w:hAnsi="Cambria" w:cs="Verdana"/>
          <w:sz w:val="20"/>
          <w:szCs w:val="20"/>
          <w:lang w:val="es-CO" w:eastAsia="es-ES_tradnl"/>
        </w:rPr>
        <w:t xml:space="preserve">En función de lo anterior, la Comisión </w:t>
      </w:r>
      <w:r w:rsidR="00474DA4">
        <w:rPr>
          <w:rFonts w:ascii="Cambria" w:hAnsi="Cambria" w:cs="Verdana"/>
          <w:sz w:val="20"/>
          <w:szCs w:val="20"/>
          <w:lang w:val="es-CO" w:eastAsia="es-ES_tradnl"/>
        </w:rPr>
        <w:t>observa</w:t>
      </w:r>
      <w:r w:rsidRPr="00FF31F1">
        <w:rPr>
          <w:rFonts w:ascii="Cambria" w:hAnsi="Cambria" w:cs="Verdana"/>
          <w:sz w:val="20"/>
          <w:szCs w:val="20"/>
          <w:lang w:val="es-CO" w:eastAsia="es-ES_tradnl"/>
        </w:rPr>
        <w:t xml:space="preserve"> que la regulación </w:t>
      </w:r>
      <w:r w:rsidR="00474DA4">
        <w:rPr>
          <w:rFonts w:ascii="Cambria" w:hAnsi="Cambria" w:cs="Verdana"/>
          <w:sz w:val="20"/>
          <w:szCs w:val="20"/>
          <w:lang w:val="es-CO" w:eastAsia="es-ES_tradnl"/>
        </w:rPr>
        <w:t xml:space="preserve">vigente permite el levantamiento del RHD </w:t>
      </w:r>
      <w:r w:rsidRPr="00FF31F1">
        <w:rPr>
          <w:rFonts w:ascii="Cambria" w:hAnsi="Cambria" w:cs="Verdana"/>
          <w:sz w:val="20"/>
          <w:szCs w:val="20"/>
          <w:lang w:val="es-CO" w:eastAsia="es-ES_tradnl"/>
        </w:rPr>
        <w:t>a través de la causal de la cronicidad</w:t>
      </w:r>
      <w:r w:rsidR="00474DA4">
        <w:rPr>
          <w:rFonts w:ascii="Cambria" w:hAnsi="Cambria" w:cs="Verdana"/>
          <w:sz w:val="20"/>
          <w:szCs w:val="20"/>
          <w:lang w:val="es-CO" w:eastAsia="es-ES_tradnl"/>
        </w:rPr>
        <w:t>. C</w:t>
      </w:r>
      <w:r w:rsidRPr="00FF31F1">
        <w:rPr>
          <w:rFonts w:ascii="Cambria" w:hAnsi="Cambria" w:cs="Verdana"/>
          <w:sz w:val="20"/>
          <w:szCs w:val="20"/>
          <w:lang w:val="es-CO" w:eastAsia="es-ES_tradnl"/>
        </w:rPr>
        <w:t xml:space="preserve">omo se ha podido comprobar en el presente caso, </w:t>
      </w:r>
      <w:r w:rsidR="00474DA4">
        <w:rPr>
          <w:rFonts w:ascii="Cambria" w:hAnsi="Cambria" w:cs="Verdana"/>
          <w:sz w:val="20"/>
          <w:szCs w:val="20"/>
          <w:lang w:val="es-CO" w:eastAsia="es-ES_tradnl"/>
        </w:rPr>
        <w:t xml:space="preserve">el carácter crónico o no de una enfermedad puede ser difícil de determinar y comportar un margen importante de ambigüedad y discrecionalidad. Esto resulta problemático, </w:t>
      </w:r>
      <w:r w:rsidRPr="00FF31F1">
        <w:rPr>
          <w:rFonts w:ascii="Cambria" w:hAnsi="Cambria" w:cs="Verdana"/>
          <w:sz w:val="20"/>
          <w:szCs w:val="20"/>
          <w:lang w:val="es-CO" w:eastAsia="es-ES_tradnl"/>
        </w:rPr>
        <w:t>tomando en consideración los  efectos</w:t>
      </w:r>
      <w:r w:rsidR="00474DA4">
        <w:rPr>
          <w:rFonts w:ascii="Cambria" w:hAnsi="Cambria" w:cs="Verdana"/>
          <w:sz w:val="20"/>
          <w:szCs w:val="20"/>
          <w:lang w:val="es-CO" w:eastAsia="es-ES_tradnl"/>
        </w:rPr>
        <w:t xml:space="preserve"> determinantes</w:t>
      </w:r>
      <w:r w:rsidRPr="00FF31F1">
        <w:rPr>
          <w:rFonts w:ascii="Cambria" w:hAnsi="Cambria" w:cs="Verdana"/>
          <w:sz w:val="20"/>
          <w:szCs w:val="20"/>
          <w:lang w:val="es-CO" w:eastAsia="es-ES_tradnl"/>
        </w:rPr>
        <w:t xml:space="preserve"> que </w:t>
      </w:r>
      <w:r w:rsidR="00F3063D">
        <w:rPr>
          <w:rFonts w:ascii="Cambria" w:hAnsi="Cambria" w:cs="Verdana"/>
          <w:sz w:val="20"/>
          <w:szCs w:val="20"/>
          <w:lang w:val="es-CO" w:eastAsia="es-ES_tradnl"/>
        </w:rPr>
        <w:t>podría tener</w:t>
      </w:r>
      <w:r w:rsidR="00474DA4">
        <w:rPr>
          <w:rFonts w:ascii="Cambria" w:hAnsi="Cambria" w:cs="Verdana"/>
          <w:sz w:val="20"/>
          <w:szCs w:val="20"/>
          <w:lang w:val="es-CO" w:eastAsia="es-ES_tradnl"/>
        </w:rPr>
        <w:t xml:space="preserve"> una decisión de esta naturaleza</w:t>
      </w:r>
      <w:r w:rsidR="00F3063D">
        <w:rPr>
          <w:rFonts w:ascii="Cambria" w:hAnsi="Cambria" w:cs="Verdana"/>
          <w:sz w:val="20"/>
          <w:szCs w:val="20"/>
          <w:lang w:val="es-CO" w:eastAsia="es-ES_tradnl"/>
        </w:rPr>
        <w:t xml:space="preserve"> en la salud de </w:t>
      </w:r>
      <w:r w:rsidRPr="00FF31F1">
        <w:rPr>
          <w:rFonts w:ascii="Cambria" w:hAnsi="Cambria" w:cs="Verdana"/>
          <w:sz w:val="20"/>
          <w:szCs w:val="20"/>
          <w:lang w:val="es-CO" w:eastAsia="es-ES_tradnl"/>
        </w:rPr>
        <w:t>pacientes</w:t>
      </w:r>
      <w:r w:rsidR="00F3063D">
        <w:rPr>
          <w:rFonts w:ascii="Cambria" w:hAnsi="Cambria" w:cs="Verdana"/>
          <w:sz w:val="20"/>
          <w:szCs w:val="20"/>
          <w:lang w:val="es-CO" w:eastAsia="es-ES_tradnl"/>
        </w:rPr>
        <w:t xml:space="preserve"> que precisamente requieren de la cobertura catastrófica</w:t>
      </w:r>
      <w:r w:rsidR="00474DA4">
        <w:rPr>
          <w:rFonts w:ascii="Cambria" w:hAnsi="Cambria" w:cs="Verdana"/>
          <w:sz w:val="20"/>
          <w:szCs w:val="20"/>
          <w:lang w:val="es-CO" w:eastAsia="es-ES_tradnl"/>
        </w:rPr>
        <w:t xml:space="preserve"> por la severidad de su enfermedad.</w:t>
      </w:r>
      <w:r w:rsidRPr="00FF31F1">
        <w:rPr>
          <w:rFonts w:ascii="Cambria" w:hAnsi="Cambria" w:cs="Verdana"/>
          <w:sz w:val="20"/>
          <w:szCs w:val="20"/>
          <w:lang w:val="es-CO" w:eastAsia="es-ES_tradnl"/>
        </w:rPr>
        <w:t xml:space="preserve"> </w:t>
      </w:r>
      <w:r w:rsidR="003D074B">
        <w:rPr>
          <w:rFonts w:ascii="Cambria" w:hAnsi="Cambria" w:cs="Verdana"/>
          <w:sz w:val="20"/>
          <w:szCs w:val="20"/>
          <w:lang w:val="es-CO" w:eastAsia="es-ES_tradnl"/>
        </w:rPr>
        <w:t>El propio Estado reconoció que “no existe un procedimiento único y especial que las instituciones aseguradoras puedan efectuar la declaración de una determinada enfermedad tiene el carácter de crónico”</w:t>
      </w:r>
      <w:r w:rsidR="00474DA4">
        <w:rPr>
          <w:rFonts w:ascii="Cambria" w:hAnsi="Cambria" w:cs="Verdana"/>
          <w:sz w:val="20"/>
          <w:szCs w:val="20"/>
          <w:lang w:val="es-CO" w:eastAsia="es-ES_tradnl"/>
        </w:rPr>
        <w:t xml:space="preserve">. Además, no se observa que la regulación dispusiera salvaguardas tales como la exigencia de valorar la situación en que quedaría la persona en caso de retiro del RHD y sus implicaciones en su derecho a la salud, vida e integridad personal. </w:t>
      </w:r>
    </w:p>
    <w:p w:rsidR="00474DA4" w:rsidRDefault="00474DA4" w:rsidP="00474DA4">
      <w:pPr>
        <w:pStyle w:val="ListParagraph"/>
        <w:rPr>
          <w:rFonts w:cs="Verdana"/>
          <w:sz w:val="20"/>
          <w:szCs w:val="20"/>
          <w:lang w:val="es-CO" w:eastAsia="es-ES_tradnl"/>
        </w:rPr>
      </w:pPr>
    </w:p>
    <w:p w:rsidR="005C3D77" w:rsidRPr="00560BD0" w:rsidRDefault="005C3D7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sidRPr="00FF31F1">
        <w:rPr>
          <w:rFonts w:ascii="Cambria" w:hAnsi="Cambria" w:cs="Verdana"/>
          <w:sz w:val="20"/>
          <w:szCs w:val="20"/>
          <w:lang w:val="es-CO" w:eastAsia="es-ES_tradnl"/>
        </w:rPr>
        <w:t>Ahora bien, la Comisión considera que la regulación del levantamiento d</w:t>
      </w:r>
      <w:r>
        <w:rPr>
          <w:rFonts w:ascii="Cambria" w:hAnsi="Cambria" w:cs="Verdana"/>
          <w:sz w:val="20"/>
          <w:szCs w:val="20"/>
          <w:lang w:val="es-CO" w:eastAsia="es-ES_tradnl"/>
        </w:rPr>
        <w:t>el RHD a partir del análisis de la</w:t>
      </w:r>
      <w:r w:rsidRPr="00FF31F1">
        <w:rPr>
          <w:rFonts w:ascii="Cambria" w:hAnsi="Cambria" w:cs="Verdana"/>
          <w:sz w:val="20"/>
          <w:szCs w:val="20"/>
          <w:lang w:val="es-CO" w:eastAsia="es-ES_tradnl"/>
        </w:rPr>
        <w:t xml:space="preserve"> Circular No. 7 no establece ningún tipo salvaguarda respecto del impacto diferenciado que esta decisión podría tener respecto de los niños</w:t>
      </w:r>
      <w:r>
        <w:rPr>
          <w:rFonts w:ascii="Cambria" w:hAnsi="Cambria" w:cs="Verdana"/>
          <w:sz w:val="20"/>
          <w:szCs w:val="20"/>
          <w:lang w:val="es-CO" w:eastAsia="es-ES_tradnl"/>
        </w:rPr>
        <w:t xml:space="preserve"> y niñas</w:t>
      </w:r>
      <w:r w:rsidR="00C54EF9">
        <w:rPr>
          <w:rFonts w:ascii="Cambria" w:hAnsi="Cambria" w:cs="Verdana"/>
          <w:sz w:val="20"/>
          <w:szCs w:val="20"/>
          <w:lang w:val="es-CO" w:eastAsia="es-ES_tradnl"/>
        </w:rPr>
        <w:t>, quienes se encuentran en una condición especial</w:t>
      </w:r>
      <w:r w:rsidRPr="00FF31F1">
        <w:rPr>
          <w:rFonts w:ascii="Cambria" w:hAnsi="Cambria" w:cs="Verdana"/>
          <w:sz w:val="20"/>
          <w:szCs w:val="20"/>
          <w:lang w:val="es-CO" w:eastAsia="es-ES_tradnl"/>
        </w:rPr>
        <w:t xml:space="preserve">. En este sentido, la Comisión recuerda que recae sobre el Estado </w:t>
      </w:r>
      <w:r w:rsidRPr="00FF31F1">
        <w:rPr>
          <w:rFonts w:asciiTheme="majorHAnsi" w:hAnsiTheme="majorHAnsi"/>
          <w:sz w:val="20"/>
          <w:szCs w:val="20"/>
          <w:lang w:val="es-ES_tradnl"/>
        </w:rPr>
        <w:t xml:space="preserve">el deber de protección especial de </w:t>
      </w:r>
      <w:r>
        <w:rPr>
          <w:rFonts w:asciiTheme="majorHAnsi" w:hAnsiTheme="majorHAnsi"/>
          <w:sz w:val="20"/>
          <w:szCs w:val="20"/>
          <w:lang w:val="es-ES_tradnl"/>
        </w:rPr>
        <w:t>la niñez</w:t>
      </w:r>
      <w:r w:rsidRPr="00FF31F1">
        <w:rPr>
          <w:rFonts w:asciiTheme="majorHAnsi" w:hAnsiTheme="majorHAnsi"/>
          <w:sz w:val="20"/>
          <w:szCs w:val="20"/>
          <w:lang w:val="es-ES_tradnl"/>
        </w:rPr>
        <w:t>, debido a su desarrollo progresivo a nivel físico, cognitivo, emotivo, psicológico y social</w:t>
      </w:r>
      <w:r w:rsidRPr="00FF31F1">
        <w:rPr>
          <w:rStyle w:val="FootnoteReference"/>
          <w:rFonts w:asciiTheme="majorHAnsi" w:hAnsiTheme="majorHAnsi"/>
          <w:sz w:val="20"/>
          <w:szCs w:val="20"/>
          <w:lang w:val="es-ES_tradnl"/>
        </w:rPr>
        <w:footnoteReference w:id="103"/>
      </w:r>
      <w:r w:rsidRPr="00FF31F1">
        <w:rPr>
          <w:rFonts w:asciiTheme="majorHAnsi" w:hAnsiTheme="majorHAnsi"/>
          <w:sz w:val="20"/>
          <w:szCs w:val="20"/>
          <w:lang w:val="es-ES_tradnl"/>
        </w:rPr>
        <w:t>. Este deber se acentúa cuando se trata del disfrute del mayor nivel posible de salud de los niños, en virtud de su interés superior. En el presente caso, la Comisión considera que la normativa ni el sistema de reclamación muestra</w:t>
      </w:r>
      <w:r>
        <w:rPr>
          <w:rFonts w:asciiTheme="majorHAnsi" w:hAnsiTheme="majorHAnsi"/>
          <w:sz w:val="20"/>
          <w:szCs w:val="20"/>
          <w:lang w:val="es-ES_tradnl"/>
        </w:rPr>
        <w:t>n</w:t>
      </w:r>
      <w:r w:rsidRPr="00FF31F1">
        <w:rPr>
          <w:rFonts w:asciiTheme="majorHAnsi" w:hAnsiTheme="majorHAnsi"/>
          <w:sz w:val="20"/>
          <w:szCs w:val="20"/>
          <w:lang w:val="es-ES_tradnl"/>
        </w:rPr>
        <w:t xml:space="preserve"> ningún tipo de consideración a la situación de Martina en su condici</w:t>
      </w:r>
      <w:r>
        <w:rPr>
          <w:rFonts w:asciiTheme="majorHAnsi" w:hAnsiTheme="majorHAnsi"/>
          <w:sz w:val="20"/>
          <w:szCs w:val="20"/>
          <w:lang w:val="es-ES_tradnl"/>
        </w:rPr>
        <w:t>ón de niña.</w:t>
      </w:r>
    </w:p>
    <w:p w:rsidR="005C3D77" w:rsidRDefault="005C3D77" w:rsidP="00474DA4">
      <w:pPr>
        <w:pStyle w:val="ListParagraph"/>
        <w:rPr>
          <w:rFonts w:cs="Verdana"/>
          <w:sz w:val="20"/>
          <w:szCs w:val="20"/>
          <w:lang w:val="es-CO" w:eastAsia="es-ES_tradnl"/>
        </w:rPr>
      </w:pPr>
    </w:p>
    <w:p w:rsidR="00AD334F" w:rsidRPr="00FF31F1" w:rsidRDefault="00474DA4"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Pr>
          <w:rFonts w:ascii="Cambria" w:hAnsi="Cambria" w:cs="Verdana"/>
          <w:sz w:val="20"/>
          <w:szCs w:val="20"/>
          <w:lang w:val="es-CO" w:eastAsia="es-ES_tradnl"/>
        </w:rPr>
        <w:t>Est</w:t>
      </w:r>
      <w:r w:rsidR="00A650D3">
        <w:rPr>
          <w:rFonts w:ascii="Cambria" w:hAnsi="Cambria" w:cs="Verdana"/>
          <w:sz w:val="20"/>
          <w:szCs w:val="20"/>
          <w:lang w:val="es-CO" w:eastAsia="es-ES_tradnl"/>
        </w:rPr>
        <w:t>o</w:t>
      </w:r>
      <w:r>
        <w:rPr>
          <w:rFonts w:ascii="Cambria" w:hAnsi="Cambria" w:cs="Verdana"/>
          <w:sz w:val="20"/>
          <w:szCs w:val="20"/>
          <w:lang w:val="es-CO" w:eastAsia="es-ES_tradnl"/>
        </w:rPr>
        <w:t xml:space="preserve"> se vio reflejad</w:t>
      </w:r>
      <w:r w:rsidR="00B10477">
        <w:rPr>
          <w:rFonts w:ascii="Cambria" w:hAnsi="Cambria" w:cs="Verdana"/>
          <w:sz w:val="20"/>
          <w:szCs w:val="20"/>
          <w:lang w:val="es-CO" w:eastAsia="es-ES_tradnl"/>
        </w:rPr>
        <w:t>o</w:t>
      </w:r>
      <w:r>
        <w:rPr>
          <w:rFonts w:ascii="Cambria" w:hAnsi="Cambria" w:cs="Verdana"/>
          <w:sz w:val="20"/>
          <w:szCs w:val="20"/>
          <w:lang w:val="es-CO" w:eastAsia="es-ES_tradnl"/>
        </w:rPr>
        <w:t xml:space="preserve"> en el caso concreto en el cual </w:t>
      </w:r>
      <w:r w:rsidR="00AD334F" w:rsidRPr="00FF31F1">
        <w:rPr>
          <w:rFonts w:ascii="Cambria" w:hAnsi="Cambria" w:cs="Verdana"/>
          <w:sz w:val="20"/>
          <w:szCs w:val="20"/>
          <w:lang w:val="es-CO" w:eastAsia="es-ES_tradnl"/>
        </w:rPr>
        <w:t>se levant</w:t>
      </w:r>
      <w:r>
        <w:rPr>
          <w:rFonts w:ascii="Cambria" w:hAnsi="Cambria" w:cs="Verdana"/>
          <w:sz w:val="20"/>
          <w:szCs w:val="20"/>
          <w:lang w:val="es-CO" w:eastAsia="es-ES_tradnl"/>
        </w:rPr>
        <w:t xml:space="preserve">ó el servicio mediante </w:t>
      </w:r>
      <w:r w:rsidR="00AD334F" w:rsidRPr="00FF31F1">
        <w:rPr>
          <w:rFonts w:ascii="Cambria" w:hAnsi="Cambria" w:cs="Verdana"/>
          <w:sz w:val="20"/>
          <w:szCs w:val="20"/>
          <w:lang w:val="es-CO" w:eastAsia="es-ES_tradnl"/>
        </w:rPr>
        <w:t>una comunicación simple, invocando un peritaje médico, que incluso luego fue aclarado por el propio doctor en que él nunca concluyó en que la enfermedad de la niña Martina era cr</w:t>
      </w:r>
      <w:r w:rsidR="006D6D5B" w:rsidRPr="00FF31F1">
        <w:rPr>
          <w:rFonts w:ascii="Cambria" w:hAnsi="Cambria" w:cs="Verdana"/>
          <w:sz w:val="20"/>
          <w:szCs w:val="20"/>
          <w:lang w:val="es-CO" w:eastAsia="es-ES_tradnl"/>
        </w:rPr>
        <w:t xml:space="preserve">ónica, sin ningún tipo de verificación adicional o determinación sobre si es que la vida, salud e integridad podrían verse afectadas </w:t>
      </w:r>
      <w:r w:rsidR="003A796E">
        <w:rPr>
          <w:rFonts w:ascii="Cambria" w:hAnsi="Cambria" w:cs="Verdana"/>
          <w:sz w:val="20"/>
          <w:szCs w:val="20"/>
          <w:lang w:val="es-CO" w:eastAsia="es-ES_tradnl"/>
        </w:rPr>
        <w:t>por el retiro inmediato del RHD</w:t>
      </w:r>
      <w:r w:rsidR="000A235A">
        <w:rPr>
          <w:rFonts w:ascii="Cambria" w:hAnsi="Cambria" w:cs="Verdana"/>
          <w:sz w:val="20"/>
          <w:szCs w:val="20"/>
          <w:lang w:val="es-CO" w:eastAsia="es-ES_tradnl"/>
        </w:rPr>
        <w:t>, incumpliendo su obligación de generar condiciones que aseguren el tratamiento en salud.</w:t>
      </w:r>
      <w:r>
        <w:rPr>
          <w:rFonts w:ascii="Cambria" w:hAnsi="Cambria" w:cs="Verdana"/>
          <w:sz w:val="20"/>
          <w:szCs w:val="20"/>
          <w:lang w:val="es-CO" w:eastAsia="es-ES_tradnl"/>
        </w:rPr>
        <w:t xml:space="preserve"> Como se verá más adelante, la CSJ terminó convalidando esta actuación de la Isapre sin, ella misma, efectuar valoración alguna sobre la situación en que quedaría la niña Martina como consecuencia de su decisión y las posibilidades de proveerle el servicio respecto de cuya necesidad y pertinencia existía consenso médico. Esta actuación de la CSJ constituyó un incumplimiento al deber de fiscalización de las acciones de la Isapre y sus implicaciones en los derechos de una niña con discapacidad que debió ser sujeto de especial protección por parte del Estado. </w:t>
      </w:r>
    </w:p>
    <w:p w:rsidR="000872D8" w:rsidRPr="00FF31F1" w:rsidRDefault="000872D8" w:rsidP="000872D8">
      <w:pPr>
        <w:pStyle w:val="ListParagraph"/>
        <w:rPr>
          <w:rFonts w:cs="Verdana"/>
          <w:sz w:val="20"/>
          <w:szCs w:val="20"/>
          <w:lang w:val="es-CO" w:eastAsia="es-ES_tradnl"/>
        </w:rPr>
      </w:pPr>
    </w:p>
    <w:p w:rsidR="000872D8" w:rsidRPr="00FF31F1" w:rsidRDefault="006B5E9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Pr>
          <w:rFonts w:ascii="Cambria" w:hAnsi="Cambria" w:cs="Verdana"/>
          <w:sz w:val="20"/>
          <w:szCs w:val="20"/>
          <w:lang w:val="es-CO" w:eastAsia="es-ES_tradnl"/>
        </w:rPr>
        <w:t>De otro lado</w:t>
      </w:r>
      <w:r w:rsidR="000872D8" w:rsidRPr="00FF31F1">
        <w:rPr>
          <w:rFonts w:ascii="Cambria" w:hAnsi="Cambria" w:cs="Verdana"/>
          <w:sz w:val="20"/>
          <w:szCs w:val="20"/>
          <w:lang w:val="es-CO" w:eastAsia="es-ES_tradnl"/>
        </w:rPr>
        <w:t xml:space="preserve">, la CIDH encuentra que una de las características del derecho </w:t>
      </w:r>
      <w:r w:rsidR="00024EDA">
        <w:rPr>
          <w:rFonts w:ascii="Cambria" w:hAnsi="Cambria" w:cs="Verdana"/>
          <w:sz w:val="20"/>
          <w:szCs w:val="20"/>
          <w:lang w:val="es-CO" w:eastAsia="es-ES_tradnl"/>
        </w:rPr>
        <w:t xml:space="preserve">a la </w:t>
      </w:r>
      <w:r w:rsidR="000872D8" w:rsidRPr="00FF31F1">
        <w:rPr>
          <w:rFonts w:ascii="Cambria" w:hAnsi="Cambria" w:cs="Verdana"/>
          <w:sz w:val="20"/>
          <w:szCs w:val="20"/>
          <w:lang w:val="es-CO" w:eastAsia="es-ES_tradnl"/>
        </w:rPr>
        <w:t>salud debe ser la accesibilidad econ</w:t>
      </w:r>
      <w:r w:rsidR="006D6D5B" w:rsidRPr="00FF31F1">
        <w:rPr>
          <w:rFonts w:ascii="Cambria" w:hAnsi="Cambria" w:cs="Verdana"/>
          <w:sz w:val="20"/>
          <w:szCs w:val="20"/>
          <w:lang w:val="es-CO" w:eastAsia="es-ES_tradnl"/>
        </w:rPr>
        <w:t>ómica, que supone que los establecimientos, bienes y servicios de salud deberán estar al alcance de todos, incluidos los grupos socialmente desfavorecidos. En este sentido, la Comisión considera que la disposición y creación de</w:t>
      </w:r>
      <w:r w:rsidR="00141440">
        <w:rPr>
          <w:rFonts w:ascii="Cambria" w:hAnsi="Cambria" w:cs="Verdana"/>
          <w:sz w:val="20"/>
          <w:szCs w:val="20"/>
          <w:lang w:val="es-CO" w:eastAsia="es-ES_tradnl"/>
        </w:rPr>
        <w:t xml:space="preserve"> </w:t>
      </w:r>
      <w:r w:rsidR="006D6D5B" w:rsidRPr="00FF31F1">
        <w:rPr>
          <w:rFonts w:ascii="Cambria" w:hAnsi="Cambria" w:cs="Verdana"/>
          <w:sz w:val="20"/>
          <w:szCs w:val="20"/>
          <w:lang w:val="es-CO" w:eastAsia="es-ES_tradnl"/>
        </w:rPr>
        <w:t>l</w:t>
      </w:r>
      <w:r w:rsidR="00141440">
        <w:rPr>
          <w:rFonts w:ascii="Cambria" w:hAnsi="Cambria" w:cs="Verdana"/>
          <w:sz w:val="20"/>
          <w:szCs w:val="20"/>
          <w:lang w:val="es-CO" w:eastAsia="es-ES_tradnl"/>
        </w:rPr>
        <w:t>a</w:t>
      </w:r>
      <w:r w:rsidR="006D6D5B" w:rsidRPr="00FF31F1">
        <w:rPr>
          <w:rFonts w:ascii="Cambria" w:hAnsi="Cambria" w:cs="Verdana"/>
          <w:sz w:val="20"/>
          <w:szCs w:val="20"/>
          <w:lang w:val="es-CO" w:eastAsia="es-ES_tradnl"/>
        </w:rPr>
        <w:t xml:space="preserve"> CAEC, permitió que la niña Martina accedieran al RHD</w:t>
      </w:r>
      <w:r>
        <w:rPr>
          <w:rFonts w:ascii="Cambria" w:hAnsi="Cambria" w:cs="Verdana"/>
          <w:sz w:val="20"/>
          <w:szCs w:val="20"/>
          <w:lang w:val="es-CO" w:eastAsia="es-ES_tradnl"/>
        </w:rPr>
        <w:t xml:space="preserve"> de modo asequible</w:t>
      </w:r>
      <w:r w:rsidR="000A235A">
        <w:rPr>
          <w:rFonts w:ascii="Cambria" w:hAnsi="Cambria" w:cs="Verdana"/>
          <w:sz w:val="20"/>
          <w:szCs w:val="20"/>
          <w:lang w:val="es-CO" w:eastAsia="es-ES_tradnl"/>
        </w:rPr>
        <w:t xml:space="preserve"> inicialmente</w:t>
      </w:r>
      <w:r w:rsidR="006D6D5B" w:rsidRPr="00FF31F1">
        <w:rPr>
          <w:rFonts w:ascii="Cambria" w:hAnsi="Cambria" w:cs="Verdana"/>
          <w:sz w:val="20"/>
          <w:szCs w:val="20"/>
          <w:lang w:val="es-CO" w:eastAsia="es-ES_tradnl"/>
        </w:rPr>
        <w:t xml:space="preserve">, sin embargo, </w:t>
      </w:r>
      <w:r w:rsidR="00B110BE">
        <w:rPr>
          <w:rFonts w:ascii="Cambria" w:hAnsi="Cambria" w:cs="Verdana"/>
          <w:sz w:val="20"/>
          <w:szCs w:val="20"/>
          <w:lang w:val="es-CO" w:eastAsia="es-ES_tradnl"/>
        </w:rPr>
        <w:t xml:space="preserve">tras la decisión de la CSJ, </w:t>
      </w:r>
      <w:r w:rsidR="006D6D5B" w:rsidRPr="00FF31F1">
        <w:rPr>
          <w:rFonts w:ascii="Cambria" w:hAnsi="Cambria" w:cs="Verdana"/>
          <w:sz w:val="20"/>
          <w:szCs w:val="20"/>
          <w:lang w:val="es-CO" w:eastAsia="es-ES_tradnl"/>
        </w:rPr>
        <w:t xml:space="preserve">no se evidencia que el Estado tomó medidas para proteger la permanencia del mencionado régimen, </w:t>
      </w:r>
      <w:r>
        <w:rPr>
          <w:rFonts w:ascii="Cambria" w:hAnsi="Cambria" w:cs="Verdana"/>
          <w:sz w:val="20"/>
          <w:szCs w:val="20"/>
          <w:lang w:val="es-CO" w:eastAsia="es-ES_tradnl"/>
        </w:rPr>
        <w:t>o</w:t>
      </w:r>
      <w:r w:rsidR="00B110BE">
        <w:rPr>
          <w:rFonts w:ascii="Cambria" w:hAnsi="Cambria" w:cs="Verdana"/>
          <w:sz w:val="20"/>
          <w:szCs w:val="20"/>
          <w:lang w:val="es-CO" w:eastAsia="es-ES_tradnl"/>
        </w:rPr>
        <w:t xml:space="preserve"> compensar el impacto de</w:t>
      </w:r>
      <w:r>
        <w:rPr>
          <w:rFonts w:ascii="Cambria" w:hAnsi="Cambria" w:cs="Verdana"/>
          <w:sz w:val="20"/>
          <w:szCs w:val="20"/>
          <w:lang w:val="es-CO" w:eastAsia="es-ES_tradnl"/>
        </w:rPr>
        <w:t xml:space="preserve"> la reducción de su </w:t>
      </w:r>
      <w:r w:rsidR="006D6D5B" w:rsidRPr="00FF31F1">
        <w:rPr>
          <w:rFonts w:ascii="Cambria" w:hAnsi="Cambria" w:cs="Verdana"/>
          <w:sz w:val="20"/>
          <w:szCs w:val="20"/>
          <w:lang w:val="es-CO" w:eastAsia="es-ES_tradnl"/>
        </w:rPr>
        <w:t xml:space="preserve">cobertura </w:t>
      </w:r>
      <w:r>
        <w:rPr>
          <w:rFonts w:ascii="Cambria" w:hAnsi="Cambria" w:cs="Verdana"/>
          <w:sz w:val="20"/>
          <w:szCs w:val="20"/>
          <w:lang w:val="es-CO" w:eastAsia="es-ES_tradnl"/>
        </w:rPr>
        <w:t>médica</w:t>
      </w:r>
      <w:r w:rsidR="006D6D5B" w:rsidRPr="00FF31F1">
        <w:rPr>
          <w:rFonts w:ascii="Cambria" w:hAnsi="Cambria" w:cs="Verdana"/>
          <w:sz w:val="20"/>
          <w:szCs w:val="20"/>
          <w:lang w:val="es-CO" w:eastAsia="es-ES_tradnl"/>
        </w:rPr>
        <w:t xml:space="preserve">, </w:t>
      </w:r>
      <w:r w:rsidR="005D3C97" w:rsidRPr="00FF31F1">
        <w:rPr>
          <w:rFonts w:ascii="Cambria" w:hAnsi="Cambria" w:cs="Verdana"/>
          <w:sz w:val="20"/>
          <w:szCs w:val="20"/>
          <w:lang w:val="es-CO" w:eastAsia="es-ES_tradnl"/>
        </w:rPr>
        <w:t>afectando la accesibilidad económica al tratamiento qu</w:t>
      </w:r>
      <w:r w:rsidR="00B110BE">
        <w:rPr>
          <w:rFonts w:ascii="Cambria" w:hAnsi="Cambria" w:cs="Verdana"/>
          <w:sz w:val="20"/>
          <w:szCs w:val="20"/>
          <w:lang w:val="es-CO" w:eastAsia="es-ES_tradnl"/>
        </w:rPr>
        <w:t>e por su enfermedad necesitaba, tal como se desprende de lo narrado por la parte peticionaria en cuanto a la afectación a nivel familiar del retiro del RHD.</w:t>
      </w:r>
    </w:p>
    <w:p w:rsidR="005D3C97" w:rsidRPr="00FF31F1" w:rsidRDefault="005D3C97" w:rsidP="005D3C97">
      <w:pPr>
        <w:pStyle w:val="ListParagraph"/>
        <w:rPr>
          <w:rFonts w:cs="Verdana"/>
          <w:sz w:val="20"/>
          <w:szCs w:val="20"/>
          <w:lang w:val="es-CO" w:eastAsia="es-ES_tradnl"/>
        </w:rPr>
      </w:pPr>
    </w:p>
    <w:p w:rsidR="005D3C97" w:rsidRPr="00801FED" w:rsidRDefault="0038475E"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sidRPr="00801FED">
        <w:rPr>
          <w:rFonts w:ascii="Cambria" w:hAnsi="Cambria" w:cs="Verdana"/>
          <w:sz w:val="20"/>
          <w:szCs w:val="20"/>
          <w:lang w:val="es-CO" w:eastAsia="es-ES_tradnl"/>
        </w:rPr>
        <w:t>En línea con lo anterior</w:t>
      </w:r>
      <w:r w:rsidR="00F57399" w:rsidRPr="00801FED">
        <w:rPr>
          <w:rFonts w:ascii="Cambria" w:hAnsi="Cambria" w:cs="Verdana"/>
          <w:sz w:val="20"/>
          <w:szCs w:val="20"/>
          <w:lang w:val="es-CO" w:eastAsia="es-ES_tradnl"/>
        </w:rPr>
        <w:t xml:space="preserve">, la Comisión encuentra que </w:t>
      </w:r>
      <w:r w:rsidRPr="00801FED">
        <w:rPr>
          <w:rFonts w:ascii="Cambria" w:hAnsi="Cambria" w:cs="Verdana"/>
          <w:sz w:val="20"/>
          <w:szCs w:val="20"/>
          <w:lang w:val="es-CO" w:eastAsia="es-ES_tradnl"/>
        </w:rPr>
        <w:t xml:space="preserve">el </w:t>
      </w:r>
      <w:r w:rsidR="00F57399" w:rsidRPr="00801FED">
        <w:rPr>
          <w:rFonts w:ascii="Cambria" w:hAnsi="Cambria" w:cs="Verdana"/>
          <w:sz w:val="20"/>
          <w:szCs w:val="20"/>
          <w:lang w:val="es-CO" w:eastAsia="es-ES_tradnl"/>
        </w:rPr>
        <w:t>sistema de reclamos de los asegurados ante cualquier desacuerdo con la</w:t>
      </w:r>
      <w:r w:rsidRPr="00801FED">
        <w:rPr>
          <w:rFonts w:ascii="Cambria" w:hAnsi="Cambria" w:cs="Verdana"/>
          <w:sz w:val="20"/>
          <w:szCs w:val="20"/>
          <w:lang w:val="es-CO" w:eastAsia="es-ES_tradnl"/>
        </w:rPr>
        <w:t xml:space="preserve"> cobertura del seguro </w:t>
      </w:r>
      <w:r w:rsidR="00F57399" w:rsidRPr="00801FED">
        <w:rPr>
          <w:rFonts w:ascii="Cambria" w:hAnsi="Cambria" w:cs="Verdana"/>
          <w:sz w:val="20"/>
          <w:szCs w:val="20"/>
          <w:lang w:val="es-CO" w:eastAsia="es-ES_tradnl"/>
        </w:rPr>
        <w:t xml:space="preserve">presenta una configuración estándar. En este sentido, tal como se observa en el expediente, </w:t>
      </w:r>
      <w:r w:rsidRPr="00801FED">
        <w:rPr>
          <w:rFonts w:ascii="Cambria" w:hAnsi="Cambria" w:cs="Verdana"/>
          <w:sz w:val="20"/>
          <w:szCs w:val="20"/>
          <w:lang w:val="es-CO" w:eastAsia="es-ES_tradnl"/>
        </w:rPr>
        <w:t xml:space="preserve">un reclamo, </w:t>
      </w:r>
      <w:r w:rsidR="00F57399" w:rsidRPr="00801FED">
        <w:rPr>
          <w:rFonts w:ascii="Cambria" w:hAnsi="Cambria" w:cs="Verdana"/>
          <w:sz w:val="20"/>
          <w:szCs w:val="20"/>
          <w:lang w:val="es-CO" w:eastAsia="es-ES_tradnl"/>
        </w:rPr>
        <w:t>por ejemplo</w:t>
      </w:r>
      <w:r w:rsidRPr="00801FED">
        <w:rPr>
          <w:rFonts w:ascii="Cambria" w:hAnsi="Cambria" w:cs="Verdana"/>
          <w:sz w:val="20"/>
          <w:szCs w:val="20"/>
          <w:lang w:val="es-CO" w:eastAsia="es-ES_tradnl"/>
        </w:rPr>
        <w:t>,</w:t>
      </w:r>
      <w:r w:rsidR="00F57399" w:rsidRPr="00801FED">
        <w:rPr>
          <w:rFonts w:ascii="Cambria" w:hAnsi="Cambria" w:cs="Verdana"/>
          <w:sz w:val="20"/>
          <w:szCs w:val="20"/>
          <w:lang w:val="es-CO" w:eastAsia="es-ES_tradnl"/>
        </w:rPr>
        <w:t xml:space="preserve"> </w:t>
      </w:r>
      <w:r w:rsidRPr="00801FED">
        <w:rPr>
          <w:rFonts w:ascii="Cambria" w:hAnsi="Cambria" w:cs="Verdana"/>
          <w:sz w:val="20"/>
          <w:szCs w:val="20"/>
          <w:lang w:val="es-CO" w:eastAsia="es-ES_tradnl"/>
        </w:rPr>
        <w:t xml:space="preserve">por </w:t>
      </w:r>
      <w:r w:rsidR="00F57399" w:rsidRPr="00801FED">
        <w:rPr>
          <w:rFonts w:ascii="Cambria" w:hAnsi="Cambria" w:cs="Verdana"/>
          <w:sz w:val="20"/>
          <w:szCs w:val="20"/>
          <w:lang w:val="es-CO" w:eastAsia="es-ES_tradnl"/>
        </w:rPr>
        <w:t xml:space="preserve">cobro indebido, </w:t>
      </w:r>
      <w:r w:rsidRPr="00801FED">
        <w:rPr>
          <w:rFonts w:ascii="Cambria" w:hAnsi="Cambria" w:cs="Verdana"/>
          <w:sz w:val="20"/>
          <w:szCs w:val="20"/>
          <w:lang w:val="es-CO" w:eastAsia="es-ES_tradnl"/>
        </w:rPr>
        <w:t xml:space="preserve">mantiene el mismo trámite </w:t>
      </w:r>
      <w:r w:rsidR="00F57399" w:rsidRPr="00801FED">
        <w:rPr>
          <w:rFonts w:ascii="Cambria" w:hAnsi="Cambria" w:cs="Verdana"/>
          <w:sz w:val="20"/>
          <w:szCs w:val="20"/>
          <w:lang w:val="es-CO" w:eastAsia="es-ES_tradnl"/>
        </w:rPr>
        <w:t>que un reclamo sobre el retiro de un tratamiento en casos de enfermedades catastróficas</w:t>
      </w:r>
      <w:r w:rsidR="00B110BE" w:rsidRPr="00801FED">
        <w:rPr>
          <w:rFonts w:ascii="Cambria" w:hAnsi="Cambria" w:cs="Verdana"/>
          <w:sz w:val="20"/>
          <w:szCs w:val="20"/>
          <w:lang w:val="es-CO" w:eastAsia="es-ES_tradnl"/>
        </w:rPr>
        <w:t xml:space="preserve"> a pesar del impacto que este último puede tener en la salud, vida e </w:t>
      </w:r>
      <w:r w:rsidR="003F4FA6" w:rsidRPr="00801FED">
        <w:rPr>
          <w:rFonts w:ascii="Cambria" w:hAnsi="Cambria" w:cs="Verdana"/>
          <w:sz w:val="20"/>
          <w:szCs w:val="20"/>
          <w:lang w:val="es-CO" w:eastAsia="es-ES_tradnl"/>
        </w:rPr>
        <w:t>integridad</w:t>
      </w:r>
      <w:r w:rsidR="00B110BE" w:rsidRPr="00801FED">
        <w:rPr>
          <w:rFonts w:ascii="Cambria" w:hAnsi="Cambria" w:cs="Verdana"/>
          <w:sz w:val="20"/>
          <w:szCs w:val="20"/>
          <w:lang w:val="es-CO" w:eastAsia="es-ES_tradnl"/>
        </w:rPr>
        <w:t xml:space="preserve"> de la persona. </w:t>
      </w:r>
      <w:r w:rsidR="00F57399" w:rsidRPr="009E59A9">
        <w:rPr>
          <w:rFonts w:ascii="Cambria" w:hAnsi="Cambria" w:cs="Verdana"/>
          <w:sz w:val="20"/>
          <w:szCs w:val="20"/>
          <w:lang w:val="es-CO" w:eastAsia="es-ES_tradnl"/>
        </w:rPr>
        <w:t>En este sentido, la Comisión considera que los sistema</w:t>
      </w:r>
      <w:r w:rsidR="00EC745E" w:rsidRPr="009E59A9">
        <w:rPr>
          <w:rFonts w:ascii="Cambria" w:hAnsi="Cambria" w:cs="Verdana"/>
          <w:sz w:val="20"/>
          <w:szCs w:val="20"/>
          <w:lang w:val="es-CO" w:eastAsia="es-ES_tradnl"/>
        </w:rPr>
        <w:t>s</w:t>
      </w:r>
      <w:r w:rsidR="00F57399" w:rsidRPr="009E59A9">
        <w:rPr>
          <w:rFonts w:ascii="Cambria" w:hAnsi="Cambria" w:cs="Verdana"/>
          <w:sz w:val="20"/>
          <w:szCs w:val="20"/>
          <w:lang w:val="es-CO" w:eastAsia="es-ES_tradnl"/>
        </w:rPr>
        <w:t xml:space="preserve"> de protección de los</w:t>
      </w:r>
      <w:r w:rsidR="006B5E97" w:rsidRPr="009E59A9">
        <w:rPr>
          <w:rFonts w:ascii="Cambria" w:hAnsi="Cambria" w:cs="Verdana"/>
          <w:sz w:val="20"/>
          <w:szCs w:val="20"/>
          <w:lang w:val="es-CO" w:eastAsia="es-ES_tradnl"/>
        </w:rPr>
        <w:t xml:space="preserve"> derechos de los</w:t>
      </w:r>
      <w:r w:rsidR="00F57399" w:rsidRPr="009E59A9">
        <w:rPr>
          <w:rFonts w:ascii="Cambria" w:hAnsi="Cambria" w:cs="Verdana"/>
          <w:sz w:val="20"/>
          <w:szCs w:val="20"/>
          <w:lang w:val="es-CO" w:eastAsia="es-ES_tradnl"/>
        </w:rPr>
        <w:t xml:space="preserve"> asegurados, por la especial relevancia de la materia que resuelven, forman parte de las obligaciones estatales </w:t>
      </w:r>
      <w:r w:rsidR="00EC745E" w:rsidRPr="009E59A9">
        <w:rPr>
          <w:rFonts w:ascii="Cambria" w:hAnsi="Cambria" w:cs="Verdana"/>
          <w:sz w:val="20"/>
          <w:szCs w:val="20"/>
          <w:lang w:val="es-CO" w:eastAsia="es-ES_tradnl"/>
        </w:rPr>
        <w:t>de creación de condiciones que aseguren la asistencia médica en caso de enfermedad</w:t>
      </w:r>
      <w:r w:rsidRPr="009E59A9">
        <w:rPr>
          <w:rFonts w:ascii="Cambria" w:hAnsi="Cambria" w:cs="Verdana"/>
          <w:sz w:val="20"/>
          <w:szCs w:val="20"/>
          <w:lang w:val="es-CO" w:eastAsia="es-ES_tradnl"/>
        </w:rPr>
        <w:t>es graves</w:t>
      </w:r>
      <w:r w:rsidR="00EC745E" w:rsidRPr="009E59A9">
        <w:rPr>
          <w:rFonts w:ascii="Cambria" w:hAnsi="Cambria" w:cs="Verdana"/>
          <w:sz w:val="20"/>
          <w:szCs w:val="20"/>
          <w:lang w:val="es-CO" w:eastAsia="es-ES_tradnl"/>
        </w:rPr>
        <w:t>.</w:t>
      </w:r>
      <w:r w:rsidR="00EC745E" w:rsidRPr="00801FED">
        <w:rPr>
          <w:rFonts w:ascii="Cambria" w:hAnsi="Cambria" w:cs="Verdana"/>
          <w:sz w:val="20"/>
          <w:szCs w:val="20"/>
          <w:lang w:val="es-CO" w:eastAsia="es-ES_tradnl"/>
        </w:rPr>
        <w:t xml:space="preserve"> </w:t>
      </w:r>
      <w:r w:rsidR="00B110BE" w:rsidRPr="00801FED">
        <w:rPr>
          <w:rFonts w:ascii="Cambria" w:hAnsi="Cambria" w:cs="Verdana"/>
          <w:sz w:val="20"/>
          <w:szCs w:val="20"/>
          <w:lang w:val="es-CO" w:eastAsia="es-ES_tradnl"/>
        </w:rPr>
        <w:t>La Comisión observa que el Estado no ha logrado demostrar que el sistema de reclamos dispuesto formalmente, esté diseñado</w:t>
      </w:r>
      <w:r w:rsidR="00801FED" w:rsidRPr="00801FED">
        <w:rPr>
          <w:rFonts w:ascii="Cambria" w:hAnsi="Cambria" w:cs="Verdana"/>
          <w:sz w:val="20"/>
          <w:szCs w:val="20"/>
          <w:lang w:val="es-CO" w:eastAsia="es-ES_tradnl"/>
        </w:rPr>
        <w:t xml:space="preserve"> para responder </w:t>
      </w:r>
      <w:r w:rsidR="00801FED" w:rsidRPr="009E59A9">
        <w:rPr>
          <w:rFonts w:ascii="Cambria" w:hAnsi="Cambria" w:cs="Verdana"/>
          <w:sz w:val="20"/>
          <w:szCs w:val="20"/>
          <w:lang w:val="es-CO" w:eastAsia="es-ES_tradnl"/>
        </w:rPr>
        <w:t>a</w:t>
      </w:r>
      <w:r w:rsidR="00801FED" w:rsidRPr="00801FED">
        <w:rPr>
          <w:rFonts w:ascii="Cambria" w:hAnsi="Cambria" w:cs="Verdana"/>
          <w:sz w:val="20"/>
          <w:szCs w:val="20"/>
          <w:lang w:val="es-CO" w:eastAsia="es-ES_tradnl"/>
        </w:rPr>
        <w:t xml:space="preserve"> </w:t>
      </w:r>
      <w:r w:rsidR="003F4FA6" w:rsidRPr="00801FED">
        <w:rPr>
          <w:rFonts w:ascii="Cambria" w:hAnsi="Cambria" w:cs="Verdana"/>
          <w:sz w:val="20"/>
          <w:szCs w:val="20"/>
          <w:lang w:val="es-CO" w:eastAsia="es-ES_tradnl"/>
        </w:rPr>
        <w:t>situaciones</w:t>
      </w:r>
      <w:r w:rsidR="00801FED" w:rsidRPr="00801FED">
        <w:rPr>
          <w:rFonts w:ascii="Cambria" w:hAnsi="Cambria" w:cs="Verdana"/>
          <w:sz w:val="20"/>
          <w:szCs w:val="20"/>
          <w:lang w:val="es-CO" w:eastAsia="es-ES_tradnl"/>
        </w:rPr>
        <w:t xml:space="preserve"> como las del presente caso, de manera acorde con los estándares internacionales sobre </w:t>
      </w:r>
      <w:r w:rsidR="009E59A9">
        <w:rPr>
          <w:rFonts w:ascii="Cambria" w:hAnsi="Cambria" w:cs="Verdana"/>
          <w:sz w:val="20"/>
          <w:szCs w:val="20"/>
          <w:lang w:val="es-CO" w:eastAsia="es-ES_tradnl"/>
        </w:rPr>
        <w:t>los</w:t>
      </w:r>
      <w:r w:rsidR="00801FED" w:rsidRPr="00801FED">
        <w:rPr>
          <w:rFonts w:ascii="Cambria" w:hAnsi="Cambria" w:cs="Verdana"/>
          <w:sz w:val="20"/>
          <w:szCs w:val="20"/>
          <w:lang w:val="es-CO" w:eastAsia="es-ES_tradnl"/>
        </w:rPr>
        <w:t xml:space="preserve"> derecho</w:t>
      </w:r>
      <w:r w:rsidR="009E59A9">
        <w:rPr>
          <w:rFonts w:ascii="Cambria" w:hAnsi="Cambria" w:cs="Verdana"/>
          <w:sz w:val="20"/>
          <w:szCs w:val="20"/>
          <w:lang w:val="es-CO" w:eastAsia="es-ES_tradnl"/>
        </w:rPr>
        <w:t>s</w:t>
      </w:r>
      <w:r w:rsidR="00801FED" w:rsidRPr="00801FED">
        <w:rPr>
          <w:rFonts w:ascii="Cambria" w:hAnsi="Cambria" w:cs="Verdana"/>
          <w:sz w:val="20"/>
          <w:szCs w:val="20"/>
          <w:lang w:val="es-CO" w:eastAsia="es-ES_tradnl"/>
        </w:rPr>
        <w:t xml:space="preserve"> a la salud</w:t>
      </w:r>
      <w:r w:rsidR="009E59A9">
        <w:rPr>
          <w:rFonts w:ascii="Cambria" w:hAnsi="Cambria" w:cs="Verdana"/>
          <w:sz w:val="20"/>
          <w:szCs w:val="20"/>
          <w:lang w:val="es-CO" w:eastAsia="es-ES_tradnl"/>
        </w:rPr>
        <w:t xml:space="preserve"> y seguridad social</w:t>
      </w:r>
      <w:r w:rsidR="00801FED" w:rsidRPr="00801FED">
        <w:rPr>
          <w:rFonts w:ascii="Cambria" w:hAnsi="Cambria" w:cs="Verdana"/>
          <w:sz w:val="20"/>
          <w:szCs w:val="20"/>
          <w:lang w:val="es-CO" w:eastAsia="es-ES_tradnl"/>
        </w:rPr>
        <w:t xml:space="preserve">, incluyendo las determinaciones especiales que correspondan en cada caso frente a posibles situaciones de extrema vulnerabilidad como la de la niña Martina. </w:t>
      </w:r>
    </w:p>
    <w:p w:rsidR="00EC745E" w:rsidRPr="00FF31F1" w:rsidRDefault="00EC745E" w:rsidP="00EC745E">
      <w:pPr>
        <w:pStyle w:val="ListParagraph"/>
        <w:rPr>
          <w:rFonts w:cs="Verdana"/>
          <w:sz w:val="20"/>
          <w:szCs w:val="20"/>
          <w:lang w:val="es-CO" w:eastAsia="es-ES_tradnl"/>
        </w:rPr>
      </w:pPr>
    </w:p>
    <w:p w:rsidR="00C16403" w:rsidRPr="00DF0620" w:rsidRDefault="00C1640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Pr>
          <w:rFonts w:ascii="Cambria" w:hAnsi="Cambria" w:cs="Verdana"/>
          <w:sz w:val="20"/>
          <w:szCs w:val="20"/>
          <w:lang w:val="es-CO" w:eastAsia="es-ES_tradnl"/>
        </w:rPr>
        <w:t>En este mismo sentido, la Comisión observa que la decisión del levantamiento del RHD por parte de la Isapre, así como la normativa que regula el otorgamiento de dicho régimen, no estipulan ninguna salvaguarda en relación con los derechos de Martina Vera Rojas como una niña con discapacidad. En e</w:t>
      </w:r>
      <w:r w:rsidR="00141440">
        <w:rPr>
          <w:rFonts w:ascii="Cambria" w:hAnsi="Cambria" w:cs="Verdana"/>
          <w:sz w:val="20"/>
          <w:szCs w:val="20"/>
          <w:lang w:val="es-CO" w:eastAsia="es-ES_tradnl"/>
        </w:rPr>
        <w:t>ste sentido, la CIDH nota que la</w:t>
      </w:r>
      <w:r>
        <w:rPr>
          <w:rFonts w:ascii="Cambria" w:hAnsi="Cambria" w:cs="Verdana"/>
          <w:sz w:val="20"/>
          <w:szCs w:val="20"/>
          <w:lang w:val="es-CO" w:eastAsia="es-ES_tradnl"/>
        </w:rPr>
        <w:t xml:space="preserve"> CAEC en efecto no fue suspendido totalmente, solo que varió el RHD por hospitalización ordinaria en caso de ser necesaria. Así, en tanto niña con discapacidad, la Comisión considera que Martina Vera Rojas tenía el derecho a que la cobertura de su seguro necesari</w:t>
      </w:r>
      <w:r w:rsidR="00A35B18">
        <w:rPr>
          <w:rFonts w:ascii="Cambria" w:hAnsi="Cambria" w:cs="Verdana"/>
          <w:sz w:val="20"/>
          <w:szCs w:val="20"/>
          <w:lang w:val="es-CO" w:eastAsia="es-ES_tradnl"/>
        </w:rPr>
        <w:t xml:space="preserve">amente tome en consideración su interés superior, su necesidad de apoyos y su crecimiento en el entorno familiar, y no solo la </w:t>
      </w:r>
      <w:r w:rsidR="00A464E2" w:rsidRPr="00DF0620">
        <w:rPr>
          <w:rFonts w:ascii="Cambria" w:hAnsi="Cambria" w:cs="Verdana"/>
          <w:sz w:val="20"/>
          <w:szCs w:val="20"/>
          <w:lang w:val="es-CO" w:eastAsia="es-ES_tradnl"/>
        </w:rPr>
        <w:t>cronicidad o no de su condición</w:t>
      </w:r>
      <w:r w:rsidR="00A35B18" w:rsidRPr="00DF0620">
        <w:rPr>
          <w:rFonts w:ascii="Cambria" w:hAnsi="Cambria" w:cs="Verdana"/>
          <w:sz w:val="20"/>
          <w:szCs w:val="20"/>
          <w:lang w:val="es-CO" w:eastAsia="es-ES_tradnl"/>
        </w:rPr>
        <w:t>.</w:t>
      </w:r>
      <w:r w:rsidR="008764AC" w:rsidRPr="00DF0620">
        <w:rPr>
          <w:rFonts w:ascii="Cambria" w:hAnsi="Cambria" w:cs="Verdana"/>
          <w:sz w:val="20"/>
          <w:szCs w:val="20"/>
          <w:lang w:val="es-CO" w:eastAsia="es-ES_tradnl"/>
        </w:rPr>
        <w:t xml:space="preserve"> La CSJ al momento de emitir su decisión convalidando el actuar de la Isapre, tampoco efectuó consideración alguna sobre la particular situación de la niña Martina derivada de su discapacidad.</w:t>
      </w:r>
      <w:r w:rsidR="00A35B18" w:rsidRPr="00DF0620">
        <w:rPr>
          <w:rFonts w:ascii="Cambria" w:hAnsi="Cambria" w:cs="Verdana"/>
          <w:sz w:val="20"/>
          <w:szCs w:val="20"/>
          <w:lang w:val="es-CO" w:eastAsia="es-ES_tradnl"/>
        </w:rPr>
        <w:t xml:space="preserve"> Asimismo, no pasa desapercibido para la CIDH que la reinstalación del RHD, según la sentencia de la Superintendencia de Salud, no descansa en el interés superior de la niña co</w:t>
      </w:r>
      <w:r w:rsidR="00542D10" w:rsidRPr="00DF0620">
        <w:rPr>
          <w:rFonts w:ascii="Cambria" w:hAnsi="Cambria" w:cs="Verdana"/>
          <w:sz w:val="20"/>
          <w:szCs w:val="20"/>
          <w:lang w:val="es-CO" w:eastAsia="es-ES_tradnl"/>
        </w:rPr>
        <w:t>n discapacidad y</w:t>
      </w:r>
      <w:r w:rsidR="006B5E97" w:rsidRPr="00DF0620">
        <w:rPr>
          <w:rFonts w:ascii="Cambria" w:hAnsi="Cambria" w:cs="Verdana"/>
          <w:sz w:val="20"/>
          <w:szCs w:val="20"/>
          <w:lang w:val="es-CO" w:eastAsia="es-ES_tradnl"/>
        </w:rPr>
        <w:t xml:space="preserve"> </w:t>
      </w:r>
      <w:r w:rsidR="00A35B18" w:rsidRPr="00DF0620">
        <w:rPr>
          <w:rFonts w:ascii="Cambria" w:hAnsi="Cambria" w:cs="Verdana"/>
          <w:sz w:val="20"/>
          <w:szCs w:val="20"/>
          <w:lang w:val="es-CO" w:eastAsia="es-ES_tradnl"/>
        </w:rPr>
        <w:t xml:space="preserve">la necesidad de crecer en su entorno familiar, sino que es un cálculo económico, lo que será analizado en profundidad más adelante. </w:t>
      </w:r>
    </w:p>
    <w:p w:rsidR="007E02EF" w:rsidRPr="00DF0620" w:rsidRDefault="007E02EF" w:rsidP="007E02E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val="es-CO" w:eastAsia="es-ES_tradnl"/>
        </w:rPr>
      </w:pPr>
    </w:p>
    <w:p w:rsidR="007460E8" w:rsidRPr="00DF0620" w:rsidRDefault="007460E8"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CO" w:eastAsia="es-ES_tradnl"/>
        </w:rPr>
      </w:pPr>
      <w:r w:rsidRPr="00DF0620">
        <w:rPr>
          <w:rFonts w:ascii="Cambria" w:hAnsi="Cambria" w:cs="Verdana"/>
          <w:sz w:val="20"/>
          <w:szCs w:val="20"/>
          <w:lang w:val="es-CO" w:eastAsia="es-ES_tradnl"/>
        </w:rPr>
        <w:t xml:space="preserve">Sumado a lo anterior, la Comisión </w:t>
      </w:r>
      <w:r w:rsidR="00A6291E" w:rsidRPr="00DF0620">
        <w:rPr>
          <w:rFonts w:ascii="Cambria" w:hAnsi="Cambria" w:cs="Verdana"/>
          <w:sz w:val="20"/>
          <w:szCs w:val="20"/>
          <w:lang w:val="es-CO" w:eastAsia="es-ES_tradnl"/>
        </w:rPr>
        <w:t xml:space="preserve">observa que cuando la Isapre suspendió el RHD, la familia accedió a través de gestiones y trámites </w:t>
      </w:r>
      <w:r w:rsidR="00FF31F1" w:rsidRPr="00DF0620">
        <w:rPr>
          <w:rFonts w:ascii="Cambria" w:hAnsi="Cambria" w:cs="Verdana"/>
          <w:sz w:val="20"/>
          <w:szCs w:val="20"/>
          <w:lang w:val="es-CO" w:eastAsia="es-ES_tradnl"/>
        </w:rPr>
        <w:t>propios</w:t>
      </w:r>
      <w:r w:rsidR="00A6291E" w:rsidRPr="00DF0620">
        <w:rPr>
          <w:rFonts w:ascii="Cambria" w:hAnsi="Cambria" w:cs="Verdana"/>
          <w:sz w:val="20"/>
          <w:szCs w:val="20"/>
          <w:lang w:val="es-CO" w:eastAsia="es-ES_tradnl"/>
        </w:rPr>
        <w:t>, a la mayor parte del esquema de servicios de salud. Algunos de los equipos fueron adquiridos por la familia, costearon de su propio peculio medicamentos, instrumental médico y paramédico, y perdieron la posibilidad de acceder al avi</w:t>
      </w:r>
      <w:r w:rsidR="00FF31F1" w:rsidRPr="00DF0620">
        <w:rPr>
          <w:rFonts w:ascii="Cambria" w:hAnsi="Cambria" w:cs="Verdana"/>
          <w:sz w:val="20"/>
          <w:szCs w:val="20"/>
          <w:lang w:val="es-CO" w:eastAsia="es-ES_tradnl"/>
        </w:rPr>
        <w:t>ón ambulancia en caso de necesidad de transportar a la niña Martina a Santiago</w:t>
      </w:r>
      <w:r w:rsidR="00A6291E" w:rsidRPr="00DF0620">
        <w:rPr>
          <w:rFonts w:ascii="Cambria" w:hAnsi="Cambria" w:cs="Verdana"/>
          <w:sz w:val="20"/>
          <w:szCs w:val="20"/>
          <w:lang w:val="es-CO" w:eastAsia="es-ES_tradnl"/>
        </w:rPr>
        <w:t xml:space="preserve">. En estos términos, la Comisión considera que si bien la niña Martina pudo acceder a tratamientos </w:t>
      </w:r>
      <w:r w:rsidR="00542D10" w:rsidRPr="00DF0620">
        <w:rPr>
          <w:rFonts w:ascii="Cambria" w:hAnsi="Cambria" w:cs="Verdana"/>
          <w:sz w:val="20"/>
          <w:szCs w:val="20"/>
          <w:lang w:val="es-CO" w:eastAsia="es-ES_tradnl"/>
        </w:rPr>
        <w:t>autogestionados para mantener su más alto estándar posible</w:t>
      </w:r>
      <w:r w:rsidR="00A6291E" w:rsidRPr="00DF0620">
        <w:rPr>
          <w:rFonts w:ascii="Cambria" w:hAnsi="Cambria" w:cs="Verdana"/>
          <w:sz w:val="20"/>
          <w:szCs w:val="20"/>
          <w:lang w:val="es-CO" w:eastAsia="es-ES_tradnl"/>
        </w:rPr>
        <w:t xml:space="preserve"> de salud, </w:t>
      </w:r>
      <w:r w:rsidR="00FF31F1" w:rsidRPr="00DF0620">
        <w:rPr>
          <w:rFonts w:ascii="Cambria" w:hAnsi="Cambria" w:cs="Verdana"/>
          <w:sz w:val="20"/>
          <w:szCs w:val="20"/>
          <w:lang w:val="es-CO" w:eastAsia="es-ES_tradnl"/>
        </w:rPr>
        <w:t xml:space="preserve">la permanencia de estos era </w:t>
      </w:r>
      <w:r w:rsidR="00621B5B" w:rsidRPr="00DF0620">
        <w:rPr>
          <w:rFonts w:ascii="Cambria" w:hAnsi="Cambria" w:cs="Verdana"/>
          <w:sz w:val="20"/>
          <w:szCs w:val="20"/>
          <w:lang w:val="es-CO" w:eastAsia="es-ES_tradnl"/>
        </w:rPr>
        <w:t>incierta</w:t>
      </w:r>
      <w:r w:rsidR="00FF31F1" w:rsidRPr="00DF0620">
        <w:rPr>
          <w:rFonts w:ascii="Cambria" w:hAnsi="Cambria" w:cs="Verdana"/>
          <w:sz w:val="20"/>
          <w:szCs w:val="20"/>
          <w:lang w:val="es-CO" w:eastAsia="es-ES_tradnl"/>
        </w:rPr>
        <w:t>, causaron estragos en la econom</w:t>
      </w:r>
      <w:r w:rsidR="000660E7" w:rsidRPr="00DF0620">
        <w:rPr>
          <w:rFonts w:ascii="Cambria" w:hAnsi="Cambria" w:cs="Verdana"/>
          <w:sz w:val="20"/>
          <w:szCs w:val="20"/>
          <w:lang w:val="es-CO" w:eastAsia="es-ES_tradnl"/>
        </w:rPr>
        <w:t>ía familiar y colocaron</w:t>
      </w:r>
      <w:r w:rsidR="00621B5B" w:rsidRPr="00DF0620">
        <w:rPr>
          <w:rFonts w:ascii="Cambria" w:hAnsi="Cambria" w:cs="Verdana"/>
          <w:sz w:val="20"/>
          <w:szCs w:val="20"/>
          <w:lang w:val="es-CO" w:eastAsia="es-ES_tradnl"/>
        </w:rPr>
        <w:t xml:space="preserve"> en riesgo </w:t>
      </w:r>
      <w:r w:rsidR="00FF31F1" w:rsidRPr="00DF0620">
        <w:rPr>
          <w:rFonts w:ascii="Cambria" w:hAnsi="Cambria" w:cs="Verdana"/>
          <w:sz w:val="20"/>
          <w:szCs w:val="20"/>
          <w:lang w:val="es-CO" w:eastAsia="es-ES_tradnl"/>
        </w:rPr>
        <w:t>la</w:t>
      </w:r>
      <w:r w:rsidR="00022496" w:rsidRPr="00DF0620">
        <w:rPr>
          <w:rFonts w:ascii="Cambria" w:hAnsi="Cambria" w:cs="Verdana"/>
          <w:sz w:val="20"/>
          <w:szCs w:val="20"/>
          <w:lang w:val="es-CO" w:eastAsia="es-ES_tradnl"/>
        </w:rPr>
        <w:t>s frágiles</w:t>
      </w:r>
      <w:r w:rsidR="00FF31F1" w:rsidRPr="00DF0620">
        <w:rPr>
          <w:rFonts w:ascii="Cambria" w:hAnsi="Cambria" w:cs="Verdana"/>
          <w:sz w:val="20"/>
          <w:szCs w:val="20"/>
          <w:lang w:val="es-CO" w:eastAsia="es-ES_tradnl"/>
        </w:rPr>
        <w:t xml:space="preserve"> vida e integridad de la niña Martina.</w:t>
      </w:r>
      <w:r w:rsidR="00621B5B" w:rsidRPr="00DF0620">
        <w:rPr>
          <w:rFonts w:ascii="Cambria" w:hAnsi="Cambria" w:cs="Verdana"/>
          <w:sz w:val="20"/>
          <w:szCs w:val="20"/>
          <w:lang w:val="es-CO" w:eastAsia="es-ES_tradnl"/>
        </w:rPr>
        <w:t xml:space="preserve"> </w:t>
      </w:r>
    </w:p>
    <w:p w:rsidR="007460E8" w:rsidRDefault="007460E8" w:rsidP="007460E8">
      <w:pPr>
        <w:pStyle w:val="ListParagraph"/>
        <w:rPr>
          <w:rFonts w:cs="Verdana"/>
          <w:sz w:val="20"/>
          <w:szCs w:val="20"/>
          <w:highlight w:val="lightGray"/>
          <w:lang w:val="es-CO" w:eastAsia="es-ES_tradnl"/>
        </w:rPr>
      </w:pPr>
    </w:p>
    <w:p w:rsidR="003A1175" w:rsidRDefault="003A1175" w:rsidP="00C87FF4">
      <w:pPr>
        <w:pStyle w:val="Heading3"/>
        <w:rPr>
          <w:lang w:val="es-ES"/>
        </w:rPr>
      </w:pPr>
      <w:bookmarkStart w:id="24" w:name="_Toc531880131"/>
      <w:r w:rsidRPr="00FF31F1">
        <w:rPr>
          <w:lang w:val="es-ES"/>
        </w:rPr>
        <w:t>Conclusión</w:t>
      </w:r>
      <w:bookmarkEnd w:id="24"/>
    </w:p>
    <w:p w:rsidR="00542D10" w:rsidRPr="00FF31F1" w:rsidRDefault="00542D10" w:rsidP="00542D10">
      <w:pPr>
        <w:pStyle w:val="ListParagraph"/>
        <w:ind w:left="1440"/>
        <w:jc w:val="both"/>
        <w:rPr>
          <w:rFonts w:asciiTheme="majorHAnsi" w:hAnsiTheme="majorHAnsi"/>
          <w:b/>
          <w:color w:val="auto"/>
          <w:sz w:val="20"/>
          <w:szCs w:val="20"/>
          <w:lang w:val="es-ES"/>
        </w:rPr>
      </w:pPr>
    </w:p>
    <w:p w:rsidR="003A1175" w:rsidRPr="008F4391" w:rsidRDefault="00621B5B"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L"/>
        </w:rPr>
      </w:pPr>
      <w:r w:rsidRPr="002A1ECA">
        <w:rPr>
          <w:rFonts w:asciiTheme="majorHAnsi" w:hAnsiTheme="majorHAnsi"/>
          <w:sz w:val="20"/>
          <w:szCs w:val="20"/>
          <w:lang w:val="es-CL"/>
        </w:rPr>
        <w:t>En virtud de las consideraciones anteriores, la falta de regulaci</w:t>
      </w:r>
      <w:r w:rsidR="0038475E" w:rsidRPr="002A1ECA">
        <w:rPr>
          <w:rFonts w:asciiTheme="majorHAnsi" w:hAnsiTheme="majorHAnsi"/>
          <w:sz w:val="20"/>
          <w:szCs w:val="20"/>
          <w:lang w:val="es-CL"/>
        </w:rPr>
        <w:t>ón</w:t>
      </w:r>
      <w:r w:rsidR="008F4391" w:rsidRPr="002A1ECA">
        <w:rPr>
          <w:rFonts w:asciiTheme="majorHAnsi" w:hAnsiTheme="majorHAnsi"/>
          <w:sz w:val="20"/>
          <w:szCs w:val="20"/>
          <w:lang w:val="es-CL"/>
        </w:rPr>
        <w:t xml:space="preserve"> adecuada</w:t>
      </w:r>
      <w:r w:rsidR="0038475E" w:rsidRPr="002A1ECA">
        <w:rPr>
          <w:rFonts w:asciiTheme="majorHAnsi" w:hAnsiTheme="majorHAnsi"/>
          <w:sz w:val="20"/>
          <w:szCs w:val="20"/>
          <w:lang w:val="es-CL"/>
        </w:rPr>
        <w:t xml:space="preserve">, </w:t>
      </w:r>
      <w:r w:rsidRPr="002A1ECA">
        <w:rPr>
          <w:rFonts w:asciiTheme="majorHAnsi" w:hAnsiTheme="majorHAnsi"/>
          <w:sz w:val="20"/>
          <w:szCs w:val="20"/>
          <w:lang w:val="es-CL"/>
        </w:rPr>
        <w:t xml:space="preserve">control </w:t>
      </w:r>
      <w:r w:rsidR="0038475E" w:rsidRPr="002A1ECA">
        <w:rPr>
          <w:rFonts w:asciiTheme="majorHAnsi" w:hAnsiTheme="majorHAnsi"/>
          <w:sz w:val="20"/>
          <w:szCs w:val="20"/>
          <w:lang w:val="es-CL"/>
        </w:rPr>
        <w:t xml:space="preserve">y sistemas de reclamación adecuados que fiscalicen </w:t>
      </w:r>
      <w:r w:rsidRPr="002A1ECA">
        <w:rPr>
          <w:rFonts w:asciiTheme="majorHAnsi" w:hAnsiTheme="majorHAnsi"/>
          <w:sz w:val="20"/>
          <w:szCs w:val="20"/>
          <w:lang w:val="es-CL"/>
        </w:rPr>
        <w:t>la decisión de</w:t>
      </w:r>
      <w:r w:rsidR="0038475E" w:rsidRPr="002A1ECA">
        <w:rPr>
          <w:rFonts w:asciiTheme="majorHAnsi" w:hAnsiTheme="majorHAnsi"/>
          <w:sz w:val="20"/>
          <w:szCs w:val="20"/>
          <w:lang w:val="es-CL"/>
        </w:rPr>
        <w:t>l levantamiento del RHD</w:t>
      </w:r>
      <w:r w:rsidR="001763A1" w:rsidRPr="002A1ECA">
        <w:rPr>
          <w:rFonts w:asciiTheme="majorHAnsi" w:hAnsiTheme="majorHAnsi"/>
          <w:sz w:val="20"/>
          <w:szCs w:val="20"/>
          <w:lang w:val="es-CL"/>
        </w:rPr>
        <w:t xml:space="preserve"> en casos de pacientes con enfermedades graves y costosas</w:t>
      </w:r>
      <w:r w:rsidR="001763A1" w:rsidRPr="001763A1">
        <w:rPr>
          <w:rFonts w:asciiTheme="majorHAnsi" w:hAnsiTheme="majorHAnsi"/>
          <w:sz w:val="20"/>
          <w:szCs w:val="20"/>
          <w:lang w:val="es-CL"/>
        </w:rPr>
        <w:t>, sumado a la falta de protección de la víctima en el marco de su posición de garante</w:t>
      </w:r>
      <w:r w:rsidR="008F4391">
        <w:rPr>
          <w:rFonts w:asciiTheme="majorHAnsi" w:hAnsiTheme="majorHAnsi"/>
          <w:sz w:val="20"/>
          <w:szCs w:val="20"/>
          <w:lang w:val="es-CL"/>
        </w:rPr>
        <w:t xml:space="preserve"> de la niñez</w:t>
      </w:r>
      <w:r w:rsidR="001763A1" w:rsidRPr="001763A1">
        <w:rPr>
          <w:rFonts w:asciiTheme="majorHAnsi" w:hAnsiTheme="majorHAnsi"/>
          <w:sz w:val="20"/>
          <w:szCs w:val="20"/>
          <w:lang w:val="es-CL"/>
        </w:rPr>
        <w:t xml:space="preserve">, generando riesgos para su vida y salud, </w:t>
      </w:r>
      <w:r w:rsidR="0038475E" w:rsidRPr="001763A1">
        <w:rPr>
          <w:rFonts w:asciiTheme="majorHAnsi" w:hAnsiTheme="majorHAnsi"/>
          <w:sz w:val="20"/>
          <w:szCs w:val="20"/>
          <w:lang w:val="es-CL"/>
        </w:rPr>
        <w:t xml:space="preserve">la </w:t>
      </w:r>
      <w:r w:rsidR="003A1175" w:rsidRPr="001763A1">
        <w:rPr>
          <w:rFonts w:asciiTheme="majorHAnsi" w:hAnsiTheme="majorHAnsi"/>
          <w:sz w:val="20"/>
          <w:szCs w:val="20"/>
          <w:lang w:val="es-CL"/>
        </w:rPr>
        <w:t xml:space="preserve">Comisión concluye que el Estado es </w:t>
      </w:r>
      <w:r w:rsidR="0038475E" w:rsidRPr="001763A1">
        <w:rPr>
          <w:rFonts w:asciiTheme="majorHAnsi" w:hAnsiTheme="majorHAnsi"/>
          <w:sz w:val="20"/>
          <w:szCs w:val="20"/>
          <w:lang w:val="es-CL"/>
        </w:rPr>
        <w:t xml:space="preserve">responsable por </w:t>
      </w:r>
      <w:r w:rsidR="00036791">
        <w:rPr>
          <w:rFonts w:asciiTheme="majorHAnsi" w:hAnsiTheme="majorHAnsi"/>
          <w:sz w:val="20"/>
          <w:szCs w:val="20"/>
          <w:lang w:val="es-CL"/>
        </w:rPr>
        <w:t xml:space="preserve">la violación de los derechos </w:t>
      </w:r>
      <w:r w:rsidR="0038475E" w:rsidRPr="001763A1">
        <w:rPr>
          <w:rFonts w:asciiTheme="majorHAnsi" w:hAnsiTheme="majorHAnsi"/>
          <w:sz w:val="20"/>
          <w:szCs w:val="20"/>
          <w:lang w:val="es-CL"/>
        </w:rPr>
        <w:t>a la salud</w:t>
      </w:r>
      <w:r w:rsidR="00036791">
        <w:rPr>
          <w:rFonts w:asciiTheme="majorHAnsi" w:hAnsiTheme="majorHAnsi"/>
          <w:sz w:val="20"/>
          <w:szCs w:val="20"/>
          <w:lang w:val="es-CL"/>
        </w:rPr>
        <w:t xml:space="preserve">, </w:t>
      </w:r>
      <w:r w:rsidR="009E59A9">
        <w:rPr>
          <w:rFonts w:asciiTheme="majorHAnsi" w:hAnsiTheme="majorHAnsi"/>
          <w:sz w:val="20"/>
          <w:szCs w:val="20"/>
          <w:lang w:val="es-CL"/>
        </w:rPr>
        <w:t xml:space="preserve">seguridad social, </w:t>
      </w:r>
      <w:r w:rsidR="00036791">
        <w:rPr>
          <w:rFonts w:asciiTheme="majorHAnsi" w:hAnsiTheme="majorHAnsi"/>
          <w:sz w:val="20"/>
          <w:szCs w:val="20"/>
          <w:lang w:val="es-CL"/>
        </w:rPr>
        <w:t xml:space="preserve">vida, integridad y </w:t>
      </w:r>
      <w:r w:rsidR="00F54A7D">
        <w:rPr>
          <w:rFonts w:asciiTheme="majorHAnsi" w:hAnsiTheme="majorHAnsi"/>
          <w:sz w:val="20"/>
          <w:szCs w:val="20"/>
          <w:lang w:val="es-CL"/>
        </w:rPr>
        <w:t xml:space="preserve">protección especial de la niñez </w:t>
      </w:r>
      <w:r w:rsidR="00036791">
        <w:rPr>
          <w:rFonts w:asciiTheme="majorHAnsi" w:hAnsiTheme="majorHAnsi"/>
          <w:sz w:val="20"/>
          <w:szCs w:val="20"/>
          <w:lang w:val="es-CL"/>
        </w:rPr>
        <w:t>establecido</w:t>
      </w:r>
      <w:r w:rsidR="00686E68">
        <w:rPr>
          <w:rFonts w:asciiTheme="majorHAnsi" w:hAnsiTheme="majorHAnsi"/>
          <w:sz w:val="20"/>
          <w:szCs w:val="20"/>
          <w:lang w:val="es-CL"/>
        </w:rPr>
        <w:t>s en los artículo</w:t>
      </w:r>
      <w:r w:rsidR="00F54A7D">
        <w:rPr>
          <w:rFonts w:asciiTheme="majorHAnsi" w:hAnsiTheme="majorHAnsi"/>
          <w:sz w:val="20"/>
          <w:szCs w:val="20"/>
          <w:lang w:val="es-CL"/>
        </w:rPr>
        <w:t>s</w:t>
      </w:r>
      <w:r w:rsidR="00686E68">
        <w:rPr>
          <w:rFonts w:asciiTheme="majorHAnsi" w:hAnsiTheme="majorHAnsi"/>
          <w:sz w:val="20"/>
          <w:szCs w:val="20"/>
          <w:lang w:val="es-CL"/>
        </w:rPr>
        <w:t xml:space="preserve"> 4</w:t>
      </w:r>
      <w:r w:rsidR="008F4391">
        <w:rPr>
          <w:rFonts w:asciiTheme="majorHAnsi" w:hAnsiTheme="majorHAnsi"/>
          <w:sz w:val="20"/>
          <w:szCs w:val="20"/>
          <w:lang w:val="es-CL"/>
        </w:rPr>
        <w:t>.1</w:t>
      </w:r>
      <w:r w:rsidR="00686E68">
        <w:rPr>
          <w:rFonts w:asciiTheme="majorHAnsi" w:hAnsiTheme="majorHAnsi"/>
          <w:sz w:val="20"/>
          <w:szCs w:val="20"/>
          <w:lang w:val="es-CL"/>
        </w:rPr>
        <w:t>, 5</w:t>
      </w:r>
      <w:r w:rsidR="008F4391">
        <w:rPr>
          <w:rFonts w:asciiTheme="majorHAnsi" w:hAnsiTheme="majorHAnsi"/>
          <w:sz w:val="20"/>
          <w:szCs w:val="20"/>
          <w:lang w:val="es-CL"/>
        </w:rPr>
        <w:t>.1</w:t>
      </w:r>
      <w:r w:rsidR="00686E68" w:rsidRPr="008F4391">
        <w:rPr>
          <w:rFonts w:asciiTheme="majorHAnsi" w:hAnsiTheme="majorHAnsi"/>
          <w:sz w:val="20"/>
          <w:szCs w:val="20"/>
          <w:lang w:val="es-CL"/>
        </w:rPr>
        <w:t xml:space="preserve">, 19 y 26 </w:t>
      </w:r>
      <w:r w:rsidR="003A1175" w:rsidRPr="008F4391">
        <w:rPr>
          <w:rFonts w:asciiTheme="majorHAnsi" w:hAnsiTheme="majorHAnsi"/>
          <w:sz w:val="20"/>
          <w:szCs w:val="20"/>
          <w:lang w:val="es-CL"/>
        </w:rPr>
        <w:t xml:space="preserve">de la Convención Americana, en relación con </w:t>
      </w:r>
      <w:r w:rsidR="001763A1" w:rsidRPr="008F4391">
        <w:rPr>
          <w:rFonts w:asciiTheme="majorHAnsi" w:hAnsiTheme="majorHAnsi"/>
          <w:sz w:val="20"/>
          <w:szCs w:val="20"/>
          <w:lang w:val="es-CL"/>
        </w:rPr>
        <w:t>la</w:t>
      </w:r>
      <w:r w:rsidR="003A1175" w:rsidRPr="008F4391">
        <w:rPr>
          <w:rFonts w:asciiTheme="majorHAnsi" w:hAnsiTheme="majorHAnsi"/>
          <w:sz w:val="20"/>
          <w:szCs w:val="20"/>
          <w:lang w:val="es-CL"/>
        </w:rPr>
        <w:t>s obligaci</w:t>
      </w:r>
      <w:r w:rsidR="001763A1" w:rsidRPr="008F4391">
        <w:rPr>
          <w:rFonts w:asciiTheme="majorHAnsi" w:hAnsiTheme="majorHAnsi"/>
          <w:sz w:val="20"/>
          <w:szCs w:val="20"/>
          <w:lang w:val="es-CL"/>
        </w:rPr>
        <w:t>one</w:t>
      </w:r>
      <w:r w:rsidR="003A1175" w:rsidRPr="008F4391">
        <w:rPr>
          <w:rFonts w:asciiTheme="majorHAnsi" w:hAnsiTheme="majorHAnsi"/>
          <w:sz w:val="20"/>
          <w:szCs w:val="20"/>
          <w:lang w:val="es-CL"/>
        </w:rPr>
        <w:t>s establecid</w:t>
      </w:r>
      <w:r w:rsidR="001763A1" w:rsidRPr="008F4391">
        <w:rPr>
          <w:rFonts w:asciiTheme="majorHAnsi" w:hAnsiTheme="majorHAnsi"/>
          <w:sz w:val="20"/>
          <w:szCs w:val="20"/>
          <w:lang w:val="es-CL"/>
        </w:rPr>
        <w:t>as en los artí</w:t>
      </w:r>
      <w:r w:rsidR="003A1175" w:rsidRPr="008F4391">
        <w:rPr>
          <w:rFonts w:asciiTheme="majorHAnsi" w:hAnsiTheme="majorHAnsi"/>
          <w:sz w:val="20"/>
          <w:szCs w:val="20"/>
          <w:lang w:val="es-CL"/>
        </w:rPr>
        <w:t xml:space="preserve">culos 1.1 y 2 del mismo instrumento, en perjuicio de </w:t>
      </w:r>
      <w:r w:rsidR="001763A1" w:rsidRPr="008F4391">
        <w:rPr>
          <w:rFonts w:asciiTheme="majorHAnsi" w:hAnsiTheme="majorHAnsi"/>
          <w:sz w:val="20"/>
          <w:szCs w:val="20"/>
          <w:lang w:val="es-CL"/>
        </w:rPr>
        <w:t>Martina Vera Rojas.</w:t>
      </w:r>
    </w:p>
    <w:p w:rsidR="00680ED2" w:rsidRDefault="00680ED2"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9D0D65" w:rsidRDefault="009D0D65" w:rsidP="003A1175">
      <w:pPr>
        <w:pStyle w:val="ListParagraph"/>
        <w:ind w:left="1440"/>
        <w:jc w:val="both"/>
        <w:rPr>
          <w:b/>
          <w:color w:val="FF0000"/>
          <w:sz w:val="20"/>
          <w:szCs w:val="20"/>
          <w:lang w:val="es-CL"/>
        </w:rPr>
      </w:pPr>
    </w:p>
    <w:p w:rsidR="0030224F" w:rsidRDefault="0030224F" w:rsidP="00C87FF4">
      <w:pPr>
        <w:pStyle w:val="Heading2"/>
        <w:rPr>
          <w:lang w:val="es-ES"/>
        </w:rPr>
      </w:pPr>
      <w:bookmarkStart w:id="25" w:name="_Toc482341471"/>
      <w:bookmarkStart w:id="26" w:name="_Toc506095182"/>
      <w:bookmarkStart w:id="27" w:name="_Toc531880132"/>
      <w:r w:rsidRPr="001763A1">
        <w:rPr>
          <w:lang w:val="es-ES"/>
        </w:rPr>
        <w:t>El derecho a las garantías judiciales</w:t>
      </w:r>
      <w:r w:rsidRPr="001763A1">
        <w:rPr>
          <w:vertAlign w:val="superscript"/>
          <w:lang w:val="es-ES"/>
        </w:rPr>
        <w:footnoteReference w:id="104"/>
      </w:r>
      <w:r w:rsidRPr="001763A1">
        <w:rPr>
          <w:lang w:val="es-ES"/>
        </w:rPr>
        <w:t xml:space="preserve"> y la protección judicial</w:t>
      </w:r>
      <w:r w:rsidRPr="001763A1">
        <w:rPr>
          <w:vertAlign w:val="superscript"/>
          <w:lang w:val="es-ES"/>
        </w:rPr>
        <w:footnoteReference w:id="105"/>
      </w:r>
      <w:r w:rsidRPr="001763A1">
        <w:rPr>
          <w:lang w:val="es-ES"/>
        </w:rPr>
        <w:t xml:space="preserve"> (artículos 8.1 y 25.1)</w:t>
      </w:r>
      <w:bookmarkEnd w:id="25"/>
      <w:r w:rsidRPr="001763A1">
        <w:rPr>
          <w:lang w:val="es-ES"/>
        </w:rPr>
        <w:t xml:space="preserve"> y los derechos de los niños (artículo 19) en relación con el artículo 1.1 y 2 de la Convención Americana</w:t>
      </w:r>
      <w:bookmarkEnd w:id="26"/>
      <w:bookmarkEnd w:id="27"/>
      <w:r w:rsidRPr="001763A1">
        <w:rPr>
          <w:lang w:val="es-ES"/>
        </w:rPr>
        <w:t xml:space="preserve"> </w:t>
      </w:r>
    </w:p>
    <w:p w:rsidR="00680ED2" w:rsidRDefault="00680ED2" w:rsidP="00711EED">
      <w:pPr>
        <w:pStyle w:val="ListParagraph"/>
        <w:ind w:left="1440"/>
        <w:jc w:val="both"/>
        <w:rPr>
          <w:b/>
          <w:color w:val="auto"/>
          <w:sz w:val="20"/>
          <w:szCs w:val="20"/>
          <w:lang w:val="es-ES"/>
        </w:rPr>
      </w:pPr>
    </w:p>
    <w:p w:rsidR="00FD5A99" w:rsidRPr="00C87FF4" w:rsidRDefault="001D18C7" w:rsidP="00F5400E">
      <w:pPr>
        <w:pStyle w:val="Heading3"/>
        <w:numPr>
          <w:ilvl w:val="0"/>
          <w:numId w:val="62"/>
        </w:numPr>
        <w:rPr>
          <w:lang w:val="es-ES"/>
        </w:rPr>
      </w:pPr>
      <w:bookmarkStart w:id="28" w:name="_Toc531880133"/>
      <w:r w:rsidRPr="00C87FF4">
        <w:rPr>
          <w:lang w:val="es-ES"/>
        </w:rPr>
        <w:t>Consider</w:t>
      </w:r>
      <w:r w:rsidR="003A55AE" w:rsidRPr="00C87FF4">
        <w:rPr>
          <w:lang w:val="es-ES"/>
        </w:rPr>
        <w:t>aciones generales</w:t>
      </w:r>
      <w:bookmarkEnd w:id="28"/>
    </w:p>
    <w:p w:rsidR="003A55AE" w:rsidRPr="001763A1" w:rsidRDefault="003A55AE" w:rsidP="003A55AE">
      <w:pPr>
        <w:pStyle w:val="ListParagraph"/>
        <w:ind w:left="1440"/>
        <w:jc w:val="both"/>
        <w:rPr>
          <w:b/>
          <w:color w:val="auto"/>
          <w:sz w:val="20"/>
          <w:szCs w:val="20"/>
          <w:lang w:val="es-ES"/>
        </w:rPr>
      </w:pPr>
    </w:p>
    <w:p w:rsidR="00373D69" w:rsidRPr="005C008E" w:rsidRDefault="00373D6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eastAsia="Batang" w:hAnsiTheme="majorHAnsi"/>
          <w:sz w:val="20"/>
          <w:szCs w:val="20"/>
          <w:bdr w:val="none" w:sz="0" w:space="0" w:color="auto"/>
          <w:lang w:val="es-ES_tradnl"/>
        </w:rPr>
      </w:pPr>
      <w:r w:rsidRPr="00711EED">
        <w:rPr>
          <w:rFonts w:asciiTheme="majorHAnsi" w:eastAsia="Batang" w:hAnsiTheme="majorHAnsi"/>
          <w:sz w:val="20"/>
          <w:szCs w:val="20"/>
          <w:bdr w:val="none" w:sz="0" w:space="0" w:color="auto"/>
          <w:lang w:val="es-ES"/>
        </w:rPr>
        <w:t>La Comisión ha subrayado que la obligación de los Estados de actuar con la debida diligencia comprende el facilitar el acceso a recursos judiciales idóneos y efectivos frente a una violación de los derechos humanos</w:t>
      </w:r>
      <w:r w:rsidRPr="00711EED">
        <w:rPr>
          <w:rFonts w:asciiTheme="majorHAnsi" w:eastAsia="Batang" w:hAnsiTheme="majorHAnsi"/>
          <w:sz w:val="20"/>
          <w:szCs w:val="20"/>
          <w:bdr w:val="none" w:sz="0" w:space="0" w:color="auto"/>
          <w:vertAlign w:val="superscript"/>
          <w:lang w:val="es-ES"/>
        </w:rPr>
        <w:footnoteReference w:id="106"/>
      </w:r>
      <w:r w:rsidRPr="00711EED">
        <w:rPr>
          <w:rFonts w:asciiTheme="majorHAnsi" w:eastAsia="Batang" w:hAnsiTheme="majorHAnsi"/>
          <w:sz w:val="20"/>
          <w:szCs w:val="20"/>
          <w:bdr w:val="none" w:sz="0" w:space="0" w:color="auto"/>
          <w:lang w:val="es-ES"/>
        </w:rPr>
        <w:t>.</w:t>
      </w:r>
      <w:r>
        <w:rPr>
          <w:rFonts w:asciiTheme="majorHAnsi" w:eastAsia="Batang" w:hAnsiTheme="majorHAnsi"/>
          <w:sz w:val="20"/>
          <w:szCs w:val="20"/>
          <w:bdr w:val="none" w:sz="0" w:space="0" w:color="auto"/>
          <w:lang w:val="es-ES"/>
        </w:rPr>
        <w:t xml:space="preserve"> En el caso de derechos sociales, la CIDH ha señalado que la protección y el acceso a la justicia, debido a las complejidades de su exigibilidad judicial, se materializa en el reconocimiento de garantías específicas del debido proceso como, por ejemplo, la igualdad de armas, la revisión judicial de decisiones administrativas, la debida motivación y el plazo razonable</w:t>
      </w:r>
      <w:r>
        <w:rPr>
          <w:rStyle w:val="FootnoteReference"/>
          <w:rFonts w:asciiTheme="majorHAnsi" w:eastAsia="Batang" w:hAnsiTheme="majorHAnsi"/>
          <w:sz w:val="20"/>
          <w:szCs w:val="20"/>
          <w:bdr w:val="none" w:sz="0" w:space="0" w:color="auto"/>
          <w:lang w:val="es-ES"/>
        </w:rPr>
        <w:footnoteReference w:id="107"/>
      </w:r>
      <w:r>
        <w:rPr>
          <w:rFonts w:asciiTheme="majorHAnsi" w:eastAsia="Batang" w:hAnsiTheme="majorHAnsi"/>
          <w:sz w:val="20"/>
          <w:szCs w:val="20"/>
          <w:bdr w:val="none" w:sz="0" w:space="0" w:color="auto"/>
          <w:lang w:val="es-ES"/>
        </w:rPr>
        <w:t xml:space="preserve">. En </w:t>
      </w:r>
      <w:r w:rsidR="00022496">
        <w:rPr>
          <w:rFonts w:asciiTheme="majorHAnsi" w:eastAsia="Batang" w:hAnsiTheme="majorHAnsi"/>
          <w:sz w:val="20"/>
          <w:szCs w:val="20"/>
          <w:bdr w:val="none" w:sz="0" w:space="0" w:color="auto"/>
          <w:lang w:val="es-ES"/>
        </w:rPr>
        <w:t xml:space="preserve"> relación con la igualdad de armas</w:t>
      </w:r>
      <w:r w:rsidR="00CB7038">
        <w:rPr>
          <w:rFonts w:asciiTheme="majorHAnsi" w:eastAsia="Batang" w:hAnsiTheme="majorHAnsi"/>
          <w:sz w:val="20"/>
          <w:szCs w:val="20"/>
          <w:bdr w:val="none" w:sz="0" w:space="0" w:color="auto"/>
          <w:lang w:val="es-ES"/>
        </w:rPr>
        <w:t xml:space="preserve"> específicamente</w:t>
      </w:r>
      <w:r w:rsidR="005C008E">
        <w:rPr>
          <w:rFonts w:asciiTheme="majorHAnsi" w:eastAsia="Batang" w:hAnsiTheme="majorHAnsi"/>
          <w:sz w:val="20"/>
          <w:szCs w:val="20"/>
          <w:bdr w:val="none" w:sz="0" w:space="0" w:color="auto"/>
          <w:lang w:val="es-ES"/>
        </w:rPr>
        <w:t xml:space="preserve">, la CIDH ha indicado que </w:t>
      </w:r>
      <w:r w:rsidR="005C008E" w:rsidRPr="00CB7038">
        <w:rPr>
          <w:rFonts w:asciiTheme="majorHAnsi" w:eastAsia="Batang" w:hAnsiTheme="majorHAnsi"/>
          <w:sz w:val="20"/>
          <w:szCs w:val="20"/>
          <w:bdr w:val="none" w:sz="0" w:space="0" w:color="auto"/>
          <w:lang w:val="es-ES_tradnl"/>
        </w:rPr>
        <w:t>durante</w:t>
      </w:r>
      <w:r w:rsidR="00CB7038" w:rsidRPr="00CB7038">
        <w:rPr>
          <w:rFonts w:asciiTheme="majorHAnsi" w:eastAsia="Batang" w:hAnsiTheme="majorHAnsi"/>
          <w:sz w:val="20"/>
          <w:szCs w:val="20"/>
          <w:bdr w:val="none" w:sz="0" w:space="0" w:color="auto"/>
          <w:lang w:val="es-ES_tradnl"/>
        </w:rPr>
        <w:t xml:space="preserve"> </w:t>
      </w:r>
      <w:r w:rsidR="00CB7038">
        <w:rPr>
          <w:rFonts w:asciiTheme="majorHAnsi" w:eastAsia="Batang" w:hAnsiTheme="majorHAnsi"/>
          <w:sz w:val="20"/>
          <w:szCs w:val="20"/>
          <w:bdr w:val="none" w:sz="0" w:space="0" w:color="auto"/>
          <w:lang w:val="es-ES_tradnl"/>
        </w:rPr>
        <w:t>los procesos judiciales para la defensa de derechos sociales “</w:t>
      </w:r>
      <w:r w:rsidR="00CB7038" w:rsidRPr="00CB7038">
        <w:rPr>
          <w:rFonts w:asciiTheme="majorHAnsi" w:eastAsia="Batang" w:hAnsiTheme="majorHAnsi"/>
          <w:sz w:val="20"/>
          <w:szCs w:val="20"/>
          <w:bdr w:val="none" w:sz="0" w:space="0" w:color="auto"/>
          <w:lang w:val="es-ES_tradnl"/>
        </w:rPr>
        <w:t xml:space="preserve">es frecuente que la disímil situación social o económica de las partes litigantes impacte en una desigual </w:t>
      </w:r>
      <w:r w:rsidR="005C008E">
        <w:rPr>
          <w:rFonts w:asciiTheme="majorHAnsi" w:eastAsia="Batang" w:hAnsiTheme="majorHAnsi"/>
          <w:sz w:val="20"/>
          <w:szCs w:val="20"/>
          <w:bdr w:val="none" w:sz="0" w:space="0" w:color="auto"/>
          <w:lang w:val="es-ES_tradnl"/>
        </w:rPr>
        <w:t>posibilidad de defensa</w:t>
      </w:r>
      <w:r w:rsidR="005C008E">
        <w:rPr>
          <w:rStyle w:val="FootnoteReference"/>
          <w:rFonts w:asciiTheme="majorHAnsi" w:eastAsia="Batang" w:hAnsiTheme="majorHAnsi"/>
          <w:sz w:val="20"/>
          <w:szCs w:val="20"/>
          <w:bdr w:val="none" w:sz="0" w:space="0" w:color="auto"/>
          <w:lang w:val="es-ES_tradnl"/>
        </w:rPr>
        <w:footnoteReference w:id="108"/>
      </w:r>
      <w:r w:rsidR="005C008E">
        <w:rPr>
          <w:rFonts w:asciiTheme="majorHAnsi" w:eastAsia="Batang" w:hAnsiTheme="majorHAnsi"/>
          <w:sz w:val="20"/>
          <w:szCs w:val="20"/>
          <w:bdr w:val="none" w:sz="0" w:space="0" w:color="auto"/>
          <w:lang w:val="es-ES_tradnl"/>
        </w:rPr>
        <w:t>”, y al respecto la Corte Interamericana indicó “</w:t>
      </w:r>
      <w:r w:rsidR="005C008E" w:rsidRPr="005C008E">
        <w:rPr>
          <w:rFonts w:asciiTheme="majorHAnsi" w:eastAsia="Batang" w:hAnsiTheme="majorHAnsi"/>
          <w:sz w:val="20"/>
          <w:szCs w:val="20"/>
          <w:bdr w:val="none" w:sz="0" w:space="0" w:color="auto"/>
          <w:lang w:val="es-ES_tradnl"/>
        </w:rPr>
        <w:t>que la presencia de condiciones de desigualdad real obliga a los Estados a adoptar medidas de compensación que contribuyan a reducir o eliminar los obstáculos y deficiencias que impidan o reduzcan la defensa eficaz de los propios intereses</w:t>
      </w:r>
      <w:r w:rsidR="005C008E">
        <w:rPr>
          <w:rFonts w:asciiTheme="majorHAnsi" w:eastAsia="Batang" w:hAnsiTheme="majorHAnsi"/>
          <w:sz w:val="20"/>
          <w:szCs w:val="20"/>
          <w:bdr w:val="none" w:sz="0" w:space="0" w:color="auto"/>
          <w:lang w:val="es-ES_tradnl"/>
        </w:rPr>
        <w:t>”</w:t>
      </w:r>
      <w:r w:rsidR="005C008E">
        <w:rPr>
          <w:rStyle w:val="FootnoteReference"/>
          <w:rFonts w:asciiTheme="majorHAnsi" w:eastAsia="Batang" w:hAnsiTheme="majorHAnsi"/>
          <w:sz w:val="20"/>
          <w:szCs w:val="20"/>
          <w:bdr w:val="none" w:sz="0" w:space="0" w:color="auto"/>
          <w:lang w:val="es-ES_tradnl"/>
        </w:rPr>
        <w:footnoteReference w:id="109"/>
      </w:r>
      <w:r w:rsidR="005C008E">
        <w:rPr>
          <w:rFonts w:asciiTheme="majorHAnsi" w:eastAsia="Batang" w:hAnsiTheme="majorHAnsi"/>
          <w:sz w:val="20"/>
          <w:szCs w:val="20"/>
          <w:bdr w:val="none" w:sz="0" w:space="0" w:color="auto"/>
          <w:lang w:val="es-ES_tradnl"/>
        </w:rPr>
        <w:t>.</w:t>
      </w:r>
    </w:p>
    <w:p w:rsidR="00373D69" w:rsidRPr="00022BE4" w:rsidRDefault="00373D69" w:rsidP="00373D6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b/>
          <w:sz w:val="20"/>
          <w:szCs w:val="20"/>
          <w:lang w:val="es-ES"/>
        </w:rPr>
      </w:pPr>
    </w:p>
    <w:p w:rsidR="000D2A3E" w:rsidRPr="000D2A3E" w:rsidRDefault="00373D6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b/>
          <w:sz w:val="20"/>
          <w:szCs w:val="20"/>
          <w:lang w:val="es-ES"/>
        </w:rPr>
      </w:pPr>
      <w:r>
        <w:rPr>
          <w:rFonts w:asciiTheme="majorHAnsi" w:eastAsia="Batang" w:hAnsiTheme="majorHAnsi"/>
          <w:sz w:val="20"/>
          <w:szCs w:val="20"/>
          <w:bdr w:val="none" w:sz="0" w:space="0" w:color="auto"/>
          <w:lang w:val="es-ES"/>
        </w:rPr>
        <w:t>Asimismo, para garantizar el acceso a la justicia, los recursos judiciales para la reivindicación de derechos sociales deben ser sencillos, rápidos y efectivos, y brindar la posibilidad de prevenir, detener, privar de efectos y repara</w:t>
      </w:r>
      <w:r w:rsidR="002E22AA">
        <w:rPr>
          <w:rFonts w:asciiTheme="majorHAnsi" w:eastAsia="Batang" w:hAnsiTheme="majorHAnsi"/>
          <w:sz w:val="20"/>
          <w:szCs w:val="20"/>
          <w:bdr w:val="none" w:sz="0" w:space="0" w:color="auto"/>
          <w:lang w:val="es-ES"/>
        </w:rPr>
        <w:t>r</w:t>
      </w:r>
      <w:r>
        <w:rPr>
          <w:rFonts w:asciiTheme="majorHAnsi" w:eastAsia="Batang" w:hAnsiTheme="majorHAnsi"/>
          <w:sz w:val="20"/>
          <w:szCs w:val="20"/>
          <w:bdr w:val="none" w:sz="0" w:space="0" w:color="auto"/>
          <w:lang w:val="es-ES"/>
        </w:rPr>
        <w:t xml:space="preserve"> la afectación al derecho conculcado</w:t>
      </w:r>
      <w:r w:rsidR="00696216">
        <w:rPr>
          <w:rFonts w:asciiTheme="majorHAnsi" w:eastAsia="Batang" w:hAnsiTheme="majorHAnsi"/>
          <w:sz w:val="20"/>
          <w:szCs w:val="20"/>
          <w:bdr w:val="none" w:sz="0" w:space="0" w:color="auto"/>
          <w:lang w:val="es-ES"/>
        </w:rPr>
        <w:t xml:space="preserve"> en el marco de situaciones sociales marcadamente desiguales</w:t>
      </w:r>
      <w:r>
        <w:rPr>
          <w:rStyle w:val="FootnoteReference"/>
          <w:rFonts w:asciiTheme="majorHAnsi" w:eastAsia="Batang" w:hAnsiTheme="majorHAnsi"/>
          <w:sz w:val="20"/>
          <w:szCs w:val="20"/>
          <w:bdr w:val="none" w:sz="0" w:space="0" w:color="auto"/>
          <w:lang w:val="es-ES"/>
        </w:rPr>
        <w:footnoteReference w:id="110"/>
      </w:r>
      <w:r>
        <w:rPr>
          <w:rFonts w:asciiTheme="majorHAnsi" w:eastAsia="Batang" w:hAnsiTheme="majorHAnsi"/>
          <w:sz w:val="20"/>
          <w:szCs w:val="20"/>
          <w:bdr w:val="none" w:sz="0" w:space="0" w:color="auto"/>
          <w:lang w:val="es-ES"/>
        </w:rPr>
        <w:t xml:space="preserve">. </w:t>
      </w:r>
      <w:r w:rsidR="000D2A3E">
        <w:rPr>
          <w:rFonts w:asciiTheme="majorHAnsi" w:eastAsia="Batang" w:hAnsiTheme="majorHAnsi"/>
          <w:sz w:val="20"/>
          <w:szCs w:val="20"/>
          <w:bdr w:val="none" w:sz="0" w:space="0" w:color="auto"/>
          <w:lang w:val="es-ES"/>
        </w:rPr>
        <w:t xml:space="preserve">La efectividad </w:t>
      </w:r>
      <w:r w:rsidR="00CB7038">
        <w:rPr>
          <w:rFonts w:asciiTheme="majorHAnsi" w:eastAsia="Batang" w:hAnsiTheme="majorHAnsi"/>
          <w:sz w:val="20"/>
          <w:szCs w:val="20"/>
          <w:bdr w:val="none" w:sz="0" w:space="0" w:color="auto"/>
          <w:lang w:val="es-ES"/>
        </w:rPr>
        <w:t xml:space="preserve">de un recurso </w:t>
      </w:r>
      <w:r w:rsidR="000D2A3E">
        <w:rPr>
          <w:rFonts w:asciiTheme="majorHAnsi" w:eastAsia="Batang" w:hAnsiTheme="majorHAnsi"/>
          <w:sz w:val="20"/>
          <w:szCs w:val="20"/>
          <w:bdr w:val="none" w:sz="0" w:space="0" w:color="auto"/>
          <w:lang w:val="es-ES"/>
        </w:rPr>
        <w:t>debe ser en</w:t>
      </w:r>
      <w:r w:rsidR="00CB7038">
        <w:rPr>
          <w:rFonts w:asciiTheme="majorHAnsi" w:eastAsia="Batang" w:hAnsiTheme="majorHAnsi"/>
          <w:sz w:val="20"/>
          <w:szCs w:val="20"/>
          <w:bdr w:val="none" w:sz="0" w:space="0" w:color="auto"/>
          <w:lang w:val="es-ES"/>
        </w:rPr>
        <w:t>tendida en relación con su posibilidad para determinar la existencia de violacio</w:t>
      </w:r>
      <w:r w:rsidR="00E85E57">
        <w:rPr>
          <w:rFonts w:asciiTheme="majorHAnsi" w:eastAsia="Batang" w:hAnsiTheme="majorHAnsi"/>
          <w:sz w:val="20"/>
          <w:szCs w:val="20"/>
          <w:bdr w:val="none" w:sz="0" w:space="0" w:color="auto"/>
          <w:lang w:val="es-ES"/>
        </w:rPr>
        <w:t xml:space="preserve">nes a derechos fundamentales; </w:t>
      </w:r>
      <w:r w:rsidR="00CB7038">
        <w:rPr>
          <w:rFonts w:asciiTheme="majorHAnsi" w:eastAsia="Batang" w:hAnsiTheme="majorHAnsi"/>
          <w:sz w:val="20"/>
          <w:szCs w:val="20"/>
          <w:bdr w:val="none" w:sz="0" w:space="0" w:color="auto"/>
          <w:lang w:val="es-ES"/>
        </w:rPr>
        <w:t>de remediarlas</w:t>
      </w:r>
      <w:r w:rsidR="00E85E57">
        <w:rPr>
          <w:rFonts w:asciiTheme="majorHAnsi" w:eastAsia="Batang" w:hAnsiTheme="majorHAnsi"/>
          <w:sz w:val="20"/>
          <w:szCs w:val="20"/>
          <w:bdr w:val="none" w:sz="0" w:space="0" w:color="auto"/>
          <w:lang w:val="es-ES"/>
        </w:rPr>
        <w:t xml:space="preserve">; y, </w:t>
      </w:r>
      <w:r w:rsidR="00CB7038">
        <w:rPr>
          <w:rFonts w:asciiTheme="majorHAnsi" w:eastAsia="Batang" w:hAnsiTheme="majorHAnsi"/>
          <w:sz w:val="20"/>
          <w:szCs w:val="20"/>
          <w:bdr w:val="none" w:sz="0" w:space="0" w:color="auto"/>
          <w:lang w:val="es-ES"/>
        </w:rPr>
        <w:t>de reparar el daño causado y permitir el castigo a los responsables</w:t>
      </w:r>
      <w:r w:rsidR="00CB7038">
        <w:rPr>
          <w:rStyle w:val="FootnoteReference"/>
          <w:rFonts w:asciiTheme="majorHAnsi" w:eastAsia="Batang" w:hAnsiTheme="majorHAnsi"/>
          <w:sz w:val="20"/>
          <w:szCs w:val="20"/>
          <w:bdr w:val="none" w:sz="0" w:space="0" w:color="auto"/>
          <w:lang w:val="es-ES"/>
        </w:rPr>
        <w:footnoteReference w:id="111"/>
      </w:r>
      <w:r w:rsidR="00CB7038">
        <w:rPr>
          <w:rFonts w:asciiTheme="majorHAnsi" w:eastAsia="Batang" w:hAnsiTheme="majorHAnsi"/>
          <w:sz w:val="20"/>
          <w:szCs w:val="20"/>
          <w:bdr w:val="none" w:sz="0" w:space="0" w:color="auto"/>
          <w:lang w:val="es-ES"/>
        </w:rPr>
        <w:t xml:space="preserve">. </w:t>
      </w:r>
      <w:r w:rsidR="003E4030" w:rsidRPr="00B67AD6">
        <w:rPr>
          <w:rFonts w:ascii="Cambria" w:eastAsia="Batang" w:hAnsi="Cambria"/>
          <w:sz w:val="20"/>
          <w:szCs w:val="20"/>
          <w:bdr w:val="none" w:sz="0" w:space="0" w:color="auto"/>
          <w:lang w:val="es-ES"/>
        </w:rPr>
        <w:t>En esa misma línea de ideas, en relación a violaciones a derechos humanos en el marco de actividades empresariales, el Comité DESC ha indicado que “L</w:t>
      </w:r>
      <w:r w:rsidR="003E4030" w:rsidRPr="00B67AD6">
        <w:rPr>
          <w:rFonts w:ascii="Cambria" w:hAnsi="Cambria"/>
          <w:sz w:val="20"/>
          <w:szCs w:val="20"/>
          <w:lang w:val="es-PE"/>
        </w:rPr>
        <w:t>os Estados partes deben proporcionar medios adecuados de reparación a las personas o grupos perjudicados y asegurar la rendición de cuentas de las empresas”</w:t>
      </w:r>
      <w:r w:rsidR="003E4030" w:rsidRPr="00B67AD6">
        <w:rPr>
          <w:rStyle w:val="FootnoteReference"/>
          <w:rFonts w:ascii="Cambria" w:hAnsi="Cambria"/>
          <w:sz w:val="20"/>
          <w:szCs w:val="20"/>
          <w:lang w:val="es-PE"/>
        </w:rPr>
        <w:footnoteReference w:id="112"/>
      </w:r>
      <w:r w:rsidR="003E4030" w:rsidRPr="00B67AD6">
        <w:rPr>
          <w:rFonts w:ascii="Cambria" w:hAnsi="Cambria"/>
          <w:sz w:val="20"/>
          <w:szCs w:val="20"/>
          <w:lang w:val="es-PE"/>
        </w:rPr>
        <w:t xml:space="preserve"> para lo cual es imprescindible que haya recursos disponibles, efectivos y rápidos así como el acceso a información pertinente que permita resolver una denuncia</w:t>
      </w:r>
      <w:r w:rsidR="003E4030" w:rsidRPr="00B67AD6">
        <w:rPr>
          <w:rStyle w:val="FootnoteReference"/>
          <w:rFonts w:ascii="Cambria" w:hAnsi="Cambria"/>
          <w:sz w:val="20"/>
          <w:szCs w:val="20"/>
          <w:lang w:val="es-PE"/>
        </w:rPr>
        <w:footnoteReference w:id="113"/>
      </w:r>
      <w:r w:rsidR="003E4030">
        <w:rPr>
          <w:rFonts w:ascii="Cambria" w:hAnsi="Cambria"/>
          <w:sz w:val="20"/>
          <w:szCs w:val="20"/>
          <w:lang w:val="es-PE"/>
        </w:rPr>
        <w:t>.</w:t>
      </w:r>
    </w:p>
    <w:p w:rsidR="009D0D65" w:rsidRDefault="009D0D65" w:rsidP="000D2A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Batang" w:hAnsiTheme="majorHAnsi"/>
          <w:sz w:val="20"/>
          <w:szCs w:val="20"/>
          <w:bdr w:val="none" w:sz="0" w:space="0" w:color="auto"/>
          <w:lang w:val="es-ES"/>
        </w:rPr>
      </w:pPr>
    </w:p>
    <w:p w:rsidR="00373D69" w:rsidRPr="00E85E57" w:rsidRDefault="00373D6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lang w:val="es-ES"/>
        </w:rPr>
      </w:pPr>
      <w:r>
        <w:rPr>
          <w:rFonts w:asciiTheme="majorHAnsi" w:eastAsia="Batang" w:hAnsiTheme="majorHAnsi"/>
          <w:sz w:val="20"/>
          <w:szCs w:val="20"/>
          <w:bdr w:val="none" w:sz="0" w:space="0" w:color="auto"/>
          <w:lang w:val="es-UY"/>
        </w:rPr>
        <w:t xml:space="preserve">De otro lado en consideración </w:t>
      </w:r>
      <w:r w:rsidR="00E85E57">
        <w:rPr>
          <w:rFonts w:asciiTheme="majorHAnsi" w:eastAsia="Batang" w:hAnsiTheme="majorHAnsi"/>
          <w:sz w:val="20"/>
          <w:szCs w:val="20"/>
          <w:bdr w:val="none" w:sz="0" w:space="0" w:color="auto"/>
          <w:lang w:val="es-UY"/>
        </w:rPr>
        <w:t>de que en este caso</w:t>
      </w:r>
      <w:r>
        <w:rPr>
          <w:rFonts w:asciiTheme="majorHAnsi" w:eastAsia="Batang" w:hAnsiTheme="majorHAnsi"/>
          <w:sz w:val="20"/>
          <w:szCs w:val="20"/>
          <w:bdr w:val="none" w:sz="0" w:space="0" w:color="auto"/>
          <w:lang w:val="es-UY"/>
        </w:rPr>
        <w:t xml:space="preserve"> se encuentran en juego los derechos de una niña, la </w:t>
      </w:r>
      <w:r>
        <w:rPr>
          <w:rFonts w:ascii="Cambria" w:eastAsia="Batang" w:hAnsi="Cambria"/>
          <w:sz w:val="20"/>
          <w:szCs w:val="20"/>
          <w:bdr w:val="none" w:sz="0" w:space="0" w:color="auto" w:frame="1"/>
          <w:lang w:val="es-UY"/>
        </w:rPr>
        <w:t xml:space="preserve">Comisión considera necesario incorporar al análisis del presente caso el </w:t>
      </w:r>
      <w:r>
        <w:rPr>
          <w:rFonts w:ascii="Cambria" w:eastAsia="Batang" w:hAnsi="Cambria"/>
          <w:i/>
          <w:sz w:val="20"/>
          <w:szCs w:val="20"/>
          <w:bdr w:val="none" w:sz="0" w:space="0" w:color="auto" w:frame="1"/>
          <w:lang w:val="es-UY"/>
        </w:rPr>
        <w:t>corpus iuris</w:t>
      </w:r>
      <w:r>
        <w:rPr>
          <w:rFonts w:ascii="Cambria" w:eastAsia="Batang" w:hAnsi="Cambria"/>
          <w:sz w:val="20"/>
          <w:szCs w:val="20"/>
          <w:bdr w:val="none" w:sz="0" w:space="0" w:color="auto" w:frame="1"/>
          <w:lang w:val="es-UY"/>
        </w:rPr>
        <w:t xml:space="preserve"> internacional de protección de los niños y las niñas</w:t>
      </w:r>
      <w:r>
        <w:rPr>
          <w:rFonts w:ascii="Cambria" w:eastAsia="Batang" w:hAnsi="Cambria"/>
          <w:sz w:val="20"/>
          <w:szCs w:val="20"/>
          <w:bdr w:val="none" w:sz="0" w:space="0" w:color="auto" w:frame="1"/>
          <w:vertAlign w:val="superscript"/>
          <w:lang w:val="es-UY"/>
        </w:rPr>
        <w:footnoteReference w:id="114"/>
      </w:r>
      <w:r w:rsidR="00E85E57">
        <w:rPr>
          <w:lang w:val="es-ES"/>
        </w:rPr>
        <w:t xml:space="preserve">. </w:t>
      </w:r>
      <w:r w:rsidR="00E85E57">
        <w:rPr>
          <w:rFonts w:asciiTheme="majorHAnsi" w:eastAsia="Batang" w:hAnsiTheme="majorHAnsi"/>
          <w:sz w:val="20"/>
          <w:szCs w:val="20"/>
          <w:bdr w:val="none" w:sz="0" w:space="0" w:color="auto"/>
          <w:lang w:val="es-UY"/>
        </w:rPr>
        <w:t>L</w:t>
      </w:r>
      <w:r w:rsidRPr="00711EED">
        <w:rPr>
          <w:rFonts w:asciiTheme="majorHAnsi" w:eastAsia="Batang" w:hAnsiTheme="majorHAnsi"/>
          <w:sz w:val="20"/>
          <w:szCs w:val="20"/>
          <w:bdr w:val="none" w:sz="0" w:space="0" w:color="auto"/>
          <w:lang w:val="es-UY"/>
        </w:rPr>
        <w:t>a Comisión y la Corte Interamericana han indicado que “</w:t>
      </w:r>
      <w:r w:rsidRPr="00711EED">
        <w:rPr>
          <w:rFonts w:asciiTheme="majorHAnsi" w:eastAsia="Batang" w:hAnsiTheme="majorHAnsi" w:cs="Verdana"/>
          <w:sz w:val="20"/>
          <w:szCs w:val="20"/>
          <w:bdr w:val="none" w:sz="0" w:space="0" w:color="auto"/>
          <w:lang w:val="es-UY"/>
        </w:rPr>
        <w:t>los niños y las niñas son titulares de los derechos establecidos en la Convención Americana, además de contar con las medidas especiales de protección contempladas en su artículo 19, las cuales deben ser definidas según las circunstancias particulares de cada caso concreto”</w:t>
      </w:r>
      <w:r w:rsidRPr="00711EED">
        <w:rPr>
          <w:rFonts w:asciiTheme="majorHAnsi" w:eastAsia="Batang" w:hAnsiTheme="majorHAnsi" w:cs="Verdana"/>
          <w:sz w:val="20"/>
          <w:szCs w:val="20"/>
          <w:bdr w:val="none" w:sz="0" w:space="0" w:color="auto"/>
          <w:vertAlign w:val="superscript"/>
          <w:lang w:val="es-UY"/>
        </w:rPr>
        <w:footnoteReference w:id="115"/>
      </w:r>
      <w:r w:rsidRPr="00711EED">
        <w:rPr>
          <w:rFonts w:asciiTheme="majorHAnsi" w:eastAsia="Batang" w:hAnsiTheme="majorHAnsi" w:cs="Verdana"/>
          <w:sz w:val="20"/>
          <w:szCs w:val="20"/>
          <w:bdr w:val="none" w:sz="0" w:space="0" w:color="auto"/>
          <w:lang w:val="es-UY"/>
        </w:rPr>
        <w:t xml:space="preserve">. Además, </w:t>
      </w:r>
      <w:r w:rsidRPr="00711EED">
        <w:rPr>
          <w:rFonts w:asciiTheme="majorHAnsi" w:eastAsia="Times New Roman" w:hAnsiTheme="majorHAnsi"/>
          <w:sz w:val="20"/>
          <w:szCs w:val="20"/>
          <w:bdr w:val="none" w:sz="0" w:space="0" w:color="auto"/>
          <w:lang w:val="es-ES_tradnl"/>
        </w:rPr>
        <w:t>“el Estado debe prestar especial atención a las necesidades y a los derechos de las niñas y los niños, en condición particular de vulnerabilidad”</w:t>
      </w:r>
      <w:r w:rsidRPr="00711EED">
        <w:rPr>
          <w:rFonts w:asciiTheme="majorHAnsi" w:eastAsia="Times New Roman" w:hAnsiTheme="majorHAnsi"/>
          <w:sz w:val="20"/>
          <w:szCs w:val="20"/>
          <w:bdr w:val="none" w:sz="0" w:space="0" w:color="auto"/>
          <w:vertAlign w:val="superscript"/>
          <w:lang w:val="es-ES_tradnl"/>
        </w:rPr>
        <w:footnoteReference w:id="116"/>
      </w:r>
      <w:r w:rsidRPr="00711EED">
        <w:rPr>
          <w:rFonts w:asciiTheme="majorHAnsi" w:eastAsia="Times New Roman" w:hAnsiTheme="majorHAnsi"/>
          <w:sz w:val="20"/>
          <w:szCs w:val="20"/>
          <w:bdr w:val="none" w:sz="0" w:space="0" w:color="auto"/>
          <w:lang w:val="es-ES_tradnl"/>
        </w:rPr>
        <w:t>.</w:t>
      </w:r>
      <w:r w:rsidRPr="00166B77">
        <w:rPr>
          <w:rFonts w:asciiTheme="majorHAnsi" w:eastAsia="Times New Roman" w:hAnsiTheme="majorHAnsi"/>
          <w:sz w:val="20"/>
          <w:szCs w:val="20"/>
          <w:bdr w:val="none" w:sz="0" w:space="0" w:color="auto"/>
          <w:lang w:val="es-ES_tradnl"/>
        </w:rPr>
        <w:t xml:space="preserve"> En este sentido, </w:t>
      </w:r>
      <w:r>
        <w:rPr>
          <w:rFonts w:asciiTheme="majorHAnsi" w:eastAsia="Times New Roman" w:hAnsiTheme="majorHAnsi"/>
          <w:sz w:val="20"/>
          <w:szCs w:val="20"/>
          <w:bdr w:val="none" w:sz="0" w:space="0" w:color="auto"/>
          <w:lang w:val="es-ES_tradnl"/>
        </w:rPr>
        <w:t xml:space="preserve">resulta relevante el artículo 3.1 de la Convención sobre los </w:t>
      </w:r>
      <w:r w:rsidR="000348F3">
        <w:rPr>
          <w:rFonts w:asciiTheme="majorHAnsi" w:eastAsia="Times New Roman" w:hAnsiTheme="majorHAnsi"/>
          <w:sz w:val="20"/>
          <w:szCs w:val="20"/>
          <w:bdr w:val="none" w:sz="0" w:space="0" w:color="auto"/>
          <w:lang w:val="es-ES_tradnl"/>
        </w:rPr>
        <w:t>D</w:t>
      </w:r>
      <w:r>
        <w:rPr>
          <w:rFonts w:asciiTheme="majorHAnsi" w:eastAsia="Times New Roman" w:hAnsiTheme="majorHAnsi"/>
          <w:sz w:val="20"/>
          <w:szCs w:val="20"/>
          <w:bdr w:val="none" w:sz="0" w:space="0" w:color="auto"/>
          <w:lang w:val="es-ES_tradnl"/>
        </w:rPr>
        <w:t xml:space="preserve">erechos del </w:t>
      </w:r>
      <w:r w:rsidR="000348F3">
        <w:rPr>
          <w:rFonts w:asciiTheme="majorHAnsi" w:eastAsia="Times New Roman" w:hAnsiTheme="majorHAnsi"/>
          <w:sz w:val="20"/>
          <w:szCs w:val="20"/>
          <w:bdr w:val="none" w:sz="0" w:space="0" w:color="auto"/>
          <w:lang w:val="es-ES_tradnl"/>
        </w:rPr>
        <w:t>N</w:t>
      </w:r>
      <w:r>
        <w:rPr>
          <w:rFonts w:asciiTheme="majorHAnsi" w:eastAsia="Times New Roman" w:hAnsiTheme="majorHAnsi"/>
          <w:sz w:val="20"/>
          <w:szCs w:val="20"/>
          <w:bdr w:val="none" w:sz="0" w:space="0" w:color="auto"/>
          <w:lang w:val="es-ES_tradnl"/>
        </w:rPr>
        <w:t>iño</w:t>
      </w:r>
      <w:r>
        <w:rPr>
          <w:rStyle w:val="FootnoteReference"/>
          <w:rFonts w:asciiTheme="majorHAnsi" w:eastAsia="Times New Roman" w:hAnsiTheme="majorHAnsi"/>
          <w:sz w:val="20"/>
          <w:szCs w:val="20"/>
          <w:bdr w:val="none" w:sz="0" w:space="0" w:color="auto"/>
          <w:lang w:val="es-ES_tradnl"/>
        </w:rPr>
        <w:footnoteReference w:id="117"/>
      </w:r>
      <w:r>
        <w:rPr>
          <w:rFonts w:asciiTheme="majorHAnsi" w:eastAsia="Times New Roman" w:hAnsiTheme="majorHAnsi"/>
          <w:sz w:val="20"/>
          <w:szCs w:val="20"/>
          <w:bdr w:val="none" w:sz="0" w:space="0" w:color="auto"/>
          <w:lang w:val="es-ES_tradnl"/>
        </w:rPr>
        <w:t xml:space="preserve"> que estipula “e</w:t>
      </w:r>
      <w:r w:rsidRPr="00D40D13">
        <w:rPr>
          <w:rFonts w:asciiTheme="majorHAnsi" w:eastAsia="Times New Roman" w:hAnsiTheme="majorHAnsi"/>
          <w:sz w:val="20"/>
          <w:szCs w:val="20"/>
          <w:bdr w:val="none" w:sz="0" w:space="0" w:color="auto"/>
          <w:lang w:val="es-ES"/>
        </w:rPr>
        <w:t>n todas las medidas concernientes a los niños que tomen las instituciones públicas o privadas de bienestar social, los tribunales, las autoridades administrativas o los órganos legislativos, una consideración primordial a que se atenderá se</w:t>
      </w:r>
      <w:r w:rsidR="00E85E57">
        <w:rPr>
          <w:rFonts w:asciiTheme="majorHAnsi" w:eastAsia="Times New Roman" w:hAnsiTheme="majorHAnsi"/>
          <w:sz w:val="20"/>
          <w:szCs w:val="20"/>
          <w:bdr w:val="none" w:sz="0" w:space="0" w:color="auto"/>
          <w:lang w:val="es-ES"/>
        </w:rPr>
        <w:t>rá el interés superior del niño</w:t>
      </w:r>
      <w:r>
        <w:rPr>
          <w:rFonts w:asciiTheme="majorHAnsi" w:eastAsia="Times New Roman" w:hAnsiTheme="majorHAnsi"/>
          <w:sz w:val="20"/>
          <w:szCs w:val="20"/>
          <w:bdr w:val="none" w:sz="0" w:space="0" w:color="auto"/>
          <w:lang w:val="es-ES"/>
        </w:rPr>
        <w:t xml:space="preserve">”. Asimismo, en la OC-17/2002 </w:t>
      </w:r>
      <w:r w:rsidR="00E85E57">
        <w:rPr>
          <w:rFonts w:asciiTheme="majorHAnsi" w:eastAsia="Times New Roman" w:hAnsiTheme="majorHAnsi"/>
          <w:sz w:val="20"/>
          <w:szCs w:val="20"/>
          <w:bdr w:val="none" w:sz="0" w:space="0" w:color="auto"/>
          <w:lang w:val="es-ES"/>
        </w:rPr>
        <w:t xml:space="preserve">la Corte </w:t>
      </w:r>
      <w:r>
        <w:rPr>
          <w:rFonts w:asciiTheme="majorHAnsi" w:eastAsia="Times New Roman" w:hAnsiTheme="majorHAnsi"/>
          <w:sz w:val="20"/>
          <w:szCs w:val="20"/>
          <w:bdr w:val="none" w:sz="0" w:space="0" w:color="auto"/>
          <w:lang w:val="es-ES"/>
        </w:rPr>
        <w:t>estableció que “</w:t>
      </w:r>
      <w:r w:rsidRPr="00E56FE7">
        <w:rPr>
          <w:rFonts w:asciiTheme="majorHAnsi" w:eastAsia="Times New Roman" w:hAnsiTheme="majorHAnsi"/>
          <w:sz w:val="20"/>
          <w:szCs w:val="20"/>
          <w:bdr w:val="none" w:sz="0" w:space="0" w:color="auto"/>
          <w:lang w:val="es-ES"/>
        </w:rPr>
        <w:t>si bien los derechos procesales y sus correlativas garantías son aplicables a todas las personas, en el caso de los niños el ejercicio de aquéllos supone, por las condiciones especiales en las que se encuentran los menores, la adopción de ciertas medidas específicas con el propósito de que gocen efectivamente de dichos derechos y garantías</w:t>
      </w:r>
      <w:r>
        <w:rPr>
          <w:rFonts w:asciiTheme="majorHAnsi" w:eastAsia="Times New Roman" w:hAnsiTheme="majorHAnsi"/>
          <w:sz w:val="20"/>
          <w:szCs w:val="20"/>
          <w:bdr w:val="none" w:sz="0" w:space="0" w:color="auto"/>
          <w:lang w:val="es-ES"/>
        </w:rPr>
        <w:t>”</w:t>
      </w:r>
      <w:r>
        <w:rPr>
          <w:rStyle w:val="FootnoteReference"/>
          <w:rFonts w:asciiTheme="majorHAnsi" w:eastAsia="Times New Roman" w:hAnsiTheme="majorHAnsi"/>
          <w:sz w:val="20"/>
          <w:szCs w:val="20"/>
          <w:bdr w:val="none" w:sz="0" w:space="0" w:color="auto"/>
          <w:lang w:val="es-ES"/>
        </w:rPr>
        <w:footnoteReference w:id="118"/>
      </w:r>
      <w:r w:rsidR="00D30F59">
        <w:rPr>
          <w:rFonts w:asciiTheme="majorHAnsi" w:eastAsia="Times New Roman" w:hAnsiTheme="majorHAnsi"/>
          <w:sz w:val="20"/>
          <w:szCs w:val="20"/>
          <w:bdr w:val="none" w:sz="0" w:space="0" w:color="auto"/>
          <w:lang w:val="es-ES"/>
        </w:rPr>
        <w:t>.</w:t>
      </w:r>
    </w:p>
    <w:p w:rsidR="005C008E" w:rsidRPr="00E85E57" w:rsidRDefault="005C008E" w:rsidP="00E85E57">
      <w:pPr>
        <w:jc w:val="both"/>
        <w:rPr>
          <w:b/>
          <w:sz w:val="20"/>
          <w:szCs w:val="20"/>
          <w:lang w:val="es-ES"/>
        </w:rPr>
      </w:pPr>
    </w:p>
    <w:p w:rsidR="00FD5A99" w:rsidRDefault="00FD5A99" w:rsidP="00C87FF4">
      <w:pPr>
        <w:pStyle w:val="Heading3"/>
        <w:rPr>
          <w:lang w:val="es-ES"/>
        </w:rPr>
      </w:pPr>
      <w:bookmarkStart w:id="29" w:name="_Toc531880134"/>
      <w:r w:rsidRPr="001763A1">
        <w:rPr>
          <w:lang w:val="es-ES"/>
        </w:rPr>
        <w:t>Análisis del caso</w:t>
      </w:r>
      <w:bookmarkEnd w:id="29"/>
    </w:p>
    <w:p w:rsidR="00913EB1" w:rsidRPr="001763A1" w:rsidRDefault="00913EB1" w:rsidP="00913EB1">
      <w:pPr>
        <w:pStyle w:val="ListParagraph"/>
        <w:ind w:left="1440"/>
        <w:jc w:val="both"/>
        <w:rPr>
          <w:b/>
          <w:color w:val="auto"/>
          <w:sz w:val="20"/>
          <w:szCs w:val="20"/>
          <w:lang w:val="es-ES"/>
        </w:rPr>
      </w:pPr>
    </w:p>
    <w:p w:rsidR="001869D4" w:rsidRDefault="00E85E5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E85E57">
        <w:rPr>
          <w:rFonts w:asciiTheme="majorHAnsi" w:hAnsiTheme="majorHAnsi"/>
          <w:sz w:val="20"/>
          <w:szCs w:val="20"/>
          <w:lang w:val="es-ES"/>
        </w:rPr>
        <w:t xml:space="preserve">La Comisión observa </w:t>
      </w:r>
      <w:r>
        <w:rPr>
          <w:rFonts w:asciiTheme="majorHAnsi" w:hAnsiTheme="majorHAnsi"/>
          <w:sz w:val="20"/>
          <w:szCs w:val="20"/>
          <w:lang w:val="es-ES"/>
        </w:rPr>
        <w:t>que en el presente caso se activaron dos procesos</w:t>
      </w:r>
      <w:r w:rsidR="00186633">
        <w:rPr>
          <w:rFonts w:asciiTheme="majorHAnsi" w:hAnsiTheme="majorHAnsi"/>
          <w:sz w:val="20"/>
          <w:szCs w:val="20"/>
          <w:lang w:val="es-ES"/>
        </w:rPr>
        <w:t>: la acción</w:t>
      </w:r>
      <w:r w:rsidR="002C3E77">
        <w:rPr>
          <w:rFonts w:asciiTheme="majorHAnsi" w:hAnsiTheme="majorHAnsi"/>
          <w:sz w:val="20"/>
          <w:szCs w:val="20"/>
          <w:lang w:val="es-ES"/>
        </w:rPr>
        <w:t xml:space="preserve"> judicial</w:t>
      </w:r>
      <w:r w:rsidR="00186633">
        <w:rPr>
          <w:rFonts w:asciiTheme="majorHAnsi" w:hAnsiTheme="majorHAnsi"/>
          <w:sz w:val="20"/>
          <w:szCs w:val="20"/>
          <w:lang w:val="es-ES"/>
        </w:rPr>
        <w:t xml:space="preserve"> de protección y el proceso ante la Superintendencia de Salud</w:t>
      </w:r>
      <w:r>
        <w:rPr>
          <w:rFonts w:asciiTheme="majorHAnsi" w:hAnsiTheme="majorHAnsi"/>
          <w:sz w:val="20"/>
          <w:szCs w:val="20"/>
          <w:lang w:val="es-ES"/>
        </w:rPr>
        <w:t xml:space="preserve">. </w:t>
      </w:r>
      <w:r w:rsidR="002C3E77">
        <w:rPr>
          <w:rFonts w:asciiTheme="majorHAnsi" w:hAnsiTheme="majorHAnsi"/>
          <w:sz w:val="20"/>
          <w:szCs w:val="20"/>
          <w:lang w:val="es-ES"/>
        </w:rPr>
        <w:t>L</w:t>
      </w:r>
      <w:r w:rsidR="00BA635E">
        <w:rPr>
          <w:rFonts w:asciiTheme="majorHAnsi" w:hAnsiTheme="majorHAnsi"/>
          <w:sz w:val="20"/>
          <w:szCs w:val="20"/>
          <w:lang w:val="es-ES"/>
        </w:rPr>
        <w:t>a CIDH analizará la efectividad de los recursos, la motivación de dichos fallos y su relación co</w:t>
      </w:r>
      <w:r w:rsidR="003F73BC">
        <w:rPr>
          <w:rFonts w:asciiTheme="majorHAnsi" w:hAnsiTheme="majorHAnsi"/>
          <w:sz w:val="20"/>
          <w:szCs w:val="20"/>
          <w:lang w:val="es-ES"/>
        </w:rPr>
        <w:t>n el interés superior de</w:t>
      </w:r>
      <w:r w:rsidR="0097448E">
        <w:rPr>
          <w:rFonts w:asciiTheme="majorHAnsi" w:hAnsiTheme="majorHAnsi"/>
          <w:sz w:val="20"/>
          <w:szCs w:val="20"/>
          <w:lang w:val="es-ES"/>
        </w:rPr>
        <w:t xml:space="preserve"> los</w:t>
      </w:r>
      <w:r w:rsidR="003F73BC">
        <w:rPr>
          <w:rFonts w:asciiTheme="majorHAnsi" w:hAnsiTheme="majorHAnsi"/>
          <w:sz w:val="20"/>
          <w:szCs w:val="20"/>
          <w:lang w:val="es-ES"/>
        </w:rPr>
        <w:t xml:space="preserve"> niño</w:t>
      </w:r>
      <w:r w:rsidR="0097448E">
        <w:rPr>
          <w:rFonts w:asciiTheme="majorHAnsi" w:hAnsiTheme="majorHAnsi"/>
          <w:sz w:val="20"/>
          <w:szCs w:val="20"/>
          <w:lang w:val="es-ES"/>
        </w:rPr>
        <w:t>s y niñas.</w:t>
      </w:r>
      <w:r w:rsidR="003F73BC">
        <w:rPr>
          <w:rFonts w:asciiTheme="majorHAnsi" w:hAnsiTheme="majorHAnsi"/>
          <w:sz w:val="20"/>
          <w:szCs w:val="20"/>
          <w:lang w:val="es-ES"/>
        </w:rPr>
        <w:t xml:space="preserve"> </w:t>
      </w:r>
    </w:p>
    <w:p w:rsidR="00BA635E" w:rsidRDefault="00BA635E" w:rsidP="00BA635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BA635E" w:rsidRPr="008E7ACB" w:rsidRDefault="00D30F5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eastAsia="Batang" w:hAnsiTheme="majorHAnsi"/>
          <w:sz w:val="20"/>
          <w:szCs w:val="20"/>
          <w:bdr w:val="none" w:sz="0" w:space="0" w:color="auto"/>
          <w:lang w:val="es-ES"/>
        </w:rPr>
        <w:t>L</w:t>
      </w:r>
      <w:r w:rsidR="00AA4850">
        <w:rPr>
          <w:rFonts w:asciiTheme="majorHAnsi" w:eastAsia="Batang" w:hAnsiTheme="majorHAnsi"/>
          <w:sz w:val="20"/>
          <w:szCs w:val="20"/>
          <w:bdr w:val="none" w:sz="0" w:space="0" w:color="auto"/>
          <w:lang w:val="es-ES"/>
        </w:rPr>
        <w:t xml:space="preserve">a Comisión observa que la acción de protección fue interpuesta por las vulneraciones al derecho a la propiedad, a la vida y la integridad. </w:t>
      </w:r>
      <w:r w:rsidR="008E7ACB">
        <w:rPr>
          <w:rFonts w:asciiTheme="majorHAnsi" w:eastAsia="Batang" w:hAnsiTheme="majorHAnsi"/>
          <w:sz w:val="20"/>
          <w:szCs w:val="20"/>
          <w:bdr w:val="none" w:sz="0" w:space="0" w:color="auto"/>
          <w:lang w:val="es-ES"/>
        </w:rPr>
        <w:t>Es decir, desde el m</w:t>
      </w:r>
      <w:r w:rsidR="00A464E2">
        <w:rPr>
          <w:rFonts w:asciiTheme="majorHAnsi" w:eastAsia="Batang" w:hAnsiTheme="majorHAnsi"/>
          <w:sz w:val="20"/>
          <w:szCs w:val="20"/>
          <w:bdr w:val="none" w:sz="0" w:space="0" w:color="auto"/>
          <w:lang w:val="es-ES"/>
        </w:rPr>
        <w:t>omento en que</w:t>
      </w:r>
      <w:r w:rsidR="00EE13C3">
        <w:rPr>
          <w:rFonts w:asciiTheme="majorHAnsi" w:eastAsia="Batang" w:hAnsiTheme="majorHAnsi"/>
          <w:sz w:val="20"/>
          <w:szCs w:val="20"/>
          <w:bdr w:val="none" w:sz="0" w:space="0" w:color="auto"/>
          <w:lang w:val="es-ES"/>
        </w:rPr>
        <w:t xml:space="preserve"> la madre y el padre acceden al Poder Judicial, </w:t>
      </w:r>
      <w:r w:rsidR="008E7ACB">
        <w:rPr>
          <w:rFonts w:asciiTheme="majorHAnsi" w:eastAsia="Batang" w:hAnsiTheme="majorHAnsi"/>
          <w:sz w:val="20"/>
          <w:szCs w:val="20"/>
          <w:bdr w:val="none" w:sz="0" w:space="0" w:color="auto"/>
          <w:lang w:val="es-ES"/>
        </w:rPr>
        <w:t>existen dificultades para el alegato directo de vulneraciones de</w:t>
      </w:r>
      <w:r w:rsidR="00307456">
        <w:rPr>
          <w:rFonts w:asciiTheme="majorHAnsi" w:eastAsia="Batang" w:hAnsiTheme="majorHAnsi"/>
          <w:sz w:val="20"/>
          <w:szCs w:val="20"/>
          <w:bdr w:val="none" w:sz="0" w:space="0" w:color="auto"/>
          <w:lang w:val="es-ES"/>
        </w:rPr>
        <w:t xml:space="preserve"> </w:t>
      </w:r>
      <w:r w:rsidR="008E7ACB">
        <w:rPr>
          <w:rFonts w:asciiTheme="majorHAnsi" w:eastAsia="Batang" w:hAnsiTheme="majorHAnsi"/>
          <w:sz w:val="20"/>
          <w:szCs w:val="20"/>
          <w:bdr w:val="none" w:sz="0" w:space="0" w:color="auto"/>
          <w:lang w:val="es-ES"/>
        </w:rPr>
        <w:t>l</w:t>
      </w:r>
      <w:r w:rsidR="00307456">
        <w:rPr>
          <w:rFonts w:asciiTheme="majorHAnsi" w:eastAsia="Batang" w:hAnsiTheme="majorHAnsi"/>
          <w:sz w:val="20"/>
          <w:szCs w:val="20"/>
          <w:bdr w:val="none" w:sz="0" w:space="0" w:color="auto"/>
          <w:lang w:val="es-ES"/>
        </w:rPr>
        <w:t>os</w:t>
      </w:r>
      <w:r w:rsidR="008E7ACB">
        <w:rPr>
          <w:rFonts w:asciiTheme="majorHAnsi" w:eastAsia="Batang" w:hAnsiTheme="majorHAnsi"/>
          <w:sz w:val="20"/>
          <w:szCs w:val="20"/>
          <w:bdr w:val="none" w:sz="0" w:space="0" w:color="auto"/>
          <w:lang w:val="es-ES"/>
        </w:rPr>
        <w:t xml:space="preserve"> derecho</w:t>
      </w:r>
      <w:r w:rsidR="00307456">
        <w:rPr>
          <w:rFonts w:asciiTheme="majorHAnsi" w:eastAsia="Batang" w:hAnsiTheme="majorHAnsi"/>
          <w:sz w:val="20"/>
          <w:szCs w:val="20"/>
          <w:bdr w:val="none" w:sz="0" w:space="0" w:color="auto"/>
          <w:lang w:val="es-ES"/>
        </w:rPr>
        <w:t>s</w:t>
      </w:r>
      <w:r w:rsidR="008E7ACB">
        <w:rPr>
          <w:rFonts w:asciiTheme="majorHAnsi" w:eastAsia="Batang" w:hAnsiTheme="majorHAnsi"/>
          <w:sz w:val="20"/>
          <w:szCs w:val="20"/>
          <w:bdr w:val="none" w:sz="0" w:space="0" w:color="auto"/>
          <w:lang w:val="es-ES"/>
        </w:rPr>
        <w:t xml:space="preserve"> a la salud </w:t>
      </w:r>
      <w:r w:rsidR="00307456">
        <w:rPr>
          <w:rFonts w:asciiTheme="majorHAnsi" w:eastAsia="Batang" w:hAnsiTheme="majorHAnsi"/>
          <w:sz w:val="20"/>
          <w:szCs w:val="20"/>
          <w:bdr w:val="none" w:sz="0" w:space="0" w:color="auto"/>
          <w:lang w:val="es-ES"/>
        </w:rPr>
        <w:t xml:space="preserve">y seguridad social </w:t>
      </w:r>
      <w:r w:rsidR="008E7ACB">
        <w:rPr>
          <w:rFonts w:asciiTheme="majorHAnsi" w:eastAsia="Batang" w:hAnsiTheme="majorHAnsi"/>
          <w:sz w:val="20"/>
          <w:szCs w:val="20"/>
          <w:bdr w:val="none" w:sz="0" w:space="0" w:color="auto"/>
          <w:lang w:val="es-ES"/>
        </w:rPr>
        <w:t>analizad</w:t>
      </w:r>
      <w:r w:rsidR="00307456">
        <w:rPr>
          <w:rFonts w:asciiTheme="majorHAnsi" w:eastAsia="Batang" w:hAnsiTheme="majorHAnsi"/>
          <w:sz w:val="20"/>
          <w:szCs w:val="20"/>
          <w:bdr w:val="none" w:sz="0" w:space="0" w:color="auto"/>
          <w:lang w:val="es-ES"/>
        </w:rPr>
        <w:t>o</w:t>
      </w:r>
      <w:r w:rsidR="00EE13C3">
        <w:rPr>
          <w:rFonts w:asciiTheme="majorHAnsi" w:eastAsia="Batang" w:hAnsiTheme="majorHAnsi"/>
          <w:sz w:val="20"/>
          <w:szCs w:val="20"/>
          <w:bdr w:val="none" w:sz="0" w:space="0" w:color="auto"/>
          <w:lang w:val="es-ES"/>
        </w:rPr>
        <w:t>s</w:t>
      </w:r>
      <w:r w:rsidR="008E7ACB">
        <w:rPr>
          <w:rFonts w:asciiTheme="majorHAnsi" w:eastAsia="Batang" w:hAnsiTheme="majorHAnsi"/>
          <w:sz w:val="20"/>
          <w:szCs w:val="20"/>
          <w:bdr w:val="none" w:sz="0" w:space="0" w:color="auto"/>
          <w:lang w:val="es-ES"/>
        </w:rPr>
        <w:t xml:space="preserve"> en este informe, dado que según el artículo 20 de la Constitución Política de la República de Chile, en lo que corresponde a la interposición de acciones de protección sobre asuntos relacionados con el derecho a la salud, reguladas en el ordinal 9º del artículo 19, solo proceden respecto del derecho a elegir el sistema de salud</w:t>
      </w:r>
      <w:r w:rsidR="000348F3">
        <w:rPr>
          <w:rFonts w:asciiTheme="majorHAnsi" w:eastAsia="Batang" w:hAnsiTheme="majorHAnsi"/>
          <w:sz w:val="20"/>
          <w:szCs w:val="20"/>
          <w:bdr w:val="none" w:sz="0" w:space="0" w:color="auto"/>
          <w:lang w:val="es-ES"/>
        </w:rPr>
        <w:t>; en relación con el derecho a la seguridad social regulado en el ordinal 18 del mismo artículo no procede la acción de protección</w:t>
      </w:r>
      <w:r w:rsidR="008E7ACB">
        <w:rPr>
          <w:rFonts w:asciiTheme="majorHAnsi" w:eastAsia="Batang" w:hAnsiTheme="majorHAnsi"/>
          <w:sz w:val="20"/>
          <w:szCs w:val="20"/>
          <w:bdr w:val="none" w:sz="0" w:space="0" w:color="auto"/>
          <w:lang w:val="es-ES"/>
        </w:rPr>
        <w:t>. En este sentido, la Comisión no considera</w:t>
      </w:r>
      <w:r w:rsidR="00A464E2">
        <w:rPr>
          <w:rFonts w:asciiTheme="majorHAnsi" w:eastAsia="Batang" w:hAnsiTheme="majorHAnsi"/>
          <w:sz w:val="20"/>
          <w:szCs w:val="20"/>
          <w:bdr w:val="none" w:sz="0" w:space="0" w:color="auto"/>
          <w:lang w:val="es-ES"/>
        </w:rPr>
        <w:t xml:space="preserve"> </w:t>
      </w:r>
      <w:r w:rsidR="008E7ACB">
        <w:rPr>
          <w:rFonts w:asciiTheme="majorHAnsi" w:eastAsia="Batang" w:hAnsiTheme="majorHAnsi"/>
          <w:sz w:val="20"/>
          <w:szCs w:val="20"/>
          <w:bdr w:val="none" w:sz="0" w:space="0" w:color="auto"/>
          <w:lang w:val="es-ES"/>
        </w:rPr>
        <w:t>que la acción de protección se encontraba preparada para conocer alegatos relacionados con el derecho a salu</w:t>
      </w:r>
      <w:r w:rsidR="00460348">
        <w:rPr>
          <w:rFonts w:asciiTheme="majorHAnsi" w:eastAsia="Batang" w:hAnsiTheme="majorHAnsi"/>
          <w:sz w:val="20"/>
          <w:szCs w:val="20"/>
          <w:bdr w:val="none" w:sz="0" w:space="0" w:color="auto"/>
          <w:lang w:val="es-ES"/>
        </w:rPr>
        <w:t xml:space="preserve">d, que en este caso sobrepasaba </w:t>
      </w:r>
      <w:r w:rsidR="00A464E2">
        <w:rPr>
          <w:rFonts w:asciiTheme="majorHAnsi" w:eastAsia="Batang" w:hAnsiTheme="majorHAnsi"/>
          <w:sz w:val="20"/>
          <w:szCs w:val="20"/>
          <w:bdr w:val="none" w:sz="0" w:space="0" w:color="auto"/>
          <w:lang w:val="es-ES"/>
        </w:rPr>
        <w:t>la revisión de condiciones contractuales.</w:t>
      </w:r>
      <w:r w:rsidR="00EE13C3">
        <w:rPr>
          <w:rFonts w:asciiTheme="majorHAnsi" w:eastAsia="Batang" w:hAnsiTheme="majorHAnsi"/>
          <w:sz w:val="20"/>
          <w:szCs w:val="20"/>
          <w:bdr w:val="none" w:sz="0" w:space="0" w:color="auto"/>
          <w:lang w:val="es-ES"/>
        </w:rPr>
        <w:t xml:space="preserve"> El contenido de la decisión de la CSJ, sin referencia alguna a las implicaciones de la decisión de la Isapre en el derecho a la salud </w:t>
      </w:r>
      <w:r w:rsidR="000348F3">
        <w:rPr>
          <w:rFonts w:asciiTheme="majorHAnsi" w:eastAsia="Batang" w:hAnsiTheme="majorHAnsi"/>
          <w:sz w:val="20"/>
          <w:szCs w:val="20"/>
          <w:bdr w:val="none" w:sz="0" w:space="0" w:color="auto"/>
          <w:lang w:val="es-ES"/>
        </w:rPr>
        <w:t xml:space="preserve">y la seguridad social </w:t>
      </w:r>
      <w:r w:rsidR="00EE13C3">
        <w:rPr>
          <w:rFonts w:asciiTheme="majorHAnsi" w:eastAsia="Batang" w:hAnsiTheme="majorHAnsi"/>
          <w:sz w:val="20"/>
          <w:szCs w:val="20"/>
          <w:bdr w:val="none" w:sz="0" w:space="0" w:color="auto"/>
          <w:lang w:val="es-ES"/>
        </w:rPr>
        <w:t>de la niña Martina, es un reflejo de esta situación.</w:t>
      </w:r>
    </w:p>
    <w:p w:rsidR="008E7ACB" w:rsidRPr="008E7ACB" w:rsidRDefault="008E7ACB" w:rsidP="008E7A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E16239" w:rsidRPr="00E16239" w:rsidRDefault="008E7ACB"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eastAsia="Batang" w:hAnsiTheme="majorHAnsi"/>
          <w:sz w:val="20"/>
          <w:szCs w:val="20"/>
          <w:bdr w:val="none" w:sz="0" w:space="0" w:color="auto"/>
          <w:lang w:val="es-ES"/>
        </w:rPr>
        <w:t xml:space="preserve">Ahora bien, </w:t>
      </w:r>
      <w:r w:rsidR="00460348">
        <w:rPr>
          <w:rFonts w:asciiTheme="majorHAnsi" w:eastAsia="Batang" w:hAnsiTheme="majorHAnsi"/>
          <w:sz w:val="20"/>
          <w:szCs w:val="20"/>
          <w:bdr w:val="none" w:sz="0" w:space="0" w:color="auto"/>
          <w:lang w:val="es-ES"/>
        </w:rPr>
        <w:t>tal como el Estado ha señalado, existe un recurso especialmente diseñado para asuntos relacionados con las cobe</w:t>
      </w:r>
      <w:r w:rsidR="003F73BC">
        <w:rPr>
          <w:rFonts w:asciiTheme="majorHAnsi" w:eastAsia="Batang" w:hAnsiTheme="majorHAnsi"/>
          <w:sz w:val="20"/>
          <w:szCs w:val="20"/>
          <w:bdr w:val="none" w:sz="0" w:space="0" w:color="auto"/>
          <w:lang w:val="es-ES"/>
        </w:rPr>
        <w:t>rturas de las Isapres, ante la S</w:t>
      </w:r>
      <w:r w:rsidR="00460348">
        <w:rPr>
          <w:rFonts w:asciiTheme="majorHAnsi" w:eastAsia="Batang" w:hAnsiTheme="majorHAnsi"/>
          <w:sz w:val="20"/>
          <w:szCs w:val="20"/>
          <w:bdr w:val="none" w:sz="0" w:space="0" w:color="auto"/>
          <w:lang w:val="es-ES"/>
        </w:rPr>
        <w:t xml:space="preserve">uperintendencia que precisamente </w:t>
      </w:r>
      <w:r w:rsidR="00F22F37">
        <w:rPr>
          <w:rFonts w:asciiTheme="majorHAnsi" w:eastAsia="Batang" w:hAnsiTheme="majorHAnsi"/>
          <w:sz w:val="20"/>
          <w:szCs w:val="20"/>
          <w:bdr w:val="none" w:sz="0" w:space="0" w:color="auto"/>
          <w:lang w:val="es-ES"/>
        </w:rPr>
        <w:t>incluye una etapa p</w:t>
      </w:r>
      <w:r w:rsidR="00460348">
        <w:rPr>
          <w:rFonts w:asciiTheme="majorHAnsi" w:eastAsia="Batang" w:hAnsiTheme="majorHAnsi"/>
          <w:sz w:val="20"/>
          <w:szCs w:val="20"/>
          <w:bdr w:val="none" w:sz="0" w:space="0" w:color="auto"/>
          <w:lang w:val="es-ES"/>
        </w:rPr>
        <w:t>robatoria y audiencia, para mejo</w:t>
      </w:r>
      <w:r w:rsidR="00A464E2">
        <w:rPr>
          <w:rFonts w:asciiTheme="majorHAnsi" w:eastAsia="Batang" w:hAnsiTheme="majorHAnsi"/>
          <w:sz w:val="20"/>
          <w:szCs w:val="20"/>
          <w:bdr w:val="none" w:sz="0" w:space="0" w:color="auto"/>
          <w:lang w:val="es-ES"/>
        </w:rPr>
        <w:t xml:space="preserve">r conocimiento del juez </w:t>
      </w:r>
      <w:r w:rsidR="00F22F37">
        <w:rPr>
          <w:rFonts w:asciiTheme="majorHAnsi" w:eastAsia="Batang" w:hAnsiTheme="majorHAnsi"/>
          <w:sz w:val="20"/>
          <w:szCs w:val="20"/>
          <w:bdr w:val="none" w:sz="0" w:space="0" w:color="auto"/>
          <w:lang w:val="es-ES"/>
        </w:rPr>
        <w:t>árbitro</w:t>
      </w:r>
      <w:r w:rsidR="00460348">
        <w:rPr>
          <w:rFonts w:asciiTheme="majorHAnsi" w:eastAsia="Batang" w:hAnsiTheme="majorHAnsi"/>
          <w:sz w:val="20"/>
          <w:szCs w:val="20"/>
          <w:bdr w:val="none" w:sz="0" w:space="0" w:color="auto"/>
          <w:lang w:val="es-ES"/>
        </w:rPr>
        <w:t xml:space="preserve">. </w:t>
      </w:r>
      <w:r w:rsidR="00A464E2">
        <w:rPr>
          <w:rFonts w:asciiTheme="majorHAnsi" w:eastAsia="Batang" w:hAnsiTheme="majorHAnsi"/>
          <w:sz w:val="20"/>
          <w:szCs w:val="20"/>
          <w:bdr w:val="none" w:sz="0" w:space="0" w:color="auto"/>
          <w:lang w:val="es-ES"/>
        </w:rPr>
        <w:t>L</w:t>
      </w:r>
      <w:r w:rsidR="00460348">
        <w:rPr>
          <w:rFonts w:asciiTheme="majorHAnsi" w:eastAsia="Batang" w:hAnsiTheme="majorHAnsi"/>
          <w:sz w:val="20"/>
          <w:szCs w:val="20"/>
          <w:bdr w:val="none" w:sz="0" w:space="0" w:color="auto"/>
          <w:lang w:val="es-ES"/>
        </w:rPr>
        <w:t>a Comisión encue</w:t>
      </w:r>
      <w:r w:rsidR="00F22F37">
        <w:rPr>
          <w:rFonts w:asciiTheme="majorHAnsi" w:eastAsia="Batang" w:hAnsiTheme="majorHAnsi"/>
          <w:sz w:val="20"/>
          <w:szCs w:val="20"/>
          <w:bdr w:val="none" w:sz="0" w:space="0" w:color="auto"/>
          <w:lang w:val="es-ES"/>
        </w:rPr>
        <w:t>ntra que efectivamente, el juez á</w:t>
      </w:r>
      <w:r w:rsidR="00460348">
        <w:rPr>
          <w:rFonts w:asciiTheme="majorHAnsi" w:eastAsia="Batang" w:hAnsiTheme="majorHAnsi"/>
          <w:sz w:val="20"/>
          <w:szCs w:val="20"/>
          <w:bdr w:val="none" w:sz="0" w:space="0" w:color="auto"/>
          <w:lang w:val="es-ES"/>
        </w:rPr>
        <w:t xml:space="preserve">rbitro tiene la capacidad de resolver no solo en aplicación </w:t>
      </w:r>
      <w:r w:rsidR="00671FB9">
        <w:rPr>
          <w:rFonts w:asciiTheme="majorHAnsi" w:eastAsia="Batang" w:hAnsiTheme="majorHAnsi"/>
          <w:sz w:val="20"/>
          <w:szCs w:val="20"/>
          <w:bdr w:val="none" w:sz="0" w:space="0" w:color="auto"/>
          <w:lang w:val="es-ES"/>
        </w:rPr>
        <w:t xml:space="preserve">de la normativa vigente, sino que está habilitado para sentenciar con cierto margen de apreciación y en función de la sana crítica. En estos términos, la CIDH considera que si bien el proceso no está diseñado para declarar una vulneración del derecho a la salud, </w:t>
      </w:r>
      <w:r w:rsidR="00671FB9" w:rsidRPr="009E59A9">
        <w:rPr>
          <w:rFonts w:asciiTheme="majorHAnsi" w:eastAsia="Batang" w:hAnsiTheme="majorHAnsi"/>
          <w:sz w:val="20"/>
          <w:szCs w:val="20"/>
          <w:bdr w:val="none" w:sz="0" w:space="0" w:color="auto"/>
          <w:lang w:val="es-ES"/>
        </w:rPr>
        <w:t>pue</w:t>
      </w:r>
      <w:r w:rsidR="003F73BC" w:rsidRPr="009E59A9">
        <w:rPr>
          <w:rFonts w:asciiTheme="majorHAnsi" w:eastAsia="Batang" w:hAnsiTheme="majorHAnsi"/>
          <w:sz w:val="20"/>
          <w:szCs w:val="20"/>
          <w:bdr w:val="none" w:sz="0" w:space="0" w:color="auto"/>
          <w:lang w:val="es-ES"/>
        </w:rPr>
        <w:t>s</w:t>
      </w:r>
      <w:r w:rsidR="00671FB9" w:rsidRPr="009E59A9">
        <w:rPr>
          <w:rFonts w:asciiTheme="majorHAnsi" w:eastAsia="Batang" w:hAnsiTheme="majorHAnsi"/>
          <w:sz w:val="20"/>
          <w:szCs w:val="20"/>
          <w:bdr w:val="none" w:sz="0" w:space="0" w:color="auto"/>
          <w:lang w:val="es-ES"/>
        </w:rPr>
        <w:t xml:space="preserve"> sigue en los límites del análisis contractual</w:t>
      </w:r>
      <w:r w:rsidR="003F73BC" w:rsidRPr="009E59A9">
        <w:rPr>
          <w:rFonts w:asciiTheme="majorHAnsi" w:eastAsia="Batang" w:hAnsiTheme="majorHAnsi"/>
          <w:sz w:val="20"/>
          <w:szCs w:val="20"/>
          <w:bdr w:val="none" w:sz="0" w:space="0" w:color="auto"/>
          <w:lang w:val="es-ES"/>
        </w:rPr>
        <w:t xml:space="preserve"> y el derecho a la propiedad</w:t>
      </w:r>
      <w:r w:rsidR="00671FB9" w:rsidRPr="009E59A9">
        <w:rPr>
          <w:rFonts w:asciiTheme="majorHAnsi" w:eastAsia="Batang" w:hAnsiTheme="majorHAnsi"/>
          <w:sz w:val="20"/>
          <w:szCs w:val="20"/>
          <w:bdr w:val="none" w:sz="0" w:space="0" w:color="auto"/>
          <w:lang w:val="es-ES"/>
        </w:rPr>
        <w:t>, de la actuación procesal de la parte pe</w:t>
      </w:r>
      <w:r w:rsidR="003F73BC" w:rsidRPr="009E59A9">
        <w:rPr>
          <w:rFonts w:asciiTheme="majorHAnsi" w:eastAsia="Batang" w:hAnsiTheme="majorHAnsi"/>
          <w:sz w:val="20"/>
          <w:szCs w:val="20"/>
          <w:bdr w:val="none" w:sz="0" w:space="0" w:color="auto"/>
          <w:lang w:val="es-ES"/>
        </w:rPr>
        <w:t>ticionaria, la Comisión constató</w:t>
      </w:r>
      <w:r w:rsidR="00671FB9" w:rsidRPr="009E59A9">
        <w:rPr>
          <w:rFonts w:asciiTheme="majorHAnsi" w:eastAsia="Batang" w:hAnsiTheme="majorHAnsi"/>
          <w:sz w:val="20"/>
          <w:szCs w:val="20"/>
          <w:bdr w:val="none" w:sz="0" w:space="0" w:color="auto"/>
          <w:lang w:val="es-ES"/>
        </w:rPr>
        <w:t xml:space="preserve"> que sí se prestó información y actuó prueba en relación con el derecho a </w:t>
      </w:r>
      <w:r w:rsidR="002C3E77" w:rsidRPr="009E59A9">
        <w:rPr>
          <w:rFonts w:asciiTheme="majorHAnsi" w:eastAsia="Batang" w:hAnsiTheme="majorHAnsi"/>
          <w:sz w:val="20"/>
          <w:szCs w:val="20"/>
          <w:bdr w:val="none" w:sz="0" w:space="0" w:color="auto"/>
          <w:lang w:val="es-ES"/>
        </w:rPr>
        <w:t>la</w:t>
      </w:r>
      <w:r w:rsidR="00671FB9" w:rsidRPr="009E59A9">
        <w:rPr>
          <w:rFonts w:asciiTheme="majorHAnsi" w:eastAsia="Batang" w:hAnsiTheme="majorHAnsi"/>
          <w:sz w:val="20"/>
          <w:szCs w:val="20"/>
          <w:bdr w:val="none" w:sz="0" w:space="0" w:color="auto"/>
          <w:lang w:val="es-ES"/>
        </w:rPr>
        <w:t xml:space="preserve"> salud.</w:t>
      </w:r>
      <w:r w:rsidR="00E16239">
        <w:rPr>
          <w:rFonts w:asciiTheme="majorHAnsi" w:eastAsia="Batang" w:hAnsiTheme="majorHAnsi"/>
          <w:sz w:val="20"/>
          <w:szCs w:val="20"/>
          <w:bdr w:val="none" w:sz="0" w:space="0" w:color="auto"/>
          <w:lang w:val="es-ES"/>
        </w:rPr>
        <w:t xml:space="preserve"> En ese sentido, la Comisión observa que el resultado favorable de este recurso para Martina, se debió a la suerte de haber contado con un </w:t>
      </w:r>
      <w:r w:rsidR="00671FB9">
        <w:rPr>
          <w:rFonts w:asciiTheme="majorHAnsi" w:eastAsia="Batang" w:hAnsiTheme="majorHAnsi"/>
          <w:sz w:val="20"/>
          <w:szCs w:val="20"/>
          <w:bdr w:val="none" w:sz="0" w:space="0" w:color="auto"/>
          <w:lang w:val="es-ES"/>
        </w:rPr>
        <w:t>Juez Arbitro</w:t>
      </w:r>
      <w:r w:rsidR="00E16239">
        <w:rPr>
          <w:rFonts w:asciiTheme="majorHAnsi" w:eastAsia="Batang" w:hAnsiTheme="majorHAnsi"/>
          <w:sz w:val="20"/>
          <w:szCs w:val="20"/>
          <w:bdr w:val="none" w:sz="0" w:space="0" w:color="auto"/>
          <w:lang w:val="es-ES"/>
        </w:rPr>
        <w:t xml:space="preserve"> que en ejercicio de sus facultades discrecionales tomó en cuenta el derecho a la salud, pero no fue el resultado de un sistema diseñado adecuadamente para tales efectos.</w:t>
      </w:r>
    </w:p>
    <w:p w:rsidR="00D83E09" w:rsidRDefault="002C3E77" w:rsidP="00E162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r>
        <w:rPr>
          <w:rFonts w:asciiTheme="majorHAnsi" w:hAnsiTheme="majorHAnsi"/>
          <w:sz w:val="20"/>
          <w:szCs w:val="20"/>
          <w:lang w:val="es-ES"/>
        </w:rPr>
        <w:tab/>
      </w:r>
    </w:p>
    <w:p w:rsidR="009D0D65" w:rsidRDefault="009D0D65" w:rsidP="00E162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9D0D65" w:rsidRDefault="009D0D65" w:rsidP="00E162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9D0D65" w:rsidRDefault="009D0D65" w:rsidP="00E162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671FB9" w:rsidRDefault="00671FB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En relación con la motivación de los fallos, la Comisión llama fuertemente la atención respecto de que la CSJ</w:t>
      </w:r>
      <w:r w:rsidR="00D83E09">
        <w:rPr>
          <w:rFonts w:asciiTheme="majorHAnsi" w:hAnsiTheme="majorHAnsi"/>
          <w:sz w:val="20"/>
          <w:szCs w:val="20"/>
          <w:lang w:val="es-ES"/>
        </w:rPr>
        <w:t xml:space="preserve"> </w:t>
      </w:r>
      <w:r>
        <w:rPr>
          <w:rFonts w:asciiTheme="majorHAnsi" w:hAnsiTheme="majorHAnsi"/>
          <w:sz w:val="20"/>
          <w:szCs w:val="20"/>
          <w:lang w:val="es-ES"/>
        </w:rPr>
        <w:t xml:space="preserve">en una sola línea determinó de modo automático que en tanto la Isapre concluyó que la enfermedad era crónica y siendo que la cronicidad estaba estipulada en </w:t>
      </w:r>
      <w:r w:rsidR="009E59A9">
        <w:rPr>
          <w:rFonts w:asciiTheme="majorHAnsi" w:hAnsiTheme="majorHAnsi"/>
          <w:sz w:val="20"/>
          <w:szCs w:val="20"/>
          <w:lang w:val="es-ES"/>
        </w:rPr>
        <w:t>la Circular</w:t>
      </w:r>
      <w:r w:rsidRPr="00B67AD6">
        <w:rPr>
          <w:rFonts w:asciiTheme="majorHAnsi" w:hAnsiTheme="majorHAnsi"/>
          <w:sz w:val="20"/>
          <w:szCs w:val="20"/>
          <w:lang w:val="es-ES"/>
        </w:rPr>
        <w:t xml:space="preserve"> No. 7</w:t>
      </w:r>
      <w:r>
        <w:rPr>
          <w:rFonts w:asciiTheme="majorHAnsi" w:hAnsiTheme="majorHAnsi"/>
          <w:sz w:val="20"/>
          <w:szCs w:val="20"/>
          <w:lang w:val="es-ES"/>
        </w:rPr>
        <w:t xml:space="preserve"> como causal para el levantamiento del RHD, entonces </w:t>
      </w:r>
      <w:r w:rsidR="00E16239">
        <w:rPr>
          <w:rFonts w:asciiTheme="majorHAnsi" w:hAnsiTheme="majorHAnsi"/>
          <w:sz w:val="20"/>
          <w:szCs w:val="20"/>
          <w:lang w:val="es-ES"/>
        </w:rPr>
        <w:t xml:space="preserve">correspondía confirmar tal </w:t>
      </w:r>
      <w:r>
        <w:rPr>
          <w:rFonts w:asciiTheme="majorHAnsi" w:hAnsiTheme="majorHAnsi"/>
          <w:sz w:val="20"/>
          <w:szCs w:val="20"/>
          <w:lang w:val="es-ES"/>
        </w:rPr>
        <w:t xml:space="preserve">decisión. En este extremo, la Comisión considera que el razonamiento resulta aparentemente objetivo, pues la decisión se reviste de legalidad tomando en consideración </w:t>
      </w:r>
      <w:r w:rsidR="009E59A9">
        <w:rPr>
          <w:rFonts w:asciiTheme="majorHAnsi" w:hAnsiTheme="majorHAnsi"/>
          <w:sz w:val="20"/>
          <w:szCs w:val="20"/>
          <w:lang w:val="es-ES"/>
        </w:rPr>
        <w:t>la Circular</w:t>
      </w:r>
      <w:r>
        <w:rPr>
          <w:rFonts w:asciiTheme="majorHAnsi" w:hAnsiTheme="majorHAnsi"/>
          <w:sz w:val="20"/>
          <w:szCs w:val="20"/>
          <w:lang w:val="es-ES"/>
        </w:rPr>
        <w:t xml:space="preserve"> No. 7, sin embargo, de acuerdo con los estándares</w:t>
      </w:r>
      <w:r w:rsidR="00774BCF">
        <w:rPr>
          <w:rFonts w:asciiTheme="majorHAnsi" w:hAnsiTheme="majorHAnsi"/>
          <w:sz w:val="20"/>
          <w:szCs w:val="20"/>
          <w:lang w:val="es-ES"/>
        </w:rPr>
        <w:t xml:space="preserve"> internacionales sobre </w:t>
      </w:r>
      <w:r w:rsidR="00E808F5">
        <w:rPr>
          <w:rFonts w:asciiTheme="majorHAnsi" w:hAnsiTheme="majorHAnsi"/>
          <w:sz w:val="20"/>
          <w:szCs w:val="20"/>
          <w:lang w:val="es-ES"/>
        </w:rPr>
        <w:t>los</w:t>
      </w:r>
      <w:r w:rsidR="00774BCF">
        <w:rPr>
          <w:rFonts w:asciiTheme="majorHAnsi" w:hAnsiTheme="majorHAnsi"/>
          <w:sz w:val="20"/>
          <w:szCs w:val="20"/>
          <w:lang w:val="es-ES"/>
        </w:rPr>
        <w:t xml:space="preserve"> derecho</w:t>
      </w:r>
      <w:r w:rsidR="00E808F5">
        <w:rPr>
          <w:rFonts w:asciiTheme="majorHAnsi" w:hAnsiTheme="majorHAnsi"/>
          <w:sz w:val="20"/>
          <w:szCs w:val="20"/>
          <w:lang w:val="es-ES"/>
        </w:rPr>
        <w:t>s</w:t>
      </w:r>
      <w:r w:rsidR="00774BCF">
        <w:rPr>
          <w:rFonts w:asciiTheme="majorHAnsi" w:hAnsiTheme="majorHAnsi"/>
          <w:sz w:val="20"/>
          <w:szCs w:val="20"/>
          <w:lang w:val="es-ES"/>
        </w:rPr>
        <w:t xml:space="preserve"> a la salud </w:t>
      </w:r>
      <w:r w:rsidR="00E808F5">
        <w:rPr>
          <w:rFonts w:asciiTheme="majorHAnsi" w:hAnsiTheme="majorHAnsi"/>
          <w:sz w:val="20"/>
          <w:szCs w:val="20"/>
          <w:lang w:val="es-ES"/>
        </w:rPr>
        <w:t xml:space="preserve">y a la seguridad social </w:t>
      </w:r>
      <w:r w:rsidR="00774BCF">
        <w:rPr>
          <w:rFonts w:asciiTheme="majorHAnsi" w:hAnsiTheme="majorHAnsi"/>
          <w:sz w:val="20"/>
          <w:szCs w:val="20"/>
          <w:lang w:val="es-ES"/>
        </w:rPr>
        <w:t>que deben ser evaluados de manera especialmente acentuada cuando se trata de niños, niñas y</w:t>
      </w:r>
      <w:r>
        <w:rPr>
          <w:rFonts w:asciiTheme="majorHAnsi" w:hAnsiTheme="majorHAnsi"/>
          <w:sz w:val="20"/>
          <w:szCs w:val="20"/>
          <w:lang w:val="es-ES"/>
        </w:rPr>
        <w:t xml:space="preserve"> personas con discapacidad, el Estado </w:t>
      </w:r>
      <w:r w:rsidR="00774BCF">
        <w:rPr>
          <w:rFonts w:asciiTheme="majorHAnsi" w:hAnsiTheme="majorHAnsi"/>
          <w:sz w:val="20"/>
          <w:szCs w:val="20"/>
          <w:lang w:val="es-ES"/>
        </w:rPr>
        <w:t>estaba llamad</w:t>
      </w:r>
      <w:r w:rsidR="009E59A9">
        <w:rPr>
          <w:rFonts w:asciiTheme="majorHAnsi" w:hAnsiTheme="majorHAnsi"/>
          <w:sz w:val="20"/>
          <w:szCs w:val="20"/>
          <w:lang w:val="es-ES"/>
        </w:rPr>
        <w:t>o</w:t>
      </w:r>
      <w:r w:rsidR="00774BCF">
        <w:rPr>
          <w:rFonts w:asciiTheme="majorHAnsi" w:hAnsiTheme="majorHAnsi"/>
          <w:sz w:val="20"/>
          <w:szCs w:val="20"/>
          <w:lang w:val="es-ES"/>
        </w:rPr>
        <w:t xml:space="preserve"> a analizar el caso concreto tomando en cuenta</w:t>
      </w:r>
      <w:r>
        <w:rPr>
          <w:rFonts w:asciiTheme="majorHAnsi" w:hAnsiTheme="majorHAnsi"/>
          <w:sz w:val="20"/>
          <w:szCs w:val="20"/>
          <w:lang w:val="es-ES"/>
        </w:rPr>
        <w:t xml:space="preserve"> si la limitante para el RHD basándose en la cronicidad de una enfermedad resultaba compatible con el</w:t>
      </w:r>
      <w:r w:rsidR="00774BCF">
        <w:rPr>
          <w:rFonts w:asciiTheme="majorHAnsi" w:hAnsiTheme="majorHAnsi"/>
          <w:sz w:val="20"/>
          <w:szCs w:val="20"/>
          <w:lang w:val="es-ES"/>
        </w:rPr>
        <w:t xml:space="preserve"> derecho a la salud y el</w:t>
      </w:r>
      <w:r>
        <w:rPr>
          <w:rFonts w:asciiTheme="majorHAnsi" w:hAnsiTheme="majorHAnsi"/>
          <w:sz w:val="20"/>
          <w:szCs w:val="20"/>
          <w:lang w:val="es-ES"/>
        </w:rPr>
        <w:t xml:space="preserve"> interés superior</w:t>
      </w:r>
      <w:r w:rsidR="00774BCF">
        <w:rPr>
          <w:rFonts w:asciiTheme="majorHAnsi" w:hAnsiTheme="majorHAnsi"/>
          <w:sz w:val="20"/>
          <w:szCs w:val="20"/>
          <w:lang w:val="es-ES"/>
        </w:rPr>
        <w:t xml:space="preserve"> de la niña. Igualmente, en caso de considerar ajustado a derecho el retiro de la RHD, la </w:t>
      </w:r>
      <w:r w:rsidR="00774BCF" w:rsidRPr="00B67AD6">
        <w:rPr>
          <w:rFonts w:asciiTheme="majorHAnsi" w:hAnsiTheme="majorHAnsi"/>
          <w:sz w:val="20"/>
          <w:szCs w:val="20"/>
          <w:lang w:val="es-ES"/>
        </w:rPr>
        <w:t>CSJ</w:t>
      </w:r>
      <w:r w:rsidR="00774BCF">
        <w:rPr>
          <w:rFonts w:asciiTheme="majorHAnsi" w:hAnsiTheme="majorHAnsi"/>
          <w:sz w:val="20"/>
          <w:szCs w:val="20"/>
          <w:lang w:val="es-ES"/>
        </w:rPr>
        <w:t xml:space="preserve"> también estaba llamada a evaluar la situación de desprotección en que quedaría Martina y el rol del propio Estado en compensar posibles prestaciones médicas que ya no serían cubiertas por el seguro privado pero que requería frente a su situación particular de salud. Todos estos aspectos fundamentales se encuentran ausentes en la decisión de la CSJ. </w:t>
      </w:r>
      <w:r>
        <w:rPr>
          <w:rFonts w:asciiTheme="majorHAnsi" w:hAnsiTheme="majorHAnsi"/>
          <w:sz w:val="20"/>
          <w:szCs w:val="20"/>
          <w:lang w:val="es-ES"/>
        </w:rPr>
        <w:t xml:space="preserve"> </w:t>
      </w:r>
    </w:p>
    <w:p w:rsidR="00671FB9" w:rsidRDefault="00671FB9" w:rsidP="00671F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rsidR="00713C73" w:rsidRPr="00601010" w:rsidRDefault="00671FB9"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 xml:space="preserve">Por otro lado, si bien el fallo de la Superintendencia, restituyó el RHD a la niña Martina, dicha decisión está basada únicamente en el costo – beneficio de su retiro para la Isapre. En estos términos, el razonamiento del Juez Arbitro se basó en que de levantar el RHD, la niña Martina, eventualmente terminaría </w:t>
      </w:r>
      <w:r w:rsidR="00713C73">
        <w:rPr>
          <w:rFonts w:asciiTheme="majorHAnsi" w:hAnsiTheme="majorHAnsi"/>
          <w:sz w:val="20"/>
          <w:szCs w:val="20"/>
          <w:lang w:val="es-ES"/>
        </w:rPr>
        <w:t>internada</w:t>
      </w:r>
      <w:r>
        <w:rPr>
          <w:rFonts w:asciiTheme="majorHAnsi" w:hAnsiTheme="majorHAnsi"/>
          <w:sz w:val="20"/>
          <w:szCs w:val="20"/>
          <w:lang w:val="es-ES"/>
        </w:rPr>
        <w:t xml:space="preserve"> en el hospital asignado por la aseguradora. En este sentido, en tanto el hospital no estaba equipado para una larga estadía, la niña Martina tendría que ser trasladada </w:t>
      </w:r>
      <w:r w:rsidR="00732AC5">
        <w:rPr>
          <w:rFonts w:asciiTheme="majorHAnsi" w:hAnsiTheme="majorHAnsi"/>
          <w:sz w:val="20"/>
          <w:szCs w:val="20"/>
          <w:lang w:val="es-ES"/>
        </w:rPr>
        <w:t>a otra institución de salud</w:t>
      </w:r>
      <w:r w:rsidR="00713C73">
        <w:rPr>
          <w:rFonts w:asciiTheme="majorHAnsi" w:hAnsiTheme="majorHAnsi"/>
          <w:sz w:val="20"/>
          <w:szCs w:val="20"/>
          <w:lang w:val="es-ES"/>
        </w:rPr>
        <w:t xml:space="preserve"> más lejana</w:t>
      </w:r>
      <w:r w:rsidR="00732AC5">
        <w:rPr>
          <w:rFonts w:asciiTheme="majorHAnsi" w:hAnsiTheme="majorHAnsi"/>
          <w:sz w:val="20"/>
          <w:szCs w:val="20"/>
          <w:lang w:val="es-ES"/>
        </w:rPr>
        <w:t xml:space="preserve">, encareciendo los costos para la Isapre, por lo que en el caso específico, </w:t>
      </w:r>
      <w:r w:rsidR="00D83E09">
        <w:rPr>
          <w:rFonts w:asciiTheme="majorHAnsi" w:hAnsiTheme="majorHAnsi"/>
          <w:sz w:val="20"/>
          <w:szCs w:val="20"/>
          <w:lang w:val="es-ES"/>
        </w:rPr>
        <w:t xml:space="preserve">el Juez Arbitro concluyó que </w:t>
      </w:r>
      <w:r w:rsidR="00732AC5">
        <w:rPr>
          <w:rFonts w:asciiTheme="majorHAnsi" w:hAnsiTheme="majorHAnsi"/>
          <w:sz w:val="20"/>
          <w:szCs w:val="20"/>
          <w:lang w:val="es-ES"/>
        </w:rPr>
        <w:t>pese a que la enfermedad de la niña Martina es crónica, era posible alejarse de lo estipulado por el Circular No. 7, y reinstalar el RHD. Tal como en el caso anterior, la Comisión considera</w:t>
      </w:r>
      <w:r w:rsidR="00774BCF">
        <w:rPr>
          <w:rFonts w:asciiTheme="majorHAnsi" w:hAnsiTheme="majorHAnsi"/>
          <w:sz w:val="20"/>
          <w:szCs w:val="20"/>
          <w:lang w:val="es-ES"/>
        </w:rPr>
        <w:t xml:space="preserve"> que tampoco </w:t>
      </w:r>
      <w:r w:rsidR="00732AC5">
        <w:rPr>
          <w:rFonts w:asciiTheme="majorHAnsi" w:hAnsiTheme="majorHAnsi"/>
          <w:sz w:val="20"/>
          <w:szCs w:val="20"/>
          <w:lang w:val="es-ES"/>
        </w:rPr>
        <w:t xml:space="preserve">existe un razonamiento respecto a la </w:t>
      </w:r>
      <w:r w:rsidR="002C3E77">
        <w:rPr>
          <w:rFonts w:asciiTheme="majorHAnsi" w:hAnsiTheme="majorHAnsi"/>
          <w:sz w:val="20"/>
          <w:szCs w:val="20"/>
          <w:lang w:val="es-ES"/>
        </w:rPr>
        <w:t xml:space="preserve">tensión </w:t>
      </w:r>
      <w:r w:rsidR="00732AC5">
        <w:rPr>
          <w:rFonts w:asciiTheme="majorHAnsi" w:hAnsiTheme="majorHAnsi"/>
          <w:sz w:val="20"/>
          <w:szCs w:val="20"/>
          <w:lang w:val="es-ES"/>
        </w:rPr>
        <w:t>entre la causal de cronicidad de</w:t>
      </w:r>
      <w:r w:rsidR="00601010">
        <w:rPr>
          <w:rFonts w:asciiTheme="majorHAnsi" w:hAnsiTheme="majorHAnsi"/>
          <w:sz w:val="20"/>
          <w:szCs w:val="20"/>
          <w:lang w:val="es-ES"/>
        </w:rPr>
        <w:t xml:space="preserve"> </w:t>
      </w:r>
      <w:r w:rsidR="00732AC5">
        <w:rPr>
          <w:rFonts w:asciiTheme="majorHAnsi" w:hAnsiTheme="majorHAnsi"/>
          <w:sz w:val="20"/>
          <w:szCs w:val="20"/>
          <w:lang w:val="es-ES"/>
        </w:rPr>
        <w:t>l</w:t>
      </w:r>
      <w:r w:rsidR="00601010">
        <w:rPr>
          <w:rFonts w:asciiTheme="majorHAnsi" w:hAnsiTheme="majorHAnsi"/>
          <w:sz w:val="20"/>
          <w:szCs w:val="20"/>
          <w:lang w:val="es-ES"/>
        </w:rPr>
        <w:t>a</w:t>
      </w:r>
      <w:r w:rsidR="00732AC5">
        <w:rPr>
          <w:rFonts w:asciiTheme="majorHAnsi" w:hAnsiTheme="majorHAnsi"/>
          <w:sz w:val="20"/>
          <w:szCs w:val="20"/>
          <w:lang w:val="es-ES"/>
        </w:rPr>
        <w:t xml:space="preserve"> </w:t>
      </w:r>
      <w:r w:rsidR="00732AC5" w:rsidRPr="00601010">
        <w:rPr>
          <w:rFonts w:asciiTheme="majorHAnsi" w:hAnsiTheme="majorHAnsi"/>
          <w:sz w:val="20"/>
          <w:szCs w:val="20"/>
          <w:lang w:val="es-ES"/>
        </w:rPr>
        <w:t>Circular No. 7 y el interé</w:t>
      </w:r>
      <w:r w:rsidR="00E668EB" w:rsidRPr="00601010">
        <w:rPr>
          <w:rFonts w:asciiTheme="majorHAnsi" w:hAnsiTheme="majorHAnsi"/>
          <w:sz w:val="20"/>
          <w:szCs w:val="20"/>
          <w:lang w:val="es-ES"/>
        </w:rPr>
        <w:t xml:space="preserve">s </w:t>
      </w:r>
      <w:r w:rsidR="00713C73" w:rsidRPr="00601010">
        <w:rPr>
          <w:rFonts w:asciiTheme="majorHAnsi" w:hAnsiTheme="majorHAnsi"/>
          <w:sz w:val="20"/>
          <w:szCs w:val="20"/>
          <w:lang w:val="es-ES"/>
        </w:rPr>
        <w:t xml:space="preserve">superior </w:t>
      </w:r>
      <w:r w:rsidR="00E668EB" w:rsidRPr="00601010">
        <w:rPr>
          <w:rFonts w:asciiTheme="majorHAnsi" w:hAnsiTheme="majorHAnsi"/>
          <w:sz w:val="20"/>
          <w:szCs w:val="20"/>
          <w:lang w:val="es-ES"/>
        </w:rPr>
        <w:t>de la niña Martina en relación con su derecho a la salud</w:t>
      </w:r>
      <w:r w:rsidR="002E3CDE">
        <w:rPr>
          <w:rFonts w:asciiTheme="majorHAnsi" w:hAnsiTheme="majorHAnsi"/>
          <w:sz w:val="20"/>
          <w:szCs w:val="20"/>
          <w:lang w:val="es-ES"/>
        </w:rPr>
        <w:t xml:space="preserve"> y seguridad social</w:t>
      </w:r>
      <w:r w:rsidR="00E668EB" w:rsidRPr="00601010">
        <w:rPr>
          <w:rFonts w:asciiTheme="majorHAnsi" w:hAnsiTheme="majorHAnsi"/>
          <w:sz w:val="20"/>
          <w:szCs w:val="20"/>
          <w:lang w:val="es-ES"/>
        </w:rPr>
        <w:t xml:space="preserve">. En función de lo anterior, la </w:t>
      </w:r>
      <w:r w:rsidR="00E668EB" w:rsidRPr="009E59A9">
        <w:rPr>
          <w:rFonts w:asciiTheme="majorHAnsi" w:hAnsiTheme="majorHAnsi"/>
          <w:sz w:val="20"/>
          <w:szCs w:val="20"/>
          <w:lang w:val="es-ES"/>
        </w:rPr>
        <w:t xml:space="preserve">Comisión encuentra que de crearse un nuevo espacio hospitalario con capacidad de albergar por una temporada mayor a la niña Martina, perdería el tratamiento disputado, dado </w:t>
      </w:r>
      <w:r w:rsidR="00713C73" w:rsidRPr="009E59A9">
        <w:rPr>
          <w:rFonts w:asciiTheme="majorHAnsi" w:hAnsiTheme="majorHAnsi"/>
          <w:sz w:val="20"/>
          <w:szCs w:val="20"/>
          <w:lang w:val="es-ES"/>
        </w:rPr>
        <w:t>que su otorgamiento no estuvo</w:t>
      </w:r>
      <w:r w:rsidR="00E668EB" w:rsidRPr="009E59A9">
        <w:rPr>
          <w:rFonts w:asciiTheme="majorHAnsi" w:hAnsiTheme="majorHAnsi"/>
          <w:sz w:val="20"/>
          <w:szCs w:val="20"/>
          <w:lang w:val="es-ES"/>
        </w:rPr>
        <w:t xml:space="preserve"> basado en la necesidad de </w:t>
      </w:r>
      <w:r w:rsidR="00774BCF" w:rsidRPr="009E59A9">
        <w:rPr>
          <w:rFonts w:asciiTheme="majorHAnsi" w:hAnsiTheme="majorHAnsi"/>
          <w:sz w:val="20"/>
          <w:szCs w:val="20"/>
          <w:lang w:val="es-ES"/>
        </w:rPr>
        <w:t>asequibilidad</w:t>
      </w:r>
      <w:r w:rsidR="00E668EB" w:rsidRPr="009E59A9">
        <w:rPr>
          <w:rFonts w:asciiTheme="majorHAnsi" w:hAnsiTheme="majorHAnsi"/>
          <w:sz w:val="20"/>
          <w:szCs w:val="20"/>
          <w:lang w:val="es-ES"/>
        </w:rPr>
        <w:t xml:space="preserve">, para prevenir las afectaciones a su derecho a la salud, </w:t>
      </w:r>
      <w:r w:rsidR="002E3CDE">
        <w:rPr>
          <w:rFonts w:asciiTheme="majorHAnsi" w:hAnsiTheme="majorHAnsi"/>
          <w:sz w:val="20"/>
          <w:szCs w:val="20"/>
          <w:lang w:val="es-ES"/>
        </w:rPr>
        <w:t xml:space="preserve">seguridad social, </w:t>
      </w:r>
      <w:r w:rsidR="00E668EB" w:rsidRPr="009E59A9">
        <w:rPr>
          <w:rFonts w:asciiTheme="majorHAnsi" w:hAnsiTheme="majorHAnsi"/>
          <w:sz w:val="20"/>
          <w:szCs w:val="20"/>
          <w:lang w:val="es-ES"/>
        </w:rPr>
        <w:t>integridad y vida, facilitando su vida independiente en función de su crec</w:t>
      </w:r>
      <w:r w:rsidR="00713C73" w:rsidRPr="009E59A9">
        <w:rPr>
          <w:rFonts w:asciiTheme="majorHAnsi" w:hAnsiTheme="majorHAnsi"/>
          <w:sz w:val="20"/>
          <w:szCs w:val="20"/>
          <w:lang w:val="es-ES"/>
        </w:rPr>
        <w:t>imiento en su entorno familiar, como niña con discapacidad.</w:t>
      </w:r>
    </w:p>
    <w:p w:rsidR="00713C73" w:rsidRDefault="00713C73" w:rsidP="00713C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ES"/>
        </w:rPr>
      </w:pPr>
    </w:p>
    <w:p w:rsidR="00022496" w:rsidRDefault="00713C7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Pr>
          <w:rFonts w:asciiTheme="majorHAnsi" w:hAnsiTheme="majorHAnsi"/>
          <w:sz w:val="20"/>
          <w:szCs w:val="20"/>
          <w:lang w:val="es-ES"/>
        </w:rPr>
        <w:t xml:space="preserve">Asimismo, en el caso de ambas decisiones, la CIDH no encuentra un razonamiento claro en relación con la determinación de la enfermedad de la niña Martina como crónica. Es más, la CIDH considera que existen serias dudas y contradicciones respecto de los especialistas y la interpretación que de ellas dio la Isapre que no fueron esclarecidas en los fallos, sobre todo el último en el que se determinó que la enfermedad de la niña Martina sí era crónica. Ahora bien, incluso siendo crónica, la Comisión considera que dicho criterio para la suspensión de la RHD debió ser analizado a la luz de la Convención Americana, para la determinación de si es que en el caso concreto su aplicación directa vulneraba los derechos humanos de Martina, sobre todo en consideración ante la existencia de importantes indicios médicos, acreditados en el presente informe, según los cuales lo mejor para </w:t>
      </w:r>
      <w:r w:rsidR="009734A3">
        <w:rPr>
          <w:rFonts w:asciiTheme="majorHAnsi" w:hAnsiTheme="majorHAnsi"/>
          <w:sz w:val="20"/>
          <w:szCs w:val="20"/>
          <w:lang w:val="es-ES"/>
        </w:rPr>
        <w:t xml:space="preserve">su </w:t>
      </w:r>
      <w:r>
        <w:rPr>
          <w:rFonts w:asciiTheme="majorHAnsi" w:hAnsiTheme="majorHAnsi"/>
          <w:sz w:val="20"/>
          <w:szCs w:val="20"/>
          <w:lang w:val="es-ES"/>
        </w:rPr>
        <w:t>vida y salud</w:t>
      </w:r>
      <w:r w:rsidR="009734A3">
        <w:rPr>
          <w:rFonts w:asciiTheme="majorHAnsi" w:hAnsiTheme="majorHAnsi"/>
          <w:sz w:val="20"/>
          <w:szCs w:val="20"/>
          <w:lang w:val="es-ES"/>
        </w:rPr>
        <w:t xml:space="preserve"> frágiles</w:t>
      </w:r>
      <w:r>
        <w:rPr>
          <w:rFonts w:asciiTheme="majorHAnsi" w:hAnsiTheme="majorHAnsi"/>
          <w:sz w:val="20"/>
          <w:szCs w:val="20"/>
          <w:lang w:val="es-ES"/>
        </w:rPr>
        <w:t xml:space="preserve">, era el RHD, rodeada de su entorno familiar. </w:t>
      </w:r>
    </w:p>
    <w:p w:rsidR="009E59A9" w:rsidRPr="004437FA" w:rsidRDefault="009E59A9" w:rsidP="00B67A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rsidR="001869D4" w:rsidRPr="00036791" w:rsidRDefault="00ED7921"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L"/>
        </w:rPr>
      </w:pPr>
      <w:r>
        <w:rPr>
          <w:rFonts w:asciiTheme="majorHAnsi" w:hAnsiTheme="majorHAnsi"/>
          <w:sz w:val="20"/>
          <w:szCs w:val="20"/>
          <w:lang w:val="es-CL"/>
        </w:rPr>
        <w:t xml:space="preserve">Por </w:t>
      </w:r>
      <w:r w:rsidRPr="00036791">
        <w:rPr>
          <w:rFonts w:asciiTheme="majorHAnsi" w:hAnsiTheme="majorHAnsi"/>
          <w:sz w:val="20"/>
          <w:szCs w:val="20"/>
          <w:lang w:val="es-CL"/>
        </w:rPr>
        <w:t xml:space="preserve">todo lo expuesto, </w:t>
      </w:r>
      <w:r w:rsidR="00036791" w:rsidRPr="00036791">
        <w:rPr>
          <w:rFonts w:asciiTheme="majorHAnsi" w:hAnsiTheme="majorHAnsi"/>
          <w:sz w:val="20"/>
          <w:szCs w:val="20"/>
          <w:lang w:val="es-CL"/>
        </w:rPr>
        <w:t>l</w:t>
      </w:r>
      <w:r w:rsidR="002E4AEA" w:rsidRPr="00036791">
        <w:rPr>
          <w:rFonts w:asciiTheme="majorHAnsi" w:hAnsiTheme="majorHAnsi"/>
          <w:sz w:val="20"/>
          <w:szCs w:val="20"/>
          <w:lang w:val="es-CL"/>
        </w:rPr>
        <w:t>a Comisión concluye que</w:t>
      </w:r>
      <w:r w:rsidR="003D67C7" w:rsidRPr="00036791">
        <w:rPr>
          <w:rFonts w:asciiTheme="majorHAnsi" w:hAnsiTheme="majorHAnsi"/>
          <w:sz w:val="20"/>
          <w:szCs w:val="20"/>
          <w:lang w:val="es-CL"/>
        </w:rPr>
        <w:t xml:space="preserve"> el Estado </w:t>
      </w:r>
      <w:r w:rsidRPr="00036791">
        <w:rPr>
          <w:rFonts w:asciiTheme="majorHAnsi" w:hAnsiTheme="majorHAnsi"/>
          <w:sz w:val="20"/>
          <w:szCs w:val="20"/>
          <w:lang w:val="es-CL"/>
        </w:rPr>
        <w:t>de Chile</w:t>
      </w:r>
      <w:r w:rsidR="003D67C7" w:rsidRPr="00036791">
        <w:rPr>
          <w:rFonts w:asciiTheme="majorHAnsi" w:hAnsiTheme="majorHAnsi"/>
          <w:sz w:val="20"/>
          <w:szCs w:val="20"/>
          <w:lang w:val="es-CL"/>
        </w:rPr>
        <w:t xml:space="preserve"> es responsable por la violación de</w:t>
      </w:r>
      <w:r w:rsidR="00036791" w:rsidRPr="00036791">
        <w:rPr>
          <w:rFonts w:asciiTheme="majorHAnsi" w:hAnsiTheme="majorHAnsi"/>
          <w:sz w:val="20"/>
          <w:szCs w:val="20"/>
          <w:lang w:val="es-CL"/>
        </w:rPr>
        <w:t xml:space="preserve">l derecho a la protección judicial y garantías judiciales, y los derechos de la niña </w:t>
      </w:r>
      <w:r w:rsidR="00D83E09">
        <w:rPr>
          <w:rFonts w:asciiTheme="majorHAnsi" w:hAnsiTheme="majorHAnsi"/>
          <w:sz w:val="20"/>
          <w:szCs w:val="20"/>
          <w:lang w:val="es-CL"/>
        </w:rPr>
        <w:t xml:space="preserve">con discapacidad </w:t>
      </w:r>
      <w:r w:rsidR="00036791" w:rsidRPr="00036791">
        <w:rPr>
          <w:rFonts w:asciiTheme="majorHAnsi" w:hAnsiTheme="majorHAnsi"/>
          <w:sz w:val="20"/>
          <w:szCs w:val="20"/>
          <w:lang w:val="es-CL"/>
        </w:rPr>
        <w:t>establecidos en los art</w:t>
      </w:r>
      <w:r w:rsidR="003D67C7" w:rsidRPr="00036791">
        <w:rPr>
          <w:rFonts w:asciiTheme="majorHAnsi" w:hAnsiTheme="majorHAnsi"/>
          <w:sz w:val="20"/>
          <w:szCs w:val="20"/>
          <w:lang w:val="es-CL"/>
        </w:rPr>
        <w:t xml:space="preserve">ículos </w:t>
      </w:r>
      <w:r w:rsidR="00036791" w:rsidRPr="00036791">
        <w:rPr>
          <w:rFonts w:asciiTheme="majorHAnsi" w:hAnsiTheme="majorHAnsi"/>
          <w:sz w:val="20"/>
          <w:szCs w:val="20"/>
          <w:lang w:val="es-CL"/>
        </w:rPr>
        <w:t>8</w:t>
      </w:r>
      <w:r w:rsidR="00716398">
        <w:rPr>
          <w:rFonts w:asciiTheme="majorHAnsi" w:hAnsiTheme="majorHAnsi"/>
          <w:sz w:val="20"/>
          <w:szCs w:val="20"/>
          <w:lang w:val="es-CL"/>
        </w:rPr>
        <w:t>.1</w:t>
      </w:r>
      <w:r w:rsidR="00036791" w:rsidRPr="00036791">
        <w:rPr>
          <w:rFonts w:asciiTheme="majorHAnsi" w:hAnsiTheme="majorHAnsi"/>
          <w:sz w:val="20"/>
          <w:szCs w:val="20"/>
          <w:lang w:val="es-CL"/>
        </w:rPr>
        <w:t xml:space="preserve"> y 25</w:t>
      </w:r>
      <w:r w:rsidR="00716398">
        <w:rPr>
          <w:rFonts w:asciiTheme="majorHAnsi" w:hAnsiTheme="majorHAnsi"/>
          <w:sz w:val="20"/>
          <w:szCs w:val="20"/>
          <w:lang w:val="es-CL"/>
        </w:rPr>
        <w:t>.1</w:t>
      </w:r>
      <w:r w:rsidR="00036791" w:rsidRPr="00036791">
        <w:rPr>
          <w:rFonts w:asciiTheme="majorHAnsi" w:hAnsiTheme="majorHAnsi"/>
          <w:sz w:val="20"/>
          <w:szCs w:val="20"/>
          <w:lang w:val="es-CL"/>
        </w:rPr>
        <w:t>, y 19</w:t>
      </w:r>
      <w:r w:rsidR="003D67C7" w:rsidRPr="00036791">
        <w:rPr>
          <w:rFonts w:asciiTheme="majorHAnsi" w:hAnsiTheme="majorHAnsi"/>
          <w:sz w:val="20"/>
          <w:szCs w:val="20"/>
          <w:lang w:val="es-CL"/>
        </w:rPr>
        <w:t xml:space="preserve"> de la Convención Americana, en relación con </w:t>
      </w:r>
      <w:r w:rsidR="004437FA">
        <w:rPr>
          <w:rFonts w:asciiTheme="majorHAnsi" w:hAnsiTheme="majorHAnsi"/>
          <w:sz w:val="20"/>
          <w:szCs w:val="20"/>
          <w:lang w:val="es-CL"/>
        </w:rPr>
        <w:t>las obligacio</w:t>
      </w:r>
      <w:r w:rsidR="00036791" w:rsidRPr="00036791">
        <w:rPr>
          <w:rFonts w:asciiTheme="majorHAnsi" w:hAnsiTheme="majorHAnsi"/>
          <w:sz w:val="20"/>
          <w:szCs w:val="20"/>
          <w:lang w:val="es-CL"/>
        </w:rPr>
        <w:t>n</w:t>
      </w:r>
      <w:r w:rsidR="003D67C7" w:rsidRPr="00036791">
        <w:rPr>
          <w:rFonts w:asciiTheme="majorHAnsi" w:hAnsiTheme="majorHAnsi"/>
          <w:sz w:val="20"/>
          <w:szCs w:val="20"/>
          <w:lang w:val="es-CL"/>
        </w:rPr>
        <w:t xml:space="preserve">es </w:t>
      </w:r>
      <w:r w:rsidR="004437FA">
        <w:rPr>
          <w:rFonts w:asciiTheme="majorHAnsi" w:hAnsiTheme="majorHAnsi"/>
          <w:sz w:val="20"/>
          <w:szCs w:val="20"/>
          <w:lang w:val="es-CL"/>
        </w:rPr>
        <w:t>de respe</w:t>
      </w:r>
      <w:r w:rsidR="00D83E09">
        <w:rPr>
          <w:rFonts w:asciiTheme="majorHAnsi" w:hAnsiTheme="majorHAnsi"/>
          <w:sz w:val="20"/>
          <w:szCs w:val="20"/>
          <w:lang w:val="es-CL"/>
        </w:rPr>
        <w:t xml:space="preserve">to y garantía </w:t>
      </w:r>
      <w:r w:rsidR="00036791" w:rsidRPr="00036791">
        <w:rPr>
          <w:rFonts w:asciiTheme="majorHAnsi" w:hAnsiTheme="majorHAnsi"/>
          <w:sz w:val="20"/>
          <w:szCs w:val="20"/>
          <w:lang w:val="es-CL"/>
        </w:rPr>
        <w:t xml:space="preserve">establecidas en los </w:t>
      </w:r>
      <w:r w:rsidR="004437FA" w:rsidRPr="00036791">
        <w:rPr>
          <w:rFonts w:asciiTheme="majorHAnsi" w:hAnsiTheme="majorHAnsi"/>
          <w:sz w:val="20"/>
          <w:szCs w:val="20"/>
          <w:lang w:val="es-CL"/>
        </w:rPr>
        <w:t>artículos</w:t>
      </w:r>
      <w:r w:rsidR="00036791" w:rsidRPr="00036791">
        <w:rPr>
          <w:rFonts w:asciiTheme="majorHAnsi" w:hAnsiTheme="majorHAnsi"/>
          <w:sz w:val="20"/>
          <w:szCs w:val="20"/>
          <w:lang w:val="es-CL"/>
        </w:rPr>
        <w:t xml:space="preserve"> 1.1</w:t>
      </w:r>
      <w:r w:rsidR="003D67C7" w:rsidRPr="00036791">
        <w:rPr>
          <w:rFonts w:asciiTheme="majorHAnsi" w:hAnsiTheme="majorHAnsi"/>
          <w:sz w:val="20"/>
          <w:szCs w:val="20"/>
          <w:lang w:val="es-CL"/>
        </w:rPr>
        <w:t xml:space="preserve"> y 2 del mismo instrumento, en perjuicio de </w:t>
      </w:r>
      <w:r w:rsidR="00036791" w:rsidRPr="00036791">
        <w:rPr>
          <w:rFonts w:asciiTheme="majorHAnsi" w:hAnsiTheme="majorHAnsi"/>
          <w:sz w:val="20"/>
          <w:szCs w:val="20"/>
          <w:lang w:val="es-CL"/>
        </w:rPr>
        <w:t>Martina Vera Rojas</w:t>
      </w:r>
      <w:r w:rsidR="003D67C7" w:rsidRPr="00036791">
        <w:rPr>
          <w:rFonts w:ascii="Cambria" w:hAnsi="Cambria"/>
          <w:sz w:val="20"/>
          <w:szCs w:val="20"/>
          <w:lang w:val="es-VE"/>
        </w:rPr>
        <w:t>.</w:t>
      </w:r>
    </w:p>
    <w:p w:rsidR="00036791" w:rsidRDefault="00036791"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B82BFB" w:rsidRDefault="00B82BFB" w:rsidP="000367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CL"/>
        </w:rPr>
      </w:pPr>
    </w:p>
    <w:p w:rsidR="0030224F" w:rsidRPr="00795EB9" w:rsidRDefault="0030224F" w:rsidP="00C87FF4">
      <w:pPr>
        <w:pStyle w:val="Heading2"/>
        <w:rPr>
          <w:lang w:val="es-ES"/>
        </w:rPr>
      </w:pPr>
      <w:bookmarkStart w:id="30" w:name="_Toc506095189"/>
      <w:bookmarkStart w:id="31" w:name="_Toc531880135"/>
      <w:r w:rsidRPr="00795EB9">
        <w:rPr>
          <w:lang w:val="es-ES"/>
        </w:rPr>
        <w:t>El dere</w:t>
      </w:r>
      <w:r w:rsidR="00DB0C47" w:rsidRPr="00795EB9">
        <w:rPr>
          <w:lang w:val="es-ES"/>
        </w:rPr>
        <w:t>cho a la integridad personal del señor Vera y la señora Rojas</w:t>
      </w:r>
      <w:r w:rsidRPr="00795EB9">
        <w:rPr>
          <w:lang w:val="es-ES"/>
        </w:rPr>
        <w:t xml:space="preserve"> (artículo 5.1)  en relación con el artículo 1.1 de la Convención Americana</w:t>
      </w:r>
      <w:bookmarkEnd w:id="30"/>
      <w:bookmarkEnd w:id="31"/>
    </w:p>
    <w:p w:rsidR="001869D4" w:rsidRDefault="001869D4" w:rsidP="001869D4">
      <w:pPr>
        <w:pStyle w:val="ListParagraph"/>
        <w:ind w:left="1440"/>
        <w:jc w:val="both"/>
        <w:rPr>
          <w:b/>
          <w:color w:val="FF0000"/>
          <w:sz w:val="20"/>
          <w:szCs w:val="20"/>
          <w:lang w:val="es-ES"/>
        </w:rPr>
      </w:pPr>
    </w:p>
    <w:p w:rsidR="00DB0C47" w:rsidRPr="006E77E2" w:rsidRDefault="00DB0C4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
        </w:rPr>
      </w:pPr>
      <w:r w:rsidRPr="006E77E2">
        <w:rPr>
          <w:rFonts w:asciiTheme="majorHAnsi" w:hAnsiTheme="majorHAnsi"/>
          <w:sz w:val="20"/>
          <w:szCs w:val="20"/>
          <w:lang w:val="es-ES"/>
        </w:rPr>
        <w:t>Con respecto a los familiares de víctimas de ciertas violaciones de derechos humanos, la Comisión y la Corte Interamericana han indicado que éstos pueden ser considerados, a su vez, como víctimas</w:t>
      </w:r>
      <w:r w:rsidRPr="006E77E2">
        <w:rPr>
          <w:rFonts w:asciiTheme="majorHAnsi" w:hAnsiTheme="majorHAnsi"/>
          <w:sz w:val="20"/>
          <w:szCs w:val="20"/>
          <w:vertAlign w:val="superscript"/>
          <w:lang w:val="es-ES"/>
        </w:rPr>
        <w:footnoteReference w:id="119"/>
      </w:r>
      <w:r w:rsidRPr="006E77E2">
        <w:rPr>
          <w:rFonts w:asciiTheme="majorHAnsi" w:hAnsiTheme="majorHAnsi"/>
          <w:sz w:val="20"/>
          <w:szCs w:val="20"/>
          <w:lang w:val="es-ES"/>
        </w:rPr>
        <w:t>. Al respecto, la Corte ha dispuesto que pueden verse afectados en su integridad psíquica y moral como consecuencia de las situaciones particulares que padecieron las víctimas, así como de las posteriores actuaciones u omisiones de las autoridades internas frente a estos hechos</w:t>
      </w:r>
      <w:r w:rsidRPr="006E77E2">
        <w:rPr>
          <w:rFonts w:asciiTheme="majorHAnsi" w:hAnsiTheme="majorHAnsi"/>
          <w:sz w:val="20"/>
          <w:szCs w:val="20"/>
          <w:vertAlign w:val="superscript"/>
          <w:lang w:val="es-ES"/>
        </w:rPr>
        <w:footnoteReference w:id="120"/>
      </w:r>
      <w:r w:rsidR="004A0E94" w:rsidRPr="006E77E2">
        <w:rPr>
          <w:rFonts w:asciiTheme="majorHAnsi" w:hAnsiTheme="majorHAnsi"/>
          <w:sz w:val="20"/>
          <w:szCs w:val="20"/>
          <w:lang w:val="es-ES"/>
        </w:rPr>
        <w:t>.</w:t>
      </w:r>
    </w:p>
    <w:p w:rsidR="00680ED2" w:rsidRDefault="00680ED2" w:rsidP="006E77E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
        </w:rPr>
      </w:pPr>
    </w:p>
    <w:p w:rsidR="009B007A" w:rsidRDefault="00DB0C47"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sidRPr="00B102E7">
        <w:rPr>
          <w:rFonts w:asciiTheme="majorHAnsi" w:hAnsiTheme="majorHAnsi"/>
          <w:sz w:val="20"/>
          <w:szCs w:val="20"/>
          <w:lang w:val="es-ES"/>
        </w:rPr>
        <w:t xml:space="preserve">En el caso específico </w:t>
      </w:r>
      <w:r w:rsidR="005C73DB" w:rsidRPr="00B102E7">
        <w:rPr>
          <w:rFonts w:asciiTheme="majorHAnsi" w:hAnsiTheme="majorHAnsi"/>
          <w:sz w:val="20"/>
          <w:szCs w:val="20"/>
          <w:lang w:val="es-ES"/>
        </w:rPr>
        <w:t xml:space="preserve">del análisis de la responsabilidad internacional del Estado sobre el </w:t>
      </w:r>
      <w:r w:rsidRPr="00B102E7">
        <w:rPr>
          <w:rFonts w:asciiTheme="majorHAnsi" w:hAnsiTheme="majorHAnsi"/>
          <w:sz w:val="20"/>
          <w:szCs w:val="20"/>
          <w:lang w:val="es-ES"/>
        </w:rPr>
        <w:t>derecho a la integridad de los familiares por afectaciones del derecho a la salud de las víctimas, la Corte ha establecido que</w:t>
      </w:r>
      <w:r w:rsidR="004A0E94" w:rsidRPr="00B102E7">
        <w:rPr>
          <w:rFonts w:asciiTheme="majorHAnsi" w:hAnsiTheme="majorHAnsi"/>
          <w:sz w:val="20"/>
          <w:szCs w:val="20"/>
          <w:lang w:val="es-ES"/>
        </w:rPr>
        <w:t xml:space="preserve"> este tipo de </w:t>
      </w:r>
      <w:r w:rsidR="005C73DB" w:rsidRPr="00B102E7">
        <w:rPr>
          <w:rFonts w:asciiTheme="majorHAnsi" w:hAnsiTheme="majorHAnsi"/>
          <w:sz w:val="20"/>
          <w:szCs w:val="20"/>
          <w:lang w:val="es-ES"/>
        </w:rPr>
        <w:t>vulneraciones deben ser probadas</w:t>
      </w:r>
      <w:r w:rsidR="00901289">
        <w:rPr>
          <w:rStyle w:val="FootnoteReference"/>
          <w:rFonts w:asciiTheme="majorHAnsi" w:hAnsiTheme="majorHAnsi"/>
          <w:sz w:val="20"/>
          <w:szCs w:val="20"/>
          <w:lang w:val="es-ES"/>
        </w:rPr>
        <w:footnoteReference w:id="121"/>
      </w:r>
      <w:r w:rsidR="004A0E94" w:rsidRPr="00B102E7">
        <w:rPr>
          <w:rFonts w:asciiTheme="majorHAnsi" w:hAnsiTheme="majorHAnsi"/>
          <w:sz w:val="20"/>
          <w:szCs w:val="20"/>
          <w:lang w:val="es-ES"/>
        </w:rPr>
        <w:t>. Al respecto,</w:t>
      </w:r>
      <w:r w:rsidR="004437FA">
        <w:rPr>
          <w:rFonts w:asciiTheme="majorHAnsi" w:hAnsiTheme="majorHAnsi"/>
          <w:sz w:val="20"/>
          <w:szCs w:val="20"/>
          <w:lang w:val="es-ES"/>
        </w:rPr>
        <w:t xml:space="preserve"> la parte peticionaria documentó que la madre y el padre</w:t>
      </w:r>
      <w:r w:rsidR="004A0E94" w:rsidRPr="00B102E7">
        <w:rPr>
          <w:rFonts w:asciiTheme="majorHAnsi" w:hAnsiTheme="majorHAnsi"/>
          <w:sz w:val="20"/>
          <w:szCs w:val="20"/>
          <w:lang w:val="es-ES"/>
        </w:rPr>
        <w:t xml:space="preserve"> sufren de estrés post traumático derivado del sufrimiento por la </w:t>
      </w:r>
      <w:r w:rsidR="00DD4F2B" w:rsidRPr="00B102E7">
        <w:rPr>
          <w:rFonts w:asciiTheme="majorHAnsi" w:hAnsiTheme="majorHAnsi"/>
          <w:sz w:val="20"/>
          <w:szCs w:val="20"/>
          <w:lang w:val="es-ES"/>
        </w:rPr>
        <w:t>in</w:t>
      </w:r>
      <w:r w:rsidR="004A0E94" w:rsidRPr="00B102E7">
        <w:rPr>
          <w:rFonts w:asciiTheme="majorHAnsi" w:hAnsiTheme="majorHAnsi"/>
          <w:sz w:val="20"/>
          <w:szCs w:val="20"/>
          <w:lang w:val="es-ES"/>
        </w:rPr>
        <w:t>certidumbre del acceso al tratamiento que mantiene con vida a su hija</w:t>
      </w:r>
      <w:r w:rsidR="00DD4F2B" w:rsidRPr="00B102E7">
        <w:rPr>
          <w:rFonts w:asciiTheme="majorHAnsi" w:hAnsiTheme="majorHAnsi"/>
          <w:sz w:val="20"/>
          <w:szCs w:val="20"/>
          <w:lang w:val="es-ES"/>
        </w:rPr>
        <w:t>. De este modo, el peritaje psicológico indicó que “tras el hecho de sentir que su hija no era protegida por el Estado se instala en ambos la sensación de no poder asegurar los cuidados necesario a su hija” indicando que las secuelas psicológicas son de incertidumbre, desprotección, desconfianza, hiper-vigilancia e hiper-alerta, humillación, ira, evitación, concluyéndose que se trata de un trastorno de estrés post traumático crónico</w:t>
      </w:r>
      <w:r w:rsidR="00DD4F2B">
        <w:rPr>
          <w:rStyle w:val="FootnoteReference"/>
          <w:rFonts w:asciiTheme="majorHAnsi" w:hAnsiTheme="majorHAnsi"/>
          <w:sz w:val="20"/>
          <w:szCs w:val="20"/>
          <w:lang w:val="es-ES"/>
        </w:rPr>
        <w:footnoteReference w:id="122"/>
      </w:r>
      <w:r w:rsidR="00DD4F2B" w:rsidRPr="00B102E7">
        <w:rPr>
          <w:rFonts w:asciiTheme="majorHAnsi" w:hAnsiTheme="majorHAnsi"/>
          <w:sz w:val="20"/>
          <w:szCs w:val="20"/>
          <w:lang w:val="es-ES"/>
        </w:rPr>
        <w:t>.</w:t>
      </w:r>
      <w:r w:rsidR="00337EFE" w:rsidRPr="00B102E7">
        <w:rPr>
          <w:rFonts w:asciiTheme="majorHAnsi" w:hAnsiTheme="majorHAnsi"/>
          <w:sz w:val="20"/>
          <w:szCs w:val="20"/>
          <w:lang w:val="es-ES"/>
        </w:rPr>
        <w:t xml:space="preserve"> Asimismo, tal como ya se encontr</w:t>
      </w:r>
      <w:r w:rsidR="00A67DBA" w:rsidRPr="00B102E7">
        <w:rPr>
          <w:rFonts w:asciiTheme="majorHAnsi" w:hAnsiTheme="majorHAnsi"/>
          <w:sz w:val="20"/>
          <w:szCs w:val="20"/>
          <w:lang w:val="es-ES"/>
        </w:rPr>
        <w:t xml:space="preserve">ó probado en este informe, </w:t>
      </w:r>
      <w:r w:rsidR="009B39EC" w:rsidRPr="00B102E7">
        <w:rPr>
          <w:rFonts w:asciiTheme="majorHAnsi" w:hAnsiTheme="majorHAnsi"/>
          <w:sz w:val="20"/>
          <w:szCs w:val="20"/>
          <w:lang w:val="es-ES"/>
        </w:rPr>
        <w:t xml:space="preserve">la </w:t>
      </w:r>
      <w:r w:rsidR="00A67DBA" w:rsidRPr="00B102E7">
        <w:rPr>
          <w:rFonts w:asciiTheme="majorHAnsi" w:hAnsiTheme="majorHAnsi"/>
          <w:sz w:val="20"/>
          <w:szCs w:val="20"/>
          <w:lang w:val="es-ES"/>
        </w:rPr>
        <w:t xml:space="preserve">relación altamente litigiosa </w:t>
      </w:r>
      <w:r w:rsidR="009B39EC" w:rsidRPr="00B102E7">
        <w:rPr>
          <w:rFonts w:asciiTheme="majorHAnsi" w:hAnsiTheme="majorHAnsi"/>
          <w:sz w:val="20"/>
          <w:szCs w:val="20"/>
          <w:lang w:val="es-ES"/>
        </w:rPr>
        <w:t xml:space="preserve">entre la Isapre </w:t>
      </w:r>
      <w:r w:rsidR="00B102E7">
        <w:rPr>
          <w:rFonts w:asciiTheme="majorHAnsi" w:hAnsiTheme="majorHAnsi"/>
          <w:sz w:val="20"/>
          <w:szCs w:val="20"/>
          <w:lang w:val="es-ES"/>
        </w:rPr>
        <w:t>y los padres de la niña Martin</w:t>
      </w:r>
      <w:r w:rsidR="009734A3">
        <w:rPr>
          <w:rFonts w:asciiTheme="majorHAnsi" w:hAnsiTheme="majorHAnsi"/>
          <w:sz w:val="20"/>
          <w:szCs w:val="20"/>
          <w:lang w:val="es-ES"/>
        </w:rPr>
        <w:t>a</w:t>
      </w:r>
      <w:r w:rsidR="00B102E7">
        <w:rPr>
          <w:rFonts w:asciiTheme="majorHAnsi" w:hAnsiTheme="majorHAnsi"/>
          <w:sz w:val="20"/>
          <w:szCs w:val="20"/>
          <w:lang w:val="es-ES"/>
        </w:rPr>
        <w:t xml:space="preserve"> por las modificaciones unilaterales del acceso al tratamiento adecuado, generó por s</w:t>
      </w:r>
      <w:r w:rsidR="00237433">
        <w:rPr>
          <w:rFonts w:asciiTheme="majorHAnsi" w:hAnsiTheme="majorHAnsi"/>
          <w:sz w:val="20"/>
          <w:szCs w:val="20"/>
          <w:lang w:val="es-ES"/>
        </w:rPr>
        <w:t xml:space="preserve">í mismo </w:t>
      </w:r>
      <w:r w:rsidR="00B102E7">
        <w:rPr>
          <w:rFonts w:asciiTheme="majorHAnsi" w:hAnsiTheme="majorHAnsi"/>
          <w:sz w:val="20"/>
          <w:szCs w:val="20"/>
          <w:lang w:val="es-ES"/>
        </w:rPr>
        <w:t>sufrimiento</w:t>
      </w:r>
      <w:r w:rsidR="00237433">
        <w:rPr>
          <w:rFonts w:asciiTheme="majorHAnsi" w:hAnsiTheme="majorHAnsi"/>
          <w:sz w:val="20"/>
          <w:szCs w:val="20"/>
          <w:lang w:val="es-ES"/>
        </w:rPr>
        <w:t>s a los padres de la niña Martina</w:t>
      </w:r>
      <w:r w:rsidR="00B102E7">
        <w:rPr>
          <w:rFonts w:asciiTheme="majorHAnsi" w:hAnsiTheme="majorHAnsi"/>
          <w:sz w:val="20"/>
          <w:szCs w:val="20"/>
          <w:lang w:val="es-ES"/>
        </w:rPr>
        <w:t xml:space="preserve"> por la falta de regulación</w:t>
      </w:r>
      <w:r w:rsidR="004437FA">
        <w:rPr>
          <w:rFonts w:asciiTheme="majorHAnsi" w:hAnsiTheme="majorHAnsi"/>
          <w:sz w:val="20"/>
          <w:szCs w:val="20"/>
          <w:lang w:val="es-ES"/>
        </w:rPr>
        <w:t xml:space="preserve"> adecuada </w:t>
      </w:r>
      <w:r w:rsidR="00B102E7">
        <w:rPr>
          <w:rFonts w:asciiTheme="majorHAnsi" w:hAnsiTheme="majorHAnsi"/>
          <w:sz w:val="20"/>
          <w:szCs w:val="20"/>
          <w:lang w:val="es-ES"/>
        </w:rPr>
        <w:t xml:space="preserve">del levantamiento </w:t>
      </w:r>
      <w:r w:rsidR="00D83E09">
        <w:rPr>
          <w:rFonts w:asciiTheme="majorHAnsi" w:hAnsiTheme="majorHAnsi"/>
          <w:sz w:val="20"/>
          <w:szCs w:val="20"/>
          <w:lang w:val="es-ES"/>
        </w:rPr>
        <w:t xml:space="preserve">del RHD. </w:t>
      </w:r>
      <w:r w:rsidR="00DD4F2B" w:rsidRPr="00237433">
        <w:rPr>
          <w:rFonts w:asciiTheme="majorHAnsi" w:hAnsiTheme="majorHAnsi"/>
          <w:sz w:val="20"/>
          <w:szCs w:val="20"/>
          <w:lang w:val="es-ES"/>
        </w:rPr>
        <w:t xml:space="preserve">En virtud de lo anterior, </w:t>
      </w:r>
      <w:r w:rsidR="00337EFE" w:rsidRPr="00237433">
        <w:rPr>
          <w:rFonts w:asciiTheme="majorHAnsi" w:hAnsiTheme="majorHAnsi"/>
          <w:sz w:val="20"/>
          <w:szCs w:val="20"/>
          <w:lang w:val="es-ES"/>
        </w:rPr>
        <w:t>la Comisión encuentra que existe un</w:t>
      </w:r>
      <w:r w:rsidR="00B102E7" w:rsidRPr="00237433">
        <w:rPr>
          <w:rFonts w:asciiTheme="majorHAnsi" w:hAnsiTheme="majorHAnsi"/>
          <w:sz w:val="20"/>
          <w:szCs w:val="20"/>
          <w:lang w:val="es-ES"/>
        </w:rPr>
        <w:t xml:space="preserve"> nexo causal entre los sufrimientos </w:t>
      </w:r>
      <w:r w:rsidR="00237433" w:rsidRPr="00237433">
        <w:rPr>
          <w:rFonts w:asciiTheme="majorHAnsi" w:hAnsiTheme="majorHAnsi"/>
          <w:sz w:val="20"/>
          <w:szCs w:val="20"/>
          <w:lang w:val="es-ES"/>
        </w:rPr>
        <w:t>vividos por el señor Vera y la señora Rojas</w:t>
      </w:r>
      <w:r w:rsidR="00B102E7" w:rsidRPr="00237433">
        <w:rPr>
          <w:rFonts w:asciiTheme="majorHAnsi" w:hAnsiTheme="majorHAnsi"/>
          <w:sz w:val="20"/>
          <w:szCs w:val="20"/>
          <w:lang w:val="es-ES"/>
        </w:rPr>
        <w:t xml:space="preserve"> y los hechos analizados en el presente caso. </w:t>
      </w:r>
    </w:p>
    <w:p w:rsidR="009B007A" w:rsidRDefault="009B007A" w:rsidP="009B007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rsidR="00B924DB" w:rsidRPr="00D83E09" w:rsidRDefault="00237433"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sidRPr="00D83E09">
        <w:rPr>
          <w:rFonts w:asciiTheme="majorHAnsi" w:hAnsiTheme="majorHAnsi"/>
          <w:sz w:val="20"/>
          <w:szCs w:val="20"/>
          <w:lang w:val="es-ES"/>
        </w:rPr>
        <w:t xml:space="preserve">Sumado a lo anterior, </w:t>
      </w:r>
      <w:r w:rsidR="00901289" w:rsidRPr="00D83E09">
        <w:rPr>
          <w:rFonts w:asciiTheme="majorHAnsi" w:hAnsiTheme="majorHAnsi"/>
          <w:sz w:val="20"/>
          <w:szCs w:val="20"/>
          <w:lang w:val="es-ES"/>
        </w:rPr>
        <w:t>la</w:t>
      </w:r>
      <w:r w:rsidRPr="00D83E09">
        <w:rPr>
          <w:rFonts w:asciiTheme="majorHAnsi" w:hAnsiTheme="majorHAnsi"/>
          <w:sz w:val="20"/>
          <w:szCs w:val="20"/>
          <w:lang w:val="es-ES"/>
        </w:rPr>
        <w:t xml:space="preserve"> Corte Interamericana ha indicado </w:t>
      </w:r>
      <w:r w:rsidR="005F29AE" w:rsidRPr="00D83E09">
        <w:rPr>
          <w:rFonts w:asciiTheme="majorHAnsi" w:hAnsiTheme="majorHAnsi"/>
          <w:sz w:val="20"/>
          <w:szCs w:val="20"/>
          <w:lang w:val="es-ES"/>
        </w:rPr>
        <w:t>que el derecho a la integridad de los familiares puede verse af</w:t>
      </w:r>
      <w:r w:rsidR="00901289" w:rsidRPr="00D83E09">
        <w:rPr>
          <w:rFonts w:asciiTheme="majorHAnsi" w:hAnsiTheme="majorHAnsi"/>
          <w:sz w:val="20"/>
          <w:szCs w:val="20"/>
          <w:lang w:val="es-ES"/>
        </w:rPr>
        <w:t>ectado</w:t>
      </w:r>
      <w:r w:rsidR="005F29AE" w:rsidRPr="00D83E09">
        <w:rPr>
          <w:rFonts w:asciiTheme="majorHAnsi" w:hAnsiTheme="majorHAnsi"/>
          <w:sz w:val="20"/>
          <w:szCs w:val="20"/>
          <w:lang w:val="es-ES"/>
        </w:rPr>
        <w:t xml:space="preserve"> por el estrecho vínculo familiar y las gestiones llevadas para obtener </w:t>
      </w:r>
      <w:r w:rsidR="00B924DB" w:rsidRPr="00D83E09">
        <w:rPr>
          <w:rFonts w:asciiTheme="majorHAnsi" w:hAnsiTheme="majorHAnsi"/>
          <w:sz w:val="20"/>
          <w:szCs w:val="20"/>
          <w:lang w:val="es-ES"/>
        </w:rPr>
        <w:t>justicia</w:t>
      </w:r>
      <w:r w:rsidR="00E33797">
        <w:rPr>
          <w:rStyle w:val="FootnoteReference"/>
          <w:rFonts w:asciiTheme="majorHAnsi" w:hAnsiTheme="majorHAnsi"/>
          <w:sz w:val="20"/>
          <w:szCs w:val="20"/>
          <w:lang w:val="es-ES"/>
        </w:rPr>
        <w:footnoteReference w:id="123"/>
      </w:r>
      <w:r w:rsidR="00B924DB" w:rsidRPr="00D83E09">
        <w:rPr>
          <w:rFonts w:asciiTheme="majorHAnsi" w:hAnsiTheme="majorHAnsi"/>
          <w:sz w:val="20"/>
          <w:szCs w:val="20"/>
          <w:lang w:val="es-ES"/>
        </w:rPr>
        <w:t>. En el presente caso, tal como ya se comentó la búsqueda de tratamiento de la niña Martina a través los litigios acreditados, y el evidente vínculo familiar estrecho entre el padre y la madre con su hija en condición de grave vulnerabilidad, permite inferir como lógi</w:t>
      </w:r>
      <w:r w:rsidR="00901289" w:rsidRPr="00D83E09">
        <w:rPr>
          <w:rFonts w:asciiTheme="majorHAnsi" w:hAnsiTheme="majorHAnsi"/>
          <w:sz w:val="20"/>
          <w:szCs w:val="20"/>
          <w:lang w:val="es-ES"/>
        </w:rPr>
        <w:t>cos los sufrimientos alegados.</w:t>
      </w:r>
    </w:p>
    <w:p w:rsidR="00B924DB" w:rsidRPr="00901289" w:rsidRDefault="00B924DB" w:rsidP="00B924DB">
      <w:pPr>
        <w:pStyle w:val="ListParagraph"/>
        <w:rPr>
          <w:rFonts w:asciiTheme="majorHAnsi" w:hAnsiTheme="majorHAnsi"/>
          <w:sz w:val="20"/>
          <w:szCs w:val="20"/>
          <w:lang w:val="es-ES"/>
        </w:rPr>
      </w:pPr>
    </w:p>
    <w:p w:rsidR="003A1175" w:rsidRPr="00AA4850" w:rsidRDefault="00B924DB"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Pr>
          <w:rFonts w:asciiTheme="majorHAnsi" w:hAnsiTheme="majorHAnsi"/>
          <w:sz w:val="20"/>
          <w:szCs w:val="20"/>
          <w:lang w:val="es-CL"/>
        </w:rPr>
        <w:t xml:space="preserve">En virtud de lo </w:t>
      </w:r>
      <w:r w:rsidR="00ED7921">
        <w:rPr>
          <w:rFonts w:asciiTheme="majorHAnsi" w:hAnsiTheme="majorHAnsi"/>
          <w:sz w:val="20"/>
          <w:szCs w:val="20"/>
          <w:lang w:val="es-CL"/>
        </w:rPr>
        <w:t>expuesto</w:t>
      </w:r>
      <w:r>
        <w:rPr>
          <w:rFonts w:asciiTheme="majorHAnsi" w:hAnsiTheme="majorHAnsi"/>
          <w:sz w:val="20"/>
          <w:szCs w:val="20"/>
          <w:lang w:val="es-CL"/>
        </w:rPr>
        <w:t xml:space="preserve">, </w:t>
      </w:r>
      <w:r w:rsidR="00901289">
        <w:rPr>
          <w:rFonts w:asciiTheme="majorHAnsi" w:hAnsiTheme="majorHAnsi"/>
          <w:sz w:val="20"/>
          <w:szCs w:val="20"/>
          <w:lang w:val="es-CL"/>
        </w:rPr>
        <w:t>la Comisión considera que el Estado vulneró el derecho a la integridad psíquica y moral del señor Vera y la señora Rojas establecido en el artículo 5.1. de la Convención Americana</w:t>
      </w:r>
      <w:r w:rsidR="006C7971">
        <w:rPr>
          <w:rFonts w:asciiTheme="majorHAnsi" w:hAnsiTheme="majorHAnsi"/>
          <w:sz w:val="20"/>
          <w:szCs w:val="20"/>
          <w:lang w:val="es-CL"/>
        </w:rPr>
        <w:t xml:space="preserve">, en relación con las obligaciones contenidas en el artículo 1.1. del mismo instrumento. </w:t>
      </w:r>
    </w:p>
    <w:p w:rsidR="00AA4850" w:rsidRPr="00B924DB" w:rsidRDefault="00AA4850" w:rsidP="00AA48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rsidR="00D12193" w:rsidRPr="00E909AA" w:rsidRDefault="00F5400E" w:rsidP="00C505E4">
      <w:pPr>
        <w:pStyle w:val="Heading1"/>
        <w:rPr>
          <w:lang w:val="es-ES_tradnl"/>
        </w:rPr>
      </w:pPr>
      <w:bookmarkStart w:id="32" w:name="_Toc531880136"/>
      <w:r>
        <w:rPr>
          <w:lang w:val="es-ES_tradnl"/>
        </w:rPr>
        <w:t>CONCLUSIONES Y RECOMENDACIONES</w:t>
      </w:r>
      <w:bookmarkEnd w:id="32"/>
    </w:p>
    <w:p w:rsidR="00D12193" w:rsidRDefault="00D12193" w:rsidP="00D12193">
      <w:pPr>
        <w:suppressAutoHyphens/>
        <w:rPr>
          <w:rFonts w:asciiTheme="majorHAnsi" w:hAnsiTheme="majorHAnsi"/>
          <w:b/>
          <w:sz w:val="20"/>
          <w:szCs w:val="20"/>
          <w:lang w:val="es-ES_tradnl"/>
        </w:rPr>
      </w:pPr>
    </w:p>
    <w:p w:rsidR="00006896" w:rsidRPr="007162A7" w:rsidRDefault="000E0331" w:rsidP="00F540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lang w:val="es-ES_tradnl"/>
        </w:rPr>
      </w:pPr>
      <w:r w:rsidRPr="007162A7">
        <w:rPr>
          <w:rFonts w:ascii="Cambria" w:hAnsi="Cambria"/>
          <w:color w:val="000000" w:themeColor="text1"/>
          <w:sz w:val="20"/>
          <w:szCs w:val="20"/>
          <w:lang w:val="es-VE"/>
        </w:rPr>
        <w:t>Con base en las determinaciones de hecho y de derecho, la Comisión Interamericana concluyó que el Estado es responsable por la violación de los artículos 4.1 (derecho a la vida), 5.1 (derecho a la integridad), 19 (derechos de los niños con discapacidad), 26 (derecho a la salud); y 8.1 y 25.1. (garantías judiciales y protección judicial); de la Convención Americana sobre Derechos Humanos</w:t>
      </w:r>
      <w:r w:rsidRPr="007162A7">
        <w:rPr>
          <w:rFonts w:ascii="Cambria" w:hAnsi="Cambria"/>
          <w:sz w:val="20"/>
          <w:szCs w:val="20"/>
          <w:lang w:val="es-VE"/>
        </w:rPr>
        <w:t xml:space="preserve"> en relación con las obligaciones establecidas en los artículos 1.1 y 2 del mismo instrumento. </w:t>
      </w:r>
    </w:p>
    <w:p w:rsidR="007162A7" w:rsidRPr="007162A7" w:rsidRDefault="007162A7" w:rsidP="007162A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lang w:val="es-ES_tradnl"/>
        </w:rPr>
      </w:pPr>
    </w:p>
    <w:p w:rsidR="00006896" w:rsidRPr="00CB025A" w:rsidRDefault="00006896" w:rsidP="00006896">
      <w:pPr>
        <w:ind w:firstLine="720"/>
        <w:jc w:val="both"/>
        <w:rPr>
          <w:rFonts w:ascii="Cambria" w:hAnsi="Cambria"/>
          <w:b/>
          <w:sz w:val="20"/>
          <w:szCs w:val="20"/>
          <w:lang w:val="es-ES_tradnl"/>
        </w:rPr>
      </w:pPr>
      <w:r w:rsidRPr="00CB025A">
        <w:rPr>
          <w:rFonts w:ascii="Cambria" w:hAnsi="Cambria"/>
          <w:b/>
          <w:sz w:val="20"/>
          <w:szCs w:val="20"/>
          <w:lang w:val="es-ES_tradnl"/>
        </w:rPr>
        <w:tab/>
        <w:t xml:space="preserve">LA COMISIÓN INTERAMERICANA DE DERECHOS HUMANOS, RECOMIENDA AL ESTADO DE </w:t>
      </w:r>
      <w:r w:rsidR="00686E68" w:rsidRPr="00716398">
        <w:rPr>
          <w:rFonts w:ascii="Cambria" w:hAnsi="Cambria"/>
          <w:b/>
          <w:sz w:val="20"/>
          <w:szCs w:val="20"/>
          <w:lang w:val="es-ES_tradnl"/>
        </w:rPr>
        <w:t>CHILE</w:t>
      </w:r>
      <w:r w:rsidRPr="00CB025A">
        <w:rPr>
          <w:rFonts w:ascii="Cambria" w:hAnsi="Cambria"/>
          <w:b/>
          <w:sz w:val="20"/>
          <w:szCs w:val="20"/>
          <w:lang w:val="es-ES_tradnl"/>
        </w:rPr>
        <w:t>,</w:t>
      </w:r>
    </w:p>
    <w:p w:rsidR="005F309E" w:rsidRPr="00686E68" w:rsidRDefault="005F309E" w:rsidP="00686E6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rsidR="005F309E" w:rsidRDefault="005F309E" w:rsidP="00F540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5F309E">
        <w:rPr>
          <w:rFonts w:eastAsia="Times New Roman" w:cs="Tahoma"/>
          <w:sz w:val="20"/>
          <w:szCs w:val="20"/>
          <w:bdr w:val="none" w:sz="0" w:space="0" w:color="auto"/>
          <w:lang w:val="es-ES"/>
        </w:rPr>
        <w:t>Reparar integralmente las violaciones de derechos humanos declaradas en el presente informe tanto e</w:t>
      </w:r>
      <w:r>
        <w:rPr>
          <w:rFonts w:eastAsia="Times New Roman" w:cs="Tahoma"/>
          <w:sz w:val="20"/>
          <w:szCs w:val="20"/>
          <w:bdr w:val="none" w:sz="0" w:space="0" w:color="auto"/>
          <w:lang w:val="es-ES"/>
        </w:rPr>
        <w:t>n el aspecto material como inmaterial</w:t>
      </w:r>
      <w:r w:rsidRPr="005F309E">
        <w:rPr>
          <w:rFonts w:eastAsia="Times New Roman" w:cs="Tahoma"/>
          <w:sz w:val="20"/>
          <w:szCs w:val="20"/>
          <w:bdr w:val="none" w:sz="0" w:space="0" w:color="auto"/>
          <w:lang w:val="es-ES"/>
        </w:rPr>
        <w:t xml:space="preserve">. El Estado deberá adoptar las medidas de compensación </w:t>
      </w:r>
      <w:r>
        <w:rPr>
          <w:rFonts w:eastAsia="Times New Roman" w:cs="Tahoma"/>
          <w:sz w:val="20"/>
          <w:szCs w:val="20"/>
          <w:bdr w:val="none" w:sz="0" w:space="0" w:color="auto"/>
          <w:lang w:val="es-ES"/>
        </w:rPr>
        <w:t>económica y satisfacción.</w:t>
      </w:r>
      <w:r w:rsidRPr="005F309E">
        <w:rPr>
          <w:rFonts w:eastAsia="Times New Roman" w:cs="Tahoma"/>
          <w:sz w:val="20"/>
          <w:szCs w:val="20"/>
          <w:bdr w:val="none" w:sz="0" w:space="0" w:color="auto"/>
          <w:lang w:val="es-ES"/>
        </w:rPr>
        <w:t xml:space="preserve"> </w:t>
      </w:r>
    </w:p>
    <w:p w:rsidR="005F309E" w:rsidRPr="005F309E" w:rsidRDefault="005F309E" w:rsidP="005F309E">
      <w:pPr>
        <w:pStyle w:val="ListParagraph"/>
        <w:rPr>
          <w:rFonts w:eastAsia="Times New Roman" w:cs="Tahoma"/>
          <w:sz w:val="20"/>
          <w:szCs w:val="20"/>
          <w:bdr w:val="none" w:sz="0" w:space="0" w:color="auto"/>
          <w:lang w:val="es-ES"/>
        </w:rPr>
      </w:pPr>
    </w:p>
    <w:p w:rsidR="00A64242" w:rsidRPr="00A64242" w:rsidRDefault="005F309E" w:rsidP="00F540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sz w:val="20"/>
          <w:szCs w:val="20"/>
          <w:bdr w:val="none" w:sz="0" w:space="0" w:color="auto"/>
          <w:lang w:val="es-ES"/>
        </w:rPr>
        <w:t>Disponer las medidas de atención en salud física y mental necesarias para la rehabilitación</w:t>
      </w:r>
      <w:r w:rsidR="0033028D">
        <w:rPr>
          <w:rFonts w:eastAsia="Times New Roman" w:cs="Tahoma"/>
          <w:sz w:val="20"/>
          <w:szCs w:val="20"/>
          <w:bdr w:val="none" w:sz="0" w:space="0" w:color="auto"/>
          <w:lang w:val="es-ES"/>
        </w:rPr>
        <w:t xml:space="preserve"> de </w:t>
      </w:r>
      <w:r w:rsidR="00716398">
        <w:rPr>
          <w:rFonts w:eastAsia="Times New Roman" w:cs="Tahoma"/>
          <w:sz w:val="20"/>
          <w:szCs w:val="20"/>
          <w:bdr w:val="none" w:sz="0" w:space="0" w:color="auto"/>
          <w:lang w:val="es-ES"/>
        </w:rPr>
        <w:t>Ramiro Vera Luza y Carolina Rojas Farías</w:t>
      </w:r>
      <w:r>
        <w:rPr>
          <w:rFonts w:eastAsia="Times New Roman" w:cs="Tahoma"/>
          <w:sz w:val="20"/>
          <w:szCs w:val="20"/>
          <w:bdr w:val="none" w:sz="0" w:space="0" w:color="auto"/>
          <w:lang w:val="es-ES"/>
        </w:rPr>
        <w:t>, de ser su voluntad y de manera concertada.</w:t>
      </w:r>
      <w:r w:rsidR="00716398">
        <w:rPr>
          <w:rFonts w:eastAsia="Times New Roman" w:cs="Tahoma"/>
          <w:sz w:val="20"/>
          <w:szCs w:val="20"/>
          <w:bdr w:val="none" w:sz="0" w:space="0" w:color="auto"/>
          <w:lang w:val="es-ES"/>
        </w:rPr>
        <w:t xml:space="preserve"> </w:t>
      </w:r>
    </w:p>
    <w:p w:rsidR="00A64242" w:rsidRPr="00A64242" w:rsidRDefault="00A64242" w:rsidP="00A6424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rsidR="00A64242" w:rsidRPr="00A64242" w:rsidRDefault="00A64242" w:rsidP="00F540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sz w:val="20"/>
          <w:szCs w:val="20"/>
          <w:bdr w:val="none" w:sz="0" w:space="0" w:color="auto"/>
          <w:lang w:val="es-ES"/>
        </w:rPr>
        <w:t>A</w:t>
      </w:r>
      <w:r w:rsidR="00716398">
        <w:rPr>
          <w:rFonts w:eastAsia="Times New Roman" w:cs="Tahoma"/>
          <w:sz w:val="20"/>
          <w:szCs w:val="20"/>
          <w:bdr w:val="none" w:sz="0" w:space="0" w:color="auto"/>
          <w:lang w:val="es-ES"/>
        </w:rPr>
        <w:t xml:space="preserve">segurar que el régimen de hospitalización domiciliaria de Martina Vera </w:t>
      </w:r>
      <w:r w:rsidR="007F2A10">
        <w:rPr>
          <w:rFonts w:eastAsia="Times New Roman" w:cs="Tahoma"/>
          <w:sz w:val="20"/>
          <w:szCs w:val="20"/>
          <w:bdr w:val="none" w:sz="0" w:space="0" w:color="auto"/>
          <w:lang w:val="es-ES"/>
        </w:rPr>
        <w:t xml:space="preserve">Rojas se mantenga vigente mientras lo requiera. Esta recomendación incluye que cualquier determinación futura que se efectúe sobre dicho régimen, cumpla con los estándares descritos en el presente informe y tenga como eje central el interés superior de la víctima como niña con discapacidad.  </w:t>
      </w:r>
    </w:p>
    <w:p w:rsidR="00A64242" w:rsidRPr="00A64242" w:rsidRDefault="00A64242" w:rsidP="00A6424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US"/>
        </w:rPr>
      </w:pPr>
    </w:p>
    <w:p w:rsidR="00006896" w:rsidRPr="00680ED2" w:rsidRDefault="00006896" w:rsidP="00F540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14"/>
          <w:szCs w:val="14"/>
          <w:bdr w:val="none" w:sz="0" w:space="0" w:color="auto"/>
          <w:lang w:val="es-ES"/>
        </w:rPr>
      </w:pPr>
      <w:r w:rsidRPr="004437FA">
        <w:rPr>
          <w:rFonts w:eastAsia="Times New Roman" w:cs="Tahoma"/>
          <w:color w:val="auto"/>
          <w:sz w:val="20"/>
          <w:szCs w:val="20"/>
          <w:bdr w:val="none" w:sz="0" w:space="0" w:color="auto"/>
          <w:lang w:val="es-US"/>
        </w:rPr>
        <w:t xml:space="preserve">Disponer mecanismos de no repetición que incluyan: </w:t>
      </w:r>
      <w:r w:rsidR="00A64242" w:rsidRPr="004437FA">
        <w:rPr>
          <w:rFonts w:eastAsia="Times New Roman" w:cs="Tahoma"/>
          <w:color w:val="auto"/>
          <w:sz w:val="20"/>
          <w:szCs w:val="20"/>
          <w:bdr w:val="none" w:sz="0" w:space="0" w:color="auto"/>
          <w:lang w:val="es-US"/>
        </w:rPr>
        <w:t>i</w:t>
      </w:r>
      <w:r w:rsidR="00820FC7" w:rsidRPr="004437FA">
        <w:rPr>
          <w:rFonts w:eastAsia="Times New Roman" w:cs="Tahoma"/>
          <w:color w:val="auto"/>
          <w:sz w:val="20"/>
          <w:szCs w:val="20"/>
          <w:bdr w:val="none" w:sz="0" w:space="0" w:color="auto"/>
          <w:lang w:val="es-US"/>
        </w:rPr>
        <w:t xml:space="preserve">) </w:t>
      </w:r>
      <w:r w:rsidR="004437FA" w:rsidRPr="004437FA">
        <w:rPr>
          <w:rFonts w:eastAsia="Times New Roman" w:cs="Tahoma"/>
          <w:color w:val="auto"/>
          <w:sz w:val="20"/>
          <w:szCs w:val="20"/>
          <w:bdr w:val="none" w:sz="0" w:space="0" w:color="auto"/>
          <w:lang w:val="es-US"/>
        </w:rPr>
        <w:t xml:space="preserve">asegurar que </w:t>
      </w:r>
      <w:r w:rsidR="00820FC7" w:rsidRPr="004437FA">
        <w:rPr>
          <w:rFonts w:eastAsia="Times New Roman" w:cs="Tahoma"/>
          <w:color w:val="auto"/>
          <w:sz w:val="20"/>
          <w:szCs w:val="20"/>
          <w:bdr w:val="none" w:sz="0" w:space="0" w:color="auto"/>
          <w:lang w:val="es-US"/>
        </w:rPr>
        <w:t>el proceso ante</w:t>
      </w:r>
      <w:r w:rsidR="00716398" w:rsidRPr="004437FA">
        <w:rPr>
          <w:rFonts w:eastAsia="Times New Roman" w:cs="Tahoma"/>
          <w:color w:val="auto"/>
          <w:sz w:val="20"/>
          <w:szCs w:val="20"/>
          <w:bdr w:val="none" w:sz="0" w:space="0" w:color="auto"/>
          <w:lang w:val="es-US"/>
        </w:rPr>
        <w:t xml:space="preserve"> la Superintendencia de Salud, sobre confli</w:t>
      </w:r>
      <w:r w:rsidR="004437FA" w:rsidRPr="004437FA">
        <w:rPr>
          <w:rFonts w:eastAsia="Times New Roman" w:cs="Tahoma"/>
          <w:color w:val="auto"/>
          <w:sz w:val="20"/>
          <w:szCs w:val="20"/>
          <w:bdr w:val="none" w:sz="0" w:space="0" w:color="auto"/>
          <w:lang w:val="es-US"/>
        </w:rPr>
        <w:t xml:space="preserve">ctos entre Isapres y asegurados frente al retiro de prestaciones médicas respecto de enfermedades graves, cumplan con </w:t>
      </w:r>
      <w:r w:rsidR="00716398" w:rsidRPr="004437FA">
        <w:rPr>
          <w:rFonts w:eastAsia="Times New Roman" w:cs="Tahoma"/>
          <w:color w:val="auto"/>
          <w:sz w:val="20"/>
          <w:szCs w:val="20"/>
          <w:bdr w:val="none" w:sz="0" w:space="0" w:color="auto"/>
          <w:lang w:val="es-US"/>
        </w:rPr>
        <w:t>los estándares</w:t>
      </w:r>
      <w:r w:rsidR="004437FA" w:rsidRPr="004437FA">
        <w:rPr>
          <w:rFonts w:eastAsia="Times New Roman" w:cs="Tahoma"/>
          <w:color w:val="auto"/>
          <w:sz w:val="20"/>
          <w:szCs w:val="20"/>
          <w:bdr w:val="none" w:sz="0" w:space="0" w:color="auto"/>
          <w:lang w:val="es-US"/>
        </w:rPr>
        <w:t xml:space="preserve"> establecidos en el presente informe; </w:t>
      </w:r>
      <w:r w:rsidR="004437FA">
        <w:rPr>
          <w:rFonts w:eastAsia="Times New Roman" w:cs="Tahoma"/>
          <w:color w:val="auto"/>
          <w:sz w:val="20"/>
          <w:szCs w:val="20"/>
          <w:bdr w:val="none" w:sz="0" w:space="0" w:color="auto"/>
          <w:lang w:val="es-US"/>
        </w:rPr>
        <w:t xml:space="preserve">y </w:t>
      </w:r>
      <w:r w:rsidR="004437FA" w:rsidRPr="004437FA">
        <w:rPr>
          <w:rFonts w:eastAsia="Times New Roman" w:cs="Tahoma"/>
          <w:color w:val="auto"/>
          <w:sz w:val="20"/>
          <w:szCs w:val="20"/>
          <w:bdr w:val="none" w:sz="0" w:space="0" w:color="auto"/>
          <w:lang w:val="es-US"/>
        </w:rPr>
        <w:t xml:space="preserve">ii) asegurar que existan recursos judiciales idóneos y expeditos para impugnar posibles decisiones de las Isapres que puedan afectar el derecho a la salud </w:t>
      </w:r>
      <w:r w:rsidR="009E59A9">
        <w:rPr>
          <w:rFonts w:eastAsia="Times New Roman" w:cs="Tahoma"/>
          <w:color w:val="auto"/>
          <w:sz w:val="20"/>
          <w:szCs w:val="20"/>
          <w:bdr w:val="none" w:sz="0" w:space="0" w:color="auto"/>
          <w:lang w:val="es-US"/>
        </w:rPr>
        <w:t xml:space="preserve">y seguridad social </w:t>
      </w:r>
      <w:r w:rsidR="004437FA" w:rsidRPr="004437FA">
        <w:rPr>
          <w:rFonts w:eastAsia="Times New Roman" w:cs="Tahoma"/>
          <w:color w:val="auto"/>
          <w:sz w:val="20"/>
          <w:szCs w:val="20"/>
          <w:bdr w:val="none" w:sz="0" w:space="0" w:color="auto"/>
          <w:lang w:val="es-US"/>
        </w:rPr>
        <w:t>de una persona y poner en peligro su vida e integridad personal</w:t>
      </w:r>
      <w:r w:rsidR="004437FA">
        <w:rPr>
          <w:rFonts w:eastAsia="Times New Roman" w:cs="Tahoma"/>
          <w:color w:val="auto"/>
          <w:sz w:val="20"/>
          <w:szCs w:val="20"/>
          <w:bdr w:val="none" w:sz="0" w:space="0" w:color="auto"/>
          <w:lang w:val="es-US"/>
        </w:rPr>
        <w:t>.</w:t>
      </w:r>
    </w:p>
    <w:p w:rsidR="00680ED2" w:rsidRDefault="00680ED2" w:rsidP="009F526E">
      <w:pPr>
        <w:rPr>
          <w:rFonts w:asciiTheme="majorHAnsi" w:eastAsia="Times New Roman" w:hAnsiTheme="majorHAnsi"/>
          <w:sz w:val="20"/>
          <w:szCs w:val="20"/>
          <w:bdr w:val="none" w:sz="0" w:space="0" w:color="auto"/>
          <w:lang w:val="es-ES"/>
        </w:rPr>
      </w:pPr>
    </w:p>
    <w:p w:rsidR="00C70779" w:rsidRPr="003E0016" w:rsidRDefault="00C70779" w:rsidP="00C70779">
      <w:pPr>
        <w:ind w:firstLine="720"/>
        <w:jc w:val="both"/>
        <w:rPr>
          <w:rFonts w:ascii="Cambria" w:hAnsi="Cambria" w:cs="Arial"/>
          <w:noProof/>
          <w:spacing w:val="-2"/>
          <w:sz w:val="20"/>
          <w:szCs w:val="20"/>
          <w:lang w:val="es-CL"/>
        </w:rPr>
      </w:pPr>
      <w:r w:rsidRPr="003E0016">
        <w:rPr>
          <w:rFonts w:ascii="Cambria" w:hAnsi="Cambria" w:cs="Arial"/>
          <w:noProof/>
          <w:spacing w:val="-2"/>
          <w:sz w:val="20"/>
          <w:szCs w:val="20"/>
          <w:lang w:val="es-CL"/>
        </w:rPr>
        <w:t>Aprobado en la ciudad de Boulder, Colorado a los 5 días del mes de octubre de 2018.</w:t>
      </w:r>
    </w:p>
    <w:p w:rsidR="00C70779" w:rsidRPr="003E0016" w:rsidRDefault="00C70779" w:rsidP="00C70779">
      <w:pPr>
        <w:suppressAutoHyphens/>
        <w:ind w:firstLine="720"/>
        <w:jc w:val="both"/>
        <w:rPr>
          <w:rFonts w:ascii="Cambria" w:hAnsi="Cambria" w:cs="Arial"/>
          <w:noProof/>
          <w:spacing w:val="-2"/>
          <w:sz w:val="20"/>
          <w:szCs w:val="20"/>
          <w:lang w:val="es-CL"/>
        </w:rPr>
      </w:pPr>
    </w:p>
    <w:p w:rsidR="00C70779" w:rsidRPr="003E0016" w:rsidRDefault="00C70779" w:rsidP="00C70779">
      <w:pPr>
        <w:suppressAutoHyphens/>
        <w:ind w:firstLine="720"/>
        <w:jc w:val="both"/>
        <w:rPr>
          <w:rFonts w:ascii="Cambria" w:hAnsi="Cambria" w:cs="Arial"/>
          <w:noProof/>
          <w:spacing w:val="-2"/>
          <w:sz w:val="20"/>
          <w:szCs w:val="20"/>
          <w:lang w:val="es-CL"/>
        </w:rPr>
      </w:pPr>
    </w:p>
    <w:p w:rsidR="00C70779" w:rsidRPr="003E0016" w:rsidRDefault="00C70779" w:rsidP="00C70779">
      <w:pPr>
        <w:suppressAutoHyphens/>
        <w:ind w:firstLine="720"/>
        <w:jc w:val="both"/>
        <w:rPr>
          <w:rFonts w:ascii="Cambria" w:hAnsi="Cambria" w:cs="Arial"/>
          <w:noProof/>
          <w:spacing w:val="-2"/>
          <w:sz w:val="20"/>
          <w:szCs w:val="20"/>
          <w:lang w:val="es-CL"/>
        </w:rPr>
      </w:pPr>
    </w:p>
    <w:p w:rsidR="00C70779" w:rsidRPr="003E0016" w:rsidRDefault="00C70779" w:rsidP="00C70779">
      <w:pPr>
        <w:suppressAutoHyphens/>
        <w:ind w:firstLine="720"/>
        <w:jc w:val="both"/>
        <w:rPr>
          <w:rFonts w:ascii="Cambria" w:hAnsi="Cambria" w:cs="Arial"/>
          <w:noProof/>
          <w:spacing w:val="-2"/>
          <w:sz w:val="20"/>
          <w:szCs w:val="20"/>
          <w:lang w:val="es-CL"/>
        </w:rPr>
      </w:pPr>
    </w:p>
    <w:p w:rsidR="00C70779" w:rsidRPr="003E0016" w:rsidRDefault="00C70779" w:rsidP="00C70779">
      <w:pPr>
        <w:suppressAutoHyphens/>
        <w:ind w:firstLine="720"/>
        <w:jc w:val="both"/>
        <w:rPr>
          <w:rFonts w:ascii="Cambria" w:hAnsi="Cambria" w:cs="Arial"/>
          <w:noProof/>
          <w:spacing w:val="-2"/>
          <w:sz w:val="20"/>
          <w:szCs w:val="20"/>
          <w:lang w:val="es-CL"/>
        </w:rPr>
      </w:pPr>
    </w:p>
    <w:tbl>
      <w:tblPr>
        <w:tblW w:w="0" w:type="auto"/>
        <w:jc w:val="center"/>
        <w:tblLook w:val="01E0" w:firstRow="1" w:lastRow="1" w:firstColumn="1" w:lastColumn="1" w:noHBand="0" w:noVBand="0"/>
      </w:tblPr>
      <w:tblGrid>
        <w:gridCol w:w="4683"/>
        <w:gridCol w:w="4677"/>
      </w:tblGrid>
      <w:tr w:rsidR="00C70779" w:rsidRPr="003E0016" w:rsidTr="00C70779">
        <w:trPr>
          <w:trHeight w:val="1224"/>
          <w:jc w:val="center"/>
        </w:trPr>
        <w:tc>
          <w:tcPr>
            <w:tcW w:w="9576" w:type="dxa"/>
            <w:gridSpan w:val="2"/>
            <w:shd w:val="clear" w:color="auto" w:fill="auto"/>
          </w:tcPr>
          <w:p w:rsidR="00C70779" w:rsidRPr="003E0016" w:rsidRDefault="00C70779" w:rsidP="005E3D28">
            <w:pPr>
              <w:suppressAutoHyphens/>
              <w:jc w:val="center"/>
              <w:rPr>
                <w:rFonts w:ascii="Cambria" w:hAnsi="Cambria"/>
                <w:spacing w:val="-2"/>
                <w:sz w:val="20"/>
                <w:szCs w:val="20"/>
                <w:lang w:val="es-CL"/>
              </w:rPr>
            </w:pPr>
            <w:r w:rsidRPr="003E0016">
              <w:rPr>
                <w:rFonts w:ascii="Cambria" w:hAnsi="Cambria"/>
                <w:spacing w:val="-2"/>
                <w:sz w:val="20"/>
                <w:szCs w:val="20"/>
                <w:lang w:val="es-CL"/>
              </w:rPr>
              <w:t>Margarette May Macaulay</w:t>
            </w:r>
          </w:p>
          <w:p w:rsidR="00C70779" w:rsidRPr="003E0016" w:rsidRDefault="00C70779" w:rsidP="005E3D28">
            <w:pPr>
              <w:suppressAutoHyphens/>
              <w:jc w:val="center"/>
              <w:rPr>
                <w:rFonts w:ascii="Cambria" w:hAnsi="Cambria"/>
                <w:spacing w:val="-2"/>
                <w:sz w:val="20"/>
                <w:szCs w:val="20"/>
                <w:lang w:val="fr-CA"/>
              </w:rPr>
            </w:pPr>
            <w:r w:rsidRPr="003E0016">
              <w:rPr>
                <w:rFonts w:ascii="Cambria" w:hAnsi="Cambria"/>
                <w:spacing w:val="-2"/>
                <w:sz w:val="20"/>
                <w:szCs w:val="20"/>
                <w:lang w:val="es-CL"/>
              </w:rPr>
              <w:t>Presidenta</w:t>
            </w:r>
          </w:p>
        </w:tc>
      </w:tr>
      <w:tr w:rsidR="00C70779" w:rsidRPr="003E0016" w:rsidTr="00C70779">
        <w:trPr>
          <w:trHeight w:val="1440"/>
          <w:jc w:val="center"/>
        </w:trPr>
        <w:tc>
          <w:tcPr>
            <w:tcW w:w="4788" w:type="dxa"/>
            <w:shd w:val="clear" w:color="auto" w:fill="auto"/>
          </w:tcPr>
          <w:p w:rsidR="00C70779" w:rsidRPr="003E0016" w:rsidRDefault="00C70779" w:rsidP="005E3D28">
            <w:pPr>
              <w:suppressAutoHyphens/>
              <w:jc w:val="center"/>
              <w:rPr>
                <w:rFonts w:ascii="Cambria" w:hAnsi="Cambria"/>
                <w:spacing w:val="-2"/>
                <w:sz w:val="20"/>
                <w:szCs w:val="20"/>
                <w:lang w:val="es-CL"/>
              </w:rPr>
            </w:pPr>
            <w:r w:rsidRPr="003E0016">
              <w:rPr>
                <w:rFonts w:ascii="Cambria" w:hAnsi="Cambria"/>
                <w:spacing w:val="-2"/>
                <w:sz w:val="20"/>
                <w:szCs w:val="20"/>
                <w:lang w:val="es-CL"/>
              </w:rPr>
              <w:t>Esmeralda E. Arosemena Bernal de Troitiño</w:t>
            </w:r>
          </w:p>
          <w:p w:rsidR="00C70779" w:rsidRPr="003E0016" w:rsidRDefault="00C70779" w:rsidP="005E3D28">
            <w:pPr>
              <w:suppressAutoHyphens/>
              <w:jc w:val="center"/>
              <w:rPr>
                <w:rFonts w:ascii="Cambria" w:hAnsi="Cambria"/>
                <w:spacing w:val="-2"/>
                <w:sz w:val="20"/>
                <w:szCs w:val="20"/>
                <w:lang w:val="es-ES"/>
              </w:rPr>
            </w:pPr>
            <w:r w:rsidRPr="003E0016">
              <w:rPr>
                <w:rFonts w:ascii="Cambria" w:hAnsi="Cambria"/>
                <w:spacing w:val="-2"/>
                <w:sz w:val="20"/>
                <w:szCs w:val="20"/>
                <w:lang w:val="es-CL"/>
              </w:rPr>
              <w:t>Primera Vicepresidenta</w:t>
            </w:r>
          </w:p>
        </w:tc>
        <w:tc>
          <w:tcPr>
            <w:tcW w:w="4788" w:type="dxa"/>
            <w:shd w:val="clear" w:color="auto" w:fill="auto"/>
          </w:tcPr>
          <w:p w:rsidR="00C70779" w:rsidRPr="003E0016" w:rsidRDefault="00C70779" w:rsidP="005E3D28">
            <w:pPr>
              <w:suppressAutoHyphens/>
              <w:jc w:val="center"/>
              <w:rPr>
                <w:rFonts w:ascii="Cambria" w:hAnsi="Cambria"/>
                <w:spacing w:val="-2"/>
                <w:sz w:val="20"/>
                <w:szCs w:val="20"/>
                <w:lang w:val="es-ES"/>
              </w:rPr>
            </w:pPr>
            <w:r w:rsidRPr="003E0016">
              <w:rPr>
                <w:rFonts w:ascii="Cambria" w:hAnsi="Cambria"/>
                <w:spacing w:val="-2"/>
                <w:sz w:val="20"/>
                <w:szCs w:val="20"/>
                <w:lang w:val="es-CL"/>
              </w:rPr>
              <w:t>Francisco José Eguiguren Praeli</w:t>
            </w:r>
            <w:r w:rsidRPr="003E0016">
              <w:rPr>
                <w:rFonts w:ascii="Cambria" w:hAnsi="Cambria"/>
                <w:spacing w:val="-2"/>
                <w:sz w:val="20"/>
                <w:szCs w:val="20"/>
                <w:lang w:val="es-ES"/>
              </w:rPr>
              <w:br/>
            </w:r>
            <w:r w:rsidRPr="003E0016">
              <w:rPr>
                <w:rFonts w:ascii="Cambria" w:hAnsi="Cambria" w:cs="Arial"/>
                <w:noProof/>
                <w:spacing w:val="-2"/>
                <w:sz w:val="20"/>
                <w:szCs w:val="20"/>
                <w:lang w:val="es-CL"/>
              </w:rPr>
              <w:t>Comisionado</w:t>
            </w:r>
          </w:p>
        </w:tc>
      </w:tr>
      <w:tr w:rsidR="00C70779" w:rsidRPr="003E0016" w:rsidTr="005E3D28">
        <w:trPr>
          <w:trHeight w:val="621"/>
          <w:jc w:val="center"/>
        </w:trPr>
        <w:tc>
          <w:tcPr>
            <w:tcW w:w="4788" w:type="dxa"/>
            <w:shd w:val="clear" w:color="auto" w:fill="auto"/>
          </w:tcPr>
          <w:p w:rsidR="00C70779" w:rsidRDefault="00C70779" w:rsidP="005E3D28">
            <w:pPr>
              <w:suppressAutoHyphens/>
              <w:jc w:val="center"/>
              <w:rPr>
                <w:rFonts w:ascii="Cambria" w:hAnsi="Cambria"/>
                <w:spacing w:val="-2"/>
                <w:sz w:val="20"/>
                <w:szCs w:val="20"/>
                <w:lang w:val="es-CL"/>
              </w:rPr>
            </w:pPr>
          </w:p>
          <w:p w:rsidR="00C70779" w:rsidRPr="003E0016" w:rsidRDefault="00C70779" w:rsidP="005E3D28">
            <w:pPr>
              <w:suppressAutoHyphens/>
              <w:jc w:val="center"/>
              <w:rPr>
                <w:rFonts w:ascii="Cambria" w:hAnsi="Cambria"/>
                <w:spacing w:val="-2"/>
                <w:sz w:val="20"/>
                <w:szCs w:val="20"/>
                <w:lang w:val="es-ES_tradnl"/>
              </w:rPr>
            </w:pPr>
            <w:r w:rsidRPr="003E0016">
              <w:rPr>
                <w:rFonts w:ascii="Cambria" w:hAnsi="Cambria"/>
                <w:spacing w:val="-2"/>
                <w:sz w:val="20"/>
                <w:szCs w:val="20"/>
                <w:lang w:val="es-CL"/>
              </w:rPr>
              <w:t>Joel Hernández García</w:t>
            </w:r>
            <w:r w:rsidRPr="003E0016">
              <w:rPr>
                <w:rFonts w:ascii="Cambria" w:hAnsi="Cambria"/>
                <w:spacing w:val="-2"/>
                <w:sz w:val="20"/>
                <w:szCs w:val="20"/>
                <w:lang w:val="es-ES_tradnl"/>
              </w:rPr>
              <w:br/>
              <w:t>Comisionado</w:t>
            </w:r>
          </w:p>
        </w:tc>
        <w:tc>
          <w:tcPr>
            <w:tcW w:w="4788" w:type="dxa"/>
            <w:shd w:val="clear" w:color="auto" w:fill="auto"/>
          </w:tcPr>
          <w:p w:rsidR="00C70779" w:rsidRDefault="00C70779" w:rsidP="005E3D28">
            <w:pPr>
              <w:suppressAutoHyphens/>
              <w:jc w:val="center"/>
              <w:rPr>
                <w:rFonts w:ascii="Cambria" w:hAnsi="Cambria"/>
                <w:spacing w:val="-2"/>
                <w:sz w:val="20"/>
                <w:szCs w:val="20"/>
                <w:lang w:val="es-CL"/>
              </w:rPr>
            </w:pPr>
          </w:p>
          <w:p w:rsidR="00C70779" w:rsidRPr="003E0016" w:rsidRDefault="00C70779" w:rsidP="005E3D28">
            <w:pPr>
              <w:suppressAutoHyphens/>
              <w:jc w:val="center"/>
              <w:rPr>
                <w:rFonts w:ascii="Cambria" w:hAnsi="Cambria"/>
                <w:spacing w:val="-2"/>
                <w:sz w:val="20"/>
                <w:szCs w:val="20"/>
                <w:lang w:val="es-ES_tradnl"/>
              </w:rPr>
            </w:pPr>
            <w:r w:rsidRPr="003E0016">
              <w:rPr>
                <w:rFonts w:ascii="Cambria" w:hAnsi="Cambria"/>
                <w:spacing w:val="-2"/>
                <w:sz w:val="20"/>
                <w:szCs w:val="20"/>
                <w:lang w:val="es-CL"/>
              </w:rPr>
              <w:t>Flávia Piovesan</w:t>
            </w:r>
            <w:r w:rsidRPr="003E0016">
              <w:rPr>
                <w:rFonts w:ascii="Cambria" w:hAnsi="Cambria"/>
                <w:spacing w:val="-2"/>
                <w:sz w:val="20"/>
                <w:szCs w:val="20"/>
                <w:lang w:val="es-ES"/>
              </w:rPr>
              <w:br/>
              <w:t>Comisionada</w:t>
            </w:r>
          </w:p>
        </w:tc>
      </w:tr>
    </w:tbl>
    <w:p w:rsidR="00C70779" w:rsidRDefault="00C70779" w:rsidP="00C70779">
      <w:pPr>
        <w:suppressAutoHyphens/>
        <w:jc w:val="both"/>
        <w:rPr>
          <w:rFonts w:ascii="Cambria" w:hAnsi="Cambria"/>
          <w:spacing w:val="-2"/>
          <w:sz w:val="20"/>
          <w:szCs w:val="20"/>
          <w:lang w:val="es-ES"/>
        </w:rPr>
      </w:pPr>
      <w:r w:rsidRPr="003E0016">
        <w:rPr>
          <w:rFonts w:ascii="Cambria" w:hAnsi="Cambria"/>
          <w:spacing w:val="-2"/>
          <w:sz w:val="20"/>
          <w:szCs w:val="20"/>
          <w:lang w:val="es-ES"/>
        </w:rPr>
        <w:tab/>
      </w:r>
    </w:p>
    <w:p w:rsidR="00C70779" w:rsidRPr="003E0016" w:rsidRDefault="00C70779" w:rsidP="00C70779">
      <w:pPr>
        <w:suppressAutoHyphens/>
        <w:ind w:firstLine="720"/>
        <w:jc w:val="both"/>
        <w:rPr>
          <w:rFonts w:ascii="Cambria" w:hAnsi="Cambria"/>
          <w:spacing w:val="-2"/>
          <w:sz w:val="20"/>
          <w:szCs w:val="20"/>
          <w:lang w:val="es-SV"/>
        </w:rPr>
      </w:pPr>
      <w:r w:rsidRPr="003E0016">
        <w:rPr>
          <w:rFonts w:ascii="Cambria" w:hAnsi="Cambria"/>
          <w:spacing w:val="-2"/>
          <w:sz w:val="20"/>
          <w:szCs w:val="20"/>
          <w:lang w:val="es-SV"/>
        </w:rPr>
        <w:t>Regístrese y notifíquese conforme a lo acordado.</w:t>
      </w:r>
    </w:p>
    <w:p w:rsidR="00C70779" w:rsidRPr="003E0016" w:rsidRDefault="00C70779" w:rsidP="00C70779">
      <w:pPr>
        <w:suppressAutoHyphens/>
        <w:jc w:val="both"/>
        <w:rPr>
          <w:rFonts w:ascii="Cambria" w:hAnsi="Cambria"/>
          <w:spacing w:val="-2"/>
          <w:sz w:val="20"/>
          <w:szCs w:val="20"/>
          <w:lang w:val="es-SV"/>
        </w:rPr>
      </w:pPr>
    </w:p>
    <w:p w:rsidR="00C70779" w:rsidRPr="003E0016" w:rsidRDefault="00C70779" w:rsidP="00C70779">
      <w:pPr>
        <w:suppressAutoHyphens/>
        <w:jc w:val="both"/>
        <w:rPr>
          <w:rFonts w:ascii="Cambria" w:hAnsi="Cambria"/>
          <w:spacing w:val="-2"/>
          <w:sz w:val="20"/>
          <w:szCs w:val="20"/>
          <w:lang w:val="es-SV"/>
        </w:rPr>
      </w:pPr>
    </w:p>
    <w:p w:rsidR="00C70779" w:rsidRPr="003E0016" w:rsidRDefault="00C70779" w:rsidP="00C70779">
      <w:pPr>
        <w:suppressAutoHyphens/>
        <w:jc w:val="both"/>
        <w:rPr>
          <w:rFonts w:ascii="Cambria" w:hAnsi="Cambria"/>
          <w:spacing w:val="-2"/>
          <w:sz w:val="20"/>
          <w:szCs w:val="20"/>
          <w:lang w:val="es-SV"/>
        </w:rPr>
      </w:pPr>
    </w:p>
    <w:p w:rsidR="00C70779" w:rsidRPr="003E0016" w:rsidRDefault="00C70779" w:rsidP="00C70779">
      <w:pPr>
        <w:suppressAutoHyphens/>
        <w:jc w:val="both"/>
        <w:rPr>
          <w:rFonts w:ascii="Cambria" w:hAnsi="Cambria"/>
          <w:spacing w:val="-2"/>
          <w:sz w:val="20"/>
          <w:szCs w:val="20"/>
          <w:lang w:val="es-SV"/>
        </w:rPr>
      </w:pPr>
    </w:p>
    <w:p w:rsidR="00C70779" w:rsidRPr="003E0016" w:rsidRDefault="00C70779" w:rsidP="00C70779">
      <w:pPr>
        <w:suppressAutoHyphens/>
        <w:jc w:val="center"/>
        <w:rPr>
          <w:rFonts w:ascii="Cambria" w:hAnsi="Cambria"/>
          <w:spacing w:val="-2"/>
          <w:sz w:val="20"/>
          <w:szCs w:val="20"/>
          <w:lang w:val="es-SV"/>
        </w:rPr>
      </w:pPr>
      <w:r w:rsidRPr="003E0016">
        <w:rPr>
          <w:rFonts w:ascii="Cambria" w:hAnsi="Cambria"/>
          <w:spacing w:val="-2"/>
          <w:sz w:val="20"/>
          <w:szCs w:val="20"/>
          <w:lang w:val="es-SV"/>
        </w:rPr>
        <w:t>Paulo Abr</w:t>
      </w:r>
      <w:r w:rsidRPr="003E0016">
        <w:rPr>
          <w:rFonts w:ascii="Cambria" w:hAnsi="Cambria" w:cs="Arial"/>
          <w:spacing w:val="-2"/>
          <w:sz w:val="20"/>
          <w:szCs w:val="20"/>
          <w:lang w:val="es-SV"/>
        </w:rPr>
        <w:t>ã</w:t>
      </w:r>
      <w:r w:rsidRPr="003E0016">
        <w:rPr>
          <w:rFonts w:ascii="Cambria" w:hAnsi="Cambria"/>
          <w:spacing w:val="-2"/>
          <w:sz w:val="20"/>
          <w:szCs w:val="20"/>
          <w:lang w:val="es-SV"/>
        </w:rPr>
        <w:t>o</w:t>
      </w:r>
    </w:p>
    <w:p w:rsidR="00C70779" w:rsidRPr="003E0016" w:rsidRDefault="00C70779" w:rsidP="00C70779">
      <w:pPr>
        <w:suppressAutoHyphens/>
        <w:jc w:val="center"/>
        <w:rPr>
          <w:rFonts w:ascii="Cambria" w:hAnsi="Cambria"/>
          <w:spacing w:val="-2"/>
          <w:sz w:val="20"/>
          <w:szCs w:val="20"/>
          <w:lang w:val="es-SV"/>
        </w:rPr>
      </w:pPr>
      <w:r w:rsidRPr="003E0016">
        <w:rPr>
          <w:rFonts w:ascii="Cambria" w:hAnsi="Cambria"/>
          <w:spacing w:val="-2"/>
          <w:sz w:val="20"/>
          <w:szCs w:val="20"/>
          <w:lang w:val="es-SV"/>
        </w:rPr>
        <w:t>Secretario Ejecutivo</w:t>
      </w:r>
    </w:p>
    <w:p w:rsidR="00C70779" w:rsidRPr="006B77E2" w:rsidRDefault="00C70779" w:rsidP="009F526E">
      <w:pPr>
        <w:rPr>
          <w:rFonts w:asciiTheme="majorHAnsi" w:eastAsia="Times New Roman" w:hAnsiTheme="majorHAnsi"/>
          <w:sz w:val="20"/>
          <w:szCs w:val="20"/>
          <w:bdr w:val="none" w:sz="0" w:space="0" w:color="auto"/>
          <w:lang w:val="es-ES"/>
        </w:rPr>
      </w:pPr>
    </w:p>
    <w:sectPr w:rsidR="00C70779" w:rsidRPr="006B77E2" w:rsidSect="00423718">
      <w:type w:val="oddPage"/>
      <w:pgSz w:w="12240" w:h="15840"/>
      <w:pgMar w:top="1440" w:right="1440" w:bottom="135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A" w:rsidRDefault="006C2F5A">
      <w:r>
        <w:separator/>
      </w:r>
    </w:p>
    <w:p w:rsidR="006C2F5A" w:rsidRDefault="006C2F5A"/>
  </w:endnote>
  <w:endnote w:type="continuationSeparator" w:id="0">
    <w:p w:rsidR="006C2F5A" w:rsidRDefault="006C2F5A">
      <w:r>
        <w:continuationSeparator/>
      </w:r>
    </w:p>
    <w:p w:rsidR="006C2F5A" w:rsidRDefault="006C2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94112"/>
      <w:docPartObj>
        <w:docPartGallery w:val="Page Numbers (Bottom of Page)"/>
        <w:docPartUnique/>
      </w:docPartObj>
    </w:sdtPr>
    <w:sdtEndPr>
      <w:rPr>
        <w:noProof/>
        <w:sz w:val="16"/>
        <w:szCs w:val="22"/>
      </w:rPr>
    </w:sdtEndPr>
    <w:sdtContent>
      <w:p w:rsidR="00CA05C6" w:rsidRPr="00934A2C" w:rsidRDefault="00CA05C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23D6">
          <w:rPr>
            <w:noProof/>
            <w:sz w:val="16"/>
            <w:szCs w:val="22"/>
          </w:rPr>
          <w:t>24</w:t>
        </w:r>
        <w:r w:rsidRPr="00934A2C">
          <w:rPr>
            <w:noProof/>
            <w:sz w:val="16"/>
            <w:szCs w:val="22"/>
          </w:rPr>
          <w:fldChar w:fldCharType="end"/>
        </w:r>
      </w:p>
    </w:sdtContent>
  </w:sdt>
  <w:p w:rsidR="00CA05C6" w:rsidRDefault="00CA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C6" w:rsidRPr="00934A2C" w:rsidRDefault="00CA05C6">
    <w:pPr>
      <w:pStyle w:val="Footer"/>
      <w:jc w:val="center"/>
      <w:rPr>
        <w:sz w:val="16"/>
        <w:szCs w:val="22"/>
      </w:rPr>
    </w:pPr>
  </w:p>
  <w:p w:rsidR="00CA05C6" w:rsidRDefault="00CA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A" w:rsidRPr="000F35ED" w:rsidRDefault="006C2F5A">
      <w:pPr>
        <w:rPr>
          <w:rFonts w:asciiTheme="majorHAnsi" w:hAnsiTheme="majorHAnsi"/>
          <w:sz w:val="16"/>
          <w:szCs w:val="16"/>
        </w:rPr>
      </w:pPr>
      <w:r>
        <w:separator/>
      </w:r>
    </w:p>
  </w:footnote>
  <w:footnote w:type="continuationSeparator" w:id="0">
    <w:p w:rsidR="006C2F5A" w:rsidRPr="000F35ED" w:rsidRDefault="006C2F5A" w:rsidP="000F35ED">
      <w:pPr>
        <w:rPr>
          <w:rFonts w:asciiTheme="majorHAnsi" w:hAnsiTheme="majorHAnsi"/>
          <w:sz w:val="16"/>
          <w:szCs w:val="16"/>
        </w:rPr>
      </w:pPr>
      <w:r w:rsidRPr="000F35ED">
        <w:rPr>
          <w:rFonts w:asciiTheme="majorHAnsi" w:hAnsiTheme="majorHAnsi"/>
          <w:sz w:val="16"/>
          <w:szCs w:val="16"/>
        </w:rPr>
        <w:separator/>
      </w:r>
    </w:p>
    <w:p w:rsidR="006C2F5A" w:rsidRPr="000F35ED" w:rsidRDefault="006C2F5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6C2F5A" w:rsidRPr="000A6F53" w:rsidRDefault="006C2F5A" w:rsidP="000A6F53">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A05C6" w:rsidRPr="005C4CA5" w:rsidRDefault="00CA05C6" w:rsidP="008B3F9A">
      <w:pPr>
        <w:pStyle w:val="FootnoteText"/>
        <w:jc w:val="both"/>
        <w:rPr>
          <w:rFonts w:asciiTheme="majorHAnsi" w:hAnsiTheme="majorHAnsi"/>
          <w:szCs w:val="16"/>
          <w:lang w:val="es-US"/>
        </w:rPr>
      </w:pPr>
      <w:r w:rsidRPr="005C4CA5">
        <w:rPr>
          <w:rStyle w:val="FootnoteReference"/>
          <w:rFonts w:asciiTheme="majorHAnsi" w:hAnsiTheme="majorHAnsi"/>
          <w:szCs w:val="16"/>
        </w:rPr>
        <w:footnoteRef/>
      </w:r>
      <w:r w:rsidRPr="005C4CA5">
        <w:rPr>
          <w:rFonts w:asciiTheme="majorHAnsi" w:hAnsiTheme="majorHAnsi"/>
          <w:szCs w:val="16"/>
          <w:lang w:val="es-US"/>
        </w:rPr>
        <w:t xml:space="preserve"> </w:t>
      </w:r>
      <w:r w:rsidRPr="005C4CA5">
        <w:rPr>
          <w:rFonts w:asciiTheme="majorHAnsi" w:hAnsiTheme="majorHAnsi"/>
          <w:szCs w:val="16"/>
          <w:lang w:val="es-CO"/>
        </w:rPr>
        <w:t>Conforme a lo dispuesto en el artículo 17.2 del Reglamento de la Comisión, la Comisionad</w:t>
      </w:r>
      <w:r>
        <w:rPr>
          <w:rFonts w:asciiTheme="majorHAnsi" w:hAnsiTheme="majorHAnsi"/>
          <w:szCs w:val="16"/>
          <w:lang w:val="es-CO"/>
        </w:rPr>
        <w:t>a</w:t>
      </w:r>
      <w:r w:rsidRPr="005C4CA5">
        <w:rPr>
          <w:rFonts w:asciiTheme="majorHAnsi" w:hAnsiTheme="majorHAnsi"/>
          <w:szCs w:val="16"/>
          <w:lang w:val="es-CO"/>
        </w:rPr>
        <w:t xml:space="preserve"> </w:t>
      </w:r>
      <w:r>
        <w:rPr>
          <w:rFonts w:asciiTheme="majorHAnsi" w:hAnsiTheme="majorHAnsi"/>
          <w:szCs w:val="16"/>
          <w:lang w:val="es-CO"/>
        </w:rPr>
        <w:t>Antonia Urrejola Noguera</w:t>
      </w:r>
      <w:r w:rsidRPr="005C4CA5">
        <w:rPr>
          <w:rFonts w:asciiTheme="majorHAnsi" w:hAnsiTheme="majorHAnsi"/>
          <w:szCs w:val="16"/>
          <w:lang w:val="es-CO"/>
        </w:rPr>
        <w:t xml:space="preserve">, de nacionalidad </w:t>
      </w:r>
      <w:r>
        <w:rPr>
          <w:rFonts w:asciiTheme="majorHAnsi" w:hAnsiTheme="majorHAnsi"/>
          <w:szCs w:val="16"/>
          <w:lang w:val="es-CO"/>
        </w:rPr>
        <w:t>chilena</w:t>
      </w:r>
      <w:r w:rsidRPr="005C4CA5">
        <w:rPr>
          <w:rFonts w:asciiTheme="majorHAnsi" w:hAnsiTheme="majorHAnsi"/>
          <w:szCs w:val="16"/>
          <w:lang w:val="es-CO"/>
        </w:rPr>
        <w:t>, no participó en el debate ni en la decisión del presente cas</w:t>
      </w:r>
      <w:r w:rsidRPr="005C4CA5">
        <w:rPr>
          <w:rFonts w:asciiTheme="majorHAnsi" w:hAnsiTheme="majorHAnsi"/>
          <w:color w:val="auto"/>
          <w:szCs w:val="16"/>
          <w:lang w:val="es-CO"/>
        </w:rPr>
        <w:t>o.</w:t>
      </w:r>
      <w:r>
        <w:rPr>
          <w:rFonts w:cs="Tahoma"/>
          <w:szCs w:val="16"/>
          <w:lang w:val="es-PE"/>
        </w:rPr>
        <w:t xml:space="preserve">  </w:t>
      </w:r>
    </w:p>
  </w:footnote>
  <w:footnote w:id="3">
    <w:p w:rsidR="00CA05C6" w:rsidRPr="005C4CA5" w:rsidRDefault="00CA05C6" w:rsidP="008B3F9A">
      <w:pPr>
        <w:pStyle w:val="FootnoteText"/>
        <w:jc w:val="both"/>
        <w:rPr>
          <w:rFonts w:asciiTheme="majorHAnsi" w:hAnsiTheme="majorHAnsi"/>
          <w:szCs w:val="16"/>
          <w:lang w:val="es-US"/>
        </w:rPr>
      </w:pPr>
      <w:r w:rsidRPr="005C4CA5">
        <w:rPr>
          <w:rStyle w:val="FootnoteReference"/>
          <w:rFonts w:asciiTheme="majorHAnsi" w:hAnsiTheme="majorHAnsi"/>
          <w:szCs w:val="16"/>
        </w:rPr>
        <w:footnoteRef/>
      </w:r>
      <w:r w:rsidRPr="005C4CA5">
        <w:rPr>
          <w:rFonts w:asciiTheme="majorHAnsi" w:hAnsiTheme="majorHAnsi"/>
          <w:szCs w:val="16"/>
          <w:lang w:val="es-US"/>
        </w:rPr>
        <w:t xml:space="preserve"> </w:t>
      </w:r>
      <w:r>
        <w:rPr>
          <w:rFonts w:asciiTheme="majorHAnsi" w:hAnsiTheme="majorHAnsi"/>
          <w:szCs w:val="16"/>
          <w:lang w:val="es-US"/>
        </w:rPr>
        <w:t>El 14 de abril de 2017, la peticionaria Fernández renunció a la representación del caso. El mismo día se designó a la abogada Magdalena Garcés como peticionaria.</w:t>
      </w:r>
    </w:p>
  </w:footnote>
  <w:footnote w:id="4">
    <w:p w:rsidR="00CA05C6" w:rsidRPr="009F0C3A" w:rsidRDefault="00CA05C6" w:rsidP="008B3F9A">
      <w:pPr>
        <w:pStyle w:val="FootnoteText"/>
        <w:jc w:val="both"/>
        <w:rPr>
          <w:szCs w:val="16"/>
          <w:lang w:val="es-US"/>
        </w:rPr>
      </w:pPr>
      <w:r w:rsidRPr="00C92F6A">
        <w:rPr>
          <w:rStyle w:val="FootnoteReference"/>
          <w:color w:val="auto"/>
          <w:szCs w:val="16"/>
        </w:rPr>
        <w:footnoteRef/>
      </w:r>
      <w:r w:rsidRPr="00C92F6A">
        <w:rPr>
          <w:color w:val="auto"/>
          <w:szCs w:val="16"/>
          <w:lang w:val="es-ES"/>
        </w:rPr>
        <w:t xml:space="preserve"> CIDH. Informe No. 44/16. </w:t>
      </w:r>
      <w:r w:rsidRPr="00BE73C3">
        <w:rPr>
          <w:color w:val="auto"/>
          <w:szCs w:val="16"/>
          <w:lang w:val="es-ES"/>
        </w:rPr>
        <w:t xml:space="preserve">Caso 13.039. </w:t>
      </w:r>
      <w:r w:rsidRPr="00C92F6A">
        <w:rPr>
          <w:color w:val="auto"/>
          <w:szCs w:val="16"/>
          <w:lang w:val="es-ES"/>
        </w:rPr>
        <w:t xml:space="preserve">Martina Rebecca Vera Rojas (Chile).11 de noviembre de 2016. </w:t>
      </w:r>
      <w:r w:rsidRPr="00C92F6A">
        <w:rPr>
          <w:color w:val="auto"/>
          <w:szCs w:val="16"/>
          <w:lang w:val="es-US"/>
        </w:rPr>
        <w:t>Los artículos declarados admisibles 4, 5, 8, 19, 25 y 26 de la Convención Americana. Asimismo, la CIDH declaró inadmisible</w:t>
      </w:r>
      <w:r>
        <w:rPr>
          <w:color w:val="auto"/>
          <w:szCs w:val="16"/>
          <w:lang w:val="es-US"/>
        </w:rPr>
        <w:t>s</w:t>
      </w:r>
      <w:r w:rsidRPr="00C92F6A">
        <w:rPr>
          <w:color w:val="auto"/>
          <w:szCs w:val="16"/>
          <w:lang w:val="es-US"/>
        </w:rPr>
        <w:t xml:space="preserve"> los artículos 11 y 17 del mismo instrumento.</w:t>
      </w:r>
    </w:p>
  </w:footnote>
  <w:footnote w:id="5">
    <w:p w:rsidR="00CA05C6" w:rsidRPr="005274EE" w:rsidRDefault="00CA05C6">
      <w:pPr>
        <w:pStyle w:val="FootnoteText"/>
        <w:rPr>
          <w:lang w:val="es-ES_tradnl"/>
        </w:rPr>
      </w:pPr>
      <w:r>
        <w:rPr>
          <w:rStyle w:val="FootnoteReference"/>
        </w:rPr>
        <w:footnoteRef/>
      </w:r>
      <w:r w:rsidRPr="005274EE">
        <w:rPr>
          <w:lang w:val="es-ES"/>
        </w:rPr>
        <w:t xml:space="preserve"> La parte peticionaria inició el t</w:t>
      </w:r>
      <w:r>
        <w:rPr>
          <w:lang w:val="es-ES"/>
        </w:rPr>
        <w:t>rámite de la medida cautelar (MC 390-11) el 14 de octubre de 2011. El Estado remitió su contestación y señaló los procesos judiciales disponibles para la presunta víctima en sede especial arbitral. El trámite de la medida cautelar fue cerrado el 2 de abril de 2013.</w:t>
      </w:r>
    </w:p>
  </w:footnote>
  <w:footnote w:id="6">
    <w:p w:rsidR="00CA05C6" w:rsidRPr="008F6534" w:rsidRDefault="00CA05C6" w:rsidP="008B3F9A">
      <w:pPr>
        <w:pStyle w:val="FootnoteText"/>
        <w:contextualSpacing/>
        <w:jc w:val="both"/>
        <w:rPr>
          <w:lang w:val="es-ES"/>
        </w:rPr>
      </w:pPr>
      <w:r>
        <w:rPr>
          <w:rStyle w:val="FootnoteReference"/>
        </w:rPr>
        <w:footnoteRef/>
      </w:r>
      <w:r w:rsidRPr="00EF286F">
        <w:rPr>
          <w:lang w:val="es-ES"/>
        </w:rPr>
        <w:t xml:space="preserve"> </w:t>
      </w:r>
      <w:r>
        <w:rPr>
          <w:lang w:val="es-ES"/>
        </w:rPr>
        <w:t>Anexo 1: Escrito del Estado de 9 de enero 2018.</w:t>
      </w:r>
    </w:p>
  </w:footnote>
  <w:footnote w:id="7">
    <w:p w:rsidR="00CA05C6" w:rsidRPr="00A5588D" w:rsidRDefault="00CA05C6" w:rsidP="008B3F9A">
      <w:pPr>
        <w:pStyle w:val="FootnoteText"/>
        <w:contextualSpacing/>
        <w:jc w:val="both"/>
        <w:rPr>
          <w:lang w:val="es-ES"/>
        </w:rPr>
      </w:pPr>
      <w:r>
        <w:rPr>
          <w:rStyle w:val="FootnoteReference"/>
        </w:rPr>
        <w:footnoteRef/>
      </w:r>
      <w:r w:rsidRPr="00A5588D">
        <w:rPr>
          <w:lang w:val="es-ES"/>
        </w:rPr>
        <w:t xml:space="preserve"> </w:t>
      </w:r>
      <w:r>
        <w:rPr>
          <w:lang w:val="es-ES"/>
        </w:rPr>
        <w:t>Anexo 2: Petición inicial de 4 de noviembre de 2011.</w:t>
      </w:r>
    </w:p>
  </w:footnote>
  <w:footnote w:id="8">
    <w:p w:rsidR="00CA05C6" w:rsidRPr="00EC292F" w:rsidRDefault="00CA05C6" w:rsidP="008B3F9A">
      <w:pPr>
        <w:pStyle w:val="FootnoteText"/>
        <w:contextualSpacing/>
        <w:jc w:val="both"/>
        <w:rPr>
          <w:lang w:val="es-ES"/>
        </w:rPr>
      </w:pPr>
      <w:r>
        <w:rPr>
          <w:rStyle w:val="FootnoteReference"/>
        </w:rPr>
        <w:footnoteRef/>
      </w:r>
      <w:r w:rsidRPr="00EC292F">
        <w:rPr>
          <w:lang w:val="es-ES"/>
        </w:rPr>
        <w:t xml:space="preserve"> </w:t>
      </w:r>
      <w:r>
        <w:rPr>
          <w:lang w:val="es-ES"/>
        </w:rPr>
        <w:t>Anexo 1: Escrito del Estado de 9 de enero 2018.</w:t>
      </w:r>
    </w:p>
  </w:footnote>
  <w:footnote w:id="9">
    <w:p w:rsidR="00CA05C6" w:rsidRPr="0087706F" w:rsidRDefault="00CA05C6" w:rsidP="008B3F9A">
      <w:pPr>
        <w:pStyle w:val="FootnoteText"/>
        <w:jc w:val="both"/>
        <w:rPr>
          <w:lang w:val="es-ES"/>
        </w:rPr>
      </w:pPr>
      <w:r>
        <w:rPr>
          <w:rStyle w:val="FootnoteReference"/>
        </w:rPr>
        <w:footnoteRef/>
      </w:r>
      <w:r w:rsidRPr="004178F5">
        <w:rPr>
          <w:lang w:val="es-ES"/>
        </w:rPr>
        <w:t xml:space="preserve"> </w:t>
      </w:r>
      <w:r>
        <w:rPr>
          <w:lang w:val="es-ES"/>
        </w:rPr>
        <w:t>Anexo 1: Escrito del Estado de 9 de enero 2018.</w:t>
      </w:r>
    </w:p>
  </w:footnote>
  <w:footnote w:id="10">
    <w:p w:rsidR="00CA05C6" w:rsidRPr="0025331D" w:rsidRDefault="00CA05C6" w:rsidP="008B3F9A">
      <w:pPr>
        <w:pStyle w:val="FootnoteText"/>
        <w:contextualSpacing/>
        <w:jc w:val="both"/>
        <w:rPr>
          <w:lang w:val="es-ES"/>
        </w:rPr>
      </w:pPr>
      <w:r>
        <w:rPr>
          <w:rStyle w:val="FootnoteReference"/>
        </w:rPr>
        <w:footnoteRef/>
      </w:r>
      <w:r w:rsidRPr="0025331D">
        <w:rPr>
          <w:lang w:val="es-ES"/>
        </w:rPr>
        <w:t xml:space="preserve"> </w:t>
      </w:r>
      <w:r>
        <w:rPr>
          <w:lang w:val="es-ES"/>
        </w:rPr>
        <w:t xml:space="preserve">Referido a un procedimiento previo de mediación. </w:t>
      </w:r>
    </w:p>
  </w:footnote>
  <w:footnote w:id="11">
    <w:p w:rsidR="00CA05C6" w:rsidRPr="00DA1086" w:rsidRDefault="00CA05C6" w:rsidP="008B3F9A">
      <w:pPr>
        <w:pStyle w:val="FootnoteText"/>
        <w:contextualSpacing/>
        <w:jc w:val="both"/>
        <w:rPr>
          <w:lang w:val="es-ES"/>
        </w:rPr>
      </w:pPr>
      <w:r>
        <w:rPr>
          <w:rStyle w:val="FootnoteReference"/>
        </w:rPr>
        <w:footnoteRef/>
      </w:r>
      <w:r w:rsidRPr="00DA1086">
        <w:rPr>
          <w:lang w:val="es-ES"/>
        </w:rPr>
        <w:t xml:space="preserve"> </w:t>
      </w:r>
      <w:r>
        <w:rPr>
          <w:lang w:val="es-ES"/>
        </w:rPr>
        <w:t>Anexo 1: Escrito del Estado de 9 de enero 2018.</w:t>
      </w:r>
    </w:p>
  </w:footnote>
  <w:footnote w:id="12">
    <w:p w:rsidR="00CA05C6" w:rsidRPr="001F07F1" w:rsidRDefault="00CA05C6" w:rsidP="008B3F9A">
      <w:pPr>
        <w:pStyle w:val="FootnoteText"/>
        <w:contextualSpacing/>
        <w:jc w:val="both"/>
        <w:rPr>
          <w:lang w:val="es-ES"/>
        </w:rPr>
      </w:pPr>
      <w:r>
        <w:rPr>
          <w:rStyle w:val="FootnoteReference"/>
        </w:rPr>
        <w:footnoteRef/>
      </w:r>
      <w:r w:rsidRPr="001F07F1">
        <w:rPr>
          <w:lang w:val="es-ES"/>
        </w:rPr>
        <w:t xml:space="preserve"> </w:t>
      </w:r>
      <w:r>
        <w:rPr>
          <w:lang w:val="es-ES"/>
        </w:rPr>
        <w:t xml:space="preserve">Anexo 3: </w:t>
      </w:r>
      <w:r w:rsidRPr="001F07F1">
        <w:rPr>
          <w:lang w:val="es-ES"/>
        </w:rPr>
        <w:t>Escrito de la parte peticionaria de 6 de marzo de 2017.</w:t>
      </w:r>
    </w:p>
  </w:footnote>
  <w:footnote w:id="13">
    <w:p w:rsidR="00CA05C6" w:rsidRPr="00EF286F" w:rsidRDefault="00CA05C6" w:rsidP="008B3F9A">
      <w:pPr>
        <w:pStyle w:val="FootnoteText"/>
        <w:jc w:val="both"/>
        <w:rPr>
          <w:lang w:val="es-ES"/>
        </w:rPr>
      </w:pPr>
      <w:r>
        <w:rPr>
          <w:rStyle w:val="FootnoteReference"/>
        </w:rPr>
        <w:footnoteRef/>
      </w:r>
      <w:r>
        <w:rPr>
          <w:lang w:val="es-ES"/>
        </w:rPr>
        <w:t>Anexo 2: Petición inicial de 4 de noviembre de 2011.</w:t>
      </w:r>
    </w:p>
  </w:footnote>
  <w:footnote w:id="14">
    <w:p w:rsidR="00CA05C6" w:rsidRPr="006668C8" w:rsidRDefault="00CA05C6" w:rsidP="008B3F9A">
      <w:pPr>
        <w:pStyle w:val="FootnoteText"/>
        <w:jc w:val="both"/>
        <w:rPr>
          <w:lang w:val="es-ES"/>
        </w:rPr>
      </w:pPr>
      <w:r w:rsidRPr="006668C8">
        <w:rPr>
          <w:rStyle w:val="FootnoteReference"/>
        </w:rPr>
        <w:footnoteRef/>
      </w:r>
      <w:r w:rsidRPr="006668C8">
        <w:rPr>
          <w:lang w:val="es-ES"/>
        </w:rPr>
        <w:t xml:space="preserve"> Anexo </w:t>
      </w:r>
      <w:r>
        <w:rPr>
          <w:lang w:val="es-ES"/>
        </w:rPr>
        <w:t xml:space="preserve">4: </w:t>
      </w:r>
      <w:r w:rsidRPr="006668C8">
        <w:rPr>
          <w:lang w:val="es-ES"/>
        </w:rPr>
        <w:t>Informe “La debacle financiera de Isapre MasVida y la indefensión de los usuarios del sistema de Claudia Urquieta Chavarría. Anexo al escrito de la parte peticionara de 23 de marzo de 2017.</w:t>
      </w:r>
    </w:p>
  </w:footnote>
  <w:footnote w:id="15">
    <w:p w:rsidR="00CA05C6" w:rsidRPr="007E40A5" w:rsidRDefault="00CA05C6" w:rsidP="005C65A3">
      <w:pPr>
        <w:pStyle w:val="FootnoteText"/>
        <w:jc w:val="both"/>
        <w:rPr>
          <w:lang w:val="es-ES"/>
        </w:rPr>
      </w:pPr>
      <w:r w:rsidRPr="006668C8">
        <w:rPr>
          <w:rStyle w:val="FootnoteReference"/>
        </w:rPr>
        <w:footnoteRef/>
      </w:r>
      <w:r w:rsidRPr="006668C8">
        <w:rPr>
          <w:lang w:val="es-ES"/>
        </w:rPr>
        <w:t xml:space="preserve"> </w:t>
      </w:r>
      <w:r>
        <w:rPr>
          <w:lang w:val="es-ES"/>
        </w:rPr>
        <w:t>S</w:t>
      </w:r>
      <w:r w:rsidRPr="006668C8">
        <w:rPr>
          <w:lang w:val="es-ES"/>
        </w:rPr>
        <w:t xml:space="preserve">e observa que también es posible entablar una </w:t>
      </w:r>
      <w:r w:rsidRPr="006668C8">
        <w:rPr>
          <w:lang w:val="es-VE"/>
        </w:rPr>
        <w:t>acción de protección, la que puede ser activada por incumplimientos contractuales relacionados con el derecho a la propiedad, aunque esta no constituye instancia definitiva, por tratarse de una “vía de emergencia” como señaló el Estado a la Comisión en su escrito de 9 de enero de 2018.</w:t>
      </w:r>
    </w:p>
  </w:footnote>
  <w:footnote w:id="16">
    <w:p w:rsidR="00CA05C6" w:rsidRPr="00A72D8F" w:rsidRDefault="00CA05C6" w:rsidP="008B3F9A">
      <w:pPr>
        <w:pStyle w:val="FootnoteText"/>
        <w:jc w:val="both"/>
        <w:rPr>
          <w:lang w:val="es-ES"/>
        </w:rPr>
      </w:pPr>
      <w:r>
        <w:rPr>
          <w:rStyle w:val="FootnoteReference"/>
        </w:rPr>
        <w:footnoteRef/>
      </w:r>
      <w:r w:rsidRPr="00A72D8F">
        <w:rPr>
          <w:lang w:val="es-ES"/>
        </w:rPr>
        <w:t xml:space="preserve"> </w:t>
      </w:r>
      <w:r>
        <w:rPr>
          <w:lang w:val="es-ES"/>
        </w:rPr>
        <w:t xml:space="preserve">Anexo 3: </w:t>
      </w:r>
      <w:r w:rsidRPr="001F07F1">
        <w:rPr>
          <w:lang w:val="es-ES"/>
        </w:rPr>
        <w:t>Escrito de la parte peticionaria de 6 de marzo de 2017.</w:t>
      </w:r>
    </w:p>
  </w:footnote>
  <w:footnote w:id="17">
    <w:p w:rsidR="00CA05C6" w:rsidRPr="00922858" w:rsidRDefault="00CA05C6" w:rsidP="008B3F9A">
      <w:pPr>
        <w:pStyle w:val="FootnoteText"/>
        <w:jc w:val="both"/>
        <w:rPr>
          <w:lang w:val="es-ES"/>
        </w:rPr>
      </w:pPr>
      <w:r>
        <w:rPr>
          <w:rStyle w:val="FootnoteReference"/>
        </w:rPr>
        <w:footnoteRef/>
      </w:r>
      <w:r w:rsidRPr="00922858">
        <w:rPr>
          <w:lang w:val="es-ES"/>
        </w:rPr>
        <w:t xml:space="preserve"> </w:t>
      </w:r>
      <w:r>
        <w:rPr>
          <w:lang w:val="es-ES"/>
        </w:rPr>
        <w:t xml:space="preserve">Anexo 3: </w:t>
      </w:r>
      <w:r w:rsidRPr="001F07F1">
        <w:rPr>
          <w:lang w:val="es-ES"/>
        </w:rPr>
        <w:t>Escrito de la parte peticionaria de 6 de marzo de 2017.</w:t>
      </w:r>
    </w:p>
  </w:footnote>
  <w:footnote w:id="18">
    <w:p w:rsidR="00CA05C6" w:rsidRPr="009B764B" w:rsidRDefault="00CA05C6">
      <w:pPr>
        <w:pStyle w:val="FootnoteText"/>
        <w:rPr>
          <w:lang w:val="es-ES"/>
        </w:rPr>
      </w:pPr>
      <w:r>
        <w:rPr>
          <w:rStyle w:val="FootnoteReference"/>
        </w:rPr>
        <w:footnoteRef/>
      </w:r>
      <w:r w:rsidRPr="009B764B">
        <w:rPr>
          <w:lang w:val="es-ES"/>
        </w:rPr>
        <w:t xml:space="preserve"> </w:t>
      </w:r>
      <w:r>
        <w:rPr>
          <w:lang w:val="es-ES"/>
        </w:rPr>
        <w:t>Anexo 5. Informe médico del doctor Rodrigo Vargas Saavedra de 30 de septiembre de 2010. Anexo al escrito de la parte peticionara de 4 de noviembre de 2010</w:t>
      </w:r>
      <w:r w:rsidRPr="001F07F1">
        <w:rPr>
          <w:lang w:val="es-ES"/>
        </w:rPr>
        <w:t>.</w:t>
      </w:r>
    </w:p>
  </w:footnote>
  <w:footnote w:id="19">
    <w:p w:rsidR="00CA05C6" w:rsidRPr="00A24A7D" w:rsidRDefault="00CA05C6" w:rsidP="008B3F9A">
      <w:pPr>
        <w:pStyle w:val="FootnoteText"/>
        <w:jc w:val="both"/>
        <w:rPr>
          <w:lang w:val="es-ES"/>
        </w:rPr>
      </w:pPr>
      <w:r>
        <w:rPr>
          <w:rStyle w:val="FootnoteReference"/>
        </w:rPr>
        <w:footnoteRef/>
      </w:r>
      <w:r w:rsidRPr="00A24A7D">
        <w:rPr>
          <w:lang w:val="es-ES"/>
        </w:rPr>
        <w:t xml:space="preserve"> </w:t>
      </w:r>
      <w:r w:rsidRPr="001F07F1">
        <w:rPr>
          <w:lang w:val="es-ES"/>
        </w:rPr>
        <w:t xml:space="preserve">Anexo </w:t>
      </w:r>
      <w:r>
        <w:rPr>
          <w:lang w:val="es-ES"/>
        </w:rPr>
        <w:t>6</w:t>
      </w:r>
      <w:r w:rsidRPr="001F07F1">
        <w:rPr>
          <w:lang w:val="es-ES"/>
        </w:rPr>
        <w:t xml:space="preserve">. </w:t>
      </w:r>
      <w:r>
        <w:rPr>
          <w:lang w:val="es-ES"/>
        </w:rPr>
        <w:t>Informe psicológico de la psicóloga clínica Carola Fernández de 3 de marzo de 2016. Anexo al e</w:t>
      </w:r>
      <w:r w:rsidRPr="001F07F1">
        <w:rPr>
          <w:lang w:val="es-ES"/>
        </w:rPr>
        <w:t>scrito de la parte peticionaria de 6 de marzo de 2017.</w:t>
      </w:r>
    </w:p>
  </w:footnote>
  <w:footnote w:id="20">
    <w:p w:rsidR="00CA05C6" w:rsidRPr="00F7171D" w:rsidRDefault="00CA05C6" w:rsidP="008B3F9A">
      <w:pPr>
        <w:pStyle w:val="FootnoteText"/>
        <w:jc w:val="both"/>
        <w:rPr>
          <w:lang w:val="es-ES"/>
        </w:rPr>
      </w:pPr>
      <w:r>
        <w:rPr>
          <w:rStyle w:val="FootnoteReference"/>
        </w:rPr>
        <w:footnoteRef/>
      </w:r>
      <w:r w:rsidRPr="00F7171D">
        <w:rPr>
          <w:lang w:val="es-ES"/>
        </w:rPr>
        <w:t xml:space="preserve"> </w:t>
      </w:r>
      <w:r>
        <w:rPr>
          <w:lang w:val="es-ES"/>
        </w:rPr>
        <w:t>Anexo 5: Informe médico del doctor Rodrigo Vargas Saavedra de 30 de septiembre de 2010. Anexo al escrito de la parte peticionara de 4 de noviembre de 2010; Anexo 7. Informe médico del doctor Oscar Darrigrande de 25 de septiembre de 2011. Anexo al escrito de la parte peticionara de 4 de noviembre de 2010</w:t>
      </w:r>
    </w:p>
  </w:footnote>
  <w:footnote w:id="21">
    <w:p w:rsidR="00CA05C6" w:rsidRPr="007401DF" w:rsidRDefault="00CA05C6" w:rsidP="008B3F9A">
      <w:pPr>
        <w:pStyle w:val="FootnoteText"/>
        <w:jc w:val="both"/>
        <w:rPr>
          <w:lang w:val="es-ES"/>
        </w:rPr>
      </w:pPr>
      <w:r>
        <w:rPr>
          <w:rStyle w:val="FootnoteReference"/>
        </w:rPr>
        <w:footnoteRef/>
      </w:r>
      <w:r w:rsidRPr="007401DF">
        <w:rPr>
          <w:lang w:val="es-ES"/>
        </w:rPr>
        <w:t xml:space="preserve"> </w:t>
      </w:r>
      <w:r>
        <w:rPr>
          <w:lang w:val="es-ES"/>
        </w:rPr>
        <w:t>Anexo 2. Petición inicial de 4 de noviembre de 2011.</w:t>
      </w:r>
    </w:p>
  </w:footnote>
  <w:footnote w:id="22">
    <w:p w:rsidR="00CA05C6" w:rsidRPr="00322BE5" w:rsidRDefault="00CA05C6" w:rsidP="008B3F9A">
      <w:pPr>
        <w:pStyle w:val="FootnoteText"/>
        <w:jc w:val="both"/>
        <w:rPr>
          <w:lang w:val="es-ES"/>
        </w:rPr>
      </w:pPr>
      <w:r>
        <w:rPr>
          <w:rStyle w:val="FootnoteReference"/>
        </w:rPr>
        <w:footnoteRef/>
      </w:r>
      <w:r w:rsidRPr="00322BE5">
        <w:rPr>
          <w:lang w:val="es-ES"/>
        </w:rPr>
        <w:t xml:space="preserve"> </w:t>
      </w:r>
      <w:r>
        <w:rPr>
          <w:lang w:val="es-ES"/>
        </w:rPr>
        <w:t>Anexo 2. Petición inicial de 4 de noviembre de 2011.</w:t>
      </w:r>
    </w:p>
  </w:footnote>
  <w:footnote w:id="23">
    <w:p w:rsidR="00CA05C6" w:rsidRPr="00012FAB" w:rsidRDefault="00CA05C6" w:rsidP="008B3F9A">
      <w:pPr>
        <w:pStyle w:val="FootnoteText"/>
        <w:jc w:val="both"/>
        <w:rPr>
          <w:lang w:val="es-ES"/>
        </w:rPr>
      </w:pPr>
      <w:r>
        <w:rPr>
          <w:rStyle w:val="FootnoteReference"/>
        </w:rPr>
        <w:footnoteRef/>
      </w:r>
      <w:r w:rsidRPr="00012FAB">
        <w:rPr>
          <w:lang w:val="es-ES"/>
        </w:rPr>
        <w:t xml:space="preserve"> </w:t>
      </w:r>
      <w:r>
        <w:rPr>
          <w:lang w:val="es-ES"/>
        </w:rPr>
        <w:t>Anexo 5. Informe médico del doctor Rodrigo Vargas Saavedra de 30 de septiembre de 2010. Anexo a la petición inicial de 4 de noviembre de 2011.</w:t>
      </w:r>
    </w:p>
  </w:footnote>
  <w:footnote w:id="24">
    <w:p w:rsidR="00CA05C6" w:rsidRPr="0089327C" w:rsidRDefault="00CA05C6" w:rsidP="008B3F9A">
      <w:pPr>
        <w:pStyle w:val="FootnoteText"/>
        <w:jc w:val="both"/>
        <w:rPr>
          <w:lang w:val="es-ES"/>
        </w:rPr>
      </w:pPr>
      <w:r>
        <w:rPr>
          <w:rStyle w:val="FootnoteReference"/>
        </w:rPr>
        <w:footnoteRef/>
      </w:r>
      <w:r w:rsidRPr="0089327C">
        <w:rPr>
          <w:lang w:val="es-ES"/>
        </w:rPr>
        <w:t xml:space="preserve"> </w:t>
      </w:r>
      <w:r>
        <w:rPr>
          <w:lang w:val="es-ES"/>
        </w:rPr>
        <w:t>Anexo 8. Informe médico del doctor Oscar Darrigrande de 15 de julio de 2011. Anexo a la petición inicial de 4 de noviembre de 2011.</w:t>
      </w:r>
    </w:p>
  </w:footnote>
  <w:footnote w:id="25">
    <w:p w:rsidR="00CA05C6" w:rsidRPr="00D93C96" w:rsidRDefault="00CA05C6" w:rsidP="008B3F9A">
      <w:pPr>
        <w:pStyle w:val="FootnoteText"/>
        <w:jc w:val="both"/>
        <w:rPr>
          <w:lang w:val="es-ES"/>
        </w:rPr>
      </w:pPr>
      <w:r>
        <w:rPr>
          <w:rStyle w:val="FootnoteReference"/>
        </w:rPr>
        <w:footnoteRef/>
      </w:r>
      <w:r w:rsidRPr="00D93C96">
        <w:rPr>
          <w:lang w:val="es-ES"/>
        </w:rPr>
        <w:t xml:space="preserve"> </w:t>
      </w:r>
      <w:r>
        <w:rPr>
          <w:lang w:val="es-ES"/>
        </w:rPr>
        <w:t xml:space="preserve">Anexo 7. Informe médico del doctor Oscar Darrigrande de 25 de octubre de 2011. Anexo a la petición inicial de 4 de noviembre de 2011, y también Anexo 9. Certificado de prestadora de salud Servicios Clínicos S.A. de 25 de octubre de 2011. Anexo a la petición inicial de 4 de noviembre de 2011. </w:t>
      </w:r>
    </w:p>
  </w:footnote>
  <w:footnote w:id="26">
    <w:p w:rsidR="00CA05C6" w:rsidRPr="000F0D06" w:rsidRDefault="00CA05C6" w:rsidP="008B3F9A">
      <w:pPr>
        <w:pStyle w:val="FootnoteText"/>
        <w:jc w:val="both"/>
        <w:rPr>
          <w:lang w:val="es-ES"/>
        </w:rPr>
      </w:pPr>
      <w:r>
        <w:rPr>
          <w:rStyle w:val="FootnoteReference"/>
        </w:rPr>
        <w:footnoteRef/>
      </w:r>
      <w:r w:rsidRPr="000F0D06">
        <w:rPr>
          <w:lang w:val="es-ES"/>
        </w:rPr>
        <w:t xml:space="preserve"> Anexo </w:t>
      </w:r>
      <w:r>
        <w:rPr>
          <w:lang w:val="es-ES"/>
        </w:rPr>
        <w:t>10</w:t>
      </w:r>
      <w:r w:rsidRPr="000F0D06">
        <w:rPr>
          <w:lang w:val="es-ES"/>
        </w:rPr>
        <w:t xml:space="preserve">. Carta de Isapre al señor Vera de 13 octubre de 2010. </w:t>
      </w:r>
      <w:r>
        <w:rPr>
          <w:lang w:val="es-ES"/>
        </w:rPr>
        <w:t>Anexo al e</w:t>
      </w:r>
      <w:r w:rsidRPr="001F07F1">
        <w:rPr>
          <w:lang w:val="es-ES"/>
        </w:rPr>
        <w:t>scrito de la parte peticionaria de 6 de marzo de 2017.</w:t>
      </w:r>
    </w:p>
  </w:footnote>
  <w:footnote w:id="27">
    <w:p w:rsidR="00CA05C6" w:rsidRPr="009D2256" w:rsidRDefault="00CA05C6" w:rsidP="008B3F9A">
      <w:pPr>
        <w:pStyle w:val="FootnoteText"/>
        <w:jc w:val="both"/>
        <w:rPr>
          <w:lang w:val="es-ES"/>
        </w:rPr>
      </w:pPr>
      <w:r>
        <w:rPr>
          <w:rStyle w:val="FootnoteReference"/>
        </w:rPr>
        <w:footnoteRef/>
      </w:r>
      <w:r w:rsidRPr="009D2256">
        <w:rPr>
          <w:lang w:val="es-ES"/>
        </w:rPr>
        <w:t xml:space="preserve"> </w:t>
      </w:r>
      <w:r>
        <w:rPr>
          <w:lang w:val="es-ES"/>
        </w:rPr>
        <w:t>Anexo 11. Contestación de Isapre de demanda arbitral de 29 de febrero de 2012. Anexo al e</w:t>
      </w:r>
      <w:r w:rsidRPr="001F07F1">
        <w:rPr>
          <w:lang w:val="es-ES"/>
        </w:rPr>
        <w:t>scrito de la parte peticionaria de 6 de marzo de 2017.</w:t>
      </w:r>
    </w:p>
  </w:footnote>
  <w:footnote w:id="28">
    <w:p w:rsidR="00CA05C6" w:rsidRPr="00781A94"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12</w:t>
      </w:r>
      <w:r w:rsidRPr="004178F5">
        <w:rPr>
          <w:lang w:val="es-ES"/>
        </w:rPr>
        <w:t xml:space="preserve">. Escrito de la parte peticionaria en la demanda arbitral de 5 de marzo de 2012. </w:t>
      </w:r>
      <w:r>
        <w:rPr>
          <w:lang w:val="es-ES"/>
        </w:rPr>
        <w:t>Anexo al e</w:t>
      </w:r>
      <w:r w:rsidRPr="001F07F1">
        <w:rPr>
          <w:lang w:val="es-ES"/>
        </w:rPr>
        <w:t>scrito de la parte peticionaria de 6 de marzo de 2017.</w:t>
      </w:r>
    </w:p>
  </w:footnote>
  <w:footnote w:id="29">
    <w:p w:rsidR="00CA05C6" w:rsidRPr="00F755B3" w:rsidRDefault="00CA05C6" w:rsidP="008B3F9A">
      <w:pPr>
        <w:pStyle w:val="FootnoteText"/>
        <w:jc w:val="both"/>
        <w:rPr>
          <w:lang w:val="es-ES_tradnl"/>
        </w:rPr>
      </w:pPr>
      <w:r>
        <w:rPr>
          <w:rStyle w:val="FootnoteReference"/>
        </w:rPr>
        <w:footnoteRef/>
      </w:r>
      <w:r w:rsidRPr="004178F5">
        <w:rPr>
          <w:lang w:val="es-ES"/>
        </w:rPr>
        <w:t xml:space="preserve"> </w:t>
      </w:r>
      <w:r>
        <w:rPr>
          <w:lang w:val="es-ES"/>
        </w:rPr>
        <w:t>Anexo 13. Declaración testimonial del doctor Vargas en demanda arbitral de 7 de marzo de 2012. Anexo al e</w:t>
      </w:r>
      <w:r w:rsidRPr="001F07F1">
        <w:rPr>
          <w:lang w:val="es-ES"/>
        </w:rPr>
        <w:t>scrito de la parte peticionaria de 6 de marzo de 2017.</w:t>
      </w:r>
    </w:p>
  </w:footnote>
  <w:footnote w:id="30">
    <w:p w:rsidR="00CA05C6" w:rsidRPr="00D073F7" w:rsidRDefault="00CA05C6" w:rsidP="008B3F9A">
      <w:pPr>
        <w:pStyle w:val="FootnoteText"/>
        <w:contextualSpacing/>
        <w:jc w:val="both"/>
        <w:rPr>
          <w:lang w:val="es-ES"/>
        </w:rPr>
      </w:pPr>
      <w:r>
        <w:rPr>
          <w:rStyle w:val="FootnoteReference"/>
        </w:rPr>
        <w:footnoteRef/>
      </w:r>
      <w:r w:rsidRPr="0065027A">
        <w:rPr>
          <w:lang w:val="es-ES"/>
        </w:rPr>
        <w:t xml:space="preserve"> </w:t>
      </w:r>
      <w:r>
        <w:rPr>
          <w:lang w:val="es-ES"/>
        </w:rPr>
        <w:t>Anexo 1. Escrito del Estado de 9 de enero 2018.</w:t>
      </w:r>
    </w:p>
  </w:footnote>
  <w:footnote w:id="31">
    <w:p w:rsidR="00CA05C6" w:rsidRPr="00A236BF" w:rsidRDefault="00CA05C6" w:rsidP="008B3F9A">
      <w:pPr>
        <w:pStyle w:val="FootnoteText"/>
        <w:jc w:val="both"/>
        <w:rPr>
          <w:lang w:val="es-ES_tradnl"/>
        </w:rPr>
      </w:pPr>
      <w:r>
        <w:rPr>
          <w:rStyle w:val="FootnoteReference"/>
        </w:rPr>
        <w:footnoteRef/>
      </w:r>
      <w:r w:rsidRPr="004178F5">
        <w:rPr>
          <w:lang w:val="es-ES"/>
        </w:rPr>
        <w:t xml:space="preserve"> </w:t>
      </w:r>
      <w:r>
        <w:rPr>
          <w:lang w:val="es-ES_tradnl"/>
        </w:rPr>
        <w:t xml:space="preserve">Anexo 14. Sentencia de la CSJ de 9 de mayo de 2011. </w:t>
      </w:r>
      <w:r w:rsidRPr="001F07F1">
        <w:rPr>
          <w:lang w:val="es-ES"/>
        </w:rPr>
        <w:t>Escrito de la parte peticionaria de 6 de marzo de 2017.</w:t>
      </w:r>
    </w:p>
  </w:footnote>
  <w:footnote w:id="32">
    <w:p w:rsidR="00CA05C6" w:rsidRPr="00F13812"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15</w:t>
      </w:r>
      <w:r w:rsidRPr="004178F5">
        <w:rPr>
          <w:lang w:val="es-ES"/>
        </w:rPr>
        <w:t xml:space="preserve">. </w:t>
      </w:r>
      <w:r w:rsidRPr="009D7472">
        <w:rPr>
          <w:lang w:val="es-ES"/>
        </w:rPr>
        <w:t>Sentencia de apelación  del Juez Arbitro Romero</w:t>
      </w:r>
      <w:r>
        <w:rPr>
          <w:lang w:val="es-ES"/>
        </w:rPr>
        <w:t xml:space="preserve"> Stroy</w:t>
      </w:r>
      <w:r w:rsidRPr="004178F5">
        <w:rPr>
          <w:lang w:val="es-ES"/>
        </w:rPr>
        <w:t xml:space="preserve"> </w:t>
      </w:r>
      <w:r w:rsidRPr="006E6A19">
        <w:rPr>
          <w:lang w:val="es-ES"/>
        </w:rPr>
        <w:t xml:space="preserve">de 23 de agosto de 2012. </w:t>
      </w:r>
      <w:r w:rsidRPr="009D7472">
        <w:rPr>
          <w:lang w:val="es-ES"/>
        </w:rPr>
        <w:t>Anexo al escrito de la parte peticionaria de 6 de marzo de 2017.</w:t>
      </w:r>
    </w:p>
  </w:footnote>
  <w:footnote w:id="33">
    <w:p w:rsidR="00CA05C6" w:rsidRPr="00B02F71" w:rsidRDefault="00CA05C6" w:rsidP="008B3F9A">
      <w:pPr>
        <w:pStyle w:val="FootnoteText"/>
        <w:jc w:val="both"/>
        <w:rPr>
          <w:lang w:val="es-ES_tradnl"/>
        </w:rPr>
      </w:pPr>
      <w:r>
        <w:rPr>
          <w:rStyle w:val="FootnoteReference"/>
        </w:rPr>
        <w:footnoteRef/>
      </w:r>
      <w:r w:rsidRPr="004178F5">
        <w:rPr>
          <w:lang w:val="es-ES"/>
        </w:rPr>
        <w:t xml:space="preserve"> </w:t>
      </w:r>
      <w:r>
        <w:rPr>
          <w:lang w:val="es-ES"/>
        </w:rPr>
        <w:t xml:space="preserve">Anexo 3. </w:t>
      </w:r>
      <w:r w:rsidRPr="00B02F71">
        <w:rPr>
          <w:lang w:val="es-ES"/>
        </w:rPr>
        <w:t xml:space="preserve">Escrito de la parte peticionaria de 6 de marzo de 2017. </w:t>
      </w:r>
    </w:p>
  </w:footnote>
  <w:footnote w:id="34">
    <w:p w:rsidR="00CA05C6" w:rsidRPr="00194110" w:rsidRDefault="00CA05C6" w:rsidP="008B3F9A">
      <w:pPr>
        <w:pStyle w:val="FootnoteText"/>
        <w:jc w:val="both"/>
        <w:rPr>
          <w:lang w:val="es-ES_tradnl"/>
        </w:rPr>
      </w:pPr>
      <w:r w:rsidRPr="00B02F71">
        <w:rPr>
          <w:rStyle w:val="FootnoteReference"/>
        </w:rPr>
        <w:footnoteRef/>
      </w:r>
      <w:r w:rsidRPr="004178F5">
        <w:rPr>
          <w:lang w:val="es-ES"/>
        </w:rPr>
        <w:t xml:space="preserve"> </w:t>
      </w:r>
      <w:r>
        <w:rPr>
          <w:lang w:val="es-ES"/>
        </w:rPr>
        <w:t xml:space="preserve">Anexo 3. </w:t>
      </w:r>
      <w:r w:rsidRPr="00B02F71">
        <w:rPr>
          <w:lang w:val="es-ES"/>
        </w:rPr>
        <w:t>Escrito de la parte peticionaria de 6 de marzo de 2017.</w:t>
      </w:r>
    </w:p>
  </w:footnote>
  <w:footnote w:id="35">
    <w:p w:rsidR="00CA05C6" w:rsidRPr="00BA05ED" w:rsidRDefault="00CA05C6" w:rsidP="00BA05ED">
      <w:pPr>
        <w:pStyle w:val="FootnoteText"/>
        <w:jc w:val="both"/>
        <w:rPr>
          <w:lang w:val="es-ES_tradnl"/>
        </w:rPr>
      </w:pPr>
      <w:r>
        <w:rPr>
          <w:rStyle w:val="FootnoteReference"/>
        </w:rPr>
        <w:footnoteRef/>
      </w:r>
      <w:r w:rsidRPr="00BA05ED">
        <w:rPr>
          <w:lang w:val="es-ES"/>
        </w:rPr>
        <w:t xml:space="preserve"> </w:t>
      </w:r>
      <w:r>
        <w:rPr>
          <w:lang w:val="es-ES"/>
        </w:rPr>
        <w:t xml:space="preserve">Anexo 3. </w:t>
      </w:r>
      <w:r w:rsidRPr="00B02F71">
        <w:rPr>
          <w:lang w:val="es-ES"/>
        </w:rPr>
        <w:t>Escrito de la parte peticionaria de 6 de marzo de 2017.</w:t>
      </w:r>
    </w:p>
  </w:footnote>
  <w:footnote w:id="36">
    <w:p w:rsidR="00CA05C6" w:rsidRPr="00EF3399" w:rsidRDefault="00CA05C6" w:rsidP="008B3F9A">
      <w:pPr>
        <w:pStyle w:val="FootnoteText"/>
        <w:jc w:val="both"/>
        <w:rPr>
          <w:lang w:val="es-ES_tradnl"/>
        </w:rPr>
      </w:pPr>
      <w:r>
        <w:rPr>
          <w:rStyle w:val="FootnoteReference"/>
        </w:rPr>
        <w:footnoteRef/>
      </w:r>
      <w:r w:rsidRPr="004178F5">
        <w:rPr>
          <w:lang w:val="es-ES"/>
        </w:rPr>
        <w:t xml:space="preserve"> </w:t>
      </w:r>
      <w:r>
        <w:rPr>
          <w:lang w:val="es-ES_tradnl"/>
        </w:rPr>
        <w:t xml:space="preserve">La CIDH deja constancia que el escrito de solicitud de la acción de protección no forma parte del expediente. </w:t>
      </w:r>
    </w:p>
  </w:footnote>
  <w:footnote w:id="37">
    <w:p w:rsidR="00CA05C6" w:rsidRPr="002B59CC"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16</w:t>
      </w:r>
      <w:r w:rsidRPr="004178F5">
        <w:rPr>
          <w:lang w:val="es-ES"/>
        </w:rPr>
        <w:t xml:space="preserve">. Escrito de contestación de la Isapre a la acción de protección de 15 de noviembre de 2010. Anexo al </w:t>
      </w:r>
      <w:r>
        <w:rPr>
          <w:lang w:val="es-ES"/>
        </w:rPr>
        <w:t>e</w:t>
      </w:r>
      <w:r w:rsidRPr="00B02F71">
        <w:rPr>
          <w:lang w:val="es-ES"/>
        </w:rPr>
        <w:t>scrito de la parte peticionaria de 6 de marzo de 2017.</w:t>
      </w:r>
    </w:p>
  </w:footnote>
  <w:footnote w:id="38">
    <w:p w:rsidR="00CA05C6" w:rsidRPr="007558A9"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17</w:t>
      </w:r>
      <w:r w:rsidRPr="004178F5">
        <w:rPr>
          <w:lang w:val="es-ES"/>
        </w:rPr>
        <w:t>. Fallo del recurso de protección de la CAC de 26 de enero de 2011. Anexo a la petición inicial de 4 de noviembre de 2011.</w:t>
      </w:r>
    </w:p>
  </w:footnote>
  <w:footnote w:id="39">
    <w:p w:rsidR="00CA05C6" w:rsidRPr="00A20152"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18</w:t>
      </w:r>
      <w:r w:rsidRPr="004178F5">
        <w:rPr>
          <w:lang w:val="es-ES"/>
        </w:rPr>
        <w:t xml:space="preserve">. Apelación de la Isapre fallo del CAC de 15 de noviembre de 2010. Anexo al </w:t>
      </w:r>
      <w:r>
        <w:rPr>
          <w:lang w:val="es-ES"/>
        </w:rPr>
        <w:t>e</w:t>
      </w:r>
      <w:r w:rsidRPr="00B02F71">
        <w:rPr>
          <w:lang w:val="es-ES"/>
        </w:rPr>
        <w:t>scrito de la parte peticionaria de 6 de marzo de 2017.</w:t>
      </w:r>
      <w:r>
        <w:rPr>
          <w:lang w:val="es-ES_tradnl"/>
        </w:rPr>
        <w:t xml:space="preserve"> </w:t>
      </w:r>
    </w:p>
  </w:footnote>
  <w:footnote w:id="40">
    <w:p w:rsidR="00CA05C6" w:rsidRPr="006D5F4E"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19</w:t>
      </w:r>
      <w:r w:rsidRPr="004178F5">
        <w:rPr>
          <w:lang w:val="es-ES"/>
        </w:rPr>
        <w:t>. Fallo apelatorio de la CSJ de 9 de mayo de 2011. Anexo a la petición inicial de 4 de noviembre de 2011.</w:t>
      </w:r>
    </w:p>
  </w:footnote>
  <w:footnote w:id="41">
    <w:p w:rsidR="00CA05C6" w:rsidRPr="00890548" w:rsidRDefault="00CA05C6" w:rsidP="008B3F9A">
      <w:pPr>
        <w:pStyle w:val="FootnoteText"/>
        <w:jc w:val="both"/>
        <w:rPr>
          <w:lang w:val="es-ES_tradnl"/>
        </w:rPr>
      </w:pPr>
      <w:r>
        <w:rPr>
          <w:rStyle w:val="FootnoteReference"/>
        </w:rPr>
        <w:footnoteRef/>
      </w:r>
      <w:r w:rsidRPr="004178F5">
        <w:rPr>
          <w:lang w:val="es-ES"/>
        </w:rPr>
        <w:t xml:space="preserve"> </w:t>
      </w:r>
      <w:r>
        <w:rPr>
          <w:lang w:val="es-ES_tradnl"/>
        </w:rPr>
        <w:t xml:space="preserve">Anexo 20. Demanda, rol arbitral 451658-2011 de 10 de enero de 2012. </w:t>
      </w:r>
      <w:r w:rsidRPr="004178F5">
        <w:rPr>
          <w:lang w:val="es-ES"/>
        </w:rPr>
        <w:t xml:space="preserve">Anexo al </w:t>
      </w:r>
      <w:r>
        <w:rPr>
          <w:lang w:val="es-ES"/>
        </w:rPr>
        <w:t>e</w:t>
      </w:r>
      <w:r w:rsidRPr="00B02F71">
        <w:rPr>
          <w:lang w:val="es-ES"/>
        </w:rPr>
        <w:t>scrito de la parte peticionaria de 6 de marzo de 2017.</w:t>
      </w:r>
      <w:r>
        <w:rPr>
          <w:lang w:val="es-ES_tradnl"/>
        </w:rPr>
        <w:t xml:space="preserve"> </w:t>
      </w:r>
    </w:p>
  </w:footnote>
  <w:footnote w:id="42">
    <w:p w:rsidR="00CA05C6" w:rsidRPr="00052EB4" w:rsidRDefault="00CA05C6" w:rsidP="008B3F9A">
      <w:pPr>
        <w:pStyle w:val="FootnoteText"/>
        <w:jc w:val="both"/>
        <w:rPr>
          <w:lang w:val="es-ES_tradnl"/>
        </w:rPr>
      </w:pPr>
      <w:r>
        <w:rPr>
          <w:rStyle w:val="FootnoteReference"/>
        </w:rPr>
        <w:footnoteRef/>
      </w:r>
      <w:r w:rsidRPr="004178F5">
        <w:rPr>
          <w:lang w:val="es-ES"/>
        </w:rPr>
        <w:t xml:space="preserve"> </w:t>
      </w:r>
      <w:r>
        <w:rPr>
          <w:lang w:val="es-ES_tradnl"/>
        </w:rPr>
        <w:t xml:space="preserve">Anexo 21. Contestación de la demanda, rol arbitral 451658-2011 de 11 de enero de 2012. </w:t>
      </w:r>
      <w:r w:rsidRPr="004178F5">
        <w:rPr>
          <w:lang w:val="es-ES"/>
        </w:rPr>
        <w:t xml:space="preserve">Anexo al </w:t>
      </w:r>
      <w:r>
        <w:rPr>
          <w:lang w:val="es-ES"/>
        </w:rPr>
        <w:t>e</w:t>
      </w:r>
      <w:r w:rsidRPr="00B02F71">
        <w:rPr>
          <w:lang w:val="es-ES"/>
        </w:rPr>
        <w:t>scrito de la parte peticionaria de 6 de marzo de 2017.</w:t>
      </w:r>
    </w:p>
  </w:footnote>
  <w:footnote w:id="43">
    <w:p w:rsidR="00CA05C6" w:rsidRPr="00052EB4" w:rsidRDefault="00CA05C6" w:rsidP="005D1D06">
      <w:pPr>
        <w:pStyle w:val="FootnoteText"/>
        <w:pBdr>
          <w:top w:val="nil"/>
        </w:pBdr>
        <w:jc w:val="both"/>
        <w:rPr>
          <w:lang w:val="es-ES_tradnl"/>
        </w:rPr>
      </w:pPr>
      <w:r>
        <w:rPr>
          <w:rStyle w:val="FootnoteReference"/>
        </w:rPr>
        <w:footnoteRef/>
      </w:r>
      <w:r w:rsidRPr="004178F5">
        <w:rPr>
          <w:lang w:val="es-ES"/>
        </w:rPr>
        <w:t xml:space="preserve"> </w:t>
      </w:r>
      <w:r>
        <w:rPr>
          <w:lang w:val="es-ES_tradnl"/>
        </w:rPr>
        <w:t xml:space="preserve">Anexo 22. Observaciones a la contestación de la demanda, rol arbitral 451658-2011 de 16 de enero de 2012. </w:t>
      </w:r>
      <w:r w:rsidRPr="004178F5">
        <w:rPr>
          <w:lang w:val="es-ES"/>
        </w:rPr>
        <w:t xml:space="preserve">Anexo al </w:t>
      </w:r>
      <w:r>
        <w:rPr>
          <w:lang w:val="es-ES"/>
        </w:rPr>
        <w:t>e</w:t>
      </w:r>
      <w:r w:rsidRPr="00B02F71">
        <w:rPr>
          <w:lang w:val="es-ES"/>
        </w:rPr>
        <w:t>scrito de la parte peticionaria de 6 de marzo de 2017.</w:t>
      </w:r>
    </w:p>
  </w:footnote>
  <w:footnote w:id="44">
    <w:p w:rsidR="00CA05C6" w:rsidRPr="00741470" w:rsidRDefault="00CA05C6" w:rsidP="005D1D06">
      <w:pPr>
        <w:pStyle w:val="FootnoteText"/>
        <w:pBdr>
          <w:top w:val="nil"/>
        </w:pBdr>
        <w:jc w:val="both"/>
        <w:rPr>
          <w:lang w:val="es-ES_tradnl"/>
        </w:rPr>
      </w:pPr>
      <w:r>
        <w:rPr>
          <w:rStyle w:val="FootnoteReference"/>
        </w:rPr>
        <w:footnoteRef/>
      </w:r>
      <w:r w:rsidRPr="004178F5">
        <w:rPr>
          <w:lang w:val="es-ES"/>
        </w:rPr>
        <w:t xml:space="preserve"> </w:t>
      </w:r>
      <w:r>
        <w:rPr>
          <w:lang w:val="es-ES_tradnl"/>
        </w:rPr>
        <w:t xml:space="preserve">Anexo 23. Observaciones a la prueba de la demandada, rol arbitral 451658-2011 de 29 de febrero de 2012. </w:t>
      </w:r>
      <w:r w:rsidRPr="004178F5">
        <w:rPr>
          <w:lang w:val="es-ES"/>
        </w:rPr>
        <w:t xml:space="preserve">Anexo al </w:t>
      </w:r>
      <w:r>
        <w:rPr>
          <w:lang w:val="es-ES"/>
        </w:rPr>
        <w:t>e</w:t>
      </w:r>
      <w:r w:rsidRPr="00B02F71">
        <w:rPr>
          <w:lang w:val="es-ES"/>
        </w:rPr>
        <w:t>scrito de la parte pet</w:t>
      </w:r>
      <w:r>
        <w:rPr>
          <w:lang w:val="es-ES"/>
        </w:rPr>
        <w:t xml:space="preserve">icionaria de 6 de marzo de 2017; </w:t>
      </w:r>
      <w:r>
        <w:rPr>
          <w:lang w:val="es-ES_tradnl"/>
        </w:rPr>
        <w:t xml:space="preserve">Anexo 24. Incorporación de pruebas de la demandada, rol arbitral 451658-2011 de 5 de marzo de 2012. </w:t>
      </w:r>
      <w:r w:rsidRPr="00741470">
        <w:rPr>
          <w:lang w:val="es-ES"/>
        </w:rPr>
        <w:t>Anexo al escrito de la parte peticionaria de 6 de marzo de 2017.</w:t>
      </w:r>
    </w:p>
  </w:footnote>
  <w:footnote w:id="45">
    <w:p w:rsidR="00CA05C6" w:rsidRPr="00741470" w:rsidRDefault="00CA05C6" w:rsidP="005D1D06">
      <w:pPr>
        <w:pStyle w:val="FootnoteText"/>
        <w:pBdr>
          <w:top w:val="nil"/>
        </w:pBdr>
        <w:jc w:val="both"/>
        <w:rPr>
          <w:lang w:val="es-ES_tradnl"/>
        </w:rPr>
      </w:pPr>
      <w:r w:rsidRPr="00741470">
        <w:rPr>
          <w:rStyle w:val="FootnoteReference"/>
        </w:rPr>
        <w:footnoteRef/>
      </w:r>
      <w:r w:rsidRPr="00741470">
        <w:rPr>
          <w:lang w:val="es-ES"/>
        </w:rPr>
        <w:t xml:space="preserve"> </w:t>
      </w:r>
      <w:r w:rsidRPr="00741470">
        <w:rPr>
          <w:lang w:val="es-ES_tradnl"/>
        </w:rPr>
        <w:t xml:space="preserve">Anexo </w:t>
      </w:r>
      <w:r>
        <w:rPr>
          <w:lang w:val="es-ES_tradnl"/>
        </w:rPr>
        <w:t>25</w:t>
      </w:r>
      <w:r w:rsidRPr="00741470">
        <w:rPr>
          <w:lang w:val="es-ES_tradnl"/>
        </w:rPr>
        <w:t xml:space="preserve">. Declaración del doctor Vargas de 7 de marzo de 2012. </w:t>
      </w:r>
      <w:r w:rsidRPr="00741470">
        <w:rPr>
          <w:lang w:val="es-ES"/>
        </w:rPr>
        <w:t>Anexo al escrito de la parte peticionaria de 6 de marzo de 2017.</w:t>
      </w:r>
    </w:p>
  </w:footnote>
  <w:footnote w:id="46">
    <w:p w:rsidR="00CA05C6" w:rsidRPr="00741470" w:rsidRDefault="00CA05C6" w:rsidP="005D1D06">
      <w:pPr>
        <w:pStyle w:val="FootnoteText"/>
        <w:pBdr>
          <w:top w:val="nil"/>
        </w:pBdr>
        <w:jc w:val="both"/>
        <w:rPr>
          <w:lang w:val="es-ES_tradnl"/>
        </w:rPr>
      </w:pPr>
      <w:r w:rsidRPr="00741470">
        <w:rPr>
          <w:rStyle w:val="FootnoteReference"/>
        </w:rPr>
        <w:footnoteRef/>
      </w:r>
      <w:r w:rsidRPr="00741470">
        <w:rPr>
          <w:lang w:val="es-ES"/>
        </w:rPr>
        <w:t xml:space="preserve"> </w:t>
      </w:r>
      <w:r w:rsidRPr="00741470">
        <w:rPr>
          <w:lang w:val="es-ES_tradnl"/>
        </w:rPr>
        <w:t xml:space="preserve">Anexo </w:t>
      </w:r>
      <w:r>
        <w:rPr>
          <w:lang w:val="es-ES_tradnl"/>
        </w:rPr>
        <w:t>26</w:t>
      </w:r>
      <w:r w:rsidRPr="00741470">
        <w:rPr>
          <w:lang w:val="es-ES_tradnl"/>
        </w:rPr>
        <w:t xml:space="preserve">. Declaración del doctor Darrigrande de 7 de marzo de 2012. </w:t>
      </w:r>
      <w:r w:rsidRPr="00741470">
        <w:rPr>
          <w:lang w:val="es-ES"/>
        </w:rPr>
        <w:t xml:space="preserve">Anexo al escrito de la parte peticionaria de 6 de marzo de 2017. El doctor Darrigrande indicó que “[la niña Martina] puede ser hospitalizada, pero resultaría inconveniente para su salud y para su calidad de vida y la de su familia. (…) “el principal inconveniente es la infección intrahospitalaria”. </w:t>
      </w:r>
    </w:p>
  </w:footnote>
  <w:footnote w:id="47">
    <w:p w:rsidR="00CA05C6" w:rsidRPr="0016411B" w:rsidRDefault="00CA05C6" w:rsidP="005D1D06">
      <w:pPr>
        <w:pStyle w:val="FootnoteText"/>
        <w:pBdr>
          <w:top w:val="nil"/>
        </w:pBdr>
        <w:jc w:val="both"/>
        <w:rPr>
          <w:lang w:val="es-ES_tradnl"/>
        </w:rPr>
      </w:pPr>
      <w:r w:rsidRPr="00741470">
        <w:rPr>
          <w:rStyle w:val="FootnoteReference"/>
        </w:rPr>
        <w:footnoteRef/>
      </w:r>
      <w:r w:rsidRPr="00741470">
        <w:rPr>
          <w:lang w:val="es-ES"/>
        </w:rPr>
        <w:t xml:space="preserve"> </w:t>
      </w:r>
      <w:r w:rsidRPr="00741470">
        <w:rPr>
          <w:lang w:val="es-ES_tradnl"/>
        </w:rPr>
        <w:t xml:space="preserve">Anexo </w:t>
      </w:r>
      <w:r>
        <w:rPr>
          <w:lang w:val="es-ES_tradnl"/>
        </w:rPr>
        <w:t>27</w:t>
      </w:r>
      <w:r w:rsidRPr="00741470">
        <w:rPr>
          <w:lang w:val="es-ES_tradnl"/>
        </w:rPr>
        <w:t xml:space="preserve">. Declaración del kinesiólogo Berrios de 7 de marzo de 2012. </w:t>
      </w:r>
      <w:r w:rsidRPr="00741470">
        <w:rPr>
          <w:lang w:val="es-ES"/>
        </w:rPr>
        <w:t>Anexo al escrito de la parte peticionaria de 6 de marzo de 2017. El kinesiólogo Berríos indicó que “Martina hace par de años que ha presentado un estado de salud bastante estable dentro de lo que es su patología. Hubo cambios cuando se disminuyeron el número de las sesiones kinésicas, específicamente en el ámbito respiratorio. Esto fue cuando la Isapre quitó [la CAEC] y para mantener [el RHD] se tomó esta determinación. Esta situación cambió al cabo de dos semanas, porque se volvió a las dos sesiones diarias dadas las necesidades de Martina”. Señaló también las sesiones kinésicas se pueden hacer en un hospital “pero el riesgo de contaminación e infecciones cruzadas aumenta mucho para la salud de Martina”.</w:t>
      </w:r>
      <w:r>
        <w:rPr>
          <w:lang w:val="es-ES"/>
        </w:rPr>
        <w:t xml:space="preserve"> </w:t>
      </w:r>
    </w:p>
  </w:footnote>
  <w:footnote w:id="48">
    <w:p w:rsidR="00CA05C6" w:rsidRPr="00FD3387" w:rsidRDefault="00CA05C6" w:rsidP="005D1D06">
      <w:pPr>
        <w:pStyle w:val="FootnoteText"/>
        <w:pBdr>
          <w:top w:val="nil"/>
        </w:pBdr>
        <w:jc w:val="both"/>
        <w:rPr>
          <w:lang w:val="es-ES_tradnl"/>
        </w:rPr>
      </w:pPr>
      <w:r>
        <w:rPr>
          <w:rStyle w:val="FootnoteReference"/>
        </w:rPr>
        <w:footnoteRef/>
      </w:r>
      <w:r w:rsidRPr="004178F5">
        <w:rPr>
          <w:lang w:val="es-ES"/>
        </w:rPr>
        <w:t xml:space="preserve"> Anexo </w:t>
      </w:r>
      <w:r>
        <w:rPr>
          <w:lang w:val="es-ES"/>
        </w:rPr>
        <w:t>28</w:t>
      </w:r>
      <w:r w:rsidRPr="004178F5">
        <w:rPr>
          <w:lang w:val="es-ES"/>
        </w:rPr>
        <w:t xml:space="preserve">. Téngase presente y apersonamiento de la Directora del Instituto de Derechos Humanos Lorena Fríes Monleón de 3 de abril de 2012. Anexo al </w:t>
      </w:r>
      <w:r>
        <w:rPr>
          <w:lang w:val="es-ES"/>
        </w:rPr>
        <w:t>e</w:t>
      </w:r>
      <w:r w:rsidRPr="00B02F71">
        <w:rPr>
          <w:lang w:val="es-ES"/>
        </w:rPr>
        <w:t>scrito de la parte pet</w:t>
      </w:r>
      <w:r>
        <w:rPr>
          <w:lang w:val="es-ES"/>
        </w:rPr>
        <w:t>icionaria de 6 de marzo de 2017.</w:t>
      </w:r>
    </w:p>
  </w:footnote>
  <w:footnote w:id="49">
    <w:p w:rsidR="00CA05C6" w:rsidRPr="00EA51B5" w:rsidRDefault="00CA05C6" w:rsidP="005D1D06">
      <w:pPr>
        <w:pStyle w:val="FootnoteText"/>
        <w:pBdr>
          <w:top w:val="nil"/>
        </w:pBdr>
        <w:jc w:val="both"/>
        <w:rPr>
          <w:lang w:val="es-ES_tradnl"/>
        </w:rPr>
      </w:pPr>
      <w:r>
        <w:rPr>
          <w:rStyle w:val="FootnoteReference"/>
        </w:rPr>
        <w:footnoteRef/>
      </w:r>
      <w:r w:rsidRPr="004178F5">
        <w:rPr>
          <w:lang w:val="es-ES"/>
        </w:rPr>
        <w:t xml:space="preserve"> Anexo </w:t>
      </w:r>
      <w:r>
        <w:rPr>
          <w:lang w:val="es-ES"/>
        </w:rPr>
        <w:t>29</w:t>
      </w:r>
      <w:r w:rsidRPr="004178F5">
        <w:rPr>
          <w:lang w:val="es-ES"/>
        </w:rPr>
        <w:t xml:space="preserve">. Sentencia de la Jueza Arbitra Escobar, Intendenta de Fondos y Seguros Previsionales de Salud, de 19 de abril de 2012. Anexo al </w:t>
      </w:r>
      <w:r>
        <w:rPr>
          <w:lang w:val="es-ES"/>
        </w:rPr>
        <w:t>e</w:t>
      </w:r>
      <w:r w:rsidRPr="00B02F71">
        <w:rPr>
          <w:lang w:val="es-ES"/>
        </w:rPr>
        <w:t>scrito de la parte pet</w:t>
      </w:r>
      <w:r>
        <w:rPr>
          <w:lang w:val="es-ES"/>
        </w:rPr>
        <w:t>icionaria de 6 de marzo de 2017.</w:t>
      </w:r>
    </w:p>
  </w:footnote>
  <w:footnote w:id="50">
    <w:p w:rsidR="00CA05C6" w:rsidRPr="001D7432" w:rsidRDefault="00CA05C6" w:rsidP="005D1D06">
      <w:pPr>
        <w:pStyle w:val="FootnoteText"/>
        <w:pBdr>
          <w:top w:val="nil"/>
        </w:pBdr>
        <w:jc w:val="both"/>
        <w:rPr>
          <w:lang w:val="es-ES_tradnl"/>
        </w:rPr>
      </w:pPr>
      <w:r>
        <w:rPr>
          <w:rStyle w:val="FootnoteReference"/>
        </w:rPr>
        <w:footnoteRef/>
      </w:r>
      <w:r w:rsidRPr="004178F5">
        <w:rPr>
          <w:lang w:val="es-ES"/>
        </w:rPr>
        <w:t xml:space="preserve"> Anexo </w:t>
      </w:r>
      <w:r>
        <w:rPr>
          <w:lang w:val="es-ES"/>
        </w:rPr>
        <w:t>30</w:t>
      </w:r>
      <w:r w:rsidRPr="004178F5">
        <w:rPr>
          <w:lang w:val="es-ES"/>
        </w:rPr>
        <w:t xml:space="preserve">. Recurso de reposición de la demandada de 19 de abril de 2012 . Anexo al </w:t>
      </w:r>
      <w:r>
        <w:rPr>
          <w:lang w:val="es-ES"/>
        </w:rPr>
        <w:t>e</w:t>
      </w:r>
      <w:r w:rsidRPr="00B02F71">
        <w:rPr>
          <w:lang w:val="es-ES"/>
        </w:rPr>
        <w:t>scrito de la parte pet</w:t>
      </w:r>
      <w:r>
        <w:rPr>
          <w:lang w:val="es-ES"/>
        </w:rPr>
        <w:t>icionaria de 6 de marzo de 2017.</w:t>
      </w:r>
    </w:p>
  </w:footnote>
  <w:footnote w:id="51">
    <w:p w:rsidR="00CA05C6" w:rsidRPr="001D7432" w:rsidRDefault="00CA05C6" w:rsidP="005D1D06">
      <w:pPr>
        <w:pStyle w:val="FootnoteText"/>
        <w:pBdr>
          <w:top w:val="nil"/>
        </w:pBdr>
        <w:jc w:val="both"/>
        <w:rPr>
          <w:lang w:val="es-ES_tradnl"/>
        </w:rPr>
      </w:pPr>
      <w:r>
        <w:rPr>
          <w:rStyle w:val="FootnoteReference"/>
        </w:rPr>
        <w:footnoteRef/>
      </w:r>
      <w:r w:rsidRPr="004178F5">
        <w:rPr>
          <w:lang w:val="es-ES"/>
        </w:rPr>
        <w:t xml:space="preserve"> Anexo </w:t>
      </w:r>
      <w:r>
        <w:rPr>
          <w:lang w:val="es-ES"/>
        </w:rPr>
        <w:t>31</w:t>
      </w:r>
      <w:r w:rsidRPr="004178F5">
        <w:rPr>
          <w:lang w:val="es-ES"/>
        </w:rPr>
        <w:t xml:space="preserve">. Contestación al recurso de reposición de la demandante (sin fecha) . Anexo al </w:t>
      </w:r>
      <w:r>
        <w:rPr>
          <w:lang w:val="es-ES"/>
        </w:rPr>
        <w:t>e</w:t>
      </w:r>
      <w:r w:rsidRPr="00B02F71">
        <w:rPr>
          <w:lang w:val="es-ES"/>
        </w:rPr>
        <w:t>scrito de la parte pet</w:t>
      </w:r>
      <w:r>
        <w:rPr>
          <w:lang w:val="es-ES"/>
        </w:rPr>
        <w:t>icionaria de 6 de marzo de 2017.</w:t>
      </w:r>
    </w:p>
  </w:footnote>
  <w:footnote w:id="52">
    <w:p w:rsidR="00CA05C6" w:rsidRPr="00C33D0E" w:rsidRDefault="00CA05C6" w:rsidP="005D1D06">
      <w:pPr>
        <w:pStyle w:val="FootnoteText"/>
        <w:pBdr>
          <w:top w:val="nil"/>
        </w:pBdr>
        <w:jc w:val="both"/>
        <w:rPr>
          <w:lang w:val="es-ES_tradnl"/>
        </w:rPr>
      </w:pPr>
      <w:r>
        <w:rPr>
          <w:rStyle w:val="FootnoteReference"/>
        </w:rPr>
        <w:footnoteRef/>
      </w:r>
      <w:r w:rsidRPr="004178F5">
        <w:rPr>
          <w:lang w:val="es-ES"/>
        </w:rPr>
        <w:t xml:space="preserve"> Anexo </w:t>
      </w:r>
      <w:r>
        <w:rPr>
          <w:lang w:val="es-ES"/>
        </w:rPr>
        <w:t>32</w:t>
      </w:r>
      <w:r w:rsidRPr="004178F5">
        <w:rPr>
          <w:lang w:val="es-ES"/>
        </w:rPr>
        <w:t xml:space="preserve">. Sentencia de la Jueza Arbitra Escobar, Intendenta de Fondos y Seguros Previsionales de Salud, de 12 de junio de 2012. Anexo al </w:t>
      </w:r>
      <w:r>
        <w:rPr>
          <w:lang w:val="es-ES"/>
        </w:rPr>
        <w:t>e</w:t>
      </w:r>
      <w:r w:rsidRPr="00B02F71">
        <w:rPr>
          <w:lang w:val="es-ES"/>
        </w:rPr>
        <w:t>scrito de la parte pet</w:t>
      </w:r>
      <w:r>
        <w:rPr>
          <w:lang w:val="es-ES"/>
        </w:rPr>
        <w:t>icionaria de 6 de marzo de 2017.</w:t>
      </w:r>
    </w:p>
  </w:footnote>
  <w:footnote w:id="53">
    <w:p w:rsidR="00CA05C6" w:rsidRPr="00C33D0E" w:rsidRDefault="00CA05C6" w:rsidP="005D1D06">
      <w:pPr>
        <w:pStyle w:val="FootnoteText"/>
        <w:pBdr>
          <w:top w:val="nil"/>
        </w:pBdr>
        <w:jc w:val="both"/>
        <w:rPr>
          <w:lang w:val="es-ES_tradnl"/>
        </w:rPr>
      </w:pPr>
      <w:r>
        <w:rPr>
          <w:rStyle w:val="FootnoteReference"/>
        </w:rPr>
        <w:footnoteRef/>
      </w:r>
      <w:r w:rsidRPr="004178F5">
        <w:rPr>
          <w:lang w:val="es-ES"/>
        </w:rPr>
        <w:t xml:space="preserve"> Anexo </w:t>
      </w:r>
      <w:r>
        <w:rPr>
          <w:lang w:val="es-ES"/>
        </w:rPr>
        <w:t>33</w:t>
      </w:r>
      <w:r w:rsidRPr="004178F5">
        <w:rPr>
          <w:lang w:val="es-ES"/>
        </w:rPr>
        <w:t xml:space="preserve">. Confirmación de sentencia de la Jueza Arbitra Escobar, Intendenta de Fondos y Seguros Previsionales de Salud, de 12 de junio de 2012. Anexo al </w:t>
      </w:r>
      <w:r>
        <w:rPr>
          <w:lang w:val="es-ES"/>
        </w:rPr>
        <w:t>e</w:t>
      </w:r>
      <w:r w:rsidRPr="00B02F71">
        <w:rPr>
          <w:lang w:val="es-ES"/>
        </w:rPr>
        <w:t>scrito de la parte pet</w:t>
      </w:r>
      <w:r>
        <w:rPr>
          <w:lang w:val="es-ES"/>
        </w:rPr>
        <w:t>icionaria de 6 de marzo de 2017.</w:t>
      </w:r>
    </w:p>
  </w:footnote>
  <w:footnote w:id="54">
    <w:p w:rsidR="00CA05C6" w:rsidRPr="001D2E04" w:rsidRDefault="00CA05C6" w:rsidP="008B3F9A">
      <w:pPr>
        <w:pStyle w:val="FootnoteText"/>
        <w:jc w:val="both"/>
        <w:rPr>
          <w:lang w:val="es-ES_tradnl"/>
        </w:rPr>
      </w:pPr>
      <w:r>
        <w:rPr>
          <w:rStyle w:val="FootnoteReference"/>
        </w:rPr>
        <w:footnoteRef/>
      </w:r>
      <w:r>
        <w:rPr>
          <w:lang w:val="es-ES"/>
        </w:rPr>
        <w:t xml:space="preserve"> Anexo 34</w:t>
      </w:r>
      <w:r w:rsidRPr="004178F5">
        <w:rPr>
          <w:lang w:val="es-ES"/>
        </w:rPr>
        <w:t xml:space="preserve">. Recurso de apelación de la demandada. Anexo al </w:t>
      </w:r>
      <w:r>
        <w:rPr>
          <w:lang w:val="es-ES"/>
        </w:rPr>
        <w:t>e</w:t>
      </w:r>
      <w:r w:rsidRPr="00B02F71">
        <w:rPr>
          <w:lang w:val="es-ES"/>
        </w:rPr>
        <w:t>scrito de la parte pet</w:t>
      </w:r>
      <w:r>
        <w:rPr>
          <w:lang w:val="es-ES"/>
        </w:rPr>
        <w:t>icionaria de 6 de marzo de 2017.</w:t>
      </w:r>
    </w:p>
  </w:footnote>
  <w:footnote w:id="55">
    <w:p w:rsidR="00CA05C6" w:rsidRPr="001D2E04" w:rsidRDefault="00CA05C6" w:rsidP="008B3F9A">
      <w:pPr>
        <w:pStyle w:val="FootnoteText"/>
        <w:jc w:val="both"/>
        <w:rPr>
          <w:lang w:val="es-ES_tradnl"/>
        </w:rPr>
      </w:pPr>
      <w:r>
        <w:rPr>
          <w:rStyle w:val="FootnoteReference"/>
        </w:rPr>
        <w:footnoteRef/>
      </w:r>
      <w:r w:rsidRPr="004178F5">
        <w:rPr>
          <w:lang w:val="es-ES"/>
        </w:rPr>
        <w:t xml:space="preserve"> Anexo </w:t>
      </w:r>
      <w:r>
        <w:rPr>
          <w:lang w:val="es-ES"/>
        </w:rPr>
        <w:t>35</w:t>
      </w:r>
      <w:r w:rsidRPr="004178F5">
        <w:rPr>
          <w:lang w:val="es-ES"/>
        </w:rPr>
        <w:t xml:space="preserve">. </w:t>
      </w:r>
      <w:r w:rsidRPr="009D7472">
        <w:rPr>
          <w:lang w:val="es-ES"/>
        </w:rPr>
        <w:t>Sentencia de apelación  del Juez Arbitro Romero</w:t>
      </w:r>
      <w:r>
        <w:rPr>
          <w:lang w:val="es-ES"/>
        </w:rPr>
        <w:t xml:space="preserve"> Stroy</w:t>
      </w:r>
      <w:r w:rsidRPr="004178F5">
        <w:rPr>
          <w:lang w:val="es-ES"/>
        </w:rPr>
        <w:t xml:space="preserve"> </w:t>
      </w:r>
      <w:r w:rsidRPr="006E6A19">
        <w:rPr>
          <w:lang w:val="es-ES"/>
        </w:rPr>
        <w:t xml:space="preserve">de 23 de agosto de 2012. </w:t>
      </w:r>
      <w:r w:rsidRPr="009D7472">
        <w:rPr>
          <w:lang w:val="es-ES"/>
        </w:rPr>
        <w:t>Anexo al escrito de la parte peticionaria de 6 de marzo de 2017.</w:t>
      </w:r>
    </w:p>
  </w:footnote>
  <w:footnote w:id="56">
    <w:p w:rsidR="00CA05C6" w:rsidRPr="00CC270E" w:rsidRDefault="00CA05C6" w:rsidP="008B3F9A">
      <w:pPr>
        <w:pStyle w:val="FootnoteText"/>
        <w:jc w:val="both"/>
        <w:rPr>
          <w:lang w:val="es-ES"/>
        </w:rPr>
      </w:pPr>
      <w:r>
        <w:rPr>
          <w:rStyle w:val="FootnoteReference"/>
        </w:rPr>
        <w:footnoteRef/>
      </w:r>
      <w:r w:rsidRPr="00CC270E">
        <w:rPr>
          <w:lang w:val="es-ES"/>
        </w:rPr>
        <w:t xml:space="preserve"> </w:t>
      </w:r>
      <w:r>
        <w:rPr>
          <w:lang w:val="es-ES"/>
        </w:rPr>
        <w:t>Anexo 36. Carta a Isapre de 4 de mayo de 2017. Anexo al escrito de la parte peticionaria de 28 de diciembre de 2017.</w:t>
      </w:r>
    </w:p>
  </w:footnote>
  <w:footnote w:id="57">
    <w:p w:rsidR="00CA05C6" w:rsidRPr="004A2A9F" w:rsidRDefault="00CA05C6" w:rsidP="008B3F9A">
      <w:pPr>
        <w:pStyle w:val="FootnoteText"/>
        <w:jc w:val="both"/>
        <w:rPr>
          <w:lang w:val="es-ES"/>
        </w:rPr>
      </w:pPr>
      <w:r>
        <w:rPr>
          <w:rStyle w:val="FootnoteReference"/>
        </w:rPr>
        <w:footnoteRef/>
      </w:r>
      <w:r w:rsidRPr="004A2A9F">
        <w:rPr>
          <w:lang w:val="es-ES"/>
        </w:rPr>
        <w:t xml:space="preserve"> </w:t>
      </w:r>
      <w:r>
        <w:rPr>
          <w:lang w:val="es-ES"/>
        </w:rPr>
        <w:t>Anexo 37. Cartas a la Superintendencia de 8 de junio de 2017 y 3 de agosto de 2017. Anexo al escrito de la parte peticionaria de 28 de diciembre de 2017.</w:t>
      </w:r>
    </w:p>
  </w:footnote>
  <w:footnote w:id="58">
    <w:p w:rsidR="00CA05C6" w:rsidRPr="000632F8" w:rsidRDefault="00CA05C6" w:rsidP="008B3F9A">
      <w:pPr>
        <w:pStyle w:val="FootnoteText"/>
        <w:jc w:val="both"/>
        <w:rPr>
          <w:lang w:val="es-ES"/>
        </w:rPr>
      </w:pPr>
      <w:r>
        <w:rPr>
          <w:rStyle w:val="FootnoteReference"/>
        </w:rPr>
        <w:footnoteRef/>
      </w:r>
      <w:r w:rsidRPr="000632F8">
        <w:rPr>
          <w:lang w:val="es-ES_tradnl"/>
        </w:rPr>
        <w:t xml:space="preserve"> </w:t>
      </w:r>
      <w:r>
        <w:rPr>
          <w:lang w:val="es-ES"/>
        </w:rPr>
        <w:t>Anexo 38. Carta a Superintendencia de  5 de abril de 2017. Anexo al escrito de la parte peticionaria de 6 de [abril] de 2017.</w:t>
      </w:r>
    </w:p>
  </w:footnote>
  <w:footnote w:id="59">
    <w:p w:rsidR="00CA05C6" w:rsidRPr="00ED256F" w:rsidRDefault="00CA05C6" w:rsidP="008B3F9A">
      <w:pPr>
        <w:pStyle w:val="FootnoteText"/>
        <w:jc w:val="both"/>
        <w:rPr>
          <w:lang w:val="es-ES"/>
        </w:rPr>
      </w:pPr>
      <w:r>
        <w:rPr>
          <w:rStyle w:val="FootnoteReference"/>
        </w:rPr>
        <w:footnoteRef/>
      </w:r>
      <w:r w:rsidRPr="00ED256F">
        <w:rPr>
          <w:lang w:val="es-ES"/>
        </w:rPr>
        <w:t xml:space="preserve"> </w:t>
      </w:r>
      <w:r>
        <w:rPr>
          <w:lang w:val="es-ES"/>
        </w:rPr>
        <w:t>Anexo 39. Carta de Isapre de 28 de marzo de 2017. Anexo al escrito de la parte peticionaria de 6 de [abril] de 2017.</w:t>
      </w:r>
    </w:p>
  </w:footnote>
  <w:footnote w:id="60">
    <w:p w:rsidR="00CA05C6" w:rsidRPr="00B53FCD" w:rsidRDefault="00CA05C6" w:rsidP="008B3F9A">
      <w:pPr>
        <w:pStyle w:val="FootnoteText"/>
        <w:jc w:val="both"/>
        <w:rPr>
          <w:lang w:val="es-ES"/>
        </w:rPr>
      </w:pPr>
      <w:r>
        <w:rPr>
          <w:rStyle w:val="FootnoteReference"/>
        </w:rPr>
        <w:footnoteRef/>
      </w:r>
      <w:r w:rsidRPr="007A5E59">
        <w:rPr>
          <w:lang w:val="es-ES"/>
        </w:rPr>
        <w:t xml:space="preserve"> El artículo 26 de la </w:t>
      </w:r>
      <w:r>
        <w:rPr>
          <w:lang w:val="es-ES"/>
        </w:rPr>
        <w:t>Convención Americana establece en lo pertinente lo siguiente “</w:t>
      </w:r>
      <w:r w:rsidRPr="00B53FCD">
        <w:rPr>
          <w:lang w:val="es-ES"/>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w:t>
      </w:r>
      <w:r>
        <w:rPr>
          <w:lang w:val="es-ES"/>
        </w:rPr>
        <w:t xml:space="preserve">ativa u otros medios apropiados”. </w:t>
      </w:r>
    </w:p>
  </w:footnote>
  <w:footnote w:id="61">
    <w:p w:rsidR="00CA05C6" w:rsidRPr="00B53FCD" w:rsidRDefault="00CA05C6" w:rsidP="008B3F9A">
      <w:pPr>
        <w:pStyle w:val="FootnoteText"/>
        <w:jc w:val="both"/>
        <w:rPr>
          <w:rFonts w:asciiTheme="majorHAnsi" w:hAnsiTheme="majorHAnsi"/>
          <w:szCs w:val="16"/>
          <w:lang w:val="es-ES"/>
        </w:rPr>
      </w:pPr>
      <w:r w:rsidRPr="00B53FCD">
        <w:rPr>
          <w:rStyle w:val="FootnoteReference"/>
          <w:rFonts w:asciiTheme="majorHAnsi" w:hAnsiTheme="majorHAnsi"/>
          <w:color w:val="auto"/>
          <w:szCs w:val="16"/>
        </w:rPr>
        <w:footnoteRef/>
      </w:r>
      <w:r w:rsidRPr="00B53FCD">
        <w:rPr>
          <w:rFonts w:asciiTheme="majorHAnsi" w:hAnsiTheme="majorHAnsi"/>
          <w:color w:val="auto"/>
          <w:szCs w:val="16"/>
          <w:lang w:val="es-VE"/>
        </w:rPr>
        <w:t xml:space="preserve"> </w:t>
      </w:r>
      <w:r w:rsidRPr="00B53FCD">
        <w:rPr>
          <w:rFonts w:asciiTheme="majorHAnsi" w:hAnsiTheme="majorHAnsi"/>
          <w:color w:val="auto"/>
          <w:szCs w:val="16"/>
          <w:lang w:val="es-ES"/>
        </w:rPr>
        <w:t xml:space="preserve">El artículo </w:t>
      </w:r>
      <w:r>
        <w:rPr>
          <w:rFonts w:asciiTheme="majorHAnsi" w:hAnsiTheme="majorHAnsi"/>
          <w:szCs w:val="16"/>
          <w:lang w:val="es-ES"/>
        </w:rPr>
        <w:t>4.1</w:t>
      </w:r>
      <w:r w:rsidRPr="00B53FCD">
        <w:rPr>
          <w:rFonts w:asciiTheme="majorHAnsi" w:hAnsiTheme="majorHAnsi"/>
          <w:color w:val="auto"/>
          <w:szCs w:val="16"/>
          <w:lang w:val="es-ES"/>
        </w:rPr>
        <w:t xml:space="preserve"> de la Convención Americana </w:t>
      </w:r>
      <w:r>
        <w:rPr>
          <w:rFonts w:asciiTheme="majorHAnsi" w:hAnsiTheme="majorHAnsi"/>
          <w:color w:val="auto"/>
          <w:szCs w:val="16"/>
          <w:lang w:val="es-ES"/>
        </w:rPr>
        <w:t>lo</w:t>
      </w:r>
      <w:r w:rsidRPr="00B53FCD">
        <w:rPr>
          <w:rFonts w:asciiTheme="majorHAnsi" w:hAnsiTheme="majorHAnsi"/>
          <w:color w:val="auto"/>
          <w:szCs w:val="16"/>
          <w:lang w:val="es-ES"/>
        </w:rPr>
        <w:t xml:space="preserve"> siguiente</w:t>
      </w:r>
      <w:r>
        <w:rPr>
          <w:rFonts w:asciiTheme="majorHAnsi" w:hAnsiTheme="majorHAnsi"/>
          <w:szCs w:val="16"/>
          <w:lang w:val="es-ES"/>
        </w:rPr>
        <w:t>: “</w:t>
      </w:r>
      <w:r w:rsidRPr="00361C78">
        <w:rPr>
          <w:rFonts w:asciiTheme="majorHAnsi" w:hAnsiTheme="majorHAnsi"/>
          <w:szCs w:val="16"/>
          <w:lang w:val="es-ES"/>
        </w:rPr>
        <w:t>1. Toda persona tiene derecho a que se respete su vida. Este derecho estará protegido por la ley y, en general, a partir del momento de la concepción.  Nadie puede ser privado de la vida arbitrariamente.</w:t>
      </w:r>
      <w:r>
        <w:rPr>
          <w:rFonts w:asciiTheme="majorHAnsi" w:hAnsiTheme="majorHAnsi"/>
          <w:szCs w:val="16"/>
          <w:lang w:val="es-ES"/>
        </w:rPr>
        <w:t>”</w:t>
      </w:r>
    </w:p>
  </w:footnote>
  <w:footnote w:id="62">
    <w:p w:rsidR="00CA05C6" w:rsidRPr="00361C78" w:rsidRDefault="00CA05C6" w:rsidP="008B3F9A">
      <w:pPr>
        <w:pStyle w:val="FootnoteText"/>
        <w:jc w:val="both"/>
        <w:rPr>
          <w:rFonts w:asciiTheme="majorHAnsi" w:hAnsiTheme="majorHAnsi"/>
          <w:szCs w:val="16"/>
          <w:lang w:val="es-ES"/>
        </w:rPr>
      </w:pPr>
      <w:r w:rsidRPr="00361C78">
        <w:rPr>
          <w:rStyle w:val="FootnoteReference"/>
          <w:rFonts w:asciiTheme="majorHAnsi" w:hAnsiTheme="majorHAnsi"/>
          <w:szCs w:val="16"/>
        </w:rPr>
        <w:footnoteRef/>
      </w:r>
      <w:r w:rsidRPr="00361C78">
        <w:rPr>
          <w:rFonts w:asciiTheme="majorHAnsi" w:hAnsiTheme="majorHAnsi"/>
          <w:szCs w:val="16"/>
          <w:lang w:val="es-ES"/>
        </w:rPr>
        <w:t xml:space="preserve"> </w:t>
      </w:r>
      <w:r w:rsidRPr="00361C78">
        <w:rPr>
          <w:rFonts w:asciiTheme="majorHAnsi" w:hAnsiTheme="majorHAnsi"/>
          <w:szCs w:val="16"/>
          <w:lang w:val="es-US"/>
        </w:rPr>
        <w:t>El artículo 5</w:t>
      </w:r>
      <w:r>
        <w:rPr>
          <w:rFonts w:asciiTheme="majorHAnsi" w:hAnsiTheme="majorHAnsi"/>
          <w:szCs w:val="16"/>
          <w:lang w:val="es-US"/>
        </w:rPr>
        <w:t>.1</w:t>
      </w:r>
      <w:r w:rsidRPr="00361C78">
        <w:rPr>
          <w:rFonts w:asciiTheme="majorHAnsi" w:hAnsiTheme="majorHAnsi"/>
          <w:szCs w:val="16"/>
          <w:lang w:val="es-US"/>
        </w:rPr>
        <w:t xml:space="preserve"> de la Convención Americana </w:t>
      </w:r>
      <w:r>
        <w:rPr>
          <w:rFonts w:asciiTheme="majorHAnsi" w:hAnsiTheme="majorHAnsi"/>
          <w:szCs w:val="16"/>
          <w:lang w:val="es-US"/>
        </w:rPr>
        <w:t>establece lo siguiente</w:t>
      </w:r>
      <w:r w:rsidRPr="00361C78">
        <w:rPr>
          <w:rFonts w:asciiTheme="majorHAnsi" w:hAnsiTheme="majorHAnsi"/>
          <w:szCs w:val="16"/>
          <w:lang w:val="es-US"/>
        </w:rPr>
        <w:t xml:space="preserve">: </w:t>
      </w:r>
      <w:r>
        <w:rPr>
          <w:rFonts w:asciiTheme="majorHAnsi" w:hAnsiTheme="majorHAnsi"/>
          <w:szCs w:val="16"/>
          <w:lang w:val="es-US"/>
        </w:rPr>
        <w:t>“</w:t>
      </w:r>
      <w:r w:rsidRPr="00361C78">
        <w:rPr>
          <w:rFonts w:asciiTheme="majorHAnsi" w:hAnsiTheme="majorHAnsi" w:cs="Verdana"/>
          <w:szCs w:val="16"/>
          <w:lang w:val="es-US" w:bidi="en-US"/>
        </w:rPr>
        <w:t>1. Toda persona tiene derecho a que se respete su inte</w:t>
      </w:r>
      <w:r>
        <w:rPr>
          <w:rFonts w:asciiTheme="majorHAnsi" w:hAnsiTheme="majorHAnsi" w:cs="Verdana"/>
          <w:szCs w:val="16"/>
          <w:lang w:val="es-US" w:bidi="en-US"/>
        </w:rPr>
        <w:t>gridad física, psíquica y moral.”</w:t>
      </w:r>
    </w:p>
  </w:footnote>
  <w:footnote w:id="63">
    <w:p w:rsidR="00CA05C6" w:rsidRPr="00361C78" w:rsidRDefault="00CA05C6" w:rsidP="008B3F9A">
      <w:pPr>
        <w:pStyle w:val="FootnoteText"/>
        <w:jc w:val="both"/>
        <w:rPr>
          <w:rFonts w:asciiTheme="majorHAnsi" w:hAnsiTheme="majorHAnsi"/>
          <w:szCs w:val="16"/>
          <w:lang w:val="es-ES"/>
        </w:rPr>
      </w:pPr>
      <w:r w:rsidRPr="00361C78">
        <w:rPr>
          <w:rStyle w:val="FootnoteReference"/>
          <w:rFonts w:asciiTheme="majorHAnsi" w:hAnsiTheme="majorHAnsi"/>
          <w:szCs w:val="16"/>
        </w:rPr>
        <w:footnoteRef/>
      </w:r>
      <w:r w:rsidRPr="00361C78">
        <w:rPr>
          <w:rFonts w:asciiTheme="majorHAnsi" w:hAnsiTheme="majorHAnsi"/>
          <w:szCs w:val="16"/>
          <w:lang w:val="es-ES"/>
        </w:rPr>
        <w:t xml:space="preserve"> El artículo 19 de la Convención Americana establece en lo pertinente lo siguiente: Todo niño tiene derecho a las medidas de protección que su condición de menor requieren por parte de su familia, de la sociedad y del Estado.</w:t>
      </w:r>
    </w:p>
  </w:footnote>
  <w:footnote w:id="64">
    <w:p w:rsidR="00CA05C6" w:rsidRPr="000C57B3" w:rsidRDefault="00CA05C6" w:rsidP="008B3F9A">
      <w:pPr>
        <w:shd w:val="clear" w:color="auto" w:fill="FFFFFF"/>
        <w:tabs>
          <w:tab w:val="num" w:pos="720"/>
          <w:tab w:val="left" w:pos="1440"/>
          <w:tab w:val="num" w:pos="2040"/>
        </w:tabs>
        <w:jc w:val="both"/>
        <w:rPr>
          <w:rFonts w:asciiTheme="majorHAnsi" w:hAnsiTheme="majorHAnsi"/>
          <w:sz w:val="16"/>
          <w:szCs w:val="16"/>
          <w:lang w:val="es-ES"/>
        </w:rPr>
      </w:pPr>
      <w:r w:rsidRPr="00B53FCD">
        <w:rPr>
          <w:rStyle w:val="FootnoteReference"/>
          <w:rFonts w:asciiTheme="majorHAnsi" w:hAnsiTheme="majorHAnsi"/>
          <w:sz w:val="16"/>
          <w:szCs w:val="16"/>
        </w:rPr>
        <w:footnoteRef/>
      </w:r>
      <w:r w:rsidRPr="00B53FCD">
        <w:rPr>
          <w:rFonts w:asciiTheme="majorHAnsi" w:hAnsiTheme="majorHAnsi"/>
          <w:sz w:val="16"/>
          <w:szCs w:val="16"/>
          <w:lang w:val="es-VE"/>
        </w:rPr>
        <w:t xml:space="preserve"> </w:t>
      </w:r>
      <w:r w:rsidRPr="00361C78">
        <w:rPr>
          <w:rFonts w:asciiTheme="majorHAnsi" w:hAnsiTheme="majorHAnsi"/>
          <w:sz w:val="16"/>
          <w:szCs w:val="16"/>
          <w:lang w:val="es-US"/>
        </w:rPr>
        <w:t xml:space="preserve">El artículo </w:t>
      </w:r>
      <w:r>
        <w:rPr>
          <w:rFonts w:asciiTheme="majorHAnsi" w:hAnsiTheme="majorHAnsi"/>
          <w:sz w:val="16"/>
          <w:szCs w:val="16"/>
          <w:lang w:val="es-US"/>
        </w:rPr>
        <w:t>1.1</w:t>
      </w:r>
      <w:r w:rsidRPr="00361C78">
        <w:rPr>
          <w:rFonts w:asciiTheme="majorHAnsi" w:hAnsiTheme="majorHAnsi"/>
          <w:sz w:val="16"/>
          <w:szCs w:val="16"/>
          <w:lang w:val="es-US"/>
        </w:rPr>
        <w:t xml:space="preserve"> de la Convención Americana </w:t>
      </w:r>
      <w:r>
        <w:rPr>
          <w:rFonts w:asciiTheme="majorHAnsi" w:hAnsiTheme="majorHAnsi"/>
          <w:sz w:val="16"/>
          <w:szCs w:val="16"/>
          <w:lang w:val="es-US"/>
        </w:rPr>
        <w:t>establece lo siguiente</w:t>
      </w:r>
      <w:r w:rsidRPr="00361C78">
        <w:rPr>
          <w:rFonts w:asciiTheme="majorHAnsi" w:hAnsiTheme="majorHAnsi"/>
          <w:sz w:val="16"/>
          <w:szCs w:val="16"/>
          <w:lang w:val="es-US"/>
        </w:rPr>
        <w:t>:</w:t>
      </w:r>
      <w:r>
        <w:rPr>
          <w:rFonts w:asciiTheme="majorHAnsi" w:hAnsiTheme="majorHAnsi"/>
          <w:sz w:val="16"/>
          <w:szCs w:val="16"/>
          <w:lang w:val="es-US"/>
        </w:rPr>
        <w:t xml:space="preserve"> “</w:t>
      </w:r>
      <w:r w:rsidRPr="000C57B3">
        <w:rPr>
          <w:rFonts w:asciiTheme="majorHAnsi" w:hAnsiTheme="majorHAnsi" w:cs="Verdana"/>
          <w:sz w:val="16"/>
          <w:szCs w:val="16"/>
          <w:lang w:val="es-ES" w:bidi="en-US"/>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Pr>
          <w:rFonts w:asciiTheme="majorHAnsi" w:hAnsiTheme="majorHAnsi" w:cs="Verdana"/>
          <w:sz w:val="16"/>
          <w:szCs w:val="16"/>
          <w:lang w:val="es-ES" w:bidi="en-US"/>
        </w:rPr>
        <w:t>”</w:t>
      </w:r>
    </w:p>
  </w:footnote>
  <w:footnote w:id="65">
    <w:p w:rsidR="00CA05C6" w:rsidRPr="000C57B3" w:rsidRDefault="00CA05C6" w:rsidP="008B3F9A">
      <w:pPr>
        <w:shd w:val="clear" w:color="auto" w:fill="FFFFFF"/>
        <w:tabs>
          <w:tab w:val="num" w:pos="720"/>
          <w:tab w:val="left" w:pos="1440"/>
          <w:tab w:val="num" w:pos="2040"/>
        </w:tabs>
        <w:jc w:val="both"/>
        <w:rPr>
          <w:rFonts w:asciiTheme="majorHAnsi" w:hAnsiTheme="majorHAnsi"/>
          <w:sz w:val="16"/>
          <w:szCs w:val="16"/>
          <w:lang w:val="es-ES"/>
        </w:rPr>
      </w:pPr>
      <w:r w:rsidRPr="00B53FCD">
        <w:rPr>
          <w:rStyle w:val="FootnoteReference"/>
          <w:rFonts w:asciiTheme="majorHAnsi" w:hAnsiTheme="majorHAnsi"/>
          <w:sz w:val="16"/>
          <w:szCs w:val="16"/>
        </w:rPr>
        <w:footnoteRef/>
      </w:r>
      <w:r w:rsidRPr="00B53FCD">
        <w:rPr>
          <w:rFonts w:asciiTheme="majorHAnsi" w:hAnsiTheme="majorHAnsi"/>
          <w:sz w:val="16"/>
          <w:szCs w:val="16"/>
          <w:lang w:val="es-VE"/>
        </w:rPr>
        <w:t xml:space="preserve"> El artículo </w:t>
      </w:r>
      <w:r>
        <w:rPr>
          <w:rFonts w:asciiTheme="majorHAnsi" w:hAnsiTheme="majorHAnsi"/>
          <w:sz w:val="16"/>
          <w:szCs w:val="16"/>
          <w:lang w:val="es-VE"/>
        </w:rPr>
        <w:t xml:space="preserve">2 </w:t>
      </w:r>
      <w:r w:rsidRPr="00B53FCD">
        <w:rPr>
          <w:rFonts w:asciiTheme="majorHAnsi" w:hAnsiTheme="majorHAnsi"/>
          <w:sz w:val="16"/>
          <w:szCs w:val="16"/>
          <w:lang w:val="es-VE"/>
        </w:rPr>
        <w:t xml:space="preserve">de la Convención Americana establece </w:t>
      </w:r>
      <w:r>
        <w:rPr>
          <w:rFonts w:asciiTheme="majorHAnsi" w:hAnsiTheme="majorHAnsi"/>
          <w:sz w:val="16"/>
          <w:szCs w:val="16"/>
          <w:lang w:val="es-VE"/>
        </w:rPr>
        <w:t>lo siguiente: “</w:t>
      </w:r>
      <w:r w:rsidRPr="000C57B3">
        <w:rPr>
          <w:rFonts w:asciiTheme="majorHAnsi" w:hAnsiTheme="majorHAnsi"/>
          <w:sz w:val="16"/>
          <w:szCs w:val="16"/>
          <w:lang w:val="es-E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66">
    <w:p w:rsidR="00CA05C6" w:rsidRPr="00B93244" w:rsidRDefault="00CA05C6" w:rsidP="00E76F5C">
      <w:pPr>
        <w:ind w:right="11"/>
        <w:jc w:val="both"/>
        <w:rPr>
          <w:rFonts w:asciiTheme="majorHAnsi" w:hAnsiTheme="majorHAnsi"/>
          <w:sz w:val="16"/>
          <w:szCs w:val="16"/>
          <w:lang w:val="es-US"/>
        </w:rPr>
      </w:pPr>
      <w:r w:rsidRPr="00B93244">
        <w:rPr>
          <w:rStyle w:val="FootnoteReference"/>
          <w:rFonts w:asciiTheme="majorHAnsi" w:hAnsiTheme="majorHAnsi"/>
          <w:sz w:val="16"/>
          <w:szCs w:val="16"/>
        </w:rPr>
        <w:footnoteRef/>
      </w:r>
      <w:r w:rsidRPr="00B93244">
        <w:rPr>
          <w:rFonts w:asciiTheme="majorHAnsi" w:hAnsiTheme="majorHAnsi"/>
          <w:sz w:val="16"/>
          <w:szCs w:val="16"/>
          <w:lang w:val="es-US"/>
        </w:rPr>
        <w:t xml:space="preserve"> </w:t>
      </w:r>
      <w:r w:rsidRPr="00B93244">
        <w:rPr>
          <w:rStyle w:val="Hyperlink"/>
          <w:rFonts w:asciiTheme="majorHAnsi" w:hAnsiTheme="majorHAnsi" w:cs="Arial"/>
          <w:sz w:val="16"/>
          <w:szCs w:val="16"/>
          <w:u w:val="none"/>
          <w:shd w:val="clear" w:color="auto" w:fill="FFFFFF"/>
          <w:lang w:val="es-US"/>
        </w:rPr>
        <w:t xml:space="preserve">CIDH, Informe No. 11/10, Caso 12.488, Fondo, Miembros de la Familia Barrios, Venezuela, 16 de marzo de 2010, párr.91. Asimismo: </w:t>
      </w:r>
      <w:r w:rsidRPr="00B93244">
        <w:rPr>
          <w:rFonts w:asciiTheme="majorHAnsi" w:hAnsiTheme="majorHAnsi"/>
          <w:sz w:val="16"/>
          <w:szCs w:val="16"/>
          <w:lang w:val="es-ES_tradnl"/>
        </w:rPr>
        <w:t xml:space="preserve">Corte IDH. </w:t>
      </w:r>
      <w:r w:rsidRPr="00B93244">
        <w:rPr>
          <w:rFonts w:asciiTheme="majorHAnsi" w:hAnsiTheme="majorHAnsi"/>
          <w:i/>
          <w:sz w:val="16"/>
          <w:szCs w:val="16"/>
          <w:lang w:val="es-ES_tradnl"/>
        </w:rPr>
        <w:t>Caso Velásquez Rodríguez Vs. Honduras</w:t>
      </w:r>
      <w:r w:rsidRPr="00B93244">
        <w:rPr>
          <w:rFonts w:asciiTheme="majorHAnsi" w:hAnsiTheme="majorHAnsi"/>
          <w:sz w:val="16"/>
          <w:szCs w:val="16"/>
          <w:lang w:val="es-ES_tradnl"/>
        </w:rPr>
        <w:t xml:space="preserve">. </w:t>
      </w:r>
      <w:hyperlink r:id="rId1" w:history="1">
        <w:r w:rsidRPr="00B93244">
          <w:rPr>
            <w:rStyle w:val="Hyperlink"/>
            <w:rFonts w:asciiTheme="majorHAnsi" w:hAnsiTheme="majorHAnsi" w:cs="Arial"/>
            <w:sz w:val="16"/>
            <w:szCs w:val="16"/>
            <w:u w:val="none"/>
            <w:shd w:val="clear" w:color="auto" w:fill="FFFFFF"/>
            <w:lang w:val="es-ES_tradnl"/>
          </w:rPr>
          <w:t xml:space="preserve">Fondo. Sentencia de 29 de julio de 1988. </w:t>
        </w:r>
        <w:r w:rsidRPr="00B93244">
          <w:rPr>
            <w:rStyle w:val="Hyperlink"/>
            <w:rFonts w:asciiTheme="majorHAnsi" w:hAnsiTheme="majorHAnsi" w:cs="Arial"/>
            <w:sz w:val="16"/>
            <w:szCs w:val="16"/>
            <w:u w:val="none"/>
            <w:shd w:val="clear" w:color="auto" w:fill="FFFFFF"/>
            <w:lang w:val="es-US"/>
          </w:rPr>
          <w:t>Serie C No. 4</w:t>
        </w:r>
      </w:hyperlink>
      <w:r w:rsidRPr="00B93244">
        <w:rPr>
          <w:rStyle w:val="Hyperlink"/>
          <w:rFonts w:asciiTheme="majorHAnsi" w:hAnsiTheme="majorHAnsi" w:cs="Arial"/>
          <w:sz w:val="16"/>
          <w:szCs w:val="16"/>
          <w:u w:val="none"/>
          <w:shd w:val="clear" w:color="auto" w:fill="FFFFFF"/>
          <w:lang w:val="es-US"/>
        </w:rPr>
        <w:t xml:space="preserve">. Párr. 169.  </w:t>
      </w:r>
    </w:p>
  </w:footnote>
  <w:footnote w:id="67">
    <w:p w:rsidR="00CA05C6" w:rsidRPr="00B93244" w:rsidRDefault="00CA05C6" w:rsidP="00E76F5C">
      <w:pPr>
        <w:ind w:right="11"/>
        <w:jc w:val="both"/>
        <w:rPr>
          <w:rFonts w:asciiTheme="majorHAnsi" w:hAnsiTheme="majorHAnsi"/>
          <w:sz w:val="16"/>
          <w:szCs w:val="16"/>
          <w:lang w:val="es-US"/>
        </w:rPr>
      </w:pPr>
      <w:r w:rsidRPr="00B93244">
        <w:rPr>
          <w:rStyle w:val="FootnoteReference"/>
          <w:rFonts w:asciiTheme="majorHAnsi" w:hAnsiTheme="majorHAnsi"/>
          <w:sz w:val="16"/>
          <w:szCs w:val="16"/>
        </w:rPr>
        <w:footnoteRef/>
      </w:r>
      <w:r w:rsidRPr="00B93244">
        <w:rPr>
          <w:rFonts w:asciiTheme="majorHAnsi" w:hAnsiTheme="majorHAnsi"/>
          <w:sz w:val="16"/>
          <w:szCs w:val="16"/>
          <w:lang w:val="es-US"/>
        </w:rPr>
        <w:t xml:space="preserve"> </w:t>
      </w:r>
      <w:r w:rsidRPr="00B93244">
        <w:rPr>
          <w:rFonts w:asciiTheme="majorHAnsi" w:hAnsiTheme="majorHAnsi"/>
          <w:sz w:val="16"/>
          <w:szCs w:val="16"/>
          <w:lang w:val="es-ES_tradnl"/>
        </w:rPr>
        <w:t xml:space="preserve">Corte IDH. </w:t>
      </w:r>
      <w:r w:rsidRPr="00B93244">
        <w:rPr>
          <w:rFonts w:asciiTheme="majorHAnsi" w:hAnsiTheme="majorHAnsi"/>
          <w:i/>
          <w:sz w:val="16"/>
          <w:szCs w:val="16"/>
          <w:lang w:val="es-ES_tradnl"/>
        </w:rPr>
        <w:t>Caso Velásquez Rodríguez Vs. Honduras</w:t>
      </w:r>
      <w:r w:rsidRPr="00B93244">
        <w:rPr>
          <w:rFonts w:asciiTheme="majorHAnsi" w:hAnsiTheme="majorHAnsi"/>
          <w:sz w:val="16"/>
          <w:szCs w:val="16"/>
          <w:lang w:val="es-ES_tradnl"/>
        </w:rPr>
        <w:t xml:space="preserve">. </w:t>
      </w:r>
      <w:hyperlink r:id="rId2" w:history="1">
        <w:r w:rsidRPr="00B93244">
          <w:rPr>
            <w:rStyle w:val="Hyperlink"/>
            <w:rFonts w:asciiTheme="majorHAnsi" w:hAnsiTheme="majorHAnsi" w:cs="Arial"/>
            <w:sz w:val="16"/>
            <w:szCs w:val="16"/>
            <w:u w:val="none"/>
            <w:shd w:val="clear" w:color="auto" w:fill="FFFFFF"/>
            <w:lang w:val="es-ES_tradnl"/>
          </w:rPr>
          <w:t xml:space="preserve">Fondo. Sentencia de 29 de julio de 1988. </w:t>
        </w:r>
        <w:r w:rsidRPr="00B93244">
          <w:rPr>
            <w:rStyle w:val="Hyperlink"/>
            <w:rFonts w:asciiTheme="majorHAnsi" w:hAnsiTheme="majorHAnsi" w:cs="Arial"/>
            <w:sz w:val="16"/>
            <w:szCs w:val="16"/>
            <w:u w:val="none"/>
            <w:shd w:val="clear" w:color="auto" w:fill="FFFFFF"/>
            <w:lang w:val="es-US"/>
          </w:rPr>
          <w:t>Serie C No. 4</w:t>
        </w:r>
      </w:hyperlink>
      <w:r w:rsidRPr="00B93244">
        <w:rPr>
          <w:rStyle w:val="Hyperlink"/>
          <w:rFonts w:asciiTheme="majorHAnsi" w:hAnsiTheme="majorHAnsi" w:cs="Arial"/>
          <w:sz w:val="16"/>
          <w:szCs w:val="16"/>
          <w:u w:val="none"/>
          <w:shd w:val="clear" w:color="auto" w:fill="FFFFFF"/>
          <w:lang w:val="es-US"/>
        </w:rPr>
        <w:t xml:space="preserve">. Párr. 166. </w:t>
      </w:r>
    </w:p>
  </w:footnote>
  <w:footnote w:id="68">
    <w:p w:rsidR="00CA05C6" w:rsidRPr="00B93244" w:rsidRDefault="00CA05C6" w:rsidP="00E76F5C">
      <w:pPr>
        <w:pStyle w:val="FootnoteText"/>
        <w:jc w:val="both"/>
        <w:rPr>
          <w:rFonts w:asciiTheme="majorHAnsi" w:hAnsiTheme="majorHAnsi"/>
          <w:color w:val="auto"/>
          <w:szCs w:val="16"/>
          <w:lang w:val="es-US"/>
        </w:rPr>
      </w:pPr>
      <w:r w:rsidRPr="00B93244">
        <w:rPr>
          <w:rStyle w:val="FootnoteReference"/>
          <w:rFonts w:asciiTheme="majorHAnsi" w:hAnsiTheme="majorHAnsi"/>
          <w:color w:val="auto"/>
          <w:szCs w:val="16"/>
        </w:rPr>
        <w:footnoteRef/>
      </w:r>
      <w:r w:rsidRPr="00B93244">
        <w:rPr>
          <w:rFonts w:asciiTheme="majorHAnsi" w:hAnsiTheme="majorHAnsi"/>
          <w:color w:val="auto"/>
          <w:szCs w:val="16"/>
          <w:lang w:val="es-US"/>
        </w:rPr>
        <w:t xml:space="preserve"> CIDH, Informe No 65/01. Caso 11.073. Fondo. Juan Humberto Sánchez. Honduras. 6 de marzo de 2001, parr.88.   </w:t>
      </w:r>
    </w:p>
  </w:footnote>
  <w:footnote w:id="69">
    <w:p w:rsidR="00CA05C6" w:rsidRPr="00B93244" w:rsidRDefault="00CA05C6" w:rsidP="00E76F5C">
      <w:pPr>
        <w:pStyle w:val="FootnoteText"/>
        <w:jc w:val="both"/>
        <w:rPr>
          <w:rFonts w:asciiTheme="majorHAnsi" w:hAnsiTheme="majorHAnsi"/>
          <w:szCs w:val="16"/>
          <w:lang w:val="es-ES_tradnl"/>
        </w:rPr>
      </w:pPr>
      <w:r w:rsidRPr="00B93244">
        <w:rPr>
          <w:rStyle w:val="FootnoteReference"/>
          <w:rFonts w:asciiTheme="majorHAnsi" w:hAnsiTheme="majorHAnsi"/>
          <w:szCs w:val="16"/>
        </w:rPr>
        <w:footnoteRef/>
      </w:r>
      <w:r w:rsidRPr="00B93244">
        <w:rPr>
          <w:rFonts w:asciiTheme="majorHAnsi" w:hAnsiTheme="majorHAnsi"/>
          <w:szCs w:val="16"/>
          <w:lang w:val="es-ES"/>
        </w:rPr>
        <w:t xml:space="preserve"> </w:t>
      </w:r>
      <w:r w:rsidRPr="00B93244">
        <w:rPr>
          <w:rFonts w:asciiTheme="majorHAnsi" w:hAnsiTheme="majorHAnsi"/>
          <w:bCs/>
          <w:szCs w:val="16"/>
          <w:lang w:val="es-ES_tradnl"/>
        </w:rPr>
        <w:t xml:space="preserve">Corte IDH. Caso Gonzales Lluy y otros Vs. Ecuador. Excepciones Preliminares, Fondo, Reparaciones y Costas. Sentencia de 1 de septiembre de 2015. Serie C No. 298. Párr. 175; Corte IDH. </w:t>
      </w:r>
      <w:r w:rsidRPr="00B93244">
        <w:rPr>
          <w:rFonts w:asciiTheme="majorHAnsi" w:hAnsiTheme="majorHAnsi"/>
          <w:bCs/>
          <w:i/>
          <w:szCs w:val="16"/>
          <w:lang w:val="es-ES_tradnl"/>
        </w:rPr>
        <w:t xml:space="preserve">Caso Ximenes Lopes Vs. </w:t>
      </w:r>
      <w:r w:rsidRPr="00B93244">
        <w:rPr>
          <w:rFonts w:asciiTheme="majorHAnsi" w:hAnsiTheme="majorHAnsi"/>
          <w:bCs/>
          <w:i/>
          <w:szCs w:val="16"/>
          <w:lang w:val="es-ES"/>
        </w:rPr>
        <w:t>Brasil.</w:t>
      </w:r>
      <w:r w:rsidRPr="00B93244">
        <w:rPr>
          <w:rFonts w:asciiTheme="majorHAnsi" w:hAnsiTheme="majorHAnsi"/>
          <w:bCs/>
          <w:szCs w:val="16"/>
          <w:lang w:val="es-ES"/>
        </w:rPr>
        <w:t xml:space="preserve"> Sentencia de 4 de julio de 2006. Serie C No. 149. Párr. 89 y 90. </w:t>
      </w:r>
    </w:p>
  </w:footnote>
  <w:footnote w:id="70">
    <w:p w:rsidR="00CA05C6" w:rsidRPr="00B33D08" w:rsidRDefault="00CA05C6" w:rsidP="00B67AD6">
      <w:pPr>
        <w:pStyle w:val="FootnoteText"/>
        <w:jc w:val="both"/>
        <w:rPr>
          <w:lang w:val="es-PE"/>
        </w:rPr>
      </w:pPr>
      <w:r>
        <w:rPr>
          <w:rStyle w:val="FootnoteReference"/>
        </w:rPr>
        <w:footnoteRef/>
      </w:r>
      <w:r w:rsidRPr="007162A7">
        <w:rPr>
          <w:lang w:val="es-CO"/>
        </w:rPr>
        <w:t xml:space="preserve"> </w:t>
      </w:r>
      <w:r w:rsidRPr="007162A7">
        <w:rPr>
          <w:rFonts w:asciiTheme="majorHAnsi" w:hAnsiTheme="majorHAnsi"/>
          <w:bCs/>
          <w:szCs w:val="16"/>
          <w:lang w:val="es-CO"/>
        </w:rPr>
        <w:t xml:space="preserve">Corte IDH. Caso Suárez Peralta Vs. </w:t>
      </w:r>
      <w:r w:rsidRPr="00B67AD6">
        <w:rPr>
          <w:rFonts w:asciiTheme="majorHAnsi" w:hAnsiTheme="majorHAnsi"/>
          <w:bCs/>
          <w:szCs w:val="16"/>
          <w:lang w:val="es-ES_tradnl"/>
        </w:rPr>
        <w:t>Ecuador. Excepciones Preliminares, Fondo, Reparaciones y Costas. Sentencia de 21 de mayo de 2013. Serie C No. 261.</w:t>
      </w:r>
    </w:p>
  </w:footnote>
  <w:footnote w:id="71">
    <w:p w:rsidR="00CA05C6" w:rsidRPr="00B93244" w:rsidRDefault="00CA05C6" w:rsidP="00E76F5C">
      <w:pPr>
        <w:pStyle w:val="FootnoteText"/>
        <w:jc w:val="both"/>
        <w:rPr>
          <w:rFonts w:asciiTheme="majorHAnsi" w:hAnsiTheme="majorHAnsi"/>
          <w:szCs w:val="16"/>
          <w:lang w:val="es-ES_tradnl"/>
        </w:rPr>
      </w:pPr>
      <w:r w:rsidRPr="00B93244">
        <w:rPr>
          <w:rStyle w:val="FootnoteReference"/>
          <w:rFonts w:asciiTheme="majorHAnsi" w:hAnsiTheme="majorHAnsi"/>
          <w:szCs w:val="16"/>
        </w:rPr>
        <w:footnoteRef/>
      </w:r>
      <w:r w:rsidRPr="00B93244">
        <w:rPr>
          <w:rFonts w:asciiTheme="majorHAnsi" w:hAnsiTheme="majorHAnsi"/>
          <w:szCs w:val="16"/>
          <w:lang w:val="es-ES"/>
        </w:rPr>
        <w:t xml:space="preserve"> </w:t>
      </w:r>
      <w:r w:rsidRPr="00B93244">
        <w:rPr>
          <w:rFonts w:asciiTheme="majorHAnsi" w:hAnsiTheme="majorHAnsi"/>
          <w:bCs/>
          <w:szCs w:val="16"/>
          <w:lang w:val="es-ES_tradnl"/>
        </w:rPr>
        <w:t>Corte IDH. Caso Gonzales Lluy y otros Vs. Ecuador. Excepciones Preliminares, Fondo, Reparaciones y Costas. Sentencia de 1 de septiembre de 2015. Serie C No. 298.</w:t>
      </w:r>
    </w:p>
  </w:footnote>
  <w:footnote w:id="72">
    <w:p w:rsidR="00CA05C6" w:rsidRPr="007162A7" w:rsidRDefault="00CA05C6" w:rsidP="00E76F5C">
      <w:pPr>
        <w:pStyle w:val="FootnoteText"/>
        <w:jc w:val="both"/>
        <w:rPr>
          <w:rFonts w:asciiTheme="majorHAnsi" w:hAnsiTheme="majorHAnsi"/>
          <w:szCs w:val="16"/>
          <w:lang w:val="pt-BR"/>
        </w:rPr>
      </w:pPr>
      <w:r w:rsidRPr="00B93244">
        <w:rPr>
          <w:rStyle w:val="FootnoteReference"/>
          <w:rFonts w:asciiTheme="majorHAnsi" w:hAnsiTheme="majorHAnsi"/>
          <w:szCs w:val="16"/>
        </w:rPr>
        <w:footnoteRef/>
      </w:r>
      <w:r w:rsidRPr="00B93244">
        <w:rPr>
          <w:rFonts w:asciiTheme="majorHAnsi" w:hAnsiTheme="majorHAnsi"/>
          <w:szCs w:val="16"/>
          <w:lang w:val="es-ES_tradnl"/>
        </w:rPr>
        <w:t xml:space="preserve"> </w:t>
      </w:r>
      <w:r w:rsidRPr="00B93244">
        <w:rPr>
          <w:rFonts w:asciiTheme="majorHAnsi" w:hAnsiTheme="majorHAnsi"/>
          <w:bCs/>
          <w:szCs w:val="16"/>
          <w:lang w:val="es-ES_tradnl"/>
        </w:rPr>
        <w:t xml:space="preserve">Corte IDH. </w:t>
      </w:r>
      <w:r w:rsidRPr="00B93244">
        <w:rPr>
          <w:rFonts w:asciiTheme="majorHAnsi" w:hAnsiTheme="majorHAnsi"/>
          <w:bCs/>
          <w:i/>
          <w:szCs w:val="16"/>
          <w:lang w:val="es-ES_tradnl"/>
        </w:rPr>
        <w:t xml:space="preserve">Caso Ximenes Lopes Vs. </w:t>
      </w:r>
      <w:r w:rsidRPr="00B93244">
        <w:rPr>
          <w:rFonts w:asciiTheme="majorHAnsi" w:hAnsiTheme="majorHAnsi"/>
          <w:bCs/>
          <w:i/>
          <w:szCs w:val="16"/>
          <w:lang w:val="es-ES"/>
        </w:rPr>
        <w:t>Brasil.</w:t>
      </w:r>
      <w:r w:rsidRPr="00B93244">
        <w:rPr>
          <w:rFonts w:asciiTheme="majorHAnsi" w:hAnsiTheme="majorHAnsi"/>
          <w:bCs/>
          <w:szCs w:val="16"/>
          <w:lang w:val="es-ES"/>
        </w:rPr>
        <w:t xml:space="preserve"> Sentencia de 4 de julio de 2006. </w:t>
      </w:r>
      <w:r w:rsidRPr="007162A7">
        <w:rPr>
          <w:rFonts w:asciiTheme="majorHAnsi" w:hAnsiTheme="majorHAnsi"/>
          <w:bCs/>
          <w:szCs w:val="16"/>
          <w:lang w:val="pt-BR"/>
        </w:rPr>
        <w:t>Serie C No. 149.</w:t>
      </w:r>
    </w:p>
  </w:footnote>
  <w:footnote w:id="73">
    <w:p w:rsidR="00CA05C6" w:rsidRPr="00B93244" w:rsidRDefault="00CA05C6" w:rsidP="00E76F5C">
      <w:pPr>
        <w:pStyle w:val="FootnoteText"/>
        <w:jc w:val="both"/>
        <w:rPr>
          <w:rFonts w:asciiTheme="majorHAnsi" w:hAnsiTheme="majorHAnsi"/>
          <w:szCs w:val="16"/>
          <w:lang w:val="es-ES"/>
        </w:rPr>
      </w:pPr>
      <w:r w:rsidRPr="00B93244">
        <w:rPr>
          <w:rStyle w:val="FootnoteReference"/>
          <w:rFonts w:asciiTheme="majorHAnsi" w:hAnsiTheme="majorHAnsi"/>
          <w:szCs w:val="16"/>
        </w:rPr>
        <w:footnoteRef/>
      </w:r>
      <w:r w:rsidRPr="007162A7">
        <w:rPr>
          <w:rFonts w:asciiTheme="majorHAnsi" w:hAnsiTheme="majorHAnsi"/>
          <w:szCs w:val="16"/>
          <w:lang w:val="pt-BR"/>
        </w:rPr>
        <w:t xml:space="preserve"> </w:t>
      </w:r>
      <w:r w:rsidRPr="007162A7">
        <w:rPr>
          <w:rFonts w:asciiTheme="majorHAnsi" w:hAnsiTheme="majorHAnsi"/>
          <w:bCs/>
          <w:szCs w:val="16"/>
          <w:lang w:val="pt-BR"/>
        </w:rPr>
        <w:t xml:space="preserve">Corte IDH. </w:t>
      </w:r>
      <w:r w:rsidRPr="007162A7">
        <w:rPr>
          <w:rFonts w:asciiTheme="majorHAnsi" w:hAnsiTheme="majorHAnsi"/>
          <w:bCs/>
          <w:i/>
          <w:szCs w:val="16"/>
          <w:lang w:val="pt-BR"/>
        </w:rPr>
        <w:t>Caso Ximenes Lopes Vs. Brasil.</w:t>
      </w:r>
      <w:r w:rsidRPr="007162A7">
        <w:rPr>
          <w:rFonts w:asciiTheme="majorHAnsi" w:hAnsiTheme="majorHAnsi"/>
          <w:bCs/>
          <w:szCs w:val="16"/>
          <w:lang w:val="pt-BR"/>
        </w:rPr>
        <w:t xml:space="preserve"> </w:t>
      </w:r>
      <w:r w:rsidRPr="00B93244">
        <w:rPr>
          <w:rFonts w:asciiTheme="majorHAnsi" w:hAnsiTheme="majorHAnsi"/>
          <w:bCs/>
          <w:szCs w:val="16"/>
          <w:lang w:val="es-ES"/>
        </w:rPr>
        <w:t>Sentencia de 4 de julio de 2006. Serie C No. 149. Párr. 96</w:t>
      </w:r>
    </w:p>
  </w:footnote>
  <w:footnote w:id="74">
    <w:p w:rsidR="00CA05C6" w:rsidRPr="00502F6F" w:rsidRDefault="00CA05C6" w:rsidP="00324887">
      <w:pPr>
        <w:pStyle w:val="FootnoteText"/>
        <w:jc w:val="both"/>
        <w:rPr>
          <w:szCs w:val="16"/>
          <w:lang w:val="es-CO"/>
        </w:rPr>
      </w:pPr>
      <w:r w:rsidRPr="00502F6F">
        <w:rPr>
          <w:rStyle w:val="FootnoteReference"/>
          <w:szCs w:val="16"/>
        </w:rPr>
        <w:footnoteRef/>
      </w:r>
      <w:r w:rsidRPr="00502F6F">
        <w:rPr>
          <w:szCs w:val="16"/>
          <w:lang w:val="es-CO"/>
        </w:rPr>
        <w:t xml:space="preserve"> Ver por ejemplo algunos informes de admisibilidad en los cuales se ha admitido la posible violación del artículo 26 de la Convención: </w:t>
      </w:r>
      <w:r w:rsidRPr="00502F6F">
        <w:rPr>
          <w:rFonts w:cs="Helvetica"/>
          <w:color w:val="141413"/>
          <w:szCs w:val="16"/>
          <w:lang w:val="es-CO" w:bidi="en-US"/>
        </w:rPr>
        <w:t>Informe 29/01. Caso 12.249. Jorge Odir Miranda Cortez y otros. El Salvador, 7 de marzo de 2001; e Informe 70/04. Petición 667/01. Admisibilidad. Jesús Manuel Naranjo Cárdenas y otros (Jubilados de la Empresa Venezolana de Aviación viasa). Venezuela, 13 de octubre de 2004. Asimismo ver el pronunciamiento de fondo sobre el artículo 26 en Informe 38/09. Caso 12.670. Asociación Nacional de Ex Servidores del Instituto de Seguridad Social y otros vs. Perú. 27 de marzo de 2009. En similar sentido, la Corte reafirmó dicha competencia en Caso Acevedo Buendía y otros (“Cesantes y Jubilados de la Contraloría”) vs. Perú (Excepción Preliminar, Fondo, Reparaciones y Costas), Sentencia del 1 de julio de 2009.</w:t>
      </w:r>
    </w:p>
  </w:footnote>
  <w:footnote w:id="75">
    <w:p w:rsidR="00CA05C6" w:rsidRPr="00502F6F" w:rsidRDefault="00CA05C6" w:rsidP="00324887">
      <w:pPr>
        <w:pStyle w:val="FootnoteText"/>
        <w:jc w:val="both"/>
        <w:rPr>
          <w:szCs w:val="16"/>
          <w:lang w:val="es-CO"/>
        </w:rPr>
      </w:pPr>
      <w:r w:rsidRPr="00502F6F">
        <w:rPr>
          <w:rStyle w:val="FootnoteReference"/>
          <w:b/>
          <w:szCs w:val="16"/>
        </w:rPr>
        <w:footnoteRef/>
      </w:r>
      <w:r w:rsidRPr="00502F6F">
        <w:rPr>
          <w:b/>
          <w:szCs w:val="16"/>
          <w:lang w:val="es-CO"/>
        </w:rPr>
        <w:t xml:space="preserve"> </w:t>
      </w:r>
      <w:r w:rsidRPr="00502F6F">
        <w:rPr>
          <w:rStyle w:val="Strong"/>
          <w:rFonts w:eastAsia="Times New Roman"/>
          <w:b w:val="0"/>
          <w:szCs w:val="16"/>
          <w:lang w:val="es-PE"/>
        </w:rPr>
        <w:t>Ver, por ejemplo. Corte IDH. Caso Lagos del Campo Vs. Perú. Excepciones Preliminares, Fondo, Reparaciones y Costas. Sentencia de 31 de agosto de 2017. Serie C No. 340. Párr. 141; y</w:t>
      </w:r>
      <w:r w:rsidRPr="00502F6F">
        <w:rPr>
          <w:rStyle w:val="Strong"/>
          <w:rFonts w:eastAsia="Times New Roman"/>
          <w:szCs w:val="16"/>
          <w:lang w:val="es-PE"/>
        </w:rPr>
        <w:t xml:space="preserve"> </w:t>
      </w:r>
      <w:r w:rsidRPr="00502F6F">
        <w:rPr>
          <w:rFonts w:cs="Helvetica"/>
          <w:color w:val="141413"/>
          <w:szCs w:val="16"/>
          <w:lang w:val="es-CO" w:bidi="en-US"/>
        </w:rPr>
        <w:t>Caso Acevedo Buendía y otros (“Cesantes y Jubilados de la Contraloría”) vs. Perú (Excepción Preliminar, Fondo, Reparaciones y Costas), Sentencia del 1 de julio de 2009. Párr. 101.</w:t>
      </w:r>
    </w:p>
  </w:footnote>
  <w:footnote w:id="76">
    <w:p w:rsidR="00CA05C6" w:rsidRPr="00502F6F" w:rsidRDefault="00CA05C6" w:rsidP="00324887">
      <w:pPr>
        <w:pStyle w:val="FootnoteText"/>
        <w:jc w:val="both"/>
        <w:rPr>
          <w:szCs w:val="16"/>
          <w:lang w:val="es-PE"/>
        </w:rPr>
      </w:pPr>
      <w:r w:rsidRPr="00502F6F">
        <w:rPr>
          <w:rStyle w:val="FootnoteReference"/>
          <w:szCs w:val="16"/>
        </w:rPr>
        <w:footnoteRef/>
      </w:r>
      <w:r w:rsidRPr="00502F6F">
        <w:rPr>
          <w:szCs w:val="16"/>
          <w:lang w:val="es-PE"/>
        </w:rPr>
        <w:t xml:space="preserve"> Según esta disposición “</w:t>
      </w:r>
      <w:r w:rsidRPr="00502F6F">
        <w:rPr>
          <w:szCs w:val="16"/>
          <w:shd w:val="clear" w:color="auto" w:fill="FFFFFF"/>
          <w:lang w:val="es-PE"/>
        </w:rP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502F6F">
        <w:rPr>
          <w:szCs w:val="16"/>
          <w:lang w:val="es-PE"/>
        </w:rPr>
        <w:t>”</w:t>
      </w:r>
    </w:p>
  </w:footnote>
  <w:footnote w:id="77">
    <w:p w:rsidR="00CA05C6" w:rsidRPr="00502F6F" w:rsidRDefault="00CA05C6" w:rsidP="00324887">
      <w:pPr>
        <w:jc w:val="both"/>
        <w:rPr>
          <w:rFonts w:ascii="Cambria" w:hAnsi="Cambria"/>
          <w:color w:val="000000"/>
          <w:sz w:val="16"/>
          <w:szCs w:val="16"/>
          <w:lang w:val="es-AR"/>
        </w:rPr>
      </w:pPr>
      <w:r w:rsidRPr="00502F6F">
        <w:rPr>
          <w:rStyle w:val="FootnoteReference"/>
          <w:rFonts w:ascii="Cambria" w:hAnsi="Cambria"/>
          <w:sz w:val="16"/>
          <w:szCs w:val="16"/>
        </w:rPr>
        <w:footnoteRef/>
      </w:r>
      <w:r w:rsidRPr="00502F6F">
        <w:rPr>
          <w:rFonts w:ascii="Cambria" w:hAnsi="Cambria"/>
          <w:sz w:val="16"/>
          <w:szCs w:val="16"/>
          <w:lang w:val="es-PE"/>
        </w:rPr>
        <w:t xml:space="preserve"> </w:t>
      </w:r>
      <w:r w:rsidRPr="00502F6F">
        <w:rPr>
          <w:rFonts w:ascii="Cambria" w:hAnsi="Cambria"/>
          <w:color w:val="000000"/>
          <w:sz w:val="16"/>
          <w:szCs w:val="16"/>
          <w:lang w:val="es-AR"/>
        </w:rPr>
        <w:t xml:space="preserve">CIDH. Informe No. 38/09. Caso 12.670. Admisibilidad y fondo. Asociación Nacional de Ex Servidores del Instituto Peruano de Seguridad Social y otras. Perú. 27 de marzo de 2009. Párr. 136. </w:t>
      </w:r>
    </w:p>
  </w:footnote>
  <w:footnote w:id="78">
    <w:p w:rsidR="00CA05C6" w:rsidRPr="00502F6F" w:rsidRDefault="00CA05C6" w:rsidP="00324887">
      <w:pPr>
        <w:jc w:val="both"/>
        <w:rPr>
          <w:rFonts w:ascii="Cambria" w:eastAsia="Times New Roman" w:hAnsi="Cambria"/>
          <w:sz w:val="16"/>
          <w:szCs w:val="16"/>
          <w:lang w:val="es-PE"/>
        </w:rPr>
      </w:pPr>
      <w:r w:rsidRPr="00502F6F">
        <w:rPr>
          <w:rStyle w:val="FootnoteReference"/>
          <w:rFonts w:ascii="Cambria" w:hAnsi="Cambria"/>
          <w:sz w:val="16"/>
          <w:szCs w:val="16"/>
        </w:rPr>
        <w:footnoteRef/>
      </w:r>
      <w:r w:rsidRPr="00502F6F">
        <w:rPr>
          <w:rFonts w:ascii="Cambria" w:hAnsi="Cambria"/>
          <w:sz w:val="16"/>
          <w:szCs w:val="16"/>
          <w:lang w:val="es-PE"/>
        </w:rPr>
        <w:t xml:space="preserve"> </w:t>
      </w:r>
      <w:r w:rsidRPr="00502F6F">
        <w:rPr>
          <w:rFonts w:ascii="Cambria" w:eastAsia="Times New Roman" w:hAnsi="Cambria"/>
          <w:color w:val="000000"/>
          <w:sz w:val="16"/>
          <w:szCs w:val="16"/>
          <w:lang w:val="es-PE"/>
        </w:rPr>
        <w:t>Comité de Derechos Económicos, Sociales y Culturales de Naciones Unidas,</w:t>
      </w:r>
      <w:r w:rsidRPr="00502F6F">
        <w:rPr>
          <w:rStyle w:val="apple-converted-space"/>
          <w:rFonts w:ascii="Cambria" w:eastAsia="Times New Roman" w:hAnsi="Cambria"/>
          <w:color w:val="000000"/>
          <w:sz w:val="16"/>
          <w:szCs w:val="16"/>
          <w:lang w:val="es-PE"/>
        </w:rPr>
        <w:t> </w:t>
      </w:r>
      <w:r w:rsidRPr="00502F6F">
        <w:rPr>
          <w:rFonts w:ascii="Cambria" w:eastAsia="Times New Roman" w:hAnsi="Cambria"/>
          <w:iCs/>
          <w:color w:val="000000"/>
          <w:sz w:val="16"/>
          <w:szCs w:val="16"/>
          <w:lang w:val="es-PE"/>
        </w:rPr>
        <w:t>Observación general 3: La índole de las obligaciones de los Estados Partes (párrafo 1 del artículo 2 del Pacto)</w:t>
      </w:r>
      <w:r w:rsidRPr="00502F6F">
        <w:rPr>
          <w:rFonts w:ascii="Cambria" w:eastAsia="Times New Roman" w:hAnsi="Cambria"/>
          <w:color w:val="000000"/>
          <w:sz w:val="16"/>
          <w:szCs w:val="16"/>
          <w:lang w:val="es-PE"/>
        </w:rPr>
        <w:t>, adoptada en el Quinto Período de Sesiones, 1990, E/1991/23.</w:t>
      </w:r>
    </w:p>
  </w:footnote>
  <w:footnote w:id="79">
    <w:p w:rsidR="00CA05C6" w:rsidRPr="00502F6F" w:rsidRDefault="00CA05C6" w:rsidP="00324887">
      <w:pPr>
        <w:jc w:val="both"/>
        <w:rPr>
          <w:rFonts w:ascii="Cambria" w:eastAsia="Times New Roman" w:hAnsi="Cambria"/>
          <w:sz w:val="16"/>
          <w:szCs w:val="16"/>
          <w:lang w:val="es-PE"/>
        </w:rPr>
      </w:pPr>
      <w:r w:rsidRPr="00502F6F">
        <w:rPr>
          <w:rStyle w:val="FootnoteReference"/>
          <w:rFonts w:ascii="Cambria" w:hAnsi="Cambria"/>
          <w:sz w:val="16"/>
          <w:szCs w:val="16"/>
        </w:rPr>
        <w:footnoteRef/>
      </w:r>
      <w:r w:rsidRPr="00502F6F">
        <w:rPr>
          <w:rFonts w:ascii="Cambria" w:hAnsi="Cambria"/>
          <w:sz w:val="16"/>
          <w:szCs w:val="16"/>
          <w:lang w:val="es-PE"/>
        </w:rPr>
        <w:t xml:space="preserve"> </w:t>
      </w:r>
      <w:r w:rsidRPr="00502F6F">
        <w:rPr>
          <w:rFonts w:ascii="Cambria" w:eastAsia="Times New Roman" w:hAnsi="Cambria"/>
          <w:color w:val="000000"/>
          <w:sz w:val="16"/>
          <w:szCs w:val="16"/>
          <w:lang w:val="es-PE"/>
        </w:rPr>
        <w:t>Comité de Derechos Económicos, Sociales y Culturales de Naciones Unidas,</w:t>
      </w:r>
      <w:r w:rsidRPr="00502F6F">
        <w:rPr>
          <w:rStyle w:val="apple-converted-space"/>
          <w:rFonts w:ascii="Cambria" w:eastAsia="Times New Roman" w:hAnsi="Cambria"/>
          <w:color w:val="000000"/>
          <w:sz w:val="16"/>
          <w:szCs w:val="16"/>
          <w:lang w:val="es-PE"/>
        </w:rPr>
        <w:t> </w:t>
      </w:r>
      <w:r w:rsidRPr="00502F6F">
        <w:rPr>
          <w:rFonts w:ascii="Cambria" w:eastAsia="Times New Roman" w:hAnsi="Cambria"/>
          <w:iCs/>
          <w:color w:val="000000"/>
          <w:sz w:val="16"/>
          <w:szCs w:val="16"/>
          <w:lang w:val="es-PE"/>
        </w:rPr>
        <w:t>Observación general 3: La índole de las obligaciones de los Estados Partes (párrafo 1 del artículo 2 del Pacto)</w:t>
      </w:r>
      <w:r w:rsidRPr="00502F6F">
        <w:rPr>
          <w:rFonts w:ascii="Cambria" w:eastAsia="Times New Roman" w:hAnsi="Cambria"/>
          <w:color w:val="000000"/>
          <w:sz w:val="16"/>
          <w:szCs w:val="16"/>
          <w:lang w:val="es-PE"/>
        </w:rPr>
        <w:t xml:space="preserve">,  1990. En ese sentido ver: </w:t>
      </w:r>
      <w:r w:rsidRPr="00502F6F">
        <w:rPr>
          <w:rFonts w:ascii="Cambria" w:hAnsi="Cambria"/>
          <w:sz w:val="16"/>
          <w:szCs w:val="16"/>
          <w:lang w:val="es-PE"/>
        </w:rPr>
        <w:t>CIDH. Informe sobre pobreza y derechos humanos en las Américas OEA/Ser.L/V/II.164 Doc. 147 (7 de septiembre de 2017) párrs. 236 y 237.</w:t>
      </w:r>
    </w:p>
  </w:footnote>
  <w:footnote w:id="80">
    <w:p w:rsidR="00CA05C6" w:rsidRPr="000D06FD" w:rsidRDefault="00CA05C6" w:rsidP="003F5D46">
      <w:pPr>
        <w:jc w:val="both"/>
        <w:rPr>
          <w:rFonts w:ascii="Cambria" w:hAnsi="Cambria" w:cs="Calibri"/>
          <w:sz w:val="16"/>
          <w:szCs w:val="16"/>
          <w:highlight w:val="green"/>
          <w:lang w:val="es-PE"/>
        </w:rPr>
      </w:pPr>
      <w:r w:rsidRPr="00B67AD6">
        <w:rPr>
          <w:rStyle w:val="FootnoteReference"/>
          <w:rFonts w:ascii="Cambria" w:hAnsi="Cambria" w:cs="Calibri"/>
          <w:sz w:val="16"/>
          <w:szCs w:val="16"/>
        </w:rPr>
        <w:footnoteRef/>
      </w:r>
      <w:r w:rsidRPr="00B67AD6">
        <w:rPr>
          <w:rFonts w:ascii="Cambria" w:hAnsi="Cambria" w:cs="Calibri"/>
          <w:sz w:val="16"/>
          <w:szCs w:val="16"/>
          <w:lang w:val="es-PE"/>
        </w:rPr>
        <w:t xml:space="preserve"> </w:t>
      </w:r>
      <w:r w:rsidRPr="00B67AD6">
        <w:rPr>
          <w:rFonts w:ascii="Cambria" w:eastAsia="Times New Roman" w:hAnsi="Cambria" w:cs="Calibri"/>
          <w:sz w:val="16"/>
          <w:szCs w:val="16"/>
          <w:lang w:val="es-PE"/>
        </w:rPr>
        <w:t xml:space="preserve">Comité de Derechos Económicos, Sociales y Culturales. Observación </w:t>
      </w:r>
      <w:r w:rsidRPr="00B67AD6">
        <w:rPr>
          <w:rFonts w:ascii="Cambria" w:eastAsia="Times New Roman" w:hAnsi="Cambria"/>
          <w:color w:val="000000"/>
          <w:sz w:val="16"/>
          <w:szCs w:val="16"/>
          <w:lang w:val="es-PE"/>
        </w:rPr>
        <w:t>General 24, , E/C.12/GC/24,10 de</w:t>
      </w:r>
      <w:r w:rsidRPr="00B67AD6">
        <w:rPr>
          <w:rFonts w:ascii="Cambria" w:eastAsia="Times New Roman" w:hAnsi="Cambria" w:cs="Calibri"/>
          <w:sz w:val="16"/>
          <w:szCs w:val="16"/>
          <w:lang w:val="es-PE"/>
        </w:rPr>
        <w:t xml:space="preserve"> agosto de 2017. </w:t>
      </w:r>
    </w:p>
  </w:footnote>
  <w:footnote w:id="81">
    <w:p w:rsidR="00CA05C6" w:rsidRPr="00502F6F" w:rsidRDefault="00CA05C6" w:rsidP="00324887">
      <w:pPr>
        <w:jc w:val="both"/>
        <w:rPr>
          <w:rFonts w:ascii="Cambria" w:hAnsi="Cambria" w:cs="Arial"/>
          <w:sz w:val="16"/>
          <w:szCs w:val="16"/>
          <w:lang w:val="es-ES"/>
        </w:rPr>
      </w:pPr>
      <w:r w:rsidRPr="00502F6F">
        <w:rPr>
          <w:rStyle w:val="FootnoteReference"/>
          <w:rFonts w:ascii="Cambria" w:hAnsi="Cambria"/>
          <w:sz w:val="16"/>
          <w:szCs w:val="16"/>
        </w:rPr>
        <w:footnoteRef/>
      </w:r>
      <w:r w:rsidRPr="00502F6F">
        <w:rPr>
          <w:rFonts w:ascii="Cambria" w:hAnsi="Cambria"/>
          <w:sz w:val="16"/>
          <w:szCs w:val="16"/>
          <w:lang w:val="es-ES"/>
        </w:rPr>
        <w:t xml:space="preserve"> </w:t>
      </w:r>
      <w:r>
        <w:rPr>
          <w:rFonts w:ascii="Cambria" w:hAnsi="Cambria" w:cs="Arial"/>
          <w:sz w:val="16"/>
          <w:szCs w:val="16"/>
          <w:lang w:val="es-ES"/>
        </w:rPr>
        <w:t xml:space="preserve">CIDH. </w:t>
      </w:r>
      <w:r w:rsidRPr="00502F6F">
        <w:rPr>
          <w:rFonts w:ascii="Cambria" w:hAnsi="Cambria" w:cs="Arial"/>
          <w:sz w:val="16"/>
          <w:szCs w:val="16"/>
          <w:lang w:val="es-ES"/>
        </w:rPr>
        <w:t>Acceso a la Justicia para las Mujeres Víctimas de Violencia en las Américas, 20 de enero de 2007, párrs. 100 y 101.</w:t>
      </w:r>
      <w:r w:rsidRPr="00502F6F">
        <w:rPr>
          <w:rFonts w:ascii="Cambria" w:hAnsi="Cambria"/>
          <w:sz w:val="16"/>
          <w:szCs w:val="16"/>
          <w:lang w:val="es-ES"/>
        </w:rPr>
        <w:t xml:space="preserve"> CIDH. Consideraciones sobre la compatibilidad de las medidas de acción afirmativa concebidas para promover la participación política de la mujer con los principios de igualdad y no discriminación, Informe Anual, 1999, 13 abril 2000, Capítulo VI.</w:t>
      </w:r>
    </w:p>
  </w:footnote>
  <w:footnote w:id="82">
    <w:p w:rsidR="00CA05C6" w:rsidRPr="005F616A" w:rsidRDefault="00CA05C6" w:rsidP="00324887">
      <w:pPr>
        <w:pStyle w:val="FootnoteText"/>
        <w:jc w:val="both"/>
        <w:rPr>
          <w:szCs w:val="16"/>
          <w:lang w:val="es-ES"/>
        </w:rPr>
      </w:pPr>
      <w:r w:rsidRPr="00502F6F">
        <w:rPr>
          <w:rStyle w:val="FootnoteReference"/>
          <w:szCs w:val="16"/>
          <w:lang w:val="es-ES"/>
        </w:rPr>
        <w:footnoteRef/>
      </w:r>
      <w:r w:rsidRPr="00502F6F">
        <w:rPr>
          <w:szCs w:val="16"/>
          <w:lang w:val="es-ES"/>
        </w:rPr>
        <w:t xml:space="preserve"> Corte IDH. </w:t>
      </w:r>
      <w:r w:rsidRPr="00502F6F">
        <w:rPr>
          <w:iCs/>
          <w:szCs w:val="16"/>
          <w:lang w:val="es-ES"/>
        </w:rPr>
        <w:t>Condición Jurídica y Derechos de los Migrantes Indocumentados.</w:t>
      </w:r>
      <w:r w:rsidRPr="00502F6F">
        <w:rPr>
          <w:szCs w:val="16"/>
          <w:lang w:val="es-ES"/>
        </w:rPr>
        <w:t xml:space="preserve"> Opinión Consultiva OC-18/03 de 17 de septiembre  de 2003. Serie A No. 18, párr. 104.</w:t>
      </w:r>
      <w:r w:rsidRPr="005F616A">
        <w:rPr>
          <w:szCs w:val="16"/>
          <w:lang w:val="es-ES"/>
        </w:rPr>
        <w:t xml:space="preserve"> </w:t>
      </w:r>
    </w:p>
  </w:footnote>
  <w:footnote w:id="83">
    <w:p w:rsidR="00CA05C6" w:rsidRPr="00E235DC" w:rsidRDefault="00CA05C6" w:rsidP="00797F27">
      <w:pPr>
        <w:pStyle w:val="FootnoteText"/>
        <w:jc w:val="both"/>
        <w:rPr>
          <w:szCs w:val="16"/>
          <w:lang w:val="es-PE"/>
        </w:rPr>
      </w:pPr>
      <w:r w:rsidRPr="00680ED2">
        <w:rPr>
          <w:rStyle w:val="FootnoteReference"/>
          <w:szCs w:val="16"/>
        </w:rPr>
        <w:footnoteRef/>
      </w:r>
      <w:r w:rsidRPr="00680ED2">
        <w:rPr>
          <w:szCs w:val="16"/>
          <w:lang w:val="es-PE"/>
        </w:rPr>
        <w:t xml:space="preserve"> </w:t>
      </w:r>
      <w:r w:rsidRPr="00680ED2">
        <w:rPr>
          <w:szCs w:val="16"/>
          <w:lang w:val="es-ES"/>
        </w:rPr>
        <w:t xml:space="preserve">Son particularmente importantes </w:t>
      </w:r>
      <w:r>
        <w:rPr>
          <w:szCs w:val="16"/>
          <w:lang w:val="es-ES"/>
        </w:rPr>
        <w:t xml:space="preserve">en el presente caso </w:t>
      </w:r>
      <w:r w:rsidRPr="00680ED2">
        <w:rPr>
          <w:szCs w:val="16"/>
          <w:lang w:val="es-ES"/>
        </w:rPr>
        <w:t>la Declaración Americana de los Derechos y Deberes del Hombre, el Pacto Internacional de Derechos Ec</w:t>
      </w:r>
      <w:r>
        <w:rPr>
          <w:szCs w:val="16"/>
          <w:lang w:val="es-ES"/>
        </w:rPr>
        <w:t>onómicos, Sociales y Culturales</w:t>
      </w:r>
      <w:r w:rsidRPr="00680ED2">
        <w:rPr>
          <w:szCs w:val="16"/>
          <w:lang w:val="es-ES"/>
        </w:rPr>
        <w:t xml:space="preserve"> y aún otros tratados como la Convención sobre los Derechos del Niño, la Convención para la Eliminación de Toda Forma de Discriminación contra la Mujer y los Convenios de la Organización Internacional del </w:t>
      </w:r>
      <w:r w:rsidRPr="001714F1">
        <w:rPr>
          <w:szCs w:val="16"/>
          <w:lang w:val="es-ES"/>
        </w:rPr>
        <w:t>Trabajo.</w:t>
      </w:r>
    </w:p>
  </w:footnote>
  <w:footnote w:id="84">
    <w:p w:rsidR="00CA05C6" w:rsidRPr="00246217" w:rsidRDefault="00CA05C6" w:rsidP="001714F1">
      <w:pPr>
        <w:pStyle w:val="FootnoteText"/>
        <w:pBdr>
          <w:top w:val="nil"/>
        </w:pBdr>
        <w:jc w:val="both"/>
        <w:rPr>
          <w:lang w:val="es-ES"/>
        </w:rPr>
      </w:pPr>
      <w:r>
        <w:rPr>
          <w:rStyle w:val="FootnoteReference"/>
        </w:rPr>
        <w:footnoteRef/>
      </w:r>
      <w:r w:rsidRPr="00246217">
        <w:rPr>
          <w:lang w:val="es-ES"/>
        </w:rPr>
        <w:t xml:space="preserve"> </w:t>
      </w:r>
      <w:r w:rsidRPr="00246217">
        <w:rPr>
          <w:bCs/>
          <w:lang w:val="es-ES"/>
        </w:rPr>
        <w:t xml:space="preserve">Corte IDH. </w:t>
      </w:r>
      <w:r w:rsidRPr="00DB01B0">
        <w:rPr>
          <w:bCs/>
          <w:lang w:val="es-ES"/>
        </w:rPr>
        <w:t>Caso Poblete Vilches y otros Vs. Chile</w:t>
      </w:r>
      <w:r w:rsidRPr="00246217">
        <w:rPr>
          <w:bCs/>
          <w:lang w:val="es-ES"/>
        </w:rPr>
        <w:t xml:space="preserve">. Fondo, Reparaciones y Costas. Sentencia de 8 de marzo de 2018. Serie C No. 349. </w:t>
      </w:r>
      <w:r>
        <w:rPr>
          <w:bCs/>
          <w:lang w:val="es-ES"/>
        </w:rPr>
        <w:t xml:space="preserve">Párr. 114 y ss. </w:t>
      </w:r>
    </w:p>
  </w:footnote>
  <w:footnote w:id="85">
    <w:p w:rsidR="00CA05C6" w:rsidRPr="005C6735" w:rsidRDefault="00CA05C6" w:rsidP="001714F1">
      <w:pPr>
        <w:pStyle w:val="FootnoteText"/>
        <w:pBdr>
          <w:top w:val="nil"/>
        </w:pBdr>
        <w:jc w:val="both"/>
        <w:rPr>
          <w:lang w:val="es-ES"/>
        </w:rPr>
      </w:pPr>
      <w:r>
        <w:rPr>
          <w:rStyle w:val="FootnoteReference"/>
        </w:rPr>
        <w:footnoteRef/>
      </w:r>
      <w:r w:rsidRPr="005C6735">
        <w:rPr>
          <w:lang w:val="es-ES"/>
        </w:rPr>
        <w:t xml:space="preserve"> PIDESC. Artículo 12.1.</w:t>
      </w:r>
    </w:p>
  </w:footnote>
  <w:footnote w:id="86">
    <w:p w:rsidR="00CA05C6" w:rsidRPr="005C6735" w:rsidRDefault="00CA05C6" w:rsidP="001714F1">
      <w:pPr>
        <w:pStyle w:val="FootnoteText"/>
        <w:pBdr>
          <w:top w:val="nil"/>
        </w:pBdr>
        <w:jc w:val="both"/>
        <w:rPr>
          <w:lang w:val="es-ES"/>
        </w:rPr>
      </w:pPr>
      <w:r>
        <w:rPr>
          <w:rStyle w:val="FootnoteReference"/>
        </w:rPr>
        <w:footnoteRef/>
      </w:r>
      <w:r w:rsidRPr="005C6735">
        <w:rPr>
          <w:lang w:val="es-ES"/>
        </w:rPr>
        <w:t xml:space="preserve"> </w:t>
      </w:r>
      <w:r>
        <w:rPr>
          <w:lang w:val="es-ES"/>
        </w:rPr>
        <w:t>PIDESC. Artículo 12.2.d</w:t>
      </w:r>
    </w:p>
  </w:footnote>
  <w:footnote w:id="87">
    <w:p w:rsidR="00CA05C6" w:rsidRPr="000D06FD" w:rsidRDefault="00CA05C6" w:rsidP="001714F1">
      <w:pPr>
        <w:pStyle w:val="FootnoteText"/>
        <w:pBdr>
          <w:top w:val="nil"/>
        </w:pBdr>
        <w:jc w:val="both"/>
        <w:rPr>
          <w:szCs w:val="16"/>
          <w:lang w:val="es-ES"/>
        </w:rPr>
      </w:pPr>
      <w:r w:rsidRPr="000D06FD">
        <w:rPr>
          <w:rStyle w:val="FootnoteReference"/>
          <w:szCs w:val="16"/>
        </w:rPr>
        <w:footnoteRef/>
      </w:r>
      <w:r w:rsidRPr="000D06FD">
        <w:rPr>
          <w:szCs w:val="16"/>
          <w:lang w:val="es-ES"/>
        </w:rPr>
        <w:t xml:space="preserve"> ONU, Comité de Derechos Económicos, Sociales y Culturales. Observación General Número 14, E/C.12/2000/4, 11 de agosto de 2000, párr. 12.</w:t>
      </w:r>
    </w:p>
  </w:footnote>
  <w:footnote w:id="88">
    <w:p w:rsidR="00CA05C6" w:rsidRPr="00B67AD6" w:rsidRDefault="00CA05C6" w:rsidP="001714F1">
      <w:pPr>
        <w:pStyle w:val="FootnoteText"/>
        <w:pBdr>
          <w:top w:val="nil"/>
        </w:pBdr>
        <w:rPr>
          <w:lang w:val="es-ES"/>
        </w:rPr>
      </w:pPr>
      <w:r>
        <w:rPr>
          <w:rStyle w:val="FootnoteReference"/>
        </w:rPr>
        <w:footnoteRef/>
      </w:r>
      <w:r w:rsidRPr="00B67AD6">
        <w:rPr>
          <w:lang w:val="es-ES"/>
        </w:rPr>
        <w:t xml:space="preserve"> </w:t>
      </w:r>
      <w:r>
        <w:rPr>
          <w:lang w:val="es-ES"/>
        </w:rPr>
        <w:t xml:space="preserve">CIDH. Informe No 2/16. Caso 12.484. Fondo. Cuscul Pivaral y otros. Guatemala, 13 de abril de 2016, párr. 106; </w:t>
      </w:r>
      <w:r w:rsidRPr="00B67AD6">
        <w:rPr>
          <w:lang w:val="es-ES"/>
        </w:rPr>
        <w:t>Corte IDH. Caso Poblete Vilches y otros Vs. Chile. Fondo, Reparaciones y Costas. Sentencia de 8 de marzo de 2018. Serie C No. 349.</w:t>
      </w:r>
      <w:r>
        <w:rPr>
          <w:lang w:val="es-ES"/>
        </w:rPr>
        <w:t xml:space="preserve"> párr. 120.</w:t>
      </w:r>
    </w:p>
  </w:footnote>
  <w:footnote w:id="89">
    <w:p w:rsidR="00CA05C6" w:rsidRPr="0034255C" w:rsidRDefault="00CA05C6" w:rsidP="00DB01B0">
      <w:pPr>
        <w:pStyle w:val="FootnoteText"/>
        <w:pBdr>
          <w:top w:val="nil"/>
        </w:pBdr>
        <w:jc w:val="both"/>
        <w:rPr>
          <w:lang w:val="es-ES"/>
        </w:rPr>
      </w:pPr>
      <w:r>
        <w:rPr>
          <w:rStyle w:val="FootnoteReference"/>
        </w:rPr>
        <w:footnoteRef/>
      </w:r>
      <w:r w:rsidRPr="0034255C">
        <w:rPr>
          <w:lang w:val="es-ES"/>
        </w:rPr>
        <w:t xml:space="preserve"> </w:t>
      </w:r>
      <w:r w:rsidRPr="00DA70E6">
        <w:rPr>
          <w:lang w:val="es-ES"/>
        </w:rPr>
        <w:t xml:space="preserve">Naciones Unidas, Consejo Económico y Social, Comité de Derechos Económicos, Sociales y Culturales. Observación General Número 14, </w:t>
      </w:r>
      <w:r w:rsidRPr="0034255C">
        <w:rPr>
          <w:lang w:val="es-ES"/>
        </w:rPr>
        <w:t>E/C.12/2000/4, 11 de agosto de 2000, párr</w:t>
      </w:r>
      <w:r>
        <w:rPr>
          <w:lang w:val="es-ES"/>
        </w:rPr>
        <w:t>s</w:t>
      </w:r>
      <w:r w:rsidRPr="0034255C">
        <w:rPr>
          <w:lang w:val="es-ES"/>
        </w:rPr>
        <w:t>. 22 y 24.</w:t>
      </w:r>
    </w:p>
  </w:footnote>
  <w:footnote w:id="90">
    <w:p w:rsidR="00CA05C6" w:rsidRPr="00830347" w:rsidRDefault="00CA05C6" w:rsidP="00DB01B0">
      <w:pPr>
        <w:pStyle w:val="FootnoteText"/>
        <w:pBdr>
          <w:top w:val="nil"/>
        </w:pBdr>
        <w:jc w:val="both"/>
        <w:rPr>
          <w:lang w:val="es-ES"/>
        </w:rPr>
      </w:pPr>
      <w:r>
        <w:rPr>
          <w:rStyle w:val="FootnoteReference"/>
        </w:rPr>
        <w:footnoteRef/>
      </w:r>
      <w:r w:rsidRPr="00830347">
        <w:rPr>
          <w:lang w:val="es-ES"/>
        </w:rPr>
        <w:t xml:space="preserve"> </w:t>
      </w:r>
      <w:r w:rsidRPr="00DA70E6">
        <w:rPr>
          <w:lang w:val="es-ES"/>
        </w:rPr>
        <w:t>Naciones Unidas, Consejo Económico y Social, Comité de Derechos Económicos, Sociales y Culturales. Observación General Número 14, E/C.12/2000/4, 11 de agosto de 2000, párr. 1</w:t>
      </w:r>
      <w:r>
        <w:rPr>
          <w:lang w:val="es-ES"/>
        </w:rPr>
        <w:t>7</w:t>
      </w:r>
    </w:p>
  </w:footnote>
  <w:footnote w:id="91">
    <w:p w:rsidR="00CA05C6" w:rsidRPr="00B67AD6" w:rsidRDefault="00CA05C6" w:rsidP="00DB01B0">
      <w:pPr>
        <w:pStyle w:val="FootnoteText"/>
        <w:pBdr>
          <w:top w:val="nil"/>
        </w:pBdr>
        <w:rPr>
          <w:lang w:val="es-ES"/>
        </w:rPr>
      </w:pPr>
      <w:r>
        <w:rPr>
          <w:rStyle w:val="FootnoteReference"/>
        </w:rPr>
        <w:footnoteRef/>
      </w:r>
      <w:r w:rsidRPr="00B67AD6">
        <w:rPr>
          <w:lang w:val="es-ES"/>
        </w:rPr>
        <w:t xml:space="preserve"> </w:t>
      </w:r>
      <w:r>
        <w:rPr>
          <w:lang w:val="es-ES"/>
        </w:rPr>
        <w:t xml:space="preserve">Comité de los Derechos del Niño. Observación General 15, </w:t>
      </w:r>
      <w:r w:rsidRPr="00B67AD6">
        <w:rPr>
          <w:lang w:val="es-ES"/>
        </w:rPr>
        <w:t>CRC/C/GC/15</w:t>
      </w:r>
      <w:r>
        <w:rPr>
          <w:lang w:val="es-ES"/>
        </w:rPr>
        <w:t xml:space="preserve">, 17 de abril de 2013, </w:t>
      </w:r>
      <w:r w:rsidRPr="00B67AD6">
        <w:rPr>
          <w:lang w:val="es-ES"/>
        </w:rPr>
        <w:t xml:space="preserve"> </w:t>
      </w:r>
      <w:r>
        <w:rPr>
          <w:lang w:val="es-ES"/>
        </w:rPr>
        <w:t>p</w:t>
      </w:r>
      <w:r w:rsidRPr="003E5B4A">
        <w:rPr>
          <w:lang w:val="es-ES"/>
        </w:rPr>
        <w:t>árrs. 75</w:t>
      </w:r>
      <w:r>
        <w:rPr>
          <w:lang w:val="es-ES"/>
        </w:rPr>
        <w:t>-</w:t>
      </w:r>
      <w:r w:rsidRPr="003E5B4A">
        <w:rPr>
          <w:lang w:val="es-ES"/>
        </w:rPr>
        <w:t xml:space="preserve">76 </w:t>
      </w:r>
    </w:p>
  </w:footnote>
  <w:footnote w:id="92">
    <w:p w:rsidR="00CA05C6" w:rsidRPr="008F0355" w:rsidRDefault="00CA05C6" w:rsidP="00DB01B0">
      <w:pPr>
        <w:pStyle w:val="FootnoteText"/>
        <w:pBdr>
          <w:top w:val="nil"/>
        </w:pBdr>
        <w:rPr>
          <w:lang w:val="es-ES"/>
        </w:rPr>
      </w:pPr>
      <w:r>
        <w:rPr>
          <w:rStyle w:val="FootnoteReference"/>
        </w:rPr>
        <w:footnoteRef/>
      </w:r>
      <w:r w:rsidRPr="00915526">
        <w:rPr>
          <w:lang w:val="es-ES"/>
        </w:rPr>
        <w:t xml:space="preserve"> </w:t>
      </w:r>
      <w:r w:rsidRPr="00DF0B4E">
        <w:rPr>
          <w:rFonts w:eastAsia="Times New Roman" w:cs="Times New Roman"/>
          <w:szCs w:val="16"/>
          <w:lang w:val="es-PE"/>
        </w:rPr>
        <w:t xml:space="preserve">Comité de Derechos Económicos, Sociales y Culturales. Observación General </w:t>
      </w:r>
      <w:r>
        <w:rPr>
          <w:rFonts w:eastAsia="Times New Roman" w:cs="Times New Roman"/>
          <w:szCs w:val="16"/>
          <w:lang w:val="es-PE"/>
        </w:rPr>
        <w:t>19,</w:t>
      </w:r>
      <w:r w:rsidRPr="00DF0B4E">
        <w:rPr>
          <w:rFonts w:eastAsia="Times New Roman" w:cs="Times New Roman"/>
          <w:szCs w:val="16"/>
          <w:lang w:val="es-PE"/>
        </w:rPr>
        <w:t xml:space="preserve"> </w:t>
      </w:r>
      <w:r>
        <w:rPr>
          <w:rFonts w:eastAsia="Times New Roman" w:cs="Times New Roman"/>
          <w:szCs w:val="16"/>
          <w:lang w:val="es-PE"/>
        </w:rPr>
        <w:t xml:space="preserve"> </w:t>
      </w:r>
      <w:r w:rsidRPr="00B67AD6">
        <w:rPr>
          <w:rFonts w:eastAsia="Times New Roman" w:cs="Times New Roman"/>
          <w:szCs w:val="16"/>
          <w:lang w:val="es-PE"/>
        </w:rPr>
        <w:t>E/C.12/GC/19</w:t>
      </w:r>
      <w:r>
        <w:rPr>
          <w:rFonts w:eastAsia="Times New Roman" w:cs="Times New Roman"/>
          <w:szCs w:val="16"/>
          <w:lang w:val="es-PE"/>
        </w:rPr>
        <w:t>, 4 de febrero de 2008. Párr. 23-28.</w:t>
      </w:r>
    </w:p>
  </w:footnote>
  <w:footnote w:id="93">
    <w:p w:rsidR="00CA05C6" w:rsidRPr="00B67AD6" w:rsidRDefault="00CA05C6" w:rsidP="00DB01B0">
      <w:pPr>
        <w:pStyle w:val="FootnoteText"/>
        <w:pBdr>
          <w:top w:val="nil"/>
        </w:pBdr>
        <w:rPr>
          <w:lang w:val="es-ES"/>
        </w:rPr>
      </w:pPr>
      <w:r>
        <w:rPr>
          <w:rStyle w:val="FootnoteReference"/>
        </w:rPr>
        <w:footnoteRef/>
      </w:r>
      <w:r w:rsidRPr="00B67AD6">
        <w:rPr>
          <w:lang w:val="es-ES"/>
        </w:rPr>
        <w:t xml:space="preserve"> </w:t>
      </w:r>
      <w:r w:rsidRPr="00DF0B4E">
        <w:rPr>
          <w:rFonts w:eastAsia="Times New Roman" w:cs="Times New Roman"/>
          <w:szCs w:val="16"/>
          <w:lang w:val="es-PE"/>
        </w:rPr>
        <w:t xml:space="preserve">Comité de Derechos Económicos, Sociales y Culturales. Observación General </w:t>
      </w:r>
      <w:r>
        <w:rPr>
          <w:rFonts w:eastAsia="Times New Roman" w:cs="Times New Roman"/>
          <w:szCs w:val="16"/>
          <w:lang w:val="es-PE"/>
        </w:rPr>
        <w:t xml:space="preserve">19, </w:t>
      </w:r>
      <w:r w:rsidRPr="003277E0">
        <w:rPr>
          <w:rFonts w:eastAsia="Times New Roman" w:cs="Times New Roman"/>
          <w:szCs w:val="16"/>
          <w:lang w:val="es-PE"/>
        </w:rPr>
        <w:t>E/C.12/GC/19</w:t>
      </w:r>
      <w:r>
        <w:rPr>
          <w:rFonts w:eastAsia="Times New Roman" w:cs="Times New Roman"/>
          <w:szCs w:val="16"/>
          <w:lang w:val="es-PE"/>
        </w:rPr>
        <w:t>, 4 de febrero de 2008. Párr. 46.</w:t>
      </w:r>
    </w:p>
  </w:footnote>
  <w:footnote w:id="94">
    <w:p w:rsidR="00CA05C6" w:rsidRPr="008F0355" w:rsidRDefault="00CA05C6" w:rsidP="00541FB1">
      <w:pPr>
        <w:pStyle w:val="FootnoteText"/>
        <w:rPr>
          <w:lang w:val="es-ES"/>
        </w:rPr>
      </w:pPr>
      <w:r>
        <w:rPr>
          <w:rStyle w:val="FootnoteReference"/>
        </w:rPr>
        <w:footnoteRef/>
      </w:r>
      <w:r w:rsidRPr="008F0355">
        <w:rPr>
          <w:lang w:val="es-ES"/>
        </w:rPr>
        <w:t xml:space="preserve"> </w:t>
      </w:r>
      <w:r w:rsidRPr="008F0355">
        <w:rPr>
          <w:szCs w:val="16"/>
          <w:lang w:val="es-ES"/>
        </w:rPr>
        <w:t>Informe del Relator Especial sobre el derecho de toda persona al disfrute del más alto nivel posible de salud física y mental</w:t>
      </w:r>
      <w:r>
        <w:rPr>
          <w:szCs w:val="16"/>
          <w:lang w:val="es-ES"/>
        </w:rPr>
        <w:t>. UN. Doc. A/67/302, 13 de agosto de 2012</w:t>
      </w:r>
      <w:r w:rsidRPr="008F0355">
        <w:rPr>
          <w:szCs w:val="16"/>
          <w:lang w:val="es-ES"/>
        </w:rPr>
        <w:t xml:space="preserve"> Párr</w:t>
      </w:r>
      <w:r>
        <w:rPr>
          <w:szCs w:val="16"/>
          <w:lang w:val="es-ES"/>
        </w:rPr>
        <w:t>s</w:t>
      </w:r>
      <w:r w:rsidRPr="008F0355">
        <w:rPr>
          <w:szCs w:val="16"/>
          <w:lang w:val="es-ES"/>
        </w:rPr>
        <w:t xml:space="preserve">. </w:t>
      </w:r>
      <w:r>
        <w:rPr>
          <w:szCs w:val="16"/>
          <w:lang w:val="es-ES"/>
        </w:rPr>
        <w:t>42-45</w:t>
      </w:r>
    </w:p>
  </w:footnote>
  <w:footnote w:id="95">
    <w:p w:rsidR="00CA05C6" w:rsidRPr="00DA70E6" w:rsidRDefault="00CA05C6" w:rsidP="008B3F9A">
      <w:pPr>
        <w:pStyle w:val="FootnoteText"/>
        <w:jc w:val="both"/>
        <w:rPr>
          <w:lang w:val="es-ES"/>
        </w:rPr>
      </w:pPr>
      <w:r w:rsidRPr="00DA70E6">
        <w:rPr>
          <w:rStyle w:val="FootnoteReference"/>
          <w:szCs w:val="16"/>
        </w:rPr>
        <w:footnoteRef/>
      </w:r>
      <w:r w:rsidRPr="00DA70E6">
        <w:rPr>
          <w:lang w:val="es-ES"/>
        </w:rPr>
        <w:t xml:space="preserve"> CIDH, Informe No. 102/13, Caso 12.723, Fondo, TGGL, Ecuador, 5 de noviembre de 2013. CIDH. Informe: Acceso a servicios de salud materna desde una perspectiva de derechos humanos. 7 de junio de 2010. Sección II.</w:t>
      </w:r>
    </w:p>
  </w:footnote>
  <w:footnote w:id="96">
    <w:p w:rsidR="00CA05C6" w:rsidRPr="00DA70E6" w:rsidRDefault="00CA05C6" w:rsidP="008B3F9A">
      <w:pPr>
        <w:pStyle w:val="FootnoteText"/>
        <w:jc w:val="both"/>
        <w:rPr>
          <w:lang w:val="es-CR" w:eastAsia="x-none"/>
        </w:rPr>
      </w:pPr>
      <w:r w:rsidRPr="00DA70E6">
        <w:rPr>
          <w:rStyle w:val="FootnoteReference"/>
          <w:szCs w:val="16"/>
        </w:rPr>
        <w:footnoteRef/>
      </w:r>
      <w:r w:rsidRPr="00CA05C6">
        <w:rPr>
          <w:lang w:val="pt-BR" w:eastAsia="x-none"/>
        </w:rPr>
        <w:t xml:space="preserve"> </w:t>
      </w:r>
      <w:hyperlink r:id="rId3" w:history="1">
        <w:r w:rsidRPr="00CA05C6">
          <w:rPr>
            <w:lang w:val="pt-BR"/>
          </w:rPr>
          <w:t xml:space="preserve">Corte IDH. </w:t>
        </w:r>
        <w:r w:rsidRPr="00CA05C6">
          <w:rPr>
            <w:i/>
            <w:lang w:val="pt-BR"/>
          </w:rPr>
          <w:t xml:space="preserve">Caso Suárez Peralta Vs. </w:t>
        </w:r>
        <w:r w:rsidRPr="00DA70E6">
          <w:rPr>
            <w:i/>
            <w:lang w:val="es-ES"/>
          </w:rPr>
          <w:t>Ecuador.</w:t>
        </w:r>
        <w:r w:rsidRPr="00DA70E6">
          <w:rPr>
            <w:lang w:val="es-ES"/>
          </w:rPr>
          <w:t xml:space="preserve"> Excepciones Preliminares, Fondo, Reparaciones y Costas. Sentencia de 21 de mayo de 2013. Serie C No. 261</w:t>
        </w:r>
      </w:hyperlink>
      <w:r w:rsidRPr="00DA70E6">
        <w:rPr>
          <w:lang w:val="es-ES"/>
        </w:rPr>
        <w:t xml:space="preserve">, párr. 130; </w:t>
      </w:r>
      <w:r w:rsidRPr="00DA70E6">
        <w:rPr>
          <w:lang w:val="es-ES" w:eastAsia="x-none"/>
        </w:rPr>
        <w:t>y</w:t>
      </w:r>
      <w:r w:rsidRPr="00DA70E6">
        <w:rPr>
          <w:i/>
          <w:lang w:val="es-ES" w:eastAsia="x-none"/>
        </w:rPr>
        <w:t xml:space="preserve"> Caso Vera Vera y otra Vs. Ecuador</w:t>
      </w:r>
      <w:r w:rsidRPr="00DA70E6">
        <w:rPr>
          <w:lang w:val="es-ES" w:eastAsia="x-none"/>
        </w:rPr>
        <w:t xml:space="preserve">. </w:t>
      </w:r>
      <w:r w:rsidRPr="00DA70E6">
        <w:rPr>
          <w:i/>
          <w:lang w:val="es-ES" w:eastAsia="x-none"/>
        </w:rPr>
        <w:t xml:space="preserve">Excepción Preliminar, Fondo, Reparaciones y Costas. </w:t>
      </w:r>
      <w:r w:rsidRPr="00DA70E6">
        <w:rPr>
          <w:lang w:val="es-ES" w:eastAsia="x-none"/>
        </w:rPr>
        <w:t xml:space="preserve">Sentencia de 19 de mayo de 2011. Serie C No. 226, párr. </w:t>
      </w:r>
      <w:r w:rsidRPr="00DA70E6">
        <w:rPr>
          <w:lang w:val="es-CR" w:eastAsia="x-none"/>
        </w:rPr>
        <w:t xml:space="preserve">43. </w:t>
      </w:r>
    </w:p>
  </w:footnote>
  <w:footnote w:id="97">
    <w:p w:rsidR="00CA05C6" w:rsidRPr="00FD6FAB" w:rsidRDefault="00CA05C6" w:rsidP="008B3F9A">
      <w:pPr>
        <w:pStyle w:val="FootnoteText"/>
        <w:jc w:val="both"/>
        <w:rPr>
          <w:lang w:val="pt-BR"/>
        </w:rPr>
      </w:pPr>
      <w:r w:rsidRPr="00DA70E6">
        <w:rPr>
          <w:rStyle w:val="FootnoteReference"/>
          <w:szCs w:val="16"/>
        </w:rPr>
        <w:footnoteRef/>
      </w:r>
      <w:r w:rsidRPr="00CA05C6">
        <w:rPr>
          <w:lang w:val="pt-BR"/>
        </w:rPr>
        <w:t xml:space="preserve"> </w:t>
      </w:r>
      <w:hyperlink r:id="rId4" w:history="1">
        <w:r w:rsidRPr="00CA05C6">
          <w:rPr>
            <w:lang w:val="pt-BR"/>
          </w:rPr>
          <w:t xml:space="preserve">Corte IDH. </w:t>
        </w:r>
        <w:r w:rsidRPr="00CA05C6">
          <w:rPr>
            <w:i/>
            <w:lang w:val="pt-BR"/>
          </w:rPr>
          <w:t xml:space="preserve">Caso Suárez Peralta Vs. </w:t>
        </w:r>
        <w:r w:rsidRPr="00DA70E6">
          <w:rPr>
            <w:i/>
            <w:lang w:val="es-ES"/>
          </w:rPr>
          <w:t>Ecuador.</w:t>
        </w:r>
        <w:r w:rsidRPr="00DA70E6">
          <w:rPr>
            <w:lang w:val="es-ES"/>
          </w:rPr>
          <w:t xml:space="preserve"> Excepciones Preliminares, Fondo, Reparaciones y Costas. Sentencia de 21 de mayo de 2013. Serie C No. 261</w:t>
        </w:r>
      </w:hyperlink>
      <w:r w:rsidRPr="00DA70E6">
        <w:rPr>
          <w:lang w:val="es-ES"/>
        </w:rPr>
        <w:t>, párr. 130</w:t>
      </w:r>
      <w:r w:rsidRPr="00DA70E6">
        <w:rPr>
          <w:lang w:val="es-CR"/>
        </w:rPr>
        <w:t xml:space="preserve">; </w:t>
      </w:r>
      <w:r w:rsidRPr="00DA70E6">
        <w:rPr>
          <w:i/>
          <w:lang w:val="es-CR"/>
        </w:rPr>
        <w:t xml:space="preserve">Caso Tibi Vs. Ecuador. </w:t>
      </w:r>
      <w:r w:rsidRPr="00DA70E6">
        <w:rPr>
          <w:lang w:val="es-CR"/>
        </w:rPr>
        <w:t>Excepciones Preliminares, Fondos, Reparaciones y Costas.</w:t>
      </w:r>
      <w:r w:rsidRPr="00DA70E6">
        <w:rPr>
          <w:i/>
          <w:lang w:val="es-CR"/>
        </w:rPr>
        <w:t xml:space="preserve"> </w:t>
      </w:r>
      <w:r w:rsidRPr="00DA70E6">
        <w:rPr>
          <w:lang w:val="es-CR"/>
        </w:rPr>
        <w:t xml:space="preserve">Sentencia de 7 de septiembre de 2004. Serie C No. 114, párr. 157, y </w:t>
      </w:r>
      <w:r w:rsidRPr="00DA70E6">
        <w:rPr>
          <w:i/>
          <w:lang w:val="es-ES"/>
        </w:rPr>
        <w:t>Caso Vera Vera y otra Vs. Ecuador</w:t>
      </w:r>
      <w:r w:rsidRPr="00DA70E6">
        <w:rPr>
          <w:lang w:val="es-ES"/>
        </w:rPr>
        <w:t xml:space="preserve">. </w:t>
      </w:r>
      <w:r w:rsidRPr="00DA70E6">
        <w:rPr>
          <w:i/>
          <w:lang w:val="es-ES"/>
        </w:rPr>
        <w:t>E</w:t>
      </w:r>
      <w:r w:rsidRPr="00DA70E6">
        <w:rPr>
          <w:lang w:val="es-ES"/>
        </w:rPr>
        <w:t xml:space="preserve">xcepción Preliminar, Fondo, Reparaciones y Costas. Sentencia de 19 de mayo de 2011. </w:t>
      </w:r>
      <w:r w:rsidRPr="00FD6FAB">
        <w:rPr>
          <w:lang w:val="pt-BR"/>
        </w:rPr>
        <w:t>Serie C No. 226, párr. 44.</w:t>
      </w:r>
    </w:p>
  </w:footnote>
  <w:footnote w:id="98">
    <w:p w:rsidR="00CA05C6" w:rsidRPr="00FD6FAB" w:rsidRDefault="00CA05C6" w:rsidP="008B3F9A">
      <w:pPr>
        <w:pStyle w:val="FootnoteText"/>
        <w:jc w:val="both"/>
        <w:rPr>
          <w:lang w:val="es-ES"/>
        </w:rPr>
      </w:pPr>
      <w:r w:rsidRPr="00DA70E6">
        <w:rPr>
          <w:rStyle w:val="FootnoteReference"/>
          <w:szCs w:val="16"/>
        </w:rPr>
        <w:footnoteRef/>
      </w:r>
      <w:r w:rsidRPr="001F7552">
        <w:rPr>
          <w:lang w:val="pt-BR"/>
        </w:rPr>
        <w:t xml:space="preserve"> Corte IDH. </w:t>
      </w:r>
      <w:r w:rsidRPr="001F7552">
        <w:rPr>
          <w:i/>
          <w:lang w:val="pt-BR"/>
        </w:rPr>
        <w:t>Caso Ximenes Lopes Vs. Brasil</w:t>
      </w:r>
      <w:r w:rsidRPr="001F7552">
        <w:rPr>
          <w:lang w:val="pt-BR"/>
        </w:rPr>
        <w:t xml:space="preserve">. </w:t>
      </w:r>
      <w:r w:rsidRPr="00FD6FAB">
        <w:rPr>
          <w:i/>
          <w:lang w:val="es-ES"/>
        </w:rPr>
        <w:t>Excepción Preliminar</w:t>
      </w:r>
      <w:r w:rsidRPr="00FD6FAB">
        <w:rPr>
          <w:lang w:val="es-ES"/>
        </w:rPr>
        <w:t>. Sentencia de 30 de noviembre de 2005. Serie C No. 139, párr. 99</w:t>
      </w:r>
      <w:r w:rsidRPr="00FD6FAB">
        <w:rPr>
          <w:iCs/>
          <w:lang w:val="es-ES"/>
        </w:rPr>
        <w:t xml:space="preserve">. Asimismo, véase: </w:t>
      </w:r>
      <w:r w:rsidRPr="00FD6FAB">
        <w:rPr>
          <w:lang w:val="es-ES"/>
        </w:rPr>
        <w:t>CIDH, Informe No. 102/13, Caso 12.723, Fondo, TGGL, Ecuador, 5 de noviembre de 2013.</w:t>
      </w:r>
    </w:p>
  </w:footnote>
  <w:footnote w:id="99">
    <w:p w:rsidR="00CA05C6" w:rsidRPr="00DA70E6" w:rsidRDefault="00CA05C6" w:rsidP="008B3F9A">
      <w:pPr>
        <w:pStyle w:val="FootnoteText"/>
        <w:jc w:val="both"/>
        <w:rPr>
          <w:lang w:val="es-ES"/>
        </w:rPr>
      </w:pPr>
      <w:r w:rsidRPr="00DA70E6">
        <w:rPr>
          <w:rStyle w:val="FootnoteReference"/>
          <w:szCs w:val="16"/>
        </w:rPr>
        <w:footnoteRef/>
      </w:r>
      <w:r w:rsidRPr="00DA70E6">
        <w:rPr>
          <w:lang w:val="es-ES"/>
        </w:rPr>
        <w:t xml:space="preserve"> </w:t>
      </w:r>
      <w:r>
        <w:rPr>
          <w:lang w:val="es-ES"/>
        </w:rPr>
        <w:t>Corte IDH.</w:t>
      </w:r>
      <w:r w:rsidRPr="00DA70E6">
        <w:rPr>
          <w:lang w:val="es-ES"/>
        </w:rPr>
        <w:t xml:space="preserve"> </w:t>
      </w:r>
      <w:r w:rsidRPr="00DA70E6">
        <w:rPr>
          <w:i/>
          <w:lang w:val="es-ES"/>
        </w:rPr>
        <w:t>Caso de los “Niños de la Calle” (Villagrán Morales y otros) Vs. Guatemala</w:t>
      </w:r>
      <w:r w:rsidRPr="00DA70E6">
        <w:rPr>
          <w:lang w:val="es-ES"/>
        </w:rPr>
        <w:t>. Fondo. Sentencia de 19 de noviembre de 1999. Serie C No. 63, párr. 144 y 191.</w:t>
      </w:r>
    </w:p>
  </w:footnote>
  <w:footnote w:id="100">
    <w:p w:rsidR="00CA05C6" w:rsidRPr="00DA70E6" w:rsidRDefault="00CA05C6" w:rsidP="008B3F9A">
      <w:pPr>
        <w:pStyle w:val="FootnoteText"/>
        <w:jc w:val="both"/>
        <w:rPr>
          <w:lang w:val="es-ES"/>
        </w:rPr>
      </w:pPr>
      <w:r w:rsidRPr="00DA70E6">
        <w:rPr>
          <w:rStyle w:val="FootnoteReference"/>
          <w:szCs w:val="16"/>
        </w:rPr>
        <w:footnoteRef/>
      </w:r>
      <w:r w:rsidRPr="00DA70E6">
        <w:rPr>
          <w:lang w:val="es-ES"/>
        </w:rPr>
        <w:t xml:space="preserve"> </w:t>
      </w:r>
      <w:r>
        <w:rPr>
          <w:lang w:val="es-ES"/>
        </w:rPr>
        <w:t>Corte IDH.</w:t>
      </w:r>
      <w:r w:rsidRPr="00DA70E6">
        <w:rPr>
          <w:lang w:val="es-ES"/>
        </w:rPr>
        <w:t xml:space="preserve"> </w:t>
      </w:r>
      <w:r w:rsidRPr="00DA70E6">
        <w:rPr>
          <w:i/>
          <w:lang w:val="es-ES"/>
        </w:rPr>
        <w:t>Caso Comunidad Indígena Yakye Axa Vs. Paraguay</w:t>
      </w:r>
      <w:r w:rsidRPr="00DA70E6">
        <w:rPr>
          <w:lang w:val="es-ES"/>
        </w:rPr>
        <w:t xml:space="preserve">. Interpretación de la Sentencia de Fondo, Reparaciones y Costas. Sentencia de 6 de febrero de 2006. Serie C No. 142, </w:t>
      </w:r>
      <w:r w:rsidRPr="00DA70E6">
        <w:rPr>
          <w:lang w:val="es-ES" w:eastAsia="es-ES_tradnl"/>
        </w:rPr>
        <w:t xml:space="preserve">párr. 161; </w:t>
      </w:r>
      <w:r w:rsidRPr="00DA70E6">
        <w:rPr>
          <w:i/>
          <w:lang w:val="es-ES"/>
        </w:rPr>
        <w:t>Caso Comunidad Indígena Sawhoyamaxa Vs. Paraguay</w:t>
      </w:r>
      <w:r w:rsidRPr="00DA70E6">
        <w:rPr>
          <w:lang w:val="es-ES"/>
        </w:rPr>
        <w:t xml:space="preserve">. Fondo, Reparaciones y Costas. Sentencia de 29 de marzo de 2006. Serie C No. 146; y </w:t>
      </w:r>
      <w:r w:rsidRPr="00DA70E6">
        <w:rPr>
          <w:i/>
          <w:lang w:val="es-ES"/>
        </w:rPr>
        <w:t>Caso Comunidad Indígena Xákmok Kásek. Vs. Paraguay</w:t>
      </w:r>
      <w:r w:rsidRPr="00DA70E6">
        <w:rPr>
          <w:lang w:val="es-ES"/>
        </w:rPr>
        <w:t>. Fondo, Reparaciones y Costas. Sentencia de 24 de agosto de 2010 Serie C No. 214, párrs. 194 a 217.</w:t>
      </w:r>
    </w:p>
  </w:footnote>
  <w:footnote w:id="101">
    <w:p w:rsidR="00CA05C6" w:rsidRPr="000618B7" w:rsidRDefault="00CA05C6" w:rsidP="008B3F9A">
      <w:pPr>
        <w:pStyle w:val="FootnoteText"/>
        <w:jc w:val="both"/>
        <w:rPr>
          <w:lang w:val="es-ES"/>
        </w:rPr>
      </w:pPr>
      <w:r>
        <w:rPr>
          <w:rStyle w:val="FootnoteReference"/>
        </w:rPr>
        <w:footnoteRef/>
      </w:r>
      <w:r w:rsidRPr="00801051">
        <w:rPr>
          <w:lang w:val="es-ES"/>
        </w:rPr>
        <w:t xml:space="preserve"> </w:t>
      </w:r>
      <w:r>
        <w:rPr>
          <w:lang w:val="es-ES"/>
        </w:rPr>
        <w:t>CIDH. Irene respecto de Argentina. Medida Cautelar No. 376-15, Resolución 38/2016. 7 de julio de 2016.  Párr. 26.</w:t>
      </w:r>
    </w:p>
  </w:footnote>
  <w:footnote w:id="102">
    <w:p w:rsidR="00CA05C6" w:rsidRPr="002D1FE5" w:rsidRDefault="00CA05C6" w:rsidP="008B3F9A">
      <w:pPr>
        <w:pStyle w:val="FootnoteText"/>
        <w:jc w:val="both"/>
        <w:rPr>
          <w:lang w:val="es-ES"/>
        </w:rPr>
      </w:pPr>
      <w:r>
        <w:rPr>
          <w:rStyle w:val="FootnoteReference"/>
        </w:rPr>
        <w:footnoteRef/>
      </w:r>
      <w:r w:rsidRPr="001F7F33">
        <w:rPr>
          <w:lang w:val="es-ES"/>
        </w:rPr>
        <w:t xml:space="preserve"> </w:t>
      </w:r>
      <w:r>
        <w:rPr>
          <w:lang w:val="es-ES"/>
        </w:rPr>
        <w:t xml:space="preserve">Comité sobre los derechos de personas con discapacidad. Observación General núm. 5 (2017) sobre el derecho a vivir de forma independiente y a ser incluido en la comunidad. CRPD/C/GC/5,  </w:t>
      </w:r>
      <w:r w:rsidRPr="001F7F33">
        <w:rPr>
          <w:lang w:val="es-ES"/>
        </w:rPr>
        <w:t>27 de octubre de 2017</w:t>
      </w:r>
      <w:r>
        <w:rPr>
          <w:lang w:val="es-ES"/>
        </w:rPr>
        <w:t>. Párrs, 19, 74 y 75.</w:t>
      </w:r>
    </w:p>
  </w:footnote>
  <w:footnote w:id="103">
    <w:p w:rsidR="00CA05C6" w:rsidRPr="007A5E59" w:rsidRDefault="00CA05C6" w:rsidP="005C3D77">
      <w:pPr>
        <w:pStyle w:val="FootnoteText"/>
        <w:jc w:val="both"/>
        <w:rPr>
          <w:rFonts w:asciiTheme="majorHAnsi" w:hAnsiTheme="majorHAnsi"/>
          <w:szCs w:val="16"/>
          <w:lang w:val="es-ES"/>
        </w:rPr>
      </w:pPr>
      <w:r w:rsidRPr="00361C78">
        <w:rPr>
          <w:rStyle w:val="FootnoteReference"/>
          <w:rFonts w:asciiTheme="majorHAnsi" w:hAnsiTheme="majorHAnsi"/>
          <w:szCs w:val="16"/>
        </w:rPr>
        <w:footnoteRef/>
      </w:r>
      <w:r w:rsidRPr="00361C78">
        <w:rPr>
          <w:rFonts w:asciiTheme="majorHAnsi" w:hAnsiTheme="majorHAnsi"/>
          <w:szCs w:val="16"/>
          <w:lang w:val="es-ES"/>
        </w:rPr>
        <w:t xml:space="preserve"> CIDH. Informe </w:t>
      </w:r>
      <w:r w:rsidRPr="00361C78">
        <w:rPr>
          <w:rFonts w:asciiTheme="majorHAnsi" w:hAnsiTheme="majorHAnsi"/>
          <w:i/>
          <w:szCs w:val="16"/>
          <w:lang w:val="es-ES"/>
        </w:rPr>
        <w:t>Violencia, niñez y crimen organizado</w:t>
      </w:r>
      <w:r w:rsidRPr="00361C78">
        <w:rPr>
          <w:rFonts w:asciiTheme="majorHAnsi" w:hAnsiTheme="majorHAnsi"/>
          <w:szCs w:val="16"/>
          <w:lang w:val="es-ES"/>
        </w:rPr>
        <w:t xml:space="preserve">. </w:t>
      </w:r>
      <w:r w:rsidRPr="007A5E59">
        <w:rPr>
          <w:rFonts w:asciiTheme="majorHAnsi" w:hAnsiTheme="majorHAnsi"/>
          <w:szCs w:val="16"/>
          <w:lang w:val="es-ES"/>
        </w:rPr>
        <w:t>OEA/Ser.L/V/II., Doc. 40/15, 11 noviembre 2015, párr. 271.</w:t>
      </w:r>
    </w:p>
  </w:footnote>
  <w:footnote w:id="104">
    <w:p w:rsidR="00CA05C6" w:rsidRPr="00272635" w:rsidRDefault="00CA05C6" w:rsidP="008B3F9A">
      <w:pPr>
        <w:pStyle w:val="FootnoteText"/>
        <w:jc w:val="both"/>
        <w:rPr>
          <w:rFonts w:asciiTheme="majorHAnsi" w:hAnsiTheme="majorHAnsi"/>
          <w:szCs w:val="16"/>
          <w:lang w:val="es-US"/>
        </w:rPr>
      </w:pPr>
      <w:r w:rsidRPr="00272635">
        <w:rPr>
          <w:rStyle w:val="FootnoteReference"/>
          <w:rFonts w:asciiTheme="majorHAnsi" w:hAnsiTheme="majorHAnsi"/>
          <w:szCs w:val="16"/>
        </w:rPr>
        <w:footnoteRef/>
      </w:r>
      <w:r w:rsidRPr="00272635">
        <w:rPr>
          <w:rFonts w:asciiTheme="majorHAnsi" w:hAnsiTheme="majorHAnsi"/>
          <w:szCs w:val="16"/>
          <w:lang w:val="es-US"/>
        </w:rPr>
        <w:t xml:space="preserve"> El artículo 8 de la Convención Americana consagra en lo pertinente: </w:t>
      </w:r>
      <w:r w:rsidRPr="00272635">
        <w:rPr>
          <w:rFonts w:asciiTheme="majorHAnsi" w:hAnsiTheme="majorHAnsi"/>
          <w:szCs w:val="16"/>
          <w:lang w:val="es-US"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272635">
        <w:rPr>
          <w:rFonts w:asciiTheme="majorHAnsi" w:hAnsiTheme="majorHAnsi"/>
          <w:szCs w:val="16"/>
          <w:lang w:val="es-US"/>
        </w:rPr>
        <w:t xml:space="preserve"> </w:t>
      </w:r>
    </w:p>
  </w:footnote>
  <w:footnote w:id="105">
    <w:p w:rsidR="00CA05C6" w:rsidRPr="00272635" w:rsidRDefault="00CA05C6" w:rsidP="008B3F9A">
      <w:pPr>
        <w:pStyle w:val="FootnoteText"/>
        <w:jc w:val="both"/>
        <w:rPr>
          <w:rFonts w:asciiTheme="majorHAnsi" w:hAnsiTheme="majorHAnsi"/>
          <w:szCs w:val="16"/>
          <w:lang w:val="es-ES"/>
        </w:rPr>
      </w:pPr>
      <w:r w:rsidRPr="00272635">
        <w:rPr>
          <w:rStyle w:val="FootnoteReference"/>
          <w:rFonts w:asciiTheme="majorHAnsi" w:hAnsiTheme="majorHAnsi"/>
          <w:szCs w:val="16"/>
        </w:rPr>
        <w:footnoteRef/>
      </w:r>
      <w:r w:rsidRPr="00272635">
        <w:rPr>
          <w:rFonts w:asciiTheme="majorHAnsi" w:hAnsiTheme="majorHAnsi"/>
          <w:szCs w:val="16"/>
          <w:lang w:val="es-ES"/>
        </w:rPr>
        <w:t xml:space="preserve"> 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06">
    <w:p w:rsidR="00CA05C6" w:rsidRPr="00272635" w:rsidRDefault="00CA05C6" w:rsidP="008B3F9A">
      <w:pPr>
        <w:pBdr>
          <w:top w:val="none" w:sz="0" w:space="0" w:color="auto"/>
          <w:left w:val="none" w:sz="0" w:space="0" w:color="auto"/>
          <w:bottom w:val="none" w:sz="0" w:space="0" w:color="auto"/>
          <w:right w:val="none" w:sz="0" w:space="0" w:color="auto"/>
        </w:pBdr>
        <w:jc w:val="both"/>
        <w:rPr>
          <w:rFonts w:asciiTheme="majorHAnsi" w:hAnsiTheme="majorHAnsi"/>
          <w:sz w:val="16"/>
          <w:szCs w:val="16"/>
          <w:lang w:val="es-ES"/>
        </w:rPr>
      </w:pPr>
      <w:r w:rsidRPr="00272635">
        <w:rPr>
          <w:rStyle w:val="FootnoteReference"/>
          <w:rFonts w:asciiTheme="majorHAnsi" w:hAnsiTheme="majorHAnsi"/>
          <w:sz w:val="16"/>
          <w:szCs w:val="16"/>
          <w:lang w:val="es-ES"/>
        </w:rPr>
        <w:footnoteRef/>
      </w:r>
      <w:r w:rsidRPr="00272635">
        <w:rPr>
          <w:rFonts w:asciiTheme="majorHAnsi" w:hAnsiTheme="majorHAnsi"/>
          <w:sz w:val="16"/>
          <w:szCs w:val="16"/>
          <w:lang w:val="es-ES"/>
        </w:rPr>
        <w:t xml:space="preserve"> CIDH, Acceso a la Justicia para las Mujeres Víctimas de Violencia en las Américas, OEA/Ser. L/V/II. doc.68, 20 de enero de 2007.</w:t>
      </w:r>
    </w:p>
  </w:footnote>
  <w:footnote w:id="107">
    <w:p w:rsidR="00CA05C6" w:rsidRPr="008679E4" w:rsidRDefault="00CA05C6" w:rsidP="008B3F9A">
      <w:pPr>
        <w:pStyle w:val="FootnoteText"/>
        <w:jc w:val="both"/>
        <w:rPr>
          <w:lang w:val="es-ES"/>
        </w:rPr>
      </w:pPr>
      <w:r>
        <w:rPr>
          <w:rStyle w:val="FootnoteReference"/>
        </w:rPr>
        <w:footnoteRef/>
      </w:r>
      <w:r w:rsidRPr="008679E4">
        <w:rPr>
          <w:lang w:val="es-ES"/>
        </w:rPr>
        <w:t xml:space="preserve"> </w:t>
      </w:r>
      <w:r>
        <w:rPr>
          <w:lang w:val="es-ES"/>
        </w:rPr>
        <w:t xml:space="preserve">CIDH. El acceso a la justicia como garantía de los derechos económicos, sociales y culturales. Estudio de los estándares fijados por el sistema interamericano de derechos humanos. </w:t>
      </w:r>
      <w:r w:rsidRPr="00022BE4">
        <w:rPr>
          <w:lang w:val="es-ES_tradnl"/>
        </w:rPr>
        <w:t>OEA/Ser.L/V/II.129</w:t>
      </w:r>
      <w:r w:rsidRPr="00022BE4">
        <w:rPr>
          <w:lang w:val="es-ES"/>
        </w:rPr>
        <w:t xml:space="preserve">. </w:t>
      </w:r>
      <w:r w:rsidRPr="00022BE4">
        <w:rPr>
          <w:lang w:val="es-ES_tradnl"/>
        </w:rPr>
        <w:t>Doc. 4</w:t>
      </w:r>
      <w:r w:rsidRPr="00022BE4">
        <w:rPr>
          <w:lang w:val="es-ES"/>
        </w:rPr>
        <w:t xml:space="preserve">. </w:t>
      </w:r>
      <w:r w:rsidRPr="00022BE4">
        <w:rPr>
          <w:lang w:val="es-ES_tradnl"/>
        </w:rPr>
        <w:t xml:space="preserve">7 </w:t>
      </w:r>
      <w:r>
        <w:rPr>
          <w:lang w:val="es-ES_tradnl"/>
        </w:rPr>
        <w:t xml:space="preserve">de </w:t>
      </w:r>
      <w:r w:rsidRPr="00022BE4">
        <w:rPr>
          <w:lang w:val="es-ES_tradnl"/>
        </w:rPr>
        <w:t xml:space="preserve">septiembre </w:t>
      </w:r>
      <w:r>
        <w:rPr>
          <w:lang w:val="es-ES_tradnl"/>
        </w:rPr>
        <w:t xml:space="preserve">de </w:t>
      </w:r>
      <w:r w:rsidRPr="00022BE4">
        <w:rPr>
          <w:lang w:val="es-ES_tradnl"/>
        </w:rPr>
        <w:t>2007</w:t>
      </w:r>
      <w:r>
        <w:rPr>
          <w:lang w:val="es-ES_tradnl"/>
        </w:rPr>
        <w:t xml:space="preserve">. Párr. 177 y ss. </w:t>
      </w:r>
    </w:p>
  </w:footnote>
  <w:footnote w:id="108">
    <w:p w:rsidR="00CA05C6" w:rsidRPr="005C008E" w:rsidRDefault="00CA05C6" w:rsidP="008B3F9A">
      <w:pPr>
        <w:pStyle w:val="FootnoteText"/>
        <w:jc w:val="both"/>
        <w:rPr>
          <w:lang w:val="es-ES_tradnl"/>
        </w:rPr>
      </w:pPr>
      <w:r>
        <w:rPr>
          <w:rStyle w:val="FootnoteReference"/>
        </w:rPr>
        <w:footnoteRef/>
      </w:r>
      <w:r w:rsidRPr="00D30F59">
        <w:rPr>
          <w:lang w:val="es-ES"/>
        </w:rPr>
        <w:t xml:space="preserve"> </w:t>
      </w:r>
      <w:r>
        <w:rPr>
          <w:lang w:val="es-ES"/>
        </w:rPr>
        <w:t xml:space="preserve">IDH. El acceso a la justicia como garantía de los derechos económicos, sociales y culturales. Estudio de los estándares fijados por el sistema interamericano de derechos humanos. </w:t>
      </w:r>
      <w:r w:rsidRPr="00022BE4">
        <w:rPr>
          <w:lang w:val="es-ES_tradnl"/>
        </w:rPr>
        <w:t>OEA/Ser.L/V/II.129</w:t>
      </w:r>
      <w:r w:rsidRPr="00022BE4">
        <w:rPr>
          <w:lang w:val="es-ES"/>
        </w:rPr>
        <w:t xml:space="preserve">. </w:t>
      </w:r>
      <w:r w:rsidRPr="00022BE4">
        <w:rPr>
          <w:lang w:val="es-ES_tradnl"/>
        </w:rPr>
        <w:t>Doc. 4</w:t>
      </w:r>
      <w:r w:rsidRPr="00022BE4">
        <w:rPr>
          <w:lang w:val="es-ES"/>
        </w:rPr>
        <w:t xml:space="preserve">. </w:t>
      </w:r>
      <w:r w:rsidRPr="00022BE4">
        <w:rPr>
          <w:lang w:val="es-ES_tradnl"/>
        </w:rPr>
        <w:t xml:space="preserve">7 </w:t>
      </w:r>
      <w:r>
        <w:rPr>
          <w:lang w:val="es-ES_tradnl"/>
        </w:rPr>
        <w:t xml:space="preserve">de </w:t>
      </w:r>
      <w:r w:rsidRPr="00022BE4">
        <w:rPr>
          <w:lang w:val="es-ES_tradnl"/>
        </w:rPr>
        <w:t xml:space="preserve">septiembre </w:t>
      </w:r>
      <w:r>
        <w:rPr>
          <w:lang w:val="es-ES_tradnl"/>
        </w:rPr>
        <w:t xml:space="preserve">de </w:t>
      </w:r>
      <w:r w:rsidRPr="00022BE4">
        <w:rPr>
          <w:lang w:val="es-ES_tradnl"/>
        </w:rPr>
        <w:t>2007</w:t>
      </w:r>
      <w:r>
        <w:rPr>
          <w:lang w:val="es-ES_tradnl"/>
        </w:rPr>
        <w:t>. Párr. 185.</w:t>
      </w:r>
    </w:p>
  </w:footnote>
  <w:footnote w:id="109">
    <w:p w:rsidR="00CA05C6" w:rsidRPr="005C008E" w:rsidRDefault="00CA05C6" w:rsidP="008B3F9A">
      <w:pPr>
        <w:pStyle w:val="FootnoteText"/>
        <w:jc w:val="both"/>
        <w:rPr>
          <w:lang w:val="es-ES_tradnl"/>
        </w:rPr>
      </w:pPr>
      <w:r>
        <w:rPr>
          <w:rStyle w:val="FootnoteReference"/>
        </w:rPr>
        <w:footnoteRef/>
      </w:r>
      <w:r w:rsidRPr="00D30F59">
        <w:rPr>
          <w:lang w:val="es-ES"/>
        </w:rPr>
        <w:t xml:space="preserve"> </w:t>
      </w:r>
      <w:r>
        <w:rPr>
          <w:lang w:val="es-ES"/>
        </w:rPr>
        <w:t xml:space="preserve">IDH. El acceso a la justicia como garantía de los derechos económicos, sociales y culturales. Estudio de los estándares fijados por el sistema interamericano de derechos humanos. </w:t>
      </w:r>
      <w:r w:rsidRPr="00022BE4">
        <w:rPr>
          <w:lang w:val="es-ES_tradnl"/>
        </w:rPr>
        <w:t>OEA/Ser.L/V/II.129</w:t>
      </w:r>
      <w:r w:rsidRPr="00022BE4">
        <w:rPr>
          <w:lang w:val="es-ES"/>
        </w:rPr>
        <w:t xml:space="preserve">. </w:t>
      </w:r>
      <w:r w:rsidRPr="00022BE4">
        <w:rPr>
          <w:lang w:val="es-ES_tradnl"/>
        </w:rPr>
        <w:t>Doc. 4</w:t>
      </w:r>
      <w:r w:rsidRPr="00022BE4">
        <w:rPr>
          <w:lang w:val="es-ES"/>
        </w:rPr>
        <w:t xml:space="preserve">. </w:t>
      </w:r>
      <w:r w:rsidRPr="00022BE4">
        <w:rPr>
          <w:lang w:val="es-ES_tradnl"/>
        </w:rPr>
        <w:t xml:space="preserve">7 </w:t>
      </w:r>
      <w:r>
        <w:rPr>
          <w:lang w:val="es-ES_tradnl"/>
        </w:rPr>
        <w:t xml:space="preserve">de </w:t>
      </w:r>
      <w:r w:rsidRPr="00022BE4">
        <w:rPr>
          <w:lang w:val="es-ES_tradnl"/>
        </w:rPr>
        <w:t xml:space="preserve">septiembre </w:t>
      </w:r>
      <w:r>
        <w:rPr>
          <w:lang w:val="es-ES_tradnl"/>
        </w:rPr>
        <w:t xml:space="preserve">de </w:t>
      </w:r>
      <w:r w:rsidRPr="00022BE4">
        <w:rPr>
          <w:lang w:val="es-ES_tradnl"/>
        </w:rPr>
        <w:t>2007</w:t>
      </w:r>
      <w:r>
        <w:rPr>
          <w:lang w:val="es-ES_tradnl"/>
        </w:rPr>
        <w:t>. Párr. 188.</w:t>
      </w:r>
    </w:p>
  </w:footnote>
  <w:footnote w:id="110">
    <w:p w:rsidR="00CA05C6" w:rsidRPr="00130A11" w:rsidRDefault="00CA05C6" w:rsidP="008B3F9A">
      <w:pPr>
        <w:pStyle w:val="FootnoteText"/>
        <w:jc w:val="both"/>
        <w:rPr>
          <w:lang w:val="es-ES"/>
        </w:rPr>
      </w:pPr>
      <w:r>
        <w:rPr>
          <w:rStyle w:val="FootnoteReference"/>
        </w:rPr>
        <w:footnoteRef/>
      </w:r>
      <w:r w:rsidRPr="00130A11">
        <w:rPr>
          <w:lang w:val="es-ES"/>
        </w:rPr>
        <w:t xml:space="preserve"> </w:t>
      </w:r>
      <w:r>
        <w:rPr>
          <w:lang w:val="es-ES"/>
        </w:rPr>
        <w:t xml:space="preserve">CIDH. El acceso a la justicia como garantía de los derechos económicos, sociales y culturales. Estudio de los estándares fijados por el sistema interamericano de derechos humanos. </w:t>
      </w:r>
      <w:r w:rsidRPr="00022BE4">
        <w:rPr>
          <w:lang w:val="es-ES_tradnl"/>
        </w:rPr>
        <w:t>OEA/Ser.L/V/II.129</w:t>
      </w:r>
      <w:r w:rsidRPr="00022BE4">
        <w:rPr>
          <w:lang w:val="es-ES"/>
        </w:rPr>
        <w:t xml:space="preserve">. </w:t>
      </w:r>
      <w:r w:rsidRPr="00022BE4">
        <w:rPr>
          <w:lang w:val="es-ES_tradnl"/>
        </w:rPr>
        <w:t>Doc. 4</w:t>
      </w:r>
      <w:r w:rsidRPr="00022BE4">
        <w:rPr>
          <w:lang w:val="es-ES"/>
        </w:rPr>
        <w:t xml:space="preserve">. </w:t>
      </w:r>
      <w:r w:rsidRPr="00022BE4">
        <w:rPr>
          <w:lang w:val="es-ES_tradnl"/>
        </w:rPr>
        <w:t xml:space="preserve">7 </w:t>
      </w:r>
      <w:r>
        <w:rPr>
          <w:lang w:val="es-ES_tradnl"/>
        </w:rPr>
        <w:t xml:space="preserve">de </w:t>
      </w:r>
      <w:r w:rsidRPr="00022BE4">
        <w:rPr>
          <w:lang w:val="es-ES_tradnl"/>
        </w:rPr>
        <w:t xml:space="preserve">septiembre </w:t>
      </w:r>
      <w:r>
        <w:rPr>
          <w:lang w:val="es-ES_tradnl"/>
        </w:rPr>
        <w:t xml:space="preserve">de </w:t>
      </w:r>
      <w:r w:rsidRPr="00022BE4">
        <w:rPr>
          <w:lang w:val="es-ES_tradnl"/>
        </w:rPr>
        <w:t>2007</w:t>
      </w:r>
      <w:r>
        <w:rPr>
          <w:lang w:val="es-ES_tradnl"/>
        </w:rPr>
        <w:t>. Párr. 259.</w:t>
      </w:r>
    </w:p>
  </w:footnote>
  <w:footnote w:id="111">
    <w:p w:rsidR="00CA05C6" w:rsidRPr="00CB7038" w:rsidRDefault="00CA05C6" w:rsidP="008B3F9A">
      <w:pPr>
        <w:pStyle w:val="FootnoteText"/>
        <w:jc w:val="both"/>
        <w:rPr>
          <w:lang w:val="es-ES_tradnl"/>
        </w:rPr>
      </w:pPr>
      <w:r>
        <w:rPr>
          <w:rStyle w:val="FootnoteReference"/>
        </w:rPr>
        <w:footnoteRef/>
      </w:r>
      <w:r w:rsidRPr="00D30F59">
        <w:rPr>
          <w:lang w:val="es-ES"/>
        </w:rPr>
        <w:t xml:space="preserve"> </w:t>
      </w:r>
      <w:r>
        <w:rPr>
          <w:lang w:val="es-ES"/>
        </w:rPr>
        <w:t xml:space="preserve">CIDH. El acceso a la justicia como garantía de los derechos económicos, sociales y culturales. Estudio de los estándares fijados por el sistema interamericano de derechos humanos. </w:t>
      </w:r>
      <w:r w:rsidRPr="00022BE4">
        <w:rPr>
          <w:lang w:val="es-ES_tradnl"/>
        </w:rPr>
        <w:t>OEA/Ser.L/V/II.129</w:t>
      </w:r>
      <w:r w:rsidRPr="00022BE4">
        <w:rPr>
          <w:lang w:val="es-ES"/>
        </w:rPr>
        <w:t xml:space="preserve">. </w:t>
      </w:r>
      <w:r w:rsidRPr="00022BE4">
        <w:rPr>
          <w:lang w:val="es-ES_tradnl"/>
        </w:rPr>
        <w:t>Doc. 4</w:t>
      </w:r>
      <w:r w:rsidRPr="00022BE4">
        <w:rPr>
          <w:lang w:val="es-ES"/>
        </w:rPr>
        <w:t xml:space="preserve">. </w:t>
      </w:r>
      <w:r w:rsidRPr="00022BE4">
        <w:rPr>
          <w:lang w:val="es-ES_tradnl"/>
        </w:rPr>
        <w:t xml:space="preserve">7 </w:t>
      </w:r>
      <w:r>
        <w:rPr>
          <w:lang w:val="es-ES_tradnl"/>
        </w:rPr>
        <w:t xml:space="preserve">de </w:t>
      </w:r>
      <w:r w:rsidRPr="00022BE4">
        <w:rPr>
          <w:lang w:val="es-ES_tradnl"/>
        </w:rPr>
        <w:t xml:space="preserve">septiembre </w:t>
      </w:r>
      <w:r>
        <w:rPr>
          <w:lang w:val="es-ES_tradnl"/>
        </w:rPr>
        <w:t xml:space="preserve">de </w:t>
      </w:r>
      <w:r w:rsidRPr="00022BE4">
        <w:rPr>
          <w:lang w:val="es-ES_tradnl"/>
        </w:rPr>
        <w:t>2007</w:t>
      </w:r>
      <w:r>
        <w:rPr>
          <w:lang w:val="es-ES_tradnl"/>
        </w:rPr>
        <w:t>. Párr. 248.</w:t>
      </w:r>
    </w:p>
  </w:footnote>
  <w:footnote w:id="112">
    <w:p w:rsidR="00CA05C6" w:rsidRPr="000D06FD" w:rsidRDefault="00CA05C6" w:rsidP="003E4030">
      <w:pPr>
        <w:pStyle w:val="FootnoteText"/>
        <w:jc w:val="both"/>
        <w:rPr>
          <w:szCs w:val="16"/>
          <w:lang w:val="es-PE"/>
        </w:rPr>
      </w:pPr>
      <w:r w:rsidRPr="000D06FD">
        <w:rPr>
          <w:rStyle w:val="FootnoteReference"/>
          <w:szCs w:val="16"/>
        </w:rPr>
        <w:footnoteRef/>
      </w:r>
      <w:r w:rsidRPr="000D06FD">
        <w:rPr>
          <w:szCs w:val="16"/>
          <w:lang w:val="es-PE"/>
        </w:rPr>
        <w:t xml:space="preserve"> </w:t>
      </w:r>
      <w:r w:rsidRPr="000D06FD">
        <w:rPr>
          <w:rFonts w:eastAsia="Times New Roman"/>
          <w:szCs w:val="16"/>
          <w:lang w:val="es-PE"/>
        </w:rPr>
        <w:t>Comité de Derechos Económicos, Sociales y Cul</w:t>
      </w:r>
      <w:r>
        <w:rPr>
          <w:rFonts w:eastAsia="Times New Roman"/>
          <w:szCs w:val="16"/>
          <w:lang w:val="es-PE"/>
        </w:rPr>
        <w:t xml:space="preserve">turales. Observación General 24, </w:t>
      </w:r>
      <w:r w:rsidRPr="00B67AD6">
        <w:rPr>
          <w:rFonts w:eastAsia="Times New Roman"/>
          <w:szCs w:val="16"/>
          <w:lang w:val="es-PE"/>
        </w:rPr>
        <w:t>E/C.12/GC/24</w:t>
      </w:r>
      <w:r>
        <w:rPr>
          <w:rFonts w:eastAsia="Times New Roman"/>
          <w:szCs w:val="16"/>
          <w:lang w:val="es-PE"/>
        </w:rPr>
        <w:t>,</w:t>
      </w:r>
      <w:r w:rsidRPr="000D06FD">
        <w:rPr>
          <w:rFonts w:eastAsia="Times New Roman"/>
          <w:szCs w:val="16"/>
          <w:lang w:val="es-PE"/>
        </w:rPr>
        <w:t xml:space="preserve"> 10 de agosto de 2017. párr. 39. Asimismo ver Principios Rectores sobre las Empresas y los Derechos Humanos de las Naciones Unidas. Accesos a mecanismos de reparación (principio 25) (2011) Disponible en: </w:t>
      </w:r>
      <w:hyperlink r:id="rId5" w:history="1">
        <w:r w:rsidRPr="000D06FD">
          <w:rPr>
            <w:rStyle w:val="Hyperlink"/>
            <w:rFonts w:eastAsia="Times New Roman"/>
            <w:szCs w:val="16"/>
            <w:lang w:val="es-PE"/>
          </w:rPr>
          <w:t>http://www.ohchr.org/Documents/Publications/GuidingPrinciplesBusinessHR_SP.pdf</w:t>
        </w:r>
      </w:hyperlink>
      <w:r w:rsidRPr="000D06FD">
        <w:rPr>
          <w:rFonts w:eastAsia="Times New Roman"/>
          <w:szCs w:val="16"/>
          <w:lang w:val="es-PE"/>
        </w:rPr>
        <w:t xml:space="preserve"> </w:t>
      </w:r>
    </w:p>
  </w:footnote>
  <w:footnote w:id="113">
    <w:p w:rsidR="00CA05C6" w:rsidRPr="000D06FD" w:rsidRDefault="00CA05C6" w:rsidP="003E4030">
      <w:pPr>
        <w:pStyle w:val="FootnoteText"/>
        <w:jc w:val="both"/>
        <w:rPr>
          <w:szCs w:val="16"/>
          <w:lang w:val="es-PE"/>
        </w:rPr>
      </w:pPr>
      <w:r w:rsidRPr="000D06FD">
        <w:rPr>
          <w:rStyle w:val="FootnoteReference"/>
          <w:szCs w:val="16"/>
        </w:rPr>
        <w:footnoteRef/>
      </w:r>
      <w:r w:rsidRPr="000D06FD">
        <w:rPr>
          <w:szCs w:val="16"/>
          <w:lang w:val="es-PE"/>
        </w:rPr>
        <w:t xml:space="preserve"> </w:t>
      </w:r>
      <w:r w:rsidRPr="000D06FD">
        <w:rPr>
          <w:rFonts w:eastAsia="Times New Roman"/>
          <w:szCs w:val="16"/>
          <w:lang w:val="es-PE"/>
        </w:rPr>
        <w:t>Comité de Derechos Económicos, Sociales y Culturales. Observación General 24</w:t>
      </w:r>
      <w:r>
        <w:rPr>
          <w:rFonts w:eastAsia="Times New Roman"/>
          <w:szCs w:val="16"/>
          <w:lang w:val="es-PE"/>
        </w:rPr>
        <w:t xml:space="preserve">, </w:t>
      </w:r>
      <w:r w:rsidRPr="003277E0">
        <w:rPr>
          <w:rFonts w:eastAsia="Times New Roman"/>
          <w:szCs w:val="16"/>
          <w:lang w:val="es-PE"/>
        </w:rPr>
        <w:t>E/C.12/GC/24</w:t>
      </w:r>
      <w:r>
        <w:rPr>
          <w:rFonts w:eastAsia="Times New Roman"/>
          <w:szCs w:val="16"/>
          <w:lang w:val="es-PE"/>
        </w:rPr>
        <w:t>,</w:t>
      </w:r>
      <w:r w:rsidRPr="000D06FD">
        <w:rPr>
          <w:rFonts w:eastAsia="Times New Roman"/>
          <w:szCs w:val="16"/>
          <w:lang w:val="es-PE"/>
        </w:rPr>
        <w:t xml:space="preserve"> 10 de agosto de 2017. párrs. 41 y 45.</w:t>
      </w:r>
    </w:p>
  </w:footnote>
  <w:footnote w:id="114">
    <w:p w:rsidR="00CA05C6" w:rsidRPr="00272635" w:rsidRDefault="00CA05C6" w:rsidP="008B3F9A">
      <w:pPr>
        <w:pStyle w:val="FootnoteText"/>
        <w:jc w:val="both"/>
        <w:rPr>
          <w:rFonts w:asciiTheme="majorHAnsi" w:hAnsiTheme="majorHAnsi"/>
          <w:szCs w:val="16"/>
          <w:lang w:val="es-MX"/>
        </w:rPr>
      </w:pPr>
      <w:r w:rsidRPr="00272635">
        <w:rPr>
          <w:rStyle w:val="FootnoteReference"/>
          <w:rFonts w:asciiTheme="majorHAnsi" w:hAnsiTheme="majorHAnsi"/>
          <w:szCs w:val="16"/>
        </w:rPr>
        <w:footnoteRef/>
      </w:r>
      <w:r w:rsidRPr="00272635">
        <w:rPr>
          <w:rFonts w:asciiTheme="majorHAnsi" w:hAnsiTheme="majorHAnsi"/>
          <w:szCs w:val="16"/>
          <w:lang w:val="es-MX"/>
        </w:rPr>
        <w:t xml:space="preserve"> CIDH. Informe No. 102/13. Caso 12.723. Fondo. TGGL. Ecuador, para.149. Cfr </w:t>
      </w:r>
      <w:hyperlink r:id="rId6" w:history="1">
        <w:r w:rsidRPr="00272635">
          <w:rPr>
            <w:rStyle w:val="Hyperlink"/>
            <w:rFonts w:asciiTheme="majorHAnsi" w:hAnsiTheme="majorHAnsi"/>
            <w:szCs w:val="16"/>
            <w:u w:val="none"/>
            <w:lang w:val="es-MX"/>
          </w:rPr>
          <w:t xml:space="preserve">Corte IDH. </w:t>
        </w:r>
        <w:r w:rsidRPr="00272635">
          <w:rPr>
            <w:rStyle w:val="Hyperlink"/>
            <w:rFonts w:asciiTheme="majorHAnsi" w:hAnsiTheme="majorHAnsi"/>
            <w:i/>
            <w:szCs w:val="16"/>
            <w:u w:val="none"/>
            <w:lang w:val="es-MX"/>
          </w:rPr>
          <w:t>Caso Forneron e hija Vs. Argentina.</w:t>
        </w:r>
        <w:r w:rsidRPr="00272635">
          <w:rPr>
            <w:rStyle w:val="Hyperlink"/>
            <w:rFonts w:asciiTheme="majorHAnsi" w:hAnsiTheme="majorHAnsi"/>
            <w:szCs w:val="16"/>
            <w:u w:val="none"/>
            <w:lang w:val="es-MX"/>
          </w:rPr>
          <w:t xml:space="preserve"> Fondo, Reparaciones y Costas. Sentencia de 27 de abril de 2012. Serie C No. 242</w:t>
        </w:r>
      </w:hyperlink>
      <w:r w:rsidRPr="00272635">
        <w:rPr>
          <w:rFonts w:asciiTheme="majorHAnsi" w:hAnsiTheme="majorHAnsi"/>
          <w:szCs w:val="16"/>
          <w:lang w:val="es-MX"/>
        </w:rPr>
        <w:t xml:space="preserve">, párr. 44; </w:t>
      </w:r>
      <w:hyperlink r:id="rId7" w:history="1">
        <w:r w:rsidRPr="00272635">
          <w:rPr>
            <w:rStyle w:val="Hyperlink"/>
            <w:rFonts w:asciiTheme="majorHAnsi" w:hAnsiTheme="majorHAnsi"/>
            <w:szCs w:val="16"/>
            <w:u w:val="none"/>
            <w:lang w:val="es-MX"/>
          </w:rPr>
          <w:t xml:space="preserve">Corte IDH. </w:t>
        </w:r>
        <w:r w:rsidRPr="00272635">
          <w:rPr>
            <w:rStyle w:val="Hyperlink"/>
            <w:rFonts w:asciiTheme="majorHAnsi" w:hAnsiTheme="majorHAnsi"/>
            <w:i/>
            <w:szCs w:val="16"/>
            <w:u w:val="none"/>
            <w:lang w:val="es-MX"/>
          </w:rPr>
          <w:t>Caso Furlan y Familiares Vs. Argentina.</w:t>
        </w:r>
        <w:r w:rsidRPr="00272635">
          <w:rPr>
            <w:rStyle w:val="Hyperlink"/>
            <w:rFonts w:asciiTheme="majorHAnsi" w:hAnsiTheme="majorHAnsi"/>
            <w:szCs w:val="16"/>
            <w:u w:val="none"/>
            <w:lang w:val="es-MX"/>
          </w:rPr>
          <w:t xml:space="preserve"> Excepciones Preliminares, Fondo, Reparaciones y Costas. Sentencia de 31 de agosto de 2012. Serie C No. 246</w:t>
        </w:r>
      </w:hyperlink>
      <w:r w:rsidRPr="00272635">
        <w:rPr>
          <w:rFonts w:asciiTheme="majorHAnsi" w:hAnsiTheme="majorHAnsi"/>
          <w:szCs w:val="16"/>
          <w:lang w:val="es-MX"/>
        </w:rPr>
        <w:t xml:space="preserve">, párr. 125.  </w:t>
      </w:r>
    </w:p>
  </w:footnote>
  <w:footnote w:id="115">
    <w:p w:rsidR="00CA05C6" w:rsidRPr="00711EED" w:rsidRDefault="00CA05C6" w:rsidP="008B3F9A">
      <w:pPr>
        <w:widowControl w:val="0"/>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
        </w:rPr>
      </w:pPr>
      <w:r w:rsidRPr="00272635">
        <w:rPr>
          <w:rFonts w:asciiTheme="majorHAnsi" w:hAnsiTheme="majorHAnsi"/>
          <w:sz w:val="16"/>
          <w:szCs w:val="16"/>
          <w:vertAlign w:val="superscript"/>
        </w:rPr>
        <w:footnoteRef/>
      </w:r>
      <w:r w:rsidRPr="00272635">
        <w:rPr>
          <w:rFonts w:asciiTheme="majorHAnsi" w:hAnsiTheme="majorHAnsi"/>
          <w:sz w:val="16"/>
          <w:szCs w:val="16"/>
          <w:lang w:val="es-MX"/>
        </w:rPr>
        <w:t xml:space="preserve"> CIDH. Informe No. 102/13. Caso 12.723. Fondo. TGGL. Ecuador, para. 150. Cfr </w:t>
      </w:r>
      <w:hyperlink r:id="rId8" w:history="1">
        <w:r w:rsidRPr="00272635">
          <w:rPr>
            <w:rFonts w:asciiTheme="majorHAnsi" w:hAnsiTheme="majorHAnsi"/>
            <w:sz w:val="16"/>
            <w:szCs w:val="16"/>
            <w:lang w:val="es-MX"/>
          </w:rPr>
          <w:t xml:space="preserve">Corte IDH. </w:t>
        </w:r>
        <w:r w:rsidRPr="00272635">
          <w:rPr>
            <w:rFonts w:asciiTheme="majorHAnsi" w:hAnsiTheme="majorHAnsi"/>
            <w:i/>
            <w:sz w:val="16"/>
            <w:szCs w:val="16"/>
            <w:lang w:val="es-MX"/>
          </w:rPr>
          <w:t>Caso Forneron e hija Vs. Argentina.</w:t>
        </w:r>
        <w:r w:rsidRPr="00272635">
          <w:rPr>
            <w:rFonts w:asciiTheme="majorHAnsi" w:hAnsiTheme="majorHAnsi"/>
            <w:sz w:val="16"/>
            <w:szCs w:val="16"/>
            <w:lang w:val="es-MX"/>
          </w:rPr>
          <w:t xml:space="preserve"> Fondo, Reparaciones y Costas. Sentencia de 27 de abril de 2012 Serie C No. 242</w:t>
        </w:r>
      </w:hyperlink>
      <w:r w:rsidRPr="00272635">
        <w:rPr>
          <w:rFonts w:asciiTheme="majorHAnsi" w:hAnsiTheme="majorHAnsi"/>
          <w:sz w:val="16"/>
          <w:szCs w:val="16"/>
          <w:lang w:val="es-MX"/>
        </w:rPr>
        <w:t>, párr</w:t>
      </w:r>
      <w:r w:rsidRPr="00272635">
        <w:rPr>
          <w:rFonts w:asciiTheme="majorHAnsi" w:hAnsiTheme="majorHAnsi" w:cs="Verdana"/>
          <w:i/>
          <w:iCs/>
          <w:color w:val="000000"/>
          <w:sz w:val="16"/>
          <w:szCs w:val="16"/>
          <w:lang w:val="es-ES"/>
        </w:rPr>
        <w:t xml:space="preserve">. </w:t>
      </w:r>
      <w:r w:rsidRPr="00272635">
        <w:rPr>
          <w:rFonts w:asciiTheme="majorHAnsi" w:hAnsiTheme="majorHAnsi" w:cs="Verdana"/>
          <w:iCs/>
          <w:color w:val="000000"/>
          <w:sz w:val="16"/>
          <w:szCs w:val="16"/>
          <w:lang w:val="es-ES"/>
        </w:rPr>
        <w:t xml:space="preserve">44; Corte IDH. </w:t>
      </w:r>
      <w:r w:rsidRPr="00272635">
        <w:rPr>
          <w:rFonts w:asciiTheme="majorHAnsi" w:hAnsiTheme="majorHAnsi" w:cs="Verdana"/>
          <w:i/>
          <w:iCs/>
          <w:sz w:val="16"/>
          <w:szCs w:val="16"/>
          <w:lang w:val="es-MX"/>
        </w:rPr>
        <w:t xml:space="preserve">Caso Gelman Vs. </w:t>
      </w:r>
      <w:r w:rsidRPr="00272635">
        <w:rPr>
          <w:rFonts w:asciiTheme="majorHAnsi" w:hAnsiTheme="majorHAnsi" w:cs="Verdana"/>
          <w:i/>
          <w:iCs/>
          <w:sz w:val="16"/>
          <w:szCs w:val="16"/>
          <w:lang w:val="es-ES"/>
        </w:rPr>
        <w:t>Uruguay</w:t>
      </w:r>
      <w:r w:rsidRPr="00272635">
        <w:rPr>
          <w:rFonts w:asciiTheme="majorHAnsi" w:hAnsiTheme="majorHAnsi" w:cs="Verdana"/>
          <w:iCs/>
          <w:sz w:val="16"/>
          <w:szCs w:val="16"/>
          <w:lang w:val="es-ES"/>
        </w:rPr>
        <w:t xml:space="preserve">. Fondo y Reparaciones. </w:t>
      </w:r>
      <w:r w:rsidRPr="00272635">
        <w:rPr>
          <w:rFonts w:asciiTheme="majorHAnsi" w:hAnsiTheme="majorHAnsi" w:cs="Verdana"/>
          <w:sz w:val="16"/>
          <w:szCs w:val="16"/>
          <w:lang w:val="es-ES"/>
        </w:rPr>
        <w:t xml:space="preserve">Sentencia de 24 de febrero de 2011 Serie C No. </w:t>
      </w:r>
      <w:r w:rsidRPr="00272635">
        <w:rPr>
          <w:rFonts w:asciiTheme="majorHAnsi" w:hAnsiTheme="majorHAnsi" w:cs="Verdana"/>
          <w:sz w:val="16"/>
          <w:szCs w:val="16"/>
          <w:lang w:val="es-MX"/>
        </w:rPr>
        <w:t>221, párr. 121.</w:t>
      </w:r>
    </w:p>
  </w:footnote>
  <w:footnote w:id="116">
    <w:p w:rsidR="00CA05C6" w:rsidRPr="00711EED" w:rsidRDefault="00CA05C6" w:rsidP="008B3F9A">
      <w:pPr>
        <w:pStyle w:val="FootnoteText"/>
        <w:jc w:val="both"/>
        <w:rPr>
          <w:lang w:val="es-ES"/>
        </w:rPr>
      </w:pPr>
      <w:r w:rsidRPr="00B74E3A">
        <w:rPr>
          <w:szCs w:val="16"/>
          <w:vertAlign w:val="superscript"/>
        </w:rPr>
        <w:footnoteRef/>
      </w:r>
      <w:r w:rsidRPr="00B74E3A">
        <w:rPr>
          <w:szCs w:val="16"/>
          <w:lang w:val="es-MX"/>
        </w:rPr>
        <w:t xml:space="preserve"> Corte IDH, </w:t>
      </w:r>
      <w:r w:rsidRPr="00B74E3A">
        <w:rPr>
          <w:i/>
          <w:szCs w:val="16"/>
          <w:lang w:val="es-MX"/>
        </w:rPr>
        <w:t>Caso Rosendo Cantú y Otra vs. México</w:t>
      </w:r>
      <w:r w:rsidRPr="00B74E3A">
        <w:rPr>
          <w:szCs w:val="16"/>
          <w:lang w:val="es-MX"/>
        </w:rPr>
        <w:t xml:space="preserve">. Excepción Preliminar, Fondo, Reparaciones y Costas. Sentencia de 31 de agosto de </w:t>
      </w:r>
      <w:r w:rsidRPr="00093038">
        <w:rPr>
          <w:szCs w:val="16"/>
          <w:lang w:val="es-MX"/>
        </w:rPr>
        <w:t>2010. Serie C No. 216, párr. 201.</w:t>
      </w:r>
    </w:p>
  </w:footnote>
  <w:footnote w:id="117">
    <w:p w:rsidR="00CA05C6" w:rsidRPr="00C558CA" w:rsidRDefault="00CA05C6" w:rsidP="008B3F9A">
      <w:pPr>
        <w:pStyle w:val="FootnoteText"/>
        <w:jc w:val="both"/>
        <w:rPr>
          <w:lang w:val="es-ES"/>
        </w:rPr>
      </w:pPr>
      <w:r>
        <w:rPr>
          <w:rStyle w:val="FootnoteReference"/>
        </w:rPr>
        <w:footnoteRef/>
      </w:r>
      <w:r w:rsidRPr="00C558CA">
        <w:rPr>
          <w:lang w:val="es-ES"/>
        </w:rPr>
        <w:t xml:space="preserve"> </w:t>
      </w:r>
      <w:r>
        <w:rPr>
          <w:lang w:val="es-ES"/>
        </w:rPr>
        <w:t>Convención sobre los derechos del niño. Resolución AG 44/25 de 20 de noviembre de 1989.</w:t>
      </w:r>
    </w:p>
  </w:footnote>
  <w:footnote w:id="118">
    <w:p w:rsidR="00CA05C6" w:rsidRPr="00E56FE7" w:rsidRDefault="00CA05C6" w:rsidP="008B3F9A">
      <w:pPr>
        <w:pStyle w:val="FootnoteText"/>
        <w:jc w:val="both"/>
        <w:rPr>
          <w:lang w:val="es-ES"/>
        </w:rPr>
      </w:pPr>
      <w:r>
        <w:rPr>
          <w:rStyle w:val="FootnoteReference"/>
        </w:rPr>
        <w:footnoteRef/>
      </w:r>
      <w:r w:rsidRPr="00E56FE7">
        <w:rPr>
          <w:lang w:val="es-ES"/>
        </w:rPr>
        <w:t xml:space="preserve"> </w:t>
      </w:r>
      <w:r>
        <w:rPr>
          <w:lang w:val="es-ES"/>
        </w:rPr>
        <w:t xml:space="preserve">Corte IDH. </w:t>
      </w:r>
      <w:r w:rsidRPr="00442090">
        <w:rPr>
          <w:bCs/>
          <w:lang w:val="es-ES"/>
        </w:rPr>
        <w:t>Condición jurídica y derechos humanos del niño. Opinión Consultiva OC-17/02 de 28 de agosto de 2002. Serie A No. 17.</w:t>
      </w:r>
      <w:r>
        <w:rPr>
          <w:bCs/>
          <w:lang w:val="es-ES"/>
        </w:rPr>
        <w:t xml:space="preserve"> </w:t>
      </w:r>
      <w:r>
        <w:rPr>
          <w:lang w:val="es-ES"/>
        </w:rPr>
        <w:t>Párr. 98.</w:t>
      </w:r>
    </w:p>
  </w:footnote>
  <w:footnote w:id="119">
    <w:p w:rsidR="00CA05C6" w:rsidRPr="00361C78" w:rsidRDefault="00CA05C6" w:rsidP="008B3F9A">
      <w:pPr>
        <w:tabs>
          <w:tab w:val="left" w:pos="720"/>
          <w:tab w:val="left" w:pos="900"/>
          <w:tab w:val="left" w:pos="1080"/>
        </w:tabs>
        <w:jc w:val="both"/>
        <w:rPr>
          <w:rFonts w:asciiTheme="majorHAnsi" w:hAnsiTheme="majorHAnsi"/>
          <w:sz w:val="16"/>
          <w:szCs w:val="16"/>
          <w:lang w:val="es-ES_tradnl"/>
        </w:rPr>
      </w:pPr>
      <w:r w:rsidRPr="00361C78">
        <w:rPr>
          <w:rStyle w:val="FootnoteReference"/>
          <w:rFonts w:asciiTheme="majorHAnsi" w:hAnsiTheme="majorHAnsi" w:cs="Arial"/>
          <w:sz w:val="16"/>
          <w:szCs w:val="16"/>
          <w:lang w:val="es-SV"/>
        </w:rPr>
        <w:footnoteRef/>
      </w:r>
      <w:r w:rsidRPr="00361C78">
        <w:rPr>
          <w:rFonts w:asciiTheme="majorHAnsi" w:hAnsiTheme="majorHAnsi" w:cs="Arial"/>
          <w:sz w:val="16"/>
          <w:szCs w:val="16"/>
          <w:lang w:val="es-CL"/>
        </w:rPr>
        <w:t xml:space="preserve"> </w:t>
      </w:r>
      <w:r w:rsidRPr="00361C78">
        <w:rPr>
          <w:rFonts w:asciiTheme="majorHAnsi" w:hAnsiTheme="majorHAnsi"/>
          <w:sz w:val="16"/>
          <w:szCs w:val="16"/>
          <w:lang w:val="es-CO"/>
        </w:rPr>
        <w:t xml:space="preserve">CIDH. Informe No. 11/10. Caso 12.488. Fondo. Miembros de la Familia Barrios. Venezuela. 16 de marzo de 2010. 91. </w:t>
      </w:r>
      <w:r w:rsidRPr="00361C78">
        <w:rPr>
          <w:rFonts w:asciiTheme="majorHAnsi" w:hAnsiTheme="majorHAnsi"/>
          <w:sz w:val="16"/>
          <w:szCs w:val="16"/>
          <w:lang w:val="es-ES_tradnl"/>
        </w:rPr>
        <w:t xml:space="preserve">CIDH. Informe sobre Terrorismo y Derechos Humanos. Párr. 227; </w:t>
      </w:r>
      <w:r w:rsidRPr="00A71266">
        <w:rPr>
          <w:rFonts w:asciiTheme="majorHAnsi" w:hAnsiTheme="majorHAnsi"/>
          <w:bCs/>
          <w:sz w:val="16"/>
          <w:szCs w:val="16"/>
          <w:lang w:val="es-ES"/>
        </w:rPr>
        <w:t>Corte IDH. Caso Poblete Vilches y otros Vs. Chile. Fondo, Reparaciones y Costas. Sentencia de 8 de</w:t>
      </w:r>
      <w:r>
        <w:rPr>
          <w:rFonts w:asciiTheme="majorHAnsi" w:hAnsiTheme="majorHAnsi"/>
          <w:bCs/>
          <w:sz w:val="16"/>
          <w:szCs w:val="16"/>
          <w:lang w:val="es-ES"/>
        </w:rPr>
        <w:t xml:space="preserve"> marzo de 2018. Serie C No. 349. párr. 201; </w:t>
      </w:r>
      <w:r w:rsidRPr="00361C78">
        <w:rPr>
          <w:rFonts w:asciiTheme="majorHAnsi" w:hAnsiTheme="majorHAnsi" w:cs="Arial"/>
          <w:sz w:val="16"/>
          <w:szCs w:val="16"/>
          <w:lang w:val="es-ES_tradnl"/>
        </w:rPr>
        <w:t xml:space="preserve">Corte IDH. </w:t>
      </w:r>
      <w:r w:rsidRPr="00361C78">
        <w:rPr>
          <w:rFonts w:asciiTheme="majorHAnsi" w:hAnsiTheme="majorHAnsi" w:cs="Arial"/>
          <w:bCs/>
          <w:sz w:val="16"/>
          <w:szCs w:val="16"/>
          <w:lang w:val="es-ES_tradnl"/>
        </w:rPr>
        <w:t xml:space="preserve">Caso Cantoral Huamaní y García Santa Cruz Vs. Perú. </w:t>
      </w:r>
      <w:r w:rsidRPr="00361C78">
        <w:rPr>
          <w:rFonts w:asciiTheme="majorHAnsi" w:hAnsiTheme="majorHAnsi" w:cs="Arial"/>
          <w:sz w:val="16"/>
          <w:szCs w:val="16"/>
          <w:lang w:val="es-ES_tradnl"/>
        </w:rPr>
        <w:t xml:space="preserve">Excepción Preliminar, Fondo, Reparaciones y Costas. Sentencia de 10 de julio de 2007. Serie C No. 167. </w:t>
      </w:r>
      <w:r w:rsidRPr="00361C78">
        <w:rPr>
          <w:rFonts w:asciiTheme="majorHAnsi" w:hAnsiTheme="majorHAnsi" w:cs="Arial"/>
          <w:sz w:val="16"/>
          <w:szCs w:val="16"/>
          <w:lang w:val="es-CL"/>
        </w:rPr>
        <w:t xml:space="preserve">párr. 112; </w:t>
      </w:r>
      <w:r w:rsidRPr="00361C78">
        <w:rPr>
          <w:rFonts w:asciiTheme="majorHAnsi" w:hAnsiTheme="majorHAnsi" w:cs="Arial"/>
          <w:sz w:val="16"/>
          <w:szCs w:val="16"/>
          <w:lang w:val="es-ES_tradnl"/>
        </w:rPr>
        <w:t xml:space="preserve">y Caso Bueno Alves Vs. Argentina. Fondo, Reparaciones y Costas. </w:t>
      </w:r>
      <w:r w:rsidRPr="00361C78">
        <w:rPr>
          <w:rFonts w:asciiTheme="majorHAnsi" w:hAnsiTheme="majorHAnsi" w:cs="Arial"/>
          <w:sz w:val="16"/>
          <w:szCs w:val="16"/>
          <w:lang w:val="es-ES"/>
        </w:rPr>
        <w:t xml:space="preserve">Sentencia de 11 de mayo de 2007. Serie C. No. 164. </w:t>
      </w:r>
      <w:r w:rsidRPr="00361C78">
        <w:rPr>
          <w:rFonts w:asciiTheme="majorHAnsi" w:hAnsiTheme="majorHAnsi" w:cs="Arial"/>
          <w:sz w:val="16"/>
          <w:szCs w:val="16"/>
          <w:lang w:val="es-ES_tradnl"/>
        </w:rPr>
        <w:t>párr. 102.</w:t>
      </w:r>
      <w:r w:rsidRPr="00361C78">
        <w:rPr>
          <w:rFonts w:asciiTheme="majorHAnsi" w:hAnsiTheme="majorHAnsi" w:cs="Arial"/>
          <w:sz w:val="16"/>
          <w:szCs w:val="16"/>
          <w:lang w:val="es-CL"/>
        </w:rPr>
        <w:t xml:space="preserve"> </w:t>
      </w:r>
    </w:p>
  </w:footnote>
  <w:footnote w:id="120">
    <w:p w:rsidR="00CA05C6" w:rsidRPr="00361C78" w:rsidRDefault="00CA05C6" w:rsidP="008B3F9A">
      <w:pPr>
        <w:tabs>
          <w:tab w:val="left" w:pos="720"/>
          <w:tab w:val="left" w:pos="900"/>
          <w:tab w:val="left" w:pos="1080"/>
        </w:tabs>
        <w:jc w:val="both"/>
        <w:rPr>
          <w:rFonts w:asciiTheme="majorHAnsi" w:hAnsiTheme="majorHAnsi"/>
          <w:sz w:val="16"/>
          <w:szCs w:val="16"/>
          <w:lang w:val="es-ES_tradnl"/>
        </w:rPr>
      </w:pPr>
      <w:r w:rsidRPr="00361C78">
        <w:rPr>
          <w:rStyle w:val="FootnoteReference"/>
          <w:rFonts w:asciiTheme="majorHAnsi" w:hAnsiTheme="majorHAnsi" w:cs="Arial"/>
          <w:sz w:val="16"/>
          <w:szCs w:val="16"/>
          <w:lang w:val="es-SV"/>
        </w:rPr>
        <w:footnoteRef/>
      </w:r>
      <w:r w:rsidRPr="00361C78">
        <w:rPr>
          <w:rFonts w:asciiTheme="majorHAnsi" w:hAnsiTheme="majorHAnsi" w:cs="Arial"/>
          <w:sz w:val="16"/>
          <w:szCs w:val="16"/>
          <w:lang w:val="es-ES"/>
        </w:rPr>
        <w:t xml:space="preserve"> </w:t>
      </w:r>
      <w:r w:rsidRPr="00361C78">
        <w:rPr>
          <w:rFonts w:asciiTheme="majorHAnsi" w:hAnsiTheme="majorHAnsi" w:cs="Arial"/>
          <w:sz w:val="16"/>
          <w:szCs w:val="16"/>
          <w:lang w:val="es-ES_tradnl"/>
        </w:rPr>
        <w:t xml:space="preserve">Corte IDH. </w:t>
      </w:r>
      <w:r w:rsidRPr="00361C78">
        <w:rPr>
          <w:rFonts w:asciiTheme="majorHAnsi" w:hAnsiTheme="majorHAnsi" w:cs="Arial"/>
          <w:bCs/>
          <w:sz w:val="16"/>
          <w:szCs w:val="16"/>
          <w:lang w:val="es-ES_tradnl"/>
        </w:rPr>
        <w:t xml:space="preserve">Caso Cantoral Huamaní y García Santa Cruz Vs. Perú. </w:t>
      </w:r>
      <w:r w:rsidRPr="00361C78">
        <w:rPr>
          <w:rFonts w:asciiTheme="majorHAnsi" w:hAnsiTheme="majorHAnsi" w:cs="Arial"/>
          <w:sz w:val="16"/>
          <w:szCs w:val="16"/>
          <w:lang w:val="es-ES_tradnl"/>
        </w:rPr>
        <w:t xml:space="preserve">Excepción Preliminar, Fondo, Reparaciones y Costas. Sentencia de 10 de julio de 2007. Serie C No. 167. </w:t>
      </w:r>
      <w:r w:rsidRPr="00361C78">
        <w:rPr>
          <w:rFonts w:asciiTheme="majorHAnsi" w:hAnsiTheme="majorHAnsi" w:cs="Arial"/>
          <w:sz w:val="16"/>
          <w:szCs w:val="16"/>
          <w:lang w:val="es-CL"/>
        </w:rPr>
        <w:t>párr.</w:t>
      </w:r>
      <w:r w:rsidRPr="00361C78">
        <w:rPr>
          <w:rFonts w:asciiTheme="majorHAnsi" w:hAnsiTheme="majorHAnsi" w:cs="Arial"/>
          <w:sz w:val="16"/>
          <w:szCs w:val="16"/>
          <w:lang w:val="es-ES"/>
        </w:rPr>
        <w:t xml:space="preserve"> 112; </w:t>
      </w:r>
      <w:r w:rsidRPr="00361C78">
        <w:rPr>
          <w:rFonts w:asciiTheme="majorHAnsi" w:hAnsiTheme="majorHAnsi" w:cs="Arial"/>
          <w:sz w:val="16"/>
          <w:szCs w:val="16"/>
          <w:lang w:val="es-ES_tradnl"/>
        </w:rPr>
        <w:t xml:space="preserve">y Caso Vargas Areco Vs. Paraguay. Sentencia de 26 de septiembre de 2006. Serie C No. 155. párr. </w:t>
      </w:r>
      <w:r w:rsidRPr="00361C78">
        <w:rPr>
          <w:rFonts w:asciiTheme="majorHAnsi" w:hAnsiTheme="majorHAnsi" w:cs="Arial"/>
          <w:sz w:val="16"/>
          <w:szCs w:val="16"/>
          <w:lang w:val="es-ES"/>
        </w:rPr>
        <w:t>96.</w:t>
      </w:r>
    </w:p>
  </w:footnote>
  <w:footnote w:id="121">
    <w:p w:rsidR="00CA05C6" w:rsidRPr="00901289" w:rsidRDefault="00CA05C6" w:rsidP="008B3F9A">
      <w:pPr>
        <w:pStyle w:val="FootnoteText"/>
        <w:jc w:val="both"/>
        <w:rPr>
          <w:lang w:val="es-ES"/>
        </w:rPr>
      </w:pPr>
      <w:r>
        <w:rPr>
          <w:rStyle w:val="FootnoteReference"/>
        </w:rPr>
        <w:footnoteRef/>
      </w:r>
      <w:r w:rsidRPr="00901289">
        <w:rPr>
          <w:lang w:val="es-ES"/>
        </w:rPr>
        <w:t xml:space="preserve"> </w:t>
      </w:r>
      <w:r w:rsidRPr="00A71266">
        <w:rPr>
          <w:rFonts w:asciiTheme="majorHAnsi" w:hAnsiTheme="majorHAnsi"/>
          <w:bCs/>
          <w:szCs w:val="16"/>
          <w:lang w:val="es-ES"/>
        </w:rPr>
        <w:t>Corte IDH. Caso Poblete Vilches y otros Vs. Chile. Fondo, Reparaciones y Costas. Sentencia de 8 de</w:t>
      </w:r>
      <w:r>
        <w:rPr>
          <w:rFonts w:asciiTheme="majorHAnsi" w:hAnsiTheme="majorHAnsi"/>
          <w:bCs/>
          <w:szCs w:val="16"/>
          <w:lang w:val="es-ES"/>
        </w:rPr>
        <w:t xml:space="preserve"> marzo de 2018. Serie C No. 349. párr. 203.</w:t>
      </w:r>
    </w:p>
  </w:footnote>
  <w:footnote w:id="122">
    <w:p w:rsidR="00CA05C6" w:rsidRPr="00DD4F2B" w:rsidRDefault="00CA05C6" w:rsidP="008B3F9A">
      <w:pPr>
        <w:pStyle w:val="FootnoteText"/>
        <w:jc w:val="both"/>
        <w:rPr>
          <w:lang w:val="es-ES"/>
        </w:rPr>
      </w:pPr>
      <w:r>
        <w:rPr>
          <w:rStyle w:val="FootnoteReference"/>
        </w:rPr>
        <w:footnoteRef/>
      </w:r>
      <w:r w:rsidRPr="00DD4F2B">
        <w:rPr>
          <w:lang w:val="es-ES_tradnl"/>
        </w:rPr>
        <w:t xml:space="preserve"> </w:t>
      </w:r>
      <w:r w:rsidRPr="001F07F1">
        <w:rPr>
          <w:lang w:val="es-ES"/>
        </w:rPr>
        <w:t xml:space="preserve">Anexo </w:t>
      </w:r>
      <w:r>
        <w:rPr>
          <w:lang w:val="es-ES"/>
        </w:rPr>
        <w:t>6</w:t>
      </w:r>
      <w:r w:rsidRPr="001F07F1">
        <w:rPr>
          <w:lang w:val="es-ES"/>
        </w:rPr>
        <w:t xml:space="preserve">. </w:t>
      </w:r>
      <w:r>
        <w:rPr>
          <w:lang w:val="es-ES"/>
        </w:rPr>
        <w:t>informe psicológico de la psicóloga clínica Carola Fernández de 3 de marzo de 2016. Anexo al e</w:t>
      </w:r>
      <w:r w:rsidRPr="001F07F1">
        <w:rPr>
          <w:lang w:val="es-ES"/>
        </w:rPr>
        <w:t>scrito de la parte peticionaria de 6 de marzo de 2017.</w:t>
      </w:r>
    </w:p>
  </w:footnote>
  <w:footnote w:id="123">
    <w:p w:rsidR="00CA05C6" w:rsidRPr="00E33797" w:rsidRDefault="00CA05C6" w:rsidP="008B3F9A">
      <w:pPr>
        <w:pStyle w:val="FootnoteText"/>
        <w:jc w:val="both"/>
        <w:rPr>
          <w:lang w:val="es-ES"/>
        </w:rPr>
      </w:pPr>
      <w:r>
        <w:rPr>
          <w:rStyle w:val="FootnoteReference"/>
        </w:rPr>
        <w:footnoteRef/>
      </w:r>
      <w:r w:rsidRPr="00E33797">
        <w:rPr>
          <w:lang w:val="es-ES"/>
        </w:rPr>
        <w:t xml:space="preserve"> </w:t>
      </w:r>
      <w:r w:rsidRPr="00A71266">
        <w:rPr>
          <w:rFonts w:asciiTheme="majorHAnsi" w:hAnsiTheme="majorHAnsi"/>
          <w:bCs/>
          <w:szCs w:val="16"/>
          <w:lang w:val="es-ES"/>
        </w:rPr>
        <w:t xml:space="preserve">Corte IDH. </w:t>
      </w:r>
      <w:r w:rsidRPr="009B007A">
        <w:rPr>
          <w:rFonts w:asciiTheme="majorHAnsi" w:hAnsiTheme="majorHAnsi"/>
          <w:bCs/>
          <w:i/>
          <w:szCs w:val="16"/>
          <w:lang w:val="es-ES"/>
        </w:rPr>
        <w:t>Caso Poblete Vilches y otros Vs. Chile</w:t>
      </w:r>
      <w:r w:rsidRPr="00A71266">
        <w:rPr>
          <w:rFonts w:asciiTheme="majorHAnsi" w:hAnsiTheme="majorHAnsi"/>
          <w:bCs/>
          <w:szCs w:val="16"/>
          <w:lang w:val="es-ES"/>
        </w:rPr>
        <w:t>. Fondo, Reparaciones y Costas. Sentencia de 8 de</w:t>
      </w:r>
      <w:r>
        <w:rPr>
          <w:rFonts w:asciiTheme="majorHAnsi" w:hAnsiTheme="majorHAnsi"/>
          <w:bCs/>
          <w:szCs w:val="16"/>
          <w:lang w:val="es-ES"/>
        </w:rPr>
        <w:t xml:space="preserve"> marzo de 2018. Serie C No. 349. párr. 208.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C6" w:rsidRDefault="00CA05C6" w:rsidP="00795A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A05C6" w:rsidRDefault="00CA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C6" w:rsidRDefault="00CA05C6" w:rsidP="00A50FCF">
    <w:pPr>
      <w:pStyle w:val="Header"/>
      <w:tabs>
        <w:tab w:val="clear" w:pos="4320"/>
        <w:tab w:val="clear" w:pos="8640"/>
      </w:tabs>
      <w:jc w:val="center"/>
      <w:rPr>
        <w:sz w:val="22"/>
        <w:szCs w:val="22"/>
      </w:rPr>
    </w:pPr>
    <w:r>
      <w:rPr>
        <w:noProof/>
        <w:sz w:val="22"/>
        <w:szCs w:val="22"/>
      </w:rPr>
      <w:drawing>
        <wp:inline distT="0" distB="0" distL="0" distR="0" wp14:anchorId="5BD09615" wp14:editId="6C1A993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A05C6" w:rsidRPr="00EC7D62" w:rsidRDefault="006C2F5A" w:rsidP="00A50FCF">
    <w:pPr>
      <w:pStyle w:val="Header"/>
      <w:tabs>
        <w:tab w:val="clear" w:pos="4320"/>
        <w:tab w:val="clear" w:pos="8640"/>
      </w:tabs>
      <w:jc w:val="center"/>
      <w:rPr>
        <w:sz w:val="22"/>
        <w:szCs w:val="22"/>
      </w:rPr>
    </w:pPr>
    <w:r>
      <w:rPr>
        <w:sz w:val="22"/>
        <w:szCs w:val="22"/>
      </w:rPr>
      <w:pict w14:anchorId="5373C66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304"/>
    <w:multiLevelType w:val="hybridMultilevel"/>
    <w:tmpl w:val="CB0E75EA"/>
    <w:lvl w:ilvl="0" w:tplc="F45624A4">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6C6EBF"/>
    <w:multiLevelType w:val="hybridMultilevel"/>
    <w:tmpl w:val="CE845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2C5E2C"/>
    <w:multiLevelType w:val="hybridMultilevel"/>
    <w:tmpl w:val="1CCE8AD4"/>
    <w:lvl w:ilvl="0" w:tplc="005C1C2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681F10"/>
    <w:multiLevelType w:val="hybridMultilevel"/>
    <w:tmpl w:val="41F4A2C8"/>
    <w:lvl w:ilvl="0" w:tplc="529A4590">
      <w:start w:val="1"/>
      <w:numFmt w:val="decimal"/>
      <w:lvlText w:val="%1."/>
      <w:lvlJc w:val="left"/>
      <w:pPr>
        <w:ind w:left="1335" w:hanging="705"/>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D69CA88C"/>
    <w:lvl w:ilvl="0" w:tplc="66705476">
      <w:start w:val="1"/>
      <w:numFmt w:val="decimal"/>
      <w:lvlText w:val="%1."/>
      <w:lvlJc w:val="left"/>
      <w:pPr>
        <w:ind w:left="198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D3610CE"/>
    <w:multiLevelType w:val="hybridMultilevel"/>
    <w:tmpl w:val="CE845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50BCA1C8"/>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0"/>
  </w:num>
  <w:num w:numId="5">
    <w:abstractNumId w:val="47"/>
  </w:num>
  <w:num w:numId="6">
    <w:abstractNumId w:val="26"/>
  </w:num>
  <w:num w:numId="7">
    <w:abstractNumId w:val="6"/>
  </w:num>
  <w:num w:numId="8">
    <w:abstractNumId w:val="16"/>
  </w:num>
  <w:num w:numId="9">
    <w:abstractNumId w:val="41"/>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0"/>
  </w:num>
  <w:num w:numId="53">
    <w:abstractNumId w:val="51"/>
  </w:num>
  <w:num w:numId="54">
    <w:abstractNumId w:val="44"/>
  </w:num>
  <w:num w:numId="55">
    <w:abstractNumId w:val="45"/>
  </w:num>
  <w:num w:numId="56">
    <w:abstractNumId w:val="42"/>
  </w:num>
  <w:num w:numId="57">
    <w:abstractNumId w:val="21"/>
  </w:num>
  <w:num w:numId="58">
    <w:abstractNumId w:val="49"/>
  </w:num>
  <w:num w:numId="59">
    <w:abstractNumId w:val="27"/>
  </w:num>
  <w:num w:numId="60">
    <w:abstractNumId w:val="0"/>
  </w:num>
  <w:num w:numId="61">
    <w:abstractNumId w:val="0"/>
    <w:lvlOverride w:ilvl="0">
      <w:startOverride w:val="1"/>
    </w:lvlOverride>
  </w:num>
  <w:num w:numId="62">
    <w:abstractNumId w:val="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DF3"/>
    <w:rsid w:val="00006896"/>
    <w:rsid w:val="00006E1F"/>
    <w:rsid w:val="000070D7"/>
    <w:rsid w:val="0001103A"/>
    <w:rsid w:val="00012FAB"/>
    <w:rsid w:val="000158FD"/>
    <w:rsid w:val="0001788C"/>
    <w:rsid w:val="00022308"/>
    <w:rsid w:val="00022496"/>
    <w:rsid w:val="00022BE4"/>
    <w:rsid w:val="00022C79"/>
    <w:rsid w:val="00024EDA"/>
    <w:rsid w:val="000313AC"/>
    <w:rsid w:val="00032247"/>
    <w:rsid w:val="0003324F"/>
    <w:rsid w:val="000348F3"/>
    <w:rsid w:val="00036791"/>
    <w:rsid w:val="00040C3A"/>
    <w:rsid w:val="00042373"/>
    <w:rsid w:val="00043E3E"/>
    <w:rsid w:val="000517BC"/>
    <w:rsid w:val="00052EB4"/>
    <w:rsid w:val="000538E9"/>
    <w:rsid w:val="0006051B"/>
    <w:rsid w:val="000618B7"/>
    <w:rsid w:val="000632F8"/>
    <w:rsid w:val="000660E7"/>
    <w:rsid w:val="00067A5D"/>
    <w:rsid w:val="000716C5"/>
    <w:rsid w:val="0007262C"/>
    <w:rsid w:val="00072ED2"/>
    <w:rsid w:val="00075E23"/>
    <w:rsid w:val="00075E3A"/>
    <w:rsid w:val="00086EFE"/>
    <w:rsid w:val="000872D8"/>
    <w:rsid w:val="0008768F"/>
    <w:rsid w:val="00090F6B"/>
    <w:rsid w:val="00092DAA"/>
    <w:rsid w:val="0009344A"/>
    <w:rsid w:val="000935B2"/>
    <w:rsid w:val="00094EA0"/>
    <w:rsid w:val="0009798E"/>
    <w:rsid w:val="000A0FBE"/>
    <w:rsid w:val="000A1A22"/>
    <w:rsid w:val="000A1FBC"/>
    <w:rsid w:val="000A235A"/>
    <w:rsid w:val="000A3398"/>
    <w:rsid w:val="000A392E"/>
    <w:rsid w:val="000A575F"/>
    <w:rsid w:val="000A576A"/>
    <w:rsid w:val="000A6AEB"/>
    <w:rsid w:val="000A6F53"/>
    <w:rsid w:val="000A70B2"/>
    <w:rsid w:val="000B7002"/>
    <w:rsid w:val="000C57B3"/>
    <w:rsid w:val="000D10DB"/>
    <w:rsid w:val="000D1948"/>
    <w:rsid w:val="000D2A3E"/>
    <w:rsid w:val="000D2FFD"/>
    <w:rsid w:val="000D39BB"/>
    <w:rsid w:val="000D5AAA"/>
    <w:rsid w:val="000D78C1"/>
    <w:rsid w:val="000E0331"/>
    <w:rsid w:val="000E5EB5"/>
    <w:rsid w:val="000F0D06"/>
    <w:rsid w:val="000F31B7"/>
    <w:rsid w:val="000F35ED"/>
    <w:rsid w:val="0010127D"/>
    <w:rsid w:val="00107131"/>
    <w:rsid w:val="0010736F"/>
    <w:rsid w:val="00110F1F"/>
    <w:rsid w:val="00113F73"/>
    <w:rsid w:val="00120762"/>
    <w:rsid w:val="001211D1"/>
    <w:rsid w:val="00121BC7"/>
    <w:rsid w:val="00121CC2"/>
    <w:rsid w:val="00122107"/>
    <w:rsid w:val="0012455F"/>
    <w:rsid w:val="00130A11"/>
    <w:rsid w:val="00133EE5"/>
    <w:rsid w:val="00141440"/>
    <w:rsid w:val="00151147"/>
    <w:rsid w:val="0015583C"/>
    <w:rsid w:val="00155C48"/>
    <w:rsid w:val="00156A7F"/>
    <w:rsid w:val="0016411B"/>
    <w:rsid w:val="00166189"/>
    <w:rsid w:val="00166B77"/>
    <w:rsid w:val="00167A34"/>
    <w:rsid w:val="001714F1"/>
    <w:rsid w:val="001763A1"/>
    <w:rsid w:val="00177E17"/>
    <w:rsid w:val="00181F34"/>
    <w:rsid w:val="00184CCA"/>
    <w:rsid w:val="00184EF4"/>
    <w:rsid w:val="00186633"/>
    <w:rsid w:val="001869D4"/>
    <w:rsid w:val="00191FD7"/>
    <w:rsid w:val="00193FB2"/>
    <w:rsid w:val="00194110"/>
    <w:rsid w:val="001A107B"/>
    <w:rsid w:val="001A7870"/>
    <w:rsid w:val="001A787D"/>
    <w:rsid w:val="001B296D"/>
    <w:rsid w:val="001B2D4F"/>
    <w:rsid w:val="001B2EF5"/>
    <w:rsid w:val="001B344F"/>
    <w:rsid w:val="001B4D6D"/>
    <w:rsid w:val="001B5ED4"/>
    <w:rsid w:val="001C103F"/>
    <w:rsid w:val="001C1B41"/>
    <w:rsid w:val="001C3BC2"/>
    <w:rsid w:val="001C4B42"/>
    <w:rsid w:val="001C70B7"/>
    <w:rsid w:val="001D18C7"/>
    <w:rsid w:val="001D251F"/>
    <w:rsid w:val="001D2E04"/>
    <w:rsid w:val="001D3585"/>
    <w:rsid w:val="001D65EF"/>
    <w:rsid w:val="001D6B90"/>
    <w:rsid w:val="001D7432"/>
    <w:rsid w:val="001E11B2"/>
    <w:rsid w:val="001E15B6"/>
    <w:rsid w:val="001E4CD9"/>
    <w:rsid w:val="001E75EC"/>
    <w:rsid w:val="001E7A13"/>
    <w:rsid w:val="001F07F1"/>
    <w:rsid w:val="001F1550"/>
    <w:rsid w:val="001F3157"/>
    <w:rsid w:val="001F4E48"/>
    <w:rsid w:val="001F7552"/>
    <w:rsid w:val="001F7F33"/>
    <w:rsid w:val="00201EBF"/>
    <w:rsid w:val="00204B61"/>
    <w:rsid w:val="00210165"/>
    <w:rsid w:val="00213D17"/>
    <w:rsid w:val="0021468D"/>
    <w:rsid w:val="00214C2F"/>
    <w:rsid w:val="002156C8"/>
    <w:rsid w:val="00216A5C"/>
    <w:rsid w:val="00221DE3"/>
    <w:rsid w:val="002250A3"/>
    <w:rsid w:val="00235217"/>
    <w:rsid w:val="00235863"/>
    <w:rsid w:val="00237433"/>
    <w:rsid w:val="002374F0"/>
    <w:rsid w:val="00246217"/>
    <w:rsid w:val="00246D1F"/>
    <w:rsid w:val="00247403"/>
    <w:rsid w:val="00247542"/>
    <w:rsid w:val="002504B4"/>
    <w:rsid w:val="00251D49"/>
    <w:rsid w:val="00253052"/>
    <w:rsid w:val="0025331D"/>
    <w:rsid w:val="00254D3A"/>
    <w:rsid w:val="0025612A"/>
    <w:rsid w:val="00261228"/>
    <w:rsid w:val="00263EF0"/>
    <w:rsid w:val="00266B61"/>
    <w:rsid w:val="0026712A"/>
    <w:rsid w:val="002704DB"/>
    <w:rsid w:val="00272635"/>
    <w:rsid w:val="002753CB"/>
    <w:rsid w:val="00276DF8"/>
    <w:rsid w:val="002772D9"/>
    <w:rsid w:val="00277EF9"/>
    <w:rsid w:val="002827DD"/>
    <w:rsid w:val="002853D6"/>
    <w:rsid w:val="00285FD7"/>
    <w:rsid w:val="00295144"/>
    <w:rsid w:val="002A0AAE"/>
    <w:rsid w:val="002A12A5"/>
    <w:rsid w:val="002A13C1"/>
    <w:rsid w:val="002A1ECA"/>
    <w:rsid w:val="002A4555"/>
    <w:rsid w:val="002A5820"/>
    <w:rsid w:val="002A7B7D"/>
    <w:rsid w:val="002B3C77"/>
    <w:rsid w:val="002B59CC"/>
    <w:rsid w:val="002C3E77"/>
    <w:rsid w:val="002D1FE5"/>
    <w:rsid w:val="002D2B26"/>
    <w:rsid w:val="002D43E9"/>
    <w:rsid w:val="002D7EA2"/>
    <w:rsid w:val="002E187C"/>
    <w:rsid w:val="002E22AA"/>
    <w:rsid w:val="002E3CDE"/>
    <w:rsid w:val="002E4AEA"/>
    <w:rsid w:val="002E7679"/>
    <w:rsid w:val="002F3E7A"/>
    <w:rsid w:val="002F5950"/>
    <w:rsid w:val="002F63A2"/>
    <w:rsid w:val="002F6E18"/>
    <w:rsid w:val="00300C86"/>
    <w:rsid w:val="0030224F"/>
    <w:rsid w:val="00302733"/>
    <w:rsid w:val="00303D52"/>
    <w:rsid w:val="00307456"/>
    <w:rsid w:val="00307ABC"/>
    <w:rsid w:val="003112E1"/>
    <w:rsid w:val="00314078"/>
    <w:rsid w:val="0031535D"/>
    <w:rsid w:val="00315B04"/>
    <w:rsid w:val="00315F3D"/>
    <w:rsid w:val="00322BE5"/>
    <w:rsid w:val="003232F3"/>
    <w:rsid w:val="00324887"/>
    <w:rsid w:val="003277CF"/>
    <w:rsid w:val="0033028D"/>
    <w:rsid w:val="003308BB"/>
    <w:rsid w:val="0033169F"/>
    <w:rsid w:val="00337EFE"/>
    <w:rsid w:val="0034255C"/>
    <w:rsid w:val="00343272"/>
    <w:rsid w:val="00346C95"/>
    <w:rsid w:val="00352594"/>
    <w:rsid w:val="00354E79"/>
    <w:rsid w:val="00356185"/>
    <w:rsid w:val="00360380"/>
    <w:rsid w:val="00361415"/>
    <w:rsid w:val="00365872"/>
    <w:rsid w:val="00365DC7"/>
    <w:rsid w:val="00373D69"/>
    <w:rsid w:val="00374DD1"/>
    <w:rsid w:val="0037519E"/>
    <w:rsid w:val="0037609C"/>
    <w:rsid w:val="0038475E"/>
    <w:rsid w:val="00386CF0"/>
    <w:rsid w:val="00386D2D"/>
    <w:rsid w:val="0039034B"/>
    <w:rsid w:val="00390F68"/>
    <w:rsid w:val="00392FED"/>
    <w:rsid w:val="00394072"/>
    <w:rsid w:val="00394F64"/>
    <w:rsid w:val="00397959"/>
    <w:rsid w:val="003A0A58"/>
    <w:rsid w:val="003A1175"/>
    <w:rsid w:val="003A55AE"/>
    <w:rsid w:val="003A796E"/>
    <w:rsid w:val="003B1BA4"/>
    <w:rsid w:val="003B5318"/>
    <w:rsid w:val="003C00D5"/>
    <w:rsid w:val="003C30CC"/>
    <w:rsid w:val="003C5147"/>
    <w:rsid w:val="003C676B"/>
    <w:rsid w:val="003D074B"/>
    <w:rsid w:val="003D138A"/>
    <w:rsid w:val="003D289E"/>
    <w:rsid w:val="003D3BC2"/>
    <w:rsid w:val="003D46C7"/>
    <w:rsid w:val="003D5F40"/>
    <w:rsid w:val="003D67C7"/>
    <w:rsid w:val="003D7C03"/>
    <w:rsid w:val="003E3ABC"/>
    <w:rsid w:val="003E4030"/>
    <w:rsid w:val="003E432F"/>
    <w:rsid w:val="003E5B4A"/>
    <w:rsid w:val="003E5CC7"/>
    <w:rsid w:val="003E6CA1"/>
    <w:rsid w:val="003F0638"/>
    <w:rsid w:val="003F4FA6"/>
    <w:rsid w:val="003F5D46"/>
    <w:rsid w:val="003F73BC"/>
    <w:rsid w:val="00400AE0"/>
    <w:rsid w:val="004029E2"/>
    <w:rsid w:val="00403921"/>
    <w:rsid w:val="00403B27"/>
    <w:rsid w:val="00403F57"/>
    <w:rsid w:val="00406B44"/>
    <w:rsid w:val="00413CCE"/>
    <w:rsid w:val="004165C2"/>
    <w:rsid w:val="004178F5"/>
    <w:rsid w:val="00423718"/>
    <w:rsid w:val="00426114"/>
    <w:rsid w:val="0043294B"/>
    <w:rsid w:val="00434DA4"/>
    <w:rsid w:val="00437655"/>
    <w:rsid w:val="00437777"/>
    <w:rsid w:val="00441ECB"/>
    <w:rsid w:val="00442090"/>
    <w:rsid w:val="004437FA"/>
    <w:rsid w:val="00443EC5"/>
    <w:rsid w:val="004471C7"/>
    <w:rsid w:val="00460348"/>
    <w:rsid w:val="0046524E"/>
    <w:rsid w:val="00467B7E"/>
    <w:rsid w:val="00471529"/>
    <w:rsid w:val="00472BBF"/>
    <w:rsid w:val="00474DA4"/>
    <w:rsid w:val="00477592"/>
    <w:rsid w:val="00481B81"/>
    <w:rsid w:val="00482EC8"/>
    <w:rsid w:val="00486F1C"/>
    <w:rsid w:val="0049337A"/>
    <w:rsid w:val="0049419D"/>
    <w:rsid w:val="004A0E94"/>
    <w:rsid w:val="004A2A9F"/>
    <w:rsid w:val="004B2044"/>
    <w:rsid w:val="004B70EB"/>
    <w:rsid w:val="004C20D2"/>
    <w:rsid w:val="004C2B54"/>
    <w:rsid w:val="004C4B62"/>
    <w:rsid w:val="004C54C9"/>
    <w:rsid w:val="004C790D"/>
    <w:rsid w:val="004D195F"/>
    <w:rsid w:val="004D2720"/>
    <w:rsid w:val="004D3D0A"/>
    <w:rsid w:val="004D43E4"/>
    <w:rsid w:val="004D6025"/>
    <w:rsid w:val="004D6618"/>
    <w:rsid w:val="004E2649"/>
    <w:rsid w:val="004E3E77"/>
    <w:rsid w:val="004E72B5"/>
    <w:rsid w:val="004F0662"/>
    <w:rsid w:val="004F12D7"/>
    <w:rsid w:val="004F47A6"/>
    <w:rsid w:val="004F516B"/>
    <w:rsid w:val="004F627D"/>
    <w:rsid w:val="00501399"/>
    <w:rsid w:val="00501DAC"/>
    <w:rsid w:val="00502911"/>
    <w:rsid w:val="0050430D"/>
    <w:rsid w:val="0050556D"/>
    <w:rsid w:val="0050633D"/>
    <w:rsid w:val="00507BC4"/>
    <w:rsid w:val="00510BE2"/>
    <w:rsid w:val="00510EE0"/>
    <w:rsid w:val="005128E4"/>
    <w:rsid w:val="005133DB"/>
    <w:rsid w:val="00515649"/>
    <w:rsid w:val="00517FCE"/>
    <w:rsid w:val="00525560"/>
    <w:rsid w:val="0052601D"/>
    <w:rsid w:val="005274EE"/>
    <w:rsid w:val="00527DA3"/>
    <w:rsid w:val="005354F3"/>
    <w:rsid w:val="00536923"/>
    <w:rsid w:val="0054039B"/>
    <w:rsid w:val="00541FB1"/>
    <w:rsid w:val="00542D10"/>
    <w:rsid w:val="005430CE"/>
    <w:rsid w:val="00544C49"/>
    <w:rsid w:val="005516A1"/>
    <w:rsid w:val="00556B68"/>
    <w:rsid w:val="00556F88"/>
    <w:rsid w:val="00560BD0"/>
    <w:rsid w:val="00563EE8"/>
    <w:rsid w:val="00565663"/>
    <w:rsid w:val="00565744"/>
    <w:rsid w:val="00565A8D"/>
    <w:rsid w:val="00567052"/>
    <w:rsid w:val="0057402A"/>
    <w:rsid w:val="005766FF"/>
    <w:rsid w:val="005771D0"/>
    <w:rsid w:val="00584586"/>
    <w:rsid w:val="00585653"/>
    <w:rsid w:val="0058744E"/>
    <w:rsid w:val="00587601"/>
    <w:rsid w:val="0059191A"/>
    <w:rsid w:val="005921FF"/>
    <w:rsid w:val="00592FFA"/>
    <w:rsid w:val="005937F1"/>
    <w:rsid w:val="00595C1D"/>
    <w:rsid w:val="00597666"/>
    <w:rsid w:val="00597DD4"/>
    <w:rsid w:val="005A2383"/>
    <w:rsid w:val="005A2D1A"/>
    <w:rsid w:val="005A619D"/>
    <w:rsid w:val="005A6D0E"/>
    <w:rsid w:val="005A77AE"/>
    <w:rsid w:val="005B4700"/>
    <w:rsid w:val="005B52B0"/>
    <w:rsid w:val="005B6806"/>
    <w:rsid w:val="005C008E"/>
    <w:rsid w:val="005C21FB"/>
    <w:rsid w:val="005C3D77"/>
    <w:rsid w:val="005C4225"/>
    <w:rsid w:val="005C4CA5"/>
    <w:rsid w:val="005C60B0"/>
    <w:rsid w:val="005C6449"/>
    <w:rsid w:val="005C65A3"/>
    <w:rsid w:val="005C6735"/>
    <w:rsid w:val="005C73DB"/>
    <w:rsid w:val="005D0975"/>
    <w:rsid w:val="005D0DB1"/>
    <w:rsid w:val="005D1D06"/>
    <w:rsid w:val="005D2C99"/>
    <w:rsid w:val="005D3C97"/>
    <w:rsid w:val="005D5DBF"/>
    <w:rsid w:val="005D74A7"/>
    <w:rsid w:val="005E19B8"/>
    <w:rsid w:val="005E6296"/>
    <w:rsid w:val="005F0DAD"/>
    <w:rsid w:val="005F0F33"/>
    <w:rsid w:val="005F29AE"/>
    <w:rsid w:val="005F309E"/>
    <w:rsid w:val="005F4203"/>
    <w:rsid w:val="006009AE"/>
    <w:rsid w:val="00600DEB"/>
    <w:rsid w:val="00601010"/>
    <w:rsid w:val="006023D6"/>
    <w:rsid w:val="00605238"/>
    <w:rsid w:val="00607111"/>
    <w:rsid w:val="00611EC5"/>
    <w:rsid w:val="006125C3"/>
    <w:rsid w:val="00612D6C"/>
    <w:rsid w:val="00617116"/>
    <w:rsid w:val="00617893"/>
    <w:rsid w:val="00621B5B"/>
    <w:rsid w:val="00622C76"/>
    <w:rsid w:val="006269EA"/>
    <w:rsid w:val="00627C9F"/>
    <w:rsid w:val="006311E9"/>
    <w:rsid w:val="00632354"/>
    <w:rsid w:val="00634378"/>
    <w:rsid w:val="0063745C"/>
    <w:rsid w:val="00642810"/>
    <w:rsid w:val="006430E0"/>
    <w:rsid w:val="0065027A"/>
    <w:rsid w:val="00652333"/>
    <w:rsid w:val="00660AC6"/>
    <w:rsid w:val="00665ED9"/>
    <w:rsid w:val="006668C8"/>
    <w:rsid w:val="006710AC"/>
    <w:rsid w:val="006716BE"/>
    <w:rsid w:val="00671FB9"/>
    <w:rsid w:val="00674FB7"/>
    <w:rsid w:val="0068009E"/>
    <w:rsid w:val="00680ED2"/>
    <w:rsid w:val="006810DD"/>
    <w:rsid w:val="00686E68"/>
    <w:rsid w:val="00692219"/>
    <w:rsid w:val="006952F1"/>
    <w:rsid w:val="00695B5E"/>
    <w:rsid w:val="00696216"/>
    <w:rsid w:val="006A17D2"/>
    <w:rsid w:val="006A19CD"/>
    <w:rsid w:val="006A4B39"/>
    <w:rsid w:val="006A73E6"/>
    <w:rsid w:val="006B2D5C"/>
    <w:rsid w:val="006B2F20"/>
    <w:rsid w:val="006B4D40"/>
    <w:rsid w:val="006B5E97"/>
    <w:rsid w:val="006B6738"/>
    <w:rsid w:val="006B77E2"/>
    <w:rsid w:val="006C1A20"/>
    <w:rsid w:val="006C2F5A"/>
    <w:rsid w:val="006C36C8"/>
    <w:rsid w:val="006C4EB1"/>
    <w:rsid w:val="006C7971"/>
    <w:rsid w:val="006D2135"/>
    <w:rsid w:val="006D5F4E"/>
    <w:rsid w:val="006D6D5B"/>
    <w:rsid w:val="006E0166"/>
    <w:rsid w:val="006E6A19"/>
    <w:rsid w:val="006E6EB2"/>
    <w:rsid w:val="006E77E2"/>
    <w:rsid w:val="006E7B34"/>
    <w:rsid w:val="006F260A"/>
    <w:rsid w:val="006F3EFC"/>
    <w:rsid w:val="006F5327"/>
    <w:rsid w:val="006F6795"/>
    <w:rsid w:val="007017AC"/>
    <w:rsid w:val="00705AF3"/>
    <w:rsid w:val="00706462"/>
    <w:rsid w:val="0070697F"/>
    <w:rsid w:val="00711EED"/>
    <w:rsid w:val="00713C73"/>
    <w:rsid w:val="00715992"/>
    <w:rsid w:val="007162A7"/>
    <w:rsid w:val="00716398"/>
    <w:rsid w:val="00717989"/>
    <w:rsid w:val="00717D02"/>
    <w:rsid w:val="0072199C"/>
    <w:rsid w:val="00722C9F"/>
    <w:rsid w:val="007253B8"/>
    <w:rsid w:val="00726AD0"/>
    <w:rsid w:val="00732362"/>
    <w:rsid w:val="00732AC5"/>
    <w:rsid w:val="0073631B"/>
    <w:rsid w:val="00737294"/>
    <w:rsid w:val="0073741F"/>
    <w:rsid w:val="007401DF"/>
    <w:rsid w:val="00741470"/>
    <w:rsid w:val="007460E8"/>
    <w:rsid w:val="00747D8D"/>
    <w:rsid w:val="007500E6"/>
    <w:rsid w:val="007516C6"/>
    <w:rsid w:val="007558A9"/>
    <w:rsid w:val="00761B8A"/>
    <w:rsid w:val="00763DF5"/>
    <w:rsid w:val="00765C7A"/>
    <w:rsid w:val="0076643F"/>
    <w:rsid w:val="00772949"/>
    <w:rsid w:val="00774BCF"/>
    <w:rsid w:val="00776080"/>
    <w:rsid w:val="00777F63"/>
    <w:rsid w:val="00781A94"/>
    <w:rsid w:val="00782418"/>
    <w:rsid w:val="00784178"/>
    <w:rsid w:val="00787A83"/>
    <w:rsid w:val="00792296"/>
    <w:rsid w:val="00795805"/>
    <w:rsid w:val="00795A4D"/>
    <w:rsid w:val="00795EB9"/>
    <w:rsid w:val="0079701C"/>
    <w:rsid w:val="0079757E"/>
    <w:rsid w:val="00797F27"/>
    <w:rsid w:val="007A5817"/>
    <w:rsid w:val="007A5E59"/>
    <w:rsid w:val="007A61EA"/>
    <w:rsid w:val="007A6279"/>
    <w:rsid w:val="007A733F"/>
    <w:rsid w:val="007B0638"/>
    <w:rsid w:val="007B454F"/>
    <w:rsid w:val="007B5F08"/>
    <w:rsid w:val="007B60E9"/>
    <w:rsid w:val="007B6CC3"/>
    <w:rsid w:val="007C174C"/>
    <w:rsid w:val="007C2748"/>
    <w:rsid w:val="007C3334"/>
    <w:rsid w:val="007C4095"/>
    <w:rsid w:val="007C4955"/>
    <w:rsid w:val="007C4C66"/>
    <w:rsid w:val="007C756A"/>
    <w:rsid w:val="007D17A7"/>
    <w:rsid w:val="007D2B98"/>
    <w:rsid w:val="007D3E9E"/>
    <w:rsid w:val="007D51DA"/>
    <w:rsid w:val="007D528E"/>
    <w:rsid w:val="007D7B2D"/>
    <w:rsid w:val="007E02EF"/>
    <w:rsid w:val="007E21BC"/>
    <w:rsid w:val="007E40A5"/>
    <w:rsid w:val="007F2A10"/>
    <w:rsid w:val="007F4B71"/>
    <w:rsid w:val="007F7BE0"/>
    <w:rsid w:val="007F7E9A"/>
    <w:rsid w:val="00801051"/>
    <w:rsid w:val="00801FED"/>
    <w:rsid w:val="00803F1C"/>
    <w:rsid w:val="0080600E"/>
    <w:rsid w:val="0080639E"/>
    <w:rsid w:val="00811F93"/>
    <w:rsid w:val="00814E6D"/>
    <w:rsid w:val="00815021"/>
    <w:rsid w:val="00817612"/>
    <w:rsid w:val="0082029B"/>
    <w:rsid w:val="00820FC7"/>
    <w:rsid w:val="008217E6"/>
    <w:rsid w:val="00825056"/>
    <w:rsid w:val="008266A7"/>
    <w:rsid w:val="00827E7C"/>
    <w:rsid w:val="00830347"/>
    <w:rsid w:val="00831B71"/>
    <w:rsid w:val="008338A4"/>
    <w:rsid w:val="00837C45"/>
    <w:rsid w:val="00841689"/>
    <w:rsid w:val="00842583"/>
    <w:rsid w:val="00844730"/>
    <w:rsid w:val="008457C2"/>
    <w:rsid w:val="00845B08"/>
    <w:rsid w:val="00850A2B"/>
    <w:rsid w:val="0085121B"/>
    <w:rsid w:val="00852B06"/>
    <w:rsid w:val="00857A82"/>
    <w:rsid w:val="0086148E"/>
    <w:rsid w:val="008679E4"/>
    <w:rsid w:val="00873836"/>
    <w:rsid w:val="008764AC"/>
    <w:rsid w:val="0087706F"/>
    <w:rsid w:val="00885737"/>
    <w:rsid w:val="00885B11"/>
    <w:rsid w:val="00890548"/>
    <w:rsid w:val="00890650"/>
    <w:rsid w:val="0089327C"/>
    <w:rsid w:val="00893321"/>
    <w:rsid w:val="00897E12"/>
    <w:rsid w:val="008A7E0F"/>
    <w:rsid w:val="008B12F5"/>
    <w:rsid w:val="008B3692"/>
    <w:rsid w:val="008B3F9A"/>
    <w:rsid w:val="008C3098"/>
    <w:rsid w:val="008C39E0"/>
    <w:rsid w:val="008D0E16"/>
    <w:rsid w:val="008D1454"/>
    <w:rsid w:val="008D1728"/>
    <w:rsid w:val="008D3DD7"/>
    <w:rsid w:val="008D4DD3"/>
    <w:rsid w:val="008D768D"/>
    <w:rsid w:val="008E32ED"/>
    <w:rsid w:val="008E3759"/>
    <w:rsid w:val="008E3ACF"/>
    <w:rsid w:val="008E7ACB"/>
    <w:rsid w:val="008F1912"/>
    <w:rsid w:val="008F1B28"/>
    <w:rsid w:val="008F4391"/>
    <w:rsid w:val="008F604B"/>
    <w:rsid w:val="008F6534"/>
    <w:rsid w:val="008F6DD3"/>
    <w:rsid w:val="00901289"/>
    <w:rsid w:val="009014A4"/>
    <w:rsid w:val="00901E68"/>
    <w:rsid w:val="0090270B"/>
    <w:rsid w:val="009027D3"/>
    <w:rsid w:val="009041C9"/>
    <w:rsid w:val="009041DC"/>
    <w:rsid w:val="00907369"/>
    <w:rsid w:val="00913EB1"/>
    <w:rsid w:val="00916E89"/>
    <w:rsid w:val="00917B5A"/>
    <w:rsid w:val="00920A58"/>
    <w:rsid w:val="00920A8C"/>
    <w:rsid w:val="00920AED"/>
    <w:rsid w:val="0092111F"/>
    <w:rsid w:val="009214DD"/>
    <w:rsid w:val="00922587"/>
    <w:rsid w:val="00922858"/>
    <w:rsid w:val="00927388"/>
    <w:rsid w:val="00934A2C"/>
    <w:rsid w:val="00934A81"/>
    <w:rsid w:val="009424FA"/>
    <w:rsid w:val="00951CBC"/>
    <w:rsid w:val="00951D83"/>
    <w:rsid w:val="00953444"/>
    <w:rsid w:val="00954E23"/>
    <w:rsid w:val="009609E8"/>
    <w:rsid w:val="00966B0A"/>
    <w:rsid w:val="00966FE6"/>
    <w:rsid w:val="0096706E"/>
    <w:rsid w:val="009675FE"/>
    <w:rsid w:val="00970073"/>
    <w:rsid w:val="009734A3"/>
    <w:rsid w:val="0097448E"/>
    <w:rsid w:val="00975C4E"/>
    <w:rsid w:val="00981FBA"/>
    <w:rsid w:val="009826CE"/>
    <w:rsid w:val="00982FE4"/>
    <w:rsid w:val="0098308F"/>
    <w:rsid w:val="009868AE"/>
    <w:rsid w:val="009928BE"/>
    <w:rsid w:val="00997BC5"/>
    <w:rsid w:val="009A0906"/>
    <w:rsid w:val="009A0BE3"/>
    <w:rsid w:val="009A36B6"/>
    <w:rsid w:val="009A4F41"/>
    <w:rsid w:val="009A6114"/>
    <w:rsid w:val="009B007A"/>
    <w:rsid w:val="009B381B"/>
    <w:rsid w:val="009B39EC"/>
    <w:rsid w:val="009B4671"/>
    <w:rsid w:val="009B51A6"/>
    <w:rsid w:val="009B5CB2"/>
    <w:rsid w:val="009B764B"/>
    <w:rsid w:val="009C1436"/>
    <w:rsid w:val="009C4EAA"/>
    <w:rsid w:val="009D0D65"/>
    <w:rsid w:val="009D1753"/>
    <w:rsid w:val="009D2256"/>
    <w:rsid w:val="009D6D4A"/>
    <w:rsid w:val="009D6F04"/>
    <w:rsid w:val="009D7472"/>
    <w:rsid w:val="009D7611"/>
    <w:rsid w:val="009E0B61"/>
    <w:rsid w:val="009E53DE"/>
    <w:rsid w:val="009E59A9"/>
    <w:rsid w:val="009F45D9"/>
    <w:rsid w:val="009F5211"/>
    <w:rsid w:val="009F526E"/>
    <w:rsid w:val="009F6B96"/>
    <w:rsid w:val="009F7120"/>
    <w:rsid w:val="009F74DD"/>
    <w:rsid w:val="00A164F9"/>
    <w:rsid w:val="00A20152"/>
    <w:rsid w:val="00A22225"/>
    <w:rsid w:val="00A236BF"/>
    <w:rsid w:val="00A24437"/>
    <w:rsid w:val="00A24A7D"/>
    <w:rsid w:val="00A24BAE"/>
    <w:rsid w:val="00A2598E"/>
    <w:rsid w:val="00A266B4"/>
    <w:rsid w:val="00A27F57"/>
    <w:rsid w:val="00A30DAE"/>
    <w:rsid w:val="00A328B3"/>
    <w:rsid w:val="00A33B1E"/>
    <w:rsid w:val="00A35B18"/>
    <w:rsid w:val="00A40685"/>
    <w:rsid w:val="00A41DF1"/>
    <w:rsid w:val="00A44654"/>
    <w:rsid w:val="00A464E2"/>
    <w:rsid w:val="00A46F5B"/>
    <w:rsid w:val="00A47B4B"/>
    <w:rsid w:val="00A47F0C"/>
    <w:rsid w:val="00A50FCF"/>
    <w:rsid w:val="00A528D1"/>
    <w:rsid w:val="00A5588D"/>
    <w:rsid w:val="00A5621A"/>
    <w:rsid w:val="00A610CD"/>
    <w:rsid w:val="00A6291E"/>
    <w:rsid w:val="00A64242"/>
    <w:rsid w:val="00A64533"/>
    <w:rsid w:val="00A650D3"/>
    <w:rsid w:val="00A65E4B"/>
    <w:rsid w:val="00A67DBA"/>
    <w:rsid w:val="00A71266"/>
    <w:rsid w:val="00A72D8F"/>
    <w:rsid w:val="00A74843"/>
    <w:rsid w:val="00A75E63"/>
    <w:rsid w:val="00A814FA"/>
    <w:rsid w:val="00A82FC3"/>
    <w:rsid w:val="00A93518"/>
    <w:rsid w:val="00A93840"/>
    <w:rsid w:val="00AA09A2"/>
    <w:rsid w:val="00AA0B4F"/>
    <w:rsid w:val="00AA258B"/>
    <w:rsid w:val="00AA4850"/>
    <w:rsid w:val="00AA7996"/>
    <w:rsid w:val="00AB06CA"/>
    <w:rsid w:val="00AB1BFF"/>
    <w:rsid w:val="00AB72C8"/>
    <w:rsid w:val="00AC0A3F"/>
    <w:rsid w:val="00AC19CB"/>
    <w:rsid w:val="00AC55D4"/>
    <w:rsid w:val="00AC6933"/>
    <w:rsid w:val="00AD334F"/>
    <w:rsid w:val="00AE3378"/>
    <w:rsid w:val="00AE3F02"/>
    <w:rsid w:val="00AE5488"/>
    <w:rsid w:val="00AE6F91"/>
    <w:rsid w:val="00AE6F9C"/>
    <w:rsid w:val="00AF5571"/>
    <w:rsid w:val="00AF6FE7"/>
    <w:rsid w:val="00AF7988"/>
    <w:rsid w:val="00B00F03"/>
    <w:rsid w:val="00B01F4F"/>
    <w:rsid w:val="00B0267B"/>
    <w:rsid w:val="00B02F71"/>
    <w:rsid w:val="00B063E3"/>
    <w:rsid w:val="00B07184"/>
    <w:rsid w:val="00B07341"/>
    <w:rsid w:val="00B102E7"/>
    <w:rsid w:val="00B10477"/>
    <w:rsid w:val="00B110BE"/>
    <w:rsid w:val="00B16F59"/>
    <w:rsid w:val="00B170A3"/>
    <w:rsid w:val="00B241AD"/>
    <w:rsid w:val="00B30539"/>
    <w:rsid w:val="00B314DB"/>
    <w:rsid w:val="00B32442"/>
    <w:rsid w:val="00B33D08"/>
    <w:rsid w:val="00B34CE7"/>
    <w:rsid w:val="00B361F2"/>
    <w:rsid w:val="00B3718B"/>
    <w:rsid w:val="00B37F9C"/>
    <w:rsid w:val="00B4034C"/>
    <w:rsid w:val="00B405AB"/>
    <w:rsid w:val="00B4527A"/>
    <w:rsid w:val="00B4632A"/>
    <w:rsid w:val="00B513B1"/>
    <w:rsid w:val="00B51837"/>
    <w:rsid w:val="00B530F1"/>
    <w:rsid w:val="00B53608"/>
    <w:rsid w:val="00B53FCD"/>
    <w:rsid w:val="00B54A0C"/>
    <w:rsid w:val="00B573B2"/>
    <w:rsid w:val="00B57E60"/>
    <w:rsid w:val="00B57F59"/>
    <w:rsid w:val="00B632BE"/>
    <w:rsid w:val="00B632D6"/>
    <w:rsid w:val="00B63C20"/>
    <w:rsid w:val="00B665D2"/>
    <w:rsid w:val="00B67999"/>
    <w:rsid w:val="00B67AD6"/>
    <w:rsid w:val="00B74DB1"/>
    <w:rsid w:val="00B77AF8"/>
    <w:rsid w:val="00B81612"/>
    <w:rsid w:val="00B82BFB"/>
    <w:rsid w:val="00B83CBB"/>
    <w:rsid w:val="00B85552"/>
    <w:rsid w:val="00B924DB"/>
    <w:rsid w:val="00B938BF"/>
    <w:rsid w:val="00BA05ED"/>
    <w:rsid w:val="00BA276C"/>
    <w:rsid w:val="00BA461E"/>
    <w:rsid w:val="00BA558F"/>
    <w:rsid w:val="00BA635E"/>
    <w:rsid w:val="00BA6362"/>
    <w:rsid w:val="00BB0035"/>
    <w:rsid w:val="00BB306F"/>
    <w:rsid w:val="00BB528C"/>
    <w:rsid w:val="00BC1180"/>
    <w:rsid w:val="00BC2C5A"/>
    <w:rsid w:val="00BC667C"/>
    <w:rsid w:val="00BD0E17"/>
    <w:rsid w:val="00BD2533"/>
    <w:rsid w:val="00BD3BD7"/>
    <w:rsid w:val="00BD4B89"/>
    <w:rsid w:val="00BE16CB"/>
    <w:rsid w:val="00BE2254"/>
    <w:rsid w:val="00BE4CCD"/>
    <w:rsid w:val="00BE728F"/>
    <w:rsid w:val="00BE73C3"/>
    <w:rsid w:val="00BF02CB"/>
    <w:rsid w:val="00BF03E3"/>
    <w:rsid w:val="00BF11D3"/>
    <w:rsid w:val="00BF1664"/>
    <w:rsid w:val="00BF321A"/>
    <w:rsid w:val="00BF6FD8"/>
    <w:rsid w:val="00C03680"/>
    <w:rsid w:val="00C054DF"/>
    <w:rsid w:val="00C1637A"/>
    <w:rsid w:val="00C16403"/>
    <w:rsid w:val="00C21762"/>
    <w:rsid w:val="00C24543"/>
    <w:rsid w:val="00C256A2"/>
    <w:rsid w:val="00C315EA"/>
    <w:rsid w:val="00C33B4D"/>
    <w:rsid w:val="00C33D0E"/>
    <w:rsid w:val="00C40139"/>
    <w:rsid w:val="00C40789"/>
    <w:rsid w:val="00C42773"/>
    <w:rsid w:val="00C46EE5"/>
    <w:rsid w:val="00C505E4"/>
    <w:rsid w:val="00C512AE"/>
    <w:rsid w:val="00C513D7"/>
    <w:rsid w:val="00C51515"/>
    <w:rsid w:val="00C53A3E"/>
    <w:rsid w:val="00C54EF9"/>
    <w:rsid w:val="00C558CA"/>
    <w:rsid w:val="00C5660B"/>
    <w:rsid w:val="00C616EE"/>
    <w:rsid w:val="00C62A75"/>
    <w:rsid w:val="00C65A69"/>
    <w:rsid w:val="00C66B72"/>
    <w:rsid w:val="00C70779"/>
    <w:rsid w:val="00C75282"/>
    <w:rsid w:val="00C77F1B"/>
    <w:rsid w:val="00C810D8"/>
    <w:rsid w:val="00C81D49"/>
    <w:rsid w:val="00C8491D"/>
    <w:rsid w:val="00C87FF4"/>
    <w:rsid w:val="00C92E9D"/>
    <w:rsid w:val="00C92F6A"/>
    <w:rsid w:val="00C9567A"/>
    <w:rsid w:val="00C97129"/>
    <w:rsid w:val="00CA05C6"/>
    <w:rsid w:val="00CA62F7"/>
    <w:rsid w:val="00CB212D"/>
    <w:rsid w:val="00CB2478"/>
    <w:rsid w:val="00CB2583"/>
    <w:rsid w:val="00CB2660"/>
    <w:rsid w:val="00CB496B"/>
    <w:rsid w:val="00CB6588"/>
    <w:rsid w:val="00CB7038"/>
    <w:rsid w:val="00CB7234"/>
    <w:rsid w:val="00CB7B42"/>
    <w:rsid w:val="00CB7D41"/>
    <w:rsid w:val="00CC270E"/>
    <w:rsid w:val="00CC5E90"/>
    <w:rsid w:val="00CC63CF"/>
    <w:rsid w:val="00CD046C"/>
    <w:rsid w:val="00CD645A"/>
    <w:rsid w:val="00CD7068"/>
    <w:rsid w:val="00CE076C"/>
    <w:rsid w:val="00CE50BF"/>
    <w:rsid w:val="00CE5199"/>
    <w:rsid w:val="00CE66BE"/>
    <w:rsid w:val="00CE66D5"/>
    <w:rsid w:val="00CF637A"/>
    <w:rsid w:val="00CF7DAA"/>
    <w:rsid w:val="00D04E2D"/>
    <w:rsid w:val="00D05850"/>
    <w:rsid w:val="00D059DE"/>
    <w:rsid w:val="00D073F7"/>
    <w:rsid w:val="00D10FF7"/>
    <w:rsid w:val="00D12193"/>
    <w:rsid w:val="00D13A0F"/>
    <w:rsid w:val="00D13FCE"/>
    <w:rsid w:val="00D21CD9"/>
    <w:rsid w:val="00D22CA5"/>
    <w:rsid w:val="00D306D1"/>
    <w:rsid w:val="00D30F59"/>
    <w:rsid w:val="00D34786"/>
    <w:rsid w:val="00D36B5A"/>
    <w:rsid w:val="00D36E6F"/>
    <w:rsid w:val="00D37598"/>
    <w:rsid w:val="00D37BFC"/>
    <w:rsid w:val="00D40D13"/>
    <w:rsid w:val="00D4167D"/>
    <w:rsid w:val="00D46DA1"/>
    <w:rsid w:val="00D47930"/>
    <w:rsid w:val="00D47A73"/>
    <w:rsid w:val="00D47A8E"/>
    <w:rsid w:val="00D524BD"/>
    <w:rsid w:val="00D52D14"/>
    <w:rsid w:val="00D712D3"/>
    <w:rsid w:val="00D71422"/>
    <w:rsid w:val="00D718AE"/>
    <w:rsid w:val="00D72DC6"/>
    <w:rsid w:val="00D7558D"/>
    <w:rsid w:val="00D75D29"/>
    <w:rsid w:val="00D81951"/>
    <w:rsid w:val="00D81D92"/>
    <w:rsid w:val="00D83D73"/>
    <w:rsid w:val="00D83E09"/>
    <w:rsid w:val="00D911B5"/>
    <w:rsid w:val="00D93C96"/>
    <w:rsid w:val="00D93D2D"/>
    <w:rsid w:val="00D95ACE"/>
    <w:rsid w:val="00D95F47"/>
    <w:rsid w:val="00D96E66"/>
    <w:rsid w:val="00DA00D9"/>
    <w:rsid w:val="00DA1086"/>
    <w:rsid w:val="00DA57FA"/>
    <w:rsid w:val="00DA7B5F"/>
    <w:rsid w:val="00DB01B0"/>
    <w:rsid w:val="00DB0C47"/>
    <w:rsid w:val="00DB186A"/>
    <w:rsid w:val="00DB5A3D"/>
    <w:rsid w:val="00DB5D83"/>
    <w:rsid w:val="00DB5DBC"/>
    <w:rsid w:val="00DC11E7"/>
    <w:rsid w:val="00DC2BB7"/>
    <w:rsid w:val="00DC5968"/>
    <w:rsid w:val="00DC6B96"/>
    <w:rsid w:val="00DC7023"/>
    <w:rsid w:val="00DC769A"/>
    <w:rsid w:val="00DD3D86"/>
    <w:rsid w:val="00DD4706"/>
    <w:rsid w:val="00DD4F2B"/>
    <w:rsid w:val="00DD7FA7"/>
    <w:rsid w:val="00DE4B10"/>
    <w:rsid w:val="00DE775A"/>
    <w:rsid w:val="00DF0153"/>
    <w:rsid w:val="00DF0620"/>
    <w:rsid w:val="00DF1EC4"/>
    <w:rsid w:val="00DF2082"/>
    <w:rsid w:val="00E00222"/>
    <w:rsid w:val="00E01AFF"/>
    <w:rsid w:val="00E02AD0"/>
    <w:rsid w:val="00E0340B"/>
    <w:rsid w:val="00E04A90"/>
    <w:rsid w:val="00E065C8"/>
    <w:rsid w:val="00E14507"/>
    <w:rsid w:val="00E16239"/>
    <w:rsid w:val="00E16318"/>
    <w:rsid w:val="00E219C7"/>
    <w:rsid w:val="00E254AF"/>
    <w:rsid w:val="00E25C41"/>
    <w:rsid w:val="00E33797"/>
    <w:rsid w:val="00E3416B"/>
    <w:rsid w:val="00E37FB2"/>
    <w:rsid w:val="00E40E61"/>
    <w:rsid w:val="00E43157"/>
    <w:rsid w:val="00E435DD"/>
    <w:rsid w:val="00E461CE"/>
    <w:rsid w:val="00E468A3"/>
    <w:rsid w:val="00E478F0"/>
    <w:rsid w:val="00E5676C"/>
    <w:rsid w:val="00E56FE7"/>
    <w:rsid w:val="00E63766"/>
    <w:rsid w:val="00E65777"/>
    <w:rsid w:val="00E668EB"/>
    <w:rsid w:val="00E720CA"/>
    <w:rsid w:val="00E72A4D"/>
    <w:rsid w:val="00E742D4"/>
    <w:rsid w:val="00E759F1"/>
    <w:rsid w:val="00E76F5C"/>
    <w:rsid w:val="00E808F5"/>
    <w:rsid w:val="00E810C3"/>
    <w:rsid w:val="00E82AE4"/>
    <w:rsid w:val="00E84EB5"/>
    <w:rsid w:val="00E85662"/>
    <w:rsid w:val="00E85E57"/>
    <w:rsid w:val="00E86EF6"/>
    <w:rsid w:val="00E87053"/>
    <w:rsid w:val="00E8789F"/>
    <w:rsid w:val="00E909AA"/>
    <w:rsid w:val="00E97B71"/>
    <w:rsid w:val="00EA105A"/>
    <w:rsid w:val="00EA3D34"/>
    <w:rsid w:val="00EA51B5"/>
    <w:rsid w:val="00EB454D"/>
    <w:rsid w:val="00EB5D0B"/>
    <w:rsid w:val="00EB5D26"/>
    <w:rsid w:val="00EB7A7D"/>
    <w:rsid w:val="00EC1F54"/>
    <w:rsid w:val="00EC292F"/>
    <w:rsid w:val="00EC5E98"/>
    <w:rsid w:val="00EC745E"/>
    <w:rsid w:val="00EC75BC"/>
    <w:rsid w:val="00EC7A66"/>
    <w:rsid w:val="00ED256F"/>
    <w:rsid w:val="00ED48C9"/>
    <w:rsid w:val="00ED566D"/>
    <w:rsid w:val="00ED6957"/>
    <w:rsid w:val="00ED70D1"/>
    <w:rsid w:val="00ED76BE"/>
    <w:rsid w:val="00ED78FB"/>
    <w:rsid w:val="00ED7921"/>
    <w:rsid w:val="00EE0BF2"/>
    <w:rsid w:val="00EE13C3"/>
    <w:rsid w:val="00EE3963"/>
    <w:rsid w:val="00EE3B73"/>
    <w:rsid w:val="00EF26C8"/>
    <w:rsid w:val="00EF286F"/>
    <w:rsid w:val="00EF3399"/>
    <w:rsid w:val="00EF619B"/>
    <w:rsid w:val="00F00B55"/>
    <w:rsid w:val="00F019B4"/>
    <w:rsid w:val="00F02AD1"/>
    <w:rsid w:val="00F114CD"/>
    <w:rsid w:val="00F13812"/>
    <w:rsid w:val="00F15E9F"/>
    <w:rsid w:val="00F2052F"/>
    <w:rsid w:val="00F22F37"/>
    <w:rsid w:val="00F23168"/>
    <w:rsid w:val="00F253CC"/>
    <w:rsid w:val="00F256CF"/>
    <w:rsid w:val="00F25896"/>
    <w:rsid w:val="00F3063D"/>
    <w:rsid w:val="00F35BCA"/>
    <w:rsid w:val="00F37106"/>
    <w:rsid w:val="00F37D1A"/>
    <w:rsid w:val="00F40148"/>
    <w:rsid w:val="00F4223B"/>
    <w:rsid w:val="00F46785"/>
    <w:rsid w:val="00F519CF"/>
    <w:rsid w:val="00F53B29"/>
    <w:rsid w:val="00F5400E"/>
    <w:rsid w:val="00F54A7D"/>
    <w:rsid w:val="00F56BA5"/>
    <w:rsid w:val="00F57399"/>
    <w:rsid w:val="00F60E22"/>
    <w:rsid w:val="00F648B0"/>
    <w:rsid w:val="00F667B3"/>
    <w:rsid w:val="00F6700F"/>
    <w:rsid w:val="00F67204"/>
    <w:rsid w:val="00F7171D"/>
    <w:rsid w:val="00F7173F"/>
    <w:rsid w:val="00F73104"/>
    <w:rsid w:val="00F73D63"/>
    <w:rsid w:val="00F73E9E"/>
    <w:rsid w:val="00F755B3"/>
    <w:rsid w:val="00F805FB"/>
    <w:rsid w:val="00F81395"/>
    <w:rsid w:val="00F82B5B"/>
    <w:rsid w:val="00F902EB"/>
    <w:rsid w:val="00F90423"/>
    <w:rsid w:val="00F90BC6"/>
    <w:rsid w:val="00F917D1"/>
    <w:rsid w:val="00F91E84"/>
    <w:rsid w:val="00F96349"/>
    <w:rsid w:val="00F9653B"/>
    <w:rsid w:val="00F967DE"/>
    <w:rsid w:val="00FA015A"/>
    <w:rsid w:val="00FA1069"/>
    <w:rsid w:val="00FA2890"/>
    <w:rsid w:val="00FA3237"/>
    <w:rsid w:val="00FA6682"/>
    <w:rsid w:val="00FA782B"/>
    <w:rsid w:val="00FB0C9D"/>
    <w:rsid w:val="00FB62CF"/>
    <w:rsid w:val="00FB66C7"/>
    <w:rsid w:val="00FC000E"/>
    <w:rsid w:val="00FC2693"/>
    <w:rsid w:val="00FC338B"/>
    <w:rsid w:val="00FC3407"/>
    <w:rsid w:val="00FC5CB1"/>
    <w:rsid w:val="00FD3387"/>
    <w:rsid w:val="00FD3C3B"/>
    <w:rsid w:val="00FD5A99"/>
    <w:rsid w:val="00FD5F26"/>
    <w:rsid w:val="00FD66DE"/>
    <w:rsid w:val="00FD6FAB"/>
    <w:rsid w:val="00FE07DD"/>
    <w:rsid w:val="00FE6B45"/>
    <w:rsid w:val="00FE7F7D"/>
    <w:rsid w:val="00FF1BDA"/>
    <w:rsid w:val="00FF2832"/>
    <w:rsid w:val="00FF2D4F"/>
    <w:rsid w:val="00FF31F1"/>
    <w:rsid w:val="00FF55F3"/>
    <w:rsid w:val="00FF5851"/>
    <w:rsid w:val="00FF7B79"/>
    <w:rsid w:val="00FF7D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A91DE"/>
  <w15:docId w15:val="{BB72C47D-D4CB-4F59-82DF-BD310CE9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505E4"/>
    <w:pPr>
      <w:keepNext/>
      <w:keepLines/>
      <w:numPr>
        <w:numId w:val="53"/>
      </w:numPr>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qFormat/>
    <w:rsid w:val="00C87FF4"/>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Cambria" w:eastAsia="Times New Roman" w:hAnsi="Cambria" w:cs="Arial"/>
      <w:b/>
      <w:bCs/>
      <w:iCs/>
      <w:sz w:val="20"/>
      <w:szCs w:val="28"/>
      <w:bdr w:val="none" w:sz="0" w:space="0" w:color="auto"/>
    </w:rPr>
  </w:style>
  <w:style w:type="paragraph" w:styleId="Heading3">
    <w:name w:val="heading 3"/>
    <w:basedOn w:val="Normal"/>
    <w:next w:val="Normal"/>
    <w:link w:val="Heading3Char"/>
    <w:qFormat/>
    <w:rsid w:val="00C87FF4"/>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Cambria" w:eastAsia="Times New Roman" w:hAnsi="Cambria"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515649"/>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libri" w:hAnsi="Cambria"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505E4"/>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B4527A"/>
    <w:pPr>
      <w:tabs>
        <w:tab w:val="right" w:leader="dot" w:pos="9350"/>
      </w:tabs>
      <w:spacing w:after="100"/>
      <w:ind w:left="450" w:hanging="450"/>
    </w:pPr>
  </w:style>
  <w:style w:type="paragraph" w:styleId="TOC1">
    <w:name w:val="toc 1"/>
    <w:basedOn w:val="Normal"/>
    <w:next w:val="Normal"/>
    <w:autoRedefine/>
    <w:uiPriority w:val="39"/>
    <w:unhideWhenUsed/>
    <w:qFormat/>
    <w:rsid w:val="00F5400E"/>
    <w:pPr>
      <w:tabs>
        <w:tab w:val="left" w:pos="540"/>
        <w:tab w:val="left" w:pos="90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qFormat/>
    <w:rsid w:val="00B4527A"/>
    <w:pPr>
      <w:tabs>
        <w:tab w:val="left" w:pos="540"/>
        <w:tab w:val="left" w:pos="880"/>
        <w:tab w:val="left" w:pos="2250"/>
        <w:tab w:val="right" w:leader="dot" w:pos="9350"/>
      </w:tabs>
      <w:spacing w:after="100"/>
      <w:ind w:left="5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515649"/>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C87FF4"/>
    <w:rPr>
      <w:rFonts w:ascii="Cambria" w:eastAsia="Times New Roman" w:hAnsi="Cambria" w:cs="Arial"/>
      <w:b/>
      <w:bCs/>
      <w:iCs/>
      <w:szCs w:val="28"/>
      <w:bdr w:val="none" w:sz="0" w:space="0" w:color="auto"/>
      <w:lang w:val="en-US" w:eastAsia="en-US"/>
    </w:rPr>
  </w:style>
  <w:style w:type="character" w:customStyle="1" w:styleId="Heading3Char">
    <w:name w:val="Heading 3 Char"/>
    <w:basedOn w:val="DefaultParagraphFont"/>
    <w:link w:val="Heading3"/>
    <w:rsid w:val="00C87FF4"/>
    <w:rPr>
      <w:rFonts w:ascii="Cambria" w:eastAsia="Times New Roman" w:hAnsi="Cambria"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E4AEA"/>
    <w:rPr>
      <w:rFonts w:ascii="Cambria" w:eastAsia="Cambria" w:hAnsi="Cambria" w:cs="Cambria"/>
      <w:color w:val="000000"/>
      <w:sz w:val="24"/>
      <w:szCs w:val="24"/>
      <w:u w:color="000000"/>
      <w:lang w:val="en-US"/>
    </w:rPr>
  </w:style>
  <w:style w:type="character" w:styleId="PlaceholderText">
    <w:name w:val="Placeholder Text"/>
    <w:basedOn w:val="DefaultParagraphFont"/>
    <w:uiPriority w:val="99"/>
    <w:semiHidden/>
    <w:rsid w:val="006B2F20"/>
    <w:rPr>
      <w:color w:val="808080"/>
    </w:rPr>
  </w:style>
  <w:style w:type="paragraph" w:styleId="HTMLPreformatted">
    <w:name w:val="HTML Preformatted"/>
    <w:basedOn w:val="Normal"/>
    <w:link w:val="HTMLPreformattedChar"/>
    <w:uiPriority w:val="99"/>
    <w:semiHidden/>
    <w:unhideWhenUsed/>
    <w:rsid w:val="0025331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5331D"/>
    <w:rPr>
      <w:rFonts w:ascii="Consolas" w:hAnsi="Consolas" w:cs="Consolas"/>
      <w:lang w:val="en-US" w:eastAsia="en-US"/>
    </w:rPr>
  </w:style>
  <w:style w:type="character" w:styleId="CommentReference">
    <w:name w:val="annotation reference"/>
    <w:basedOn w:val="DefaultParagraphFont"/>
    <w:uiPriority w:val="99"/>
    <w:semiHidden/>
    <w:unhideWhenUsed/>
    <w:rsid w:val="00F755B3"/>
    <w:rPr>
      <w:sz w:val="18"/>
      <w:szCs w:val="18"/>
    </w:rPr>
  </w:style>
  <w:style w:type="paragraph" w:styleId="CommentText">
    <w:name w:val="annotation text"/>
    <w:basedOn w:val="Normal"/>
    <w:link w:val="CommentTextChar"/>
    <w:uiPriority w:val="99"/>
    <w:semiHidden/>
    <w:unhideWhenUsed/>
    <w:rsid w:val="00F755B3"/>
  </w:style>
  <w:style w:type="character" w:customStyle="1" w:styleId="CommentTextChar">
    <w:name w:val="Comment Text Char"/>
    <w:basedOn w:val="DefaultParagraphFont"/>
    <w:link w:val="CommentText"/>
    <w:uiPriority w:val="99"/>
    <w:semiHidden/>
    <w:rsid w:val="00F755B3"/>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755B3"/>
    <w:rPr>
      <w:b/>
      <w:bCs/>
      <w:sz w:val="20"/>
      <w:szCs w:val="20"/>
    </w:rPr>
  </w:style>
  <w:style w:type="character" w:customStyle="1" w:styleId="CommentSubjectChar">
    <w:name w:val="Comment Subject Char"/>
    <w:basedOn w:val="CommentTextChar"/>
    <w:link w:val="CommentSubject"/>
    <w:uiPriority w:val="99"/>
    <w:semiHidden/>
    <w:rsid w:val="00F755B3"/>
    <w:rPr>
      <w:b/>
      <w:bCs/>
      <w:sz w:val="24"/>
      <w:szCs w:val="24"/>
      <w:lang w:val="en-US" w:eastAsia="en-US"/>
    </w:rPr>
  </w:style>
  <w:style w:type="character" w:styleId="Strong">
    <w:name w:val="Strong"/>
    <w:uiPriority w:val="22"/>
    <w:qFormat/>
    <w:rsid w:val="00B63C20"/>
    <w:rPr>
      <w:rFonts w:cs="Times New Roman"/>
      <w:b/>
      <w:bCs/>
    </w:rPr>
  </w:style>
  <w:style w:type="character" w:customStyle="1" w:styleId="apple-converted-space">
    <w:name w:val="apple-converted-space"/>
    <w:rsid w:val="00B63C20"/>
    <w:rPr>
      <w:rFonts w:cs="Times New Roman"/>
    </w:rPr>
  </w:style>
  <w:style w:type="paragraph" w:customStyle="1" w:styleId="Char2">
    <w:name w:val="Char2"/>
    <w:basedOn w:val="Normal"/>
    <w:uiPriority w:val="99"/>
    <w:rsid w:val="00B63C2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NormalWeb">
    <w:name w:val="Normal (Web)"/>
    <w:basedOn w:val="Normal"/>
    <w:uiPriority w:val="99"/>
    <w:rsid w:val="00B63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basedOn w:val="DefaultParagraphFont"/>
    <w:link w:val="BodyTextIndent"/>
    <w:rsid w:val="00B63C20"/>
    <w:rPr>
      <w:rFonts w:eastAsia="Times New Roman"/>
      <w:color w:val="000000"/>
      <w:sz w:val="24"/>
      <w:szCs w:val="24"/>
      <w:u w:color="000000"/>
      <w:lang w:val="es-ES_tradnl"/>
    </w:rPr>
  </w:style>
  <w:style w:type="paragraph" w:customStyle="1" w:styleId="1">
    <w:name w:val="1"/>
    <w:basedOn w:val="Normal"/>
    <w:rsid w:val="00B63C2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Textonotapie1">
    <w:name w:val="Texto nota pie1"/>
    <w:basedOn w:val="Normal"/>
    <w:uiPriority w:val="99"/>
    <w:semiHidden/>
    <w:rsid w:val="00B63C20"/>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Revision">
    <w:name w:val="Revision"/>
    <w:hidden/>
    <w:uiPriority w:val="99"/>
    <w:semiHidden/>
    <w:rsid w:val="00213D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OCHeading">
    <w:name w:val="TOC Heading"/>
    <w:basedOn w:val="Heading1"/>
    <w:next w:val="Normal"/>
    <w:uiPriority w:val="39"/>
    <w:semiHidden/>
    <w:unhideWhenUsed/>
    <w:qFormat/>
    <w:rsid w:val="00C505E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BodyTextIndent3">
    <w:name w:val="Body Text Indent 3"/>
    <w:basedOn w:val="Normal"/>
    <w:link w:val="BodyTextIndent3Char"/>
    <w:uiPriority w:val="99"/>
    <w:semiHidden/>
    <w:unhideWhenUsed/>
    <w:rsid w:val="009F52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526E"/>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0513">
      <w:bodyDiv w:val="1"/>
      <w:marLeft w:val="0"/>
      <w:marRight w:val="0"/>
      <w:marTop w:val="0"/>
      <w:marBottom w:val="0"/>
      <w:divBdr>
        <w:top w:val="none" w:sz="0" w:space="0" w:color="auto"/>
        <w:left w:val="none" w:sz="0" w:space="0" w:color="auto"/>
        <w:bottom w:val="none" w:sz="0" w:space="0" w:color="auto"/>
        <w:right w:val="none" w:sz="0" w:space="0" w:color="auto"/>
      </w:divBdr>
    </w:div>
    <w:div w:id="352652926">
      <w:bodyDiv w:val="1"/>
      <w:marLeft w:val="0"/>
      <w:marRight w:val="0"/>
      <w:marTop w:val="0"/>
      <w:marBottom w:val="0"/>
      <w:divBdr>
        <w:top w:val="none" w:sz="0" w:space="0" w:color="auto"/>
        <w:left w:val="none" w:sz="0" w:space="0" w:color="auto"/>
        <w:bottom w:val="none" w:sz="0" w:space="0" w:color="auto"/>
        <w:right w:val="none" w:sz="0" w:space="0" w:color="auto"/>
      </w:divBdr>
    </w:div>
    <w:div w:id="369303801">
      <w:bodyDiv w:val="1"/>
      <w:marLeft w:val="0"/>
      <w:marRight w:val="0"/>
      <w:marTop w:val="0"/>
      <w:marBottom w:val="0"/>
      <w:divBdr>
        <w:top w:val="none" w:sz="0" w:space="0" w:color="auto"/>
        <w:left w:val="none" w:sz="0" w:space="0" w:color="auto"/>
        <w:bottom w:val="none" w:sz="0" w:space="0" w:color="auto"/>
        <w:right w:val="none" w:sz="0" w:space="0" w:color="auto"/>
      </w:divBdr>
    </w:div>
    <w:div w:id="485710812">
      <w:bodyDiv w:val="1"/>
      <w:marLeft w:val="0"/>
      <w:marRight w:val="0"/>
      <w:marTop w:val="0"/>
      <w:marBottom w:val="0"/>
      <w:divBdr>
        <w:top w:val="none" w:sz="0" w:space="0" w:color="auto"/>
        <w:left w:val="none" w:sz="0" w:space="0" w:color="auto"/>
        <w:bottom w:val="none" w:sz="0" w:space="0" w:color="auto"/>
        <w:right w:val="none" w:sz="0" w:space="0" w:color="auto"/>
      </w:divBdr>
    </w:div>
    <w:div w:id="554898015">
      <w:bodyDiv w:val="1"/>
      <w:marLeft w:val="0"/>
      <w:marRight w:val="0"/>
      <w:marTop w:val="0"/>
      <w:marBottom w:val="0"/>
      <w:divBdr>
        <w:top w:val="none" w:sz="0" w:space="0" w:color="auto"/>
        <w:left w:val="none" w:sz="0" w:space="0" w:color="auto"/>
        <w:bottom w:val="none" w:sz="0" w:space="0" w:color="auto"/>
        <w:right w:val="none" w:sz="0" w:space="0" w:color="auto"/>
      </w:divBdr>
    </w:div>
    <w:div w:id="575893418">
      <w:bodyDiv w:val="1"/>
      <w:marLeft w:val="0"/>
      <w:marRight w:val="0"/>
      <w:marTop w:val="0"/>
      <w:marBottom w:val="0"/>
      <w:divBdr>
        <w:top w:val="none" w:sz="0" w:space="0" w:color="auto"/>
        <w:left w:val="none" w:sz="0" w:space="0" w:color="auto"/>
        <w:bottom w:val="none" w:sz="0" w:space="0" w:color="auto"/>
        <w:right w:val="none" w:sz="0" w:space="0" w:color="auto"/>
      </w:divBdr>
    </w:div>
    <w:div w:id="584530715">
      <w:bodyDiv w:val="1"/>
      <w:marLeft w:val="0"/>
      <w:marRight w:val="0"/>
      <w:marTop w:val="0"/>
      <w:marBottom w:val="0"/>
      <w:divBdr>
        <w:top w:val="none" w:sz="0" w:space="0" w:color="auto"/>
        <w:left w:val="none" w:sz="0" w:space="0" w:color="auto"/>
        <w:bottom w:val="none" w:sz="0" w:space="0" w:color="auto"/>
        <w:right w:val="none" w:sz="0" w:space="0" w:color="auto"/>
      </w:divBdr>
    </w:div>
    <w:div w:id="1013652334">
      <w:bodyDiv w:val="1"/>
      <w:marLeft w:val="0"/>
      <w:marRight w:val="0"/>
      <w:marTop w:val="0"/>
      <w:marBottom w:val="0"/>
      <w:divBdr>
        <w:top w:val="none" w:sz="0" w:space="0" w:color="auto"/>
        <w:left w:val="none" w:sz="0" w:space="0" w:color="auto"/>
        <w:bottom w:val="none" w:sz="0" w:space="0" w:color="auto"/>
        <w:right w:val="none" w:sz="0" w:space="0" w:color="auto"/>
      </w:divBdr>
    </w:div>
    <w:div w:id="1093360229">
      <w:bodyDiv w:val="1"/>
      <w:marLeft w:val="0"/>
      <w:marRight w:val="0"/>
      <w:marTop w:val="0"/>
      <w:marBottom w:val="0"/>
      <w:divBdr>
        <w:top w:val="none" w:sz="0" w:space="0" w:color="auto"/>
        <w:left w:val="none" w:sz="0" w:space="0" w:color="auto"/>
        <w:bottom w:val="none" w:sz="0" w:space="0" w:color="auto"/>
        <w:right w:val="none" w:sz="0" w:space="0" w:color="auto"/>
      </w:divBdr>
    </w:div>
    <w:div w:id="1245457156">
      <w:bodyDiv w:val="1"/>
      <w:marLeft w:val="0"/>
      <w:marRight w:val="0"/>
      <w:marTop w:val="0"/>
      <w:marBottom w:val="0"/>
      <w:divBdr>
        <w:top w:val="none" w:sz="0" w:space="0" w:color="auto"/>
        <w:left w:val="none" w:sz="0" w:space="0" w:color="auto"/>
        <w:bottom w:val="none" w:sz="0" w:space="0" w:color="auto"/>
        <w:right w:val="none" w:sz="0" w:space="0" w:color="auto"/>
      </w:divBdr>
    </w:div>
    <w:div w:id="1248075193">
      <w:bodyDiv w:val="1"/>
      <w:marLeft w:val="0"/>
      <w:marRight w:val="0"/>
      <w:marTop w:val="0"/>
      <w:marBottom w:val="0"/>
      <w:divBdr>
        <w:top w:val="none" w:sz="0" w:space="0" w:color="auto"/>
        <w:left w:val="none" w:sz="0" w:space="0" w:color="auto"/>
        <w:bottom w:val="none" w:sz="0" w:space="0" w:color="auto"/>
        <w:right w:val="none" w:sz="0" w:space="0" w:color="auto"/>
      </w:divBdr>
    </w:div>
    <w:div w:id="1338997111">
      <w:bodyDiv w:val="1"/>
      <w:marLeft w:val="0"/>
      <w:marRight w:val="0"/>
      <w:marTop w:val="0"/>
      <w:marBottom w:val="0"/>
      <w:divBdr>
        <w:top w:val="none" w:sz="0" w:space="0" w:color="auto"/>
        <w:left w:val="none" w:sz="0" w:space="0" w:color="auto"/>
        <w:bottom w:val="none" w:sz="0" w:space="0" w:color="auto"/>
        <w:right w:val="none" w:sz="0" w:space="0" w:color="auto"/>
      </w:divBdr>
    </w:div>
    <w:div w:id="1502697593">
      <w:bodyDiv w:val="1"/>
      <w:marLeft w:val="0"/>
      <w:marRight w:val="0"/>
      <w:marTop w:val="0"/>
      <w:marBottom w:val="0"/>
      <w:divBdr>
        <w:top w:val="none" w:sz="0" w:space="0" w:color="auto"/>
        <w:left w:val="none" w:sz="0" w:space="0" w:color="auto"/>
        <w:bottom w:val="none" w:sz="0" w:space="0" w:color="auto"/>
        <w:right w:val="none" w:sz="0" w:space="0" w:color="auto"/>
      </w:divBdr>
    </w:div>
    <w:div w:id="1598249373">
      <w:bodyDiv w:val="1"/>
      <w:marLeft w:val="0"/>
      <w:marRight w:val="0"/>
      <w:marTop w:val="0"/>
      <w:marBottom w:val="0"/>
      <w:divBdr>
        <w:top w:val="none" w:sz="0" w:space="0" w:color="auto"/>
        <w:left w:val="none" w:sz="0" w:space="0" w:color="auto"/>
        <w:bottom w:val="none" w:sz="0" w:space="0" w:color="auto"/>
        <w:right w:val="none" w:sz="0" w:space="0" w:color="auto"/>
      </w:divBdr>
    </w:div>
    <w:div w:id="16882880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2770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7" Type="http://schemas.openxmlformats.org/officeDocument/2006/relationships/hyperlink" Target="http://joomla.corteidh.or.cr:8080/joomla/es/jurisprudencia-oc-avanzado/38-jurisprudencia/1906-corte-idh-caso-furlan-y-familiares-vs-argentina-excepciones-preliminares-fondo-reparaciones-y-costas-sentencia-de-31-de-agosto-de-2012-serie-c-no-246" TargetMode="External"/><Relationship Id="rId2" Type="http://schemas.openxmlformats.org/officeDocument/2006/relationships/hyperlink" Target="http://joomla.corteidh.or.cr:8080/joomla/es/casos-contenciosos/38-jurisprudencia/192-corte-idh-caso-velasquez-rodriguez-vs-honduras-fondo-sentencia-de-29-de-julio-de-1988-serie-c-no-4" TargetMode="External"/><Relationship Id="rId1" Type="http://schemas.openxmlformats.org/officeDocument/2006/relationships/hyperlink" Target="http://joomla.corteidh.or.cr:8080/joomla/es/casos-contenciosos/38-jurisprudencia/192-corte-idh-caso-velasquez-rodriguez-vs-honduras-fondo-sentencia-de-29-de-julio-de-1988-serie-c-no-4" TargetMode="External"/><Relationship Id="rId6"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5" Type="http://schemas.openxmlformats.org/officeDocument/2006/relationships/hyperlink" Target="http://www.ohchr.org/Documents/Publications/GuidingPrinciplesBusinessHR_SP.pdf" TargetMode="External"/><Relationship Id="rId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844F-FD65-4038-BB3F-CE0187F8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12712</Words>
  <Characters>72465</Characters>
  <Application>Microsoft Office Word</Application>
  <DocSecurity>0</DocSecurity>
  <Lines>603</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Rivera, Leonor</cp:lastModifiedBy>
  <cp:revision>2</cp:revision>
  <cp:lastPrinted>2018-12-06T22:31:00Z</cp:lastPrinted>
  <dcterms:created xsi:type="dcterms:W3CDTF">2020-06-18T18:45:00Z</dcterms:created>
  <dcterms:modified xsi:type="dcterms:W3CDTF">2020-06-18T18:45:00Z</dcterms:modified>
</cp:coreProperties>
</file>